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5E2B" w:rsidP="00785E2B" w14:paraId="2BA88DCF"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Supporting Statement</w:t>
      </w:r>
    </w:p>
    <w:p w:rsidR="00785E2B" w:rsidP="00785E2B" w14:paraId="7C5502C1" w14:textId="77777777">
      <w:pPr>
        <w:tabs>
          <w:tab w:val="left" w:pos="-1080"/>
          <w:tab w:val="left" w:pos="-720"/>
          <w:tab w:val="left" w:pos="0"/>
          <w:tab w:val="left" w:pos="720"/>
          <w:tab w:val="left" w:pos="1080"/>
        </w:tabs>
        <w:jc w:val="center"/>
        <w:rPr>
          <w:rFonts w:ascii="Arial" w:hAnsi="Arial"/>
          <w:b/>
          <w:sz w:val="28"/>
        </w:rPr>
      </w:pPr>
      <w:bookmarkStart w:id="0" w:name="_Hlk106025519"/>
      <w:r>
        <w:rPr>
          <w:rFonts w:ascii="Arial" w:hAnsi="Arial"/>
          <w:b/>
          <w:sz w:val="28"/>
        </w:rPr>
        <w:t>Delivery Ticket</w:t>
      </w:r>
    </w:p>
    <w:bookmarkEnd w:id="0"/>
    <w:p w:rsidR="00785E2B" w:rsidP="00785E2B" w14:paraId="6457AE08"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1651-0081</w:t>
      </w:r>
    </w:p>
    <w:p w:rsidR="00785E2B" w:rsidP="00785E2B" w14:paraId="12BC55EE" w14:textId="77777777">
      <w:pPr>
        <w:tabs>
          <w:tab w:val="center" w:pos="4824"/>
        </w:tabs>
        <w:rPr>
          <w:rFonts w:ascii="Arial" w:hAnsi="Arial"/>
          <w:b/>
          <w:sz w:val="28"/>
        </w:rPr>
      </w:pPr>
    </w:p>
    <w:p w:rsidR="00785E2B" w:rsidP="00785E2B" w14:paraId="5E3949F3" w14:textId="77777777">
      <w:pPr>
        <w:tabs>
          <w:tab w:val="center" w:pos="4824"/>
        </w:tabs>
        <w:rPr>
          <w:rFonts w:ascii="Arial" w:hAnsi="Arial"/>
          <w:b/>
          <w:sz w:val="28"/>
        </w:rPr>
      </w:pPr>
    </w:p>
    <w:p w:rsidR="00785E2B" w:rsidP="00785E2B" w14:paraId="56D6DBD9" w14:textId="77777777">
      <w:pPr>
        <w:tabs>
          <w:tab w:val="center" w:pos="4824"/>
        </w:tabs>
        <w:rPr>
          <w:rFonts w:ascii="Arial" w:hAnsi="Arial"/>
          <w:b/>
          <w:sz w:val="28"/>
        </w:rPr>
      </w:pPr>
      <w:r>
        <w:rPr>
          <w:rFonts w:ascii="Arial" w:hAnsi="Arial"/>
          <w:b/>
          <w:sz w:val="28"/>
        </w:rPr>
        <w:t>A.      Justification</w:t>
      </w:r>
    </w:p>
    <w:p w:rsidR="00785E2B" w:rsidP="00785E2B" w14:paraId="0BBCF53E" w14:textId="77777777">
      <w:pPr>
        <w:pStyle w:val="Heading1"/>
      </w:pPr>
    </w:p>
    <w:p w:rsidR="00785E2B" w:rsidRPr="00207932" w:rsidP="009A6FCA" w14:paraId="6B190418" w14:textId="77777777">
      <w:pPr>
        <w:numPr>
          <w:ilvl w:val="0"/>
          <w:numId w:val="3"/>
        </w:numPr>
        <w:jc w:val="both"/>
        <w:rPr>
          <w:rFonts w:ascii="Arial" w:hAnsi="Arial" w:cs="Arial"/>
          <w:b/>
          <w:bCs/>
          <w:szCs w:val="24"/>
        </w:rPr>
      </w:pPr>
      <w:r w:rsidRPr="00207932">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207932" w:rsidR="00481EF9">
        <w:rPr>
          <w:rFonts w:ascii="Arial" w:hAnsi="Arial" w:cs="Arial"/>
          <w:b/>
          <w:bCs/>
          <w:szCs w:val="24"/>
        </w:rPr>
        <w:t>t</w:t>
      </w:r>
      <w:r w:rsidRPr="00207932">
        <w:rPr>
          <w:rFonts w:ascii="Arial" w:hAnsi="Arial" w:cs="Arial"/>
          <w:b/>
          <w:bCs/>
          <w:szCs w:val="24"/>
        </w:rPr>
        <w:t>e and regulation mandating or authorizing the collection of information</w:t>
      </w:r>
      <w:r w:rsidRPr="00207932" w:rsidR="00903C5B">
        <w:rPr>
          <w:rFonts w:ascii="Arial" w:hAnsi="Arial" w:cs="Arial"/>
          <w:b/>
          <w:bCs/>
          <w:szCs w:val="24"/>
        </w:rPr>
        <w:t>.</w:t>
      </w:r>
    </w:p>
    <w:p w:rsidR="00785E2B" w:rsidP="00785E2B" w14:paraId="39BEEBE1" w14:textId="77777777">
      <w:pPr>
        <w:tabs>
          <w:tab w:val="left" w:pos="-1440"/>
        </w:tabs>
        <w:ind w:left="720"/>
        <w:jc w:val="both"/>
        <w:rPr>
          <w:rFonts w:ascii="Arial" w:hAnsi="Arial"/>
          <w:szCs w:val="24"/>
        </w:rPr>
      </w:pPr>
    </w:p>
    <w:p w:rsidR="009825C1" w:rsidP="00F31806" w14:paraId="6C6BE496" w14:textId="77777777">
      <w:pPr>
        <w:tabs>
          <w:tab w:val="left" w:pos="-1080"/>
          <w:tab w:val="left" w:pos="-720"/>
          <w:tab w:val="left" w:pos="0"/>
          <w:tab w:val="left" w:pos="720"/>
          <w:tab w:val="left" w:pos="1080"/>
          <w:tab w:val="left" w:pos="5580"/>
        </w:tabs>
        <w:ind w:left="720" w:hanging="720"/>
        <w:rPr>
          <w:rFonts w:ascii="Arial" w:hAnsi="Arial"/>
        </w:rPr>
      </w:pPr>
      <w:r>
        <w:rPr>
          <w:rFonts w:ascii="Arial" w:hAnsi="Arial"/>
        </w:rPr>
        <w:tab/>
      </w:r>
      <w:bookmarkStart w:id="1" w:name="_Hlk106025631"/>
      <w:r w:rsidR="00614D49">
        <w:rPr>
          <w:rFonts w:ascii="Arial" w:hAnsi="Arial"/>
        </w:rPr>
        <w:t xml:space="preserve">CBP Form 6043, </w:t>
      </w:r>
      <w:r w:rsidRPr="009825C1" w:rsidR="00614D49">
        <w:rPr>
          <w:rFonts w:ascii="Arial" w:hAnsi="Arial"/>
          <w:i/>
        </w:rPr>
        <w:t>Delivery Ticket</w:t>
      </w:r>
      <w:r w:rsidR="00614D49">
        <w:rPr>
          <w:rFonts w:ascii="Arial" w:hAnsi="Arial"/>
        </w:rPr>
        <w:t>, is used</w:t>
      </w:r>
      <w:r w:rsidR="00A00075">
        <w:rPr>
          <w:rFonts w:ascii="Arial" w:hAnsi="Arial"/>
        </w:rPr>
        <w:t xml:space="preserve"> </w:t>
      </w:r>
      <w:r w:rsidR="00614D49">
        <w:rPr>
          <w:rFonts w:ascii="Arial" w:hAnsi="Arial"/>
        </w:rPr>
        <w:t xml:space="preserve">to </w:t>
      </w:r>
      <w:r>
        <w:rPr>
          <w:rFonts w:ascii="Arial" w:hAnsi="Arial"/>
        </w:rPr>
        <w:t>d</w:t>
      </w:r>
      <w:r w:rsidR="00614D49">
        <w:rPr>
          <w:rFonts w:ascii="Arial" w:hAnsi="Arial"/>
        </w:rPr>
        <w:t>ocument transfers of imported</w:t>
      </w:r>
      <w:r w:rsidR="00DA4990">
        <w:rPr>
          <w:rFonts w:ascii="Arial" w:hAnsi="Arial"/>
        </w:rPr>
        <w:t xml:space="preserve"> </w:t>
      </w:r>
      <w:r w:rsidR="00614D49">
        <w:rPr>
          <w:rFonts w:ascii="Arial" w:hAnsi="Arial"/>
        </w:rPr>
        <w:t xml:space="preserve">merchandise between parties.  This form collects information such as </w:t>
      </w:r>
      <w:r>
        <w:rPr>
          <w:rFonts w:ascii="Arial" w:hAnsi="Arial"/>
        </w:rPr>
        <w:t>the name and address of the consignee; the name of the importing carrier; lien information; the location of where the goods originated and where they were delivered; and information about the imported merch</w:t>
      </w:r>
      <w:r w:rsidR="0067417A">
        <w:rPr>
          <w:rFonts w:ascii="Arial" w:hAnsi="Arial"/>
        </w:rPr>
        <w:t>andise.  CBP Form 6043 is completed</w:t>
      </w:r>
      <w:r>
        <w:rPr>
          <w:rFonts w:ascii="Arial" w:hAnsi="Arial"/>
        </w:rPr>
        <w:t xml:space="preserve"> by</w:t>
      </w:r>
      <w:r w:rsidR="00255649">
        <w:rPr>
          <w:rFonts w:ascii="Arial" w:hAnsi="Arial"/>
        </w:rPr>
        <w:t xml:space="preserve"> warehouse proprietors, carriers,</w:t>
      </w:r>
      <w:r w:rsidR="00255649">
        <w:rPr>
          <w:rFonts w:ascii="Arial" w:hAnsi="Arial"/>
          <w:color w:val="FF0000"/>
        </w:rPr>
        <w:t xml:space="preserve"> </w:t>
      </w:r>
      <w:r w:rsidR="00255649">
        <w:rPr>
          <w:rFonts w:ascii="Arial" w:hAnsi="Arial"/>
        </w:rPr>
        <w:t>Foreign</w:t>
      </w:r>
      <w:r w:rsidR="0067417A">
        <w:rPr>
          <w:rFonts w:ascii="Arial" w:hAnsi="Arial"/>
        </w:rPr>
        <w:t xml:space="preserve"> Trade Zone operators and other trade entities</w:t>
      </w:r>
      <w:r w:rsidR="00255649">
        <w:rPr>
          <w:rFonts w:ascii="Arial" w:hAnsi="Arial"/>
        </w:rPr>
        <w:t xml:space="preserve"> involved in transfers of imported merchandise.  This form is authorized by 19 U</w:t>
      </w:r>
      <w:r w:rsidR="00DA3571">
        <w:rPr>
          <w:rFonts w:ascii="Arial" w:hAnsi="Arial"/>
        </w:rPr>
        <w:t>.</w:t>
      </w:r>
      <w:r w:rsidR="00255649">
        <w:rPr>
          <w:rFonts w:ascii="Arial" w:hAnsi="Arial"/>
        </w:rPr>
        <w:t>S</w:t>
      </w:r>
      <w:r w:rsidR="00DA3571">
        <w:rPr>
          <w:rFonts w:ascii="Arial" w:hAnsi="Arial"/>
        </w:rPr>
        <w:t>.</w:t>
      </w:r>
      <w:r w:rsidR="00255649">
        <w:rPr>
          <w:rFonts w:ascii="Arial" w:hAnsi="Arial"/>
        </w:rPr>
        <w:t>C</w:t>
      </w:r>
      <w:r w:rsidR="00DA3571">
        <w:rPr>
          <w:rFonts w:ascii="Arial" w:hAnsi="Arial"/>
        </w:rPr>
        <w:t>.</w:t>
      </w:r>
      <w:r w:rsidR="00255649">
        <w:rPr>
          <w:rFonts w:ascii="Arial" w:hAnsi="Arial"/>
        </w:rPr>
        <w:t xml:space="preserve"> 1551a and 1565, and provided for by 19 CFR 4.34</w:t>
      </w:r>
      <w:r w:rsidR="00263ED3">
        <w:rPr>
          <w:rFonts w:ascii="Arial" w:hAnsi="Arial"/>
        </w:rPr>
        <w:t xml:space="preserve">, 4.37 and 19.9.  It is accessible at:  </w:t>
      </w:r>
      <w:hyperlink r:id="rId9" w:history="1">
        <w:r w:rsidRPr="000169BC" w:rsidR="007043B1">
          <w:rPr>
            <w:rStyle w:val="Hyperlink"/>
            <w:rFonts w:ascii="Arial" w:hAnsi="Arial"/>
          </w:rPr>
          <w:t>https://www.cbp.gov/newsroom/publications/forms</w:t>
        </w:r>
      </w:hyperlink>
      <w:r w:rsidR="007043B1">
        <w:rPr>
          <w:rFonts w:ascii="Arial" w:hAnsi="Arial"/>
        </w:rPr>
        <w:t xml:space="preserve"> </w:t>
      </w:r>
    </w:p>
    <w:p w:rsidR="005F3708" w:rsidP="00F31806" w14:paraId="022D4422" w14:textId="77777777">
      <w:pPr>
        <w:tabs>
          <w:tab w:val="left" w:pos="-1080"/>
          <w:tab w:val="left" w:pos="-720"/>
          <w:tab w:val="left" w:pos="0"/>
          <w:tab w:val="left" w:pos="720"/>
          <w:tab w:val="left" w:pos="1080"/>
          <w:tab w:val="left" w:pos="5580"/>
        </w:tabs>
        <w:ind w:left="720" w:hanging="720"/>
        <w:rPr>
          <w:rFonts w:ascii="Arial" w:hAnsi="Arial"/>
        </w:rPr>
      </w:pPr>
    </w:p>
    <w:p w:rsidR="005F3708" w:rsidP="00F31806" w14:paraId="1D9B86B9" w14:textId="77777777">
      <w:pPr>
        <w:tabs>
          <w:tab w:val="left" w:pos="-1080"/>
          <w:tab w:val="left" w:pos="-720"/>
          <w:tab w:val="left" w:pos="0"/>
          <w:tab w:val="left" w:pos="720"/>
          <w:tab w:val="left" w:pos="1080"/>
          <w:tab w:val="left" w:pos="5580"/>
        </w:tabs>
        <w:ind w:left="720" w:hanging="720"/>
        <w:rPr>
          <w:rFonts w:ascii="Arial" w:hAnsi="Arial"/>
        </w:rPr>
      </w:pPr>
      <w:r>
        <w:rPr>
          <w:rFonts w:ascii="Arial" w:hAnsi="Arial"/>
        </w:rPr>
        <w:tab/>
      </w:r>
      <w:r w:rsidRPr="005F3708">
        <w:rPr>
          <w:rFonts w:ascii="Arial" w:hAnsi="Arial"/>
        </w:rPr>
        <w:t>The respondents to this information collection are members of the trade community who are familiar with CBP regulations.</w:t>
      </w:r>
    </w:p>
    <w:bookmarkEnd w:id="1"/>
    <w:p w:rsidR="00481EF9" w:rsidRPr="00481EF9" w:rsidP="00481EF9" w14:paraId="728C2DCA" w14:textId="77777777">
      <w:pPr>
        <w:tabs>
          <w:tab w:val="left" w:pos="-1080"/>
          <w:tab w:val="left" w:pos="-720"/>
          <w:tab w:val="left" w:pos="0"/>
          <w:tab w:val="left" w:pos="720"/>
          <w:tab w:val="left" w:pos="1080"/>
          <w:tab w:val="left" w:pos="5580"/>
        </w:tabs>
        <w:ind w:left="720" w:hanging="720"/>
        <w:jc w:val="both"/>
        <w:rPr>
          <w:rFonts w:ascii="Arial" w:hAnsi="Arial"/>
        </w:rPr>
      </w:pPr>
      <w:r>
        <w:rPr>
          <w:rFonts w:ascii="Arial" w:hAnsi="Arial"/>
        </w:rPr>
        <w:tab/>
      </w:r>
      <w:r>
        <w:rPr>
          <w:rFonts w:ascii="Arial" w:hAnsi="Arial"/>
        </w:rPr>
        <w:tab/>
      </w:r>
    </w:p>
    <w:p w:rsidR="00785E2B" w:rsidRPr="005F33C6" w:rsidP="005F33C6" w14:paraId="06C59346" w14:textId="77777777">
      <w:pPr>
        <w:tabs>
          <w:tab w:val="left" w:pos="-1440"/>
        </w:tabs>
        <w:ind w:left="720" w:hanging="720"/>
        <w:jc w:val="both"/>
        <w:rPr>
          <w:rFonts w:ascii="Arial" w:hAnsi="Arial"/>
          <w:szCs w:val="24"/>
        </w:rPr>
      </w:pPr>
      <w:r w:rsidRPr="00C47181">
        <w:rPr>
          <w:rFonts w:ascii="Arial" w:hAnsi="Arial" w:cs="Arial"/>
          <w:b/>
          <w:bCs/>
          <w:szCs w:val="24"/>
        </w:rPr>
        <w:t>2.</w:t>
      </w:r>
      <w:r w:rsidRPr="00C47181">
        <w:rPr>
          <w:szCs w:val="24"/>
        </w:rPr>
        <w:tab/>
      </w:r>
      <w:r w:rsidRPr="00207932">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207932">
        <w:rPr>
          <w:szCs w:val="24"/>
        </w:rPr>
        <w:t>.</w:t>
      </w:r>
    </w:p>
    <w:p w:rsidR="00785E2B" w:rsidP="00785E2B" w14:paraId="64AFA5B1" w14:textId="77777777">
      <w:pPr>
        <w:jc w:val="both"/>
        <w:rPr>
          <w:rFonts w:ascii="Arial" w:hAnsi="Arial"/>
          <w:szCs w:val="24"/>
        </w:rPr>
      </w:pPr>
      <w:r>
        <w:rPr>
          <w:rFonts w:ascii="Arial" w:hAnsi="Arial"/>
          <w:szCs w:val="24"/>
        </w:rPr>
        <w:tab/>
      </w:r>
    </w:p>
    <w:p w:rsidR="00785E2B" w:rsidP="00785E2B" w14:paraId="41745928" w14:textId="77777777">
      <w:pPr>
        <w:tabs>
          <w:tab w:val="left" w:pos="-1080"/>
          <w:tab w:val="left" w:pos="-720"/>
          <w:tab w:val="left" w:pos="0"/>
          <w:tab w:val="left" w:pos="720"/>
          <w:tab w:val="left" w:pos="1080"/>
          <w:tab w:val="left" w:pos="5580"/>
        </w:tabs>
        <w:ind w:left="720" w:hanging="720"/>
        <w:jc w:val="both"/>
        <w:rPr>
          <w:rFonts w:ascii="Arial" w:hAnsi="Arial"/>
        </w:rPr>
      </w:pPr>
      <w:r>
        <w:tab/>
      </w:r>
      <w:r>
        <w:rPr>
          <w:rFonts w:ascii="Arial" w:hAnsi="Arial"/>
        </w:rPr>
        <w:t xml:space="preserve">The information is to be used </w:t>
      </w:r>
      <w:r w:rsidR="0067417A">
        <w:rPr>
          <w:rFonts w:ascii="Arial" w:hAnsi="Arial"/>
        </w:rPr>
        <w:t xml:space="preserve">for shipment tracking purposes </w:t>
      </w:r>
      <w:r>
        <w:rPr>
          <w:rFonts w:ascii="Arial" w:hAnsi="Arial"/>
        </w:rPr>
        <w:t xml:space="preserve">by CBP officers to </w:t>
      </w:r>
      <w:r w:rsidR="004A5502">
        <w:rPr>
          <w:rFonts w:ascii="Arial" w:hAnsi="Arial"/>
        </w:rPr>
        <w:t xml:space="preserve">document transfers of imported merchandise between parties.  </w:t>
      </w:r>
      <w:r>
        <w:rPr>
          <w:rFonts w:ascii="Arial" w:hAnsi="Arial"/>
        </w:rPr>
        <w:t xml:space="preserve"> </w:t>
      </w:r>
    </w:p>
    <w:p w:rsidR="005F33C6" w:rsidP="005F33C6" w14:paraId="278D35EA" w14:textId="77777777">
      <w:pPr>
        <w:pStyle w:val="BodyTextIndent"/>
        <w:ind w:left="0" w:firstLine="0"/>
        <w:rPr>
          <w:b/>
        </w:rPr>
      </w:pPr>
    </w:p>
    <w:p w:rsidR="005F33C6" w:rsidRPr="00207932" w:rsidP="00FC6EDA" w14:paraId="6F5A1870" w14:textId="77777777">
      <w:pPr>
        <w:pStyle w:val="BodyTextIndent"/>
        <w:numPr>
          <w:ilvl w:val="0"/>
          <w:numId w:val="12"/>
        </w:numPr>
        <w:rPr>
          <w:b/>
        </w:rPr>
      </w:pPr>
      <w:r w:rsidRPr="00207932">
        <w:rPr>
          <w:b/>
        </w:rPr>
        <w:t>Describe whether, and to what extent, the collect</w:t>
      </w:r>
      <w:r w:rsidRPr="00207932" w:rsidR="00104E12">
        <w:rPr>
          <w:b/>
        </w:rPr>
        <w:t xml:space="preserve">ion of information involves the </w:t>
      </w:r>
      <w:r w:rsidRPr="00207932">
        <w:rPr>
          <w:b/>
        </w:rPr>
        <w:t xml:space="preserve">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E11AD" w:rsidRPr="005F33C6" w:rsidP="00FE11AD" w14:paraId="6E6876FF" w14:textId="77777777">
      <w:pPr>
        <w:pStyle w:val="BodyTextIndent"/>
        <w:ind w:left="0" w:firstLine="0"/>
        <w:rPr>
          <w:b/>
          <w:color w:val="C0C0C0"/>
        </w:rPr>
      </w:pPr>
    </w:p>
    <w:p w:rsidR="00785E2B" w:rsidP="005F33C6" w14:paraId="38AA0DA6" w14:textId="77777777">
      <w:pPr>
        <w:pStyle w:val="BodyTextIndent"/>
        <w:ind w:firstLine="0"/>
      </w:pPr>
      <w:r>
        <w:t xml:space="preserve">The information on the Delivery Ticket, Form 6043 </w:t>
      </w:r>
      <w:r w:rsidR="00FD42D9">
        <w:t>can be</w:t>
      </w:r>
      <w:r w:rsidR="00104E12">
        <w:t xml:space="preserve"> submitted electronically via the Automated Commercial Environment (ACE)</w:t>
      </w:r>
      <w:r>
        <w:t xml:space="preserve">.  </w:t>
      </w:r>
    </w:p>
    <w:p w:rsidR="004A5502" w:rsidP="00785E2B" w14:paraId="6EDA5A44" w14:textId="77777777">
      <w:pPr>
        <w:ind w:left="720" w:hanging="540"/>
        <w:jc w:val="both"/>
        <w:rPr>
          <w:rFonts w:ascii="Arial" w:hAnsi="Arial"/>
          <w:b/>
          <w:bCs/>
          <w:szCs w:val="24"/>
        </w:rPr>
      </w:pPr>
    </w:p>
    <w:p w:rsidR="00785E2B" w:rsidRPr="00C47181" w:rsidP="00785E2B" w14:paraId="49C5CF0D" w14:textId="77777777">
      <w:pPr>
        <w:ind w:left="720" w:hanging="54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w:t>
      </w:r>
      <w:r w:rsidRPr="00C47181">
        <w:rPr>
          <w:rFonts w:ascii="Arial" w:hAnsi="Arial" w:cs="Arial"/>
          <w:b/>
          <w:bCs/>
          <w:szCs w:val="24"/>
        </w:rPr>
        <w:t xml:space="preserve">purposes described in Item 2 above.  </w:t>
      </w:r>
    </w:p>
    <w:p w:rsidR="00FC6EDA" w:rsidRPr="00C47181" w:rsidP="00785E2B" w14:paraId="44A4F260" w14:textId="77777777">
      <w:pPr>
        <w:tabs>
          <w:tab w:val="left" w:pos="-1440"/>
        </w:tabs>
        <w:ind w:left="720" w:hanging="720"/>
        <w:jc w:val="both"/>
        <w:rPr>
          <w:rFonts w:ascii="Arial" w:hAnsi="Arial"/>
          <w:szCs w:val="24"/>
        </w:rPr>
      </w:pPr>
    </w:p>
    <w:p w:rsidR="00785E2B" w:rsidRPr="00C47181" w:rsidP="00785E2B" w14:paraId="06F31FC0" w14:textId="77777777">
      <w:pPr>
        <w:tabs>
          <w:tab w:val="left" w:pos="-1440"/>
        </w:tabs>
        <w:ind w:left="720" w:hanging="720"/>
        <w:jc w:val="both"/>
        <w:rPr>
          <w:rFonts w:ascii="Arial" w:hAnsi="Arial"/>
          <w:szCs w:val="24"/>
        </w:rPr>
      </w:pPr>
      <w:r w:rsidRPr="00C47181">
        <w:rPr>
          <w:rFonts w:ascii="Arial" w:hAnsi="Arial"/>
          <w:szCs w:val="24"/>
        </w:rPr>
        <w:tab/>
        <w:t>This information is not duplicated in any other place or any other form.</w:t>
      </w:r>
    </w:p>
    <w:p w:rsidR="00785E2B" w:rsidP="00785E2B" w14:paraId="3815B82E" w14:textId="77777777">
      <w:pPr>
        <w:ind w:left="720" w:hanging="600"/>
        <w:jc w:val="both"/>
        <w:rPr>
          <w:rFonts w:ascii="Arial" w:hAnsi="Arial"/>
          <w:b/>
          <w:bCs/>
          <w:szCs w:val="24"/>
        </w:rPr>
      </w:pPr>
    </w:p>
    <w:p w:rsidR="00785E2B" w:rsidRPr="00C47181" w:rsidP="00785E2B" w14:paraId="344795BA" w14:textId="77777777">
      <w:pPr>
        <w:ind w:left="720" w:hanging="720"/>
        <w:jc w:val="both"/>
        <w:rPr>
          <w:rFonts w:ascii="Arial" w:hAnsi="Arial" w:cs="Arial"/>
          <w:b/>
          <w:bCs/>
          <w:szCs w:val="24"/>
        </w:rPr>
      </w:pPr>
      <w:r>
        <w:rPr>
          <w:rFonts w:ascii="Arial" w:hAnsi="Arial"/>
          <w:b/>
          <w:bCs/>
          <w:szCs w:val="24"/>
        </w:rPr>
        <w:t xml:space="preserve">    </w:t>
      </w: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785E2B" w:rsidRPr="00C47181" w:rsidP="00785E2B" w14:paraId="3947D251" w14:textId="77777777">
      <w:pPr>
        <w:tabs>
          <w:tab w:val="left" w:pos="-1440"/>
        </w:tabs>
        <w:ind w:left="720" w:hanging="720"/>
        <w:jc w:val="both"/>
        <w:rPr>
          <w:rFonts w:ascii="Arial" w:hAnsi="Arial"/>
          <w:szCs w:val="24"/>
        </w:rPr>
      </w:pPr>
    </w:p>
    <w:p w:rsidR="00785E2B" w:rsidP="00785E2B" w14:paraId="135C4DC9" w14:textId="77777777">
      <w:pPr>
        <w:pStyle w:val="BodyTextIndent"/>
        <w:rPr>
          <w:szCs w:val="24"/>
        </w:rPr>
      </w:pPr>
      <w:r w:rsidRPr="00C47181">
        <w:rPr>
          <w:szCs w:val="24"/>
        </w:rPr>
        <w:tab/>
      </w:r>
      <w:r w:rsidRPr="007F20CA">
        <w:rPr>
          <w:rFonts w:cs="Arial"/>
        </w:rPr>
        <w:t>This information collection does not have an impact on small businesses or other small entities.</w:t>
      </w:r>
      <w:r>
        <w:rPr>
          <w:rFonts w:cs="Arial"/>
        </w:rPr>
        <w:t xml:space="preserve">  </w:t>
      </w:r>
    </w:p>
    <w:p w:rsidR="00785E2B" w:rsidRPr="00C47181" w:rsidP="00785E2B" w14:paraId="5720E21F" w14:textId="77777777">
      <w:pPr>
        <w:pStyle w:val="BodyTextIndent"/>
      </w:pPr>
      <w:r>
        <w:tab/>
      </w:r>
      <w:r>
        <w:tab/>
      </w:r>
      <w:r>
        <w:tab/>
      </w:r>
      <w:r>
        <w:tab/>
      </w:r>
      <w:r>
        <w:tab/>
      </w:r>
      <w:r>
        <w:tab/>
      </w:r>
    </w:p>
    <w:p w:rsidR="00785E2B" w:rsidRPr="002A568C" w:rsidP="00785E2B" w14:paraId="238FB1C1" w14:textId="77777777">
      <w:pPr>
        <w:widowControl/>
        <w:jc w:val="both"/>
        <w:rPr>
          <w:rFonts w:ascii="Arial" w:hAnsi="Arial"/>
          <w:szCs w:val="24"/>
        </w:rPr>
      </w:pPr>
      <w:r>
        <w:rPr>
          <w:rFonts w:ascii="Arial" w:hAnsi="Arial" w:cs="Arial"/>
          <w:b/>
          <w:bCs/>
          <w:szCs w:val="24"/>
        </w:rPr>
        <w:t xml:space="preserve">   </w:t>
      </w:r>
      <w:r w:rsidRPr="001C412F">
        <w:rPr>
          <w:rFonts w:ascii="Arial" w:hAnsi="Arial" w:cs="Arial"/>
          <w:b/>
          <w:bCs/>
          <w:szCs w:val="24"/>
        </w:rPr>
        <w:t xml:space="preserve">6.  Describe consequences to Federal program or policy activities if the     </w:t>
      </w:r>
      <w:r w:rsidRPr="001C412F" w:rsidR="00060D61">
        <w:rPr>
          <w:rFonts w:ascii="Arial" w:hAnsi="Arial" w:cs="Arial"/>
          <w:b/>
          <w:bCs/>
          <w:szCs w:val="24"/>
        </w:rPr>
        <w:t xml:space="preserve">                          </w:t>
      </w:r>
      <w:r w:rsidRPr="001C412F">
        <w:rPr>
          <w:rFonts w:ascii="Arial" w:hAnsi="Arial" w:cs="Arial"/>
          <w:b/>
          <w:bCs/>
          <w:szCs w:val="24"/>
        </w:rPr>
        <w:t>collection is not conducted or is conducted less frequently.</w:t>
      </w:r>
    </w:p>
    <w:p w:rsidR="00785E2B" w:rsidP="00785E2B" w14:paraId="5AA30191" w14:textId="77777777">
      <w:pPr>
        <w:tabs>
          <w:tab w:val="left" w:pos="-1440"/>
        </w:tabs>
        <w:ind w:left="720"/>
        <w:rPr>
          <w:rFonts w:ascii="Arial" w:hAnsi="Arial" w:cs="Arial"/>
          <w:b/>
          <w:bCs/>
          <w:szCs w:val="24"/>
        </w:rPr>
      </w:pPr>
    </w:p>
    <w:p w:rsidR="00785E2B" w:rsidP="00785E2B" w14:paraId="3A800A51" w14:textId="77777777">
      <w:pPr>
        <w:tabs>
          <w:tab w:val="left" w:pos="-1440"/>
        </w:tabs>
        <w:ind w:left="720" w:hanging="720"/>
        <w:jc w:val="both"/>
        <w:rPr>
          <w:rFonts w:ascii="Arial" w:hAnsi="Arial"/>
        </w:rPr>
      </w:pPr>
      <w:r>
        <w:rPr>
          <w:rFonts w:ascii="Arial" w:hAnsi="Arial"/>
        </w:rPr>
        <w:tab/>
      </w:r>
      <w:r w:rsidR="00FE11AD">
        <w:rPr>
          <w:rFonts w:ascii="Arial" w:hAnsi="Arial"/>
        </w:rPr>
        <w:t xml:space="preserve">Without this information, CBP would not be able to document transfers of imported merchandise between parties.  </w:t>
      </w:r>
    </w:p>
    <w:p w:rsidR="00FE11AD" w:rsidP="00785E2B" w14:paraId="5D189BD1" w14:textId="77777777">
      <w:pPr>
        <w:tabs>
          <w:tab w:val="left" w:pos="-1440"/>
        </w:tabs>
        <w:ind w:left="720" w:hanging="720"/>
        <w:jc w:val="both"/>
        <w:rPr>
          <w:rFonts w:ascii="Arial" w:hAnsi="Arial"/>
        </w:rPr>
      </w:pPr>
    </w:p>
    <w:p w:rsidR="00785E2B" w:rsidRPr="00C47181" w:rsidP="00785E2B" w14:paraId="141E8B54" w14:textId="77777777">
      <w:pPr>
        <w:ind w:left="720" w:hanging="54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w:t>
      </w:r>
      <w:r w:rsidR="00693E00">
        <w:rPr>
          <w:rFonts w:ascii="Arial" w:hAnsi="Arial" w:cs="Arial"/>
          <w:b/>
          <w:bCs/>
          <w:szCs w:val="24"/>
        </w:rPr>
        <w:t>.</w:t>
      </w:r>
    </w:p>
    <w:p w:rsidR="00785E2B" w:rsidRPr="00C47181" w:rsidP="00785E2B" w14:paraId="72D3C64B" w14:textId="77777777">
      <w:pPr>
        <w:tabs>
          <w:tab w:val="left" w:pos="-1440"/>
        </w:tabs>
        <w:ind w:left="720" w:hanging="720"/>
        <w:jc w:val="both"/>
        <w:rPr>
          <w:rFonts w:ascii="Arial" w:hAnsi="Arial"/>
          <w:szCs w:val="24"/>
        </w:rPr>
      </w:pPr>
    </w:p>
    <w:p w:rsidR="00785E2B" w:rsidRPr="00C47181" w:rsidP="00785E2B" w14:paraId="416B0E9A" w14:textId="77777777">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w:t>
      </w:r>
      <w:r>
        <w:rPr>
          <w:rFonts w:ascii="Arial" w:hAnsi="Arial"/>
          <w:szCs w:val="24"/>
        </w:rPr>
        <w:t>5(d)(2).</w:t>
      </w:r>
    </w:p>
    <w:p w:rsidR="00785E2B" w:rsidP="00785E2B" w14:paraId="431BFE64" w14:textId="77777777">
      <w:pPr>
        <w:ind w:left="360"/>
        <w:jc w:val="both"/>
        <w:rPr>
          <w:rFonts w:ascii="Arial" w:hAnsi="Arial" w:cs="Arial"/>
          <w:b/>
          <w:bCs/>
          <w:szCs w:val="24"/>
        </w:rPr>
      </w:pPr>
    </w:p>
    <w:p w:rsidR="00785E2B" w:rsidP="00785E2B" w14:paraId="23FB1101" w14:textId="77777777">
      <w:pPr>
        <w:ind w:left="720" w:hanging="540"/>
        <w:jc w:val="both"/>
        <w:rPr>
          <w:rFonts w:ascii="Arial" w:hAnsi="Arial" w:cs="Arial"/>
          <w:b/>
          <w:bCs/>
          <w:szCs w:val="24"/>
        </w:rPr>
      </w:pPr>
      <w:r>
        <w:rPr>
          <w:rFonts w:ascii="Arial" w:hAnsi="Arial" w:cs="Arial"/>
          <w:b/>
          <w:bCs/>
          <w:szCs w:val="24"/>
        </w:rPr>
        <w:t>8.</w:t>
      </w:r>
      <w:r>
        <w:rPr>
          <w:rFonts w:ascii="Arial" w:hAnsi="Arial" w:cs="Arial"/>
          <w:b/>
          <w:bCs/>
          <w:szCs w:val="24"/>
        </w:rPr>
        <w:tab/>
      </w: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85E2B" w:rsidP="00785E2B" w14:paraId="71C8228F" w14:textId="77777777">
      <w:pPr>
        <w:tabs>
          <w:tab w:val="left" w:pos="-1440"/>
        </w:tabs>
        <w:ind w:left="720" w:hanging="360"/>
        <w:jc w:val="both"/>
        <w:rPr>
          <w:rFonts w:ascii="Arial" w:hAnsi="Arial"/>
        </w:rPr>
      </w:pPr>
      <w:r>
        <w:rPr>
          <w:rFonts w:ascii="Arial" w:hAnsi="Arial"/>
        </w:rPr>
        <w:tab/>
      </w:r>
    </w:p>
    <w:p w:rsidR="00785E2B" w:rsidRPr="008C7D4B" w:rsidP="00785E2B" w14:paraId="25E2C7EE" w14:textId="54A20CEA">
      <w:pPr>
        <w:tabs>
          <w:tab w:val="left" w:pos="-1440"/>
        </w:tabs>
        <w:ind w:left="720" w:hanging="360"/>
        <w:jc w:val="both"/>
        <w:rPr>
          <w:rFonts w:ascii="Arial" w:hAnsi="Arial"/>
        </w:rPr>
      </w:pPr>
      <w:r>
        <w:rPr>
          <w:rFonts w:ascii="Arial" w:hAnsi="Arial"/>
        </w:rPr>
        <w:tab/>
      </w:r>
      <w:r w:rsidRPr="00D73881">
        <w:rPr>
          <w:rFonts w:ascii="Arial" w:hAnsi="Arial"/>
        </w:rPr>
        <w:t>Public comments were solicited through two Federal Register notices</w:t>
      </w:r>
      <w:r w:rsidR="00600FD4">
        <w:rPr>
          <w:rFonts w:ascii="Arial" w:hAnsi="Arial"/>
        </w:rPr>
        <w:t>, a 60-day notice</w:t>
      </w:r>
      <w:r w:rsidRPr="00D73881">
        <w:rPr>
          <w:rFonts w:ascii="Arial" w:hAnsi="Arial"/>
        </w:rPr>
        <w:t xml:space="preserve"> published on </w:t>
      </w:r>
      <w:r w:rsidR="00600FD4">
        <w:rPr>
          <w:rFonts w:ascii="Arial" w:hAnsi="Arial"/>
        </w:rPr>
        <w:t>September 12</w:t>
      </w:r>
      <w:r w:rsidR="00D73881">
        <w:rPr>
          <w:rFonts w:ascii="Arial" w:hAnsi="Arial"/>
        </w:rPr>
        <w:t>, 20</w:t>
      </w:r>
      <w:r w:rsidR="00692E8E">
        <w:rPr>
          <w:rFonts w:ascii="Arial" w:hAnsi="Arial"/>
        </w:rPr>
        <w:t>2</w:t>
      </w:r>
      <w:r w:rsidR="00600FD4">
        <w:rPr>
          <w:rFonts w:ascii="Arial" w:hAnsi="Arial"/>
        </w:rPr>
        <w:t>5</w:t>
      </w:r>
      <w:r w:rsidRPr="00D73881">
        <w:rPr>
          <w:rFonts w:ascii="Arial" w:hAnsi="Arial"/>
        </w:rPr>
        <w:t xml:space="preserve"> (</w:t>
      </w:r>
      <w:r w:rsidR="00600FD4">
        <w:rPr>
          <w:rFonts w:ascii="Arial" w:hAnsi="Arial"/>
        </w:rPr>
        <w:t>90</w:t>
      </w:r>
      <w:r w:rsidR="00D73881">
        <w:rPr>
          <w:rFonts w:ascii="Arial" w:hAnsi="Arial"/>
        </w:rPr>
        <w:t xml:space="preserve"> FR </w:t>
      </w:r>
      <w:r w:rsidR="00600FD4">
        <w:rPr>
          <w:rFonts w:ascii="Arial" w:hAnsi="Arial"/>
        </w:rPr>
        <w:t>44205</w:t>
      </w:r>
      <w:r w:rsidRPr="00D73881">
        <w:rPr>
          <w:rFonts w:ascii="Arial" w:hAnsi="Arial"/>
        </w:rPr>
        <w:t>)</w:t>
      </w:r>
      <w:r w:rsidRPr="00D73881" w:rsidR="00C56D9C">
        <w:rPr>
          <w:rFonts w:ascii="Arial" w:hAnsi="Arial"/>
        </w:rPr>
        <w:t xml:space="preserve"> on which no comments were received,</w:t>
      </w:r>
      <w:r w:rsidRPr="00D73881">
        <w:rPr>
          <w:rFonts w:ascii="Arial" w:hAnsi="Arial"/>
        </w:rPr>
        <w:t xml:space="preserve"> and on</w:t>
      </w:r>
      <w:r w:rsidR="00600FD4">
        <w:rPr>
          <w:rFonts w:ascii="Arial" w:hAnsi="Arial"/>
        </w:rPr>
        <w:t xml:space="preserve"> November</w:t>
      </w:r>
      <w:r w:rsidR="00D73881">
        <w:rPr>
          <w:rFonts w:ascii="Arial" w:hAnsi="Arial"/>
        </w:rPr>
        <w:t xml:space="preserve"> </w:t>
      </w:r>
      <w:r w:rsidR="00812AC8">
        <w:rPr>
          <w:rFonts w:ascii="Arial" w:hAnsi="Arial"/>
        </w:rPr>
        <w:t>26</w:t>
      </w:r>
      <w:r w:rsidR="00D73881">
        <w:rPr>
          <w:rFonts w:ascii="Arial" w:hAnsi="Arial"/>
        </w:rPr>
        <w:t>, 20</w:t>
      </w:r>
      <w:r w:rsidR="00692E8E">
        <w:rPr>
          <w:rFonts w:ascii="Arial" w:hAnsi="Arial"/>
        </w:rPr>
        <w:t>2</w:t>
      </w:r>
      <w:r w:rsidR="00600FD4">
        <w:rPr>
          <w:rFonts w:ascii="Arial" w:hAnsi="Arial"/>
        </w:rPr>
        <w:t>5</w:t>
      </w:r>
      <w:r w:rsidRPr="00D73881">
        <w:rPr>
          <w:rFonts w:ascii="Arial" w:hAnsi="Arial"/>
        </w:rPr>
        <w:t xml:space="preserve"> (</w:t>
      </w:r>
      <w:r w:rsidR="00600FD4">
        <w:rPr>
          <w:rFonts w:ascii="Arial" w:hAnsi="Arial"/>
        </w:rPr>
        <w:t>90</w:t>
      </w:r>
      <w:r w:rsidR="00D73881">
        <w:rPr>
          <w:rFonts w:ascii="Arial" w:hAnsi="Arial"/>
        </w:rPr>
        <w:t xml:space="preserve"> FR </w:t>
      </w:r>
      <w:r w:rsidR="00600FD4">
        <w:rPr>
          <w:rFonts w:ascii="Arial" w:hAnsi="Arial"/>
        </w:rPr>
        <w:t>54351</w:t>
      </w:r>
      <w:r w:rsidRPr="00D73881">
        <w:rPr>
          <w:rFonts w:ascii="Arial" w:hAnsi="Arial"/>
        </w:rPr>
        <w:t>)</w:t>
      </w:r>
      <w:r w:rsidRPr="00D73881" w:rsidR="0047388C">
        <w:rPr>
          <w:rFonts w:ascii="Arial" w:hAnsi="Arial"/>
        </w:rPr>
        <w:t xml:space="preserve"> on which n</w:t>
      </w:r>
      <w:r w:rsidRPr="00D73881">
        <w:rPr>
          <w:rFonts w:ascii="Arial" w:hAnsi="Arial"/>
        </w:rPr>
        <w:t xml:space="preserve">o comments </w:t>
      </w:r>
      <w:r w:rsidRPr="00D73881" w:rsidR="00C56D9C">
        <w:rPr>
          <w:rFonts w:ascii="Arial" w:hAnsi="Arial"/>
        </w:rPr>
        <w:t>have been</w:t>
      </w:r>
      <w:r w:rsidRPr="00D73881">
        <w:rPr>
          <w:rFonts w:ascii="Arial" w:hAnsi="Arial"/>
        </w:rPr>
        <w:t xml:space="preserve"> received.</w:t>
      </w:r>
      <w:r>
        <w:rPr>
          <w:rFonts w:ascii="Arial" w:hAnsi="Arial"/>
        </w:rPr>
        <w:t xml:space="preserve"> </w:t>
      </w:r>
    </w:p>
    <w:p w:rsidR="005F33C6" w:rsidP="00785E2B" w14:paraId="081CB23B" w14:textId="77777777">
      <w:pPr>
        <w:ind w:left="720" w:hanging="600"/>
        <w:jc w:val="both"/>
        <w:rPr>
          <w:rFonts w:ascii="Arial" w:hAnsi="Arial"/>
          <w:b/>
          <w:bCs/>
          <w:szCs w:val="24"/>
        </w:rPr>
      </w:pPr>
    </w:p>
    <w:p w:rsidR="00785E2B" w:rsidRPr="00C47181" w:rsidP="00785E2B" w14:paraId="4FEE40D3"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785E2B" w:rsidRPr="00C47181" w:rsidP="00785E2B" w14:paraId="0239ABC2" w14:textId="77777777">
      <w:pPr>
        <w:tabs>
          <w:tab w:val="left" w:pos="-1440"/>
        </w:tabs>
        <w:ind w:left="720" w:hanging="720"/>
        <w:jc w:val="both"/>
        <w:rPr>
          <w:rFonts w:ascii="Arial" w:hAnsi="Arial"/>
          <w:szCs w:val="24"/>
        </w:rPr>
      </w:pPr>
    </w:p>
    <w:p w:rsidR="00785E2B" w:rsidRPr="00C47181" w:rsidP="00785E2B" w14:paraId="797EE16D" w14:textId="77777777">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785E2B" w:rsidP="00785E2B" w14:paraId="139B1C65" w14:textId="77777777">
      <w:pPr>
        <w:ind w:left="720" w:hanging="720"/>
        <w:jc w:val="both"/>
        <w:rPr>
          <w:rFonts w:ascii="Arial" w:hAnsi="Arial"/>
          <w:b/>
          <w:bCs/>
          <w:szCs w:val="24"/>
        </w:rPr>
      </w:pPr>
    </w:p>
    <w:p w:rsidR="00785E2B" w:rsidRPr="00C47181" w:rsidP="00785E2B" w14:paraId="409D1A98"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207932">
        <w:rPr>
          <w:rFonts w:ascii="Arial" w:hAnsi="Arial" w:cs="Arial"/>
          <w:b/>
          <w:bCs/>
          <w:szCs w:val="24"/>
        </w:rPr>
        <w:t>Describe any assurance of confidentiality provided to respondents and the basis for the assurance in statute, regulation, or agency policy.</w:t>
      </w:r>
    </w:p>
    <w:p w:rsidR="00785E2B" w:rsidP="00785E2B" w14:paraId="66121321" w14:textId="77777777">
      <w:pPr>
        <w:tabs>
          <w:tab w:val="left" w:pos="-1440"/>
        </w:tabs>
        <w:ind w:left="720" w:hanging="720"/>
        <w:jc w:val="both"/>
        <w:rPr>
          <w:rFonts w:ascii="Arial" w:hAnsi="Arial"/>
          <w:szCs w:val="24"/>
        </w:rPr>
      </w:pPr>
      <w:r w:rsidRPr="00C47181">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sidRPr="00C47181">
        <w:rPr>
          <w:rFonts w:ascii="Arial" w:hAnsi="Arial"/>
          <w:szCs w:val="24"/>
        </w:rPr>
        <w:t xml:space="preserve">          </w:t>
      </w:r>
    </w:p>
    <w:p w:rsidR="00DB6E88" w:rsidRPr="00104E12" w:rsidP="00960616" w14:paraId="5E74D7FD" w14:textId="77777777">
      <w:pPr>
        <w:ind w:left="720"/>
        <w:jc w:val="both"/>
        <w:rPr>
          <w:rFonts w:ascii="Arial" w:hAnsi="Arial" w:cs="Arial"/>
          <w:iCs/>
          <w:szCs w:val="24"/>
        </w:rPr>
      </w:pPr>
      <w:r w:rsidRPr="0067417A">
        <w:rPr>
          <w:rFonts w:ascii="Arial" w:hAnsi="Arial" w:cs="Arial"/>
          <w:iCs/>
          <w:szCs w:val="24"/>
        </w:rPr>
        <w:t>All data submitted and entered into ACE is subject to and protected by the Trade Secrets Act (18 U.S.C. 1905) and is considered confidential, except to the extent as otherwise provided by law. </w:t>
      </w:r>
      <w:r w:rsidRPr="0067417A">
        <w:rPr>
          <w:rFonts w:ascii="Arial" w:hAnsi="Arial" w:cs="Arial"/>
          <w:bCs/>
          <w:szCs w:val="24"/>
        </w:rPr>
        <w:t xml:space="preserve">A </w:t>
      </w:r>
      <w:smartTag w:uri="urn:schemas-microsoft-com:office:smarttags" w:element="PersonName">
        <w:r w:rsidRPr="0067417A">
          <w:rPr>
            <w:rFonts w:ascii="Arial" w:hAnsi="Arial" w:cs="Arial"/>
            <w:bCs/>
            <w:szCs w:val="24"/>
          </w:rPr>
          <w:t>PIA</w:t>
        </w:r>
      </w:smartTag>
      <w:r w:rsidRPr="0067417A">
        <w:rPr>
          <w:rFonts w:ascii="Arial" w:hAnsi="Arial" w:cs="Arial"/>
          <w:bCs/>
          <w:szCs w:val="24"/>
        </w:rPr>
        <w:t xml:space="preserve"> for the Automated Commercial Environment (ACE) dated July 31, 2015, and a SORN for the Import I</w:t>
      </w:r>
      <w:r w:rsidR="00E24AC0">
        <w:rPr>
          <w:rFonts w:ascii="Arial" w:hAnsi="Arial" w:cs="Arial"/>
          <w:bCs/>
          <w:szCs w:val="24"/>
        </w:rPr>
        <w:t xml:space="preserve">nformation System, dated </w:t>
      </w:r>
      <w:r w:rsidR="00E24AC0">
        <w:rPr>
          <w:rFonts w:ascii="Arial" w:hAnsi="Arial" w:cs="Arial"/>
          <w:bCs/>
          <w:szCs w:val="24"/>
        </w:rPr>
        <w:t>July 26, 2016</w:t>
      </w:r>
      <w:r w:rsidRPr="0067417A">
        <w:rPr>
          <w:rFonts w:ascii="Arial" w:hAnsi="Arial" w:cs="Arial"/>
          <w:bCs/>
          <w:szCs w:val="24"/>
        </w:rPr>
        <w:t xml:space="preserve"> (</w:t>
      </w:r>
      <w:r w:rsidR="00E24AC0">
        <w:rPr>
          <w:rFonts w:ascii="Arial" w:hAnsi="Arial" w:cs="Arial"/>
          <w:bCs/>
          <w:szCs w:val="24"/>
        </w:rPr>
        <w:t>81 FR 48826)</w:t>
      </w:r>
      <w:r w:rsidRPr="0067417A">
        <w:rPr>
          <w:rFonts w:ascii="Arial" w:hAnsi="Arial" w:cs="Arial"/>
          <w:bCs/>
          <w:szCs w:val="24"/>
        </w:rPr>
        <w:t xml:space="preserve"> will be included in this ICR.</w:t>
      </w:r>
      <w:r w:rsidRPr="00593731">
        <w:rPr>
          <w:rFonts w:ascii="Arial" w:hAnsi="Arial" w:cs="Arial"/>
          <w:bCs/>
          <w:szCs w:val="24"/>
        </w:rPr>
        <w:t xml:space="preserve">  </w:t>
      </w:r>
      <w:r w:rsidRPr="00593731">
        <w:rPr>
          <w:rFonts w:ascii="Arial" w:hAnsi="Arial" w:cs="Arial"/>
          <w:iCs/>
          <w:szCs w:val="24"/>
        </w:rPr>
        <w:t xml:space="preserve">  </w:t>
      </w:r>
    </w:p>
    <w:p w:rsidR="00CF6961" w:rsidP="00785E2B" w14:paraId="438F008B" w14:textId="77777777">
      <w:pPr>
        <w:tabs>
          <w:tab w:val="left" w:pos="-1440"/>
        </w:tabs>
        <w:ind w:left="720" w:hanging="720"/>
        <w:jc w:val="both"/>
        <w:rPr>
          <w:rFonts w:ascii="Arial" w:hAnsi="Arial"/>
          <w:szCs w:val="24"/>
        </w:rPr>
      </w:pPr>
    </w:p>
    <w:p w:rsidR="00785E2B" w:rsidRPr="00C47181" w:rsidP="00785E2B" w14:paraId="6014A318"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85E2B" w:rsidRPr="00C47181" w:rsidP="00785E2B" w14:paraId="12C1BE51" w14:textId="77777777">
      <w:pPr>
        <w:tabs>
          <w:tab w:val="left" w:pos="-1440"/>
        </w:tabs>
        <w:ind w:left="720" w:hanging="720"/>
        <w:jc w:val="both"/>
        <w:rPr>
          <w:rFonts w:ascii="Arial" w:hAnsi="Arial"/>
          <w:szCs w:val="24"/>
        </w:rPr>
      </w:pPr>
      <w:r w:rsidRPr="00C47181">
        <w:rPr>
          <w:rFonts w:ascii="Arial" w:hAnsi="Arial"/>
          <w:szCs w:val="24"/>
        </w:rPr>
        <w:tab/>
      </w:r>
    </w:p>
    <w:p w:rsidR="00785E2B" w:rsidRPr="00C47181" w:rsidP="00785E2B" w14:paraId="2DAEE0CD" w14:textId="77777777">
      <w:pPr>
        <w:tabs>
          <w:tab w:val="left" w:pos="-1440"/>
        </w:tabs>
        <w:ind w:left="720" w:hanging="720"/>
        <w:jc w:val="both"/>
        <w:rPr>
          <w:rFonts w:ascii="Arial" w:hAnsi="Arial"/>
          <w:szCs w:val="24"/>
        </w:rPr>
      </w:pPr>
      <w:r w:rsidRPr="00C47181">
        <w:rPr>
          <w:rFonts w:ascii="Arial" w:hAnsi="Arial"/>
          <w:szCs w:val="24"/>
        </w:rPr>
        <w:tab/>
        <w:t>There are no questions of a sensitive nature</w:t>
      </w:r>
      <w:r>
        <w:rPr>
          <w:rFonts w:ascii="Arial" w:hAnsi="Arial"/>
          <w:szCs w:val="24"/>
        </w:rPr>
        <w:t>.</w:t>
      </w:r>
    </w:p>
    <w:p w:rsidR="00785E2B" w:rsidP="00785E2B" w14:paraId="28F2D4DE" w14:textId="77777777">
      <w:pPr>
        <w:tabs>
          <w:tab w:val="left" w:pos="-1440"/>
        </w:tabs>
        <w:jc w:val="both"/>
        <w:rPr>
          <w:rFonts w:ascii="Arial" w:hAnsi="Arial"/>
          <w:szCs w:val="24"/>
        </w:rPr>
      </w:pPr>
    </w:p>
    <w:p w:rsidR="00785E2B" w:rsidRPr="00C47181" w:rsidP="00785E2B" w14:paraId="06DD0B90" w14:textId="77777777">
      <w:pPr>
        <w:tabs>
          <w:tab w:val="left" w:pos="-1440"/>
        </w:tabs>
        <w:jc w:val="both"/>
        <w:rPr>
          <w:rFonts w:ascii="Arial" w:hAnsi="Arial"/>
          <w:szCs w:val="24"/>
        </w:rPr>
      </w:pPr>
      <w:r w:rsidRPr="00136B29">
        <w:rPr>
          <w:rFonts w:ascii="Arial" w:hAnsi="Arial"/>
          <w:b/>
          <w:szCs w:val="24"/>
        </w:rPr>
        <w:t>12.</w:t>
      </w:r>
      <w:r>
        <w:rPr>
          <w:rFonts w:ascii="Arial" w:hAnsi="Arial"/>
          <w:szCs w:val="24"/>
        </w:rPr>
        <w:tab/>
      </w:r>
      <w:r w:rsidRPr="00207932">
        <w:rPr>
          <w:rFonts w:ascii="Arial" w:hAnsi="Arial" w:cs="Arial"/>
          <w:b/>
          <w:bCs/>
          <w:szCs w:val="24"/>
        </w:rPr>
        <w:t>Provide estimates of the hour burden of the collection of information.</w:t>
      </w:r>
      <w:r w:rsidRPr="00C47181">
        <w:rPr>
          <w:rFonts w:ascii="Arial" w:hAnsi="Arial"/>
          <w:szCs w:val="24"/>
        </w:rPr>
        <w:tab/>
      </w:r>
    </w:p>
    <w:p w:rsidR="00785E2B" w:rsidP="00785E2B" w14:paraId="69114EA7" w14:textId="77777777">
      <w:pPr>
        <w:jc w:val="both"/>
        <w:rPr>
          <w:rFonts w:ascii="Arial" w:hAnsi="Arial"/>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710"/>
        <w:gridCol w:w="1710"/>
        <w:gridCol w:w="1710"/>
        <w:gridCol w:w="1710"/>
        <w:gridCol w:w="1710"/>
      </w:tblGrid>
      <w:tr w14:paraId="0B5AE889" w14:textId="77777777" w:rsidTr="00372CC0">
        <w:tblPrEx>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785E2B" w:rsidRPr="00372CC0" w:rsidP="00372CC0" w14:paraId="58035779" w14:textId="77777777">
            <w:pPr>
              <w:pStyle w:val="Style"/>
              <w:tabs>
                <w:tab w:val="left" w:pos="-1440"/>
              </w:tabs>
              <w:ind w:left="0" w:firstLine="0"/>
              <w:rPr>
                <w:rFonts w:ascii="Arial" w:hAnsi="Arial"/>
              </w:rPr>
            </w:pPr>
          </w:p>
          <w:p w:rsidR="00785E2B" w:rsidRPr="00372CC0" w:rsidP="00372CC0" w14:paraId="133FB200" w14:textId="77777777">
            <w:pPr>
              <w:pStyle w:val="Style"/>
              <w:tabs>
                <w:tab w:val="left" w:pos="-1440"/>
              </w:tabs>
              <w:ind w:left="0" w:firstLine="0"/>
              <w:rPr>
                <w:rFonts w:ascii="Arial" w:hAnsi="Arial"/>
                <w:b/>
                <w:sz w:val="22"/>
                <w:szCs w:val="22"/>
              </w:rPr>
            </w:pPr>
            <w:r w:rsidRPr="00372CC0">
              <w:rPr>
                <w:rFonts w:ascii="Arial" w:hAnsi="Arial"/>
                <w:b/>
                <w:sz w:val="22"/>
                <w:szCs w:val="22"/>
              </w:rPr>
              <w:t>FORM NUMBER/</w:t>
            </w:r>
          </w:p>
          <w:p w:rsidR="00785E2B" w:rsidRPr="00372CC0" w:rsidP="00372CC0" w14:paraId="0D9C52D7" w14:textId="77777777">
            <w:pPr>
              <w:pStyle w:val="Style"/>
              <w:tabs>
                <w:tab w:val="left" w:pos="-1440"/>
              </w:tabs>
              <w:ind w:left="0" w:firstLine="0"/>
              <w:rPr>
                <w:rFonts w:ascii="Arial" w:hAnsi="Arial"/>
                <w:sz w:val="22"/>
                <w:szCs w:val="22"/>
              </w:rPr>
            </w:pPr>
            <w:r w:rsidRPr="00372CC0">
              <w:rPr>
                <w:rFonts w:ascii="Arial" w:hAnsi="Arial"/>
                <w:b/>
                <w:sz w:val="22"/>
                <w:szCs w:val="22"/>
              </w:rPr>
              <w:t>TITLE</w:t>
            </w:r>
          </w:p>
        </w:tc>
        <w:tc>
          <w:tcPr>
            <w:tcW w:w="1710" w:type="dxa"/>
          </w:tcPr>
          <w:p w:rsidR="00785E2B" w:rsidRPr="00372CC0" w:rsidP="00372CC0" w14:paraId="4122B55B" w14:textId="77777777">
            <w:pPr>
              <w:pStyle w:val="Style"/>
              <w:tabs>
                <w:tab w:val="left" w:pos="-1440"/>
              </w:tabs>
              <w:ind w:left="0" w:firstLine="0"/>
              <w:rPr>
                <w:rFonts w:ascii="Arial" w:hAnsi="Arial"/>
                <w:b/>
                <w:sz w:val="20"/>
              </w:rPr>
            </w:pPr>
            <w:r w:rsidRPr="00372CC0">
              <w:rPr>
                <w:rFonts w:ascii="Arial" w:hAnsi="Arial"/>
                <w:b/>
                <w:sz w:val="20"/>
              </w:rPr>
              <w:t>TOTAL ANNUAL BURDEN HOURS</w:t>
            </w:r>
          </w:p>
        </w:tc>
        <w:tc>
          <w:tcPr>
            <w:tcW w:w="1710" w:type="dxa"/>
          </w:tcPr>
          <w:p w:rsidR="00CF6961" w:rsidRPr="00372CC0" w:rsidP="00372CC0" w14:paraId="6B944730" w14:textId="77777777">
            <w:pPr>
              <w:pStyle w:val="Style"/>
              <w:tabs>
                <w:tab w:val="left" w:pos="-1440"/>
              </w:tabs>
              <w:ind w:left="0" w:firstLine="0"/>
              <w:rPr>
                <w:rFonts w:ascii="Arial" w:hAnsi="Arial"/>
                <w:b/>
                <w:sz w:val="18"/>
                <w:szCs w:val="18"/>
              </w:rPr>
            </w:pPr>
          </w:p>
          <w:p w:rsidR="00785E2B" w:rsidRPr="00372CC0" w:rsidP="00372CC0" w14:paraId="327BE231" w14:textId="77777777">
            <w:pPr>
              <w:pStyle w:val="Style"/>
              <w:tabs>
                <w:tab w:val="left" w:pos="-1440"/>
              </w:tabs>
              <w:ind w:left="0" w:firstLine="0"/>
              <w:rPr>
                <w:rFonts w:ascii="Arial" w:hAnsi="Arial"/>
                <w:b/>
                <w:sz w:val="18"/>
                <w:szCs w:val="18"/>
              </w:rPr>
            </w:pPr>
            <w:r w:rsidRPr="00372CC0">
              <w:rPr>
                <w:rFonts w:ascii="Arial" w:hAnsi="Arial"/>
                <w:b/>
                <w:sz w:val="18"/>
                <w:szCs w:val="18"/>
              </w:rPr>
              <w:t>NO. OF</w:t>
            </w:r>
          </w:p>
          <w:p w:rsidR="00785E2B" w:rsidRPr="00372CC0" w:rsidP="00372CC0" w14:paraId="55A13F0D" w14:textId="77777777">
            <w:pPr>
              <w:pStyle w:val="Style"/>
              <w:tabs>
                <w:tab w:val="left" w:pos="-1440"/>
              </w:tabs>
              <w:ind w:left="0" w:firstLine="0"/>
              <w:rPr>
                <w:rFonts w:ascii="Arial" w:hAnsi="Arial"/>
                <w:b/>
                <w:sz w:val="22"/>
                <w:szCs w:val="22"/>
              </w:rPr>
            </w:pPr>
            <w:r w:rsidRPr="00372CC0">
              <w:rPr>
                <w:rFonts w:ascii="Arial" w:hAnsi="Arial"/>
                <w:b/>
                <w:sz w:val="18"/>
                <w:szCs w:val="18"/>
              </w:rPr>
              <w:t>RESPONDENTS</w:t>
            </w:r>
          </w:p>
        </w:tc>
        <w:tc>
          <w:tcPr>
            <w:tcW w:w="1710" w:type="dxa"/>
          </w:tcPr>
          <w:p w:rsidR="00785E2B" w:rsidRPr="00372CC0" w:rsidP="00372CC0" w14:paraId="25FCB9FB" w14:textId="77777777">
            <w:pPr>
              <w:pStyle w:val="Style"/>
              <w:tabs>
                <w:tab w:val="left" w:pos="-1440"/>
              </w:tabs>
              <w:ind w:left="0" w:firstLine="0"/>
              <w:rPr>
                <w:rFonts w:ascii="Arial" w:hAnsi="Arial"/>
                <w:b/>
                <w:sz w:val="20"/>
              </w:rPr>
            </w:pPr>
            <w:r w:rsidRPr="00372CC0">
              <w:rPr>
                <w:rFonts w:ascii="Arial" w:hAnsi="Arial"/>
                <w:b/>
                <w:sz w:val="20"/>
              </w:rPr>
              <w:t>NO. OF RESPONSES PER RESPONDENT</w:t>
            </w:r>
          </w:p>
        </w:tc>
        <w:tc>
          <w:tcPr>
            <w:tcW w:w="1710" w:type="dxa"/>
          </w:tcPr>
          <w:p w:rsidR="00785E2B" w:rsidRPr="00372CC0" w:rsidP="00372CC0" w14:paraId="6B778701" w14:textId="77777777">
            <w:pPr>
              <w:pStyle w:val="Style"/>
              <w:tabs>
                <w:tab w:val="left" w:pos="-1440"/>
              </w:tabs>
              <w:ind w:left="0" w:firstLine="0"/>
              <w:rPr>
                <w:rFonts w:ascii="Arial" w:hAnsi="Arial"/>
              </w:rPr>
            </w:pPr>
          </w:p>
          <w:p w:rsidR="00785E2B" w:rsidRPr="00372CC0" w:rsidP="00372CC0" w14:paraId="638333BD" w14:textId="77777777">
            <w:pPr>
              <w:pStyle w:val="Style"/>
              <w:tabs>
                <w:tab w:val="left" w:pos="-1440"/>
              </w:tabs>
              <w:ind w:left="0" w:firstLine="0"/>
              <w:rPr>
                <w:rFonts w:ascii="Arial" w:hAnsi="Arial"/>
                <w:b/>
                <w:sz w:val="22"/>
                <w:szCs w:val="22"/>
              </w:rPr>
            </w:pPr>
            <w:r w:rsidRPr="00372CC0">
              <w:rPr>
                <w:rFonts w:ascii="Arial" w:hAnsi="Arial"/>
                <w:b/>
                <w:sz w:val="22"/>
                <w:szCs w:val="22"/>
              </w:rPr>
              <w:t>TOTAL</w:t>
            </w:r>
          </w:p>
          <w:p w:rsidR="00785E2B" w:rsidRPr="00372CC0" w:rsidP="00372CC0" w14:paraId="3B64B599" w14:textId="77777777">
            <w:pPr>
              <w:pStyle w:val="Style"/>
              <w:tabs>
                <w:tab w:val="left" w:pos="-1440"/>
              </w:tabs>
              <w:ind w:left="0" w:firstLine="0"/>
              <w:rPr>
                <w:rFonts w:ascii="Arial" w:hAnsi="Arial"/>
              </w:rPr>
            </w:pPr>
            <w:r w:rsidRPr="00372CC0">
              <w:rPr>
                <w:rFonts w:ascii="Arial" w:hAnsi="Arial"/>
                <w:b/>
                <w:sz w:val="22"/>
                <w:szCs w:val="22"/>
              </w:rPr>
              <w:t>RESPONSES</w:t>
            </w:r>
          </w:p>
        </w:tc>
        <w:tc>
          <w:tcPr>
            <w:tcW w:w="1710" w:type="dxa"/>
          </w:tcPr>
          <w:p w:rsidR="00785E2B" w:rsidRPr="00372CC0" w:rsidP="00372CC0" w14:paraId="2197838E" w14:textId="77777777">
            <w:pPr>
              <w:pStyle w:val="Style"/>
              <w:tabs>
                <w:tab w:val="left" w:pos="-1440"/>
              </w:tabs>
              <w:ind w:left="0" w:firstLine="0"/>
              <w:rPr>
                <w:rFonts w:ascii="Arial" w:hAnsi="Arial"/>
              </w:rPr>
            </w:pPr>
          </w:p>
          <w:p w:rsidR="00785E2B" w:rsidRPr="00372CC0" w:rsidP="00372CC0" w14:paraId="4C9E9150" w14:textId="77777777">
            <w:pPr>
              <w:pStyle w:val="Style"/>
              <w:tabs>
                <w:tab w:val="left" w:pos="-1440"/>
              </w:tabs>
              <w:ind w:left="0" w:firstLine="0"/>
              <w:rPr>
                <w:rFonts w:ascii="Arial" w:hAnsi="Arial"/>
                <w:b/>
                <w:sz w:val="22"/>
                <w:szCs w:val="22"/>
              </w:rPr>
            </w:pPr>
            <w:r w:rsidRPr="00372CC0">
              <w:rPr>
                <w:rFonts w:ascii="Arial" w:hAnsi="Arial"/>
                <w:b/>
                <w:sz w:val="22"/>
                <w:szCs w:val="22"/>
              </w:rPr>
              <w:t>TIME PER</w:t>
            </w:r>
          </w:p>
          <w:p w:rsidR="00785E2B" w:rsidRPr="00372CC0" w:rsidP="00372CC0" w14:paraId="7A3982C6" w14:textId="77777777">
            <w:pPr>
              <w:pStyle w:val="Style"/>
              <w:tabs>
                <w:tab w:val="left" w:pos="-1440"/>
              </w:tabs>
              <w:ind w:left="0" w:firstLine="0"/>
              <w:rPr>
                <w:rFonts w:ascii="Arial" w:hAnsi="Arial"/>
              </w:rPr>
            </w:pPr>
            <w:r w:rsidRPr="00372CC0">
              <w:rPr>
                <w:rFonts w:ascii="Arial" w:hAnsi="Arial"/>
                <w:b/>
                <w:sz w:val="22"/>
                <w:szCs w:val="22"/>
              </w:rPr>
              <w:t>RESPONSE</w:t>
            </w:r>
          </w:p>
        </w:tc>
      </w:tr>
      <w:tr w14:paraId="312C3A44" w14:textId="77777777" w:rsidTr="00372CC0">
        <w:tblPrEx>
          <w:tblW w:w="10260" w:type="dxa"/>
          <w:tblInd w:w="288" w:type="dxa"/>
          <w:tblLayout w:type="fixed"/>
          <w:tblLook w:val="01E0"/>
        </w:tblPrEx>
        <w:tc>
          <w:tcPr>
            <w:tcW w:w="1710" w:type="dxa"/>
          </w:tcPr>
          <w:p w:rsidR="00785E2B" w:rsidRPr="00372CC0" w:rsidP="00372CC0" w14:paraId="399773F6" w14:textId="77777777">
            <w:pPr>
              <w:pStyle w:val="Style"/>
              <w:tabs>
                <w:tab w:val="left" w:pos="-1440"/>
              </w:tabs>
              <w:ind w:left="0" w:firstLine="0"/>
              <w:rPr>
                <w:rFonts w:ascii="Arial" w:hAnsi="Arial"/>
              </w:rPr>
            </w:pPr>
          </w:p>
          <w:p w:rsidR="00CF6961" w:rsidRPr="00372CC0" w:rsidP="00372CC0" w14:paraId="024873F2" w14:textId="77777777">
            <w:pPr>
              <w:pStyle w:val="Style"/>
              <w:tabs>
                <w:tab w:val="left" w:pos="-1440"/>
              </w:tabs>
              <w:ind w:left="0" w:firstLine="0"/>
              <w:rPr>
                <w:rFonts w:ascii="Arial" w:hAnsi="Arial"/>
              </w:rPr>
            </w:pPr>
            <w:bookmarkStart w:id="2" w:name="_Hlk106025678"/>
            <w:r w:rsidRPr="00372CC0">
              <w:rPr>
                <w:rFonts w:ascii="Arial" w:hAnsi="Arial"/>
              </w:rPr>
              <w:t>Delivery</w:t>
            </w:r>
          </w:p>
          <w:p w:rsidR="00CF6961" w:rsidRPr="00372CC0" w:rsidP="00372CC0" w14:paraId="3094BAA5" w14:textId="77777777">
            <w:pPr>
              <w:pStyle w:val="Style"/>
              <w:tabs>
                <w:tab w:val="left" w:pos="-1440"/>
              </w:tabs>
              <w:ind w:left="0" w:firstLine="0"/>
              <w:rPr>
                <w:rFonts w:ascii="Arial" w:hAnsi="Arial"/>
              </w:rPr>
            </w:pPr>
            <w:r w:rsidRPr="00372CC0">
              <w:rPr>
                <w:rFonts w:ascii="Arial" w:hAnsi="Arial"/>
              </w:rPr>
              <w:t>Ticket</w:t>
            </w:r>
          </w:p>
          <w:p w:rsidR="009A6FCA" w:rsidRPr="00372CC0" w:rsidP="00372CC0" w14:paraId="54C91A78" w14:textId="77777777">
            <w:pPr>
              <w:pStyle w:val="Style"/>
              <w:tabs>
                <w:tab w:val="left" w:pos="-1440"/>
              </w:tabs>
              <w:ind w:left="0" w:firstLine="0"/>
              <w:rPr>
                <w:rFonts w:ascii="Arial" w:hAnsi="Arial"/>
              </w:rPr>
            </w:pPr>
            <w:r w:rsidRPr="00372CC0">
              <w:rPr>
                <w:rFonts w:ascii="Arial" w:hAnsi="Arial"/>
              </w:rPr>
              <w:t xml:space="preserve">Form </w:t>
            </w:r>
            <w:r w:rsidRPr="00372CC0" w:rsidR="00F30AC1">
              <w:rPr>
                <w:rFonts w:ascii="Arial" w:hAnsi="Arial"/>
              </w:rPr>
              <w:t>6043</w:t>
            </w:r>
          </w:p>
          <w:bookmarkEnd w:id="2"/>
          <w:p w:rsidR="00CF6961" w:rsidRPr="00372CC0" w:rsidP="00372CC0" w14:paraId="420945DC" w14:textId="77777777">
            <w:pPr>
              <w:pStyle w:val="Style"/>
              <w:tabs>
                <w:tab w:val="left" w:pos="-1440"/>
              </w:tabs>
              <w:ind w:left="0" w:firstLine="0"/>
              <w:rPr>
                <w:rFonts w:ascii="Arial" w:hAnsi="Arial"/>
              </w:rPr>
            </w:pPr>
          </w:p>
        </w:tc>
        <w:tc>
          <w:tcPr>
            <w:tcW w:w="1710" w:type="dxa"/>
          </w:tcPr>
          <w:p w:rsidR="00785E2B" w:rsidRPr="00372CC0" w:rsidP="00372CC0" w14:paraId="78C9E1B5" w14:textId="77777777">
            <w:pPr>
              <w:pStyle w:val="Style"/>
              <w:tabs>
                <w:tab w:val="left" w:pos="-1440"/>
              </w:tabs>
              <w:ind w:left="0" w:firstLine="0"/>
              <w:rPr>
                <w:rFonts w:ascii="Arial" w:hAnsi="Arial"/>
              </w:rPr>
            </w:pPr>
            <w:r w:rsidRPr="00372CC0">
              <w:rPr>
                <w:rFonts w:ascii="Arial" w:hAnsi="Arial"/>
              </w:rPr>
              <w:t xml:space="preserve">    </w:t>
            </w:r>
          </w:p>
          <w:p w:rsidR="00785E2B" w:rsidRPr="00372CC0" w:rsidP="00372CC0" w14:paraId="73E4E652" w14:textId="77777777">
            <w:pPr>
              <w:pStyle w:val="Style"/>
              <w:tabs>
                <w:tab w:val="left" w:pos="-1440"/>
              </w:tabs>
              <w:ind w:left="0" w:firstLine="0"/>
              <w:rPr>
                <w:rFonts w:ascii="Arial" w:hAnsi="Arial"/>
              </w:rPr>
            </w:pPr>
            <w:r w:rsidRPr="00372CC0">
              <w:rPr>
                <w:rFonts w:ascii="Arial" w:hAnsi="Arial"/>
              </w:rPr>
              <w:t xml:space="preserve">  </w:t>
            </w:r>
            <w:r w:rsidRPr="00372CC0" w:rsidR="009A6FCA">
              <w:rPr>
                <w:rFonts w:ascii="Arial" w:hAnsi="Arial"/>
              </w:rPr>
              <w:t xml:space="preserve">  </w:t>
            </w:r>
            <w:r w:rsidR="00212CC3">
              <w:rPr>
                <w:rFonts w:ascii="Arial" w:hAnsi="Arial"/>
              </w:rPr>
              <w:t>57,800</w:t>
            </w:r>
          </w:p>
        </w:tc>
        <w:tc>
          <w:tcPr>
            <w:tcW w:w="1710" w:type="dxa"/>
          </w:tcPr>
          <w:p w:rsidR="009A6FCA" w:rsidRPr="00372CC0" w:rsidP="00372CC0" w14:paraId="2F64C483" w14:textId="77777777">
            <w:pPr>
              <w:pStyle w:val="Style"/>
              <w:tabs>
                <w:tab w:val="left" w:pos="-1440"/>
              </w:tabs>
              <w:ind w:left="0" w:firstLine="0"/>
              <w:rPr>
                <w:rFonts w:ascii="Arial" w:hAnsi="Arial"/>
              </w:rPr>
            </w:pPr>
          </w:p>
          <w:p w:rsidR="00785E2B" w:rsidRPr="00372CC0" w:rsidP="00372CC0" w14:paraId="47D39EA5" w14:textId="77777777">
            <w:pPr>
              <w:pStyle w:val="Style"/>
              <w:tabs>
                <w:tab w:val="left" w:pos="-1440"/>
              </w:tabs>
              <w:ind w:left="0" w:firstLine="0"/>
              <w:rPr>
                <w:rFonts w:ascii="Arial" w:hAnsi="Arial"/>
              </w:rPr>
            </w:pPr>
            <w:r w:rsidRPr="00372CC0">
              <w:rPr>
                <w:rFonts w:ascii="Arial" w:hAnsi="Arial"/>
              </w:rPr>
              <w:t xml:space="preserve">      1</w:t>
            </w:r>
            <w:r w:rsidR="00212CC3">
              <w:rPr>
                <w:rFonts w:ascii="Arial" w:hAnsi="Arial"/>
              </w:rPr>
              <w:t>156</w:t>
            </w:r>
          </w:p>
        </w:tc>
        <w:tc>
          <w:tcPr>
            <w:tcW w:w="1710" w:type="dxa"/>
          </w:tcPr>
          <w:p w:rsidR="00785E2B" w:rsidRPr="00372CC0" w:rsidP="00372CC0" w14:paraId="1C79FD9B" w14:textId="77777777">
            <w:pPr>
              <w:pStyle w:val="Style"/>
              <w:tabs>
                <w:tab w:val="left" w:pos="-1440"/>
              </w:tabs>
              <w:ind w:left="0" w:firstLine="0"/>
              <w:rPr>
                <w:rFonts w:ascii="Arial" w:hAnsi="Arial"/>
              </w:rPr>
            </w:pPr>
            <w:r w:rsidRPr="00372CC0">
              <w:rPr>
                <w:rFonts w:ascii="Arial" w:hAnsi="Arial"/>
              </w:rPr>
              <w:t xml:space="preserve">  </w:t>
            </w:r>
          </w:p>
          <w:p w:rsidR="00785E2B" w:rsidRPr="00372CC0" w:rsidP="00372CC0" w14:paraId="0F02D8BC" w14:textId="77777777">
            <w:pPr>
              <w:pStyle w:val="Style"/>
              <w:tabs>
                <w:tab w:val="left" w:pos="-1440"/>
              </w:tabs>
              <w:ind w:left="0" w:firstLine="0"/>
              <w:rPr>
                <w:rFonts w:ascii="Arial" w:hAnsi="Arial"/>
              </w:rPr>
            </w:pPr>
            <w:r w:rsidRPr="00372CC0">
              <w:rPr>
                <w:rFonts w:ascii="Arial" w:hAnsi="Arial"/>
              </w:rPr>
              <w:t xml:space="preserve">        </w:t>
            </w:r>
            <w:r w:rsidRPr="00372CC0" w:rsidR="009A6FCA">
              <w:rPr>
                <w:rFonts w:ascii="Arial" w:hAnsi="Arial"/>
              </w:rPr>
              <w:t>200</w:t>
            </w:r>
          </w:p>
        </w:tc>
        <w:tc>
          <w:tcPr>
            <w:tcW w:w="1710" w:type="dxa"/>
          </w:tcPr>
          <w:p w:rsidR="00785E2B" w:rsidRPr="00372CC0" w:rsidP="00372CC0" w14:paraId="7B416B53" w14:textId="77777777">
            <w:pPr>
              <w:pStyle w:val="Style"/>
              <w:tabs>
                <w:tab w:val="left" w:pos="-1440"/>
              </w:tabs>
              <w:ind w:left="0" w:firstLine="0"/>
              <w:rPr>
                <w:rFonts w:ascii="Arial" w:hAnsi="Arial"/>
              </w:rPr>
            </w:pPr>
          </w:p>
          <w:p w:rsidR="00785E2B" w:rsidRPr="00372CC0" w:rsidP="00372CC0" w14:paraId="17BF56DA" w14:textId="77777777">
            <w:pPr>
              <w:pStyle w:val="Style"/>
              <w:tabs>
                <w:tab w:val="left" w:pos="-1440"/>
              </w:tabs>
              <w:ind w:left="0" w:firstLine="0"/>
              <w:rPr>
                <w:rFonts w:ascii="Arial" w:hAnsi="Arial"/>
              </w:rPr>
            </w:pPr>
            <w:r>
              <w:rPr>
                <w:rFonts w:ascii="Arial" w:hAnsi="Arial"/>
              </w:rPr>
              <w:t xml:space="preserve">     231,200</w:t>
            </w:r>
          </w:p>
          <w:p w:rsidR="00785E2B" w:rsidRPr="00372CC0" w:rsidP="00372CC0" w14:paraId="22739AE0" w14:textId="77777777">
            <w:pPr>
              <w:pStyle w:val="Style"/>
              <w:tabs>
                <w:tab w:val="left" w:pos="-1440"/>
              </w:tabs>
              <w:ind w:left="0" w:firstLine="0"/>
              <w:rPr>
                <w:rFonts w:ascii="Arial" w:hAnsi="Arial"/>
              </w:rPr>
            </w:pPr>
          </w:p>
        </w:tc>
        <w:tc>
          <w:tcPr>
            <w:tcW w:w="1710" w:type="dxa"/>
          </w:tcPr>
          <w:p w:rsidR="00785E2B" w:rsidRPr="00372CC0" w:rsidP="00372CC0" w14:paraId="48094743" w14:textId="77777777">
            <w:pPr>
              <w:pStyle w:val="Style"/>
              <w:tabs>
                <w:tab w:val="left" w:pos="-1440"/>
              </w:tabs>
              <w:ind w:left="0" w:firstLine="0"/>
              <w:rPr>
                <w:rFonts w:ascii="Arial" w:hAnsi="Arial"/>
              </w:rPr>
            </w:pPr>
          </w:p>
          <w:p w:rsidR="00785E2B" w:rsidRPr="00372CC0" w:rsidP="00372CC0" w14:paraId="26FF9E8C" w14:textId="77777777">
            <w:pPr>
              <w:pStyle w:val="Style"/>
              <w:tabs>
                <w:tab w:val="left" w:pos="-1440"/>
              </w:tabs>
              <w:ind w:left="0" w:firstLine="0"/>
              <w:rPr>
                <w:rFonts w:ascii="Arial" w:hAnsi="Arial"/>
              </w:rPr>
            </w:pPr>
            <w:r w:rsidRPr="00372CC0">
              <w:rPr>
                <w:rFonts w:ascii="Arial" w:hAnsi="Arial"/>
              </w:rPr>
              <w:t xml:space="preserve"> </w:t>
            </w:r>
            <w:r w:rsidR="00212CC3">
              <w:rPr>
                <w:rFonts w:ascii="Arial" w:hAnsi="Arial"/>
              </w:rPr>
              <w:t>15</w:t>
            </w:r>
            <w:r w:rsidRPr="00372CC0">
              <w:rPr>
                <w:rFonts w:ascii="Arial" w:hAnsi="Arial"/>
              </w:rPr>
              <w:t xml:space="preserve"> minutes</w:t>
            </w:r>
          </w:p>
          <w:p w:rsidR="00785E2B" w:rsidRPr="00372CC0" w:rsidP="00372CC0" w14:paraId="37722618" w14:textId="77777777">
            <w:pPr>
              <w:pStyle w:val="Style"/>
              <w:tabs>
                <w:tab w:val="left" w:pos="-1440"/>
              </w:tabs>
              <w:ind w:left="0" w:firstLine="0"/>
              <w:rPr>
                <w:rFonts w:ascii="Arial" w:hAnsi="Arial"/>
                <w:sz w:val="22"/>
                <w:szCs w:val="22"/>
              </w:rPr>
            </w:pPr>
            <w:r w:rsidRPr="00372CC0">
              <w:rPr>
                <w:rFonts w:ascii="Arial" w:hAnsi="Arial"/>
                <w:sz w:val="22"/>
                <w:szCs w:val="22"/>
              </w:rPr>
              <w:t>(</w:t>
            </w:r>
            <w:r w:rsidR="00212CC3">
              <w:rPr>
                <w:rFonts w:ascii="Arial" w:hAnsi="Arial"/>
                <w:sz w:val="22"/>
                <w:szCs w:val="22"/>
              </w:rPr>
              <w:t>0.25</w:t>
            </w:r>
            <w:r w:rsidRPr="00372CC0">
              <w:rPr>
                <w:rFonts w:ascii="Arial" w:hAnsi="Arial"/>
                <w:sz w:val="22"/>
                <w:szCs w:val="22"/>
              </w:rPr>
              <w:t xml:space="preserve"> hours)</w:t>
            </w:r>
          </w:p>
        </w:tc>
      </w:tr>
    </w:tbl>
    <w:p w:rsidR="00075892" w:rsidP="00785E2B" w14:paraId="08C40A7D" w14:textId="77777777">
      <w:pPr>
        <w:tabs>
          <w:tab w:val="left" w:pos="-1440"/>
        </w:tabs>
        <w:ind w:left="720" w:hanging="720"/>
        <w:jc w:val="both"/>
        <w:rPr>
          <w:rFonts w:ascii="Arial" w:hAnsi="Arial"/>
          <w:szCs w:val="24"/>
        </w:rPr>
      </w:pPr>
      <w:r>
        <w:rPr>
          <w:rFonts w:ascii="Arial" w:hAnsi="Arial" w:cs="Arial"/>
        </w:rPr>
        <w:tab/>
      </w:r>
    </w:p>
    <w:p w:rsidR="00785E2B" w:rsidP="00785E2B" w14:paraId="63D31155" w14:textId="77777777">
      <w:pPr>
        <w:tabs>
          <w:tab w:val="left" w:pos="-1440"/>
        </w:tabs>
        <w:ind w:left="720" w:hanging="720"/>
        <w:jc w:val="both"/>
        <w:rPr>
          <w:rFonts w:ascii="Arial" w:hAnsi="Arial"/>
          <w:b/>
          <w:bCs/>
          <w:szCs w:val="24"/>
        </w:rPr>
      </w:pPr>
      <w:r>
        <w:rPr>
          <w:rFonts w:ascii="Arial" w:hAnsi="Arial"/>
          <w:b/>
          <w:bCs/>
          <w:szCs w:val="24"/>
        </w:rPr>
        <w:tab/>
        <w:t>Public Cost</w:t>
      </w:r>
    </w:p>
    <w:p w:rsidR="00785E2B" w:rsidRPr="007D0C1A" w:rsidP="00F31806" w14:paraId="334CE55D" w14:textId="77777777">
      <w:pPr>
        <w:tabs>
          <w:tab w:val="left" w:pos="-1440"/>
        </w:tabs>
        <w:ind w:left="720" w:hanging="720"/>
        <w:rPr>
          <w:rFonts w:ascii="Arial" w:hAnsi="Arial"/>
          <w:b/>
          <w:bCs/>
          <w:color w:val="FF0000"/>
          <w:szCs w:val="24"/>
        </w:rPr>
      </w:pPr>
      <w:r>
        <w:rPr>
          <w:rFonts w:ascii="Arial" w:hAnsi="Arial"/>
          <w:b/>
          <w:bCs/>
          <w:szCs w:val="24"/>
        </w:rPr>
        <w:tab/>
      </w:r>
    </w:p>
    <w:p w:rsidR="00207932" w:rsidRPr="00207932" w:rsidP="00207932" w14:paraId="0A681C05" w14:textId="22F2195C">
      <w:pPr>
        <w:tabs>
          <w:tab w:val="left" w:pos="-1080"/>
          <w:tab w:val="left" w:pos="-720"/>
          <w:tab w:val="left" w:pos="0"/>
          <w:tab w:val="left" w:pos="720"/>
          <w:tab w:val="left" w:pos="1080"/>
        </w:tabs>
        <w:ind w:left="720" w:hanging="720"/>
        <w:rPr>
          <w:rFonts w:ascii="Arial" w:hAnsi="Arial" w:cs="Arial"/>
        </w:rPr>
      </w:pPr>
      <w:r>
        <w:rPr>
          <w:rFonts w:ascii="Arial" w:hAnsi="Arial" w:cs="Arial"/>
        </w:rPr>
        <w:tab/>
      </w:r>
      <w:r w:rsidRPr="00207932">
        <w:rPr>
          <w:rFonts w:ascii="Arial" w:hAnsi="Arial" w:cs="Arial"/>
        </w:rPr>
        <w:t xml:space="preserve">The estimated cost </w:t>
      </w:r>
      <w:r w:rsidRPr="00207932">
        <w:rPr>
          <w:rFonts w:ascii="Arial" w:hAnsi="Arial" w:cs="Arial"/>
        </w:rPr>
        <w:t>to</w:t>
      </w:r>
      <w:r w:rsidRPr="00207932">
        <w:rPr>
          <w:rFonts w:ascii="Arial" w:hAnsi="Arial" w:cs="Arial"/>
        </w:rPr>
        <w:t xml:space="preserve"> the respondents is $</w:t>
      </w:r>
      <w:r>
        <w:rPr>
          <w:rFonts w:ascii="Arial" w:hAnsi="Arial" w:cs="Arial"/>
        </w:rPr>
        <w:t>4,328,064</w:t>
      </w:r>
      <w:r w:rsidRPr="00207932">
        <w:rPr>
          <w:rFonts w:ascii="Arial" w:hAnsi="Arial" w:cs="Arial"/>
        </w:rPr>
        <w:t>.  This is based on the estimated burden hours (</w:t>
      </w:r>
      <w:r>
        <w:rPr>
          <w:rFonts w:ascii="Arial" w:hAnsi="Arial" w:cs="Arial"/>
        </w:rPr>
        <w:t>57,800</w:t>
      </w:r>
      <w:r w:rsidRPr="00207932">
        <w:rPr>
          <w:rFonts w:ascii="Arial" w:hAnsi="Arial" w:cs="Arial"/>
        </w:rPr>
        <w:t>) multiplied by the average loaded hourly wage rate for warehouse operators ($74.88).  CBP calculated this loaded wage rate by first multiplying the Bureau of Labor Statistics’ (BLS) 2024 median hourly wage rate for Transportation, Storage, and Distribution Managers ($49.05), which CBP assumes best represents the wage for warehouse operators, by the ratio of BLS’ Q4 2024 total compensation to wages and salaries for Management, business, and financial occupations (1.4905), the assumed occupational group for warehouse operators, to account for non-salary employee benefits.</w:t>
      </w:r>
      <w:r>
        <w:rPr>
          <w:rFonts w:ascii="Arial" w:hAnsi="Arial" w:cs="Arial"/>
          <w:vertAlign w:val="superscript"/>
        </w:rPr>
        <w:footnoteReference w:id="2"/>
      </w:r>
      <w:r w:rsidRPr="00207932">
        <w:rPr>
          <w:rFonts w:ascii="Arial" w:hAnsi="Arial" w:cs="Arial"/>
        </w:rPr>
        <w:t xml:space="preserve">  CBP assumes an annual growth rate of 2.42% based on the prior year's change in the implicit price deflator, published by the Bureau of Economic Analysis.</w:t>
      </w:r>
      <w:r>
        <w:rPr>
          <w:rFonts w:ascii="Arial" w:hAnsi="Arial" w:cs="Arial"/>
          <w:vertAlign w:val="superscript"/>
        </w:rPr>
        <w:footnoteReference w:id="3"/>
      </w:r>
    </w:p>
    <w:p w:rsidR="001B63CC" w:rsidP="00F31806" w14:paraId="5160C940" w14:textId="77777777">
      <w:pPr>
        <w:tabs>
          <w:tab w:val="left" w:pos="-1080"/>
          <w:tab w:val="left" w:pos="-720"/>
          <w:tab w:val="left" w:pos="0"/>
          <w:tab w:val="left" w:pos="720"/>
          <w:tab w:val="left" w:pos="1080"/>
        </w:tabs>
        <w:ind w:left="720" w:hanging="72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1B63CC" w:rsidRPr="00136B29" w:rsidP="00F31806" w14:paraId="0915793D" w14:textId="77777777">
      <w:pPr>
        <w:tabs>
          <w:tab w:val="left" w:pos="-1440"/>
        </w:tabs>
        <w:ind w:left="660" w:hanging="660"/>
        <w:rPr>
          <w:rFonts w:ascii="Arial" w:hAnsi="Arial"/>
          <w:b/>
          <w:bCs/>
          <w:szCs w:val="24"/>
        </w:rPr>
      </w:pPr>
      <w:r w:rsidRPr="00C47181">
        <w:rPr>
          <w:rFonts w:ascii="Arial" w:hAnsi="Arial"/>
          <w:b/>
          <w:bCs/>
          <w:szCs w:val="24"/>
        </w:rPr>
        <w:t>13.</w:t>
      </w:r>
      <w:r w:rsidRPr="00C47181">
        <w:rPr>
          <w:rFonts w:ascii="Arial" w:hAnsi="Arial"/>
          <w:szCs w:val="24"/>
        </w:rPr>
        <w:tab/>
      </w:r>
      <w:r w:rsidRPr="001C412F">
        <w:rPr>
          <w:rFonts w:ascii="Arial" w:hAnsi="Arial" w:cs="Arial"/>
          <w:b/>
          <w:bCs/>
          <w:szCs w:val="24"/>
        </w:rPr>
        <w:t>Provide an estimate of the total annual cost burden to respondents or record keepers resulting from the collection of information.</w:t>
      </w:r>
      <w:r w:rsidRPr="00C47181">
        <w:rPr>
          <w:rFonts w:ascii="Arial" w:hAnsi="Arial"/>
          <w:szCs w:val="24"/>
        </w:rPr>
        <w:tab/>
      </w:r>
    </w:p>
    <w:p w:rsidR="001B63CC" w:rsidRPr="00C47181" w:rsidP="00F31806" w14:paraId="17D8DC99" w14:textId="77777777">
      <w:pPr>
        <w:tabs>
          <w:tab w:val="left" w:pos="-1440"/>
        </w:tabs>
        <w:ind w:left="720" w:hanging="720"/>
        <w:rPr>
          <w:rFonts w:ascii="Arial" w:hAnsi="Arial"/>
          <w:szCs w:val="24"/>
        </w:rPr>
      </w:pPr>
    </w:p>
    <w:p w:rsidR="001B63CC" w:rsidP="00F31806" w14:paraId="75939F56" w14:textId="77777777">
      <w:pPr>
        <w:ind w:left="660"/>
        <w:rPr>
          <w:rFonts w:ascii="Arial" w:hAnsi="Arial" w:cs="Arial"/>
        </w:rPr>
      </w:pPr>
      <w:r>
        <w:rPr>
          <w:rFonts w:ascii="Arial" w:hAnsi="Arial" w:cs="Arial"/>
        </w:rPr>
        <w:t xml:space="preserve">There are no record keeping, capital, start-up or maintenance costs associated with this information collection.      </w:t>
      </w:r>
    </w:p>
    <w:p w:rsidR="001B63CC" w:rsidP="00F31806" w14:paraId="3B54AA91" w14:textId="77777777">
      <w:pPr>
        <w:ind w:left="660"/>
        <w:rPr>
          <w:rFonts w:ascii="Arial" w:hAnsi="Arial" w:cs="Arial"/>
        </w:rPr>
      </w:pPr>
      <w:r>
        <w:rPr>
          <w:rFonts w:ascii="Arial" w:hAnsi="Arial" w:cs="Arial"/>
        </w:rPr>
        <w:tab/>
        <w:t xml:space="preserve">           </w:t>
      </w:r>
      <w:r>
        <w:rPr>
          <w:rFonts w:ascii="Arial" w:hAnsi="Arial" w:cs="Arial"/>
        </w:rPr>
        <w:tab/>
      </w:r>
      <w:r>
        <w:rPr>
          <w:rFonts w:ascii="Arial" w:hAnsi="Arial" w:cs="Arial"/>
        </w:rPr>
        <w:tab/>
      </w:r>
    </w:p>
    <w:p w:rsidR="001B63CC" w:rsidRPr="009A6FCA" w:rsidP="00F31806" w14:paraId="3A204E20" w14:textId="77777777">
      <w:pPr>
        <w:ind w:left="660" w:hanging="660"/>
        <w:rPr>
          <w:rFonts w:ascii="Arial" w:hAnsi="Arial" w:cs="Arial"/>
        </w:rPr>
      </w:pPr>
      <w:r>
        <w:rPr>
          <w:rFonts w:ascii="Arial" w:hAnsi="Arial" w:cs="Arial"/>
          <w:b/>
          <w:bCs/>
          <w:szCs w:val="24"/>
        </w:rPr>
        <w:t xml:space="preserve">14. </w:t>
      </w:r>
      <w:r>
        <w:rPr>
          <w:rFonts w:ascii="Arial" w:hAnsi="Arial" w:cs="Arial"/>
          <w:b/>
          <w:bCs/>
          <w:szCs w:val="24"/>
        </w:rPr>
        <w:tab/>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D14384" w:rsidP="001B63CC" w14:paraId="0461E61D" w14:textId="77777777">
      <w:pPr>
        <w:tabs>
          <w:tab w:val="left" w:pos="-1440"/>
        </w:tabs>
        <w:ind w:left="720" w:hanging="720"/>
        <w:rPr>
          <w:rFonts w:ascii="Arial" w:hAnsi="Arial"/>
        </w:rPr>
      </w:pPr>
    </w:p>
    <w:p w:rsidR="00207932" w:rsidRPr="00207932" w:rsidP="00207932" w14:paraId="589057FF" w14:textId="5E180947">
      <w:pPr>
        <w:tabs>
          <w:tab w:val="left" w:pos="-1440"/>
        </w:tabs>
        <w:ind w:left="660"/>
        <w:rPr>
          <w:rFonts w:ascii="Arial" w:hAnsi="Arial"/>
        </w:rPr>
      </w:pPr>
      <w:r w:rsidRPr="00207932">
        <w:rPr>
          <w:rFonts w:ascii="Arial" w:hAnsi="Arial"/>
        </w:rPr>
        <w:t>The estimated annual cost to the Federal Government associated with the review of th</w:t>
      </w:r>
      <w:r>
        <w:rPr>
          <w:rFonts w:ascii="Arial" w:hAnsi="Arial"/>
        </w:rPr>
        <w:t>is information collection</w:t>
      </w:r>
      <w:r w:rsidRPr="00207932">
        <w:rPr>
          <w:rFonts w:ascii="Arial" w:hAnsi="Arial"/>
        </w:rPr>
        <w:t xml:space="preserve"> is $</w:t>
      </w:r>
      <w:r>
        <w:rPr>
          <w:rFonts w:ascii="Arial" w:hAnsi="Arial"/>
        </w:rPr>
        <w:t>2,196,814</w:t>
      </w:r>
      <w:r w:rsidRPr="00207932">
        <w:rPr>
          <w:rFonts w:ascii="Arial" w:hAnsi="Arial"/>
        </w:rPr>
        <w:t>.  This is based on the number of responses that must be reviewed (</w:t>
      </w:r>
      <w:r>
        <w:rPr>
          <w:rFonts w:ascii="Arial" w:hAnsi="Arial"/>
        </w:rPr>
        <w:t>231,200</w:t>
      </w:r>
      <w:r w:rsidRPr="00207932">
        <w:rPr>
          <w:rFonts w:ascii="Arial" w:hAnsi="Arial"/>
        </w:rPr>
        <w:t>) multiplied by the time burden to review and process each response (</w:t>
      </w:r>
      <w:r>
        <w:rPr>
          <w:rFonts w:ascii="Arial" w:hAnsi="Arial"/>
        </w:rPr>
        <w:t>0.166</w:t>
      </w:r>
      <w:r w:rsidRPr="00207932">
        <w:rPr>
          <w:rFonts w:ascii="Arial" w:hAnsi="Arial"/>
        </w:rPr>
        <w:t xml:space="preserve"> hours) = </w:t>
      </w:r>
      <w:r>
        <w:rPr>
          <w:rFonts w:ascii="Arial" w:hAnsi="Arial"/>
        </w:rPr>
        <w:t>38,379</w:t>
      </w:r>
      <w:r w:rsidRPr="00207932">
        <w:rPr>
          <w:rFonts w:ascii="Arial" w:hAnsi="Arial"/>
        </w:rPr>
        <w:t xml:space="preserve"> hours multiplied by the average hourly loaded rate for other CBP employees ($57.24)</w:t>
      </w:r>
      <w:r>
        <w:rPr>
          <w:rFonts w:ascii="Arial" w:hAnsi="Arial"/>
          <w:vertAlign w:val="superscript"/>
        </w:rPr>
        <w:footnoteReference w:id="4"/>
      </w:r>
      <w:r w:rsidRPr="00207932">
        <w:rPr>
          <w:rFonts w:ascii="Arial" w:hAnsi="Arial"/>
        </w:rPr>
        <w:t xml:space="preserve"> = $</w:t>
      </w:r>
      <w:r>
        <w:rPr>
          <w:rFonts w:ascii="Arial" w:hAnsi="Arial"/>
        </w:rPr>
        <w:t>2,196,814</w:t>
      </w:r>
      <w:r w:rsidRPr="00207932">
        <w:rPr>
          <w:rFonts w:ascii="Arial" w:hAnsi="Arial"/>
        </w:rPr>
        <w:t>.</w:t>
      </w:r>
    </w:p>
    <w:p w:rsidR="00692E8E" w:rsidP="00207932" w14:paraId="723E4348" w14:textId="5B28DBF5">
      <w:pPr>
        <w:tabs>
          <w:tab w:val="left" w:pos="-1440"/>
        </w:tabs>
        <w:ind w:left="1380" w:hanging="720"/>
        <w:rPr>
          <w:rFonts w:ascii="Arial" w:hAnsi="Arial"/>
        </w:rPr>
      </w:pPr>
      <w:r>
        <w:rPr>
          <w:rFonts w:ascii="Arial" w:hAnsi="Arial"/>
        </w:rPr>
        <w:tab/>
      </w:r>
    </w:p>
    <w:p w:rsidR="00F97CB8" w:rsidP="00F31806" w14:paraId="49CEF578" w14:textId="77777777">
      <w:pPr>
        <w:tabs>
          <w:tab w:val="left" w:pos="-1440"/>
        </w:tabs>
        <w:ind w:left="720" w:hanging="720"/>
        <w:rPr>
          <w:rFonts w:ascii="Arial" w:hAnsi="Arial"/>
        </w:rPr>
      </w:pPr>
    </w:p>
    <w:p w:rsidR="00785E2B" w:rsidP="00785E2B" w14:paraId="23ABD323" w14:textId="77777777">
      <w:pPr>
        <w:ind w:left="720" w:hanging="720"/>
        <w:jc w:val="both"/>
        <w:rPr>
          <w:rFonts w:ascii="Arial" w:hAnsi="Arial" w:cs="Arial"/>
          <w:b/>
          <w:bCs/>
          <w:szCs w:val="24"/>
        </w:rPr>
      </w:pPr>
      <w:r>
        <w:rPr>
          <w:rFonts w:ascii="Arial" w:hAnsi="Arial" w:cs="Arial"/>
          <w:b/>
          <w:bCs/>
          <w:szCs w:val="24"/>
        </w:rPr>
        <w:t>15.</w:t>
      </w:r>
      <w:r>
        <w:rPr>
          <w:rFonts w:ascii="Arial" w:hAnsi="Arial" w:cs="Arial"/>
          <w:b/>
          <w:bCs/>
          <w:szCs w:val="24"/>
        </w:rPr>
        <w:tab/>
      </w:r>
      <w:r w:rsidRPr="00207932">
        <w:rPr>
          <w:rFonts w:ascii="Arial" w:hAnsi="Arial" w:cs="Arial"/>
          <w:b/>
          <w:bCs/>
          <w:szCs w:val="24"/>
        </w:rPr>
        <w:t>Explain the reasons for any program changes or adjustments reported in Items 12 or 13.</w:t>
      </w:r>
      <w:r w:rsidRPr="00C47181">
        <w:rPr>
          <w:rFonts w:ascii="Arial" w:hAnsi="Arial" w:cs="Arial"/>
          <w:b/>
          <w:bCs/>
          <w:szCs w:val="24"/>
        </w:rPr>
        <w:t xml:space="preserve">  </w:t>
      </w:r>
    </w:p>
    <w:p w:rsidR="00785E2B" w:rsidP="00785E2B" w14:paraId="11CFB7B1" w14:textId="77777777">
      <w:pPr>
        <w:jc w:val="both"/>
        <w:rPr>
          <w:rFonts w:ascii="Arial" w:hAnsi="Arial" w:cs="Arial"/>
          <w:b/>
          <w:bCs/>
          <w:szCs w:val="24"/>
        </w:rPr>
      </w:pPr>
    </w:p>
    <w:p w:rsidR="00785E2B" w:rsidRPr="00C47181" w:rsidP="00F310B6" w14:paraId="68C6A9D6" w14:textId="3CFF0868">
      <w:pPr>
        <w:ind w:left="720"/>
        <w:rPr>
          <w:rFonts w:ascii="Arial" w:hAnsi="Arial" w:cs="Arial"/>
          <w:b/>
          <w:bCs/>
          <w:szCs w:val="24"/>
        </w:rPr>
      </w:pPr>
      <w:r>
        <w:rPr>
          <w:rFonts w:ascii="Arial" w:hAnsi="Arial" w:cs="Arial"/>
        </w:rPr>
        <w:t xml:space="preserve">There is no change to the </w:t>
      </w:r>
      <w:r w:rsidR="00207932">
        <w:rPr>
          <w:rFonts w:ascii="Arial" w:hAnsi="Arial" w:cs="Arial"/>
        </w:rPr>
        <w:t xml:space="preserve">estimated annual </w:t>
      </w:r>
      <w:r>
        <w:rPr>
          <w:rFonts w:ascii="Arial" w:hAnsi="Arial" w:cs="Arial"/>
        </w:rPr>
        <w:t xml:space="preserve">burden </w:t>
      </w:r>
      <w:r w:rsidR="00207932">
        <w:rPr>
          <w:rFonts w:ascii="Arial" w:hAnsi="Arial" w:cs="Arial"/>
        </w:rPr>
        <w:t>previously</w:t>
      </w:r>
      <w:r>
        <w:rPr>
          <w:rFonts w:ascii="Arial" w:hAnsi="Arial" w:cs="Arial"/>
        </w:rPr>
        <w:t xml:space="preserve"> reported for this information collection and there is no change to the information collected</w:t>
      </w:r>
      <w:r w:rsidR="00207932">
        <w:rPr>
          <w:rFonts w:ascii="Arial" w:hAnsi="Arial" w:cs="Arial"/>
        </w:rPr>
        <w:t xml:space="preserve"> or method of collection</w:t>
      </w:r>
      <w:r>
        <w:rPr>
          <w:rFonts w:ascii="Arial" w:hAnsi="Arial" w:cs="Arial"/>
        </w:rPr>
        <w:t xml:space="preserve">.  </w:t>
      </w:r>
    </w:p>
    <w:p w:rsidR="00785E2B" w:rsidRPr="00C47181" w:rsidP="00785E2B" w14:paraId="286E5AD9" w14:textId="77777777">
      <w:pPr>
        <w:ind w:left="720" w:hanging="720"/>
        <w:jc w:val="both"/>
        <w:rPr>
          <w:rFonts w:ascii="Arial" w:hAnsi="Arial"/>
          <w:b/>
          <w:bCs/>
          <w:szCs w:val="24"/>
        </w:rPr>
      </w:pPr>
    </w:p>
    <w:p w:rsidR="00785E2B" w:rsidRPr="00C47181" w:rsidP="00785E2B" w14:paraId="2CA00416"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785E2B" w:rsidRPr="00C47181" w:rsidP="00785E2B" w14:paraId="11C97DE3" w14:textId="77777777">
      <w:pPr>
        <w:jc w:val="both"/>
        <w:rPr>
          <w:rFonts w:ascii="Arial" w:hAnsi="Arial"/>
          <w:szCs w:val="24"/>
        </w:rPr>
      </w:pPr>
    </w:p>
    <w:p w:rsidR="00785E2B" w:rsidRPr="00C47181" w:rsidP="00785E2B" w14:paraId="79EF2249"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785E2B" w:rsidRPr="00C47181" w:rsidP="00785E2B" w14:paraId="66034CE5" w14:textId="77777777">
      <w:pPr>
        <w:jc w:val="both"/>
        <w:rPr>
          <w:rFonts w:ascii="Arial" w:hAnsi="Arial"/>
          <w:szCs w:val="24"/>
        </w:rPr>
      </w:pPr>
    </w:p>
    <w:p w:rsidR="00785E2B" w:rsidRPr="001207D8" w:rsidP="00785E2B" w14:paraId="27A9C921"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785E2B" w:rsidP="00785E2B" w14:paraId="3795CBF5" w14:textId="77777777">
      <w:pPr>
        <w:jc w:val="both"/>
        <w:rPr>
          <w:rFonts w:ascii="Arial" w:hAnsi="Arial" w:cs="Arial"/>
          <w:b/>
          <w:bCs/>
        </w:rPr>
      </w:pPr>
      <w:r>
        <w:rPr>
          <w:rFonts w:ascii="Arial" w:hAnsi="Arial" w:cs="Arial"/>
          <w:b/>
          <w:bCs/>
        </w:rPr>
        <w:tab/>
      </w:r>
    </w:p>
    <w:p w:rsidR="00785E2B" w:rsidP="00785E2B" w14:paraId="08BE4F19" w14:textId="77777777">
      <w:pPr>
        <w:jc w:val="both"/>
        <w:rPr>
          <w:rFonts w:ascii="Arial" w:hAnsi="Arial" w:cs="Arial"/>
          <w:b/>
          <w:bCs/>
          <w:szCs w:val="24"/>
        </w:rPr>
      </w:pPr>
      <w:r>
        <w:rPr>
          <w:rFonts w:ascii="Arial" w:hAnsi="Arial" w:cs="Arial"/>
          <w:b/>
          <w:bCs/>
        </w:rPr>
        <w:tab/>
      </w:r>
      <w:r w:rsidRPr="00757746">
        <w:rPr>
          <w:rFonts w:ascii="Arial" w:hAnsi="Arial" w:cs="Arial"/>
          <w:bCs/>
        </w:rPr>
        <w:t>CBP</w:t>
      </w:r>
      <w:r>
        <w:rPr>
          <w:rFonts w:ascii="Arial" w:hAnsi="Arial" w:cs="Arial"/>
          <w:bCs/>
        </w:rPr>
        <w:t xml:space="preserve"> </w:t>
      </w:r>
      <w:r w:rsidRPr="007F20CA">
        <w:rPr>
          <w:rFonts w:ascii="Arial" w:hAnsi="Arial" w:cs="Arial"/>
        </w:rPr>
        <w:t>will display the expiration date for OMB approval of this information collection.</w:t>
      </w:r>
      <w:r>
        <w:rPr>
          <w:rFonts w:ascii="Arial" w:hAnsi="Arial" w:cs="Arial"/>
        </w:rPr>
        <w:t xml:space="preserve"> </w:t>
      </w:r>
    </w:p>
    <w:p w:rsidR="00785E2B" w:rsidP="00785E2B" w14:paraId="07ED2470" w14:textId="77777777">
      <w:pPr>
        <w:widowControl/>
        <w:jc w:val="both"/>
        <w:rPr>
          <w:rFonts w:ascii="Arial" w:hAnsi="Arial" w:cs="Arial"/>
          <w:b/>
          <w:bCs/>
          <w:szCs w:val="24"/>
        </w:rPr>
      </w:pPr>
      <w:r>
        <w:rPr>
          <w:rFonts w:ascii="Arial" w:hAnsi="Arial" w:cs="Arial"/>
          <w:b/>
          <w:bCs/>
          <w:szCs w:val="24"/>
        </w:rPr>
        <w:t xml:space="preserve"> </w:t>
      </w:r>
    </w:p>
    <w:p w:rsidR="00785E2B" w:rsidP="00785E2B" w14:paraId="2F9B9290" w14:textId="77777777">
      <w:pPr>
        <w:widowControl/>
        <w:jc w:val="both"/>
        <w:rPr>
          <w:rFonts w:ascii="Arial" w:hAnsi="Arial" w:cs="Arial"/>
          <w:b/>
          <w:bCs/>
          <w:szCs w:val="24"/>
        </w:rPr>
      </w:pPr>
      <w:r>
        <w:rPr>
          <w:rFonts w:ascii="Arial" w:hAnsi="Arial" w:cs="Arial"/>
          <w:b/>
          <w:bCs/>
          <w:szCs w:val="24"/>
        </w:rPr>
        <w:t xml:space="preserve"> 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785E2B" w:rsidRPr="001207D8" w:rsidP="00785E2B" w14:paraId="7E5268CA"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785E2B" w:rsidRPr="001207D8" w:rsidP="00785E2B" w14:paraId="3A8AFC5A"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785E2B" w:rsidP="00785E2B" w14:paraId="00FFE2FD" w14:textId="77777777">
      <w:pPr>
        <w:jc w:val="both"/>
        <w:rPr>
          <w:rFonts w:ascii="Arial" w:hAnsi="Arial" w:cs="Arial"/>
          <w:szCs w:val="24"/>
        </w:rPr>
      </w:pPr>
    </w:p>
    <w:p w:rsidR="00785E2B" w:rsidRPr="001207D8" w:rsidP="00785E2B" w14:paraId="73B3B2AA" w14:textId="77777777">
      <w:pPr>
        <w:pStyle w:val="Heading1"/>
        <w:numPr>
          <w:ilvl w:val="0"/>
          <w:numId w:val="7"/>
        </w:numPr>
        <w:tabs>
          <w:tab w:val="clear" w:pos="-1080"/>
          <w:tab w:val="clear" w:pos="-720"/>
          <w:tab w:val="clear" w:pos="0"/>
          <w:tab w:val="clear" w:pos="1080"/>
        </w:tabs>
        <w:jc w:val="both"/>
        <w:rPr>
          <w:rFonts w:cs="Arial"/>
          <w:szCs w:val="24"/>
        </w:rPr>
      </w:pPr>
      <w:r w:rsidRPr="001207D8">
        <w:rPr>
          <w:rFonts w:cs="Arial"/>
          <w:szCs w:val="24"/>
        </w:rPr>
        <w:t>Collection of Information Employing Statistical Methods</w:t>
      </w:r>
    </w:p>
    <w:p w:rsidR="00785E2B" w:rsidRPr="001207D8" w:rsidP="00785E2B" w14:paraId="4FDA0AC9" w14:textId="77777777">
      <w:pPr>
        <w:jc w:val="both"/>
        <w:rPr>
          <w:rFonts w:ascii="Arial" w:hAnsi="Arial" w:cs="Arial"/>
          <w:szCs w:val="24"/>
        </w:rPr>
      </w:pPr>
    </w:p>
    <w:p w:rsidR="00785E2B" w:rsidP="00785E2B" w14:paraId="7ADC9D1A" w14:textId="77777777">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785E2B" w:rsidRPr="005F33C6" w:rsidP="005F33C6" w14:paraId="7C83F7B6" w14:textId="77777777">
      <w:pPr>
        <w:tabs>
          <w:tab w:val="left" w:pos="-1080"/>
          <w:tab w:val="left" w:pos="-720"/>
          <w:tab w:val="left" w:pos="0"/>
          <w:tab w:val="left" w:pos="720"/>
          <w:tab w:val="left" w:pos="1080"/>
        </w:tabs>
        <w:rPr>
          <w:rFonts w:ascii="Arial" w:hAnsi="Arial"/>
          <w:b/>
          <w:color w:val="C0C0C0"/>
          <w:szCs w:val="24"/>
        </w:rPr>
      </w:pP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
    <w:p w:rsidR="00785E2B" w14:paraId="6DC2F853" w14:textId="77777777">
      <w:pPr>
        <w:tabs>
          <w:tab w:val="left" w:pos="-1080"/>
          <w:tab w:val="left" w:pos="-720"/>
          <w:tab w:val="left" w:pos="0"/>
          <w:tab w:val="left" w:pos="720"/>
          <w:tab w:val="left" w:pos="1080"/>
        </w:tabs>
        <w:jc w:val="center"/>
        <w:rPr>
          <w:rFonts w:ascii="Arial" w:hAnsi="Arial"/>
          <w:b/>
          <w:sz w:val="28"/>
        </w:rPr>
      </w:pPr>
    </w:p>
    <w:sectPr w:rsidSect="00535D7A">
      <w:footerReference w:type="even" r:id="rId10"/>
      <w:footerReference w:type="default" r:id="rId11"/>
      <w:endnotePr>
        <w:numFmt w:val="decimal"/>
      </w:endnotePr>
      <w:pgSz w:w="12240" w:h="15840"/>
      <w:pgMar w:top="1440" w:right="1440" w:bottom="1440" w:left="1440" w:header="1440" w:footer="129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F2C" w:rsidP="004B1912" w14:paraId="6CA103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00F2C" w14:paraId="780F9B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0F2C" w:rsidP="004B1912" w14:paraId="3D4A61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644A">
      <w:rPr>
        <w:rStyle w:val="PageNumber"/>
        <w:noProof/>
      </w:rPr>
      <w:t>1</w:t>
    </w:r>
    <w:r>
      <w:rPr>
        <w:rStyle w:val="PageNumber"/>
      </w:rPr>
      <w:fldChar w:fldCharType="end"/>
    </w:r>
  </w:p>
  <w:p w:rsidR="00800F2C" w14:paraId="697C0F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3607" w14:paraId="6BBD880D" w14:textId="77777777">
      <w:r>
        <w:separator/>
      </w:r>
    </w:p>
  </w:footnote>
  <w:footnote w:type="continuationSeparator" w:id="1">
    <w:p w:rsidR="00E23607" w14:paraId="251E03B5" w14:textId="77777777">
      <w:r>
        <w:continuationSeparator/>
      </w:r>
    </w:p>
  </w:footnote>
  <w:footnote w:id="2">
    <w:p w:rsidR="00207932" w:rsidP="00207932" w14:paraId="5707A9B5" w14:textId="77777777">
      <w:pPr>
        <w:rPr>
          <w:color w:val="000000"/>
          <w:sz w:val="18"/>
          <w:szCs w:val="18"/>
        </w:rPr>
      </w:pPr>
      <w:r>
        <w:rPr>
          <w:rStyle w:val="FootnoteReference"/>
          <w:sz w:val="18"/>
          <w:szCs w:val="18"/>
        </w:rPr>
        <w:footnoteRef/>
      </w:r>
      <w:r>
        <w:rPr>
          <w:sz w:val="18"/>
          <w:szCs w:val="18"/>
        </w:rPr>
        <w:t xml:space="preserve"> </w:t>
      </w:r>
      <w:r>
        <w:rPr>
          <w:color w:val="000000"/>
          <w:sz w:val="18"/>
          <w:szCs w:val="18"/>
        </w:rPr>
        <w:t>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Management, business, and financial occupations ($86.66) divided by the wages and salaries cost per hour worked for the same occupation category ($58.14).  See “Table 2. Employer Costs for Employee Compensation for civilian workers by occupational and industry group.” Bureau of Labor Statistics, “Employer Costs for Employee Compensation – December 2024.” Released March 14, 2025.  Available at https://www.bls.gov/news.release/archives/ecec_03142025.pdf.  Accessed June 17, 2025.</w:t>
      </w:r>
    </w:p>
  </w:footnote>
  <w:footnote w:id="3">
    <w:p w:rsidR="00207932" w:rsidP="00207932" w14:paraId="5C065FF1" w14:textId="77777777">
      <w:pPr>
        <w:rPr>
          <w:color w:val="000000"/>
          <w:sz w:val="18"/>
          <w:szCs w:val="18"/>
        </w:rPr>
      </w:pPr>
      <w:r>
        <w:rPr>
          <w:rStyle w:val="FootnoteReference"/>
          <w:sz w:val="18"/>
          <w:szCs w:val="18"/>
        </w:rPr>
        <w:footnoteRef/>
      </w:r>
      <w:r>
        <w:rPr>
          <w:sz w:val="18"/>
          <w:szCs w:val="18"/>
        </w:rPr>
        <w:t xml:space="preserve"> </w:t>
      </w:r>
      <w:r>
        <w:rPr>
          <w:color w:val="000000" w:themeColor="text1"/>
          <w:sz w:val="18"/>
          <w:szCs w:val="18"/>
        </w:rPr>
        <w:t>To adjust to 2025 dollars</w:t>
      </w:r>
      <w:r>
        <w:rPr>
          <w:color w:val="000000"/>
          <w:sz w:val="18"/>
          <w:szCs w:val="18"/>
        </w:rPr>
        <w:t xml:space="preserve">, multiply by the </w:t>
      </w:r>
      <w:r>
        <w:rPr>
          <w:color w:val="000000" w:themeColor="text1"/>
          <w:sz w:val="18"/>
          <w:szCs w:val="18"/>
        </w:rPr>
        <w:t>2023-2024</w:t>
      </w:r>
      <w:r>
        <w:rPr>
          <w:color w:val="000000"/>
          <w:sz w:val="18"/>
          <w:szCs w:val="18"/>
        </w:rPr>
        <w:t xml:space="preserve"> percent change in the Bureau of Economic Analysis's Implicit Price Deflators for Gross Domestic Product (</w:t>
      </w:r>
      <w:r>
        <w:rPr>
          <w:color w:val="000000" w:themeColor="text1"/>
          <w:sz w:val="18"/>
          <w:szCs w:val="18"/>
        </w:rPr>
        <w:t>125.230/122.273</w:t>
      </w:r>
      <w:r>
        <w:rPr>
          <w:color w:val="000000"/>
          <w:sz w:val="18"/>
          <w:szCs w:val="18"/>
        </w:rPr>
        <w:t xml:space="preserve">-1).  See “Table 1.1.9. Implicit Price Deflators for Gross Domestic Product,” Line 1 Gross Domestic Product, annual.  Bureau of Economic Analysis.  Updated </w:t>
      </w:r>
      <w:r>
        <w:rPr>
          <w:color w:val="000000" w:themeColor="text1"/>
          <w:sz w:val="18"/>
          <w:szCs w:val="18"/>
        </w:rPr>
        <w:t>May 30, 2025</w:t>
      </w:r>
      <w:r>
        <w:rPr>
          <w:color w:val="000000"/>
          <w:sz w:val="18"/>
          <w:szCs w:val="18"/>
        </w:rPr>
        <w:t xml:space="preserve">.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w:t>
      </w:r>
      <w:r>
        <w:rPr>
          <w:color w:val="000000" w:themeColor="text1"/>
          <w:sz w:val="18"/>
          <w:szCs w:val="18"/>
        </w:rPr>
        <w:t>June 17, 2025</w:t>
      </w:r>
      <w:r>
        <w:rPr>
          <w:color w:val="000000"/>
          <w:sz w:val="18"/>
          <w:szCs w:val="18"/>
        </w:rPr>
        <w:t>.</w:t>
      </w:r>
    </w:p>
  </w:footnote>
  <w:footnote w:id="4">
    <w:p w:rsidR="00207932" w:rsidP="00207932" w14:paraId="348CAAF4" w14:textId="77777777">
      <w:pPr>
        <w:pStyle w:val="FootnoteText"/>
      </w:pPr>
      <w:r>
        <w:rPr>
          <w:rStyle w:val="FootnoteReference"/>
          <w:sz w:val="18"/>
          <w:szCs w:val="18"/>
        </w:rPr>
        <w:footnoteRef/>
      </w:r>
      <w:r>
        <w:rPr>
          <w:sz w:val="18"/>
          <w:szCs w:val="18"/>
        </w:rPr>
        <w:t xml:space="preserve"> </w:t>
      </w:r>
      <w:bookmarkStart w:id="3" w:name="OLE_LINK134"/>
      <w:r>
        <w:rPr>
          <w:sz w:val="18"/>
          <w:szCs w:val="18"/>
        </w:rPr>
        <w:t xml:space="preserve">CBP bases this wage on the FY 2024 salary and benefits of the national average of other CBP positions.  Source: </w:t>
      </w:r>
      <w:r>
        <w:rPr>
          <w:sz w:val="18"/>
          <w:szCs w:val="18"/>
          <w:lang w:val="en"/>
        </w:rPr>
        <w:t>Email correspondence with CBP’s Office of Finance on July 15, 202</w:t>
      </w:r>
      <w:bookmarkEnd w:id="3"/>
      <w:r>
        <w:rPr>
          <w:sz w:val="18"/>
          <w:szCs w:val="18"/>
          <w:lang w:val="en"/>
        </w:rPr>
        <w:t>5</w:t>
      </w:r>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EC07E06"/>
    <w:multiLevelType w:val="hybridMultilevel"/>
    <w:tmpl w:val="AA867ED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3">
    <w:nsid w:val="2CBB3F1C"/>
    <w:multiLevelType w:val="hybridMultilevel"/>
    <w:tmpl w:val="6EAC22A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0162437"/>
    <w:multiLevelType w:val="hybridMultilevel"/>
    <w:tmpl w:val="C78E047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7E7D93"/>
    <w:multiLevelType w:val="hybridMultilevel"/>
    <w:tmpl w:val="B1C699A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EA05E60"/>
    <w:multiLevelType w:val="singleLevel"/>
    <w:tmpl w:val="FFD2B55C"/>
    <w:lvl w:ilvl="0">
      <w:start w:val="8"/>
      <w:numFmt w:val="decimal"/>
      <w:lvlText w:val="%1."/>
      <w:lvlJc w:val="left"/>
      <w:pPr>
        <w:tabs>
          <w:tab w:val="num" w:pos="720"/>
        </w:tabs>
        <w:ind w:left="720" w:hanging="720"/>
      </w:pPr>
      <w:rPr>
        <w:rFonts w:hint="default"/>
      </w:rPr>
    </w:lvl>
  </w:abstractNum>
  <w:abstractNum w:abstractNumId="8">
    <w:nsid w:val="6375536F"/>
    <w:multiLevelType w:val="hybridMultilevel"/>
    <w:tmpl w:val="E8F6AF9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5077907"/>
    <w:multiLevelType w:val="multilevel"/>
    <w:tmpl w:val="FD5C3DC4"/>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74B376F"/>
    <w:multiLevelType w:val="hybridMultilevel"/>
    <w:tmpl w:val="A0A08A6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38456374">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661665116">
    <w:abstractNumId w:val="0"/>
    <w:lvlOverride w:ilvl="0">
      <w:startOverride w:val="10"/>
      <w:lvl w:ilvl="0">
        <w:start w:val="10"/>
        <w:numFmt w:val="decimal"/>
        <w:pStyle w:val="Level1"/>
        <w:lvlText w:val="%1."/>
        <w:lvlJc w:val="left"/>
      </w:lvl>
    </w:lvlOverride>
  </w:num>
  <w:num w:numId="3" w16cid:durableId="1914050074">
    <w:abstractNumId w:val="9"/>
  </w:num>
  <w:num w:numId="4" w16cid:durableId="1149060419">
    <w:abstractNumId w:val="7"/>
  </w:num>
  <w:num w:numId="5" w16cid:durableId="815530666">
    <w:abstractNumId w:val="2"/>
  </w:num>
  <w:num w:numId="6" w16cid:durableId="1604805435">
    <w:abstractNumId w:val="10"/>
  </w:num>
  <w:num w:numId="7" w16cid:durableId="791170422">
    <w:abstractNumId w:val="4"/>
  </w:num>
  <w:num w:numId="8" w16cid:durableId="2102408078">
    <w:abstractNumId w:val="8"/>
  </w:num>
  <w:num w:numId="9" w16cid:durableId="801116109">
    <w:abstractNumId w:val="6"/>
  </w:num>
  <w:num w:numId="10" w16cid:durableId="859851930">
    <w:abstractNumId w:val="11"/>
  </w:num>
  <w:num w:numId="11" w16cid:durableId="1066034010">
    <w:abstractNumId w:val="1"/>
  </w:num>
  <w:num w:numId="12" w16cid:durableId="1636712562">
    <w:abstractNumId w:val="3"/>
  </w:num>
  <w:num w:numId="13" w16cid:durableId="1498181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FF"/>
    <w:rsid w:val="000167E0"/>
    <w:rsid w:val="000169BC"/>
    <w:rsid w:val="00050BB4"/>
    <w:rsid w:val="000519FC"/>
    <w:rsid w:val="00060D61"/>
    <w:rsid w:val="00075892"/>
    <w:rsid w:val="00085468"/>
    <w:rsid w:val="0008556A"/>
    <w:rsid w:val="0009783E"/>
    <w:rsid w:val="0009786B"/>
    <w:rsid w:val="000B286B"/>
    <w:rsid w:val="000C12EA"/>
    <w:rsid w:val="000D1AC2"/>
    <w:rsid w:val="000D74FF"/>
    <w:rsid w:val="001037DF"/>
    <w:rsid w:val="00104E12"/>
    <w:rsid w:val="001206B5"/>
    <w:rsid w:val="001207D8"/>
    <w:rsid w:val="00136B29"/>
    <w:rsid w:val="00141299"/>
    <w:rsid w:val="0014193B"/>
    <w:rsid w:val="001460B5"/>
    <w:rsid w:val="00151780"/>
    <w:rsid w:val="00175A41"/>
    <w:rsid w:val="001A7F4B"/>
    <w:rsid w:val="001B63CC"/>
    <w:rsid w:val="001C412F"/>
    <w:rsid w:val="001E251C"/>
    <w:rsid w:val="00207932"/>
    <w:rsid w:val="00212CC3"/>
    <w:rsid w:val="00255649"/>
    <w:rsid w:val="00263ED3"/>
    <w:rsid w:val="00270C07"/>
    <w:rsid w:val="002A568C"/>
    <w:rsid w:val="002A683D"/>
    <w:rsid w:val="002C3986"/>
    <w:rsid w:val="002E3E43"/>
    <w:rsid w:val="002F164B"/>
    <w:rsid w:val="003107FD"/>
    <w:rsid w:val="00344CFF"/>
    <w:rsid w:val="00372CC0"/>
    <w:rsid w:val="003A0E4E"/>
    <w:rsid w:val="003D30D2"/>
    <w:rsid w:val="003E2CB3"/>
    <w:rsid w:val="003F4C45"/>
    <w:rsid w:val="00413B09"/>
    <w:rsid w:val="00424282"/>
    <w:rsid w:val="00463DD4"/>
    <w:rsid w:val="0047388C"/>
    <w:rsid w:val="00481EF9"/>
    <w:rsid w:val="004A5502"/>
    <w:rsid w:val="004B1912"/>
    <w:rsid w:val="004B28FD"/>
    <w:rsid w:val="004C3216"/>
    <w:rsid w:val="004C58B3"/>
    <w:rsid w:val="00514273"/>
    <w:rsid w:val="00532AE1"/>
    <w:rsid w:val="00535D7A"/>
    <w:rsid w:val="00535DDB"/>
    <w:rsid w:val="005409B0"/>
    <w:rsid w:val="00550DEC"/>
    <w:rsid w:val="0055542D"/>
    <w:rsid w:val="00593731"/>
    <w:rsid w:val="005956B7"/>
    <w:rsid w:val="005A4E90"/>
    <w:rsid w:val="005A776A"/>
    <w:rsid w:val="005F118D"/>
    <w:rsid w:val="005F33C6"/>
    <w:rsid w:val="005F3708"/>
    <w:rsid w:val="006002D3"/>
    <w:rsid w:val="00600FD4"/>
    <w:rsid w:val="00605E37"/>
    <w:rsid w:val="00614D49"/>
    <w:rsid w:val="006239AF"/>
    <w:rsid w:val="0064183B"/>
    <w:rsid w:val="00643CE5"/>
    <w:rsid w:val="006649BB"/>
    <w:rsid w:val="0067417A"/>
    <w:rsid w:val="00692E8E"/>
    <w:rsid w:val="00693E00"/>
    <w:rsid w:val="00695002"/>
    <w:rsid w:val="006A7754"/>
    <w:rsid w:val="006C2FC1"/>
    <w:rsid w:val="006E5197"/>
    <w:rsid w:val="007043B1"/>
    <w:rsid w:val="00737B0F"/>
    <w:rsid w:val="00754891"/>
    <w:rsid w:val="00757746"/>
    <w:rsid w:val="0076644A"/>
    <w:rsid w:val="00767C5E"/>
    <w:rsid w:val="00785E2B"/>
    <w:rsid w:val="007A403B"/>
    <w:rsid w:val="007A776A"/>
    <w:rsid w:val="007B0E0E"/>
    <w:rsid w:val="007C7E65"/>
    <w:rsid w:val="007D0C1A"/>
    <w:rsid w:val="007D379F"/>
    <w:rsid w:val="007E4E3B"/>
    <w:rsid w:val="007E6354"/>
    <w:rsid w:val="007F20CA"/>
    <w:rsid w:val="00800F2C"/>
    <w:rsid w:val="00812AC8"/>
    <w:rsid w:val="008324F8"/>
    <w:rsid w:val="00841CA5"/>
    <w:rsid w:val="008740C2"/>
    <w:rsid w:val="008B1ED1"/>
    <w:rsid w:val="008C14C5"/>
    <w:rsid w:val="008C77E6"/>
    <w:rsid w:val="008C7D4B"/>
    <w:rsid w:val="008C7DB3"/>
    <w:rsid w:val="008F0848"/>
    <w:rsid w:val="008F1916"/>
    <w:rsid w:val="00902C3D"/>
    <w:rsid w:val="00902EB0"/>
    <w:rsid w:val="00903C5B"/>
    <w:rsid w:val="00917387"/>
    <w:rsid w:val="00960616"/>
    <w:rsid w:val="009825C1"/>
    <w:rsid w:val="009A6FCA"/>
    <w:rsid w:val="009D5555"/>
    <w:rsid w:val="009D59DA"/>
    <w:rsid w:val="009E3E59"/>
    <w:rsid w:val="009E6D54"/>
    <w:rsid w:val="00A00075"/>
    <w:rsid w:val="00A11078"/>
    <w:rsid w:val="00A229C5"/>
    <w:rsid w:val="00A503AA"/>
    <w:rsid w:val="00A72CEF"/>
    <w:rsid w:val="00A75EFA"/>
    <w:rsid w:val="00AA1C71"/>
    <w:rsid w:val="00AA6221"/>
    <w:rsid w:val="00AD211E"/>
    <w:rsid w:val="00AD22C3"/>
    <w:rsid w:val="00AE5871"/>
    <w:rsid w:val="00B34172"/>
    <w:rsid w:val="00B407E1"/>
    <w:rsid w:val="00B55CE7"/>
    <w:rsid w:val="00B717B0"/>
    <w:rsid w:val="00B80766"/>
    <w:rsid w:val="00B84D80"/>
    <w:rsid w:val="00BA61F6"/>
    <w:rsid w:val="00BC27C2"/>
    <w:rsid w:val="00BF40E8"/>
    <w:rsid w:val="00C07B52"/>
    <w:rsid w:val="00C1612A"/>
    <w:rsid w:val="00C45925"/>
    <w:rsid w:val="00C47181"/>
    <w:rsid w:val="00C50C8C"/>
    <w:rsid w:val="00C56D9C"/>
    <w:rsid w:val="00C67FC8"/>
    <w:rsid w:val="00C85184"/>
    <w:rsid w:val="00CB3215"/>
    <w:rsid w:val="00CE3779"/>
    <w:rsid w:val="00CF17B1"/>
    <w:rsid w:val="00CF6961"/>
    <w:rsid w:val="00CF7D00"/>
    <w:rsid w:val="00D128DA"/>
    <w:rsid w:val="00D14384"/>
    <w:rsid w:val="00D2681C"/>
    <w:rsid w:val="00D3613A"/>
    <w:rsid w:val="00D363FE"/>
    <w:rsid w:val="00D41379"/>
    <w:rsid w:val="00D5598C"/>
    <w:rsid w:val="00D57685"/>
    <w:rsid w:val="00D73881"/>
    <w:rsid w:val="00DA3571"/>
    <w:rsid w:val="00DA48D9"/>
    <w:rsid w:val="00DA4990"/>
    <w:rsid w:val="00DB6E88"/>
    <w:rsid w:val="00DF461A"/>
    <w:rsid w:val="00DF70E2"/>
    <w:rsid w:val="00E23607"/>
    <w:rsid w:val="00E24AC0"/>
    <w:rsid w:val="00E259B7"/>
    <w:rsid w:val="00E45FF5"/>
    <w:rsid w:val="00E52E1B"/>
    <w:rsid w:val="00F30AC1"/>
    <w:rsid w:val="00F310B6"/>
    <w:rsid w:val="00F31806"/>
    <w:rsid w:val="00F76ACC"/>
    <w:rsid w:val="00F810AA"/>
    <w:rsid w:val="00F97CB8"/>
    <w:rsid w:val="00FA3502"/>
    <w:rsid w:val="00FA4E44"/>
    <w:rsid w:val="00FA7E9F"/>
    <w:rsid w:val="00FC6EDA"/>
    <w:rsid w:val="00FD42D9"/>
    <w:rsid w:val="00FE11AD"/>
    <w:rsid w:val="00FF0668"/>
    <w:rsid w:val="00FF56F5"/>
    <w:rsid w:val="00FF58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D82475"/>
  <w15:chartTrackingRefBased/>
  <w15:docId w15:val="{6AE9DF12-15F8-4727-91F0-152DC531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1">
    <w:name w:val="Level 1"/>
    <w:basedOn w:val="Normal"/>
    <w:pPr>
      <w:numPr>
        <w:numId w:val="1"/>
      </w:numPr>
      <w:ind w:left="720" w:hanging="720"/>
      <w:outlineLvl w:val="0"/>
    </w:p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pPr>
      <w:tabs>
        <w:tab w:val="left" w:pos="-1440"/>
      </w:tabs>
      <w:ind w:left="720" w:hanging="720"/>
      <w:jc w:val="both"/>
    </w:pPr>
    <w:rPr>
      <w:rFonts w:ascii="Arial" w:hAnsi="Arial"/>
    </w:rPr>
  </w:style>
  <w:style w:type="paragraph" w:styleId="BodyTextIndent2">
    <w:name w:val="Body Text Indent 2"/>
    <w:basedOn w:val="Normal"/>
    <w:rsid w:val="00785E2B"/>
    <w:pPr>
      <w:spacing w:after="120" w:line="480" w:lineRule="auto"/>
      <w:ind w:left="360"/>
    </w:pPr>
    <w:rPr>
      <w:rFonts w:ascii="Courier" w:hAnsi="Courier"/>
    </w:rPr>
  </w:style>
  <w:style w:type="paragraph" w:customStyle="1" w:styleId="Style">
    <w:name w:val="Style"/>
    <w:basedOn w:val="Normal"/>
    <w:rsid w:val="00785E2B"/>
    <w:pPr>
      <w:ind w:left="1440" w:hanging="720"/>
    </w:pPr>
  </w:style>
  <w:style w:type="table" w:styleId="TableGrid">
    <w:name w:val="Table Grid"/>
    <w:basedOn w:val="TableNormal"/>
    <w:rsid w:val="00785E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84D80"/>
    <w:pPr>
      <w:tabs>
        <w:tab w:val="center" w:pos="4320"/>
        <w:tab w:val="right" w:pos="8640"/>
      </w:tabs>
    </w:pPr>
  </w:style>
  <w:style w:type="character" w:styleId="PageNumber">
    <w:name w:val="page number"/>
    <w:basedOn w:val="DefaultParagraphFont"/>
    <w:rsid w:val="00B84D80"/>
  </w:style>
  <w:style w:type="paragraph" w:styleId="BalloonText">
    <w:name w:val="Balloon Text"/>
    <w:basedOn w:val="Normal"/>
    <w:semiHidden/>
    <w:rsid w:val="00BA61F6"/>
    <w:rPr>
      <w:rFonts w:ascii="Tahoma" w:hAnsi="Tahoma" w:cs="Tahoma"/>
      <w:sz w:val="16"/>
      <w:szCs w:val="16"/>
    </w:rPr>
  </w:style>
  <w:style w:type="character" w:styleId="Hyperlink">
    <w:name w:val="Hyperlink"/>
    <w:rsid w:val="00481EF9"/>
    <w:rPr>
      <w:color w:val="0000FF"/>
      <w:u w:val="single"/>
    </w:rPr>
  </w:style>
  <w:style w:type="paragraph" w:styleId="FootnoteText">
    <w:name w:val="footnote text"/>
    <w:basedOn w:val="Normal"/>
    <w:link w:val="FootnoteTextChar"/>
    <w:rsid w:val="008740C2"/>
    <w:rPr>
      <w:sz w:val="20"/>
    </w:rPr>
  </w:style>
  <w:style w:type="character" w:customStyle="1" w:styleId="FootnoteTextChar">
    <w:name w:val="Footnote Text Char"/>
    <w:link w:val="FootnoteText"/>
    <w:rsid w:val="008740C2"/>
    <w:rPr>
      <w:snapToGrid w:val="0"/>
    </w:rPr>
  </w:style>
  <w:style w:type="paragraph" w:styleId="EndnoteText">
    <w:name w:val="endnote text"/>
    <w:basedOn w:val="Normal"/>
    <w:link w:val="EndnoteTextChar"/>
    <w:rsid w:val="001B63CC"/>
    <w:rPr>
      <w:sz w:val="20"/>
    </w:rPr>
  </w:style>
  <w:style w:type="character" w:customStyle="1" w:styleId="EndnoteTextChar">
    <w:name w:val="Endnote Text Char"/>
    <w:link w:val="EndnoteText"/>
    <w:rsid w:val="001B63CC"/>
    <w:rPr>
      <w:snapToGrid w:val="0"/>
    </w:rPr>
  </w:style>
  <w:style w:type="character" w:styleId="EndnoteReference">
    <w:name w:val="endnote reference"/>
    <w:rsid w:val="001B63CC"/>
    <w:rPr>
      <w:vertAlign w:val="superscript"/>
    </w:rPr>
  </w:style>
  <w:style w:type="character" w:styleId="FollowedHyperlink">
    <w:name w:val="FollowedHyperlink"/>
    <w:rsid w:val="00A11078"/>
    <w:rPr>
      <w:color w:val="954F72"/>
      <w:u w:val="single"/>
    </w:rPr>
  </w:style>
  <w:style w:type="character" w:styleId="CommentReference">
    <w:name w:val="annotation reference"/>
    <w:rsid w:val="00A11078"/>
    <w:rPr>
      <w:sz w:val="16"/>
      <w:szCs w:val="16"/>
    </w:rPr>
  </w:style>
  <w:style w:type="paragraph" w:styleId="CommentText">
    <w:name w:val="annotation text"/>
    <w:basedOn w:val="Normal"/>
    <w:link w:val="CommentTextChar"/>
    <w:rsid w:val="00A11078"/>
    <w:rPr>
      <w:sz w:val="20"/>
    </w:rPr>
  </w:style>
  <w:style w:type="character" w:customStyle="1" w:styleId="CommentTextChar">
    <w:name w:val="Comment Text Char"/>
    <w:link w:val="CommentText"/>
    <w:rsid w:val="00A11078"/>
    <w:rPr>
      <w:snapToGrid w:val="0"/>
    </w:rPr>
  </w:style>
  <w:style w:type="paragraph" w:styleId="CommentSubject">
    <w:name w:val="annotation subject"/>
    <w:basedOn w:val="CommentText"/>
    <w:next w:val="CommentText"/>
    <w:link w:val="CommentSubjectChar"/>
    <w:rsid w:val="00A11078"/>
    <w:rPr>
      <w:b/>
      <w:bCs/>
    </w:rPr>
  </w:style>
  <w:style w:type="character" w:customStyle="1" w:styleId="CommentSubjectChar">
    <w:name w:val="Comment Subject Char"/>
    <w:link w:val="CommentSubject"/>
    <w:rsid w:val="00A11078"/>
    <w:rPr>
      <w:b/>
      <w:bCs/>
      <w:snapToGrid w:val="0"/>
    </w:rPr>
  </w:style>
  <w:style w:type="paragraph" w:styleId="Revision">
    <w:name w:val="Revision"/>
    <w:hidden/>
    <w:uiPriority w:val="99"/>
    <w:semiHidden/>
    <w:rsid w:val="00692E8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1A3C2-A201-40AD-8885-6E25280124BD}">
  <ds:schemaRefs>
    <ds:schemaRef ds:uri="http://schemas.microsoft.com/sharepoint/v3/contenttype/forms"/>
  </ds:schemaRefs>
</ds:datastoreItem>
</file>

<file path=customXml/itemProps2.xml><?xml version="1.0" encoding="utf-8"?>
<ds:datastoreItem xmlns:ds="http://schemas.openxmlformats.org/officeDocument/2006/customXml" ds:itemID="{6B1D2351-F4F5-4331-9BF2-DB1E2EDF399E}">
  <ds:schemaRefs>
    <ds:schemaRef ds:uri="http://schemas.openxmlformats.org/officeDocument/2006/bibliography"/>
  </ds:schemaRefs>
</ds:datastoreItem>
</file>

<file path=customXml/itemProps3.xml><?xml version="1.0" encoding="utf-8"?>
<ds:datastoreItem xmlns:ds="http://schemas.openxmlformats.org/officeDocument/2006/customXml" ds:itemID="{06AAB384-7FCB-4393-963D-EF25E1349590}">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4.xml><?xml version="1.0" encoding="utf-8"?>
<ds:datastoreItem xmlns:ds="http://schemas.openxmlformats.org/officeDocument/2006/customXml" ds:itemID="{07B4A4A1-151F-48AC-B1DD-739C69B07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2016-02-08T20:52:00Z</cp:lastPrinted>
  <dcterms:created xsi:type="dcterms:W3CDTF">2025-12-04T15:46:00Z</dcterms:created>
  <dcterms:modified xsi:type="dcterms:W3CDTF">2025-12-04T15:46:00Z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ies>
</file>