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01E4" w:rsidP="00DE7A1C" w14:paraId="10AA801F" w14:textId="77777777">
      <w:pPr>
        <w:rPr>
          <w:noProof/>
        </w:rPr>
      </w:pPr>
    </w:p>
    <w:p w:rsidR="00041909" w:rsidP="00313D14" w14:paraId="7801DD9B" w14:textId="37BD2F9A">
      <w:r>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10160</wp:posOffset>
            </wp:positionV>
            <wp:extent cx="5943600" cy="1803400"/>
            <wp:effectExtent l="0" t="0" r="0" b="0"/>
            <wp:wrapNone/>
            <wp:docPr id="7" name="Picture 1" descr="C:\Users\ace\AppData\Local\Microsoft\Windows\INetCache\Content.Word\blueswooshwhite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ce\AppData\Local\Microsoft\Windows\INetCache\Content.Word\blueswooshwhitebackground.pn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30" r="136" b="45941"/>
                    <a:stretch>
                      <a:fillRect/>
                    </a:stretch>
                  </pic:blipFill>
                  <pic:spPr bwMode="auto">
                    <a:xfrm>
                      <a:off x="0" y="0"/>
                      <a:ext cx="5943600" cy="180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A8F">
        <w:rPr>
          <w:noProof/>
        </w:rPr>
        <w:softHyphen/>
      </w:r>
      <w:r w:rsidR="001F3A8F">
        <w:rPr>
          <w:noProof/>
        </w:rPr>
        <w:softHyphen/>
      </w:r>
      <w:r w:rsidR="001F3A8F">
        <w:rPr>
          <w:noProof/>
        </w:rPr>
        <w:softHyphen/>
      </w:r>
    </w:p>
    <w:p w:rsidR="00D928FD" w14:paraId="7A9F73EC" w14:textId="77777777"/>
    <w:p w:rsidR="00D928FD" w:rsidP="00313D14" w14:paraId="522F253C" w14:textId="77777777">
      <w:r>
        <w:tab/>
      </w:r>
    </w:p>
    <w:p w:rsidR="00D928FD" w14:paraId="75B45C6A" w14:textId="77777777"/>
    <w:p w:rsidR="00D928FD" w14:paraId="234A44BF" w14:textId="77777777"/>
    <w:p w:rsidR="00D928FD" w14:paraId="733C1F23" w14:textId="77777777"/>
    <w:p w:rsidR="001F3A8F" w:rsidP="00313D14" w14:paraId="6483740E" w14:textId="2A45F845">
      <w:r>
        <w:rPr>
          <w:noProof/>
        </w:rPr>
        <mc:AlternateContent>
          <mc:Choice Requires="wps">
            <w:drawing>
              <wp:anchor distT="0" distB="0" distL="114300" distR="114300" simplePos="0" relativeHeight="251667456" behindDoc="0" locked="0" layoutInCell="1" allowOverlap="1">
                <wp:simplePos x="0" y="0"/>
                <wp:positionH relativeFrom="margin">
                  <wp:posOffset>361315</wp:posOffset>
                </wp:positionH>
                <wp:positionV relativeFrom="margin">
                  <wp:posOffset>4362450</wp:posOffset>
                </wp:positionV>
                <wp:extent cx="5819775" cy="3894455"/>
                <wp:effectExtent l="0" t="0" r="0" b="0"/>
                <wp:wrapSquare wrapText="bothSides"/>
                <wp:docPr id="2"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38944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54DF" w:rsidRPr="00E054DF" w:rsidP="008F3737" w14:textId="77777777">
                            <w:bookmarkStart w:id="0" w:name="_Toc466046933"/>
                            <w:r w:rsidRPr="008F3737">
                              <w:rPr>
                                <w:b/>
                                <w:bCs/>
                                <w:sz w:val="36"/>
                                <w:szCs w:val="36"/>
                              </w:rPr>
                              <w:t>Part B: Collections of Information Employing Statistical Methods</w:t>
                            </w:r>
                            <w:bookmarkEnd w:id="0"/>
                            <w:r>
                              <w:br/>
                            </w:r>
                            <w:r w:rsidRPr="008F3737">
                              <w:rPr>
                                <w:b/>
                                <w:bCs/>
                                <w:sz w:val="36"/>
                                <w:szCs w:val="36"/>
                              </w:rPr>
                              <w:t>OMB No. 1905-0</w:t>
                            </w:r>
                            <w:r w:rsidRPr="008F3737" w:rsidR="00D00DB1">
                              <w:rPr>
                                <w:b/>
                                <w:bCs/>
                                <w:sz w:val="36"/>
                                <w:szCs w:val="36"/>
                              </w:rPr>
                              <w:t>057</w:t>
                            </w:r>
                          </w:p>
                          <w:p w:rsidR="00D00DB1" w:rsidP="00D00DB1" w14:textId="3EC7282E">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r>
                            <w:r w:rsidRPr="003D66DA">
                              <w:rPr>
                                <w:iCs/>
                                <w:sz w:val="28"/>
                                <w:szCs w:val="28"/>
                              </w:rPr>
                              <w:t xml:space="preserve">Extension of Collection </w:t>
                            </w:r>
                            <w:r w:rsidRPr="003D66DA" w:rsidR="00035E73">
                              <w:rPr>
                                <w:iCs/>
                                <w:sz w:val="28"/>
                                <w:szCs w:val="28"/>
                              </w:rPr>
                              <w:t>with</w:t>
                            </w:r>
                            <w:r w:rsidRPr="003D66DA">
                              <w:rPr>
                                <w:iCs/>
                                <w:sz w:val="28"/>
                                <w:szCs w:val="28"/>
                              </w:rPr>
                              <w:t xml:space="preserve"> change</w:t>
                            </w:r>
                            <w:r w:rsidRPr="003D66DA" w:rsidR="00035E73">
                              <w:rPr>
                                <w:iCs/>
                                <w:sz w:val="28"/>
                                <w:szCs w:val="28"/>
                              </w:rPr>
                              <w:t>s</w:t>
                            </w:r>
                            <w:r>
                              <w:rPr>
                                <w:i/>
                                <w:sz w:val="28"/>
                                <w:szCs w:val="28"/>
                              </w:rPr>
                              <w:br/>
                            </w:r>
                          </w:p>
                          <w:p w:rsidR="00D00DB1" w:rsidP="00D00DB1" w14:textId="68E39313">
                            <w:pPr>
                              <w:rPr>
                                <w:i/>
                                <w:sz w:val="28"/>
                                <w:szCs w:val="28"/>
                              </w:rPr>
                            </w:pPr>
                            <w:r>
                              <w:rPr>
                                <w:i/>
                                <w:sz w:val="28"/>
                                <w:szCs w:val="28"/>
                              </w:rPr>
                              <w:t xml:space="preserve">Form EIA-23S, Annual </w:t>
                            </w:r>
                            <w:r w:rsidR="006B65D9">
                              <w:rPr>
                                <w:i/>
                                <w:sz w:val="28"/>
                                <w:szCs w:val="28"/>
                              </w:rPr>
                              <w:t xml:space="preserve">Survey </w:t>
                            </w:r>
                            <w:r>
                              <w:rPr>
                                <w:i/>
                                <w:sz w:val="28"/>
                                <w:szCs w:val="28"/>
                              </w:rPr>
                              <w:t>of Domestic Oil and Gas Reserves</w:t>
                            </w:r>
                            <w:r>
                              <w:rPr>
                                <w:i/>
                                <w:sz w:val="28"/>
                                <w:szCs w:val="28"/>
                              </w:rPr>
                              <w:br/>
                            </w:r>
                            <w:r w:rsidRPr="003D66DA">
                              <w:rPr>
                                <w:iCs/>
                                <w:sz w:val="28"/>
                                <w:szCs w:val="28"/>
                              </w:rPr>
                              <w:t>Continuation of suspension</w:t>
                            </w:r>
                            <w:r>
                              <w:rPr>
                                <w:i/>
                                <w:sz w:val="28"/>
                                <w:szCs w:val="28"/>
                              </w:rPr>
                              <w:br/>
                              <w:t xml:space="preserve"> </w:t>
                            </w:r>
                          </w:p>
                          <w:p w:rsidR="00D00DB1" w:rsidRPr="0059212D" w:rsidP="00D00DB1" w14:textId="530F5C34">
                            <w:pPr>
                              <w:rPr>
                                <w:i/>
                                <w:sz w:val="28"/>
                                <w:szCs w:val="28"/>
                              </w:rPr>
                            </w:pPr>
                            <w:r>
                              <w:rPr>
                                <w:i/>
                                <w:sz w:val="28"/>
                                <w:szCs w:val="28"/>
                              </w:rPr>
                              <w:t>Form EIA-64A, Annual Report of the Origin of Natural Gas Liquids Production</w:t>
                            </w:r>
                            <w:r>
                              <w:rPr>
                                <w:i/>
                                <w:sz w:val="28"/>
                                <w:szCs w:val="28"/>
                              </w:rPr>
                              <w:br/>
                            </w:r>
                            <w:r w:rsidRPr="003D66DA">
                              <w:rPr>
                                <w:iCs/>
                                <w:sz w:val="28"/>
                                <w:szCs w:val="28"/>
                              </w:rPr>
                              <w:t>Extension of Collection with change</w:t>
                            </w:r>
                            <w:r w:rsidRPr="003D66DA" w:rsidR="00D260DA">
                              <w:rPr>
                                <w:iCs/>
                                <w:sz w:val="28"/>
                                <w:szCs w:val="28"/>
                              </w:rPr>
                              <w:t>s</w:t>
                            </w:r>
                            <w:r>
                              <w:rPr>
                                <w:i/>
                                <w:sz w:val="28"/>
                                <w:szCs w:val="28"/>
                              </w:rPr>
                              <w:t xml:space="preserve"> </w:t>
                            </w:r>
                          </w:p>
                          <w:p w:rsidR="00D00DB1" w:rsidRPr="0059212D" w:rsidP="00E054DF"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5" type="#_x0000_t202" style="width:458.25pt;height:306.65pt;margin-top:343.5pt;margin-left:2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8480" filled="f" stroked="f">
                <v:textbox inset="0">
                  <w:txbxContent>
                    <w:p w:rsidR="00E054DF" w:rsidRPr="00E054DF" w:rsidP="008F3737" w14:paraId="6D6F1A0F" w14:textId="77777777">
                      <w:bookmarkStart w:id="0" w:name="_Toc466046933"/>
                      <w:r w:rsidRPr="008F3737">
                        <w:rPr>
                          <w:b/>
                          <w:bCs/>
                          <w:sz w:val="36"/>
                          <w:szCs w:val="36"/>
                        </w:rPr>
                        <w:t>Part B: Collections of Information Employing Statistical Methods</w:t>
                      </w:r>
                      <w:bookmarkEnd w:id="0"/>
                      <w:r>
                        <w:br/>
                      </w:r>
                      <w:r w:rsidRPr="008F3737">
                        <w:rPr>
                          <w:b/>
                          <w:bCs/>
                          <w:sz w:val="36"/>
                          <w:szCs w:val="36"/>
                        </w:rPr>
                        <w:t>OMB No. 1905-0</w:t>
                      </w:r>
                      <w:r w:rsidRPr="008F3737" w:rsidR="00D00DB1">
                        <w:rPr>
                          <w:b/>
                          <w:bCs/>
                          <w:sz w:val="36"/>
                          <w:szCs w:val="36"/>
                        </w:rPr>
                        <w:t>057</w:t>
                      </w:r>
                    </w:p>
                    <w:p w:rsidR="00D00DB1" w:rsidP="00D00DB1" w14:paraId="5A479208" w14:textId="3EC7282E">
                      <w:pPr>
                        <w:rPr>
                          <w:i/>
                          <w:sz w:val="28"/>
                          <w:szCs w:val="28"/>
                        </w:rPr>
                      </w:pPr>
                      <w:r w:rsidRPr="0059212D">
                        <w:rPr>
                          <w:i/>
                          <w:sz w:val="28"/>
                          <w:szCs w:val="28"/>
                        </w:rPr>
                        <w:t>Form EIA-</w:t>
                      </w:r>
                      <w:r>
                        <w:rPr>
                          <w:i/>
                          <w:sz w:val="28"/>
                          <w:szCs w:val="28"/>
                        </w:rPr>
                        <w:t xml:space="preserve">23L, Annual Report of Domestic Oil and Gas Reserves </w:t>
                      </w:r>
                      <w:r>
                        <w:rPr>
                          <w:i/>
                          <w:sz w:val="28"/>
                          <w:szCs w:val="28"/>
                        </w:rPr>
                        <w:br/>
                      </w:r>
                      <w:r w:rsidRPr="003D66DA">
                        <w:rPr>
                          <w:iCs/>
                          <w:sz w:val="28"/>
                          <w:szCs w:val="28"/>
                        </w:rPr>
                        <w:t xml:space="preserve">Extension of Collection </w:t>
                      </w:r>
                      <w:r w:rsidRPr="003D66DA" w:rsidR="00035E73">
                        <w:rPr>
                          <w:iCs/>
                          <w:sz w:val="28"/>
                          <w:szCs w:val="28"/>
                        </w:rPr>
                        <w:t>with</w:t>
                      </w:r>
                      <w:r w:rsidRPr="003D66DA">
                        <w:rPr>
                          <w:iCs/>
                          <w:sz w:val="28"/>
                          <w:szCs w:val="28"/>
                        </w:rPr>
                        <w:t xml:space="preserve"> change</w:t>
                      </w:r>
                      <w:r w:rsidRPr="003D66DA" w:rsidR="00035E73">
                        <w:rPr>
                          <w:iCs/>
                          <w:sz w:val="28"/>
                          <w:szCs w:val="28"/>
                        </w:rPr>
                        <w:t>s</w:t>
                      </w:r>
                      <w:r>
                        <w:rPr>
                          <w:i/>
                          <w:sz w:val="28"/>
                          <w:szCs w:val="28"/>
                        </w:rPr>
                        <w:br/>
                      </w:r>
                    </w:p>
                    <w:p w:rsidR="00D00DB1" w:rsidP="00D00DB1" w14:paraId="06BA1BFE" w14:textId="68E39313">
                      <w:pPr>
                        <w:rPr>
                          <w:i/>
                          <w:sz w:val="28"/>
                          <w:szCs w:val="28"/>
                        </w:rPr>
                      </w:pPr>
                      <w:r>
                        <w:rPr>
                          <w:i/>
                          <w:sz w:val="28"/>
                          <w:szCs w:val="28"/>
                        </w:rPr>
                        <w:t xml:space="preserve">Form EIA-23S, Annual </w:t>
                      </w:r>
                      <w:r w:rsidR="006B65D9">
                        <w:rPr>
                          <w:i/>
                          <w:sz w:val="28"/>
                          <w:szCs w:val="28"/>
                        </w:rPr>
                        <w:t xml:space="preserve">Survey </w:t>
                      </w:r>
                      <w:r>
                        <w:rPr>
                          <w:i/>
                          <w:sz w:val="28"/>
                          <w:szCs w:val="28"/>
                        </w:rPr>
                        <w:t>of Domestic Oil and Gas Reserves</w:t>
                      </w:r>
                      <w:r>
                        <w:rPr>
                          <w:i/>
                          <w:sz w:val="28"/>
                          <w:szCs w:val="28"/>
                        </w:rPr>
                        <w:br/>
                      </w:r>
                      <w:r w:rsidRPr="003D66DA">
                        <w:rPr>
                          <w:iCs/>
                          <w:sz w:val="28"/>
                          <w:szCs w:val="28"/>
                        </w:rPr>
                        <w:t>Continuation of suspension</w:t>
                      </w:r>
                      <w:r>
                        <w:rPr>
                          <w:i/>
                          <w:sz w:val="28"/>
                          <w:szCs w:val="28"/>
                        </w:rPr>
                        <w:br/>
                        <w:t xml:space="preserve"> </w:t>
                      </w:r>
                    </w:p>
                    <w:p w:rsidR="00D00DB1" w:rsidRPr="0059212D" w:rsidP="00D00DB1" w14:paraId="2CD0A602" w14:textId="530F5C34">
                      <w:pPr>
                        <w:rPr>
                          <w:i/>
                          <w:sz w:val="28"/>
                          <w:szCs w:val="28"/>
                        </w:rPr>
                      </w:pPr>
                      <w:r>
                        <w:rPr>
                          <w:i/>
                          <w:sz w:val="28"/>
                          <w:szCs w:val="28"/>
                        </w:rPr>
                        <w:t>Form EIA-64A, Annual Report of the Origin of Natural Gas Liquids Production</w:t>
                      </w:r>
                      <w:r>
                        <w:rPr>
                          <w:i/>
                          <w:sz w:val="28"/>
                          <w:szCs w:val="28"/>
                        </w:rPr>
                        <w:br/>
                      </w:r>
                      <w:r w:rsidRPr="003D66DA">
                        <w:rPr>
                          <w:iCs/>
                          <w:sz w:val="28"/>
                          <w:szCs w:val="28"/>
                        </w:rPr>
                        <w:t>Extension of Collection with change</w:t>
                      </w:r>
                      <w:r w:rsidRPr="003D66DA" w:rsidR="00D260DA">
                        <w:rPr>
                          <w:iCs/>
                          <w:sz w:val="28"/>
                          <w:szCs w:val="28"/>
                        </w:rPr>
                        <w:t>s</w:t>
                      </w:r>
                      <w:r>
                        <w:rPr>
                          <w:i/>
                          <w:sz w:val="28"/>
                          <w:szCs w:val="28"/>
                        </w:rPr>
                        <w:t xml:space="preserve"> </w:t>
                      </w:r>
                    </w:p>
                    <w:p w:rsidR="00D00DB1" w:rsidRPr="0059212D" w:rsidP="00E054DF" w14:paraId="5B7D602F" w14:textId="77777777">
                      <w:pPr>
                        <w:rPr>
                          <w:i/>
                          <w:sz w:val="28"/>
                          <w:szCs w:val="28"/>
                        </w:rPr>
                      </w:pP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391160</wp:posOffset>
                </wp:positionH>
                <wp:positionV relativeFrom="margin">
                  <wp:posOffset>3886200</wp:posOffset>
                </wp:positionV>
                <wp:extent cx="2377440" cy="497205"/>
                <wp:effectExtent l="0" t="0" r="0" b="0"/>
                <wp:wrapSquare wrapText="bothSides"/>
                <wp:docPr id="1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8F3737" w14:textId="715792FE">
                            <w:pPr>
                              <w:rPr>
                                <w:rFonts w:cs="Calibri"/>
                                <w:color w:val="7F7F7F"/>
                                <w:sz w:val="36"/>
                              </w:rPr>
                            </w:pPr>
                            <w:r>
                              <w:rPr>
                                <w:rFonts w:cs="Calibri"/>
                                <w:color w:val="7F7F7F"/>
                                <w:sz w:val="36"/>
                              </w:rPr>
                              <w:t>August</w:t>
                            </w:r>
                            <w:r w:rsidRPr="00AE20B3" w:rsidR="00A43063">
                              <w:rPr>
                                <w:rFonts w:cs="Calibri"/>
                                <w:color w:val="7F7F7F"/>
                                <w:sz w:val="36"/>
                              </w:rPr>
                              <w:t xml:space="preserve"> </w:t>
                            </w:r>
                            <w:r w:rsidRPr="00AE20B3" w:rsidR="00E054DF">
                              <w:rPr>
                                <w:rFonts w:cs="Calibri"/>
                                <w:color w:val="7F7F7F"/>
                                <w:sz w:val="36"/>
                              </w:rPr>
                              <w:t>202</w:t>
                            </w:r>
                            <w:r w:rsidRPr="00AE20B3" w:rsidR="00D00DB1">
                              <w:rPr>
                                <w:rFonts w:cs="Calibri"/>
                                <w:color w:val="7F7F7F"/>
                                <w:sz w:val="36"/>
                              </w:rPr>
                              <w:t>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6" type="#_x0000_t202" style="width:187.2pt;height:39.15pt;margin-top:306pt;margin-left:30.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EA779A" w:rsidRPr="008F3737" w14:paraId="6CC29D75" w14:textId="715792FE">
                      <w:pPr>
                        <w:rPr>
                          <w:rFonts w:cs="Calibri"/>
                          <w:color w:val="7F7F7F"/>
                          <w:sz w:val="36"/>
                        </w:rPr>
                      </w:pPr>
                      <w:r>
                        <w:rPr>
                          <w:rFonts w:cs="Calibri"/>
                          <w:color w:val="7F7F7F"/>
                          <w:sz w:val="36"/>
                        </w:rPr>
                        <w:t>August</w:t>
                      </w:r>
                      <w:r w:rsidRPr="00AE20B3" w:rsidR="00A43063">
                        <w:rPr>
                          <w:rFonts w:cs="Calibri"/>
                          <w:color w:val="7F7F7F"/>
                          <w:sz w:val="36"/>
                        </w:rPr>
                        <w:t xml:space="preserve"> </w:t>
                      </w:r>
                      <w:r w:rsidRPr="00AE20B3" w:rsidR="00E054DF">
                        <w:rPr>
                          <w:rFonts w:cs="Calibri"/>
                          <w:color w:val="7F7F7F"/>
                          <w:sz w:val="36"/>
                        </w:rPr>
                        <w:t>202</w:t>
                      </w:r>
                      <w:r w:rsidRPr="00AE20B3" w:rsidR="00D00DB1">
                        <w:rPr>
                          <w:rFonts w:cs="Calibri"/>
                          <w:color w:val="7F7F7F"/>
                          <w:sz w:val="36"/>
                        </w:rPr>
                        <w:t>5</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363855</wp:posOffset>
                </wp:positionH>
                <wp:positionV relativeFrom="paragraph">
                  <wp:posOffset>25400</wp:posOffset>
                </wp:positionV>
                <wp:extent cx="4991100" cy="1752600"/>
                <wp:effectExtent l="0" t="0" r="0" b="0"/>
                <wp:wrapNone/>
                <wp:docPr id="17"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91100" cy="1752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79A" w:rsidRPr="008F3737" w:rsidP="00313D14" w14:textId="77777777">
                            <w:pPr>
                              <w:spacing w:line="276" w:lineRule="auto"/>
                              <w:rPr>
                                <w:rFonts w:cs="Calibri"/>
                                <w:b/>
                                <w:color w:val="139CD8"/>
                                <w:sz w:val="60"/>
                                <w:szCs w:val="60"/>
                              </w:rPr>
                            </w:pPr>
                            <w:r w:rsidRPr="008F3737">
                              <w:rPr>
                                <w:rFonts w:cs="Calibri"/>
                                <w:b/>
                                <w:color w:val="139CD8"/>
                                <w:sz w:val="60"/>
                                <w:szCs w:val="60"/>
                              </w:rPr>
                              <w:t xml:space="preserve">Supporting Statement for </w:t>
                            </w:r>
                            <w:r w:rsidRPr="008F3737" w:rsidR="00D00DB1">
                              <w:rPr>
                                <w:rFonts w:cs="Calibri"/>
                                <w:b/>
                                <w:color w:val="139CD8"/>
                                <w:sz w:val="60"/>
                                <w:szCs w:val="60"/>
                              </w:rPr>
                              <w:t>Oil and Gas Reserves System Surveys</w:t>
                            </w: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7" type="#_x0000_t202" style="width:393pt;height:138pt;margin-top:2pt;margin-left:28.6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59264" filled="f" stroked="f">
                <v:textbox inset="0">
                  <w:txbxContent>
                    <w:p w:rsidR="00EA779A" w:rsidRPr="008F3737" w:rsidP="00313D14" w14:paraId="3364DBA8" w14:textId="77777777">
                      <w:pPr>
                        <w:spacing w:line="276" w:lineRule="auto"/>
                        <w:rPr>
                          <w:rFonts w:cs="Calibri"/>
                          <w:b/>
                          <w:color w:val="139CD8"/>
                          <w:sz w:val="60"/>
                          <w:szCs w:val="60"/>
                        </w:rPr>
                      </w:pPr>
                      <w:r w:rsidRPr="008F3737">
                        <w:rPr>
                          <w:rFonts w:cs="Calibri"/>
                          <w:b/>
                          <w:color w:val="139CD8"/>
                          <w:sz w:val="60"/>
                          <w:szCs w:val="60"/>
                        </w:rPr>
                        <w:t xml:space="preserve">Supporting Statement for </w:t>
                      </w:r>
                      <w:r w:rsidRPr="008F3737" w:rsidR="00D00DB1">
                        <w:rPr>
                          <w:rFonts w:cs="Calibri"/>
                          <w:b/>
                          <w:color w:val="139CD8"/>
                          <w:sz w:val="60"/>
                          <w:szCs w:val="60"/>
                        </w:rPr>
                        <w:t>Oil and Gas Reserves System Surveys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3352800</wp:posOffset>
                </wp:positionH>
                <wp:positionV relativeFrom="margin">
                  <wp:posOffset>8542020</wp:posOffset>
                </wp:positionV>
                <wp:extent cx="2717800" cy="647700"/>
                <wp:effectExtent l="0" t="0" r="0" b="0"/>
                <wp:wrapSquare wrapText="bothSides"/>
                <wp:docPr id="13"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47700"/>
                        </a:xfrm>
                        <a:prstGeom prst="rect">
                          <a:avLst/>
                        </a:prstGeom>
                        <a:noFill/>
                        <a:ln w="9525">
                          <a:noFill/>
                          <a:miter lim="800000"/>
                          <a:headEnd/>
                          <a:tailEnd/>
                        </a:ln>
                      </wps:spPr>
                      <wps:txbx>
                        <w:txbxContent>
                          <w:p w:rsidR="00EA779A" w:rsidRPr="008F3737" w:rsidP="004D236B" w14:textId="77777777">
                            <w:pPr>
                              <w:spacing w:before="40" w:after="0" w:line="240" w:lineRule="auto"/>
                              <w:jc w:val="right"/>
                              <w:rPr>
                                <w:rFonts w:eastAsia="Times New Roman" w:cs="Calibri"/>
                                <w:color w:val="808080"/>
                                <w:sz w:val="20"/>
                              </w:rPr>
                            </w:pPr>
                            <w:r w:rsidRPr="008F3737">
                              <w:rPr>
                                <w:rFonts w:cs="Calibri"/>
                                <w:color w:val="808080"/>
                                <w:kern w:val="24"/>
                                <w:sz w:val="20"/>
                              </w:rPr>
                              <w:t>www.eia.gov</w:t>
                            </w:r>
                          </w:p>
                          <w:p w:rsidR="00EA779A" w:rsidRPr="008F3737" w:rsidP="004D236B" w14:textId="77777777">
                            <w:pPr>
                              <w:spacing w:after="0" w:line="240" w:lineRule="auto"/>
                              <w:jc w:val="right"/>
                              <w:rPr>
                                <w:rFonts w:cs="Calibri"/>
                                <w:color w:val="808080"/>
                                <w:kern w:val="24"/>
                                <w:sz w:val="20"/>
                              </w:rPr>
                            </w:pPr>
                            <w:r w:rsidRPr="008F3737">
                              <w:rPr>
                                <w:rFonts w:cs="Calibri"/>
                                <w:color w:val="808080"/>
                                <w:kern w:val="24"/>
                                <w:sz w:val="20"/>
                              </w:rPr>
                              <w:t>U.S. Department of Energy</w:t>
                            </w:r>
                          </w:p>
                          <w:p w:rsidR="00EA779A" w:rsidRPr="008F3737" w:rsidP="004D236B" w14:textId="77777777">
                            <w:pPr>
                              <w:spacing w:before="40" w:after="0" w:line="240" w:lineRule="auto"/>
                              <w:jc w:val="right"/>
                              <w:rPr>
                                <w:rFonts w:eastAsia="Times New Roman" w:cs="Calibri"/>
                                <w:color w:val="808080"/>
                                <w:sz w:val="20"/>
                              </w:rPr>
                            </w:pPr>
                            <w:r w:rsidRPr="008F3737">
                              <w:rPr>
                                <w:rFonts w:cs="Calibri"/>
                                <w:color w:val="8080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51pt;margin-top:672.6pt;margin-left:26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
                  <w:txbxContent>
                    <w:p w:rsidR="00EA779A" w:rsidRPr="008F3737" w:rsidP="004D236B" w14:paraId="50A4D5FD" w14:textId="77777777">
                      <w:pPr>
                        <w:spacing w:before="40" w:after="0" w:line="240" w:lineRule="auto"/>
                        <w:jc w:val="right"/>
                        <w:rPr>
                          <w:rFonts w:eastAsia="Times New Roman" w:cs="Calibri"/>
                          <w:color w:val="808080"/>
                          <w:sz w:val="20"/>
                        </w:rPr>
                      </w:pPr>
                      <w:r w:rsidRPr="008F3737">
                        <w:rPr>
                          <w:rFonts w:cs="Calibri"/>
                          <w:color w:val="808080"/>
                          <w:kern w:val="24"/>
                          <w:sz w:val="20"/>
                        </w:rPr>
                        <w:t>www.eia.gov</w:t>
                      </w:r>
                    </w:p>
                    <w:p w:rsidR="00EA779A" w:rsidRPr="008F3737" w:rsidP="004D236B" w14:paraId="5EB224F9" w14:textId="77777777">
                      <w:pPr>
                        <w:spacing w:after="0" w:line="240" w:lineRule="auto"/>
                        <w:jc w:val="right"/>
                        <w:rPr>
                          <w:rFonts w:cs="Calibri"/>
                          <w:color w:val="808080"/>
                          <w:kern w:val="24"/>
                          <w:sz w:val="20"/>
                        </w:rPr>
                      </w:pPr>
                      <w:r w:rsidRPr="008F3737">
                        <w:rPr>
                          <w:rFonts w:cs="Calibri"/>
                          <w:color w:val="808080"/>
                          <w:kern w:val="24"/>
                          <w:sz w:val="20"/>
                        </w:rPr>
                        <w:t>U.S. Department of Energy</w:t>
                      </w:r>
                    </w:p>
                    <w:p w:rsidR="00EA779A" w:rsidRPr="008F3737" w:rsidP="004D236B" w14:paraId="73414B08" w14:textId="77777777">
                      <w:pPr>
                        <w:spacing w:before="40" w:after="0" w:line="240" w:lineRule="auto"/>
                        <w:jc w:val="right"/>
                        <w:rPr>
                          <w:rFonts w:eastAsia="Times New Roman" w:cs="Calibri"/>
                          <w:color w:val="808080"/>
                          <w:sz w:val="20"/>
                        </w:rPr>
                      </w:pPr>
                      <w:r w:rsidRPr="008F3737">
                        <w:rPr>
                          <w:rFonts w:cs="Calibri"/>
                          <w:color w:val="808080"/>
                          <w:kern w:val="24"/>
                          <w:sz w:val="20"/>
                        </w:rPr>
                        <w:t>Washington, DC 20585</w:t>
                      </w: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simplePos x="0" y="0"/>
                <wp:positionH relativeFrom="column">
                  <wp:posOffset>-106045</wp:posOffset>
                </wp:positionH>
                <wp:positionV relativeFrom="paragraph">
                  <wp:posOffset>6384925</wp:posOffset>
                </wp:positionV>
                <wp:extent cx="2377440" cy="530225"/>
                <wp:effectExtent l="0" t="0" r="0" b="0"/>
                <wp:wrapSquare wrapText="bothSides"/>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530225"/>
                        </a:xfrm>
                        <a:prstGeom prst="rect">
                          <a:avLst/>
                        </a:prstGeom>
                        <a:noFill/>
                        <a:ln w="9525">
                          <a:noFill/>
                          <a:miter lim="800000"/>
                          <a:headEnd/>
                          <a:tailEnd/>
                        </a:ln>
                      </wps:spPr>
                      <wps:txbx>
                        <w:txbxContent>
                          <w:p w:rsidR="00EA779A" w14:textId="613107A2">
                            <w:r w:rsidRPr="00583CFD">
                              <w:rPr>
                                <w:noProof/>
                              </w:rPr>
                              <w:drawing>
                                <wp:inline distT="0" distB="0" distL="0" distR="0">
                                  <wp:extent cx="2162175" cy="476250"/>
                                  <wp:effectExtent l="0" t="0" r="0" b="0"/>
                                  <wp:docPr id="1065533072"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33072"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Text Box 2" o:spid="_x0000_s1029" type="#_x0000_t202" style="width:187.2pt;height:41.75pt;margin-top:502.75pt;margin-left:-8.35pt;mso-height-percent:0;mso-height-relative:margin;mso-width-percent:400;mso-width-relative:margin;mso-wrap-distance-bottom:3.6pt;mso-wrap-distance-left:9pt;mso-wrap-distance-right:9pt;mso-wrap-distance-top:3.6pt;mso-wrap-style:square;position:absolute;visibility:visible;v-text-anchor:top;z-index:251666432" filled="f" stroked="f">
                <v:textbox>
                  <w:txbxContent>
                    <w:p w:rsidR="00EA779A" w14:paraId="3082E3F6" w14:textId="613107A2">
                      <w:drawing>
                        <wp:inline distT="0" distB="0" distL="0" distR="0">
                          <wp:extent cx="2162175" cy="476250"/>
                          <wp:effectExtent l="0" t="0" r="0" b="0"/>
                          <wp:docPr id="1" name="Picture 61" descr="C:\Users\ace\AppData\Local\Microsoft\Windows\INetCache\Content.Word\eialogo_full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1" descr="C:\Users\ace\AppData\Local\Microsoft\Windows\INetCache\Content.Word\eialogo_fullcolor.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162175" cy="476250"/>
                                  </a:xfrm>
                                  <a:prstGeom prst="rect">
                                    <a:avLst/>
                                  </a:prstGeom>
                                  <a:noFill/>
                                  <a:ln>
                                    <a:noFill/>
                                  </a:ln>
                                </pic:spPr>
                              </pic:pic>
                            </a:graphicData>
                          </a:graphic>
                        </wp:inline>
                      </w:drawing>
                    </w:p>
                  </w:txbxContent>
                </v:textbox>
                <w10:wrap type="square"/>
              </v:shape>
            </w:pict>
          </mc:Fallback>
        </mc:AlternateContent>
      </w:r>
      <w:r w:rsidR="001F3A8F">
        <w:br w:type="page"/>
      </w:r>
    </w:p>
    <w:p w:rsidR="00755C3D" w14:paraId="22081E1F" w14:textId="77777777">
      <w:pPr>
        <w:sectPr w:rsidSect="00206D5A">
          <w:footerReference w:type="default" r:id="rId12"/>
          <w:footnotePr>
            <w:pos w:val="beneathText"/>
          </w:footnotePr>
          <w:type w:val="continuous"/>
          <w:pgSz w:w="12240" w:h="15840"/>
          <w:pgMar w:top="720" w:right="1440" w:bottom="720" w:left="1440" w:header="720" w:footer="720" w:gutter="0"/>
          <w:pgNumType w:fmt="lowerRoman" w:start="0"/>
          <w:cols w:space="720"/>
          <w:titlePg/>
          <w:docGrid w:linePitch="360"/>
        </w:sectPr>
      </w:pPr>
    </w:p>
    <w:p w:rsidR="00D928FD" w14:paraId="2C78475B" w14:textId="77777777"/>
    <w:p w:rsidR="001F3A8F" w14:paraId="1D563B76" w14:textId="77777777"/>
    <w:p w:rsidR="001F3A8F" w14:paraId="1033E9B3" w14:textId="77777777"/>
    <w:p w:rsidR="001F3A8F" w14:paraId="3299249C" w14:textId="77777777"/>
    <w:p w:rsidR="001F3A8F" w14:paraId="381E516F" w14:textId="77777777"/>
    <w:p w:rsidR="001F3A8F" w14:paraId="7E26E437" w14:textId="77777777"/>
    <w:p w:rsidR="001F3A8F" w14:paraId="350E0A77" w14:textId="77777777"/>
    <w:p w:rsidR="001F3A8F" w14:paraId="76B45410" w14:textId="77777777"/>
    <w:p w:rsidR="001F3A8F" w14:paraId="7F09EC09" w14:textId="77777777"/>
    <w:p w:rsidR="001F3A8F" w14:paraId="3AB109C9" w14:textId="77777777"/>
    <w:p w:rsidR="001F3A8F" w14:paraId="34D128E1" w14:textId="77777777"/>
    <w:p w:rsidR="001F3A8F" w14:paraId="571A16CE" w14:textId="77777777"/>
    <w:p w:rsidR="001F3A8F" w14:paraId="1EE9B93A" w14:textId="77777777"/>
    <w:p w:rsidR="001F3A8F" w14:paraId="07739820" w14:textId="77777777"/>
    <w:p w:rsidR="001F3A8F" w14:paraId="789FC3FC" w14:textId="77777777"/>
    <w:p w:rsidR="001F3A8F" w14:paraId="242E9BE0" w14:textId="77777777"/>
    <w:p w:rsidR="001F3A8F" w14:paraId="2B1EA7A2" w14:textId="77777777"/>
    <w:p w:rsidR="001F3A8F" w14:paraId="5211C1B9" w14:textId="77777777"/>
    <w:p w:rsidR="001F3A8F" w14:paraId="0E41C82D" w14:textId="77777777"/>
    <w:p w:rsidR="001F3A8F" w14:paraId="0CA92464" w14:textId="77777777"/>
    <w:p w:rsidR="001F3A8F" w:rsidP="00D928FD" w14:paraId="4FE5D317" w14:textId="77777777"/>
    <w:p w:rsidR="005D602C" w14:paraId="3EDFED20" w14:textId="77777777">
      <w:pPr>
        <w:pStyle w:val="Boxtext"/>
        <w:sectPr w:rsidSect="009F61F7">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r w:rsidRPr="00DE7A1C">
        <w:t xml:space="preserve">The U.S. Energy Information Administration (EIA), the statistical and analytical agency within the </w:t>
      </w:r>
      <w:r w:rsidRPr="00DE7A1C" w:rsidR="002E18F8">
        <w:br/>
      </w:r>
      <w:r w:rsidRPr="00DE7A1C">
        <w:t>U.S. Department of Energy (DOE), prepared this report. By law, our data, analyses, and forecasts are independent of approval by any other officer or employee of the U.S. Government. The views in this report do not represent those of DOE or any other federal agencies.</w:t>
      </w:r>
      <w:r w:rsidRPr="00DE7A1C">
        <w:t xml:space="preserve"> </w:t>
      </w:r>
    </w:p>
    <w:p w:rsidR="00D928FD" w:rsidP="00D928FD" w14:paraId="2F98C150" w14:textId="77777777"/>
    <w:p w:rsidR="00D00DB1" w:rsidRPr="00D00DB1" w:rsidP="00D00DB1" w14:paraId="123CE7FE" w14:textId="77777777"/>
    <w:p w:rsidR="00D00DB1" w:rsidP="00D00DB1" w14:paraId="459CAB27" w14:textId="77777777">
      <w:pPr>
        <w:tabs>
          <w:tab w:val="left" w:pos="3540"/>
          <w:tab w:val="center" w:pos="4680"/>
        </w:tabs>
      </w:pPr>
      <w:r>
        <w:tab/>
      </w:r>
      <w:r>
        <w:tab/>
      </w:r>
    </w:p>
    <w:p w:rsidR="00D00DB1" w:rsidRPr="00D00DB1" w:rsidP="00D00DB1" w14:paraId="265ED3A2" w14:textId="77777777">
      <w:pPr>
        <w:tabs>
          <w:tab w:val="left" w:pos="3540"/>
        </w:tabs>
        <w:sectPr w:rsidSect="009F61F7">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r>
        <w:tab/>
      </w:r>
    </w:p>
    <w:p w:rsidR="00AD6244" w:rsidRPr="008F3737" w:rsidP="008F3737" w14:paraId="1EE9A6E0" w14:textId="77777777">
      <w:pPr>
        <w:pStyle w:val="TOCHeading"/>
      </w:pPr>
      <w:r w:rsidRPr="008F3737">
        <w:t>Table of Contents</w:t>
      </w:r>
    </w:p>
    <w:p w:rsidR="00F7453F" w:rsidRPr="006705AD" w14:paraId="04B39B9F" w14:textId="77777777">
      <w:pPr>
        <w:pStyle w:val="TOC2"/>
        <w:rPr>
          <w:rFonts w:ascii="Aptos" w:eastAsia="Times New Roman" w:hAnsi="Aptos"/>
          <w:noProof/>
          <w:color w:val="auto"/>
          <w:kern w:val="2"/>
          <w:sz w:val="24"/>
          <w:szCs w:val="24"/>
        </w:rPr>
      </w:pPr>
      <w:r w:rsidRPr="00E054DF">
        <w:rPr>
          <w:b/>
          <w:bCs/>
          <w:noProof/>
          <w:color w:val="auto"/>
        </w:rPr>
        <w:fldChar w:fldCharType="begin"/>
      </w:r>
      <w:r>
        <w:rPr>
          <w:b/>
          <w:bCs/>
          <w:noProof/>
        </w:rPr>
        <w:instrText xml:space="preserve"> TOC \o "1-5" \h \z \u </w:instrText>
      </w:r>
      <w:r w:rsidRPr="00E054DF">
        <w:rPr>
          <w:b/>
          <w:bCs/>
          <w:noProof/>
          <w:color w:val="auto"/>
        </w:rPr>
        <w:fldChar w:fldCharType="separate"/>
      </w:r>
      <w:hyperlink w:anchor="_Toc193357453" w:history="1">
        <w:r w:rsidRPr="005229E1">
          <w:rPr>
            <w:rStyle w:val="Hyperlink"/>
            <w:noProof/>
          </w:rPr>
          <w:t xml:space="preserve">B.1. </w:t>
        </w:r>
        <w:r w:rsidRPr="005229E1">
          <w:rPr>
            <w:rStyle w:val="Hyperlink"/>
            <w:rFonts w:cs="Calibri"/>
            <w:noProof/>
          </w:rPr>
          <w:t>Respondent</w:t>
        </w:r>
        <w:r w:rsidRPr="005229E1">
          <w:rPr>
            <w:rStyle w:val="Hyperlink"/>
            <w:noProof/>
          </w:rPr>
          <w:t xml:space="preserve"> Universe</w:t>
        </w:r>
        <w:r>
          <w:rPr>
            <w:noProof/>
            <w:webHidden/>
          </w:rPr>
          <w:tab/>
        </w:r>
        <w:r>
          <w:rPr>
            <w:noProof/>
            <w:webHidden/>
          </w:rPr>
          <w:fldChar w:fldCharType="begin"/>
        </w:r>
        <w:r>
          <w:rPr>
            <w:noProof/>
            <w:webHidden/>
          </w:rPr>
          <w:instrText xml:space="preserve"> PAGEREF _Toc193357453 \h </w:instrText>
        </w:r>
        <w:r>
          <w:rPr>
            <w:noProof/>
            <w:webHidden/>
          </w:rPr>
          <w:fldChar w:fldCharType="separate"/>
        </w:r>
        <w:r>
          <w:rPr>
            <w:noProof/>
            <w:webHidden/>
          </w:rPr>
          <w:t>2</w:t>
        </w:r>
        <w:r>
          <w:rPr>
            <w:noProof/>
            <w:webHidden/>
          </w:rPr>
          <w:fldChar w:fldCharType="end"/>
        </w:r>
      </w:hyperlink>
    </w:p>
    <w:p w:rsidR="00F7453F" w:rsidRPr="006705AD" w14:paraId="7965D7BC" w14:textId="77777777">
      <w:pPr>
        <w:pStyle w:val="TOC3"/>
        <w:rPr>
          <w:rFonts w:ascii="Aptos" w:eastAsia="Times New Roman" w:hAnsi="Aptos"/>
          <w:noProof/>
          <w:color w:val="auto"/>
          <w:kern w:val="2"/>
          <w:sz w:val="24"/>
          <w:szCs w:val="24"/>
        </w:rPr>
      </w:pPr>
      <w:hyperlink w:anchor="_Toc193357454" w:history="1">
        <w:r w:rsidRPr="005229E1">
          <w:rPr>
            <w:rStyle w:val="Hyperlink"/>
            <w:noProof/>
          </w:rPr>
          <w:t>B.1.1. Form EIA-23L</w:t>
        </w:r>
        <w:r>
          <w:rPr>
            <w:noProof/>
            <w:webHidden/>
          </w:rPr>
          <w:tab/>
        </w:r>
        <w:r>
          <w:rPr>
            <w:noProof/>
            <w:webHidden/>
          </w:rPr>
          <w:fldChar w:fldCharType="begin"/>
        </w:r>
        <w:r>
          <w:rPr>
            <w:noProof/>
            <w:webHidden/>
          </w:rPr>
          <w:instrText xml:space="preserve"> PAGEREF _Toc193357454 \h </w:instrText>
        </w:r>
        <w:r>
          <w:rPr>
            <w:noProof/>
            <w:webHidden/>
          </w:rPr>
          <w:fldChar w:fldCharType="separate"/>
        </w:r>
        <w:r>
          <w:rPr>
            <w:noProof/>
            <w:webHidden/>
          </w:rPr>
          <w:t>2</w:t>
        </w:r>
        <w:r>
          <w:rPr>
            <w:noProof/>
            <w:webHidden/>
          </w:rPr>
          <w:fldChar w:fldCharType="end"/>
        </w:r>
      </w:hyperlink>
    </w:p>
    <w:p w:rsidR="00F7453F" w:rsidRPr="006705AD" w14:paraId="5312313F" w14:textId="77777777">
      <w:pPr>
        <w:pStyle w:val="TOC3"/>
        <w:rPr>
          <w:rFonts w:ascii="Aptos" w:eastAsia="Times New Roman" w:hAnsi="Aptos"/>
          <w:noProof/>
          <w:color w:val="auto"/>
          <w:kern w:val="2"/>
          <w:sz w:val="24"/>
          <w:szCs w:val="24"/>
        </w:rPr>
      </w:pPr>
      <w:hyperlink w:anchor="_Toc193357455" w:history="1">
        <w:r w:rsidRPr="005229E1">
          <w:rPr>
            <w:rStyle w:val="Hyperlink"/>
            <w:noProof/>
          </w:rPr>
          <w:t>B.1.2. Form EIA-64A</w:t>
        </w:r>
        <w:r>
          <w:rPr>
            <w:noProof/>
            <w:webHidden/>
          </w:rPr>
          <w:tab/>
        </w:r>
        <w:r>
          <w:rPr>
            <w:noProof/>
            <w:webHidden/>
          </w:rPr>
          <w:fldChar w:fldCharType="begin"/>
        </w:r>
        <w:r>
          <w:rPr>
            <w:noProof/>
            <w:webHidden/>
          </w:rPr>
          <w:instrText xml:space="preserve"> PAGEREF _Toc193357455 \h </w:instrText>
        </w:r>
        <w:r>
          <w:rPr>
            <w:noProof/>
            <w:webHidden/>
          </w:rPr>
          <w:fldChar w:fldCharType="separate"/>
        </w:r>
        <w:r>
          <w:rPr>
            <w:noProof/>
            <w:webHidden/>
          </w:rPr>
          <w:t>2</w:t>
        </w:r>
        <w:r>
          <w:rPr>
            <w:noProof/>
            <w:webHidden/>
          </w:rPr>
          <w:fldChar w:fldCharType="end"/>
        </w:r>
      </w:hyperlink>
    </w:p>
    <w:p w:rsidR="00F7453F" w:rsidRPr="006705AD" w14:paraId="7BF811BA" w14:textId="77777777">
      <w:pPr>
        <w:pStyle w:val="TOC2"/>
        <w:rPr>
          <w:rFonts w:ascii="Aptos" w:eastAsia="Times New Roman" w:hAnsi="Aptos"/>
          <w:noProof/>
          <w:color w:val="auto"/>
          <w:kern w:val="2"/>
          <w:sz w:val="24"/>
          <w:szCs w:val="24"/>
        </w:rPr>
      </w:pPr>
      <w:hyperlink w:anchor="_Toc193357456" w:history="1">
        <w:r w:rsidRPr="005229E1">
          <w:rPr>
            <w:rStyle w:val="Hyperlink"/>
            <w:noProof/>
          </w:rPr>
          <w:t>B.2. Statistical Methods</w:t>
        </w:r>
        <w:r>
          <w:rPr>
            <w:noProof/>
            <w:webHidden/>
          </w:rPr>
          <w:tab/>
        </w:r>
        <w:r>
          <w:rPr>
            <w:noProof/>
            <w:webHidden/>
          </w:rPr>
          <w:fldChar w:fldCharType="begin"/>
        </w:r>
        <w:r>
          <w:rPr>
            <w:noProof/>
            <w:webHidden/>
          </w:rPr>
          <w:instrText xml:space="preserve"> PAGEREF _Toc193357456 \h </w:instrText>
        </w:r>
        <w:r>
          <w:rPr>
            <w:noProof/>
            <w:webHidden/>
          </w:rPr>
          <w:fldChar w:fldCharType="separate"/>
        </w:r>
        <w:r>
          <w:rPr>
            <w:noProof/>
            <w:webHidden/>
          </w:rPr>
          <w:t>3</w:t>
        </w:r>
        <w:r>
          <w:rPr>
            <w:noProof/>
            <w:webHidden/>
          </w:rPr>
          <w:fldChar w:fldCharType="end"/>
        </w:r>
      </w:hyperlink>
    </w:p>
    <w:p w:rsidR="00F7453F" w:rsidRPr="006705AD" w14:paraId="76CD1696" w14:textId="77777777">
      <w:pPr>
        <w:pStyle w:val="TOC3"/>
        <w:rPr>
          <w:rFonts w:ascii="Aptos" w:eastAsia="Times New Roman" w:hAnsi="Aptos"/>
          <w:noProof/>
          <w:color w:val="auto"/>
          <w:kern w:val="2"/>
          <w:sz w:val="24"/>
          <w:szCs w:val="24"/>
        </w:rPr>
      </w:pPr>
      <w:hyperlink w:anchor="_Toc193357457" w:history="1">
        <w:r w:rsidRPr="005229E1">
          <w:rPr>
            <w:rStyle w:val="Hyperlink"/>
            <w:noProof/>
          </w:rPr>
          <w:t>B.2.1. Sampling</w:t>
        </w:r>
        <w:r>
          <w:rPr>
            <w:noProof/>
            <w:webHidden/>
          </w:rPr>
          <w:tab/>
        </w:r>
        <w:r>
          <w:rPr>
            <w:noProof/>
            <w:webHidden/>
          </w:rPr>
          <w:fldChar w:fldCharType="begin"/>
        </w:r>
        <w:r>
          <w:rPr>
            <w:noProof/>
            <w:webHidden/>
          </w:rPr>
          <w:instrText xml:space="preserve"> PAGEREF _Toc193357457 \h </w:instrText>
        </w:r>
        <w:r>
          <w:rPr>
            <w:noProof/>
            <w:webHidden/>
          </w:rPr>
          <w:fldChar w:fldCharType="separate"/>
        </w:r>
        <w:r>
          <w:rPr>
            <w:noProof/>
            <w:webHidden/>
          </w:rPr>
          <w:t>3</w:t>
        </w:r>
        <w:r>
          <w:rPr>
            <w:noProof/>
            <w:webHidden/>
          </w:rPr>
          <w:fldChar w:fldCharType="end"/>
        </w:r>
      </w:hyperlink>
    </w:p>
    <w:p w:rsidR="00F7453F" w:rsidRPr="006705AD" w14:paraId="34E868D0" w14:textId="77777777">
      <w:pPr>
        <w:pStyle w:val="TOC4"/>
        <w:rPr>
          <w:rFonts w:ascii="Aptos" w:eastAsia="Times New Roman" w:hAnsi="Aptos"/>
          <w:color w:val="auto"/>
          <w:kern w:val="2"/>
          <w:sz w:val="24"/>
          <w:szCs w:val="24"/>
        </w:rPr>
      </w:pPr>
      <w:hyperlink w:anchor="_Toc193357458" w:history="1">
        <w:r w:rsidRPr="005229E1">
          <w:rPr>
            <w:rStyle w:val="Hyperlink"/>
          </w:rPr>
          <w:t>B.2.1.1. Form EIA-23L</w:t>
        </w:r>
        <w:r>
          <w:rPr>
            <w:webHidden/>
          </w:rPr>
          <w:tab/>
        </w:r>
        <w:r>
          <w:rPr>
            <w:webHidden/>
          </w:rPr>
          <w:fldChar w:fldCharType="begin"/>
        </w:r>
        <w:r>
          <w:rPr>
            <w:webHidden/>
          </w:rPr>
          <w:instrText xml:space="preserve"> PAGEREF _Toc193357458 \h </w:instrText>
        </w:r>
        <w:r>
          <w:rPr>
            <w:webHidden/>
          </w:rPr>
          <w:fldChar w:fldCharType="separate"/>
        </w:r>
        <w:r>
          <w:rPr>
            <w:webHidden/>
          </w:rPr>
          <w:t>3</w:t>
        </w:r>
        <w:r>
          <w:rPr>
            <w:webHidden/>
          </w:rPr>
          <w:fldChar w:fldCharType="end"/>
        </w:r>
      </w:hyperlink>
    </w:p>
    <w:p w:rsidR="00F7453F" w:rsidRPr="006705AD" w14:paraId="5309B1D4" w14:textId="77777777">
      <w:pPr>
        <w:pStyle w:val="TOC4"/>
        <w:rPr>
          <w:rFonts w:ascii="Aptos" w:eastAsia="Times New Roman" w:hAnsi="Aptos"/>
          <w:color w:val="auto"/>
          <w:kern w:val="2"/>
          <w:sz w:val="24"/>
          <w:szCs w:val="24"/>
        </w:rPr>
      </w:pPr>
      <w:hyperlink w:anchor="_Toc193357459" w:history="1">
        <w:r w:rsidRPr="005229E1">
          <w:rPr>
            <w:rStyle w:val="Hyperlink"/>
          </w:rPr>
          <w:t>B.2.1.2. Form EIA-64A</w:t>
        </w:r>
        <w:r>
          <w:rPr>
            <w:webHidden/>
          </w:rPr>
          <w:tab/>
        </w:r>
        <w:r>
          <w:rPr>
            <w:webHidden/>
          </w:rPr>
          <w:fldChar w:fldCharType="begin"/>
        </w:r>
        <w:r>
          <w:rPr>
            <w:webHidden/>
          </w:rPr>
          <w:instrText xml:space="preserve"> PAGEREF _Toc193357459 \h </w:instrText>
        </w:r>
        <w:r>
          <w:rPr>
            <w:webHidden/>
          </w:rPr>
          <w:fldChar w:fldCharType="separate"/>
        </w:r>
        <w:r>
          <w:rPr>
            <w:webHidden/>
          </w:rPr>
          <w:t>4</w:t>
        </w:r>
        <w:r>
          <w:rPr>
            <w:webHidden/>
          </w:rPr>
          <w:fldChar w:fldCharType="end"/>
        </w:r>
      </w:hyperlink>
    </w:p>
    <w:p w:rsidR="00F7453F" w:rsidRPr="006705AD" w14:paraId="35F7E9AF" w14:textId="77777777">
      <w:pPr>
        <w:pStyle w:val="TOC3"/>
        <w:rPr>
          <w:rFonts w:ascii="Aptos" w:eastAsia="Times New Roman" w:hAnsi="Aptos"/>
          <w:noProof/>
          <w:color w:val="auto"/>
          <w:kern w:val="2"/>
          <w:sz w:val="24"/>
          <w:szCs w:val="24"/>
        </w:rPr>
      </w:pPr>
      <w:hyperlink w:anchor="_Toc193357460" w:history="1">
        <w:r w:rsidRPr="005229E1">
          <w:rPr>
            <w:rStyle w:val="Hyperlink"/>
            <w:noProof/>
          </w:rPr>
          <w:t>B2.2. Estimation</w:t>
        </w:r>
        <w:r>
          <w:rPr>
            <w:noProof/>
            <w:webHidden/>
          </w:rPr>
          <w:tab/>
        </w:r>
        <w:r>
          <w:rPr>
            <w:noProof/>
            <w:webHidden/>
          </w:rPr>
          <w:fldChar w:fldCharType="begin"/>
        </w:r>
        <w:r>
          <w:rPr>
            <w:noProof/>
            <w:webHidden/>
          </w:rPr>
          <w:instrText xml:space="preserve"> PAGEREF _Toc193357460 \h </w:instrText>
        </w:r>
        <w:r>
          <w:rPr>
            <w:noProof/>
            <w:webHidden/>
          </w:rPr>
          <w:fldChar w:fldCharType="separate"/>
        </w:r>
        <w:r>
          <w:rPr>
            <w:noProof/>
            <w:webHidden/>
          </w:rPr>
          <w:t>4</w:t>
        </w:r>
        <w:r>
          <w:rPr>
            <w:noProof/>
            <w:webHidden/>
          </w:rPr>
          <w:fldChar w:fldCharType="end"/>
        </w:r>
      </w:hyperlink>
    </w:p>
    <w:p w:rsidR="00F7453F" w:rsidRPr="006705AD" w14:paraId="02CCA5FC" w14:textId="77777777">
      <w:pPr>
        <w:pStyle w:val="TOC4"/>
        <w:rPr>
          <w:rFonts w:ascii="Aptos" w:eastAsia="Times New Roman" w:hAnsi="Aptos"/>
          <w:color w:val="auto"/>
          <w:kern w:val="2"/>
          <w:sz w:val="24"/>
          <w:szCs w:val="24"/>
        </w:rPr>
      </w:pPr>
      <w:hyperlink w:anchor="_Toc193357461" w:history="1">
        <w:r w:rsidRPr="005229E1">
          <w:rPr>
            <w:rStyle w:val="Hyperlink"/>
          </w:rPr>
          <w:t>B.2.2.1. Proved Reserves</w:t>
        </w:r>
        <w:r>
          <w:rPr>
            <w:webHidden/>
          </w:rPr>
          <w:tab/>
        </w:r>
        <w:r>
          <w:rPr>
            <w:webHidden/>
          </w:rPr>
          <w:fldChar w:fldCharType="begin"/>
        </w:r>
        <w:r>
          <w:rPr>
            <w:webHidden/>
          </w:rPr>
          <w:instrText xml:space="preserve"> PAGEREF _Toc193357461 \h </w:instrText>
        </w:r>
        <w:r>
          <w:rPr>
            <w:webHidden/>
          </w:rPr>
          <w:fldChar w:fldCharType="separate"/>
        </w:r>
        <w:r>
          <w:rPr>
            <w:webHidden/>
          </w:rPr>
          <w:t>4</w:t>
        </w:r>
        <w:r>
          <w:rPr>
            <w:webHidden/>
          </w:rPr>
          <w:fldChar w:fldCharType="end"/>
        </w:r>
      </w:hyperlink>
    </w:p>
    <w:p w:rsidR="00F7453F" w:rsidRPr="006705AD" w14:paraId="00086BFF" w14:textId="77777777">
      <w:pPr>
        <w:pStyle w:val="TOC4"/>
        <w:rPr>
          <w:rFonts w:ascii="Aptos" w:eastAsia="Times New Roman" w:hAnsi="Aptos"/>
          <w:color w:val="auto"/>
          <w:kern w:val="2"/>
          <w:sz w:val="24"/>
          <w:szCs w:val="24"/>
        </w:rPr>
      </w:pPr>
      <w:hyperlink w:anchor="_Toc193357462" w:history="1">
        <w:r w:rsidRPr="005229E1">
          <w:rPr>
            <w:rStyle w:val="Hyperlink"/>
          </w:rPr>
          <w:t>B.2.2.2. Reserves Balancing Categories</w:t>
        </w:r>
        <w:r>
          <w:rPr>
            <w:webHidden/>
          </w:rPr>
          <w:tab/>
        </w:r>
        <w:r>
          <w:rPr>
            <w:webHidden/>
          </w:rPr>
          <w:fldChar w:fldCharType="begin"/>
        </w:r>
        <w:r>
          <w:rPr>
            <w:webHidden/>
          </w:rPr>
          <w:instrText xml:space="preserve"> PAGEREF _Toc193357462 \h </w:instrText>
        </w:r>
        <w:r>
          <w:rPr>
            <w:webHidden/>
          </w:rPr>
          <w:fldChar w:fldCharType="separate"/>
        </w:r>
        <w:r>
          <w:rPr>
            <w:webHidden/>
          </w:rPr>
          <w:t>5</w:t>
        </w:r>
        <w:r>
          <w:rPr>
            <w:webHidden/>
          </w:rPr>
          <w:fldChar w:fldCharType="end"/>
        </w:r>
      </w:hyperlink>
    </w:p>
    <w:p w:rsidR="00F7453F" w:rsidRPr="006705AD" w14:paraId="5E23D900" w14:textId="77777777">
      <w:pPr>
        <w:pStyle w:val="TOC4"/>
        <w:rPr>
          <w:rFonts w:ascii="Aptos" w:eastAsia="Times New Roman" w:hAnsi="Aptos"/>
          <w:color w:val="auto"/>
          <w:kern w:val="2"/>
          <w:sz w:val="24"/>
          <w:szCs w:val="24"/>
        </w:rPr>
      </w:pPr>
      <w:hyperlink w:anchor="_Toc193357463" w:history="1">
        <w:r w:rsidRPr="005229E1">
          <w:rPr>
            <w:rStyle w:val="Hyperlink"/>
          </w:rPr>
          <w:t>B.2.2.3. Yield of Natural Gas Plant Liquids and Dry Natural Gas from Total Natural Gas</w:t>
        </w:r>
        <w:r>
          <w:rPr>
            <w:webHidden/>
          </w:rPr>
          <w:tab/>
        </w:r>
        <w:r>
          <w:rPr>
            <w:webHidden/>
          </w:rPr>
          <w:fldChar w:fldCharType="begin"/>
        </w:r>
        <w:r>
          <w:rPr>
            <w:webHidden/>
          </w:rPr>
          <w:instrText xml:space="preserve"> PAGEREF _Toc193357463 \h </w:instrText>
        </w:r>
        <w:r>
          <w:rPr>
            <w:webHidden/>
          </w:rPr>
          <w:fldChar w:fldCharType="separate"/>
        </w:r>
        <w:r>
          <w:rPr>
            <w:webHidden/>
          </w:rPr>
          <w:t>6</w:t>
        </w:r>
        <w:r>
          <w:rPr>
            <w:webHidden/>
          </w:rPr>
          <w:fldChar w:fldCharType="end"/>
        </w:r>
      </w:hyperlink>
    </w:p>
    <w:p w:rsidR="00F7453F" w:rsidRPr="006705AD" w14:paraId="2048AACA" w14:textId="77777777">
      <w:pPr>
        <w:pStyle w:val="TOC4"/>
        <w:rPr>
          <w:rFonts w:ascii="Aptos" w:eastAsia="Times New Roman" w:hAnsi="Aptos"/>
          <w:color w:val="auto"/>
          <w:kern w:val="2"/>
          <w:sz w:val="24"/>
          <w:szCs w:val="24"/>
        </w:rPr>
      </w:pPr>
      <w:hyperlink w:anchor="_Toc193357464" w:history="1">
        <w:r w:rsidRPr="005229E1">
          <w:rPr>
            <w:rStyle w:val="Hyperlink"/>
          </w:rPr>
          <w:t>B.2.2.4. Imputation for Item Non-Response</w:t>
        </w:r>
        <w:r>
          <w:rPr>
            <w:webHidden/>
          </w:rPr>
          <w:tab/>
        </w:r>
        <w:r>
          <w:rPr>
            <w:webHidden/>
          </w:rPr>
          <w:fldChar w:fldCharType="begin"/>
        </w:r>
        <w:r>
          <w:rPr>
            <w:webHidden/>
          </w:rPr>
          <w:instrText xml:space="preserve"> PAGEREF _Toc193357464 \h </w:instrText>
        </w:r>
        <w:r>
          <w:rPr>
            <w:webHidden/>
          </w:rPr>
          <w:fldChar w:fldCharType="separate"/>
        </w:r>
        <w:r>
          <w:rPr>
            <w:webHidden/>
          </w:rPr>
          <w:t>7</w:t>
        </w:r>
        <w:r>
          <w:rPr>
            <w:webHidden/>
          </w:rPr>
          <w:fldChar w:fldCharType="end"/>
        </w:r>
      </w:hyperlink>
    </w:p>
    <w:p w:rsidR="00F7453F" w:rsidRPr="006705AD" w14:paraId="1ECCCF77" w14:textId="77777777">
      <w:pPr>
        <w:pStyle w:val="TOC5"/>
        <w:tabs>
          <w:tab w:val="right" w:leader="dot" w:pos="9350"/>
        </w:tabs>
        <w:rPr>
          <w:rFonts w:ascii="Aptos" w:eastAsia="Times New Roman" w:hAnsi="Aptos"/>
          <w:noProof/>
          <w:kern w:val="2"/>
          <w:sz w:val="24"/>
          <w:szCs w:val="24"/>
        </w:rPr>
      </w:pPr>
      <w:hyperlink w:anchor="_Toc193357465" w:history="1">
        <w:r w:rsidRPr="005229E1">
          <w:rPr>
            <w:rStyle w:val="Hyperlink"/>
            <w:noProof/>
          </w:rPr>
          <w:t>B.2.2.4.1. Form EIA-23L</w:t>
        </w:r>
        <w:r>
          <w:rPr>
            <w:noProof/>
            <w:webHidden/>
          </w:rPr>
          <w:tab/>
        </w:r>
        <w:r>
          <w:rPr>
            <w:noProof/>
            <w:webHidden/>
          </w:rPr>
          <w:fldChar w:fldCharType="begin"/>
        </w:r>
        <w:r>
          <w:rPr>
            <w:noProof/>
            <w:webHidden/>
          </w:rPr>
          <w:instrText xml:space="preserve"> PAGEREF _Toc193357465 \h </w:instrText>
        </w:r>
        <w:r>
          <w:rPr>
            <w:noProof/>
            <w:webHidden/>
          </w:rPr>
          <w:fldChar w:fldCharType="separate"/>
        </w:r>
        <w:r>
          <w:rPr>
            <w:noProof/>
            <w:webHidden/>
          </w:rPr>
          <w:t>7</w:t>
        </w:r>
        <w:r>
          <w:rPr>
            <w:noProof/>
            <w:webHidden/>
          </w:rPr>
          <w:fldChar w:fldCharType="end"/>
        </w:r>
      </w:hyperlink>
    </w:p>
    <w:p w:rsidR="00F7453F" w:rsidRPr="006705AD" w14:paraId="323FD808" w14:textId="77777777">
      <w:pPr>
        <w:pStyle w:val="TOC5"/>
        <w:tabs>
          <w:tab w:val="right" w:leader="dot" w:pos="9350"/>
        </w:tabs>
        <w:rPr>
          <w:rFonts w:ascii="Aptos" w:eastAsia="Times New Roman" w:hAnsi="Aptos"/>
          <w:noProof/>
          <w:kern w:val="2"/>
          <w:sz w:val="24"/>
          <w:szCs w:val="24"/>
        </w:rPr>
      </w:pPr>
      <w:hyperlink w:anchor="_Toc193357466" w:history="1">
        <w:r w:rsidRPr="005229E1">
          <w:rPr>
            <w:rStyle w:val="Hyperlink"/>
            <w:noProof/>
          </w:rPr>
          <w:t>B.2.2.4.2. Form EIA-64A</w:t>
        </w:r>
        <w:r>
          <w:rPr>
            <w:noProof/>
            <w:webHidden/>
          </w:rPr>
          <w:tab/>
        </w:r>
        <w:r>
          <w:rPr>
            <w:noProof/>
            <w:webHidden/>
          </w:rPr>
          <w:fldChar w:fldCharType="begin"/>
        </w:r>
        <w:r>
          <w:rPr>
            <w:noProof/>
            <w:webHidden/>
          </w:rPr>
          <w:instrText xml:space="preserve"> PAGEREF _Toc193357466 \h </w:instrText>
        </w:r>
        <w:r>
          <w:rPr>
            <w:noProof/>
            <w:webHidden/>
          </w:rPr>
          <w:fldChar w:fldCharType="separate"/>
        </w:r>
        <w:r>
          <w:rPr>
            <w:noProof/>
            <w:webHidden/>
          </w:rPr>
          <w:t>7</w:t>
        </w:r>
        <w:r>
          <w:rPr>
            <w:noProof/>
            <w:webHidden/>
          </w:rPr>
          <w:fldChar w:fldCharType="end"/>
        </w:r>
      </w:hyperlink>
    </w:p>
    <w:p w:rsidR="00F7453F" w:rsidRPr="006705AD" w14:paraId="564F6F8A" w14:textId="77777777">
      <w:pPr>
        <w:pStyle w:val="TOC3"/>
        <w:rPr>
          <w:rFonts w:ascii="Aptos" w:eastAsia="Times New Roman" w:hAnsi="Aptos"/>
          <w:noProof/>
          <w:color w:val="auto"/>
          <w:kern w:val="2"/>
          <w:sz w:val="24"/>
          <w:szCs w:val="24"/>
        </w:rPr>
      </w:pPr>
      <w:hyperlink w:anchor="_Toc193357467" w:history="1">
        <w:r w:rsidRPr="005229E1">
          <w:rPr>
            <w:rStyle w:val="Hyperlink"/>
            <w:noProof/>
          </w:rPr>
          <w:t>B.2.3. Frame Maintenance</w:t>
        </w:r>
        <w:r>
          <w:rPr>
            <w:noProof/>
            <w:webHidden/>
          </w:rPr>
          <w:tab/>
        </w:r>
        <w:r>
          <w:rPr>
            <w:noProof/>
            <w:webHidden/>
          </w:rPr>
          <w:fldChar w:fldCharType="begin"/>
        </w:r>
        <w:r>
          <w:rPr>
            <w:noProof/>
            <w:webHidden/>
          </w:rPr>
          <w:instrText xml:space="preserve"> PAGEREF _Toc193357467 \h </w:instrText>
        </w:r>
        <w:r>
          <w:rPr>
            <w:noProof/>
            <w:webHidden/>
          </w:rPr>
          <w:fldChar w:fldCharType="separate"/>
        </w:r>
        <w:r>
          <w:rPr>
            <w:noProof/>
            <w:webHidden/>
          </w:rPr>
          <w:t>7</w:t>
        </w:r>
        <w:r>
          <w:rPr>
            <w:noProof/>
            <w:webHidden/>
          </w:rPr>
          <w:fldChar w:fldCharType="end"/>
        </w:r>
      </w:hyperlink>
    </w:p>
    <w:p w:rsidR="00F7453F" w:rsidRPr="006705AD" w14:paraId="4076E9A8" w14:textId="77777777">
      <w:pPr>
        <w:pStyle w:val="TOC5"/>
        <w:tabs>
          <w:tab w:val="right" w:leader="dot" w:pos="9350"/>
        </w:tabs>
        <w:rPr>
          <w:rFonts w:ascii="Aptos" w:eastAsia="Times New Roman" w:hAnsi="Aptos"/>
          <w:noProof/>
          <w:kern w:val="2"/>
          <w:sz w:val="24"/>
          <w:szCs w:val="24"/>
        </w:rPr>
      </w:pPr>
      <w:hyperlink w:anchor="_Toc193357468" w:history="1">
        <w:r w:rsidRPr="005229E1">
          <w:rPr>
            <w:rStyle w:val="Hyperlink"/>
            <w:noProof/>
          </w:rPr>
          <w:t>B.2.3.1. Form EIA-23L</w:t>
        </w:r>
        <w:r>
          <w:rPr>
            <w:noProof/>
            <w:webHidden/>
          </w:rPr>
          <w:tab/>
        </w:r>
        <w:r>
          <w:rPr>
            <w:noProof/>
            <w:webHidden/>
          </w:rPr>
          <w:fldChar w:fldCharType="begin"/>
        </w:r>
        <w:r>
          <w:rPr>
            <w:noProof/>
            <w:webHidden/>
          </w:rPr>
          <w:instrText xml:space="preserve"> PAGEREF _Toc193357468 \h </w:instrText>
        </w:r>
        <w:r>
          <w:rPr>
            <w:noProof/>
            <w:webHidden/>
          </w:rPr>
          <w:fldChar w:fldCharType="separate"/>
        </w:r>
        <w:r>
          <w:rPr>
            <w:noProof/>
            <w:webHidden/>
          </w:rPr>
          <w:t>7</w:t>
        </w:r>
        <w:r>
          <w:rPr>
            <w:noProof/>
            <w:webHidden/>
          </w:rPr>
          <w:fldChar w:fldCharType="end"/>
        </w:r>
      </w:hyperlink>
    </w:p>
    <w:p w:rsidR="00F7453F" w:rsidRPr="006705AD" w14:paraId="2CEEBAC8" w14:textId="77777777">
      <w:pPr>
        <w:pStyle w:val="TOC4"/>
        <w:rPr>
          <w:rFonts w:ascii="Aptos" w:eastAsia="Times New Roman" w:hAnsi="Aptos"/>
          <w:color w:val="auto"/>
          <w:kern w:val="2"/>
          <w:sz w:val="24"/>
          <w:szCs w:val="24"/>
        </w:rPr>
      </w:pPr>
      <w:hyperlink w:anchor="_Toc193357469" w:history="1">
        <w:r w:rsidRPr="005229E1">
          <w:rPr>
            <w:rStyle w:val="Hyperlink"/>
          </w:rPr>
          <w:t>B.2.3.1. Form EIA-64A</w:t>
        </w:r>
        <w:r>
          <w:rPr>
            <w:webHidden/>
          </w:rPr>
          <w:tab/>
        </w:r>
        <w:r>
          <w:rPr>
            <w:webHidden/>
          </w:rPr>
          <w:fldChar w:fldCharType="begin"/>
        </w:r>
        <w:r>
          <w:rPr>
            <w:webHidden/>
          </w:rPr>
          <w:instrText xml:space="preserve"> PAGEREF _Toc193357469 \h </w:instrText>
        </w:r>
        <w:r>
          <w:rPr>
            <w:webHidden/>
          </w:rPr>
          <w:fldChar w:fldCharType="separate"/>
        </w:r>
        <w:r>
          <w:rPr>
            <w:webHidden/>
          </w:rPr>
          <w:t>8</w:t>
        </w:r>
        <w:r>
          <w:rPr>
            <w:webHidden/>
          </w:rPr>
          <w:fldChar w:fldCharType="end"/>
        </w:r>
      </w:hyperlink>
    </w:p>
    <w:p w:rsidR="00F7453F" w:rsidRPr="006705AD" w14:paraId="5D8061F2" w14:textId="77777777">
      <w:pPr>
        <w:pStyle w:val="TOC3"/>
        <w:rPr>
          <w:rFonts w:ascii="Aptos" w:eastAsia="Times New Roman" w:hAnsi="Aptos"/>
          <w:noProof/>
          <w:color w:val="auto"/>
          <w:kern w:val="2"/>
          <w:sz w:val="24"/>
          <w:szCs w:val="24"/>
        </w:rPr>
      </w:pPr>
      <w:hyperlink w:anchor="_Toc193357470" w:history="1">
        <w:r w:rsidRPr="005229E1">
          <w:rPr>
            <w:rStyle w:val="Hyperlink"/>
            <w:noProof/>
          </w:rPr>
          <w:t>B.2.4. Efforts to Reduce Total Survey Error</w:t>
        </w:r>
        <w:r>
          <w:rPr>
            <w:noProof/>
            <w:webHidden/>
          </w:rPr>
          <w:tab/>
        </w:r>
        <w:r>
          <w:rPr>
            <w:noProof/>
            <w:webHidden/>
          </w:rPr>
          <w:fldChar w:fldCharType="begin"/>
        </w:r>
        <w:r>
          <w:rPr>
            <w:noProof/>
            <w:webHidden/>
          </w:rPr>
          <w:instrText xml:space="preserve"> PAGEREF _Toc193357470 \h </w:instrText>
        </w:r>
        <w:r>
          <w:rPr>
            <w:noProof/>
            <w:webHidden/>
          </w:rPr>
          <w:fldChar w:fldCharType="separate"/>
        </w:r>
        <w:r>
          <w:rPr>
            <w:noProof/>
            <w:webHidden/>
          </w:rPr>
          <w:t>8</w:t>
        </w:r>
        <w:r>
          <w:rPr>
            <w:noProof/>
            <w:webHidden/>
          </w:rPr>
          <w:fldChar w:fldCharType="end"/>
        </w:r>
      </w:hyperlink>
    </w:p>
    <w:p w:rsidR="00F7453F" w:rsidRPr="006705AD" w14:paraId="213A7235" w14:textId="77777777">
      <w:pPr>
        <w:pStyle w:val="TOC5"/>
        <w:tabs>
          <w:tab w:val="right" w:leader="dot" w:pos="9350"/>
        </w:tabs>
        <w:rPr>
          <w:rFonts w:ascii="Aptos" w:eastAsia="Times New Roman" w:hAnsi="Aptos"/>
          <w:noProof/>
          <w:kern w:val="2"/>
          <w:sz w:val="24"/>
          <w:szCs w:val="24"/>
        </w:rPr>
      </w:pPr>
      <w:hyperlink w:anchor="_Toc193357471" w:history="1">
        <w:r w:rsidRPr="005229E1">
          <w:rPr>
            <w:rStyle w:val="Hyperlink"/>
            <w:noProof/>
          </w:rPr>
          <w:t>B.2.4.1. Frame Coverage Errors</w:t>
        </w:r>
        <w:r>
          <w:rPr>
            <w:noProof/>
            <w:webHidden/>
          </w:rPr>
          <w:tab/>
        </w:r>
        <w:r>
          <w:rPr>
            <w:noProof/>
            <w:webHidden/>
          </w:rPr>
          <w:fldChar w:fldCharType="begin"/>
        </w:r>
        <w:r>
          <w:rPr>
            <w:noProof/>
            <w:webHidden/>
          </w:rPr>
          <w:instrText xml:space="preserve"> PAGEREF _Toc193357471 \h </w:instrText>
        </w:r>
        <w:r>
          <w:rPr>
            <w:noProof/>
            <w:webHidden/>
          </w:rPr>
          <w:fldChar w:fldCharType="separate"/>
        </w:r>
        <w:r>
          <w:rPr>
            <w:noProof/>
            <w:webHidden/>
          </w:rPr>
          <w:t>8</w:t>
        </w:r>
        <w:r>
          <w:rPr>
            <w:noProof/>
            <w:webHidden/>
          </w:rPr>
          <w:fldChar w:fldCharType="end"/>
        </w:r>
      </w:hyperlink>
    </w:p>
    <w:p w:rsidR="00F7453F" w:rsidRPr="006705AD" w14:paraId="5A3C274E" w14:textId="77777777">
      <w:pPr>
        <w:pStyle w:val="TOC5"/>
        <w:tabs>
          <w:tab w:val="right" w:leader="dot" w:pos="9350"/>
        </w:tabs>
        <w:rPr>
          <w:rFonts w:ascii="Aptos" w:eastAsia="Times New Roman" w:hAnsi="Aptos"/>
          <w:noProof/>
          <w:kern w:val="2"/>
          <w:sz w:val="24"/>
          <w:szCs w:val="24"/>
        </w:rPr>
      </w:pPr>
      <w:hyperlink w:anchor="_Toc193357472" w:history="1">
        <w:r w:rsidRPr="005229E1">
          <w:rPr>
            <w:rStyle w:val="Hyperlink"/>
            <w:noProof/>
          </w:rPr>
          <w:t>B.2.4.2. Reporting Errors and Data Processing Errors</w:t>
        </w:r>
        <w:r>
          <w:rPr>
            <w:noProof/>
            <w:webHidden/>
          </w:rPr>
          <w:tab/>
        </w:r>
        <w:r>
          <w:rPr>
            <w:noProof/>
            <w:webHidden/>
          </w:rPr>
          <w:fldChar w:fldCharType="begin"/>
        </w:r>
        <w:r>
          <w:rPr>
            <w:noProof/>
            <w:webHidden/>
          </w:rPr>
          <w:instrText xml:space="preserve"> PAGEREF _Toc193357472 \h </w:instrText>
        </w:r>
        <w:r>
          <w:rPr>
            <w:noProof/>
            <w:webHidden/>
          </w:rPr>
          <w:fldChar w:fldCharType="separate"/>
        </w:r>
        <w:r>
          <w:rPr>
            <w:noProof/>
            <w:webHidden/>
          </w:rPr>
          <w:t>8</w:t>
        </w:r>
        <w:r>
          <w:rPr>
            <w:noProof/>
            <w:webHidden/>
          </w:rPr>
          <w:fldChar w:fldCharType="end"/>
        </w:r>
      </w:hyperlink>
    </w:p>
    <w:p w:rsidR="00F7453F" w:rsidRPr="006705AD" w14:paraId="50BCC330" w14:textId="77777777">
      <w:pPr>
        <w:pStyle w:val="TOC5"/>
        <w:tabs>
          <w:tab w:val="right" w:leader="dot" w:pos="9350"/>
        </w:tabs>
        <w:rPr>
          <w:rFonts w:ascii="Aptos" w:eastAsia="Times New Roman" w:hAnsi="Aptos"/>
          <w:noProof/>
          <w:kern w:val="2"/>
          <w:sz w:val="24"/>
          <w:szCs w:val="24"/>
        </w:rPr>
      </w:pPr>
      <w:hyperlink w:anchor="_Toc193357473" w:history="1">
        <w:r w:rsidRPr="005229E1">
          <w:rPr>
            <w:rStyle w:val="Hyperlink"/>
            <w:noProof/>
          </w:rPr>
          <w:t>B.2.4.3. Estimation Errors by Respondents</w:t>
        </w:r>
        <w:r>
          <w:rPr>
            <w:noProof/>
            <w:webHidden/>
          </w:rPr>
          <w:tab/>
        </w:r>
        <w:r>
          <w:rPr>
            <w:noProof/>
            <w:webHidden/>
          </w:rPr>
          <w:fldChar w:fldCharType="begin"/>
        </w:r>
        <w:r>
          <w:rPr>
            <w:noProof/>
            <w:webHidden/>
          </w:rPr>
          <w:instrText xml:space="preserve"> PAGEREF _Toc193357473 \h </w:instrText>
        </w:r>
        <w:r>
          <w:rPr>
            <w:noProof/>
            <w:webHidden/>
          </w:rPr>
          <w:fldChar w:fldCharType="separate"/>
        </w:r>
        <w:r>
          <w:rPr>
            <w:noProof/>
            <w:webHidden/>
          </w:rPr>
          <w:t>8</w:t>
        </w:r>
        <w:r>
          <w:rPr>
            <w:noProof/>
            <w:webHidden/>
          </w:rPr>
          <w:fldChar w:fldCharType="end"/>
        </w:r>
      </w:hyperlink>
    </w:p>
    <w:p w:rsidR="00F7453F" w:rsidRPr="006705AD" w14:paraId="7498D8D5" w14:textId="77777777">
      <w:pPr>
        <w:pStyle w:val="TOC5"/>
        <w:tabs>
          <w:tab w:val="right" w:leader="dot" w:pos="9350"/>
        </w:tabs>
        <w:rPr>
          <w:rFonts w:ascii="Aptos" w:eastAsia="Times New Roman" w:hAnsi="Aptos"/>
          <w:noProof/>
          <w:kern w:val="2"/>
          <w:sz w:val="24"/>
          <w:szCs w:val="24"/>
        </w:rPr>
      </w:pPr>
      <w:hyperlink w:anchor="_Toc193357474" w:history="1">
        <w:r w:rsidRPr="005229E1">
          <w:rPr>
            <w:rStyle w:val="Hyperlink"/>
            <w:noProof/>
          </w:rPr>
          <w:t>B.2.4.4. Sampling Errors</w:t>
        </w:r>
        <w:r>
          <w:rPr>
            <w:noProof/>
            <w:webHidden/>
          </w:rPr>
          <w:tab/>
        </w:r>
        <w:r>
          <w:rPr>
            <w:noProof/>
            <w:webHidden/>
          </w:rPr>
          <w:fldChar w:fldCharType="begin"/>
        </w:r>
        <w:r>
          <w:rPr>
            <w:noProof/>
            <w:webHidden/>
          </w:rPr>
          <w:instrText xml:space="preserve"> PAGEREF _Toc193357474 \h </w:instrText>
        </w:r>
        <w:r>
          <w:rPr>
            <w:noProof/>
            <w:webHidden/>
          </w:rPr>
          <w:fldChar w:fldCharType="separate"/>
        </w:r>
        <w:r>
          <w:rPr>
            <w:noProof/>
            <w:webHidden/>
          </w:rPr>
          <w:t>9</w:t>
        </w:r>
        <w:r>
          <w:rPr>
            <w:noProof/>
            <w:webHidden/>
          </w:rPr>
          <w:fldChar w:fldCharType="end"/>
        </w:r>
      </w:hyperlink>
    </w:p>
    <w:p w:rsidR="00F7453F" w:rsidRPr="006705AD" w14:paraId="26C35FC3" w14:textId="77777777">
      <w:pPr>
        <w:pStyle w:val="TOC2"/>
        <w:rPr>
          <w:rFonts w:ascii="Aptos" w:eastAsia="Times New Roman" w:hAnsi="Aptos"/>
          <w:noProof/>
          <w:color w:val="auto"/>
          <w:kern w:val="2"/>
          <w:sz w:val="24"/>
          <w:szCs w:val="24"/>
        </w:rPr>
      </w:pPr>
      <w:hyperlink w:anchor="_Toc193357475" w:history="1">
        <w:r w:rsidRPr="005229E1">
          <w:rPr>
            <w:rStyle w:val="Hyperlink"/>
            <w:noProof/>
          </w:rPr>
          <w:t>B.3. Maximizing Response Rates</w:t>
        </w:r>
        <w:r>
          <w:rPr>
            <w:noProof/>
            <w:webHidden/>
          </w:rPr>
          <w:tab/>
        </w:r>
        <w:r>
          <w:rPr>
            <w:noProof/>
            <w:webHidden/>
          </w:rPr>
          <w:fldChar w:fldCharType="begin"/>
        </w:r>
        <w:r>
          <w:rPr>
            <w:noProof/>
            <w:webHidden/>
          </w:rPr>
          <w:instrText xml:space="preserve"> PAGEREF _Toc193357475 \h </w:instrText>
        </w:r>
        <w:r>
          <w:rPr>
            <w:noProof/>
            <w:webHidden/>
          </w:rPr>
          <w:fldChar w:fldCharType="separate"/>
        </w:r>
        <w:r>
          <w:rPr>
            <w:noProof/>
            <w:webHidden/>
          </w:rPr>
          <w:t>9</w:t>
        </w:r>
        <w:r>
          <w:rPr>
            <w:noProof/>
            <w:webHidden/>
          </w:rPr>
          <w:fldChar w:fldCharType="end"/>
        </w:r>
      </w:hyperlink>
    </w:p>
    <w:p w:rsidR="00F7453F" w:rsidRPr="006705AD" w14:paraId="303D8366" w14:textId="77777777">
      <w:pPr>
        <w:pStyle w:val="TOC2"/>
        <w:rPr>
          <w:rFonts w:ascii="Aptos" w:eastAsia="Times New Roman" w:hAnsi="Aptos"/>
          <w:noProof/>
          <w:color w:val="auto"/>
          <w:kern w:val="2"/>
          <w:sz w:val="24"/>
          <w:szCs w:val="24"/>
        </w:rPr>
      </w:pPr>
      <w:hyperlink w:anchor="_Toc193357476" w:history="1">
        <w:r w:rsidRPr="005229E1">
          <w:rPr>
            <w:rStyle w:val="Hyperlink"/>
            <w:noProof/>
          </w:rPr>
          <w:t>B.4. Test Procedures and Form Consultations</w:t>
        </w:r>
        <w:r>
          <w:rPr>
            <w:noProof/>
            <w:webHidden/>
          </w:rPr>
          <w:tab/>
        </w:r>
        <w:r>
          <w:rPr>
            <w:noProof/>
            <w:webHidden/>
          </w:rPr>
          <w:fldChar w:fldCharType="begin"/>
        </w:r>
        <w:r>
          <w:rPr>
            <w:noProof/>
            <w:webHidden/>
          </w:rPr>
          <w:instrText xml:space="preserve"> PAGEREF _Toc193357476 \h </w:instrText>
        </w:r>
        <w:r>
          <w:rPr>
            <w:noProof/>
            <w:webHidden/>
          </w:rPr>
          <w:fldChar w:fldCharType="separate"/>
        </w:r>
        <w:r>
          <w:rPr>
            <w:noProof/>
            <w:webHidden/>
          </w:rPr>
          <w:t>9</w:t>
        </w:r>
        <w:r>
          <w:rPr>
            <w:noProof/>
            <w:webHidden/>
          </w:rPr>
          <w:fldChar w:fldCharType="end"/>
        </w:r>
      </w:hyperlink>
    </w:p>
    <w:p w:rsidR="00F7453F" w:rsidRPr="006705AD" w14:paraId="42E6A570" w14:textId="77777777">
      <w:pPr>
        <w:pStyle w:val="TOC2"/>
        <w:rPr>
          <w:rFonts w:ascii="Aptos" w:eastAsia="Times New Roman" w:hAnsi="Aptos"/>
          <w:noProof/>
          <w:color w:val="auto"/>
          <w:kern w:val="2"/>
          <w:sz w:val="24"/>
          <w:szCs w:val="24"/>
        </w:rPr>
      </w:pPr>
      <w:hyperlink w:anchor="_Toc193357477" w:history="1">
        <w:r w:rsidRPr="005229E1">
          <w:rPr>
            <w:rStyle w:val="Hyperlink"/>
            <w:noProof/>
          </w:rPr>
          <w:t>B.5. Statistical Consultations</w:t>
        </w:r>
        <w:r>
          <w:rPr>
            <w:noProof/>
            <w:webHidden/>
          </w:rPr>
          <w:tab/>
        </w:r>
        <w:r>
          <w:rPr>
            <w:noProof/>
            <w:webHidden/>
          </w:rPr>
          <w:fldChar w:fldCharType="begin"/>
        </w:r>
        <w:r>
          <w:rPr>
            <w:noProof/>
            <w:webHidden/>
          </w:rPr>
          <w:instrText xml:space="preserve"> PAGEREF _Toc193357477 \h </w:instrText>
        </w:r>
        <w:r>
          <w:rPr>
            <w:noProof/>
            <w:webHidden/>
          </w:rPr>
          <w:fldChar w:fldCharType="separate"/>
        </w:r>
        <w:r>
          <w:rPr>
            <w:noProof/>
            <w:webHidden/>
          </w:rPr>
          <w:t>10</w:t>
        </w:r>
        <w:r>
          <w:rPr>
            <w:noProof/>
            <w:webHidden/>
          </w:rPr>
          <w:fldChar w:fldCharType="end"/>
        </w:r>
      </w:hyperlink>
    </w:p>
    <w:p w:rsidR="00AD6244" w14:paraId="25659B2C" w14:textId="77777777">
      <w:r w:rsidRPr="00E054DF">
        <w:rPr>
          <w:b/>
          <w:bCs/>
          <w:noProof/>
          <w:color w:val="000000"/>
        </w:rPr>
        <w:fldChar w:fldCharType="end"/>
      </w:r>
    </w:p>
    <w:p w:rsidR="00E054DF" w:rsidRPr="00E054DF" w:rsidP="006D2060" w14:paraId="45FEA686" w14:textId="77777777">
      <w:pPr>
        <w:pStyle w:val="Heading2"/>
        <w:rPr>
          <w:noProof/>
        </w:rPr>
      </w:pPr>
      <w:r>
        <w:rPr>
          <w:noProof/>
        </w:rPr>
        <w:br w:type="page"/>
      </w:r>
      <w:bookmarkStart w:id="1" w:name="_Toc466046934"/>
      <w:bookmarkStart w:id="2" w:name="_Toc193357453"/>
      <w:r w:rsidRPr="008F3737">
        <w:rPr>
          <w:noProof/>
        </w:rPr>
        <w:t xml:space="preserve">B.1. </w:t>
      </w:r>
      <w:r w:rsidRPr="00A24F9F">
        <w:rPr>
          <w:rFonts w:cs="Calibri"/>
          <w:noProof/>
        </w:rPr>
        <w:t>Respondent</w:t>
      </w:r>
      <w:r w:rsidRPr="008F3737">
        <w:rPr>
          <w:noProof/>
        </w:rPr>
        <w:t xml:space="preserve"> Universe</w:t>
      </w:r>
      <w:bookmarkEnd w:id="1"/>
      <w:bookmarkEnd w:id="2"/>
    </w:p>
    <w:tbl>
      <w:tblPr>
        <w:tblW w:w="0" w:type="auto"/>
        <w:tblLook w:val="04A0"/>
      </w:tblPr>
      <w:tblGrid>
        <w:gridCol w:w="3106"/>
        <w:gridCol w:w="3127"/>
        <w:gridCol w:w="3127"/>
      </w:tblGrid>
      <w:tr w14:paraId="7A3D5570" w14:textId="77777777" w:rsidTr="003F6E5F">
        <w:tblPrEx>
          <w:tblW w:w="0" w:type="auto"/>
          <w:tblLook w:val="04A0"/>
        </w:tblPrEx>
        <w:tc>
          <w:tcPr>
            <w:tcW w:w="3192" w:type="dxa"/>
            <w:tcBorders>
              <w:bottom w:val="single" w:sz="18" w:space="0" w:color="0096D7"/>
            </w:tcBorders>
            <w:vAlign w:val="bottom"/>
          </w:tcPr>
          <w:p w:rsidR="00A24F9F" w:rsidRPr="003F6E5F" w:rsidP="003F6E5F" w14:paraId="55473DB7" w14:textId="77777777">
            <w:pPr>
              <w:rPr>
                <w:b/>
                <w:noProof/>
              </w:rPr>
            </w:pPr>
            <w:r w:rsidRPr="003F6E5F">
              <w:rPr>
                <w:b/>
                <w:noProof/>
              </w:rPr>
              <w:t xml:space="preserve">Survey </w:t>
            </w:r>
          </w:p>
        </w:tc>
        <w:tc>
          <w:tcPr>
            <w:tcW w:w="3192" w:type="dxa"/>
            <w:tcBorders>
              <w:bottom w:val="single" w:sz="18" w:space="0" w:color="0096D7"/>
            </w:tcBorders>
            <w:vAlign w:val="bottom"/>
          </w:tcPr>
          <w:p w:rsidR="00A24F9F" w:rsidRPr="003F6E5F" w:rsidP="003F6E5F" w14:paraId="291789EC" w14:textId="15F3943F">
            <w:pPr>
              <w:jc w:val="right"/>
              <w:rPr>
                <w:b/>
                <w:noProof/>
              </w:rPr>
            </w:pPr>
            <w:r>
              <w:rPr>
                <w:b/>
                <w:noProof/>
              </w:rPr>
              <w:t>Approximate</w:t>
            </w:r>
            <w:r w:rsidRPr="003F6E5F">
              <w:rPr>
                <w:b/>
                <w:noProof/>
              </w:rPr>
              <w:t xml:space="preserve"> </w:t>
            </w:r>
            <w:r w:rsidRPr="003F6E5F">
              <w:rPr>
                <w:b/>
                <w:noProof/>
              </w:rPr>
              <w:t>Population</w:t>
            </w:r>
            <w:r>
              <w:rPr>
                <w:b/>
                <w:noProof/>
              </w:rPr>
              <w:t xml:space="preserve"> Size</w:t>
            </w:r>
          </w:p>
        </w:tc>
        <w:tc>
          <w:tcPr>
            <w:tcW w:w="3192" w:type="dxa"/>
            <w:tcBorders>
              <w:bottom w:val="single" w:sz="18" w:space="0" w:color="0096D7"/>
            </w:tcBorders>
            <w:vAlign w:val="bottom"/>
          </w:tcPr>
          <w:p w:rsidR="00A24F9F" w:rsidRPr="003F6E5F" w:rsidP="003F6E5F" w14:paraId="0712E08E" w14:textId="3C8AE3DE">
            <w:pPr>
              <w:jc w:val="right"/>
              <w:rPr>
                <w:b/>
                <w:noProof/>
              </w:rPr>
            </w:pPr>
            <w:r>
              <w:rPr>
                <w:b/>
                <w:noProof/>
              </w:rPr>
              <w:t xml:space="preserve">Approximate </w:t>
            </w:r>
            <w:r w:rsidRPr="003F6E5F">
              <w:rPr>
                <w:b/>
                <w:noProof/>
              </w:rPr>
              <w:t>Sample</w:t>
            </w:r>
            <w:r>
              <w:rPr>
                <w:b/>
                <w:noProof/>
              </w:rPr>
              <w:t xml:space="preserve"> Size</w:t>
            </w:r>
          </w:p>
        </w:tc>
      </w:tr>
      <w:tr w14:paraId="033667FB" w14:textId="77777777" w:rsidTr="003F6E5F">
        <w:tblPrEx>
          <w:tblW w:w="0" w:type="auto"/>
          <w:tblLook w:val="04A0"/>
        </w:tblPrEx>
        <w:tc>
          <w:tcPr>
            <w:tcW w:w="3192" w:type="dxa"/>
            <w:tcBorders>
              <w:bottom w:val="dashed" w:sz="4" w:space="0" w:color="BFBFBF"/>
            </w:tcBorders>
          </w:tcPr>
          <w:p w:rsidR="00A24F9F" w:rsidP="003F6E5F" w14:paraId="1E03B030" w14:textId="77777777">
            <w:pPr>
              <w:rPr>
                <w:noProof/>
              </w:rPr>
            </w:pPr>
            <w:r>
              <w:rPr>
                <w:noProof/>
              </w:rPr>
              <w:t>Form EIA-23L</w:t>
            </w:r>
          </w:p>
        </w:tc>
        <w:tc>
          <w:tcPr>
            <w:tcW w:w="3192" w:type="dxa"/>
            <w:tcBorders>
              <w:bottom w:val="dashed" w:sz="4" w:space="0" w:color="BFBFBF"/>
            </w:tcBorders>
          </w:tcPr>
          <w:p w:rsidR="00A24F9F" w:rsidP="003F6E5F" w14:paraId="0E8AD6B7" w14:textId="77777777">
            <w:pPr>
              <w:jc w:val="right"/>
              <w:rPr>
                <w:noProof/>
              </w:rPr>
            </w:pPr>
            <w:r>
              <w:rPr>
                <w:noProof/>
              </w:rPr>
              <w:t>15,000</w:t>
            </w:r>
          </w:p>
        </w:tc>
        <w:tc>
          <w:tcPr>
            <w:tcW w:w="3192" w:type="dxa"/>
            <w:tcBorders>
              <w:bottom w:val="dashed" w:sz="4" w:space="0" w:color="BFBFBF"/>
            </w:tcBorders>
          </w:tcPr>
          <w:p w:rsidR="00A24F9F" w:rsidP="003F6E5F" w14:paraId="7F5BE393" w14:textId="77777777">
            <w:pPr>
              <w:jc w:val="right"/>
              <w:rPr>
                <w:noProof/>
              </w:rPr>
            </w:pPr>
            <w:r>
              <w:rPr>
                <w:noProof/>
              </w:rPr>
              <w:t>420</w:t>
            </w:r>
          </w:p>
        </w:tc>
      </w:tr>
      <w:tr w14:paraId="0AA2BF75" w14:textId="77777777" w:rsidTr="003F6E5F">
        <w:tblPrEx>
          <w:tblW w:w="0" w:type="auto"/>
          <w:tblLook w:val="04A0"/>
        </w:tblPrEx>
        <w:tc>
          <w:tcPr>
            <w:tcW w:w="3192" w:type="dxa"/>
            <w:tcBorders>
              <w:bottom w:val="dashed" w:sz="4" w:space="0" w:color="BFBFBF"/>
            </w:tcBorders>
          </w:tcPr>
          <w:p w:rsidR="00A24F9F" w:rsidP="003F6E5F" w14:paraId="593FB91C" w14:textId="77777777">
            <w:pPr>
              <w:rPr>
                <w:noProof/>
              </w:rPr>
            </w:pPr>
            <w:r>
              <w:rPr>
                <w:noProof/>
              </w:rPr>
              <w:t>Form EIA-64A</w:t>
            </w:r>
          </w:p>
        </w:tc>
        <w:tc>
          <w:tcPr>
            <w:tcW w:w="3192" w:type="dxa"/>
            <w:tcBorders>
              <w:bottom w:val="dashed" w:sz="4" w:space="0" w:color="BFBFBF"/>
            </w:tcBorders>
          </w:tcPr>
          <w:p w:rsidR="00A24F9F" w:rsidP="003F6E5F" w14:paraId="7CAD5876" w14:textId="77777777">
            <w:pPr>
              <w:jc w:val="right"/>
              <w:rPr>
                <w:noProof/>
              </w:rPr>
            </w:pPr>
            <w:r>
              <w:rPr>
                <w:noProof/>
              </w:rPr>
              <w:t>458</w:t>
            </w:r>
          </w:p>
        </w:tc>
        <w:tc>
          <w:tcPr>
            <w:tcW w:w="3192" w:type="dxa"/>
            <w:tcBorders>
              <w:bottom w:val="dashed" w:sz="4" w:space="0" w:color="BFBFBF"/>
            </w:tcBorders>
          </w:tcPr>
          <w:p w:rsidR="00A24F9F" w:rsidP="003F6E5F" w14:paraId="2127B04A" w14:textId="77777777">
            <w:pPr>
              <w:jc w:val="right"/>
              <w:rPr>
                <w:noProof/>
              </w:rPr>
            </w:pPr>
            <w:r>
              <w:rPr>
                <w:noProof/>
              </w:rPr>
              <w:t>458</w:t>
            </w:r>
          </w:p>
        </w:tc>
      </w:tr>
    </w:tbl>
    <w:p w:rsidR="005C728D" w:rsidRPr="00A24F9F" w:rsidP="00A24F9F" w14:paraId="2097A44D" w14:textId="77777777">
      <w:pPr>
        <w:pStyle w:val="Heading3"/>
      </w:pPr>
      <w:bookmarkStart w:id="3" w:name="_Toc193357454"/>
      <w:r w:rsidRPr="00A24F9F">
        <w:t>B.1.1</w:t>
      </w:r>
      <w:r w:rsidR="00F7453F">
        <w:t>.</w:t>
      </w:r>
      <w:r w:rsidRPr="00A24F9F">
        <w:t xml:space="preserve"> </w:t>
      </w:r>
      <w:r w:rsidRPr="00A24F9F">
        <w:t>Form EIA-23L</w:t>
      </w:r>
      <w:bookmarkEnd w:id="3"/>
    </w:p>
    <w:p w:rsidR="005C728D" w:rsidP="005C728D" w14:paraId="7486EBAC" w14:textId="79356614">
      <w:pPr>
        <w:rPr>
          <w:iCs/>
        </w:rPr>
      </w:pPr>
      <w:r w:rsidRPr="003C6570">
        <w:rPr>
          <w:iCs/>
        </w:rPr>
        <w:t xml:space="preserve">Form EIA-23L, Annual Survey of Domestic Oil and Gas Reserves, collects data on domestic production and reserves of crude oil, condensate, and natural gas. Each </w:t>
      </w:r>
      <w:r>
        <w:rPr>
          <w:iCs/>
        </w:rPr>
        <w:t>respondent</w:t>
      </w:r>
      <w:r w:rsidRPr="003C6570">
        <w:rPr>
          <w:iCs/>
        </w:rPr>
        <w:t xml:space="preserve"> report</w:t>
      </w:r>
      <w:r>
        <w:rPr>
          <w:iCs/>
        </w:rPr>
        <w:t>s</w:t>
      </w:r>
      <w:r w:rsidRPr="003C6570">
        <w:rPr>
          <w:iCs/>
        </w:rPr>
        <w:t xml:space="preserve"> proved reserves and production for crude oil</w:t>
      </w:r>
      <w:r w:rsidRPr="001444B0">
        <w:rPr>
          <w:iCs/>
        </w:rPr>
        <w:t xml:space="preserve"> </w:t>
      </w:r>
      <w:r w:rsidRPr="003C6570">
        <w:rPr>
          <w:iCs/>
        </w:rPr>
        <w:t xml:space="preserve">and lease condensate, </w:t>
      </w:r>
      <w:r>
        <w:rPr>
          <w:iCs/>
        </w:rPr>
        <w:t xml:space="preserve">and </w:t>
      </w:r>
      <w:r w:rsidRPr="003C6570">
        <w:rPr>
          <w:iCs/>
        </w:rPr>
        <w:t xml:space="preserve">natural gas, by </w:t>
      </w:r>
      <w:r>
        <w:rPr>
          <w:iCs/>
        </w:rPr>
        <w:t>state/state subdivision</w:t>
      </w:r>
      <w:r w:rsidRPr="003C6570">
        <w:rPr>
          <w:iCs/>
        </w:rPr>
        <w:t xml:space="preserve"> in which it operates, as well as the reservoir type associated with the reserves.</w:t>
      </w:r>
      <w:r w:rsidR="00B93225">
        <w:rPr>
          <w:iCs/>
        </w:rPr>
        <w:t xml:space="preserve"> Operators </w:t>
      </w:r>
      <w:r w:rsidR="003B6154">
        <w:rPr>
          <w:iCs/>
        </w:rPr>
        <w:t>report the</w:t>
      </w:r>
      <w:r w:rsidR="00924D17">
        <w:rPr>
          <w:iCs/>
        </w:rPr>
        <w:t xml:space="preserve"> subtotal of proved reserves from shale plays on Section</w:t>
      </w:r>
      <w:r>
        <w:rPr>
          <w:iCs/>
        </w:rPr>
        <w:t xml:space="preserve"> 5 of Form EIA-23L.</w:t>
      </w:r>
    </w:p>
    <w:p w:rsidR="005C728D" w:rsidRPr="003C6570" w:rsidP="005C728D" w14:paraId="770C0D2F" w14:textId="48DEC1A5">
      <w:pPr>
        <w:rPr>
          <w:iCs/>
        </w:rPr>
      </w:pPr>
      <w:r>
        <w:rPr>
          <w:iCs/>
        </w:rPr>
        <w:t>T</w:t>
      </w:r>
      <w:r w:rsidRPr="003C6570">
        <w:rPr>
          <w:iCs/>
        </w:rPr>
        <w:t xml:space="preserve">he respondent population for Form EIA-23L </w:t>
      </w:r>
      <w:r>
        <w:rPr>
          <w:iCs/>
        </w:rPr>
        <w:t xml:space="preserve">is the </w:t>
      </w:r>
      <w:r w:rsidR="00B00DF3">
        <w:rPr>
          <w:iCs/>
        </w:rPr>
        <w:t xml:space="preserve">population of </w:t>
      </w:r>
      <w:r>
        <w:rPr>
          <w:iCs/>
        </w:rPr>
        <w:t>o</w:t>
      </w:r>
      <w:r w:rsidRPr="003C6570">
        <w:rPr>
          <w:iCs/>
        </w:rPr>
        <w:t>perators of crude oil and natural gas wells</w:t>
      </w:r>
      <w:r w:rsidR="00B00DF3">
        <w:rPr>
          <w:iCs/>
        </w:rPr>
        <w:t>. W</w:t>
      </w:r>
      <w:r w:rsidRPr="003C6570">
        <w:rPr>
          <w:iCs/>
        </w:rPr>
        <w:t>ell operators have access to the most current and detailed reserves information</w:t>
      </w:r>
      <w:r w:rsidR="00B00DF3">
        <w:rPr>
          <w:iCs/>
        </w:rPr>
        <w:t xml:space="preserve">, providing them with </w:t>
      </w:r>
      <w:r w:rsidRPr="003C6570">
        <w:rPr>
          <w:iCs/>
        </w:rPr>
        <w:t>better proved reserves estimates than other possible classes of respondents, such as working interest or royalty owners.</w:t>
      </w:r>
    </w:p>
    <w:p w:rsidR="005C728D" w:rsidRPr="003C6570" w:rsidP="005C728D" w14:paraId="2462ACE7" w14:textId="3BBD4CE0">
      <w:r>
        <w:t xml:space="preserve">The universe of currently active oil and natural gas well operators in the United States contains roughly 15,000 operators. Though the very large operating companies (e.g. ExxonMobil Corporation, ConocoPhillips, Chevron, BP, Shell Oil Corporation) are well-known to EIA, they comprise only a small portion of all U.S. operators. The 200 largest operators produce more than 85% of the nation’s oil and natural gas. The small volume well operators are difficult to identify because they go into and out of business more easily, frequently alter their corporate identities, make relatively large property </w:t>
      </w:r>
      <w:r w:rsidR="2A0822CA">
        <w:t>divestiture</w:t>
      </w:r>
      <w:r>
        <w:t xml:space="preserve">s and acquisitions that significantly change their size, and often change addresses. </w:t>
      </w:r>
      <w:r w:rsidR="004F4350">
        <w:t>The private company Enervus sells a well</w:t>
      </w:r>
      <w:r w:rsidR="00B00DF3">
        <w:t>-</w:t>
      </w:r>
      <w:r w:rsidR="004F4350">
        <w:t xml:space="preserve">level </w:t>
      </w:r>
      <w:r w:rsidR="003B38D1">
        <w:t>data set</w:t>
      </w:r>
      <w:r w:rsidR="004F4350">
        <w:t xml:space="preserve"> of monthly production created </w:t>
      </w:r>
      <w:r w:rsidR="00B00DF3">
        <w:t>by</w:t>
      </w:r>
      <w:r w:rsidR="004F4350">
        <w:t xml:space="preserve"> amalgamating data obtained from state agencies. EIA uses the Enervus dataset as the primary source for defining the population for the EIA-23L. </w:t>
      </w:r>
      <w:r w:rsidR="00B00DF3">
        <w:t>This data is further supplemented with state agency data for certain states that are not present in the data. From this dataset the EIA-23L sample is selected.</w:t>
      </w:r>
      <w:r w:rsidR="004F4350">
        <w:t xml:space="preserve"> </w:t>
      </w:r>
      <w:r w:rsidR="005F29A0">
        <w:t>I</w:t>
      </w:r>
      <w:r>
        <w:t>ndustry newsletters, commercial data vendors, and the EIA-914</w:t>
      </w:r>
      <w:r w:rsidR="00A942B7">
        <w:t>,</w:t>
      </w:r>
      <w:r w:rsidRPr="00A942B7" w:rsidR="00A942B7">
        <w:t xml:space="preserve"> </w:t>
      </w:r>
      <w:r w:rsidRPr="00DD4C72" w:rsidR="00A942B7">
        <w:t>Monthly Crude Oil and Lease Condensate, and Natural Gas Production Report</w:t>
      </w:r>
      <w:r w:rsidR="00A942B7">
        <w:t>,</w:t>
      </w:r>
      <w:r w:rsidR="005F29A0">
        <w:t xml:space="preserve"> provide information on mergers, acquisitions, and property transfers.</w:t>
      </w:r>
    </w:p>
    <w:p w:rsidR="005C728D" w:rsidRPr="00A24F9F" w:rsidP="00A24F9F" w14:paraId="788FD1E3" w14:textId="77777777">
      <w:pPr>
        <w:pStyle w:val="Heading3"/>
      </w:pPr>
      <w:bookmarkStart w:id="4" w:name="_Toc193357455"/>
      <w:r>
        <w:t>B.1.2</w:t>
      </w:r>
      <w:r w:rsidR="00F7453F">
        <w:t>.</w:t>
      </w:r>
      <w:r>
        <w:t xml:space="preserve"> </w:t>
      </w:r>
      <w:r w:rsidRPr="00A24F9F">
        <w:t>Form EIA-64A</w:t>
      </w:r>
      <w:bookmarkEnd w:id="4"/>
    </w:p>
    <w:p w:rsidR="005C728D" w:rsidRPr="003C6570" w:rsidP="005C728D" w14:paraId="4073E59B" w14:textId="629EF7E3">
      <w:pPr>
        <w:rPr>
          <w:iCs/>
        </w:rPr>
      </w:pPr>
      <w:r w:rsidRPr="003C6570">
        <w:rPr>
          <w:iCs/>
        </w:rPr>
        <w:t>Form EIA-64</w:t>
      </w:r>
      <w:r w:rsidRPr="003C6570" w:rsidR="00AE20B3">
        <w:rPr>
          <w:iCs/>
        </w:rPr>
        <w:t>A</w:t>
      </w:r>
      <w:r w:rsidR="00AE20B3">
        <w:rPr>
          <w:iCs/>
        </w:rPr>
        <w:t>,</w:t>
      </w:r>
      <w:r w:rsidRPr="003B6154" w:rsidR="00A43063">
        <w:rPr>
          <w:iCs/>
        </w:rPr>
        <w:t xml:space="preserve"> </w:t>
      </w:r>
      <w:r w:rsidRPr="003B6154" w:rsidR="00A43063">
        <w:rPr>
          <w:i/>
        </w:rPr>
        <w:t>Annual Report of the Origin of Natural Gas Liquids Production</w:t>
      </w:r>
      <w:r w:rsidR="00A43063">
        <w:rPr>
          <w:iCs/>
          <w:sz w:val="24"/>
          <w:szCs w:val="24"/>
        </w:rPr>
        <w:t xml:space="preserve">, </w:t>
      </w:r>
      <w:r w:rsidRPr="003C6570">
        <w:rPr>
          <w:iCs/>
        </w:rPr>
        <w:t>collects data on production of natural gas liquids.</w:t>
      </w:r>
      <w:r>
        <w:rPr>
          <w:iCs/>
        </w:rPr>
        <w:t xml:space="preserve"> </w:t>
      </w:r>
      <w:r w:rsidRPr="003C6570">
        <w:rPr>
          <w:iCs/>
        </w:rPr>
        <w:t xml:space="preserve">The EIA-64A is a census of natural gas processing plants. All natural gas processing plant operators </w:t>
      </w:r>
      <w:r w:rsidR="005F29A0">
        <w:rPr>
          <w:iCs/>
        </w:rPr>
        <w:t>must</w:t>
      </w:r>
      <w:r w:rsidRPr="003C6570">
        <w:rPr>
          <w:iCs/>
        </w:rPr>
        <w:t xml:space="preserve"> file </w:t>
      </w:r>
      <w:r w:rsidR="005F29A0">
        <w:rPr>
          <w:iCs/>
        </w:rPr>
        <w:t xml:space="preserve">a </w:t>
      </w:r>
      <w:r w:rsidRPr="003C6570">
        <w:rPr>
          <w:iCs/>
        </w:rPr>
        <w:t>Form EIA-64A for each plant</w:t>
      </w:r>
      <w:r>
        <w:rPr>
          <w:iCs/>
        </w:rPr>
        <w:t xml:space="preserve"> that they own</w:t>
      </w:r>
      <w:r w:rsidRPr="003C6570">
        <w:rPr>
          <w:iCs/>
        </w:rPr>
        <w:t xml:space="preserve">. </w:t>
      </w:r>
      <w:r>
        <w:rPr>
          <w:iCs/>
        </w:rPr>
        <w:t>Natural gas processing p</w:t>
      </w:r>
      <w:r w:rsidRPr="003C6570">
        <w:rPr>
          <w:iCs/>
        </w:rPr>
        <w:t xml:space="preserve">lants report natural gas liquids production by the area of origin of the natural gas processed. </w:t>
      </w:r>
    </w:p>
    <w:p w:rsidR="005C728D" w:rsidRPr="003C6570" w:rsidP="005C728D" w14:paraId="393C33C4" w14:textId="77777777">
      <w:pPr>
        <w:rPr>
          <w:iCs/>
        </w:rPr>
      </w:pPr>
      <w:r>
        <w:rPr>
          <w:iCs/>
        </w:rPr>
        <w:t>The</w:t>
      </w:r>
      <w:r w:rsidRPr="003C6570">
        <w:rPr>
          <w:iCs/>
        </w:rPr>
        <w:t xml:space="preserve"> survey frame contains</w:t>
      </w:r>
      <w:r>
        <w:rPr>
          <w:iCs/>
        </w:rPr>
        <w:t xml:space="preserve"> contact information and production</w:t>
      </w:r>
      <w:r w:rsidRPr="003C6570">
        <w:rPr>
          <w:iCs/>
        </w:rPr>
        <w:t xml:space="preserve"> data on all known active</w:t>
      </w:r>
      <w:r>
        <w:rPr>
          <w:iCs/>
        </w:rPr>
        <w:t xml:space="preserve"> and inactive </w:t>
      </w:r>
      <w:r w:rsidRPr="003C6570">
        <w:rPr>
          <w:iCs/>
        </w:rPr>
        <w:t>natural gas processing plants in the United States</w:t>
      </w:r>
      <w:r>
        <w:rPr>
          <w:iCs/>
        </w:rPr>
        <w:t xml:space="preserve"> (currently less than </w:t>
      </w:r>
      <w:r w:rsidR="005F29A0">
        <w:rPr>
          <w:iCs/>
        </w:rPr>
        <w:t>5</w:t>
      </w:r>
      <w:r>
        <w:rPr>
          <w:iCs/>
        </w:rPr>
        <w:t>00)</w:t>
      </w:r>
      <w:r w:rsidRPr="003C6570">
        <w:rPr>
          <w:iCs/>
        </w:rPr>
        <w:t xml:space="preserve">.  </w:t>
      </w:r>
      <w:r>
        <w:rPr>
          <w:iCs/>
        </w:rPr>
        <w:t>O</w:t>
      </w:r>
      <w:r w:rsidRPr="003C6570">
        <w:rPr>
          <w:iCs/>
        </w:rPr>
        <w:t xml:space="preserve">perators </w:t>
      </w:r>
      <w:r>
        <w:rPr>
          <w:iCs/>
        </w:rPr>
        <w:t>of</w:t>
      </w:r>
      <w:r w:rsidRPr="003C6570">
        <w:rPr>
          <w:iCs/>
        </w:rPr>
        <w:t xml:space="preserve"> plants </w:t>
      </w:r>
      <w:r>
        <w:rPr>
          <w:iCs/>
        </w:rPr>
        <w:t>that</w:t>
      </w:r>
      <w:r w:rsidRPr="003C6570">
        <w:rPr>
          <w:iCs/>
        </w:rPr>
        <w:t xml:space="preserve"> </w:t>
      </w:r>
      <w:r>
        <w:rPr>
          <w:iCs/>
        </w:rPr>
        <w:t>closed or ceased operations</w:t>
      </w:r>
      <w:r w:rsidRPr="003C6570">
        <w:rPr>
          <w:iCs/>
        </w:rPr>
        <w:t xml:space="preserve"> during the reporting year are required to complete forms for that portion of the reporting year the plants were operated.</w:t>
      </w:r>
    </w:p>
    <w:p w:rsidR="005C728D" w:rsidP="005C728D" w14:paraId="559AB27B" w14:textId="77777777">
      <w:pPr>
        <w:rPr>
          <w:iCs/>
        </w:rPr>
      </w:pPr>
      <w:r>
        <w:rPr>
          <w:iCs/>
        </w:rPr>
        <w:t>The appropriate respondent population for Form EIA-64A is the o</w:t>
      </w:r>
      <w:r w:rsidRPr="003C6570">
        <w:rPr>
          <w:iCs/>
        </w:rPr>
        <w:t xml:space="preserve">perators of natural gas plants </w:t>
      </w:r>
      <w:r>
        <w:rPr>
          <w:iCs/>
        </w:rPr>
        <w:t>b</w:t>
      </w:r>
      <w:r w:rsidRPr="003C6570">
        <w:rPr>
          <w:iCs/>
        </w:rPr>
        <w:t xml:space="preserve">ecause they have access to the most current and detailed information on natural gas plant liquids. </w:t>
      </w:r>
      <w:r>
        <w:rPr>
          <w:iCs/>
        </w:rPr>
        <w:t>T</w:t>
      </w:r>
      <w:r w:rsidRPr="003C6570">
        <w:rPr>
          <w:iCs/>
        </w:rPr>
        <w:t xml:space="preserve">hese operators have </w:t>
      </w:r>
      <w:r>
        <w:rPr>
          <w:iCs/>
        </w:rPr>
        <w:t>more complete information on</w:t>
      </w:r>
      <w:r w:rsidRPr="003C6570">
        <w:rPr>
          <w:iCs/>
        </w:rPr>
        <w:t xml:space="preserve"> gas plant liquids production</w:t>
      </w:r>
      <w:r>
        <w:rPr>
          <w:iCs/>
        </w:rPr>
        <w:t>,</w:t>
      </w:r>
      <w:r w:rsidRPr="003C6570">
        <w:rPr>
          <w:iCs/>
        </w:rPr>
        <w:t xml:space="preserve"> </w:t>
      </w:r>
      <w:r>
        <w:rPr>
          <w:iCs/>
        </w:rPr>
        <w:t xml:space="preserve">gas inlet, </w:t>
      </w:r>
      <w:r w:rsidRPr="003C6570">
        <w:rPr>
          <w:iCs/>
        </w:rPr>
        <w:t xml:space="preserve">and </w:t>
      </w:r>
      <w:r>
        <w:rPr>
          <w:iCs/>
        </w:rPr>
        <w:t xml:space="preserve">dry </w:t>
      </w:r>
      <w:r w:rsidRPr="003C6570">
        <w:rPr>
          <w:iCs/>
        </w:rPr>
        <w:t xml:space="preserve">gas </w:t>
      </w:r>
      <w:r>
        <w:rPr>
          <w:iCs/>
        </w:rPr>
        <w:t>outlet</w:t>
      </w:r>
      <w:r w:rsidRPr="003C6570">
        <w:rPr>
          <w:iCs/>
        </w:rPr>
        <w:t xml:space="preserve"> data than gas producers or pipelin</w:t>
      </w:r>
      <w:r>
        <w:rPr>
          <w:iCs/>
        </w:rPr>
        <w:t>e companie</w:t>
      </w:r>
      <w:r w:rsidRPr="003C6570">
        <w:rPr>
          <w:iCs/>
        </w:rPr>
        <w:t>s.</w:t>
      </w:r>
    </w:p>
    <w:p w:rsidR="00A93DBF" w:rsidP="005C728D" w14:paraId="6C52ED5F" w14:textId="77777777">
      <w:pPr>
        <w:rPr>
          <w:iCs/>
        </w:rPr>
      </w:pPr>
    </w:p>
    <w:p w:rsidR="005C728D" w:rsidRPr="00A24F9F" w:rsidP="00E054DF" w14:paraId="2ABDEF14" w14:textId="77777777">
      <w:pPr>
        <w:rPr>
          <w:noProof/>
        </w:rPr>
      </w:pPr>
    </w:p>
    <w:p w:rsidR="00E054DF" w:rsidRPr="00E054DF" w:rsidP="00E054DF" w14:paraId="5389964D" w14:textId="77777777">
      <w:pPr>
        <w:pStyle w:val="Heading2"/>
        <w:rPr>
          <w:noProof/>
        </w:rPr>
      </w:pPr>
      <w:bookmarkStart w:id="5" w:name="_Toc466046935"/>
      <w:bookmarkStart w:id="6" w:name="_Toc193357456"/>
      <w:r w:rsidRPr="00E054DF">
        <w:rPr>
          <w:noProof/>
        </w:rPr>
        <w:t>B.2. Statistical Methods</w:t>
      </w:r>
      <w:bookmarkEnd w:id="5"/>
      <w:bookmarkEnd w:id="6"/>
    </w:p>
    <w:p w:rsidR="006D2060" w:rsidRPr="000A19DA" w:rsidP="006D2060" w14:paraId="6057DF1D" w14:textId="77777777">
      <w:pPr>
        <w:pStyle w:val="Heading3"/>
      </w:pPr>
      <w:bookmarkStart w:id="7" w:name="_Toc442778050"/>
      <w:bookmarkStart w:id="8" w:name="_Toc193357457"/>
      <w:r>
        <w:t>B.2.1</w:t>
      </w:r>
      <w:r w:rsidR="00F7453F">
        <w:t>.</w:t>
      </w:r>
      <w:r>
        <w:t xml:space="preserve"> </w:t>
      </w:r>
      <w:r w:rsidRPr="000A19DA">
        <w:t>Sampling</w:t>
      </w:r>
      <w:bookmarkEnd w:id="7"/>
      <w:bookmarkEnd w:id="8"/>
    </w:p>
    <w:p w:rsidR="006D2060" w:rsidRPr="003C6570" w:rsidP="006D2060" w14:paraId="26173EE4" w14:textId="77777777">
      <w:pPr>
        <w:pStyle w:val="Heading4"/>
      </w:pPr>
      <w:bookmarkStart w:id="9" w:name="_Toc193357458"/>
      <w:r>
        <w:t>B.2.1.1</w:t>
      </w:r>
      <w:r w:rsidR="00F7453F">
        <w:t>.</w:t>
      </w:r>
      <w:r>
        <w:t xml:space="preserve"> </w:t>
      </w:r>
      <w:r w:rsidRPr="003C6570">
        <w:t>Form EIA-23L</w:t>
      </w:r>
      <w:bookmarkEnd w:id="9"/>
    </w:p>
    <w:p w:rsidR="006D2060" w:rsidRPr="003C6570" w:rsidP="006D2060" w14:paraId="4803DD5D" w14:textId="58097F65">
      <w:pPr>
        <w:rPr>
          <w:iCs/>
        </w:rPr>
      </w:pPr>
      <w:r w:rsidRPr="0FD2CDBA">
        <w:t>EIA uses a non-probabilistic cutoff sample</w:t>
      </w:r>
      <w:r w:rsidRPr="004435C0">
        <w:rPr>
          <w:iCs/>
        </w:rPr>
        <w:t xml:space="preserve"> </w:t>
      </w:r>
      <w:r w:rsidRPr="0FD2CDBA">
        <w:t xml:space="preserve">design that consists of </w:t>
      </w:r>
      <w:r w:rsidRPr="0FD2CDBA" w:rsidR="00AE20B3">
        <w:t>well</w:t>
      </w:r>
      <w:r w:rsidRPr="0FD2CDBA">
        <w:t xml:space="preserve"> operators</w:t>
      </w:r>
      <w:r w:rsidRPr="004435C0">
        <w:rPr>
          <w:iCs/>
        </w:rPr>
        <w:t xml:space="preserve"> </w:t>
      </w:r>
      <w:r w:rsidRPr="0FD2CDBA">
        <w:t>with the largest crude oil or natural gas production in</w:t>
      </w:r>
      <w:r w:rsidRPr="0FD2CDBA" w:rsidR="70390452">
        <w:t xml:space="preserve"> the nation and</w:t>
      </w:r>
      <w:r w:rsidR="00360D05">
        <w:t>/or</w:t>
      </w:r>
      <w:r w:rsidR="00FB29EC">
        <w:t xml:space="preserve"> </w:t>
      </w:r>
      <w:r w:rsidRPr="0FD2CDBA">
        <w:t xml:space="preserve">each regional breakout. The sample is </w:t>
      </w:r>
      <w:r w:rsidRPr="0FD2CDBA">
        <w:t>reselected</w:t>
      </w:r>
      <w:r w:rsidRPr="0FD2CDBA">
        <w:t xml:space="preserve"> each year. The sample design focuses on the largest</w:t>
      </w:r>
      <w:r w:rsidRPr="003C6570">
        <w:rPr>
          <w:iCs/>
        </w:rPr>
        <w:t xml:space="preserve"> </w:t>
      </w:r>
      <w:r w:rsidRPr="0FD2CDBA">
        <w:t xml:space="preserve">oil and gas production operators in the nation, and then in </w:t>
      </w:r>
      <w:r w:rsidRPr="0FD2CDBA" w:rsidR="72F11CDC">
        <w:t>each</w:t>
      </w:r>
      <w:r w:rsidRPr="0FD2CDBA">
        <w:t xml:space="preserve"> state/state subdivision</w:t>
      </w:r>
      <w:r>
        <w:rPr>
          <w:rStyle w:val="FootnoteReference"/>
        </w:rPr>
        <w:footnoteReference w:id="3"/>
      </w:r>
      <w:r w:rsidRPr="0FD2CDBA">
        <w:t>. Operators are added to the sample until a production coverage percentage</w:t>
      </w:r>
      <w:r w:rsidR="001707EE">
        <w:t xml:space="preserve"> of 90%</w:t>
      </w:r>
      <w:r w:rsidRPr="0FD2CDBA">
        <w:t xml:space="preserve"> is reached for the nation, then in each state/state subdivision </w:t>
      </w:r>
      <w:r w:rsidR="001707EE">
        <w:t>until 60% state/state subdivision coverage is reached.</w:t>
      </w:r>
      <w:r w:rsidRPr="0FD2CDBA">
        <w:t xml:space="preserve"> Operators with more than 10% gas or oil production in a state/state subdivision are also included in the sample. </w:t>
      </w:r>
      <w:r w:rsidRPr="003C6570">
        <w:rPr>
          <w:iCs/>
        </w:rPr>
        <w:t>Estimates are required for multiple attributes (natural gas and liquids by state/</w:t>
      </w:r>
      <w:r>
        <w:rPr>
          <w:iCs/>
        </w:rPr>
        <w:t xml:space="preserve">state </w:t>
      </w:r>
      <w:r w:rsidRPr="003C6570">
        <w:rPr>
          <w:iCs/>
        </w:rPr>
        <w:t>subdivision and by reservoir type). Thus, a variant of cutoff sampling, quasi-cutoff sampling, allows a sample design that yields reliable estimates for the various attributes (sometimes called “target variables,” or “variables of interest”)</w:t>
      </w:r>
      <w:r>
        <w:rPr>
          <w:rStyle w:val="FootnoteReference"/>
          <w:iCs/>
        </w:rPr>
        <w:footnoteReference w:id="4"/>
      </w:r>
      <w:r>
        <w:rPr>
          <w:iCs/>
        </w:rPr>
        <w:t>.</w:t>
      </w:r>
      <w:r w:rsidRPr="003C6570">
        <w:rPr>
          <w:iCs/>
        </w:rPr>
        <w:t xml:space="preserve"> Because many operators selected for their production in one attribute (e.g., liquids) will also have production in other attributes (e.g., gas), a few more respondents may be added to the sample than the minimum number required to meet </w:t>
      </w:r>
      <w:r>
        <w:rPr>
          <w:iCs/>
        </w:rPr>
        <w:t xml:space="preserve">the coverage threshold </w:t>
      </w:r>
      <w:r w:rsidRPr="003C6570">
        <w:rPr>
          <w:iCs/>
        </w:rPr>
        <w:t>for a particular attribute in a particular state/</w:t>
      </w:r>
      <w:r>
        <w:rPr>
          <w:iCs/>
        </w:rPr>
        <w:t xml:space="preserve">state </w:t>
      </w:r>
      <w:r w:rsidRPr="003C6570">
        <w:rPr>
          <w:iCs/>
        </w:rPr>
        <w:t>subdivision. This may cause some state/</w:t>
      </w:r>
      <w:r>
        <w:rPr>
          <w:iCs/>
        </w:rPr>
        <w:t xml:space="preserve">state </w:t>
      </w:r>
      <w:r w:rsidRPr="003C6570">
        <w:rPr>
          <w:iCs/>
        </w:rPr>
        <w:t>subdivisions to appear to have a few “extra” respondents scattered throughout the population, but the total number of respondents does not increase.</w:t>
      </w:r>
    </w:p>
    <w:p w:rsidR="006D2060" w:rsidRPr="003C6570" w:rsidP="006D2060" w14:paraId="5750103A" w14:textId="0BA5776E">
      <w:pPr>
        <w:rPr>
          <w:iCs/>
        </w:rPr>
      </w:pPr>
      <w:r w:rsidRPr="003C6570">
        <w:rPr>
          <w:iCs/>
        </w:rPr>
        <w:t xml:space="preserve">The </w:t>
      </w:r>
      <w:r>
        <w:rPr>
          <w:iCs/>
        </w:rPr>
        <w:t>cutoff</w:t>
      </w:r>
      <w:r w:rsidRPr="003C6570">
        <w:rPr>
          <w:iCs/>
        </w:rPr>
        <w:t xml:space="preserve"> sample for </w:t>
      </w:r>
      <w:r w:rsidRPr="003C6570" w:rsidR="00C51CA7">
        <w:rPr>
          <w:iCs/>
        </w:rPr>
        <w:t>Form</w:t>
      </w:r>
      <w:r w:rsidRPr="003C6570">
        <w:rPr>
          <w:iCs/>
        </w:rPr>
        <w:t xml:space="preserve"> EIA-23L </w:t>
      </w:r>
      <w:r>
        <w:rPr>
          <w:iCs/>
        </w:rPr>
        <w:t>consists of approximately</w:t>
      </w:r>
      <w:r w:rsidRPr="003C6570">
        <w:rPr>
          <w:iCs/>
        </w:rPr>
        <w:t xml:space="preserve"> </w:t>
      </w:r>
      <w:r>
        <w:rPr>
          <w:iCs/>
        </w:rPr>
        <w:t>4</w:t>
      </w:r>
      <w:r w:rsidR="009F0189">
        <w:rPr>
          <w:iCs/>
        </w:rPr>
        <w:t>2</w:t>
      </w:r>
      <w:r>
        <w:rPr>
          <w:iCs/>
        </w:rPr>
        <w:t>0</w:t>
      </w:r>
      <w:r w:rsidRPr="003C6570">
        <w:rPr>
          <w:iCs/>
        </w:rPr>
        <w:t xml:space="preserve"> respondents. </w:t>
      </w:r>
      <w:r>
        <w:rPr>
          <w:iCs/>
        </w:rPr>
        <w:t>S</w:t>
      </w:r>
      <w:r w:rsidRPr="003C6570">
        <w:rPr>
          <w:iCs/>
        </w:rPr>
        <w:t xml:space="preserve">ampling </w:t>
      </w:r>
      <w:r>
        <w:rPr>
          <w:iCs/>
        </w:rPr>
        <w:t>is</w:t>
      </w:r>
      <w:r w:rsidRPr="003C6570">
        <w:rPr>
          <w:iCs/>
        </w:rPr>
        <w:t xml:space="preserve"> based on annual production volumes of the well operators, </w:t>
      </w:r>
      <w:r>
        <w:rPr>
          <w:iCs/>
        </w:rPr>
        <w:t>at the national level and</w:t>
      </w:r>
      <w:r w:rsidRPr="003C6570">
        <w:rPr>
          <w:iCs/>
        </w:rPr>
        <w:t xml:space="preserve"> </w:t>
      </w:r>
      <w:r w:rsidRPr="003C6570">
        <w:rPr>
          <w:iCs/>
        </w:rPr>
        <w:t xml:space="preserve">the </w:t>
      </w:r>
      <w:r>
        <w:rPr>
          <w:iCs/>
        </w:rPr>
        <w:t>state/state subdivision</w:t>
      </w:r>
      <w:r w:rsidRPr="003C6570">
        <w:rPr>
          <w:iCs/>
        </w:rPr>
        <w:t xml:space="preserve"> </w:t>
      </w:r>
      <w:r>
        <w:rPr>
          <w:iCs/>
        </w:rPr>
        <w:t>level.</w:t>
      </w:r>
      <w:r w:rsidRPr="003C6570">
        <w:rPr>
          <w:iCs/>
        </w:rPr>
        <w:t xml:space="preserve"> </w:t>
      </w:r>
      <w:r>
        <w:rPr>
          <w:iCs/>
        </w:rPr>
        <w:t xml:space="preserve">State/state subdivisions and reservoir types </w:t>
      </w:r>
      <w:r w:rsidRPr="003C6570">
        <w:rPr>
          <w:iCs/>
        </w:rPr>
        <w:t>define the estimation groups</w:t>
      </w:r>
      <w:r w:rsidR="00E40223">
        <w:rPr>
          <w:iCs/>
        </w:rPr>
        <w:t>;</w:t>
      </w:r>
      <w:r>
        <w:rPr>
          <w:iCs/>
        </w:rPr>
        <w:t xml:space="preserve"> see </w:t>
      </w:r>
      <w:r w:rsidRPr="006D2060">
        <w:rPr>
          <w:bCs/>
          <w:i/>
          <w:iCs/>
        </w:rPr>
        <w:t>Estimating Proved Reserves</w:t>
      </w:r>
      <w:r>
        <w:rPr>
          <w:iCs/>
        </w:rPr>
        <w:t xml:space="preserve"> section below</w:t>
      </w:r>
      <w:r w:rsidRPr="003C6570">
        <w:rPr>
          <w:iCs/>
        </w:rPr>
        <w:t xml:space="preserve">. Using this sample design, EIA expects </w:t>
      </w:r>
      <w:r>
        <w:rPr>
          <w:iCs/>
        </w:rPr>
        <w:t>approximately</w:t>
      </w:r>
      <w:r w:rsidRPr="003C6570">
        <w:rPr>
          <w:iCs/>
        </w:rPr>
        <w:t xml:space="preserve"> </w:t>
      </w:r>
      <w:r w:rsidRPr="00607ECF">
        <w:rPr>
          <w:iCs/>
        </w:rPr>
        <w:t xml:space="preserve">90% of U.S. oil and natural gas reserves volumes will be reported on the Form EIA-23L, leaving the remaining </w:t>
      </w:r>
      <w:r w:rsidRPr="00D90D0F">
        <w:rPr>
          <w:iCs/>
        </w:rPr>
        <w:t>10%</w:t>
      </w:r>
      <w:r w:rsidRPr="003C6570">
        <w:rPr>
          <w:iCs/>
        </w:rPr>
        <w:t xml:space="preserve"> to be estimated.</w:t>
      </w:r>
    </w:p>
    <w:p w:rsidR="006D2060" w:rsidRPr="003C6570" w:rsidP="0FD2CDBA" w14:paraId="358B59F0" w14:textId="084CC0A1">
      <w:r>
        <w:t xml:space="preserve">The cutoff sample for the Form EIA-23L is selected based on coverage thresholds set at national and state/state subdivision levels for each product (oil and gas) and reservoir type. The sample design provides high coverage for each publication and estimation group (state/state subdivision by reservoir type) except for groups that lack eligible operators whose production is higher than the minimum </w:t>
      </w:r>
      <w:r>
        <w:t xml:space="preserve">requirements mentioned above. Groups without enough eligible operators may not achieve the coverage targets without sampling </w:t>
      </w:r>
      <w:r w:rsidR="00E40223">
        <w:t>many</w:t>
      </w:r>
      <w:r>
        <w:t xml:space="preserve"> extremely small operators</w:t>
      </w:r>
    </w:p>
    <w:p w:rsidR="006D2060" w:rsidP="006D2060" w14:paraId="3E061000" w14:textId="77777777">
      <w:pPr>
        <w:rPr>
          <w:iCs/>
        </w:rPr>
      </w:pPr>
      <w:r w:rsidRPr="003C6570">
        <w:rPr>
          <w:iCs/>
        </w:rPr>
        <w:t xml:space="preserve">See </w:t>
      </w:r>
      <w:r w:rsidRPr="006D2060">
        <w:rPr>
          <w:bCs/>
          <w:i/>
          <w:iCs/>
        </w:rPr>
        <w:t>Efforts to Reduce Total Survey Error</w:t>
      </w:r>
      <w:r>
        <w:rPr>
          <w:iCs/>
        </w:rPr>
        <w:t xml:space="preserve"> section</w:t>
      </w:r>
      <w:r w:rsidRPr="003C6570">
        <w:rPr>
          <w:iCs/>
        </w:rPr>
        <w:t xml:space="preserve"> for estimates of anticipated </w:t>
      </w:r>
      <w:r w:rsidR="00B45DFF">
        <w:rPr>
          <w:iCs/>
        </w:rPr>
        <w:t>r</w:t>
      </w:r>
      <w:r>
        <w:rPr>
          <w:iCs/>
        </w:rPr>
        <w:t xml:space="preserve">elative </w:t>
      </w:r>
      <w:r w:rsidR="00B45DFF">
        <w:rPr>
          <w:iCs/>
        </w:rPr>
        <w:t>s</w:t>
      </w:r>
      <w:r>
        <w:rPr>
          <w:iCs/>
        </w:rPr>
        <w:t xml:space="preserve">tandard </w:t>
      </w:r>
      <w:r w:rsidR="00B45DFF">
        <w:rPr>
          <w:iCs/>
        </w:rPr>
        <w:t>e</w:t>
      </w:r>
      <w:r>
        <w:rPr>
          <w:iCs/>
        </w:rPr>
        <w:t>rror</w:t>
      </w:r>
      <w:r w:rsidRPr="003C6570">
        <w:rPr>
          <w:iCs/>
        </w:rPr>
        <w:t>s.</w:t>
      </w:r>
      <w:r>
        <w:rPr>
          <w:iCs/>
        </w:rPr>
        <w:softHyphen/>
      </w:r>
      <w:r>
        <w:rPr>
          <w:iCs/>
        </w:rPr>
        <w:softHyphen/>
      </w:r>
      <w:r>
        <w:rPr>
          <w:iCs/>
        </w:rPr>
        <w:softHyphen/>
      </w:r>
      <w:r>
        <w:rPr>
          <w:iCs/>
        </w:rPr>
        <w:softHyphen/>
      </w:r>
    </w:p>
    <w:p w:rsidR="006D2060" w:rsidRPr="003C6570" w:rsidP="006D2060" w14:paraId="09A0923E" w14:textId="77777777">
      <w:pPr>
        <w:pStyle w:val="Heading4"/>
      </w:pPr>
      <w:bookmarkStart w:id="10" w:name="_Toc193357459"/>
      <w:r>
        <w:t>B.2.1.2</w:t>
      </w:r>
      <w:r w:rsidR="00F7453F">
        <w:t>.</w:t>
      </w:r>
      <w:r>
        <w:t xml:space="preserve"> </w:t>
      </w:r>
      <w:r w:rsidRPr="003C6570">
        <w:t>Form EIA-</w:t>
      </w:r>
      <w:r>
        <w:t>64A</w:t>
      </w:r>
      <w:bookmarkEnd w:id="10"/>
    </w:p>
    <w:p w:rsidR="006D2060" w:rsidRPr="003C6570" w:rsidP="006D2060" w14:paraId="7016F783" w14:textId="6C5E074A">
      <w:pPr>
        <w:rPr>
          <w:iCs/>
        </w:rPr>
      </w:pPr>
      <w:r>
        <w:rPr>
          <w:iCs/>
        </w:rPr>
        <w:t>Form</w:t>
      </w:r>
      <w:r w:rsidRPr="003C6570">
        <w:rPr>
          <w:iCs/>
        </w:rPr>
        <w:t xml:space="preserve"> EIA-64A</w:t>
      </w:r>
      <w:r w:rsidR="00B95F81">
        <w:rPr>
          <w:iCs/>
        </w:rPr>
        <w:t xml:space="preserve"> </w:t>
      </w:r>
      <w:r w:rsidRPr="003C6570">
        <w:rPr>
          <w:iCs/>
        </w:rPr>
        <w:t xml:space="preserve">is a census of natural gas processing plants. </w:t>
      </w:r>
      <w:r>
        <w:rPr>
          <w:iCs/>
        </w:rPr>
        <w:t>EIA does not perform any sampling for this survey.</w:t>
      </w:r>
    </w:p>
    <w:p w:rsidR="00B71695" w:rsidP="00B45DFF" w14:paraId="3C225620" w14:textId="77777777">
      <w:pPr>
        <w:pStyle w:val="Heading3"/>
      </w:pPr>
      <w:bookmarkStart w:id="11" w:name="_Toc193357460"/>
      <w:bookmarkStart w:id="12" w:name="_Toc442778051"/>
      <w:r>
        <w:t>B2.2</w:t>
      </w:r>
      <w:r w:rsidR="00F7453F">
        <w:t>.</w:t>
      </w:r>
      <w:r>
        <w:t xml:space="preserve"> </w:t>
      </w:r>
      <w:r w:rsidRPr="003C6570">
        <w:t>Estimation</w:t>
      </w:r>
      <w:bookmarkEnd w:id="11"/>
    </w:p>
    <w:p w:rsidR="006D2060" w:rsidRPr="000C237D" w:rsidP="00B71695" w14:paraId="0C4ED515" w14:textId="434126C2">
      <w:pPr>
        <w:pStyle w:val="Heading4"/>
      </w:pPr>
      <w:bookmarkStart w:id="13" w:name="_Toc193357461"/>
      <w:r>
        <w:t>B.2.2.1</w:t>
      </w:r>
      <w:r w:rsidR="00F7453F">
        <w:t>.</w:t>
      </w:r>
      <w:r>
        <w:t xml:space="preserve"> </w:t>
      </w:r>
      <w:r>
        <w:t>Proved Reserves</w:t>
      </w:r>
      <w:bookmarkEnd w:id="12"/>
      <w:bookmarkEnd w:id="13"/>
      <w:r w:rsidR="009F0189">
        <w:t xml:space="preserve"> (EIA-23L)</w:t>
      </w:r>
    </w:p>
    <w:p w:rsidR="009F0189" w:rsidP="006D2060" w14:paraId="6AD18F84" w14:textId="5AAB3B7C">
      <w:pPr>
        <w:rPr>
          <w:iCs/>
        </w:rPr>
      </w:pPr>
      <w:r>
        <w:rPr>
          <w:iCs/>
        </w:rPr>
        <w:t xml:space="preserve">Proved producing reserves (the operator extracted resources from the reserves during the last year) are estimated using the method described below. Published proved non-producing reserves (the operator did not extract resources from wells during the last year) are the sum of reported </w:t>
      </w:r>
      <w:r w:rsidR="0CB957AB">
        <w:t>data and</w:t>
      </w:r>
      <w:r>
        <w:rPr>
          <w:iCs/>
        </w:rPr>
        <w:t xml:space="preserve"> are not estimated for unsampled companies.  </w:t>
      </w:r>
      <w:r w:rsidR="00502B9E">
        <w:rPr>
          <w:iCs/>
        </w:rPr>
        <w:t>In recent EIA reserves reports, proved nonproducing reserves accounted for about a third of total proved reserves. Total proved reserves are the sum of proved producing reserves and proved nonproducing reserves.</w:t>
      </w:r>
    </w:p>
    <w:p w:rsidR="006D2060" w:rsidRPr="003C6570" w:rsidP="006D2060" w14:paraId="475136BC" w14:textId="771271C9">
      <w:pPr>
        <w:rPr>
          <w:iCs/>
        </w:rPr>
      </w:pPr>
      <w:r w:rsidRPr="003C6570">
        <w:rPr>
          <w:iCs/>
        </w:rPr>
        <w:t>The published estimates of U.S. proved reserves and production are the sum of the estimates for the individual states covered by the sample. Correspondingly, estimates for the states with subdivisions (estimates are published separately by subdivision for</w:t>
      </w:r>
      <w:r>
        <w:rPr>
          <w:iCs/>
        </w:rPr>
        <w:t xml:space="preserve"> </w:t>
      </w:r>
      <w:r w:rsidRPr="003C6570">
        <w:rPr>
          <w:iCs/>
        </w:rPr>
        <w:t xml:space="preserve">California, </w:t>
      </w:r>
      <w:r>
        <w:rPr>
          <w:iCs/>
        </w:rPr>
        <w:t xml:space="preserve">Federal Offshore, </w:t>
      </w:r>
      <w:r w:rsidRPr="003C6570">
        <w:rPr>
          <w:iCs/>
        </w:rPr>
        <w:t xml:space="preserve">Louisiana, New Mexico, and Texas) are the sum of the subdivision estimates. The remaining states are not subdivided and may be considered as a single subdivision. </w:t>
      </w:r>
      <w:r>
        <w:rPr>
          <w:iCs/>
        </w:rPr>
        <w:t>This</w:t>
      </w:r>
      <w:r w:rsidRPr="003C6570">
        <w:rPr>
          <w:iCs/>
        </w:rPr>
        <w:t xml:space="preserve"> </w:t>
      </w:r>
      <w:r>
        <w:rPr>
          <w:iCs/>
        </w:rPr>
        <w:t>cutoff</w:t>
      </w:r>
      <w:r w:rsidRPr="003C6570">
        <w:rPr>
          <w:iCs/>
        </w:rPr>
        <w:t xml:space="preserve"> sample will result in</w:t>
      </w:r>
      <w:r>
        <w:rPr>
          <w:iCs/>
        </w:rPr>
        <w:t xml:space="preserve"> collecting approximately</w:t>
      </w:r>
      <w:r w:rsidRPr="00607ECF">
        <w:rPr>
          <w:iCs/>
        </w:rPr>
        <w:t xml:space="preserve"> 90%</w:t>
      </w:r>
      <w:r w:rsidRPr="00530000">
        <w:rPr>
          <w:iCs/>
        </w:rPr>
        <w:t xml:space="preserve"> of the U.S. proved reserves for both oil and gas being reported directly on Form EIA-</w:t>
      </w:r>
      <w:r w:rsidRPr="00530000" w:rsidR="00E40223">
        <w:rPr>
          <w:iCs/>
        </w:rPr>
        <w:t>23L and</w:t>
      </w:r>
      <w:r>
        <w:rPr>
          <w:iCs/>
        </w:rPr>
        <w:t xml:space="preserve"> leaves</w:t>
      </w:r>
      <w:r w:rsidRPr="00530000">
        <w:rPr>
          <w:iCs/>
        </w:rPr>
        <w:t xml:space="preserve"> </w:t>
      </w:r>
      <w:r>
        <w:rPr>
          <w:iCs/>
        </w:rPr>
        <w:t xml:space="preserve">the remaining </w:t>
      </w:r>
      <w:r w:rsidRPr="00D90D0F">
        <w:rPr>
          <w:iCs/>
        </w:rPr>
        <w:t>10%</w:t>
      </w:r>
      <w:r w:rsidRPr="003C6570">
        <w:rPr>
          <w:iCs/>
        </w:rPr>
        <w:t xml:space="preserve"> to be estimated.</w:t>
      </w:r>
    </w:p>
    <w:p w:rsidR="006D2060" w:rsidRPr="003C6570" w:rsidP="0FD2CDBA" w14:paraId="4B457DFE" w14:textId="166CF0C9">
      <w:r>
        <w:t xml:space="preserve">The published </w:t>
      </w:r>
      <w:r w:rsidR="00502B9E">
        <w:t xml:space="preserve">proved </w:t>
      </w:r>
      <w:r>
        <w:t xml:space="preserve">reserves </w:t>
      </w:r>
      <w:r w:rsidR="001707EE">
        <w:t xml:space="preserve">are estimated </w:t>
      </w:r>
      <w:r w:rsidR="003B38D1">
        <w:t xml:space="preserve">by </w:t>
      </w:r>
      <w:r w:rsidR="001707EE">
        <w:t xml:space="preserve">using </w:t>
      </w:r>
      <w:r>
        <w:t xml:space="preserve">a linear regression model relating production to proved </w:t>
      </w:r>
      <w:r w:rsidR="00502B9E">
        <w:t xml:space="preserve">producing </w:t>
      </w:r>
      <w:r>
        <w:t xml:space="preserve">reserves. The </w:t>
      </w:r>
      <w:r w:rsidR="001707EE">
        <w:t xml:space="preserve">regression model </w:t>
      </w:r>
      <w:r>
        <w:t>is fit separately for each state/state subdivision and each fuel type (crude oil and natural gas)</w:t>
      </w:r>
      <w:r w:rsidR="00502B9E">
        <w:t xml:space="preserve"> and reservoir type (shale/conventional)</w:t>
      </w:r>
      <w:r>
        <w:t xml:space="preserve">. Additional estimates </w:t>
      </w:r>
      <w:r w:rsidR="001707EE">
        <w:t xml:space="preserve">are </w:t>
      </w:r>
      <w:r>
        <w:t xml:space="preserve">created for shale natural gas and oil from tight formations, using appropriate subtotals of state/state subdivision level data. Some state/state subdivisions </w:t>
      </w:r>
      <w:r w:rsidR="008C35F8">
        <w:t xml:space="preserve">may be </w:t>
      </w:r>
      <w:r>
        <w:t xml:space="preserve">combined </w:t>
      </w:r>
      <w:r w:rsidR="008C35F8">
        <w:t xml:space="preserve">if </w:t>
      </w:r>
      <w:r>
        <w:t>they have too few operators for sufficient statistical rigor when analyzed individually.</w:t>
      </w:r>
    </w:p>
    <w:p w:rsidR="00B62D43" w:rsidP="006D2060" w14:paraId="43FF5D01" w14:textId="77777777">
      <w:pPr>
        <w:rPr>
          <w:iCs/>
        </w:rPr>
      </w:pPr>
      <w:r w:rsidRPr="003C6570">
        <w:rPr>
          <w:iCs/>
        </w:rPr>
        <w:t xml:space="preserve">Use of this estimation procedure reduces reporting and analysis burden by minimizing the number of operators that </w:t>
      </w:r>
      <w:r w:rsidRPr="003C6570" w:rsidR="00E40223">
        <w:rPr>
          <w:iCs/>
        </w:rPr>
        <w:t>must</w:t>
      </w:r>
      <w:r w:rsidRPr="003C6570">
        <w:rPr>
          <w:iCs/>
        </w:rPr>
        <w:t xml:space="preserve"> be surveyed. </w:t>
      </w:r>
    </w:p>
    <w:p w:rsidR="006D2060" w:rsidRPr="003C6570" w:rsidP="006D2060" w14:paraId="369FC023" w14:textId="560B991C">
      <w:pPr>
        <w:rPr>
          <w:iCs/>
        </w:rPr>
      </w:pPr>
      <w:r w:rsidRPr="003C6570">
        <w:rPr>
          <w:iCs/>
        </w:rPr>
        <w:t xml:space="preserve">Operators that report </w:t>
      </w:r>
      <w:r>
        <w:rPr>
          <w:iCs/>
        </w:rPr>
        <w:t>very high</w:t>
      </w:r>
      <w:r w:rsidRPr="003C6570">
        <w:rPr>
          <w:iCs/>
        </w:rPr>
        <w:t xml:space="preserve"> reserves-to-production </w:t>
      </w:r>
      <w:r>
        <w:rPr>
          <w:iCs/>
        </w:rPr>
        <w:t xml:space="preserve">ratios </w:t>
      </w:r>
      <w:r w:rsidRPr="003C6570">
        <w:rPr>
          <w:iCs/>
        </w:rPr>
        <w:t xml:space="preserve">are excluded from </w:t>
      </w:r>
      <w:r w:rsidR="001707EE">
        <w:rPr>
          <w:iCs/>
        </w:rPr>
        <w:t>estimation of the regression</w:t>
      </w:r>
      <w:r w:rsidRPr="003C6570">
        <w:rPr>
          <w:iCs/>
        </w:rPr>
        <w:t xml:space="preserve"> coefficients</w:t>
      </w:r>
      <w:r>
        <w:rPr>
          <w:iCs/>
        </w:rPr>
        <w:t>, since EIA does not expect them to be representative of smaller operators</w:t>
      </w:r>
      <w:r w:rsidRPr="003C6570">
        <w:rPr>
          <w:iCs/>
        </w:rPr>
        <w:t xml:space="preserve">. (Note that the </w:t>
      </w:r>
      <w:r w:rsidRPr="003C6570" w:rsidR="00E40223">
        <w:rPr>
          <w:iCs/>
        </w:rPr>
        <w:t>situation</w:t>
      </w:r>
      <w:r w:rsidRPr="003C6570">
        <w:rPr>
          <w:iCs/>
        </w:rPr>
        <w:t xml:space="preserve"> is rare—the reported values of this type are typically erroneous or based on less than a full year’s production.)</w:t>
      </w:r>
    </w:p>
    <w:p w:rsidR="006D2060" w:rsidP="006D2060" w14:paraId="299AD136" w14:textId="3E6A1E03">
      <w:pPr>
        <w:rPr>
          <w:iCs/>
        </w:rPr>
      </w:pPr>
      <w:r w:rsidRPr="003C6570">
        <w:rPr>
          <w:iCs/>
        </w:rPr>
        <w:t xml:space="preserve">The </w:t>
      </w:r>
      <w:r>
        <w:rPr>
          <w:iCs/>
        </w:rPr>
        <w:t>linear regression model</w:t>
      </w:r>
      <w:r w:rsidRPr="003C6570">
        <w:rPr>
          <w:iCs/>
        </w:rPr>
        <w:t xml:space="preserve"> is </w:t>
      </w:r>
      <w:r>
        <w:rPr>
          <w:iCs/>
        </w:rPr>
        <w:t xml:space="preserve">used to estimate reserves of </w:t>
      </w:r>
      <w:r w:rsidRPr="003C6570">
        <w:rPr>
          <w:iCs/>
        </w:rPr>
        <w:t>non-sampled operators</w:t>
      </w:r>
      <w:r>
        <w:rPr>
          <w:iCs/>
        </w:rPr>
        <w:t xml:space="preserve"> that are in the</w:t>
      </w:r>
      <w:r w:rsidRPr="003C6570">
        <w:rPr>
          <w:iCs/>
        </w:rPr>
        <w:t xml:space="preserve"> </w:t>
      </w:r>
      <w:r w:rsidR="001707EE">
        <w:rPr>
          <w:iCs/>
        </w:rPr>
        <w:t xml:space="preserve">sampling </w:t>
      </w:r>
      <w:r>
        <w:rPr>
          <w:iCs/>
        </w:rPr>
        <w:t xml:space="preserve">frame with positive production values </w:t>
      </w:r>
      <w:r w:rsidRPr="003C6570">
        <w:rPr>
          <w:iCs/>
        </w:rPr>
        <w:t xml:space="preserve">in all states, except Illinois, Indiana, Kentucky, and Tennessee. </w:t>
      </w:r>
      <w:r>
        <w:rPr>
          <w:iCs/>
        </w:rPr>
        <w:t xml:space="preserve">Only oil production is available for </w:t>
      </w:r>
      <w:r w:rsidRPr="003C6570">
        <w:rPr>
          <w:iCs/>
        </w:rPr>
        <w:t>Illinois</w:t>
      </w:r>
      <w:r>
        <w:rPr>
          <w:iCs/>
        </w:rPr>
        <w:t xml:space="preserve"> and </w:t>
      </w:r>
      <w:r w:rsidRPr="003C6570">
        <w:rPr>
          <w:iCs/>
        </w:rPr>
        <w:t>Indiana</w:t>
      </w:r>
      <w:r>
        <w:rPr>
          <w:iCs/>
        </w:rPr>
        <w:t>.</w:t>
      </w:r>
      <w:r w:rsidRPr="003C6570">
        <w:rPr>
          <w:iCs/>
        </w:rPr>
        <w:t xml:space="preserve"> </w:t>
      </w:r>
      <w:r>
        <w:rPr>
          <w:iCs/>
        </w:rPr>
        <w:t xml:space="preserve"> </w:t>
      </w:r>
      <w:r w:rsidRPr="003C6570">
        <w:rPr>
          <w:iCs/>
        </w:rPr>
        <w:t>Kentucky</w:t>
      </w:r>
      <w:r>
        <w:rPr>
          <w:iCs/>
        </w:rPr>
        <w:t xml:space="preserve"> data </w:t>
      </w:r>
      <w:r>
        <w:rPr>
          <w:iCs/>
        </w:rPr>
        <w:t>lag</w:t>
      </w:r>
      <w:r>
        <w:rPr>
          <w:iCs/>
        </w:rPr>
        <w:t xml:space="preserve"> by two years</w:t>
      </w:r>
      <w:r w:rsidRPr="003C6570">
        <w:rPr>
          <w:iCs/>
        </w:rPr>
        <w:t>, and Tennessee</w:t>
      </w:r>
      <w:r>
        <w:rPr>
          <w:iCs/>
        </w:rPr>
        <w:t xml:space="preserve"> data are not available after 2016</w:t>
      </w:r>
      <w:r w:rsidRPr="003C6570">
        <w:rPr>
          <w:iCs/>
        </w:rPr>
        <w:t>.</w:t>
      </w:r>
      <w:r>
        <w:rPr>
          <w:iCs/>
        </w:rPr>
        <w:t xml:space="preserve">  T</w:t>
      </w:r>
      <w:r w:rsidRPr="003C6570">
        <w:rPr>
          <w:iCs/>
        </w:rPr>
        <w:t xml:space="preserve">he same estimation procedure described above is not </w:t>
      </w:r>
      <w:r w:rsidRPr="003C6570">
        <w:rPr>
          <w:iCs/>
        </w:rPr>
        <w:t>applicable</w:t>
      </w:r>
      <w:r>
        <w:rPr>
          <w:iCs/>
        </w:rPr>
        <w:t xml:space="preserve"> in these states</w:t>
      </w:r>
      <w:r w:rsidRPr="003C6570">
        <w:rPr>
          <w:iCs/>
        </w:rPr>
        <w:t>.</w:t>
      </w:r>
      <w:r w:rsidR="009F0F59">
        <w:rPr>
          <w:iCs/>
        </w:rPr>
        <w:t xml:space="preserve"> For those states, published proved producing reserves are the sum of reported proved producing reserves.</w:t>
      </w:r>
    </w:p>
    <w:p w:rsidR="006D2060" w:rsidRPr="003C6570" w:rsidP="006D2060" w14:paraId="3358DDEF" w14:textId="77777777">
      <w:pPr>
        <w:rPr>
          <w:iCs/>
        </w:rPr>
      </w:pPr>
      <w:r w:rsidRPr="003C6570">
        <w:rPr>
          <w:iCs/>
        </w:rPr>
        <w:t xml:space="preserve">Obtaining operator production data for the smaller oil and gas producing states of Illinois, </w:t>
      </w:r>
      <w:r>
        <w:rPr>
          <w:iCs/>
        </w:rPr>
        <w:t xml:space="preserve">Indiana, </w:t>
      </w:r>
      <w:r w:rsidRPr="003C6570">
        <w:rPr>
          <w:iCs/>
        </w:rPr>
        <w:t>Kentucky</w:t>
      </w:r>
      <w:r>
        <w:rPr>
          <w:iCs/>
        </w:rPr>
        <w:t>,</w:t>
      </w:r>
      <w:r w:rsidRPr="003C6570">
        <w:rPr>
          <w:iCs/>
        </w:rPr>
        <w:t xml:space="preserve"> and </w:t>
      </w:r>
      <w:r>
        <w:rPr>
          <w:iCs/>
        </w:rPr>
        <w:t>Tennessee</w:t>
      </w:r>
      <w:r w:rsidRPr="003C6570">
        <w:rPr>
          <w:iCs/>
        </w:rPr>
        <w:t xml:space="preserve"> requires an alternative approach </w:t>
      </w:r>
      <w:r>
        <w:rPr>
          <w:iCs/>
        </w:rPr>
        <w:t xml:space="preserve">from </w:t>
      </w:r>
      <w:r w:rsidRPr="003C6570">
        <w:rPr>
          <w:iCs/>
        </w:rPr>
        <w:t xml:space="preserve">using </w:t>
      </w:r>
      <w:r>
        <w:rPr>
          <w:iCs/>
        </w:rPr>
        <w:t xml:space="preserve">commercial or state agency </w:t>
      </w:r>
      <w:r w:rsidRPr="003C6570">
        <w:rPr>
          <w:iCs/>
        </w:rPr>
        <w:t>data</w:t>
      </w:r>
      <w:r>
        <w:rPr>
          <w:iCs/>
        </w:rPr>
        <w:t xml:space="preserve"> when </w:t>
      </w:r>
      <w:r w:rsidRPr="003C6570">
        <w:rPr>
          <w:iCs/>
        </w:rPr>
        <w:t xml:space="preserve">the data is not current. </w:t>
      </w:r>
      <w:r w:rsidR="000A0996">
        <w:rPr>
          <w:iCs/>
        </w:rPr>
        <w:t xml:space="preserve">EIA uses </w:t>
      </w:r>
      <w:r w:rsidRPr="003C6570">
        <w:rPr>
          <w:iCs/>
        </w:rPr>
        <w:t>lists of oil and gas companies licensed to do business in the state, internet searches, and past reports on Forms EIA-23L</w:t>
      </w:r>
      <w:r w:rsidRPr="000A0996" w:rsidR="000A0996">
        <w:rPr>
          <w:iCs/>
        </w:rPr>
        <w:t xml:space="preserve"> </w:t>
      </w:r>
      <w:r w:rsidR="000A0996">
        <w:rPr>
          <w:iCs/>
        </w:rPr>
        <w:t>to compile s</w:t>
      </w:r>
      <w:r w:rsidRPr="003C6570" w:rsidR="000A0996">
        <w:rPr>
          <w:iCs/>
        </w:rPr>
        <w:t>amples of operators in these state</w:t>
      </w:r>
      <w:r w:rsidR="000A0996">
        <w:rPr>
          <w:iCs/>
        </w:rPr>
        <w:t>s</w:t>
      </w:r>
      <w:r w:rsidRPr="003C6570">
        <w:rPr>
          <w:iCs/>
        </w:rPr>
        <w:t xml:space="preserve">. </w:t>
      </w:r>
      <w:r>
        <w:rPr>
          <w:iCs/>
        </w:rPr>
        <w:t>When</w:t>
      </w:r>
      <w:r w:rsidRPr="003C6570">
        <w:rPr>
          <w:iCs/>
        </w:rPr>
        <w:t xml:space="preserve"> production data is not current or not available, the sampling process described in the previous section cannot be used. The summary-level data (U.S. level and “</w:t>
      </w:r>
      <w:r>
        <w:rPr>
          <w:iCs/>
        </w:rPr>
        <w:t>Other</w:t>
      </w:r>
      <w:r w:rsidRPr="003C6570">
        <w:rPr>
          <w:iCs/>
        </w:rPr>
        <w:t xml:space="preserve"> States” level) may be published including these states ‘as reported’ (i.e., no estimates for the total state population will be generated for these states).</w:t>
      </w:r>
    </w:p>
    <w:p w:rsidR="006D2060" w:rsidRPr="0018622D" w:rsidP="006D2060" w14:paraId="7346E114" w14:textId="2C2CCB3E">
      <w:pPr>
        <w:rPr>
          <w:iCs/>
        </w:rPr>
      </w:pPr>
      <w:r w:rsidRPr="003C6570">
        <w:rPr>
          <w:iCs/>
        </w:rPr>
        <w:t xml:space="preserve">The largest operators in the states of Illinois, Indiana, Kentucky, and Tennessee </w:t>
      </w:r>
      <w:r>
        <w:rPr>
          <w:iCs/>
        </w:rPr>
        <w:t>are</w:t>
      </w:r>
      <w:r w:rsidRPr="003C6570">
        <w:rPr>
          <w:iCs/>
        </w:rPr>
        <w:t xml:space="preserve"> identifiable using prior years’ data</w:t>
      </w:r>
      <w:r w:rsidR="000A0996">
        <w:rPr>
          <w:iCs/>
        </w:rPr>
        <w:t xml:space="preserve"> </w:t>
      </w:r>
      <w:r>
        <w:rPr>
          <w:iCs/>
        </w:rPr>
        <w:t xml:space="preserve">and </w:t>
      </w:r>
      <w:r w:rsidRPr="003C6570">
        <w:rPr>
          <w:iCs/>
        </w:rPr>
        <w:t>from state regulatory agencies</w:t>
      </w:r>
      <w:r w:rsidRPr="005119F8">
        <w:rPr>
          <w:iCs/>
        </w:rPr>
        <w:t xml:space="preserve"> </w:t>
      </w:r>
      <w:r>
        <w:rPr>
          <w:iCs/>
        </w:rPr>
        <w:t xml:space="preserve">where </w:t>
      </w:r>
      <w:r w:rsidRPr="003C6570">
        <w:rPr>
          <w:iCs/>
        </w:rPr>
        <w:t>current data</w:t>
      </w:r>
      <w:r>
        <w:rPr>
          <w:iCs/>
        </w:rPr>
        <w:t xml:space="preserve"> are available</w:t>
      </w:r>
      <w:r w:rsidRPr="003C6570">
        <w:rPr>
          <w:iCs/>
        </w:rPr>
        <w:t xml:space="preserve">. However, the </w:t>
      </w:r>
      <w:r w:rsidR="001707EE">
        <w:rPr>
          <w:iCs/>
        </w:rPr>
        <w:t xml:space="preserve">sampling </w:t>
      </w:r>
      <w:r w:rsidRPr="003C6570">
        <w:rPr>
          <w:iCs/>
        </w:rPr>
        <w:t xml:space="preserve">frame will be incomplete and may be insufficient to reliably estimate reserves for non-sampled operators in these states. These four states, when combined, are estimated to hold less than </w:t>
      </w:r>
      <w:r w:rsidRPr="00121E0F">
        <w:rPr>
          <w:iCs/>
        </w:rPr>
        <w:t>0.2%</w:t>
      </w:r>
      <w:r w:rsidRPr="0018622D">
        <w:rPr>
          <w:iCs/>
        </w:rPr>
        <w:t xml:space="preserve"> of U.S. total oil and condensate reserves and less than </w:t>
      </w:r>
      <w:r w:rsidRPr="00121E0F">
        <w:rPr>
          <w:iCs/>
        </w:rPr>
        <w:t>0.4%</w:t>
      </w:r>
      <w:r w:rsidRPr="0018622D">
        <w:rPr>
          <w:iCs/>
        </w:rPr>
        <w:t xml:space="preserve"> of U.S. total natural gas reserves.</w:t>
      </w:r>
    </w:p>
    <w:p w:rsidR="006D2060" w:rsidRPr="003C6570" w:rsidP="006D2060" w14:paraId="0135B282" w14:textId="4A455CD9">
      <w:pPr>
        <w:rPr>
          <w:iCs/>
        </w:rPr>
      </w:pPr>
      <w:r w:rsidRPr="00121E0F">
        <w:rPr>
          <w:iCs/>
        </w:rPr>
        <w:t>EIA will continue to study the available</w:t>
      </w:r>
      <w:r>
        <w:rPr>
          <w:iCs/>
        </w:rPr>
        <w:t xml:space="preserve"> </w:t>
      </w:r>
      <w:r w:rsidR="001707EE">
        <w:rPr>
          <w:iCs/>
        </w:rPr>
        <w:t xml:space="preserve">sampling </w:t>
      </w:r>
      <w:r>
        <w:rPr>
          <w:iCs/>
        </w:rPr>
        <w:t>frame</w:t>
      </w:r>
      <w:r w:rsidRPr="00121E0F">
        <w:rPr>
          <w:iCs/>
        </w:rPr>
        <w:t xml:space="preserve"> information for Illinois, </w:t>
      </w:r>
      <w:r>
        <w:rPr>
          <w:iCs/>
        </w:rPr>
        <w:t xml:space="preserve">Indiana, </w:t>
      </w:r>
      <w:r w:rsidRPr="00121E0F">
        <w:rPr>
          <w:iCs/>
        </w:rPr>
        <w:t xml:space="preserve">Kentucky, and </w:t>
      </w:r>
      <w:r>
        <w:rPr>
          <w:iCs/>
        </w:rPr>
        <w:t>Tennessee</w:t>
      </w:r>
      <w:r w:rsidRPr="00121E0F">
        <w:rPr>
          <w:iCs/>
        </w:rPr>
        <w:t xml:space="preserve"> to determine if reliable proved reserve estimates can be generated using the same methods as in </w:t>
      </w:r>
      <w:r w:rsidRPr="00121E0F">
        <w:rPr>
          <w:iCs/>
        </w:rPr>
        <w:t>the other</w:t>
      </w:r>
      <w:r w:rsidRPr="00121E0F">
        <w:rPr>
          <w:iCs/>
        </w:rPr>
        <w:t xml:space="preserve"> states. </w:t>
      </w:r>
      <w:r w:rsidRPr="00121E0F" w:rsidR="000A0996">
        <w:rPr>
          <w:iCs/>
        </w:rPr>
        <w:t>EIA</w:t>
      </w:r>
      <w:r w:rsidRPr="00121E0F">
        <w:rPr>
          <w:iCs/>
        </w:rPr>
        <w:t xml:space="preserve"> will coordinate with state agencies, including agencies other than oil and gas regulatory agencies, and industry trade journals, newsletters, etc., to build a sampl</w:t>
      </w:r>
      <w:r w:rsidR="001707EE">
        <w:rPr>
          <w:iCs/>
        </w:rPr>
        <w:t>ing</w:t>
      </w:r>
      <w:r w:rsidRPr="00121E0F">
        <w:rPr>
          <w:iCs/>
        </w:rPr>
        <w:t xml:space="preserve"> frame that includes these states.</w:t>
      </w:r>
    </w:p>
    <w:p w:rsidR="006D2060" w:rsidRPr="002F3498" w:rsidP="00B71695" w14:paraId="040DCA9F" w14:textId="77777777">
      <w:pPr>
        <w:pStyle w:val="Heading4"/>
      </w:pPr>
      <w:bookmarkStart w:id="14" w:name="_Toc442778052"/>
      <w:bookmarkStart w:id="15" w:name="_Toc193357462"/>
      <w:bookmarkStart w:id="16" w:name="_Toc336547817"/>
      <w:r>
        <w:t>B.2.2.2</w:t>
      </w:r>
      <w:r w:rsidR="00F7453F">
        <w:t>.</w:t>
      </w:r>
      <w:r>
        <w:t xml:space="preserve"> </w:t>
      </w:r>
      <w:r w:rsidRPr="002F3498">
        <w:t>Reserves Balancing Categories</w:t>
      </w:r>
      <w:bookmarkEnd w:id="14"/>
      <w:bookmarkEnd w:id="15"/>
    </w:p>
    <w:bookmarkEnd w:id="16"/>
    <w:p w:rsidR="00837BAC" w:rsidP="0FD2CDBA" w14:paraId="1DAA144A" w14:textId="6207CD11">
      <w:r>
        <w:t xml:space="preserve">Estimated proved reserves categories (i.e., </w:t>
      </w:r>
      <w:r w:rsidR="4B3E7E3D">
        <w:t>divestiture</w:t>
      </w:r>
      <w:r>
        <w:t>s, acquisitions, extensions and discoveries, etc.) are assumed to</w:t>
      </w:r>
      <w:r w:rsidR="009F0F59">
        <w:t xml:space="preserve"> be proportional to total </w:t>
      </w:r>
      <w:r w:rsidR="00840572">
        <w:t xml:space="preserve">end of year </w:t>
      </w:r>
      <w:r w:rsidR="009F0F59">
        <w:t>proved reserves</w:t>
      </w:r>
      <w:r w:rsidR="00840572">
        <w:t xml:space="preserve"> plus production</w:t>
      </w:r>
      <w:r w:rsidR="009F0F59">
        <w:t xml:space="preserve">. </w:t>
      </w:r>
      <w:r w:rsidR="002A4EBB">
        <w:t>T</w:t>
      </w:r>
      <w:r w:rsidR="009F0F59">
        <w:t xml:space="preserve">he estimate for </w:t>
      </w:r>
      <w:r>
        <w:t>a particular proved reserves category</w:t>
      </w:r>
      <w:r w:rsidR="00840572">
        <w:t xml:space="preserve"> ‘X’</w:t>
      </w:r>
      <w:r>
        <w:t xml:space="preserve"> is given by</w:t>
      </w:r>
    </w:p>
    <w:p w:rsidR="00837BAC" w:rsidP="0FD2CDBA" w14:paraId="0A279B3C" w14:textId="3C3BFFA2">
      <m:oMath>
        <m:sSub>
          <m:sSubPr>
            <m:ctrlPr>
              <w:rPr>
                <w:rFonts w:ascii="Cambria Math" w:hAnsi="Cambria Math"/>
                <w:i/>
              </w:rPr>
            </m:ctrlPr>
          </m:sSubPr>
          <m:e>
            <m:r>
              <w:rPr>
                <w:rFonts w:ascii="Cambria Math" w:hAnsi="Cambria Math"/>
              </w:rPr>
              <m:t>X</m:t>
            </m:r>
          </m:e>
          <m:sub>
            <m:r>
              <w:rPr>
                <w:rFonts w:ascii="Cambria Math" w:hAnsi="Cambria Math"/>
              </w:rPr>
              <m:t>Unsampled</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Production</m:t>
                </m:r>
              </m:e>
              <m:sub>
                <m:r>
                  <w:rPr>
                    <w:rFonts w:ascii="Cambria Math" w:hAnsi="Cambria Math"/>
                  </w:rPr>
                  <m:t>Unsampled</m:t>
                </m:r>
              </m:sub>
            </m:sSub>
            <m:r>
              <w:rPr>
                <w:rFonts w:ascii="Cambria Math" w:hAnsi="Cambria Math"/>
              </w:rPr>
              <m:t>+</m:t>
            </m:r>
            <m:sSub>
              <m:sSubPr>
                <m:ctrlPr>
                  <w:rPr>
                    <w:rFonts w:ascii="Cambria Math" w:hAnsi="Cambria Math"/>
                    <w:i/>
                  </w:rPr>
                </m:ctrlPr>
              </m:sSubPr>
              <m:e>
                <m:r>
                  <w:rPr>
                    <w:rFonts w:ascii="Cambria Math" w:hAnsi="Cambria Math"/>
                  </w:rPr>
                  <m:t>Reserves</m:t>
                </m:r>
              </m:e>
              <m:sub>
                <m:r>
                  <w:rPr>
                    <w:rFonts w:ascii="Cambria Math" w:hAnsi="Cambria Math"/>
                  </w:rPr>
                  <m:t>Unsampled</m:t>
                </m:r>
              </m:sub>
            </m:sSub>
          </m:e>
        </m:d>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Sampled</m:t>
                </m:r>
              </m:sub>
            </m:sSub>
          </m:num>
          <m:den>
            <m:d>
              <m:dPr>
                <m:ctrlPr>
                  <w:rPr>
                    <w:rFonts w:ascii="Cambria Math" w:hAnsi="Cambria Math"/>
                    <w:i/>
                  </w:rPr>
                </m:ctrlPr>
              </m:dPr>
              <m:e>
                <m:sSub>
                  <m:sSubPr>
                    <m:ctrlPr>
                      <w:rPr>
                        <w:rFonts w:ascii="Cambria Math" w:hAnsi="Cambria Math"/>
                        <w:i/>
                      </w:rPr>
                    </m:ctrlPr>
                  </m:sSubPr>
                  <m:e>
                    <m:r>
                      <w:rPr>
                        <w:rFonts w:ascii="Cambria Math" w:hAnsi="Cambria Math"/>
                      </w:rPr>
                      <m:t>Production</m:t>
                    </m:r>
                  </m:e>
                  <m:sub>
                    <m:r>
                      <w:rPr>
                        <w:rFonts w:ascii="Cambria Math" w:hAnsi="Cambria Math"/>
                      </w:rPr>
                      <m:t>Sampled</m:t>
                    </m:r>
                  </m:sub>
                </m:sSub>
                <m:r>
                  <w:rPr>
                    <w:rFonts w:ascii="Cambria Math" w:hAnsi="Cambria Math"/>
                  </w:rPr>
                  <m:t>+</m:t>
                </m:r>
                <m:sSub>
                  <m:sSubPr>
                    <m:ctrlPr>
                      <w:rPr>
                        <w:rFonts w:ascii="Cambria Math" w:hAnsi="Cambria Math"/>
                        <w:i/>
                      </w:rPr>
                    </m:ctrlPr>
                  </m:sSubPr>
                  <m:e>
                    <m:r>
                      <w:rPr>
                        <w:rFonts w:ascii="Cambria Math" w:hAnsi="Cambria Math"/>
                      </w:rPr>
                      <m:t>Reserves</m:t>
                    </m:r>
                  </m:e>
                  <m:sub>
                    <m:r>
                      <w:rPr>
                        <w:rFonts w:ascii="Cambria Math" w:hAnsi="Cambria Math"/>
                      </w:rPr>
                      <m:t>Sampled</m:t>
                    </m:r>
                  </m:sub>
                </m:sSub>
              </m:e>
            </m:d>
          </m:den>
        </m:f>
      </m:oMath>
      <w:r w:rsidR="009F0F59">
        <w:t xml:space="preserve"> </w:t>
      </w:r>
    </w:p>
    <w:p w:rsidR="006D2060" w:rsidP="0FD2CDBA" w14:paraId="2022DB61" w14:textId="6052F604">
      <w:r>
        <w:t>Ratios for the total reported categories in a state/state subdivision are applied to the estimated reserves volumes to calculate the estimated categories. Estimated category items will have the same proportion to year-end reserves as do the reported volumes.</w:t>
      </w:r>
    </w:p>
    <w:p w:rsidR="006D2060" w:rsidRPr="003C6570" w:rsidP="006D2060" w14:paraId="7446DE40" w14:textId="77777777">
      <w:pPr>
        <w:rPr>
          <w:iCs/>
        </w:rPr>
      </w:pPr>
      <w:r>
        <w:rPr>
          <w:iCs/>
        </w:rPr>
        <w:t>The following reserve categories are reported on Form EIA-23L</w:t>
      </w:r>
      <w:r w:rsidRPr="003C6570">
        <w:rPr>
          <w:iCs/>
        </w:rPr>
        <w:t>:</w:t>
      </w:r>
    </w:p>
    <w:p w:rsidR="006D2060" w:rsidRPr="003C6570" w:rsidP="00B62D43" w14:paraId="5DC93F23" w14:textId="7A36C866">
      <w:pPr>
        <w:numPr>
          <w:ilvl w:val="0"/>
          <w:numId w:val="22"/>
        </w:numPr>
      </w:pPr>
      <w:r>
        <w:t>Divestiture</w:t>
      </w:r>
      <w:r>
        <w:t>s (amount of reserves transferred if operations were sold to another company</w:t>
      </w:r>
      <w:r w:rsidR="00C51CA7">
        <w:t>).</w:t>
      </w:r>
    </w:p>
    <w:p w:rsidR="006D2060" w:rsidRPr="003C6570" w:rsidP="00B62D43" w14:paraId="0C8809F2" w14:textId="0086B2ED">
      <w:pPr>
        <w:numPr>
          <w:ilvl w:val="0"/>
          <w:numId w:val="22"/>
        </w:numPr>
        <w:rPr>
          <w:iCs/>
        </w:rPr>
      </w:pPr>
      <w:r w:rsidRPr="003C6570">
        <w:rPr>
          <w:iCs/>
        </w:rPr>
        <w:t>Acquisitions</w:t>
      </w:r>
      <w:r>
        <w:rPr>
          <w:iCs/>
        </w:rPr>
        <w:t xml:space="preserve"> (amount of reserves acquired if operators or properties were purchased or transferred</w:t>
      </w:r>
      <w:r w:rsidR="00C51CA7">
        <w:rPr>
          <w:iCs/>
        </w:rPr>
        <w:t>).</w:t>
      </w:r>
    </w:p>
    <w:p w:rsidR="006D2060" w:rsidRPr="003C6570" w:rsidP="00B62D43" w14:paraId="59F22F6D" w14:textId="508F060F">
      <w:pPr>
        <w:numPr>
          <w:ilvl w:val="0"/>
          <w:numId w:val="22"/>
        </w:numPr>
        <w:rPr>
          <w:iCs/>
        </w:rPr>
      </w:pPr>
      <w:r w:rsidRPr="003C6570">
        <w:rPr>
          <w:iCs/>
        </w:rPr>
        <w:t>Extensions and Discoveries</w:t>
      </w:r>
      <w:r>
        <w:rPr>
          <w:iCs/>
        </w:rPr>
        <w:t xml:space="preserve"> (</w:t>
      </w:r>
      <w:r w:rsidR="00197DCF">
        <w:t>e</w:t>
      </w:r>
      <w:r>
        <w:t>xtensions are reserves additions that result from expanding the proved acreage of previously discovered reserves through additional drilling. Discoveries are the sum of new field discoveries, and new reservoir discoveries found during a survey year</w:t>
      </w:r>
      <w:r w:rsidR="00C51CA7">
        <w:t>).</w:t>
      </w:r>
    </w:p>
    <w:p w:rsidR="006D2060" w:rsidRPr="003C6570" w:rsidP="00B62D43" w14:paraId="3B125060" w14:textId="308439A4">
      <w:pPr>
        <w:numPr>
          <w:ilvl w:val="0"/>
          <w:numId w:val="22"/>
        </w:numPr>
        <w:rPr>
          <w:iCs/>
        </w:rPr>
      </w:pPr>
      <w:r w:rsidRPr="003C6570">
        <w:rPr>
          <w:iCs/>
        </w:rPr>
        <w:t>Report Year Production</w:t>
      </w:r>
      <w:r>
        <w:rPr>
          <w:iCs/>
        </w:rPr>
        <w:t xml:space="preserve"> (</w:t>
      </w:r>
      <w:r>
        <w:t>the volumes produced from wells in the state/state subdivision</w:t>
      </w:r>
      <w:r w:rsidR="00C51CA7">
        <w:t>).</w:t>
      </w:r>
    </w:p>
    <w:p w:rsidR="006D2060" w:rsidP="00B62D43" w14:paraId="48A23C4E" w14:textId="7A2C5F04">
      <w:pPr>
        <w:numPr>
          <w:ilvl w:val="0"/>
          <w:numId w:val="22"/>
        </w:numPr>
        <w:rPr>
          <w:iCs/>
        </w:rPr>
      </w:pPr>
      <w:r>
        <w:rPr>
          <w:iCs/>
        </w:rPr>
        <w:t xml:space="preserve">Total Producing </w:t>
      </w:r>
      <w:r w:rsidRPr="003C6570">
        <w:rPr>
          <w:iCs/>
        </w:rPr>
        <w:t xml:space="preserve">Proved Reserves at End of Report </w:t>
      </w:r>
      <w:r w:rsidRPr="003C6570" w:rsidR="00C51CA7">
        <w:rPr>
          <w:iCs/>
        </w:rPr>
        <w:t>Year</w:t>
      </w:r>
      <w:r w:rsidR="00C51CA7">
        <w:rPr>
          <w:iCs/>
        </w:rPr>
        <w:t>.</w:t>
      </w:r>
    </w:p>
    <w:p w:rsidR="006D2060" w:rsidRPr="003C6570" w:rsidP="00B62D43" w14:paraId="12F0567A" w14:textId="77777777">
      <w:pPr>
        <w:numPr>
          <w:ilvl w:val="0"/>
          <w:numId w:val="22"/>
        </w:numPr>
        <w:rPr>
          <w:iCs/>
        </w:rPr>
      </w:pPr>
      <w:r>
        <w:rPr>
          <w:iCs/>
        </w:rPr>
        <w:t>Total Non-Producing Proved Reserves at End of Report Year.</w:t>
      </w:r>
    </w:p>
    <w:p w:rsidR="006D2060" w:rsidP="0FD2CDBA" w14:paraId="29324D81" w14:textId="6AD6E4ED">
      <w:r>
        <w:t xml:space="preserve">Prior year’s reserves, minus divestitures, plus acquisitions, plus extensions and discoveries, minus production over the previous year, should approximate the current year’s reserves. However, </w:t>
      </w:r>
      <w:r>
        <w:t>reasons why proved reserves may not “add up” from one year to the next include:</w:t>
      </w:r>
    </w:p>
    <w:p w:rsidR="00B62D43" w:rsidRPr="00B62D43" w:rsidP="00B62D43" w14:paraId="09D416C6" w14:textId="77777777">
      <w:pPr>
        <w:numPr>
          <w:ilvl w:val="0"/>
          <w:numId w:val="25"/>
        </w:numPr>
        <w:rPr>
          <w:iCs/>
        </w:rPr>
      </w:pPr>
      <w:r w:rsidRPr="00B62D43">
        <w:rPr>
          <w:iCs/>
        </w:rPr>
        <w:t xml:space="preserve">The inclusion of operators with the same operating characteristics in each year’s sample is uncertain. There is no guarantee in the smaller producing states/subdivisions that the </w:t>
      </w:r>
      <w:r w:rsidR="000A0996">
        <w:rPr>
          <w:iCs/>
        </w:rPr>
        <w:t xml:space="preserve">sample selection will include the same </w:t>
      </w:r>
      <w:r w:rsidRPr="00B62D43">
        <w:rPr>
          <w:iCs/>
        </w:rPr>
        <w:t>small operators each reporting year, or that the operators selected will have similar production volumes when compared with operators selected in a prior reporting year.</w:t>
      </w:r>
    </w:p>
    <w:p w:rsidR="006D2060" w:rsidP="00B62D43" w14:paraId="287A534B" w14:textId="77777777">
      <w:pPr>
        <w:numPr>
          <w:ilvl w:val="0"/>
          <w:numId w:val="25"/>
        </w:numPr>
        <w:rPr>
          <w:iCs/>
        </w:rPr>
      </w:pPr>
      <w:r w:rsidRPr="00B62D43">
        <w:rPr>
          <w:iCs/>
        </w:rPr>
        <w:t xml:space="preserve">Operators may </w:t>
      </w:r>
      <w:r w:rsidRPr="00B62D43" w:rsidR="000A0996">
        <w:rPr>
          <w:iCs/>
        </w:rPr>
        <w:t>revise</w:t>
      </w:r>
      <w:r w:rsidRPr="00B62D43">
        <w:rPr>
          <w:iCs/>
        </w:rPr>
        <w:t xml:space="preserve"> their prior year’s proved reserves because of technical challenges or advancements, production performance, or economic reasons.</w:t>
      </w:r>
    </w:p>
    <w:p w:rsidR="006D2060" w:rsidRPr="003C6570" w:rsidP="00B62D43" w14:paraId="77DA21E9" w14:textId="77777777">
      <w:pPr>
        <w:numPr>
          <w:ilvl w:val="0"/>
          <w:numId w:val="25"/>
        </w:numPr>
        <w:rPr>
          <w:iCs/>
        </w:rPr>
      </w:pPr>
      <w:r w:rsidRPr="003C6570">
        <w:rPr>
          <w:iCs/>
        </w:rPr>
        <w:t xml:space="preserve">The frame sample coverage may or may not have improved between survey years, </w:t>
      </w:r>
      <w:r w:rsidR="000A0996">
        <w:rPr>
          <w:iCs/>
        </w:rPr>
        <w:t xml:space="preserve">including </w:t>
      </w:r>
      <w:r w:rsidRPr="003C6570">
        <w:rPr>
          <w:iCs/>
        </w:rPr>
        <w:t>more or fewer operators in the reporting year than</w:t>
      </w:r>
      <w:r w:rsidR="000A0996">
        <w:rPr>
          <w:iCs/>
        </w:rPr>
        <w:t xml:space="preserve"> in</w:t>
      </w:r>
      <w:r w:rsidRPr="003C6570">
        <w:rPr>
          <w:iCs/>
        </w:rPr>
        <w:t xml:space="preserve"> the previous year.</w:t>
      </w:r>
    </w:p>
    <w:p w:rsidR="006D2060" w:rsidRPr="003C6570" w:rsidP="00B62D43" w14:paraId="0653D44B" w14:textId="77777777">
      <w:pPr>
        <w:numPr>
          <w:ilvl w:val="0"/>
          <w:numId w:val="25"/>
        </w:numPr>
        <w:rPr>
          <w:iCs/>
        </w:rPr>
      </w:pPr>
      <w:r w:rsidRPr="003C6570">
        <w:rPr>
          <w:iCs/>
        </w:rPr>
        <w:t>One or more operators may have reported data incorrectly in one reporting year or the next, but not both, and data validation</w:t>
      </w:r>
      <w:r w:rsidR="000A0996">
        <w:rPr>
          <w:iCs/>
        </w:rPr>
        <w:t xml:space="preserve"> did not detect the error</w:t>
      </w:r>
      <w:r w:rsidRPr="003C6570">
        <w:rPr>
          <w:iCs/>
        </w:rPr>
        <w:t>.</w:t>
      </w:r>
    </w:p>
    <w:p w:rsidR="006D2060" w:rsidRPr="003C6570" w:rsidP="00B62D43" w14:paraId="59040368" w14:textId="77777777">
      <w:pPr>
        <w:numPr>
          <w:ilvl w:val="0"/>
          <w:numId w:val="25"/>
        </w:numPr>
        <w:rPr>
          <w:iCs/>
        </w:rPr>
      </w:pPr>
      <w:r>
        <w:rPr>
          <w:iCs/>
        </w:rPr>
        <w:t>O</w:t>
      </w:r>
      <w:r w:rsidRPr="003C6570">
        <w:rPr>
          <w:iCs/>
        </w:rPr>
        <w:t xml:space="preserve">perators not in the sample </w:t>
      </w:r>
      <w:r w:rsidRPr="003C6570">
        <w:rPr>
          <w:iCs/>
        </w:rPr>
        <w:t>transferred</w:t>
      </w:r>
      <w:r>
        <w:rPr>
          <w:iCs/>
        </w:rPr>
        <w:t xml:space="preserve"> the</w:t>
      </w:r>
      <w:r w:rsidRPr="003C6570">
        <w:rPr>
          <w:iCs/>
        </w:rPr>
        <w:t xml:space="preserve"> </w:t>
      </w:r>
      <w:r>
        <w:rPr>
          <w:iCs/>
        </w:rPr>
        <w:t>o</w:t>
      </w:r>
      <w:r w:rsidRPr="003C6570">
        <w:rPr>
          <w:iCs/>
        </w:rPr>
        <w:t xml:space="preserve">peration of properties </w:t>
      </w:r>
      <w:r w:rsidRPr="003C6570">
        <w:rPr>
          <w:iCs/>
        </w:rPr>
        <w:t>to surveyed operators</w:t>
      </w:r>
      <w:r>
        <w:rPr>
          <w:iCs/>
        </w:rPr>
        <w:t xml:space="preserve"> </w:t>
      </w:r>
      <w:r w:rsidRPr="003C6570">
        <w:rPr>
          <w:iCs/>
        </w:rPr>
        <w:t>during the reporting year</w:t>
      </w:r>
      <w:r>
        <w:rPr>
          <w:iCs/>
        </w:rPr>
        <w:t>.</w:t>
      </w:r>
    </w:p>
    <w:p w:rsidR="006D2060" w:rsidRPr="003C6570" w:rsidP="00B62D43" w14:paraId="0A039589" w14:textId="77777777">
      <w:pPr>
        <w:numPr>
          <w:ilvl w:val="0"/>
          <w:numId w:val="25"/>
        </w:numPr>
        <w:rPr>
          <w:iCs/>
        </w:rPr>
      </w:pPr>
      <w:r>
        <w:rPr>
          <w:iCs/>
        </w:rPr>
        <w:t>T</w:t>
      </w:r>
      <w:r w:rsidRPr="003C6570">
        <w:rPr>
          <w:iCs/>
        </w:rPr>
        <w:t>he previous year's operator</w:t>
      </w:r>
      <w:r>
        <w:rPr>
          <w:iCs/>
        </w:rPr>
        <w:t xml:space="preserve"> </w:t>
      </w:r>
      <w:r w:rsidRPr="003C6570">
        <w:rPr>
          <w:iCs/>
        </w:rPr>
        <w:t xml:space="preserve">transferred </w:t>
      </w:r>
      <w:r>
        <w:rPr>
          <w:iCs/>
        </w:rPr>
        <w:t>the o</w:t>
      </w:r>
      <w:r w:rsidRPr="003C6570">
        <w:rPr>
          <w:iCs/>
        </w:rPr>
        <w:t xml:space="preserve">peration of properties </w:t>
      </w:r>
      <w:r w:rsidRPr="003C6570">
        <w:rPr>
          <w:iCs/>
        </w:rPr>
        <w:t>during the reporting year to an operator with a different evaluation of the proved reserves associated with the properties</w:t>
      </w:r>
      <w:r>
        <w:rPr>
          <w:iCs/>
        </w:rPr>
        <w:t>.</w:t>
      </w:r>
    </w:p>
    <w:p w:rsidR="006D2060" w:rsidRPr="003C6570" w:rsidP="00B62D43" w14:paraId="468C59B3" w14:textId="77777777">
      <w:pPr>
        <w:numPr>
          <w:ilvl w:val="0"/>
          <w:numId w:val="25"/>
        </w:numPr>
        <w:rPr>
          <w:iCs/>
        </w:rPr>
      </w:pPr>
      <w:r w:rsidRPr="003C6570">
        <w:rPr>
          <w:iCs/>
        </w:rPr>
        <w:t>The trend in reserves changes imputed for the non-sampled operators, which was based on the trend reported by the sampled operators, did not reflect the actual trend for the non-sampled operators.</w:t>
      </w:r>
    </w:p>
    <w:p w:rsidR="006D2060" w:rsidRPr="00354C02" w:rsidP="00B71695" w14:paraId="42CA6D0E" w14:textId="77777777">
      <w:pPr>
        <w:pStyle w:val="Heading4"/>
      </w:pPr>
      <w:bookmarkStart w:id="17" w:name="_Toc442778053"/>
      <w:bookmarkStart w:id="18" w:name="_Toc193357463"/>
      <w:r>
        <w:t>B.2.2.3</w:t>
      </w:r>
      <w:r w:rsidR="00F7453F">
        <w:t>.</w:t>
      </w:r>
      <w:r>
        <w:t xml:space="preserve"> </w:t>
      </w:r>
      <w:r w:rsidRPr="00354C02">
        <w:t>Yield of Natural Gas Plant Liquids and Dry Natural Gas from Total Natural Gas</w:t>
      </w:r>
      <w:bookmarkEnd w:id="17"/>
      <w:bookmarkEnd w:id="18"/>
    </w:p>
    <w:p w:rsidR="006D2060" w:rsidP="006D2060" w14:paraId="6AC699EF" w14:textId="77777777">
      <w:pPr>
        <w:rPr>
          <w:iCs/>
        </w:rPr>
      </w:pPr>
      <w:r>
        <w:rPr>
          <w:iCs/>
        </w:rPr>
        <w:t>EIA derives the</w:t>
      </w:r>
      <w:r w:rsidRPr="003C6570">
        <w:rPr>
          <w:iCs/>
        </w:rPr>
        <w:t xml:space="preserve"> published reserves, production, and reserves change statistics for crude oil</w:t>
      </w:r>
      <w:r>
        <w:rPr>
          <w:iCs/>
        </w:rPr>
        <w:t xml:space="preserve"> and</w:t>
      </w:r>
      <w:r w:rsidRPr="003C6570">
        <w:rPr>
          <w:iCs/>
        </w:rPr>
        <w:t xml:space="preserve"> lease condensate, and natural gas (wet after lease separation) from data reported on Form EIA-23L and the application of the estimation methods discussed previously. </w:t>
      </w:r>
      <w:r>
        <w:rPr>
          <w:iCs/>
        </w:rPr>
        <w:t>EIA then uses t</w:t>
      </w:r>
      <w:r w:rsidRPr="003C6570">
        <w:rPr>
          <w:iCs/>
        </w:rPr>
        <w:t xml:space="preserve">he information collected on Form EIA-64A to </w:t>
      </w:r>
      <w:r w:rsidRPr="003C6570">
        <w:rPr>
          <w:iCs/>
        </w:rPr>
        <w:t>calculate</w:t>
      </w:r>
      <w:r w:rsidRPr="003C6570">
        <w:rPr>
          <w:iCs/>
        </w:rPr>
        <w:t xml:space="preserve"> a regional estimated yield of natural gas plant liquids and dry natural gas from total natural gas</w:t>
      </w:r>
      <w:r>
        <w:rPr>
          <w:iCs/>
        </w:rPr>
        <w:t xml:space="preserve"> </w:t>
      </w:r>
      <w:r w:rsidRPr="003C6570">
        <w:rPr>
          <w:iCs/>
        </w:rPr>
        <w:t>(wet after lease separation).</w:t>
      </w:r>
    </w:p>
    <w:p w:rsidR="003B2134" w:rsidP="006D2060" w14:paraId="0074F895" w14:textId="3ECF262A">
      <w:pPr>
        <w:rPr>
          <w:iCs/>
        </w:rPr>
      </w:pPr>
      <w:r>
        <w:rPr>
          <w:iCs/>
        </w:rPr>
        <w:t xml:space="preserve">First, since some gas may bypass processing plants and be sold directly, EIA calculates for the ratio of total wet gas production in </w:t>
      </w:r>
      <w:r>
        <w:rPr>
          <w:iCs/>
        </w:rPr>
        <w:t>state</w:t>
      </w:r>
      <w:r w:rsidR="00723C65">
        <w:rPr>
          <w:iCs/>
        </w:rPr>
        <w:t xml:space="preserve"> ‘s’</w:t>
      </w:r>
      <w:r w:rsidR="00723C65">
        <w:rPr>
          <w:iCs/>
        </w:rPr>
        <w:t xml:space="preserve"> </w:t>
      </w:r>
      <w:r>
        <w:rPr>
          <w:iCs/>
        </w:rPr>
        <w:t>to gas sent through a processing plant</w:t>
      </w:r>
      <w:r w:rsidR="00723C65">
        <w:rPr>
          <w:iCs/>
        </w:rPr>
        <w:t xml:space="preserve">. The production data is </w:t>
      </w:r>
      <w:r w:rsidR="006F0F5A">
        <w:rPr>
          <w:iCs/>
        </w:rPr>
        <w:t xml:space="preserve">from the </w:t>
      </w:r>
      <w:r w:rsidR="00723C65">
        <w:rPr>
          <w:iCs/>
        </w:rPr>
        <w:t>EIA-23L frame data, and the</w:t>
      </w:r>
      <w:r>
        <w:rPr>
          <w:iCs/>
        </w:rPr>
        <w:t xml:space="preserve"> </w:t>
      </w:r>
      <w:r w:rsidR="00723C65">
        <w:rPr>
          <w:iCs/>
        </w:rPr>
        <w:t>inlet gas comes from the EIA-64A data having an area of origin as state ‘s’.</w:t>
      </w:r>
    </w:p>
    <w:p w:rsidR="003B2134" w:rsidRPr="003B2134" w:rsidP="006D2060" w14:paraId="5DF4136E" w14:textId="556A5258">
      <w:pPr>
        <w:rPr>
          <w:iCs/>
        </w:rPr>
      </w:pPr>
      <m:oMathPara>
        <m:oMath>
          <m:sSub>
            <m:sSubPr>
              <m:ctrlPr>
                <w:rPr>
                  <w:rFonts w:ascii="Cambria Math" w:hAnsi="Cambria Math"/>
                  <w:i/>
                  <w:iCs/>
                </w:rPr>
              </m:ctrlPr>
            </m:sSubPr>
            <m:e>
              <m:r>
                <w:rPr>
                  <w:rFonts w:ascii="Cambria Math" w:hAnsi="Cambria Math"/>
                </w:rPr>
                <m:t>PlantRatio</m:t>
              </m:r>
            </m:e>
            <m:sub>
              <m:r>
                <w:rPr>
                  <w:rFonts w:ascii="Cambria Math" w:hAnsi="Cambria Math"/>
                </w:rPr>
                <m:t>s</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PlantInputs</m:t>
                  </m:r>
                </m:e>
                <m:sub>
                  <m:r>
                    <w:rPr>
                      <w:rFonts w:ascii="Cambria Math" w:hAnsi="Cambria Math"/>
                    </w:rPr>
                    <m:t>s</m:t>
                  </m:r>
                </m:sub>
              </m:sSub>
            </m:num>
            <m:den>
              <m:sSub>
                <m:sSubPr>
                  <m:ctrlPr>
                    <w:rPr>
                      <w:rFonts w:ascii="Cambria Math" w:hAnsi="Cambria Math"/>
                      <w:i/>
                      <w:iCs/>
                    </w:rPr>
                  </m:ctrlPr>
                </m:sSubPr>
                <m:e>
                  <m:r>
                    <w:rPr>
                      <w:rFonts w:ascii="Cambria Math" w:hAnsi="Cambria Math"/>
                    </w:rPr>
                    <m:t>WetGasProduction</m:t>
                  </m:r>
                </m:e>
                <m:sub>
                  <m:r>
                    <w:rPr>
                      <w:rFonts w:ascii="Cambria Math" w:hAnsi="Cambria Math"/>
                    </w:rPr>
                    <m:t>s</m:t>
                  </m:r>
                </m:sub>
              </m:sSub>
            </m:den>
          </m:f>
        </m:oMath>
      </m:oMathPara>
    </w:p>
    <w:p w:rsidR="00723C65" w:rsidP="006D2060" w14:paraId="04ED8A23" w14:textId="12C8C60E">
      <w:pPr>
        <w:rPr>
          <w:iCs/>
        </w:rPr>
      </w:pPr>
      <w:r>
        <w:rPr>
          <w:iCs/>
        </w:rPr>
        <w:t>Where</w:t>
      </w:r>
    </w:p>
    <w:p w:rsidR="00723C65" w:rsidP="006D2060" w14:paraId="1072B7A9" w14:textId="29963C2A">
      <w:pPr>
        <w:rPr>
          <w:iCs/>
        </w:rPr>
      </w:pPr>
      <m:oMath>
        <m:sSub>
          <m:sSubPr>
            <m:ctrlPr>
              <w:rPr>
                <w:rFonts w:ascii="Cambria Math" w:hAnsi="Cambria Math"/>
                <w:i/>
                <w:iCs/>
              </w:rPr>
            </m:ctrlPr>
          </m:sSubPr>
          <m:e>
            <m:r>
              <w:rPr>
                <w:rFonts w:ascii="Cambria Math" w:hAnsi="Cambria Math"/>
              </w:rPr>
              <m:t>PlantInputs</m:t>
            </m:r>
          </m:e>
          <m:sub>
            <m:r>
              <w:rPr>
                <w:rFonts w:ascii="Cambria Math" w:hAnsi="Cambria Math"/>
              </w:rPr>
              <m:t>s</m:t>
            </m:r>
          </m:sub>
        </m:sSub>
      </m:oMath>
      <w:r>
        <w:rPr>
          <w:iCs/>
        </w:rPr>
        <w:t xml:space="preserve"> is the total inlet gas </w:t>
      </w:r>
      <w:r w:rsidR="006F0F5A">
        <w:rPr>
          <w:iCs/>
        </w:rPr>
        <w:t xml:space="preserve">from </w:t>
      </w:r>
      <w:r>
        <w:rPr>
          <w:iCs/>
        </w:rPr>
        <w:t>the EIA-64A having an area of origin as state ‘s’.</w:t>
      </w:r>
    </w:p>
    <w:p w:rsidR="00723C65" w:rsidP="006D2060" w14:paraId="51674D30" w14:textId="0117EFC5">
      <w:pPr>
        <w:rPr>
          <w:iCs/>
        </w:rPr>
      </w:pPr>
      <m:oMath>
        <m:sSub>
          <m:sSubPr>
            <m:ctrlPr>
              <w:rPr>
                <w:rFonts w:ascii="Cambria Math" w:hAnsi="Cambria Math"/>
                <w:i/>
                <w:iCs/>
              </w:rPr>
            </m:ctrlPr>
          </m:sSubPr>
          <m:e>
            <m:r>
              <w:rPr>
                <w:rFonts w:ascii="Cambria Math" w:hAnsi="Cambria Math"/>
              </w:rPr>
              <m:t>WetGasProduction</m:t>
            </m:r>
          </m:e>
          <m:sub>
            <m:r>
              <w:rPr>
                <w:rFonts w:ascii="Cambria Math" w:hAnsi="Cambria Math"/>
              </w:rPr>
              <m:t>s</m:t>
            </m:r>
          </m:sub>
        </m:sSub>
      </m:oMath>
      <w:r>
        <w:rPr>
          <w:iCs/>
        </w:rPr>
        <w:t xml:space="preserve"> is the total natural gas production in state ‘s’ listed in the EIA-23L frame.</w:t>
      </w:r>
    </w:p>
    <w:p w:rsidR="00FE3592" w:rsidP="006D2060" w14:paraId="409E2625" w14:textId="5549A28B">
      <w:pPr>
        <w:rPr>
          <w:iCs/>
        </w:rPr>
      </w:pPr>
      <w:r>
        <w:rPr>
          <w:iCs/>
        </w:rPr>
        <w:t xml:space="preserve">Second, EIA </w:t>
      </w:r>
      <w:r>
        <w:rPr>
          <w:iCs/>
        </w:rPr>
        <w:t xml:space="preserve">calculates a state level shrinkage factor based on data from the EIA-64A as </w:t>
      </w:r>
    </w:p>
    <w:p w:rsidR="00FE3592" w:rsidRPr="00723C65" w:rsidP="006D2060" w14:paraId="1FF11A1D" w14:textId="798E81DE">
      <w:pPr>
        <w:rPr>
          <w:iCs/>
        </w:rPr>
      </w:pPr>
      <m:oMathPara>
        <m:oMath>
          <m:sSub>
            <m:sSubPr>
              <m:ctrlPr>
                <w:rPr>
                  <w:rFonts w:ascii="Cambria Math" w:hAnsi="Cambria Math"/>
                  <w:i/>
                  <w:iCs/>
                </w:rPr>
              </m:ctrlPr>
            </m:sSubPr>
            <m:e>
              <m:r>
                <w:rPr>
                  <w:rFonts w:ascii="Cambria Math" w:hAnsi="Cambria Math"/>
                </w:rPr>
                <m:t>Shrinkage</m:t>
              </m:r>
            </m:e>
            <m:sub>
              <m:r>
                <w:rPr>
                  <w:rFonts w:ascii="Cambria Math" w:hAnsi="Cambria Math"/>
                </w:rPr>
                <m:t>s</m:t>
              </m:r>
            </m:sub>
          </m:sSub>
          <m:r>
            <w:rPr>
              <w:rFonts w:ascii="Cambria Math" w:hAnsi="Cambria Math"/>
            </w:rPr>
            <m:t>=</m:t>
          </m:r>
          <m:f>
            <m:fPr>
              <m:ctrlPr>
                <w:rPr>
                  <w:rFonts w:ascii="Cambria Math" w:hAnsi="Cambria Math"/>
                  <w:i/>
                  <w:iCs/>
                </w:rPr>
              </m:ctrlPr>
            </m:fPr>
            <m:num>
              <m:sSub>
                <m:sSubPr>
                  <m:ctrlPr>
                    <w:rPr>
                      <w:rFonts w:ascii="Cambria Math" w:hAnsi="Cambria Math"/>
                      <w:i/>
                      <w:iCs/>
                    </w:rPr>
                  </m:ctrlPr>
                </m:sSubPr>
                <m:e>
                  <m:r>
                    <w:rPr>
                      <w:rFonts w:ascii="Cambria Math" w:hAnsi="Cambria Math"/>
                    </w:rPr>
                    <m:t>DryGasOutput</m:t>
                  </m:r>
                </m:e>
                <m:sub>
                  <m:r>
                    <w:rPr>
                      <w:rFonts w:ascii="Cambria Math" w:hAnsi="Cambria Math"/>
                    </w:rPr>
                    <m:t>s</m:t>
                  </m:r>
                </m:sub>
              </m:sSub>
            </m:num>
            <m:den>
              <m:sSub>
                <m:sSubPr>
                  <m:ctrlPr>
                    <w:rPr>
                      <w:rFonts w:ascii="Cambria Math" w:hAnsi="Cambria Math"/>
                      <w:i/>
                      <w:iCs/>
                    </w:rPr>
                  </m:ctrlPr>
                </m:sSubPr>
                <m:e>
                  <m:r>
                    <w:rPr>
                      <w:rFonts w:ascii="Cambria Math" w:hAnsi="Cambria Math"/>
                    </w:rPr>
                    <m:t>PlantInputs</m:t>
                  </m:r>
                </m:e>
                <m:sub>
                  <m:r>
                    <w:rPr>
                      <w:rFonts w:ascii="Cambria Math" w:hAnsi="Cambria Math"/>
                    </w:rPr>
                    <m:t>s</m:t>
                  </m:r>
                </m:sub>
              </m:sSub>
            </m:den>
          </m:f>
        </m:oMath>
      </m:oMathPara>
    </w:p>
    <w:p w:rsidR="00723C65" w:rsidP="006D2060" w14:paraId="5AE668CC" w14:textId="7457450F">
      <w:pPr>
        <w:rPr>
          <w:iCs/>
        </w:rPr>
      </w:pPr>
      <w:r>
        <w:rPr>
          <w:iCs/>
        </w:rPr>
        <w:t>Where</w:t>
      </w:r>
    </w:p>
    <w:p w:rsidR="00723C65" w:rsidP="006D2060" w14:paraId="063DC421" w14:textId="793504E2">
      <w:pPr>
        <w:rPr>
          <w:iCs/>
        </w:rPr>
      </w:pPr>
      <m:oMath>
        <m:sSub>
          <m:sSubPr>
            <m:ctrlPr>
              <w:rPr>
                <w:rFonts w:ascii="Cambria Math" w:hAnsi="Cambria Math"/>
                <w:i/>
                <w:iCs/>
              </w:rPr>
            </m:ctrlPr>
          </m:sSubPr>
          <m:e>
            <m:r>
              <w:rPr>
                <w:rFonts w:ascii="Cambria Math" w:hAnsi="Cambria Math"/>
              </w:rPr>
              <m:t>DryGasOutput</m:t>
            </m:r>
          </m:e>
          <m:sub>
            <m:r>
              <w:rPr>
                <w:rFonts w:ascii="Cambria Math" w:hAnsi="Cambria Math"/>
              </w:rPr>
              <m:t>s</m:t>
            </m:r>
          </m:sub>
        </m:sSub>
      </m:oMath>
      <w:r>
        <w:rPr>
          <w:iCs/>
        </w:rPr>
        <w:t xml:space="preserve"> is the total </w:t>
      </w:r>
      <w:r w:rsidR="006F0F5A">
        <w:rPr>
          <w:iCs/>
        </w:rPr>
        <w:t xml:space="preserve">outlet gas in </w:t>
      </w:r>
      <w:r w:rsidR="006F0F5A">
        <w:rPr>
          <w:iCs/>
        </w:rPr>
        <w:t>state ‘s’</w:t>
      </w:r>
      <w:r w:rsidR="006F0F5A">
        <w:rPr>
          <w:iCs/>
        </w:rPr>
        <w:t xml:space="preserve"> after processing</w:t>
      </w:r>
    </w:p>
    <w:p w:rsidR="003B2134" w:rsidP="006D2060" w14:paraId="401B65B6" w14:textId="14CC84C6">
      <w:pPr>
        <w:rPr>
          <w:iCs/>
        </w:rPr>
      </w:pPr>
      <w:r>
        <w:rPr>
          <w:iCs/>
        </w:rPr>
        <w:t>Then d</w:t>
      </w:r>
      <w:r w:rsidR="00723C65">
        <w:rPr>
          <w:iCs/>
        </w:rPr>
        <w:t>ry gas reserves can then be calculated as</w:t>
      </w:r>
    </w:p>
    <w:p w:rsidR="00FE3592" w:rsidP="006D2060" w14:paraId="591DFBCF" w14:textId="3A78A908">
      <w:pPr>
        <w:rPr>
          <w:iCs/>
        </w:rPr>
      </w:pPr>
      <m:oMathPara>
        <m:oMath>
          <m:sSub>
            <m:sSubPr>
              <m:ctrlPr>
                <w:rPr>
                  <w:rFonts w:ascii="Cambria Math" w:hAnsi="Cambria Math"/>
                  <w:i/>
                  <w:iCs/>
                </w:rPr>
              </m:ctrlPr>
            </m:sSubPr>
            <m:e>
              <m:r>
                <w:rPr>
                  <w:rFonts w:ascii="Cambria Math" w:hAnsi="Cambria Math"/>
                </w:rPr>
                <m:t>DryGasReserves</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WetGasReserves</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PlantRatio</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Shrinkage</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WetGasReserves</m:t>
              </m:r>
            </m:e>
            <m:sub>
              <m:r>
                <w:rPr>
                  <w:rFonts w:ascii="Cambria Math" w:hAnsi="Cambria Math"/>
                </w:rPr>
                <m:t>s</m:t>
              </m:r>
            </m:sub>
          </m:sSub>
          <m:r>
            <w:rPr>
              <w:rFonts w:ascii="Cambria Math" w:hAnsi="Cambria Math"/>
            </w:rPr>
            <m:t>*</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PlantRatio</m:t>
                  </m:r>
                </m:e>
                <m:sub>
                  <m:r>
                    <w:rPr>
                      <w:rFonts w:ascii="Cambria Math" w:hAnsi="Cambria Math"/>
                    </w:rPr>
                    <m:t>s</m:t>
                  </m:r>
                </m:sub>
              </m:sSub>
            </m:e>
          </m:d>
        </m:oMath>
      </m:oMathPara>
    </w:p>
    <w:p w:rsidR="006F0F5A" w:rsidP="003B6154" w14:paraId="763D70EB" w14:textId="3745FB6E">
      <w:pPr>
        <w:tabs>
          <w:tab w:val="right" w:pos="9360"/>
        </w:tabs>
        <w:rPr>
          <w:iCs/>
        </w:rPr>
      </w:pPr>
      <w:r>
        <w:rPr>
          <w:iCs/>
        </w:rPr>
        <w:t xml:space="preserve">Where </w:t>
      </w:r>
      <w:r w:rsidR="001B25C2">
        <w:rPr>
          <w:iCs/>
        </w:rPr>
        <w:tab/>
      </w:r>
    </w:p>
    <w:p w:rsidR="006F0F5A" w:rsidP="006D2060" w14:paraId="08526396" w14:textId="2FB26061">
      <w:pPr>
        <w:rPr>
          <w:iCs/>
        </w:rPr>
      </w:pPr>
      <m:oMath>
        <m:sSub>
          <m:sSubPr>
            <m:ctrlPr>
              <w:rPr>
                <w:rFonts w:ascii="Cambria Math" w:hAnsi="Cambria Math"/>
                <w:i/>
                <w:iCs/>
              </w:rPr>
            </m:ctrlPr>
          </m:sSubPr>
          <m:e>
            <m:r>
              <w:rPr>
                <w:rFonts w:ascii="Cambria Math" w:hAnsi="Cambria Math"/>
              </w:rPr>
              <m:t>WetGasReserves</m:t>
            </m:r>
          </m:e>
          <m:sub>
            <m:r>
              <w:rPr>
                <w:rFonts w:ascii="Cambria Math" w:hAnsi="Cambria Math"/>
              </w:rPr>
              <m:t>s</m:t>
            </m:r>
          </m:sub>
        </m:sSub>
      </m:oMath>
      <w:r>
        <w:rPr>
          <w:iCs/>
        </w:rPr>
        <w:t xml:space="preserve"> </w:t>
      </w:r>
      <w:r>
        <w:rPr>
          <w:iCs/>
        </w:rPr>
        <w:t>is</w:t>
      </w:r>
      <w:r>
        <w:rPr>
          <w:iCs/>
        </w:rPr>
        <w:t xml:space="preserve"> the total wet gas reserves in state ‘s’ as estimated by the EIA-23L.</w:t>
      </w:r>
    </w:p>
    <w:p w:rsidR="003B2134" w:rsidP="006D2060" w14:paraId="0135F0B1" w14:textId="44FE98EC">
      <w:pPr>
        <w:rPr>
          <w:iCs/>
        </w:rPr>
      </w:pPr>
      <w:r>
        <w:rPr>
          <w:iCs/>
        </w:rPr>
        <w:t>And NGL reserves can be calculated as</w:t>
      </w:r>
    </w:p>
    <w:p w:rsidR="00723C65" w:rsidP="006D2060" w14:paraId="01E63C55" w14:textId="7FE8F602">
      <w:pPr>
        <w:rPr>
          <w:iCs/>
        </w:rPr>
      </w:pPr>
      <m:oMathPara>
        <m:oMath>
          <m:sSub>
            <m:sSubPr>
              <m:ctrlPr>
                <w:rPr>
                  <w:rFonts w:ascii="Cambria Math" w:hAnsi="Cambria Math"/>
                  <w:i/>
                  <w:iCs/>
                </w:rPr>
              </m:ctrlPr>
            </m:sSubPr>
            <m:e>
              <m:r>
                <w:rPr>
                  <w:rFonts w:ascii="Cambria Math" w:hAnsi="Cambria Math"/>
                </w:rPr>
                <m:t>NGLReserves</m:t>
              </m:r>
            </m:e>
            <m:sub>
              <m:r>
                <w:rPr>
                  <w:rFonts w:ascii="Cambria Math" w:hAnsi="Cambria Math"/>
                </w:rPr>
                <m:t>s</m:t>
              </m:r>
            </m:sub>
          </m:sSub>
          <m:r>
            <w:rPr>
              <w:rFonts w:ascii="Cambria Math" w:hAnsi="Cambria Math"/>
            </w:rPr>
            <m:t>=</m:t>
          </m:r>
          <m:sSub>
            <m:sSubPr>
              <m:ctrlPr>
                <w:rPr>
                  <w:rFonts w:ascii="Cambria Math" w:hAnsi="Cambria Math"/>
                  <w:i/>
                  <w:iCs/>
                </w:rPr>
              </m:ctrlPr>
            </m:sSubPr>
            <m:e>
              <m:r>
                <w:rPr>
                  <w:rFonts w:ascii="Cambria Math" w:hAnsi="Cambria Math"/>
                </w:rPr>
                <m:t>NGLProduction</m:t>
              </m:r>
            </m:e>
            <m:sub>
              <m:r>
                <w:rPr>
                  <w:rFonts w:ascii="Cambria Math" w:hAnsi="Cambria Math"/>
                </w:rPr>
                <m:t>s</m:t>
              </m:r>
            </m:sub>
          </m:sSub>
          <m:f>
            <m:fPr>
              <m:ctrlPr>
                <w:rPr>
                  <w:rFonts w:ascii="Cambria Math" w:hAnsi="Cambria Math"/>
                  <w:i/>
                  <w:iCs/>
                </w:rPr>
              </m:ctrlPr>
            </m:fPr>
            <m:num>
              <m:sSub>
                <m:sSubPr>
                  <m:ctrlPr>
                    <w:rPr>
                      <w:rFonts w:ascii="Cambria Math" w:hAnsi="Cambria Math"/>
                      <w:i/>
                      <w:iCs/>
                    </w:rPr>
                  </m:ctrlPr>
                </m:sSubPr>
                <m:e>
                  <m:r>
                    <w:rPr>
                      <w:rFonts w:ascii="Cambria Math" w:hAnsi="Cambria Math"/>
                    </w:rPr>
                    <m:t>WetGasReserves</m:t>
                  </m:r>
                </m:e>
                <m:sub>
                  <m:r>
                    <w:rPr>
                      <w:rFonts w:ascii="Cambria Math" w:hAnsi="Cambria Math"/>
                    </w:rPr>
                    <m:t>s</m:t>
                  </m:r>
                </m:sub>
              </m:sSub>
            </m:num>
            <m:den>
              <m:sSub>
                <m:sSubPr>
                  <m:ctrlPr>
                    <w:rPr>
                      <w:rFonts w:ascii="Cambria Math" w:hAnsi="Cambria Math"/>
                      <w:i/>
                      <w:iCs/>
                    </w:rPr>
                  </m:ctrlPr>
                </m:sSubPr>
                <m:e>
                  <m:r>
                    <w:rPr>
                      <w:rFonts w:ascii="Cambria Math" w:hAnsi="Cambria Math"/>
                    </w:rPr>
                    <m:t>WetGasProduction</m:t>
                  </m:r>
                </m:e>
                <m:sub>
                  <m:r>
                    <w:rPr>
                      <w:rFonts w:ascii="Cambria Math" w:hAnsi="Cambria Math"/>
                    </w:rPr>
                    <m:t>s</m:t>
                  </m:r>
                </m:sub>
              </m:sSub>
            </m:den>
          </m:f>
        </m:oMath>
      </m:oMathPara>
    </w:p>
    <w:p w:rsidR="003B2134" w:rsidP="006D2060" w14:paraId="0583AF11" w14:textId="5AFBC528">
      <w:pPr>
        <w:rPr>
          <w:iCs/>
        </w:rPr>
      </w:pPr>
      <w:r>
        <w:rPr>
          <w:iCs/>
        </w:rPr>
        <w:t>Where</w:t>
      </w:r>
    </w:p>
    <w:p w:rsidR="006F0F5A" w:rsidP="006D2060" w14:paraId="1AEBC808" w14:textId="11F69B16">
      <w:pPr>
        <w:rPr>
          <w:iCs/>
        </w:rPr>
      </w:pPr>
      <m:oMath>
        <m:sSub>
          <m:sSubPr>
            <m:ctrlPr>
              <w:rPr>
                <w:rFonts w:ascii="Cambria Math" w:hAnsi="Cambria Math"/>
                <w:i/>
                <w:iCs/>
              </w:rPr>
            </m:ctrlPr>
          </m:sSubPr>
          <m:e>
            <m:r>
              <w:rPr>
                <w:rFonts w:ascii="Cambria Math" w:hAnsi="Cambria Math"/>
              </w:rPr>
              <m:t>NGLProduction</m:t>
            </m:r>
          </m:e>
          <m:sub>
            <m:r>
              <w:rPr>
                <w:rFonts w:ascii="Cambria Math" w:hAnsi="Cambria Math"/>
              </w:rPr>
              <m:t>s</m:t>
            </m:r>
          </m:sub>
        </m:sSub>
      </m:oMath>
      <w:r>
        <w:rPr>
          <w:iCs/>
        </w:rPr>
        <w:t xml:space="preserve"> is the total liquids production from gas having an area of origin as state ‘s’ from the EIA-64A.</w:t>
      </w:r>
    </w:p>
    <w:p w:rsidR="006F0F5A" w:rsidRPr="003C6570" w:rsidP="006D2060" w14:paraId="550E3C23" w14:textId="2D0ECA19">
      <w:pPr>
        <w:rPr>
          <w:iCs/>
        </w:rPr>
      </w:pPr>
      <w:r>
        <w:rPr>
          <w:iCs/>
        </w:rPr>
        <w:t xml:space="preserve">In Alaska, large amounts of </w:t>
      </w:r>
      <w:r w:rsidR="005F386B">
        <w:rPr>
          <w:iCs/>
        </w:rPr>
        <w:t xml:space="preserve">natural </w:t>
      </w:r>
      <w:r>
        <w:rPr>
          <w:iCs/>
        </w:rPr>
        <w:t>gas processed make</w:t>
      </w:r>
      <w:r w:rsidR="0083073A">
        <w:rPr>
          <w:iCs/>
        </w:rPr>
        <w:t>s</w:t>
      </w:r>
      <w:r>
        <w:rPr>
          <w:iCs/>
        </w:rPr>
        <w:t xml:space="preserve"> the above methodology invalid. Instead, a plant ratio of 1 is assumed and the shrinkage factor is calculated based on gas processed in select plants.</w:t>
      </w:r>
    </w:p>
    <w:p w:rsidR="003B2134" w:rsidRPr="003C6570" w:rsidP="006D2060" w14:paraId="76708E0B" w14:textId="77B82027">
      <w:pPr>
        <w:rPr>
          <w:iCs/>
        </w:rPr>
      </w:pPr>
    </w:p>
    <w:p w:rsidR="006D2060" w:rsidRPr="00354C02" w:rsidP="00B71695" w14:paraId="3402BB1F" w14:textId="77777777">
      <w:pPr>
        <w:pStyle w:val="Heading4"/>
      </w:pPr>
      <w:bookmarkStart w:id="19" w:name="_Toc442778054"/>
      <w:bookmarkStart w:id="20" w:name="_Toc193357464"/>
      <w:r>
        <w:t>B.2.2.4</w:t>
      </w:r>
      <w:r w:rsidR="00F7453F">
        <w:t>.</w:t>
      </w:r>
      <w:r>
        <w:t xml:space="preserve"> </w:t>
      </w:r>
      <w:r w:rsidRPr="00354C02">
        <w:t>Imputation for Item Non-Response</w:t>
      </w:r>
      <w:bookmarkEnd w:id="19"/>
      <w:bookmarkEnd w:id="20"/>
    </w:p>
    <w:p w:rsidR="006D2060" w:rsidRPr="00B71695" w:rsidP="00B71695" w14:paraId="67D176A4" w14:textId="77777777">
      <w:pPr>
        <w:pStyle w:val="Heading5"/>
        <w:rPr>
          <w:rFonts w:ascii="Calibri" w:hAnsi="Calibri"/>
        </w:rPr>
      </w:pPr>
      <w:bookmarkStart w:id="21" w:name="_Toc193357465"/>
      <w:r>
        <w:rPr>
          <w:rFonts w:ascii="Calibri" w:hAnsi="Calibri"/>
        </w:rPr>
        <w:t>B.2.2.4.1</w:t>
      </w:r>
      <w:r w:rsidR="00F7453F">
        <w:rPr>
          <w:rFonts w:ascii="Calibri" w:hAnsi="Calibri"/>
        </w:rPr>
        <w:t>.</w:t>
      </w:r>
      <w:r>
        <w:rPr>
          <w:rFonts w:ascii="Calibri" w:hAnsi="Calibri"/>
        </w:rPr>
        <w:t xml:space="preserve"> </w:t>
      </w:r>
      <w:r w:rsidRPr="00B71695">
        <w:rPr>
          <w:rFonts w:ascii="Calibri" w:hAnsi="Calibri"/>
        </w:rPr>
        <w:t>Form EIA-23L</w:t>
      </w:r>
      <w:bookmarkEnd w:id="21"/>
    </w:p>
    <w:p w:rsidR="006D2060" w:rsidRPr="003C6570" w:rsidP="006D2060" w14:paraId="69C15E5F" w14:textId="30C4C25A">
      <w:pPr>
        <w:rPr>
          <w:iCs/>
        </w:rPr>
      </w:pPr>
      <w:r>
        <w:rPr>
          <w:iCs/>
        </w:rPr>
        <w:t>EIA anticipates that s</w:t>
      </w:r>
      <w:r w:rsidRPr="003C6570">
        <w:rPr>
          <w:iCs/>
        </w:rPr>
        <w:t xml:space="preserve">urvey questionnaire items for which a response is not received </w:t>
      </w:r>
      <w:r>
        <w:rPr>
          <w:iCs/>
        </w:rPr>
        <w:t xml:space="preserve">will </w:t>
      </w:r>
      <w:r w:rsidRPr="003C6570">
        <w:rPr>
          <w:iCs/>
        </w:rPr>
        <w:t xml:space="preserve">be rare for the </w:t>
      </w:r>
      <w:r w:rsidRPr="003C6570">
        <w:rPr>
          <w:iCs/>
        </w:rPr>
        <w:t xml:space="preserve">Form EIA-23L </w:t>
      </w:r>
      <w:r w:rsidRPr="003C6570">
        <w:rPr>
          <w:iCs/>
        </w:rPr>
        <w:t>sampling method</w:t>
      </w:r>
      <w:r>
        <w:rPr>
          <w:iCs/>
        </w:rPr>
        <w:t>. EIA will impute n</w:t>
      </w:r>
      <w:r w:rsidRPr="003C6570">
        <w:rPr>
          <w:iCs/>
        </w:rPr>
        <w:t>on-response items</w:t>
      </w:r>
      <w:r>
        <w:rPr>
          <w:iCs/>
        </w:rPr>
        <w:t xml:space="preserve"> </w:t>
      </w:r>
      <w:r w:rsidRPr="003C6570">
        <w:rPr>
          <w:iCs/>
        </w:rPr>
        <w:t xml:space="preserve">using </w:t>
      </w:r>
      <w:r>
        <w:rPr>
          <w:iCs/>
        </w:rPr>
        <w:t xml:space="preserve">the </w:t>
      </w:r>
      <w:r w:rsidR="00F54ADE">
        <w:rPr>
          <w:iCs/>
        </w:rPr>
        <w:t xml:space="preserve">same </w:t>
      </w:r>
      <w:r>
        <w:rPr>
          <w:iCs/>
        </w:rPr>
        <w:t>linear regression model</w:t>
      </w:r>
      <w:r w:rsidR="00F54ADE">
        <w:rPr>
          <w:iCs/>
        </w:rPr>
        <w:t xml:space="preserve"> that is used to produce estimates </w:t>
      </w:r>
      <w:r w:rsidRPr="003C6570">
        <w:rPr>
          <w:iCs/>
        </w:rPr>
        <w:t>for the non-sampled cases.</w:t>
      </w:r>
      <w:r>
        <w:rPr>
          <w:iCs/>
        </w:rPr>
        <w:t xml:space="preserve"> </w:t>
      </w:r>
    </w:p>
    <w:p w:rsidR="006D2060" w:rsidRPr="00B71695" w:rsidP="00B71695" w14:paraId="3A4E58D3" w14:textId="77777777">
      <w:pPr>
        <w:pStyle w:val="Heading5"/>
        <w:rPr>
          <w:rFonts w:ascii="Calibri" w:hAnsi="Calibri"/>
        </w:rPr>
      </w:pPr>
      <w:bookmarkStart w:id="22" w:name="_Toc193357466"/>
      <w:r>
        <w:rPr>
          <w:rFonts w:ascii="Calibri" w:hAnsi="Calibri"/>
        </w:rPr>
        <w:t>B.2.2.4.2</w:t>
      </w:r>
      <w:r w:rsidR="00F7453F">
        <w:rPr>
          <w:rFonts w:ascii="Calibri" w:hAnsi="Calibri"/>
        </w:rPr>
        <w:t>.</w:t>
      </w:r>
      <w:r>
        <w:rPr>
          <w:rFonts w:ascii="Calibri" w:hAnsi="Calibri"/>
        </w:rPr>
        <w:t xml:space="preserve"> </w:t>
      </w:r>
      <w:r w:rsidRPr="00B71695">
        <w:rPr>
          <w:rFonts w:ascii="Calibri" w:hAnsi="Calibri"/>
        </w:rPr>
        <w:t>Form EIA-64A</w:t>
      </w:r>
      <w:bookmarkEnd w:id="22"/>
    </w:p>
    <w:p w:rsidR="006D2060" w:rsidRPr="003C6570" w:rsidP="006D2060" w14:paraId="6AB26939" w14:textId="34E47260">
      <w:pPr>
        <w:rPr>
          <w:iCs/>
        </w:rPr>
      </w:pPr>
      <w:r>
        <w:rPr>
          <w:iCs/>
        </w:rPr>
        <w:t xml:space="preserve">EIA </w:t>
      </w:r>
      <w:r>
        <w:rPr>
          <w:iCs/>
        </w:rPr>
        <w:t>uses a census to collect</w:t>
      </w:r>
      <w:r w:rsidRPr="00BC6282">
        <w:rPr>
          <w:iCs/>
        </w:rPr>
        <w:t xml:space="preserve"> data from all active natural gas processing plants</w:t>
      </w:r>
      <w:r>
        <w:rPr>
          <w:iCs/>
        </w:rPr>
        <w:t xml:space="preserve"> for Form EIA-64A and calculates</w:t>
      </w:r>
      <w:r w:rsidRPr="00BC6282">
        <w:rPr>
          <w:iCs/>
        </w:rPr>
        <w:t xml:space="preserve"> NGPL recovery rates from </w:t>
      </w:r>
      <w:r>
        <w:rPr>
          <w:iCs/>
        </w:rPr>
        <w:t xml:space="preserve">the </w:t>
      </w:r>
      <w:r w:rsidRPr="00BC6282">
        <w:rPr>
          <w:iCs/>
        </w:rPr>
        <w:t xml:space="preserve">data supplied. If a plant fails to report data, EIA will follow up with the plant operator to acquire the missing data. In the very rare </w:t>
      </w:r>
      <w:r>
        <w:rPr>
          <w:iCs/>
        </w:rPr>
        <w:t>case that</w:t>
      </w:r>
      <w:r w:rsidRPr="00BC6282">
        <w:rPr>
          <w:iCs/>
        </w:rPr>
        <w:t xml:space="preserve"> the data is lost or unattainable, production data from the Form EIA-816, Monthly Natural Gas Plant Liquids Report, </w:t>
      </w:r>
      <w:r>
        <w:rPr>
          <w:iCs/>
        </w:rPr>
        <w:t>is</w:t>
      </w:r>
      <w:r w:rsidRPr="00BC6282">
        <w:rPr>
          <w:iCs/>
        </w:rPr>
        <w:t xml:space="preserve"> used to calculate an estimated </w:t>
      </w:r>
      <w:r>
        <w:rPr>
          <w:iCs/>
        </w:rPr>
        <w:t>shrinkage factor for that plant</w:t>
      </w:r>
      <w:r w:rsidR="4A30C772">
        <w:t>.</w:t>
      </w:r>
    </w:p>
    <w:p w:rsidR="006D2060" w:rsidRPr="009813EE" w:rsidP="00B71695" w14:paraId="597B8FFD" w14:textId="77777777">
      <w:pPr>
        <w:pStyle w:val="Heading3"/>
      </w:pPr>
      <w:bookmarkStart w:id="23" w:name="_Toc442778055"/>
      <w:bookmarkStart w:id="24" w:name="_Toc193357467"/>
      <w:r>
        <w:t>B.2.3</w:t>
      </w:r>
      <w:r w:rsidR="00F7453F">
        <w:t>.</w:t>
      </w:r>
      <w:r>
        <w:t xml:space="preserve"> </w:t>
      </w:r>
      <w:r w:rsidRPr="009813EE">
        <w:t>Frame Maintenance</w:t>
      </w:r>
      <w:bookmarkEnd w:id="23"/>
      <w:bookmarkEnd w:id="24"/>
    </w:p>
    <w:p w:rsidR="00B71695" w:rsidRPr="00B71695" w:rsidP="00B71695" w14:paraId="744FC668" w14:textId="77777777">
      <w:pPr>
        <w:pStyle w:val="Heading5"/>
        <w:rPr>
          <w:rFonts w:ascii="Calibri" w:hAnsi="Calibri"/>
        </w:rPr>
      </w:pPr>
      <w:bookmarkStart w:id="25" w:name="_Toc193357468"/>
      <w:r>
        <w:rPr>
          <w:rFonts w:ascii="Calibri" w:hAnsi="Calibri"/>
        </w:rPr>
        <w:t>B.2.3.1</w:t>
      </w:r>
      <w:r w:rsidR="00F7453F">
        <w:rPr>
          <w:rFonts w:ascii="Calibri" w:hAnsi="Calibri"/>
        </w:rPr>
        <w:t>.</w:t>
      </w:r>
      <w:r>
        <w:rPr>
          <w:rFonts w:ascii="Calibri" w:hAnsi="Calibri"/>
        </w:rPr>
        <w:t xml:space="preserve"> </w:t>
      </w:r>
      <w:r w:rsidRPr="00B71695">
        <w:rPr>
          <w:rFonts w:ascii="Calibri" w:hAnsi="Calibri"/>
        </w:rPr>
        <w:t>Form EIA-23L</w:t>
      </w:r>
      <w:bookmarkEnd w:id="25"/>
    </w:p>
    <w:p w:rsidR="006D2060" w:rsidRPr="00084C75" w:rsidP="006D2060" w14:paraId="337B7A65" w14:textId="11309D07">
      <w:pPr>
        <w:rPr>
          <w:iCs/>
        </w:rPr>
      </w:pPr>
      <w:r w:rsidRPr="003C6570">
        <w:rPr>
          <w:iCs/>
        </w:rPr>
        <w:t xml:space="preserve">Since its inception in 1977, EIA has maintained an </w:t>
      </w:r>
      <w:r>
        <w:rPr>
          <w:iCs/>
        </w:rPr>
        <w:t xml:space="preserve">oil and natural gas </w:t>
      </w:r>
      <w:r w:rsidRPr="003C6570">
        <w:rPr>
          <w:iCs/>
        </w:rPr>
        <w:t xml:space="preserve">operator sampling frame </w:t>
      </w:r>
      <w:r w:rsidRPr="00084C75">
        <w:rPr>
          <w:iCs/>
        </w:rPr>
        <w:t xml:space="preserve">of the nation’s producers. EIA uses </w:t>
      </w:r>
      <w:r w:rsidR="00133769">
        <w:rPr>
          <w:iCs/>
        </w:rPr>
        <w:t xml:space="preserve">Enverus and </w:t>
      </w:r>
      <w:r w:rsidRPr="00084C75">
        <w:rPr>
          <w:iCs/>
        </w:rPr>
        <w:t xml:space="preserve">various sources of information to maintain the completeness of the </w:t>
      </w:r>
      <w:r w:rsidR="00F54ADE">
        <w:rPr>
          <w:iCs/>
        </w:rPr>
        <w:t xml:space="preserve">sampling </w:t>
      </w:r>
      <w:r w:rsidRPr="00084C75">
        <w:rPr>
          <w:iCs/>
        </w:rPr>
        <w:t>frame, including tra</w:t>
      </w:r>
      <w:r>
        <w:rPr>
          <w:iCs/>
        </w:rPr>
        <w:t>de press, other data providers</w:t>
      </w:r>
      <w:r w:rsidRPr="00084C75">
        <w:rPr>
          <w:iCs/>
        </w:rPr>
        <w:t xml:space="preserve">, and state regulatory agencies. </w:t>
      </w:r>
    </w:p>
    <w:p w:rsidR="006D2060" w:rsidP="006D2060" w14:paraId="23133CD9" w14:textId="77777777">
      <w:pPr>
        <w:rPr>
          <w:iCs/>
        </w:rPr>
      </w:pPr>
      <w:r w:rsidRPr="00084C75">
        <w:rPr>
          <w:iCs/>
        </w:rPr>
        <w:t>EIA continuously reviews all available information to adjust the survey frame for the Form EIA-</w:t>
      </w:r>
      <w:r>
        <w:rPr>
          <w:iCs/>
        </w:rPr>
        <w:t>23L</w:t>
      </w:r>
      <w:r w:rsidRPr="00084C75">
        <w:rPr>
          <w:iCs/>
        </w:rPr>
        <w:t xml:space="preserve"> data collection for births, deaths, mergers, and company information changes.</w:t>
      </w:r>
    </w:p>
    <w:p w:rsidR="00A95425" w:rsidRPr="0018622D" w:rsidP="00A95425" w14:paraId="6CC94CA7" w14:textId="05D20846">
      <w:pPr>
        <w:rPr>
          <w:iCs/>
        </w:rPr>
      </w:pPr>
      <w:r>
        <w:rPr>
          <w:iCs/>
        </w:rPr>
        <w:t>The</w:t>
      </w:r>
      <w:r w:rsidRPr="003C6570">
        <w:rPr>
          <w:iCs/>
        </w:rPr>
        <w:t xml:space="preserve"> smaller oil and gas producing states of Illinois, </w:t>
      </w:r>
      <w:r>
        <w:rPr>
          <w:iCs/>
        </w:rPr>
        <w:t xml:space="preserve">Indiana, </w:t>
      </w:r>
      <w:r w:rsidRPr="003C6570">
        <w:rPr>
          <w:iCs/>
        </w:rPr>
        <w:t>Kentucky</w:t>
      </w:r>
      <w:r>
        <w:rPr>
          <w:iCs/>
        </w:rPr>
        <w:t>,</w:t>
      </w:r>
      <w:r w:rsidRPr="003C6570">
        <w:rPr>
          <w:iCs/>
        </w:rPr>
        <w:t xml:space="preserve"> and </w:t>
      </w:r>
      <w:r>
        <w:rPr>
          <w:iCs/>
        </w:rPr>
        <w:t>Tennessee</w:t>
      </w:r>
      <w:r w:rsidRPr="003C6570">
        <w:rPr>
          <w:iCs/>
        </w:rPr>
        <w:t xml:space="preserve"> </w:t>
      </w:r>
      <w:r>
        <w:rPr>
          <w:iCs/>
        </w:rPr>
        <w:t xml:space="preserve">do not have current operator level production </w:t>
      </w:r>
      <w:r w:rsidR="00801D55">
        <w:rPr>
          <w:iCs/>
        </w:rPr>
        <w:t>data and</w:t>
      </w:r>
      <w:r>
        <w:rPr>
          <w:iCs/>
        </w:rPr>
        <w:t xml:space="preserve"> </w:t>
      </w:r>
      <w:r w:rsidRPr="003C6570" w:rsidR="00790B7D">
        <w:rPr>
          <w:iCs/>
        </w:rPr>
        <w:t>require</w:t>
      </w:r>
      <w:r w:rsidRPr="003C6570">
        <w:rPr>
          <w:iCs/>
        </w:rPr>
        <w:t xml:space="preserve"> an alternative approach. </w:t>
      </w:r>
      <w:r>
        <w:rPr>
          <w:iCs/>
        </w:rPr>
        <w:t xml:space="preserve">EIA uses </w:t>
      </w:r>
      <w:r w:rsidRPr="003C6570">
        <w:rPr>
          <w:iCs/>
        </w:rPr>
        <w:t>lists of oil and gas companies licensed to do business in the state, internet searches, and past reports on Forms EIA-23L</w:t>
      </w:r>
      <w:r w:rsidRPr="000A0996">
        <w:rPr>
          <w:iCs/>
        </w:rPr>
        <w:t xml:space="preserve"> </w:t>
      </w:r>
      <w:r>
        <w:rPr>
          <w:iCs/>
        </w:rPr>
        <w:t>to compile s</w:t>
      </w:r>
      <w:r w:rsidRPr="003C6570">
        <w:rPr>
          <w:iCs/>
        </w:rPr>
        <w:t>amples of operators in these state</w:t>
      </w:r>
      <w:r>
        <w:rPr>
          <w:iCs/>
        </w:rPr>
        <w:t>s</w:t>
      </w:r>
      <w:r w:rsidRPr="003C6570">
        <w:rPr>
          <w:iCs/>
        </w:rPr>
        <w:t xml:space="preserve">. </w:t>
      </w:r>
      <w:r>
        <w:rPr>
          <w:iCs/>
        </w:rPr>
        <w:t>When</w:t>
      </w:r>
      <w:r w:rsidRPr="003C6570">
        <w:rPr>
          <w:iCs/>
        </w:rPr>
        <w:t xml:space="preserve"> production data is not current or not available, the sampling process described in the previous section cannot be used. The summary-level data (U.S. level and “</w:t>
      </w:r>
      <w:r>
        <w:rPr>
          <w:iCs/>
        </w:rPr>
        <w:t>Other</w:t>
      </w:r>
      <w:r w:rsidRPr="003C6570">
        <w:rPr>
          <w:iCs/>
        </w:rPr>
        <w:t xml:space="preserve"> States” level) may be published including these states ‘as reported’ (i.e., no estimates for the total state population will be generated for these states).</w:t>
      </w:r>
      <w:r>
        <w:rPr>
          <w:iCs/>
        </w:rPr>
        <w:t xml:space="preserve"> </w:t>
      </w:r>
      <w:r w:rsidRPr="003C6570">
        <w:rPr>
          <w:iCs/>
        </w:rPr>
        <w:t xml:space="preserve">These four states, when combined, are estimated to hold less than </w:t>
      </w:r>
      <w:r w:rsidRPr="00121E0F">
        <w:rPr>
          <w:iCs/>
        </w:rPr>
        <w:t>0.2%</w:t>
      </w:r>
      <w:r w:rsidRPr="0018622D">
        <w:rPr>
          <w:iCs/>
        </w:rPr>
        <w:t xml:space="preserve"> of U.S. total oil and condensate reserves and less than </w:t>
      </w:r>
      <w:r w:rsidRPr="00121E0F">
        <w:rPr>
          <w:iCs/>
        </w:rPr>
        <w:t>0.4%</w:t>
      </w:r>
      <w:r w:rsidRPr="0018622D">
        <w:rPr>
          <w:iCs/>
        </w:rPr>
        <w:t xml:space="preserve"> of U.S. total natural gas reserves.</w:t>
      </w:r>
    </w:p>
    <w:p w:rsidR="00B71695" w:rsidP="00B71695" w14:paraId="3412279A" w14:textId="77777777">
      <w:pPr>
        <w:pStyle w:val="Heading4"/>
        <w:rPr>
          <w:iCs/>
        </w:rPr>
      </w:pPr>
      <w:bookmarkStart w:id="26" w:name="_Toc193357469"/>
      <w:r>
        <w:t>B.2.3.1</w:t>
      </w:r>
      <w:r w:rsidR="00F7453F">
        <w:t>.</w:t>
      </w:r>
      <w:r>
        <w:t xml:space="preserve"> </w:t>
      </w:r>
      <w:r w:rsidRPr="00B71695">
        <w:t>Form EIA-</w:t>
      </w:r>
      <w:r w:rsidR="00B62D43">
        <w:t>64A</w:t>
      </w:r>
      <w:bookmarkEnd w:id="26"/>
    </w:p>
    <w:p w:rsidR="006D2060" w:rsidRPr="003C6570" w:rsidP="006D2060" w14:paraId="3785FF76" w14:textId="1079E735">
      <w:pPr>
        <w:rPr>
          <w:iCs/>
        </w:rPr>
      </w:pPr>
      <w:r w:rsidRPr="00BC6282">
        <w:rPr>
          <w:iCs/>
        </w:rPr>
        <w:t xml:space="preserve">Each year, </w:t>
      </w:r>
      <w:r w:rsidR="00020AB0">
        <w:rPr>
          <w:iCs/>
        </w:rPr>
        <w:t xml:space="preserve">EIA compares </w:t>
      </w:r>
      <w:r w:rsidRPr="00BC6282">
        <w:rPr>
          <w:iCs/>
        </w:rPr>
        <w:t xml:space="preserve">Form EIA-64A plant frame to listings of natural gas processing plants from the Form EIA-816, Monthly Natural Gas Plant Liquids Report, the </w:t>
      </w:r>
      <w:r w:rsidR="007E48AD">
        <w:rPr>
          <w:iCs/>
        </w:rPr>
        <w:t>Liquified Petroleum Gas (</w:t>
      </w:r>
      <w:r w:rsidRPr="00BC6282">
        <w:rPr>
          <w:iCs/>
        </w:rPr>
        <w:t>LPG</w:t>
      </w:r>
      <w:r w:rsidR="007E48AD">
        <w:rPr>
          <w:iCs/>
        </w:rPr>
        <w:t>)</w:t>
      </w:r>
      <w:r w:rsidRPr="00BC6282">
        <w:rPr>
          <w:iCs/>
        </w:rPr>
        <w:t xml:space="preserve"> Almanac, and the Oil and Gas Journal</w:t>
      </w:r>
      <w:r w:rsidR="00020AB0">
        <w:rPr>
          <w:iCs/>
        </w:rPr>
        <w:t xml:space="preserve"> and compiles a</w:t>
      </w:r>
      <w:r w:rsidRPr="00BC6282">
        <w:rPr>
          <w:iCs/>
        </w:rPr>
        <w:t xml:space="preserve"> list of possible changes to the plant fr</w:t>
      </w:r>
      <w:r w:rsidR="00020AB0">
        <w:rPr>
          <w:iCs/>
        </w:rPr>
        <w:t>ame</w:t>
      </w:r>
      <w:r w:rsidRPr="00BC6282">
        <w:rPr>
          <w:iCs/>
        </w:rPr>
        <w:t xml:space="preserve">. </w:t>
      </w:r>
      <w:r w:rsidR="00020AB0">
        <w:rPr>
          <w:iCs/>
        </w:rPr>
        <w:t>EIA contacts</w:t>
      </w:r>
      <w:r w:rsidRPr="00BC6282">
        <w:rPr>
          <w:iCs/>
        </w:rPr>
        <w:t xml:space="preserve"> the </w:t>
      </w:r>
      <w:r w:rsidRPr="00BC6282" w:rsidR="00020AB0">
        <w:rPr>
          <w:iCs/>
        </w:rPr>
        <w:t>newly identified</w:t>
      </w:r>
      <w:r w:rsidRPr="00BC6282">
        <w:rPr>
          <w:iCs/>
        </w:rPr>
        <w:t xml:space="preserve"> plants to verify their operating status</w:t>
      </w:r>
      <w:r w:rsidR="00020AB0">
        <w:rPr>
          <w:iCs/>
        </w:rPr>
        <w:t xml:space="preserve"> and</w:t>
      </w:r>
      <w:r w:rsidRPr="00BC6282">
        <w:rPr>
          <w:iCs/>
        </w:rPr>
        <w:t xml:space="preserve"> coordinat</w:t>
      </w:r>
      <w:r w:rsidR="00020AB0">
        <w:rPr>
          <w:iCs/>
        </w:rPr>
        <w:t>es any c</w:t>
      </w:r>
      <w:r w:rsidRPr="00BC6282" w:rsidR="00020AB0">
        <w:rPr>
          <w:iCs/>
        </w:rPr>
        <w:t>hanges identified during</w:t>
      </w:r>
      <w:r w:rsidR="00F54ADE">
        <w:rPr>
          <w:iCs/>
        </w:rPr>
        <w:t xml:space="preserve"> sampling</w:t>
      </w:r>
      <w:r w:rsidRPr="00BC6282" w:rsidR="00020AB0">
        <w:rPr>
          <w:iCs/>
        </w:rPr>
        <w:t xml:space="preserve"> frame maintenance </w:t>
      </w:r>
      <w:r w:rsidRPr="00BC6282">
        <w:rPr>
          <w:iCs/>
        </w:rPr>
        <w:t xml:space="preserve">with </w:t>
      </w:r>
      <w:r w:rsidR="00020AB0">
        <w:rPr>
          <w:iCs/>
        </w:rPr>
        <w:t xml:space="preserve">EIA’s </w:t>
      </w:r>
      <w:r w:rsidRPr="00BC6282">
        <w:rPr>
          <w:iCs/>
        </w:rPr>
        <w:t>Form EIA-816 program office</w:t>
      </w:r>
      <w:r w:rsidR="00020AB0">
        <w:rPr>
          <w:iCs/>
        </w:rPr>
        <w:t>.</w:t>
      </w:r>
      <w:r w:rsidRPr="00020AB0" w:rsidR="00020AB0">
        <w:rPr>
          <w:iCs/>
        </w:rPr>
        <w:t xml:space="preserve"> </w:t>
      </w:r>
    </w:p>
    <w:p w:rsidR="006D2060" w:rsidRPr="00B71695" w:rsidP="00B71695" w14:paraId="2AA61468" w14:textId="77777777">
      <w:pPr>
        <w:pStyle w:val="Heading3"/>
      </w:pPr>
      <w:bookmarkStart w:id="27" w:name="_Efforts_to_Reduce"/>
      <w:bookmarkStart w:id="28" w:name="_Ref442426845"/>
      <w:bookmarkStart w:id="29" w:name="_Toc442778056"/>
      <w:bookmarkStart w:id="30" w:name="_Toc193357470"/>
      <w:bookmarkEnd w:id="27"/>
      <w:r>
        <w:t>B.2.4</w:t>
      </w:r>
      <w:r w:rsidR="00F7453F">
        <w:t>.</w:t>
      </w:r>
      <w:r>
        <w:t xml:space="preserve"> </w:t>
      </w:r>
      <w:r w:rsidRPr="00B71695">
        <w:t>Efforts to Reduce Total Survey Error</w:t>
      </w:r>
      <w:bookmarkEnd w:id="28"/>
      <w:bookmarkEnd w:id="29"/>
      <w:bookmarkEnd w:id="30"/>
    </w:p>
    <w:p w:rsidR="006D2060" w:rsidRPr="00B71695" w:rsidP="00B71695" w14:paraId="406998A5" w14:textId="77777777">
      <w:pPr>
        <w:pStyle w:val="Heading5"/>
        <w:rPr>
          <w:rFonts w:ascii="Calibri" w:hAnsi="Calibri"/>
        </w:rPr>
      </w:pPr>
      <w:bookmarkStart w:id="31" w:name="_Toc193357471"/>
      <w:r>
        <w:rPr>
          <w:rFonts w:ascii="Calibri" w:hAnsi="Calibri"/>
        </w:rPr>
        <w:t>B.2.4.1</w:t>
      </w:r>
      <w:r w:rsidR="00F7453F">
        <w:rPr>
          <w:rFonts w:ascii="Calibri" w:hAnsi="Calibri"/>
        </w:rPr>
        <w:t>.</w:t>
      </w:r>
      <w:r>
        <w:rPr>
          <w:rFonts w:ascii="Calibri" w:hAnsi="Calibri"/>
        </w:rPr>
        <w:t xml:space="preserve"> </w:t>
      </w:r>
      <w:r w:rsidRPr="00B71695">
        <w:rPr>
          <w:rFonts w:ascii="Calibri" w:hAnsi="Calibri"/>
        </w:rPr>
        <w:t>Frame Coverage Errors</w:t>
      </w:r>
      <w:bookmarkEnd w:id="31"/>
    </w:p>
    <w:p w:rsidR="006D2060" w:rsidP="006D2060" w14:paraId="2E11DAFE" w14:textId="77777777">
      <w:pPr>
        <w:rPr>
          <w:iCs/>
        </w:rPr>
      </w:pPr>
      <w:r>
        <w:rPr>
          <w:iCs/>
        </w:rPr>
        <w:t xml:space="preserve">Of all the sources of controllable error connected with the Form EIA-23L survey, </w:t>
      </w:r>
      <w:r w:rsidR="004F7AF8">
        <w:rPr>
          <w:iCs/>
        </w:rPr>
        <w:t xml:space="preserve">EIA expects </w:t>
      </w:r>
      <w:r>
        <w:rPr>
          <w:iCs/>
        </w:rPr>
        <w:t>errors in identifying the survey frame to have the greatest impact on estimates. If the sampling frame does not list all well operators in a state (referred to as under</w:t>
      </w:r>
      <w:r w:rsidR="004F7AF8">
        <w:rPr>
          <w:iCs/>
        </w:rPr>
        <w:t>-</w:t>
      </w:r>
      <w:r>
        <w:rPr>
          <w:iCs/>
        </w:rPr>
        <w:t>coverage), it could lead to either misidentification of the largest operators selected for the sample or underestimation of the non-sampled operators.</w:t>
      </w:r>
    </w:p>
    <w:p w:rsidR="006D2060" w:rsidP="006D2060" w14:paraId="7E0B0F12" w14:textId="5194E7AC">
      <w:pPr>
        <w:rPr>
          <w:iCs/>
        </w:rPr>
      </w:pPr>
      <w:r>
        <w:rPr>
          <w:iCs/>
        </w:rPr>
        <w:t>Under</w:t>
      </w:r>
      <w:r w:rsidR="004F7AF8">
        <w:rPr>
          <w:iCs/>
        </w:rPr>
        <w:t>-</w:t>
      </w:r>
      <w:r>
        <w:rPr>
          <w:iCs/>
        </w:rPr>
        <w:t xml:space="preserve">coverage does not appear to have been a problem </w:t>
      </w:r>
      <w:r w:rsidR="004F7AF8">
        <w:rPr>
          <w:iCs/>
        </w:rPr>
        <w:t>regarding</w:t>
      </w:r>
      <w:r>
        <w:rPr>
          <w:iCs/>
        </w:rPr>
        <w:t xml:space="preserve"> the total U.S. domestic proved reserves estimates for either crude oil or natural gas, but it may occur within individual state/state subdivisions. </w:t>
      </w:r>
    </w:p>
    <w:p w:rsidR="006D2060" w:rsidRPr="003C6570" w:rsidP="006D2060" w14:paraId="094E2CB7" w14:textId="310BC765">
      <w:pPr>
        <w:rPr>
          <w:iCs/>
        </w:rPr>
      </w:pPr>
      <w:r>
        <w:rPr>
          <w:iCs/>
        </w:rPr>
        <w:t xml:space="preserve">While it is relatively straightforward to use existing sources to identify large operators and find addresses for them, such is not the case for small operators. The </w:t>
      </w:r>
      <w:r w:rsidR="00F54ADE">
        <w:rPr>
          <w:iCs/>
        </w:rPr>
        <w:t xml:space="preserve">sampling </w:t>
      </w:r>
      <w:r>
        <w:rPr>
          <w:iCs/>
        </w:rPr>
        <w:t xml:space="preserve">frame </w:t>
      </w:r>
      <w:r w:rsidR="00F54ADE">
        <w:rPr>
          <w:iCs/>
        </w:rPr>
        <w:t xml:space="preserve">for Form EIA-23L </w:t>
      </w:r>
      <w:r>
        <w:rPr>
          <w:iCs/>
        </w:rPr>
        <w:t xml:space="preserve">is most likely to be deficient in states where </w:t>
      </w:r>
      <w:r w:rsidR="00BB1CD0">
        <w:rPr>
          <w:iCs/>
        </w:rPr>
        <w:t xml:space="preserve">a multitude of different, smaller operators (e.g., individuals who operate one or two “stripper” wells) account for </w:t>
      </w:r>
      <w:r>
        <w:rPr>
          <w:iCs/>
        </w:rPr>
        <w:t>a large portion of total proved reserves and production. These states are not likely to allocate sufficient resources to keep track of all operators</w:t>
      </w:r>
      <w:r w:rsidR="00BB1CD0">
        <w:rPr>
          <w:iCs/>
        </w:rPr>
        <w:t xml:space="preserve"> currently</w:t>
      </w:r>
      <w:r>
        <w:rPr>
          <w:iCs/>
        </w:rPr>
        <w:t>. Some under</w:t>
      </w:r>
      <w:r w:rsidR="004F7AF8">
        <w:rPr>
          <w:iCs/>
        </w:rPr>
        <w:t>-</w:t>
      </w:r>
      <w:r>
        <w:rPr>
          <w:iCs/>
        </w:rPr>
        <w:t xml:space="preserve">coverage of this type may exist, particularly </w:t>
      </w:r>
      <w:r w:rsidR="00BB1CD0">
        <w:rPr>
          <w:iCs/>
        </w:rPr>
        <w:t>regarding</w:t>
      </w:r>
      <w:r>
        <w:rPr>
          <w:iCs/>
        </w:rPr>
        <w:t xml:space="preserve"> natural gas well operators. </w:t>
      </w:r>
    </w:p>
    <w:p w:rsidR="006D2060" w:rsidRPr="00B71695" w:rsidP="00B71695" w14:paraId="17160FAC" w14:textId="77777777">
      <w:pPr>
        <w:pStyle w:val="Heading5"/>
        <w:rPr>
          <w:rFonts w:ascii="Calibri" w:hAnsi="Calibri"/>
        </w:rPr>
      </w:pPr>
      <w:bookmarkStart w:id="32" w:name="_Toc193357472"/>
      <w:r>
        <w:rPr>
          <w:rFonts w:ascii="Calibri" w:hAnsi="Calibri"/>
        </w:rPr>
        <w:t>B.2.4.2</w:t>
      </w:r>
      <w:r w:rsidR="00F7453F">
        <w:rPr>
          <w:rFonts w:ascii="Calibri" w:hAnsi="Calibri"/>
        </w:rPr>
        <w:t>.</w:t>
      </w:r>
      <w:r>
        <w:rPr>
          <w:rFonts w:ascii="Calibri" w:hAnsi="Calibri"/>
        </w:rPr>
        <w:t xml:space="preserve"> </w:t>
      </w:r>
      <w:r w:rsidRPr="00B71695">
        <w:rPr>
          <w:rFonts w:ascii="Calibri" w:hAnsi="Calibri"/>
        </w:rPr>
        <w:t>Reporting Errors and Data Processing Errors</w:t>
      </w:r>
      <w:bookmarkEnd w:id="32"/>
    </w:p>
    <w:p w:rsidR="00BB1CD0" w:rsidRPr="00BB1CD0" w:rsidP="00BB1CD0" w14:paraId="4463ECE3" w14:textId="7B5044CF">
      <w:r w:rsidRPr="00BB1CD0">
        <w:t>Reporting errors by respondents are of concern in a survey of the magnitude and complexity of the Form</w:t>
      </w:r>
      <w:r w:rsidR="00B016DA">
        <w:t>s EIA-64A and</w:t>
      </w:r>
      <w:r w:rsidRPr="00BB1CD0">
        <w:t xml:space="preserve"> EIA-23L. EIA has taken several steps to minimize and detect such problems. The survey instrument includes a detailed set of instructions for filing data, subject to a common set of definitions like those already used by the industry. EIA uses software encoded with a set of edits to validate the data and detect different probable reporting errors and flag them for resolution by analysts, either through confirmation of the data by the respondent or through submission of amendments to the filed data. The same software detects data processing errors, consisting primarily of random keypunch errors.  </w:t>
      </w:r>
      <w:r w:rsidR="00E73340">
        <w:t>EIA analysts review the data to ensure data consistency, and especially that property transfers are reported and correctly accounted for in estimates.</w:t>
      </w:r>
    </w:p>
    <w:p w:rsidR="006D2060" w:rsidRPr="00B71695" w:rsidP="00B71695" w14:paraId="48838B2B" w14:textId="77777777">
      <w:pPr>
        <w:pStyle w:val="Heading5"/>
        <w:rPr>
          <w:rFonts w:ascii="Calibri" w:hAnsi="Calibri"/>
        </w:rPr>
      </w:pPr>
      <w:bookmarkStart w:id="33" w:name="_Toc193357473"/>
      <w:r>
        <w:rPr>
          <w:rFonts w:ascii="Calibri" w:hAnsi="Calibri"/>
        </w:rPr>
        <w:t>B.2.4.3</w:t>
      </w:r>
      <w:r w:rsidR="00F7453F">
        <w:rPr>
          <w:rFonts w:ascii="Calibri" w:hAnsi="Calibri"/>
        </w:rPr>
        <w:t>.</w:t>
      </w:r>
      <w:r>
        <w:rPr>
          <w:rFonts w:ascii="Calibri" w:hAnsi="Calibri"/>
        </w:rPr>
        <w:t xml:space="preserve"> </w:t>
      </w:r>
      <w:r w:rsidRPr="00B71695">
        <w:rPr>
          <w:rFonts w:ascii="Calibri" w:hAnsi="Calibri"/>
        </w:rPr>
        <w:t>Estimation Errors by Respondents</w:t>
      </w:r>
      <w:bookmarkEnd w:id="33"/>
    </w:p>
    <w:p w:rsidR="006D2060" w:rsidRPr="003C6570" w:rsidP="006D2060" w14:paraId="797ECE21" w14:textId="2BED2E0E">
      <w:r>
        <w:t>The principal data elements of the Form EIA-23L survey consist of respondent estimates of proved reserves of crude oil and lease condensate, and natural gas. However, until a</w:t>
      </w:r>
      <w:r w:rsidR="00BB1CD0">
        <w:t>n operator fully produces a</w:t>
      </w:r>
      <w:r>
        <w:t xml:space="preserve"> particular reservoir to its economic limit and abandon</w:t>
      </w:r>
      <w:r w:rsidR="00BB1CD0">
        <w:t>s it</w:t>
      </w:r>
      <w:r>
        <w:t>, the proved reserves of the reservoir are not subject to direct measurement</w:t>
      </w:r>
      <w:r w:rsidR="00BB1CD0">
        <w:t xml:space="preserve">. </w:t>
      </w:r>
      <w:r w:rsidR="00E73340">
        <w:t xml:space="preserve">Respondents </w:t>
      </w:r>
      <w:r>
        <w:t xml:space="preserve">must infer </w:t>
      </w:r>
      <w:r w:rsidR="00BB1CD0">
        <w:t xml:space="preserve">the proved reserves </w:t>
      </w:r>
      <w:r>
        <w:t xml:space="preserve">from limited, imperfect, or indirect evidence. As a result, respondents cannot perfectly estimate their proved reserves, and such estimates change over time. </w:t>
      </w:r>
    </w:p>
    <w:p w:rsidR="006D2060" w:rsidRPr="00C74BFC" w:rsidP="006D2060" w14:paraId="10B6BC35" w14:textId="2D5AD3BE">
      <w:pPr>
        <w:rPr>
          <w:iCs/>
        </w:rPr>
      </w:pPr>
      <w:r>
        <w:rPr>
          <w:iCs/>
        </w:rPr>
        <w:t>Operators change r</w:t>
      </w:r>
      <w:r w:rsidRPr="003C6570">
        <w:rPr>
          <w:iCs/>
        </w:rPr>
        <w:t xml:space="preserve">eserves estimates from year to year </w:t>
      </w:r>
      <w:r>
        <w:rPr>
          <w:iCs/>
        </w:rPr>
        <w:t>based on</w:t>
      </w:r>
      <w:r w:rsidRPr="003C6570">
        <w:rPr>
          <w:iCs/>
        </w:rPr>
        <w:t xml:space="preserve"> new discoveries, more thorough</w:t>
      </w:r>
      <w:r>
        <w:rPr>
          <w:iCs/>
        </w:rPr>
        <w:t xml:space="preserve"> </w:t>
      </w:r>
      <w:r w:rsidRPr="003C6570">
        <w:rPr>
          <w:iCs/>
        </w:rPr>
        <w:t>apprais</w:t>
      </w:r>
      <w:r>
        <w:rPr>
          <w:iCs/>
        </w:rPr>
        <w:t>al of existing fields</w:t>
      </w:r>
      <w:r w:rsidRPr="003C6570">
        <w:rPr>
          <w:iCs/>
        </w:rPr>
        <w:t xml:space="preserve">, </w:t>
      </w:r>
      <w:r>
        <w:rPr>
          <w:iCs/>
        </w:rPr>
        <w:t>production of</w:t>
      </w:r>
      <w:r w:rsidRPr="003C6570">
        <w:rPr>
          <w:iCs/>
        </w:rPr>
        <w:t xml:space="preserve"> existing reserves, and </w:t>
      </w:r>
      <w:r>
        <w:rPr>
          <w:iCs/>
        </w:rPr>
        <w:t xml:space="preserve">changes in </w:t>
      </w:r>
      <w:r w:rsidRPr="003C6570">
        <w:rPr>
          <w:iCs/>
        </w:rPr>
        <w:t xml:space="preserve">prices and technologies. Higher fuel prices typically increase proved reserves estimates (positive revisions) as operators consider a broader portion of the resource base economically </w:t>
      </w:r>
      <w:r w:rsidRPr="003C6570" w:rsidR="009E0858">
        <w:rPr>
          <w:iCs/>
        </w:rPr>
        <w:t>producible or</w:t>
      </w:r>
      <w:r w:rsidRPr="003C6570">
        <w:rPr>
          <w:iCs/>
        </w:rPr>
        <w:t xml:space="preserve"> proved. Lower prices, on the other hand, generally reduce estimates (negative revisions) as the economically producible base diminishes.</w:t>
      </w:r>
    </w:p>
    <w:p w:rsidR="006D2060" w:rsidRPr="00B71695" w:rsidP="00B71695" w14:paraId="4D5EE63D" w14:textId="77777777">
      <w:pPr>
        <w:pStyle w:val="Heading5"/>
        <w:rPr>
          <w:rFonts w:ascii="Calibri" w:hAnsi="Calibri"/>
        </w:rPr>
      </w:pPr>
      <w:bookmarkStart w:id="34" w:name="_Toc193357474"/>
      <w:r>
        <w:rPr>
          <w:rFonts w:ascii="Calibri" w:hAnsi="Calibri"/>
        </w:rPr>
        <w:t>B.2.4.4</w:t>
      </w:r>
      <w:r w:rsidR="00F7453F">
        <w:rPr>
          <w:rFonts w:ascii="Calibri" w:hAnsi="Calibri"/>
        </w:rPr>
        <w:t>.</w:t>
      </w:r>
      <w:r>
        <w:rPr>
          <w:rFonts w:ascii="Calibri" w:hAnsi="Calibri"/>
        </w:rPr>
        <w:t xml:space="preserve"> </w:t>
      </w:r>
      <w:r w:rsidRPr="00B71695">
        <w:rPr>
          <w:rFonts w:ascii="Calibri" w:hAnsi="Calibri"/>
        </w:rPr>
        <w:t>Sampling Errors</w:t>
      </w:r>
      <w:bookmarkEnd w:id="34"/>
    </w:p>
    <w:p w:rsidR="006D2060" w:rsidP="006D2060" w14:paraId="4CB399B6" w14:textId="77CA3583">
      <w:r>
        <w:t xml:space="preserve">As in most establishment surveys, Form EIA-23L reserves and production data are highly skewed. In most states, </w:t>
      </w:r>
      <w:r w:rsidR="00E73340">
        <w:t xml:space="preserve">with </w:t>
      </w:r>
      <w:r w:rsidR="00B016DA">
        <w:t>relatively few larger</w:t>
      </w:r>
      <w:r w:rsidR="009E0858">
        <w:t>-</w:t>
      </w:r>
      <w:r w:rsidR="00B016DA">
        <w:t>well operators provid</w:t>
      </w:r>
      <w:r w:rsidR="00E73340">
        <w:t>ing the majority of</w:t>
      </w:r>
      <w:r w:rsidR="00B016DA">
        <w:t xml:space="preserve"> </w:t>
      </w:r>
      <w:r>
        <w:t>reserves data for natural gas and oil and lease condensate, and there are many small operators</w:t>
      </w:r>
      <w:r w:rsidR="00E73340">
        <w:t xml:space="preserve"> accounting for a relatively small percentage of reserves data</w:t>
      </w:r>
      <w:r>
        <w:t xml:space="preserve">. </w:t>
      </w:r>
    </w:p>
    <w:p w:rsidR="00E40223" w:rsidP="006D2060" w14:paraId="657F2ADD" w14:textId="77777777">
      <w:pPr>
        <w:rPr>
          <w:iCs/>
          <w:sz w:val="16"/>
          <w:szCs w:val="16"/>
        </w:rPr>
      </w:pPr>
    </w:p>
    <w:p w:rsidR="00E054DF" w:rsidRPr="00E054DF" w:rsidP="00E054DF" w14:paraId="5A9C4CB5" w14:textId="77777777">
      <w:pPr>
        <w:pStyle w:val="Heading2"/>
        <w:rPr>
          <w:noProof/>
        </w:rPr>
      </w:pPr>
      <w:bookmarkStart w:id="35" w:name="_Toc466046936"/>
      <w:bookmarkStart w:id="36" w:name="_Toc193357475"/>
      <w:r w:rsidRPr="00E054DF">
        <w:rPr>
          <w:noProof/>
        </w:rPr>
        <w:t>B.3. Maximizing Response Rates</w:t>
      </w:r>
      <w:bookmarkEnd w:id="35"/>
      <w:bookmarkEnd w:id="36"/>
    </w:p>
    <w:p w:rsidR="00B62D43" w:rsidRPr="003C6570" w:rsidP="00B62D43" w14:paraId="39378F3A" w14:textId="52702E82">
      <w:pPr>
        <w:rPr>
          <w:iCs/>
        </w:rPr>
      </w:pPr>
      <w:r w:rsidRPr="003C6570">
        <w:rPr>
          <w:iCs/>
        </w:rPr>
        <w:t xml:space="preserve">EIA uses standard procedures to conduct the data collections for Form EIA-23L and Form EIA-64A. </w:t>
      </w:r>
      <w:r w:rsidR="00B016DA">
        <w:rPr>
          <w:iCs/>
        </w:rPr>
        <w:t>EIA sends a</w:t>
      </w:r>
      <w:r w:rsidRPr="003C6570">
        <w:rPr>
          <w:iCs/>
        </w:rPr>
        <w:t xml:space="preserve">n introductory letter signed by a relevant EIA official to each company that is selected for the sample. Follow-up procedures for non-response consist of an email message or a reminder letter (for those not using email) to all companies that do not return a completed survey form by the due date. </w:t>
      </w:r>
      <w:r w:rsidR="00B016DA">
        <w:rPr>
          <w:iCs/>
        </w:rPr>
        <w:t>R</w:t>
      </w:r>
      <w:r w:rsidRPr="003C6570">
        <w:rPr>
          <w:iCs/>
        </w:rPr>
        <w:t xml:space="preserve">epeated email messages, letters, and phone calls </w:t>
      </w:r>
      <w:r w:rsidRPr="003C6570" w:rsidR="00B016DA">
        <w:rPr>
          <w:iCs/>
        </w:rPr>
        <w:t>follow</w:t>
      </w:r>
      <w:r w:rsidR="00B016DA">
        <w:rPr>
          <w:iCs/>
        </w:rPr>
        <w:t xml:space="preserve"> this </w:t>
      </w:r>
      <w:r w:rsidRPr="003C6570" w:rsidR="00B016DA">
        <w:rPr>
          <w:iCs/>
        </w:rPr>
        <w:t xml:space="preserve">reminder communication </w:t>
      </w:r>
      <w:r w:rsidRPr="003C6570">
        <w:rPr>
          <w:iCs/>
        </w:rPr>
        <w:t xml:space="preserve">until </w:t>
      </w:r>
      <w:r w:rsidR="00B016DA">
        <w:rPr>
          <w:iCs/>
        </w:rPr>
        <w:t xml:space="preserve">EIA receives </w:t>
      </w:r>
      <w:r w:rsidRPr="003C6570">
        <w:rPr>
          <w:iCs/>
        </w:rPr>
        <w:t xml:space="preserve">a response is received or </w:t>
      </w:r>
      <w:r w:rsidR="00B016DA">
        <w:rPr>
          <w:iCs/>
        </w:rPr>
        <w:t>finds another</w:t>
      </w:r>
      <w:r w:rsidRPr="003C6570">
        <w:rPr>
          <w:iCs/>
        </w:rPr>
        <w:t xml:space="preserve"> agreeable solutio</w:t>
      </w:r>
      <w:r w:rsidR="00B016DA">
        <w:rPr>
          <w:iCs/>
        </w:rPr>
        <w:t>n</w:t>
      </w:r>
      <w:r w:rsidRPr="003C6570">
        <w:rPr>
          <w:iCs/>
        </w:rPr>
        <w:t>.</w:t>
      </w:r>
    </w:p>
    <w:p w:rsidR="00B62D43" w:rsidP="00B62D43" w14:paraId="42F11083" w14:textId="0E1187B6">
      <w:r>
        <w:t>For the 202</w:t>
      </w:r>
      <w:r w:rsidR="7519DF39">
        <w:t>4</w:t>
      </w:r>
      <w:r>
        <w:t xml:space="preserve"> data collection cycle, </w:t>
      </w:r>
      <w:r w:rsidR="67150319">
        <w:t xml:space="preserve">the preliminary </w:t>
      </w:r>
      <w:r>
        <w:t xml:space="preserve">Form EIA-23L survey response rate was </w:t>
      </w:r>
      <w:r w:rsidR="5AA8E938">
        <w:t>9</w:t>
      </w:r>
      <w:r w:rsidR="1565CDCD">
        <w:t>2.</w:t>
      </w:r>
      <w:r w:rsidR="731EC77A">
        <w:t>9</w:t>
      </w:r>
      <w:r>
        <w:t>% (</w:t>
      </w:r>
      <w:r w:rsidR="3E468730">
        <w:t>3</w:t>
      </w:r>
      <w:r w:rsidR="095587BD">
        <w:t>6</w:t>
      </w:r>
      <w:r w:rsidR="5940D42A">
        <w:t>9</w:t>
      </w:r>
      <w:r>
        <w:t xml:space="preserve"> of </w:t>
      </w:r>
      <w:r w:rsidR="631132D0">
        <w:t>397</w:t>
      </w:r>
      <w:r>
        <w:t>).</w:t>
      </w:r>
      <w:r w:rsidR="2D9FD3C2">
        <w:t xml:space="preserve"> T</w:t>
      </w:r>
      <w:r w:rsidR="28BFE731">
        <w:t xml:space="preserve">he preliminary </w:t>
      </w:r>
      <w:r>
        <w:t xml:space="preserve">Form EIA-64A survey response rate was </w:t>
      </w:r>
      <w:r w:rsidR="6F5AFF8E">
        <w:t>9</w:t>
      </w:r>
      <w:r w:rsidR="25417EE1">
        <w:t>8.</w:t>
      </w:r>
      <w:r w:rsidR="4B4E1AB4">
        <w:t>7</w:t>
      </w:r>
      <w:r>
        <w:t>% (</w:t>
      </w:r>
      <w:r w:rsidR="7ABFC35C">
        <w:t>4</w:t>
      </w:r>
      <w:r w:rsidR="533969EC">
        <w:t>5</w:t>
      </w:r>
      <w:r w:rsidR="45C47B62">
        <w:t>1</w:t>
      </w:r>
      <w:r>
        <w:t xml:space="preserve"> of </w:t>
      </w:r>
      <w:r w:rsidR="19F8D104">
        <w:t>4</w:t>
      </w:r>
      <w:r w:rsidR="222CA5C2">
        <w:t>5</w:t>
      </w:r>
      <w:r w:rsidR="54E104A7">
        <w:t>7</w:t>
      </w:r>
      <w:r>
        <w:t>).</w:t>
      </w:r>
    </w:p>
    <w:p w:rsidR="00E40223" w:rsidRPr="003C6570" w:rsidP="00B62D43" w14:paraId="35134656" w14:textId="77777777">
      <w:pPr>
        <w:rPr>
          <w:iCs/>
        </w:rPr>
      </w:pPr>
    </w:p>
    <w:p w:rsidR="00E054DF" w:rsidRPr="00E054DF" w:rsidP="00E054DF" w14:paraId="3F7E156D" w14:textId="77777777">
      <w:pPr>
        <w:pStyle w:val="Heading2"/>
        <w:rPr>
          <w:noProof/>
        </w:rPr>
      </w:pPr>
      <w:bookmarkStart w:id="37" w:name="_Toc466046937"/>
      <w:bookmarkStart w:id="38" w:name="_Toc193357476"/>
      <w:r w:rsidRPr="00E054DF">
        <w:rPr>
          <w:noProof/>
        </w:rPr>
        <w:t>B.4. Test Procedures and Form Consultations</w:t>
      </w:r>
      <w:bookmarkEnd w:id="37"/>
      <w:bookmarkEnd w:id="38"/>
    </w:p>
    <w:p w:rsidR="002A15B6" w:rsidP="00B62D43" w14:paraId="78B63702" w14:textId="3091A435">
      <w:r>
        <w:t>EIA</w:t>
      </w:r>
      <w:r w:rsidR="00B62D43">
        <w:t xml:space="preserve"> performed </w:t>
      </w:r>
      <w:r>
        <w:t>cognitive testing for</w:t>
      </w:r>
      <w:r w:rsidR="00B62D43">
        <w:t xml:space="preserve"> the Form EIA-64A to evaluate the addition of two questions from the suspended Form EIA-757A (part of EIA’s Natural Gas data collection package OMB No. 1905-0175) regarding total capacity and average heat content, the addition of a new question about ethane content, and associated burden changes. </w:t>
      </w:r>
      <w:r>
        <w:t xml:space="preserve">EIA also </w:t>
      </w:r>
      <w:r w:rsidR="00B62D43">
        <w:t xml:space="preserve">performed </w:t>
      </w:r>
      <w:r>
        <w:t xml:space="preserve">sensitivity testing for </w:t>
      </w:r>
      <w:r w:rsidR="00FD2684">
        <w:t>Form</w:t>
      </w:r>
      <w:r w:rsidR="00B62D43">
        <w:t xml:space="preserve"> EIA-64A to evaluate potential discl</w:t>
      </w:r>
      <w:r>
        <w:t>osur</w:t>
      </w:r>
      <w:r w:rsidR="00B62D43">
        <w:t>e of data at a plant-level</w:t>
      </w:r>
      <w:r>
        <w:t xml:space="preserve"> instead of an aggregated state-level. However, given current resource constraints, EIA is not proposing any changes in the data collections at this time.</w:t>
      </w:r>
    </w:p>
    <w:p w:rsidR="00B62D43" w:rsidP="00B62D43" w14:paraId="6308DBAD" w14:textId="72633CB3">
      <w:pPr>
        <w:rPr>
          <w:iCs/>
        </w:rPr>
      </w:pPr>
      <w:r>
        <w:rPr>
          <w:iCs/>
        </w:rPr>
        <w:t xml:space="preserve">The cognitive testing performed on Form EIA-64A respondents revealed some uncertainty about the current instructions and definitions. </w:t>
      </w:r>
      <w:r w:rsidR="00D260DA">
        <w:rPr>
          <w:iCs/>
        </w:rPr>
        <w:t>EIA is proposing minor instruction</w:t>
      </w:r>
      <w:r w:rsidR="00BB2636">
        <w:rPr>
          <w:iCs/>
        </w:rPr>
        <w:t xml:space="preserve"> clarifications for both Forms EIA-23L and EIA-64A.</w:t>
      </w:r>
      <w:r w:rsidR="002A15B6">
        <w:rPr>
          <w:iCs/>
        </w:rPr>
        <w:t xml:space="preserve"> </w:t>
      </w:r>
    </w:p>
    <w:p w:rsidR="00E40223" w:rsidRPr="00A41763" w:rsidP="00B62D43" w14:paraId="65E056F5" w14:textId="77777777"/>
    <w:p w:rsidR="00E054DF" w:rsidRPr="00E054DF" w:rsidP="00E054DF" w14:paraId="6A74F069" w14:textId="77777777">
      <w:pPr>
        <w:pStyle w:val="Heading2"/>
        <w:rPr>
          <w:noProof/>
        </w:rPr>
      </w:pPr>
      <w:bookmarkStart w:id="39" w:name="_Toc466046938"/>
      <w:bookmarkStart w:id="40" w:name="_Toc193357477"/>
      <w:r w:rsidRPr="00E054DF">
        <w:rPr>
          <w:noProof/>
        </w:rPr>
        <w:t>B.5. Statistical Consultations</w:t>
      </w:r>
      <w:bookmarkEnd w:id="39"/>
      <w:bookmarkEnd w:id="40"/>
    </w:p>
    <w:p w:rsidR="00B62D43" w:rsidRPr="003C6570" w:rsidP="00B62D43" w14:paraId="2337CC34" w14:textId="77777777">
      <w:pPr>
        <w:rPr>
          <w:iCs/>
        </w:rPr>
      </w:pPr>
      <w:r w:rsidRPr="003C6570">
        <w:rPr>
          <w:iCs/>
        </w:rPr>
        <w:t xml:space="preserve">For additional information concerning this data collection, please contact </w:t>
      </w:r>
      <w:r>
        <w:rPr>
          <w:iCs/>
        </w:rPr>
        <w:t>Kenneth Pick,</w:t>
      </w:r>
      <w:r w:rsidRPr="00B62D43">
        <w:rPr>
          <w:color w:val="000000"/>
          <w:bdr w:val="none" w:sz="0" w:space="0" w:color="auto" w:frame="1"/>
        </w:rPr>
        <w:t xml:space="preserve"> </w:t>
      </w:r>
      <w:r w:rsidRPr="00B62D43">
        <w:rPr>
          <w:iCs/>
        </w:rPr>
        <w:t>EIA Clearance Officer, at (202) 586-5562</w:t>
      </w:r>
      <w:r w:rsidRPr="003C6570">
        <w:rPr>
          <w:iCs/>
        </w:rPr>
        <w:t xml:space="preserve">, or </w:t>
      </w:r>
      <w:hyperlink r:id="rId15" w:history="1">
        <w:r w:rsidRPr="0044491C">
          <w:rPr>
            <w:rStyle w:val="Hyperlink"/>
            <w:iCs/>
          </w:rPr>
          <w:t>kenneth.pick@eia.gov</w:t>
        </w:r>
      </w:hyperlink>
      <w:r w:rsidRPr="003C6570">
        <w:rPr>
          <w:iCs/>
        </w:rPr>
        <w:t>.</w:t>
      </w:r>
    </w:p>
    <w:p w:rsidR="00612A58" w:rsidP="00612A58" w14:paraId="2EA1BB7C" w14:textId="77777777">
      <w:pPr>
        <w:rPr>
          <w:noProof/>
        </w:rPr>
      </w:pPr>
    </w:p>
    <w:sectPr w:rsidSect="00206D5A">
      <w:headerReference w:type="even" r:id="rId16"/>
      <w:headerReference w:type="default" r:id="rId17"/>
      <w:footerReference w:type="even" r:id="rId18"/>
      <w:headerReference w:type="first" r:id="rId19"/>
      <w:footerReference w:type="first" r:id="rId20"/>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1F3A8F" w:rsidP="001F3A8F" w14:paraId="620312B7" w14:textId="77777777">
    <w:pPr>
      <w:pStyle w:val="Footer"/>
    </w:pPr>
    <w:r w:rsidRPr="00CB180D">
      <w:t xml:space="preserve">U.S. Energy Information Administration   |   </w:t>
    </w:r>
    <w:r w:rsidR="00D00DB1">
      <w:t>Oil and Gas Reserves System Surveys</w:t>
    </w:r>
    <w:r>
      <w:tab/>
    </w:r>
    <w:r>
      <w:fldChar w:fldCharType="begin"/>
    </w:r>
    <w:r>
      <w:instrText xml:space="preserve"> PAGE   \* MERGEFORMAT </w:instrText>
    </w:r>
    <w:r>
      <w:fldChar w:fldCharType="separate"/>
    </w:r>
    <w:r w:rsidR="00426A0B">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1A758418"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29593B0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57A053AD"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i</w:t>
    </w:r>
    <w:r>
      <w:rPr>
        <w:noProof/>
      </w:rPr>
      <w:fldChar w:fldCharType="end"/>
    </w:r>
  </w:p>
  <w:p w:rsidR="00EA779A" w14:paraId="3CB6EE9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3DF00C80"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760677" w14:paraId="734F00C8" w14:textId="77777777">
    <w:pPr>
      <w:pStyle w:val="Footer"/>
    </w:pPr>
    <w:r w:rsidRPr="00CB180D">
      <w:t xml:space="preserve">U.S. Energy Information Administration   |   </w:t>
    </w:r>
    <w:r w:rsidR="001D2E96">
      <w:t>Shortened document title</w:t>
    </w:r>
    <w:r w:rsidRPr="00CB180D">
      <w:tab/>
    </w:r>
    <w:r w:rsidRPr="00760677">
      <w:t xml:space="preserve"> </w:t>
    </w:r>
    <w:r>
      <w:fldChar w:fldCharType="begin"/>
    </w:r>
    <w:r>
      <w:instrText xml:space="preserve"> PAGE   \* MERGEFORMAT </w:instrText>
    </w:r>
    <w:r>
      <w:fldChar w:fldCharType="separate"/>
    </w:r>
    <w:r>
      <w:rPr>
        <w:noProof/>
      </w:rPr>
      <w:t>1</w:t>
    </w:r>
    <w:r>
      <w:rPr>
        <w:noProof/>
      </w:rPr>
      <w:fldChar w:fldCharType="end"/>
    </w:r>
  </w:p>
  <w:p w:rsidR="00EA779A" w:rsidP="00760677" w14:paraId="38DDE5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71A5" w:rsidP="00536CE1" w14:paraId="0BAF209D" w14:textId="77777777">
      <w:pPr>
        <w:spacing w:after="0" w:line="240" w:lineRule="auto"/>
      </w:pPr>
      <w:r>
        <w:separator/>
      </w:r>
    </w:p>
  </w:footnote>
  <w:footnote w:type="continuationSeparator" w:id="1">
    <w:p w:rsidR="009871A5" w:rsidP="00536CE1" w14:paraId="2EB528E2" w14:textId="77777777">
      <w:pPr>
        <w:spacing w:after="0" w:line="240" w:lineRule="auto"/>
      </w:pPr>
      <w:r>
        <w:continuationSeparator/>
      </w:r>
    </w:p>
  </w:footnote>
  <w:footnote w:type="continuationNotice" w:id="2">
    <w:p w:rsidR="009871A5" w14:paraId="2D12127C" w14:textId="77777777">
      <w:pPr>
        <w:spacing w:after="0" w:line="240" w:lineRule="auto"/>
      </w:pPr>
    </w:p>
  </w:footnote>
  <w:footnote w:id="3">
    <w:p w:rsidR="006D2060" w:rsidP="006D2060" w14:paraId="586F4CA9" w14:textId="77777777">
      <w:pPr>
        <w:pStyle w:val="FootnoteText"/>
      </w:pPr>
      <w:r>
        <w:rPr>
          <w:rStyle w:val="FootnoteReference"/>
        </w:rPr>
        <w:footnoteRef/>
      </w:r>
      <w:r>
        <w:t xml:space="preserve"> T</w:t>
      </w:r>
      <w:r w:rsidRPr="006A64BA">
        <w:t>he term “</w:t>
      </w:r>
      <w:r>
        <w:t>state/state subdivision</w:t>
      </w:r>
      <w:r w:rsidRPr="006A64BA">
        <w:t>” refers to an individual subdivision within a state or an individual state that is not subdivided.</w:t>
      </w:r>
    </w:p>
  </w:footnote>
  <w:footnote w:id="4">
    <w:p w:rsidR="006D2060" w:rsidP="006D2060" w14:paraId="40DCE3E9" w14:textId="3F7E3C7E">
      <w:pPr>
        <w:pStyle w:val="FootnoteText"/>
      </w:pPr>
      <w:r>
        <w:rPr>
          <w:rStyle w:val="FootnoteReference"/>
        </w:rPr>
        <w:footnoteRef/>
      </w:r>
      <w:r>
        <w:t xml:space="preserve"> </w:t>
      </w:r>
      <w:r w:rsidRPr="00801D3B">
        <w:t>Knaub J.R., Jr. (2011). “Cutoff Sampling and Total Survey Error,” Journal of Official Statistics, Letter to the Editor, 27(1), pp. 135-138.</w:t>
      </w:r>
      <w:r w:rsidRPr="00226D8F" w:rsidR="00226D8F">
        <w:t xml:space="preserve"> https://www.researchgate.net/publication/261757962_JOS_Letter_-_Cutoff_Sampling_and_Total_Survey_Error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373208" w:rsidP="009F61F7" w14:paraId="008D12C1" w14:textId="77777777">
    <w:pPr>
      <w:pStyle w:val="Header"/>
    </w:pPr>
    <w:r>
      <w:t>September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RPr="009F61F7" w:rsidP="009F61F7" w14:paraId="28D843D1" w14:textId="701300FE">
    <w:pPr>
      <w:pStyle w:val="Header"/>
    </w:pPr>
    <w:r>
      <w:t>August</w:t>
    </w:r>
    <w:r w:rsidRPr="003B6154" w:rsidR="00A43063">
      <w:t xml:space="preserve"> </w:t>
    </w:r>
    <w:r w:rsidRPr="003B6154" w:rsidR="00E054DF">
      <w:t>202</w:t>
    </w:r>
    <w:r w:rsidRPr="003B6154" w:rsidR="00D00DB1">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779A" w:rsidP="009F61F7" w14:paraId="04C974B7"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455A35"/>
    <w:multiLevelType w:val="hybridMultilevel"/>
    <w:tmpl w:val="85101D1A"/>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nsid w:val="03FC10DC"/>
    <w:multiLevelType w:val="multilevel"/>
    <w:tmpl w:val="B69ADCF2"/>
    <w:numStyleLink w:val="EIAbullets"/>
  </w:abstractNum>
  <w:abstractNum w:abstractNumId="8">
    <w:nsid w:val="12E5181C"/>
    <w:multiLevelType w:val="multilevel"/>
    <w:tmpl w:val="B69ADCF2"/>
    <w:numStyleLink w:val="EIAbullets"/>
  </w:abstractNum>
  <w:abstractNum w:abstractNumId="9">
    <w:nsid w:val="17EC7600"/>
    <w:multiLevelType w:val="hybridMultilevel"/>
    <w:tmpl w:val="95DCA000"/>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442868"/>
    <w:multiLevelType w:val="hybridMultilevel"/>
    <w:tmpl w:val="8CE6C348"/>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456440"/>
    <w:multiLevelType w:val="hybridMultilevel"/>
    <w:tmpl w:val="5510AC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7E6225"/>
    <w:multiLevelType w:val="multilevel"/>
    <w:tmpl w:val="B69ADCF2"/>
    <w:numStyleLink w:val="EIAbullets"/>
  </w:abstractNum>
  <w:abstractNum w:abstractNumId="13">
    <w:nsid w:val="22CB7ACD"/>
    <w:multiLevelType w:val="multilevel"/>
    <w:tmpl w:val="A512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1B7F46"/>
    <w:multiLevelType w:val="multilevel"/>
    <w:tmpl w:val="B69ADCF2"/>
    <w:styleLink w:val="EIAbullets"/>
    <w:lvl w:ilvl="0">
      <w:start w:val="1"/>
      <w:numFmt w:val="bullet"/>
      <w:lvlText w:val=""/>
      <w:lvlJc w:val="left"/>
      <w:pPr>
        <w:ind w:left="720" w:hanging="360"/>
      </w:pPr>
      <w:rPr>
        <w:rFonts w:ascii="Symbol" w:hAnsi="Symbol" w:hint="default"/>
        <w:color w:val="auto"/>
        <w:sz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color w:val="auto"/>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color w:val="auto"/>
      </w:rPr>
    </w:lvl>
  </w:abstractNum>
  <w:abstractNum w:abstractNumId="15">
    <w:nsid w:val="38861E46"/>
    <w:multiLevelType w:val="multilevel"/>
    <w:tmpl w:val="B69ADCF2"/>
    <w:numStyleLink w:val="EIAbullets"/>
  </w:abstractNum>
  <w:abstractNum w:abstractNumId="16">
    <w:nsid w:val="3AE524C1"/>
    <w:multiLevelType w:val="hybridMultilevel"/>
    <w:tmpl w:val="B130EA84"/>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BA2386"/>
    <w:multiLevelType w:val="multilevel"/>
    <w:tmpl w:val="B69ADCF2"/>
    <w:numStyleLink w:val="EIAbullets"/>
  </w:abstractNum>
  <w:abstractNum w:abstractNumId="18">
    <w:nsid w:val="4EBF29EA"/>
    <w:multiLevelType w:val="multilevel"/>
    <w:tmpl w:val="B69ADCF2"/>
    <w:numStyleLink w:val="EIAbullets"/>
  </w:abstractNum>
  <w:abstractNum w:abstractNumId="19">
    <w:nsid w:val="4F441716"/>
    <w:multiLevelType w:val="hybridMultilevel"/>
    <w:tmpl w:val="D7D80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7B6D1C"/>
    <w:multiLevelType w:val="hybridMultilevel"/>
    <w:tmpl w:val="2CCE2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C61650"/>
    <w:multiLevelType w:val="hybridMultilevel"/>
    <w:tmpl w:val="566CC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B2CBD"/>
    <w:multiLevelType w:val="multilevel"/>
    <w:tmpl w:val="B69ADCF2"/>
    <w:numStyleLink w:val="EIAbullets"/>
  </w:abstractNum>
  <w:abstractNum w:abstractNumId="23">
    <w:nsid w:val="69F073C5"/>
    <w:multiLevelType w:val="hybridMultilevel"/>
    <w:tmpl w:val="1C8EBEFC"/>
    <w:lvl w:ilvl="0">
      <w:start w:val="0"/>
      <w:numFmt w:val="bullet"/>
      <w:lvlText w:val="•"/>
      <w:lvlJc w:val="left"/>
      <w:pPr>
        <w:ind w:left="1080" w:hanging="72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863061"/>
    <w:multiLevelType w:val="multilevel"/>
    <w:tmpl w:val="DDDE0EEE"/>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5">
    <w:nsid w:val="7BEF47ED"/>
    <w:multiLevelType w:val="hybridMultilevel"/>
    <w:tmpl w:val="34CE52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5960149">
    <w:abstractNumId w:val="3"/>
  </w:num>
  <w:num w:numId="2" w16cid:durableId="371879937">
    <w:abstractNumId w:val="6"/>
  </w:num>
  <w:num w:numId="3" w16cid:durableId="595289685">
    <w:abstractNumId w:val="4"/>
  </w:num>
  <w:num w:numId="4" w16cid:durableId="665789452">
    <w:abstractNumId w:val="2"/>
  </w:num>
  <w:num w:numId="5" w16cid:durableId="515074788">
    <w:abstractNumId w:val="1"/>
  </w:num>
  <w:num w:numId="6" w16cid:durableId="2055226055">
    <w:abstractNumId w:val="0"/>
  </w:num>
  <w:num w:numId="7" w16cid:durableId="101344992">
    <w:abstractNumId w:val="24"/>
  </w:num>
  <w:num w:numId="8" w16cid:durableId="1548639636">
    <w:abstractNumId w:val="14"/>
  </w:num>
  <w:num w:numId="9" w16cid:durableId="1320302664">
    <w:abstractNumId w:val="17"/>
  </w:num>
  <w:num w:numId="10" w16cid:durableId="1529178897">
    <w:abstractNumId w:val="8"/>
  </w:num>
  <w:num w:numId="11" w16cid:durableId="699353010">
    <w:abstractNumId w:val="9"/>
  </w:num>
  <w:num w:numId="12" w16cid:durableId="713383629">
    <w:abstractNumId w:val="12"/>
  </w:num>
  <w:num w:numId="13" w16cid:durableId="630132553">
    <w:abstractNumId w:val="15"/>
  </w:num>
  <w:num w:numId="14" w16cid:durableId="545528689">
    <w:abstractNumId w:val="10"/>
  </w:num>
  <w:num w:numId="15" w16cid:durableId="1970435329">
    <w:abstractNumId w:val="7"/>
  </w:num>
  <w:num w:numId="16" w16cid:durableId="13921622">
    <w:abstractNumId w:val="23"/>
  </w:num>
  <w:num w:numId="17" w16cid:durableId="1396582346">
    <w:abstractNumId w:val="18"/>
  </w:num>
  <w:num w:numId="18" w16cid:durableId="969437123">
    <w:abstractNumId w:val="16"/>
  </w:num>
  <w:num w:numId="19" w16cid:durableId="1325746575">
    <w:abstractNumId w:val="22"/>
  </w:num>
  <w:num w:numId="20" w16cid:durableId="654721389">
    <w:abstractNumId w:val="5"/>
  </w:num>
  <w:num w:numId="21" w16cid:durableId="588201362">
    <w:abstractNumId w:val="20"/>
  </w:num>
  <w:num w:numId="22" w16cid:durableId="1152986884">
    <w:abstractNumId w:val="21"/>
  </w:num>
  <w:num w:numId="23" w16cid:durableId="1768497921">
    <w:abstractNumId w:val="25"/>
  </w:num>
  <w:num w:numId="24" w16cid:durableId="582184037">
    <w:abstractNumId w:val="11"/>
  </w:num>
  <w:num w:numId="25" w16cid:durableId="991983103">
    <w:abstractNumId w:val="19"/>
  </w:num>
  <w:num w:numId="26" w16cid:durableId="41359849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44"/>
  <w:drawingGridVerticalSpacing w:val="187"/>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853"/>
    <w:rsid w:val="0000019D"/>
    <w:rsid w:val="000008B5"/>
    <w:rsid w:val="00002268"/>
    <w:rsid w:val="0000364C"/>
    <w:rsid w:val="00004135"/>
    <w:rsid w:val="000041A1"/>
    <w:rsid w:val="000053BB"/>
    <w:rsid w:val="0001045E"/>
    <w:rsid w:val="00011B3F"/>
    <w:rsid w:val="00013373"/>
    <w:rsid w:val="000142E5"/>
    <w:rsid w:val="00015DA7"/>
    <w:rsid w:val="00020AB0"/>
    <w:rsid w:val="000248CE"/>
    <w:rsid w:val="00026F0D"/>
    <w:rsid w:val="0002713E"/>
    <w:rsid w:val="0003043D"/>
    <w:rsid w:val="000320EB"/>
    <w:rsid w:val="000337EF"/>
    <w:rsid w:val="00034A4B"/>
    <w:rsid w:val="00035E73"/>
    <w:rsid w:val="00041909"/>
    <w:rsid w:val="00046593"/>
    <w:rsid w:val="000479DD"/>
    <w:rsid w:val="00047C08"/>
    <w:rsid w:val="000556B6"/>
    <w:rsid w:val="00055769"/>
    <w:rsid w:val="00056B68"/>
    <w:rsid w:val="00056EC3"/>
    <w:rsid w:val="00057A28"/>
    <w:rsid w:val="000603C9"/>
    <w:rsid w:val="000621DC"/>
    <w:rsid w:val="00062CFE"/>
    <w:rsid w:val="00063FA9"/>
    <w:rsid w:val="000673E6"/>
    <w:rsid w:val="0007129A"/>
    <w:rsid w:val="0007760A"/>
    <w:rsid w:val="00077904"/>
    <w:rsid w:val="000831C4"/>
    <w:rsid w:val="000844CA"/>
    <w:rsid w:val="00084C75"/>
    <w:rsid w:val="00085E32"/>
    <w:rsid w:val="00091CC7"/>
    <w:rsid w:val="00096212"/>
    <w:rsid w:val="000975CD"/>
    <w:rsid w:val="00097AA8"/>
    <w:rsid w:val="000A0996"/>
    <w:rsid w:val="000A19DA"/>
    <w:rsid w:val="000A381D"/>
    <w:rsid w:val="000A5A5B"/>
    <w:rsid w:val="000A7572"/>
    <w:rsid w:val="000B0C7D"/>
    <w:rsid w:val="000B3FBE"/>
    <w:rsid w:val="000C0537"/>
    <w:rsid w:val="000C237D"/>
    <w:rsid w:val="000C4381"/>
    <w:rsid w:val="000C5311"/>
    <w:rsid w:val="000C6BE2"/>
    <w:rsid w:val="000D16B5"/>
    <w:rsid w:val="000D7709"/>
    <w:rsid w:val="000E2A01"/>
    <w:rsid w:val="000E4DA9"/>
    <w:rsid w:val="000F040A"/>
    <w:rsid w:val="000F438C"/>
    <w:rsid w:val="00100183"/>
    <w:rsid w:val="00100C16"/>
    <w:rsid w:val="001022FE"/>
    <w:rsid w:val="001025D4"/>
    <w:rsid w:val="001034E8"/>
    <w:rsid w:val="001034EE"/>
    <w:rsid w:val="00106A21"/>
    <w:rsid w:val="00112A69"/>
    <w:rsid w:val="0011541D"/>
    <w:rsid w:val="00117E47"/>
    <w:rsid w:val="00121E0F"/>
    <w:rsid w:val="00132F4A"/>
    <w:rsid w:val="00133769"/>
    <w:rsid w:val="00140D25"/>
    <w:rsid w:val="00142536"/>
    <w:rsid w:val="001444B0"/>
    <w:rsid w:val="00160925"/>
    <w:rsid w:val="00160D58"/>
    <w:rsid w:val="0016163D"/>
    <w:rsid w:val="00162E7C"/>
    <w:rsid w:val="00167425"/>
    <w:rsid w:val="001707EE"/>
    <w:rsid w:val="00175361"/>
    <w:rsid w:val="001807A3"/>
    <w:rsid w:val="0018622D"/>
    <w:rsid w:val="001947D5"/>
    <w:rsid w:val="00197DCF"/>
    <w:rsid w:val="001A6E1E"/>
    <w:rsid w:val="001B0461"/>
    <w:rsid w:val="001B07CC"/>
    <w:rsid w:val="001B0E69"/>
    <w:rsid w:val="001B21BD"/>
    <w:rsid w:val="001B25C2"/>
    <w:rsid w:val="001C7911"/>
    <w:rsid w:val="001C7CC9"/>
    <w:rsid w:val="001D03A8"/>
    <w:rsid w:val="001D2E96"/>
    <w:rsid w:val="001D4BE0"/>
    <w:rsid w:val="001E077B"/>
    <w:rsid w:val="001F14E4"/>
    <w:rsid w:val="001F3A8F"/>
    <w:rsid w:val="001F4C65"/>
    <w:rsid w:val="002008B4"/>
    <w:rsid w:val="00201F24"/>
    <w:rsid w:val="002069AF"/>
    <w:rsid w:val="00206D5A"/>
    <w:rsid w:val="002127CE"/>
    <w:rsid w:val="00215842"/>
    <w:rsid w:val="002207DF"/>
    <w:rsid w:val="00221AC2"/>
    <w:rsid w:val="00224002"/>
    <w:rsid w:val="00226D8F"/>
    <w:rsid w:val="00227E4B"/>
    <w:rsid w:val="0023015A"/>
    <w:rsid w:val="0023018F"/>
    <w:rsid w:val="002360D1"/>
    <w:rsid w:val="0023708A"/>
    <w:rsid w:val="00247E6A"/>
    <w:rsid w:val="0025022D"/>
    <w:rsid w:val="002527E2"/>
    <w:rsid w:val="002530BB"/>
    <w:rsid w:val="002556F3"/>
    <w:rsid w:val="00260EDF"/>
    <w:rsid w:val="00264148"/>
    <w:rsid w:val="00267A8E"/>
    <w:rsid w:val="00274179"/>
    <w:rsid w:val="002A1421"/>
    <w:rsid w:val="002A15B6"/>
    <w:rsid w:val="002A48B4"/>
    <w:rsid w:val="002A4EBB"/>
    <w:rsid w:val="002B0C67"/>
    <w:rsid w:val="002B0F36"/>
    <w:rsid w:val="002B0FD2"/>
    <w:rsid w:val="002B47CA"/>
    <w:rsid w:val="002B5EC9"/>
    <w:rsid w:val="002B6BEA"/>
    <w:rsid w:val="002C378C"/>
    <w:rsid w:val="002C43AF"/>
    <w:rsid w:val="002D367F"/>
    <w:rsid w:val="002D4FE9"/>
    <w:rsid w:val="002E18F8"/>
    <w:rsid w:val="002E3702"/>
    <w:rsid w:val="002E3FD5"/>
    <w:rsid w:val="002E4F0E"/>
    <w:rsid w:val="002E7486"/>
    <w:rsid w:val="002E7A38"/>
    <w:rsid w:val="002F3498"/>
    <w:rsid w:val="003023BF"/>
    <w:rsid w:val="00306516"/>
    <w:rsid w:val="00313D14"/>
    <w:rsid w:val="00314E46"/>
    <w:rsid w:val="0032573A"/>
    <w:rsid w:val="00325C96"/>
    <w:rsid w:val="00330D13"/>
    <w:rsid w:val="00336D25"/>
    <w:rsid w:val="003469CB"/>
    <w:rsid w:val="00346BDC"/>
    <w:rsid w:val="00350C8B"/>
    <w:rsid w:val="00353853"/>
    <w:rsid w:val="00354C02"/>
    <w:rsid w:val="00360D05"/>
    <w:rsid w:val="00363331"/>
    <w:rsid w:val="00371E14"/>
    <w:rsid w:val="00373208"/>
    <w:rsid w:val="00383DB3"/>
    <w:rsid w:val="003854B2"/>
    <w:rsid w:val="00385AE6"/>
    <w:rsid w:val="00387C8D"/>
    <w:rsid w:val="00392DD0"/>
    <w:rsid w:val="00396BCB"/>
    <w:rsid w:val="00397825"/>
    <w:rsid w:val="003A1073"/>
    <w:rsid w:val="003A10F3"/>
    <w:rsid w:val="003A3906"/>
    <w:rsid w:val="003A56E2"/>
    <w:rsid w:val="003B03A4"/>
    <w:rsid w:val="003B2134"/>
    <w:rsid w:val="003B2373"/>
    <w:rsid w:val="003B38D1"/>
    <w:rsid w:val="003B6154"/>
    <w:rsid w:val="003C03EA"/>
    <w:rsid w:val="003C6570"/>
    <w:rsid w:val="003C690C"/>
    <w:rsid w:val="003D313A"/>
    <w:rsid w:val="003D66DA"/>
    <w:rsid w:val="003E3BDD"/>
    <w:rsid w:val="003E40FA"/>
    <w:rsid w:val="003E4992"/>
    <w:rsid w:val="003F24ED"/>
    <w:rsid w:val="003F3866"/>
    <w:rsid w:val="003F529E"/>
    <w:rsid w:val="003F6E5F"/>
    <w:rsid w:val="004020B2"/>
    <w:rsid w:val="0042608E"/>
    <w:rsid w:val="00426481"/>
    <w:rsid w:val="00426A0B"/>
    <w:rsid w:val="00431CD7"/>
    <w:rsid w:val="00431D0E"/>
    <w:rsid w:val="00432966"/>
    <w:rsid w:val="004338DE"/>
    <w:rsid w:val="00433C96"/>
    <w:rsid w:val="00437FDD"/>
    <w:rsid w:val="004435C0"/>
    <w:rsid w:val="0044491C"/>
    <w:rsid w:val="004530AC"/>
    <w:rsid w:val="0045608E"/>
    <w:rsid w:val="0045662F"/>
    <w:rsid w:val="004611B9"/>
    <w:rsid w:val="00464D11"/>
    <w:rsid w:val="00466959"/>
    <w:rsid w:val="0047784B"/>
    <w:rsid w:val="00484B4F"/>
    <w:rsid w:val="004854EE"/>
    <w:rsid w:val="004871E9"/>
    <w:rsid w:val="004946F0"/>
    <w:rsid w:val="00497C2A"/>
    <w:rsid w:val="004A729E"/>
    <w:rsid w:val="004B058E"/>
    <w:rsid w:val="004B1075"/>
    <w:rsid w:val="004B3F97"/>
    <w:rsid w:val="004B552A"/>
    <w:rsid w:val="004C14D5"/>
    <w:rsid w:val="004C277B"/>
    <w:rsid w:val="004C3A48"/>
    <w:rsid w:val="004C7A6B"/>
    <w:rsid w:val="004D05FB"/>
    <w:rsid w:val="004D0F05"/>
    <w:rsid w:val="004D236B"/>
    <w:rsid w:val="004D29C7"/>
    <w:rsid w:val="004E5446"/>
    <w:rsid w:val="004E6204"/>
    <w:rsid w:val="004F4350"/>
    <w:rsid w:val="004F7AF8"/>
    <w:rsid w:val="00502B9E"/>
    <w:rsid w:val="00503AB0"/>
    <w:rsid w:val="00504119"/>
    <w:rsid w:val="00505571"/>
    <w:rsid w:val="005065CF"/>
    <w:rsid w:val="00506BB4"/>
    <w:rsid w:val="0050705F"/>
    <w:rsid w:val="005119F8"/>
    <w:rsid w:val="00515437"/>
    <w:rsid w:val="005170D3"/>
    <w:rsid w:val="00517DE6"/>
    <w:rsid w:val="005229E1"/>
    <w:rsid w:val="0052493A"/>
    <w:rsid w:val="00524A83"/>
    <w:rsid w:val="00530000"/>
    <w:rsid w:val="005355CF"/>
    <w:rsid w:val="00535CAF"/>
    <w:rsid w:val="00536054"/>
    <w:rsid w:val="0053654B"/>
    <w:rsid w:val="00536CE1"/>
    <w:rsid w:val="00537C90"/>
    <w:rsid w:val="00540CC5"/>
    <w:rsid w:val="0054180D"/>
    <w:rsid w:val="00546784"/>
    <w:rsid w:val="00547B53"/>
    <w:rsid w:val="00552509"/>
    <w:rsid w:val="00563592"/>
    <w:rsid w:val="00571D8F"/>
    <w:rsid w:val="00572A6E"/>
    <w:rsid w:val="0057367D"/>
    <w:rsid w:val="00585BE3"/>
    <w:rsid w:val="00590293"/>
    <w:rsid w:val="0059212D"/>
    <w:rsid w:val="00594A96"/>
    <w:rsid w:val="005A22F6"/>
    <w:rsid w:val="005A7CE2"/>
    <w:rsid w:val="005B2B58"/>
    <w:rsid w:val="005B4863"/>
    <w:rsid w:val="005B7B68"/>
    <w:rsid w:val="005C00FA"/>
    <w:rsid w:val="005C2D89"/>
    <w:rsid w:val="005C485B"/>
    <w:rsid w:val="005C6B7F"/>
    <w:rsid w:val="005C728D"/>
    <w:rsid w:val="005D24C4"/>
    <w:rsid w:val="005D39D7"/>
    <w:rsid w:val="005D5956"/>
    <w:rsid w:val="005D602C"/>
    <w:rsid w:val="005D6F63"/>
    <w:rsid w:val="005F108A"/>
    <w:rsid w:val="005F29A0"/>
    <w:rsid w:val="005F386B"/>
    <w:rsid w:val="005F4784"/>
    <w:rsid w:val="005F4848"/>
    <w:rsid w:val="005F55C3"/>
    <w:rsid w:val="005F58AB"/>
    <w:rsid w:val="005F778C"/>
    <w:rsid w:val="0060181E"/>
    <w:rsid w:val="00603836"/>
    <w:rsid w:val="00607ECF"/>
    <w:rsid w:val="00612A58"/>
    <w:rsid w:val="0062008C"/>
    <w:rsid w:val="00620797"/>
    <w:rsid w:val="00626494"/>
    <w:rsid w:val="006369EA"/>
    <w:rsid w:val="0063744B"/>
    <w:rsid w:val="0064002D"/>
    <w:rsid w:val="00641651"/>
    <w:rsid w:val="00641DE2"/>
    <w:rsid w:val="00643384"/>
    <w:rsid w:val="00646B08"/>
    <w:rsid w:val="00647020"/>
    <w:rsid w:val="00652F00"/>
    <w:rsid w:val="0065406F"/>
    <w:rsid w:val="00663EC4"/>
    <w:rsid w:val="00666179"/>
    <w:rsid w:val="006705AD"/>
    <w:rsid w:val="00677C5F"/>
    <w:rsid w:val="006843BE"/>
    <w:rsid w:val="006857BE"/>
    <w:rsid w:val="006927A7"/>
    <w:rsid w:val="00693430"/>
    <w:rsid w:val="00696CE1"/>
    <w:rsid w:val="006A0BC7"/>
    <w:rsid w:val="006A0EB0"/>
    <w:rsid w:val="006A0F7C"/>
    <w:rsid w:val="006A14E8"/>
    <w:rsid w:val="006A3608"/>
    <w:rsid w:val="006A3BA7"/>
    <w:rsid w:val="006A6190"/>
    <w:rsid w:val="006A64BA"/>
    <w:rsid w:val="006B1B66"/>
    <w:rsid w:val="006B3204"/>
    <w:rsid w:val="006B65D9"/>
    <w:rsid w:val="006C0062"/>
    <w:rsid w:val="006C097E"/>
    <w:rsid w:val="006C2DC3"/>
    <w:rsid w:val="006C4D18"/>
    <w:rsid w:val="006D0439"/>
    <w:rsid w:val="006D2060"/>
    <w:rsid w:val="006D372F"/>
    <w:rsid w:val="006D466F"/>
    <w:rsid w:val="006D7678"/>
    <w:rsid w:val="006E7671"/>
    <w:rsid w:val="006F0F5A"/>
    <w:rsid w:val="006F6881"/>
    <w:rsid w:val="00705145"/>
    <w:rsid w:val="00705B42"/>
    <w:rsid w:val="00710C50"/>
    <w:rsid w:val="00723C65"/>
    <w:rsid w:val="00725453"/>
    <w:rsid w:val="00731785"/>
    <w:rsid w:val="00734A1E"/>
    <w:rsid w:val="00737591"/>
    <w:rsid w:val="007438F2"/>
    <w:rsid w:val="00746B8B"/>
    <w:rsid w:val="00750DDE"/>
    <w:rsid w:val="00752786"/>
    <w:rsid w:val="00755C3D"/>
    <w:rsid w:val="00755D23"/>
    <w:rsid w:val="007576EF"/>
    <w:rsid w:val="00760677"/>
    <w:rsid w:val="007609B3"/>
    <w:rsid w:val="00761C12"/>
    <w:rsid w:val="007620E0"/>
    <w:rsid w:val="00773389"/>
    <w:rsid w:val="00776CF4"/>
    <w:rsid w:val="00783DF5"/>
    <w:rsid w:val="00784F89"/>
    <w:rsid w:val="00786336"/>
    <w:rsid w:val="00790B7D"/>
    <w:rsid w:val="007936AB"/>
    <w:rsid w:val="007A4264"/>
    <w:rsid w:val="007A4378"/>
    <w:rsid w:val="007A5BEB"/>
    <w:rsid w:val="007B2131"/>
    <w:rsid w:val="007B6FA1"/>
    <w:rsid w:val="007C17C1"/>
    <w:rsid w:val="007C1889"/>
    <w:rsid w:val="007C2C68"/>
    <w:rsid w:val="007C5CE9"/>
    <w:rsid w:val="007C7FAA"/>
    <w:rsid w:val="007D39CC"/>
    <w:rsid w:val="007D54C2"/>
    <w:rsid w:val="007D5CC6"/>
    <w:rsid w:val="007D6AAF"/>
    <w:rsid w:val="007E0774"/>
    <w:rsid w:val="007E37FC"/>
    <w:rsid w:val="007E48AD"/>
    <w:rsid w:val="007E4E52"/>
    <w:rsid w:val="007E5A11"/>
    <w:rsid w:val="007E73E6"/>
    <w:rsid w:val="007E7B61"/>
    <w:rsid w:val="007F1954"/>
    <w:rsid w:val="007F21D7"/>
    <w:rsid w:val="007F2BB7"/>
    <w:rsid w:val="00800B3D"/>
    <w:rsid w:val="00801415"/>
    <w:rsid w:val="00801D3B"/>
    <w:rsid w:val="00801D55"/>
    <w:rsid w:val="008054BB"/>
    <w:rsid w:val="008057F8"/>
    <w:rsid w:val="00820E5D"/>
    <w:rsid w:val="0083073A"/>
    <w:rsid w:val="008307E1"/>
    <w:rsid w:val="00831853"/>
    <w:rsid w:val="00833CF9"/>
    <w:rsid w:val="008362B7"/>
    <w:rsid w:val="00837BAC"/>
    <w:rsid w:val="00840572"/>
    <w:rsid w:val="00850F17"/>
    <w:rsid w:val="008652B2"/>
    <w:rsid w:val="00867160"/>
    <w:rsid w:val="0087205B"/>
    <w:rsid w:val="00874FB8"/>
    <w:rsid w:val="00895669"/>
    <w:rsid w:val="00897946"/>
    <w:rsid w:val="008A3276"/>
    <w:rsid w:val="008A3447"/>
    <w:rsid w:val="008A5546"/>
    <w:rsid w:val="008B468A"/>
    <w:rsid w:val="008B6EF9"/>
    <w:rsid w:val="008C35F8"/>
    <w:rsid w:val="008C426D"/>
    <w:rsid w:val="008C4DAD"/>
    <w:rsid w:val="008D1089"/>
    <w:rsid w:val="008E0604"/>
    <w:rsid w:val="008E4BF2"/>
    <w:rsid w:val="008E4FA4"/>
    <w:rsid w:val="008F3737"/>
    <w:rsid w:val="008F4CBD"/>
    <w:rsid w:val="008F5CAE"/>
    <w:rsid w:val="00900D21"/>
    <w:rsid w:val="009017AD"/>
    <w:rsid w:val="00901BED"/>
    <w:rsid w:val="0090269A"/>
    <w:rsid w:val="00905735"/>
    <w:rsid w:val="00907274"/>
    <w:rsid w:val="00910C47"/>
    <w:rsid w:val="009131B9"/>
    <w:rsid w:val="00924D17"/>
    <w:rsid w:val="00935805"/>
    <w:rsid w:val="009368F3"/>
    <w:rsid w:val="00942594"/>
    <w:rsid w:val="00947C42"/>
    <w:rsid w:val="00950489"/>
    <w:rsid w:val="009557E3"/>
    <w:rsid w:val="00957DE9"/>
    <w:rsid w:val="009635F9"/>
    <w:rsid w:val="00965A44"/>
    <w:rsid w:val="00967D7C"/>
    <w:rsid w:val="00967F49"/>
    <w:rsid w:val="009757AD"/>
    <w:rsid w:val="00980B6A"/>
    <w:rsid w:val="009813EE"/>
    <w:rsid w:val="009818F9"/>
    <w:rsid w:val="0098618F"/>
    <w:rsid w:val="009871A5"/>
    <w:rsid w:val="00987C32"/>
    <w:rsid w:val="00991646"/>
    <w:rsid w:val="0099448B"/>
    <w:rsid w:val="00995271"/>
    <w:rsid w:val="00996BCA"/>
    <w:rsid w:val="00997347"/>
    <w:rsid w:val="009A13DF"/>
    <w:rsid w:val="009B19CE"/>
    <w:rsid w:val="009C1E36"/>
    <w:rsid w:val="009C202F"/>
    <w:rsid w:val="009C68BC"/>
    <w:rsid w:val="009C77F7"/>
    <w:rsid w:val="009D3ABF"/>
    <w:rsid w:val="009E0858"/>
    <w:rsid w:val="009E1253"/>
    <w:rsid w:val="009E1CC8"/>
    <w:rsid w:val="009E248D"/>
    <w:rsid w:val="009E2FFE"/>
    <w:rsid w:val="009E5ABC"/>
    <w:rsid w:val="009E5B9C"/>
    <w:rsid w:val="009F0189"/>
    <w:rsid w:val="009F0F59"/>
    <w:rsid w:val="009F15CF"/>
    <w:rsid w:val="009F1DC2"/>
    <w:rsid w:val="009F61F7"/>
    <w:rsid w:val="00A00D71"/>
    <w:rsid w:val="00A00EDF"/>
    <w:rsid w:val="00A032EF"/>
    <w:rsid w:val="00A05A74"/>
    <w:rsid w:val="00A10038"/>
    <w:rsid w:val="00A15571"/>
    <w:rsid w:val="00A24F9F"/>
    <w:rsid w:val="00A26A17"/>
    <w:rsid w:val="00A30169"/>
    <w:rsid w:val="00A312A3"/>
    <w:rsid w:val="00A33D9F"/>
    <w:rsid w:val="00A37229"/>
    <w:rsid w:val="00A41763"/>
    <w:rsid w:val="00A418C9"/>
    <w:rsid w:val="00A43063"/>
    <w:rsid w:val="00A56408"/>
    <w:rsid w:val="00A61DE2"/>
    <w:rsid w:val="00A65B16"/>
    <w:rsid w:val="00A73D53"/>
    <w:rsid w:val="00A74C9B"/>
    <w:rsid w:val="00A93478"/>
    <w:rsid w:val="00A93DBF"/>
    <w:rsid w:val="00A942B7"/>
    <w:rsid w:val="00A95425"/>
    <w:rsid w:val="00A96BAA"/>
    <w:rsid w:val="00A97D87"/>
    <w:rsid w:val="00A97FE7"/>
    <w:rsid w:val="00AA1E21"/>
    <w:rsid w:val="00AA3416"/>
    <w:rsid w:val="00AA46CA"/>
    <w:rsid w:val="00AA7EFA"/>
    <w:rsid w:val="00AB00BC"/>
    <w:rsid w:val="00AB139D"/>
    <w:rsid w:val="00AB5431"/>
    <w:rsid w:val="00AB61B3"/>
    <w:rsid w:val="00AB6CFF"/>
    <w:rsid w:val="00AC323A"/>
    <w:rsid w:val="00AC694B"/>
    <w:rsid w:val="00AD296E"/>
    <w:rsid w:val="00AD6244"/>
    <w:rsid w:val="00AD6357"/>
    <w:rsid w:val="00AD7F81"/>
    <w:rsid w:val="00AE20B3"/>
    <w:rsid w:val="00AE4CA9"/>
    <w:rsid w:val="00AF252F"/>
    <w:rsid w:val="00AF2CBF"/>
    <w:rsid w:val="00AF367D"/>
    <w:rsid w:val="00AF45FD"/>
    <w:rsid w:val="00B00DF3"/>
    <w:rsid w:val="00B016DA"/>
    <w:rsid w:val="00B01714"/>
    <w:rsid w:val="00B05642"/>
    <w:rsid w:val="00B076C0"/>
    <w:rsid w:val="00B27CB3"/>
    <w:rsid w:val="00B35E2A"/>
    <w:rsid w:val="00B41D7A"/>
    <w:rsid w:val="00B4258C"/>
    <w:rsid w:val="00B4263D"/>
    <w:rsid w:val="00B45DFF"/>
    <w:rsid w:val="00B56F49"/>
    <w:rsid w:val="00B57162"/>
    <w:rsid w:val="00B62D43"/>
    <w:rsid w:val="00B671F4"/>
    <w:rsid w:val="00B71695"/>
    <w:rsid w:val="00B7337D"/>
    <w:rsid w:val="00B7442A"/>
    <w:rsid w:val="00B755B1"/>
    <w:rsid w:val="00B80706"/>
    <w:rsid w:val="00B93225"/>
    <w:rsid w:val="00B9375D"/>
    <w:rsid w:val="00B93C3D"/>
    <w:rsid w:val="00B95F81"/>
    <w:rsid w:val="00B97002"/>
    <w:rsid w:val="00BA0092"/>
    <w:rsid w:val="00BA72AC"/>
    <w:rsid w:val="00BB1CD0"/>
    <w:rsid w:val="00BB2636"/>
    <w:rsid w:val="00BB2F70"/>
    <w:rsid w:val="00BB6CF4"/>
    <w:rsid w:val="00BB7211"/>
    <w:rsid w:val="00BC14C3"/>
    <w:rsid w:val="00BC1ABE"/>
    <w:rsid w:val="00BC3A03"/>
    <w:rsid w:val="00BC6282"/>
    <w:rsid w:val="00BD2F20"/>
    <w:rsid w:val="00BD4F62"/>
    <w:rsid w:val="00BD618F"/>
    <w:rsid w:val="00BE3E76"/>
    <w:rsid w:val="00BE4AFD"/>
    <w:rsid w:val="00BF0944"/>
    <w:rsid w:val="00C00590"/>
    <w:rsid w:val="00C03EC3"/>
    <w:rsid w:val="00C04647"/>
    <w:rsid w:val="00C04779"/>
    <w:rsid w:val="00C0512A"/>
    <w:rsid w:val="00C0790E"/>
    <w:rsid w:val="00C10A83"/>
    <w:rsid w:val="00C12551"/>
    <w:rsid w:val="00C211CD"/>
    <w:rsid w:val="00C25328"/>
    <w:rsid w:val="00C3744D"/>
    <w:rsid w:val="00C40AB2"/>
    <w:rsid w:val="00C40F66"/>
    <w:rsid w:val="00C43A84"/>
    <w:rsid w:val="00C43D02"/>
    <w:rsid w:val="00C50E75"/>
    <w:rsid w:val="00C51109"/>
    <w:rsid w:val="00C51CA7"/>
    <w:rsid w:val="00C51EA4"/>
    <w:rsid w:val="00C56042"/>
    <w:rsid w:val="00C64137"/>
    <w:rsid w:val="00C658E4"/>
    <w:rsid w:val="00C66274"/>
    <w:rsid w:val="00C6696F"/>
    <w:rsid w:val="00C676B1"/>
    <w:rsid w:val="00C7266E"/>
    <w:rsid w:val="00C74BFC"/>
    <w:rsid w:val="00C754F1"/>
    <w:rsid w:val="00C76C66"/>
    <w:rsid w:val="00C81D1A"/>
    <w:rsid w:val="00C82DF9"/>
    <w:rsid w:val="00C87190"/>
    <w:rsid w:val="00C9047C"/>
    <w:rsid w:val="00C97EC2"/>
    <w:rsid w:val="00CA0FC7"/>
    <w:rsid w:val="00CA1564"/>
    <w:rsid w:val="00CA2A61"/>
    <w:rsid w:val="00CA7C8A"/>
    <w:rsid w:val="00CB1342"/>
    <w:rsid w:val="00CB136C"/>
    <w:rsid w:val="00CB180D"/>
    <w:rsid w:val="00CB25DB"/>
    <w:rsid w:val="00CB34B0"/>
    <w:rsid w:val="00CB44E8"/>
    <w:rsid w:val="00CB4F7D"/>
    <w:rsid w:val="00CB7978"/>
    <w:rsid w:val="00CC0ACC"/>
    <w:rsid w:val="00CC1D12"/>
    <w:rsid w:val="00CD7F18"/>
    <w:rsid w:val="00CE42E9"/>
    <w:rsid w:val="00CF2B5F"/>
    <w:rsid w:val="00CF5C13"/>
    <w:rsid w:val="00CF76C5"/>
    <w:rsid w:val="00D001E4"/>
    <w:rsid w:val="00D00AA8"/>
    <w:rsid w:val="00D00DB1"/>
    <w:rsid w:val="00D02778"/>
    <w:rsid w:val="00D0437F"/>
    <w:rsid w:val="00D053F1"/>
    <w:rsid w:val="00D06EF5"/>
    <w:rsid w:val="00D1096B"/>
    <w:rsid w:val="00D119E9"/>
    <w:rsid w:val="00D22E30"/>
    <w:rsid w:val="00D260DA"/>
    <w:rsid w:val="00D300F4"/>
    <w:rsid w:val="00D333DD"/>
    <w:rsid w:val="00D3344B"/>
    <w:rsid w:val="00D3499B"/>
    <w:rsid w:val="00D35AD3"/>
    <w:rsid w:val="00D40175"/>
    <w:rsid w:val="00D41DA4"/>
    <w:rsid w:val="00D55243"/>
    <w:rsid w:val="00D57F66"/>
    <w:rsid w:val="00D62F90"/>
    <w:rsid w:val="00D63E74"/>
    <w:rsid w:val="00D715C4"/>
    <w:rsid w:val="00D76946"/>
    <w:rsid w:val="00D83FE2"/>
    <w:rsid w:val="00D90D0F"/>
    <w:rsid w:val="00D91096"/>
    <w:rsid w:val="00D928FD"/>
    <w:rsid w:val="00D954B4"/>
    <w:rsid w:val="00D96D3C"/>
    <w:rsid w:val="00D973A8"/>
    <w:rsid w:val="00DA7725"/>
    <w:rsid w:val="00DC15CC"/>
    <w:rsid w:val="00DC79E3"/>
    <w:rsid w:val="00DD4C72"/>
    <w:rsid w:val="00DE0DC5"/>
    <w:rsid w:val="00DE2D54"/>
    <w:rsid w:val="00DE7A1C"/>
    <w:rsid w:val="00E02BB0"/>
    <w:rsid w:val="00E03CE6"/>
    <w:rsid w:val="00E04947"/>
    <w:rsid w:val="00E04AA7"/>
    <w:rsid w:val="00E054DF"/>
    <w:rsid w:val="00E07BB2"/>
    <w:rsid w:val="00E10A92"/>
    <w:rsid w:val="00E130BC"/>
    <w:rsid w:val="00E13716"/>
    <w:rsid w:val="00E14C20"/>
    <w:rsid w:val="00E1631C"/>
    <w:rsid w:val="00E21D3A"/>
    <w:rsid w:val="00E255CE"/>
    <w:rsid w:val="00E266FF"/>
    <w:rsid w:val="00E27661"/>
    <w:rsid w:val="00E34C57"/>
    <w:rsid w:val="00E40223"/>
    <w:rsid w:val="00E47DB3"/>
    <w:rsid w:val="00E51F8B"/>
    <w:rsid w:val="00E5242A"/>
    <w:rsid w:val="00E53398"/>
    <w:rsid w:val="00E623FD"/>
    <w:rsid w:val="00E66AE2"/>
    <w:rsid w:val="00E73340"/>
    <w:rsid w:val="00E74DA4"/>
    <w:rsid w:val="00E77B75"/>
    <w:rsid w:val="00E81B89"/>
    <w:rsid w:val="00E81E0E"/>
    <w:rsid w:val="00E87488"/>
    <w:rsid w:val="00E91432"/>
    <w:rsid w:val="00E91B5A"/>
    <w:rsid w:val="00EA613A"/>
    <w:rsid w:val="00EA779A"/>
    <w:rsid w:val="00EB2CA6"/>
    <w:rsid w:val="00EB5684"/>
    <w:rsid w:val="00EB6F5A"/>
    <w:rsid w:val="00EC454A"/>
    <w:rsid w:val="00EC7D4A"/>
    <w:rsid w:val="00ED218D"/>
    <w:rsid w:val="00ED2D61"/>
    <w:rsid w:val="00ED6E45"/>
    <w:rsid w:val="00EE43E4"/>
    <w:rsid w:val="00EE4529"/>
    <w:rsid w:val="00EE4BED"/>
    <w:rsid w:val="00EF13CF"/>
    <w:rsid w:val="00EF6BF6"/>
    <w:rsid w:val="00F001EA"/>
    <w:rsid w:val="00F16B90"/>
    <w:rsid w:val="00F34F19"/>
    <w:rsid w:val="00F41F4C"/>
    <w:rsid w:val="00F44A21"/>
    <w:rsid w:val="00F4615E"/>
    <w:rsid w:val="00F53384"/>
    <w:rsid w:val="00F54ADE"/>
    <w:rsid w:val="00F5621A"/>
    <w:rsid w:val="00F575F0"/>
    <w:rsid w:val="00F6664C"/>
    <w:rsid w:val="00F703CE"/>
    <w:rsid w:val="00F713F8"/>
    <w:rsid w:val="00F72953"/>
    <w:rsid w:val="00F73109"/>
    <w:rsid w:val="00F7453F"/>
    <w:rsid w:val="00F80AF1"/>
    <w:rsid w:val="00F8298C"/>
    <w:rsid w:val="00F90245"/>
    <w:rsid w:val="00F920D9"/>
    <w:rsid w:val="00F92C19"/>
    <w:rsid w:val="00F9459F"/>
    <w:rsid w:val="00F94781"/>
    <w:rsid w:val="00F950C6"/>
    <w:rsid w:val="00F9692B"/>
    <w:rsid w:val="00FA5388"/>
    <w:rsid w:val="00FA540C"/>
    <w:rsid w:val="00FA5D57"/>
    <w:rsid w:val="00FA7281"/>
    <w:rsid w:val="00FB08E3"/>
    <w:rsid w:val="00FB29EC"/>
    <w:rsid w:val="00FB4D32"/>
    <w:rsid w:val="00FB50C7"/>
    <w:rsid w:val="00FC66FE"/>
    <w:rsid w:val="00FD2684"/>
    <w:rsid w:val="00FD2DC1"/>
    <w:rsid w:val="00FD397B"/>
    <w:rsid w:val="00FD4B01"/>
    <w:rsid w:val="00FD7CDC"/>
    <w:rsid w:val="00FE22D2"/>
    <w:rsid w:val="00FE3592"/>
    <w:rsid w:val="00FE58E0"/>
    <w:rsid w:val="00FE74D0"/>
    <w:rsid w:val="00FF1EC6"/>
    <w:rsid w:val="00FF664E"/>
    <w:rsid w:val="016C3C8D"/>
    <w:rsid w:val="04BCCC51"/>
    <w:rsid w:val="06813033"/>
    <w:rsid w:val="07BA1C68"/>
    <w:rsid w:val="0864B58F"/>
    <w:rsid w:val="095587BD"/>
    <w:rsid w:val="0CB957AB"/>
    <w:rsid w:val="0D4DB302"/>
    <w:rsid w:val="0FCD25C4"/>
    <w:rsid w:val="0FD2CDBA"/>
    <w:rsid w:val="1050374D"/>
    <w:rsid w:val="1565CDCD"/>
    <w:rsid w:val="19F7DFEF"/>
    <w:rsid w:val="19F8D104"/>
    <w:rsid w:val="1BC07890"/>
    <w:rsid w:val="1BC0AE77"/>
    <w:rsid w:val="1D9E251D"/>
    <w:rsid w:val="1FB6A8DA"/>
    <w:rsid w:val="20AA7538"/>
    <w:rsid w:val="222CA5C2"/>
    <w:rsid w:val="23A72773"/>
    <w:rsid w:val="25417EE1"/>
    <w:rsid w:val="28282B65"/>
    <w:rsid w:val="28BFE731"/>
    <w:rsid w:val="2A0822CA"/>
    <w:rsid w:val="2A8B5072"/>
    <w:rsid w:val="2C44818D"/>
    <w:rsid w:val="2C9FCAFB"/>
    <w:rsid w:val="2D9FD3C2"/>
    <w:rsid w:val="2E5BB8E8"/>
    <w:rsid w:val="2EE72F1D"/>
    <w:rsid w:val="30C2C7EB"/>
    <w:rsid w:val="33C34EFE"/>
    <w:rsid w:val="3E468730"/>
    <w:rsid w:val="3F0246D7"/>
    <w:rsid w:val="409414C8"/>
    <w:rsid w:val="40E6D191"/>
    <w:rsid w:val="4126AED0"/>
    <w:rsid w:val="4146306C"/>
    <w:rsid w:val="416C0697"/>
    <w:rsid w:val="45C47B62"/>
    <w:rsid w:val="4A30C772"/>
    <w:rsid w:val="4AFEDE44"/>
    <w:rsid w:val="4B3E7E3D"/>
    <w:rsid w:val="4B4E1AB4"/>
    <w:rsid w:val="4B7A5DA1"/>
    <w:rsid w:val="4D2186F1"/>
    <w:rsid w:val="507CB217"/>
    <w:rsid w:val="533969EC"/>
    <w:rsid w:val="53D4DD26"/>
    <w:rsid w:val="54432761"/>
    <w:rsid w:val="54E104A7"/>
    <w:rsid w:val="55524D80"/>
    <w:rsid w:val="5554638D"/>
    <w:rsid w:val="55ED4A04"/>
    <w:rsid w:val="5940D42A"/>
    <w:rsid w:val="5AA8E938"/>
    <w:rsid w:val="5D6118A5"/>
    <w:rsid w:val="5E971A64"/>
    <w:rsid w:val="614E499E"/>
    <w:rsid w:val="631132D0"/>
    <w:rsid w:val="63A73298"/>
    <w:rsid w:val="655D29B5"/>
    <w:rsid w:val="6709C6D6"/>
    <w:rsid w:val="67150319"/>
    <w:rsid w:val="68579B7A"/>
    <w:rsid w:val="6998D201"/>
    <w:rsid w:val="6A205FCB"/>
    <w:rsid w:val="6D82C62C"/>
    <w:rsid w:val="6DBF20BB"/>
    <w:rsid w:val="6E3C7C76"/>
    <w:rsid w:val="6F5AFF8E"/>
    <w:rsid w:val="702AC15D"/>
    <w:rsid w:val="70390452"/>
    <w:rsid w:val="725CC436"/>
    <w:rsid w:val="72F11CDC"/>
    <w:rsid w:val="731EC77A"/>
    <w:rsid w:val="73B2D891"/>
    <w:rsid w:val="7519DF39"/>
    <w:rsid w:val="761C3C7C"/>
    <w:rsid w:val="7637198A"/>
    <w:rsid w:val="774B72E8"/>
    <w:rsid w:val="7A223DE1"/>
    <w:rsid w:val="7ABFC35C"/>
    <w:rsid w:val="7C330D16"/>
    <w:rsid w:val="7DCD7F5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1377EE"/>
  <w15:docId w15:val="{F7A78464-E7B3-417D-B493-72E70CE7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5F55C3"/>
    <w:pPr>
      <w:spacing w:after="200" w:line="300" w:lineRule="atLeast"/>
    </w:pPr>
    <w:rPr>
      <w:sz w:val="22"/>
      <w:szCs w:val="22"/>
    </w:rPr>
  </w:style>
  <w:style w:type="paragraph" w:styleId="Heading1">
    <w:name w:val="heading 1"/>
    <w:basedOn w:val="Normal"/>
    <w:next w:val="Left05Indent"/>
    <w:link w:val="Heading1Char"/>
    <w:autoRedefine/>
    <w:uiPriority w:val="1"/>
    <w:qFormat/>
    <w:rsid w:val="008F3737"/>
    <w:pPr>
      <w:keepNext/>
      <w:keepLines/>
      <w:numPr>
        <w:numId w:val="7"/>
      </w:numPr>
      <w:spacing w:after="120" w:line="380" w:lineRule="atLeast"/>
      <w:outlineLvl w:val="0"/>
    </w:pPr>
    <w:rPr>
      <w:rFonts w:ascii="Times New Roman" w:eastAsia="Times New Roman" w:hAnsi="Times New Roman"/>
      <w:b/>
      <w:bCs/>
      <w:noProof/>
      <w:color w:val="1396D8"/>
      <w:sz w:val="36"/>
      <w:szCs w:val="36"/>
    </w:rPr>
  </w:style>
  <w:style w:type="paragraph" w:styleId="Heading2">
    <w:name w:val="heading 2"/>
    <w:next w:val="Normal"/>
    <w:link w:val="Heading2Char"/>
    <w:autoRedefine/>
    <w:uiPriority w:val="1"/>
    <w:qFormat/>
    <w:rsid w:val="00DE7A1C"/>
    <w:pPr>
      <w:keepNext/>
      <w:keepLines/>
      <w:spacing w:before="200"/>
      <w:outlineLvl w:val="1"/>
    </w:pPr>
    <w:rPr>
      <w:rFonts w:eastAsia="Times New Roman"/>
      <w:b/>
      <w:color w:val="1396D8"/>
      <w:sz w:val="28"/>
      <w:szCs w:val="26"/>
    </w:rPr>
  </w:style>
  <w:style w:type="paragraph" w:styleId="Heading3">
    <w:name w:val="heading 3"/>
    <w:basedOn w:val="Heading2"/>
    <w:next w:val="Normal"/>
    <w:link w:val="Heading3Char"/>
    <w:autoRedefine/>
    <w:uiPriority w:val="1"/>
    <w:qFormat/>
    <w:rsid w:val="00A24F9F"/>
    <w:pPr>
      <w:outlineLvl w:val="2"/>
    </w:pPr>
    <w:rPr>
      <w:rFonts w:cs="Calibri"/>
      <w:bCs/>
      <w:iCs/>
      <w:sz w:val="24"/>
    </w:rPr>
  </w:style>
  <w:style w:type="paragraph" w:styleId="Heading4">
    <w:name w:val="heading 4"/>
    <w:basedOn w:val="Heading3"/>
    <w:next w:val="Normal"/>
    <w:link w:val="Heading4Char"/>
    <w:autoRedefine/>
    <w:uiPriority w:val="1"/>
    <w:qFormat/>
    <w:rsid w:val="005F55C3"/>
    <w:pPr>
      <w:numPr>
        <w:ilvl w:val="3"/>
      </w:numPr>
      <w:outlineLvl w:val="3"/>
    </w:pPr>
    <w:rPr>
      <w:bCs w:val="0"/>
      <w:i/>
      <w:iCs w:val="0"/>
    </w:rPr>
  </w:style>
  <w:style w:type="paragraph" w:styleId="Heading5">
    <w:name w:val="heading 5"/>
    <w:basedOn w:val="Heading4"/>
    <w:next w:val="Normal"/>
    <w:link w:val="Heading5Char"/>
    <w:uiPriority w:val="1"/>
    <w:qFormat/>
    <w:rsid w:val="00AD6244"/>
    <w:pPr>
      <w:numPr>
        <w:ilvl w:val="4"/>
      </w:numPr>
      <w:outlineLvl w:val="4"/>
    </w:pPr>
    <w:rPr>
      <w:rFonts w:ascii="Times New Roman" w:hAnsi="Times New Roman"/>
    </w:rPr>
  </w:style>
  <w:style w:type="paragraph" w:styleId="Heading6">
    <w:name w:val="heading 6"/>
    <w:basedOn w:val="Heading5"/>
    <w:next w:val="Normal"/>
    <w:link w:val="Heading6Char"/>
    <w:autoRedefine/>
    <w:uiPriority w:val="9"/>
    <w:semiHidden/>
    <w:locked/>
    <w:rsid w:val="00112A69"/>
    <w:pPr>
      <w:numPr>
        <w:ilvl w:val="5"/>
      </w:numPr>
      <w:outlineLvl w:val="5"/>
    </w:pPr>
    <w:rPr>
      <w:iCs/>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imes New Roman" w:eastAsia="Times New Roman" w:hAnsi="Times New Roman"/>
      <w:color w:val="404040"/>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imes New Roman" w:eastAsia="Times New Roman" w:hAnsi="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F3737"/>
    <w:rPr>
      <w:rFonts w:ascii="Times New Roman" w:eastAsia="Times New Roman" w:hAnsi="Times New Roman"/>
      <w:b/>
      <w:bCs/>
      <w:noProof/>
      <w:color w:val="1396D8"/>
      <w:sz w:val="36"/>
      <w:szCs w:val="36"/>
    </w:rPr>
  </w:style>
  <w:style w:type="paragraph" w:styleId="NoSpacing">
    <w:name w:val="No Spacing"/>
    <w:uiPriority w:val="2"/>
    <w:qFormat/>
    <w:rsid w:val="00112A69"/>
    <w:pPr>
      <w:jc w:val="both"/>
    </w:pPr>
    <w:rPr>
      <w:sz w:val="22"/>
      <w:szCs w:val="22"/>
    </w:rPr>
  </w:style>
  <w:style w:type="character" w:customStyle="1" w:styleId="Heading2Char">
    <w:name w:val="Heading 2 Char"/>
    <w:link w:val="Heading2"/>
    <w:uiPriority w:val="1"/>
    <w:rsid w:val="00DE7A1C"/>
    <w:rPr>
      <w:rFonts w:eastAsia="Times New Roman" w:cs="Times New Roman"/>
      <w:b/>
      <w:color w:val="1396D8"/>
      <w:sz w:val="28"/>
      <w:szCs w:val="26"/>
    </w:rPr>
  </w:style>
  <w:style w:type="character" w:customStyle="1" w:styleId="Heading3Char">
    <w:name w:val="Heading 3 Char"/>
    <w:link w:val="Heading3"/>
    <w:uiPriority w:val="1"/>
    <w:rsid w:val="00A24F9F"/>
    <w:rPr>
      <w:rFonts w:eastAsia="Times New Roman" w:cs="Calibri"/>
      <w:b/>
      <w:bCs/>
      <w:iCs/>
      <w:color w:val="1396D8"/>
      <w:sz w:val="24"/>
      <w:szCs w:val="26"/>
    </w:rPr>
  </w:style>
  <w:style w:type="character" w:customStyle="1" w:styleId="Heading4Char">
    <w:name w:val="Heading 4 Char"/>
    <w:link w:val="Heading4"/>
    <w:uiPriority w:val="1"/>
    <w:rsid w:val="005F55C3"/>
    <w:rPr>
      <w:rFonts w:eastAsia="Times New Roman" w:cs="Times New Roman"/>
      <w:b/>
      <w:iCs/>
      <w:color w:val="595959"/>
      <w:sz w:val="24"/>
      <w:szCs w:val="26"/>
    </w:rPr>
  </w:style>
  <w:style w:type="character" w:customStyle="1" w:styleId="Heading5Char">
    <w:name w:val="Heading 5 Char"/>
    <w:link w:val="Heading5"/>
    <w:uiPriority w:val="1"/>
    <w:rsid w:val="00AD6244"/>
    <w:rPr>
      <w:rFonts w:ascii="Times New Roman" w:eastAsia="Times New Roman" w:hAnsi="Times New Roman" w:cs="Times New Roman"/>
      <w:b/>
      <w:iCs/>
      <w:color w:val="595959"/>
      <w:sz w:val="24"/>
      <w:szCs w:val="26"/>
    </w:rPr>
  </w:style>
  <w:style w:type="character" w:customStyle="1" w:styleId="Heading6Char">
    <w:name w:val="Heading 6 Char"/>
    <w:link w:val="Heading6"/>
    <w:uiPriority w:val="9"/>
    <w:semiHidden/>
    <w:rsid w:val="00D55243"/>
    <w:rPr>
      <w:rFonts w:eastAsia="Times New Roman" w:cs="Times New Roman"/>
      <w:b/>
      <w:i/>
      <w:color w:val="666666"/>
      <w:szCs w:val="26"/>
    </w:rPr>
  </w:style>
  <w:style w:type="character" w:customStyle="1" w:styleId="Heading7Char">
    <w:name w:val="Heading 7 Char"/>
    <w:link w:val="Heading7"/>
    <w:uiPriority w:val="9"/>
    <w:semiHidden/>
    <w:rsid w:val="00D55243"/>
    <w:rPr>
      <w:rFonts w:ascii="Times New Roman" w:eastAsia="Times New Roman" w:hAnsi="Times New Roman" w:cs="Times New Roman"/>
      <w:i/>
      <w:iCs/>
      <w:color w:val="404040"/>
    </w:rPr>
  </w:style>
  <w:style w:type="character" w:customStyle="1" w:styleId="Heading8Char">
    <w:name w:val="Heading 8 Char"/>
    <w:link w:val="Heading8"/>
    <w:uiPriority w:val="9"/>
    <w:semiHidden/>
    <w:rsid w:val="00D55243"/>
    <w:rPr>
      <w:rFonts w:ascii="Times New Roman" w:eastAsia="Times New Roman" w:hAnsi="Times New Roman" w:cs="Times New Roman"/>
      <w:color w:val="404040"/>
    </w:rPr>
  </w:style>
  <w:style w:type="character" w:customStyle="1" w:styleId="Heading9Char">
    <w:name w:val="Heading 9 Char"/>
    <w:link w:val="Heading9"/>
    <w:uiPriority w:val="9"/>
    <w:semiHidden/>
    <w:rsid w:val="00D55243"/>
    <w:rPr>
      <w:rFonts w:ascii="Times New Roman" w:eastAsia="Times New Roman" w:hAnsi="Times New Roman" w:cs="Times New Roman"/>
      <w:i/>
      <w:iCs/>
      <w:color w:val="404040"/>
    </w:rPr>
  </w:style>
  <w:style w:type="paragraph" w:styleId="Caption">
    <w:name w:val="caption"/>
    <w:basedOn w:val="Normal"/>
    <w:next w:val="Normal"/>
    <w:autoRedefine/>
    <w:uiPriority w:val="3"/>
    <w:qFormat/>
    <w:rsid w:val="00DE7A1C"/>
    <w:pPr>
      <w:keepNext/>
      <w:spacing w:before="140" w:after="80" w:line="240" w:lineRule="auto"/>
    </w:pPr>
    <w:rPr>
      <w:b/>
      <w:bCs/>
      <w:color w:val="000000"/>
      <w:szCs w:val="18"/>
    </w:rPr>
  </w:style>
  <w:style w:type="paragraph" w:styleId="Header">
    <w:name w:val="header"/>
    <w:basedOn w:val="Normal"/>
    <w:link w:val="HeaderChar"/>
    <w:autoRedefine/>
    <w:uiPriority w:val="99"/>
    <w:qFormat/>
    <w:rsid w:val="009F61F7"/>
    <w:pPr>
      <w:tabs>
        <w:tab w:val="left" w:pos="1491"/>
        <w:tab w:val="center" w:pos="4680"/>
        <w:tab w:val="left" w:pos="5571"/>
        <w:tab w:val="right" w:pos="9360"/>
      </w:tabs>
      <w:spacing w:after="0" w:line="240" w:lineRule="auto"/>
      <w:jc w:val="right"/>
    </w:pPr>
    <w:rPr>
      <w:i/>
    </w:rPr>
  </w:style>
  <w:style w:type="character" w:customStyle="1" w:styleId="HeaderChar">
    <w:name w:val="Header Char"/>
    <w:link w:val="Header"/>
    <w:uiPriority w:val="99"/>
    <w:rsid w:val="009F61F7"/>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left w:val="single" w:sz="18" w:space="10" w:color="C4ECFF"/>
        <w:bottom w:val="single" w:sz="18" w:space="6" w:color="C4ECFF"/>
        <w:right w:val="single" w:sz="18" w:space="10" w:color="C4ECFF"/>
      </w:pBdr>
      <w:shd w:val="clear" w:color="auto" w:fill="C4ECFF"/>
      <w:spacing w:before="120" w:after="120" w:line="240" w:lineRule="auto"/>
      <w:ind w:left="936" w:right="216"/>
      <w:jc w:val="both"/>
    </w:pPr>
    <w:rPr>
      <w:i/>
      <w:color w:val="0096D7"/>
    </w:rPr>
  </w:style>
  <w:style w:type="character" w:customStyle="1" w:styleId="NoteHeadingChar">
    <w:name w:val="Note Heading Char"/>
    <w:aliases w:val="Note 1 Char"/>
    <w:link w:val="NoteHeading"/>
    <w:uiPriority w:val="13"/>
    <w:rsid w:val="004C277B"/>
    <w:rPr>
      <w:i/>
      <w:color w:val="0096D7"/>
      <w:szCs w:val="22"/>
      <w:shd w:val="clear" w:color="auto" w:fill="C4ECFF"/>
    </w:rPr>
  </w:style>
  <w:style w:type="character" w:styleId="PageNumber">
    <w:name w:val="page number"/>
    <w:uiPriority w:val="99"/>
    <w:semiHidden/>
    <w:locked/>
    <w:rsid w:val="00112A69"/>
    <w:rPr>
      <w:rFonts w:eastAsia="Times New Roman" w:cs="Arial"/>
      <w:sz w:val="16"/>
      <w:szCs w:val="16"/>
    </w:rPr>
  </w:style>
  <w:style w:type="character" w:styleId="Hyperlink">
    <w:name w:val="Hyperlink"/>
    <w:uiPriority w:val="99"/>
    <w:qFormat/>
    <w:rsid w:val="00433C96"/>
    <w:rPr>
      <w:rFonts w:ascii="Calibri" w:hAnsi="Calibri"/>
      <w:color w:val="1396D8"/>
      <w:u w:val="none"/>
    </w:rPr>
  </w:style>
  <w:style w:type="paragraph" w:customStyle="1" w:styleId="Link">
    <w:name w:val="Link"/>
    <w:basedOn w:val="Normal"/>
    <w:link w:val="LinkChar"/>
    <w:autoRedefine/>
    <w:uiPriority w:val="11"/>
    <w:qFormat/>
    <w:rsid w:val="004E5446"/>
    <w:pPr>
      <w:spacing w:after="0" w:line="240" w:lineRule="auto"/>
    </w:pPr>
    <w:rPr>
      <w:rFonts w:eastAsia="Times New Roman"/>
      <w:color w:val="1396D8"/>
      <w:szCs w:val="24"/>
    </w:rPr>
  </w:style>
  <w:style w:type="character" w:customStyle="1" w:styleId="LinkChar">
    <w:name w:val="Link Char"/>
    <w:link w:val="Link"/>
    <w:uiPriority w:val="11"/>
    <w:rsid w:val="004E5446"/>
    <w:rPr>
      <w:rFonts w:eastAsia="Times New Roman" w:cs="Times New Roman"/>
      <w:color w:val="1396D8"/>
      <w:szCs w:val="24"/>
    </w:rPr>
  </w:style>
  <w:style w:type="character" w:styleId="IntenseReference">
    <w:name w:val="Intense Reference"/>
    <w:aliases w:val="Note 1 Bold"/>
    <w:uiPriority w:val="32"/>
    <w:locked/>
    <w:rsid w:val="00112A69"/>
    <w:rPr>
      <w:rFonts w:ascii="Calibri" w:hAnsi="Calibri"/>
      <w:b/>
      <w:bCs/>
      <w:smallCaps/>
      <w:color w:val="BD732A"/>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rPr>
  </w:style>
  <w:style w:type="character" w:customStyle="1" w:styleId="QuoteChar">
    <w:name w:val="Quote Char"/>
    <w:link w:val="Quote"/>
    <w:uiPriority w:val="14"/>
    <w:rsid w:val="00D55243"/>
    <w:rPr>
      <w:iCs/>
      <w:color w:val="000000"/>
    </w:rPr>
  </w:style>
  <w:style w:type="character" w:styleId="IntenseEmphasis">
    <w:name w:val="Intense Emphasis"/>
    <w:uiPriority w:val="5"/>
    <w:qFormat/>
    <w:locked/>
    <w:rsid w:val="00112A69"/>
    <w:rPr>
      <w:rFonts w:ascii="Calibri" w:hAnsi="Calibri"/>
      <w:b/>
      <w:bCs/>
      <w:i/>
      <w:iCs/>
      <w:color w:val="1396D8"/>
      <w:sz w:val="20"/>
    </w:rPr>
  </w:style>
  <w:style w:type="character" w:styleId="Emphasis">
    <w:name w:val="Emphasis"/>
    <w:uiPriority w:val="5"/>
    <w:qFormat/>
    <w:rsid w:val="00F80AF1"/>
    <w:rPr>
      <w:rFonts w:ascii="Calibri" w:hAnsi="Calibr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sz w:val="23"/>
      <w:szCs w:val="23"/>
    </w:rPr>
  </w:style>
  <w:style w:type="paragraph" w:styleId="ListParagraph">
    <w:name w:val="List Paragraph"/>
    <w:basedOn w:val="Normal"/>
    <w:autoRedefine/>
    <w:uiPriority w:val="34"/>
    <w:qFormat/>
    <w:rsid w:val="004B058E"/>
    <w:pPr>
      <w:ind w:left="720" w:hanging="360"/>
      <w:contextualSpacing/>
    </w:pPr>
  </w:style>
  <w:style w:type="paragraph" w:styleId="TOCHeading">
    <w:name w:val="TOC Heading"/>
    <w:basedOn w:val="Heading1"/>
    <w:next w:val="Normal"/>
    <w:autoRedefine/>
    <w:uiPriority w:val="39"/>
    <w:qFormat/>
    <w:rsid w:val="008F3737"/>
    <w:pPr>
      <w:numPr>
        <w:numId w:val="0"/>
      </w:numPr>
      <w:spacing w:before="480" w:line="240" w:lineRule="auto"/>
      <w:outlineLvl w:val="9"/>
    </w:pPr>
    <w:rPr>
      <w:rFonts w:ascii="Calibri" w:hAnsi="Calibri" w:cs="Calibri"/>
      <w:color w:val="0096D7"/>
    </w:rPr>
  </w:style>
  <w:style w:type="paragraph" w:styleId="TOC1">
    <w:name w:val="toc 1"/>
    <w:basedOn w:val="Normal"/>
    <w:next w:val="Normal"/>
    <w:autoRedefine/>
    <w:uiPriority w:val="39"/>
    <w:qFormat/>
    <w:rsid w:val="00AD6244"/>
    <w:pPr>
      <w:tabs>
        <w:tab w:val="left" w:pos="400"/>
        <w:tab w:val="right" w:leader="dot" w:pos="9350"/>
      </w:tabs>
      <w:spacing w:after="100"/>
    </w:pPr>
    <w:rPr>
      <w:color w:val="000000"/>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imes New Roman" w:hAnsi="Arial" w:cs="Arial"/>
      <w:color w:val="000000"/>
      <w:sz w:val="16"/>
      <w:szCs w:val="16"/>
    </w:rPr>
  </w:style>
  <w:style w:type="character" w:customStyle="1" w:styleId="BodyTextIndent3Char">
    <w:name w:val="Body Text Indent 3 Char"/>
    <w:aliases w:val="Table Text .25 ndent Char"/>
    <w:link w:val="BodyTextIndent3"/>
    <w:uiPriority w:val="99"/>
    <w:semiHidden/>
    <w:rsid w:val="00E03CE6"/>
    <w:rPr>
      <w:rFonts w:ascii="Arial" w:eastAsia="Times New Roman"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link w:val="FootnoteText"/>
    <w:rsid w:val="00C7266E"/>
    <w:rPr>
      <w:sz w:val="18"/>
    </w:rPr>
  </w:style>
  <w:style w:type="paragraph" w:customStyle="1" w:styleId="Graphnoteandsourcetext">
    <w:name w:val="Graph note and source text"/>
    <w:basedOn w:val="Normal"/>
    <w:next w:val="Tablefootnotetext"/>
    <w:uiPriority w:val="7"/>
    <w:qFormat/>
    <w:rsid w:val="002E18F8"/>
    <w:pPr>
      <w:spacing w:line="240" w:lineRule="auto"/>
    </w:pPr>
    <w:rPr>
      <w:rFonts w:ascii="Arial" w:hAnsi="Arial"/>
      <w:color w:val="000000"/>
      <w:sz w:val="18"/>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imes New Roman" w:eastAsia="Times New Roman" w:hAnsi="Times New Roman"/>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imes New Roman"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imes New Roman" w:eastAsia="Times New Roman" w:hAnsi="Times New Roman"/>
      <w:color w:val="139CD8"/>
      <w:spacing w:val="5"/>
      <w:kern w:val="28"/>
      <w:sz w:val="52"/>
      <w:szCs w:val="52"/>
    </w:rPr>
  </w:style>
  <w:style w:type="character" w:customStyle="1" w:styleId="TitleChar">
    <w:name w:val="Title Char"/>
    <w:link w:val="Title"/>
    <w:uiPriority w:val="99"/>
    <w:semiHidden/>
    <w:rsid w:val="00E03CE6"/>
    <w:rPr>
      <w:rFonts w:ascii="Times New Roman" w:eastAsia="Times New Roman" w:hAnsi="Times New Roman" w:cs="Times New Roman"/>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link w:val="Date"/>
    <w:uiPriority w:val="4"/>
    <w:rsid w:val="00D55243"/>
    <w:rPr>
      <w:color w:val="7E8E9A"/>
      <w:sz w:val="22"/>
    </w:rPr>
  </w:style>
  <w:style w:type="table" w:styleId="ColorfulListAccent3">
    <w:name w:val="Colorful List Accent 3"/>
    <w:basedOn w:val="TableNormal"/>
    <w:uiPriority w:val="72"/>
    <w:locked/>
    <w:rsid w:val="00D55243"/>
    <w:rPr>
      <w:color w:val="000000"/>
    </w:rPr>
    <w:tblPr>
      <w:tblStyleRowBandSize w:val="1"/>
      <w:tblStyleColBandSize w:val="1"/>
    </w:tblPr>
    <w:tcPr>
      <w:shd w:val="clear" w:color="auto" w:fill="EEF7E8"/>
    </w:tcPr>
    <w:tblStylePr w:type="firstRow">
      <w:rPr>
        <w:b/>
        <w:bCs/>
        <w:color w:val="FFFFFF"/>
      </w:rPr>
      <w:tblPr/>
      <w:tcPr>
        <w:tcBorders>
          <w:bottom w:val="single" w:sz="12" w:space="0" w:color="FFFFFF"/>
        </w:tcBorders>
        <w:shd w:val="clear" w:color="auto" w:fill="CD9F00"/>
      </w:tcPr>
    </w:tblStylePr>
    <w:tblStylePr w:type="lastRow">
      <w:rPr>
        <w:b/>
        <w:bCs/>
        <w:color w:val="CD9F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cPr>
    </w:tblStylePr>
    <w:tblStylePr w:type="band1Horz">
      <w:tblPr/>
      <w:tcPr>
        <w:shd w:val="clear" w:color="auto" w:fill="DDEFD0"/>
      </w:tcPr>
    </w:tblStylePr>
  </w:style>
  <w:style w:type="table" w:styleId="ColorfulGridAccent6">
    <w:name w:val="Colorful Grid Accent 6"/>
    <w:basedOn w:val="TableNormal"/>
    <w:uiPriority w:val="73"/>
    <w:locked/>
    <w:rsid w:val="00D55243"/>
    <w:rPr>
      <w:color w:val="000000"/>
    </w:rPr>
    <w:tblPr>
      <w:tblStyleRowBandSize w:val="1"/>
      <w:tblStyleColBandSize w:val="1"/>
      <w:tblBorders>
        <w:insideH w:val="single" w:sz="4" w:space="0" w:color="FFFFFF"/>
      </w:tblBorders>
    </w:tblPr>
    <w:tcPr>
      <w:shd w:val="clear" w:color="auto" w:fill="FBEAB2"/>
    </w:tcPr>
    <w:tblStylePr w:type="firstRow">
      <w:rPr>
        <w:b/>
        <w:bCs/>
      </w:rPr>
      <w:tblPr/>
      <w:tcPr>
        <w:shd w:val="clear" w:color="auto" w:fill="F7D565"/>
      </w:tcPr>
    </w:tblStylePr>
    <w:tblStylePr w:type="lastRow">
      <w:rPr>
        <w:b/>
        <w:bCs/>
        <w:color w:val="000000"/>
      </w:rPr>
      <w:tblPr/>
      <w:tcPr>
        <w:shd w:val="clear" w:color="auto" w:fill="F7D565"/>
      </w:tcPr>
    </w:tblStylePr>
    <w:tblStylePr w:type="firstCol">
      <w:rPr>
        <w:color w:val="FFFFFF"/>
      </w:rPr>
      <w:tblPr/>
      <w:tcPr>
        <w:shd w:val="clear" w:color="auto" w:fill="4C3B03"/>
      </w:tcPr>
    </w:tblStylePr>
    <w:tblStylePr w:type="lastCol">
      <w:rPr>
        <w:color w:val="FFFFFF"/>
      </w:rPr>
      <w:tblPr/>
      <w:tcPr>
        <w:shd w:val="clear" w:color="auto" w:fill="4C3B03"/>
      </w:tcPr>
    </w:tblStylePr>
    <w:tblStylePr w:type="band1Vert">
      <w:tblPr/>
      <w:tcPr>
        <w:shd w:val="clear" w:color="auto" w:fill="F5CB3F"/>
      </w:tcPr>
    </w:tblStylePr>
    <w:tblStylePr w:type="band1Horz">
      <w:tblPr/>
      <w:tcPr>
        <w:shd w:val="clear" w:color="auto" w:fill="F5CB3F"/>
      </w:tcPr>
    </w:tblStylePr>
  </w:style>
  <w:style w:type="table" w:styleId="TableGrid">
    <w:name w:val="Table Grid"/>
    <w:basedOn w:val="TableNormal"/>
    <w:uiPriority w:val="59"/>
    <w:locked/>
    <w:rsid w:val="00FB08E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8E4FA4"/>
  </w:style>
  <w:style w:type="character" w:styleId="Strong">
    <w:name w:val="Strong"/>
    <w:uiPriority w:val="22"/>
    <w:qFormat/>
    <w:locked/>
    <w:rsid w:val="00677C5F"/>
    <w:rPr>
      <w:b/>
      <w:bCs/>
    </w:rPr>
  </w:style>
  <w:style w:type="numbering" w:customStyle="1" w:styleId="EIAbullets">
    <w:name w:val="EIA bullets"/>
    <w:uiPriority w:val="99"/>
    <w:rsid w:val="00752786"/>
    <w:pPr>
      <w:numPr>
        <w:numId w:val="8"/>
      </w:numPr>
    </w:pPr>
  </w:style>
  <w:style w:type="table" w:customStyle="1" w:styleId="TableGrid1">
    <w:name w:val="Table Grid1"/>
    <w:basedOn w:val="TableNormal"/>
    <w:next w:val="TableGrid"/>
    <w:uiPriority w:val="59"/>
    <w:locked/>
    <w:rsid w:val="00612A58"/>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2">
    <w:name w:val="Table Grid2"/>
    <w:basedOn w:val="TableNormal"/>
    <w:next w:val="TableGrid"/>
    <w:uiPriority w:val="59"/>
    <w:locked/>
    <w:rsid w:val="00C9047C"/>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table" w:customStyle="1" w:styleId="TableGrid3">
    <w:name w:val="Table Grid3"/>
    <w:basedOn w:val="TableNormal"/>
    <w:next w:val="TableGrid"/>
    <w:uiPriority w:val="59"/>
    <w:locked/>
    <w:rsid w:val="00330D13"/>
    <w:pPr>
      <w:jc w:val="right"/>
    </w:pPr>
    <w:rPr>
      <w:sz w:val="18"/>
    </w:rPr>
    <w:tblPr>
      <w:tblStyleRowBandSize w:val="1"/>
      <w:tblStyleColBandSize w:val="1"/>
    </w:tblPr>
    <w:tblStylePr w:type="firstRow">
      <w:pPr>
        <w:jc w:val="right"/>
      </w:pPr>
      <w:rPr>
        <w:b/>
      </w:rPr>
      <w:tblPr/>
      <w:tcPr>
        <w:tcBorders>
          <w:bottom w:val="single" w:sz="18" w:space="0" w:color="0096D7"/>
        </w:tcBorders>
        <w:vAlign w:val="bottom"/>
      </w:tcPr>
    </w:tblStylePr>
    <w:tblStylePr w:type="lastRow">
      <w:rPr>
        <w:b w:val="0"/>
      </w:rPr>
      <w:tblPr/>
      <w:tcPr>
        <w:tcBorders>
          <w:top w:val="single" w:sz="12" w:space="0" w:color="0096D7"/>
        </w:tcBorders>
      </w:tcPr>
    </w:tblStylePr>
    <w:tblStylePr w:type="firstCol">
      <w:pPr>
        <w:wordWrap/>
        <w:jc w:val="left"/>
      </w:pPr>
    </w:tblStylePr>
    <w:tblStylePr w:type="band1Horz">
      <w:pPr>
        <w:wordWrap/>
        <w:jc w:val="right"/>
      </w:pPr>
      <w:tblPr/>
      <w:tcPr>
        <w:tcBorders>
          <w:bottom w:val="dashed" w:sz="4" w:space="0" w:color="BFBFBF"/>
        </w:tcBorders>
      </w:tcPr>
    </w:tblStylePr>
    <w:tblStylePr w:type="band2Horz">
      <w:pPr>
        <w:wordWrap/>
        <w:jc w:val="right"/>
      </w:pPr>
      <w:tblPr/>
      <w:tcPr>
        <w:tcBorders>
          <w:bottom w:val="dashed" w:sz="4" w:space="0" w:color="BFBFBF"/>
        </w:tcBorders>
      </w:tcPr>
    </w:tblStylePr>
    <w:tblStylePr w:type="nwCell">
      <w:pPr>
        <w:jc w:val="left"/>
      </w:pPr>
      <w:tblPr/>
      <w:tcPr>
        <w:vAlign w:val="bottom"/>
      </w:tcPr>
    </w:tblStylePr>
  </w:style>
  <w:style w:type="character" w:styleId="CommentReference">
    <w:name w:val="annotation reference"/>
    <w:uiPriority w:val="99"/>
    <w:semiHidden/>
    <w:unhideWhenUsed/>
    <w:locked/>
    <w:rsid w:val="005F778C"/>
    <w:rPr>
      <w:sz w:val="16"/>
      <w:szCs w:val="16"/>
    </w:rPr>
  </w:style>
  <w:style w:type="paragraph" w:styleId="CommentText">
    <w:name w:val="annotation text"/>
    <w:basedOn w:val="Normal"/>
    <w:link w:val="CommentTextChar"/>
    <w:uiPriority w:val="99"/>
    <w:unhideWhenUsed/>
    <w:locked/>
    <w:rsid w:val="005F778C"/>
    <w:pPr>
      <w:spacing w:line="240" w:lineRule="auto"/>
    </w:pPr>
    <w:rPr>
      <w:sz w:val="20"/>
      <w:szCs w:val="20"/>
    </w:rPr>
  </w:style>
  <w:style w:type="character" w:customStyle="1" w:styleId="CommentTextChar">
    <w:name w:val="Comment Text Char"/>
    <w:link w:val="CommentText"/>
    <w:uiPriority w:val="99"/>
    <w:rsid w:val="005F778C"/>
    <w:rPr>
      <w:sz w:val="20"/>
      <w:szCs w:val="20"/>
    </w:rPr>
  </w:style>
  <w:style w:type="paragraph" w:styleId="CommentSubject">
    <w:name w:val="annotation subject"/>
    <w:basedOn w:val="CommentText"/>
    <w:next w:val="CommentText"/>
    <w:link w:val="CommentSubjectChar"/>
    <w:uiPriority w:val="99"/>
    <w:semiHidden/>
    <w:unhideWhenUsed/>
    <w:locked/>
    <w:rsid w:val="005F778C"/>
    <w:rPr>
      <w:b/>
      <w:bCs/>
    </w:rPr>
  </w:style>
  <w:style w:type="character" w:customStyle="1" w:styleId="CommentSubjectChar">
    <w:name w:val="Comment Subject Char"/>
    <w:link w:val="CommentSubject"/>
    <w:uiPriority w:val="99"/>
    <w:semiHidden/>
    <w:rsid w:val="005F778C"/>
    <w:rPr>
      <w:b/>
      <w:bCs/>
      <w:sz w:val="20"/>
      <w:szCs w:val="20"/>
    </w:rPr>
  </w:style>
  <w:style w:type="paragraph" w:styleId="TOC5">
    <w:name w:val="toc 5"/>
    <w:basedOn w:val="Normal"/>
    <w:next w:val="Normal"/>
    <w:autoRedefine/>
    <w:uiPriority w:val="39"/>
    <w:unhideWhenUsed/>
    <w:locked/>
    <w:rsid w:val="00AD6244"/>
    <w:pPr>
      <w:spacing w:after="100"/>
      <w:ind w:left="1440"/>
    </w:pPr>
  </w:style>
  <w:style w:type="character" w:styleId="FootnoteReference">
    <w:name w:val="footnote reference"/>
    <w:rsid w:val="006D2060"/>
    <w:rPr>
      <w:vertAlign w:val="superscript"/>
    </w:rPr>
  </w:style>
  <w:style w:type="character" w:styleId="UnresolvedMention">
    <w:name w:val="Unresolved Mention"/>
    <w:uiPriority w:val="99"/>
    <w:semiHidden/>
    <w:unhideWhenUsed/>
    <w:rsid w:val="00B62D43"/>
    <w:rPr>
      <w:color w:val="605E5C"/>
      <w:shd w:val="clear" w:color="auto" w:fill="E1DFDD"/>
    </w:rPr>
  </w:style>
  <w:style w:type="paragraph" w:styleId="Revision">
    <w:name w:val="Revision"/>
    <w:hidden/>
    <w:uiPriority w:val="99"/>
    <w:semiHidden/>
    <w:rsid w:val="001F4C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mailto:kenneth.pick@eia.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header" Target="header3.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2809a3e963200a1c91afeaf5d2d036ad">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15469710d1e556c4a9a8f70ee6f5bc9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87AC3D-1533-4159-84EB-F8CC370207A9}">
  <ds:schemaRefs>
    <ds:schemaRef ds:uri="http://schemas.microsoft.com/sharepoint/v3/contenttype/forms"/>
  </ds:schemaRefs>
</ds:datastoreItem>
</file>

<file path=customXml/itemProps3.xml><?xml version="1.0" encoding="utf-8"?>
<ds:datastoreItem xmlns:ds="http://schemas.openxmlformats.org/officeDocument/2006/customXml" ds:itemID="{055A5263-A660-465B-AFA6-51C0453CFCD1}">
  <ds:schemaRefs>
    <ds:schemaRef ds:uri="f600328b-9bc1-49f4-ac38-a13ae9074617"/>
    <ds:schemaRef ds:uri="http://schemas.microsoft.com/office/2006/documentManagement/types"/>
    <ds:schemaRef ds:uri="d588c4e7-d2ae-4a4b-9907-42eca676916f"/>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0ecc70da-eab6-411d-8058-deb5dffcc27c"/>
    <ds:schemaRef ds:uri="http://www.w3.org/XML/1998/namespace"/>
    <ds:schemaRef ds:uri="http://purl.org/dc/dcmitype/"/>
  </ds:schemaRefs>
</ds:datastoreItem>
</file>

<file path=customXml/itemProps4.xml><?xml version="1.0" encoding="utf-8"?>
<ds:datastoreItem xmlns:ds="http://schemas.openxmlformats.org/officeDocument/2006/customXml" ds:itemID="{9CC05591-8CFA-4CEA-995F-9BA1870A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8037D9-440D-4AD2-AB08-15FCBBB4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4080</Words>
  <Characters>23257</Characters>
  <Application>Microsoft Office Word</Application>
  <DocSecurity>0</DocSecurity>
  <Lines>193</Lines>
  <Paragraphs>54</Paragraphs>
  <ScaleCrop>false</ScaleCrop>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&lt;Title of Information Collection Request&gt;</dc:title>
  <dc:subject>Shortened document title</dc:subject>
  <dc:creator>Berry, Rosalyn</dc:creator>
  <cp:lastModifiedBy>Aloulou, Faouzi</cp:lastModifiedBy>
  <cp:revision>8</cp:revision>
  <cp:lastPrinted>2011-12-12T23:42:00Z</cp:lastPrinted>
  <dcterms:created xsi:type="dcterms:W3CDTF">2025-09-03T19:05:00Z</dcterms:created>
  <dcterms:modified xsi:type="dcterms:W3CDTF">2025-11-17T14:40:00Z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