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7B74" w:rsidP="00117B74" w14:paraId="17BB21F5" w14:textId="138EDD9F">
      <w:pPr>
        <w:pStyle w:val="Title"/>
      </w:pPr>
      <w:r w:rsidRPr="006B312D">
        <w:t>Supporting Statement A</w:t>
      </w:r>
    </w:p>
    <w:p w:rsidR="00117B74" w:rsidRPr="00117B74" w:rsidP="00117B74" w14:paraId="1E097FAF" w14:textId="1AF7ACB8">
      <w:pPr>
        <w:pStyle w:val="Title"/>
      </w:pPr>
      <w:r>
        <w:t>Federal Aviation Administration</w:t>
      </w:r>
    </w:p>
    <w:p w:rsidR="00C64707" w:rsidRPr="006B312D" w:rsidP="006B312D" w14:paraId="1E858594" w14:textId="6DB8200B">
      <w:pPr>
        <w:pStyle w:val="Title"/>
      </w:pPr>
      <w:r w:rsidRPr="006B312D">
        <w:t>H</w:t>
      </w:r>
      <w:r w:rsidRPr="006B312D">
        <w:t xml:space="preserve">azardous Materials </w:t>
      </w:r>
      <w:r w:rsidRPr="006B312D" w:rsidR="00705901">
        <w:t xml:space="preserve">Program </w:t>
      </w:r>
      <w:r w:rsidRPr="006B312D">
        <w:t>Requirements</w:t>
      </w:r>
      <w:r w:rsidR="00344FB4">
        <w:t xml:space="preserve"> (Previously Hazardous Materials Training Requirements)</w:t>
      </w:r>
    </w:p>
    <w:p w:rsidR="006D3B65" w:rsidRPr="00F140DD" w:rsidP="006B312D" w14:paraId="7242F5C1" w14:textId="45EFF45F">
      <w:pPr>
        <w:pStyle w:val="Title"/>
      </w:pPr>
      <w:r w:rsidRPr="006B312D">
        <w:t>OMB Control # 2120-0705</w:t>
      </w:r>
    </w:p>
    <w:p w:rsidR="007C1007" w:rsidP="006B312D" w14:paraId="0D217277" w14:textId="1ABFCC7F">
      <w:r>
        <w:t xml:space="preserve">Changes in this </w:t>
      </w:r>
      <w:r w:rsidR="00102673">
        <w:t>renewal include:</w:t>
      </w:r>
    </w:p>
    <w:p w:rsidR="00486096" w:rsidP="00102673" w14:paraId="49457CFD" w14:textId="2F71E95C">
      <w:pPr>
        <w:pStyle w:val="ListParagraph"/>
        <w:numPr>
          <w:ilvl w:val="0"/>
          <w:numId w:val="26"/>
        </w:numPr>
      </w:pPr>
      <w:r>
        <w:t>A</w:t>
      </w:r>
      <w:r w:rsidRPr="007E6781">
        <w:t>djust</w:t>
      </w:r>
      <w:r>
        <w:t>ment in respondent e</w:t>
      </w:r>
      <w:r w:rsidRPr="007E6781">
        <w:t xml:space="preserve">stimates </w:t>
      </w:r>
      <w:r w:rsidR="00D563BA">
        <w:t xml:space="preserve">(decrease for Part 121 and 135 </w:t>
      </w:r>
      <w:r w:rsidR="001277B8">
        <w:t xml:space="preserve">certificate holders </w:t>
      </w:r>
      <w:r w:rsidR="00D563BA">
        <w:t xml:space="preserve">and increase for Part 145 repair stations) </w:t>
      </w:r>
      <w:r w:rsidRPr="007E6781">
        <w:t xml:space="preserve">based on </w:t>
      </w:r>
      <w:r>
        <w:t>current data;</w:t>
      </w:r>
    </w:p>
    <w:p w:rsidR="00451364" w:rsidP="00102673" w14:paraId="1AF4B52A" w14:textId="173328C0">
      <w:pPr>
        <w:pStyle w:val="ListParagraph"/>
        <w:numPr>
          <w:ilvl w:val="0"/>
          <w:numId w:val="26"/>
        </w:numPr>
      </w:pPr>
      <w:r>
        <w:t>Adjustment in the</w:t>
      </w:r>
      <w:r w:rsidRPr="007E6781" w:rsidR="00102673">
        <w:t xml:space="preserve"> annual burden </w:t>
      </w:r>
      <w:r>
        <w:t xml:space="preserve">estimate </w:t>
      </w:r>
      <w:r w:rsidR="00D563BA">
        <w:t xml:space="preserve">(increase) </w:t>
      </w:r>
      <w:r>
        <w:t xml:space="preserve">based on </w:t>
      </w:r>
      <w:r w:rsidR="00A220DB">
        <w:t>i</w:t>
      </w:r>
      <w:r w:rsidRPr="00B3123B">
        <w:t xml:space="preserve">ncreased </w:t>
      </w:r>
      <w:r w:rsidR="00D84914">
        <w:t xml:space="preserve">aircraft operation </w:t>
      </w:r>
      <w:r w:rsidRPr="00B3123B">
        <w:t xml:space="preserve">complexity </w:t>
      </w:r>
      <w:r>
        <w:t xml:space="preserve">and interaction between the </w:t>
      </w:r>
      <w:r w:rsidR="00A220DB">
        <w:t>respondents</w:t>
      </w:r>
      <w:r>
        <w:t xml:space="preserve"> and </w:t>
      </w:r>
      <w:r w:rsidR="00264A11">
        <w:t xml:space="preserve">the </w:t>
      </w:r>
      <w:r>
        <w:t>FAA; and</w:t>
      </w:r>
    </w:p>
    <w:p w:rsidR="00102673" w:rsidP="00724174" w14:paraId="1C61C309" w14:textId="30FD48BD">
      <w:pPr>
        <w:pStyle w:val="ListParagraph"/>
        <w:numPr>
          <w:ilvl w:val="0"/>
          <w:numId w:val="26"/>
        </w:numPr>
      </w:pPr>
      <w:r>
        <w:t xml:space="preserve">Adjustment </w:t>
      </w:r>
      <w:r w:rsidR="00C533E9">
        <w:t>to</w:t>
      </w:r>
      <w:r w:rsidR="00451364">
        <w:t xml:space="preserve"> the title </w:t>
      </w:r>
      <w:r>
        <w:t>to more appropriately summarize the collection.</w:t>
      </w:r>
    </w:p>
    <w:p w:rsidR="006B312D" w:rsidRPr="006B312D" w:rsidP="0049399B" w14:paraId="1BA1B2BF" w14:textId="0F7F60EF">
      <w:pPr>
        <w:pStyle w:val="Heading1"/>
      </w:pPr>
      <w:r w:rsidRPr="006B312D">
        <w:t>1. Explain the circumstances that make the collection of information necessary. Identify any legal or administrative requirements that necessitate the collection.</w:t>
      </w:r>
    </w:p>
    <w:p w:rsidR="00787080" w:rsidP="00120994" w14:paraId="7270EF91" w14:textId="7D8EB7F2">
      <w:r w:rsidRPr="00F140DD">
        <w:t xml:space="preserve">Title 49 </w:t>
      </w:r>
      <w:r w:rsidR="008D6A93">
        <w:t>United States Code (</w:t>
      </w:r>
      <w:r w:rsidRPr="00F140DD">
        <w:t>USC</w:t>
      </w:r>
      <w:r w:rsidR="008D6A93">
        <w:t>)</w:t>
      </w:r>
      <w:r w:rsidRPr="00F140DD">
        <w:t xml:space="preserve"> </w:t>
      </w:r>
      <w:r w:rsidR="008D6A93">
        <w:t>§</w:t>
      </w:r>
      <w:r w:rsidRPr="00F140DD">
        <w:t xml:space="preserve"> 44702 empowers the Secretary of Transportation to issue air carrier operating certificates and to establish minimum safety standards for the operation of the air carrier to whom such certificates are issued. Under </w:t>
      </w:r>
      <w:r w:rsidR="00504BE1">
        <w:t>this</w:t>
      </w:r>
      <w:r w:rsidRPr="00F140DD" w:rsidR="00504BE1">
        <w:t xml:space="preserve"> </w:t>
      </w:r>
      <w:r w:rsidRPr="00F140DD">
        <w:t xml:space="preserve">authority, </w:t>
      </w:r>
      <w:r w:rsidR="00504BE1">
        <w:t xml:space="preserve">the </w:t>
      </w:r>
      <w:r w:rsidRPr="00F140DD">
        <w:t xml:space="preserve">Federal Aviation </w:t>
      </w:r>
      <w:r w:rsidR="00E368FA">
        <w:t xml:space="preserve">Administration (FAA) </w:t>
      </w:r>
      <w:r w:rsidRPr="00F140DD">
        <w:t>prescribe</w:t>
      </w:r>
      <w:r w:rsidR="00504BE1">
        <w:t>s</w:t>
      </w:r>
      <w:r w:rsidRPr="00F140DD">
        <w:t xml:space="preserve"> the terms, conditions, and limitations necessary to ensure safety in air transportation. </w:t>
      </w:r>
      <w:r w:rsidR="0067767E">
        <w:t>See 14 Code of Federal Regulations (</w:t>
      </w:r>
      <w:r w:rsidR="0059532A">
        <w:t xml:space="preserve">14 </w:t>
      </w:r>
      <w:r w:rsidR="0067767E">
        <w:t>CFR) Parts 121, 135, and 145</w:t>
      </w:r>
      <w:r w:rsidRPr="00F140DD" w:rsidR="002507AF">
        <w:t>.</w:t>
      </w:r>
    </w:p>
    <w:p w:rsidR="00F75CF3" w:rsidRPr="00F140DD" w:rsidP="00120994" w14:paraId="2DBA3746" w14:textId="2E48684D">
      <w:r w:rsidRPr="00F140DD">
        <w:t xml:space="preserve">This </w:t>
      </w:r>
      <w:r w:rsidR="00832769">
        <w:t>information collection was first established</w:t>
      </w:r>
      <w:r w:rsidRPr="00F140DD">
        <w:t xml:space="preserve"> in the final rule, “Hazardous Materials Training Requirements” (70 FR 58796; Oct. 7, 2005)</w:t>
      </w:r>
      <w:r w:rsidR="00832769">
        <w:t xml:space="preserve">, to cover hazardous materials (hazmat) program requirements for </w:t>
      </w:r>
      <w:r w:rsidR="00F26A3F">
        <w:t>P</w:t>
      </w:r>
      <w:r w:rsidR="007D5156">
        <w:t>art 121</w:t>
      </w:r>
      <w:r w:rsidR="001277B8">
        <w:t xml:space="preserve"> and</w:t>
      </w:r>
      <w:r w:rsidR="007D5156">
        <w:t xml:space="preserve"> 135</w:t>
      </w:r>
      <w:r w:rsidR="001277B8">
        <w:t xml:space="preserve"> certificate holders (CH)</w:t>
      </w:r>
      <w:r w:rsidR="007D5156">
        <w:t xml:space="preserve"> and </w:t>
      </w:r>
      <w:r w:rsidR="0059532A">
        <w:t>Part </w:t>
      </w:r>
      <w:r w:rsidR="007D5156">
        <w:t xml:space="preserve">145 </w:t>
      </w:r>
      <w:r w:rsidR="001277B8">
        <w:t>repair stations</w:t>
      </w:r>
      <w:r w:rsidR="007D5156">
        <w:t>.</w:t>
      </w:r>
    </w:p>
    <w:p w:rsidR="00F75CF3" w:rsidRPr="00F140DD" w:rsidP="00120994" w14:paraId="18D768A7" w14:textId="20392603">
      <w:r>
        <w:t>14 CFR</w:t>
      </w:r>
      <w:r w:rsidRPr="00F140DD">
        <w:t xml:space="preserve"> require</w:t>
      </w:r>
      <w:r>
        <w:t>s</w:t>
      </w:r>
      <w:r w:rsidRPr="00F140DD">
        <w:t xml:space="preserve"> air operators engaging in common carriage air transportation (air carriers) to have a certificate and operations specifications that prescribe the authorizations, limitations, and procedures under which each kind of operation must be conducted. </w:t>
      </w:r>
      <w:r>
        <w:t xml:space="preserve">Specifically, </w:t>
      </w:r>
      <w:r w:rsidR="000B7198">
        <w:t>§ </w:t>
      </w:r>
      <w:r w:rsidRPr="00F140DD">
        <w:t xml:space="preserve">119.49(a)(13) </w:t>
      </w:r>
      <w:r w:rsidR="00253D07">
        <w:t>requires</w:t>
      </w:r>
      <w:r w:rsidRPr="00F140DD">
        <w:t xml:space="preserve"> that a </w:t>
      </w:r>
      <w:r w:rsidR="00253D07">
        <w:t>CH’s</w:t>
      </w:r>
      <w:r w:rsidRPr="00F140DD">
        <w:t xml:space="preserve"> operations specifications must include either an authorization permitting the </w:t>
      </w:r>
      <w:r w:rsidR="00030A7E">
        <w:t>CH</w:t>
      </w:r>
      <w:r w:rsidRPr="00F140DD">
        <w:t xml:space="preserve"> to handle and transport hazmat (will-carry </w:t>
      </w:r>
      <w:r w:rsidR="00253D07">
        <w:t>CH</w:t>
      </w:r>
      <w:r w:rsidRPr="00F140DD">
        <w:t xml:space="preserve">) or a prohibition against handling and transporting hazmat (will-not-carry </w:t>
      </w:r>
      <w:r w:rsidR="00253D07">
        <w:t>CH</w:t>
      </w:r>
      <w:r w:rsidRPr="00F140DD">
        <w:t>).</w:t>
      </w:r>
    </w:p>
    <w:p w:rsidR="00D45AC5" w:rsidP="00120994" w14:paraId="7FFD8783" w14:textId="58158891">
      <w:r>
        <w:t>The required operations specification</w:t>
      </w:r>
      <w:r w:rsidR="009A6744">
        <w:t xml:space="preserve"> </w:t>
      </w:r>
      <w:r w:rsidR="00855E99">
        <w:t>ensure</w:t>
      </w:r>
      <w:r w:rsidR="007835F4">
        <w:t>s</w:t>
      </w:r>
      <w:r w:rsidR="00855E99">
        <w:t xml:space="preserve"> that hazmat </w:t>
      </w:r>
      <w:r w:rsidR="00C914E2">
        <w:t xml:space="preserve">packages are </w:t>
      </w:r>
      <w:r w:rsidR="00855E99">
        <w:t xml:space="preserve">only </w:t>
      </w:r>
      <w:r w:rsidR="007948F6">
        <w:t xml:space="preserve">accepted, </w:t>
      </w:r>
      <w:r w:rsidR="00855E99">
        <w:t>handled</w:t>
      </w:r>
      <w:r w:rsidR="007948F6">
        <w:t>,</w:t>
      </w:r>
      <w:r w:rsidR="00855E99">
        <w:t xml:space="preserve"> and transported by air carriers who are appropriately trained and have policies that support safety in the </w:t>
      </w:r>
      <w:r w:rsidR="004F7F36">
        <w:t>National Airspace System (</w:t>
      </w:r>
      <w:r w:rsidR="00855E99">
        <w:t>NAS</w:t>
      </w:r>
      <w:r w:rsidR="004F7F36">
        <w:t>)</w:t>
      </w:r>
      <w:r w:rsidR="00855E99">
        <w:t xml:space="preserve">. </w:t>
      </w:r>
      <w:r w:rsidR="004F7F36">
        <w:t xml:space="preserve">Improper handling and transport of hazmat can </w:t>
      </w:r>
      <w:r w:rsidR="004A2D29">
        <w:t>have deadly consequences, as demonstrated by the May 1996 crash of</w:t>
      </w:r>
      <w:r w:rsidRPr="00F140DD" w:rsidR="00F75CF3">
        <w:t xml:space="preserve"> </w:t>
      </w:r>
      <w:r w:rsidRPr="00F140DD" w:rsidR="00CE5723">
        <w:t>ValuJet</w:t>
      </w:r>
      <w:r w:rsidRPr="00F140DD" w:rsidR="00F75CF3">
        <w:t xml:space="preserve"> Flight 592. </w:t>
      </w:r>
      <w:r>
        <w:t>Therefore, the hazmat program requirements covered in this information collection help support safety in the NAS</w:t>
      </w:r>
      <w:r w:rsidRPr="00F140DD" w:rsidR="00F75CF3">
        <w:t xml:space="preserve">. </w:t>
      </w:r>
    </w:p>
    <w:p w:rsidR="00D45AC5" w:rsidP="00120994" w14:paraId="504AB1FB" w14:textId="37DBDB26">
      <w:r>
        <w:t xml:space="preserve">Specifically, and depending on the type of </w:t>
      </w:r>
      <w:r w:rsidR="00632BED">
        <w:t>operator</w:t>
      </w:r>
      <w:r>
        <w:t>, this information collection include</w:t>
      </w:r>
      <w:r w:rsidR="007948F6">
        <w:t>s</w:t>
      </w:r>
      <w:r>
        <w:t>:</w:t>
      </w:r>
    </w:p>
    <w:p w:rsidR="00C55E47" w:rsidP="00016140" w14:paraId="013546C5" w14:textId="3CF7C34A">
      <w:pPr>
        <w:pStyle w:val="ListParagraph"/>
        <w:numPr>
          <w:ilvl w:val="0"/>
          <w:numId w:val="17"/>
        </w:numPr>
      </w:pPr>
      <w:r>
        <w:t xml:space="preserve">An accepted hazmat manual for </w:t>
      </w:r>
      <w:r w:rsidR="0007634E">
        <w:t>P</w:t>
      </w:r>
      <w:r>
        <w:t>art 121 and 135 CHs;</w:t>
      </w:r>
    </w:p>
    <w:p w:rsidR="00C55E47" w:rsidP="00016140" w14:paraId="34C1AA62" w14:textId="3E776FE7">
      <w:pPr>
        <w:pStyle w:val="ListParagraph"/>
        <w:numPr>
          <w:ilvl w:val="0"/>
          <w:numId w:val="17"/>
        </w:numPr>
      </w:pPr>
      <w:r>
        <w:t>An approved</w:t>
      </w:r>
      <w:r w:rsidR="002413EC">
        <w:t xml:space="preserve"> hazmat</w:t>
      </w:r>
      <w:r>
        <w:t xml:space="preserve"> training program for </w:t>
      </w:r>
      <w:r w:rsidR="0007634E">
        <w:t>P</w:t>
      </w:r>
      <w:r>
        <w:t>art 121 and 135 CHs;</w:t>
      </w:r>
    </w:p>
    <w:p w:rsidR="00C55E47" w:rsidP="00016140" w14:paraId="2ECE6448" w14:textId="77777777">
      <w:pPr>
        <w:pStyle w:val="ListParagraph"/>
        <w:numPr>
          <w:ilvl w:val="0"/>
          <w:numId w:val="17"/>
        </w:numPr>
      </w:pPr>
      <w:r>
        <w:t>Part 145 repair station hazmat training; and</w:t>
      </w:r>
    </w:p>
    <w:p w:rsidR="00D45AC5" w:rsidP="00016140" w14:paraId="7B4C0A6E" w14:textId="6435EF84">
      <w:pPr>
        <w:pStyle w:val="ListParagraph"/>
        <w:numPr>
          <w:ilvl w:val="0"/>
          <w:numId w:val="17"/>
        </w:numPr>
      </w:pPr>
      <w:r>
        <w:t xml:space="preserve">Notification for </w:t>
      </w:r>
      <w:r w:rsidR="0007634E">
        <w:t>P</w:t>
      </w:r>
      <w:r>
        <w:t>art 145 repair stations.</w:t>
      </w:r>
    </w:p>
    <w:p w:rsidR="00C64707" w:rsidRPr="00F140DD" w:rsidP="0049399B" w14:paraId="4F63B899" w14:textId="0113DAF4">
      <w:pPr>
        <w:pStyle w:val="Heading1"/>
      </w:pPr>
      <w:r w:rsidRPr="00F140DD">
        <w:t>2. Indicate how, by whom, and for what purpose the information is to be used. Except for a new collection, indicate the actual use the agency has made of the information received from the current collection.</w:t>
      </w:r>
    </w:p>
    <w:p w:rsidR="0093041A" w:rsidP="00C55E47" w14:paraId="62BA4406" w14:textId="55149EBC">
      <w:r>
        <w:t>As mentioned a</w:t>
      </w:r>
      <w:r w:rsidR="00AA7704">
        <w:t xml:space="preserve">bove, this information collection covers different hazmat program requirements </w:t>
      </w:r>
      <w:r w:rsidR="008B4F03">
        <w:t xml:space="preserve">as </w:t>
      </w:r>
      <w:r w:rsidR="00AA7704">
        <w:t>described below.</w:t>
      </w:r>
    </w:p>
    <w:p w:rsidR="00AA7704" w:rsidRPr="008B4F03" w:rsidP="008B4F03" w14:paraId="16745202" w14:textId="28B6F130">
      <w:pPr>
        <w:pStyle w:val="Heading2"/>
      </w:pPr>
      <w:r w:rsidRPr="008B4F03">
        <w:t>Hazmat Manual and Training Program</w:t>
      </w:r>
    </w:p>
    <w:p w:rsidR="00230291" w:rsidP="00C55E47" w14:paraId="6773064B" w14:textId="27703763">
      <w:r>
        <w:t>P</w:t>
      </w:r>
      <w:r w:rsidR="003A1467">
        <w:t>art 121 and 135 CHs</w:t>
      </w:r>
      <w:r w:rsidR="00B7188E">
        <w:t xml:space="preserve"> are required</w:t>
      </w:r>
      <w:r w:rsidRPr="00F140DD" w:rsidR="000B44FD">
        <w:t xml:space="preserve"> to</w:t>
      </w:r>
      <w:r w:rsidR="00C741E0">
        <w:t xml:space="preserve"> have procedures and </w:t>
      </w:r>
      <w:r>
        <w:t xml:space="preserve">information </w:t>
      </w:r>
      <w:r w:rsidR="006137B6">
        <w:t xml:space="preserve">(often referred to as a hazmat manual) </w:t>
      </w:r>
      <w:r w:rsidR="003264FA">
        <w:t xml:space="preserve">that </w:t>
      </w:r>
      <w:r>
        <w:t>assist each crewmember and person performing or directly supervising the following job functions involving items for transport on an aircraft:</w:t>
      </w:r>
    </w:p>
    <w:p w:rsidR="00C55E47" w:rsidP="00016140" w14:paraId="6AB3EEB7" w14:textId="77777777">
      <w:pPr>
        <w:pStyle w:val="ListParagraph"/>
        <w:numPr>
          <w:ilvl w:val="0"/>
          <w:numId w:val="18"/>
        </w:numPr>
      </w:pPr>
      <w:r>
        <w:t>Acceptance;</w:t>
      </w:r>
    </w:p>
    <w:p w:rsidR="00C55E47" w:rsidP="00016140" w14:paraId="13D4145A" w14:textId="77777777">
      <w:pPr>
        <w:pStyle w:val="ListParagraph"/>
        <w:numPr>
          <w:ilvl w:val="0"/>
          <w:numId w:val="18"/>
        </w:numPr>
      </w:pPr>
      <w:r>
        <w:t>Rejection;</w:t>
      </w:r>
    </w:p>
    <w:p w:rsidR="00C55E47" w:rsidP="00016140" w14:paraId="694A012A" w14:textId="77777777">
      <w:pPr>
        <w:pStyle w:val="ListParagraph"/>
        <w:numPr>
          <w:ilvl w:val="0"/>
          <w:numId w:val="18"/>
        </w:numPr>
      </w:pPr>
      <w:r>
        <w:t>Handling;</w:t>
      </w:r>
    </w:p>
    <w:p w:rsidR="00C55E47" w:rsidP="00016140" w14:paraId="7603C1AD" w14:textId="77777777">
      <w:pPr>
        <w:pStyle w:val="ListParagraph"/>
        <w:numPr>
          <w:ilvl w:val="0"/>
          <w:numId w:val="18"/>
        </w:numPr>
      </w:pPr>
      <w:r>
        <w:t>Storage incidental to movement;</w:t>
      </w:r>
    </w:p>
    <w:p w:rsidR="00C55E47" w:rsidP="00016140" w14:paraId="646FD295" w14:textId="77777777">
      <w:pPr>
        <w:pStyle w:val="ListParagraph"/>
        <w:numPr>
          <w:ilvl w:val="0"/>
          <w:numId w:val="18"/>
        </w:numPr>
      </w:pPr>
      <w:r>
        <w:t>Packaging of company materials (COMAT); or</w:t>
      </w:r>
    </w:p>
    <w:p w:rsidR="00061B04" w:rsidP="00016140" w14:paraId="45AF8B39" w14:textId="7274EC76">
      <w:pPr>
        <w:pStyle w:val="ListParagraph"/>
        <w:numPr>
          <w:ilvl w:val="0"/>
          <w:numId w:val="18"/>
        </w:numPr>
      </w:pPr>
      <w:r>
        <w:t>Loading.</w:t>
      </w:r>
    </w:p>
    <w:p w:rsidR="00061B04" w:rsidP="00C55E47" w14:paraId="0C9F74F8" w14:textId="0B0E31A9">
      <w:r>
        <w:t xml:space="preserve">See </w:t>
      </w:r>
      <w:r w:rsidR="00D75FCA">
        <w:t>14 CFR </w:t>
      </w:r>
      <w:r>
        <w:t>121.135(b)(25)(i) and 135.23(p)(1).</w:t>
      </w:r>
    </w:p>
    <w:p w:rsidR="00D81A7F" w:rsidP="00C55E47" w14:paraId="3788D8A2" w14:textId="7EEE6373">
      <w:r w:rsidRPr="00D81A7F">
        <w:t>The hazmat manual requirements apply regardless of whether an air carrier transports hazmat, although the extent of the requirement varies depending on whether the</w:t>
      </w:r>
      <w:r w:rsidR="00B7188E">
        <w:t>y</w:t>
      </w:r>
      <w:r w:rsidRPr="00D81A7F">
        <w:t xml:space="preserve"> transport hazmat. All hazmat manuals must include procedures and information sufficient to assist personnel meeting one of the above job functions in identifying packages marked or labeled as containing hazmat or that show signs of </w:t>
      </w:r>
      <w:r w:rsidR="00150D05">
        <w:t>being an</w:t>
      </w:r>
      <w:r w:rsidRPr="00D81A7F">
        <w:t xml:space="preserve"> undeclared hazmat</w:t>
      </w:r>
      <w:r w:rsidR="00150D05">
        <w:t xml:space="preserve"> package</w:t>
      </w:r>
      <w:r w:rsidRPr="00D81A7F">
        <w:t>. These procedures and information must include:</w:t>
      </w:r>
    </w:p>
    <w:p w:rsidR="00C55E47" w:rsidP="00016140" w14:paraId="7256D072" w14:textId="16FFBCF5">
      <w:pPr>
        <w:pStyle w:val="ListParagraph"/>
        <w:numPr>
          <w:ilvl w:val="0"/>
          <w:numId w:val="19"/>
        </w:numPr>
      </w:pPr>
      <w:r>
        <w:t xml:space="preserve">Procedures for rejecting packages that do not conform to the Hazardous Materials Regulations (HMR; 49 CFR </w:t>
      </w:r>
      <w:r w:rsidR="00D260A7">
        <w:t>P</w:t>
      </w:r>
      <w:r>
        <w:t>arts 171 through 180) or that appear to contain undeclared hazmat;</w:t>
      </w:r>
    </w:p>
    <w:p w:rsidR="00C55E47" w:rsidP="00016140" w14:paraId="76FC5737" w14:textId="1AE1E0AB">
      <w:pPr>
        <w:pStyle w:val="ListParagraph"/>
        <w:numPr>
          <w:ilvl w:val="0"/>
          <w:numId w:val="19"/>
        </w:numPr>
      </w:pPr>
      <w:r>
        <w:t xml:space="preserve">Procedures for complying with the hazmat incident reporting requirements of 49 CFR 171.15 and 171.16 and discrepancy reporting requirements of </w:t>
      </w:r>
      <w:r w:rsidR="00F51A07">
        <w:t>49 CFR </w:t>
      </w:r>
      <w:r>
        <w:t>175.31; and</w:t>
      </w:r>
    </w:p>
    <w:p w:rsidR="00D81A7F" w:rsidP="00016140" w14:paraId="08F5205E" w14:textId="5F0944D7">
      <w:pPr>
        <w:pStyle w:val="ListParagraph"/>
        <w:numPr>
          <w:ilvl w:val="0"/>
          <w:numId w:val="19"/>
        </w:numPr>
      </w:pPr>
      <w:r>
        <w:t>Whe</w:t>
      </w:r>
      <w:r w:rsidR="001430A8">
        <w:t>ther</w:t>
      </w:r>
      <w:r>
        <w:t xml:space="preserve"> the</w:t>
      </w:r>
      <w:r w:rsidR="00F51A07">
        <w:t>y are</w:t>
      </w:r>
      <w:r w:rsidR="006B312D">
        <w:t xml:space="preserve"> a</w:t>
      </w:r>
      <w:r w:rsidR="00F51A07">
        <w:t>uthorized as a</w:t>
      </w:r>
      <w:r w:rsidR="006B312D">
        <w:t xml:space="preserve"> will-carry or will-not-carry </w:t>
      </w:r>
      <w:r w:rsidR="00F51A07">
        <w:t>CH</w:t>
      </w:r>
      <w:r w:rsidR="006B312D">
        <w:t>.</w:t>
      </w:r>
    </w:p>
    <w:p w:rsidR="006B312D" w:rsidP="00344FB4" w14:paraId="2EF86A4B" w14:textId="21449B2B">
      <w:pPr>
        <w:keepNext/>
        <w:keepLines/>
      </w:pPr>
      <w:r>
        <w:t xml:space="preserve">In addition, will-carry </w:t>
      </w:r>
      <w:r w:rsidR="00D13E71">
        <w:t xml:space="preserve">CHs </w:t>
      </w:r>
      <w:r>
        <w:t>are also required to include procedures and information to ensure</w:t>
      </w:r>
      <w:r w:rsidR="00D13E71">
        <w:t xml:space="preserve"> that</w:t>
      </w:r>
      <w:r>
        <w:t>:</w:t>
      </w:r>
    </w:p>
    <w:p w:rsidR="00C55E47" w:rsidP="00016140" w14:paraId="1BB1CF10" w14:textId="28032E05">
      <w:pPr>
        <w:pStyle w:val="ListParagraph"/>
        <w:numPr>
          <w:ilvl w:val="0"/>
          <w:numId w:val="20"/>
        </w:numPr>
      </w:pPr>
      <w:r>
        <w:t>P</w:t>
      </w:r>
      <w:r w:rsidR="006B312D">
        <w:t>ackages containing hazmat are properly offered and accepted in compliance with the HMR;</w:t>
      </w:r>
    </w:p>
    <w:p w:rsidR="00C55E47" w:rsidP="00016140" w14:paraId="049BAD31" w14:textId="2FAC1469">
      <w:pPr>
        <w:pStyle w:val="ListParagraph"/>
        <w:numPr>
          <w:ilvl w:val="0"/>
          <w:numId w:val="20"/>
        </w:numPr>
      </w:pPr>
      <w:r>
        <w:t>P</w:t>
      </w:r>
      <w:r w:rsidR="006B312D">
        <w:t>ackages containing hazmat are properly handled, stored, packaged, loaded, and carried on board an aircraft in compliance with the HMR;</w:t>
      </w:r>
    </w:p>
    <w:p w:rsidR="006B312D" w:rsidP="00016140" w14:paraId="22F91E36" w14:textId="7B59753D">
      <w:pPr>
        <w:pStyle w:val="ListParagraph"/>
        <w:numPr>
          <w:ilvl w:val="0"/>
          <w:numId w:val="20"/>
        </w:numPr>
      </w:pPr>
      <w:r>
        <w:t xml:space="preserve">The </w:t>
      </w:r>
      <w:r w:rsidR="00B23AD5">
        <w:t>requirements for Notice to the Pilot in Command (49 CFR 175.33) are complied with; and</w:t>
      </w:r>
    </w:p>
    <w:p w:rsidR="00B23AD5" w:rsidP="00016140" w14:paraId="5F7AD645" w14:textId="43DB98FE">
      <w:pPr>
        <w:pStyle w:val="ListParagraph"/>
        <w:numPr>
          <w:ilvl w:val="0"/>
          <w:numId w:val="20"/>
        </w:numPr>
      </w:pPr>
      <w:r>
        <w:t>A</w:t>
      </w:r>
      <w:r w:rsidR="00952BA1">
        <w:t>ircraft replacement parts, consumable materials, or other items regulated by the HMR are properly handled, packaged, and transported.</w:t>
      </w:r>
    </w:p>
    <w:p w:rsidR="00952BA1" w:rsidRPr="006B312D" w:rsidP="00BC7860" w14:paraId="199AF780" w14:textId="37A5096F">
      <w:r>
        <w:t xml:space="preserve">See </w:t>
      </w:r>
      <w:r w:rsidR="001B304A">
        <w:t>14 CFR </w:t>
      </w:r>
      <w:r>
        <w:t>121.135(b)(25)(ii) and 135.23(p)(2).</w:t>
      </w:r>
    </w:p>
    <w:p w:rsidR="00BC7860" w:rsidP="006B312D" w14:paraId="696690BD" w14:textId="3B153844">
      <w:r>
        <w:t xml:space="preserve">The hazmat manual requirements may </w:t>
      </w:r>
      <w:r w:rsidR="00177174">
        <w:t xml:space="preserve">be included </w:t>
      </w:r>
      <w:r>
        <w:t>in one manual or</w:t>
      </w:r>
      <w:r w:rsidR="00177174">
        <w:t xml:space="preserve"> </w:t>
      </w:r>
      <w:r>
        <w:t>within multiple parts of the CH’s manual, so long as there are appropriate interfaces to hazmat requirements</w:t>
      </w:r>
      <w:r w:rsidRPr="00F140DD" w:rsidR="000B44FD">
        <w:t xml:space="preserve">. </w:t>
      </w:r>
      <w:r w:rsidR="00AB1D9E">
        <w:t>Additionally</w:t>
      </w:r>
      <w:r w:rsidR="00E32496">
        <w:t>, the hazmat manual</w:t>
      </w:r>
      <w:r w:rsidRPr="00F140DD" w:rsidR="00E32496">
        <w:t xml:space="preserve"> may be </w:t>
      </w:r>
      <w:r w:rsidR="00E32496">
        <w:t xml:space="preserve">in </w:t>
      </w:r>
      <w:r w:rsidRPr="00F140DD" w:rsidR="00E32496">
        <w:t>electronic</w:t>
      </w:r>
      <w:r w:rsidR="00E32496">
        <w:t xml:space="preserve"> form</w:t>
      </w:r>
      <w:r w:rsidR="00B67606">
        <w:t xml:space="preserve"> and is accepted by the FAA during the certification process</w:t>
      </w:r>
      <w:r w:rsidR="00E32496">
        <w:t>.</w:t>
      </w:r>
    </w:p>
    <w:p w:rsidR="00160E16" w:rsidP="00160E16" w14:paraId="6B743626" w14:textId="21CAE0E9">
      <w:r>
        <w:t xml:space="preserve">In addition to </w:t>
      </w:r>
      <w:r w:rsidR="009B25B2">
        <w:t xml:space="preserve">the </w:t>
      </w:r>
      <w:r w:rsidR="006D705B">
        <w:t xml:space="preserve">accepted </w:t>
      </w:r>
      <w:r>
        <w:t xml:space="preserve">hazmat manual, </w:t>
      </w:r>
      <w:r w:rsidR="00150D05">
        <w:t>P</w:t>
      </w:r>
      <w:r>
        <w:t xml:space="preserve">art 121 and 135 CHs </w:t>
      </w:r>
      <w:r w:rsidR="00150D05">
        <w:t>must</w:t>
      </w:r>
      <w:r>
        <w:t xml:space="preserve"> have an approved </w:t>
      </w:r>
      <w:r w:rsidR="00E32496">
        <w:t xml:space="preserve">hazmat </w:t>
      </w:r>
      <w:r>
        <w:t>training program. The</w:t>
      </w:r>
      <w:r w:rsidR="00E32496">
        <w:t xml:space="preserve"> hazmat</w:t>
      </w:r>
      <w:r>
        <w:t xml:space="preserve"> training program must </w:t>
      </w:r>
      <w:r w:rsidR="00C70663">
        <w:t>provide training for</w:t>
      </w:r>
      <w:r w:rsidR="00E32496">
        <w:t xml:space="preserve"> </w:t>
      </w:r>
      <w:r>
        <w:t xml:space="preserve">each crewmember and person performing or directly supervising the previously mentioned job functions. </w:t>
      </w:r>
      <w:r w:rsidR="00C70663">
        <w:t xml:space="preserve">The hazmat </w:t>
      </w:r>
      <w:r>
        <w:t>training program must:</w:t>
      </w:r>
    </w:p>
    <w:p w:rsidR="00160E16" w:rsidP="00160E16" w14:paraId="2D5D59EC" w14:textId="7C895F33">
      <w:pPr>
        <w:pStyle w:val="ListParagraph"/>
        <w:numPr>
          <w:ilvl w:val="0"/>
          <w:numId w:val="27"/>
        </w:numPr>
      </w:pPr>
      <w:r>
        <w:t xml:space="preserve">Satisfy the requirements of </w:t>
      </w:r>
      <w:r w:rsidR="006D705B">
        <w:t xml:space="preserve">14 CFR </w:t>
      </w:r>
      <w:r>
        <w:t>Part 121, Appendix O;</w:t>
      </w:r>
    </w:p>
    <w:p w:rsidR="00D4424A" w:rsidP="00160E16" w14:paraId="698147AC" w14:textId="0BD0597D">
      <w:pPr>
        <w:pStyle w:val="ListParagraph"/>
        <w:numPr>
          <w:ilvl w:val="0"/>
          <w:numId w:val="27"/>
        </w:numPr>
      </w:pPr>
      <w:r>
        <w:t xml:space="preserve">Ensure that each person performing or directly supervising any of the previously mentioned job functions is trained to comply with all applicable parts of </w:t>
      </w:r>
      <w:r w:rsidR="00D549AC">
        <w:t xml:space="preserve">the HMR </w:t>
      </w:r>
      <w:r>
        <w:t xml:space="preserve">and the requirements of </w:t>
      </w:r>
      <w:r w:rsidR="000179E8">
        <w:t xml:space="preserve">14 CFR </w:t>
      </w:r>
      <w:r>
        <w:t>Part 121, Subpart Z or Part 135, Subpart K, as applicable; and</w:t>
      </w:r>
    </w:p>
    <w:p w:rsidR="00D4424A" w:rsidP="00160E16" w14:paraId="68D079BC" w14:textId="29D10DCE">
      <w:pPr>
        <w:pStyle w:val="ListParagraph"/>
        <w:numPr>
          <w:ilvl w:val="0"/>
          <w:numId w:val="27"/>
        </w:numPr>
      </w:pPr>
      <w:r>
        <w:t xml:space="preserve">Enables the trained person to recognize items that contain, or may contain, hazardous materials regulated by </w:t>
      </w:r>
      <w:r w:rsidR="00D549AC">
        <w:t>the HMR</w:t>
      </w:r>
      <w:r>
        <w:t>.</w:t>
      </w:r>
    </w:p>
    <w:p w:rsidR="00BC7860" w:rsidP="00D4424A" w14:paraId="02292A95" w14:textId="5F512637">
      <w:r>
        <w:t>Th</w:t>
      </w:r>
      <w:r w:rsidR="002B047F">
        <w:t>e training must be provided</w:t>
      </w:r>
      <w:r>
        <w:t xml:space="preserve"> </w:t>
      </w:r>
      <w:r w:rsidR="00011DB5">
        <w:t xml:space="preserve">to appropriate personnel </w:t>
      </w:r>
      <w:r>
        <w:t>initial</w:t>
      </w:r>
      <w:r w:rsidR="002B047F">
        <w:t xml:space="preserve">ly </w:t>
      </w:r>
      <w:r>
        <w:t xml:space="preserve">and </w:t>
      </w:r>
      <w:r w:rsidR="00A82418">
        <w:t xml:space="preserve">every 24 months. </w:t>
      </w:r>
      <w:r>
        <w:t xml:space="preserve">See </w:t>
      </w:r>
      <w:r w:rsidR="000179E8">
        <w:t xml:space="preserve">14 CFR </w:t>
      </w:r>
      <w:r w:rsidR="00150D05">
        <w:t>P</w:t>
      </w:r>
      <w:r w:rsidR="00BD177B">
        <w:t xml:space="preserve">art 121, </w:t>
      </w:r>
      <w:r w:rsidR="00150D05">
        <w:t>S</w:t>
      </w:r>
      <w:r w:rsidR="00BD177B">
        <w:t xml:space="preserve">ubpart Z and </w:t>
      </w:r>
      <w:r w:rsidR="00150D05">
        <w:t>P</w:t>
      </w:r>
      <w:r w:rsidR="00BD177B">
        <w:t>art 135, Subpart K.</w:t>
      </w:r>
    </w:p>
    <w:p w:rsidR="00AB1D9E" w:rsidP="00BC7860" w14:paraId="564DE62B" w14:textId="17FD922B">
      <w:r>
        <w:t xml:space="preserve">The </w:t>
      </w:r>
      <w:r w:rsidR="00BD177B">
        <w:t>FAA issued</w:t>
      </w:r>
      <w:r w:rsidR="00C914E2">
        <w:t xml:space="preserve"> </w:t>
      </w:r>
      <w:r w:rsidRPr="00C914E2" w:rsidR="00C914E2">
        <w:t xml:space="preserve">Advisory Circular (AC) 121-40, </w:t>
      </w:r>
      <w:r w:rsidRPr="00C42E25" w:rsidR="00C914E2">
        <w:rPr>
          <w:i/>
          <w:iCs/>
        </w:rPr>
        <w:t>14 CFR Part 121 and Part 135 Dangerous Goods Transportation Operations</w:t>
      </w:r>
      <w:r>
        <w:rPr>
          <w:rFonts w:cs="Arial"/>
          <w:szCs w:val="24"/>
        </w:rPr>
        <w:t>,</w:t>
      </w:r>
      <w:r>
        <w:rPr>
          <w:rStyle w:val="FootnoteReference"/>
          <w:rFonts w:cs="Arial"/>
          <w:szCs w:val="24"/>
        </w:rPr>
        <w:footnoteReference w:id="3"/>
      </w:r>
      <w:r>
        <w:rPr>
          <w:rFonts w:cs="Arial"/>
          <w:szCs w:val="24"/>
        </w:rPr>
        <w:t xml:space="preserve"> t</w:t>
      </w:r>
      <w:r>
        <w:t>o assist applicants and CHs in developing the hazmat manual and training program</w:t>
      </w:r>
      <w:r w:rsidR="00BE661E">
        <w:t>.</w:t>
      </w:r>
    </w:p>
    <w:p w:rsidR="000B44FD" w:rsidRPr="00F140DD" w:rsidP="00BC7860" w14:paraId="574EE5A9" w14:textId="3508BA11">
      <w:r>
        <w:t>Hazmat manuals and training programs are submitted to the FAA during initial certification</w:t>
      </w:r>
      <w:r w:rsidR="00F138C2">
        <w:t>. Additionally, hazmat manuals and training programs may be submitted when revised following certification</w:t>
      </w:r>
      <w:r w:rsidRPr="00F140DD">
        <w:t xml:space="preserve">. </w:t>
      </w:r>
      <w:r>
        <w:t>T</w:t>
      </w:r>
      <w:r w:rsidR="00AC67D5">
        <w:t xml:space="preserve">he </w:t>
      </w:r>
      <w:r w:rsidRPr="00F140DD">
        <w:t xml:space="preserve">FAA uses the </w:t>
      </w:r>
      <w:r w:rsidR="00FD7369">
        <w:t>certification</w:t>
      </w:r>
      <w:r w:rsidRPr="00F140DD" w:rsidR="00FD7369">
        <w:t xml:space="preserve"> </w:t>
      </w:r>
      <w:r w:rsidR="009A0FD3">
        <w:t xml:space="preserve">and modification </w:t>
      </w:r>
      <w:r w:rsidRPr="00F140DD">
        <w:t xml:space="preserve">process to determine </w:t>
      </w:r>
      <w:r w:rsidR="00FD7369">
        <w:t>CH</w:t>
      </w:r>
      <w:r w:rsidR="00C7690E">
        <w:t xml:space="preserve"> </w:t>
      </w:r>
      <w:r w:rsidRPr="00F140DD">
        <w:t xml:space="preserve">compliance </w:t>
      </w:r>
      <w:r w:rsidR="00C7690E">
        <w:t>with</w:t>
      </w:r>
      <w:r w:rsidRPr="00F140DD">
        <w:t xml:space="preserve"> the </w:t>
      </w:r>
      <w:r w:rsidR="00701B5F">
        <w:t>regulations</w:t>
      </w:r>
      <w:r w:rsidR="000B7198">
        <w:t xml:space="preserve"> and</w:t>
      </w:r>
      <w:r>
        <w:t xml:space="preserve"> </w:t>
      </w:r>
      <w:r w:rsidR="008E7D7D">
        <w:t xml:space="preserve">whether they </w:t>
      </w:r>
      <w:r w:rsidR="000B7198">
        <w:t xml:space="preserve">have </w:t>
      </w:r>
      <w:r w:rsidR="009A0FD3">
        <w:t>establish</w:t>
      </w:r>
      <w:r w:rsidR="000B7198">
        <w:t>ed</w:t>
      </w:r>
      <w:r w:rsidR="009A0FD3">
        <w:t xml:space="preserve"> safe operating procedures</w:t>
      </w:r>
      <w:r w:rsidRPr="00F140DD">
        <w:t>.</w:t>
      </w:r>
    </w:p>
    <w:p w:rsidR="009A0FD3" w:rsidP="008B4F03" w14:paraId="050DB9BF" w14:textId="77777777">
      <w:pPr>
        <w:pStyle w:val="Heading2"/>
      </w:pPr>
      <w:r>
        <w:t>Hazmat Training Records &amp; Recordkeeping</w:t>
      </w:r>
    </w:p>
    <w:p w:rsidR="000B44FD" w:rsidP="009A0FD3" w14:paraId="4B9BFED6" w14:textId="6F383F1C">
      <w:r>
        <w:t xml:space="preserve">14 CFR </w:t>
      </w:r>
      <w:r w:rsidRPr="007B2EC4" w:rsidR="007B2EC4">
        <w:t>121.1007 and 135.507 require</w:t>
      </w:r>
      <w:r w:rsidR="00701B5F">
        <w:t>s</w:t>
      </w:r>
      <w:r w:rsidRPr="007B2EC4" w:rsidR="007B2EC4">
        <w:t xml:space="preserve"> </w:t>
      </w:r>
      <w:r w:rsidR="00701B5F">
        <w:t>Part 121 and 135 CHs</w:t>
      </w:r>
      <w:r w:rsidRPr="007B2EC4" w:rsidR="007B2EC4">
        <w:t xml:space="preserve"> </w:t>
      </w:r>
      <w:r w:rsidR="00701B5F">
        <w:t xml:space="preserve">to </w:t>
      </w:r>
      <w:r w:rsidRPr="007B2EC4" w:rsidR="007B2EC4">
        <w:t xml:space="preserve">maintain a record of initial and recurrent training for all personnel covered in the applicable </w:t>
      </w:r>
      <w:r w:rsidR="00260123">
        <w:t xml:space="preserve">hazmat </w:t>
      </w:r>
      <w:r w:rsidRPr="007B2EC4" w:rsidR="007B2EC4">
        <w:t>training program requirements. This record verifies the names of employees who have taken training, the date of training, and the training content.</w:t>
      </w:r>
      <w:r w:rsidR="002A2457">
        <w:t xml:space="preserve"> The training </w:t>
      </w:r>
      <w:r w:rsidR="002064C5">
        <w:t xml:space="preserve">record </w:t>
      </w:r>
      <w:r w:rsidR="002A2457">
        <w:t xml:space="preserve">is provided to </w:t>
      </w:r>
      <w:r w:rsidR="00222E76">
        <w:t>the FAA upon request to verify compliance.</w:t>
      </w:r>
    </w:p>
    <w:p w:rsidR="007B2EC4" w:rsidP="008B4F03" w14:paraId="18B74938" w14:textId="42B82B54">
      <w:pPr>
        <w:pStyle w:val="Heading2"/>
      </w:pPr>
      <w:r>
        <w:t>Part 145 Rep</w:t>
      </w:r>
      <w:r w:rsidR="00A30901">
        <w:t>air Station Training</w:t>
      </w:r>
    </w:p>
    <w:p w:rsidR="00A30901" w:rsidP="00A30901" w14:paraId="3FEAAD33" w14:textId="41BDC117">
      <w:r>
        <w:t>14 CFR</w:t>
      </w:r>
      <w:r w:rsidRPr="00A30901">
        <w:t xml:space="preserve"> 145.53 requires </w:t>
      </w:r>
      <w:r w:rsidR="00D260A7">
        <w:t>P</w:t>
      </w:r>
      <w:r>
        <w:t>art 145 repair station</w:t>
      </w:r>
      <w:r w:rsidR="00222E76">
        <w:t>s</w:t>
      </w:r>
      <w:r>
        <w:t xml:space="preserve"> to </w:t>
      </w:r>
      <w:r w:rsidRPr="00A30901">
        <w:t>certif</w:t>
      </w:r>
      <w:r>
        <w:t>y</w:t>
      </w:r>
      <w:r w:rsidRPr="00A30901">
        <w:t xml:space="preserve"> that all hazmat employees have been trained in accordance with </w:t>
      </w:r>
      <w:r>
        <w:t>the HMR</w:t>
      </w:r>
      <w:r w:rsidRPr="00A30901">
        <w:t xml:space="preserve">. This </w:t>
      </w:r>
      <w:r>
        <w:t xml:space="preserve">certification </w:t>
      </w:r>
      <w:r w:rsidR="00F00AEF">
        <w:t xml:space="preserve">must be provided to the FAA before a </w:t>
      </w:r>
      <w:r w:rsidR="009A6744">
        <w:t>P</w:t>
      </w:r>
      <w:r w:rsidR="00F00AEF">
        <w:t>art 145 certificate or change of rating is issued</w:t>
      </w:r>
      <w:r w:rsidRPr="00A30901">
        <w:t>.</w:t>
      </w:r>
      <w:r w:rsidR="00DC1D35">
        <w:t xml:space="preserve"> This ensures that the Part 145 repair station is in compliance with the regulations.</w:t>
      </w:r>
    </w:p>
    <w:p w:rsidR="00A30901" w:rsidP="008B4F03" w14:paraId="7B21D08E" w14:textId="520BA8D9">
      <w:pPr>
        <w:pStyle w:val="Heading2"/>
      </w:pPr>
      <w:r>
        <w:t>Notification</w:t>
      </w:r>
    </w:p>
    <w:p w:rsidR="00F00AEF" w:rsidRPr="00F00AEF" w:rsidP="00F00AEF" w14:paraId="5C3069DC" w14:textId="03C26A90">
      <w:r>
        <w:t xml:space="preserve">The FAA uses the notification requirements detailed below to determine </w:t>
      </w:r>
      <w:r w:rsidR="00D260A7">
        <w:t>P</w:t>
      </w:r>
      <w:r>
        <w:t xml:space="preserve">art 145 repair stations </w:t>
      </w:r>
      <w:r w:rsidR="0066616D">
        <w:t xml:space="preserve">compliance </w:t>
      </w:r>
      <w:r>
        <w:t xml:space="preserve">with the HMR. Therefore, these requirements only apply to </w:t>
      </w:r>
      <w:r w:rsidR="00260123">
        <w:t>Part </w:t>
      </w:r>
      <w:r>
        <w:t xml:space="preserve">145 repair stations subject to the HMR. The </w:t>
      </w:r>
      <w:r w:rsidR="00D87625">
        <w:t xml:space="preserve">notification requirements </w:t>
      </w:r>
      <w:r>
        <w:t>require:</w:t>
      </w:r>
    </w:p>
    <w:p w:rsidR="000B44FD" w:rsidRPr="00F00AEF" w:rsidP="00016140" w14:paraId="3A8C38DA" w14:textId="016417B1">
      <w:pPr>
        <w:pStyle w:val="ListParagraph"/>
        <w:numPr>
          <w:ilvl w:val="0"/>
          <w:numId w:val="21"/>
        </w:numPr>
        <w:rPr>
          <w:b/>
        </w:rPr>
      </w:pPr>
      <w:r>
        <w:t>P</w:t>
      </w:r>
      <w:r w:rsidR="00F00AEF">
        <w:t>art 121 and 135 CH</w:t>
      </w:r>
      <w:r w:rsidR="00D260A7">
        <w:t>s</w:t>
      </w:r>
      <w:r w:rsidRPr="00F140DD">
        <w:t xml:space="preserve"> to ensure that each </w:t>
      </w:r>
      <w:r w:rsidR="00D260A7">
        <w:t>P</w:t>
      </w:r>
      <w:r w:rsidR="00F00AEF">
        <w:t xml:space="preserve">art 145 </w:t>
      </w:r>
      <w:r w:rsidRPr="00F140DD">
        <w:t>repair station performing work on the</w:t>
      </w:r>
      <w:r w:rsidR="00225E7C">
        <w:t xml:space="preserve">ir </w:t>
      </w:r>
      <w:r w:rsidRPr="00F140DD">
        <w:t xml:space="preserve">behalf is notified in writing and is aware of the </w:t>
      </w:r>
      <w:r w:rsidR="00225E7C">
        <w:t>CH</w:t>
      </w:r>
      <w:r w:rsidRPr="00F140DD">
        <w:t xml:space="preserve">’s policies and operations specification permitting or </w:t>
      </w:r>
      <w:r w:rsidR="00225E7C">
        <w:t>prohibiting</w:t>
      </w:r>
      <w:r w:rsidRPr="00F140DD" w:rsidR="00225E7C">
        <w:t xml:space="preserve"> </w:t>
      </w:r>
      <w:r w:rsidRPr="00F140DD">
        <w:t xml:space="preserve">against the acceptance, rejection, handling, storage incidental to transport, and carriage of </w:t>
      </w:r>
      <w:r w:rsidR="00225E7C">
        <w:t>hazmat</w:t>
      </w:r>
      <w:r w:rsidR="003638D9">
        <w:t xml:space="preserve"> (§ </w:t>
      </w:r>
      <w:r w:rsidRPr="00F140DD" w:rsidR="003638D9">
        <w:t>121.905(e) and 135.505(e)</w:t>
      </w:r>
      <w:r w:rsidR="003638D9">
        <w:t>)</w:t>
      </w:r>
      <w:r w:rsidR="00225E7C">
        <w:t>;</w:t>
      </w:r>
    </w:p>
    <w:p w:rsidR="000B44FD" w:rsidRPr="00F140DD" w:rsidP="00016140" w14:paraId="7C9781BD" w14:textId="5FAEF711">
      <w:pPr>
        <w:pStyle w:val="ListParagraph"/>
        <w:numPr>
          <w:ilvl w:val="0"/>
          <w:numId w:val="21"/>
        </w:numPr>
      </w:pPr>
      <w:r>
        <w:t>P</w:t>
      </w:r>
      <w:r w:rsidR="00225E7C">
        <w:t xml:space="preserve">art 145 </w:t>
      </w:r>
      <w:r w:rsidRPr="00F140DD">
        <w:t>repair station</w:t>
      </w:r>
      <w:r w:rsidR="003638D9">
        <w:t>s</w:t>
      </w:r>
      <w:r w:rsidRPr="00F140DD">
        <w:t xml:space="preserve"> notified by the</w:t>
      </w:r>
      <w:r>
        <w:t>ir</w:t>
      </w:r>
      <w:r w:rsidRPr="00F140DD">
        <w:t xml:space="preserve"> </w:t>
      </w:r>
      <w:r>
        <w:t>P</w:t>
      </w:r>
      <w:r w:rsidRPr="00F140DD">
        <w:t>art</w:t>
      </w:r>
      <w:r>
        <w:t> </w:t>
      </w:r>
      <w:r w:rsidRPr="00F140DD">
        <w:t xml:space="preserve">121 or 135 </w:t>
      </w:r>
      <w:r w:rsidR="00225E7C">
        <w:t>CH</w:t>
      </w:r>
      <w:r w:rsidRPr="00F140DD">
        <w:t xml:space="preserve"> to verify receipt of the notification</w:t>
      </w:r>
      <w:r w:rsidR="003638D9">
        <w:t xml:space="preserve"> (§ </w:t>
      </w:r>
      <w:r w:rsidRPr="00225E7C" w:rsidR="003638D9">
        <w:rPr>
          <w:rFonts w:cs="Arial"/>
        </w:rPr>
        <w:t>1</w:t>
      </w:r>
      <w:r w:rsidRPr="00F140DD" w:rsidR="003638D9">
        <w:t>45.206(a)</w:t>
      </w:r>
      <w:r w:rsidR="003638D9">
        <w:t>)</w:t>
      </w:r>
      <w:r w:rsidR="00225E7C">
        <w:t>;</w:t>
      </w:r>
      <w:r w:rsidR="00225E7C">
        <w:rPr>
          <w:rFonts w:cs="Arial"/>
          <w:szCs w:val="24"/>
        </w:rPr>
        <w:t xml:space="preserve"> and</w:t>
      </w:r>
    </w:p>
    <w:p w:rsidR="000B44FD" w:rsidRPr="00F140DD" w:rsidP="00016140" w14:paraId="5B5928AB" w14:textId="7F8A2FDA">
      <w:pPr>
        <w:pStyle w:val="ListParagraph"/>
        <w:numPr>
          <w:ilvl w:val="0"/>
          <w:numId w:val="21"/>
        </w:numPr>
      </w:pPr>
      <w:r>
        <w:t>P</w:t>
      </w:r>
      <w:r w:rsidR="00225E7C">
        <w:t xml:space="preserve">art 145 </w:t>
      </w:r>
      <w:r w:rsidRPr="00F140DD">
        <w:t xml:space="preserve">repair stations </w:t>
      </w:r>
      <w:r w:rsidR="003638D9">
        <w:t>to</w:t>
      </w:r>
      <w:r w:rsidRPr="00F140DD" w:rsidR="003638D9">
        <w:t xml:space="preserve"> </w:t>
      </w:r>
      <w:r w:rsidRPr="00F140DD">
        <w:t xml:space="preserve">notify their employees, contractors, or subcontractors that handle or replace aircraft components or other items regulated by </w:t>
      </w:r>
      <w:r w:rsidR="00225E7C">
        <w:t>the HMR</w:t>
      </w:r>
      <w:r w:rsidRPr="00F140DD">
        <w:t xml:space="preserve"> of the will-carry or will-not-carry status of the </w:t>
      </w:r>
      <w:r w:rsidR="00225E7C">
        <w:t>CHs</w:t>
      </w:r>
      <w:r w:rsidRPr="00F140DD">
        <w:t xml:space="preserve"> for which the repair station performs work for or on behalf of</w:t>
      </w:r>
      <w:r w:rsidR="003638D9">
        <w:t xml:space="preserve"> (§ </w:t>
      </w:r>
      <w:r w:rsidRPr="00225E7C" w:rsidR="003638D9">
        <w:rPr>
          <w:rFonts w:cs="Arial"/>
        </w:rPr>
        <w:t>1</w:t>
      </w:r>
      <w:r w:rsidRPr="00F140DD" w:rsidR="003638D9">
        <w:t>45.206(b)</w:t>
      </w:r>
      <w:r w:rsidR="003638D9">
        <w:t>)</w:t>
      </w:r>
      <w:r w:rsidRPr="00F140DD">
        <w:t>.</w:t>
      </w:r>
    </w:p>
    <w:p w:rsidR="00C64707" w:rsidRPr="00F140DD" w:rsidP="0049399B" w14:paraId="6BEE55F1" w14:textId="77777777">
      <w:pPr>
        <w:pStyle w:val="Heading1"/>
      </w:pPr>
      <w:r w:rsidRPr="00F140DD">
        <w:t>3. Describe whether, and to what extent, the collection of information involves the use of automated, electronic, mechanical, or other technological collection techniques or other forms of information technology.</w:t>
      </w:r>
    </w:p>
    <w:p w:rsidR="000B44FD" w:rsidP="009A0FD3" w14:paraId="2D653BB4" w14:textId="4AD1E988">
      <w:pPr>
        <w:rPr>
          <w:rFonts w:cs="Arial"/>
        </w:rPr>
      </w:pPr>
      <w:r>
        <w:t xml:space="preserve">All information collected under this OMB Control Number can be prepared, stored, </w:t>
      </w:r>
      <w:r w:rsidR="005129FE">
        <w:t>and submitted electronically. The FAA has encouraged using automation i</w:t>
      </w:r>
      <w:r w:rsidRPr="00F140DD">
        <w:t>n compliance with the Government Paperwork Elimination Act (GPEA)</w:t>
      </w:r>
      <w:r w:rsidR="00E02DEC">
        <w:t>, including that</w:t>
      </w:r>
      <w:r w:rsidR="005C3BFC">
        <w:t>:</w:t>
      </w:r>
    </w:p>
    <w:p w:rsidR="005577A0" w:rsidP="00016140" w14:paraId="712E293D" w14:textId="109C034A">
      <w:pPr>
        <w:pStyle w:val="ListParagraph"/>
        <w:numPr>
          <w:ilvl w:val="0"/>
          <w:numId w:val="22"/>
        </w:numPr>
      </w:pPr>
      <w:r>
        <w:t xml:space="preserve">Part 121 and 135 CHs can develop and submit </w:t>
      </w:r>
      <w:r w:rsidR="00E02DEC">
        <w:t xml:space="preserve">their </w:t>
      </w:r>
      <w:r>
        <w:t xml:space="preserve">hazmat manuals </w:t>
      </w:r>
      <w:r w:rsidR="00E02DEC">
        <w:t xml:space="preserve">and training programs </w:t>
      </w:r>
      <w:r>
        <w:t>electronically;</w:t>
      </w:r>
    </w:p>
    <w:p w:rsidR="00F632F6" w:rsidP="00016140" w14:paraId="70D25E45" w14:textId="2F9A1942">
      <w:pPr>
        <w:pStyle w:val="ListParagraph"/>
        <w:numPr>
          <w:ilvl w:val="0"/>
          <w:numId w:val="22"/>
        </w:numPr>
      </w:pPr>
      <w:r>
        <w:t>T</w:t>
      </w:r>
      <w:r w:rsidR="008B32AD">
        <w:t xml:space="preserve">raining records </w:t>
      </w:r>
      <w:r>
        <w:t>can</w:t>
      </w:r>
      <w:r w:rsidR="008B32AD">
        <w:t xml:space="preserve"> </w:t>
      </w:r>
      <w:r>
        <w:t xml:space="preserve">be </w:t>
      </w:r>
      <w:r w:rsidR="008B32AD">
        <w:t>developed and stored electronically</w:t>
      </w:r>
      <w:r>
        <w:t xml:space="preserve"> (§§ 121.1007 and 135.507)</w:t>
      </w:r>
      <w:r w:rsidR="008B32AD">
        <w:t>;</w:t>
      </w:r>
    </w:p>
    <w:p w:rsidR="00F632F6" w:rsidRPr="00F632F6" w:rsidP="00016140" w14:paraId="32089427" w14:textId="2B222351">
      <w:pPr>
        <w:pStyle w:val="ListParagraph"/>
        <w:numPr>
          <w:ilvl w:val="0"/>
          <w:numId w:val="22"/>
        </w:numPr>
        <w:rPr>
          <w:rFonts w:cs="Arial"/>
        </w:rPr>
      </w:pPr>
      <w:r>
        <w:rPr>
          <w:rFonts w:cs="Arial"/>
        </w:rPr>
        <w:t>W</w:t>
      </w:r>
      <w:r w:rsidRPr="00F632F6" w:rsidR="0092317B">
        <w:rPr>
          <w:rFonts w:cs="Arial"/>
        </w:rPr>
        <w:t xml:space="preserve">ritten notification </w:t>
      </w:r>
      <w:r>
        <w:rPr>
          <w:rFonts w:cs="Arial"/>
        </w:rPr>
        <w:t xml:space="preserve">requirements </w:t>
      </w:r>
      <w:r w:rsidRPr="00F632F6" w:rsidR="0092317B">
        <w:rPr>
          <w:rFonts w:cs="Arial"/>
        </w:rPr>
        <w:t>i</w:t>
      </w:r>
      <w:r w:rsidRPr="00F632F6" w:rsidR="000B44FD">
        <w:rPr>
          <w:rFonts w:cs="Arial"/>
        </w:rPr>
        <w:t>n §§</w:t>
      </w:r>
      <w:r w:rsidRPr="00F632F6" w:rsidR="0092317B">
        <w:rPr>
          <w:rFonts w:cs="Arial"/>
        </w:rPr>
        <w:t xml:space="preserve"> </w:t>
      </w:r>
      <w:r w:rsidRPr="00F632F6" w:rsidR="000B44FD">
        <w:rPr>
          <w:rFonts w:cs="Arial"/>
        </w:rPr>
        <w:t>121.905 and 135.505</w:t>
      </w:r>
      <w:r w:rsidRPr="00F140DD" w:rsidR="000B44FD">
        <w:t xml:space="preserve"> can be complied with </w:t>
      </w:r>
      <w:r w:rsidR="0092317B">
        <w:t>electronically</w:t>
      </w:r>
      <w:r w:rsidRPr="00F140DD" w:rsidR="000B44FD">
        <w:t xml:space="preserve"> (</w:t>
      </w:r>
      <w:r w:rsidRPr="00F140DD" w:rsidR="00A52C61">
        <w:t>e.g.</w:t>
      </w:r>
      <w:r>
        <w:t>,</w:t>
      </w:r>
      <w:r w:rsidRPr="00F140DD" w:rsidR="00A52C61">
        <w:t xml:space="preserve"> </w:t>
      </w:r>
      <w:r w:rsidRPr="00F140DD" w:rsidR="000B44FD">
        <w:t xml:space="preserve">regular mail, overnight mail, </w:t>
      </w:r>
      <w:r>
        <w:t>fax</w:t>
      </w:r>
      <w:r w:rsidRPr="00F140DD" w:rsidR="000B44FD">
        <w:t>, email)</w:t>
      </w:r>
      <w:r w:rsidRPr="00F632F6">
        <w:rPr>
          <w:rFonts w:cs="Arial"/>
        </w:rPr>
        <w:t>; and</w:t>
      </w:r>
    </w:p>
    <w:p w:rsidR="00CE5723" w:rsidP="00016140" w14:paraId="5BD12412" w14:textId="1BD8F2B9">
      <w:pPr>
        <w:pStyle w:val="ListParagraph"/>
        <w:numPr>
          <w:ilvl w:val="0"/>
          <w:numId w:val="22"/>
        </w:numPr>
      </w:pPr>
      <w:r>
        <w:t xml:space="preserve">The repair station </w:t>
      </w:r>
      <w:r w:rsidR="00176F72">
        <w:t>employee notification requirement i</w:t>
      </w:r>
      <w:r w:rsidRPr="00F140DD" w:rsidR="000B44FD">
        <w:t>n §145.206</w:t>
      </w:r>
      <w:r w:rsidR="002250AA">
        <w:t xml:space="preserve"> </w:t>
      </w:r>
      <w:r w:rsidR="00254288">
        <w:t>can be delivered electronically</w:t>
      </w:r>
      <w:r w:rsidRPr="00F140DD" w:rsidR="000B44FD">
        <w:t>.</w:t>
      </w:r>
    </w:p>
    <w:p w:rsidR="00254288" w:rsidRPr="00F140DD" w:rsidP="00254288" w14:paraId="2D0071CD" w14:textId="216EB700">
      <w:r>
        <w:t xml:space="preserve">Lastly, </w:t>
      </w:r>
      <w:r w:rsidRPr="0020610B" w:rsidR="0020610B">
        <w:t>the FAA-issued training records, authorizations, and operations specifications are issued electronically to further support the use of electronic techniques.</w:t>
      </w:r>
    </w:p>
    <w:p w:rsidR="00C64707" w:rsidRPr="00F140DD" w:rsidP="0049399B" w14:paraId="288339D5" w14:textId="77777777">
      <w:pPr>
        <w:pStyle w:val="Heading1"/>
      </w:pPr>
      <w:r w:rsidRPr="00F140DD">
        <w:t>4. Describe efforts to identify duplication. Show specifically why any similar information already available cannot be used or modified for use for the purposes described in Item 2 above.</w:t>
      </w:r>
    </w:p>
    <w:p w:rsidR="000B44FD" w:rsidRPr="00F140DD" w:rsidP="007E6537" w14:paraId="0DCA2B4A" w14:textId="3B92FC1D">
      <w:r>
        <w:t>T</w:t>
      </w:r>
      <w:r w:rsidR="00562133">
        <w:t>he FAA has not identified any duplication of the information collected in this OMB Control Number. The following details some items that were considered:</w:t>
      </w:r>
    </w:p>
    <w:p w:rsidR="000B44FD" w:rsidRPr="00016140" w:rsidP="00016140" w14:paraId="24A8E66F" w14:textId="5E72D054">
      <w:pPr>
        <w:pStyle w:val="ListParagraph"/>
      </w:pPr>
      <w:r w:rsidRPr="00016140">
        <w:t xml:space="preserve">The information collected is only available from the applicant </w:t>
      </w:r>
      <w:r w:rsidR="00DF29CF">
        <w:t xml:space="preserve">or </w:t>
      </w:r>
      <w:r w:rsidR="007F7ABD">
        <w:t>CH,</w:t>
      </w:r>
      <w:r w:rsidR="008E5A32">
        <w:t xml:space="preserve"> as</w:t>
      </w:r>
      <w:r w:rsidRPr="00016140">
        <w:t xml:space="preserve"> </w:t>
      </w:r>
      <w:r w:rsidR="00DF29CF">
        <w:t>t</w:t>
      </w:r>
      <w:r w:rsidRPr="00016140">
        <w:t>he information is not available from any other source</w:t>
      </w:r>
      <w:r w:rsidR="00DF29CF">
        <w:t>;</w:t>
      </w:r>
    </w:p>
    <w:p w:rsidR="004B1CCA" w:rsidP="00122B01" w14:paraId="07984A47" w14:textId="14ECE350">
      <w:pPr>
        <w:pStyle w:val="ListParagraph"/>
      </w:pPr>
      <w:r>
        <w:t xml:space="preserve">Although </w:t>
      </w:r>
      <w:r w:rsidR="00D260A7">
        <w:t>P</w:t>
      </w:r>
      <w:r w:rsidR="00AD3735">
        <w:t>art 121 and 135 CH personnel may receive training</w:t>
      </w:r>
      <w:r w:rsidR="00F802A6">
        <w:t xml:space="preserve"> in accordance with 49 CFR Part 172, Subpart H</w:t>
      </w:r>
      <w:r w:rsidR="001A46CD">
        <w:t>,</w:t>
      </w:r>
      <w:r>
        <w:rPr>
          <w:rStyle w:val="FootnoteReference"/>
        </w:rPr>
        <w:footnoteReference w:id="4"/>
      </w:r>
      <w:r w:rsidR="00AD3735">
        <w:t xml:space="preserve"> </w:t>
      </w:r>
      <w:r w:rsidR="005121E0">
        <w:t xml:space="preserve">this collection is still necessary because not all personnel covered by this collection are subject to </w:t>
      </w:r>
      <w:r w:rsidR="00421A86">
        <w:t>49 CFR Part 172, Subpart H</w:t>
      </w:r>
      <w:r w:rsidR="00D777F2">
        <w:t>,</w:t>
      </w:r>
      <w:r w:rsidR="00421A86">
        <w:t xml:space="preserve"> and </w:t>
      </w:r>
      <w:r w:rsidR="002A3923">
        <w:t>duplication does not exist for these personnel</w:t>
      </w:r>
      <w:r w:rsidR="00CE028A">
        <w:t xml:space="preserve">. Additionally, those personnel trained under 49 CFR may use that training to meet </w:t>
      </w:r>
      <w:r w:rsidR="00643F61">
        <w:t>14 CFR hazmat training program requirements</w:t>
      </w:r>
      <w:r w:rsidR="002A3923">
        <w:t>;</w:t>
      </w:r>
      <w:r w:rsidR="004B48C5">
        <w:t xml:space="preserve"> and</w:t>
      </w:r>
    </w:p>
    <w:p w:rsidR="00D319DD" w:rsidRPr="00F140DD" w:rsidP="0073191F" w14:paraId="4D4E6730" w14:textId="4A932C68">
      <w:pPr>
        <w:pStyle w:val="ListParagraph"/>
      </w:pPr>
      <w:r>
        <w:t xml:space="preserve">The </w:t>
      </w:r>
      <w:r w:rsidRPr="00F140DD">
        <w:t xml:space="preserve">repair station </w:t>
      </w:r>
      <w:r>
        <w:t xml:space="preserve">notification requirements are not </w:t>
      </w:r>
      <w:r w:rsidR="0073191F">
        <w:t>duplicated as they are not required elsewhere. When first required in the 2005 rulemaking, the notification requirement was new as it was a part of a</w:t>
      </w:r>
      <w:r w:rsidRPr="00F140DD">
        <w:t xml:space="preserve"> National Transportation Safety Board</w:t>
      </w:r>
      <w:r w:rsidR="0073191F">
        <w:t xml:space="preserve"> (NTSB)</w:t>
      </w:r>
      <w:r w:rsidRPr="00F140DD">
        <w:t xml:space="preserve"> </w:t>
      </w:r>
      <w:r w:rsidR="0073191F">
        <w:t xml:space="preserve">safety </w:t>
      </w:r>
      <w:r w:rsidRPr="00F140DD">
        <w:t>recommendation.</w:t>
      </w:r>
    </w:p>
    <w:p w:rsidR="00C64707" w:rsidRPr="006E4641" w:rsidP="005906E0" w14:paraId="3EA1CB31" w14:textId="7E3EB5A6">
      <w:pPr>
        <w:pStyle w:val="Heading1"/>
        <w:rPr>
          <w:rStyle w:val="Heading1Char"/>
        </w:rPr>
      </w:pPr>
      <w:r w:rsidRPr="006E4641">
        <w:rPr>
          <w:rStyle w:val="Heading1Char"/>
          <w:b/>
          <w:bCs/>
        </w:rPr>
        <w:t>5. If the collection of information involves small businesses or other small entities, describe the methods used to minimize burden.</w:t>
      </w:r>
    </w:p>
    <w:p w:rsidR="000B44FD" w:rsidRPr="00F140DD" w:rsidP="0049399B" w14:paraId="42A67F28" w14:textId="56031AFD">
      <w:r>
        <w:t>Under</w:t>
      </w:r>
      <w:r w:rsidRPr="00F140DD">
        <w:t xml:space="preserve"> the Regulatory Flexibility Act, 5 U.S.C. 605(b), the </w:t>
      </w:r>
      <w:r>
        <w:t xml:space="preserve">FAA </w:t>
      </w:r>
      <w:r w:rsidRPr="00F140DD" w:rsidR="00F75CF3">
        <w:t>certifies that</w:t>
      </w:r>
      <w:r w:rsidR="00333B8E">
        <w:t xml:space="preserve"> this</w:t>
      </w:r>
      <w:r w:rsidRPr="00F140DD" w:rsidR="00F75CF3">
        <w:t xml:space="preserve"> information collection </w:t>
      </w:r>
      <w:r w:rsidRPr="00F140DD">
        <w:t>will not have a significant econ</w:t>
      </w:r>
      <w:r w:rsidRPr="00F140DD" w:rsidR="00F75CF3">
        <w:t>omic impact on</w:t>
      </w:r>
      <w:r w:rsidRPr="00F140DD">
        <w:t xml:space="preserve"> substantial number of small businesses.</w:t>
      </w:r>
    </w:p>
    <w:p w:rsidR="00C64707" w:rsidRPr="00F140DD" w:rsidP="0049399B" w14:paraId="5FFCEEB1" w14:textId="2FF69F51">
      <w:r w:rsidRPr="00F140DD">
        <w:t>Applicants for operating certificates, whether small or large</w:t>
      </w:r>
      <w:r w:rsidR="008971D7">
        <w:t xml:space="preserve"> businesses</w:t>
      </w:r>
      <w:r w:rsidRPr="00F140DD">
        <w:t xml:space="preserve">, are guided through the administrative requirements of </w:t>
      </w:r>
      <w:r w:rsidR="00D260A7">
        <w:t>P</w:t>
      </w:r>
      <w:r w:rsidRPr="00F140DD">
        <w:t>arts 121, 135, and 145 by</w:t>
      </w:r>
      <w:r w:rsidR="00FA4023">
        <w:t xml:space="preserve"> FAA</w:t>
      </w:r>
      <w:r w:rsidRPr="00F140DD">
        <w:t xml:space="preserve"> </w:t>
      </w:r>
      <w:r w:rsidR="00FA4023">
        <w:t>personnel</w:t>
      </w:r>
      <w:r w:rsidRPr="00F140DD">
        <w:t xml:space="preserve"> assigned certificate responsibilities</w:t>
      </w:r>
      <w:r w:rsidR="008971D7">
        <w:t xml:space="preserve"> to help reduce the burdens on small businesses</w:t>
      </w:r>
      <w:r w:rsidRPr="00F140DD">
        <w:t>.</w:t>
      </w:r>
    </w:p>
    <w:p w:rsidR="00C64707" w:rsidRPr="00F140DD" w:rsidP="0049399B" w14:paraId="055DD89E" w14:textId="77777777">
      <w:pPr>
        <w:pStyle w:val="Heading1"/>
      </w:pPr>
      <w:r w:rsidRPr="00F140DD">
        <w:t>6. Describe the consequence to Federal program or policy activities if the collection is not conducted or is conducted less frequently, as well as any technical or legal obstacles to reducing burden.</w:t>
      </w:r>
    </w:p>
    <w:p w:rsidR="005926D2" w:rsidRPr="00F140DD" w:rsidP="0049399B" w14:paraId="7C4BD07B" w14:textId="0692334C">
      <w:r w:rsidRPr="00F140DD">
        <w:t xml:space="preserve">The </w:t>
      </w:r>
      <w:r w:rsidR="0021315C">
        <w:t xml:space="preserve">FAA has </w:t>
      </w:r>
      <w:r w:rsidRPr="00F140DD">
        <w:t>minimize</w:t>
      </w:r>
      <w:r w:rsidR="0021315C">
        <w:t>d</w:t>
      </w:r>
      <w:r w:rsidRPr="00F140DD">
        <w:t xml:space="preserve"> the </w:t>
      </w:r>
      <w:r w:rsidR="0021315C">
        <w:t xml:space="preserve">requested information </w:t>
      </w:r>
      <w:r w:rsidR="00D51EBE">
        <w:t>as much as possible without impacting safety</w:t>
      </w:r>
      <w:r w:rsidRPr="00F140DD">
        <w:t xml:space="preserve">. Part 121 and 135 </w:t>
      </w:r>
      <w:r w:rsidR="00D51EBE">
        <w:t>CHs</w:t>
      </w:r>
      <w:r w:rsidRPr="00F140DD">
        <w:t xml:space="preserve"> </w:t>
      </w:r>
      <w:r w:rsidR="00C96A3F">
        <w:t>obtain approval or acceptance, as appropriate</w:t>
      </w:r>
      <w:r w:rsidR="00FC2A0B">
        <w:t>,</w:t>
      </w:r>
      <w:r w:rsidR="00C96A3F">
        <w:t xml:space="preserve"> of their hazmat manual and training program </w:t>
      </w:r>
      <w:r w:rsidR="00FC2A0B">
        <w:t xml:space="preserve">during initial certification and </w:t>
      </w:r>
      <w:r w:rsidR="00C96A3F">
        <w:t>modification, when appropriate</w:t>
      </w:r>
      <w:r w:rsidRPr="00F140DD">
        <w:t xml:space="preserve">. There is no requirement for these </w:t>
      </w:r>
      <w:r w:rsidR="00ED228F">
        <w:t>CHs</w:t>
      </w:r>
      <w:r w:rsidRPr="00F140DD" w:rsidR="00ED228F">
        <w:t xml:space="preserve"> </w:t>
      </w:r>
      <w:r w:rsidRPr="00F140DD">
        <w:t xml:space="preserve">to provide periodic updates. </w:t>
      </w:r>
      <w:r w:rsidRPr="00F140DD" w:rsidR="00ED228F">
        <w:t>Part</w:t>
      </w:r>
      <w:r w:rsidR="00ED228F">
        <w:t> </w:t>
      </w:r>
      <w:r w:rsidRPr="00F140DD">
        <w:t xml:space="preserve">145 repair stations </w:t>
      </w:r>
      <w:r w:rsidR="006D1A95">
        <w:t>must</w:t>
      </w:r>
      <w:r w:rsidR="00E225C9">
        <w:t xml:space="preserve"> fulfill requirements </w:t>
      </w:r>
      <w:r w:rsidR="006D1A95">
        <w:t>before</w:t>
      </w:r>
      <w:r w:rsidRPr="00F140DD">
        <w:t xml:space="preserve"> the FAA issu</w:t>
      </w:r>
      <w:r w:rsidR="006D1A95">
        <w:t>es</w:t>
      </w:r>
      <w:r w:rsidRPr="00F140DD">
        <w:t xml:space="preserve"> a certificate</w:t>
      </w:r>
      <w:r w:rsidR="006D1A95">
        <w:t xml:space="preserve"> and</w:t>
      </w:r>
      <w:r w:rsidRPr="00F140DD">
        <w:t xml:space="preserve"> not at the time of application. </w:t>
      </w:r>
      <w:r w:rsidRPr="00F140DD" w:rsidR="000B44FD">
        <w:t>The frequency of information collection depend</w:t>
      </w:r>
      <w:r w:rsidR="006D1A95">
        <w:t>s</w:t>
      </w:r>
      <w:r w:rsidRPr="00F140DD" w:rsidR="000B44FD">
        <w:t xml:space="preserve"> on the applicant’s business plan and the need for </w:t>
      </w:r>
      <w:r w:rsidR="00ED228F">
        <w:t>CHs</w:t>
      </w:r>
      <w:r w:rsidRPr="00F140DD" w:rsidR="00ED228F">
        <w:t xml:space="preserve"> </w:t>
      </w:r>
      <w:r w:rsidRPr="00F140DD" w:rsidR="000B44FD">
        <w:t>who have obtained air carrier certification to undergo recertification if they plan to conduct new operations. The applicant who requests certification benefits, for the most part, determines the frequency of information.</w:t>
      </w:r>
    </w:p>
    <w:p w:rsidR="00C64707" w:rsidRPr="00F140DD" w:rsidP="0049399B" w14:paraId="5CD0E125" w14:textId="2F284FE2">
      <w:r w:rsidRPr="00F140DD">
        <w:t xml:space="preserve">Without this information collection, </w:t>
      </w:r>
      <w:r w:rsidR="00D86594">
        <w:t xml:space="preserve">the </w:t>
      </w:r>
      <w:r w:rsidRPr="00F140DD">
        <w:t xml:space="preserve">FAA </w:t>
      </w:r>
      <w:r w:rsidR="00F52A38">
        <w:t>would anticipate</w:t>
      </w:r>
      <w:r w:rsidRPr="00F140DD">
        <w:t xml:space="preserve"> an increase </w:t>
      </w:r>
      <w:r w:rsidR="00E225C9">
        <w:t xml:space="preserve">in </w:t>
      </w:r>
      <w:r w:rsidRPr="00F140DD">
        <w:t xml:space="preserve">undeclared and improperly declared hazmat </w:t>
      </w:r>
      <w:r w:rsidR="00D86594">
        <w:t xml:space="preserve">shipments, which would increase </w:t>
      </w:r>
      <w:r w:rsidRPr="00F140DD">
        <w:t>incide</w:t>
      </w:r>
      <w:r w:rsidRPr="00F140DD" w:rsidR="005926D2">
        <w:t xml:space="preserve">nts. Enforceable hazmat training standards </w:t>
      </w:r>
      <w:r w:rsidR="007667FF">
        <w:t>for</w:t>
      </w:r>
      <w:r w:rsidRPr="00F140DD" w:rsidR="007667FF">
        <w:t xml:space="preserve"> </w:t>
      </w:r>
      <w:r w:rsidR="007667FF">
        <w:t xml:space="preserve">the </w:t>
      </w:r>
      <w:r w:rsidRPr="00F140DD" w:rsidR="005926D2">
        <w:t>hazmat training program reduc</w:t>
      </w:r>
      <w:r w:rsidR="00456E80">
        <w:t>e</w:t>
      </w:r>
      <w:r w:rsidRPr="00F140DD" w:rsidR="005926D2">
        <w:t xml:space="preserve"> the potential </w:t>
      </w:r>
      <w:r w:rsidR="00456E80">
        <w:t>for</w:t>
      </w:r>
      <w:r w:rsidRPr="00F140DD" w:rsidR="00456E80">
        <w:t xml:space="preserve"> </w:t>
      </w:r>
      <w:r w:rsidR="00267C8A">
        <w:t>undeclared</w:t>
      </w:r>
      <w:r w:rsidRPr="00F140DD" w:rsidR="005926D2">
        <w:t xml:space="preserve"> </w:t>
      </w:r>
      <w:r w:rsidR="00267C8A">
        <w:t xml:space="preserve">and improperly prepared </w:t>
      </w:r>
      <w:r w:rsidRPr="00F140DD" w:rsidR="005926D2">
        <w:t xml:space="preserve">hazmat shipments </w:t>
      </w:r>
      <w:r w:rsidR="00267C8A">
        <w:t>from being transported by aircraft</w:t>
      </w:r>
      <w:r w:rsidRPr="00F140DD" w:rsidR="005926D2">
        <w:t xml:space="preserve">. </w:t>
      </w:r>
    </w:p>
    <w:p w:rsidR="00C64707" w:rsidP="0049399B" w14:paraId="20B11807" w14:textId="77777777">
      <w:pPr>
        <w:pStyle w:val="Heading1"/>
      </w:pPr>
      <w:r w:rsidRPr="00F140DD">
        <w:t>7. Explain any special circumstances that would cause an information collection to be conducted in a manner:</w:t>
      </w:r>
    </w:p>
    <w:p w:rsidR="00041DB2" w:rsidRPr="00410D5F" w:rsidP="00041DB2" w14:paraId="3E258A66" w14:textId="77777777">
      <w:pPr>
        <w:pStyle w:val="ListParagraph"/>
        <w:numPr>
          <w:ilvl w:val="0"/>
          <w:numId w:val="25"/>
        </w:numPr>
        <w:shd w:val="clear" w:color="auto" w:fill="FFFFFF"/>
        <w:ind w:left="547"/>
        <w:rPr>
          <w:b/>
          <w:bCs/>
          <w:i/>
          <w:iCs/>
        </w:rPr>
      </w:pPr>
      <w:r w:rsidRPr="00410D5F">
        <w:rPr>
          <w:b/>
          <w:bCs/>
          <w:i/>
          <w:iCs/>
        </w:rPr>
        <w:t>requiring respondents to report information to the agency more often than quarterly;</w:t>
      </w:r>
    </w:p>
    <w:p w:rsidR="00041DB2" w:rsidRPr="00410D5F" w:rsidP="00041DB2" w14:paraId="413B4C63" w14:textId="77777777">
      <w:pPr>
        <w:pStyle w:val="ListParagraph"/>
        <w:numPr>
          <w:ilvl w:val="0"/>
          <w:numId w:val="25"/>
        </w:numPr>
        <w:shd w:val="clear" w:color="auto" w:fill="FFFFFF"/>
        <w:ind w:left="547"/>
        <w:rPr>
          <w:b/>
          <w:bCs/>
          <w:i/>
          <w:iCs/>
        </w:rPr>
      </w:pPr>
      <w:r w:rsidRPr="00410D5F">
        <w:rPr>
          <w:b/>
          <w:bCs/>
          <w:i/>
          <w:iCs/>
        </w:rPr>
        <w:t>requiring respondents to prepare a written response to a collection of information in fewer than 30 days after receipt of it;</w:t>
      </w:r>
    </w:p>
    <w:p w:rsidR="00041DB2" w:rsidRPr="00410D5F" w:rsidP="00041DB2" w14:paraId="1AEE49EF" w14:textId="77777777">
      <w:pPr>
        <w:pStyle w:val="ListParagraph"/>
        <w:numPr>
          <w:ilvl w:val="0"/>
          <w:numId w:val="25"/>
        </w:numPr>
        <w:shd w:val="clear" w:color="auto" w:fill="FFFFFF"/>
        <w:ind w:left="547"/>
        <w:rPr>
          <w:b/>
          <w:bCs/>
          <w:i/>
          <w:iCs/>
        </w:rPr>
      </w:pPr>
      <w:r w:rsidRPr="00410D5F">
        <w:rPr>
          <w:b/>
          <w:bCs/>
          <w:i/>
          <w:iCs/>
        </w:rPr>
        <w:t>requiring respondents to submit more than an original and two copies of any document; requiring respondents to retain records, other than health, medical, government contract, grant-in-aid, or tax records, for more than three years;</w:t>
      </w:r>
    </w:p>
    <w:p w:rsidR="00041DB2" w:rsidRPr="00410D5F" w:rsidP="00041DB2" w14:paraId="429712BE" w14:textId="77777777">
      <w:pPr>
        <w:pStyle w:val="ListParagraph"/>
        <w:numPr>
          <w:ilvl w:val="0"/>
          <w:numId w:val="25"/>
        </w:numPr>
        <w:shd w:val="clear" w:color="auto" w:fill="FFFFFF"/>
        <w:ind w:left="547"/>
        <w:rPr>
          <w:b/>
          <w:bCs/>
          <w:i/>
          <w:iCs/>
        </w:rPr>
      </w:pPr>
      <w:r w:rsidRPr="00410D5F">
        <w:rPr>
          <w:b/>
          <w:bCs/>
          <w:i/>
          <w:iCs/>
        </w:rPr>
        <w:t>in connection with a statistical survey, that is not designed to produce valid and reliable results that can be generalized to the universe of study;</w:t>
      </w:r>
    </w:p>
    <w:p w:rsidR="00041DB2" w:rsidRPr="00410D5F" w:rsidP="00041DB2" w14:paraId="38B6D05A" w14:textId="77777777">
      <w:pPr>
        <w:pStyle w:val="ListParagraph"/>
        <w:numPr>
          <w:ilvl w:val="0"/>
          <w:numId w:val="25"/>
        </w:numPr>
        <w:shd w:val="clear" w:color="auto" w:fill="FFFFFF"/>
        <w:ind w:left="547"/>
        <w:rPr>
          <w:b/>
          <w:bCs/>
          <w:i/>
          <w:iCs/>
        </w:rPr>
      </w:pPr>
      <w:r w:rsidRPr="00410D5F">
        <w:rPr>
          <w:b/>
          <w:bCs/>
          <w:i/>
          <w:iCs/>
        </w:rPr>
        <w:t>requiring the use of a statistical data classification that has not been reviewed and approved by OMB;</w:t>
      </w:r>
    </w:p>
    <w:p w:rsidR="00041DB2" w:rsidRPr="00410D5F" w:rsidP="00041DB2" w14:paraId="5863D18E" w14:textId="77777777">
      <w:pPr>
        <w:pStyle w:val="ListParagraph"/>
        <w:numPr>
          <w:ilvl w:val="0"/>
          <w:numId w:val="25"/>
        </w:numPr>
        <w:shd w:val="clear" w:color="auto" w:fill="FFFFFF"/>
        <w:ind w:left="547"/>
        <w:rPr>
          <w:b/>
          <w:bCs/>
          <w:i/>
          <w:iCs/>
        </w:rPr>
      </w:pPr>
      <w:r w:rsidRPr="00410D5F">
        <w:rPr>
          <w:b/>
          <w:bCs/>
          <w:i/>
          <w:iCs/>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Pr>
          <w:b/>
          <w:bCs/>
          <w:i/>
          <w:iCs/>
        </w:rPr>
        <w:t>or</w:t>
      </w:r>
    </w:p>
    <w:p w:rsidR="00041DB2" w:rsidRPr="00A04A06" w:rsidP="00A04A06" w14:paraId="1F834FD3" w14:textId="3C8F724C">
      <w:pPr>
        <w:pStyle w:val="ListParagraph"/>
        <w:numPr>
          <w:ilvl w:val="0"/>
          <w:numId w:val="25"/>
        </w:numPr>
        <w:shd w:val="clear" w:color="auto" w:fill="FFFFFF"/>
        <w:ind w:left="547"/>
        <w:rPr>
          <w:i/>
          <w:iCs/>
        </w:rPr>
      </w:pPr>
      <w:r w:rsidRPr="00724528">
        <w:rPr>
          <w:b/>
          <w:bCs/>
          <w:i/>
          <w:iCs/>
        </w:rPr>
        <w:t xml:space="preserve">requiring respondents to submit proprietary trade secret, or other confidential information unless the agency can demonstrate that it has </w:t>
      </w:r>
      <w:r w:rsidRPr="00724528">
        <w:rPr>
          <w:b/>
          <w:bCs/>
          <w:i/>
          <w:iCs/>
        </w:rPr>
        <w:t>instituted procedures to protect the information’s confidentiality to the extent permitted by law.</w:t>
      </w:r>
    </w:p>
    <w:p w:rsidR="00C64707" w:rsidRPr="00F140DD" w:rsidP="0049399B" w14:paraId="44F39744" w14:textId="0621382B">
      <w:r w:rsidRPr="00F140DD">
        <w:t>There are no special circumstances.</w:t>
      </w:r>
    </w:p>
    <w:p w:rsidR="00C64707" w:rsidRPr="00F140DD" w:rsidP="0049399B" w14:paraId="7E06F634" w14:textId="77777777">
      <w:pPr>
        <w:pStyle w:val="Heading1"/>
      </w:pPr>
      <w:r w:rsidRPr="00F140DD">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w:t>
      </w:r>
      <w:r w:rsidRPr="00F140DD">
        <w:t>y), and on the data elements to be recorded, disclosed, or reported.</w:t>
      </w:r>
    </w:p>
    <w:p w:rsidR="00DA56C8" w:rsidP="00DA56C8" w14:paraId="676AEE85" w14:textId="77777777">
      <w:r w:rsidRPr="00F140DD">
        <w:t xml:space="preserve">A </w:t>
      </w:r>
      <w:r w:rsidR="00F62EDE">
        <w:t xml:space="preserve">60-day </w:t>
      </w:r>
      <w:r w:rsidRPr="00F140DD">
        <w:t xml:space="preserve">Federal Register Notice published on </w:t>
      </w:r>
      <w:r w:rsidRPr="00D61ED1" w:rsidR="00C12594">
        <w:t xml:space="preserve">June </w:t>
      </w:r>
      <w:r w:rsidRPr="00D61ED1" w:rsidR="00D61ED1">
        <w:t>17</w:t>
      </w:r>
      <w:r w:rsidRPr="00D61ED1" w:rsidR="00C12594">
        <w:t xml:space="preserve">, </w:t>
      </w:r>
      <w:r w:rsidRPr="00D61ED1" w:rsidR="00D61ED1">
        <w:t xml:space="preserve">2025 </w:t>
      </w:r>
      <w:r w:rsidRPr="00D61ED1" w:rsidR="00C12594">
        <w:t>(</w:t>
      </w:r>
      <w:r w:rsidRPr="00D61ED1" w:rsidR="00D61ED1">
        <w:t>90 FR 25742</w:t>
      </w:r>
      <w:r w:rsidR="00C12594">
        <w:t xml:space="preserve">), </w:t>
      </w:r>
      <w:r w:rsidRPr="00F140DD">
        <w:t xml:space="preserve">solicited public comment. </w:t>
      </w:r>
      <w:r>
        <w:t xml:space="preserve">In response to the 60-day notice, the FAA received two comments. </w:t>
      </w:r>
    </w:p>
    <w:p w:rsidR="00DA56C8" w:rsidP="00DA56C8" w14:paraId="0C4D4DE5" w14:textId="20D58316">
      <w:r>
        <w:t>The Aviation Suppliers Association</w:t>
      </w:r>
      <w:r>
        <w:rPr>
          <w:rStyle w:val="FootnoteReference"/>
        </w:rPr>
        <w:footnoteReference w:id="5"/>
      </w:r>
      <w:r>
        <w:t xml:space="preserve"> commented that the burden estimate for 2 hours per repair station was too small and recommended increasing the hours to 40 hours for new hazmat manuals and 8 hours for revised manuals. In addition, they point to additional training recordkeeping burden in 49 CFR 172.704, not accounted for in this collection.</w:t>
      </w:r>
    </w:p>
    <w:p w:rsidR="00B250FF" w:rsidRPr="00B250FF" w:rsidP="00DA56C8" w14:paraId="405ADFE5" w14:textId="0D57B724">
      <w:r>
        <w:rPr>
          <w:i/>
          <w:iCs/>
        </w:rPr>
        <w:t xml:space="preserve">FAA Response: </w:t>
      </w:r>
      <w:r>
        <w:t xml:space="preserve">The FAA agrees that the development of repair stations manuals </w:t>
      </w:r>
      <w:r w:rsidR="008568E0">
        <w:t xml:space="preserve">would </w:t>
      </w:r>
      <w:r>
        <w:t>take more than 2 hours</w:t>
      </w:r>
      <w:r w:rsidR="008568E0">
        <w:t>; h</w:t>
      </w:r>
      <w:r>
        <w:t xml:space="preserve">owever, </w:t>
      </w:r>
      <w:r w:rsidR="004A0E0F">
        <w:t xml:space="preserve">as identified, </w:t>
      </w:r>
      <w:r>
        <w:t xml:space="preserve">this collection only covers the burden associated with hazmat training records </w:t>
      </w:r>
      <w:r w:rsidR="004A0E0F">
        <w:t xml:space="preserve">certification and notification </w:t>
      </w:r>
      <w:r>
        <w:t xml:space="preserve">for repair stations </w:t>
      </w:r>
      <w:r w:rsidR="004A0E0F">
        <w:t xml:space="preserve">(see </w:t>
      </w:r>
      <w:r>
        <w:t>14 CFR 145.53 and 145.206</w:t>
      </w:r>
      <w:r w:rsidR="004A0E0F">
        <w:t>)</w:t>
      </w:r>
      <w:r>
        <w:t>. In addition, the 49 CFR 172.704 training requirement for hazmat employees as well as other information collected under the HMR are covered by the Pipeline and Hazardous Materials Safety Administration (PHMSA); see 49 CFR 171.6.</w:t>
      </w:r>
      <w:r w:rsidR="004A0E0F">
        <w:t xml:space="preserve"> Therefore, the FAA maintains that 2 hours is a reasonable estimate for the Part 145 Repair Station burden.</w:t>
      </w:r>
    </w:p>
    <w:p w:rsidR="00DA56C8" w:rsidP="00DA56C8" w14:paraId="0CB1FB0C" w14:textId="79198949">
      <w:r>
        <w:t>The Council of Safety Transportation of Hazardous Articles (COSTHA)</w:t>
      </w:r>
      <w:r>
        <w:rPr>
          <w:rStyle w:val="FootnoteReference"/>
        </w:rPr>
        <w:footnoteReference w:id="6"/>
      </w:r>
      <w:r>
        <w:t xml:space="preserve"> commented on </w:t>
      </w:r>
      <w:r w:rsidR="00946A95">
        <w:t>several</w:t>
      </w:r>
      <w:r>
        <w:t xml:space="preserve"> topics related to this information collection. Specifically, COSTHA:</w:t>
      </w:r>
    </w:p>
    <w:p w:rsidR="00C757FA" w:rsidP="00DA56C8" w14:paraId="122B1D55" w14:textId="77777777">
      <w:pPr>
        <w:pStyle w:val="ListParagraph"/>
        <w:numPr>
          <w:ilvl w:val="0"/>
          <w:numId w:val="25"/>
        </w:numPr>
      </w:pPr>
      <w:r>
        <w:t>Highlighted areas where the 60-day notice implied there was a change to the information collected under this collection;</w:t>
      </w:r>
    </w:p>
    <w:p w:rsidR="00C757FA" w:rsidP="00DA56C8" w14:paraId="42DED6E4" w14:textId="77777777">
      <w:pPr>
        <w:pStyle w:val="ListParagraph"/>
        <w:numPr>
          <w:ilvl w:val="0"/>
          <w:numId w:val="25"/>
        </w:numPr>
      </w:pPr>
      <w:r>
        <w:t>Opposed the proposed change to the title of this information collection;</w:t>
      </w:r>
    </w:p>
    <w:p w:rsidR="00C757FA" w:rsidP="00DA56C8" w14:paraId="7E758337" w14:textId="77777777">
      <w:pPr>
        <w:pStyle w:val="ListParagraph"/>
        <w:numPr>
          <w:ilvl w:val="0"/>
          <w:numId w:val="25"/>
        </w:numPr>
      </w:pPr>
      <w:r>
        <w:t>Indicated that the FAA has used this collection for broader information collection, such as for “Commercial Air Tour Operator Reports;”</w:t>
      </w:r>
    </w:p>
    <w:p w:rsidR="00C757FA" w:rsidP="00DA56C8" w14:paraId="34FCD127" w14:textId="77777777">
      <w:pPr>
        <w:pStyle w:val="ListParagraph"/>
        <w:numPr>
          <w:ilvl w:val="0"/>
          <w:numId w:val="25"/>
        </w:numPr>
      </w:pPr>
      <w:r>
        <w:t>Requested standardization of internal FAA review processes of the collected information; and</w:t>
      </w:r>
    </w:p>
    <w:p w:rsidR="00DA56C8" w:rsidP="00FB1996" w14:paraId="43AC3A97" w14:textId="510E8478">
      <w:pPr>
        <w:pStyle w:val="ListParagraph"/>
        <w:numPr>
          <w:ilvl w:val="0"/>
          <w:numId w:val="25"/>
        </w:numPr>
      </w:pPr>
      <w:r>
        <w:t>Requested more details for the burden estimate.</w:t>
      </w:r>
    </w:p>
    <w:p w:rsidR="00DA56C8" w:rsidP="00B30936" w14:paraId="28C32A0C" w14:textId="4F94D27F">
      <w:r>
        <w:rPr>
          <w:i/>
          <w:iCs/>
        </w:rPr>
        <w:t>FAA Response:</w:t>
      </w:r>
      <w:r>
        <w:rPr>
          <w:b/>
          <w:bCs/>
          <w:i/>
          <w:iCs/>
        </w:rPr>
        <w:t xml:space="preserve"> </w:t>
      </w:r>
      <w:r w:rsidR="00B30936">
        <w:t>T</w:t>
      </w:r>
      <w:r>
        <w:t xml:space="preserve">he FAA appreciates </w:t>
      </w:r>
      <w:r w:rsidR="00B30936">
        <w:t>COSTHA’s</w:t>
      </w:r>
      <w:r>
        <w:t xml:space="preserve"> comments highlighting some of the potential confusion in the 60-day notice. However, the FAA asserts that any confusion was inadvertent and does not change the scope of this information collection. As identified, this collection only covers the requirements originally promulgated in the October 7, 2025, final rule. Both the 60-day notice and this notice are only intended to request an extension to collect the required information</w:t>
      </w:r>
      <w:r w:rsidR="004858C9">
        <w:t>—and not change what kind of information is collected</w:t>
      </w:r>
      <w:r>
        <w:t>.</w:t>
      </w:r>
    </w:p>
    <w:p w:rsidR="00DA56C8" w:rsidP="00DA56C8" w14:paraId="6230C488" w14:textId="40A9DEB0">
      <w:r>
        <w:t xml:space="preserve">The proposed editorial change to the title of this information collection to “Hazardous Materials Program Requirements” continues to be intended to better reflect the information collected instead of just one </w:t>
      </w:r>
      <w:r w:rsidR="00AB10AC">
        <w:t>portion of this collection</w:t>
      </w:r>
      <w:r>
        <w:t xml:space="preserve">. By editorially changing the title to “Hazardous Materials Program Requirements,” the FAA only intends to clarify, based on title alone, that this collection also covers other various 14 CFR hazmat requirements. The FAA disagrees that changing the title will lead to future expansion of </w:t>
      </w:r>
      <w:r w:rsidR="00AB10AC">
        <w:t xml:space="preserve">the scope of </w:t>
      </w:r>
      <w:r>
        <w:t>this collection</w:t>
      </w:r>
      <w:r w:rsidR="00AB10AC">
        <w:t>. Should</w:t>
      </w:r>
      <w:r>
        <w:t xml:space="preserve"> the FAA choose to expand the required information collected, the FAA will issue appropriate notice and comment on the change. </w:t>
      </w:r>
    </w:p>
    <w:p w:rsidR="00DA56C8" w:rsidP="00DA56C8" w14:paraId="03F07BC3" w14:textId="3ABB64BD">
      <w:r>
        <w:t>In response to COSTHA’s assertion that the FAA has used this collection for other types of collection, such as “Commercial Air Tour Operator Reports,” the FAA disagrees</w:t>
      </w:r>
      <w:r w:rsidR="00AB10AC">
        <w:t xml:space="preserve">. This type of information is currently covered </w:t>
      </w:r>
      <w:r w:rsidR="00F25D85">
        <w:t xml:space="preserve">by </w:t>
      </w:r>
      <w:r>
        <w:t>OMB Control Number 2120-0750</w:t>
      </w:r>
      <w:r w:rsidR="00F25D85">
        <w:t xml:space="preserve"> and not this collection (2120-0705)</w:t>
      </w:r>
      <w:r>
        <w:t>. The FAA believes that there may have been a slight oversight in numerical differences and reiterates that this collection is only for hazmat manual and training program requirements.</w:t>
      </w:r>
    </w:p>
    <w:p w:rsidR="00DA56C8" w:rsidP="00DA56C8" w14:paraId="3BC89FF6" w14:textId="51A58E85">
      <w:r>
        <w:t xml:space="preserve">The FAA also appreciates COSTHA’s input and suggestions for ways that the FAA can improve our internal training program review process. </w:t>
      </w:r>
      <w:r w:rsidR="346980B6">
        <w:t>While the</w:t>
      </w:r>
      <w:r w:rsidR="7797BE5B">
        <w:t xml:space="preserve">se comments are </w:t>
      </w:r>
      <w:r w:rsidR="346980B6">
        <w:t xml:space="preserve">outside the scope of this </w:t>
      </w:r>
      <w:r w:rsidR="44CBF761">
        <w:t xml:space="preserve">notice, </w:t>
      </w:r>
      <w:r w:rsidR="00557C31">
        <w:t>t</w:t>
      </w:r>
      <w:r>
        <w:t>he FAA has noted these suggestions and will consider ways to better streamline the review process.</w:t>
      </w:r>
    </w:p>
    <w:p w:rsidR="005926D2" w:rsidRPr="00F140DD" w:rsidP="00DA56C8" w14:paraId="27821EBA" w14:textId="5C97ECC7">
      <w:r>
        <w:t>Lastly, the FAA has provided full accounting for this information collection in th</w:t>
      </w:r>
      <w:r w:rsidR="00C757FA">
        <w:t>is supporting statement</w:t>
      </w:r>
      <w:r w:rsidR="001204CB">
        <w:t xml:space="preserve"> and urges the public to review </w:t>
      </w:r>
      <w:r w:rsidR="00B30936">
        <w:t>Q</w:t>
      </w:r>
      <w:r w:rsidR="001204CB">
        <w:t>uestion 12 for a full accounting of the burden associated with this collection</w:t>
      </w:r>
      <w:r>
        <w:t>.</w:t>
      </w:r>
    </w:p>
    <w:p w:rsidR="00C64707" w:rsidRPr="00F140DD" w:rsidP="0049399B" w14:paraId="7ACD1AE7" w14:textId="77777777">
      <w:pPr>
        <w:pStyle w:val="Heading1"/>
      </w:pPr>
      <w:r w:rsidRPr="00F140DD">
        <w:t>9. Explain any decisions to provide payments or gifts to respondents, other than remuneration of contractors or grantees.</w:t>
      </w:r>
    </w:p>
    <w:p w:rsidR="00C64707" w:rsidRPr="00F140DD" w:rsidP="0049399B" w14:paraId="4669F0E9" w14:textId="40CE585F">
      <w:r w:rsidRPr="00F140DD">
        <w:t>No payments or gifts are provided to respondents.</w:t>
      </w:r>
    </w:p>
    <w:p w:rsidR="00C64707" w:rsidRPr="0049399B" w:rsidP="0049399B" w14:paraId="21C9AC67" w14:textId="3B681796">
      <w:pPr>
        <w:pStyle w:val="Heading1"/>
      </w:pPr>
      <w:r w:rsidRPr="0049399B">
        <w:t>10. Describe any assurance of confidentiality provided to respondents and the basis for assurance in statute, regulation, or agency policy.</w:t>
      </w:r>
    </w:p>
    <w:p w:rsidR="00C64707" w:rsidRPr="00F140DD" w:rsidP="0049399B" w14:paraId="62FDCF62" w14:textId="161A590F">
      <w:r w:rsidRPr="00F140DD">
        <w:t xml:space="preserve">Assurance of confidentiality is not provided to respondents. </w:t>
      </w:r>
    </w:p>
    <w:p w:rsidR="00C64707" w:rsidRPr="00F140DD" w:rsidP="0049399B" w14:paraId="1B4EF605" w14:textId="1015179F">
      <w:pPr>
        <w:pStyle w:val="Heading1"/>
      </w:pPr>
      <w:r w:rsidRPr="00F140DD">
        <w:t>11. Provide additional justification for any questions of a sensitive nature, such as sexual behavior and attitudes, religious beliefs, and other matters that are commonly considered private.</w:t>
      </w:r>
    </w:p>
    <w:p w:rsidR="00C64707" w:rsidRPr="00F140DD" w:rsidP="0049399B" w14:paraId="37D1B794" w14:textId="543BC29E">
      <w:r w:rsidRPr="00F140DD">
        <w:t>There are no questions of a sensitive nature.</w:t>
      </w:r>
    </w:p>
    <w:p w:rsidR="00974510" w:rsidRPr="008F5072" w:rsidP="00974510" w14:paraId="779045C9" w14:textId="35ED0310">
      <w:pPr>
        <w:pStyle w:val="Heading1"/>
      </w:pPr>
      <w:r w:rsidRPr="00F140DD">
        <w:t>12. Provide estimates of the hour burden of the collection of information.</w:t>
      </w:r>
      <w:r>
        <w:t xml:space="preserve"> </w:t>
      </w:r>
      <w:r w:rsidRPr="00650B39">
        <w:t>The statement should:</w:t>
      </w:r>
    </w:p>
    <w:p w:rsidR="00974510" w:rsidRPr="004F6151" w:rsidP="00974510" w14:paraId="74D23012" w14:textId="77777777">
      <w:pPr>
        <w:pStyle w:val="ListParagraph"/>
        <w:numPr>
          <w:ilvl w:val="0"/>
          <w:numId w:val="25"/>
        </w:numPr>
        <w:shd w:val="clear" w:color="auto" w:fill="FFFFFF"/>
        <w:rPr>
          <w:b/>
          <w:bCs/>
        </w:rPr>
      </w:pPr>
      <w:r w:rsidRPr="004F6151">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w:t>
      </w:r>
      <w:r w:rsidRPr="004F6151">
        <w:rPr>
          <w:b/>
          <w:bCs/>
        </w:rPr>
        <w:t>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686012" w:rsidRPr="006F1032" w:rsidP="003B3A22" w14:paraId="227E5D78" w14:textId="739CDBFE">
      <w:pPr>
        <w:pStyle w:val="ListParagraph"/>
        <w:numPr>
          <w:ilvl w:val="0"/>
          <w:numId w:val="25"/>
        </w:numPr>
        <w:shd w:val="clear" w:color="auto" w:fill="FFFFFF"/>
        <w:contextualSpacing/>
      </w:pPr>
      <w:r w:rsidRPr="004F6151">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DE5DC8" w:rsidP="009B5AE5" w14:paraId="69BCB6AA" w14:textId="155E5A0C">
      <w:r>
        <w:t xml:space="preserve">Based on the FAA’s data, the estimated number of operators subject </w:t>
      </w:r>
      <w:r w:rsidR="00267C8A">
        <w:t xml:space="preserve">to </w:t>
      </w:r>
      <w:r>
        <w:t xml:space="preserve">this information collection </w:t>
      </w:r>
      <w:r w:rsidR="00267C8A">
        <w:t xml:space="preserve">is </w:t>
      </w:r>
      <w:r>
        <w:t>captured in the following table:</w:t>
      </w:r>
    </w:p>
    <w:tbl>
      <w:tblPr>
        <w:tblStyle w:val="TableGrid"/>
        <w:tblW w:w="0" w:type="auto"/>
        <w:tblLook w:val="04A0"/>
      </w:tblPr>
      <w:tblGrid>
        <w:gridCol w:w="4675"/>
        <w:gridCol w:w="4675"/>
      </w:tblGrid>
      <w:tr w14:paraId="4915C332" w14:textId="77777777" w:rsidTr="007E6781">
        <w:tblPrEx>
          <w:tblW w:w="0" w:type="auto"/>
          <w:tblLook w:val="04A0"/>
        </w:tblPrEx>
        <w:tc>
          <w:tcPr>
            <w:tcW w:w="4675" w:type="dxa"/>
            <w:shd w:val="clear" w:color="auto" w:fill="E7E6E6" w:themeFill="background2"/>
            <w:vAlign w:val="center"/>
          </w:tcPr>
          <w:p w:rsidR="009B5AE5" w:rsidP="007E6781" w14:paraId="17F2DE8F" w14:textId="4DDA35BC">
            <w:pPr>
              <w:jc w:val="center"/>
            </w:pPr>
            <w:r>
              <w:rPr>
                <w:b/>
                <w:bCs/>
              </w:rPr>
              <w:t>Operator Type</w:t>
            </w:r>
          </w:p>
        </w:tc>
        <w:tc>
          <w:tcPr>
            <w:tcW w:w="4675" w:type="dxa"/>
            <w:shd w:val="clear" w:color="auto" w:fill="E7E6E6" w:themeFill="background2"/>
            <w:vAlign w:val="center"/>
          </w:tcPr>
          <w:p w:rsidR="009B5AE5" w:rsidP="007E6781" w14:paraId="5B50E2B3" w14:textId="474C5659">
            <w:pPr>
              <w:jc w:val="center"/>
            </w:pPr>
            <w:r w:rsidRPr="002A7816">
              <w:rPr>
                <w:b/>
                <w:bCs/>
              </w:rPr>
              <w:t>Total Operators</w:t>
            </w:r>
          </w:p>
        </w:tc>
      </w:tr>
      <w:tr w14:paraId="765633FF" w14:textId="77777777" w:rsidTr="009B5AE5">
        <w:tblPrEx>
          <w:tblW w:w="0" w:type="auto"/>
          <w:tblLook w:val="04A0"/>
        </w:tblPrEx>
        <w:tc>
          <w:tcPr>
            <w:tcW w:w="4675" w:type="dxa"/>
          </w:tcPr>
          <w:p w:rsidR="009B5AE5" w:rsidP="009B5AE5" w14:paraId="62EE2AA8" w14:textId="7DA2BB5F">
            <w:r>
              <w:t>Part 121</w:t>
            </w:r>
            <w:r w:rsidR="00D44EB1">
              <w:t xml:space="preserve"> CHs</w:t>
            </w:r>
          </w:p>
        </w:tc>
        <w:tc>
          <w:tcPr>
            <w:tcW w:w="4675" w:type="dxa"/>
          </w:tcPr>
          <w:p w:rsidR="009B5AE5" w:rsidP="009B5AE5" w14:paraId="65E75289" w14:textId="16DF13F3">
            <w:r>
              <w:t>62</w:t>
            </w:r>
          </w:p>
        </w:tc>
      </w:tr>
      <w:tr w14:paraId="2AEACC1A" w14:textId="77777777" w:rsidTr="009B5AE5">
        <w:tblPrEx>
          <w:tblW w:w="0" w:type="auto"/>
          <w:tblLook w:val="04A0"/>
        </w:tblPrEx>
        <w:tc>
          <w:tcPr>
            <w:tcW w:w="4675" w:type="dxa"/>
          </w:tcPr>
          <w:p w:rsidR="009B5AE5" w:rsidP="009B5AE5" w14:paraId="6415C2DB" w14:textId="5FED4D8E">
            <w:r>
              <w:t>Part 135</w:t>
            </w:r>
            <w:r w:rsidR="00D44EB1">
              <w:t xml:space="preserve"> CHs</w:t>
            </w:r>
          </w:p>
        </w:tc>
        <w:tc>
          <w:tcPr>
            <w:tcW w:w="4675" w:type="dxa"/>
          </w:tcPr>
          <w:p w:rsidR="009B5AE5" w:rsidP="009B5AE5" w14:paraId="31E14A43" w14:textId="7BC7F2CE">
            <w:r>
              <w:t>1,844</w:t>
            </w:r>
          </w:p>
        </w:tc>
      </w:tr>
      <w:tr w14:paraId="1C0DCA85" w14:textId="77777777" w:rsidTr="009B5AE5">
        <w:tblPrEx>
          <w:tblW w:w="0" w:type="auto"/>
          <w:tblLook w:val="04A0"/>
        </w:tblPrEx>
        <w:tc>
          <w:tcPr>
            <w:tcW w:w="4675" w:type="dxa"/>
          </w:tcPr>
          <w:p w:rsidR="009B5AE5" w:rsidP="009B5AE5" w14:paraId="0CA4BA2B" w14:textId="4ECAE7AE">
            <w:r>
              <w:t>Part 145 Repair Stations</w:t>
            </w:r>
          </w:p>
        </w:tc>
        <w:tc>
          <w:tcPr>
            <w:tcW w:w="4675" w:type="dxa"/>
          </w:tcPr>
          <w:p w:rsidR="009B5AE5" w:rsidP="009B5AE5" w14:paraId="2686CA5B" w14:textId="6B6E0443">
            <w:r>
              <w:t>4,989</w:t>
            </w:r>
          </w:p>
        </w:tc>
      </w:tr>
    </w:tbl>
    <w:p w:rsidR="009B5AE5" w:rsidRPr="00F140DD" w:rsidP="007E6781" w14:paraId="42324D68" w14:textId="77777777"/>
    <w:p w:rsidR="00DD696F" w:rsidRPr="00F140DD" w:rsidP="008B4F03" w14:paraId="1627FBB7" w14:textId="3399C708">
      <w:pPr>
        <w:pStyle w:val="Heading2"/>
      </w:pPr>
      <w:r>
        <w:t xml:space="preserve">Hazmat </w:t>
      </w:r>
      <w:r w:rsidRPr="00F140DD">
        <w:t>Manual</w:t>
      </w:r>
      <w:r>
        <w:t xml:space="preserve"> and Training Progra</w:t>
      </w:r>
      <w:r w:rsidR="00CE06F7">
        <w:t>m</w:t>
      </w:r>
    </w:p>
    <w:p w:rsidR="00574004" w:rsidP="00686012" w14:paraId="24E580C3" w14:textId="06882DF2">
      <w:r>
        <w:t xml:space="preserve">The hazmat manual and training program are developed during the </w:t>
      </w:r>
      <w:r w:rsidR="00FE5429">
        <w:t xml:space="preserve">certification </w:t>
      </w:r>
      <w:r>
        <w:t xml:space="preserve">process for a Part 121 and 135 </w:t>
      </w:r>
      <w:r w:rsidR="00FE5429">
        <w:t xml:space="preserve">CH </w:t>
      </w:r>
      <w:r w:rsidR="00752717">
        <w:t>and</w:t>
      </w:r>
      <w:r>
        <w:t xml:space="preserve"> </w:t>
      </w:r>
      <w:r w:rsidRPr="00F140DD" w:rsidR="00DD696F">
        <w:t>revised</w:t>
      </w:r>
      <w:r w:rsidR="00F94872">
        <w:t>, when appropriate,</w:t>
      </w:r>
      <w:r w:rsidRPr="00F140DD" w:rsidR="00DD696F">
        <w:t xml:space="preserve"> </w:t>
      </w:r>
      <w:r w:rsidR="00F94872">
        <w:t>after</w:t>
      </w:r>
      <w:r w:rsidRPr="00F140DD" w:rsidR="00F94872">
        <w:t xml:space="preserve"> </w:t>
      </w:r>
      <w:r w:rsidR="00752717">
        <w:t>a CH</w:t>
      </w:r>
      <w:r>
        <w:t xml:space="preserve"> makes </w:t>
      </w:r>
      <w:r w:rsidR="00775D3F">
        <w:t xml:space="preserve">operational </w:t>
      </w:r>
      <w:r w:rsidR="009856DB">
        <w:t>updates or</w:t>
      </w:r>
      <w:r w:rsidR="00752717">
        <w:t xml:space="preserve"> </w:t>
      </w:r>
      <w:r w:rsidR="009856DB">
        <w:t xml:space="preserve">other </w:t>
      </w:r>
      <w:r w:rsidRPr="00F140DD" w:rsidR="00DD696F">
        <w:t xml:space="preserve">regulatory updates </w:t>
      </w:r>
      <w:r w:rsidR="009856DB">
        <w:t>require revisions</w:t>
      </w:r>
      <w:r w:rsidRPr="00F140DD" w:rsidR="00DD696F">
        <w:t>.</w:t>
      </w:r>
      <w:r w:rsidR="008F7830">
        <w:t xml:space="preserve"> </w:t>
      </w:r>
      <w:r w:rsidR="00FC3647">
        <w:t>T</w:t>
      </w:r>
      <w:r w:rsidRPr="00F140DD" w:rsidR="00DD696F">
        <w:t>he FAA estimates that</w:t>
      </w:r>
      <w:r w:rsidR="00FC3647">
        <w:t xml:space="preserve">, on average, </w:t>
      </w:r>
      <w:r w:rsidRPr="00F140DD" w:rsidR="00DD696F">
        <w:t>annual</w:t>
      </w:r>
      <w:r w:rsidR="00910299">
        <w:t xml:space="preserve"> hazmat manual and training program development and updates require</w:t>
      </w:r>
      <w:r w:rsidRPr="00F140DD" w:rsidR="00DD696F">
        <w:t xml:space="preserve"> </w:t>
      </w:r>
      <w:r w:rsidR="000C3DCA">
        <w:t>5</w:t>
      </w:r>
      <w:r w:rsidRPr="00F140DD" w:rsidR="00DD696F">
        <w:t xml:space="preserve"> hours for </w:t>
      </w:r>
      <w:r w:rsidR="00910299">
        <w:t xml:space="preserve">a </w:t>
      </w:r>
      <w:r w:rsidR="00D260A7">
        <w:t>P</w:t>
      </w:r>
      <w:r w:rsidRPr="00F140DD" w:rsidR="00DD696F">
        <w:t xml:space="preserve">art 121 </w:t>
      </w:r>
      <w:r w:rsidR="00910299">
        <w:t>CH and</w:t>
      </w:r>
      <w:r w:rsidRPr="00F140DD" w:rsidR="00DD696F">
        <w:t xml:space="preserve"> </w:t>
      </w:r>
      <w:r w:rsidR="008712B6">
        <w:t>3</w:t>
      </w:r>
      <w:r w:rsidRPr="00F140DD" w:rsidR="00910299">
        <w:t xml:space="preserve"> </w:t>
      </w:r>
      <w:r w:rsidRPr="00F140DD" w:rsidR="00DD696F">
        <w:t xml:space="preserve">hours for </w:t>
      </w:r>
      <w:r w:rsidR="00910299">
        <w:t xml:space="preserve">a </w:t>
      </w:r>
      <w:r w:rsidR="00D260A7">
        <w:t>P</w:t>
      </w:r>
      <w:r w:rsidRPr="00F140DD" w:rsidR="00DD696F">
        <w:t xml:space="preserve">art 135 </w:t>
      </w:r>
      <w:r w:rsidR="00910299">
        <w:t>CH</w:t>
      </w:r>
      <w:r w:rsidRPr="00F140DD" w:rsidR="00DD696F">
        <w:t xml:space="preserve">. </w:t>
      </w:r>
      <w:r w:rsidR="00367107">
        <w:t xml:space="preserve">The </w:t>
      </w:r>
      <w:r w:rsidRPr="00F140DD" w:rsidR="0093787E">
        <w:t xml:space="preserve">FAA estimates the hourly </w:t>
      </w:r>
      <w:r w:rsidRPr="00F140DD" w:rsidR="0093787E">
        <w:t xml:space="preserve">wage costs, including benefits, </w:t>
      </w:r>
      <w:r w:rsidR="00D32802">
        <w:t xml:space="preserve">are </w:t>
      </w:r>
      <w:r w:rsidR="00367107">
        <w:t>$</w:t>
      </w:r>
      <w:r w:rsidR="008712B6">
        <w:t>174.01</w:t>
      </w:r>
      <w:r w:rsidR="00367107">
        <w:t xml:space="preserve"> per hour</w:t>
      </w:r>
      <w:r w:rsidR="00D32802">
        <w:t xml:space="preserve"> </w:t>
      </w:r>
      <w:r w:rsidRPr="00F140DD" w:rsidR="00D32802">
        <w:t xml:space="preserve">for </w:t>
      </w:r>
      <w:r w:rsidR="00D32802">
        <w:t>Part</w:t>
      </w:r>
      <w:r w:rsidRPr="00F140DD" w:rsidR="00D32802">
        <w:t xml:space="preserve"> 121 </w:t>
      </w:r>
      <w:r w:rsidR="00D32802">
        <w:t>CHs</w:t>
      </w:r>
      <w:r>
        <w:rPr>
          <w:rStyle w:val="FootnoteReference"/>
        </w:rPr>
        <w:footnoteReference w:id="7"/>
      </w:r>
      <w:r w:rsidR="00367107">
        <w:t xml:space="preserve"> and $88.</w:t>
      </w:r>
      <w:r w:rsidR="008712B6">
        <w:t xml:space="preserve">66 </w:t>
      </w:r>
      <w:r w:rsidR="00367107">
        <w:t>per hour</w:t>
      </w:r>
      <w:r w:rsidR="00D32802">
        <w:t xml:space="preserve"> for Part 135 CHs</w:t>
      </w:r>
      <w:r w:rsidRPr="00F140DD" w:rsidR="0093787E">
        <w:t>.</w:t>
      </w:r>
      <w:r>
        <w:rPr>
          <w:rStyle w:val="FootnoteReference"/>
        </w:rPr>
        <w:footnoteReference w:id="8"/>
      </w:r>
    </w:p>
    <w:p w:rsidR="00DA2D53" w:rsidRPr="00CE06F7" w:rsidP="00CE06F7" w14:paraId="59C03A33" w14:textId="00BE957F">
      <w:pPr>
        <w:jc w:val="center"/>
        <w:rPr>
          <w:b/>
          <w:bCs/>
        </w:rPr>
      </w:pPr>
      <w:r w:rsidRPr="00CE06F7">
        <w:rPr>
          <w:b/>
          <w:bCs/>
        </w:rPr>
        <w:t xml:space="preserve">Table </w:t>
      </w:r>
      <w:r w:rsidRPr="00CE06F7">
        <w:rPr>
          <w:b/>
          <w:bCs/>
        </w:rPr>
        <w:fldChar w:fldCharType="begin"/>
      </w:r>
      <w:r w:rsidRPr="00CE06F7">
        <w:rPr>
          <w:b/>
          <w:bCs/>
        </w:rPr>
        <w:instrText xml:space="preserve"> SEQ Table \* ARABIC </w:instrText>
      </w:r>
      <w:r w:rsidRPr="00CE06F7">
        <w:rPr>
          <w:b/>
          <w:bCs/>
        </w:rPr>
        <w:fldChar w:fldCharType="separate"/>
      </w:r>
      <w:r w:rsidR="00084A7F">
        <w:rPr>
          <w:b/>
          <w:bCs/>
          <w:noProof/>
        </w:rPr>
        <w:t>1</w:t>
      </w:r>
      <w:r w:rsidRPr="00CE06F7">
        <w:rPr>
          <w:b/>
          <w:bCs/>
        </w:rPr>
        <w:fldChar w:fldCharType="end"/>
      </w:r>
      <w:r>
        <w:rPr>
          <w:b/>
          <w:bCs/>
        </w:rPr>
        <w:t xml:space="preserve"> – Hazmat Manual and Training </w:t>
      </w:r>
      <w:r w:rsidR="00145F93">
        <w:rPr>
          <w:b/>
          <w:bCs/>
        </w:rPr>
        <w:t xml:space="preserve">Program </w:t>
      </w:r>
      <w:r>
        <w:rPr>
          <w:b/>
          <w:bCs/>
        </w:rPr>
        <w:t>Burden</w:t>
      </w:r>
    </w:p>
    <w:tbl>
      <w:tblPr>
        <w:tblStyle w:val="TableGrid"/>
        <w:tblW w:w="11335" w:type="dxa"/>
        <w:jc w:val="center"/>
        <w:tblLayout w:type="fixed"/>
        <w:tblLook w:val="04A0"/>
      </w:tblPr>
      <w:tblGrid>
        <w:gridCol w:w="1260"/>
        <w:gridCol w:w="1440"/>
        <w:gridCol w:w="1710"/>
        <w:gridCol w:w="1530"/>
        <w:gridCol w:w="1890"/>
        <w:gridCol w:w="1080"/>
        <w:gridCol w:w="1170"/>
        <w:gridCol w:w="1255"/>
      </w:tblGrid>
      <w:tr w14:paraId="494F7E04" w14:textId="0C5EDC7B" w:rsidTr="00514D87">
        <w:tblPrEx>
          <w:tblW w:w="11335" w:type="dxa"/>
          <w:jc w:val="center"/>
          <w:tblLayout w:type="fixed"/>
          <w:tblLook w:val="04A0"/>
        </w:tblPrEx>
        <w:trPr>
          <w:jc w:val="center"/>
        </w:trPr>
        <w:tc>
          <w:tcPr>
            <w:tcW w:w="1260" w:type="dxa"/>
            <w:shd w:val="clear" w:color="auto" w:fill="E7E6E6" w:themeFill="background2"/>
            <w:vAlign w:val="center"/>
          </w:tcPr>
          <w:p w:rsidR="00862F1C" w:rsidRPr="002A7816" w:rsidP="002A7816" w14:paraId="025E9620" w14:textId="1A0A8436">
            <w:pPr>
              <w:jc w:val="center"/>
              <w:rPr>
                <w:b/>
                <w:bCs/>
              </w:rPr>
            </w:pPr>
            <w:r>
              <w:rPr>
                <w:b/>
                <w:bCs/>
              </w:rPr>
              <w:t>Operator Type</w:t>
            </w:r>
          </w:p>
        </w:tc>
        <w:tc>
          <w:tcPr>
            <w:tcW w:w="1440" w:type="dxa"/>
            <w:shd w:val="clear" w:color="auto" w:fill="E7E6E6" w:themeFill="background2"/>
            <w:vAlign w:val="center"/>
          </w:tcPr>
          <w:p w:rsidR="00862F1C" w:rsidRPr="002A7816" w:rsidP="002A7816" w14:paraId="01B1F2C4" w14:textId="44AA2D44">
            <w:pPr>
              <w:jc w:val="center"/>
              <w:rPr>
                <w:b/>
                <w:bCs/>
              </w:rPr>
            </w:pPr>
            <w:r w:rsidRPr="002A7816">
              <w:rPr>
                <w:b/>
                <w:bCs/>
              </w:rPr>
              <w:t>Total Operators</w:t>
            </w:r>
          </w:p>
        </w:tc>
        <w:tc>
          <w:tcPr>
            <w:tcW w:w="1710" w:type="dxa"/>
            <w:shd w:val="clear" w:color="auto" w:fill="E7E6E6" w:themeFill="background2"/>
            <w:vAlign w:val="center"/>
          </w:tcPr>
          <w:p w:rsidR="00862F1C" w:rsidRPr="002A7816" w:rsidP="002A7816" w14:paraId="22BAF1F8" w14:textId="4761FA98">
            <w:pPr>
              <w:jc w:val="center"/>
              <w:rPr>
                <w:b/>
                <w:bCs/>
              </w:rPr>
            </w:pPr>
            <w:r w:rsidRPr="002A7816">
              <w:rPr>
                <w:b/>
                <w:bCs/>
              </w:rPr>
              <w:t>Average Response per Operator</w:t>
            </w:r>
          </w:p>
        </w:tc>
        <w:tc>
          <w:tcPr>
            <w:tcW w:w="1530" w:type="dxa"/>
            <w:shd w:val="clear" w:color="auto" w:fill="E7E6E6" w:themeFill="background2"/>
            <w:vAlign w:val="center"/>
          </w:tcPr>
          <w:p w:rsidR="00862F1C" w:rsidRPr="002A7816" w:rsidP="002A7816" w14:paraId="49606BBF" w14:textId="0D0D9596">
            <w:pPr>
              <w:jc w:val="center"/>
              <w:rPr>
                <w:b/>
                <w:bCs/>
              </w:rPr>
            </w:pPr>
            <w:r w:rsidRPr="002A7816">
              <w:rPr>
                <w:b/>
                <w:bCs/>
              </w:rPr>
              <w:t>Total Responses</w:t>
            </w:r>
          </w:p>
        </w:tc>
        <w:tc>
          <w:tcPr>
            <w:tcW w:w="1890" w:type="dxa"/>
            <w:shd w:val="clear" w:color="auto" w:fill="E7E6E6" w:themeFill="background2"/>
            <w:vAlign w:val="center"/>
          </w:tcPr>
          <w:p w:rsidR="00862F1C" w:rsidRPr="002A7816" w:rsidP="002A7816" w14:paraId="78E17A5F" w14:textId="38EC0EF8">
            <w:pPr>
              <w:jc w:val="center"/>
              <w:rPr>
                <w:b/>
                <w:bCs/>
              </w:rPr>
            </w:pPr>
            <w:r w:rsidRPr="002A7816">
              <w:rPr>
                <w:b/>
                <w:bCs/>
              </w:rPr>
              <w:t>Average Annual Burden Hours</w:t>
            </w:r>
          </w:p>
        </w:tc>
        <w:tc>
          <w:tcPr>
            <w:tcW w:w="1080" w:type="dxa"/>
            <w:shd w:val="clear" w:color="auto" w:fill="E7E6E6" w:themeFill="background2"/>
            <w:vAlign w:val="center"/>
          </w:tcPr>
          <w:p w:rsidR="00862F1C" w:rsidRPr="002A7816" w:rsidP="002A7816" w14:paraId="37336251" w14:textId="16F2BF1E">
            <w:pPr>
              <w:jc w:val="center"/>
              <w:rPr>
                <w:b/>
                <w:bCs/>
              </w:rPr>
            </w:pPr>
            <w:r>
              <w:rPr>
                <w:b/>
                <w:bCs/>
              </w:rPr>
              <w:t xml:space="preserve">Annual Burden </w:t>
            </w:r>
            <w:r w:rsidRPr="002A7816">
              <w:rPr>
                <w:b/>
                <w:bCs/>
              </w:rPr>
              <w:t>Hour</w:t>
            </w:r>
            <w:r>
              <w:rPr>
                <w:b/>
                <w:bCs/>
              </w:rPr>
              <w:t>s</w:t>
            </w:r>
            <w:r w:rsidRPr="002A7816">
              <w:rPr>
                <w:b/>
                <w:bCs/>
              </w:rPr>
              <w:t xml:space="preserve"> </w:t>
            </w:r>
          </w:p>
        </w:tc>
        <w:tc>
          <w:tcPr>
            <w:tcW w:w="1170" w:type="dxa"/>
            <w:shd w:val="clear" w:color="auto" w:fill="E7E6E6" w:themeFill="background2"/>
            <w:vAlign w:val="center"/>
          </w:tcPr>
          <w:p w:rsidR="00862F1C" w:rsidRPr="002A7816" w:rsidP="002A7816" w14:paraId="3DE08A41" w14:textId="5E60719C">
            <w:pPr>
              <w:jc w:val="center"/>
              <w:rPr>
                <w:b/>
                <w:bCs/>
              </w:rPr>
            </w:pPr>
            <w:r w:rsidRPr="002A7816">
              <w:rPr>
                <w:b/>
                <w:bCs/>
              </w:rPr>
              <w:t>Hourly Wage</w:t>
            </w:r>
          </w:p>
        </w:tc>
        <w:tc>
          <w:tcPr>
            <w:tcW w:w="1255" w:type="dxa"/>
            <w:shd w:val="clear" w:color="auto" w:fill="E7E6E6" w:themeFill="background2"/>
            <w:vAlign w:val="center"/>
          </w:tcPr>
          <w:p w:rsidR="00862F1C" w:rsidRPr="002A7816" w:rsidP="002A7816" w14:paraId="2E3D1F9E" w14:textId="345C4369">
            <w:pPr>
              <w:jc w:val="center"/>
              <w:rPr>
                <w:b/>
                <w:bCs/>
              </w:rPr>
            </w:pPr>
            <w:r w:rsidRPr="002A7816">
              <w:rPr>
                <w:b/>
                <w:bCs/>
              </w:rPr>
              <w:t>Annual Cost</w:t>
            </w:r>
          </w:p>
        </w:tc>
      </w:tr>
      <w:tr w14:paraId="77B22477" w14:textId="08AE89CD" w:rsidTr="00514D87">
        <w:tblPrEx>
          <w:tblW w:w="11335" w:type="dxa"/>
          <w:jc w:val="center"/>
          <w:tblLayout w:type="fixed"/>
          <w:tblLook w:val="04A0"/>
        </w:tblPrEx>
        <w:trPr>
          <w:jc w:val="center"/>
        </w:trPr>
        <w:tc>
          <w:tcPr>
            <w:tcW w:w="1260" w:type="dxa"/>
          </w:tcPr>
          <w:p w:rsidR="00862F1C" w:rsidP="0096018B" w14:paraId="09A228F6" w14:textId="2065118A">
            <w:r>
              <w:t>Part 121</w:t>
            </w:r>
          </w:p>
        </w:tc>
        <w:tc>
          <w:tcPr>
            <w:tcW w:w="1440" w:type="dxa"/>
          </w:tcPr>
          <w:p w:rsidR="00862F1C" w:rsidP="0096018B" w14:paraId="2D0A201D" w14:textId="563D392A">
            <w:r>
              <w:t>62</w:t>
            </w:r>
          </w:p>
        </w:tc>
        <w:tc>
          <w:tcPr>
            <w:tcW w:w="1710" w:type="dxa"/>
          </w:tcPr>
          <w:p w:rsidR="00862F1C" w:rsidP="0096018B" w14:paraId="787EBB98" w14:textId="3DE9A398">
            <w:r>
              <w:t>1</w:t>
            </w:r>
          </w:p>
        </w:tc>
        <w:tc>
          <w:tcPr>
            <w:tcW w:w="1530" w:type="dxa"/>
          </w:tcPr>
          <w:p w:rsidR="00862F1C" w:rsidP="0096018B" w14:paraId="04F4A5EB" w14:textId="030FD9ED">
            <w:r>
              <w:t>62</w:t>
            </w:r>
          </w:p>
        </w:tc>
        <w:tc>
          <w:tcPr>
            <w:tcW w:w="1890" w:type="dxa"/>
          </w:tcPr>
          <w:p w:rsidR="00862F1C" w:rsidP="0096018B" w14:paraId="30EFA5DD" w14:textId="67EEB011">
            <w:r>
              <w:t>5</w:t>
            </w:r>
          </w:p>
        </w:tc>
        <w:tc>
          <w:tcPr>
            <w:tcW w:w="1080" w:type="dxa"/>
          </w:tcPr>
          <w:p w:rsidR="00862F1C" w:rsidP="0096018B" w14:paraId="000FC2D5" w14:textId="6ED648F7">
            <w:r>
              <w:t>310</w:t>
            </w:r>
          </w:p>
        </w:tc>
        <w:tc>
          <w:tcPr>
            <w:tcW w:w="1170" w:type="dxa"/>
          </w:tcPr>
          <w:p w:rsidR="00862F1C" w:rsidP="0096018B" w14:paraId="5E964B08" w14:textId="2DA1BF6D">
            <w:r>
              <w:t>$</w:t>
            </w:r>
            <w:r w:rsidR="00122693">
              <w:t>174.01</w:t>
            </w:r>
          </w:p>
        </w:tc>
        <w:tc>
          <w:tcPr>
            <w:tcW w:w="1255" w:type="dxa"/>
          </w:tcPr>
          <w:p w:rsidR="00862F1C" w:rsidP="0096018B" w14:paraId="2AE921F7" w14:textId="08A21509">
            <w:r>
              <w:t>$</w:t>
            </w:r>
            <w:r w:rsidR="00122693">
              <w:t>53,942</w:t>
            </w:r>
          </w:p>
        </w:tc>
      </w:tr>
      <w:tr w14:paraId="5F3CAD15" w14:textId="03A35FCC" w:rsidTr="00514D87">
        <w:tblPrEx>
          <w:tblW w:w="11335" w:type="dxa"/>
          <w:jc w:val="center"/>
          <w:tblLayout w:type="fixed"/>
          <w:tblLook w:val="04A0"/>
        </w:tblPrEx>
        <w:trPr>
          <w:jc w:val="center"/>
        </w:trPr>
        <w:tc>
          <w:tcPr>
            <w:tcW w:w="1260" w:type="dxa"/>
          </w:tcPr>
          <w:p w:rsidR="00862F1C" w:rsidP="0096018B" w14:paraId="082DE731" w14:textId="11A73E12">
            <w:r>
              <w:t>Part 135</w:t>
            </w:r>
          </w:p>
        </w:tc>
        <w:tc>
          <w:tcPr>
            <w:tcW w:w="1440" w:type="dxa"/>
          </w:tcPr>
          <w:p w:rsidR="00862F1C" w:rsidP="0096018B" w14:paraId="640AEA96" w14:textId="74A04034">
            <w:r>
              <w:t>1,</w:t>
            </w:r>
            <w:r w:rsidR="00970B7A">
              <w:t>844</w:t>
            </w:r>
          </w:p>
        </w:tc>
        <w:tc>
          <w:tcPr>
            <w:tcW w:w="1710" w:type="dxa"/>
          </w:tcPr>
          <w:p w:rsidR="00862F1C" w:rsidP="0096018B" w14:paraId="11D667A5" w14:textId="75282336">
            <w:r>
              <w:t>1</w:t>
            </w:r>
          </w:p>
        </w:tc>
        <w:tc>
          <w:tcPr>
            <w:tcW w:w="1530" w:type="dxa"/>
          </w:tcPr>
          <w:p w:rsidR="00862F1C" w:rsidP="0096018B" w14:paraId="695CA3DA" w14:textId="0733C732">
            <w:r>
              <w:t>1,</w:t>
            </w:r>
            <w:r w:rsidR="00970B7A">
              <w:t>844</w:t>
            </w:r>
          </w:p>
        </w:tc>
        <w:tc>
          <w:tcPr>
            <w:tcW w:w="1890" w:type="dxa"/>
          </w:tcPr>
          <w:p w:rsidR="00862F1C" w:rsidP="0096018B" w14:paraId="6952CEAD" w14:textId="5DB27B57">
            <w:r>
              <w:t>3</w:t>
            </w:r>
          </w:p>
        </w:tc>
        <w:tc>
          <w:tcPr>
            <w:tcW w:w="1080" w:type="dxa"/>
          </w:tcPr>
          <w:p w:rsidR="00862F1C" w:rsidP="0096018B" w14:paraId="554F5354" w14:textId="759B276F">
            <w:r>
              <w:t>5</w:t>
            </w:r>
            <w:r w:rsidR="00970B7A">
              <w:t>,</w:t>
            </w:r>
            <w:r>
              <w:t>532</w:t>
            </w:r>
          </w:p>
        </w:tc>
        <w:tc>
          <w:tcPr>
            <w:tcW w:w="1170" w:type="dxa"/>
          </w:tcPr>
          <w:p w:rsidR="00862F1C" w:rsidP="0096018B" w14:paraId="299122FF" w14:textId="15B48CD1">
            <w:r>
              <w:t>$88.</w:t>
            </w:r>
            <w:r w:rsidR="00122693">
              <w:t>66</w:t>
            </w:r>
          </w:p>
        </w:tc>
        <w:tc>
          <w:tcPr>
            <w:tcW w:w="1255" w:type="dxa"/>
          </w:tcPr>
          <w:p w:rsidR="00862F1C" w:rsidP="0096018B" w14:paraId="2D9EC849" w14:textId="0786180E">
            <w:r>
              <w:t>$</w:t>
            </w:r>
            <w:r w:rsidR="00122693">
              <w:t>490,482</w:t>
            </w:r>
          </w:p>
        </w:tc>
      </w:tr>
    </w:tbl>
    <w:p w:rsidR="00DD696F" w:rsidRPr="00F140DD" w:rsidP="00686012" w14:paraId="0B0D11C4" w14:textId="77777777"/>
    <w:p w:rsidR="00730F3E" w:rsidRPr="00F140DD" w:rsidP="008B4F03" w14:paraId="71EDC098" w14:textId="74BF99EC">
      <w:pPr>
        <w:pStyle w:val="Heading2"/>
      </w:pPr>
      <w:r>
        <w:t xml:space="preserve">Hazmat Training </w:t>
      </w:r>
      <w:r w:rsidRPr="00F140DD">
        <w:t>Record</w:t>
      </w:r>
      <w:r>
        <w:t>s</w:t>
      </w:r>
      <w:r w:rsidRPr="00F140DD">
        <w:t xml:space="preserve"> &amp; Recordkeeping</w:t>
      </w:r>
    </w:p>
    <w:p w:rsidR="00574004" w:rsidP="00686012" w14:paraId="36192AC0" w14:textId="22D6D2EC">
      <w:r>
        <w:t xml:space="preserve">The FAA estimates that </w:t>
      </w:r>
      <w:r w:rsidR="000645AC">
        <w:t xml:space="preserve">there is an associated burden for creating and updating training records after </w:t>
      </w:r>
      <w:r>
        <w:t>each employee tak</w:t>
      </w:r>
      <w:r w:rsidR="000645AC">
        <w:t>es</w:t>
      </w:r>
      <w:r>
        <w:t xml:space="preserve"> hazmat training </w:t>
      </w:r>
      <w:r w:rsidR="000645AC">
        <w:t>(</w:t>
      </w:r>
      <w:r>
        <w:t>initially and every 24 months</w:t>
      </w:r>
      <w:r w:rsidR="000645AC">
        <w:t>)</w:t>
      </w:r>
      <w:r w:rsidR="00DF7F52">
        <w:t>.</w:t>
      </w:r>
      <w:r w:rsidR="008F7830">
        <w:t xml:space="preserve"> </w:t>
      </w:r>
      <w:r w:rsidRPr="00F140DD" w:rsidR="00730F3E">
        <w:t>The FAA estimate</w:t>
      </w:r>
      <w:r w:rsidR="00DF7F52">
        <w:t>s</w:t>
      </w:r>
      <w:r w:rsidRPr="00F140DD" w:rsidR="00730F3E">
        <w:t xml:space="preserve"> that</w:t>
      </w:r>
      <w:r w:rsidR="006D34E8">
        <w:t>,</w:t>
      </w:r>
      <w:r w:rsidRPr="00F140DD" w:rsidR="00730F3E">
        <w:t xml:space="preserve"> </w:t>
      </w:r>
      <w:r w:rsidR="00D86863">
        <w:t xml:space="preserve">on average, there are an estimated </w:t>
      </w:r>
      <w:r w:rsidR="00243D9B">
        <w:t>285,729</w:t>
      </w:r>
      <w:r w:rsidR="00D86863">
        <w:t xml:space="preserve"> </w:t>
      </w:r>
      <w:r w:rsidR="006D34E8">
        <w:t xml:space="preserve">annual </w:t>
      </w:r>
      <w:r w:rsidR="00D86863">
        <w:t xml:space="preserve">responses for a </w:t>
      </w:r>
      <w:r w:rsidR="006D34E8">
        <w:t>Part </w:t>
      </w:r>
      <w:r w:rsidR="00D86863">
        <w:t xml:space="preserve">121 CH and </w:t>
      </w:r>
      <w:r w:rsidR="00243D9B">
        <w:t>116,264</w:t>
      </w:r>
      <w:r w:rsidR="00D86863">
        <w:t xml:space="preserve"> </w:t>
      </w:r>
      <w:r w:rsidR="006D34E8">
        <w:t xml:space="preserve">annual </w:t>
      </w:r>
      <w:r w:rsidR="00D86863">
        <w:t xml:space="preserve">responses for a </w:t>
      </w:r>
      <w:r w:rsidR="00D260A7">
        <w:t>P</w:t>
      </w:r>
      <w:r w:rsidR="00D86863">
        <w:t xml:space="preserve">art 135 CH. The FAA estimates it </w:t>
      </w:r>
      <w:r w:rsidRPr="00F140DD" w:rsidR="00730F3E">
        <w:t>take</w:t>
      </w:r>
      <w:r w:rsidR="00D86863">
        <w:t>s</w:t>
      </w:r>
      <w:r w:rsidRPr="00F140DD" w:rsidR="00730F3E">
        <w:t xml:space="preserve"> a</w:t>
      </w:r>
      <w:r w:rsidR="00D86863">
        <w:t>n office</w:t>
      </w:r>
      <w:r w:rsidRPr="00F140DD" w:rsidR="00730F3E">
        <w:t xml:space="preserve"> </w:t>
      </w:r>
      <w:r w:rsidRPr="00F140DD" w:rsidR="00730F3E">
        <w:rPr>
          <w:bCs/>
        </w:rPr>
        <w:t xml:space="preserve">clerk </w:t>
      </w:r>
      <w:r w:rsidR="00EA3CEA">
        <w:rPr>
          <w:bCs/>
        </w:rPr>
        <w:t>5</w:t>
      </w:r>
      <w:r w:rsidRPr="00F140DD" w:rsidR="00EA3CEA">
        <w:rPr>
          <w:bCs/>
        </w:rPr>
        <w:t xml:space="preserve"> </w:t>
      </w:r>
      <w:r w:rsidRPr="00F140DD" w:rsidR="00730F3E">
        <w:rPr>
          <w:bCs/>
        </w:rPr>
        <w:t xml:space="preserve">minutes </w:t>
      </w:r>
      <w:r w:rsidR="00D86863">
        <w:rPr>
          <w:bCs/>
        </w:rPr>
        <w:t>to create or update each training record</w:t>
      </w:r>
      <w:r w:rsidRPr="00F140DD" w:rsidR="00730F3E">
        <w:t xml:space="preserve">. </w:t>
      </w:r>
      <w:r w:rsidRPr="00F140DD" w:rsidR="00430CA7">
        <w:t xml:space="preserve">The hourly wage of the </w:t>
      </w:r>
      <w:r w:rsidR="00D86863">
        <w:t xml:space="preserve">office </w:t>
      </w:r>
      <w:r w:rsidRPr="00F140DD" w:rsidR="00430CA7">
        <w:t>clerk, including benefits</w:t>
      </w:r>
      <w:r w:rsidR="006D34E8">
        <w:t>,</w:t>
      </w:r>
      <w:r w:rsidRPr="00F140DD" w:rsidR="00430CA7">
        <w:t xml:space="preserve"> is estimated to be </w:t>
      </w:r>
      <w:r w:rsidRPr="00F140DD" w:rsidR="00731556">
        <w:t>$</w:t>
      </w:r>
      <w:r w:rsidR="00D86863">
        <w:t>28.</w:t>
      </w:r>
      <w:r w:rsidR="008712B6">
        <w:t>20</w:t>
      </w:r>
      <w:r w:rsidR="00D86863">
        <w:t>.</w:t>
      </w:r>
      <w:r>
        <w:rPr>
          <w:rStyle w:val="FootnoteReference"/>
          <w:rFonts w:cs="Arial"/>
          <w:szCs w:val="24"/>
        </w:rPr>
        <w:footnoteReference w:id="9"/>
      </w:r>
      <w:r w:rsidRPr="00F140DD" w:rsidR="00430CA7">
        <w:t xml:space="preserve"> </w:t>
      </w:r>
    </w:p>
    <w:p w:rsidR="00CB7D3A" w:rsidRPr="00CE06F7" w:rsidP="00CE06F7" w14:paraId="7639A23C" w14:textId="7859E14F">
      <w:pPr>
        <w:keepNext/>
        <w:keepLines/>
        <w:jc w:val="center"/>
        <w:rPr>
          <w:b/>
          <w:bCs/>
        </w:rPr>
      </w:pPr>
      <w:r w:rsidRPr="00CE06F7">
        <w:rPr>
          <w:b/>
          <w:bCs/>
        </w:rPr>
        <w:t xml:space="preserve">Table </w:t>
      </w:r>
      <w:r w:rsidRPr="00CE06F7">
        <w:rPr>
          <w:b/>
          <w:bCs/>
        </w:rPr>
        <w:fldChar w:fldCharType="begin"/>
      </w:r>
      <w:r w:rsidRPr="00CE06F7">
        <w:rPr>
          <w:b/>
          <w:bCs/>
        </w:rPr>
        <w:instrText xml:space="preserve"> SEQ Table \* ARABIC </w:instrText>
      </w:r>
      <w:r w:rsidRPr="00CE06F7">
        <w:rPr>
          <w:b/>
          <w:bCs/>
        </w:rPr>
        <w:fldChar w:fldCharType="separate"/>
      </w:r>
      <w:r w:rsidR="00084A7F">
        <w:rPr>
          <w:b/>
          <w:bCs/>
          <w:noProof/>
        </w:rPr>
        <w:t>2</w:t>
      </w:r>
      <w:r w:rsidRPr="00CE06F7">
        <w:rPr>
          <w:b/>
          <w:bCs/>
        </w:rPr>
        <w:fldChar w:fldCharType="end"/>
      </w:r>
      <w:r w:rsidR="00CE06F7">
        <w:rPr>
          <w:b/>
          <w:bCs/>
        </w:rPr>
        <w:t xml:space="preserve"> – Hazmat Training Records &amp; Recordkeeping Burden</w:t>
      </w:r>
    </w:p>
    <w:tbl>
      <w:tblPr>
        <w:tblStyle w:val="TableGrid"/>
        <w:tblW w:w="11155" w:type="dxa"/>
        <w:jc w:val="center"/>
        <w:tblLayout w:type="fixed"/>
        <w:tblLook w:val="04A0"/>
      </w:tblPr>
      <w:tblGrid>
        <w:gridCol w:w="1260"/>
        <w:gridCol w:w="1435"/>
        <w:gridCol w:w="1710"/>
        <w:gridCol w:w="1530"/>
        <w:gridCol w:w="1890"/>
        <w:gridCol w:w="1080"/>
        <w:gridCol w:w="990"/>
        <w:gridCol w:w="1260"/>
      </w:tblGrid>
      <w:tr w14:paraId="7E67524C" w14:textId="77777777" w:rsidTr="00CE06F7">
        <w:tblPrEx>
          <w:tblW w:w="11155" w:type="dxa"/>
          <w:jc w:val="center"/>
          <w:tblLayout w:type="fixed"/>
          <w:tblLook w:val="04A0"/>
        </w:tblPrEx>
        <w:trPr>
          <w:tblHeader/>
          <w:jc w:val="center"/>
        </w:trPr>
        <w:tc>
          <w:tcPr>
            <w:tcW w:w="1260" w:type="dxa"/>
            <w:shd w:val="clear" w:color="auto" w:fill="E7E6E6" w:themeFill="background2"/>
            <w:vAlign w:val="center"/>
          </w:tcPr>
          <w:p w:rsidR="00CB7D3A" w:rsidRPr="007119D4" w:rsidP="007119D4" w14:paraId="191E41B0" w14:textId="5928C5A1">
            <w:pPr>
              <w:jc w:val="center"/>
              <w:rPr>
                <w:b/>
                <w:bCs/>
              </w:rPr>
            </w:pPr>
            <w:r>
              <w:rPr>
                <w:b/>
                <w:bCs/>
              </w:rPr>
              <w:t>Operator Type</w:t>
            </w:r>
          </w:p>
        </w:tc>
        <w:tc>
          <w:tcPr>
            <w:tcW w:w="1435" w:type="dxa"/>
            <w:shd w:val="clear" w:color="auto" w:fill="E7E6E6" w:themeFill="background2"/>
            <w:vAlign w:val="center"/>
          </w:tcPr>
          <w:p w:rsidR="00CB7D3A" w:rsidRPr="007119D4" w:rsidP="005924C1" w14:paraId="5A6052B6" w14:textId="7F875951">
            <w:pPr>
              <w:jc w:val="center"/>
              <w:rPr>
                <w:b/>
                <w:bCs/>
              </w:rPr>
            </w:pPr>
            <w:r>
              <w:rPr>
                <w:b/>
                <w:bCs/>
              </w:rPr>
              <w:t>Total Operators</w:t>
            </w:r>
          </w:p>
        </w:tc>
        <w:tc>
          <w:tcPr>
            <w:tcW w:w="1710" w:type="dxa"/>
            <w:shd w:val="clear" w:color="auto" w:fill="E7E6E6" w:themeFill="background2"/>
            <w:vAlign w:val="center"/>
          </w:tcPr>
          <w:p w:rsidR="00CB7D3A" w:rsidRPr="007119D4" w:rsidP="005924C1" w14:paraId="77EF4824" w14:textId="2EA14807">
            <w:pPr>
              <w:jc w:val="center"/>
              <w:rPr>
                <w:b/>
                <w:bCs/>
              </w:rPr>
            </w:pPr>
            <w:r>
              <w:rPr>
                <w:b/>
                <w:bCs/>
              </w:rPr>
              <w:t>Average Employees per Operator</w:t>
            </w:r>
          </w:p>
        </w:tc>
        <w:tc>
          <w:tcPr>
            <w:tcW w:w="1530" w:type="dxa"/>
            <w:shd w:val="clear" w:color="auto" w:fill="E7E6E6" w:themeFill="background2"/>
            <w:vAlign w:val="center"/>
          </w:tcPr>
          <w:p w:rsidR="00CB7D3A" w:rsidRPr="007119D4" w:rsidP="007119D4" w14:paraId="38CAB7E8" w14:textId="3743FDB4">
            <w:pPr>
              <w:jc w:val="center"/>
              <w:rPr>
                <w:b/>
                <w:bCs/>
              </w:rPr>
            </w:pPr>
            <w:r>
              <w:rPr>
                <w:b/>
                <w:bCs/>
              </w:rPr>
              <w:t>Total Responses</w:t>
            </w:r>
          </w:p>
        </w:tc>
        <w:tc>
          <w:tcPr>
            <w:tcW w:w="1890" w:type="dxa"/>
            <w:shd w:val="clear" w:color="auto" w:fill="E7E6E6" w:themeFill="background2"/>
            <w:vAlign w:val="center"/>
          </w:tcPr>
          <w:p w:rsidR="00CB7D3A" w:rsidRPr="007119D4" w:rsidP="007119D4" w14:paraId="53FE173F" w14:textId="7DD0459D">
            <w:pPr>
              <w:jc w:val="center"/>
              <w:rPr>
                <w:b/>
                <w:bCs/>
              </w:rPr>
            </w:pPr>
            <w:r>
              <w:rPr>
                <w:b/>
                <w:bCs/>
              </w:rPr>
              <w:t>Average Annual Burden</w:t>
            </w:r>
            <w:r w:rsidRPr="007119D4">
              <w:rPr>
                <w:b/>
                <w:bCs/>
              </w:rPr>
              <w:t xml:space="preserve"> Hours</w:t>
            </w:r>
          </w:p>
        </w:tc>
        <w:tc>
          <w:tcPr>
            <w:tcW w:w="1080" w:type="dxa"/>
            <w:shd w:val="clear" w:color="auto" w:fill="E7E6E6" w:themeFill="background2"/>
            <w:vAlign w:val="center"/>
          </w:tcPr>
          <w:p w:rsidR="00CB7D3A" w:rsidRPr="007119D4" w:rsidP="007119D4" w14:paraId="55CEAF2A" w14:textId="09C96969">
            <w:pPr>
              <w:jc w:val="center"/>
              <w:rPr>
                <w:b/>
                <w:bCs/>
              </w:rPr>
            </w:pPr>
            <w:r w:rsidRPr="007119D4">
              <w:rPr>
                <w:b/>
                <w:bCs/>
              </w:rPr>
              <w:t xml:space="preserve">Annual </w:t>
            </w:r>
            <w:r>
              <w:rPr>
                <w:b/>
                <w:bCs/>
              </w:rPr>
              <w:t>Burden</w:t>
            </w:r>
            <w:r w:rsidR="00C20953">
              <w:rPr>
                <w:b/>
                <w:bCs/>
              </w:rPr>
              <w:t xml:space="preserve"> Hours</w:t>
            </w:r>
          </w:p>
        </w:tc>
        <w:tc>
          <w:tcPr>
            <w:tcW w:w="990" w:type="dxa"/>
            <w:shd w:val="clear" w:color="auto" w:fill="E7E6E6" w:themeFill="background2"/>
            <w:vAlign w:val="center"/>
          </w:tcPr>
          <w:p w:rsidR="00CB7D3A" w:rsidRPr="007119D4" w:rsidP="007119D4" w14:paraId="7522D1F2" w14:textId="37532F29">
            <w:pPr>
              <w:jc w:val="center"/>
              <w:rPr>
                <w:b/>
                <w:bCs/>
              </w:rPr>
            </w:pPr>
            <w:r>
              <w:rPr>
                <w:b/>
                <w:bCs/>
              </w:rPr>
              <w:t xml:space="preserve">Hourly </w:t>
            </w:r>
            <w:r w:rsidRPr="007119D4">
              <w:rPr>
                <w:b/>
                <w:bCs/>
              </w:rPr>
              <w:t>Wage</w:t>
            </w:r>
          </w:p>
        </w:tc>
        <w:tc>
          <w:tcPr>
            <w:tcW w:w="1260" w:type="dxa"/>
            <w:shd w:val="clear" w:color="auto" w:fill="E7E6E6" w:themeFill="background2"/>
            <w:vAlign w:val="center"/>
          </w:tcPr>
          <w:p w:rsidR="00CB7D3A" w:rsidRPr="007119D4" w:rsidP="007119D4" w14:paraId="53DD1C23" w14:textId="665AEE3F">
            <w:pPr>
              <w:jc w:val="center"/>
              <w:rPr>
                <w:b/>
                <w:bCs/>
              </w:rPr>
            </w:pPr>
            <w:r>
              <w:rPr>
                <w:b/>
                <w:bCs/>
              </w:rPr>
              <w:t xml:space="preserve">Annual </w:t>
            </w:r>
            <w:r w:rsidRPr="007119D4">
              <w:rPr>
                <w:b/>
                <w:bCs/>
              </w:rPr>
              <w:t>Cost</w:t>
            </w:r>
          </w:p>
        </w:tc>
      </w:tr>
      <w:tr w14:paraId="5F4CB631" w14:textId="77777777" w:rsidTr="00CE06F7">
        <w:tblPrEx>
          <w:tblW w:w="11155" w:type="dxa"/>
          <w:jc w:val="center"/>
          <w:tblLayout w:type="fixed"/>
          <w:tblLook w:val="04A0"/>
        </w:tblPrEx>
        <w:trPr>
          <w:jc w:val="center"/>
        </w:trPr>
        <w:tc>
          <w:tcPr>
            <w:tcW w:w="1260" w:type="dxa"/>
          </w:tcPr>
          <w:p w:rsidR="00CB7D3A" w:rsidP="00686012" w14:paraId="5CCD3B13" w14:textId="61A9959C">
            <w:r>
              <w:t>Part 121</w:t>
            </w:r>
          </w:p>
        </w:tc>
        <w:tc>
          <w:tcPr>
            <w:tcW w:w="1435" w:type="dxa"/>
          </w:tcPr>
          <w:p w:rsidR="00CB7D3A" w:rsidP="00686012" w14:paraId="293D5AA9" w14:textId="1A414C09">
            <w:r>
              <w:t>62</w:t>
            </w:r>
          </w:p>
        </w:tc>
        <w:tc>
          <w:tcPr>
            <w:tcW w:w="1710" w:type="dxa"/>
          </w:tcPr>
          <w:p w:rsidR="00CB7D3A" w:rsidP="00686012" w14:paraId="14C9BE89" w14:textId="54E59381">
            <w:r>
              <w:t>4,608.54</w:t>
            </w:r>
          </w:p>
        </w:tc>
        <w:tc>
          <w:tcPr>
            <w:tcW w:w="1530" w:type="dxa"/>
          </w:tcPr>
          <w:p w:rsidR="00CB7D3A" w:rsidP="00686012" w14:paraId="48601F58" w14:textId="0D4263D6">
            <w:r>
              <w:t>285,729</w:t>
            </w:r>
          </w:p>
        </w:tc>
        <w:tc>
          <w:tcPr>
            <w:tcW w:w="1890" w:type="dxa"/>
          </w:tcPr>
          <w:p w:rsidR="00CB7D3A" w:rsidP="00686012" w14:paraId="2A9F4BD6" w14:textId="7F7ED4AE">
            <w:r>
              <w:t>0.08</w:t>
            </w:r>
          </w:p>
        </w:tc>
        <w:tc>
          <w:tcPr>
            <w:tcW w:w="1080" w:type="dxa"/>
          </w:tcPr>
          <w:p w:rsidR="00CB7D3A" w:rsidP="00686012" w14:paraId="3C2D148E" w14:textId="4326A9BD">
            <w:r>
              <w:t>22,858</w:t>
            </w:r>
          </w:p>
        </w:tc>
        <w:tc>
          <w:tcPr>
            <w:tcW w:w="990" w:type="dxa"/>
          </w:tcPr>
          <w:p w:rsidR="00CB7D3A" w:rsidP="00686012" w14:paraId="287A4DD3" w14:textId="074CA4CD">
            <w:r>
              <w:t>$28.</w:t>
            </w:r>
            <w:r w:rsidR="008712B6">
              <w:t>20</w:t>
            </w:r>
          </w:p>
        </w:tc>
        <w:tc>
          <w:tcPr>
            <w:tcW w:w="1260" w:type="dxa"/>
          </w:tcPr>
          <w:p w:rsidR="00CB7D3A" w:rsidP="00686012" w14:paraId="77086101" w14:textId="4D4EFAD1">
            <w:r>
              <w:t>$</w:t>
            </w:r>
            <w:r w:rsidR="008712B6">
              <w:t>644,582</w:t>
            </w:r>
          </w:p>
        </w:tc>
      </w:tr>
      <w:tr w14:paraId="5F1683A9" w14:textId="77777777" w:rsidTr="00CE06F7">
        <w:tblPrEx>
          <w:tblW w:w="11155" w:type="dxa"/>
          <w:jc w:val="center"/>
          <w:tblLayout w:type="fixed"/>
          <w:tblLook w:val="04A0"/>
        </w:tblPrEx>
        <w:trPr>
          <w:jc w:val="center"/>
        </w:trPr>
        <w:tc>
          <w:tcPr>
            <w:tcW w:w="1260" w:type="dxa"/>
          </w:tcPr>
          <w:p w:rsidR="00CB7D3A" w:rsidP="00686012" w14:paraId="301CC9BC" w14:textId="153C879E">
            <w:r>
              <w:t>Part 135</w:t>
            </w:r>
          </w:p>
        </w:tc>
        <w:tc>
          <w:tcPr>
            <w:tcW w:w="1435" w:type="dxa"/>
          </w:tcPr>
          <w:p w:rsidR="00CB7D3A" w:rsidP="00686012" w14:paraId="6AF28994" w14:textId="01D2E9D0">
            <w:r>
              <w:t>1,</w:t>
            </w:r>
            <w:r w:rsidR="00243D9B">
              <w:t>844</w:t>
            </w:r>
          </w:p>
        </w:tc>
        <w:tc>
          <w:tcPr>
            <w:tcW w:w="1710" w:type="dxa"/>
          </w:tcPr>
          <w:p w:rsidR="00CB7D3A" w:rsidP="00686012" w14:paraId="7086F04D" w14:textId="2D8B431E">
            <w:r>
              <w:t>63.05</w:t>
            </w:r>
          </w:p>
        </w:tc>
        <w:tc>
          <w:tcPr>
            <w:tcW w:w="1530" w:type="dxa"/>
          </w:tcPr>
          <w:p w:rsidR="00CB7D3A" w:rsidP="00686012" w14:paraId="5B740AC3" w14:textId="3A4331FE">
            <w:r>
              <w:t>116,264</w:t>
            </w:r>
          </w:p>
        </w:tc>
        <w:tc>
          <w:tcPr>
            <w:tcW w:w="1890" w:type="dxa"/>
          </w:tcPr>
          <w:p w:rsidR="00CB7D3A" w:rsidP="00686012" w14:paraId="0DCDB009" w14:textId="518108F1">
            <w:r>
              <w:t>0.08</w:t>
            </w:r>
          </w:p>
        </w:tc>
        <w:tc>
          <w:tcPr>
            <w:tcW w:w="1080" w:type="dxa"/>
          </w:tcPr>
          <w:p w:rsidR="00CB7D3A" w:rsidP="00686012" w14:paraId="26E710E7" w14:textId="310B665F">
            <w:r>
              <w:t>9,301</w:t>
            </w:r>
          </w:p>
        </w:tc>
        <w:tc>
          <w:tcPr>
            <w:tcW w:w="990" w:type="dxa"/>
          </w:tcPr>
          <w:p w:rsidR="00CB7D3A" w:rsidP="00686012" w14:paraId="09803A46" w14:textId="4DF375CB">
            <w:r>
              <w:t>$28.</w:t>
            </w:r>
            <w:r w:rsidR="008712B6">
              <w:t>20</w:t>
            </w:r>
          </w:p>
        </w:tc>
        <w:tc>
          <w:tcPr>
            <w:tcW w:w="1260" w:type="dxa"/>
          </w:tcPr>
          <w:p w:rsidR="008712B6" w:rsidP="00686012" w14:paraId="1748466E" w14:textId="696FA6EA">
            <w:r>
              <w:t>$262,283</w:t>
            </w:r>
          </w:p>
        </w:tc>
      </w:tr>
    </w:tbl>
    <w:p w:rsidR="00091472" w:rsidP="00091472" w14:paraId="2BF54467" w14:textId="77777777"/>
    <w:p w:rsidR="00730F3E" w:rsidP="008B4F03" w14:paraId="3CD0E9A2" w14:textId="50F39704">
      <w:pPr>
        <w:pStyle w:val="Heading2"/>
      </w:pPr>
      <w:r>
        <w:t>Part 145 Repair Station Training</w:t>
      </w:r>
    </w:p>
    <w:p w:rsidR="00CE06F7" w:rsidP="00CE06F7" w14:paraId="6154C734" w14:textId="247A9927">
      <w:r>
        <w:t xml:space="preserve">The FAA estimates that </w:t>
      </w:r>
      <w:r w:rsidR="00FF5363">
        <w:t xml:space="preserve">6% </w:t>
      </w:r>
      <w:r>
        <w:t xml:space="preserve">of </w:t>
      </w:r>
      <w:r w:rsidR="009A6971">
        <w:t>Part 145 R</w:t>
      </w:r>
      <w:r>
        <w:t xml:space="preserve">epair </w:t>
      </w:r>
      <w:r w:rsidR="009A6971">
        <w:t>S</w:t>
      </w:r>
      <w:r>
        <w:t xml:space="preserve">tations </w:t>
      </w:r>
      <w:r w:rsidR="007144AB">
        <w:t xml:space="preserve">must </w:t>
      </w:r>
      <w:r w:rsidRPr="00A30901" w:rsidR="007144AB">
        <w:t>certif</w:t>
      </w:r>
      <w:r w:rsidR="007144AB">
        <w:t>y</w:t>
      </w:r>
      <w:r w:rsidRPr="00A30901" w:rsidR="007144AB">
        <w:t xml:space="preserve"> that all hazmat employees have been trained in accordance with </w:t>
      </w:r>
      <w:r w:rsidR="007144AB">
        <w:t>the HMR before they receive certification or change of rating</w:t>
      </w:r>
      <w:r w:rsidRPr="00A30901" w:rsidR="007144AB">
        <w:t xml:space="preserve">. </w:t>
      </w:r>
      <w:r w:rsidR="008B0BEF">
        <w:t xml:space="preserve">The FAA estimates that it takes </w:t>
      </w:r>
      <w:r w:rsidR="00594216">
        <w:t>an office clerk 2 </w:t>
      </w:r>
      <w:r w:rsidR="008B0BEF">
        <w:t xml:space="preserve">hours </w:t>
      </w:r>
      <w:r w:rsidR="007144AB">
        <w:t xml:space="preserve">to certify this training and submit </w:t>
      </w:r>
      <w:r w:rsidR="008B0BEF">
        <w:t xml:space="preserve">the documentation </w:t>
      </w:r>
      <w:r w:rsidR="007144AB">
        <w:t>to the FAA</w:t>
      </w:r>
      <w:r>
        <w:t>. The hourly wage of the personnel verifying this requirement, including benefits, is estimated to be $28.</w:t>
      </w:r>
      <w:r w:rsidR="00D04910">
        <w:t>20</w:t>
      </w:r>
      <w:r>
        <w:t>.</w:t>
      </w:r>
      <w:r>
        <w:rPr>
          <w:rStyle w:val="FootnoteReference"/>
        </w:rPr>
        <w:footnoteReference w:id="10"/>
      </w:r>
    </w:p>
    <w:p w:rsidR="009D67F0" w:rsidRPr="00F63E23" w:rsidP="00F63E23" w14:paraId="1BEE742E" w14:textId="264A9C3E">
      <w:pPr>
        <w:jc w:val="center"/>
        <w:rPr>
          <w:b/>
          <w:bCs/>
        </w:rPr>
      </w:pPr>
      <w:r w:rsidRPr="00F63E23">
        <w:rPr>
          <w:b/>
          <w:bCs/>
        </w:rPr>
        <w:t xml:space="preserve">Table </w:t>
      </w:r>
      <w:r w:rsidRPr="00F63E23">
        <w:rPr>
          <w:b/>
          <w:bCs/>
        </w:rPr>
        <w:fldChar w:fldCharType="begin"/>
      </w:r>
      <w:r w:rsidRPr="00F63E23">
        <w:rPr>
          <w:b/>
          <w:bCs/>
        </w:rPr>
        <w:instrText xml:space="preserve"> SEQ Table \* ARABIC </w:instrText>
      </w:r>
      <w:r w:rsidRPr="00F63E23">
        <w:rPr>
          <w:b/>
          <w:bCs/>
        </w:rPr>
        <w:fldChar w:fldCharType="separate"/>
      </w:r>
      <w:r w:rsidR="00084A7F">
        <w:rPr>
          <w:b/>
          <w:bCs/>
          <w:noProof/>
        </w:rPr>
        <w:t>3</w:t>
      </w:r>
      <w:r w:rsidRPr="00F63E23">
        <w:rPr>
          <w:b/>
          <w:bCs/>
        </w:rPr>
        <w:fldChar w:fldCharType="end"/>
      </w:r>
      <w:r>
        <w:rPr>
          <w:b/>
          <w:bCs/>
        </w:rPr>
        <w:t xml:space="preserve"> – Part 145 Repair Station Training Burden</w:t>
      </w:r>
    </w:p>
    <w:tbl>
      <w:tblPr>
        <w:tblStyle w:val="TableGrid"/>
        <w:tblW w:w="11605" w:type="dxa"/>
        <w:jc w:val="center"/>
        <w:tblLayout w:type="fixed"/>
        <w:tblLook w:val="04A0"/>
      </w:tblPr>
      <w:tblGrid>
        <w:gridCol w:w="1795"/>
        <w:gridCol w:w="1440"/>
        <w:gridCol w:w="1710"/>
        <w:gridCol w:w="1530"/>
        <w:gridCol w:w="1890"/>
        <w:gridCol w:w="1080"/>
        <w:gridCol w:w="990"/>
        <w:gridCol w:w="1170"/>
      </w:tblGrid>
      <w:tr w14:paraId="524B6B09" w14:textId="77777777" w:rsidTr="007E6781">
        <w:tblPrEx>
          <w:tblW w:w="11605" w:type="dxa"/>
          <w:jc w:val="center"/>
          <w:tblLayout w:type="fixed"/>
          <w:tblLook w:val="04A0"/>
        </w:tblPrEx>
        <w:trPr>
          <w:jc w:val="center"/>
        </w:trPr>
        <w:tc>
          <w:tcPr>
            <w:tcW w:w="1795" w:type="dxa"/>
            <w:shd w:val="clear" w:color="auto" w:fill="E7E6E6" w:themeFill="background2"/>
            <w:vAlign w:val="center"/>
          </w:tcPr>
          <w:p w:rsidR="005F0318" w:rsidRPr="00F92CC7" w:rsidP="00F92CC7" w14:paraId="0A789238" w14:textId="6788F7BB">
            <w:pPr>
              <w:jc w:val="center"/>
              <w:rPr>
                <w:b/>
                <w:bCs/>
              </w:rPr>
            </w:pPr>
            <w:r w:rsidRPr="00F92CC7">
              <w:rPr>
                <w:b/>
                <w:bCs/>
              </w:rPr>
              <w:t>Operator Type</w:t>
            </w:r>
          </w:p>
        </w:tc>
        <w:tc>
          <w:tcPr>
            <w:tcW w:w="1440" w:type="dxa"/>
            <w:shd w:val="clear" w:color="auto" w:fill="E7E6E6" w:themeFill="background2"/>
            <w:vAlign w:val="center"/>
          </w:tcPr>
          <w:p w:rsidR="005F0318" w:rsidRPr="00F92CC7" w:rsidP="00F92CC7" w14:paraId="4E8E17C7" w14:textId="7674F893">
            <w:pPr>
              <w:jc w:val="center"/>
              <w:rPr>
                <w:b/>
                <w:bCs/>
              </w:rPr>
            </w:pPr>
            <w:r w:rsidRPr="00F92CC7">
              <w:rPr>
                <w:b/>
                <w:bCs/>
              </w:rPr>
              <w:t>Total Operators</w:t>
            </w:r>
          </w:p>
        </w:tc>
        <w:tc>
          <w:tcPr>
            <w:tcW w:w="1710" w:type="dxa"/>
            <w:shd w:val="clear" w:color="auto" w:fill="E7E6E6" w:themeFill="background2"/>
            <w:vAlign w:val="center"/>
          </w:tcPr>
          <w:p w:rsidR="005F0318" w:rsidRPr="00F92CC7" w:rsidP="00F92CC7" w14:paraId="3C33184B" w14:textId="506DCBB0">
            <w:pPr>
              <w:jc w:val="center"/>
              <w:rPr>
                <w:b/>
                <w:bCs/>
              </w:rPr>
            </w:pPr>
            <w:r w:rsidRPr="00F92CC7">
              <w:rPr>
                <w:b/>
                <w:bCs/>
              </w:rPr>
              <w:t>Average Response per Operator</w:t>
            </w:r>
          </w:p>
        </w:tc>
        <w:tc>
          <w:tcPr>
            <w:tcW w:w="1530" w:type="dxa"/>
            <w:shd w:val="clear" w:color="auto" w:fill="E7E6E6" w:themeFill="background2"/>
            <w:vAlign w:val="center"/>
          </w:tcPr>
          <w:p w:rsidR="005F0318" w:rsidRPr="00F92CC7" w:rsidP="00F92CC7" w14:paraId="0F37B769" w14:textId="1814222C">
            <w:pPr>
              <w:jc w:val="center"/>
              <w:rPr>
                <w:b/>
                <w:bCs/>
              </w:rPr>
            </w:pPr>
            <w:r w:rsidRPr="00F92CC7">
              <w:rPr>
                <w:b/>
                <w:bCs/>
              </w:rPr>
              <w:t>Total Responses</w:t>
            </w:r>
          </w:p>
        </w:tc>
        <w:tc>
          <w:tcPr>
            <w:tcW w:w="1890" w:type="dxa"/>
            <w:shd w:val="clear" w:color="auto" w:fill="E7E6E6" w:themeFill="background2"/>
            <w:vAlign w:val="center"/>
          </w:tcPr>
          <w:p w:rsidR="005F0318" w:rsidRPr="00F92CC7" w:rsidP="00F92CC7" w14:paraId="6783F987" w14:textId="59209C1B">
            <w:pPr>
              <w:jc w:val="center"/>
              <w:rPr>
                <w:b/>
                <w:bCs/>
              </w:rPr>
            </w:pPr>
            <w:r w:rsidRPr="00F92CC7">
              <w:rPr>
                <w:b/>
                <w:bCs/>
              </w:rPr>
              <w:t>Average Annual Burden Hours</w:t>
            </w:r>
          </w:p>
        </w:tc>
        <w:tc>
          <w:tcPr>
            <w:tcW w:w="1080" w:type="dxa"/>
            <w:shd w:val="clear" w:color="auto" w:fill="E7E6E6" w:themeFill="background2"/>
            <w:vAlign w:val="center"/>
          </w:tcPr>
          <w:p w:rsidR="005F0318" w:rsidRPr="00F92CC7" w:rsidP="00F92CC7" w14:paraId="4D08ADB2" w14:textId="4AD5C509">
            <w:pPr>
              <w:jc w:val="center"/>
              <w:rPr>
                <w:b/>
                <w:bCs/>
              </w:rPr>
            </w:pPr>
            <w:r w:rsidRPr="00F92CC7">
              <w:rPr>
                <w:b/>
                <w:bCs/>
              </w:rPr>
              <w:t>Annual Burden</w:t>
            </w:r>
            <w:r w:rsidR="00C20953">
              <w:rPr>
                <w:b/>
                <w:bCs/>
              </w:rPr>
              <w:t xml:space="preserve"> Hours</w:t>
            </w:r>
          </w:p>
        </w:tc>
        <w:tc>
          <w:tcPr>
            <w:tcW w:w="990" w:type="dxa"/>
            <w:shd w:val="clear" w:color="auto" w:fill="E7E6E6" w:themeFill="background2"/>
            <w:vAlign w:val="center"/>
          </w:tcPr>
          <w:p w:rsidR="005F0318" w:rsidRPr="00F92CC7" w:rsidP="00F92CC7" w14:paraId="60FC76F4" w14:textId="68375955">
            <w:pPr>
              <w:jc w:val="center"/>
              <w:rPr>
                <w:b/>
                <w:bCs/>
              </w:rPr>
            </w:pPr>
            <w:r w:rsidRPr="00F92CC7">
              <w:rPr>
                <w:b/>
                <w:bCs/>
              </w:rPr>
              <w:t>Hourly Wage</w:t>
            </w:r>
          </w:p>
        </w:tc>
        <w:tc>
          <w:tcPr>
            <w:tcW w:w="1170" w:type="dxa"/>
            <w:shd w:val="clear" w:color="auto" w:fill="E7E6E6" w:themeFill="background2"/>
            <w:vAlign w:val="center"/>
          </w:tcPr>
          <w:p w:rsidR="005F0318" w:rsidRPr="00F92CC7" w:rsidP="00F92CC7" w14:paraId="19766284" w14:textId="187B6BCC">
            <w:pPr>
              <w:jc w:val="center"/>
              <w:rPr>
                <w:b/>
                <w:bCs/>
              </w:rPr>
            </w:pPr>
            <w:r w:rsidRPr="00F92CC7">
              <w:rPr>
                <w:b/>
                <w:bCs/>
              </w:rPr>
              <w:t>Annual Cost</w:t>
            </w:r>
          </w:p>
        </w:tc>
      </w:tr>
      <w:tr w14:paraId="5014F9AA" w14:textId="77777777" w:rsidTr="007E6781">
        <w:tblPrEx>
          <w:tblW w:w="11605" w:type="dxa"/>
          <w:jc w:val="center"/>
          <w:tblLayout w:type="fixed"/>
          <w:tblLook w:val="04A0"/>
        </w:tblPrEx>
        <w:trPr>
          <w:jc w:val="center"/>
        </w:trPr>
        <w:tc>
          <w:tcPr>
            <w:tcW w:w="1795" w:type="dxa"/>
          </w:tcPr>
          <w:p w:rsidR="005F0318" w:rsidP="00CE06F7" w14:paraId="68D43DEF" w14:textId="5C54DB6E">
            <w:r>
              <w:t>Part 145 Repair Station</w:t>
            </w:r>
          </w:p>
        </w:tc>
        <w:tc>
          <w:tcPr>
            <w:tcW w:w="1440" w:type="dxa"/>
            <w:vAlign w:val="center"/>
          </w:tcPr>
          <w:p w:rsidR="005F0318" w:rsidP="00F92CC7" w14:paraId="3158F096" w14:textId="7D71E857">
            <w:r>
              <w:t>29</w:t>
            </w:r>
            <w:r w:rsidR="009A6971">
              <w:t>9</w:t>
            </w:r>
          </w:p>
        </w:tc>
        <w:tc>
          <w:tcPr>
            <w:tcW w:w="1710" w:type="dxa"/>
            <w:vAlign w:val="center"/>
          </w:tcPr>
          <w:p w:rsidR="005F0318" w:rsidP="00F92CC7" w14:paraId="3C128083" w14:textId="7D3EC05B">
            <w:r>
              <w:t>1</w:t>
            </w:r>
          </w:p>
        </w:tc>
        <w:tc>
          <w:tcPr>
            <w:tcW w:w="1530" w:type="dxa"/>
            <w:vAlign w:val="center"/>
          </w:tcPr>
          <w:p w:rsidR="005F0318" w:rsidP="00F92CC7" w14:paraId="2CD8E926" w14:textId="48DAAB64">
            <w:r>
              <w:t>29</w:t>
            </w:r>
            <w:r w:rsidR="009A6971">
              <w:t>9</w:t>
            </w:r>
          </w:p>
        </w:tc>
        <w:tc>
          <w:tcPr>
            <w:tcW w:w="1890" w:type="dxa"/>
            <w:vAlign w:val="center"/>
          </w:tcPr>
          <w:p w:rsidR="005F0318" w:rsidP="00F92CC7" w14:paraId="18751C31" w14:textId="4D3FD518">
            <w:r>
              <w:t>2</w:t>
            </w:r>
          </w:p>
        </w:tc>
        <w:tc>
          <w:tcPr>
            <w:tcW w:w="1080" w:type="dxa"/>
            <w:vAlign w:val="center"/>
          </w:tcPr>
          <w:p w:rsidR="005F0318" w:rsidP="00F92CC7" w14:paraId="5FC73EEB" w14:textId="781B545D">
            <w:r>
              <w:t>598</w:t>
            </w:r>
          </w:p>
        </w:tc>
        <w:tc>
          <w:tcPr>
            <w:tcW w:w="990" w:type="dxa"/>
            <w:vAlign w:val="center"/>
          </w:tcPr>
          <w:p w:rsidR="005F0318" w:rsidP="00F92CC7" w14:paraId="79C5A345" w14:textId="16B4C907">
            <w:r>
              <w:t>$28.</w:t>
            </w:r>
            <w:r w:rsidR="00D04910">
              <w:t>20</w:t>
            </w:r>
          </w:p>
        </w:tc>
        <w:tc>
          <w:tcPr>
            <w:tcW w:w="1170" w:type="dxa"/>
            <w:vAlign w:val="center"/>
          </w:tcPr>
          <w:p w:rsidR="005F0318" w:rsidP="00F92CC7" w14:paraId="75AA5013" w14:textId="6CEE9E87">
            <w:r>
              <w:t>$</w:t>
            </w:r>
            <w:r w:rsidR="00905D50">
              <w:t>16</w:t>
            </w:r>
            <w:r>
              <w:t>,</w:t>
            </w:r>
            <w:r w:rsidR="00D04910">
              <w:t>863</w:t>
            </w:r>
          </w:p>
        </w:tc>
      </w:tr>
    </w:tbl>
    <w:p w:rsidR="00A70B0B" w:rsidRPr="00CE06F7" w:rsidP="00CE06F7" w14:paraId="0E858510" w14:textId="77777777"/>
    <w:p w:rsidR="00430CA7" w:rsidRPr="00F140DD" w:rsidP="008B4F03" w14:paraId="73DA511A" w14:textId="77777777">
      <w:pPr>
        <w:pStyle w:val="Heading2"/>
      </w:pPr>
      <w:r w:rsidRPr="00F140DD">
        <w:t>Notification</w:t>
      </w:r>
    </w:p>
    <w:p w:rsidR="00FC75C6" w:rsidP="00686012" w14:paraId="61C4E0AC" w14:textId="30346601">
      <w:r>
        <w:t xml:space="preserve">The FAA estimates that it takes </w:t>
      </w:r>
      <w:r w:rsidR="00F35FDD">
        <w:t>o</w:t>
      </w:r>
      <w:r w:rsidRPr="00F140DD" w:rsidR="00430CA7">
        <w:t xml:space="preserve">ne hour for </w:t>
      </w:r>
      <w:r w:rsidR="00B03899">
        <w:t xml:space="preserve">a </w:t>
      </w:r>
      <w:r w:rsidR="00D260A7">
        <w:t>P</w:t>
      </w:r>
      <w:r w:rsidRPr="00F140DD" w:rsidR="00430CA7">
        <w:t xml:space="preserve">art 121 </w:t>
      </w:r>
      <w:r w:rsidR="00F35FDD">
        <w:t>CH and 30</w:t>
      </w:r>
      <w:r w:rsidRPr="00F140DD" w:rsidR="00430CA7">
        <w:t xml:space="preserve"> minutes for </w:t>
      </w:r>
      <w:r w:rsidR="00B03899">
        <w:t>a</w:t>
      </w:r>
      <w:r w:rsidRPr="00F140DD" w:rsidR="00B03899">
        <w:t xml:space="preserve"> </w:t>
      </w:r>
      <w:r w:rsidR="00D260A7">
        <w:t>P</w:t>
      </w:r>
      <w:r w:rsidRPr="00F140DD" w:rsidR="00F35FDD">
        <w:t xml:space="preserve">art </w:t>
      </w:r>
      <w:r w:rsidRPr="00F140DD" w:rsidR="00430CA7">
        <w:t xml:space="preserve">135 </w:t>
      </w:r>
      <w:r w:rsidR="00F35FDD">
        <w:t>CH</w:t>
      </w:r>
      <w:r w:rsidR="00B03899">
        <w:t xml:space="preserve"> to </w:t>
      </w:r>
      <w:r w:rsidR="00277C91">
        <w:t>prepare and provide notification to Part 145 Repair Stations</w:t>
      </w:r>
      <w:r w:rsidRPr="00F140DD" w:rsidR="00430CA7">
        <w:t xml:space="preserve">. </w:t>
      </w:r>
      <w:r w:rsidR="00277C91">
        <w:t>Furthermore, the FAA estimates it takes less than 10 minutes f</w:t>
      </w:r>
      <w:r w:rsidR="004D6AC5">
        <w:t xml:space="preserve">or </w:t>
      </w:r>
      <w:r w:rsidR="00D260A7">
        <w:t>P</w:t>
      </w:r>
      <w:r w:rsidR="004D6AC5">
        <w:t>art 145 repair station</w:t>
      </w:r>
      <w:r w:rsidR="00277C91">
        <w:t>s</w:t>
      </w:r>
      <w:r w:rsidR="004D6AC5">
        <w:t xml:space="preserve"> to notify their employees of </w:t>
      </w:r>
      <w:r w:rsidR="00277C91">
        <w:t xml:space="preserve">appropriate </w:t>
      </w:r>
      <w:r w:rsidR="00D260A7">
        <w:t>P</w:t>
      </w:r>
      <w:r w:rsidR="004D6AC5">
        <w:t>art 121 or 135 CH will or will-not-carry status. The FAA estimates an office clerk will make this notification with an hourly wage, including benefits, o</w:t>
      </w:r>
      <w:r w:rsidR="00904523">
        <w:t>f</w:t>
      </w:r>
      <w:r w:rsidR="004D6AC5">
        <w:t xml:space="preserve"> $28.</w:t>
      </w:r>
      <w:r w:rsidR="00D04910">
        <w:t>20</w:t>
      </w:r>
      <w:r w:rsidR="004D6AC5">
        <w:t>.</w:t>
      </w:r>
      <w:r>
        <w:rPr>
          <w:rStyle w:val="FootnoteReference"/>
        </w:rPr>
        <w:footnoteReference w:id="11"/>
      </w:r>
      <w:r w:rsidRPr="00F140DD" w:rsidR="00430CA7">
        <w:t xml:space="preserve"> </w:t>
      </w:r>
    </w:p>
    <w:p w:rsidR="00514D87" w:rsidRPr="00F63E23" w:rsidP="00F63E23" w14:paraId="21067004" w14:textId="4B675F6D">
      <w:pPr>
        <w:keepNext/>
        <w:keepLines/>
        <w:jc w:val="center"/>
        <w:rPr>
          <w:b/>
          <w:bCs/>
        </w:rPr>
      </w:pPr>
      <w:r w:rsidRPr="00F63E23">
        <w:rPr>
          <w:b/>
          <w:bCs/>
        </w:rPr>
        <w:t xml:space="preserve">Table </w:t>
      </w:r>
      <w:r w:rsidRPr="00F63E23">
        <w:rPr>
          <w:b/>
          <w:bCs/>
        </w:rPr>
        <w:fldChar w:fldCharType="begin"/>
      </w:r>
      <w:r w:rsidRPr="00F63E23">
        <w:rPr>
          <w:b/>
          <w:bCs/>
        </w:rPr>
        <w:instrText xml:space="preserve"> SEQ Table \* ARABIC </w:instrText>
      </w:r>
      <w:r w:rsidRPr="00F63E23">
        <w:rPr>
          <w:b/>
          <w:bCs/>
        </w:rPr>
        <w:fldChar w:fldCharType="separate"/>
      </w:r>
      <w:r w:rsidR="00084A7F">
        <w:rPr>
          <w:b/>
          <w:bCs/>
          <w:noProof/>
        </w:rPr>
        <w:t>4</w:t>
      </w:r>
      <w:r w:rsidRPr="00F63E23">
        <w:rPr>
          <w:b/>
          <w:bCs/>
        </w:rPr>
        <w:fldChar w:fldCharType="end"/>
      </w:r>
      <w:r>
        <w:rPr>
          <w:b/>
          <w:bCs/>
        </w:rPr>
        <w:t xml:space="preserve"> – Notification Burden</w:t>
      </w:r>
    </w:p>
    <w:tbl>
      <w:tblPr>
        <w:tblStyle w:val="TableGrid"/>
        <w:tblW w:w="11515" w:type="dxa"/>
        <w:jc w:val="center"/>
        <w:tblLayout w:type="fixed"/>
        <w:tblLook w:val="04A0"/>
      </w:tblPr>
      <w:tblGrid>
        <w:gridCol w:w="1795"/>
        <w:gridCol w:w="1440"/>
        <w:gridCol w:w="1620"/>
        <w:gridCol w:w="1530"/>
        <w:gridCol w:w="1890"/>
        <w:gridCol w:w="1080"/>
        <w:gridCol w:w="990"/>
        <w:gridCol w:w="1170"/>
      </w:tblGrid>
      <w:tr w14:paraId="57D68284" w14:textId="77777777" w:rsidTr="00514D87">
        <w:tblPrEx>
          <w:tblW w:w="11515" w:type="dxa"/>
          <w:jc w:val="center"/>
          <w:tblLayout w:type="fixed"/>
          <w:tblLook w:val="04A0"/>
        </w:tblPrEx>
        <w:trPr>
          <w:tblHeader/>
          <w:jc w:val="center"/>
        </w:trPr>
        <w:tc>
          <w:tcPr>
            <w:tcW w:w="1795" w:type="dxa"/>
            <w:shd w:val="clear" w:color="auto" w:fill="E7E6E6" w:themeFill="background2"/>
            <w:vAlign w:val="center"/>
          </w:tcPr>
          <w:p w:rsidR="007478A3" w:rsidRPr="00A449E0" w:rsidP="00A449E0" w14:paraId="5EEB5AA9" w14:textId="3F596AB5">
            <w:pPr>
              <w:jc w:val="center"/>
              <w:rPr>
                <w:b/>
                <w:bCs/>
              </w:rPr>
            </w:pPr>
            <w:r w:rsidRPr="00A449E0">
              <w:rPr>
                <w:b/>
                <w:bCs/>
              </w:rPr>
              <w:t>Operator Type</w:t>
            </w:r>
          </w:p>
        </w:tc>
        <w:tc>
          <w:tcPr>
            <w:tcW w:w="1440" w:type="dxa"/>
            <w:shd w:val="clear" w:color="auto" w:fill="E7E6E6" w:themeFill="background2"/>
            <w:vAlign w:val="center"/>
          </w:tcPr>
          <w:p w:rsidR="007478A3" w:rsidRPr="00A449E0" w:rsidP="00A449E0" w14:paraId="0601FD5C" w14:textId="7D48BA53">
            <w:pPr>
              <w:jc w:val="center"/>
              <w:rPr>
                <w:b/>
                <w:bCs/>
              </w:rPr>
            </w:pPr>
            <w:r w:rsidRPr="00A449E0">
              <w:rPr>
                <w:b/>
                <w:bCs/>
              </w:rPr>
              <w:t>Total Operators</w:t>
            </w:r>
          </w:p>
        </w:tc>
        <w:tc>
          <w:tcPr>
            <w:tcW w:w="1620" w:type="dxa"/>
            <w:shd w:val="clear" w:color="auto" w:fill="E7E6E6" w:themeFill="background2"/>
            <w:vAlign w:val="center"/>
          </w:tcPr>
          <w:p w:rsidR="007478A3" w:rsidRPr="00A449E0" w:rsidP="00A449E0" w14:paraId="355DAC22" w14:textId="12EDF486">
            <w:pPr>
              <w:jc w:val="center"/>
              <w:rPr>
                <w:b/>
                <w:bCs/>
              </w:rPr>
            </w:pPr>
            <w:r w:rsidRPr="00A449E0">
              <w:rPr>
                <w:b/>
                <w:bCs/>
              </w:rPr>
              <w:t>Notification per Operator</w:t>
            </w:r>
          </w:p>
        </w:tc>
        <w:tc>
          <w:tcPr>
            <w:tcW w:w="1530" w:type="dxa"/>
            <w:shd w:val="clear" w:color="auto" w:fill="E7E6E6" w:themeFill="background2"/>
            <w:vAlign w:val="center"/>
          </w:tcPr>
          <w:p w:rsidR="007478A3" w:rsidRPr="00A449E0" w:rsidP="00A449E0" w14:paraId="15615E7C" w14:textId="6A2104C0">
            <w:pPr>
              <w:jc w:val="center"/>
              <w:rPr>
                <w:b/>
                <w:bCs/>
              </w:rPr>
            </w:pPr>
            <w:r w:rsidRPr="00A449E0">
              <w:rPr>
                <w:b/>
                <w:bCs/>
              </w:rPr>
              <w:t>Total Responses</w:t>
            </w:r>
          </w:p>
        </w:tc>
        <w:tc>
          <w:tcPr>
            <w:tcW w:w="1890" w:type="dxa"/>
            <w:shd w:val="clear" w:color="auto" w:fill="E7E6E6" w:themeFill="background2"/>
            <w:vAlign w:val="center"/>
          </w:tcPr>
          <w:p w:rsidR="007478A3" w:rsidRPr="00A449E0" w:rsidP="00A449E0" w14:paraId="53726707" w14:textId="5A31B1B2">
            <w:pPr>
              <w:jc w:val="center"/>
              <w:rPr>
                <w:b/>
                <w:bCs/>
              </w:rPr>
            </w:pPr>
            <w:r w:rsidRPr="00A449E0">
              <w:rPr>
                <w:b/>
                <w:bCs/>
              </w:rPr>
              <w:t>Average Annual Burden Hours</w:t>
            </w:r>
          </w:p>
        </w:tc>
        <w:tc>
          <w:tcPr>
            <w:tcW w:w="1080" w:type="dxa"/>
            <w:shd w:val="clear" w:color="auto" w:fill="E7E6E6" w:themeFill="background2"/>
            <w:vAlign w:val="center"/>
          </w:tcPr>
          <w:p w:rsidR="007478A3" w:rsidRPr="00A449E0" w:rsidP="00A449E0" w14:paraId="38033452" w14:textId="7BB4C012">
            <w:pPr>
              <w:jc w:val="center"/>
              <w:rPr>
                <w:b/>
                <w:bCs/>
              </w:rPr>
            </w:pPr>
            <w:r w:rsidRPr="00A449E0">
              <w:rPr>
                <w:b/>
                <w:bCs/>
              </w:rPr>
              <w:t>Annual Burden</w:t>
            </w:r>
            <w:r w:rsidR="004B4E11">
              <w:rPr>
                <w:b/>
                <w:bCs/>
              </w:rPr>
              <w:t xml:space="preserve"> Hours</w:t>
            </w:r>
          </w:p>
        </w:tc>
        <w:tc>
          <w:tcPr>
            <w:tcW w:w="990" w:type="dxa"/>
            <w:shd w:val="clear" w:color="auto" w:fill="E7E6E6" w:themeFill="background2"/>
            <w:vAlign w:val="center"/>
          </w:tcPr>
          <w:p w:rsidR="007478A3" w:rsidRPr="00A449E0" w:rsidP="00A449E0" w14:paraId="47071817" w14:textId="18455CBB">
            <w:pPr>
              <w:jc w:val="center"/>
              <w:rPr>
                <w:b/>
                <w:bCs/>
              </w:rPr>
            </w:pPr>
            <w:r w:rsidRPr="00A449E0">
              <w:rPr>
                <w:b/>
                <w:bCs/>
              </w:rPr>
              <w:t>Hourly Wage</w:t>
            </w:r>
          </w:p>
        </w:tc>
        <w:tc>
          <w:tcPr>
            <w:tcW w:w="1170" w:type="dxa"/>
            <w:shd w:val="clear" w:color="auto" w:fill="E7E6E6" w:themeFill="background2"/>
            <w:vAlign w:val="center"/>
          </w:tcPr>
          <w:p w:rsidR="007478A3" w:rsidRPr="00A449E0" w:rsidP="00A449E0" w14:paraId="66E76948" w14:textId="3F7ACFC2">
            <w:pPr>
              <w:jc w:val="center"/>
              <w:rPr>
                <w:b/>
                <w:bCs/>
              </w:rPr>
            </w:pPr>
            <w:r w:rsidRPr="00A449E0">
              <w:rPr>
                <w:b/>
                <w:bCs/>
              </w:rPr>
              <w:t>Annual Cost</w:t>
            </w:r>
          </w:p>
        </w:tc>
      </w:tr>
      <w:tr w14:paraId="40CA5504" w14:textId="77777777" w:rsidTr="00F63E23">
        <w:tblPrEx>
          <w:tblW w:w="11515" w:type="dxa"/>
          <w:jc w:val="center"/>
          <w:tblLayout w:type="fixed"/>
          <w:tblLook w:val="04A0"/>
        </w:tblPrEx>
        <w:trPr>
          <w:jc w:val="center"/>
        </w:trPr>
        <w:tc>
          <w:tcPr>
            <w:tcW w:w="1795" w:type="dxa"/>
          </w:tcPr>
          <w:p w:rsidR="007478A3" w:rsidP="00276921" w14:paraId="04988C7E" w14:textId="184FA637">
            <w:r>
              <w:t>Part 121</w:t>
            </w:r>
          </w:p>
        </w:tc>
        <w:tc>
          <w:tcPr>
            <w:tcW w:w="1440" w:type="dxa"/>
          </w:tcPr>
          <w:p w:rsidR="007478A3" w:rsidP="00276921" w14:paraId="6B5283C1" w14:textId="65811400">
            <w:r>
              <w:t>62</w:t>
            </w:r>
          </w:p>
        </w:tc>
        <w:tc>
          <w:tcPr>
            <w:tcW w:w="1620" w:type="dxa"/>
          </w:tcPr>
          <w:p w:rsidR="007478A3" w:rsidP="00276921" w14:paraId="029312FC" w14:textId="205B53C2">
            <w:r>
              <w:t>1.84</w:t>
            </w:r>
          </w:p>
        </w:tc>
        <w:tc>
          <w:tcPr>
            <w:tcW w:w="1530" w:type="dxa"/>
          </w:tcPr>
          <w:p w:rsidR="007478A3" w:rsidP="00276921" w14:paraId="579575FA" w14:textId="0A0942E6">
            <w:r>
              <w:t>114</w:t>
            </w:r>
          </w:p>
        </w:tc>
        <w:tc>
          <w:tcPr>
            <w:tcW w:w="1890" w:type="dxa"/>
          </w:tcPr>
          <w:p w:rsidR="007478A3" w:rsidP="00276921" w14:paraId="1BDBE332" w14:textId="007A1EFD">
            <w:r>
              <w:t>1</w:t>
            </w:r>
          </w:p>
        </w:tc>
        <w:tc>
          <w:tcPr>
            <w:tcW w:w="1080" w:type="dxa"/>
          </w:tcPr>
          <w:p w:rsidR="007478A3" w:rsidRPr="00457C4B" w:rsidP="00276921" w14:paraId="7F9A82D9" w14:textId="573674E1">
            <w:r>
              <w:t>114</w:t>
            </w:r>
          </w:p>
        </w:tc>
        <w:tc>
          <w:tcPr>
            <w:tcW w:w="990" w:type="dxa"/>
          </w:tcPr>
          <w:p w:rsidR="007478A3" w:rsidP="00276921" w14:paraId="280C9951" w14:textId="73C90FC7">
            <w:r w:rsidRPr="00457C4B">
              <w:t>$</w:t>
            </w:r>
            <w:r w:rsidR="00100E8A">
              <w:t>2</w:t>
            </w:r>
            <w:r>
              <w:t>8.</w:t>
            </w:r>
            <w:r w:rsidR="00D04910">
              <w:t>20</w:t>
            </w:r>
          </w:p>
        </w:tc>
        <w:tc>
          <w:tcPr>
            <w:tcW w:w="1170" w:type="dxa"/>
          </w:tcPr>
          <w:p w:rsidR="007478A3" w:rsidP="00276921" w14:paraId="5DA7B3CD" w14:textId="5791703E">
            <w:r>
              <w:t>$3,</w:t>
            </w:r>
            <w:r w:rsidR="00D04910">
              <w:t>215</w:t>
            </w:r>
          </w:p>
        </w:tc>
      </w:tr>
      <w:tr w14:paraId="29FA0388" w14:textId="77777777" w:rsidTr="00F63E23">
        <w:tblPrEx>
          <w:tblW w:w="11515" w:type="dxa"/>
          <w:jc w:val="center"/>
          <w:tblLayout w:type="fixed"/>
          <w:tblLook w:val="04A0"/>
        </w:tblPrEx>
        <w:trPr>
          <w:jc w:val="center"/>
        </w:trPr>
        <w:tc>
          <w:tcPr>
            <w:tcW w:w="1795" w:type="dxa"/>
          </w:tcPr>
          <w:p w:rsidR="007478A3" w:rsidP="00276921" w14:paraId="2D2C5292" w14:textId="09759CD1">
            <w:r>
              <w:t>Part 135</w:t>
            </w:r>
          </w:p>
        </w:tc>
        <w:tc>
          <w:tcPr>
            <w:tcW w:w="1440" w:type="dxa"/>
          </w:tcPr>
          <w:p w:rsidR="007478A3" w:rsidP="00276921" w14:paraId="186875E5" w14:textId="13386ED2">
            <w:r>
              <w:t>1,844</w:t>
            </w:r>
          </w:p>
        </w:tc>
        <w:tc>
          <w:tcPr>
            <w:tcW w:w="1620" w:type="dxa"/>
          </w:tcPr>
          <w:p w:rsidR="007478A3" w:rsidP="00276921" w14:paraId="78D0AD12" w14:textId="74B1B9BF">
            <w:r>
              <w:t>0.87</w:t>
            </w:r>
          </w:p>
        </w:tc>
        <w:tc>
          <w:tcPr>
            <w:tcW w:w="1530" w:type="dxa"/>
          </w:tcPr>
          <w:p w:rsidR="007478A3" w:rsidP="00276921" w14:paraId="7A7F9746" w14:textId="5ECDCE33">
            <w:r>
              <w:t>1,6</w:t>
            </w:r>
            <w:r w:rsidR="00E21825">
              <w:t>04</w:t>
            </w:r>
          </w:p>
        </w:tc>
        <w:tc>
          <w:tcPr>
            <w:tcW w:w="1890" w:type="dxa"/>
          </w:tcPr>
          <w:p w:rsidR="007478A3" w:rsidP="00276921" w14:paraId="0BDB4468" w14:textId="70FAC0AF">
            <w:r>
              <w:t>0.5</w:t>
            </w:r>
          </w:p>
        </w:tc>
        <w:tc>
          <w:tcPr>
            <w:tcW w:w="1080" w:type="dxa"/>
          </w:tcPr>
          <w:p w:rsidR="007478A3" w:rsidRPr="00457C4B" w:rsidP="00276921" w14:paraId="6693EF1E" w14:textId="5A73D65A">
            <w:r>
              <w:t>802</w:t>
            </w:r>
          </w:p>
        </w:tc>
        <w:tc>
          <w:tcPr>
            <w:tcW w:w="990" w:type="dxa"/>
          </w:tcPr>
          <w:p w:rsidR="007478A3" w:rsidP="00276921" w14:paraId="79F85C1F" w14:textId="2C7D4BC7">
            <w:r w:rsidRPr="00457C4B">
              <w:t>$2</w:t>
            </w:r>
            <w:r>
              <w:t>8.</w:t>
            </w:r>
            <w:r w:rsidR="00D04910">
              <w:t>20</w:t>
            </w:r>
          </w:p>
        </w:tc>
        <w:tc>
          <w:tcPr>
            <w:tcW w:w="1170" w:type="dxa"/>
          </w:tcPr>
          <w:p w:rsidR="007478A3" w:rsidP="00276921" w14:paraId="75DBF383" w14:textId="6812A296">
            <w:r w:rsidRPr="00642661">
              <w:t>$</w:t>
            </w:r>
            <w:r w:rsidR="00A449E0">
              <w:t>2</w:t>
            </w:r>
            <w:r w:rsidR="00E21825">
              <w:t>2,</w:t>
            </w:r>
            <w:r w:rsidR="00D04910">
              <w:t>616</w:t>
            </w:r>
          </w:p>
        </w:tc>
      </w:tr>
      <w:tr w14:paraId="25001432" w14:textId="77777777" w:rsidTr="00F63E23">
        <w:tblPrEx>
          <w:tblW w:w="11515" w:type="dxa"/>
          <w:jc w:val="center"/>
          <w:tblLayout w:type="fixed"/>
          <w:tblLook w:val="04A0"/>
        </w:tblPrEx>
        <w:trPr>
          <w:jc w:val="center"/>
        </w:trPr>
        <w:tc>
          <w:tcPr>
            <w:tcW w:w="1795" w:type="dxa"/>
          </w:tcPr>
          <w:p w:rsidR="007478A3" w:rsidP="00276921" w14:paraId="4571F1E4" w14:textId="0746F1DF">
            <w:r>
              <w:t>Part 145 Repair Station</w:t>
            </w:r>
          </w:p>
        </w:tc>
        <w:tc>
          <w:tcPr>
            <w:tcW w:w="1440" w:type="dxa"/>
            <w:vAlign w:val="center"/>
          </w:tcPr>
          <w:p w:rsidR="007478A3" w:rsidP="00514D87" w14:paraId="3F599FE7" w14:textId="49B2A508">
            <w:r>
              <w:t>4,</w:t>
            </w:r>
            <w:r w:rsidR="00E21825">
              <w:t>989</w:t>
            </w:r>
          </w:p>
        </w:tc>
        <w:tc>
          <w:tcPr>
            <w:tcW w:w="1620" w:type="dxa"/>
            <w:vAlign w:val="center"/>
          </w:tcPr>
          <w:p w:rsidR="007478A3" w:rsidP="00514D87" w14:paraId="2B2653A6" w14:textId="6E34BFF3">
            <w:r>
              <w:t>1</w:t>
            </w:r>
          </w:p>
        </w:tc>
        <w:tc>
          <w:tcPr>
            <w:tcW w:w="1530" w:type="dxa"/>
            <w:vAlign w:val="center"/>
          </w:tcPr>
          <w:p w:rsidR="007478A3" w:rsidP="00514D87" w14:paraId="6C584638" w14:textId="07E72379">
            <w:r>
              <w:t>4,</w:t>
            </w:r>
            <w:r w:rsidR="00E21825">
              <w:t>989</w:t>
            </w:r>
          </w:p>
        </w:tc>
        <w:tc>
          <w:tcPr>
            <w:tcW w:w="1890" w:type="dxa"/>
            <w:vAlign w:val="center"/>
          </w:tcPr>
          <w:p w:rsidR="007478A3" w:rsidP="00514D87" w14:paraId="118AC25D" w14:textId="1DA39B0F">
            <w:r>
              <w:t>0.16</w:t>
            </w:r>
          </w:p>
        </w:tc>
        <w:tc>
          <w:tcPr>
            <w:tcW w:w="1080" w:type="dxa"/>
            <w:vAlign w:val="center"/>
          </w:tcPr>
          <w:p w:rsidR="007478A3" w:rsidRPr="00457C4B" w:rsidP="00514D87" w14:paraId="6F7343FC" w14:textId="1F71B040">
            <w:r>
              <w:t>798</w:t>
            </w:r>
          </w:p>
        </w:tc>
        <w:tc>
          <w:tcPr>
            <w:tcW w:w="990" w:type="dxa"/>
            <w:vAlign w:val="center"/>
          </w:tcPr>
          <w:p w:rsidR="007478A3" w:rsidRPr="00457C4B" w:rsidP="00514D87" w14:paraId="134F328B" w14:textId="09951C2D">
            <w:r>
              <w:t>$28.</w:t>
            </w:r>
            <w:r w:rsidR="00D04910">
              <w:t>20</w:t>
            </w:r>
          </w:p>
        </w:tc>
        <w:tc>
          <w:tcPr>
            <w:tcW w:w="1170" w:type="dxa"/>
            <w:vAlign w:val="center"/>
          </w:tcPr>
          <w:p w:rsidR="007478A3" w:rsidRPr="00642661" w:rsidP="00514D87" w14:paraId="6052C048" w14:textId="72A9C7A5">
            <w:r>
              <w:t>$2</w:t>
            </w:r>
            <w:r w:rsidR="00E21825">
              <w:t>2,</w:t>
            </w:r>
            <w:r w:rsidR="00D04910">
              <w:t>503</w:t>
            </w:r>
          </w:p>
        </w:tc>
      </w:tr>
    </w:tbl>
    <w:p w:rsidR="00FC75C6" w:rsidRPr="00F140DD" w:rsidP="00591BA0" w14:paraId="7ABB6BEB" w14:textId="77777777"/>
    <w:p w:rsidR="00094A73" w:rsidP="008B4F03" w14:paraId="24BC3330" w14:textId="1E45EE2F">
      <w:pPr>
        <w:pStyle w:val="Heading2"/>
      </w:pPr>
      <w:r w:rsidRPr="00F140DD">
        <w:t xml:space="preserve">Summary of </w:t>
      </w:r>
      <w:r w:rsidRPr="00F140DD" w:rsidR="006A52DE">
        <w:t xml:space="preserve">Annual Burden </w:t>
      </w:r>
    </w:p>
    <w:p w:rsidR="00C3755A" w:rsidP="00C3755A" w14:paraId="5AD00EB1" w14:textId="505EDE1E">
      <w:r>
        <w:t>The total burdens captured in this information collection are detailed in the following table</w:t>
      </w:r>
      <w:r w:rsidR="009B5AE5">
        <w:t>:</w:t>
      </w:r>
    </w:p>
    <w:p w:rsidR="00084A7F" w:rsidRPr="00F63E23" w:rsidP="00F63E23" w14:paraId="37034996" w14:textId="55DF5DE4">
      <w:pPr>
        <w:jc w:val="center"/>
        <w:rPr>
          <w:b/>
          <w:bCs/>
        </w:rPr>
      </w:pPr>
      <w:r w:rsidRPr="00F63E23">
        <w:rPr>
          <w:b/>
          <w:bCs/>
        </w:rPr>
        <w:t xml:space="preserve">Table </w:t>
      </w:r>
      <w:r w:rsidRPr="00F63E23">
        <w:rPr>
          <w:b/>
          <w:bCs/>
        </w:rPr>
        <w:fldChar w:fldCharType="begin"/>
      </w:r>
      <w:r w:rsidRPr="00F63E23">
        <w:rPr>
          <w:b/>
          <w:bCs/>
        </w:rPr>
        <w:instrText xml:space="preserve"> SEQ Table \* ARABIC </w:instrText>
      </w:r>
      <w:r w:rsidRPr="00F63E23">
        <w:rPr>
          <w:b/>
          <w:bCs/>
        </w:rPr>
        <w:fldChar w:fldCharType="separate"/>
      </w:r>
      <w:r w:rsidRPr="00F63E23">
        <w:rPr>
          <w:b/>
          <w:bCs/>
          <w:noProof/>
        </w:rPr>
        <w:t>5</w:t>
      </w:r>
      <w:r w:rsidRPr="00F63E23">
        <w:rPr>
          <w:b/>
          <w:bCs/>
        </w:rPr>
        <w:fldChar w:fldCharType="end"/>
      </w:r>
      <w:r>
        <w:rPr>
          <w:b/>
          <w:bCs/>
        </w:rPr>
        <w:t xml:space="preserve"> – Summary of Burden</w:t>
      </w:r>
    </w:p>
    <w:tbl>
      <w:tblPr>
        <w:tblStyle w:val="TableGrid"/>
        <w:tblW w:w="9445" w:type="dxa"/>
        <w:tblLook w:val="04A0"/>
      </w:tblPr>
      <w:tblGrid>
        <w:gridCol w:w="2337"/>
        <w:gridCol w:w="2337"/>
        <w:gridCol w:w="2338"/>
        <w:gridCol w:w="2433"/>
      </w:tblGrid>
      <w:tr w14:paraId="4CD5DD2C" w14:textId="77777777" w:rsidTr="00911888">
        <w:tblPrEx>
          <w:tblW w:w="9445" w:type="dxa"/>
          <w:tblLook w:val="04A0"/>
        </w:tblPrEx>
        <w:tc>
          <w:tcPr>
            <w:tcW w:w="2337" w:type="dxa"/>
            <w:shd w:val="clear" w:color="auto" w:fill="E7E6E6" w:themeFill="background2"/>
            <w:vAlign w:val="center"/>
          </w:tcPr>
          <w:p w:rsidR="00933C9D" w:rsidRPr="00911888" w:rsidP="00911888" w14:paraId="2800BC50" w14:textId="44765AAC">
            <w:pPr>
              <w:jc w:val="center"/>
              <w:rPr>
                <w:b/>
                <w:bCs/>
              </w:rPr>
            </w:pPr>
            <w:r w:rsidRPr="00911888">
              <w:rPr>
                <w:b/>
                <w:bCs/>
              </w:rPr>
              <w:t>Operator Type</w:t>
            </w:r>
          </w:p>
        </w:tc>
        <w:tc>
          <w:tcPr>
            <w:tcW w:w="2337" w:type="dxa"/>
            <w:shd w:val="clear" w:color="auto" w:fill="E7E6E6" w:themeFill="background2"/>
            <w:vAlign w:val="center"/>
          </w:tcPr>
          <w:p w:rsidR="00933C9D" w:rsidRPr="00911888" w:rsidP="00911888" w14:paraId="3F45096D" w14:textId="7687F0E7">
            <w:pPr>
              <w:jc w:val="center"/>
              <w:rPr>
                <w:b/>
                <w:bCs/>
              </w:rPr>
            </w:pPr>
            <w:r w:rsidRPr="00911888">
              <w:rPr>
                <w:b/>
                <w:bCs/>
              </w:rPr>
              <w:t>Total Operators</w:t>
            </w:r>
          </w:p>
        </w:tc>
        <w:tc>
          <w:tcPr>
            <w:tcW w:w="2338" w:type="dxa"/>
            <w:shd w:val="clear" w:color="auto" w:fill="E7E6E6" w:themeFill="background2"/>
            <w:vAlign w:val="center"/>
          </w:tcPr>
          <w:p w:rsidR="00933C9D" w:rsidRPr="00911888" w:rsidP="00911888" w14:paraId="5687758F" w14:textId="563EB627">
            <w:pPr>
              <w:jc w:val="center"/>
              <w:rPr>
                <w:b/>
                <w:bCs/>
              </w:rPr>
            </w:pPr>
            <w:r w:rsidRPr="00911888">
              <w:rPr>
                <w:b/>
                <w:bCs/>
              </w:rPr>
              <w:t>Sum</w:t>
            </w:r>
            <w:r w:rsidRPr="00911888">
              <w:rPr>
                <w:b/>
                <w:bCs/>
              </w:rPr>
              <w:t xml:space="preserve"> of Annual Burden</w:t>
            </w:r>
            <w:r w:rsidR="004B4E11">
              <w:rPr>
                <w:b/>
                <w:bCs/>
              </w:rPr>
              <w:t xml:space="preserve"> Hours</w:t>
            </w:r>
          </w:p>
        </w:tc>
        <w:tc>
          <w:tcPr>
            <w:tcW w:w="2433" w:type="dxa"/>
            <w:shd w:val="clear" w:color="auto" w:fill="E7E6E6" w:themeFill="background2"/>
            <w:vAlign w:val="center"/>
          </w:tcPr>
          <w:p w:rsidR="00933C9D" w:rsidRPr="00911888" w:rsidP="00911888" w14:paraId="25B5DC6C" w14:textId="57D3D509">
            <w:pPr>
              <w:jc w:val="center"/>
              <w:rPr>
                <w:b/>
                <w:bCs/>
              </w:rPr>
            </w:pPr>
            <w:r>
              <w:rPr>
                <w:b/>
                <w:bCs/>
              </w:rPr>
              <w:t>Sum of Annual Cost</w:t>
            </w:r>
          </w:p>
        </w:tc>
      </w:tr>
      <w:tr w14:paraId="4DE94C4F" w14:textId="77777777" w:rsidTr="00084A7F">
        <w:tblPrEx>
          <w:tblW w:w="9445" w:type="dxa"/>
          <w:tblLook w:val="04A0"/>
        </w:tblPrEx>
        <w:tc>
          <w:tcPr>
            <w:tcW w:w="2337" w:type="dxa"/>
            <w:vAlign w:val="center"/>
          </w:tcPr>
          <w:p w:rsidR="00933C9D" w:rsidP="00084A7F" w14:paraId="4392B4D4" w14:textId="52101511">
            <w:pPr>
              <w:jc w:val="center"/>
            </w:pPr>
            <w:r>
              <w:t>Part 121 CH</w:t>
            </w:r>
          </w:p>
        </w:tc>
        <w:tc>
          <w:tcPr>
            <w:tcW w:w="2337" w:type="dxa"/>
            <w:vAlign w:val="center"/>
          </w:tcPr>
          <w:p w:rsidR="00933C9D" w:rsidP="00084A7F" w14:paraId="6E300CAB" w14:textId="33D007DA">
            <w:pPr>
              <w:jc w:val="center"/>
            </w:pPr>
            <w:r>
              <w:t>62</w:t>
            </w:r>
          </w:p>
        </w:tc>
        <w:tc>
          <w:tcPr>
            <w:tcW w:w="2338" w:type="dxa"/>
            <w:vAlign w:val="center"/>
          </w:tcPr>
          <w:p w:rsidR="00933C9D" w:rsidP="00084A7F" w14:paraId="4462EC4A" w14:textId="7E48DC28">
            <w:pPr>
              <w:jc w:val="center"/>
            </w:pPr>
            <w:r>
              <w:t>2</w:t>
            </w:r>
            <w:r w:rsidR="00E21825">
              <w:t>3,2</w:t>
            </w:r>
            <w:r w:rsidR="00F26586">
              <w:t>8</w:t>
            </w:r>
            <w:r w:rsidR="00E21825">
              <w:t>2</w:t>
            </w:r>
          </w:p>
        </w:tc>
        <w:tc>
          <w:tcPr>
            <w:tcW w:w="2433" w:type="dxa"/>
            <w:vAlign w:val="center"/>
          </w:tcPr>
          <w:p w:rsidR="00933C9D" w:rsidP="00084A7F" w14:paraId="220FA994" w14:textId="09907FA5">
            <w:pPr>
              <w:jc w:val="center"/>
            </w:pPr>
            <w:r>
              <w:t>$</w:t>
            </w:r>
            <w:r w:rsidR="00D04910">
              <w:t>701,739</w:t>
            </w:r>
          </w:p>
        </w:tc>
      </w:tr>
      <w:tr w14:paraId="3266AFD3" w14:textId="77777777" w:rsidTr="00084A7F">
        <w:tblPrEx>
          <w:tblW w:w="9445" w:type="dxa"/>
          <w:tblLook w:val="04A0"/>
        </w:tblPrEx>
        <w:tc>
          <w:tcPr>
            <w:tcW w:w="2337" w:type="dxa"/>
            <w:vAlign w:val="center"/>
          </w:tcPr>
          <w:p w:rsidR="00933C9D" w:rsidP="00084A7F" w14:paraId="0A215FB9" w14:textId="4D265A1E">
            <w:pPr>
              <w:jc w:val="center"/>
            </w:pPr>
            <w:r>
              <w:t>Part 135 C</w:t>
            </w:r>
            <w:r w:rsidR="004028A2">
              <w:t>H</w:t>
            </w:r>
          </w:p>
        </w:tc>
        <w:tc>
          <w:tcPr>
            <w:tcW w:w="2337" w:type="dxa"/>
            <w:vAlign w:val="center"/>
          </w:tcPr>
          <w:p w:rsidR="00933C9D" w:rsidP="00084A7F" w14:paraId="3D61FAB3" w14:textId="0DDE312B">
            <w:pPr>
              <w:jc w:val="center"/>
            </w:pPr>
            <w:r>
              <w:t>1,</w:t>
            </w:r>
            <w:r w:rsidR="00E21825">
              <w:t>844</w:t>
            </w:r>
          </w:p>
        </w:tc>
        <w:tc>
          <w:tcPr>
            <w:tcW w:w="2338" w:type="dxa"/>
            <w:vAlign w:val="center"/>
          </w:tcPr>
          <w:p w:rsidR="00933C9D" w:rsidP="00084A7F" w14:paraId="72DB6B3B" w14:textId="369C349F">
            <w:pPr>
              <w:jc w:val="center"/>
            </w:pPr>
            <w:r>
              <w:t>1</w:t>
            </w:r>
            <w:r w:rsidR="00F26586">
              <w:t>5</w:t>
            </w:r>
            <w:r>
              <w:t>,</w:t>
            </w:r>
            <w:r w:rsidR="00F26586">
              <w:t>635</w:t>
            </w:r>
          </w:p>
        </w:tc>
        <w:tc>
          <w:tcPr>
            <w:tcW w:w="2433" w:type="dxa"/>
            <w:vAlign w:val="center"/>
          </w:tcPr>
          <w:p w:rsidR="00933C9D" w:rsidP="00084A7F" w14:paraId="66ADBE34" w14:textId="5EAD04A8">
            <w:pPr>
              <w:jc w:val="center"/>
            </w:pPr>
            <w:r>
              <w:t>$</w:t>
            </w:r>
            <w:r w:rsidR="00F26586">
              <w:t>775</w:t>
            </w:r>
            <w:r>
              <w:t>,</w:t>
            </w:r>
            <w:r w:rsidR="00D04910">
              <w:t>381</w:t>
            </w:r>
          </w:p>
        </w:tc>
      </w:tr>
      <w:tr w14:paraId="2D0D1DC4" w14:textId="77777777" w:rsidTr="00084A7F">
        <w:tblPrEx>
          <w:tblW w:w="9445" w:type="dxa"/>
          <w:tblLook w:val="04A0"/>
        </w:tblPrEx>
        <w:tc>
          <w:tcPr>
            <w:tcW w:w="2337" w:type="dxa"/>
            <w:vAlign w:val="center"/>
          </w:tcPr>
          <w:p w:rsidR="00933C9D" w:rsidP="00084A7F" w14:paraId="287410D0" w14:textId="42F7934D">
            <w:pPr>
              <w:jc w:val="center"/>
            </w:pPr>
            <w:r>
              <w:t>Part 145 Repair Station</w:t>
            </w:r>
          </w:p>
        </w:tc>
        <w:tc>
          <w:tcPr>
            <w:tcW w:w="2337" w:type="dxa"/>
            <w:vAlign w:val="center"/>
          </w:tcPr>
          <w:p w:rsidR="00933C9D" w:rsidP="00084A7F" w14:paraId="07B5C944" w14:textId="00FB92D1">
            <w:pPr>
              <w:jc w:val="center"/>
            </w:pPr>
            <w:r>
              <w:t>4,</w:t>
            </w:r>
            <w:r w:rsidR="00E21825">
              <w:t>989</w:t>
            </w:r>
          </w:p>
        </w:tc>
        <w:tc>
          <w:tcPr>
            <w:tcW w:w="2338" w:type="dxa"/>
            <w:vAlign w:val="center"/>
          </w:tcPr>
          <w:p w:rsidR="00933C9D" w:rsidP="00084A7F" w14:paraId="63F6F70A" w14:textId="6E582AD7">
            <w:pPr>
              <w:jc w:val="center"/>
            </w:pPr>
            <w:r>
              <w:t>1,</w:t>
            </w:r>
            <w:r w:rsidR="00F26586">
              <w:t>396</w:t>
            </w:r>
          </w:p>
        </w:tc>
        <w:tc>
          <w:tcPr>
            <w:tcW w:w="2433" w:type="dxa"/>
            <w:vAlign w:val="center"/>
          </w:tcPr>
          <w:p w:rsidR="00933C9D" w:rsidP="00084A7F" w14:paraId="14702376" w14:textId="26BDBFDC">
            <w:pPr>
              <w:jc w:val="center"/>
            </w:pPr>
            <w:r>
              <w:t>$3</w:t>
            </w:r>
            <w:r w:rsidR="00F26586">
              <w:t>9</w:t>
            </w:r>
            <w:r>
              <w:t>,</w:t>
            </w:r>
            <w:r w:rsidR="00672A1B">
              <w:t>366</w:t>
            </w:r>
          </w:p>
        </w:tc>
      </w:tr>
    </w:tbl>
    <w:p w:rsidR="00933C9D" w:rsidRPr="00C3755A" w:rsidP="004028A2" w14:paraId="498DA78D" w14:textId="77777777"/>
    <w:p w:rsidR="00C64707" w:rsidRPr="00F140DD" w:rsidP="00686012" w14:paraId="3E034E40" w14:textId="5A25F70F">
      <w:pPr>
        <w:pStyle w:val="Heading1"/>
      </w:pPr>
      <w:r w:rsidRPr="00F140DD">
        <w:t>13. Provide an estimate for the total annual cost burden to respondents or record keepers resulting from the collection of information.</w:t>
      </w:r>
    </w:p>
    <w:p w:rsidR="00686012" w:rsidP="00686012" w14:paraId="412FD2D0" w14:textId="763CF3FF">
      <w:r w:rsidRPr="00686012">
        <w:t xml:space="preserve">See </w:t>
      </w:r>
      <w:r w:rsidR="002856EF">
        <w:t>Question</w:t>
      </w:r>
      <w:r w:rsidRPr="00686012" w:rsidR="002856EF">
        <w:t xml:space="preserve"> </w:t>
      </w:r>
      <w:r w:rsidRPr="00686012">
        <w:t>12.</w:t>
      </w:r>
    </w:p>
    <w:p w:rsidR="00C64707" w:rsidRPr="00686012" w:rsidP="00686012" w14:paraId="38458799" w14:textId="710E0056">
      <w:pPr>
        <w:pStyle w:val="Heading1"/>
        <w:rPr>
          <w:rStyle w:val="Heading1Char"/>
          <w:rFonts w:cs="Times New Roman"/>
          <w:b/>
          <w:bCs/>
          <w:szCs w:val="20"/>
          <w:shd w:val="clear" w:color="auto" w:fill="auto"/>
        </w:rPr>
      </w:pPr>
      <w:r w:rsidRPr="00686012">
        <w:rPr>
          <w:rStyle w:val="Heading1Char"/>
          <w:b/>
          <w:bCs/>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87638" w:rsidP="00887638" w14:paraId="1B85CF8B" w14:textId="6B36323C">
      <w:r w:rsidRPr="002035A7">
        <w:t xml:space="preserve">The FAA estimates that costs to the Federal government are attributed to the hazmat manual and training program review. The FAA estimates it takes 3 hours to review, on average, these documents. The review is conducted by an H-band employee whose </w:t>
      </w:r>
      <w:r w:rsidR="0046482F">
        <w:t>hourly</w:t>
      </w:r>
      <w:r w:rsidRPr="002035A7" w:rsidR="0046482F">
        <w:t xml:space="preserve"> </w:t>
      </w:r>
      <w:r w:rsidRPr="002035A7">
        <w:t>wage</w:t>
      </w:r>
      <w:r w:rsidR="00A764EC">
        <w:t>, including benefits,</w:t>
      </w:r>
      <w:r w:rsidRPr="002035A7">
        <w:t xml:space="preserve"> is $</w:t>
      </w:r>
      <w:r w:rsidR="00A764EC">
        <w:t>69.53</w:t>
      </w:r>
      <w:r w:rsidRPr="002035A7">
        <w:t>.</w:t>
      </w:r>
      <w:r>
        <w:rPr>
          <w:rStyle w:val="FootnoteReference"/>
        </w:rPr>
        <w:footnoteReference w:id="12"/>
      </w:r>
      <w:r w:rsidRPr="002035A7">
        <w:t xml:space="preserve"> Annually, the FAA estimates 1,997 submissions must be reviewed, for a total cost to the government of 1,997 submissions x 3 hours x $</w:t>
      </w:r>
      <w:r w:rsidR="00A764EC">
        <w:t>69.53</w:t>
      </w:r>
      <w:r w:rsidRPr="002035A7">
        <w:t xml:space="preserve"> = $</w:t>
      </w:r>
      <w:r w:rsidR="00A764EC">
        <w:t>416,547.92</w:t>
      </w:r>
      <w:r w:rsidRPr="002035A7">
        <w:t>.</w:t>
      </w:r>
    </w:p>
    <w:p w:rsidR="006812B5" w:rsidRPr="00F63E23" w:rsidP="006812B5" w14:paraId="551CD916" w14:textId="200E18E6">
      <w:pPr>
        <w:jc w:val="center"/>
        <w:rPr>
          <w:b/>
          <w:bCs/>
        </w:rPr>
      </w:pPr>
      <w:r w:rsidRPr="00F63E23">
        <w:rPr>
          <w:b/>
          <w:bCs/>
        </w:rPr>
        <w:t xml:space="preserve">Table </w:t>
      </w:r>
      <w:r w:rsidRPr="00F63E23">
        <w:rPr>
          <w:b/>
          <w:bCs/>
        </w:rPr>
        <w:fldChar w:fldCharType="begin"/>
      </w:r>
      <w:r w:rsidRPr="00F63E23">
        <w:rPr>
          <w:b/>
          <w:bCs/>
        </w:rPr>
        <w:instrText xml:space="preserve"> SEQ Table \* ARABIC </w:instrText>
      </w:r>
      <w:r w:rsidRPr="00F63E23">
        <w:rPr>
          <w:b/>
          <w:bCs/>
        </w:rPr>
        <w:fldChar w:fldCharType="separate"/>
      </w:r>
      <w:r>
        <w:rPr>
          <w:b/>
          <w:bCs/>
          <w:noProof/>
        </w:rPr>
        <w:t>6</w:t>
      </w:r>
      <w:r w:rsidRPr="00F63E23">
        <w:rPr>
          <w:b/>
          <w:bCs/>
        </w:rPr>
        <w:fldChar w:fldCharType="end"/>
      </w:r>
      <w:r>
        <w:rPr>
          <w:b/>
          <w:bCs/>
        </w:rPr>
        <w:t xml:space="preserve"> – Federal Costs</w:t>
      </w:r>
    </w:p>
    <w:tbl>
      <w:tblPr>
        <w:tblStyle w:val="TableGrid"/>
        <w:tblW w:w="0" w:type="auto"/>
        <w:tblLayout w:type="fixed"/>
        <w:tblLook w:val="04A0"/>
      </w:tblPr>
      <w:tblGrid>
        <w:gridCol w:w="2064"/>
        <w:gridCol w:w="1616"/>
        <w:gridCol w:w="1840"/>
        <w:gridCol w:w="1915"/>
        <w:gridCol w:w="1915"/>
      </w:tblGrid>
      <w:tr w14:paraId="0096AA2D" w14:textId="47295284" w:rsidTr="008901F6">
        <w:tblPrEx>
          <w:tblW w:w="0" w:type="auto"/>
          <w:tblLayout w:type="fixed"/>
          <w:tblLook w:val="04A0"/>
        </w:tblPrEx>
        <w:tc>
          <w:tcPr>
            <w:tcW w:w="2064" w:type="dxa"/>
            <w:shd w:val="clear" w:color="auto" w:fill="E7E6E6" w:themeFill="background2"/>
            <w:vAlign w:val="center"/>
          </w:tcPr>
          <w:p w:rsidR="0086713C" w:rsidRPr="00911888" w:rsidP="0086713C" w14:paraId="4EC10FA9" w14:textId="0C9ECC46">
            <w:pPr>
              <w:jc w:val="center"/>
              <w:rPr>
                <w:b/>
                <w:bCs/>
              </w:rPr>
            </w:pPr>
            <w:r>
              <w:rPr>
                <w:b/>
                <w:bCs/>
              </w:rPr>
              <w:t>Number of Annual Reviews</w:t>
            </w:r>
          </w:p>
        </w:tc>
        <w:tc>
          <w:tcPr>
            <w:tcW w:w="1616" w:type="dxa"/>
            <w:shd w:val="clear" w:color="auto" w:fill="E7E6E6" w:themeFill="background2"/>
            <w:vAlign w:val="center"/>
          </w:tcPr>
          <w:p w:rsidR="0086713C" w:rsidRPr="00911888" w:rsidP="0086713C" w14:paraId="5F82AB19" w14:textId="009D6311">
            <w:pPr>
              <w:jc w:val="center"/>
              <w:rPr>
                <w:b/>
                <w:bCs/>
              </w:rPr>
            </w:pPr>
            <w:r>
              <w:rPr>
                <w:b/>
                <w:bCs/>
              </w:rPr>
              <w:t>Hours per Submission</w:t>
            </w:r>
          </w:p>
        </w:tc>
        <w:tc>
          <w:tcPr>
            <w:tcW w:w="1840" w:type="dxa"/>
            <w:shd w:val="clear" w:color="auto" w:fill="E7E6E6" w:themeFill="background2"/>
            <w:vAlign w:val="center"/>
          </w:tcPr>
          <w:p w:rsidR="0086713C" w:rsidRPr="00911888" w:rsidP="0086713C" w14:paraId="32EABCB8" w14:textId="603AD60C">
            <w:pPr>
              <w:jc w:val="center"/>
              <w:rPr>
                <w:b/>
                <w:bCs/>
              </w:rPr>
            </w:pPr>
            <w:r>
              <w:rPr>
                <w:b/>
                <w:bCs/>
              </w:rPr>
              <w:t>Annual Hours</w:t>
            </w:r>
          </w:p>
        </w:tc>
        <w:tc>
          <w:tcPr>
            <w:tcW w:w="1915" w:type="dxa"/>
            <w:shd w:val="clear" w:color="auto" w:fill="E7E6E6" w:themeFill="background2"/>
            <w:vAlign w:val="center"/>
          </w:tcPr>
          <w:p w:rsidR="0086713C" w:rsidRPr="00911888" w:rsidP="0086713C" w14:paraId="7256A220" w14:textId="2087E697">
            <w:pPr>
              <w:jc w:val="center"/>
              <w:rPr>
                <w:b/>
                <w:bCs/>
              </w:rPr>
            </w:pPr>
            <w:r>
              <w:rPr>
                <w:b/>
                <w:bCs/>
              </w:rPr>
              <w:t>Hourly Wage</w:t>
            </w:r>
          </w:p>
        </w:tc>
        <w:tc>
          <w:tcPr>
            <w:tcW w:w="1915" w:type="dxa"/>
            <w:shd w:val="clear" w:color="auto" w:fill="E7E6E6" w:themeFill="background2"/>
            <w:vAlign w:val="center"/>
          </w:tcPr>
          <w:p w:rsidR="0086713C" w:rsidP="0086713C" w14:paraId="77D391DE" w14:textId="60D13AEA">
            <w:pPr>
              <w:jc w:val="center"/>
              <w:rPr>
                <w:b/>
                <w:bCs/>
              </w:rPr>
            </w:pPr>
            <w:r>
              <w:rPr>
                <w:b/>
                <w:bCs/>
              </w:rPr>
              <w:t>Annual Cost</w:t>
            </w:r>
          </w:p>
        </w:tc>
      </w:tr>
      <w:tr w14:paraId="21B9185E" w14:textId="35EE06DC" w:rsidTr="008901F6">
        <w:tblPrEx>
          <w:tblW w:w="0" w:type="auto"/>
          <w:tblLayout w:type="fixed"/>
          <w:tblLook w:val="04A0"/>
        </w:tblPrEx>
        <w:tc>
          <w:tcPr>
            <w:tcW w:w="2064" w:type="dxa"/>
            <w:vAlign w:val="center"/>
          </w:tcPr>
          <w:p w:rsidR="0086713C" w:rsidP="0086713C" w14:paraId="2F0B4043" w14:textId="51759AB0">
            <w:r>
              <w:t>1,997</w:t>
            </w:r>
          </w:p>
        </w:tc>
        <w:tc>
          <w:tcPr>
            <w:tcW w:w="1616" w:type="dxa"/>
            <w:vAlign w:val="center"/>
          </w:tcPr>
          <w:p w:rsidR="0086713C" w:rsidP="0086713C" w14:paraId="5DAD21DB" w14:textId="043266ED">
            <w:r>
              <w:t>3</w:t>
            </w:r>
          </w:p>
        </w:tc>
        <w:tc>
          <w:tcPr>
            <w:tcW w:w="1840" w:type="dxa"/>
            <w:vAlign w:val="center"/>
          </w:tcPr>
          <w:p w:rsidR="0086713C" w:rsidP="0086713C" w14:paraId="55F8B9E4" w14:textId="7A05D51A">
            <w:r>
              <w:t>5,991</w:t>
            </w:r>
          </w:p>
        </w:tc>
        <w:tc>
          <w:tcPr>
            <w:tcW w:w="1915" w:type="dxa"/>
            <w:vAlign w:val="center"/>
          </w:tcPr>
          <w:p w:rsidR="0086713C" w:rsidP="0086713C" w14:paraId="42005491" w14:textId="7B7677FF">
            <w:r>
              <w:t>$69.53</w:t>
            </w:r>
          </w:p>
        </w:tc>
        <w:tc>
          <w:tcPr>
            <w:tcW w:w="1915" w:type="dxa"/>
            <w:vAlign w:val="center"/>
          </w:tcPr>
          <w:p w:rsidR="0086713C" w:rsidP="0086713C" w14:paraId="44368E1D" w14:textId="2393D91A">
            <w:r>
              <w:t>$416,547.92</w:t>
            </w:r>
          </w:p>
        </w:tc>
      </w:tr>
    </w:tbl>
    <w:p w:rsidR="00304912" w:rsidRPr="00887638" w:rsidP="00887638" w14:paraId="70ED5053" w14:textId="77777777"/>
    <w:p w:rsidR="00686012" w:rsidRPr="00686012" w:rsidP="00686012" w14:paraId="70323A3B" w14:textId="1F100477">
      <w:pPr>
        <w:pStyle w:val="Heading1"/>
        <w:rPr>
          <w:rStyle w:val="Heading1Char"/>
          <w:rFonts w:cs="Times New Roman"/>
          <w:b/>
          <w:bCs/>
          <w:szCs w:val="20"/>
          <w:shd w:val="clear" w:color="auto" w:fill="auto"/>
        </w:rPr>
      </w:pPr>
      <w:r w:rsidRPr="00686012">
        <w:rPr>
          <w:rStyle w:val="Heading1Char"/>
          <w:b/>
          <w:bCs/>
        </w:rPr>
        <w:t>15. Explain the reasons for any program changes or adjustments.</w:t>
      </w:r>
    </w:p>
    <w:p w:rsidR="00C64707" w:rsidRPr="00F140DD" w:rsidP="00686012" w14:paraId="678A2194" w14:textId="4DD95A7B">
      <w:r w:rsidRPr="007E6781">
        <w:t xml:space="preserve">For this information collection, </w:t>
      </w:r>
      <w:r w:rsidR="00227107">
        <w:t xml:space="preserve">the </w:t>
      </w:r>
      <w:r w:rsidRPr="007E6781">
        <w:t xml:space="preserve">FAA has adjusted the estimates based on the </w:t>
      </w:r>
      <w:r w:rsidRPr="007E6781" w:rsidR="00166BFF">
        <w:t xml:space="preserve">current number of active </w:t>
      </w:r>
      <w:r w:rsidR="008D66B8">
        <w:t>CHs</w:t>
      </w:r>
      <w:r w:rsidRPr="007E6781" w:rsidR="008D66B8">
        <w:t xml:space="preserve"> </w:t>
      </w:r>
      <w:r w:rsidRPr="007E6781" w:rsidR="00166BFF">
        <w:t xml:space="preserve">and repair stations. </w:t>
      </w:r>
      <w:r w:rsidR="00432045">
        <w:t>Specifically, t</w:t>
      </w:r>
      <w:r w:rsidRPr="007E6781" w:rsidR="00AC0ED2">
        <w:t xml:space="preserve">he </w:t>
      </w:r>
      <w:r w:rsidRPr="007E6781">
        <w:t xml:space="preserve">FAA estimates </w:t>
      </w:r>
      <w:r w:rsidR="007773FC">
        <w:t xml:space="preserve">a decrease in </w:t>
      </w:r>
      <w:r w:rsidRPr="007E6781">
        <w:t>ac</w:t>
      </w:r>
      <w:r w:rsidRPr="007E6781" w:rsidR="003B189B">
        <w:t>tive Part 121</w:t>
      </w:r>
      <w:r w:rsidRPr="007E6781" w:rsidR="00B0754F">
        <w:t xml:space="preserve"> </w:t>
      </w:r>
      <w:r w:rsidR="007773FC">
        <w:t>and</w:t>
      </w:r>
      <w:r w:rsidR="00D260A7">
        <w:t> </w:t>
      </w:r>
      <w:r w:rsidRPr="007E6781">
        <w:t xml:space="preserve">135 </w:t>
      </w:r>
      <w:r w:rsidRPr="007E6781" w:rsidR="00B0754F">
        <w:t>CHs</w:t>
      </w:r>
      <w:r w:rsidRPr="007E6781">
        <w:t xml:space="preserve"> and </w:t>
      </w:r>
      <w:r w:rsidR="00944239">
        <w:t>an increase</w:t>
      </w:r>
      <w:r w:rsidR="007773FC">
        <w:t xml:space="preserve"> in </w:t>
      </w:r>
      <w:r w:rsidRPr="007E6781">
        <w:t>active Part 145</w:t>
      </w:r>
      <w:r w:rsidRPr="007E6781" w:rsidR="00B0754F">
        <w:t xml:space="preserve"> Repair Stations</w:t>
      </w:r>
      <w:r w:rsidRPr="007E6781">
        <w:t xml:space="preserve">. </w:t>
      </w:r>
      <w:r w:rsidRPr="007E6781" w:rsidR="00432045">
        <w:t xml:space="preserve">Additionally, </w:t>
      </w:r>
      <w:r w:rsidR="00432045">
        <w:t xml:space="preserve">the FAA has adjusted </w:t>
      </w:r>
      <w:r w:rsidRPr="007E6781" w:rsidR="00432045">
        <w:t>the average annual burden for Part 121 and 135 hazmat</w:t>
      </w:r>
      <w:r w:rsidR="00432045">
        <w:t xml:space="preserve"> manual and</w:t>
      </w:r>
      <w:r w:rsidRPr="007E6781" w:rsidR="00432045">
        <w:t xml:space="preserve"> training program as well as Part 145 Repair Station training. </w:t>
      </w:r>
      <w:r w:rsidR="00432045">
        <w:t>Specifically</w:t>
      </w:r>
      <w:r w:rsidR="00B0754F">
        <w:t xml:space="preserve">, the FAA estimates an increase </w:t>
      </w:r>
      <w:r w:rsidR="002A31AB">
        <w:t>in</w:t>
      </w:r>
      <w:r w:rsidR="00B3123B">
        <w:t xml:space="preserve"> </w:t>
      </w:r>
      <w:r w:rsidR="007773FC">
        <w:t xml:space="preserve">estimated burden to </w:t>
      </w:r>
      <w:r w:rsidR="00B3123B">
        <w:t xml:space="preserve">Part 121 </w:t>
      </w:r>
      <w:r w:rsidR="00A91A80">
        <w:t xml:space="preserve">and 135 </w:t>
      </w:r>
      <w:r w:rsidR="00B3123B">
        <w:t>CH</w:t>
      </w:r>
      <w:r w:rsidR="007773FC">
        <w:t>s associated with the</w:t>
      </w:r>
      <w:r w:rsidR="002A31AB">
        <w:t xml:space="preserve"> hazmat </w:t>
      </w:r>
      <w:r w:rsidR="0063338D">
        <w:t>manual and training program</w:t>
      </w:r>
      <w:r w:rsidR="00733191">
        <w:t xml:space="preserve"> </w:t>
      </w:r>
      <w:r w:rsidR="00B3123B">
        <w:t xml:space="preserve">to </w:t>
      </w:r>
      <w:r w:rsidRPr="00B3123B" w:rsidR="00B3123B">
        <w:t xml:space="preserve">account for the increased complexity </w:t>
      </w:r>
      <w:r w:rsidR="00B3123B">
        <w:t xml:space="preserve">in </w:t>
      </w:r>
      <w:r w:rsidR="00A91A80">
        <w:t>aircraft</w:t>
      </w:r>
      <w:r w:rsidR="00B3123B">
        <w:t xml:space="preserve"> operation</w:t>
      </w:r>
      <w:r w:rsidRPr="00B3123B" w:rsidR="00B3123B">
        <w:t>s</w:t>
      </w:r>
      <w:r w:rsidR="00B3123B">
        <w:t xml:space="preserve"> </w:t>
      </w:r>
      <w:r w:rsidR="002A31AB">
        <w:t xml:space="preserve">and increased interaction between CHs and the FAA. Additionally, the FAA estimates an increase in </w:t>
      </w:r>
      <w:r w:rsidR="00A91A80">
        <w:t>Part 145</w:t>
      </w:r>
      <w:r w:rsidR="007E6781">
        <w:t xml:space="preserve"> Repair Stations training burden to account for more realistic estimates and complexity in Part 121, 135, and 145 hazmat training programs.</w:t>
      </w:r>
      <w:r w:rsidRPr="00B3123B" w:rsidR="00B3123B">
        <w:t xml:space="preserve"> </w:t>
      </w:r>
      <w:r w:rsidR="00432045">
        <w:t xml:space="preserve">Lastly, the FAA has editorially revised the collection title to more appropriately summarize the collection. </w:t>
      </w:r>
    </w:p>
    <w:p w:rsidR="00686012" w:rsidP="00686012" w14:paraId="5D236CCA" w14:textId="77777777">
      <w:pPr>
        <w:pStyle w:val="Heading1"/>
      </w:pPr>
      <w:r w:rsidRPr="00F140DD">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86012" w:rsidP="00686012" w14:paraId="5FDDBE57" w14:textId="2032EFBA">
      <w:r w:rsidRPr="00F140DD">
        <w:t>There is no publication plan.</w:t>
      </w:r>
    </w:p>
    <w:p w:rsidR="00686012" w:rsidP="00686012" w14:paraId="6A43413E" w14:textId="77777777">
      <w:pPr>
        <w:pStyle w:val="Heading1"/>
      </w:pPr>
      <w:r w:rsidRPr="00F140DD">
        <w:t>17. If seeking approval to not display the expiration date for OMB approval of the information collection, explain the reasons why display would be inappropriate.</w:t>
      </w:r>
    </w:p>
    <w:p w:rsidR="00686012" w:rsidP="00686012" w14:paraId="5BDE6F13" w14:textId="77777777">
      <w:r w:rsidRPr="00F140DD">
        <w:t xml:space="preserve">No such approval is being sought. </w:t>
      </w:r>
    </w:p>
    <w:p w:rsidR="00686012" w:rsidP="00686012" w14:paraId="212FBDF5" w14:textId="77777777">
      <w:pPr>
        <w:pStyle w:val="Heading1"/>
      </w:pPr>
      <w:r w:rsidRPr="00F140DD">
        <w:t>18. Explain each exception to the topics of the certification statement identified in “Certification for Paperwork Reduction Act Submissions.”</w:t>
      </w:r>
    </w:p>
    <w:p w:rsidR="005B4EB0" w:rsidRPr="00F140DD" w:rsidP="00686012" w14:paraId="176CE08A" w14:textId="2769CED0">
      <w:r w:rsidRPr="00F140DD">
        <w:t>There are no exceptions.</w:t>
      </w:r>
    </w:p>
    <w:sectPr w:rsidSect="0057400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D11DF" w:rsidP="00455359" w14:paraId="45651A8A" w14:textId="77777777">
      <w:r>
        <w:separator/>
      </w:r>
    </w:p>
    <w:p w:rsidR="009D11DF" w:rsidP="006B312D" w14:paraId="52B7E6F0" w14:textId="77777777"/>
  </w:endnote>
  <w:endnote w:type="continuationSeparator" w:id="1">
    <w:p w:rsidR="009D11DF" w:rsidP="00455359" w14:paraId="0FBE9627" w14:textId="77777777">
      <w:r>
        <w:continuationSeparator/>
      </w:r>
    </w:p>
    <w:p w:rsidR="009D11DF" w:rsidP="006B312D" w14:paraId="1D93120A" w14:textId="77777777"/>
  </w:endnote>
  <w:endnote w:type="continuationNotice" w:id="2">
    <w:p w:rsidR="009D11DF" w14:paraId="464F442E"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9886081"/>
      <w:docPartObj>
        <w:docPartGallery w:val="Page Numbers (Bottom of Page)"/>
        <w:docPartUnique/>
      </w:docPartObj>
    </w:sdtPr>
    <w:sdtEndPr>
      <w:rPr>
        <w:noProof/>
      </w:rPr>
    </w:sdtEndPr>
    <w:sdtContent>
      <w:p w:rsidR="00EA49E3" w:rsidRPr="00574004" w:rsidP="00C55E47" w14:paraId="501927AD" w14:textId="3A38DFA9">
        <w:pPr>
          <w:pStyle w:val="Footer"/>
          <w:jc w:val="center"/>
        </w:pPr>
        <w:r w:rsidRPr="00574004">
          <w:fldChar w:fldCharType="begin"/>
        </w:r>
        <w:r w:rsidRPr="00574004">
          <w:instrText xml:space="preserve"> PAGE   \* MERGEFORMAT </w:instrText>
        </w:r>
        <w:r w:rsidRPr="00574004">
          <w:fldChar w:fldCharType="separate"/>
        </w:r>
        <w:r w:rsidR="00905536">
          <w:rPr>
            <w:noProof/>
          </w:rPr>
          <w:t>12</w:t>
        </w:r>
        <w:r w:rsidRPr="00574004">
          <w:rPr>
            <w:noProof/>
          </w:rPr>
          <w:fldChar w:fldCharType="end"/>
        </w:r>
      </w:p>
    </w:sdtContent>
  </w:sdt>
  <w:p w:rsidR="00EA49E3" w:rsidP="006B312D" w14:paraId="22233002" w14:textId="77777777">
    <w:pPr>
      <w:pStyle w:val="Footer"/>
    </w:pPr>
  </w:p>
  <w:p w:rsidR="00455359" w:rsidP="006B312D" w14:paraId="13E05D8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11DF" w:rsidP="007E6537" w14:paraId="5AED7710" w14:textId="77777777">
      <w:pPr>
        <w:spacing w:after="0"/>
      </w:pPr>
      <w:r>
        <w:separator/>
      </w:r>
    </w:p>
  </w:footnote>
  <w:footnote w:type="continuationSeparator" w:id="1">
    <w:p w:rsidR="009D11DF" w:rsidP="006B312D" w14:paraId="33D0FDC9" w14:textId="77777777">
      <w:r>
        <w:continuationSeparator/>
      </w:r>
    </w:p>
  </w:footnote>
  <w:footnote w:type="continuationNotice" w:id="2">
    <w:p w:rsidR="009D11DF" w14:paraId="18AFF8A1" w14:textId="77777777">
      <w:pPr>
        <w:spacing w:after="0"/>
      </w:pPr>
    </w:p>
  </w:footnote>
  <w:footnote w:id="3">
    <w:p w:rsidR="00C914E2" w:rsidRPr="004B48C5" w14:paraId="4B7BB0B3" w14:textId="7FC3A312">
      <w:pPr>
        <w:pStyle w:val="FootnoteText"/>
        <w:rPr>
          <w:rFonts w:ascii="Arial" w:hAnsi="Arial" w:cs="Arial"/>
        </w:rPr>
      </w:pPr>
      <w:r w:rsidRPr="004B48C5">
        <w:rPr>
          <w:rStyle w:val="FootnoteReference"/>
          <w:rFonts w:ascii="Arial" w:hAnsi="Arial" w:cs="Arial"/>
        </w:rPr>
        <w:footnoteRef/>
      </w:r>
      <w:r w:rsidRPr="004B48C5">
        <w:rPr>
          <w:rFonts w:ascii="Arial" w:hAnsi="Arial" w:cs="Arial"/>
        </w:rPr>
        <w:t xml:space="preserve"> </w:t>
      </w:r>
      <w:r w:rsidR="00584386">
        <w:rPr>
          <w:rFonts w:ascii="Arial" w:hAnsi="Arial" w:cs="Arial"/>
        </w:rPr>
        <w:t>A</w:t>
      </w:r>
      <w:r w:rsidR="00C42E25">
        <w:rPr>
          <w:rFonts w:ascii="Arial" w:hAnsi="Arial" w:cs="Arial"/>
        </w:rPr>
        <w:t xml:space="preserve">C 121-40 is available at: </w:t>
      </w:r>
      <w:hyperlink r:id="rId1" w:history="1">
        <w:r w:rsidRPr="00C42E25" w:rsidR="00C42E25">
          <w:rPr>
            <w:rStyle w:val="Hyperlink"/>
            <w:rFonts w:ascii="Arial" w:hAnsi="Arial" w:cs="Arial"/>
          </w:rPr>
          <w:t>https://www.faa.gov/regulations_policies/advisory_circulars/index.cfm/go/document.information/documentid/1032386</w:t>
        </w:r>
      </w:hyperlink>
      <w:r w:rsidRPr="004B48C5" w:rsidR="00AC67D5">
        <w:rPr>
          <w:rFonts w:ascii="Arial" w:hAnsi="Arial" w:cs="Arial"/>
        </w:rPr>
        <w:t>.</w:t>
      </w:r>
    </w:p>
  </w:footnote>
  <w:footnote w:id="4">
    <w:p w:rsidR="00AD3735" w:rsidRPr="00CE06F7" w14:paraId="5CBB0FDA" w14:textId="64923172">
      <w:pPr>
        <w:pStyle w:val="FootnoteText"/>
        <w:rPr>
          <w:rFonts w:ascii="Arial" w:hAnsi="Arial" w:cs="Arial"/>
        </w:rPr>
      </w:pPr>
      <w:r w:rsidRPr="00CE06F7">
        <w:rPr>
          <w:rStyle w:val="FootnoteReference"/>
          <w:rFonts w:ascii="Arial" w:hAnsi="Arial" w:cs="Arial"/>
        </w:rPr>
        <w:footnoteRef/>
      </w:r>
      <w:r w:rsidRPr="00CE06F7">
        <w:rPr>
          <w:rFonts w:ascii="Arial" w:hAnsi="Arial" w:cs="Arial"/>
        </w:rPr>
        <w:t xml:space="preserve"> </w:t>
      </w:r>
      <w:r w:rsidRPr="00CE06F7" w:rsidR="00455359">
        <w:rPr>
          <w:rFonts w:ascii="Arial" w:hAnsi="Arial" w:cs="Arial"/>
        </w:rPr>
        <w:t xml:space="preserve">Hazmat training is required in accordance with 49 CFR 172.704(d) and International Civil Aviation organization (ICAO) Technical Instructions (TI) 1;4.2.4, for any personnel who is a “hazmat employee” (see 49 CFR 171.8). </w:t>
      </w:r>
    </w:p>
  </w:footnote>
  <w:footnote w:id="5">
    <w:p w:rsidR="00DA56C8" w:rsidRPr="005478AE" w14:paraId="3A12B50A" w14:textId="01C9423A">
      <w:pPr>
        <w:pStyle w:val="FootnoteText"/>
        <w:rPr>
          <w:rFonts w:ascii="Arial" w:hAnsi="Arial" w:cs="Arial"/>
        </w:rPr>
      </w:pPr>
      <w:r w:rsidRPr="005478AE">
        <w:rPr>
          <w:rStyle w:val="FootnoteReference"/>
          <w:rFonts w:ascii="Arial" w:hAnsi="Arial" w:cs="Arial"/>
        </w:rPr>
        <w:footnoteRef/>
      </w:r>
      <w:r w:rsidRPr="005478AE">
        <w:rPr>
          <w:rFonts w:ascii="Arial" w:hAnsi="Arial" w:cs="Arial"/>
        </w:rPr>
        <w:t xml:space="preserve"> </w:t>
      </w:r>
      <w:hyperlink r:id="rId2" w:history="1">
        <w:r w:rsidRPr="005478AE" w:rsidR="00F55688">
          <w:rPr>
            <w:rStyle w:val="Hyperlink"/>
            <w:rFonts w:ascii="Arial" w:hAnsi="Arial" w:cs="Arial"/>
          </w:rPr>
          <w:t>https://www.regulations.gov/comment/FAA-2025-0493-0002</w:t>
        </w:r>
      </w:hyperlink>
      <w:r w:rsidRPr="005478AE" w:rsidR="00F55688">
        <w:rPr>
          <w:rFonts w:ascii="Arial" w:hAnsi="Arial" w:cs="Arial"/>
        </w:rPr>
        <w:t>.</w:t>
      </w:r>
    </w:p>
  </w:footnote>
  <w:footnote w:id="6">
    <w:p w:rsidR="00F55688" w14:paraId="1F786E4C" w14:textId="4A2067DF">
      <w:pPr>
        <w:pStyle w:val="FootnoteText"/>
      </w:pPr>
      <w:r w:rsidRPr="005478AE">
        <w:rPr>
          <w:rStyle w:val="FootnoteReference"/>
          <w:rFonts w:ascii="Arial" w:hAnsi="Arial" w:cs="Arial"/>
        </w:rPr>
        <w:footnoteRef/>
      </w:r>
      <w:r w:rsidRPr="005478AE">
        <w:rPr>
          <w:rFonts w:ascii="Arial" w:hAnsi="Arial" w:cs="Arial"/>
        </w:rPr>
        <w:t xml:space="preserve"> </w:t>
      </w:r>
      <w:hyperlink r:id="rId3" w:history="1">
        <w:r w:rsidRPr="005478AE">
          <w:rPr>
            <w:rStyle w:val="Hyperlink"/>
            <w:rFonts w:ascii="Arial" w:hAnsi="Arial" w:cs="Arial"/>
          </w:rPr>
          <w:t>https://www.regulations.gov/comment/FAA-2025-0493-0003</w:t>
        </w:r>
      </w:hyperlink>
      <w:r w:rsidRPr="005478AE">
        <w:rPr>
          <w:rFonts w:ascii="Arial" w:hAnsi="Arial" w:cs="Arial"/>
        </w:rPr>
        <w:t>.</w:t>
      </w:r>
    </w:p>
  </w:footnote>
  <w:footnote w:id="7">
    <w:p w:rsidR="00367107" w:rsidRPr="00CE06F7" w14:paraId="5EF0B066" w14:textId="2FD7053F">
      <w:pPr>
        <w:pStyle w:val="FootnoteText"/>
        <w:rPr>
          <w:rFonts w:ascii="Arial" w:hAnsi="Arial" w:cs="Arial"/>
        </w:rPr>
      </w:pPr>
      <w:r w:rsidRPr="00CE06F7">
        <w:rPr>
          <w:rStyle w:val="FootnoteReference"/>
          <w:rFonts w:ascii="Arial" w:hAnsi="Arial" w:cs="Arial"/>
        </w:rPr>
        <w:footnoteRef/>
      </w:r>
      <w:r w:rsidRPr="00CE06F7">
        <w:rPr>
          <w:rFonts w:ascii="Arial" w:hAnsi="Arial" w:cs="Arial"/>
        </w:rPr>
        <w:t xml:space="preserve"> </w:t>
      </w:r>
      <w:r w:rsidRPr="00221EC6" w:rsidR="00221EC6">
        <w:rPr>
          <w:rFonts w:ascii="Arial" w:hAnsi="Arial" w:cs="Arial"/>
        </w:rPr>
        <w:t xml:space="preserve">BLS. </w:t>
      </w:r>
      <w:r w:rsidRPr="00FD08EC" w:rsidR="00221EC6">
        <w:rPr>
          <w:rFonts w:ascii="Arial" w:hAnsi="Arial" w:cs="Arial"/>
          <w:i/>
          <w:iCs/>
        </w:rPr>
        <w:t>Occupational Employment and Wages</w:t>
      </w:r>
      <w:r w:rsidRPr="00221EC6" w:rsidR="00221EC6">
        <w:rPr>
          <w:rFonts w:ascii="Arial" w:hAnsi="Arial" w:cs="Arial"/>
        </w:rPr>
        <w:t xml:space="preserve">, May 2024. Transportation and Material Moving Occupations; Airline Pilots, Copilots, and Flight Engineers NAICS 53-2011. </w:t>
      </w:r>
      <w:hyperlink r:id="rId4" w:history="1">
        <w:r w:rsidRPr="00F72441" w:rsidR="00221EC6">
          <w:rPr>
            <w:rStyle w:val="Hyperlink"/>
            <w:rFonts w:ascii="Arial" w:hAnsi="Arial" w:cs="Arial"/>
          </w:rPr>
          <w:t>https://data.bls.gov/oesprofile/</w:t>
        </w:r>
      </w:hyperlink>
      <w:r w:rsidRPr="00221EC6" w:rsidR="00221EC6">
        <w:rPr>
          <w:rFonts w:ascii="Arial" w:hAnsi="Arial" w:cs="Arial"/>
        </w:rPr>
        <w:t>. Hourly wage is calculated as $280,570/2,080 hours = $134.89. For private industry, the FAA estimates 29% for benefits. Therefore, to account for benefits: $134.89*1.29 = $174.01.</w:t>
      </w:r>
    </w:p>
  </w:footnote>
  <w:footnote w:id="8">
    <w:p w:rsidR="00367107" w:rsidRPr="00CE06F7" w14:paraId="340368A3" w14:textId="2BC2E595">
      <w:pPr>
        <w:pStyle w:val="FootnoteText"/>
        <w:rPr>
          <w:rFonts w:ascii="Arial" w:hAnsi="Arial" w:cs="Arial"/>
        </w:rPr>
      </w:pPr>
      <w:r w:rsidRPr="00CE06F7">
        <w:rPr>
          <w:rStyle w:val="FootnoteReference"/>
          <w:rFonts w:ascii="Arial" w:hAnsi="Arial" w:cs="Arial"/>
        </w:rPr>
        <w:footnoteRef/>
      </w:r>
      <w:r w:rsidRPr="00CE06F7">
        <w:rPr>
          <w:rFonts w:ascii="Arial" w:hAnsi="Arial" w:cs="Arial"/>
        </w:rPr>
        <w:t xml:space="preserve"> </w:t>
      </w:r>
      <w:r w:rsidRPr="00221EC6" w:rsidR="00221EC6">
        <w:rPr>
          <w:rFonts w:ascii="Arial" w:hAnsi="Arial" w:cs="Arial"/>
        </w:rPr>
        <w:t xml:space="preserve">BLS. </w:t>
      </w:r>
      <w:r w:rsidRPr="00FD08EC" w:rsidR="00221EC6">
        <w:rPr>
          <w:rFonts w:ascii="Arial" w:hAnsi="Arial" w:cs="Arial"/>
          <w:i/>
          <w:iCs/>
        </w:rPr>
        <w:t>Occupational Employment and Wages</w:t>
      </w:r>
      <w:r w:rsidRPr="00221EC6" w:rsidR="00221EC6">
        <w:rPr>
          <w:rFonts w:ascii="Arial" w:hAnsi="Arial" w:cs="Arial"/>
        </w:rPr>
        <w:t xml:space="preserve">, May 2024. Transportation and Material Moving Occupations; Commercial Pilots NAICS Code 53-2012. </w:t>
      </w:r>
      <w:hyperlink r:id="rId4" w:history="1">
        <w:r w:rsidRPr="00F72441" w:rsidR="00221EC6">
          <w:rPr>
            <w:rStyle w:val="Hyperlink"/>
            <w:rFonts w:ascii="Arial" w:hAnsi="Arial" w:cs="Arial"/>
          </w:rPr>
          <w:t>https://data.bls.gov/oesprofile/</w:t>
        </w:r>
      </w:hyperlink>
      <w:r w:rsidRPr="00221EC6" w:rsidR="00221EC6">
        <w:rPr>
          <w:rFonts w:ascii="Arial" w:hAnsi="Arial" w:cs="Arial"/>
        </w:rPr>
        <w:t>. Hourly wage is calculated as $142,960/2,080 hours = $68.73. For private industry, the FAA estimates 29% for benefits. Therefore, to account for benefits: $68.73*1.29 = $88.66.</w:t>
      </w:r>
    </w:p>
  </w:footnote>
  <w:footnote w:id="9">
    <w:p w:rsidR="00EA49E3" w:rsidRPr="00CE06F7" w:rsidP="006B312D" w14:paraId="07932D53" w14:textId="052608A5">
      <w:pPr>
        <w:pStyle w:val="FootnoteText"/>
        <w:rPr>
          <w:rFonts w:ascii="Arial" w:hAnsi="Arial" w:cs="Arial"/>
        </w:rPr>
      </w:pPr>
      <w:r w:rsidRPr="00CE06F7">
        <w:rPr>
          <w:rStyle w:val="FootnoteReference"/>
          <w:rFonts w:ascii="Arial" w:hAnsi="Arial" w:cs="Arial"/>
        </w:rPr>
        <w:footnoteRef/>
      </w:r>
      <w:r w:rsidRPr="00CE06F7">
        <w:rPr>
          <w:rFonts w:ascii="Arial" w:hAnsi="Arial" w:cs="Arial"/>
        </w:rPr>
        <w:t xml:space="preserve"> </w:t>
      </w:r>
      <w:r w:rsidRPr="00315CBA" w:rsidR="00315CBA">
        <w:rPr>
          <w:rFonts w:ascii="Arial" w:hAnsi="Arial" w:cs="Arial"/>
        </w:rPr>
        <w:t xml:space="preserve">BLS. </w:t>
      </w:r>
      <w:r w:rsidRPr="00FD08EC" w:rsidR="00315CBA">
        <w:rPr>
          <w:rFonts w:ascii="Arial" w:hAnsi="Arial" w:cs="Arial"/>
          <w:i/>
          <w:iCs/>
        </w:rPr>
        <w:t>Occupational Employment and Wages</w:t>
      </w:r>
      <w:r w:rsidRPr="00315CBA" w:rsidR="00315CBA">
        <w:rPr>
          <w:rFonts w:ascii="Arial" w:hAnsi="Arial" w:cs="Arial"/>
        </w:rPr>
        <w:t xml:space="preserve">, May 2024. Office and Administrative Support Occupations. Office Clerks NAICS Code 43-9061. </w:t>
      </w:r>
      <w:hyperlink r:id="rId4" w:history="1">
        <w:r w:rsidRPr="00F72441" w:rsidR="00315CBA">
          <w:rPr>
            <w:rStyle w:val="Hyperlink"/>
            <w:rFonts w:ascii="Arial" w:hAnsi="Arial" w:cs="Arial"/>
          </w:rPr>
          <w:t>https://data.bls.gov/oesprofile/</w:t>
        </w:r>
      </w:hyperlink>
      <w:r w:rsidRPr="00315CBA" w:rsidR="00315CBA">
        <w:rPr>
          <w:rFonts w:ascii="Arial" w:hAnsi="Arial" w:cs="Arial"/>
        </w:rPr>
        <w:t>. Mean hourly wage is estimated at $21.86. For private industry, the FAA estimates 29% for benefits. Therefore, to account for benefits: $21.86*1.29 = $28.20.</w:t>
      </w:r>
    </w:p>
  </w:footnote>
  <w:footnote w:id="10">
    <w:p w:rsidR="00CE06F7" w:rsidRPr="00F63E23" w14:paraId="048D7EF2" w14:textId="05D586DD">
      <w:pPr>
        <w:pStyle w:val="FootnoteText"/>
        <w:rPr>
          <w:rFonts w:ascii="Arial" w:hAnsi="Arial" w:cs="Arial"/>
        </w:rPr>
      </w:pPr>
      <w:r w:rsidRPr="00F63E23">
        <w:rPr>
          <w:rStyle w:val="FootnoteReference"/>
          <w:rFonts w:ascii="Arial" w:hAnsi="Arial" w:cs="Arial"/>
        </w:rPr>
        <w:footnoteRef/>
      </w:r>
      <w:r w:rsidRPr="00F63E23">
        <w:rPr>
          <w:rFonts w:ascii="Arial" w:hAnsi="Arial" w:cs="Arial"/>
        </w:rPr>
        <w:t xml:space="preserve"> </w:t>
      </w:r>
      <w:r w:rsidRPr="00F63E23" w:rsidR="003F28B1">
        <w:rPr>
          <w:rFonts w:ascii="Arial" w:hAnsi="Arial" w:cs="Arial"/>
        </w:rPr>
        <w:t>Ibid.</w:t>
      </w:r>
    </w:p>
  </w:footnote>
  <w:footnote w:id="11">
    <w:p w:rsidR="004D6AC5" w:rsidRPr="00F63E23" w14:paraId="261AC1B2" w14:textId="72277E0F">
      <w:pPr>
        <w:pStyle w:val="FootnoteText"/>
        <w:rPr>
          <w:rFonts w:ascii="Arial" w:hAnsi="Arial" w:cs="Arial"/>
        </w:rPr>
      </w:pPr>
      <w:r w:rsidRPr="00F63E23">
        <w:rPr>
          <w:rStyle w:val="FootnoteReference"/>
          <w:rFonts w:ascii="Arial" w:hAnsi="Arial" w:cs="Arial"/>
        </w:rPr>
        <w:footnoteRef/>
      </w:r>
      <w:r w:rsidRPr="00F63E23">
        <w:rPr>
          <w:rFonts w:ascii="Arial" w:hAnsi="Arial" w:cs="Arial"/>
        </w:rPr>
        <w:t xml:space="preserve"> </w:t>
      </w:r>
      <w:r>
        <w:rPr>
          <w:rFonts w:ascii="Arial" w:hAnsi="Arial" w:cs="Arial"/>
        </w:rPr>
        <w:t>Ibid.</w:t>
      </w:r>
    </w:p>
  </w:footnote>
  <w:footnote w:id="12">
    <w:p w:rsidR="00551B6F" w:rsidRPr="008901F6" w14:paraId="486B9982" w14:textId="58F77FB7">
      <w:pPr>
        <w:pStyle w:val="FootnoteText"/>
        <w:rPr>
          <w:rFonts w:ascii="Arial" w:hAnsi="Arial" w:cs="Arial"/>
        </w:rPr>
      </w:pPr>
      <w:r w:rsidRPr="008852C5">
        <w:rPr>
          <w:rStyle w:val="FootnoteReference"/>
          <w:rFonts w:ascii="Arial" w:hAnsi="Arial" w:cs="Arial"/>
        </w:rPr>
        <w:footnoteRef/>
      </w:r>
      <w:r w:rsidRPr="008852C5">
        <w:rPr>
          <w:rFonts w:ascii="Arial" w:hAnsi="Arial" w:cs="Arial"/>
        </w:rPr>
        <w:t xml:space="preserve"> FAA. </w:t>
      </w:r>
      <w:r w:rsidRPr="008852C5">
        <w:rPr>
          <w:rFonts w:ascii="Arial" w:hAnsi="Arial" w:cs="Arial"/>
          <w:i/>
          <w:iCs/>
        </w:rPr>
        <w:t>Core Compensation Salary Table</w:t>
      </w:r>
      <w:r w:rsidRPr="008901F6">
        <w:rPr>
          <w:rFonts w:ascii="Arial" w:hAnsi="Arial" w:cs="Arial"/>
        </w:rPr>
        <w:t xml:space="preserve">, January 12, 2025. Average H-Band Salary Washington locality. </w:t>
      </w:r>
      <w:hyperlink r:id="rId5" w:history="1">
        <w:r w:rsidRPr="008901F6" w:rsidR="008901F6">
          <w:rPr>
            <w:rStyle w:val="Hyperlink"/>
            <w:rFonts w:ascii="Arial" w:hAnsi="Arial" w:cs="Arial"/>
          </w:rPr>
          <w:t>https://www.faa.gov/jobs/working_here/benefits/pay/core_salary_with_conversion.xlsx</w:t>
        </w:r>
      </w:hyperlink>
      <w:r w:rsidRPr="008901F6">
        <w:rPr>
          <w:rFonts w:ascii="Arial" w:hAnsi="Arial" w:cs="Arial"/>
        </w:rPr>
        <w:t>. Mean annual rate is estimated at $108,737; over 2,080 hours per year, hourly wage estimated at $52.28. For government, the FAA estimates 33% for benefits. Therefore, to account for benefits, hourly cost: $52.28*1.33=$69.53.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81C8B"/>
    <w:multiLevelType w:val="hybridMultilevel"/>
    <w:tmpl w:val="F1247ED4"/>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D1D406E"/>
    <w:multiLevelType w:val="hybridMultilevel"/>
    <w:tmpl w:val="D3564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9D75BD"/>
    <w:multiLevelType w:val="hybridMultilevel"/>
    <w:tmpl w:val="43AC9E1E"/>
    <w:lvl w:ilvl="0">
      <w:start w:val="1"/>
      <w:numFmt w:val="decimal"/>
      <w:lvlText w:val="%1."/>
      <w:lvlJc w:val="left"/>
      <w:pPr>
        <w:ind w:left="153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1A0D1F"/>
    <w:multiLevelType w:val="hybridMultilevel"/>
    <w:tmpl w:val="4578A3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6A312B"/>
    <w:multiLevelType w:val="hybridMultilevel"/>
    <w:tmpl w:val="3F46F5EA"/>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CD68A4"/>
    <w:multiLevelType w:val="hybridMultilevel"/>
    <w:tmpl w:val="A4CE07A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2CAD3040"/>
    <w:multiLevelType w:val="hybridMultilevel"/>
    <w:tmpl w:val="A2285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6B2D0A"/>
    <w:multiLevelType w:val="hybridMultilevel"/>
    <w:tmpl w:val="560C8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146C4E"/>
    <w:multiLevelType w:val="hybridMultilevel"/>
    <w:tmpl w:val="91B09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513FB5"/>
    <w:multiLevelType w:val="hybridMultilevel"/>
    <w:tmpl w:val="995E1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BC51B0"/>
    <w:multiLevelType w:val="hybridMultilevel"/>
    <w:tmpl w:val="1BECA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077C9F"/>
    <w:multiLevelType w:val="hybridMultilevel"/>
    <w:tmpl w:val="765C0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5C63A2"/>
    <w:multiLevelType w:val="hybridMultilevel"/>
    <w:tmpl w:val="9D3C84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2006C9"/>
    <w:multiLevelType w:val="hybridMultilevel"/>
    <w:tmpl w:val="20687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334BC9"/>
    <w:multiLevelType w:val="hybridMultilevel"/>
    <w:tmpl w:val="6966C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8A7331"/>
    <w:multiLevelType w:val="hybridMultilevel"/>
    <w:tmpl w:val="E9BC8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AE166F"/>
    <w:multiLevelType w:val="hybridMultilevel"/>
    <w:tmpl w:val="9F2E1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5E04CE7"/>
    <w:multiLevelType w:val="hybridMultilevel"/>
    <w:tmpl w:val="93A81E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081CEC"/>
    <w:multiLevelType w:val="hybridMultilevel"/>
    <w:tmpl w:val="751AF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536B77"/>
    <w:multiLevelType w:val="hybridMultilevel"/>
    <w:tmpl w:val="197AB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3E314C8"/>
    <w:multiLevelType w:val="hybridMultilevel"/>
    <w:tmpl w:val="B7DE39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A5404B"/>
    <w:multiLevelType w:val="hybridMultilevel"/>
    <w:tmpl w:val="780863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72791210">
    <w:abstractNumId w:val="3"/>
  </w:num>
  <w:num w:numId="2" w16cid:durableId="99644054">
    <w:abstractNumId w:val="21"/>
  </w:num>
  <w:num w:numId="3" w16cid:durableId="234248357">
    <w:abstractNumId w:val="22"/>
  </w:num>
  <w:num w:numId="4" w16cid:durableId="799080605">
    <w:abstractNumId w:val="16"/>
  </w:num>
  <w:num w:numId="5" w16cid:durableId="1785883400">
    <w:abstractNumId w:val="11"/>
  </w:num>
  <w:num w:numId="6" w16cid:durableId="842011906">
    <w:abstractNumId w:val="14"/>
  </w:num>
  <w:num w:numId="7" w16cid:durableId="1373529557">
    <w:abstractNumId w:val="18"/>
  </w:num>
  <w:num w:numId="8" w16cid:durableId="949430577">
    <w:abstractNumId w:val="13"/>
  </w:num>
  <w:num w:numId="9" w16cid:durableId="1365059699">
    <w:abstractNumId w:val="4"/>
  </w:num>
  <w:num w:numId="10" w16cid:durableId="2082098285">
    <w:abstractNumId w:val="23"/>
  </w:num>
  <w:num w:numId="11" w16cid:durableId="91515499">
    <w:abstractNumId w:val="24"/>
  </w:num>
  <w:num w:numId="12" w16cid:durableId="2063484059">
    <w:abstractNumId w:val="6"/>
  </w:num>
  <w:num w:numId="13" w16cid:durableId="573468948">
    <w:abstractNumId w:val="24"/>
  </w:num>
  <w:num w:numId="14" w16cid:durableId="1059792375">
    <w:abstractNumId w:val="6"/>
  </w:num>
  <w:num w:numId="15" w16cid:durableId="1693145836">
    <w:abstractNumId w:val="2"/>
  </w:num>
  <w:num w:numId="16" w16cid:durableId="1808473853">
    <w:abstractNumId w:val="12"/>
  </w:num>
  <w:num w:numId="17" w16cid:durableId="1020551021">
    <w:abstractNumId w:val="9"/>
  </w:num>
  <w:num w:numId="18" w16cid:durableId="644356291">
    <w:abstractNumId w:val="10"/>
  </w:num>
  <w:num w:numId="19" w16cid:durableId="350105844">
    <w:abstractNumId w:val="15"/>
  </w:num>
  <w:num w:numId="20" w16cid:durableId="1684238417">
    <w:abstractNumId w:val="7"/>
  </w:num>
  <w:num w:numId="21" w16cid:durableId="2121100248">
    <w:abstractNumId w:val="1"/>
  </w:num>
  <w:num w:numId="22" w16cid:durableId="1582442562">
    <w:abstractNumId w:val="8"/>
  </w:num>
  <w:num w:numId="23" w16cid:durableId="1224561883">
    <w:abstractNumId w:val="5"/>
  </w:num>
  <w:num w:numId="24" w16cid:durableId="1926917613">
    <w:abstractNumId w:val="19"/>
  </w:num>
  <w:num w:numId="25" w16cid:durableId="1008869791">
    <w:abstractNumId w:val="0"/>
  </w:num>
  <w:num w:numId="26" w16cid:durableId="1507286351">
    <w:abstractNumId w:val="20"/>
  </w:num>
  <w:num w:numId="27" w16cid:durableId="20058617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10E86"/>
    <w:rsid w:val="00011DB5"/>
    <w:rsid w:val="00013056"/>
    <w:rsid w:val="00016140"/>
    <w:rsid w:val="000179E8"/>
    <w:rsid w:val="00017AA4"/>
    <w:rsid w:val="00020CFA"/>
    <w:rsid w:val="00020F74"/>
    <w:rsid w:val="00030A7E"/>
    <w:rsid w:val="00032366"/>
    <w:rsid w:val="00034AF2"/>
    <w:rsid w:val="00036EF9"/>
    <w:rsid w:val="000414FF"/>
    <w:rsid w:val="00041DB2"/>
    <w:rsid w:val="000431E9"/>
    <w:rsid w:val="00055B8D"/>
    <w:rsid w:val="00061B04"/>
    <w:rsid w:val="000645AC"/>
    <w:rsid w:val="0007440C"/>
    <w:rsid w:val="00075126"/>
    <w:rsid w:val="0007634E"/>
    <w:rsid w:val="00082E55"/>
    <w:rsid w:val="00083942"/>
    <w:rsid w:val="00084A7F"/>
    <w:rsid w:val="00091472"/>
    <w:rsid w:val="00094A73"/>
    <w:rsid w:val="00094A9F"/>
    <w:rsid w:val="00095C74"/>
    <w:rsid w:val="00095FE9"/>
    <w:rsid w:val="000965DA"/>
    <w:rsid w:val="000A6C2B"/>
    <w:rsid w:val="000B0DA3"/>
    <w:rsid w:val="000B44FD"/>
    <w:rsid w:val="000B46AC"/>
    <w:rsid w:val="000B7198"/>
    <w:rsid w:val="000C1F06"/>
    <w:rsid w:val="000C3DCA"/>
    <w:rsid w:val="000D1AA5"/>
    <w:rsid w:val="000D205A"/>
    <w:rsid w:val="000D3AC4"/>
    <w:rsid w:val="000F512B"/>
    <w:rsid w:val="000F5880"/>
    <w:rsid w:val="00100E8A"/>
    <w:rsid w:val="00102673"/>
    <w:rsid w:val="00116005"/>
    <w:rsid w:val="00117B74"/>
    <w:rsid w:val="001204CB"/>
    <w:rsid w:val="00120994"/>
    <w:rsid w:val="001210E4"/>
    <w:rsid w:val="0012143E"/>
    <w:rsid w:val="00122693"/>
    <w:rsid w:val="00122B01"/>
    <w:rsid w:val="00122CF8"/>
    <w:rsid w:val="001277B8"/>
    <w:rsid w:val="0013008A"/>
    <w:rsid w:val="001430A8"/>
    <w:rsid w:val="00145F93"/>
    <w:rsid w:val="00150D05"/>
    <w:rsid w:val="00153867"/>
    <w:rsid w:val="00155988"/>
    <w:rsid w:val="00155D9C"/>
    <w:rsid w:val="00157661"/>
    <w:rsid w:val="00160E16"/>
    <w:rsid w:val="001640E2"/>
    <w:rsid w:val="00166BFF"/>
    <w:rsid w:val="00166DB2"/>
    <w:rsid w:val="001718CD"/>
    <w:rsid w:val="00176F72"/>
    <w:rsid w:val="00177174"/>
    <w:rsid w:val="00177310"/>
    <w:rsid w:val="001778FE"/>
    <w:rsid w:val="00180836"/>
    <w:rsid w:val="00185DA1"/>
    <w:rsid w:val="001968A2"/>
    <w:rsid w:val="001A46CD"/>
    <w:rsid w:val="001A7805"/>
    <w:rsid w:val="001B1B3D"/>
    <w:rsid w:val="001B304A"/>
    <w:rsid w:val="001E77A5"/>
    <w:rsid w:val="001F10A4"/>
    <w:rsid w:val="001F10C0"/>
    <w:rsid w:val="001F5657"/>
    <w:rsid w:val="002035A7"/>
    <w:rsid w:val="002059F6"/>
    <w:rsid w:val="0020610B"/>
    <w:rsid w:val="002064C5"/>
    <w:rsid w:val="00206D97"/>
    <w:rsid w:val="0021315C"/>
    <w:rsid w:val="00214EA0"/>
    <w:rsid w:val="00215EC9"/>
    <w:rsid w:val="00221EC6"/>
    <w:rsid w:val="00222E76"/>
    <w:rsid w:val="00223CB7"/>
    <w:rsid w:val="002246C9"/>
    <w:rsid w:val="002250AA"/>
    <w:rsid w:val="00225E7C"/>
    <w:rsid w:val="00227107"/>
    <w:rsid w:val="00230291"/>
    <w:rsid w:val="00234965"/>
    <w:rsid w:val="002413EC"/>
    <w:rsid w:val="00242627"/>
    <w:rsid w:val="00243D9B"/>
    <w:rsid w:val="002507AF"/>
    <w:rsid w:val="00253D07"/>
    <w:rsid w:val="00254288"/>
    <w:rsid w:val="00260123"/>
    <w:rsid w:val="002603AC"/>
    <w:rsid w:val="00262D5F"/>
    <w:rsid w:val="00264A11"/>
    <w:rsid w:val="00267C8A"/>
    <w:rsid w:val="00276921"/>
    <w:rsid w:val="00277C91"/>
    <w:rsid w:val="00282272"/>
    <w:rsid w:val="002856EF"/>
    <w:rsid w:val="0029197F"/>
    <w:rsid w:val="002A2457"/>
    <w:rsid w:val="002A31AB"/>
    <w:rsid w:val="002A3923"/>
    <w:rsid w:val="002A7816"/>
    <w:rsid w:val="002B047F"/>
    <w:rsid w:val="002B1F06"/>
    <w:rsid w:val="002C089B"/>
    <w:rsid w:val="002C3620"/>
    <w:rsid w:val="002C6877"/>
    <w:rsid w:val="002D7D52"/>
    <w:rsid w:val="002E16F8"/>
    <w:rsid w:val="002F628C"/>
    <w:rsid w:val="0030330D"/>
    <w:rsid w:val="00304912"/>
    <w:rsid w:val="00315CBA"/>
    <w:rsid w:val="003226F9"/>
    <w:rsid w:val="0032578D"/>
    <w:rsid w:val="003264FA"/>
    <w:rsid w:val="00333B8E"/>
    <w:rsid w:val="00343426"/>
    <w:rsid w:val="00344FB4"/>
    <w:rsid w:val="00345213"/>
    <w:rsid w:val="00350580"/>
    <w:rsid w:val="0035559C"/>
    <w:rsid w:val="00362F5A"/>
    <w:rsid w:val="003638D9"/>
    <w:rsid w:val="00367107"/>
    <w:rsid w:val="003817A5"/>
    <w:rsid w:val="003842BE"/>
    <w:rsid w:val="0038529B"/>
    <w:rsid w:val="00395D5D"/>
    <w:rsid w:val="003975A8"/>
    <w:rsid w:val="003A1467"/>
    <w:rsid w:val="003A70F3"/>
    <w:rsid w:val="003B045D"/>
    <w:rsid w:val="003B189B"/>
    <w:rsid w:val="003B3A22"/>
    <w:rsid w:val="003C01E6"/>
    <w:rsid w:val="003E59D5"/>
    <w:rsid w:val="003E740E"/>
    <w:rsid w:val="003F28B1"/>
    <w:rsid w:val="004028A2"/>
    <w:rsid w:val="00410D5F"/>
    <w:rsid w:val="00410E62"/>
    <w:rsid w:val="00417CE0"/>
    <w:rsid w:val="004207BE"/>
    <w:rsid w:val="00421A86"/>
    <w:rsid w:val="004232A4"/>
    <w:rsid w:val="00423599"/>
    <w:rsid w:val="004308F0"/>
    <w:rsid w:val="00430CA7"/>
    <w:rsid w:val="00431935"/>
    <w:rsid w:val="00432045"/>
    <w:rsid w:val="004402CF"/>
    <w:rsid w:val="00443DFF"/>
    <w:rsid w:val="00444317"/>
    <w:rsid w:val="00445D7D"/>
    <w:rsid w:val="00451364"/>
    <w:rsid w:val="00455359"/>
    <w:rsid w:val="00456E80"/>
    <w:rsid w:val="00457C4B"/>
    <w:rsid w:val="0046097E"/>
    <w:rsid w:val="0046482F"/>
    <w:rsid w:val="00470278"/>
    <w:rsid w:val="004858C9"/>
    <w:rsid w:val="00486096"/>
    <w:rsid w:val="0049399B"/>
    <w:rsid w:val="00493F79"/>
    <w:rsid w:val="00495BCA"/>
    <w:rsid w:val="00496FC2"/>
    <w:rsid w:val="004A0868"/>
    <w:rsid w:val="004A0E0F"/>
    <w:rsid w:val="004A2D29"/>
    <w:rsid w:val="004A4F91"/>
    <w:rsid w:val="004B0431"/>
    <w:rsid w:val="004B1CCA"/>
    <w:rsid w:val="004B48C5"/>
    <w:rsid w:val="004B4E11"/>
    <w:rsid w:val="004C5962"/>
    <w:rsid w:val="004D3BC8"/>
    <w:rsid w:val="004D6AC5"/>
    <w:rsid w:val="004D710C"/>
    <w:rsid w:val="004F2643"/>
    <w:rsid w:val="004F3587"/>
    <w:rsid w:val="004F6151"/>
    <w:rsid w:val="004F7F36"/>
    <w:rsid w:val="005020EA"/>
    <w:rsid w:val="0050392C"/>
    <w:rsid w:val="005045D9"/>
    <w:rsid w:val="00504BE1"/>
    <w:rsid w:val="00507750"/>
    <w:rsid w:val="005121E0"/>
    <w:rsid w:val="005129FE"/>
    <w:rsid w:val="00514D87"/>
    <w:rsid w:val="00517009"/>
    <w:rsid w:val="0052517E"/>
    <w:rsid w:val="005302AC"/>
    <w:rsid w:val="005478AE"/>
    <w:rsid w:val="00551B6F"/>
    <w:rsid w:val="005577A0"/>
    <w:rsid w:val="00557C31"/>
    <w:rsid w:val="00562133"/>
    <w:rsid w:val="00565754"/>
    <w:rsid w:val="00574004"/>
    <w:rsid w:val="00576DBD"/>
    <w:rsid w:val="00584386"/>
    <w:rsid w:val="005906E0"/>
    <w:rsid w:val="00590792"/>
    <w:rsid w:val="0059135A"/>
    <w:rsid w:val="00591BA0"/>
    <w:rsid w:val="005924C1"/>
    <w:rsid w:val="005926D2"/>
    <w:rsid w:val="00594216"/>
    <w:rsid w:val="0059532A"/>
    <w:rsid w:val="005960E6"/>
    <w:rsid w:val="00596196"/>
    <w:rsid w:val="005A0862"/>
    <w:rsid w:val="005A14BA"/>
    <w:rsid w:val="005A609A"/>
    <w:rsid w:val="005B069F"/>
    <w:rsid w:val="005B4EB0"/>
    <w:rsid w:val="005B7702"/>
    <w:rsid w:val="005C3BFC"/>
    <w:rsid w:val="005C6530"/>
    <w:rsid w:val="005D09D9"/>
    <w:rsid w:val="005D77B9"/>
    <w:rsid w:val="005E4431"/>
    <w:rsid w:val="005F0318"/>
    <w:rsid w:val="005F0F61"/>
    <w:rsid w:val="005F2AA2"/>
    <w:rsid w:val="005F2D17"/>
    <w:rsid w:val="005F3223"/>
    <w:rsid w:val="005F506F"/>
    <w:rsid w:val="006038E5"/>
    <w:rsid w:val="00604FF1"/>
    <w:rsid w:val="00606E0D"/>
    <w:rsid w:val="0060755B"/>
    <w:rsid w:val="00612B08"/>
    <w:rsid w:val="006137B6"/>
    <w:rsid w:val="00622079"/>
    <w:rsid w:val="00625680"/>
    <w:rsid w:val="006273C2"/>
    <w:rsid w:val="00631AC2"/>
    <w:rsid w:val="00632BED"/>
    <w:rsid w:val="0063338D"/>
    <w:rsid w:val="00635D7A"/>
    <w:rsid w:val="00642661"/>
    <w:rsid w:val="00643F61"/>
    <w:rsid w:val="006444BF"/>
    <w:rsid w:val="00650B39"/>
    <w:rsid w:val="00652BB5"/>
    <w:rsid w:val="00661D4C"/>
    <w:rsid w:val="0066616D"/>
    <w:rsid w:val="00672A1B"/>
    <w:rsid w:val="006736BB"/>
    <w:rsid w:val="0067767E"/>
    <w:rsid w:val="0067794F"/>
    <w:rsid w:val="006812B5"/>
    <w:rsid w:val="00682F33"/>
    <w:rsid w:val="0068438F"/>
    <w:rsid w:val="00686012"/>
    <w:rsid w:val="00693F30"/>
    <w:rsid w:val="006A0583"/>
    <w:rsid w:val="006A52DE"/>
    <w:rsid w:val="006B10ED"/>
    <w:rsid w:val="006B312D"/>
    <w:rsid w:val="006D003A"/>
    <w:rsid w:val="006D1A95"/>
    <w:rsid w:val="006D33EE"/>
    <w:rsid w:val="006D34E8"/>
    <w:rsid w:val="006D3B65"/>
    <w:rsid w:val="006D705B"/>
    <w:rsid w:val="006E4641"/>
    <w:rsid w:val="006E6F03"/>
    <w:rsid w:val="006F1032"/>
    <w:rsid w:val="006F18E6"/>
    <w:rsid w:val="00701B5F"/>
    <w:rsid w:val="007026E5"/>
    <w:rsid w:val="00703620"/>
    <w:rsid w:val="00703674"/>
    <w:rsid w:val="00705901"/>
    <w:rsid w:val="00706E7B"/>
    <w:rsid w:val="007119D4"/>
    <w:rsid w:val="007144AB"/>
    <w:rsid w:val="00715409"/>
    <w:rsid w:val="007177E1"/>
    <w:rsid w:val="00724174"/>
    <w:rsid w:val="00724528"/>
    <w:rsid w:val="00730F3E"/>
    <w:rsid w:val="00731556"/>
    <w:rsid w:val="0073191F"/>
    <w:rsid w:val="00733191"/>
    <w:rsid w:val="00733779"/>
    <w:rsid w:val="007429D9"/>
    <w:rsid w:val="007467DF"/>
    <w:rsid w:val="0074779E"/>
    <w:rsid w:val="007478A3"/>
    <w:rsid w:val="00750311"/>
    <w:rsid w:val="00752717"/>
    <w:rsid w:val="00755675"/>
    <w:rsid w:val="007667FF"/>
    <w:rsid w:val="00772F3E"/>
    <w:rsid w:val="00775D3F"/>
    <w:rsid w:val="007773FC"/>
    <w:rsid w:val="00780B2A"/>
    <w:rsid w:val="00781B33"/>
    <w:rsid w:val="007835F4"/>
    <w:rsid w:val="00783B1A"/>
    <w:rsid w:val="00784B3A"/>
    <w:rsid w:val="0078666B"/>
    <w:rsid w:val="00787080"/>
    <w:rsid w:val="007911B6"/>
    <w:rsid w:val="007948F6"/>
    <w:rsid w:val="0079795A"/>
    <w:rsid w:val="007B2DAD"/>
    <w:rsid w:val="007B2EC4"/>
    <w:rsid w:val="007C00BE"/>
    <w:rsid w:val="007C037B"/>
    <w:rsid w:val="007C1007"/>
    <w:rsid w:val="007C2739"/>
    <w:rsid w:val="007D5156"/>
    <w:rsid w:val="007D7910"/>
    <w:rsid w:val="007E0EDF"/>
    <w:rsid w:val="007E6537"/>
    <w:rsid w:val="007E6781"/>
    <w:rsid w:val="007F07D8"/>
    <w:rsid w:val="007F4329"/>
    <w:rsid w:val="007F433C"/>
    <w:rsid w:val="007F7ABD"/>
    <w:rsid w:val="00811160"/>
    <w:rsid w:val="00813C77"/>
    <w:rsid w:val="00832769"/>
    <w:rsid w:val="00834E2A"/>
    <w:rsid w:val="00835209"/>
    <w:rsid w:val="0084174B"/>
    <w:rsid w:val="00845CC1"/>
    <w:rsid w:val="00855E99"/>
    <w:rsid w:val="008568E0"/>
    <w:rsid w:val="008618C5"/>
    <w:rsid w:val="00862F1C"/>
    <w:rsid w:val="0086713C"/>
    <w:rsid w:val="008712B6"/>
    <w:rsid w:val="0087293A"/>
    <w:rsid w:val="00872B9E"/>
    <w:rsid w:val="00875C52"/>
    <w:rsid w:val="008852C5"/>
    <w:rsid w:val="00887055"/>
    <w:rsid w:val="00887638"/>
    <w:rsid w:val="008901F6"/>
    <w:rsid w:val="008971D7"/>
    <w:rsid w:val="008A693A"/>
    <w:rsid w:val="008B0BEF"/>
    <w:rsid w:val="008B32AD"/>
    <w:rsid w:val="008B4F03"/>
    <w:rsid w:val="008B4F94"/>
    <w:rsid w:val="008C1D85"/>
    <w:rsid w:val="008C52A3"/>
    <w:rsid w:val="008D66B8"/>
    <w:rsid w:val="008D6A93"/>
    <w:rsid w:val="008E5A32"/>
    <w:rsid w:val="008E7A75"/>
    <w:rsid w:val="008E7D7D"/>
    <w:rsid w:val="008F48A3"/>
    <w:rsid w:val="008F5072"/>
    <w:rsid w:val="008F6D72"/>
    <w:rsid w:val="008F7830"/>
    <w:rsid w:val="00904523"/>
    <w:rsid w:val="0090453C"/>
    <w:rsid w:val="00905536"/>
    <w:rsid w:val="00905D50"/>
    <w:rsid w:val="00905F1B"/>
    <w:rsid w:val="00910299"/>
    <w:rsid w:val="00911888"/>
    <w:rsid w:val="00913824"/>
    <w:rsid w:val="0091550E"/>
    <w:rsid w:val="00915CE1"/>
    <w:rsid w:val="0091782D"/>
    <w:rsid w:val="00922E35"/>
    <w:rsid w:val="0092317B"/>
    <w:rsid w:val="00923B22"/>
    <w:rsid w:val="0093041A"/>
    <w:rsid w:val="00930DA1"/>
    <w:rsid w:val="00932BB5"/>
    <w:rsid w:val="00932F3F"/>
    <w:rsid w:val="009339A0"/>
    <w:rsid w:val="00933C9D"/>
    <w:rsid w:val="0093787E"/>
    <w:rsid w:val="00941082"/>
    <w:rsid w:val="00942BB8"/>
    <w:rsid w:val="00944239"/>
    <w:rsid w:val="00944F82"/>
    <w:rsid w:val="00945C19"/>
    <w:rsid w:val="00946A95"/>
    <w:rsid w:val="00952BA1"/>
    <w:rsid w:val="00953384"/>
    <w:rsid w:val="009539C9"/>
    <w:rsid w:val="0096018B"/>
    <w:rsid w:val="00970B7A"/>
    <w:rsid w:val="00974510"/>
    <w:rsid w:val="009767E3"/>
    <w:rsid w:val="00976F5A"/>
    <w:rsid w:val="009856DB"/>
    <w:rsid w:val="009908C2"/>
    <w:rsid w:val="00993E37"/>
    <w:rsid w:val="009A0984"/>
    <w:rsid w:val="009A0FD3"/>
    <w:rsid w:val="009A22E7"/>
    <w:rsid w:val="009A2C0F"/>
    <w:rsid w:val="009A62C4"/>
    <w:rsid w:val="009A6744"/>
    <w:rsid w:val="009A6839"/>
    <w:rsid w:val="009A6971"/>
    <w:rsid w:val="009B25B2"/>
    <w:rsid w:val="009B5AE5"/>
    <w:rsid w:val="009C13B4"/>
    <w:rsid w:val="009C2989"/>
    <w:rsid w:val="009C724E"/>
    <w:rsid w:val="009C78EA"/>
    <w:rsid w:val="009D0EDC"/>
    <w:rsid w:val="009D11DF"/>
    <w:rsid w:val="009D67F0"/>
    <w:rsid w:val="009E4398"/>
    <w:rsid w:val="009F4DB0"/>
    <w:rsid w:val="009F6CD7"/>
    <w:rsid w:val="00A02031"/>
    <w:rsid w:val="00A02BA0"/>
    <w:rsid w:val="00A04A06"/>
    <w:rsid w:val="00A168BE"/>
    <w:rsid w:val="00A16A27"/>
    <w:rsid w:val="00A220DB"/>
    <w:rsid w:val="00A23AEE"/>
    <w:rsid w:val="00A257DE"/>
    <w:rsid w:val="00A27506"/>
    <w:rsid w:val="00A30901"/>
    <w:rsid w:val="00A348D6"/>
    <w:rsid w:val="00A40501"/>
    <w:rsid w:val="00A4222B"/>
    <w:rsid w:val="00A449E0"/>
    <w:rsid w:val="00A50C91"/>
    <w:rsid w:val="00A512C7"/>
    <w:rsid w:val="00A51427"/>
    <w:rsid w:val="00A52491"/>
    <w:rsid w:val="00A52C61"/>
    <w:rsid w:val="00A56F2F"/>
    <w:rsid w:val="00A61450"/>
    <w:rsid w:val="00A621EA"/>
    <w:rsid w:val="00A67F07"/>
    <w:rsid w:val="00A70B0B"/>
    <w:rsid w:val="00A73933"/>
    <w:rsid w:val="00A74C1E"/>
    <w:rsid w:val="00A764EC"/>
    <w:rsid w:val="00A81230"/>
    <w:rsid w:val="00A82418"/>
    <w:rsid w:val="00A875FF"/>
    <w:rsid w:val="00A91A80"/>
    <w:rsid w:val="00A9607C"/>
    <w:rsid w:val="00AA0150"/>
    <w:rsid w:val="00AA7704"/>
    <w:rsid w:val="00AB10AC"/>
    <w:rsid w:val="00AB1BAC"/>
    <w:rsid w:val="00AB1D9E"/>
    <w:rsid w:val="00AB3277"/>
    <w:rsid w:val="00AB363D"/>
    <w:rsid w:val="00AB3942"/>
    <w:rsid w:val="00AC0ED2"/>
    <w:rsid w:val="00AC389A"/>
    <w:rsid w:val="00AC418D"/>
    <w:rsid w:val="00AC67D5"/>
    <w:rsid w:val="00AD3735"/>
    <w:rsid w:val="00AE0464"/>
    <w:rsid w:val="00AE3F37"/>
    <w:rsid w:val="00AF48F8"/>
    <w:rsid w:val="00B01C0E"/>
    <w:rsid w:val="00B03899"/>
    <w:rsid w:val="00B0754F"/>
    <w:rsid w:val="00B075A9"/>
    <w:rsid w:val="00B163A6"/>
    <w:rsid w:val="00B212E3"/>
    <w:rsid w:val="00B22292"/>
    <w:rsid w:val="00B23AD5"/>
    <w:rsid w:val="00B250FF"/>
    <w:rsid w:val="00B30936"/>
    <w:rsid w:val="00B3123B"/>
    <w:rsid w:val="00B4020E"/>
    <w:rsid w:val="00B44D0D"/>
    <w:rsid w:val="00B47521"/>
    <w:rsid w:val="00B536BC"/>
    <w:rsid w:val="00B67606"/>
    <w:rsid w:val="00B676C0"/>
    <w:rsid w:val="00B7188E"/>
    <w:rsid w:val="00B71D9B"/>
    <w:rsid w:val="00B7499B"/>
    <w:rsid w:val="00B75B70"/>
    <w:rsid w:val="00B87ABB"/>
    <w:rsid w:val="00B94145"/>
    <w:rsid w:val="00BB5731"/>
    <w:rsid w:val="00BB6EC4"/>
    <w:rsid w:val="00BC66F6"/>
    <w:rsid w:val="00BC7860"/>
    <w:rsid w:val="00BD177B"/>
    <w:rsid w:val="00BE661E"/>
    <w:rsid w:val="00C05194"/>
    <w:rsid w:val="00C12594"/>
    <w:rsid w:val="00C20953"/>
    <w:rsid w:val="00C25539"/>
    <w:rsid w:val="00C25A89"/>
    <w:rsid w:val="00C267C6"/>
    <w:rsid w:val="00C34640"/>
    <w:rsid w:val="00C3755A"/>
    <w:rsid w:val="00C42B85"/>
    <w:rsid w:val="00C42E25"/>
    <w:rsid w:val="00C466A3"/>
    <w:rsid w:val="00C50570"/>
    <w:rsid w:val="00C533E9"/>
    <w:rsid w:val="00C55E47"/>
    <w:rsid w:val="00C5635F"/>
    <w:rsid w:val="00C61179"/>
    <w:rsid w:val="00C64707"/>
    <w:rsid w:val="00C705CF"/>
    <w:rsid w:val="00C70663"/>
    <w:rsid w:val="00C741E0"/>
    <w:rsid w:val="00C757FA"/>
    <w:rsid w:val="00C7690E"/>
    <w:rsid w:val="00C80874"/>
    <w:rsid w:val="00C86060"/>
    <w:rsid w:val="00C90A70"/>
    <w:rsid w:val="00C914E2"/>
    <w:rsid w:val="00C966A5"/>
    <w:rsid w:val="00C9684E"/>
    <w:rsid w:val="00C96A3F"/>
    <w:rsid w:val="00C96BFD"/>
    <w:rsid w:val="00C9788F"/>
    <w:rsid w:val="00CA61FD"/>
    <w:rsid w:val="00CB2914"/>
    <w:rsid w:val="00CB7D3A"/>
    <w:rsid w:val="00CC0616"/>
    <w:rsid w:val="00CC0B6A"/>
    <w:rsid w:val="00CC42CC"/>
    <w:rsid w:val="00CC4EE2"/>
    <w:rsid w:val="00CD4B7A"/>
    <w:rsid w:val="00CE028A"/>
    <w:rsid w:val="00CE06F7"/>
    <w:rsid w:val="00CE5723"/>
    <w:rsid w:val="00CF509C"/>
    <w:rsid w:val="00D03A6E"/>
    <w:rsid w:val="00D04910"/>
    <w:rsid w:val="00D13E71"/>
    <w:rsid w:val="00D15217"/>
    <w:rsid w:val="00D16CFA"/>
    <w:rsid w:val="00D260A7"/>
    <w:rsid w:val="00D27946"/>
    <w:rsid w:val="00D30CB2"/>
    <w:rsid w:val="00D319DD"/>
    <w:rsid w:val="00D32802"/>
    <w:rsid w:val="00D3364D"/>
    <w:rsid w:val="00D34FDF"/>
    <w:rsid w:val="00D376AE"/>
    <w:rsid w:val="00D42B61"/>
    <w:rsid w:val="00D4424A"/>
    <w:rsid w:val="00D44EB1"/>
    <w:rsid w:val="00D45AC5"/>
    <w:rsid w:val="00D51EBE"/>
    <w:rsid w:val="00D549AC"/>
    <w:rsid w:val="00D563BA"/>
    <w:rsid w:val="00D570E8"/>
    <w:rsid w:val="00D61ED1"/>
    <w:rsid w:val="00D75FCA"/>
    <w:rsid w:val="00D777F2"/>
    <w:rsid w:val="00D81A7F"/>
    <w:rsid w:val="00D84914"/>
    <w:rsid w:val="00D86594"/>
    <w:rsid w:val="00D86863"/>
    <w:rsid w:val="00D87625"/>
    <w:rsid w:val="00D91D73"/>
    <w:rsid w:val="00D9781B"/>
    <w:rsid w:val="00DA2D53"/>
    <w:rsid w:val="00DA56C8"/>
    <w:rsid w:val="00DB28D4"/>
    <w:rsid w:val="00DB4584"/>
    <w:rsid w:val="00DC0227"/>
    <w:rsid w:val="00DC1D35"/>
    <w:rsid w:val="00DC4515"/>
    <w:rsid w:val="00DD3C02"/>
    <w:rsid w:val="00DD696F"/>
    <w:rsid w:val="00DE00F4"/>
    <w:rsid w:val="00DE0893"/>
    <w:rsid w:val="00DE5DC8"/>
    <w:rsid w:val="00DE736F"/>
    <w:rsid w:val="00DF29CF"/>
    <w:rsid w:val="00DF7675"/>
    <w:rsid w:val="00DF7F52"/>
    <w:rsid w:val="00E00FFE"/>
    <w:rsid w:val="00E02DEC"/>
    <w:rsid w:val="00E03956"/>
    <w:rsid w:val="00E15AAA"/>
    <w:rsid w:val="00E16D30"/>
    <w:rsid w:val="00E20935"/>
    <w:rsid w:val="00E21825"/>
    <w:rsid w:val="00E2211D"/>
    <w:rsid w:val="00E225C9"/>
    <w:rsid w:val="00E24366"/>
    <w:rsid w:val="00E24460"/>
    <w:rsid w:val="00E32496"/>
    <w:rsid w:val="00E34FFC"/>
    <w:rsid w:val="00E368FA"/>
    <w:rsid w:val="00E476AD"/>
    <w:rsid w:val="00E63808"/>
    <w:rsid w:val="00E63F03"/>
    <w:rsid w:val="00E8148C"/>
    <w:rsid w:val="00E87368"/>
    <w:rsid w:val="00E92191"/>
    <w:rsid w:val="00EA2347"/>
    <w:rsid w:val="00EA2D65"/>
    <w:rsid w:val="00EA3CEA"/>
    <w:rsid w:val="00EA49E3"/>
    <w:rsid w:val="00EB2D33"/>
    <w:rsid w:val="00EB623D"/>
    <w:rsid w:val="00EC4E0F"/>
    <w:rsid w:val="00EC6CFC"/>
    <w:rsid w:val="00EC6DBD"/>
    <w:rsid w:val="00ED228F"/>
    <w:rsid w:val="00ED4072"/>
    <w:rsid w:val="00EE3639"/>
    <w:rsid w:val="00EE471C"/>
    <w:rsid w:val="00EF1B54"/>
    <w:rsid w:val="00EF4CD2"/>
    <w:rsid w:val="00F00AEF"/>
    <w:rsid w:val="00F01F7E"/>
    <w:rsid w:val="00F0456D"/>
    <w:rsid w:val="00F06BE5"/>
    <w:rsid w:val="00F138C2"/>
    <w:rsid w:val="00F140DD"/>
    <w:rsid w:val="00F22AB6"/>
    <w:rsid w:val="00F238EA"/>
    <w:rsid w:val="00F25D85"/>
    <w:rsid w:val="00F26586"/>
    <w:rsid w:val="00F26A3F"/>
    <w:rsid w:val="00F335A5"/>
    <w:rsid w:val="00F35E8C"/>
    <w:rsid w:val="00F35FDD"/>
    <w:rsid w:val="00F36A4D"/>
    <w:rsid w:val="00F42627"/>
    <w:rsid w:val="00F45607"/>
    <w:rsid w:val="00F51A07"/>
    <w:rsid w:val="00F52A38"/>
    <w:rsid w:val="00F5503B"/>
    <w:rsid w:val="00F55688"/>
    <w:rsid w:val="00F5760B"/>
    <w:rsid w:val="00F62EDE"/>
    <w:rsid w:val="00F632F6"/>
    <w:rsid w:val="00F63623"/>
    <w:rsid w:val="00F63E23"/>
    <w:rsid w:val="00F666E3"/>
    <w:rsid w:val="00F67578"/>
    <w:rsid w:val="00F67A44"/>
    <w:rsid w:val="00F708F8"/>
    <w:rsid w:val="00F72441"/>
    <w:rsid w:val="00F75CF3"/>
    <w:rsid w:val="00F802A6"/>
    <w:rsid w:val="00F812E7"/>
    <w:rsid w:val="00F92CC7"/>
    <w:rsid w:val="00F93369"/>
    <w:rsid w:val="00F94872"/>
    <w:rsid w:val="00F95AB1"/>
    <w:rsid w:val="00FA4023"/>
    <w:rsid w:val="00FA6F08"/>
    <w:rsid w:val="00FB1996"/>
    <w:rsid w:val="00FB57F6"/>
    <w:rsid w:val="00FC09E6"/>
    <w:rsid w:val="00FC2A0B"/>
    <w:rsid w:val="00FC3647"/>
    <w:rsid w:val="00FC3990"/>
    <w:rsid w:val="00FC75C6"/>
    <w:rsid w:val="00FC7FC2"/>
    <w:rsid w:val="00FD08EC"/>
    <w:rsid w:val="00FD7369"/>
    <w:rsid w:val="00FD7753"/>
    <w:rsid w:val="00FE2F4F"/>
    <w:rsid w:val="00FE3DFA"/>
    <w:rsid w:val="00FE3DFE"/>
    <w:rsid w:val="00FE5429"/>
    <w:rsid w:val="00FF12CF"/>
    <w:rsid w:val="00FF1747"/>
    <w:rsid w:val="00FF5363"/>
    <w:rsid w:val="00FF76FC"/>
    <w:rsid w:val="00FF7FDB"/>
    <w:rsid w:val="108E8490"/>
    <w:rsid w:val="346980B6"/>
    <w:rsid w:val="44CBF761"/>
    <w:rsid w:val="6AFBA66C"/>
    <w:rsid w:val="7797BE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F889E9"/>
  <w15:docId w15:val="{C8FB0464-BD6D-4E76-99AE-6400277F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12D"/>
    <w:pPr>
      <w:spacing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9399B"/>
    <w:pPr>
      <w:keepNext/>
      <w:keepLines/>
      <w:shd w:val="clear" w:color="auto" w:fill="FFFFFF"/>
      <w:spacing w:after="240"/>
      <w:outlineLvl w:val="0"/>
    </w:pPr>
    <w:rPr>
      <w:rFonts w:cs="Arial"/>
      <w:b/>
      <w:bCs/>
      <w:szCs w:val="24"/>
    </w:rPr>
  </w:style>
  <w:style w:type="paragraph" w:styleId="Heading2">
    <w:name w:val="heading 2"/>
    <w:basedOn w:val="Normal"/>
    <w:next w:val="Normal"/>
    <w:link w:val="Heading2Char"/>
    <w:uiPriority w:val="9"/>
    <w:unhideWhenUsed/>
    <w:qFormat/>
    <w:rsid w:val="008B4F03"/>
    <w:pPr>
      <w:keepNext/>
      <w:keepLines/>
      <w:shd w:val="clear" w:color="auto" w:fill="FFFFFF"/>
      <w:spacing w:after="240"/>
      <w:outlineLvl w:val="1"/>
    </w:pPr>
    <w:rPr>
      <w:rFonts w:cs="Arial"/>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Hyperlink">
    <w:name w:val="Hyperlink"/>
    <w:basedOn w:val="DefaultParagraphFont"/>
    <w:uiPriority w:val="99"/>
    <w:unhideWhenUsed/>
    <w:rsid w:val="005926D2"/>
    <w:rPr>
      <w:color w:val="0563C1" w:themeColor="hyperlink"/>
      <w:u w:val="single"/>
    </w:rPr>
  </w:style>
  <w:style w:type="character" w:styleId="FollowedHyperlink">
    <w:name w:val="FollowedHyperlink"/>
    <w:basedOn w:val="DefaultParagraphFont"/>
    <w:uiPriority w:val="99"/>
    <w:semiHidden/>
    <w:unhideWhenUsed/>
    <w:rsid w:val="005926D2"/>
    <w:rPr>
      <w:color w:val="954F72" w:themeColor="followedHyperlink"/>
      <w:u w:val="single"/>
    </w:rPr>
  </w:style>
  <w:style w:type="paragraph" w:styleId="ListParagraph">
    <w:name w:val="List Paragraph"/>
    <w:basedOn w:val="Normal"/>
    <w:uiPriority w:val="34"/>
    <w:qFormat/>
    <w:rsid w:val="00016140"/>
    <w:pPr>
      <w:numPr>
        <w:numId w:val="23"/>
      </w:numPr>
    </w:pPr>
  </w:style>
  <w:style w:type="character" w:styleId="CommentReference">
    <w:name w:val="annotation reference"/>
    <w:basedOn w:val="DefaultParagraphFont"/>
    <w:uiPriority w:val="99"/>
    <w:semiHidden/>
    <w:unhideWhenUsed/>
    <w:rsid w:val="009A62C4"/>
    <w:rPr>
      <w:sz w:val="16"/>
      <w:szCs w:val="16"/>
    </w:rPr>
  </w:style>
  <w:style w:type="paragraph" w:styleId="CommentText">
    <w:name w:val="annotation text"/>
    <w:basedOn w:val="Normal"/>
    <w:link w:val="CommentTextChar"/>
    <w:uiPriority w:val="99"/>
    <w:unhideWhenUsed/>
    <w:rsid w:val="009A62C4"/>
    <w:rPr>
      <w:sz w:val="20"/>
    </w:rPr>
  </w:style>
  <w:style w:type="character" w:customStyle="1" w:styleId="CommentTextChar">
    <w:name w:val="Comment Text Char"/>
    <w:basedOn w:val="DefaultParagraphFont"/>
    <w:link w:val="CommentText"/>
    <w:uiPriority w:val="99"/>
    <w:rsid w:val="009A62C4"/>
    <w:rPr>
      <w:sz w:val="20"/>
      <w:szCs w:val="20"/>
    </w:rPr>
  </w:style>
  <w:style w:type="paragraph" w:styleId="CommentSubject">
    <w:name w:val="annotation subject"/>
    <w:basedOn w:val="CommentText"/>
    <w:next w:val="CommentText"/>
    <w:link w:val="CommentSubjectChar"/>
    <w:uiPriority w:val="99"/>
    <w:semiHidden/>
    <w:unhideWhenUsed/>
    <w:rsid w:val="009A62C4"/>
    <w:rPr>
      <w:b/>
      <w:bCs/>
    </w:rPr>
  </w:style>
  <w:style w:type="character" w:customStyle="1" w:styleId="CommentSubjectChar">
    <w:name w:val="Comment Subject Char"/>
    <w:basedOn w:val="CommentTextChar"/>
    <w:link w:val="CommentSubject"/>
    <w:uiPriority w:val="99"/>
    <w:semiHidden/>
    <w:rsid w:val="009A62C4"/>
    <w:rPr>
      <w:b/>
      <w:bCs/>
      <w:sz w:val="20"/>
      <w:szCs w:val="20"/>
    </w:rPr>
  </w:style>
  <w:style w:type="paragraph" w:styleId="BalloonText">
    <w:name w:val="Balloon Text"/>
    <w:basedOn w:val="Normal"/>
    <w:link w:val="BalloonTextChar"/>
    <w:uiPriority w:val="99"/>
    <w:semiHidden/>
    <w:unhideWhenUsed/>
    <w:rsid w:val="009A62C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2C4"/>
    <w:rPr>
      <w:rFonts w:ascii="Segoe UI" w:hAnsi="Segoe UI" w:cs="Segoe UI"/>
      <w:sz w:val="18"/>
      <w:szCs w:val="18"/>
    </w:rPr>
  </w:style>
  <w:style w:type="table" w:styleId="TableGrid">
    <w:name w:val="Table Grid"/>
    <w:basedOn w:val="TableNormal"/>
    <w:uiPriority w:val="59"/>
    <w:rsid w:val="009A6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0B44FD"/>
    <w:pPr>
      <w:spacing w:after="120"/>
      <w:ind w:left="360"/>
    </w:pPr>
  </w:style>
  <w:style w:type="character" w:customStyle="1" w:styleId="BodyTextIndentChar">
    <w:name w:val="Body Text Indent Char"/>
    <w:basedOn w:val="DefaultParagraphFont"/>
    <w:link w:val="BodyTextIndent"/>
    <w:uiPriority w:val="99"/>
    <w:rsid w:val="000B44FD"/>
  </w:style>
  <w:style w:type="paragraph" w:styleId="FootnoteText">
    <w:name w:val="footnote text"/>
    <w:basedOn w:val="Normal"/>
    <w:link w:val="FootnoteTextChar"/>
    <w:uiPriority w:val="99"/>
    <w:unhideWhenUsed/>
    <w:rsid w:val="0093787E"/>
    <w:pPr>
      <w:spacing w:after="0"/>
    </w:pPr>
    <w:rPr>
      <w:rFonts w:ascii="Times New Roman" w:hAnsi="Times New Roman"/>
      <w:sz w:val="20"/>
    </w:rPr>
  </w:style>
  <w:style w:type="character" w:customStyle="1" w:styleId="FootnoteTextChar">
    <w:name w:val="Footnote Text Char"/>
    <w:basedOn w:val="DefaultParagraphFont"/>
    <w:link w:val="FootnoteText"/>
    <w:uiPriority w:val="99"/>
    <w:rsid w:val="0093787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787E"/>
    <w:rPr>
      <w:vertAlign w:val="superscript"/>
    </w:rPr>
  </w:style>
  <w:style w:type="paragraph" w:styleId="NoSpacing">
    <w:name w:val="No Spacing"/>
    <w:uiPriority w:val="1"/>
    <w:qFormat/>
    <w:rsid w:val="0030330D"/>
    <w:pPr>
      <w:spacing w:after="0" w:line="240" w:lineRule="auto"/>
    </w:pPr>
  </w:style>
  <w:style w:type="paragraph" w:styleId="Revision">
    <w:name w:val="Revision"/>
    <w:hidden/>
    <w:uiPriority w:val="99"/>
    <w:semiHidden/>
    <w:rsid w:val="00EF1B54"/>
    <w:pPr>
      <w:spacing w:after="0" w:line="240" w:lineRule="auto"/>
    </w:pPr>
  </w:style>
  <w:style w:type="paragraph" w:styleId="Header">
    <w:name w:val="header"/>
    <w:basedOn w:val="Normal"/>
    <w:link w:val="HeaderChar"/>
    <w:uiPriority w:val="99"/>
    <w:unhideWhenUsed/>
    <w:rsid w:val="00574004"/>
    <w:pPr>
      <w:tabs>
        <w:tab w:val="center" w:pos="4680"/>
        <w:tab w:val="right" w:pos="9360"/>
      </w:tabs>
      <w:spacing w:after="0"/>
    </w:pPr>
  </w:style>
  <w:style w:type="character" w:customStyle="1" w:styleId="HeaderChar">
    <w:name w:val="Header Char"/>
    <w:basedOn w:val="DefaultParagraphFont"/>
    <w:link w:val="Header"/>
    <w:uiPriority w:val="99"/>
    <w:rsid w:val="00574004"/>
  </w:style>
  <w:style w:type="paragraph" w:styleId="Footer">
    <w:name w:val="footer"/>
    <w:basedOn w:val="Normal"/>
    <w:link w:val="FooterChar"/>
    <w:uiPriority w:val="99"/>
    <w:unhideWhenUsed/>
    <w:rsid w:val="00574004"/>
    <w:pPr>
      <w:tabs>
        <w:tab w:val="center" w:pos="4680"/>
        <w:tab w:val="right" w:pos="9360"/>
      </w:tabs>
      <w:spacing w:after="0"/>
    </w:pPr>
  </w:style>
  <w:style w:type="character" w:customStyle="1" w:styleId="FooterChar">
    <w:name w:val="Footer Char"/>
    <w:basedOn w:val="DefaultParagraphFont"/>
    <w:link w:val="Footer"/>
    <w:uiPriority w:val="99"/>
    <w:rsid w:val="00574004"/>
  </w:style>
  <w:style w:type="character" w:customStyle="1" w:styleId="Heading1Char">
    <w:name w:val="Heading 1 Char"/>
    <w:basedOn w:val="DefaultParagraphFont"/>
    <w:link w:val="Heading1"/>
    <w:uiPriority w:val="9"/>
    <w:rsid w:val="0049399B"/>
    <w:rPr>
      <w:rFonts w:ascii="Arial" w:eastAsia="Times New Roman" w:hAnsi="Arial" w:cs="Arial"/>
      <w:b/>
      <w:bCs/>
      <w:sz w:val="24"/>
      <w:szCs w:val="24"/>
      <w:shd w:val="clear" w:color="auto" w:fill="FFFFFF"/>
    </w:rPr>
  </w:style>
  <w:style w:type="character" w:customStyle="1" w:styleId="Heading2Char">
    <w:name w:val="Heading 2 Char"/>
    <w:basedOn w:val="DefaultParagraphFont"/>
    <w:link w:val="Heading2"/>
    <w:uiPriority w:val="9"/>
    <w:rsid w:val="008B4F03"/>
    <w:rPr>
      <w:rFonts w:ascii="Arial" w:eastAsia="Times New Roman" w:hAnsi="Arial" w:cs="Arial"/>
      <w:sz w:val="24"/>
      <w:szCs w:val="24"/>
      <w:u w:val="single"/>
      <w:shd w:val="clear" w:color="auto" w:fill="FFFFFF"/>
    </w:rPr>
  </w:style>
  <w:style w:type="paragraph" w:styleId="Title">
    <w:name w:val="Title"/>
    <w:basedOn w:val="Normal"/>
    <w:next w:val="Normal"/>
    <w:link w:val="TitleChar"/>
    <w:uiPriority w:val="10"/>
    <w:qFormat/>
    <w:rsid w:val="006B312D"/>
    <w:pPr>
      <w:shd w:val="clear" w:color="auto" w:fill="FFFFFF"/>
      <w:spacing w:after="240"/>
      <w:contextualSpacing/>
      <w:jc w:val="center"/>
    </w:pPr>
    <w:rPr>
      <w:rFonts w:cs="Arial"/>
      <w:b/>
      <w:bCs/>
      <w:szCs w:val="24"/>
    </w:rPr>
  </w:style>
  <w:style w:type="character" w:customStyle="1" w:styleId="TitleChar">
    <w:name w:val="Title Char"/>
    <w:basedOn w:val="DefaultParagraphFont"/>
    <w:link w:val="Title"/>
    <w:uiPriority w:val="10"/>
    <w:rsid w:val="006B312D"/>
    <w:rPr>
      <w:rFonts w:ascii="Arial" w:eastAsia="Times New Roman" w:hAnsi="Arial" w:cs="Arial"/>
      <w:b/>
      <w:bCs/>
      <w:sz w:val="24"/>
      <w:szCs w:val="24"/>
      <w:shd w:val="clear" w:color="auto" w:fill="FFFFFF"/>
    </w:rPr>
  </w:style>
  <w:style w:type="paragraph" w:styleId="Caption">
    <w:name w:val="caption"/>
    <w:basedOn w:val="Normal"/>
    <w:next w:val="Normal"/>
    <w:uiPriority w:val="35"/>
    <w:unhideWhenUsed/>
    <w:qFormat/>
    <w:rsid w:val="00AE0464"/>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AC6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aa.gov/regulations_policies/advisory_circulars/index.cfm/go/document.information/documentid/1032386" TargetMode="External" /><Relationship Id="rId2" Type="http://schemas.openxmlformats.org/officeDocument/2006/relationships/hyperlink" Target="https://www.regulations.gov/comment/FAA-2025-0493-0002" TargetMode="External" /><Relationship Id="rId3" Type="http://schemas.openxmlformats.org/officeDocument/2006/relationships/hyperlink" Target="https://www.regulations.gov/comment/FAA-2025-0493-0003" TargetMode="External" /><Relationship Id="rId4" Type="http://schemas.openxmlformats.org/officeDocument/2006/relationships/hyperlink" Target="https://data.bls.gov/oesprofile/" TargetMode="External" /><Relationship Id="rId5" Type="http://schemas.openxmlformats.org/officeDocument/2006/relationships/hyperlink" Target="https://www.faa.gov/jobs/working_here/benefits/pay/core_salary_with_conversion.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61361ff-fdfd-44be-84c4-95c318605487" xsi:nil="true"/>
    <lcf76f155ced4ddcb4097134ff3c332f xmlns="7375a2a2-a695-49c0-aba6-2f332e9ab8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B98B3C0C1AF6438991A347509B5DF2" ma:contentTypeVersion="16" ma:contentTypeDescription="Create a new document." ma:contentTypeScope="" ma:versionID="ed7e48985aefacee7fb240aa7940ff3d">
  <xsd:schema xmlns:xsd="http://www.w3.org/2001/XMLSchema" xmlns:xs="http://www.w3.org/2001/XMLSchema" xmlns:p="http://schemas.microsoft.com/office/2006/metadata/properties" xmlns:ns2="7375a2a2-a695-49c0-aba6-2f332e9ab8e5" xmlns:ns3="861361ff-fdfd-44be-84c4-95c318605487" targetNamespace="http://schemas.microsoft.com/office/2006/metadata/properties" ma:root="true" ma:fieldsID="5909b969338dca74ebe7b3364890c994" ns2:_="" ns3:_="">
    <xsd:import namespace="7375a2a2-a695-49c0-aba6-2f332e9ab8e5"/>
    <xsd:import namespace="861361ff-fdfd-44be-84c4-95c3186054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5a2a2-a695-49c0-aba6-2f332e9a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361ff-fdfd-44be-84c4-95c3186054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d88f2ae-c3c2-492d-acac-6f92ab1dde4d}" ma:internalName="TaxCatchAll" ma:showField="CatchAllData" ma:web="861361ff-fdfd-44be-84c4-95c318605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B6B56-3490-4307-B536-F8BFAA28E923}">
  <ds:schemaRefs>
    <ds:schemaRef ds:uri="http://schemas.openxmlformats.org/officeDocument/2006/bibliography"/>
  </ds:schemaRefs>
</ds:datastoreItem>
</file>

<file path=customXml/itemProps2.xml><?xml version="1.0" encoding="utf-8"?>
<ds:datastoreItem xmlns:ds="http://schemas.openxmlformats.org/officeDocument/2006/customXml" ds:itemID="{26D6B913-F0D2-494D-9C57-2DA3EE87CDF8}">
  <ds:schemaRefs>
    <ds:schemaRef ds:uri="http://schemas.microsoft.com/office/2006/documentManagement/types"/>
    <ds:schemaRef ds:uri="http://schemas.microsoft.com/office/infopath/2007/PartnerControls"/>
    <ds:schemaRef ds:uri="http://purl.org/dc/terms/"/>
    <ds:schemaRef ds:uri="7375a2a2-a695-49c0-aba6-2f332e9ab8e5"/>
    <ds:schemaRef ds:uri="http://schemas.microsoft.com/office/2006/metadata/properties"/>
    <ds:schemaRef ds:uri="http://schemas.openxmlformats.org/package/2006/metadata/core-properties"/>
    <ds:schemaRef ds:uri="http://purl.org/dc/elements/1.1/"/>
    <ds:schemaRef ds:uri="861361ff-fdfd-44be-84c4-95c318605487"/>
    <ds:schemaRef ds:uri="http://www.w3.org/XML/1998/namespace"/>
    <ds:schemaRef ds:uri="http://purl.org/dc/dcmitype/"/>
  </ds:schemaRefs>
</ds:datastoreItem>
</file>

<file path=customXml/itemProps3.xml><?xml version="1.0" encoding="utf-8"?>
<ds:datastoreItem xmlns:ds="http://schemas.openxmlformats.org/officeDocument/2006/customXml" ds:itemID="{78F10027-C850-43FB-9237-C8B31AED74EF}">
  <ds:schemaRefs>
    <ds:schemaRef ds:uri="http://schemas.microsoft.com/sharepoint/v3/contenttype/forms"/>
  </ds:schemaRefs>
</ds:datastoreItem>
</file>

<file path=customXml/itemProps4.xml><?xml version="1.0" encoding="utf-8"?>
<ds:datastoreItem xmlns:ds="http://schemas.openxmlformats.org/officeDocument/2006/customXml" ds:itemID="{3FBE2BF1-37AB-47F3-AD42-552E83439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5a2a2-a695-49c0-aba6-2f332e9ab8e5"/>
    <ds:schemaRef ds:uri="861361ff-fdfd-44be-84c4-95c318605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4135</Words>
  <Characters>23216</Characters>
  <Application>Microsoft Office Word</Application>
  <DocSecurity>0</DocSecurity>
  <Lines>193</Lines>
  <Paragraphs>54</Paragraphs>
  <ScaleCrop>false</ScaleCrop>
  <Company>FAA</Company>
  <LinksUpToDate>false</LinksUpToDate>
  <CharactersWithSpaces>27297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Geller, Shelby H (FAA)</cp:lastModifiedBy>
  <cp:revision>3</cp:revision>
  <cp:lastPrinted>2019-05-08T13:29:00Z</cp:lastPrinted>
  <dcterms:created xsi:type="dcterms:W3CDTF">2025-12-01T18:42:00Z</dcterms:created>
  <dcterms:modified xsi:type="dcterms:W3CDTF">2025-12-09T19:48:00Z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0x01010043B98B3C0C1AF6438991A347509B5DF2</vt:lpwstr>
  </property>
  <property fmtid="{D5CDD505-2E9C-101B-9397-08002B2CF9AE}" pid="3" name="GrammarlyDocumentId">
    <vt:lpwstr>1b7ce4b1-a64c-4d2b-b4b2-ed99a5bdfa21</vt:lpwstr>
  </property>
  <property fmtid="{D5CDD505-2E9C-101B-9397-08002B2CF9AE}" pid="4" name="MediaServiceImageTags">
    <vt:lpwstr/>
  </property>
</Properties>
</file>