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371E" w:rsidRPr="00E4122D" w:rsidP="00930583" w14:paraId="7984ED8F" w14:textId="77777777">
      <w:pPr>
        <w:pStyle w:val="Title"/>
        <w:spacing w:line="240" w:lineRule="auto"/>
        <w:rPr>
          <w:sz w:val="28"/>
          <w:szCs w:val="28"/>
        </w:rPr>
      </w:pPr>
      <w:r w:rsidRPr="00E4122D">
        <w:rPr>
          <w:sz w:val="28"/>
          <w:szCs w:val="28"/>
        </w:rPr>
        <w:t>Department of Transportation</w:t>
      </w:r>
    </w:p>
    <w:p w:rsidR="00A7693F" w:rsidRPr="00E4122D" w:rsidP="00930583" w14:paraId="7B9A6DE6" w14:textId="372DAE8E">
      <w:pPr>
        <w:pStyle w:val="Title"/>
        <w:spacing w:line="240" w:lineRule="auto"/>
        <w:rPr>
          <w:sz w:val="28"/>
          <w:szCs w:val="28"/>
        </w:rPr>
      </w:pPr>
      <w:r w:rsidRPr="00E4122D">
        <w:rPr>
          <w:sz w:val="28"/>
          <w:szCs w:val="28"/>
        </w:rPr>
        <w:t>Federal Motor Carrier Safety Administration</w:t>
      </w:r>
    </w:p>
    <w:p w:rsidR="00E4122D" w:rsidRPr="005F5FF9" w:rsidP="00930583" w14:paraId="53E74E93" w14:textId="77777777">
      <w:pPr>
        <w:pStyle w:val="Title"/>
        <w:spacing w:line="240" w:lineRule="auto"/>
      </w:pPr>
    </w:p>
    <w:p w:rsidR="009F03C8" w:rsidRPr="00EA715A" w:rsidP="00E4122D" w14:paraId="665DD028" w14:textId="38D2FF35">
      <w:pPr>
        <w:pStyle w:val="Title"/>
        <w:spacing w:line="240" w:lineRule="auto"/>
        <w:rPr>
          <w:u w:val="single"/>
        </w:rPr>
      </w:pPr>
      <w:r w:rsidRPr="00EA715A">
        <w:rPr>
          <w:u w:val="single"/>
        </w:rPr>
        <w:t>SUPPORTING STATEMENT</w:t>
      </w:r>
    </w:p>
    <w:p w:rsidR="009F03C8" w:rsidP="005948D8" w14:paraId="380776C2" w14:textId="57225070">
      <w:pPr>
        <w:pStyle w:val="Title"/>
        <w:spacing w:line="240" w:lineRule="auto"/>
      </w:pPr>
      <w:r>
        <w:t>“</w:t>
      </w:r>
      <w:r w:rsidRPr="005F5FF9" w:rsidR="0086371E">
        <w:t>M</w:t>
      </w:r>
      <w:r w:rsidRPr="005F5FF9" w:rsidR="00AD1AD8">
        <w:t>otor Carrier Identification Report</w:t>
      </w:r>
      <w:r>
        <w:t>” ICR</w:t>
      </w:r>
    </w:p>
    <w:p w:rsidR="00310829" w:rsidP="005948D8" w14:paraId="3C0E8F8A" w14:textId="5465DE10">
      <w:pPr>
        <w:pStyle w:val="Title"/>
        <w:spacing w:line="240" w:lineRule="auto"/>
      </w:pPr>
      <w:r>
        <w:t xml:space="preserve">OMB </w:t>
      </w:r>
      <w:r w:rsidR="004E2D80">
        <w:t>Control</w:t>
      </w:r>
      <w:r>
        <w:t xml:space="preserve"> N</w:t>
      </w:r>
      <w:r w:rsidR="004E2D80">
        <w:t xml:space="preserve">o. </w:t>
      </w:r>
      <w:r>
        <w:t>2126-0013</w:t>
      </w:r>
    </w:p>
    <w:p w:rsidR="00823A5F" w:rsidRPr="005F5FF9" w:rsidP="005948D8" w14:paraId="72D6E080" w14:textId="77777777">
      <w:pPr>
        <w:pStyle w:val="Title"/>
        <w:spacing w:line="240" w:lineRule="auto"/>
        <w:rPr>
          <w:b w:val="0"/>
        </w:rPr>
      </w:pPr>
    </w:p>
    <w:p w:rsidR="00310829" w:rsidP="00804876" w14:paraId="70B6242B" w14:textId="77777777">
      <w:pPr>
        <w:rPr>
          <w:sz w:val="24"/>
        </w:rPr>
      </w:pPr>
    </w:p>
    <w:p w:rsidR="00804876" w:rsidP="00804876" w14:paraId="4D736E7A" w14:textId="77777777">
      <w:pPr>
        <w:rPr>
          <w:b/>
          <w:sz w:val="24"/>
          <w:u w:val="single"/>
        </w:rPr>
      </w:pPr>
      <w:r w:rsidRPr="00C9162C">
        <w:rPr>
          <w:b/>
          <w:sz w:val="24"/>
          <w:u w:val="single"/>
        </w:rPr>
        <w:t>SUMMARY</w:t>
      </w:r>
    </w:p>
    <w:p w:rsidR="00E4122D" w:rsidP="00804876" w14:paraId="29F75F81" w14:textId="77777777">
      <w:pPr>
        <w:rPr>
          <w:b/>
          <w:sz w:val="24"/>
          <w:u w:val="single"/>
        </w:rPr>
      </w:pPr>
    </w:p>
    <w:p w:rsidR="00973518" w:rsidRPr="00084EB7" w:rsidP="00084EB7" w14:paraId="50985018" w14:textId="75AD10A4">
      <w:pPr>
        <w:widowControl/>
        <w:numPr>
          <w:ilvl w:val="0"/>
          <w:numId w:val="1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Pr>
          <w:sz w:val="24"/>
        </w:rPr>
      </w:pPr>
      <w:r>
        <w:rPr>
          <w:sz w:val="24"/>
        </w:rPr>
        <w:t>This ICR request is for a renewal of a currently approved information collection and includes updated estimates.</w:t>
      </w:r>
    </w:p>
    <w:p w:rsidR="00090E59" w:rsidRPr="00084EB7" w:rsidP="00084EB7" w14:paraId="1933AEB8" w14:textId="50881EEA">
      <w:pPr>
        <w:widowControl/>
        <w:numPr>
          <w:ilvl w:val="0"/>
          <w:numId w:val="11"/>
        </w:numPr>
        <w:tabs>
          <w:tab w:val="left" w:pos="360"/>
        </w:tabs>
        <w:autoSpaceDE/>
        <w:autoSpaceDN/>
        <w:adjustRightInd/>
        <w:ind w:left="360"/>
        <w:rPr>
          <w:sz w:val="24"/>
          <w:u w:val="single"/>
        </w:rPr>
      </w:pPr>
      <w:r w:rsidRPr="004D643D">
        <w:rPr>
          <w:sz w:val="24"/>
        </w:rPr>
        <w:t xml:space="preserve">This ICR </w:t>
      </w:r>
      <w:r w:rsidR="00F541EB">
        <w:rPr>
          <w:sz w:val="24"/>
        </w:rPr>
        <w:t>renewal consists of</w:t>
      </w:r>
      <w:r w:rsidRPr="004D643D">
        <w:rPr>
          <w:sz w:val="24"/>
        </w:rPr>
        <w:t xml:space="preserve"> </w:t>
      </w:r>
      <w:r w:rsidRPr="00147525" w:rsidR="00147525">
        <w:rPr>
          <w:sz w:val="24"/>
        </w:rPr>
        <w:t>572,983</w:t>
      </w:r>
      <w:r w:rsidR="00147525">
        <w:rPr>
          <w:sz w:val="24"/>
        </w:rPr>
        <w:t xml:space="preserve"> </w:t>
      </w:r>
      <w:r w:rsidRPr="004D643D">
        <w:rPr>
          <w:sz w:val="24"/>
        </w:rPr>
        <w:t xml:space="preserve">respondents, </w:t>
      </w:r>
      <w:r w:rsidRPr="00A064C1" w:rsidR="00A064C1">
        <w:rPr>
          <w:sz w:val="24"/>
        </w:rPr>
        <w:t>941,296</w:t>
      </w:r>
      <w:r w:rsidR="00A064C1">
        <w:rPr>
          <w:sz w:val="24"/>
        </w:rPr>
        <w:t xml:space="preserve"> </w:t>
      </w:r>
      <w:r w:rsidRPr="004D643D">
        <w:rPr>
          <w:sz w:val="24"/>
        </w:rPr>
        <w:t xml:space="preserve">responses, </w:t>
      </w:r>
      <w:r w:rsidRPr="00A064C1" w:rsidR="00A064C1">
        <w:rPr>
          <w:sz w:val="24"/>
        </w:rPr>
        <w:t>160,169</w:t>
      </w:r>
      <w:r w:rsidR="00A064C1">
        <w:rPr>
          <w:sz w:val="24"/>
        </w:rPr>
        <w:t xml:space="preserve"> </w:t>
      </w:r>
      <w:r w:rsidRPr="004D643D">
        <w:rPr>
          <w:sz w:val="24"/>
        </w:rPr>
        <w:t xml:space="preserve">annual burden hours and a total </w:t>
      </w:r>
      <w:r w:rsidR="004D7FF8">
        <w:rPr>
          <w:sz w:val="24"/>
        </w:rPr>
        <w:t xml:space="preserve">wage-related </w:t>
      </w:r>
      <w:r w:rsidRPr="004D643D">
        <w:rPr>
          <w:sz w:val="24"/>
        </w:rPr>
        <w:t xml:space="preserve">annual burden cost of </w:t>
      </w:r>
      <w:r w:rsidRPr="00751DAB" w:rsidR="00751DAB">
        <w:rPr>
          <w:sz w:val="24"/>
        </w:rPr>
        <w:t>$6,878,435</w:t>
      </w:r>
      <w:r w:rsidRPr="004D643D">
        <w:rPr>
          <w:sz w:val="24"/>
        </w:rPr>
        <w:t xml:space="preserve">. </w:t>
      </w:r>
      <w:r w:rsidR="00CD0857">
        <w:rPr>
          <w:sz w:val="24"/>
        </w:rPr>
        <w:t>As explained in section 15, t</w:t>
      </w:r>
      <w:r w:rsidRPr="00B04092">
        <w:rPr>
          <w:sz w:val="24"/>
        </w:rPr>
        <w:t>h</w:t>
      </w:r>
      <w:r w:rsidR="00424256">
        <w:rPr>
          <w:sz w:val="24"/>
        </w:rPr>
        <w:t>ere is a</w:t>
      </w:r>
      <w:r w:rsidR="00751DAB">
        <w:rPr>
          <w:sz w:val="24"/>
        </w:rPr>
        <w:t xml:space="preserve">n increase of </w:t>
      </w:r>
      <w:r w:rsidRPr="00D8442C" w:rsidR="00D8442C">
        <w:rPr>
          <w:sz w:val="24"/>
        </w:rPr>
        <w:t>156,353</w:t>
      </w:r>
      <w:r w:rsidR="00D8442C">
        <w:rPr>
          <w:sz w:val="24"/>
        </w:rPr>
        <w:t xml:space="preserve"> </w:t>
      </w:r>
      <w:r w:rsidRPr="002F2243">
        <w:rPr>
          <w:sz w:val="24"/>
        </w:rPr>
        <w:t xml:space="preserve">in </w:t>
      </w:r>
      <w:r w:rsidR="004D7FF8">
        <w:rPr>
          <w:sz w:val="24"/>
        </w:rPr>
        <w:t xml:space="preserve">the number of </w:t>
      </w:r>
      <w:r w:rsidRPr="002F2243">
        <w:rPr>
          <w:sz w:val="24"/>
        </w:rPr>
        <w:t>respondent</w:t>
      </w:r>
      <w:r w:rsidR="004D7FF8">
        <w:rPr>
          <w:sz w:val="24"/>
        </w:rPr>
        <w:t>s</w:t>
      </w:r>
      <w:r w:rsidRPr="003A434C">
        <w:rPr>
          <w:sz w:val="24"/>
        </w:rPr>
        <w:t>, a</w:t>
      </w:r>
      <w:r w:rsidR="004D7FF8">
        <w:rPr>
          <w:sz w:val="24"/>
        </w:rPr>
        <w:t>n</w:t>
      </w:r>
      <w:r w:rsidRPr="003A434C">
        <w:rPr>
          <w:sz w:val="24"/>
        </w:rPr>
        <w:t xml:space="preserve"> increase </w:t>
      </w:r>
      <w:r w:rsidR="004D7FF8">
        <w:rPr>
          <w:sz w:val="24"/>
        </w:rPr>
        <w:t xml:space="preserve">of </w:t>
      </w:r>
      <w:r w:rsidRPr="00D8442C" w:rsidR="00D8442C">
        <w:rPr>
          <w:sz w:val="24"/>
        </w:rPr>
        <w:t>252,564</w:t>
      </w:r>
      <w:r w:rsidR="00D8442C">
        <w:rPr>
          <w:sz w:val="24"/>
        </w:rPr>
        <w:t xml:space="preserve"> </w:t>
      </w:r>
      <w:r w:rsidR="004D7FF8">
        <w:rPr>
          <w:sz w:val="24"/>
        </w:rPr>
        <w:t xml:space="preserve">in the number of </w:t>
      </w:r>
      <w:r w:rsidRPr="003A434C" w:rsidR="004D7FF8">
        <w:rPr>
          <w:sz w:val="24"/>
        </w:rPr>
        <w:t>responses</w:t>
      </w:r>
      <w:r w:rsidRPr="003A434C">
        <w:rPr>
          <w:sz w:val="24"/>
        </w:rPr>
        <w:t>, a</w:t>
      </w:r>
      <w:r w:rsidR="004D7FF8">
        <w:rPr>
          <w:sz w:val="24"/>
        </w:rPr>
        <w:t>nd a</w:t>
      </w:r>
      <w:r w:rsidRPr="003A434C">
        <w:rPr>
          <w:sz w:val="24"/>
        </w:rPr>
        <w:t xml:space="preserve"> </w:t>
      </w:r>
      <w:r w:rsidRPr="00D8442C" w:rsidR="00D8442C">
        <w:rPr>
          <w:sz w:val="24"/>
        </w:rPr>
        <w:t>44,097</w:t>
      </w:r>
      <w:r w:rsidR="00D8442C">
        <w:rPr>
          <w:sz w:val="24"/>
        </w:rPr>
        <w:t xml:space="preserve"> increase</w:t>
      </w:r>
      <w:r w:rsidRPr="003A434C">
        <w:rPr>
          <w:sz w:val="24"/>
        </w:rPr>
        <w:t xml:space="preserve"> in </w:t>
      </w:r>
      <w:r w:rsidR="004D7FF8">
        <w:rPr>
          <w:sz w:val="24"/>
        </w:rPr>
        <w:t xml:space="preserve">the </w:t>
      </w:r>
      <w:r w:rsidR="00F40D44">
        <w:rPr>
          <w:sz w:val="24"/>
        </w:rPr>
        <w:t xml:space="preserve">number </w:t>
      </w:r>
      <w:r w:rsidR="004D7FF8">
        <w:rPr>
          <w:sz w:val="24"/>
        </w:rPr>
        <w:t xml:space="preserve">of </w:t>
      </w:r>
      <w:r w:rsidRPr="003A434C">
        <w:rPr>
          <w:sz w:val="24"/>
        </w:rPr>
        <w:t>burden hours</w:t>
      </w:r>
      <w:r w:rsidR="00033D9B">
        <w:rPr>
          <w:sz w:val="24"/>
        </w:rPr>
        <w:t xml:space="preserve">. </w:t>
      </w:r>
      <w:r w:rsidR="00CE4137">
        <w:rPr>
          <w:sz w:val="24"/>
        </w:rPr>
        <w:t xml:space="preserve">These increases are </w:t>
      </w:r>
      <w:r w:rsidR="00CD0857">
        <w:rPr>
          <w:sz w:val="24"/>
        </w:rPr>
        <w:t xml:space="preserve">due to </w:t>
      </w:r>
      <w:r w:rsidR="00CE4137">
        <w:rPr>
          <w:sz w:val="24"/>
        </w:rPr>
        <w:t>an increase in the number of new filings and biennial updates for forms MCS-150, MCS-150B and MCS-150C</w:t>
      </w:r>
      <w:r>
        <w:rPr>
          <w:sz w:val="24"/>
        </w:rPr>
        <w:t>.</w:t>
      </w:r>
    </w:p>
    <w:p w:rsidR="00973518" w:rsidRPr="004D643D" w:rsidP="00CE3ADF" w14:paraId="7E457ECF" w14:textId="016CBBF9">
      <w:pPr>
        <w:widowControl/>
        <w:numPr>
          <w:ilvl w:val="0"/>
          <w:numId w:val="1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rPr>
          <w:sz w:val="24"/>
        </w:rPr>
      </w:pPr>
      <w:r>
        <w:rPr>
          <w:sz w:val="24"/>
        </w:rPr>
        <w:t>For this ICR, the forms included are the MCS-150, MCS-150B, and MCS-150C. There were no changes to these forms.</w:t>
      </w:r>
    </w:p>
    <w:p w:rsidR="007E6CA6" w:rsidRPr="007E6CA6" w:rsidP="00CE3ADF" w14:paraId="067E1D30" w14:textId="77777777">
      <w:pPr>
        <w:widowControl/>
        <w:autoSpaceDE/>
        <w:autoSpaceDN/>
        <w:adjustRightInd/>
        <w:rPr>
          <w:sz w:val="24"/>
          <w:u w:val="single"/>
        </w:rPr>
      </w:pPr>
    </w:p>
    <w:p w:rsidR="00A7693F" w:rsidRPr="005F5FF9" w:rsidP="00CE3ADF" w14:paraId="3A640D79" w14:textId="405C4FB4">
      <w:pPr>
        <w:pStyle w:val="Heading1"/>
        <w:rPr>
          <w:b w:val="0"/>
        </w:rPr>
      </w:pPr>
      <w:r w:rsidRPr="005F5FF9">
        <w:rPr>
          <w:u w:val="single"/>
        </w:rPr>
        <w:t>I</w:t>
      </w:r>
      <w:r w:rsidRPr="005F5FF9">
        <w:rPr>
          <w:u w:val="single"/>
        </w:rPr>
        <w:t>NTRODUCTION</w:t>
      </w:r>
    </w:p>
    <w:p w:rsidR="00CE3ADF" w:rsidP="00CE3ADF" w14:paraId="6A527CAE" w14:textId="77777777">
      <w:pPr>
        <w:widowControl/>
        <w:autoSpaceDE/>
        <w:autoSpaceDN/>
        <w:adjustRightInd/>
        <w:rPr>
          <w:sz w:val="24"/>
        </w:rPr>
      </w:pPr>
    </w:p>
    <w:p w:rsidR="00E216C7" w:rsidP="00CE3ADF" w14:paraId="7560441A" w14:textId="4349FA04">
      <w:pPr>
        <w:widowControl/>
        <w:autoSpaceDE/>
        <w:autoSpaceDN/>
        <w:adjustRightInd/>
        <w:rPr>
          <w:sz w:val="24"/>
        </w:rPr>
      </w:pPr>
      <w:r>
        <w:rPr>
          <w:sz w:val="24"/>
        </w:rPr>
        <w:t xml:space="preserve">The purpose of this information collection request (ICR) is to request the Office of Management and Budget’s (OMB) </w:t>
      </w:r>
      <w:r w:rsidR="002673EB">
        <w:rPr>
          <w:sz w:val="24"/>
        </w:rPr>
        <w:t>approve a</w:t>
      </w:r>
      <w:r>
        <w:rPr>
          <w:sz w:val="24"/>
        </w:rPr>
        <w:t xml:space="preserve"> 3-year clearance for the information collection titled, “Motor Carrier Identification Report (</w:t>
      </w:r>
      <w:r w:rsidR="000B0ED7">
        <w:rPr>
          <w:sz w:val="24"/>
        </w:rPr>
        <w:t>OMB Control Number 2126-0013</w:t>
      </w:r>
      <w:r>
        <w:rPr>
          <w:sz w:val="24"/>
        </w:rPr>
        <w:t>)</w:t>
      </w:r>
      <w:r w:rsidR="000B0ED7">
        <w:rPr>
          <w:sz w:val="24"/>
        </w:rPr>
        <w:t xml:space="preserve">, </w:t>
      </w:r>
      <w:r w:rsidR="008F02B7">
        <w:rPr>
          <w:sz w:val="24"/>
        </w:rPr>
        <w:t xml:space="preserve">which </w:t>
      </w:r>
      <w:r w:rsidR="003B5FF7">
        <w:rPr>
          <w:sz w:val="24"/>
        </w:rPr>
        <w:t>was</w:t>
      </w:r>
      <w:r w:rsidR="008F02B7">
        <w:rPr>
          <w:sz w:val="24"/>
        </w:rPr>
        <w:t xml:space="preserve"> </w:t>
      </w:r>
      <w:r>
        <w:rPr>
          <w:sz w:val="24"/>
        </w:rPr>
        <w:t xml:space="preserve">currently </w:t>
      </w:r>
      <w:r w:rsidR="008F02B7">
        <w:rPr>
          <w:sz w:val="24"/>
        </w:rPr>
        <w:t xml:space="preserve">due to expire on </w:t>
      </w:r>
      <w:r w:rsidR="00DB3315">
        <w:rPr>
          <w:sz w:val="24"/>
        </w:rPr>
        <w:t>October 31, 2025</w:t>
      </w:r>
      <w:r w:rsidR="004A1343">
        <w:rPr>
          <w:sz w:val="24"/>
        </w:rPr>
        <w:t>.</w:t>
      </w:r>
      <w:r w:rsidR="003B5FF7">
        <w:rPr>
          <w:sz w:val="24"/>
        </w:rPr>
        <w:t xml:space="preserve">  </w:t>
      </w:r>
      <w:r w:rsidRPr="003B5FF7" w:rsidR="003B5FF7">
        <w:rPr>
          <w:sz w:val="24"/>
        </w:rPr>
        <w:t>During the Federal government shutdown, in early October, FMCSA was not able to have the 30-day FR for the ICR published at the OFR therefore</w:t>
      </w:r>
      <w:r w:rsidR="002673EB">
        <w:rPr>
          <w:sz w:val="24"/>
        </w:rPr>
        <w:t>,</w:t>
      </w:r>
      <w:r w:rsidRPr="003B5FF7" w:rsidR="003B5FF7">
        <w:rPr>
          <w:sz w:val="24"/>
        </w:rPr>
        <w:t xml:space="preserve"> </w:t>
      </w:r>
      <w:r w:rsidR="003B5FF7">
        <w:rPr>
          <w:sz w:val="24"/>
        </w:rPr>
        <w:t xml:space="preserve">to avoid the ICR from expiring, </w:t>
      </w:r>
      <w:r w:rsidRPr="003B5FF7" w:rsidR="003B5FF7">
        <w:rPr>
          <w:sz w:val="24"/>
        </w:rPr>
        <w:t>FMCSA submitted a request for emergency extension (EE) of the expiration date of the ICR.  OMB approved the EE request on Oct</w:t>
      </w:r>
      <w:r w:rsidR="002673EB">
        <w:rPr>
          <w:sz w:val="24"/>
        </w:rPr>
        <w:t>ober</w:t>
      </w:r>
      <w:r w:rsidRPr="003B5FF7" w:rsidR="003B5FF7">
        <w:rPr>
          <w:sz w:val="24"/>
        </w:rPr>
        <w:t xml:space="preserve"> 30, 2025</w:t>
      </w:r>
      <w:r w:rsidR="003B5FF7">
        <w:rPr>
          <w:sz w:val="24"/>
        </w:rPr>
        <w:t>,</w:t>
      </w:r>
      <w:r w:rsidRPr="003B5FF7" w:rsidR="003B5FF7">
        <w:rPr>
          <w:sz w:val="24"/>
        </w:rPr>
        <w:t xml:space="preserve"> and the expiration date of the ICR was extended to December 31, 202</w:t>
      </w:r>
      <w:r w:rsidR="003B5FF7">
        <w:rPr>
          <w:sz w:val="24"/>
        </w:rPr>
        <w:t>5</w:t>
      </w:r>
      <w:r w:rsidRPr="003B5FF7" w:rsidR="003B5FF7">
        <w:rPr>
          <w:sz w:val="24"/>
        </w:rPr>
        <w:t>.  When the shutdown ended the 30-day FR was published on Nov</w:t>
      </w:r>
      <w:r w:rsidR="002673EB">
        <w:rPr>
          <w:sz w:val="24"/>
        </w:rPr>
        <w:t>ember</w:t>
      </w:r>
      <w:r w:rsidRPr="003B5FF7" w:rsidR="003B5FF7">
        <w:rPr>
          <w:sz w:val="24"/>
        </w:rPr>
        <w:t xml:space="preserve"> 19, 2025, and the ICR is now being resubmitted with a 60-day and 30-day FR for </w:t>
      </w:r>
      <w:r w:rsidR="002673EB">
        <w:rPr>
          <w:sz w:val="24"/>
        </w:rPr>
        <w:t>the approval of</w:t>
      </w:r>
      <w:r w:rsidRPr="003B5FF7" w:rsidR="003B5FF7">
        <w:rPr>
          <w:sz w:val="24"/>
        </w:rPr>
        <w:t xml:space="preserve"> 3-year ICR renewal.</w:t>
      </w:r>
    </w:p>
    <w:p w:rsidR="00CE3ADF" w:rsidRPr="00924255" w:rsidP="00CE3ADF" w14:paraId="24C9ECB9" w14:textId="77777777">
      <w:pPr>
        <w:widowControl/>
        <w:autoSpaceDE/>
        <w:autoSpaceDN/>
        <w:adjustRightInd/>
        <w:rPr>
          <w:rFonts w:eastAsia="Calibri"/>
          <w:sz w:val="24"/>
        </w:rPr>
      </w:pPr>
    </w:p>
    <w:p w:rsidR="0086371E" w:rsidP="00CE3ADF" w14:paraId="66448754" w14:textId="15B91F20">
      <w:pPr>
        <w:pStyle w:val="Heading1"/>
        <w:rPr>
          <w:rFonts w:cs="Arial"/>
          <w:color w:val="000000"/>
          <w:u w:val="single"/>
        </w:rPr>
      </w:pPr>
      <w:r w:rsidRPr="00CE3ADF">
        <w:rPr>
          <w:rFonts w:cs="Arial"/>
          <w:color w:val="000000"/>
          <w:u w:val="single"/>
        </w:rPr>
        <w:t>Part A. Justification</w:t>
      </w:r>
    </w:p>
    <w:p w:rsidR="00CE3ADF" w:rsidRPr="00CE3ADF" w:rsidP="00CE3ADF" w14:paraId="5722E9BF" w14:textId="77777777"/>
    <w:p w:rsidR="00AD1AD8" w:rsidRPr="00CE3ADF" w:rsidP="00CE3ADF" w14:paraId="5703BD22" w14:textId="676E8389">
      <w:pPr>
        <w:pStyle w:val="ListParagraph"/>
        <w:numPr>
          <w:ilvl w:val="0"/>
          <w:numId w:val="10"/>
        </w:numPr>
        <w:ind w:left="360"/>
        <w:outlineLvl w:val="1"/>
        <w:rPr>
          <w:sz w:val="24"/>
        </w:rPr>
      </w:pPr>
      <w:r w:rsidRPr="00CE3ADF">
        <w:rPr>
          <w:b/>
          <w:bCs/>
          <w:sz w:val="24"/>
        </w:rPr>
        <w:t>CIRCUMSTANCES THAT MAKE COLLECTION OF INFORMATION NECESSARY</w:t>
      </w:r>
    </w:p>
    <w:p w:rsidR="00CE3ADF" w:rsidP="00CE3ADF" w14:paraId="3BC8CF34" w14:textId="77777777">
      <w:pPr>
        <w:rPr>
          <w:rFonts w:cs="Arial"/>
          <w:color w:val="000000"/>
          <w:sz w:val="24"/>
        </w:rPr>
      </w:pPr>
    </w:p>
    <w:p w:rsidR="00FE3D58" w:rsidP="00084EB7" w14:paraId="376D5B3F" w14:textId="563EA18F">
      <w:pPr>
        <w:ind w:left="360"/>
        <w:rPr>
          <w:rFonts w:cs="Arial"/>
          <w:color w:val="000000"/>
          <w:sz w:val="24"/>
        </w:rPr>
      </w:pPr>
      <w:r w:rsidRPr="00F54CAB">
        <w:rPr>
          <w:rFonts w:cs="Arial"/>
          <w:color w:val="000000"/>
          <w:sz w:val="24"/>
        </w:rPr>
        <w:t xml:space="preserve">The Secretary of Transportation (Secretary) is authorized to require carriers, lessors, associations, or classes of </w:t>
      </w:r>
      <w:r w:rsidR="00E87A6C">
        <w:rPr>
          <w:rFonts w:cs="Arial"/>
          <w:color w:val="000000"/>
          <w:sz w:val="24"/>
        </w:rPr>
        <w:t>carriers, lessors and associations,</w:t>
      </w:r>
      <w:r w:rsidRPr="00F54CAB" w:rsidR="00E87A6C">
        <w:rPr>
          <w:rFonts w:cs="Arial"/>
          <w:color w:val="000000"/>
          <w:sz w:val="24"/>
        </w:rPr>
        <w:t xml:space="preserve"> </w:t>
      </w:r>
      <w:r w:rsidRPr="00F54CAB">
        <w:rPr>
          <w:rFonts w:cs="Arial"/>
          <w:color w:val="000000"/>
          <w:sz w:val="24"/>
        </w:rPr>
        <w:t>to file annual, periodic, and special reports containing answers to questions asked by the Secretary; and to prescribe the form of records for the Federal Motor Carrier Safety Administration (FMCSA) to administer its safety programs (49 U.S.C. § 504).</w:t>
      </w:r>
    </w:p>
    <w:p w:rsidR="00CE3ADF" w:rsidP="00CE3ADF" w14:paraId="24B1B048" w14:textId="77777777">
      <w:pPr>
        <w:rPr>
          <w:rFonts w:cs="Arial"/>
          <w:color w:val="000000"/>
          <w:sz w:val="24"/>
        </w:rPr>
      </w:pPr>
    </w:p>
    <w:p w:rsidR="006F5EF4" w:rsidP="00084EB7" w14:paraId="5B877AA2" w14:textId="4FC46FBB">
      <w:pPr>
        <w:ind w:left="360"/>
        <w:rPr>
          <w:sz w:val="24"/>
        </w:rPr>
      </w:pPr>
      <w:r w:rsidRPr="00F54CAB">
        <w:rPr>
          <w:rFonts w:cs="Arial"/>
          <w:color w:val="000000"/>
          <w:sz w:val="24"/>
        </w:rPr>
        <w:t xml:space="preserve">The Secretary may also prescribe the form of records required to be prepared or compiled </w:t>
      </w:r>
      <w:r w:rsidRPr="00F54CAB">
        <w:rPr>
          <w:rFonts w:cs="Arial"/>
          <w:color w:val="000000"/>
          <w:sz w:val="24"/>
        </w:rPr>
        <w:t xml:space="preserve">and the </w:t>
      </w:r>
      <w:r w:rsidRPr="00F54CAB">
        <w:rPr>
          <w:rFonts w:cs="Arial"/>
          <w:color w:val="000000"/>
          <w:sz w:val="24"/>
        </w:rPr>
        <w:t>time period</w:t>
      </w:r>
      <w:r w:rsidRPr="00F54CAB">
        <w:rPr>
          <w:rFonts w:cs="Arial"/>
          <w:color w:val="000000"/>
          <w:sz w:val="24"/>
        </w:rPr>
        <w:t xml:space="preserve"> during which records must be preserved (See §504(b)(1) and (d)). FMCSA use</w:t>
      </w:r>
      <w:r w:rsidR="00E87A6C">
        <w:rPr>
          <w:rFonts w:cs="Arial"/>
          <w:color w:val="000000"/>
          <w:sz w:val="24"/>
        </w:rPr>
        <w:t>s</w:t>
      </w:r>
      <w:r w:rsidRPr="00F54CAB">
        <w:rPr>
          <w:rFonts w:cs="Arial"/>
          <w:color w:val="000000"/>
          <w:sz w:val="24"/>
        </w:rPr>
        <w:t xml:space="preserve"> this data to administer its safety programs using a database of entities that are subject to its regulations. This database necessitates that these entities notify FMCSA of their existence. For example, under 49 CFR 390.19(a), FMCSA requires all motor carriers to file Form MCS-150 titled, “</w:t>
      </w:r>
      <w:r w:rsidRPr="006F5EF4">
        <w:rPr>
          <w:sz w:val="24"/>
        </w:rPr>
        <w:t xml:space="preserve">Motor Carrier Identification Report,” </w:t>
      </w:r>
      <w:r w:rsidRPr="006F5EF4" w:rsidR="00A11E8A">
        <w:rPr>
          <w:sz w:val="24"/>
        </w:rPr>
        <w:t>and/</w:t>
      </w:r>
      <w:r w:rsidRPr="006F5EF4">
        <w:rPr>
          <w:sz w:val="24"/>
        </w:rPr>
        <w:t>or MCS-150B titled, “Combined Motor Carrier Identification Report and</w:t>
      </w:r>
      <w:r w:rsidRPr="006F5EF4" w:rsidR="00A11E8A">
        <w:rPr>
          <w:sz w:val="24"/>
        </w:rPr>
        <w:t>/or</w:t>
      </w:r>
      <w:r w:rsidRPr="006F5EF4">
        <w:rPr>
          <w:sz w:val="24"/>
        </w:rPr>
        <w:t xml:space="preserve"> HM Permit Applications”</w:t>
      </w:r>
      <w:r w:rsidRPr="006F5EF4">
        <w:rPr>
          <w:sz w:val="24"/>
        </w:rPr>
        <w:t xml:space="preserve"> and/</w:t>
      </w:r>
      <w:r w:rsidRPr="006F5EF4">
        <w:rPr>
          <w:sz w:val="24"/>
          <w:shd w:val="clear" w:color="auto" w:fill="FFFFFF"/>
        </w:rPr>
        <w:t xml:space="preserve">or </w:t>
      </w:r>
      <w:r w:rsidR="00C2371F">
        <w:rPr>
          <w:sz w:val="24"/>
          <w:shd w:val="clear" w:color="auto" w:fill="FFFFFF"/>
        </w:rPr>
        <w:t>MCS-150C “</w:t>
      </w:r>
      <w:r w:rsidRPr="006F5EF4">
        <w:rPr>
          <w:sz w:val="24"/>
        </w:rPr>
        <w:t>Intermodal Equipment Provider</w:t>
      </w:r>
      <w:r w:rsidR="00C2371F">
        <w:rPr>
          <w:sz w:val="24"/>
        </w:rPr>
        <w:t xml:space="preserve"> Identification Report.”</w:t>
      </w:r>
    </w:p>
    <w:p w:rsidR="00310829" w:rsidP="00CE3ADF" w14:paraId="25375CD1" w14:textId="77777777">
      <w:pPr>
        <w:rPr>
          <w:sz w:val="24"/>
        </w:rPr>
      </w:pPr>
    </w:p>
    <w:p w:rsidR="00FE3D58" w:rsidP="00084EB7" w14:paraId="2B408985" w14:textId="0803C8DE">
      <w:pPr>
        <w:ind w:left="360"/>
        <w:rPr>
          <w:color w:val="201F1E"/>
          <w:sz w:val="24"/>
          <w:shd w:val="clear" w:color="auto" w:fill="FFFFFF"/>
        </w:rPr>
      </w:pPr>
      <w:r w:rsidRPr="79DF90DA">
        <w:rPr>
          <w:sz w:val="24"/>
        </w:rPr>
        <w:t>A</w:t>
      </w:r>
      <w:r w:rsidRPr="79DF90DA" w:rsidR="00A11E8A">
        <w:rPr>
          <w:sz w:val="24"/>
        </w:rPr>
        <w:t xml:space="preserve">pplicable carriers must complete and submit these forms </w:t>
      </w:r>
      <w:r w:rsidRPr="79DF90DA" w:rsidR="006F5EF4">
        <w:rPr>
          <w:sz w:val="24"/>
        </w:rPr>
        <w:t xml:space="preserve">when they are </w:t>
      </w:r>
      <w:r w:rsidRPr="79DF90DA" w:rsidR="00F54CAB">
        <w:rPr>
          <w:rFonts w:cs="Arial"/>
          <w:color w:val="000000"/>
          <w:sz w:val="24"/>
        </w:rPr>
        <w:t>beginning operations</w:t>
      </w:r>
      <w:r w:rsidRPr="79DF90DA" w:rsidR="00E87A6C">
        <w:rPr>
          <w:rFonts w:cs="Arial"/>
          <w:color w:val="000000"/>
          <w:sz w:val="24"/>
        </w:rPr>
        <w:t>,</w:t>
      </w:r>
      <w:r w:rsidRPr="79DF90DA" w:rsidR="006F5EF4">
        <w:rPr>
          <w:rFonts w:cs="Arial"/>
          <w:color w:val="000000"/>
          <w:sz w:val="24"/>
        </w:rPr>
        <w:t xml:space="preserve"> on a </w:t>
      </w:r>
      <w:r w:rsidRPr="79DF90DA" w:rsidR="0040357E">
        <w:rPr>
          <w:rFonts w:cs="Arial"/>
          <w:color w:val="000000"/>
          <w:sz w:val="24"/>
        </w:rPr>
        <w:t>biennial</w:t>
      </w:r>
      <w:r w:rsidRPr="79DF90DA" w:rsidR="00A11E8A">
        <w:rPr>
          <w:rFonts w:cs="Arial"/>
          <w:color w:val="000000"/>
          <w:sz w:val="24"/>
        </w:rPr>
        <w:t xml:space="preserve"> </w:t>
      </w:r>
      <w:r w:rsidRPr="79DF90DA" w:rsidR="006F5EF4">
        <w:rPr>
          <w:rFonts w:cs="Arial"/>
          <w:color w:val="000000"/>
          <w:sz w:val="24"/>
        </w:rPr>
        <w:t>basis</w:t>
      </w:r>
      <w:r w:rsidRPr="79DF90DA" w:rsidR="00E87A6C">
        <w:rPr>
          <w:rFonts w:cs="Arial"/>
          <w:color w:val="000000"/>
          <w:sz w:val="24"/>
        </w:rPr>
        <w:t>,</w:t>
      </w:r>
      <w:r w:rsidRPr="79DF90DA" w:rsidR="006F5EF4">
        <w:rPr>
          <w:rFonts w:cs="Arial"/>
          <w:color w:val="000000"/>
          <w:sz w:val="24"/>
        </w:rPr>
        <w:t xml:space="preserve"> </w:t>
      </w:r>
      <w:r w:rsidRPr="79DF90DA">
        <w:rPr>
          <w:rFonts w:cs="Arial"/>
          <w:color w:val="000000"/>
          <w:sz w:val="24"/>
        </w:rPr>
        <w:t>and/</w:t>
      </w:r>
      <w:r w:rsidRPr="79DF90DA" w:rsidR="006F5EF4">
        <w:rPr>
          <w:rFonts w:cs="Arial"/>
          <w:color w:val="000000"/>
          <w:sz w:val="24"/>
        </w:rPr>
        <w:t xml:space="preserve">or </w:t>
      </w:r>
      <w:r w:rsidRPr="79DF90DA">
        <w:rPr>
          <w:rFonts w:cs="Arial"/>
          <w:color w:val="000000"/>
          <w:sz w:val="24"/>
        </w:rPr>
        <w:t>on an ad hoc basis</w:t>
      </w:r>
      <w:r w:rsidRPr="79DF90DA" w:rsidR="006920B3">
        <w:rPr>
          <w:rFonts w:cs="Arial"/>
          <w:color w:val="000000"/>
          <w:sz w:val="24"/>
        </w:rPr>
        <w:t xml:space="preserve"> except</w:t>
      </w:r>
      <w:r w:rsidRPr="79DF90DA" w:rsidR="00A11E8A">
        <w:rPr>
          <w:rFonts w:cs="Arial"/>
          <w:color w:val="000000"/>
          <w:sz w:val="24"/>
        </w:rPr>
        <w:t xml:space="preserve"> </w:t>
      </w:r>
      <w:r w:rsidRPr="79DF90DA" w:rsidR="00001797">
        <w:rPr>
          <w:rFonts w:cs="Arial"/>
          <w:color w:val="000000"/>
          <w:sz w:val="24"/>
        </w:rPr>
        <w:t xml:space="preserve">non-hazardous </w:t>
      </w:r>
      <w:r w:rsidRPr="79DF90DA" w:rsidR="0095116D">
        <w:rPr>
          <w:rFonts w:cs="Arial"/>
          <w:color w:val="000000"/>
          <w:sz w:val="24"/>
        </w:rPr>
        <w:t xml:space="preserve">material, </w:t>
      </w:r>
      <w:r w:rsidRPr="79DF90DA">
        <w:rPr>
          <w:rFonts w:cs="Arial"/>
          <w:color w:val="000000"/>
          <w:sz w:val="24"/>
        </w:rPr>
        <w:t>non-</w:t>
      </w:r>
      <w:r w:rsidRPr="79DF90DA" w:rsidR="00001797">
        <w:rPr>
          <w:rFonts w:cs="Arial"/>
          <w:color w:val="000000"/>
          <w:sz w:val="24"/>
        </w:rPr>
        <w:t>Mexico domiciled carriers</w:t>
      </w:r>
      <w:r w:rsidRPr="79DF90DA" w:rsidR="0095116D">
        <w:rPr>
          <w:rFonts w:cs="Arial"/>
          <w:color w:val="000000"/>
          <w:sz w:val="24"/>
        </w:rPr>
        <w:t xml:space="preserve">, </w:t>
      </w:r>
      <w:r w:rsidRPr="79DF90DA" w:rsidR="006920B3">
        <w:rPr>
          <w:rFonts w:cs="Arial"/>
          <w:color w:val="000000"/>
          <w:sz w:val="24"/>
        </w:rPr>
        <w:t xml:space="preserve">and </w:t>
      </w:r>
      <w:r w:rsidRPr="79DF90DA" w:rsidR="0095116D">
        <w:rPr>
          <w:rFonts w:cs="Arial"/>
          <w:color w:val="000000"/>
          <w:sz w:val="24"/>
        </w:rPr>
        <w:t>non-intermodal equipment provider</w:t>
      </w:r>
      <w:r w:rsidRPr="79DF90DA" w:rsidR="00001797">
        <w:rPr>
          <w:rFonts w:cs="Arial"/>
          <w:color w:val="000000"/>
          <w:sz w:val="24"/>
        </w:rPr>
        <w:t xml:space="preserve">. </w:t>
      </w:r>
      <w:r w:rsidRPr="79DF90DA">
        <w:rPr>
          <w:rFonts w:cs="Arial"/>
          <w:color w:val="000000"/>
          <w:sz w:val="24"/>
        </w:rPr>
        <w:t>Th</w:t>
      </w:r>
      <w:r w:rsidRPr="79DF90DA" w:rsidR="0095116D">
        <w:rPr>
          <w:rFonts w:cs="Arial"/>
          <w:color w:val="000000"/>
          <w:sz w:val="24"/>
        </w:rPr>
        <w:t>is population</w:t>
      </w:r>
      <w:r w:rsidRPr="79DF90DA">
        <w:rPr>
          <w:rFonts w:cs="Arial"/>
          <w:color w:val="000000"/>
          <w:sz w:val="24"/>
        </w:rPr>
        <w:t>, when</w:t>
      </w:r>
      <w:r w:rsidRPr="79DF90DA" w:rsidR="00001797">
        <w:rPr>
          <w:rFonts w:cs="Arial"/>
          <w:color w:val="000000"/>
          <w:sz w:val="24"/>
        </w:rPr>
        <w:t xml:space="preserve"> </w:t>
      </w:r>
      <w:r w:rsidRPr="79DF90DA">
        <w:rPr>
          <w:rFonts w:cs="Arial"/>
          <w:color w:val="000000"/>
          <w:sz w:val="24"/>
        </w:rPr>
        <w:t xml:space="preserve">beginning operations, </w:t>
      </w:r>
      <w:r w:rsidRPr="79DF90DA" w:rsidR="00001797">
        <w:rPr>
          <w:rFonts w:cs="Arial"/>
          <w:color w:val="000000"/>
          <w:sz w:val="24"/>
        </w:rPr>
        <w:t>must</w:t>
      </w:r>
      <w:r w:rsidRPr="79DF90DA">
        <w:rPr>
          <w:rFonts w:cs="Arial"/>
          <w:color w:val="000000"/>
          <w:sz w:val="24"/>
        </w:rPr>
        <w:t xml:space="preserve"> </w:t>
      </w:r>
      <w:r w:rsidRPr="79DF90DA" w:rsidR="0040357E">
        <w:rPr>
          <w:rFonts w:cs="Arial"/>
          <w:color w:val="000000"/>
          <w:sz w:val="24"/>
        </w:rPr>
        <w:t xml:space="preserve">file form </w:t>
      </w:r>
      <w:r w:rsidRPr="79DF90DA" w:rsidR="0040357E">
        <w:rPr>
          <w:color w:val="201F1E"/>
          <w:sz w:val="24"/>
          <w:shd w:val="clear" w:color="auto" w:fill="FFFFFF"/>
        </w:rPr>
        <w:t>MCSA-1</w:t>
      </w:r>
      <w:r w:rsidRPr="79DF90DA">
        <w:rPr>
          <w:color w:val="201F1E"/>
          <w:sz w:val="24"/>
          <w:shd w:val="clear" w:color="auto" w:fill="FFFFFF"/>
        </w:rPr>
        <w:t>. Form MCSA-1</w:t>
      </w:r>
      <w:r w:rsidRPr="79DF90DA" w:rsidR="0040357E">
        <w:rPr>
          <w:color w:val="201F1E"/>
          <w:sz w:val="24"/>
          <w:shd w:val="clear" w:color="auto" w:fill="FFFFFF"/>
        </w:rPr>
        <w:t xml:space="preserve"> </w:t>
      </w:r>
      <w:r w:rsidRPr="79DF90DA" w:rsidR="00C2371F">
        <w:rPr>
          <w:color w:val="201F1E"/>
          <w:sz w:val="24"/>
          <w:shd w:val="clear" w:color="auto" w:fill="FFFFFF"/>
        </w:rPr>
        <w:t xml:space="preserve">annual burden hours and cost </w:t>
      </w:r>
      <w:r w:rsidRPr="79DF90DA" w:rsidR="0040357E">
        <w:rPr>
          <w:color w:val="201F1E"/>
          <w:sz w:val="24"/>
          <w:shd w:val="clear" w:color="auto" w:fill="FFFFFF"/>
        </w:rPr>
        <w:t>is part of the Unified Registration System</w:t>
      </w:r>
      <w:r w:rsidRPr="79DF90DA">
        <w:rPr>
          <w:color w:val="201F1E"/>
          <w:sz w:val="24"/>
          <w:shd w:val="clear" w:color="auto" w:fill="FFFFFF"/>
        </w:rPr>
        <w:t xml:space="preserve"> </w:t>
      </w:r>
      <w:r w:rsidRPr="79DF90DA" w:rsidR="003E260D">
        <w:rPr>
          <w:color w:val="201F1E"/>
          <w:sz w:val="24"/>
          <w:shd w:val="clear" w:color="auto" w:fill="FFFFFF"/>
        </w:rPr>
        <w:t>information collection</w:t>
      </w:r>
      <w:r w:rsidRPr="79DF90DA" w:rsidR="00E87A6C">
        <w:rPr>
          <w:color w:val="201F1E"/>
          <w:sz w:val="24"/>
          <w:shd w:val="clear" w:color="auto" w:fill="FFFFFF"/>
        </w:rPr>
        <w:t>.</w:t>
      </w:r>
      <w:r>
        <w:rPr>
          <w:rStyle w:val="FootnoteReference"/>
          <w:color w:val="201F1E"/>
          <w:sz w:val="24"/>
          <w:shd w:val="clear" w:color="auto" w:fill="FFFFFF"/>
          <w:vertAlign w:val="superscript"/>
        </w:rPr>
        <w:footnoteReference w:id="3"/>
      </w:r>
    </w:p>
    <w:p w:rsidR="00CE3ADF" w:rsidP="00CE3ADF" w14:paraId="1AD021D3" w14:textId="77777777">
      <w:pPr>
        <w:rPr>
          <w:color w:val="201F1E"/>
          <w:sz w:val="24"/>
          <w:shd w:val="clear" w:color="auto" w:fill="FFFFFF"/>
        </w:rPr>
      </w:pPr>
    </w:p>
    <w:p w:rsidR="00B23046" w:rsidP="00084EB7" w14:paraId="5927C075" w14:textId="6757AB25">
      <w:pPr>
        <w:widowControl/>
        <w:ind w:left="360"/>
        <w:rPr>
          <w:sz w:val="24"/>
        </w:rPr>
      </w:pPr>
      <w:r>
        <w:rPr>
          <w:rFonts w:cs="Arial"/>
          <w:color w:val="000000"/>
          <w:sz w:val="24"/>
        </w:rPr>
        <w:t>M</w:t>
      </w:r>
      <w:r w:rsidR="0040357E">
        <w:rPr>
          <w:rFonts w:cs="Arial"/>
          <w:color w:val="000000"/>
          <w:sz w:val="24"/>
        </w:rPr>
        <w:t>otor carrier</w:t>
      </w:r>
      <w:r>
        <w:rPr>
          <w:rFonts w:cs="Arial"/>
          <w:color w:val="000000"/>
          <w:sz w:val="24"/>
        </w:rPr>
        <w:t xml:space="preserve">s that file form </w:t>
      </w:r>
      <w:r w:rsidR="003E260D">
        <w:rPr>
          <w:rFonts w:cs="Arial"/>
          <w:color w:val="000000"/>
          <w:sz w:val="24"/>
        </w:rPr>
        <w:t xml:space="preserve">MCS-150, </w:t>
      </w:r>
      <w:r>
        <w:rPr>
          <w:rFonts w:cs="Arial"/>
          <w:color w:val="000000"/>
          <w:sz w:val="24"/>
        </w:rPr>
        <w:t>MCS-150B and</w:t>
      </w:r>
      <w:r w:rsidR="006E3516">
        <w:rPr>
          <w:rFonts w:cs="Arial"/>
          <w:color w:val="000000"/>
          <w:sz w:val="24"/>
        </w:rPr>
        <w:t>/or</w:t>
      </w:r>
      <w:r>
        <w:rPr>
          <w:rFonts w:cs="Arial"/>
          <w:color w:val="000000"/>
          <w:sz w:val="24"/>
        </w:rPr>
        <w:t xml:space="preserve"> MCS-150C </w:t>
      </w:r>
      <w:r w:rsidRPr="00F54CAB" w:rsidR="00F54CAB">
        <w:rPr>
          <w:rFonts w:cs="Arial"/>
          <w:color w:val="000000"/>
          <w:sz w:val="24"/>
        </w:rPr>
        <w:t xml:space="preserve">provide the name of the business entity that owns and controls the motor carrier operation; </w:t>
      </w:r>
      <w:r w:rsidR="00E87A6C">
        <w:rPr>
          <w:rFonts w:cs="Arial"/>
          <w:color w:val="000000"/>
          <w:sz w:val="24"/>
        </w:rPr>
        <w:t xml:space="preserve">the </w:t>
      </w:r>
      <w:r w:rsidRPr="00F54CAB" w:rsidR="00F54CAB">
        <w:rPr>
          <w:rFonts w:cs="Arial"/>
          <w:color w:val="000000"/>
          <w:sz w:val="24"/>
        </w:rPr>
        <w:t xml:space="preserve">address and telephone of </w:t>
      </w:r>
      <w:r w:rsidR="00E87A6C">
        <w:rPr>
          <w:rFonts w:cs="Arial"/>
          <w:color w:val="000000"/>
          <w:sz w:val="24"/>
        </w:rPr>
        <w:t xml:space="preserve">a </w:t>
      </w:r>
      <w:r w:rsidRPr="00F54CAB" w:rsidR="00F54CAB">
        <w:rPr>
          <w:rFonts w:cs="Arial"/>
          <w:color w:val="000000"/>
          <w:sz w:val="24"/>
        </w:rPr>
        <w:t xml:space="preserve">principal place of business; </w:t>
      </w:r>
      <w:r w:rsidR="00E87A6C">
        <w:rPr>
          <w:rFonts w:cs="Arial"/>
          <w:color w:val="000000"/>
          <w:sz w:val="24"/>
        </w:rPr>
        <w:t xml:space="preserve">all </w:t>
      </w:r>
      <w:r w:rsidRPr="00F54CAB" w:rsidR="00F54CAB">
        <w:rPr>
          <w:rFonts w:cs="Arial"/>
          <w:color w:val="000000"/>
          <w:sz w:val="24"/>
        </w:rPr>
        <w:t>assigned identification number(s)</w:t>
      </w:r>
      <w:r w:rsidR="00773659">
        <w:rPr>
          <w:rFonts w:cs="Arial"/>
          <w:color w:val="000000"/>
          <w:sz w:val="24"/>
        </w:rPr>
        <w:t>;</w:t>
      </w:r>
      <w:r w:rsidRPr="00F54CAB" w:rsidR="00F54CAB">
        <w:rPr>
          <w:rFonts w:cs="Arial"/>
          <w:color w:val="000000"/>
          <w:sz w:val="24"/>
        </w:rPr>
        <w:t xml:space="preserve"> </w:t>
      </w:r>
      <w:r w:rsidR="00E87A6C">
        <w:rPr>
          <w:rFonts w:cs="Arial"/>
          <w:color w:val="000000"/>
          <w:sz w:val="24"/>
        </w:rPr>
        <w:t xml:space="preserve">the </w:t>
      </w:r>
      <w:r w:rsidRPr="00F54CAB" w:rsidR="00F54CAB">
        <w:rPr>
          <w:rFonts w:cs="Arial"/>
          <w:color w:val="000000"/>
          <w:sz w:val="24"/>
        </w:rPr>
        <w:t>type of operation</w:t>
      </w:r>
      <w:r w:rsidR="00773659">
        <w:rPr>
          <w:rFonts w:cs="Arial"/>
          <w:color w:val="000000"/>
          <w:sz w:val="24"/>
        </w:rPr>
        <w:t>;</w:t>
      </w:r>
      <w:r w:rsidRPr="00F54CAB" w:rsidR="00F54CAB">
        <w:rPr>
          <w:rFonts w:cs="Arial"/>
          <w:color w:val="000000"/>
          <w:sz w:val="24"/>
        </w:rPr>
        <w:t xml:space="preserve"> </w:t>
      </w:r>
      <w:r w:rsidR="00E87A6C">
        <w:rPr>
          <w:rFonts w:cs="Arial"/>
          <w:color w:val="000000"/>
          <w:sz w:val="24"/>
        </w:rPr>
        <w:t xml:space="preserve">the </w:t>
      </w:r>
      <w:r w:rsidRPr="00F54CAB" w:rsidR="00F54CAB">
        <w:rPr>
          <w:rFonts w:cs="Arial"/>
          <w:color w:val="000000"/>
          <w:sz w:val="24"/>
        </w:rPr>
        <w:t>type</w:t>
      </w:r>
      <w:r w:rsidR="00E87A6C">
        <w:rPr>
          <w:rFonts w:cs="Arial"/>
          <w:color w:val="000000"/>
          <w:sz w:val="24"/>
        </w:rPr>
        <w:t>(</w:t>
      </w:r>
      <w:r w:rsidRPr="00F54CAB" w:rsidR="00F54CAB">
        <w:rPr>
          <w:rFonts w:cs="Arial"/>
          <w:color w:val="000000"/>
          <w:sz w:val="24"/>
        </w:rPr>
        <w:t>s</w:t>
      </w:r>
      <w:r w:rsidR="00E87A6C">
        <w:rPr>
          <w:rFonts w:cs="Arial"/>
          <w:color w:val="000000"/>
          <w:sz w:val="24"/>
        </w:rPr>
        <w:t>)</w:t>
      </w:r>
      <w:r w:rsidRPr="00F54CAB" w:rsidR="00F54CAB">
        <w:rPr>
          <w:rFonts w:cs="Arial"/>
          <w:color w:val="000000"/>
          <w:sz w:val="24"/>
        </w:rPr>
        <w:t xml:space="preserve"> of cargo usually transported; </w:t>
      </w:r>
      <w:r w:rsidR="00E87A6C">
        <w:rPr>
          <w:rFonts w:cs="Arial"/>
          <w:color w:val="000000"/>
          <w:sz w:val="24"/>
        </w:rPr>
        <w:t xml:space="preserve">the </w:t>
      </w:r>
      <w:r w:rsidRPr="00F54CAB" w:rsidR="00F54CAB">
        <w:rPr>
          <w:rFonts w:cs="Arial"/>
          <w:color w:val="000000"/>
          <w:sz w:val="24"/>
        </w:rPr>
        <w:t xml:space="preserve">number of vehicles owned, term </w:t>
      </w:r>
      <w:r w:rsidRPr="00F54CAB" w:rsidR="006A452A">
        <w:rPr>
          <w:rFonts w:cs="Arial"/>
          <w:color w:val="000000"/>
          <w:sz w:val="24"/>
        </w:rPr>
        <w:t>leased</w:t>
      </w:r>
      <w:r w:rsidR="00E87A6C">
        <w:rPr>
          <w:rFonts w:cs="Arial"/>
          <w:color w:val="000000"/>
          <w:sz w:val="24"/>
        </w:rPr>
        <w:t>,</w:t>
      </w:r>
      <w:r w:rsidRPr="00F54CAB" w:rsidR="00F54CAB">
        <w:rPr>
          <w:rFonts w:cs="Arial"/>
          <w:color w:val="000000"/>
          <w:sz w:val="24"/>
        </w:rPr>
        <w:t xml:space="preserve"> and trip leased; driver information; and </w:t>
      </w:r>
      <w:r w:rsidR="00E87A6C">
        <w:rPr>
          <w:rFonts w:cs="Arial"/>
          <w:color w:val="000000"/>
          <w:sz w:val="24"/>
        </w:rPr>
        <w:t xml:space="preserve">a </w:t>
      </w:r>
      <w:r w:rsidRPr="00F54CAB" w:rsidR="00F54CAB">
        <w:rPr>
          <w:rFonts w:cs="Arial"/>
          <w:color w:val="000000"/>
          <w:sz w:val="24"/>
        </w:rPr>
        <w:t>certification statement signed by an individual authorized to sign documents on behalf of the business entity.</w:t>
      </w:r>
      <w:r w:rsidR="000C1126">
        <w:rPr>
          <w:sz w:val="24"/>
        </w:rPr>
        <w:t xml:space="preserve"> </w:t>
      </w:r>
      <w:r w:rsidRPr="00335413" w:rsidR="00335413">
        <w:rPr>
          <w:sz w:val="24"/>
        </w:rPr>
        <w:t xml:space="preserve">This ICR is being </w:t>
      </w:r>
      <w:r w:rsidR="000C1126">
        <w:rPr>
          <w:sz w:val="24"/>
        </w:rPr>
        <w:t>renewed</w:t>
      </w:r>
      <w:r w:rsidRPr="00335413" w:rsidR="000C1126">
        <w:rPr>
          <w:sz w:val="24"/>
        </w:rPr>
        <w:t xml:space="preserve"> </w:t>
      </w:r>
      <w:r w:rsidRPr="00335413" w:rsidR="00335413">
        <w:rPr>
          <w:sz w:val="24"/>
        </w:rPr>
        <w:t xml:space="preserve">as it is currently set to expire on </w:t>
      </w:r>
      <w:r w:rsidR="003B5FF7">
        <w:rPr>
          <w:sz w:val="24"/>
        </w:rPr>
        <w:t>Decem</w:t>
      </w:r>
      <w:r w:rsidR="00DB3315">
        <w:rPr>
          <w:sz w:val="24"/>
        </w:rPr>
        <w:t>ber 31, 2025</w:t>
      </w:r>
      <w:r w:rsidR="00773659">
        <w:rPr>
          <w:sz w:val="24"/>
        </w:rPr>
        <w:t>.</w:t>
      </w:r>
    </w:p>
    <w:p w:rsidR="00CE3ADF" w:rsidRPr="006726E9" w:rsidP="00CE3ADF" w14:paraId="1E1376E9" w14:textId="77777777">
      <w:pPr>
        <w:widowControl/>
        <w:rPr>
          <w:sz w:val="24"/>
        </w:rPr>
      </w:pPr>
    </w:p>
    <w:p w:rsidR="00AD1AD8" w:rsidP="00084EB7" w14:paraId="1362BC17" w14:textId="3A496022">
      <w:pPr>
        <w:ind w:left="360"/>
        <w:rPr>
          <w:rFonts w:ascii="Arial" w:hAnsi="Arial" w:cs="Arial"/>
        </w:rPr>
      </w:pPr>
      <w:r w:rsidRPr="005F5FF9">
        <w:rPr>
          <w:color w:val="000000"/>
          <w:sz w:val="24"/>
        </w:rPr>
        <w:t xml:space="preserve">This information collection supports the </w:t>
      </w:r>
      <w:r w:rsidR="00C96CC2">
        <w:rPr>
          <w:color w:val="000000"/>
          <w:sz w:val="24"/>
        </w:rPr>
        <w:t>a</w:t>
      </w:r>
      <w:r w:rsidR="006726E9">
        <w:rPr>
          <w:color w:val="000000"/>
          <w:sz w:val="24"/>
        </w:rPr>
        <w:t>gency’s</w:t>
      </w:r>
      <w:r w:rsidRPr="005F5FF9" w:rsidR="006726E9">
        <w:rPr>
          <w:color w:val="000000"/>
          <w:sz w:val="24"/>
        </w:rPr>
        <w:t xml:space="preserve"> </w:t>
      </w:r>
      <w:r w:rsidRPr="005F5FF9">
        <w:rPr>
          <w:color w:val="000000"/>
          <w:sz w:val="24"/>
        </w:rPr>
        <w:t>strategic goal of safety</w:t>
      </w:r>
      <w:r w:rsidR="006E11C4">
        <w:rPr>
          <w:color w:val="000000"/>
          <w:sz w:val="24"/>
        </w:rPr>
        <w:t xml:space="preserve"> by establishing and monitoring</w:t>
      </w:r>
      <w:r w:rsidRPr="006E11C4" w:rsidR="006E11C4">
        <w:rPr>
          <w:sz w:val="24"/>
        </w:rPr>
        <w:t xml:space="preserve"> safe operating requirements for </w:t>
      </w:r>
      <w:r w:rsidR="006E11C4">
        <w:rPr>
          <w:sz w:val="24"/>
        </w:rPr>
        <w:t>motor</w:t>
      </w:r>
      <w:r w:rsidRPr="006E11C4" w:rsidR="006E11C4">
        <w:rPr>
          <w:sz w:val="24"/>
        </w:rPr>
        <w:t xml:space="preserve"> carriers,</w:t>
      </w:r>
      <w:r w:rsidR="000D4D8F">
        <w:rPr>
          <w:sz w:val="24"/>
        </w:rPr>
        <w:t xml:space="preserve"> commercial </w:t>
      </w:r>
      <w:r w:rsidR="001F1EAA">
        <w:rPr>
          <w:sz w:val="24"/>
        </w:rPr>
        <w:t xml:space="preserve">motor </w:t>
      </w:r>
      <w:r w:rsidR="000D4D8F">
        <w:rPr>
          <w:sz w:val="24"/>
        </w:rPr>
        <w:t>vehicle drivers,</w:t>
      </w:r>
      <w:r w:rsidRPr="006E11C4" w:rsidR="006E11C4">
        <w:rPr>
          <w:sz w:val="24"/>
        </w:rPr>
        <w:t xml:space="preserve"> vehicles, and vehicle equipment</w:t>
      </w:r>
      <w:r w:rsidR="006E11C4">
        <w:rPr>
          <w:rFonts w:ascii="Arial" w:hAnsi="Arial" w:cs="Arial"/>
        </w:rPr>
        <w:t>.</w:t>
      </w:r>
    </w:p>
    <w:p w:rsidR="00CE3ADF" w:rsidP="00CE3ADF" w14:paraId="14BB65F8" w14:textId="77777777">
      <w:pPr>
        <w:rPr>
          <w:color w:val="000000"/>
          <w:sz w:val="24"/>
        </w:rPr>
      </w:pPr>
    </w:p>
    <w:p w:rsidR="00AD1AD8" w:rsidRPr="00CE3ADF" w:rsidP="00CE3ADF" w14:paraId="359218CB" w14:textId="577966ED">
      <w:pPr>
        <w:pStyle w:val="Heading2"/>
        <w:numPr>
          <w:ilvl w:val="0"/>
          <w:numId w:val="10"/>
        </w:numPr>
        <w:spacing w:before="0"/>
        <w:ind w:left="360"/>
        <w:rPr>
          <w:rFonts w:ascii="Times New Roman" w:hAnsi="Times New Roman" w:cs="Times New Roman"/>
          <w:color w:val="000000"/>
          <w:sz w:val="24"/>
        </w:rPr>
      </w:pPr>
      <w:r w:rsidRPr="00CE3ADF">
        <w:rPr>
          <w:rFonts w:ascii="Times New Roman" w:hAnsi="Times New Roman" w:cs="Times New Roman"/>
          <w:b/>
          <w:bCs/>
          <w:color w:val="000000"/>
          <w:sz w:val="24"/>
        </w:rPr>
        <w:t>HOW, BY WHOM, AND FOR WHAT PURPOSE IS THE INFORMATION USED</w:t>
      </w:r>
    </w:p>
    <w:p w:rsidR="00CE3ADF" w:rsidP="00CE3ADF" w14:paraId="655F8728" w14:textId="77777777">
      <w:pPr>
        <w:rPr>
          <w:color w:val="000000"/>
          <w:sz w:val="24"/>
        </w:rPr>
      </w:pPr>
    </w:p>
    <w:p w:rsidR="00AD1AD8" w:rsidP="00084EB7" w14:paraId="3ADF25A5" w14:textId="79EBC7DE">
      <w:pPr>
        <w:ind w:left="360"/>
        <w:rPr>
          <w:sz w:val="24"/>
        </w:rPr>
      </w:pPr>
      <w:r w:rsidRPr="005F5FF9">
        <w:rPr>
          <w:color w:val="000000"/>
          <w:sz w:val="24"/>
        </w:rPr>
        <w:t xml:space="preserve">The information </w:t>
      </w:r>
      <w:r w:rsidR="003E260D">
        <w:rPr>
          <w:color w:val="000000"/>
          <w:sz w:val="24"/>
        </w:rPr>
        <w:t>captured o</w:t>
      </w:r>
      <w:r w:rsidRPr="005F5FF9">
        <w:rPr>
          <w:color w:val="000000"/>
          <w:sz w:val="24"/>
        </w:rPr>
        <w:t>n the Motor Carrier Identification Report</w:t>
      </w:r>
      <w:r w:rsidR="003E260D">
        <w:rPr>
          <w:color w:val="000000"/>
          <w:sz w:val="24"/>
        </w:rPr>
        <w:t xml:space="preserve">, </w:t>
      </w:r>
      <w:r w:rsidRPr="005F5FF9">
        <w:rPr>
          <w:color w:val="000000"/>
          <w:sz w:val="24"/>
        </w:rPr>
        <w:t>Form MCS-150</w:t>
      </w:r>
      <w:r w:rsidRPr="00E87A6C" w:rsidR="003E260D">
        <w:rPr>
          <w:sz w:val="24"/>
        </w:rPr>
        <w:t>,</w:t>
      </w:r>
      <w:r w:rsidR="003E260D">
        <w:rPr>
          <w:color w:val="FF0000"/>
          <w:sz w:val="24"/>
        </w:rPr>
        <w:t xml:space="preserve"> </w:t>
      </w:r>
      <w:r w:rsidRPr="005F5FF9">
        <w:rPr>
          <w:sz w:val="24"/>
        </w:rPr>
        <w:t>is used by FMCSA to</w:t>
      </w:r>
      <w:r w:rsidR="003E260D">
        <w:rPr>
          <w:sz w:val="24"/>
        </w:rPr>
        <w:t xml:space="preserve"> </w:t>
      </w:r>
      <w:r w:rsidRPr="005F5FF9">
        <w:rPr>
          <w:sz w:val="24"/>
        </w:rPr>
        <w:t xml:space="preserve">identify its regulated entities, to help prioritize the </w:t>
      </w:r>
      <w:r w:rsidR="00C96CC2">
        <w:rPr>
          <w:sz w:val="24"/>
        </w:rPr>
        <w:t>a</w:t>
      </w:r>
      <w:r w:rsidRPr="005F5FF9">
        <w:rPr>
          <w:sz w:val="24"/>
        </w:rPr>
        <w:t xml:space="preserve">gency’s </w:t>
      </w:r>
      <w:r w:rsidR="006E11C4">
        <w:rPr>
          <w:sz w:val="24"/>
        </w:rPr>
        <w:t xml:space="preserve">enforcement </w:t>
      </w:r>
      <w:r w:rsidRPr="005F5FF9">
        <w:rPr>
          <w:sz w:val="24"/>
        </w:rPr>
        <w:t>activities, to aid in assessing the safety outcomes of those activities</w:t>
      </w:r>
      <w:r w:rsidR="006726E9">
        <w:rPr>
          <w:sz w:val="24"/>
        </w:rPr>
        <w:t>,</w:t>
      </w:r>
      <w:r w:rsidRPr="005F5FF9">
        <w:rPr>
          <w:sz w:val="24"/>
        </w:rPr>
        <w:t xml:space="preserve"> and for statistical purposes.</w:t>
      </w:r>
    </w:p>
    <w:p w:rsidR="00CE3ADF" w:rsidRPr="005F5FF9" w:rsidP="00CE3ADF" w14:paraId="18D15598" w14:textId="77777777">
      <w:pPr>
        <w:rPr>
          <w:sz w:val="24"/>
        </w:rPr>
      </w:pPr>
    </w:p>
    <w:p w:rsidR="001C4314" w:rsidP="00084EB7" w14:paraId="323C0E5E" w14:textId="18D72915">
      <w:pPr>
        <w:ind w:left="360"/>
        <w:rPr>
          <w:rFonts w:cs="Arial"/>
          <w:sz w:val="24"/>
        </w:rPr>
      </w:pPr>
      <w:r w:rsidRPr="005F5FF9">
        <w:rPr>
          <w:rFonts w:cs="Arial"/>
          <w:sz w:val="24"/>
        </w:rPr>
        <w:t>FMCSA</w:t>
      </w:r>
      <w:r w:rsidRPr="005F5FF9" w:rsidR="007F10F2">
        <w:rPr>
          <w:rFonts w:cs="Arial"/>
          <w:sz w:val="24"/>
        </w:rPr>
        <w:t xml:space="preserve"> implement</w:t>
      </w:r>
      <w:r w:rsidRPr="005F5FF9" w:rsidR="00CD522D">
        <w:rPr>
          <w:rFonts w:cs="Arial"/>
          <w:sz w:val="24"/>
        </w:rPr>
        <w:t>ed</w:t>
      </w:r>
      <w:r w:rsidRPr="005F5FF9" w:rsidR="00B9070E">
        <w:rPr>
          <w:rFonts w:cs="Arial"/>
          <w:sz w:val="24"/>
        </w:rPr>
        <w:t xml:space="preserve"> </w:t>
      </w:r>
      <w:r w:rsidRPr="005F5FF9" w:rsidR="007F10F2">
        <w:rPr>
          <w:rFonts w:cs="Arial"/>
          <w:sz w:val="24"/>
        </w:rPr>
        <w:t>th</w:t>
      </w:r>
      <w:r w:rsidRPr="005F5FF9" w:rsidR="00367A96">
        <w:rPr>
          <w:rFonts w:cs="Arial"/>
          <w:sz w:val="24"/>
        </w:rPr>
        <w:t>e</w:t>
      </w:r>
      <w:r w:rsidRPr="005F5FF9" w:rsidR="00773C42">
        <w:rPr>
          <w:color w:val="000000"/>
          <w:sz w:val="24"/>
        </w:rPr>
        <w:t xml:space="preserve"> “Federal Motor Carrier Safety Regulations: Hazardous Materials </w:t>
      </w:r>
      <w:r w:rsidR="00E87A6C">
        <w:rPr>
          <w:color w:val="000000"/>
          <w:sz w:val="24"/>
        </w:rPr>
        <w:t xml:space="preserve">(HM) </w:t>
      </w:r>
      <w:r w:rsidRPr="005F5FF9" w:rsidR="00773C42">
        <w:rPr>
          <w:color w:val="000000"/>
          <w:sz w:val="24"/>
        </w:rPr>
        <w:t>Safety Permits”</w:t>
      </w:r>
      <w:r w:rsidR="00773C42">
        <w:rPr>
          <w:color w:val="000000"/>
          <w:sz w:val="24"/>
        </w:rPr>
        <w:t xml:space="preserve"> final rule</w:t>
      </w:r>
      <w:r w:rsidRPr="005F5FF9">
        <w:rPr>
          <w:rFonts w:cs="Arial"/>
          <w:sz w:val="24"/>
        </w:rPr>
        <w:t xml:space="preserve"> </w:t>
      </w:r>
      <w:r w:rsidRPr="005F5FF9" w:rsidR="000925D0">
        <w:rPr>
          <w:rFonts w:cs="Arial"/>
          <w:sz w:val="24"/>
        </w:rPr>
        <w:t>to require all HM</w:t>
      </w:r>
      <w:r w:rsidR="00B44E5B">
        <w:rPr>
          <w:rFonts w:cs="Arial"/>
          <w:sz w:val="24"/>
        </w:rPr>
        <w:t>-</w:t>
      </w:r>
      <w:r w:rsidRPr="005F5FF9" w:rsidR="00517D76">
        <w:rPr>
          <w:rFonts w:cs="Arial"/>
          <w:sz w:val="24"/>
        </w:rPr>
        <w:t xml:space="preserve">permitted </w:t>
      </w:r>
      <w:r w:rsidRPr="005F5FF9" w:rsidR="000925D0">
        <w:rPr>
          <w:rFonts w:cs="Arial"/>
          <w:sz w:val="24"/>
        </w:rPr>
        <w:t xml:space="preserve">carriers to complete </w:t>
      </w:r>
      <w:r w:rsidRPr="005F5FF9">
        <w:rPr>
          <w:rFonts w:cs="Arial"/>
          <w:sz w:val="24"/>
        </w:rPr>
        <w:t>Form MCS-150B</w:t>
      </w:r>
      <w:r w:rsidR="00380184">
        <w:rPr>
          <w:rFonts w:cs="Arial"/>
          <w:sz w:val="24"/>
        </w:rPr>
        <w:t>,</w:t>
      </w:r>
      <w:r w:rsidRPr="005F5FF9">
        <w:rPr>
          <w:rFonts w:cs="Arial"/>
          <w:sz w:val="24"/>
        </w:rPr>
        <w:t xml:space="preserve"> </w:t>
      </w:r>
      <w:r w:rsidR="00380184">
        <w:rPr>
          <w:rFonts w:cs="Arial"/>
          <w:sz w:val="24"/>
        </w:rPr>
        <w:t xml:space="preserve">titled </w:t>
      </w:r>
      <w:r w:rsidRPr="005F5FF9">
        <w:rPr>
          <w:rFonts w:cs="Arial"/>
          <w:sz w:val="24"/>
        </w:rPr>
        <w:t>“</w:t>
      </w:r>
      <w:r w:rsidRPr="005F5FF9" w:rsidR="00766582">
        <w:rPr>
          <w:rFonts w:cs="Arial"/>
          <w:sz w:val="24"/>
        </w:rPr>
        <w:t xml:space="preserve">Consolidated Motor Carrier Identification Report and </w:t>
      </w:r>
      <w:r w:rsidRPr="005F5FF9">
        <w:rPr>
          <w:rFonts w:cs="Arial"/>
          <w:sz w:val="24"/>
        </w:rPr>
        <w:t>HM Permit Application</w:t>
      </w:r>
      <w:r w:rsidRPr="005F5FF9" w:rsidR="00B9070E">
        <w:rPr>
          <w:rFonts w:cs="Arial"/>
          <w:sz w:val="24"/>
        </w:rPr>
        <w:t>,”</w:t>
      </w:r>
      <w:r w:rsidRPr="005F5FF9" w:rsidR="00766582">
        <w:rPr>
          <w:rFonts w:cs="Arial"/>
          <w:sz w:val="24"/>
        </w:rPr>
        <w:t xml:space="preserve"> </w:t>
      </w:r>
      <w:r w:rsidRPr="005F5FF9">
        <w:rPr>
          <w:rFonts w:cs="Arial"/>
          <w:sz w:val="24"/>
        </w:rPr>
        <w:t>to provide the limited additional information required for issuance of a safety permit</w:t>
      </w:r>
      <w:r w:rsidRPr="005F5FF9" w:rsidR="000925D0">
        <w:rPr>
          <w:rFonts w:cs="Arial"/>
          <w:sz w:val="24"/>
        </w:rPr>
        <w:t xml:space="preserve"> to transport hazardous materials</w:t>
      </w:r>
      <w:r w:rsidRPr="005F5FF9">
        <w:rPr>
          <w:rFonts w:cs="Arial"/>
          <w:sz w:val="24"/>
        </w:rPr>
        <w:t xml:space="preserve">. </w:t>
      </w:r>
      <w:bookmarkStart w:id="0" w:name="OLE_LINK4"/>
      <w:r w:rsidRPr="00B87E03">
        <w:rPr>
          <w:rFonts w:cs="Arial"/>
          <w:sz w:val="24"/>
        </w:rPr>
        <w:t xml:space="preserve">The safety program </w:t>
      </w:r>
      <w:r w:rsidRPr="00B87E03" w:rsidR="00CD522D">
        <w:rPr>
          <w:rFonts w:cs="Arial"/>
          <w:sz w:val="24"/>
        </w:rPr>
        <w:t>now</w:t>
      </w:r>
      <w:r w:rsidRPr="00B87E03">
        <w:rPr>
          <w:rFonts w:cs="Arial"/>
          <w:sz w:val="24"/>
        </w:rPr>
        <w:t xml:space="preserve"> require</w:t>
      </w:r>
      <w:r w:rsidRPr="00B87E03" w:rsidR="00E377DC">
        <w:rPr>
          <w:rFonts w:cs="Arial"/>
          <w:sz w:val="24"/>
        </w:rPr>
        <w:t>s</w:t>
      </w:r>
      <w:r w:rsidRPr="00B87E03">
        <w:rPr>
          <w:rFonts w:cs="Arial"/>
          <w:sz w:val="24"/>
        </w:rPr>
        <w:t xml:space="preserve"> </w:t>
      </w:r>
      <w:r w:rsidRPr="00B87E03" w:rsidR="00B8057A">
        <w:rPr>
          <w:rFonts w:cs="Arial"/>
          <w:sz w:val="24"/>
        </w:rPr>
        <w:t xml:space="preserve">all </w:t>
      </w:r>
      <w:r w:rsidR="006408F1">
        <w:rPr>
          <w:rFonts w:cs="Arial"/>
          <w:sz w:val="24"/>
        </w:rPr>
        <w:t xml:space="preserve">new </w:t>
      </w:r>
      <w:r w:rsidRPr="00B87E03" w:rsidR="00B8057A">
        <w:rPr>
          <w:rFonts w:cs="Arial"/>
          <w:sz w:val="24"/>
        </w:rPr>
        <w:t xml:space="preserve">HM permitted </w:t>
      </w:r>
      <w:r w:rsidRPr="00B87E03">
        <w:rPr>
          <w:rFonts w:cs="Arial"/>
          <w:sz w:val="24"/>
        </w:rPr>
        <w:t>carriers to complete Form MCS-150</w:t>
      </w:r>
      <w:r w:rsidRPr="00B87E03" w:rsidR="007F10F2">
        <w:rPr>
          <w:rFonts w:cs="Arial"/>
          <w:sz w:val="24"/>
        </w:rPr>
        <w:t>B</w:t>
      </w:r>
      <w:r w:rsidRPr="00B87E03">
        <w:rPr>
          <w:rFonts w:cs="Arial"/>
          <w:sz w:val="24"/>
        </w:rPr>
        <w:t xml:space="preserve"> in place of </w:t>
      </w:r>
      <w:r w:rsidRPr="00B87E03" w:rsidR="007F10F2">
        <w:rPr>
          <w:rFonts w:cs="Arial"/>
          <w:sz w:val="24"/>
        </w:rPr>
        <w:t xml:space="preserve">the current </w:t>
      </w:r>
      <w:r w:rsidRPr="00B87E03">
        <w:rPr>
          <w:rFonts w:cs="Arial"/>
          <w:sz w:val="24"/>
        </w:rPr>
        <w:t>Form MCS-</w:t>
      </w:r>
      <w:bookmarkStart w:id="1" w:name="OLE_LINK3"/>
      <w:r w:rsidRPr="00B87E03" w:rsidR="00613946">
        <w:rPr>
          <w:rFonts w:cs="Arial"/>
          <w:sz w:val="24"/>
        </w:rPr>
        <w:t>150</w:t>
      </w:r>
      <w:r w:rsidRPr="00B87E03">
        <w:rPr>
          <w:rFonts w:cs="Arial"/>
          <w:sz w:val="24"/>
        </w:rPr>
        <w:t>.</w:t>
      </w:r>
      <w:r w:rsidRPr="005F5FF9">
        <w:rPr>
          <w:rFonts w:cs="Arial"/>
          <w:sz w:val="24"/>
        </w:rPr>
        <w:t xml:space="preserve"> In addition, </w:t>
      </w:r>
      <w:r w:rsidRPr="005F5FF9" w:rsidR="00B8057A">
        <w:rPr>
          <w:rFonts w:cs="Arial"/>
          <w:sz w:val="24"/>
        </w:rPr>
        <w:t>HM</w:t>
      </w:r>
      <w:r w:rsidR="00B44E5B">
        <w:rPr>
          <w:rFonts w:cs="Arial"/>
          <w:sz w:val="24"/>
        </w:rPr>
        <w:t>-</w:t>
      </w:r>
      <w:r w:rsidRPr="005F5FF9">
        <w:rPr>
          <w:rFonts w:cs="Arial"/>
          <w:sz w:val="24"/>
        </w:rPr>
        <w:t xml:space="preserve">permitted carriers must complete the MCS-150B in place of the MCS-150 to </w:t>
      </w:r>
      <w:r w:rsidRPr="005F5FF9" w:rsidR="00B8057A">
        <w:rPr>
          <w:rFonts w:cs="Arial"/>
          <w:sz w:val="24"/>
        </w:rPr>
        <w:t>“</w:t>
      </w:r>
      <w:r w:rsidRPr="005F5FF9">
        <w:rPr>
          <w:rFonts w:cs="Arial"/>
          <w:sz w:val="24"/>
        </w:rPr>
        <w:t>renew</w:t>
      </w:r>
      <w:r w:rsidRPr="005F5FF9" w:rsidR="00B8057A">
        <w:rPr>
          <w:rFonts w:cs="Arial"/>
          <w:sz w:val="24"/>
        </w:rPr>
        <w:t xml:space="preserve">” </w:t>
      </w:r>
      <w:r w:rsidRPr="005F5FF9">
        <w:rPr>
          <w:rFonts w:cs="Arial"/>
          <w:sz w:val="24"/>
        </w:rPr>
        <w:t xml:space="preserve">both their permit and their </w:t>
      </w:r>
      <w:r w:rsidR="00B44E5B">
        <w:rPr>
          <w:rFonts w:cs="Arial"/>
          <w:sz w:val="24"/>
        </w:rPr>
        <w:t>USDOT</w:t>
      </w:r>
      <w:r w:rsidRPr="005F5FF9">
        <w:rPr>
          <w:rFonts w:cs="Arial"/>
          <w:sz w:val="24"/>
        </w:rPr>
        <w:t xml:space="preserve"> numbers according to the </w:t>
      </w:r>
      <w:r w:rsidR="00B44E5B">
        <w:rPr>
          <w:rFonts w:cs="Arial"/>
          <w:sz w:val="24"/>
        </w:rPr>
        <w:t>USDOT</w:t>
      </w:r>
      <w:r w:rsidRPr="005F5FF9">
        <w:rPr>
          <w:rFonts w:cs="Arial"/>
          <w:sz w:val="24"/>
        </w:rPr>
        <w:t xml:space="preserve"> number renewal schedule</w:t>
      </w:r>
      <w:r w:rsidRPr="005F5FF9" w:rsidR="00613946">
        <w:rPr>
          <w:rFonts w:cs="Arial"/>
          <w:sz w:val="24"/>
        </w:rPr>
        <w:t xml:space="preserve"> in 49 CFR</w:t>
      </w:r>
      <w:r w:rsidR="00773C42">
        <w:rPr>
          <w:rFonts w:cs="Arial"/>
          <w:sz w:val="24"/>
        </w:rPr>
        <w:t xml:space="preserve"> </w:t>
      </w:r>
      <w:r w:rsidR="00773C42">
        <w:rPr>
          <w:sz w:val="24"/>
        </w:rPr>
        <w:t>§</w:t>
      </w:r>
      <w:r w:rsidRPr="005F5FF9" w:rsidR="00613946">
        <w:rPr>
          <w:rFonts w:cs="Arial"/>
          <w:sz w:val="24"/>
        </w:rPr>
        <w:t xml:space="preserve"> 390.19</w:t>
      </w:r>
      <w:r w:rsidR="00BC2535">
        <w:rPr>
          <w:rFonts w:cs="Arial"/>
          <w:sz w:val="24"/>
        </w:rPr>
        <w:t xml:space="preserve"> (see Attachment </w:t>
      </w:r>
      <w:r w:rsidR="006920B3">
        <w:rPr>
          <w:rFonts w:cs="Arial"/>
          <w:sz w:val="24"/>
        </w:rPr>
        <w:t>A</w:t>
      </w:r>
      <w:r w:rsidR="00BC2535">
        <w:rPr>
          <w:rFonts w:cs="Arial"/>
          <w:sz w:val="24"/>
        </w:rPr>
        <w:t>)</w:t>
      </w:r>
      <w:r w:rsidR="006408F1">
        <w:rPr>
          <w:rFonts w:cs="Arial"/>
          <w:sz w:val="24"/>
        </w:rPr>
        <w:t xml:space="preserve"> or to provide biennial updates and or ad hoc changes.</w:t>
      </w:r>
    </w:p>
    <w:p w:rsidR="00CE3ADF" w:rsidP="00CE3ADF" w14:paraId="30E42F13" w14:textId="77777777">
      <w:pPr>
        <w:rPr>
          <w:rFonts w:cs="Arial"/>
          <w:sz w:val="24"/>
        </w:rPr>
      </w:pPr>
    </w:p>
    <w:p w:rsidR="00084EB7" w:rsidP="00084EB7" w14:paraId="333D07AB" w14:textId="77777777">
      <w:pPr>
        <w:ind w:left="360"/>
        <w:rPr>
          <w:sz w:val="24"/>
        </w:rPr>
      </w:pPr>
      <w:r w:rsidRPr="005F5FF9">
        <w:rPr>
          <w:sz w:val="24"/>
        </w:rPr>
        <w:t xml:space="preserve">FMCSA implemented the </w:t>
      </w:r>
      <w:r w:rsidRPr="002D786C" w:rsidR="00773C42">
        <w:rPr>
          <w:sz w:val="24"/>
        </w:rPr>
        <w:t>“</w:t>
      </w:r>
      <w:r w:rsidR="00773C42">
        <w:rPr>
          <w:sz w:val="24"/>
        </w:rPr>
        <w:t>Requirements for Intermodal Equipment Providers</w:t>
      </w:r>
      <w:r w:rsidR="00E87A6C">
        <w:rPr>
          <w:sz w:val="24"/>
        </w:rPr>
        <w:t xml:space="preserve"> (IEP)</w:t>
      </w:r>
      <w:r w:rsidR="00773C42">
        <w:rPr>
          <w:sz w:val="24"/>
        </w:rPr>
        <w:t xml:space="preserve"> and for Motor Carriers and Drivers Operating Intermodal Equipment</w:t>
      </w:r>
      <w:r w:rsidRPr="002D786C" w:rsidR="00773C42">
        <w:rPr>
          <w:sz w:val="24"/>
        </w:rPr>
        <w:t xml:space="preserve">” </w:t>
      </w:r>
      <w:r w:rsidRPr="005F5FF9">
        <w:rPr>
          <w:sz w:val="24"/>
        </w:rPr>
        <w:t xml:space="preserve">final rule </w:t>
      </w:r>
      <w:r w:rsidRPr="002D786C" w:rsidR="00380184">
        <w:rPr>
          <w:sz w:val="24"/>
        </w:rPr>
        <w:t>(see Attachment</w:t>
      </w:r>
      <w:r w:rsidR="00E92682">
        <w:rPr>
          <w:sz w:val="24"/>
        </w:rPr>
        <w:t xml:space="preserve"> </w:t>
      </w:r>
      <w:r w:rsidR="006920B3">
        <w:rPr>
          <w:sz w:val="24"/>
        </w:rPr>
        <w:t>B</w:t>
      </w:r>
      <w:r w:rsidR="00380184">
        <w:rPr>
          <w:sz w:val="24"/>
        </w:rPr>
        <w:t>)</w:t>
      </w:r>
      <w:r w:rsidRPr="005F5FF9" w:rsidR="00380184">
        <w:rPr>
          <w:sz w:val="24"/>
        </w:rPr>
        <w:t xml:space="preserve"> </w:t>
      </w:r>
      <w:r w:rsidRPr="005F5FF9">
        <w:rPr>
          <w:sz w:val="24"/>
        </w:rPr>
        <w:t xml:space="preserve">to require all </w:t>
      </w:r>
      <w:r w:rsidR="006726E9">
        <w:rPr>
          <w:sz w:val="24"/>
        </w:rPr>
        <w:t>IEPs</w:t>
      </w:r>
      <w:r w:rsidRPr="005F5FF9">
        <w:rPr>
          <w:sz w:val="24"/>
        </w:rPr>
        <w:t xml:space="preserve"> to complete Form MCS-150C</w:t>
      </w:r>
      <w:r w:rsidR="00380184">
        <w:rPr>
          <w:sz w:val="24"/>
        </w:rPr>
        <w:t>,</w:t>
      </w:r>
      <w:r w:rsidRPr="005F5FF9">
        <w:rPr>
          <w:sz w:val="24"/>
        </w:rPr>
        <w:t xml:space="preserve"> entitled "Intermodal Equipment Provider Identification Report</w:t>
      </w:r>
      <w:r w:rsidR="006726E9">
        <w:rPr>
          <w:sz w:val="24"/>
        </w:rPr>
        <w:t>,</w:t>
      </w:r>
      <w:r w:rsidRPr="005F5FF9">
        <w:rPr>
          <w:sz w:val="24"/>
        </w:rPr>
        <w:t xml:space="preserve">" </w:t>
      </w:r>
      <w:r w:rsidRPr="005F5FF9">
        <w:rPr>
          <w:sz w:val="24"/>
        </w:rPr>
        <w:t>in order to</w:t>
      </w:r>
      <w:r w:rsidRPr="005F5FF9">
        <w:rPr>
          <w:sz w:val="24"/>
        </w:rPr>
        <w:t xml:space="preserve"> register with the </w:t>
      </w:r>
      <w:r w:rsidR="00C96CC2">
        <w:rPr>
          <w:sz w:val="24"/>
        </w:rPr>
        <w:t>a</w:t>
      </w:r>
      <w:r w:rsidRPr="005F5FF9">
        <w:rPr>
          <w:sz w:val="24"/>
        </w:rPr>
        <w:t>gency and receive a USDOT number.</w:t>
      </w:r>
      <w:r w:rsidR="000C1126">
        <w:rPr>
          <w:sz w:val="24"/>
        </w:rPr>
        <w:t xml:space="preserve"> </w:t>
      </w:r>
      <w:r w:rsidRPr="005F5FF9">
        <w:rPr>
          <w:sz w:val="24"/>
        </w:rPr>
        <w:t xml:space="preserve">FMCSA now regulates </w:t>
      </w:r>
      <w:r w:rsidR="00E87A6C">
        <w:rPr>
          <w:sz w:val="24"/>
        </w:rPr>
        <w:t>IEPs</w:t>
      </w:r>
      <w:r w:rsidRPr="005F5FF9">
        <w:rPr>
          <w:sz w:val="24"/>
        </w:rPr>
        <w:t xml:space="preserve"> and requires them to complete Form MCS-150C, instead of </w:t>
      </w:r>
    </w:p>
    <w:p w:rsidR="00084EB7" w:rsidP="00084EB7" w14:paraId="2FF50604" w14:textId="77777777">
      <w:pPr>
        <w:ind w:left="360"/>
        <w:rPr>
          <w:sz w:val="24"/>
        </w:rPr>
      </w:pPr>
    </w:p>
    <w:p w:rsidR="00084EB7" w:rsidP="00084EB7" w14:paraId="71C04FBD" w14:textId="77777777">
      <w:pPr>
        <w:ind w:left="360"/>
        <w:rPr>
          <w:sz w:val="24"/>
        </w:rPr>
      </w:pPr>
    </w:p>
    <w:p w:rsidR="001C4314" w:rsidRPr="005F5FF9" w:rsidP="00084EB7" w14:paraId="62253FD1" w14:textId="65F48C89">
      <w:pPr>
        <w:ind w:left="360"/>
        <w:rPr>
          <w:sz w:val="24"/>
        </w:rPr>
      </w:pPr>
      <w:r w:rsidRPr="005F5FF9">
        <w:rPr>
          <w:sz w:val="24"/>
        </w:rPr>
        <w:t xml:space="preserve">Form MCS-150. In addition, </w:t>
      </w:r>
      <w:r w:rsidR="00E87A6C">
        <w:rPr>
          <w:sz w:val="24"/>
        </w:rPr>
        <w:t>IEPs</w:t>
      </w:r>
      <w:r w:rsidRPr="005F5FF9">
        <w:rPr>
          <w:sz w:val="24"/>
        </w:rPr>
        <w:t xml:space="preserve"> must complete Form MCS-150C to update their USDOT number record according to the USDOT number update schedule in 49 CFR 390.19</w:t>
      </w:r>
      <w:r w:rsidR="00EF6B6F">
        <w:rPr>
          <w:sz w:val="24"/>
        </w:rPr>
        <w:t xml:space="preserve"> </w:t>
      </w:r>
      <w:r w:rsidR="00EF6B6F">
        <w:rPr>
          <w:rFonts w:cs="Arial"/>
          <w:sz w:val="24"/>
        </w:rPr>
        <w:t>or to provide biennial updates and or ad hoc changes.</w:t>
      </w:r>
    </w:p>
    <w:p w:rsidR="00B71E0E" w:rsidP="00CE3ADF" w14:paraId="71F7AAA1" w14:textId="77777777">
      <w:pPr>
        <w:rPr>
          <w:sz w:val="24"/>
        </w:rPr>
      </w:pPr>
    </w:p>
    <w:p w:rsidR="001C4314" w:rsidP="00084EB7" w14:paraId="713109EC" w14:textId="37B69179">
      <w:pPr>
        <w:ind w:left="360"/>
        <w:rPr>
          <w:sz w:val="24"/>
        </w:rPr>
      </w:pPr>
      <w:r w:rsidRPr="005F5FF9">
        <w:rPr>
          <w:sz w:val="24"/>
        </w:rPr>
        <w:t>This ICR has been disaggregated into three information collections (ICs) as follow:</w:t>
      </w:r>
    </w:p>
    <w:p w:rsidR="00CE3ADF" w:rsidRPr="005F5FF9" w:rsidP="00CE3ADF" w14:paraId="7A45B8E6" w14:textId="77777777">
      <w:pPr>
        <w:rPr>
          <w:sz w:val="24"/>
        </w:rPr>
      </w:pPr>
    </w:p>
    <w:p w:rsidR="001D1F97" w:rsidRPr="002252D0" w:rsidP="00CE3ADF" w14:paraId="6C3E0FF7" w14:textId="229B2CB8">
      <w:pPr>
        <w:numPr>
          <w:ilvl w:val="0"/>
          <w:numId w:val="3"/>
        </w:numPr>
        <w:rPr>
          <w:sz w:val="24"/>
        </w:rPr>
      </w:pPr>
      <w:r w:rsidRPr="002252D0">
        <w:rPr>
          <w:sz w:val="24"/>
        </w:rPr>
        <w:t>IC-1,</w:t>
      </w:r>
      <w:r w:rsidRPr="002252D0" w:rsidR="00186D4D">
        <w:rPr>
          <w:sz w:val="24"/>
        </w:rPr>
        <w:t xml:space="preserve"> </w:t>
      </w:r>
      <w:r w:rsidRPr="002252D0">
        <w:rPr>
          <w:sz w:val="24"/>
        </w:rPr>
        <w:t>Form MCS-150, Motor Carrier Identification Report. The Form MCS-150</w:t>
      </w:r>
      <w:r w:rsidRPr="002252D0" w:rsidR="00A24726">
        <w:rPr>
          <w:sz w:val="24"/>
        </w:rPr>
        <w:t xml:space="preserve"> </w:t>
      </w:r>
      <w:r w:rsidRPr="002252D0">
        <w:rPr>
          <w:sz w:val="24"/>
        </w:rPr>
        <w:t xml:space="preserve">is </w:t>
      </w:r>
      <w:r w:rsidRPr="002252D0" w:rsidR="00A24726">
        <w:rPr>
          <w:sz w:val="24"/>
        </w:rPr>
        <w:t>filed</w:t>
      </w:r>
      <w:r w:rsidRPr="002252D0">
        <w:rPr>
          <w:sz w:val="24"/>
        </w:rPr>
        <w:t xml:space="preserve"> </w:t>
      </w:r>
      <w:r w:rsidRPr="00E87A6C" w:rsidR="00712DE5">
        <w:rPr>
          <w:sz w:val="24"/>
        </w:rPr>
        <w:t>by new</w:t>
      </w:r>
      <w:r w:rsidR="00712DE5">
        <w:rPr>
          <w:sz w:val="24"/>
        </w:rPr>
        <w:t xml:space="preserve">, biennial, </w:t>
      </w:r>
      <w:r w:rsidR="00EF6B6F">
        <w:rPr>
          <w:sz w:val="24"/>
        </w:rPr>
        <w:t xml:space="preserve">and/or </w:t>
      </w:r>
      <w:r w:rsidR="00712DE5">
        <w:rPr>
          <w:sz w:val="24"/>
        </w:rPr>
        <w:t>ad</w:t>
      </w:r>
      <w:r w:rsidR="0063061B">
        <w:rPr>
          <w:sz w:val="24"/>
        </w:rPr>
        <w:t xml:space="preserve"> </w:t>
      </w:r>
      <w:r w:rsidR="00712DE5">
        <w:rPr>
          <w:sz w:val="24"/>
        </w:rPr>
        <w:t xml:space="preserve">hoc changes </w:t>
      </w:r>
      <w:r w:rsidR="00E87A6C">
        <w:rPr>
          <w:sz w:val="24"/>
        </w:rPr>
        <w:t xml:space="preserve">by </w:t>
      </w:r>
      <w:r w:rsidR="00712DE5">
        <w:rPr>
          <w:sz w:val="24"/>
        </w:rPr>
        <w:t>Mexico-domiciled carriers. This form is also filed by non-</w:t>
      </w:r>
      <w:r w:rsidR="00E87A6C">
        <w:rPr>
          <w:sz w:val="24"/>
        </w:rPr>
        <w:t>HM</w:t>
      </w:r>
      <w:r w:rsidR="0063061B">
        <w:rPr>
          <w:sz w:val="24"/>
        </w:rPr>
        <w:t xml:space="preserve"> carriers, </w:t>
      </w:r>
      <w:r w:rsidR="00712DE5">
        <w:rPr>
          <w:sz w:val="24"/>
        </w:rPr>
        <w:t xml:space="preserve">non-Mexico-domiciled carriers </w:t>
      </w:r>
      <w:r w:rsidR="0063061B">
        <w:rPr>
          <w:sz w:val="24"/>
        </w:rPr>
        <w:t>and non-</w:t>
      </w:r>
      <w:r w:rsidR="00E87A6C">
        <w:rPr>
          <w:sz w:val="24"/>
        </w:rPr>
        <w:t>IEP</w:t>
      </w:r>
      <w:r w:rsidR="0063061B">
        <w:rPr>
          <w:sz w:val="24"/>
        </w:rPr>
        <w:t xml:space="preserve"> carriers </w:t>
      </w:r>
      <w:r w:rsidR="000E61BA">
        <w:rPr>
          <w:sz w:val="24"/>
        </w:rPr>
        <w:t xml:space="preserve">on </w:t>
      </w:r>
      <w:r w:rsidRPr="0063061B" w:rsidR="000E61BA">
        <w:rPr>
          <w:sz w:val="24"/>
        </w:rPr>
        <w:t>a biennial basis or on an ad hoc</w:t>
      </w:r>
      <w:r w:rsidR="000E61BA">
        <w:rPr>
          <w:sz w:val="24"/>
        </w:rPr>
        <w:t xml:space="preserve"> basis.</w:t>
      </w:r>
      <w:r w:rsidR="00F54CAB">
        <w:rPr>
          <w:sz w:val="24"/>
        </w:rPr>
        <w:t xml:space="preserve">  </w:t>
      </w:r>
    </w:p>
    <w:p w:rsidR="001E6230" w:rsidP="00CE3ADF" w14:paraId="65615A2D" w14:textId="11217737">
      <w:pPr>
        <w:numPr>
          <w:ilvl w:val="0"/>
          <w:numId w:val="3"/>
        </w:numPr>
        <w:rPr>
          <w:sz w:val="24"/>
        </w:rPr>
      </w:pPr>
      <w:r w:rsidRPr="005F5FF9">
        <w:rPr>
          <w:sz w:val="24"/>
        </w:rPr>
        <w:t>IC-</w:t>
      </w:r>
      <w:r w:rsidRPr="005F5FF9" w:rsidR="007024CF">
        <w:rPr>
          <w:sz w:val="24"/>
        </w:rPr>
        <w:t>2</w:t>
      </w:r>
      <w:r w:rsidRPr="005F5FF9">
        <w:rPr>
          <w:sz w:val="24"/>
        </w:rPr>
        <w:t>, Form MCS-150B, Combined Motor Carrier Identification and HM Permit Application. The Form MCS-150B is filed by interstate</w:t>
      </w:r>
      <w:r w:rsidR="000C1126">
        <w:rPr>
          <w:sz w:val="24"/>
        </w:rPr>
        <w:t xml:space="preserve"> and intrastate</w:t>
      </w:r>
      <w:r w:rsidRPr="005F5FF9">
        <w:rPr>
          <w:sz w:val="24"/>
        </w:rPr>
        <w:t xml:space="preserve"> motor carriers that transport the permitted </w:t>
      </w:r>
      <w:r w:rsidR="00E87A6C">
        <w:rPr>
          <w:sz w:val="24"/>
        </w:rPr>
        <w:t>HM</w:t>
      </w:r>
      <w:r w:rsidRPr="005F5FF9">
        <w:rPr>
          <w:sz w:val="24"/>
        </w:rPr>
        <w:t>.</w:t>
      </w:r>
      <w:r w:rsidR="00693A56">
        <w:rPr>
          <w:sz w:val="24"/>
        </w:rPr>
        <w:t xml:space="preserve"> It is also used by </w:t>
      </w:r>
      <w:r w:rsidR="00E87A6C">
        <w:rPr>
          <w:sz w:val="24"/>
        </w:rPr>
        <w:t>HM</w:t>
      </w:r>
      <w:r w:rsidR="00EF6B6F">
        <w:rPr>
          <w:sz w:val="24"/>
        </w:rPr>
        <w:t xml:space="preserve"> </w:t>
      </w:r>
      <w:r w:rsidR="00693A56">
        <w:rPr>
          <w:sz w:val="24"/>
        </w:rPr>
        <w:t>motor carriers needing to update previously submitted information, and on a biennial update basis</w:t>
      </w:r>
      <w:r w:rsidR="00EF6B6F">
        <w:rPr>
          <w:sz w:val="24"/>
        </w:rPr>
        <w:t xml:space="preserve"> or an ad</w:t>
      </w:r>
      <w:r w:rsidR="0063061B">
        <w:rPr>
          <w:sz w:val="24"/>
        </w:rPr>
        <w:t xml:space="preserve"> </w:t>
      </w:r>
      <w:r w:rsidR="00EF6B6F">
        <w:rPr>
          <w:sz w:val="24"/>
        </w:rPr>
        <w:t>hoc basis</w:t>
      </w:r>
      <w:r w:rsidR="00693A56">
        <w:rPr>
          <w:sz w:val="24"/>
        </w:rPr>
        <w:t>.</w:t>
      </w:r>
      <w:r w:rsidR="00F54CAB">
        <w:rPr>
          <w:sz w:val="24"/>
        </w:rPr>
        <w:t xml:space="preserve"> </w:t>
      </w:r>
      <w:r w:rsidRPr="005F5FF9" w:rsidR="00272908">
        <w:rPr>
          <w:sz w:val="24"/>
        </w:rPr>
        <w:t xml:space="preserve"> </w:t>
      </w:r>
    </w:p>
    <w:p w:rsidR="00EF5432" w:rsidRPr="00CE3ADF" w:rsidP="00CE3ADF" w14:paraId="5F1F8038" w14:textId="47CD10D6">
      <w:pPr>
        <w:pStyle w:val="ListParagraph"/>
        <w:numPr>
          <w:ilvl w:val="0"/>
          <w:numId w:val="3"/>
        </w:numPr>
        <w:rPr>
          <w:bCs/>
          <w:sz w:val="24"/>
        </w:rPr>
      </w:pPr>
      <w:r w:rsidRPr="00A13835">
        <w:rPr>
          <w:sz w:val="24"/>
        </w:rPr>
        <w:t xml:space="preserve">IC-3, </w:t>
      </w:r>
      <w:bookmarkEnd w:id="0"/>
      <w:bookmarkEnd w:id="1"/>
      <w:r w:rsidRPr="00A13835" w:rsidR="001E6230">
        <w:rPr>
          <w:sz w:val="24"/>
        </w:rPr>
        <w:t>Form MCS-150C, Intermodal Equipment Provider Identification Report.  The Form MCS-1</w:t>
      </w:r>
      <w:r w:rsidRPr="00A13835" w:rsidR="00585F7B">
        <w:rPr>
          <w:sz w:val="24"/>
        </w:rPr>
        <w:t xml:space="preserve">50C is filed </w:t>
      </w:r>
      <w:r w:rsidR="007160EB">
        <w:rPr>
          <w:sz w:val="24"/>
        </w:rPr>
        <w:t xml:space="preserve">by </w:t>
      </w:r>
      <w:r w:rsidR="00592865">
        <w:rPr>
          <w:sz w:val="24"/>
        </w:rPr>
        <w:t>IEPs</w:t>
      </w:r>
      <w:r w:rsidRPr="00A13835" w:rsidR="007024CF">
        <w:rPr>
          <w:sz w:val="24"/>
        </w:rPr>
        <w:t xml:space="preserve"> </w:t>
      </w:r>
      <w:r w:rsidR="00EF6B6F">
        <w:rPr>
          <w:sz w:val="24"/>
        </w:rPr>
        <w:t xml:space="preserve">beginning operations </w:t>
      </w:r>
      <w:r w:rsidRPr="00A13835" w:rsidR="007024CF">
        <w:rPr>
          <w:sz w:val="24"/>
        </w:rPr>
        <w:t>that interchange intermodal equipment with a motor carrier or ha</w:t>
      </w:r>
      <w:r w:rsidR="00592865">
        <w:rPr>
          <w:sz w:val="24"/>
        </w:rPr>
        <w:t>ve</w:t>
      </w:r>
      <w:r w:rsidRPr="00A13835" w:rsidR="007024CF">
        <w:rPr>
          <w:sz w:val="24"/>
        </w:rPr>
        <w:t xml:space="preserve"> contractual responsibility for the maintenance of the intermodal </w:t>
      </w:r>
      <w:r w:rsidRPr="00A13835" w:rsidR="00712DE5">
        <w:rPr>
          <w:sz w:val="24"/>
        </w:rPr>
        <w:t>e</w:t>
      </w:r>
      <w:r w:rsidR="00712DE5">
        <w:rPr>
          <w:sz w:val="24"/>
        </w:rPr>
        <w:t>q</w:t>
      </w:r>
      <w:r w:rsidRPr="00A13835" w:rsidR="00712DE5">
        <w:rPr>
          <w:sz w:val="24"/>
        </w:rPr>
        <w:t>uipment</w:t>
      </w:r>
      <w:r w:rsidRPr="00A13835" w:rsidR="007024CF">
        <w:rPr>
          <w:sz w:val="24"/>
        </w:rPr>
        <w:t>.</w:t>
      </w:r>
      <w:r w:rsidR="00693A56">
        <w:rPr>
          <w:sz w:val="24"/>
        </w:rPr>
        <w:t xml:space="preserve"> </w:t>
      </w:r>
      <w:r w:rsidR="00EF6B6F">
        <w:rPr>
          <w:sz w:val="24"/>
        </w:rPr>
        <w:t xml:space="preserve">Form MCS-150B is also filed by IEPs providing biennial updates or </w:t>
      </w:r>
      <w:r w:rsidR="007A2E59">
        <w:rPr>
          <w:sz w:val="24"/>
        </w:rPr>
        <w:t>ad</w:t>
      </w:r>
      <w:r w:rsidR="0063061B">
        <w:rPr>
          <w:sz w:val="24"/>
        </w:rPr>
        <w:t xml:space="preserve"> </w:t>
      </w:r>
      <w:r w:rsidR="007A2E59">
        <w:rPr>
          <w:sz w:val="24"/>
        </w:rPr>
        <w:t>hoc changes.</w:t>
      </w:r>
    </w:p>
    <w:p w:rsidR="00CE3ADF" w:rsidRPr="00CE3ADF" w:rsidP="00CE3ADF" w14:paraId="4668B117" w14:textId="77777777">
      <w:pPr>
        <w:rPr>
          <w:bCs/>
          <w:sz w:val="24"/>
        </w:rPr>
      </w:pPr>
    </w:p>
    <w:p w:rsidR="00AD1AD8" w:rsidRPr="00CE3ADF" w:rsidP="00CE3ADF" w14:paraId="71C7AC4F" w14:textId="35B83DDB">
      <w:pPr>
        <w:pStyle w:val="ListParagraph"/>
        <w:numPr>
          <w:ilvl w:val="0"/>
          <w:numId w:val="10"/>
        </w:numPr>
        <w:ind w:left="360"/>
        <w:outlineLvl w:val="1"/>
        <w:rPr>
          <w:sz w:val="24"/>
        </w:rPr>
      </w:pPr>
      <w:r w:rsidRPr="00CE3ADF">
        <w:rPr>
          <w:b/>
          <w:bCs/>
          <w:sz w:val="24"/>
        </w:rPr>
        <w:t>EXTENT OF AUTOMATED INFORMATION COLLECTION</w:t>
      </w:r>
    </w:p>
    <w:p w:rsidR="00CE3ADF" w:rsidP="00CE3ADF" w14:paraId="75229D1D" w14:textId="77777777">
      <w:pPr>
        <w:rPr>
          <w:sz w:val="24"/>
        </w:rPr>
      </w:pPr>
    </w:p>
    <w:p w:rsidR="006F261E" w:rsidP="00084EB7" w14:paraId="32F28553" w14:textId="0D520EB4">
      <w:pPr>
        <w:ind w:left="360"/>
        <w:rPr>
          <w:sz w:val="24"/>
        </w:rPr>
      </w:pPr>
      <w:r>
        <w:rPr>
          <w:sz w:val="24"/>
        </w:rPr>
        <w:t>T</w:t>
      </w:r>
      <w:r w:rsidRPr="006F261E" w:rsidR="00BE738D">
        <w:rPr>
          <w:sz w:val="24"/>
        </w:rPr>
        <w:t xml:space="preserve">he Government Paperwork Elimination </w:t>
      </w:r>
      <w:r w:rsidRPr="006F261E" w:rsidR="00BE738D">
        <w:rPr>
          <w:color w:val="000000"/>
          <w:sz w:val="24"/>
        </w:rPr>
        <w:t>Act</w:t>
      </w:r>
      <w:r>
        <w:rPr>
          <w:color w:val="000000"/>
          <w:sz w:val="24"/>
        </w:rPr>
        <w:t xml:space="preserve"> (GPEA)</w:t>
      </w:r>
      <w:r w:rsidRPr="006F261E" w:rsidR="00BE738D">
        <w:rPr>
          <w:color w:val="000000"/>
          <w:sz w:val="24"/>
        </w:rPr>
        <w:t>, Pub</w:t>
      </w:r>
      <w:r>
        <w:rPr>
          <w:color w:val="000000"/>
          <w:sz w:val="24"/>
        </w:rPr>
        <w:t>lic Law</w:t>
      </w:r>
      <w:r w:rsidRPr="006F261E" w:rsidR="00BE738D">
        <w:rPr>
          <w:color w:val="000000"/>
          <w:sz w:val="24"/>
        </w:rPr>
        <w:t xml:space="preserve"> 105-277</w:t>
      </w:r>
      <w:r w:rsidR="00D5010D">
        <w:rPr>
          <w:color w:val="000000"/>
          <w:sz w:val="24"/>
        </w:rPr>
        <w:t xml:space="preserve"> (October 21, 1988)</w:t>
      </w:r>
      <w:r>
        <w:rPr>
          <w:color w:val="000000"/>
          <w:sz w:val="24"/>
        </w:rPr>
        <w:t>,</w:t>
      </w:r>
      <w:r w:rsidRPr="006F261E" w:rsidR="00BE738D">
        <w:rPr>
          <w:color w:val="000000"/>
          <w:sz w:val="24"/>
        </w:rPr>
        <w:t xml:space="preserve"> </w:t>
      </w:r>
      <w:r>
        <w:rPr>
          <w:color w:val="000000"/>
          <w:sz w:val="24"/>
        </w:rPr>
        <w:t xml:space="preserve">requires agencies to provide for the option of electronic submission of information and the use of electronic signatures, when practicable </w:t>
      </w:r>
      <w:r w:rsidRPr="006F261E" w:rsidR="00BE738D">
        <w:rPr>
          <w:color w:val="000000"/>
          <w:sz w:val="24"/>
        </w:rPr>
        <w:t>(See Attachment</w:t>
      </w:r>
      <w:r w:rsidR="00BE738D">
        <w:rPr>
          <w:color w:val="000000"/>
          <w:sz w:val="24"/>
        </w:rPr>
        <w:t xml:space="preserve"> </w:t>
      </w:r>
      <w:r w:rsidR="007F12B8">
        <w:rPr>
          <w:color w:val="000000"/>
          <w:sz w:val="24"/>
        </w:rPr>
        <w:t>C</w:t>
      </w:r>
      <w:r w:rsidRPr="006F261E" w:rsidR="00BE738D">
        <w:rPr>
          <w:color w:val="000000"/>
          <w:sz w:val="24"/>
        </w:rPr>
        <w:t>)</w:t>
      </w:r>
      <w:r>
        <w:rPr>
          <w:color w:val="000000"/>
          <w:sz w:val="24"/>
        </w:rPr>
        <w:t>.</w:t>
      </w:r>
      <w:r w:rsidRPr="006F261E" w:rsidR="00BE738D">
        <w:rPr>
          <w:color w:val="000000"/>
          <w:sz w:val="24"/>
        </w:rPr>
        <w:t xml:space="preserve"> FMCSA</w:t>
      </w:r>
      <w:r w:rsidR="00BE738D">
        <w:rPr>
          <w:color w:val="000000"/>
          <w:sz w:val="24"/>
        </w:rPr>
        <w:t xml:space="preserve"> </w:t>
      </w:r>
      <w:r w:rsidRPr="006F261E" w:rsidR="00BE738D">
        <w:rPr>
          <w:color w:val="000000"/>
          <w:sz w:val="24"/>
        </w:rPr>
        <w:t>allow</w:t>
      </w:r>
      <w:r w:rsidR="00BE738D">
        <w:rPr>
          <w:color w:val="000000"/>
          <w:sz w:val="24"/>
        </w:rPr>
        <w:t>s</w:t>
      </w:r>
      <w:r w:rsidRPr="006F261E" w:rsidR="00BE738D">
        <w:rPr>
          <w:color w:val="000000"/>
          <w:sz w:val="24"/>
        </w:rPr>
        <w:t xml:space="preserve"> all respondents to complete Forms MCS-150</w:t>
      </w:r>
      <w:r w:rsidR="00284849">
        <w:rPr>
          <w:color w:val="000000"/>
          <w:sz w:val="24"/>
        </w:rPr>
        <w:t>,</w:t>
      </w:r>
      <w:r w:rsidR="00BE738D">
        <w:rPr>
          <w:color w:val="000000"/>
          <w:sz w:val="24"/>
        </w:rPr>
        <w:t xml:space="preserve"> </w:t>
      </w:r>
      <w:r w:rsidRPr="006F261E" w:rsidR="00BE738D">
        <w:rPr>
          <w:color w:val="000000"/>
          <w:sz w:val="24"/>
        </w:rPr>
        <w:t>MCS-150B</w:t>
      </w:r>
      <w:r w:rsidR="00284849">
        <w:rPr>
          <w:color w:val="000000"/>
          <w:sz w:val="24"/>
        </w:rPr>
        <w:t>, and MCS-150C</w:t>
      </w:r>
      <w:r w:rsidRPr="006F261E" w:rsidR="00BE738D">
        <w:rPr>
          <w:color w:val="000000"/>
          <w:sz w:val="24"/>
        </w:rPr>
        <w:t xml:space="preserve"> online at the FMCSA Web site,</w:t>
      </w:r>
      <w:r w:rsidR="00284849">
        <w:rPr>
          <w:color w:val="000000"/>
          <w:sz w:val="24"/>
        </w:rPr>
        <w:t xml:space="preserve"> </w:t>
      </w:r>
      <w:hyperlink r:id="rId9" w:history="1">
        <w:r w:rsidRPr="003D0D41" w:rsidR="00284849">
          <w:rPr>
            <w:rStyle w:val="Hyperlink"/>
            <w:sz w:val="24"/>
          </w:rPr>
          <w:t>www.fmcsa.dot.gov</w:t>
        </w:r>
      </w:hyperlink>
      <w:r w:rsidR="00284849">
        <w:rPr>
          <w:color w:val="000000"/>
          <w:sz w:val="24"/>
        </w:rPr>
        <w:t xml:space="preserve"> </w:t>
      </w:r>
      <w:r w:rsidRPr="00284849" w:rsidR="00284849">
        <w:rPr>
          <w:color w:val="000000"/>
          <w:sz w:val="24"/>
        </w:rPr>
        <w:t>(Keyword “MCS-150,” or “MCS-150B,” or “MCS-150C”)</w:t>
      </w:r>
      <w:r w:rsidR="00AA3EA8">
        <w:rPr>
          <w:color w:val="000000"/>
          <w:sz w:val="24"/>
        </w:rPr>
        <w:t>.</w:t>
      </w:r>
      <w:r w:rsidRPr="006F261E" w:rsidR="00585F7B">
        <w:rPr>
          <w:color w:val="000000"/>
          <w:sz w:val="24"/>
        </w:rPr>
        <w:t xml:space="preserve"> </w:t>
      </w:r>
      <w:r w:rsidR="0035515A">
        <w:rPr>
          <w:sz w:val="24"/>
        </w:rPr>
        <w:t xml:space="preserve">The </w:t>
      </w:r>
      <w:r w:rsidR="000E61BA">
        <w:rPr>
          <w:sz w:val="24"/>
        </w:rPr>
        <w:t xml:space="preserve">agency </w:t>
      </w:r>
      <w:r w:rsidR="0035515A">
        <w:rPr>
          <w:sz w:val="24"/>
        </w:rPr>
        <w:t>e</w:t>
      </w:r>
      <w:r w:rsidRPr="006F261E">
        <w:rPr>
          <w:sz w:val="24"/>
        </w:rPr>
        <w:t>stimat</w:t>
      </w:r>
      <w:r w:rsidR="0035515A">
        <w:rPr>
          <w:sz w:val="24"/>
        </w:rPr>
        <w:t>e</w:t>
      </w:r>
      <w:r w:rsidR="000E61BA">
        <w:rPr>
          <w:sz w:val="24"/>
        </w:rPr>
        <w:t>s 80</w:t>
      </w:r>
      <w:r w:rsidRPr="006F261E">
        <w:rPr>
          <w:sz w:val="24"/>
        </w:rPr>
        <w:t xml:space="preserve"> percent of forms submitted to the </w:t>
      </w:r>
      <w:r w:rsidR="000E61BA">
        <w:rPr>
          <w:sz w:val="24"/>
        </w:rPr>
        <w:t>a</w:t>
      </w:r>
      <w:r w:rsidRPr="006F261E">
        <w:rPr>
          <w:sz w:val="24"/>
        </w:rPr>
        <w:t xml:space="preserve">gency </w:t>
      </w:r>
      <w:r w:rsidR="000E61BA">
        <w:rPr>
          <w:sz w:val="24"/>
        </w:rPr>
        <w:t xml:space="preserve">are submitted </w:t>
      </w:r>
      <w:r w:rsidRPr="006F261E">
        <w:rPr>
          <w:sz w:val="24"/>
        </w:rPr>
        <w:t>on</w:t>
      </w:r>
      <w:r w:rsidR="0035515A">
        <w:rPr>
          <w:sz w:val="24"/>
        </w:rPr>
        <w:t>line</w:t>
      </w:r>
      <w:r w:rsidR="000E61BA">
        <w:rPr>
          <w:sz w:val="24"/>
        </w:rPr>
        <w:t>.</w:t>
      </w:r>
    </w:p>
    <w:p w:rsidR="00CE3ADF" w:rsidP="00CE3ADF" w14:paraId="2DF551E4" w14:textId="77777777">
      <w:pPr>
        <w:rPr>
          <w:sz w:val="24"/>
        </w:rPr>
      </w:pPr>
    </w:p>
    <w:p w:rsidR="00AD1AD8" w:rsidRPr="00CE3ADF" w:rsidP="00CE3ADF" w14:paraId="6C9186CC" w14:textId="37535605">
      <w:pPr>
        <w:pStyle w:val="ListParagraph"/>
        <w:numPr>
          <w:ilvl w:val="0"/>
          <w:numId w:val="10"/>
        </w:numPr>
        <w:ind w:left="360"/>
        <w:outlineLvl w:val="1"/>
        <w:rPr>
          <w:sz w:val="24"/>
        </w:rPr>
      </w:pPr>
      <w:r w:rsidRPr="00CE3ADF">
        <w:rPr>
          <w:b/>
          <w:bCs/>
          <w:sz w:val="24"/>
        </w:rPr>
        <w:t>EFFORTS TO IDENTIFY DUPLICATION</w:t>
      </w:r>
    </w:p>
    <w:p w:rsidR="00CE3ADF" w:rsidP="00CE3ADF" w14:paraId="135A697C" w14:textId="77777777">
      <w:pPr>
        <w:rPr>
          <w:sz w:val="24"/>
        </w:rPr>
      </w:pPr>
    </w:p>
    <w:p w:rsidR="00CE3ADF" w:rsidP="00084EB7" w14:paraId="484218F3" w14:textId="5D4B8BA8">
      <w:pPr>
        <w:ind w:left="360"/>
        <w:rPr>
          <w:sz w:val="24"/>
        </w:rPr>
      </w:pPr>
      <w:r w:rsidRPr="00B4583A">
        <w:rPr>
          <w:sz w:val="24"/>
        </w:rPr>
        <w:t>There are no similar filings made with any other Federal agency or within the D</w:t>
      </w:r>
      <w:r>
        <w:rPr>
          <w:sz w:val="24"/>
        </w:rPr>
        <w:t>OT</w:t>
      </w:r>
      <w:r w:rsidRPr="00B4583A">
        <w:rPr>
          <w:sz w:val="24"/>
        </w:rPr>
        <w:t xml:space="preserve"> </w:t>
      </w:r>
      <w:r w:rsidRPr="00B4583A">
        <w:rPr>
          <w:color w:val="000000"/>
          <w:sz w:val="24"/>
        </w:rPr>
        <w:t>that</w:t>
      </w:r>
      <w:r w:rsidRPr="00B4583A">
        <w:rPr>
          <w:color w:val="FF0000"/>
          <w:sz w:val="24"/>
        </w:rPr>
        <w:t xml:space="preserve"> </w:t>
      </w:r>
      <w:r w:rsidRPr="00B4583A">
        <w:rPr>
          <w:sz w:val="24"/>
        </w:rPr>
        <w:t>would result in duplication of this information.</w:t>
      </w:r>
    </w:p>
    <w:p w:rsidR="005C4222" w:rsidP="00CE3ADF" w14:paraId="38EFD8B2" w14:textId="77777777">
      <w:pPr>
        <w:rPr>
          <w:sz w:val="24"/>
        </w:rPr>
      </w:pPr>
    </w:p>
    <w:p w:rsidR="00AD1AD8" w:rsidRPr="00CE3ADF" w:rsidP="00CE3ADF" w14:paraId="0994F212" w14:textId="4321A1BF">
      <w:pPr>
        <w:pStyle w:val="ListParagraph"/>
        <w:keepNext/>
        <w:keepLines/>
        <w:numPr>
          <w:ilvl w:val="0"/>
          <w:numId w:val="10"/>
        </w:numPr>
        <w:ind w:left="360"/>
        <w:outlineLvl w:val="1"/>
        <w:rPr>
          <w:sz w:val="24"/>
        </w:rPr>
      </w:pPr>
      <w:r w:rsidRPr="00CE3ADF">
        <w:rPr>
          <w:b/>
          <w:bCs/>
          <w:sz w:val="24"/>
        </w:rPr>
        <w:t>EFFORTS TO MINIMIZE THE BURDEN ON SMALL BUSINESSES</w:t>
      </w:r>
    </w:p>
    <w:p w:rsidR="00CE3ADF" w:rsidP="00CE3ADF" w14:paraId="4866CBFE" w14:textId="77777777">
      <w:pPr>
        <w:rPr>
          <w:sz w:val="24"/>
        </w:rPr>
      </w:pPr>
    </w:p>
    <w:p w:rsidR="005C4222" w:rsidP="00084EB7" w14:paraId="7F231F28" w14:textId="6C07F9EC">
      <w:pPr>
        <w:ind w:left="360"/>
        <w:rPr>
          <w:sz w:val="24"/>
        </w:rPr>
      </w:pPr>
      <w:r w:rsidRPr="102CE53A">
        <w:rPr>
          <w:sz w:val="24"/>
        </w:rPr>
        <w:t xml:space="preserve">Paperwork burdens associated with </w:t>
      </w:r>
      <w:r w:rsidRPr="102CE53A">
        <w:rPr>
          <w:color w:val="000000" w:themeColor="text1"/>
          <w:sz w:val="24"/>
        </w:rPr>
        <w:t xml:space="preserve">completing </w:t>
      </w:r>
      <w:r w:rsidRPr="006F261E">
        <w:rPr>
          <w:color w:val="000000"/>
          <w:sz w:val="24"/>
        </w:rPr>
        <w:t>Forms MCS-150</w:t>
      </w:r>
      <w:r>
        <w:rPr>
          <w:color w:val="000000"/>
          <w:sz w:val="24"/>
        </w:rPr>
        <w:t xml:space="preserve">, </w:t>
      </w:r>
      <w:r w:rsidRPr="006F261E">
        <w:rPr>
          <w:color w:val="000000"/>
          <w:sz w:val="24"/>
        </w:rPr>
        <w:t>MCS-150B</w:t>
      </w:r>
      <w:r>
        <w:rPr>
          <w:color w:val="000000"/>
          <w:sz w:val="24"/>
        </w:rPr>
        <w:t>, and MCS-150C</w:t>
      </w:r>
      <w:r w:rsidRPr="102CE53A">
        <w:rPr>
          <w:sz w:val="24"/>
        </w:rPr>
        <w:t xml:space="preserve"> for existing applicants </w:t>
      </w:r>
      <w:r>
        <w:rPr>
          <w:sz w:val="24"/>
        </w:rPr>
        <w:t>have been minimized for small businesses</w:t>
      </w:r>
      <w:r w:rsidRPr="102CE53A">
        <w:rPr>
          <w:sz w:val="24"/>
        </w:rPr>
        <w:t xml:space="preserve">. </w:t>
      </w:r>
      <w:r>
        <w:rPr>
          <w:sz w:val="24"/>
        </w:rPr>
        <w:t>E</w:t>
      </w:r>
      <w:r w:rsidRPr="102CE53A">
        <w:rPr>
          <w:sz w:val="24"/>
        </w:rPr>
        <w:t xml:space="preserve">ach existing </w:t>
      </w:r>
      <w:r w:rsidRPr="102CE53A">
        <w:rPr>
          <w:sz w:val="24"/>
        </w:rPr>
        <w:t xml:space="preserve">applicant is required to demonstrate its willingness and ability to comply with applicable safety regulations. It is essential to capture the population of carriers and to make certain the information is current. The requested information cannot be obtained from any other source, and FMCSA is requesting no more information than is </w:t>
      </w:r>
      <w:r w:rsidRPr="102CE53A">
        <w:rPr>
          <w:sz w:val="24"/>
        </w:rPr>
        <w:t>absolutely necessary</w:t>
      </w:r>
      <w:r w:rsidRPr="102CE53A">
        <w:rPr>
          <w:sz w:val="24"/>
        </w:rPr>
        <w:t xml:space="preserve"> to ensure compliance with applicable safety regulations. Existing registrants may use </w:t>
      </w:r>
      <w:r w:rsidRPr="006F261E">
        <w:rPr>
          <w:color w:val="000000"/>
          <w:sz w:val="24"/>
        </w:rPr>
        <w:t>Forms MCS-150</w:t>
      </w:r>
      <w:r>
        <w:rPr>
          <w:color w:val="000000"/>
          <w:sz w:val="24"/>
        </w:rPr>
        <w:t xml:space="preserve">, </w:t>
      </w:r>
      <w:r w:rsidRPr="006F261E">
        <w:rPr>
          <w:color w:val="000000"/>
          <w:sz w:val="24"/>
        </w:rPr>
        <w:t>MCS-150B</w:t>
      </w:r>
      <w:r>
        <w:rPr>
          <w:color w:val="000000"/>
          <w:sz w:val="24"/>
        </w:rPr>
        <w:t>, and MCS-150C</w:t>
      </w:r>
      <w:r w:rsidRPr="102CE53A">
        <w:rPr>
          <w:sz w:val="24"/>
        </w:rPr>
        <w:t xml:space="preserve"> when changes </w:t>
      </w:r>
      <w:r>
        <w:rPr>
          <w:sz w:val="24"/>
        </w:rPr>
        <w:t xml:space="preserve">are </w:t>
      </w:r>
      <w:r w:rsidRPr="102CE53A">
        <w:rPr>
          <w:sz w:val="24"/>
        </w:rPr>
        <w:t>made to their location and operating status as circumstances warranted.</w:t>
      </w:r>
    </w:p>
    <w:p w:rsidR="007D0681" w:rsidP="00084EB7" w14:paraId="5A94A1AC" w14:textId="77777777">
      <w:pPr>
        <w:ind w:left="360"/>
        <w:rPr>
          <w:sz w:val="24"/>
        </w:rPr>
      </w:pPr>
    </w:p>
    <w:p w:rsidR="00652029" w:rsidP="00084EB7" w14:paraId="45794333" w14:textId="016F49FB">
      <w:pPr>
        <w:ind w:left="360"/>
        <w:rPr>
          <w:sz w:val="24"/>
        </w:rPr>
      </w:pPr>
      <w:r>
        <w:rPr>
          <w:sz w:val="24"/>
        </w:rPr>
        <w:t>T</w:t>
      </w:r>
      <w:r w:rsidRPr="00652029">
        <w:rPr>
          <w:sz w:val="24"/>
        </w:rPr>
        <w:t xml:space="preserve">he Small Business Administration (SBA) defines </w:t>
      </w:r>
      <w:r w:rsidR="000B4292">
        <w:rPr>
          <w:sz w:val="24"/>
        </w:rPr>
        <w:t xml:space="preserve">the </w:t>
      </w:r>
      <w:r w:rsidRPr="00652029">
        <w:rPr>
          <w:sz w:val="24"/>
        </w:rPr>
        <w:t>small trucking businesses as those with annual revenues or</w:t>
      </w:r>
      <w:r>
        <w:rPr>
          <w:sz w:val="24"/>
        </w:rPr>
        <w:t xml:space="preserve"> receipts up to $</w:t>
      </w:r>
      <w:r w:rsidR="00092B82">
        <w:rPr>
          <w:sz w:val="24"/>
        </w:rPr>
        <w:t>30</w:t>
      </w:r>
      <w:r>
        <w:rPr>
          <w:sz w:val="24"/>
        </w:rPr>
        <w:t xml:space="preserve"> million</w:t>
      </w:r>
      <w:r w:rsidR="000B4292">
        <w:rPr>
          <w:sz w:val="24"/>
        </w:rPr>
        <w:t xml:space="preserve"> and $16.5 in </w:t>
      </w:r>
      <w:r w:rsidRPr="00652029" w:rsidR="000B4292">
        <w:rPr>
          <w:sz w:val="24"/>
        </w:rPr>
        <w:t>annual revenues or</w:t>
      </w:r>
      <w:r w:rsidR="000B4292">
        <w:rPr>
          <w:sz w:val="24"/>
        </w:rPr>
        <w:t xml:space="preserve"> receipts for passenger motor carriers</w:t>
      </w:r>
      <w:r w:rsidR="00A940BA">
        <w:rPr>
          <w:sz w:val="24"/>
        </w:rPr>
        <w:t>.</w:t>
      </w:r>
      <w:r>
        <w:rPr>
          <w:rStyle w:val="FootnoteReference"/>
          <w:sz w:val="24"/>
          <w:vertAlign w:val="superscript"/>
        </w:rPr>
        <w:footnoteReference w:id="4"/>
      </w:r>
      <w:r>
        <w:rPr>
          <w:sz w:val="24"/>
        </w:rPr>
        <w:t xml:space="preserve"> </w:t>
      </w:r>
      <w:r w:rsidRPr="007B620F">
        <w:rPr>
          <w:sz w:val="24"/>
        </w:rPr>
        <w:t xml:space="preserve">Based on </w:t>
      </w:r>
      <w:r>
        <w:rPr>
          <w:sz w:val="24"/>
        </w:rPr>
        <w:t xml:space="preserve">SBA </w:t>
      </w:r>
      <w:r w:rsidRPr="007B620F">
        <w:rPr>
          <w:sz w:val="24"/>
        </w:rPr>
        <w:t xml:space="preserve">size standards, </w:t>
      </w:r>
      <w:r w:rsidRPr="00FD15CC">
        <w:rPr>
          <w:sz w:val="24"/>
        </w:rPr>
        <w:t xml:space="preserve">FMCSA </w:t>
      </w:r>
      <w:r w:rsidR="00161E69">
        <w:rPr>
          <w:sz w:val="24"/>
        </w:rPr>
        <w:t xml:space="preserve">continues to </w:t>
      </w:r>
      <w:r w:rsidRPr="00FD15CC">
        <w:rPr>
          <w:sz w:val="24"/>
        </w:rPr>
        <w:t>estimate that 99.1 percent of regulated motor carriers are s</w:t>
      </w:r>
      <w:r>
        <w:rPr>
          <w:sz w:val="24"/>
        </w:rPr>
        <w:t>mall businesses</w:t>
      </w:r>
      <w:r w:rsidRPr="00FD15CC">
        <w:rPr>
          <w:sz w:val="24"/>
        </w:rPr>
        <w:t>.</w:t>
      </w:r>
      <w:r>
        <w:rPr>
          <w:sz w:val="24"/>
          <w:vertAlign w:val="superscript"/>
        </w:rPr>
        <w:footnoteReference w:id="5"/>
      </w:r>
      <w:r>
        <w:rPr>
          <w:sz w:val="24"/>
        </w:rPr>
        <w:t xml:space="preserve"> </w:t>
      </w:r>
      <w:r w:rsidRPr="005F5FF9" w:rsidR="00AD1AD8">
        <w:rPr>
          <w:sz w:val="24"/>
        </w:rPr>
        <w:t>The requirement to submit th</w:t>
      </w:r>
      <w:r w:rsidR="00E61615">
        <w:rPr>
          <w:sz w:val="24"/>
        </w:rPr>
        <w:t xml:space="preserve">is information </w:t>
      </w:r>
      <w:r w:rsidRPr="005F5FF9" w:rsidR="00AD1AD8">
        <w:rPr>
          <w:sz w:val="24"/>
        </w:rPr>
        <w:t xml:space="preserve">applies to </w:t>
      </w:r>
      <w:r w:rsidRPr="005F5FF9" w:rsidR="00B31988">
        <w:rPr>
          <w:sz w:val="24"/>
        </w:rPr>
        <w:t>all</w:t>
      </w:r>
      <w:r w:rsidRPr="005F5FF9" w:rsidR="00AD1AD8">
        <w:rPr>
          <w:sz w:val="24"/>
        </w:rPr>
        <w:t xml:space="preserve"> motor carriers conducting operations in interstate commerce regardless of size.</w:t>
      </w:r>
    </w:p>
    <w:p w:rsidR="002168DE" w:rsidP="00CE3ADF" w14:paraId="41849A01" w14:textId="77777777">
      <w:pPr>
        <w:rPr>
          <w:sz w:val="24"/>
        </w:rPr>
      </w:pPr>
    </w:p>
    <w:p w:rsidR="00AD1AD8" w:rsidRPr="00CE3ADF" w:rsidP="00CE3ADF" w14:paraId="1349E13B" w14:textId="2AACB600">
      <w:pPr>
        <w:pStyle w:val="ListParagraph"/>
        <w:keepNext/>
        <w:keepLines/>
        <w:numPr>
          <w:ilvl w:val="0"/>
          <w:numId w:val="10"/>
        </w:numPr>
        <w:ind w:left="360"/>
        <w:outlineLvl w:val="1"/>
        <w:rPr>
          <w:sz w:val="24"/>
        </w:rPr>
      </w:pPr>
      <w:r w:rsidRPr="00CE3ADF">
        <w:rPr>
          <w:b/>
          <w:bCs/>
          <w:sz w:val="24"/>
        </w:rPr>
        <w:t>IMPACT OF LESS FREQUENT COLLECTION OF INFORMATION</w:t>
      </w:r>
    </w:p>
    <w:p w:rsidR="005979C5" w:rsidP="00CE3ADF" w14:paraId="29FFAE8F" w14:textId="50D877DE">
      <w:pPr>
        <w:keepLines/>
        <w:rPr>
          <w:sz w:val="24"/>
        </w:rPr>
      </w:pPr>
    </w:p>
    <w:p w:rsidR="005979C5" w:rsidP="00084EB7" w14:paraId="5FAD780D" w14:textId="4F7F7A7E">
      <w:pPr>
        <w:ind w:left="360"/>
        <w:rPr>
          <w:sz w:val="24"/>
        </w:rPr>
      </w:pPr>
      <w:r w:rsidRPr="002168DE">
        <w:rPr>
          <w:sz w:val="24"/>
        </w:rPr>
        <w:t>FMCSA believes that the impact of less frequent collections would negatively impact FMCSA’s ability to identify its regulated entities</w:t>
      </w:r>
      <w:r w:rsidR="002168DE">
        <w:rPr>
          <w:sz w:val="24"/>
        </w:rPr>
        <w:t>. More frequent collections</w:t>
      </w:r>
      <w:r w:rsidRPr="002168DE">
        <w:rPr>
          <w:sz w:val="24"/>
        </w:rPr>
        <w:t xml:space="preserve"> help prioritize the agency’s enforcement activities, aid</w:t>
      </w:r>
      <w:r w:rsidR="002168DE">
        <w:rPr>
          <w:sz w:val="24"/>
        </w:rPr>
        <w:t>s</w:t>
      </w:r>
      <w:r w:rsidRPr="002168DE">
        <w:rPr>
          <w:sz w:val="24"/>
        </w:rPr>
        <w:t xml:space="preserve"> in assessing the safety outcomes of those activities, and </w:t>
      </w:r>
      <w:r w:rsidR="002168DE">
        <w:rPr>
          <w:sz w:val="24"/>
        </w:rPr>
        <w:t xml:space="preserve">is needed </w:t>
      </w:r>
      <w:r w:rsidRPr="002168DE">
        <w:rPr>
          <w:sz w:val="24"/>
        </w:rPr>
        <w:t>for statistical purposes.</w:t>
      </w:r>
    </w:p>
    <w:p w:rsidR="005979C5" w:rsidP="00CE3ADF" w14:paraId="1B7B6A46" w14:textId="77777777">
      <w:pPr>
        <w:keepLines/>
        <w:rPr>
          <w:sz w:val="24"/>
        </w:rPr>
      </w:pPr>
    </w:p>
    <w:p w:rsidR="00AD1AD8" w:rsidRPr="00CE3223" w:rsidP="00CE3ADF" w14:paraId="02BD878B" w14:textId="1A07AA1C">
      <w:pPr>
        <w:pStyle w:val="ListParagraph"/>
        <w:numPr>
          <w:ilvl w:val="0"/>
          <w:numId w:val="10"/>
        </w:numPr>
        <w:ind w:left="360"/>
        <w:outlineLvl w:val="1"/>
        <w:rPr>
          <w:sz w:val="24"/>
        </w:rPr>
      </w:pPr>
      <w:r w:rsidRPr="00CE3223">
        <w:rPr>
          <w:b/>
          <w:bCs/>
          <w:sz w:val="24"/>
        </w:rPr>
        <w:t>SPECIAL CIRCUMSTANCES</w:t>
      </w:r>
    </w:p>
    <w:p w:rsidR="00CE3223" w:rsidP="00CE3ADF" w14:paraId="3C19F4BD" w14:textId="77777777">
      <w:pPr>
        <w:pStyle w:val="BodyText"/>
      </w:pPr>
    </w:p>
    <w:p w:rsidR="00AD1AD8" w:rsidP="00084EB7" w14:paraId="3BA23A9E" w14:textId="688B1E65">
      <w:pPr>
        <w:pStyle w:val="BodyText"/>
        <w:ind w:left="360"/>
      </w:pPr>
      <w:r w:rsidRPr="005F5FF9">
        <w:t>There are no special circumstances related to this information collection.</w:t>
      </w:r>
    </w:p>
    <w:p w:rsidR="00CE3223" w:rsidP="00CE3ADF" w14:paraId="7AB45515" w14:textId="77777777">
      <w:pPr>
        <w:pStyle w:val="BodyText"/>
      </w:pPr>
    </w:p>
    <w:p w:rsidR="00AD1AD8" w:rsidRPr="00CE3223" w:rsidP="00CE3ADF" w14:paraId="3E66040D" w14:textId="3315AE8B">
      <w:pPr>
        <w:pStyle w:val="ListParagraph"/>
        <w:numPr>
          <w:ilvl w:val="0"/>
          <w:numId w:val="10"/>
        </w:numPr>
        <w:ind w:left="360"/>
        <w:outlineLvl w:val="1"/>
        <w:rPr>
          <w:sz w:val="24"/>
        </w:rPr>
      </w:pPr>
      <w:r w:rsidRPr="00CE3223">
        <w:rPr>
          <w:b/>
          <w:bCs/>
          <w:sz w:val="24"/>
        </w:rPr>
        <w:t>COMPLIANCE WITH 5 CFR 1320.8</w:t>
      </w:r>
    </w:p>
    <w:p w:rsidR="00CE3223" w:rsidP="00CE3ADF" w14:paraId="3B4766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E3223" w:rsidP="00084EB7" w14:paraId="0EDCE853" w14:textId="5C8B68AE">
      <w:pPr>
        <w:ind w:left="360"/>
        <w:rPr>
          <w:sz w:val="24"/>
        </w:rPr>
      </w:pPr>
      <w:r>
        <w:rPr>
          <w:sz w:val="24"/>
        </w:rPr>
        <w:t xml:space="preserve">On June 17, 2025, </w:t>
      </w:r>
      <w:r>
        <w:rPr>
          <w:sz w:val="24"/>
        </w:rPr>
        <w:t xml:space="preserve">FMCSA </w:t>
      </w:r>
      <w:r>
        <w:rPr>
          <w:sz w:val="24"/>
        </w:rPr>
        <w:t xml:space="preserve">published a notice in the Federal Register (90 FR 25742) with a 60-day comment period to announce its intention to </w:t>
      </w:r>
      <w:r w:rsidR="00447043">
        <w:rPr>
          <w:sz w:val="24"/>
        </w:rPr>
        <w:t xml:space="preserve">seek </w:t>
      </w:r>
      <w:r>
        <w:rPr>
          <w:sz w:val="24"/>
        </w:rPr>
        <w:t xml:space="preserve">OMB </w:t>
      </w:r>
      <w:r w:rsidR="00447043">
        <w:rPr>
          <w:sz w:val="24"/>
        </w:rPr>
        <w:t xml:space="preserve">review and approval to </w:t>
      </w:r>
      <w:r>
        <w:rPr>
          <w:sz w:val="24"/>
        </w:rPr>
        <w:t>renew</w:t>
      </w:r>
      <w:r w:rsidR="00447043">
        <w:rPr>
          <w:sz w:val="24"/>
        </w:rPr>
        <w:t xml:space="preserve"> this ICR</w:t>
      </w:r>
      <w:r>
        <w:rPr>
          <w:sz w:val="24"/>
        </w:rPr>
        <w:t xml:space="preserve"> (see Attachment D). FMCSA received </w:t>
      </w:r>
      <w:r w:rsidR="00342453">
        <w:rPr>
          <w:sz w:val="24"/>
        </w:rPr>
        <w:t>n</w:t>
      </w:r>
      <w:r>
        <w:rPr>
          <w:sz w:val="24"/>
        </w:rPr>
        <w:t>o comments in response to th</w:t>
      </w:r>
      <w:r w:rsidR="00447043">
        <w:rPr>
          <w:sz w:val="24"/>
        </w:rPr>
        <w:t>is</w:t>
      </w:r>
      <w:r>
        <w:rPr>
          <w:sz w:val="24"/>
        </w:rPr>
        <w:t xml:space="preserve"> notice. </w:t>
      </w:r>
      <w:r w:rsidRPr="00084EB7">
        <w:rPr>
          <w:sz w:val="24"/>
        </w:rPr>
        <w:t>FMCSA consistently works with industry partners to discuss the data collection for this form.</w:t>
      </w:r>
    </w:p>
    <w:p w:rsidR="00CE3223" w:rsidP="00CE3ADF" w14:paraId="018D8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D1AD8" w:rsidRPr="00CE3223" w:rsidP="00CE3ADF" w14:paraId="5806A7B8" w14:textId="61D5D114">
      <w:pPr>
        <w:pStyle w:val="ListParagraph"/>
        <w:numPr>
          <w:ilvl w:val="0"/>
          <w:numId w:val="10"/>
        </w:numPr>
        <w:ind w:left="360"/>
        <w:outlineLvl w:val="1"/>
        <w:rPr>
          <w:sz w:val="24"/>
        </w:rPr>
      </w:pPr>
      <w:r w:rsidRPr="00CE3223">
        <w:rPr>
          <w:b/>
          <w:bCs/>
          <w:sz w:val="24"/>
        </w:rPr>
        <w:t>PAYMENT OR GIFTS TO RESPONDENTS</w:t>
      </w:r>
    </w:p>
    <w:p w:rsidR="00CE3223" w:rsidP="00CE3ADF" w14:paraId="74D84466" w14:textId="77777777">
      <w:pPr>
        <w:rPr>
          <w:sz w:val="24"/>
        </w:rPr>
      </w:pPr>
    </w:p>
    <w:p w:rsidR="00AD1AD8" w:rsidP="00084EB7" w14:paraId="1C33BA47" w14:textId="026B98F9">
      <w:pPr>
        <w:ind w:left="360"/>
        <w:rPr>
          <w:sz w:val="24"/>
        </w:rPr>
      </w:pPr>
      <w:r w:rsidRPr="005F5FF9">
        <w:rPr>
          <w:sz w:val="24"/>
        </w:rPr>
        <w:t>Respondents are not provided with any payment or gift for this information collection.</w:t>
      </w:r>
    </w:p>
    <w:p w:rsidR="00CE3223" w:rsidP="00CE3ADF" w14:paraId="0DCA72F4" w14:textId="77777777">
      <w:pPr>
        <w:rPr>
          <w:sz w:val="24"/>
        </w:rPr>
      </w:pPr>
    </w:p>
    <w:p w:rsidR="00823A5F" w:rsidP="00CE3ADF" w14:paraId="799A8556" w14:textId="77777777">
      <w:pPr>
        <w:rPr>
          <w:sz w:val="24"/>
        </w:rPr>
      </w:pPr>
    </w:p>
    <w:p w:rsidR="00823A5F" w:rsidP="00CE3ADF" w14:paraId="14F168C8" w14:textId="77777777">
      <w:pPr>
        <w:rPr>
          <w:sz w:val="24"/>
        </w:rPr>
      </w:pPr>
    </w:p>
    <w:p w:rsidR="00823A5F" w:rsidRPr="005F5FF9" w:rsidP="00CE3ADF" w14:paraId="14361977" w14:textId="77777777">
      <w:pPr>
        <w:rPr>
          <w:sz w:val="24"/>
        </w:rPr>
      </w:pPr>
    </w:p>
    <w:p w:rsidR="00AD1AD8" w:rsidRPr="00CE3223" w:rsidP="00CE3ADF" w14:paraId="0716EEF6" w14:textId="62C2CA26">
      <w:pPr>
        <w:pStyle w:val="ListParagraph"/>
        <w:numPr>
          <w:ilvl w:val="0"/>
          <w:numId w:val="10"/>
        </w:numPr>
        <w:ind w:left="360"/>
        <w:outlineLvl w:val="1"/>
        <w:rPr>
          <w:sz w:val="24"/>
        </w:rPr>
      </w:pPr>
      <w:r w:rsidRPr="00CE3223">
        <w:rPr>
          <w:b/>
          <w:bCs/>
          <w:sz w:val="24"/>
        </w:rPr>
        <w:t>ASSURANCE OF CONFIDENTIALITY</w:t>
      </w:r>
    </w:p>
    <w:p w:rsidR="00CE3223" w:rsidRPr="00CE3223" w:rsidP="00CE3223" w14:paraId="4740E32D" w14:textId="77777777">
      <w:pPr>
        <w:outlineLvl w:val="1"/>
        <w:rPr>
          <w:sz w:val="24"/>
        </w:rPr>
      </w:pPr>
    </w:p>
    <w:p w:rsidR="009F03C8" w:rsidP="00084EB7" w14:paraId="6AB24234" w14:textId="1273FFB9">
      <w:pPr>
        <w:ind w:left="360"/>
        <w:rPr>
          <w:sz w:val="24"/>
        </w:rPr>
      </w:pPr>
      <w:r w:rsidRPr="005C4222">
        <w:rPr>
          <w:sz w:val="24"/>
        </w:rPr>
        <w:t xml:space="preserve">These records are not confidential and there is no assurance of confidentiality. Existing applicants wishing to make changes to their registration information </w:t>
      </w:r>
      <w:r w:rsidRPr="005C4222" w:rsidR="005C4222">
        <w:rPr>
          <w:sz w:val="24"/>
        </w:rPr>
        <w:t xml:space="preserve">can </w:t>
      </w:r>
      <w:r w:rsidRPr="005C4222">
        <w:rPr>
          <w:sz w:val="24"/>
        </w:rPr>
        <w:t xml:space="preserve">use </w:t>
      </w:r>
      <w:r w:rsidRPr="005C4222" w:rsidR="005C4222">
        <w:rPr>
          <w:color w:val="000000"/>
          <w:sz w:val="24"/>
        </w:rPr>
        <w:t>Forms MCS-150, MCS-150B, and MCS-150C</w:t>
      </w:r>
      <w:r w:rsidRPr="005C4222">
        <w:rPr>
          <w:sz w:val="24"/>
        </w:rPr>
        <w:t xml:space="preserve">, which calls for information identifying the applicant and the scope of its proposed operations in the United States. </w:t>
      </w:r>
      <w:r w:rsidRPr="005C4222" w:rsidR="00AD1AD8">
        <w:rPr>
          <w:sz w:val="24"/>
        </w:rPr>
        <w:t xml:space="preserve">The </w:t>
      </w:r>
      <w:r w:rsidRPr="005C4222" w:rsidR="002636AF">
        <w:rPr>
          <w:sz w:val="24"/>
        </w:rPr>
        <w:t>c</w:t>
      </w:r>
      <w:r w:rsidRPr="005C4222" w:rsidR="00AD1AD8">
        <w:rPr>
          <w:sz w:val="24"/>
        </w:rPr>
        <w:t xml:space="preserve">onfidentiality </w:t>
      </w:r>
      <w:r w:rsidRPr="005C4222" w:rsidR="00E469C1">
        <w:rPr>
          <w:sz w:val="24"/>
        </w:rPr>
        <w:t>of the</w:t>
      </w:r>
      <w:r w:rsidRPr="005C4222" w:rsidR="00605373">
        <w:rPr>
          <w:sz w:val="24"/>
        </w:rPr>
        <w:t xml:space="preserve"> </w:t>
      </w:r>
      <w:r w:rsidRPr="005C4222" w:rsidR="002636AF">
        <w:rPr>
          <w:sz w:val="24"/>
        </w:rPr>
        <w:t>information collected from the</w:t>
      </w:r>
      <w:r w:rsidRPr="005C4222" w:rsidR="00E469C1">
        <w:rPr>
          <w:sz w:val="24"/>
        </w:rPr>
        <w:t xml:space="preserve"> </w:t>
      </w:r>
      <w:r w:rsidRPr="005C4222" w:rsidR="00605373">
        <w:rPr>
          <w:sz w:val="24"/>
        </w:rPr>
        <w:t xml:space="preserve">ICR respondents </w:t>
      </w:r>
      <w:r w:rsidRPr="005C4222" w:rsidR="00E469C1">
        <w:rPr>
          <w:sz w:val="24"/>
        </w:rPr>
        <w:t>will be protected to the extent allowed by the Freedom of Information Act (FOIA</w:t>
      </w:r>
      <w:r w:rsidRPr="005C4222" w:rsidR="00EA2DEA">
        <w:rPr>
          <w:sz w:val="24"/>
        </w:rPr>
        <w:t>),</w:t>
      </w:r>
      <w:r w:rsidRPr="005C4222" w:rsidR="0017492B">
        <w:rPr>
          <w:sz w:val="24"/>
        </w:rPr>
        <w:t xml:space="preserve"> 5 U.S.C</w:t>
      </w:r>
      <w:r w:rsidRPr="005C4222" w:rsidR="00EA2DEA">
        <w:rPr>
          <w:sz w:val="24"/>
        </w:rPr>
        <w:t>. §</w:t>
      </w:r>
      <w:r w:rsidRPr="005C4222" w:rsidR="0017492B">
        <w:rPr>
          <w:sz w:val="24"/>
        </w:rPr>
        <w:t xml:space="preserve"> 552 as amended</w:t>
      </w:r>
      <w:r w:rsidRPr="005C4222" w:rsidR="009901B1">
        <w:rPr>
          <w:sz w:val="24"/>
        </w:rPr>
        <w:t xml:space="preserve">, (Attachment </w:t>
      </w:r>
      <w:r w:rsidR="00084EB7">
        <w:rPr>
          <w:sz w:val="24"/>
        </w:rPr>
        <w:t>E</w:t>
      </w:r>
      <w:r w:rsidRPr="005C4222" w:rsidR="009901B1">
        <w:rPr>
          <w:sz w:val="24"/>
        </w:rPr>
        <w:t>)</w:t>
      </w:r>
      <w:r w:rsidRPr="005C4222" w:rsidR="00AD1AD8">
        <w:rPr>
          <w:sz w:val="24"/>
        </w:rPr>
        <w:t>.</w:t>
      </w:r>
    </w:p>
    <w:p w:rsidR="00CE3223" w:rsidRPr="005F5FF9" w:rsidP="00CE3ADF" w14:paraId="5240E0CD" w14:textId="77777777">
      <w:pPr>
        <w:rPr>
          <w:sz w:val="24"/>
        </w:rPr>
      </w:pPr>
    </w:p>
    <w:p w:rsidR="00AD1AD8" w:rsidRPr="005C4222" w:rsidP="00CE3ADF" w14:paraId="2533C99E" w14:textId="0D7C1498">
      <w:pPr>
        <w:pStyle w:val="ListParagraph"/>
        <w:keepNext/>
        <w:keepLines/>
        <w:numPr>
          <w:ilvl w:val="0"/>
          <w:numId w:val="10"/>
        </w:numPr>
        <w:ind w:left="360"/>
        <w:outlineLvl w:val="1"/>
        <w:rPr>
          <w:sz w:val="24"/>
        </w:rPr>
      </w:pPr>
      <w:r w:rsidRPr="005C4222">
        <w:rPr>
          <w:b/>
          <w:bCs/>
          <w:sz w:val="24"/>
        </w:rPr>
        <w:t>JUSTIFICATION FOR COLLECTION OF SENSITIVE INFORMATION</w:t>
      </w:r>
    </w:p>
    <w:p w:rsidR="00CE3223" w:rsidP="00CE3ADF" w14:paraId="0BEB989C" w14:textId="77777777">
      <w:pPr>
        <w:rPr>
          <w:sz w:val="24"/>
        </w:rPr>
      </w:pPr>
    </w:p>
    <w:p w:rsidR="009F03C8" w:rsidP="00084EB7" w14:paraId="4A535EC4" w14:textId="1DFCF264">
      <w:pPr>
        <w:ind w:left="360"/>
        <w:rPr>
          <w:sz w:val="24"/>
        </w:rPr>
      </w:pPr>
      <w:r w:rsidRPr="005F5FF9">
        <w:rPr>
          <w:sz w:val="24"/>
        </w:rPr>
        <w:t>There are no questions of a sensitive nature.</w:t>
      </w:r>
    </w:p>
    <w:p w:rsidR="005C4222" w:rsidP="00CE3ADF" w14:paraId="4531709E" w14:textId="77777777">
      <w:pPr>
        <w:rPr>
          <w:sz w:val="24"/>
        </w:rPr>
      </w:pPr>
    </w:p>
    <w:p w:rsidR="00C4484D" w:rsidRPr="005C4222" w:rsidP="00CE3ADF" w14:paraId="46294C84" w14:textId="14BA2781">
      <w:pPr>
        <w:pStyle w:val="ListParagraph"/>
        <w:numPr>
          <w:ilvl w:val="0"/>
          <w:numId w:val="10"/>
        </w:numPr>
        <w:ind w:left="360"/>
        <w:outlineLvl w:val="1"/>
        <w:rPr>
          <w:sz w:val="24"/>
        </w:rPr>
      </w:pPr>
      <w:r w:rsidRPr="005C4222">
        <w:rPr>
          <w:b/>
          <w:bCs/>
          <w:sz w:val="24"/>
        </w:rPr>
        <w:t>ESTIMATES OF BURDEN HOURS FOR INFORMATION REQUESTED</w:t>
      </w:r>
    </w:p>
    <w:p w:rsidR="00CE3223" w:rsidRPr="00CE3223" w:rsidP="00CE3223" w14:paraId="04A8C75F" w14:textId="77777777">
      <w:pPr>
        <w:outlineLvl w:val="1"/>
        <w:rPr>
          <w:sz w:val="24"/>
        </w:rPr>
      </w:pPr>
    </w:p>
    <w:p w:rsidR="007D0681" w:rsidP="004C5197" w14:paraId="2FAA5408" w14:textId="34FBC7B0">
      <w:pPr>
        <w:ind w:left="360"/>
        <w:rPr>
          <w:sz w:val="24"/>
        </w:rPr>
      </w:pPr>
      <w:r>
        <w:rPr>
          <w:sz w:val="24"/>
        </w:rPr>
        <w:t xml:space="preserve">The </w:t>
      </w:r>
      <w:r w:rsidR="00C96CC2">
        <w:rPr>
          <w:sz w:val="24"/>
        </w:rPr>
        <w:t>a</w:t>
      </w:r>
      <w:r>
        <w:rPr>
          <w:sz w:val="24"/>
        </w:rPr>
        <w:t xml:space="preserve">gency based its </w:t>
      </w:r>
      <w:r w:rsidRPr="005F5FF9">
        <w:rPr>
          <w:sz w:val="24"/>
        </w:rPr>
        <w:t xml:space="preserve">annual burden hour estimates on </w:t>
      </w:r>
      <w:r>
        <w:rPr>
          <w:sz w:val="24"/>
        </w:rPr>
        <w:t>a three-year average</w:t>
      </w:r>
      <w:r w:rsidR="00A940BA">
        <w:rPr>
          <w:sz w:val="24"/>
        </w:rPr>
        <w:t>,</w:t>
      </w:r>
      <w:r>
        <w:rPr>
          <w:sz w:val="24"/>
        </w:rPr>
        <w:t xml:space="preserve"> from 20</w:t>
      </w:r>
      <w:r w:rsidR="00E01822">
        <w:rPr>
          <w:sz w:val="24"/>
        </w:rPr>
        <w:t>21</w:t>
      </w:r>
      <w:r>
        <w:rPr>
          <w:sz w:val="24"/>
        </w:rPr>
        <w:t xml:space="preserve"> to 20</w:t>
      </w:r>
      <w:r w:rsidR="0093418F">
        <w:rPr>
          <w:sz w:val="24"/>
        </w:rPr>
        <w:t>2</w:t>
      </w:r>
      <w:r w:rsidR="00E01822">
        <w:rPr>
          <w:sz w:val="24"/>
        </w:rPr>
        <w:t>3</w:t>
      </w:r>
      <w:r>
        <w:rPr>
          <w:sz w:val="24"/>
        </w:rPr>
        <w:t xml:space="preserve">, of </w:t>
      </w:r>
      <w:r w:rsidRPr="005F5FF9">
        <w:rPr>
          <w:sz w:val="24"/>
        </w:rPr>
        <w:t>motor carrier application data derived from FMCSA’s Motor Carrier Management Information System (MCMIS).</w:t>
      </w:r>
      <w:r w:rsidR="00E01822">
        <w:rPr>
          <w:sz w:val="24"/>
        </w:rPr>
        <w:t xml:space="preserve"> Tables 1 through 3 </w:t>
      </w:r>
      <w:r w:rsidR="00056A98">
        <w:rPr>
          <w:sz w:val="24"/>
        </w:rPr>
        <w:t xml:space="preserve">provides a </w:t>
      </w:r>
      <w:r w:rsidR="00A07EC6">
        <w:rPr>
          <w:sz w:val="24"/>
        </w:rPr>
        <w:t>breakdown of this data as of October 25, 2024.</w:t>
      </w:r>
    </w:p>
    <w:tbl>
      <w:tblPr>
        <w:tblW w:w="9720" w:type="dxa"/>
        <w:tblInd w:w="180" w:type="dxa"/>
        <w:tblLook w:val="04A0"/>
      </w:tblPr>
      <w:tblGrid>
        <w:gridCol w:w="2250"/>
        <w:gridCol w:w="866"/>
        <w:gridCol w:w="1024"/>
        <w:gridCol w:w="866"/>
        <w:gridCol w:w="950"/>
        <w:gridCol w:w="884"/>
        <w:gridCol w:w="990"/>
        <w:gridCol w:w="990"/>
        <w:gridCol w:w="950"/>
      </w:tblGrid>
      <w:tr w14:paraId="340D4626" w14:textId="77777777" w:rsidTr="00447043">
        <w:tblPrEx>
          <w:tblW w:w="9720" w:type="dxa"/>
          <w:tblInd w:w="180" w:type="dxa"/>
          <w:tblLook w:val="04A0"/>
        </w:tblPrEx>
        <w:trPr>
          <w:trHeight w:val="300"/>
        </w:trPr>
        <w:tc>
          <w:tcPr>
            <w:tcW w:w="9720" w:type="dxa"/>
            <w:gridSpan w:val="9"/>
            <w:tcBorders>
              <w:top w:val="nil"/>
              <w:left w:val="nil"/>
              <w:bottom w:val="nil"/>
              <w:right w:val="nil"/>
            </w:tcBorders>
            <w:shd w:val="clear" w:color="auto" w:fill="auto"/>
            <w:noWrap/>
            <w:vAlign w:val="bottom"/>
            <w:hideMark/>
          </w:tcPr>
          <w:p w:rsidR="00225F7B" w:rsidP="00447043" w14:paraId="23F63189" w14:textId="77777777">
            <w:pPr>
              <w:widowControl/>
              <w:autoSpaceDE/>
              <w:autoSpaceDN/>
              <w:adjustRightInd/>
              <w:jc w:val="center"/>
              <w:rPr>
                <w:b/>
                <w:bCs/>
                <w:color w:val="000000"/>
                <w:sz w:val="24"/>
              </w:rPr>
            </w:pPr>
            <w:r w:rsidRPr="00225F7B">
              <w:rPr>
                <w:b/>
                <w:bCs/>
                <w:color w:val="000000"/>
                <w:sz w:val="24"/>
              </w:rPr>
              <w:t>Table 1. Form MCS-150 Application Data 2021-2023</w:t>
            </w:r>
          </w:p>
          <w:p w:rsidR="004C5197" w:rsidP="00447043" w14:paraId="5BC99CAE" w14:textId="77777777">
            <w:pPr>
              <w:widowControl/>
              <w:autoSpaceDE/>
              <w:autoSpaceDN/>
              <w:adjustRightInd/>
              <w:jc w:val="center"/>
              <w:rPr>
                <w:b/>
                <w:bCs/>
                <w:color w:val="000000"/>
                <w:sz w:val="24"/>
              </w:rPr>
            </w:pPr>
          </w:p>
          <w:p w:rsidR="00E4568E" w:rsidRPr="00225F7B" w:rsidP="00225F7B" w14:paraId="7E664260" w14:textId="77777777">
            <w:pPr>
              <w:widowControl/>
              <w:autoSpaceDE/>
              <w:autoSpaceDN/>
              <w:adjustRightInd/>
              <w:rPr>
                <w:b/>
                <w:bCs/>
                <w:color w:val="000000"/>
                <w:sz w:val="24"/>
              </w:rPr>
            </w:pPr>
          </w:p>
        </w:tc>
      </w:tr>
      <w:tr w14:paraId="1BA6DD84" w14:textId="77777777" w:rsidTr="00447043">
        <w:tblPrEx>
          <w:tblW w:w="9720" w:type="dxa"/>
          <w:tblInd w:w="180" w:type="dxa"/>
          <w:tblLook w:val="04A0"/>
        </w:tblPrEx>
        <w:trPr>
          <w:trHeight w:val="300"/>
        </w:trPr>
        <w:tc>
          <w:tcPr>
            <w:tcW w:w="2250" w:type="dxa"/>
            <w:tcBorders>
              <w:top w:val="nil"/>
              <w:left w:val="nil"/>
              <w:bottom w:val="nil"/>
              <w:right w:val="nil"/>
            </w:tcBorders>
            <w:shd w:val="clear" w:color="auto" w:fill="auto"/>
            <w:noWrap/>
            <w:vAlign w:val="bottom"/>
            <w:hideMark/>
          </w:tcPr>
          <w:p w:rsidR="00225F7B" w:rsidRPr="00225F7B" w:rsidP="00225F7B" w14:paraId="7C490195" w14:textId="77777777">
            <w:pPr>
              <w:widowControl/>
              <w:autoSpaceDE/>
              <w:autoSpaceDN/>
              <w:adjustRightInd/>
              <w:rPr>
                <w:rFonts w:ascii="Calibri" w:hAnsi="Calibri" w:cs="Calibri"/>
                <w:b/>
                <w:bCs/>
                <w:color w:val="000000"/>
                <w:sz w:val="22"/>
                <w:szCs w:val="22"/>
              </w:rPr>
            </w:pPr>
          </w:p>
        </w:tc>
        <w:tc>
          <w:tcPr>
            <w:tcW w:w="1890"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rsidR="00225F7B" w:rsidRPr="00225F7B" w:rsidP="00225F7B" w14:paraId="17CEB2E8" w14:textId="77777777">
            <w:pPr>
              <w:widowControl/>
              <w:autoSpaceDE/>
              <w:autoSpaceDN/>
              <w:adjustRightInd/>
              <w:jc w:val="center"/>
              <w:rPr>
                <w:b/>
                <w:bCs/>
                <w:color w:val="000000"/>
                <w:szCs w:val="20"/>
              </w:rPr>
            </w:pPr>
            <w:r w:rsidRPr="00225F7B">
              <w:rPr>
                <w:b/>
                <w:bCs/>
                <w:color w:val="000000"/>
                <w:szCs w:val="20"/>
              </w:rPr>
              <w:t>2021</w:t>
            </w:r>
          </w:p>
        </w:tc>
        <w:tc>
          <w:tcPr>
            <w:tcW w:w="1816" w:type="dxa"/>
            <w:gridSpan w:val="2"/>
            <w:tcBorders>
              <w:top w:val="single" w:sz="8" w:space="0" w:color="auto"/>
              <w:left w:val="single" w:sz="4" w:space="0" w:color="auto"/>
              <w:bottom w:val="single" w:sz="8" w:space="0" w:color="auto"/>
              <w:right w:val="single" w:sz="4" w:space="0" w:color="auto"/>
            </w:tcBorders>
            <w:shd w:val="clear" w:color="000000" w:fill="D9D9D9"/>
            <w:vAlign w:val="center"/>
            <w:hideMark/>
          </w:tcPr>
          <w:p w:rsidR="00225F7B" w:rsidRPr="00225F7B" w:rsidP="00225F7B" w14:paraId="6FB238D5" w14:textId="77777777">
            <w:pPr>
              <w:widowControl/>
              <w:autoSpaceDE/>
              <w:autoSpaceDN/>
              <w:adjustRightInd/>
              <w:jc w:val="center"/>
              <w:rPr>
                <w:b/>
                <w:bCs/>
                <w:color w:val="000000"/>
                <w:szCs w:val="20"/>
              </w:rPr>
            </w:pPr>
            <w:r w:rsidRPr="00225F7B">
              <w:rPr>
                <w:b/>
                <w:bCs/>
                <w:color w:val="000000"/>
                <w:szCs w:val="20"/>
              </w:rPr>
              <w:t>2022</w:t>
            </w:r>
          </w:p>
        </w:tc>
        <w:tc>
          <w:tcPr>
            <w:tcW w:w="1874" w:type="dxa"/>
            <w:gridSpan w:val="2"/>
            <w:tcBorders>
              <w:top w:val="single" w:sz="8" w:space="0" w:color="auto"/>
              <w:left w:val="single" w:sz="4" w:space="0" w:color="auto"/>
              <w:bottom w:val="single" w:sz="8" w:space="0" w:color="auto"/>
              <w:right w:val="single" w:sz="4" w:space="0" w:color="auto"/>
            </w:tcBorders>
            <w:shd w:val="clear" w:color="000000" w:fill="BFBFBF"/>
            <w:vAlign w:val="center"/>
            <w:hideMark/>
          </w:tcPr>
          <w:p w:rsidR="00225F7B" w:rsidRPr="00225F7B" w:rsidP="00225F7B" w14:paraId="233B3951" w14:textId="77777777">
            <w:pPr>
              <w:widowControl/>
              <w:autoSpaceDE/>
              <w:autoSpaceDN/>
              <w:adjustRightInd/>
              <w:jc w:val="center"/>
              <w:rPr>
                <w:b/>
                <w:bCs/>
                <w:color w:val="000000"/>
                <w:szCs w:val="20"/>
              </w:rPr>
            </w:pPr>
            <w:r w:rsidRPr="00225F7B">
              <w:rPr>
                <w:b/>
                <w:bCs/>
                <w:color w:val="000000"/>
                <w:szCs w:val="20"/>
              </w:rPr>
              <w:t>2023</w:t>
            </w:r>
          </w:p>
        </w:tc>
        <w:tc>
          <w:tcPr>
            <w:tcW w:w="990" w:type="dxa"/>
            <w:tcBorders>
              <w:top w:val="nil"/>
              <w:left w:val="single" w:sz="4" w:space="0" w:color="auto"/>
              <w:bottom w:val="nil"/>
              <w:right w:val="nil"/>
            </w:tcBorders>
            <w:shd w:val="clear" w:color="auto" w:fill="auto"/>
            <w:noWrap/>
            <w:vAlign w:val="bottom"/>
            <w:hideMark/>
          </w:tcPr>
          <w:p w:rsidR="00225F7B" w:rsidRPr="00225F7B" w:rsidP="00225F7B" w14:paraId="3212AEAB" w14:textId="77777777">
            <w:pPr>
              <w:widowControl/>
              <w:autoSpaceDE/>
              <w:autoSpaceDN/>
              <w:adjustRightInd/>
              <w:jc w:val="center"/>
              <w:rPr>
                <w:b/>
                <w:bCs/>
                <w:color w:val="000000"/>
                <w:szCs w:val="20"/>
              </w:rPr>
            </w:pPr>
          </w:p>
        </w:tc>
        <w:tc>
          <w:tcPr>
            <w:tcW w:w="900" w:type="dxa"/>
            <w:tcBorders>
              <w:top w:val="nil"/>
              <w:left w:val="nil"/>
              <w:bottom w:val="nil"/>
              <w:right w:val="nil"/>
            </w:tcBorders>
            <w:shd w:val="clear" w:color="auto" w:fill="auto"/>
            <w:noWrap/>
            <w:vAlign w:val="bottom"/>
            <w:hideMark/>
          </w:tcPr>
          <w:p w:rsidR="00225F7B" w:rsidRPr="00225F7B" w:rsidP="00225F7B" w14:paraId="11C3B296" w14:textId="77777777">
            <w:pPr>
              <w:widowControl/>
              <w:autoSpaceDE/>
              <w:autoSpaceDN/>
              <w:adjustRightInd/>
              <w:rPr>
                <w:szCs w:val="20"/>
              </w:rPr>
            </w:pPr>
          </w:p>
        </w:tc>
      </w:tr>
      <w:tr w14:paraId="3CDA8674" w14:textId="77777777" w:rsidTr="00447043">
        <w:tblPrEx>
          <w:tblW w:w="9720" w:type="dxa"/>
          <w:tblInd w:w="180" w:type="dxa"/>
          <w:tblLook w:val="04A0"/>
        </w:tblPrEx>
        <w:trPr>
          <w:trHeight w:val="1050"/>
        </w:trPr>
        <w:tc>
          <w:tcPr>
            <w:tcW w:w="225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6C0F19" w:rsidRPr="00225F7B" w:rsidP="006C0F19" w14:paraId="6B8CCD31" w14:textId="0807FA31">
            <w:pPr>
              <w:widowControl/>
              <w:autoSpaceDE/>
              <w:autoSpaceDN/>
              <w:adjustRightInd/>
              <w:jc w:val="center"/>
              <w:rPr>
                <w:b/>
                <w:bCs/>
                <w:color w:val="000000"/>
                <w:szCs w:val="20"/>
              </w:rPr>
            </w:pPr>
            <w:r w:rsidRPr="00225F7B">
              <w:rPr>
                <w:b/>
                <w:bCs/>
                <w:color w:val="000000"/>
                <w:szCs w:val="20"/>
              </w:rPr>
              <w:t>Form MCS-150</w:t>
            </w:r>
          </w:p>
        </w:tc>
        <w:tc>
          <w:tcPr>
            <w:tcW w:w="866" w:type="dxa"/>
            <w:tcBorders>
              <w:top w:val="nil"/>
              <w:left w:val="nil"/>
              <w:bottom w:val="single" w:sz="8" w:space="0" w:color="auto"/>
              <w:right w:val="single" w:sz="8" w:space="0" w:color="auto"/>
            </w:tcBorders>
            <w:shd w:val="clear" w:color="000000" w:fill="BFBFBF"/>
            <w:vAlign w:val="center"/>
            <w:hideMark/>
          </w:tcPr>
          <w:p w:rsidR="006C0F19" w:rsidRPr="00225F7B" w:rsidP="006C0F19" w14:paraId="13A8D281" w14:textId="07168E3C">
            <w:pPr>
              <w:widowControl/>
              <w:autoSpaceDE/>
              <w:autoSpaceDN/>
              <w:adjustRightInd/>
              <w:jc w:val="center"/>
              <w:rPr>
                <w:b/>
                <w:bCs/>
                <w:color w:val="000000"/>
                <w:szCs w:val="20"/>
              </w:rPr>
            </w:pPr>
            <w:r w:rsidRPr="00225F7B">
              <w:rPr>
                <w:b/>
                <w:bCs/>
                <w:color w:val="000000"/>
                <w:szCs w:val="20"/>
              </w:rPr>
              <w:t>New Filings</w:t>
            </w:r>
          </w:p>
        </w:tc>
        <w:tc>
          <w:tcPr>
            <w:tcW w:w="1024" w:type="dxa"/>
            <w:tcBorders>
              <w:top w:val="nil"/>
              <w:left w:val="nil"/>
              <w:bottom w:val="single" w:sz="8" w:space="0" w:color="auto"/>
              <w:right w:val="single" w:sz="8" w:space="0" w:color="auto"/>
            </w:tcBorders>
            <w:shd w:val="clear" w:color="000000" w:fill="BFBFBF"/>
            <w:vAlign w:val="center"/>
            <w:hideMark/>
          </w:tcPr>
          <w:p w:rsidR="006C0F19" w:rsidRPr="00225F7B" w:rsidP="006C0F19" w14:paraId="4EA06286" w14:textId="0B19F6A0">
            <w:pPr>
              <w:widowControl/>
              <w:autoSpaceDE/>
              <w:autoSpaceDN/>
              <w:adjustRightInd/>
              <w:jc w:val="center"/>
              <w:rPr>
                <w:b/>
                <w:bCs/>
                <w:color w:val="000000"/>
                <w:szCs w:val="20"/>
              </w:rPr>
            </w:pPr>
            <w:r w:rsidRPr="00225F7B">
              <w:rPr>
                <w:b/>
                <w:bCs/>
                <w:color w:val="000000"/>
                <w:szCs w:val="20"/>
              </w:rPr>
              <w:t>Biennial Updates and Changes</w:t>
            </w:r>
          </w:p>
        </w:tc>
        <w:tc>
          <w:tcPr>
            <w:tcW w:w="866" w:type="dxa"/>
            <w:tcBorders>
              <w:top w:val="nil"/>
              <w:left w:val="nil"/>
              <w:bottom w:val="single" w:sz="8" w:space="0" w:color="auto"/>
              <w:right w:val="single" w:sz="8" w:space="0" w:color="auto"/>
            </w:tcBorders>
            <w:shd w:val="clear" w:color="000000" w:fill="D9D9D9"/>
            <w:vAlign w:val="center"/>
            <w:hideMark/>
          </w:tcPr>
          <w:p w:rsidR="006C0F19" w:rsidRPr="00225F7B" w:rsidP="006C0F19" w14:paraId="79F08957" w14:textId="77777777">
            <w:pPr>
              <w:widowControl/>
              <w:autoSpaceDE/>
              <w:autoSpaceDN/>
              <w:adjustRightInd/>
              <w:jc w:val="center"/>
              <w:rPr>
                <w:b/>
                <w:bCs/>
                <w:color w:val="000000"/>
                <w:szCs w:val="20"/>
              </w:rPr>
            </w:pPr>
            <w:r w:rsidRPr="00225F7B">
              <w:rPr>
                <w:b/>
                <w:bCs/>
                <w:color w:val="000000"/>
                <w:szCs w:val="20"/>
              </w:rPr>
              <w:t>New Filings</w:t>
            </w:r>
          </w:p>
        </w:tc>
        <w:tc>
          <w:tcPr>
            <w:tcW w:w="950" w:type="dxa"/>
            <w:tcBorders>
              <w:top w:val="nil"/>
              <w:left w:val="nil"/>
              <w:bottom w:val="single" w:sz="8" w:space="0" w:color="auto"/>
              <w:right w:val="single" w:sz="8" w:space="0" w:color="auto"/>
            </w:tcBorders>
            <w:shd w:val="clear" w:color="000000" w:fill="D9D9D9"/>
            <w:vAlign w:val="center"/>
            <w:hideMark/>
          </w:tcPr>
          <w:p w:rsidR="006C0F19" w:rsidRPr="00225F7B" w:rsidP="006C0F19" w14:paraId="1BD1C691" w14:textId="77777777">
            <w:pPr>
              <w:widowControl/>
              <w:autoSpaceDE/>
              <w:autoSpaceDN/>
              <w:adjustRightInd/>
              <w:jc w:val="center"/>
              <w:rPr>
                <w:b/>
                <w:bCs/>
                <w:color w:val="000000"/>
                <w:szCs w:val="20"/>
              </w:rPr>
            </w:pPr>
            <w:r w:rsidRPr="00225F7B">
              <w:rPr>
                <w:b/>
                <w:bCs/>
                <w:color w:val="000000"/>
                <w:szCs w:val="20"/>
              </w:rPr>
              <w:t>Biennial Updates and Changes</w:t>
            </w:r>
          </w:p>
        </w:tc>
        <w:tc>
          <w:tcPr>
            <w:tcW w:w="884" w:type="dxa"/>
            <w:tcBorders>
              <w:top w:val="nil"/>
              <w:left w:val="nil"/>
              <w:bottom w:val="single" w:sz="8" w:space="0" w:color="auto"/>
              <w:right w:val="single" w:sz="8" w:space="0" w:color="auto"/>
            </w:tcBorders>
            <w:shd w:val="clear" w:color="000000" w:fill="BFBFBF"/>
            <w:vAlign w:val="center"/>
            <w:hideMark/>
          </w:tcPr>
          <w:p w:rsidR="006C0F19" w:rsidRPr="00225F7B" w:rsidP="006C0F19" w14:paraId="59BB7B2C" w14:textId="77777777">
            <w:pPr>
              <w:widowControl/>
              <w:autoSpaceDE/>
              <w:autoSpaceDN/>
              <w:adjustRightInd/>
              <w:jc w:val="center"/>
              <w:rPr>
                <w:b/>
                <w:bCs/>
                <w:color w:val="000000"/>
                <w:szCs w:val="20"/>
              </w:rPr>
            </w:pPr>
            <w:r w:rsidRPr="00225F7B">
              <w:rPr>
                <w:b/>
                <w:bCs/>
                <w:color w:val="000000"/>
                <w:szCs w:val="20"/>
              </w:rPr>
              <w:t>New Filings</w:t>
            </w:r>
          </w:p>
        </w:tc>
        <w:tc>
          <w:tcPr>
            <w:tcW w:w="990" w:type="dxa"/>
            <w:tcBorders>
              <w:top w:val="nil"/>
              <w:left w:val="nil"/>
              <w:bottom w:val="single" w:sz="8" w:space="0" w:color="auto"/>
              <w:right w:val="single" w:sz="8" w:space="0" w:color="auto"/>
            </w:tcBorders>
            <w:shd w:val="clear" w:color="000000" w:fill="BFBFBF"/>
            <w:vAlign w:val="center"/>
            <w:hideMark/>
          </w:tcPr>
          <w:p w:rsidR="006C0F19" w:rsidRPr="00225F7B" w:rsidP="006C0F19" w14:paraId="0871204D" w14:textId="77777777">
            <w:pPr>
              <w:widowControl/>
              <w:autoSpaceDE/>
              <w:autoSpaceDN/>
              <w:adjustRightInd/>
              <w:jc w:val="center"/>
              <w:rPr>
                <w:b/>
                <w:bCs/>
                <w:color w:val="000000"/>
                <w:szCs w:val="20"/>
              </w:rPr>
            </w:pPr>
            <w:r w:rsidRPr="00225F7B">
              <w:rPr>
                <w:b/>
                <w:bCs/>
                <w:color w:val="000000"/>
                <w:szCs w:val="20"/>
              </w:rPr>
              <w:t>Biennial Updates and Changes</w:t>
            </w:r>
          </w:p>
        </w:tc>
        <w:tc>
          <w:tcPr>
            <w:tcW w:w="990" w:type="dxa"/>
            <w:tcBorders>
              <w:top w:val="single" w:sz="8" w:space="0" w:color="auto"/>
              <w:left w:val="nil"/>
              <w:bottom w:val="single" w:sz="8" w:space="0" w:color="auto"/>
              <w:right w:val="single" w:sz="8" w:space="0" w:color="auto"/>
            </w:tcBorders>
            <w:shd w:val="clear" w:color="000000" w:fill="BFBFBF"/>
            <w:vAlign w:val="center"/>
            <w:hideMark/>
          </w:tcPr>
          <w:p w:rsidR="006C0F19" w:rsidRPr="00225F7B" w:rsidP="006C0F19" w14:paraId="76F0F13A" w14:textId="17DADAA4">
            <w:pPr>
              <w:widowControl/>
              <w:autoSpaceDE/>
              <w:autoSpaceDN/>
              <w:adjustRightInd/>
              <w:jc w:val="center"/>
              <w:rPr>
                <w:b/>
                <w:bCs/>
                <w:color w:val="000000"/>
                <w:szCs w:val="20"/>
              </w:rPr>
            </w:pPr>
            <w:r w:rsidRPr="003523E0">
              <w:rPr>
                <w:b/>
                <w:bCs/>
                <w:color w:val="000000"/>
                <w:szCs w:val="20"/>
              </w:rPr>
              <w:t>Average New</w:t>
            </w:r>
            <w:r>
              <w:rPr>
                <w:b/>
                <w:bCs/>
                <w:color w:val="000000"/>
                <w:szCs w:val="20"/>
              </w:rPr>
              <w:t xml:space="preserve"> Filings</w:t>
            </w:r>
          </w:p>
        </w:tc>
        <w:tc>
          <w:tcPr>
            <w:tcW w:w="900" w:type="dxa"/>
            <w:tcBorders>
              <w:top w:val="single" w:sz="8" w:space="0" w:color="auto"/>
              <w:left w:val="nil"/>
              <w:bottom w:val="single" w:sz="8" w:space="0" w:color="auto"/>
              <w:right w:val="single" w:sz="8" w:space="0" w:color="auto"/>
            </w:tcBorders>
            <w:shd w:val="clear" w:color="000000" w:fill="BFBFBF"/>
            <w:vAlign w:val="center"/>
            <w:hideMark/>
          </w:tcPr>
          <w:p w:rsidR="006C0F19" w:rsidRPr="00225F7B" w:rsidP="006C0F19" w14:paraId="1463344F" w14:textId="1AEB9920">
            <w:pPr>
              <w:widowControl/>
              <w:autoSpaceDE/>
              <w:autoSpaceDN/>
              <w:adjustRightInd/>
              <w:jc w:val="center"/>
              <w:rPr>
                <w:b/>
                <w:bCs/>
                <w:color w:val="000000"/>
                <w:szCs w:val="20"/>
              </w:rPr>
            </w:pPr>
            <w:r w:rsidRPr="003523E0">
              <w:rPr>
                <w:b/>
                <w:bCs/>
                <w:color w:val="000000"/>
                <w:szCs w:val="20"/>
              </w:rPr>
              <w:t>Average Biennial</w:t>
            </w:r>
            <w:r>
              <w:rPr>
                <w:b/>
                <w:bCs/>
                <w:color w:val="000000"/>
                <w:szCs w:val="20"/>
              </w:rPr>
              <w:t xml:space="preserve"> Updates and Changes</w:t>
            </w:r>
          </w:p>
        </w:tc>
      </w:tr>
      <w:tr w14:paraId="5B83D848" w14:textId="77777777" w:rsidTr="00447043">
        <w:tblPrEx>
          <w:tblW w:w="9720" w:type="dxa"/>
          <w:tblInd w:w="180" w:type="dxa"/>
          <w:tblLook w:val="04A0"/>
        </w:tblPrEx>
        <w:trPr>
          <w:trHeight w:val="315"/>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225F7B" w:rsidRPr="00225F7B" w:rsidP="00225F7B" w14:paraId="2664DC1F" w14:textId="120FE6D1">
            <w:pPr>
              <w:widowControl/>
              <w:autoSpaceDE/>
              <w:autoSpaceDN/>
              <w:adjustRightInd/>
              <w:rPr>
                <w:b/>
                <w:bCs/>
                <w:color w:val="000000"/>
                <w:szCs w:val="20"/>
              </w:rPr>
            </w:pPr>
            <w:r w:rsidRPr="00225F7B">
              <w:rPr>
                <w:b/>
                <w:bCs/>
                <w:color w:val="000000"/>
                <w:szCs w:val="20"/>
              </w:rPr>
              <w:t>Interstate Carriers</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65D4BC9" w14:textId="77777777">
            <w:pPr>
              <w:widowControl/>
              <w:autoSpaceDE/>
              <w:autoSpaceDN/>
              <w:adjustRightInd/>
              <w:jc w:val="center"/>
              <w:rPr>
                <w:color w:val="000000"/>
                <w:szCs w:val="20"/>
              </w:rPr>
            </w:pPr>
            <w:r w:rsidRPr="00225F7B">
              <w:rPr>
                <w:color w:val="000000"/>
                <w:szCs w:val="20"/>
              </w:rPr>
              <w:t>155,186</w:t>
            </w:r>
          </w:p>
        </w:tc>
        <w:tc>
          <w:tcPr>
            <w:tcW w:w="102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44310C2D" w14:textId="77777777">
            <w:pPr>
              <w:widowControl/>
              <w:autoSpaceDE/>
              <w:autoSpaceDN/>
              <w:adjustRightInd/>
              <w:jc w:val="center"/>
              <w:rPr>
                <w:color w:val="000000"/>
                <w:szCs w:val="20"/>
              </w:rPr>
            </w:pPr>
            <w:r w:rsidRPr="00225F7B">
              <w:rPr>
                <w:color w:val="000000"/>
                <w:szCs w:val="20"/>
              </w:rPr>
              <w:t>440,352</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28ACEFFE" w14:textId="77777777">
            <w:pPr>
              <w:widowControl/>
              <w:autoSpaceDE/>
              <w:autoSpaceDN/>
              <w:adjustRightInd/>
              <w:jc w:val="center"/>
              <w:rPr>
                <w:color w:val="000000"/>
                <w:szCs w:val="20"/>
              </w:rPr>
            </w:pPr>
            <w:r w:rsidRPr="00225F7B">
              <w:rPr>
                <w:color w:val="000000"/>
                <w:szCs w:val="20"/>
              </w:rPr>
              <w:t>127,210</w:t>
            </w:r>
          </w:p>
        </w:tc>
        <w:tc>
          <w:tcPr>
            <w:tcW w:w="95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D7FAE5B" w14:textId="77777777">
            <w:pPr>
              <w:widowControl/>
              <w:autoSpaceDE/>
              <w:autoSpaceDN/>
              <w:adjustRightInd/>
              <w:jc w:val="center"/>
              <w:rPr>
                <w:color w:val="000000"/>
                <w:szCs w:val="20"/>
              </w:rPr>
            </w:pPr>
            <w:r w:rsidRPr="00225F7B">
              <w:rPr>
                <w:color w:val="000000"/>
                <w:szCs w:val="20"/>
              </w:rPr>
              <w:t>486,797</w:t>
            </w:r>
          </w:p>
        </w:tc>
        <w:tc>
          <w:tcPr>
            <w:tcW w:w="88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76508CAE" w14:textId="77777777">
            <w:pPr>
              <w:widowControl/>
              <w:autoSpaceDE/>
              <w:autoSpaceDN/>
              <w:adjustRightInd/>
              <w:jc w:val="center"/>
              <w:rPr>
                <w:color w:val="000000"/>
                <w:szCs w:val="20"/>
              </w:rPr>
            </w:pPr>
            <w:r w:rsidRPr="00225F7B">
              <w:rPr>
                <w:color w:val="000000"/>
                <w:szCs w:val="20"/>
              </w:rPr>
              <w:t>91,142</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B31F530" w14:textId="77777777">
            <w:pPr>
              <w:widowControl/>
              <w:autoSpaceDE/>
              <w:autoSpaceDN/>
              <w:adjustRightInd/>
              <w:jc w:val="center"/>
              <w:rPr>
                <w:color w:val="000000"/>
                <w:szCs w:val="20"/>
              </w:rPr>
            </w:pPr>
            <w:r w:rsidRPr="00225F7B">
              <w:rPr>
                <w:color w:val="000000"/>
                <w:szCs w:val="20"/>
              </w:rPr>
              <w:t>470,034</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1697DD39" w14:textId="77777777">
            <w:pPr>
              <w:widowControl/>
              <w:autoSpaceDE/>
              <w:autoSpaceDN/>
              <w:adjustRightInd/>
              <w:jc w:val="center"/>
              <w:rPr>
                <w:color w:val="000000"/>
                <w:szCs w:val="20"/>
              </w:rPr>
            </w:pPr>
            <w:r w:rsidRPr="00225F7B">
              <w:rPr>
                <w:color w:val="000000"/>
                <w:szCs w:val="20"/>
              </w:rPr>
              <w:t>124,513</w:t>
            </w:r>
          </w:p>
        </w:tc>
        <w:tc>
          <w:tcPr>
            <w:tcW w:w="90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5B0EA2AE" w14:textId="77777777">
            <w:pPr>
              <w:widowControl/>
              <w:autoSpaceDE/>
              <w:autoSpaceDN/>
              <w:adjustRightInd/>
              <w:jc w:val="center"/>
              <w:rPr>
                <w:color w:val="000000"/>
                <w:szCs w:val="20"/>
              </w:rPr>
            </w:pPr>
            <w:r w:rsidRPr="00225F7B">
              <w:rPr>
                <w:color w:val="000000"/>
                <w:szCs w:val="20"/>
              </w:rPr>
              <w:t>465,728</w:t>
            </w:r>
          </w:p>
        </w:tc>
      </w:tr>
      <w:tr w14:paraId="03781214"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225F7B" w:rsidRPr="00225F7B" w:rsidP="00225F7B" w14:paraId="6C0D31A6" w14:textId="77777777">
            <w:pPr>
              <w:widowControl/>
              <w:autoSpaceDE/>
              <w:autoSpaceDN/>
              <w:adjustRightInd/>
              <w:rPr>
                <w:b/>
                <w:bCs/>
                <w:color w:val="000000"/>
                <w:szCs w:val="20"/>
              </w:rPr>
            </w:pPr>
            <w:r w:rsidRPr="00225F7B">
              <w:rPr>
                <w:b/>
                <w:bCs/>
                <w:color w:val="000000"/>
                <w:szCs w:val="20"/>
              </w:rPr>
              <w:t>Intrastate Hazmat Carriers</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513691EF" w14:textId="77777777">
            <w:pPr>
              <w:widowControl/>
              <w:autoSpaceDE/>
              <w:autoSpaceDN/>
              <w:adjustRightInd/>
              <w:jc w:val="center"/>
              <w:rPr>
                <w:color w:val="000000"/>
                <w:szCs w:val="20"/>
              </w:rPr>
            </w:pPr>
            <w:r w:rsidRPr="00225F7B">
              <w:rPr>
                <w:color w:val="000000"/>
                <w:szCs w:val="20"/>
              </w:rPr>
              <w:t>2,865</w:t>
            </w:r>
          </w:p>
        </w:tc>
        <w:tc>
          <w:tcPr>
            <w:tcW w:w="102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35895591" w14:textId="77777777">
            <w:pPr>
              <w:widowControl/>
              <w:autoSpaceDE/>
              <w:autoSpaceDN/>
              <w:adjustRightInd/>
              <w:jc w:val="center"/>
              <w:rPr>
                <w:color w:val="000000"/>
                <w:szCs w:val="20"/>
              </w:rPr>
            </w:pPr>
            <w:r w:rsidRPr="00225F7B">
              <w:rPr>
                <w:color w:val="000000"/>
                <w:szCs w:val="20"/>
              </w:rPr>
              <w:t>9,258</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70A46A0C" w14:textId="77777777">
            <w:pPr>
              <w:widowControl/>
              <w:autoSpaceDE/>
              <w:autoSpaceDN/>
              <w:adjustRightInd/>
              <w:jc w:val="center"/>
              <w:rPr>
                <w:color w:val="000000"/>
                <w:szCs w:val="20"/>
              </w:rPr>
            </w:pPr>
            <w:r w:rsidRPr="00225F7B">
              <w:rPr>
                <w:color w:val="000000"/>
                <w:szCs w:val="20"/>
              </w:rPr>
              <w:t>2,576</w:t>
            </w:r>
          </w:p>
        </w:tc>
        <w:tc>
          <w:tcPr>
            <w:tcW w:w="95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6E854E69" w14:textId="77777777">
            <w:pPr>
              <w:widowControl/>
              <w:autoSpaceDE/>
              <w:autoSpaceDN/>
              <w:adjustRightInd/>
              <w:jc w:val="center"/>
              <w:rPr>
                <w:color w:val="000000"/>
                <w:szCs w:val="20"/>
              </w:rPr>
            </w:pPr>
            <w:r w:rsidRPr="00225F7B">
              <w:rPr>
                <w:color w:val="000000"/>
                <w:szCs w:val="20"/>
              </w:rPr>
              <w:t>9,125</w:t>
            </w:r>
          </w:p>
        </w:tc>
        <w:tc>
          <w:tcPr>
            <w:tcW w:w="88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B1DFC52" w14:textId="77777777">
            <w:pPr>
              <w:widowControl/>
              <w:autoSpaceDE/>
              <w:autoSpaceDN/>
              <w:adjustRightInd/>
              <w:jc w:val="center"/>
              <w:rPr>
                <w:color w:val="000000"/>
                <w:szCs w:val="20"/>
              </w:rPr>
            </w:pPr>
            <w:r w:rsidRPr="00225F7B">
              <w:rPr>
                <w:color w:val="000000"/>
                <w:szCs w:val="20"/>
              </w:rPr>
              <w:t>2,591</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1865981A" w14:textId="77777777">
            <w:pPr>
              <w:widowControl/>
              <w:autoSpaceDE/>
              <w:autoSpaceDN/>
              <w:adjustRightInd/>
              <w:jc w:val="center"/>
              <w:rPr>
                <w:color w:val="000000"/>
                <w:szCs w:val="20"/>
              </w:rPr>
            </w:pPr>
            <w:r w:rsidRPr="00225F7B">
              <w:rPr>
                <w:color w:val="000000"/>
                <w:szCs w:val="20"/>
              </w:rPr>
              <w:t>9,450</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C88EDC6" w14:textId="77777777">
            <w:pPr>
              <w:widowControl/>
              <w:autoSpaceDE/>
              <w:autoSpaceDN/>
              <w:adjustRightInd/>
              <w:jc w:val="center"/>
              <w:rPr>
                <w:color w:val="000000"/>
                <w:szCs w:val="20"/>
              </w:rPr>
            </w:pPr>
            <w:r w:rsidRPr="00225F7B">
              <w:rPr>
                <w:color w:val="000000"/>
                <w:szCs w:val="20"/>
              </w:rPr>
              <w:t>2,677</w:t>
            </w:r>
          </w:p>
        </w:tc>
        <w:tc>
          <w:tcPr>
            <w:tcW w:w="90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7C166D9D" w14:textId="77777777">
            <w:pPr>
              <w:widowControl/>
              <w:autoSpaceDE/>
              <w:autoSpaceDN/>
              <w:adjustRightInd/>
              <w:jc w:val="center"/>
              <w:rPr>
                <w:color w:val="000000"/>
                <w:szCs w:val="20"/>
              </w:rPr>
            </w:pPr>
            <w:r w:rsidRPr="00225F7B">
              <w:rPr>
                <w:color w:val="000000"/>
                <w:szCs w:val="20"/>
              </w:rPr>
              <w:t>9,278</w:t>
            </w:r>
          </w:p>
        </w:tc>
      </w:tr>
      <w:tr w14:paraId="65894DA5" w14:textId="77777777" w:rsidTr="00447043">
        <w:tblPrEx>
          <w:tblW w:w="9720" w:type="dxa"/>
          <w:tblInd w:w="180" w:type="dxa"/>
          <w:tblLook w:val="04A0"/>
        </w:tblPrEx>
        <w:trPr>
          <w:trHeight w:val="43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225F7B" w:rsidRPr="00225F7B" w:rsidP="00225F7B" w14:paraId="305A4E6D" w14:textId="77777777">
            <w:pPr>
              <w:widowControl/>
              <w:autoSpaceDE/>
              <w:autoSpaceDN/>
              <w:adjustRightInd/>
              <w:rPr>
                <w:b/>
                <w:bCs/>
                <w:color w:val="000000"/>
                <w:szCs w:val="20"/>
              </w:rPr>
            </w:pPr>
            <w:r w:rsidRPr="00225F7B">
              <w:rPr>
                <w:b/>
                <w:bCs/>
                <w:color w:val="000000"/>
                <w:szCs w:val="20"/>
              </w:rPr>
              <w:t>Intrastate Non-Hazmat Carriers</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137F782D" w14:textId="77777777">
            <w:pPr>
              <w:widowControl/>
              <w:autoSpaceDE/>
              <w:autoSpaceDN/>
              <w:adjustRightInd/>
              <w:jc w:val="center"/>
              <w:rPr>
                <w:color w:val="000000"/>
                <w:szCs w:val="20"/>
              </w:rPr>
            </w:pPr>
            <w:r w:rsidRPr="00225F7B">
              <w:rPr>
                <w:color w:val="000000"/>
                <w:szCs w:val="20"/>
              </w:rPr>
              <w:t>76,987</w:t>
            </w:r>
          </w:p>
        </w:tc>
        <w:tc>
          <w:tcPr>
            <w:tcW w:w="102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1C322241" w14:textId="77777777">
            <w:pPr>
              <w:widowControl/>
              <w:autoSpaceDE/>
              <w:autoSpaceDN/>
              <w:adjustRightInd/>
              <w:jc w:val="center"/>
              <w:rPr>
                <w:color w:val="000000"/>
                <w:szCs w:val="20"/>
              </w:rPr>
            </w:pPr>
            <w:r w:rsidRPr="00225F7B">
              <w:rPr>
                <w:color w:val="000000"/>
                <w:szCs w:val="20"/>
              </w:rPr>
              <w:t>237,522</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4A58CB2A" w14:textId="77777777">
            <w:pPr>
              <w:widowControl/>
              <w:autoSpaceDE/>
              <w:autoSpaceDN/>
              <w:adjustRightInd/>
              <w:jc w:val="center"/>
              <w:rPr>
                <w:color w:val="000000"/>
                <w:szCs w:val="20"/>
              </w:rPr>
            </w:pPr>
            <w:r w:rsidRPr="00225F7B">
              <w:rPr>
                <w:color w:val="000000"/>
                <w:szCs w:val="20"/>
              </w:rPr>
              <w:t>71,826</w:t>
            </w:r>
          </w:p>
        </w:tc>
        <w:tc>
          <w:tcPr>
            <w:tcW w:w="95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4B76E2E6" w14:textId="77777777">
            <w:pPr>
              <w:widowControl/>
              <w:autoSpaceDE/>
              <w:autoSpaceDN/>
              <w:adjustRightInd/>
              <w:jc w:val="center"/>
              <w:rPr>
                <w:color w:val="000000"/>
                <w:szCs w:val="20"/>
              </w:rPr>
            </w:pPr>
            <w:r w:rsidRPr="00225F7B">
              <w:rPr>
                <w:color w:val="000000"/>
                <w:szCs w:val="20"/>
              </w:rPr>
              <w:t>246,206</w:t>
            </w:r>
          </w:p>
        </w:tc>
        <w:tc>
          <w:tcPr>
            <w:tcW w:w="88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2AEB66D3" w14:textId="77777777">
            <w:pPr>
              <w:widowControl/>
              <w:autoSpaceDE/>
              <w:autoSpaceDN/>
              <w:adjustRightInd/>
              <w:jc w:val="center"/>
              <w:rPr>
                <w:color w:val="000000"/>
                <w:szCs w:val="20"/>
              </w:rPr>
            </w:pPr>
            <w:r w:rsidRPr="00225F7B">
              <w:rPr>
                <w:color w:val="000000"/>
                <w:szCs w:val="20"/>
              </w:rPr>
              <w:t>65,702</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23D47B41" w14:textId="77777777">
            <w:pPr>
              <w:widowControl/>
              <w:autoSpaceDE/>
              <w:autoSpaceDN/>
              <w:adjustRightInd/>
              <w:jc w:val="center"/>
              <w:rPr>
                <w:color w:val="000000"/>
                <w:szCs w:val="20"/>
              </w:rPr>
            </w:pPr>
            <w:r w:rsidRPr="00225F7B">
              <w:rPr>
                <w:color w:val="000000"/>
                <w:szCs w:val="20"/>
              </w:rPr>
              <w:t>258,613</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298934D9" w14:textId="77777777">
            <w:pPr>
              <w:widowControl/>
              <w:autoSpaceDE/>
              <w:autoSpaceDN/>
              <w:adjustRightInd/>
              <w:jc w:val="center"/>
              <w:rPr>
                <w:color w:val="000000"/>
                <w:szCs w:val="20"/>
              </w:rPr>
            </w:pPr>
            <w:r w:rsidRPr="00225F7B">
              <w:rPr>
                <w:color w:val="000000"/>
                <w:szCs w:val="20"/>
              </w:rPr>
              <w:t>71,505</w:t>
            </w:r>
          </w:p>
        </w:tc>
        <w:tc>
          <w:tcPr>
            <w:tcW w:w="90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FBD2035" w14:textId="77777777">
            <w:pPr>
              <w:widowControl/>
              <w:autoSpaceDE/>
              <w:autoSpaceDN/>
              <w:adjustRightInd/>
              <w:jc w:val="center"/>
              <w:rPr>
                <w:color w:val="000000"/>
                <w:szCs w:val="20"/>
              </w:rPr>
            </w:pPr>
            <w:r w:rsidRPr="00225F7B">
              <w:rPr>
                <w:color w:val="000000"/>
                <w:szCs w:val="20"/>
              </w:rPr>
              <w:t>247,447</w:t>
            </w:r>
          </w:p>
        </w:tc>
      </w:tr>
      <w:tr w14:paraId="75F6A28C"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225F7B" w:rsidRPr="00225F7B" w:rsidP="00225F7B" w14:paraId="5F749C37" w14:textId="77777777">
            <w:pPr>
              <w:widowControl/>
              <w:autoSpaceDE/>
              <w:autoSpaceDN/>
              <w:adjustRightInd/>
              <w:rPr>
                <w:b/>
                <w:bCs/>
                <w:color w:val="000000"/>
                <w:szCs w:val="20"/>
              </w:rPr>
            </w:pPr>
            <w:r w:rsidRPr="00225F7B">
              <w:rPr>
                <w:b/>
                <w:bCs/>
                <w:color w:val="000000"/>
                <w:szCs w:val="20"/>
              </w:rPr>
              <w:t>Other (Shipper)</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1799CBB1" w14:textId="77777777">
            <w:pPr>
              <w:widowControl/>
              <w:autoSpaceDE/>
              <w:autoSpaceDN/>
              <w:adjustRightInd/>
              <w:jc w:val="center"/>
              <w:rPr>
                <w:color w:val="000000"/>
                <w:szCs w:val="20"/>
              </w:rPr>
            </w:pPr>
            <w:r w:rsidRPr="00225F7B">
              <w:rPr>
                <w:color w:val="000000"/>
                <w:szCs w:val="20"/>
              </w:rPr>
              <w:t>1,778</w:t>
            </w:r>
          </w:p>
        </w:tc>
        <w:tc>
          <w:tcPr>
            <w:tcW w:w="102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227F363" w14:textId="77777777">
            <w:pPr>
              <w:widowControl/>
              <w:autoSpaceDE/>
              <w:autoSpaceDN/>
              <w:adjustRightInd/>
              <w:jc w:val="center"/>
              <w:rPr>
                <w:color w:val="000000"/>
                <w:szCs w:val="20"/>
              </w:rPr>
            </w:pPr>
            <w:r w:rsidRPr="00225F7B">
              <w:rPr>
                <w:color w:val="000000"/>
                <w:szCs w:val="20"/>
              </w:rPr>
              <w:t>12,062</w:t>
            </w:r>
          </w:p>
        </w:tc>
        <w:tc>
          <w:tcPr>
            <w:tcW w:w="866"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51B0C547" w14:textId="77777777">
            <w:pPr>
              <w:widowControl/>
              <w:autoSpaceDE/>
              <w:autoSpaceDN/>
              <w:adjustRightInd/>
              <w:jc w:val="center"/>
              <w:rPr>
                <w:color w:val="000000"/>
                <w:szCs w:val="20"/>
              </w:rPr>
            </w:pPr>
            <w:r w:rsidRPr="00225F7B">
              <w:rPr>
                <w:color w:val="000000"/>
                <w:szCs w:val="20"/>
              </w:rPr>
              <w:t>1,271</w:t>
            </w:r>
          </w:p>
        </w:tc>
        <w:tc>
          <w:tcPr>
            <w:tcW w:w="95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58D0400" w14:textId="77777777">
            <w:pPr>
              <w:widowControl/>
              <w:autoSpaceDE/>
              <w:autoSpaceDN/>
              <w:adjustRightInd/>
              <w:jc w:val="center"/>
              <w:rPr>
                <w:color w:val="000000"/>
                <w:szCs w:val="20"/>
              </w:rPr>
            </w:pPr>
            <w:r w:rsidRPr="00225F7B">
              <w:rPr>
                <w:color w:val="000000"/>
                <w:szCs w:val="20"/>
              </w:rPr>
              <w:t>12,393</w:t>
            </w:r>
          </w:p>
        </w:tc>
        <w:tc>
          <w:tcPr>
            <w:tcW w:w="884"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DDF17E5" w14:textId="77777777">
            <w:pPr>
              <w:widowControl/>
              <w:autoSpaceDE/>
              <w:autoSpaceDN/>
              <w:adjustRightInd/>
              <w:jc w:val="center"/>
              <w:rPr>
                <w:color w:val="000000"/>
                <w:szCs w:val="20"/>
              </w:rPr>
            </w:pPr>
            <w:r w:rsidRPr="00225F7B">
              <w:rPr>
                <w:color w:val="000000"/>
                <w:szCs w:val="20"/>
              </w:rPr>
              <w:t>850</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42A45FE4" w14:textId="77777777">
            <w:pPr>
              <w:widowControl/>
              <w:autoSpaceDE/>
              <w:autoSpaceDN/>
              <w:adjustRightInd/>
              <w:jc w:val="center"/>
              <w:rPr>
                <w:color w:val="000000"/>
                <w:szCs w:val="20"/>
              </w:rPr>
            </w:pPr>
            <w:r w:rsidRPr="00225F7B">
              <w:rPr>
                <w:color w:val="000000"/>
                <w:szCs w:val="20"/>
              </w:rPr>
              <w:t>12,326</w:t>
            </w:r>
          </w:p>
        </w:tc>
        <w:tc>
          <w:tcPr>
            <w:tcW w:w="99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36FF9468" w14:textId="77777777">
            <w:pPr>
              <w:widowControl/>
              <w:autoSpaceDE/>
              <w:autoSpaceDN/>
              <w:adjustRightInd/>
              <w:jc w:val="center"/>
              <w:rPr>
                <w:color w:val="000000"/>
                <w:szCs w:val="20"/>
              </w:rPr>
            </w:pPr>
            <w:r w:rsidRPr="00225F7B">
              <w:rPr>
                <w:color w:val="000000"/>
                <w:szCs w:val="20"/>
              </w:rPr>
              <w:t>1,300</w:t>
            </w:r>
          </w:p>
        </w:tc>
        <w:tc>
          <w:tcPr>
            <w:tcW w:w="900" w:type="dxa"/>
            <w:tcBorders>
              <w:top w:val="nil"/>
              <w:left w:val="nil"/>
              <w:bottom w:val="single" w:sz="8" w:space="0" w:color="auto"/>
              <w:right w:val="single" w:sz="8" w:space="0" w:color="auto"/>
            </w:tcBorders>
            <w:shd w:val="clear" w:color="auto" w:fill="auto"/>
            <w:noWrap/>
            <w:vAlign w:val="center"/>
            <w:hideMark/>
          </w:tcPr>
          <w:p w:rsidR="00225F7B" w:rsidRPr="00225F7B" w:rsidP="00225F7B" w14:paraId="05ED26D0" w14:textId="77777777">
            <w:pPr>
              <w:widowControl/>
              <w:autoSpaceDE/>
              <w:autoSpaceDN/>
              <w:adjustRightInd/>
              <w:jc w:val="center"/>
              <w:rPr>
                <w:color w:val="000000"/>
                <w:szCs w:val="20"/>
              </w:rPr>
            </w:pPr>
            <w:r w:rsidRPr="00225F7B">
              <w:rPr>
                <w:color w:val="000000"/>
                <w:szCs w:val="20"/>
              </w:rPr>
              <w:t>12,260</w:t>
            </w:r>
          </w:p>
        </w:tc>
      </w:tr>
      <w:tr w14:paraId="6E002118" w14:textId="77777777" w:rsidTr="00447043">
        <w:tblPrEx>
          <w:tblW w:w="9720" w:type="dxa"/>
          <w:tblInd w:w="180" w:type="dxa"/>
          <w:tblLook w:val="04A0"/>
        </w:tblPrEx>
        <w:trPr>
          <w:trHeight w:val="320"/>
        </w:trPr>
        <w:tc>
          <w:tcPr>
            <w:tcW w:w="9720" w:type="dxa"/>
            <w:gridSpan w:val="9"/>
            <w:tcBorders>
              <w:top w:val="nil"/>
              <w:left w:val="nil"/>
              <w:bottom w:val="nil"/>
              <w:right w:val="nil"/>
            </w:tcBorders>
            <w:shd w:val="clear" w:color="auto" w:fill="auto"/>
            <w:noWrap/>
            <w:vAlign w:val="bottom"/>
            <w:hideMark/>
          </w:tcPr>
          <w:p w:rsidR="007D0681" w:rsidP="00AC5AB9" w14:paraId="301FA068" w14:textId="77777777">
            <w:pPr>
              <w:widowControl/>
              <w:autoSpaceDE/>
              <w:autoSpaceDN/>
              <w:adjustRightInd/>
              <w:rPr>
                <w:b/>
                <w:bCs/>
                <w:color w:val="000000"/>
                <w:sz w:val="24"/>
              </w:rPr>
            </w:pPr>
          </w:p>
          <w:p w:rsidR="00AC5AB9" w:rsidP="00447043" w14:paraId="51C3EA10" w14:textId="77777777">
            <w:pPr>
              <w:widowControl/>
              <w:autoSpaceDE/>
              <w:autoSpaceDN/>
              <w:adjustRightInd/>
              <w:jc w:val="center"/>
              <w:rPr>
                <w:b/>
                <w:bCs/>
                <w:color w:val="000000"/>
                <w:sz w:val="24"/>
              </w:rPr>
            </w:pPr>
            <w:r w:rsidRPr="00AC5AB9">
              <w:rPr>
                <w:b/>
                <w:bCs/>
                <w:color w:val="000000"/>
                <w:sz w:val="24"/>
              </w:rPr>
              <w:t>Table 2. Form MCS-150B Application Data 2021-2023</w:t>
            </w:r>
          </w:p>
          <w:p w:rsidR="004C5197" w:rsidP="00447043" w14:paraId="10AF6D2B" w14:textId="77777777">
            <w:pPr>
              <w:widowControl/>
              <w:autoSpaceDE/>
              <w:autoSpaceDN/>
              <w:adjustRightInd/>
              <w:jc w:val="center"/>
              <w:rPr>
                <w:b/>
                <w:bCs/>
                <w:color w:val="000000"/>
                <w:sz w:val="24"/>
              </w:rPr>
            </w:pPr>
          </w:p>
          <w:p w:rsidR="00E4568E" w:rsidRPr="00AC5AB9" w:rsidP="00AC5AB9" w14:paraId="6FCB86D2" w14:textId="464E1674">
            <w:pPr>
              <w:widowControl/>
              <w:autoSpaceDE/>
              <w:autoSpaceDN/>
              <w:adjustRightInd/>
              <w:rPr>
                <w:b/>
                <w:bCs/>
                <w:color w:val="000000"/>
                <w:sz w:val="24"/>
              </w:rPr>
            </w:pPr>
          </w:p>
        </w:tc>
      </w:tr>
      <w:tr w14:paraId="0684F87D" w14:textId="77777777" w:rsidTr="00447043">
        <w:tblPrEx>
          <w:tblW w:w="9720" w:type="dxa"/>
          <w:tblInd w:w="180" w:type="dxa"/>
          <w:tblLook w:val="04A0"/>
        </w:tblPrEx>
        <w:trPr>
          <w:trHeight w:val="300"/>
        </w:trPr>
        <w:tc>
          <w:tcPr>
            <w:tcW w:w="2250" w:type="dxa"/>
            <w:tcBorders>
              <w:top w:val="nil"/>
              <w:left w:val="nil"/>
              <w:bottom w:val="single" w:sz="8" w:space="0" w:color="auto"/>
              <w:right w:val="nil"/>
            </w:tcBorders>
            <w:shd w:val="clear" w:color="auto" w:fill="auto"/>
            <w:noWrap/>
            <w:vAlign w:val="bottom"/>
            <w:hideMark/>
          </w:tcPr>
          <w:p w:rsidR="00AC5AB9" w:rsidRPr="00AC5AB9" w:rsidP="00AC5AB9" w14:paraId="16028AD6" w14:textId="77777777">
            <w:pPr>
              <w:widowControl/>
              <w:autoSpaceDE/>
              <w:autoSpaceDN/>
              <w:adjustRightInd/>
              <w:rPr>
                <w:b/>
                <w:bCs/>
                <w:color w:val="000000"/>
                <w:sz w:val="24"/>
              </w:rPr>
            </w:pPr>
          </w:p>
        </w:tc>
        <w:tc>
          <w:tcPr>
            <w:tcW w:w="1890"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rsidR="00AC5AB9" w:rsidRPr="00AC5AB9" w:rsidP="00AC5AB9" w14:paraId="7A94E39E" w14:textId="77777777">
            <w:pPr>
              <w:widowControl/>
              <w:autoSpaceDE/>
              <w:autoSpaceDN/>
              <w:adjustRightInd/>
              <w:jc w:val="center"/>
              <w:rPr>
                <w:b/>
                <w:bCs/>
                <w:color w:val="000000"/>
                <w:szCs w:val="20"/>
              </w:rPr>
            </w:pPr>
            <w:r w:rsidRPr="00AC5AB9">
              <w:rPr>
                <w:b/>
                <w:bCs/>
                <w:color w:val="000000"/>
                <w:szCs w:val="20"/>
              </w:rPr>
              <w:t>2021</w:t>
            </w:r>
          </w:p>
        </w:tc>
        <w:tc>
          <w:tcPr>
            <w:tcW w:w="1816" w:type="dxa"/>
            <w:gridSpan w:val="2"/>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AC5AB9" w:rsidRPr="00AC5AB9" w:rsidP="00AC5AB9" w14:paraId="3CED2739" w14:textId="77777777">
            <w:pPr>
              <w:widowControl/>
              <w:autoSpaceDE/>
              <w:autoSpaceDN/>
              <w:adjustRightInd/>
              <w:jc w:val="center"/>
              <w:rPr>
                <w:b/>
                <w:bCs/>
                <w:color w:val="000000"/>
                <w:szCs w:val="20"/>
              </w:rPr>
            </w:pPr>
            <w:r w:rsidRPr="00AC5AB9">
              <w:rPr>
                <w:b/>
                <w:bCs/>
                <w:color w:val="000000"/>
                <w:szCs w:val="20"/>
              </w:rPr>
              <w:t>2022</w:t>
            </w:r>
          </w:p>
        </w:tc>
        <w:tc>
          <w:tcPr>
            <w:tcW w:w="1874" w:type="dxa"/>
            <w:gridSpan w:val="2"/>
            <w:tcBorders>
              <w:top w:val="single" w:sz="8" w:space="0" w:color="auto"/>
              <w:left w:val="single" w:sz="4" w:space="0" w:color="auto"/>
              <w:bottom w:val="single" w:sz="8" w:space="0" w:color="auto"/>
              <w:right w:val="single" w:sz="4" w:space="0" w:color="auto"/>
            </w:tcBorders>
            <w:shd w:val="clear" w:color="000000" w:fill="BFBFBF"/>
            <w:noWrap/>
            <w:vAlign w:val="bottom"/>
            <w:hideMark/>
          </w:tcPr>
          <w:p w:rsidR="00AC5AB9" w:rsidRPr="00AC5AB9" w:rsidP="00AC5AB9" w14:paraId="7106953D" w14:textId="77777777">
            <w:pPr>
              <w:widowControl/>
              <w:autoSpaceDE/>
              <w:autoSpaceDN/>
              <w:adjustRightInd/>
              <w:jc w:val="center"/>
              <w:rPr>
                <w:b/>
                <w:bCs/>
                <w:color w:val="000000"/>
                <w:szCs w:val="20"/>
              </w:rPr>
            </w:pPr>
            <w:r w:rsidRPr="00AC5AB9">
              <w:rPr>
                <w:b/>
                <w:bCs/>
                <w:color w:val="000000"/>
                <w:szCs w:val="20"/>
              </w:rPr>
              <w:t>2023</w:t>
            </w:r>
          </w:p>
        </w:tc>
        <w:tc>
          <w:tcPr>
            <w:tcW w:w="990" w:type="dxa"/>
            <w:tcBorders>
              <w:top w:val="nil"/>
              <w:left w:val="single" w:sz="4" w:space="0" w:color="auto"/>
              <w:bottom w:val="nil"/>
              <w:right w:val="nil"/>
            </w:tcBorders>
            <w:shd w:val="clear" w:color="auto" w:fill="auto"/>
            <w:noWrap/>
            <w:vAlign w:val="bottom"/>
            <w:hideMark/>
          </w:tcPr>
          <w:p w:rsidR="00AC5AB9" w:rsidRPr="00AC5AB9" w:rsidP="00AC5AB9" w14:paraId="249835B4" w14:textId="77777777">
            <w:pPr>
              <w:widowControl/>
              <w:autoSpaceDE/>
              <w:autoSpaceDN/>
              <w:adjustRightInd/>
              <w:jc w:val="center"/>
              <w:rPr>
                <w:b/>
                <w:bCs/>
                <w:color w:val="000000"/>
                <w:szCs w:val="20"/>
              </w:rPr>
            </w:pPr>
          </w:p>
        </w:tc>
        <w:tc>
          <w:tcPr>
            <w:tcW w:w="900" w:type="dxa"/>
            <w:tcBorders>
              <w:top w:val="nil"/>
              <w:left w:val="nil"/>
              <w:bottom w:val="nil"/>
              <w:right w:val="nil"/>
            </w:tcBorders>
            <w:shd w:val="clear" w:color="auto" w:fill="auto"/>
            <w:noWrap/>
            <w:vAlign w:val="bottom"/>
            <w:hideMark/>
          </w:tcPr>
          <w:p w:rsidR="00AC5AB9" w:rsidRPr="00AC5AB9" w:rsidP="00AC5AB9" w14:paraId="7E510DA2" w14:textId="77777777">
            <w:pPr>
              <w:widowControl/>
              <w:autoSpaceDE/>
              <w:autoSpaceDN/>
              <w:adjustRightInd/>
              <w:rPr>
                <w:szCs w:val="20"/>
              </w:rPr>
            </w:pPr>
          </w:p>
        </w:tc>
      </w:tr>
      <w:tr w14:paraId="7AA4A9FE" w14:textId="77777777" w:rsidTr="00447043">
        <w:tblPrEx>
          <w:tblW w:w="9720" w:type="dxa"/>
          <w:tblInd w:w="180" w:type="dxa"/>
          <w:tblLook w:val="04A0"/>
        </w:tblPrEx>
        <w:trPr>
          <w:trHeight w:val="1050"/>
        </w:trPr>
        <w:tc>
          <w:tcPr>
            <w:tcW w:w="2250" w:type="dxa"/>
            <w:tcBorders>
              <w:top w:val="single" w:sz="8" w:space="0" w:color="auto"/>
              <w:left w:val="single" w:sz="4" w:space="0" w:color="auto"/>
              <w:bottom w:val="single" w:sz="8" w:space="0" w:color="auto"/>
              <w:right w:val="single" w:sz="8" w:space="0" w:color="auto"/>
            </w:tcBorders>
            <w:shd w:val="clear" w:color="000000" w:fill="BFBFBF"/>
            <w:vAlign w:val="center"/>
            <w:hideMark/>
          </w:tcPr>
          <w:p w:rsidR="006C0F19" w:rsidRPr="00AC5AB9" w:rsidP="006C0F19" w14:paraId="363D97F8" w14:textId="616DA640">
            <w:pPr>
              <w:widowControl/>
              <w:autoSpaceDE/>
              <w:autoSpaceDN/>
              <w:adjustRightInd/>
              <w:jc w:val="center"/>
              <w:rPr>
                <w:b/>
                <w:bCs/>
                <w:color w:val="000000"/>
                <w:szCs w:val="20"/>
              </w:rPr>
            </w:pPr>
            <w:r w:rsidRPr="00AC5AB9">
              <w:rPr>
                <w:b/>
                <w:bCs/>
                <w:color w:val="000000"/>
                <w:szCs w:val="20"/>
              </w:rPr>
              <w:t>Form MCS-150B</w:t>
            </w:r>
          </w:p>
        </w:tc>
        <w:tc>
          <w:tcPr>
            <w:tcW w:w="866" w:type="dxa"/>
            <w:tcBorders>
              <w:top w:val="nil"/>
              <w:left w:val="nil"/>
              <w:bottom w:val="single" w:sz="8" w:space="0" w:color="auto"/>
              <w:right w:val="single" w:sz="8" w:space="0" w:color="auto"/>
            </w:tcBorders>
            <w:shd w:val="clear" w:color="000000" w:fill="BFBFBF"/>
            <w:vAlign w:val="center"/>
            <w:hideMark/>
          </w:tcPr>
          <w:p w:rsidR="006C0F19" w:rsidRPr="00AC5AB9" w:rsidP="006C0F19" w14:paraId="73FBE6A6" w14:textId="0D230E36">
            <w:pPr>
              <w:widowControl/>
              <w:autoSpaceDE/>
              <w:autoSpaceDN/>
              <w:adjustRightInd/>
              <w:jc w:val="center"/>
              <w:rPr>
                <w:b/>
                <w:bCs/>
                <w:color w:val="000000"/>
                <w:szCs w:val="20"/>
              </w:rPr>
            </w:pPr>
            <w:r w:rsidRPr="00AC5AB9">
              <w:rPr>
                <w:b/>
                <w:bCs/>
                <w:color w:val="000000"/>
                <w:szCs w:val="20"/>
              </w:rPr>
              <w:t>New Filings</w:t>
            </w:r>
          </w:p>
        </w:tc>
        <w:tc>
          <w:tcPr>
            <w:tcW w:w="1024" w:type="dxa"/>
            <w:tcBorders>
              <w:top w:val="nil"/>
              <w:left w:val="nil"/>
              <w:bottom w:val="single" w:sz="8" w:space="0" w:color="auto"/>
              <w:right w:val="single" w:sz="8" w:space="0" w:color="auto"/>
            </w:tcBorders>
            <w:shd w:val="clear" w:color="000000" w:fill="BFBFBF"/>
            <w:vAlign w:val="center"/>
            <w:hideMark/>
          </w:tcPr>
          <w:p w:rsidR="006C0F19" w:rsidRPr="00AC5AB9" w:rsidP="006C0F19" w14:paraId="21CC5B2D" w14:textId="3684B647">
            <w:pPr>
              <w:widowControl/>
              <w:autoSpaceDE/>
              <w:autoSpaceDN/>
              <w:adjustRightInd/>
              <w:jc w:val="center"/>
              <w:rPr>
                <w:b/>
                <w:bCs/>
                <w:color w:val="000000"/>
                <w:szCs w:val="20"/>
              </w:rPr>
            </w:pPr>
            <w:r w:rsidRPr="00AC5AB9">
              <w:rPr>
                <w:b/>
                <w:bCs/>
                <w:color w:val="000000"/>
                <w:szCs w:val="20"/>
              </w:rPr>
              <w:t>Biennial Updates and Changes</w:t>
            </w:r>
          </w:p>
        </w:tc>
        <w:tc>
          <w:tcPr>
            <w:tcW w:w="866" w:type="dxa"/>
            <w:tcBorders>
              <w:top w:val="nil"/>
              <w:left w:val="nil"/>
              <w:bottom w:val="single" w:sz="8" w:space="0" w:color="auto"/>
              <w:right w:val="single" w:sz="8" w:space="0" w:color="auto"/>
            </w:tcBorders>
            <w:shd w:val="clear" w:color="000000" w:fill="D9D9D9"/>
            <w:vAlign w:val="center"/>
            <w:hideMark/>
          </w:tcPr>
          <w:p w:rsidR="006C0F19" w:rsidRPr="00AC5AB9" w:rsidP="006C0F19" w14:paraId="37D2A457" w14:textId="77777777">
            <w:pPr>
              <w:widowControl/>
              <w:autoSpaceDE/>
              <w:autoSpaceDN/>
              <w:adjustRightInd/>
              <w:jc w:val="center"/>
              <w:rPr>
                <w:b/>
                <w:bCs/>
                <w:color w:val="000000"/>
                <w:szCs w:val="20"/>
              </w:rPr>
            </w:pPr>
            <w:r w:rsidRPr="00AC5AB9">
              <w:rPr>
                <w:b/>
                <w:bCs/>
                <w:color w:val="000000"/>
                <w:szCs w:val="20"/>
              </w:rPr>
              <w:t>New Filings</w:t>
            </w:r>
          </w:p>
        </w:tc>
        <w:tc>
          <w:tcPr>
            <w:tcW w:w="950" w:type="dxa"/>
            <w:tcBorders>
              <w:top w:val="nil"/>
              <w:left w:val="nil"/>
              <w:bottom w:val="single" w:sz="8" w:space="0" w:color="auto"/>
              <w:right w:val="single" w:sz="8" w:space="0" w:color="auto"/>
            </w:tcBorders>
            <w:shd w:val="clear" w:color="000000" w:fill="D9D9D9"/>
            <w:vAlign w:val="center"/>
            <w:hideMark/>
          </w:tcPr>
          <w:p w:rsidR="006C0F19" w:rsidRPr="00AC5AB9" w:rsidP="006C0F19" w14:paraId="26F77307" w14:textId="77777777">
            <w:pPr>
              <w:widowControl/>
              <w:autoSpaceDE/>
              <w:autoSpaceDN/>
              <w:adjustRightInd/>
              <w:jc w:val="center"/>
              <w:rPr>
                <w:b/>
                <w:bCs/>
                <w:color w:val="000000"/>
                <w:szCs w:val="20"/>
              </w:rPr>
            </w:pPr>
            <w:r w:rsidRPr="00AC5AB9">
              <w:rPr>
                <w:b/>
                <w:bCs/>
                <w:color w:val="000000"/>
                <w:szCs w:val="20"/>
              </w:rPr>
              <w:t>Biennial Updates and Changes</w:t>
            </w:r>
          </w:p>
        </w:tc>
        <w:tc>
          <w:tcPr>
            <w:tcW w:w="884" w:type="dxa"/>
            <w:tcBorders>
              <w:top w:val="nil"/>
              <w:left w:val="nil"/>
              <w:bottom w:val="single" w:sz="8" w:space="0" w:color="auto"/>
              <w:right w:val="single" w:sz="8" w:space="0" w:color="auto"/>
            </w:tcBorders>
            <w:shd w:val="clear" w:color="000000" w:fill="BFBFBF"/>
            <w:vAlign w:val="center"/>
            <w:hideMark/>
          </w:tcPr>
          <w:p w:rsidR="006C0F19" w:rsidRPr="00AC5AB9" w:rsidP="006C0F19" w14:paraId="7E0489B6" w14:textId="77777777">
            <w:pPr>
              <w:widowControl/>
              <w:autoSpaceDE/>
              <w:autoSpaceDN/>
              <w:adjustRightInd/>
              <w:jc w:val="center"/>
              <w:rPr>
                <w:b/>
                <w:bCs/>
                <w:color w:val="000000"/>
                <w:szCs w:val="20"/>
              </w:rPr>
            </w:pPr>
            <w:r w:rsidRPr="00AC5AB9">
              <w:rPr>
                <w:b/>
                <w:bCs/>
                <w:color w:val="000000"/>
                <w:szCs w:val="20"/>
              </w:rPr>
              <w:t>New Filings</w:t>
            </w:r>
          </w:p>
        </w:tc>
        <w:tc>
          <w:tcPr>
            <w:tcW w:w="990" w:type="dxa"/>
            <w:tcBorders>
              <w:top w:val="nil"/>
              <w:left w:val="nil"/>
              <w:bottom w:val="single" w:sz="8" w:space="0" w:color="auto"/>
              <w:right w:val="single" w:sz="8" w:space="0" w:color="auto"/>
            </w:tcBorders>
            <w:shd w:val="clear" w:color="000000" w:fill="BFBFBF"/>
            <w:vAlign w:val="center"/>
            <w:hideMark/>
          </w:tcPr>
          <w:p w:rsidR="006C0F19" w:rsidRPr="00AC5AB9" w:rsidP="006C0F19" w14:paraId="0F2417D6" w14:textId="77777777">
            <w:pPr>
              <w:widowControl/>
              <w:autoSpaceDE/>
              <w:autoSpaceDN/>
              <w:adjustRightInd/>
              <w:jc w:val="center"/>
              <w:rPr>
                <w:b/>
                <w:bCs/>
                <w:color w:val="000000"/>
                <w:szCs w:val="20"/>
              </w:rPr>
            </w:pPr>
            <w:r w:rsidRPr="00AC5AB9">
              <w:rPr>
                <w:b/>
                <w:bCs/>
                <w:color w:val="000000"/>
                <w:szCs w:val="20"/>
              </w:rPr>
              <w:t>Biennial Updates and Changes</w:t>
            </w:r>
          </w:p>
        </w:tc>
        <w:tc>
          <w:tcPr>
            <w:tcW w:w="990" w:type="dxa"/>
            <w:tcBorders>
              <w:top w:val="single" w:sz="8" w:space="0" w:color="auto"/>
              <w:left w:val="nil"/>
              <w:bottom w:val="single" w:sz="8" w:space="0" w:color="auto"/>
              <w:right w:val="single" w:sz="8" w:space="0" w:color="auto"/>
            </w:tcBorders>
            <w:shd w:val="clear" w:color="000000" w:fill="BFBFBF"/>
            <w:vAlign w:val="center"/>
            <w:hideMark/>
          </w:tcPr>
          <w:p w:rsidR="006C0F19" w:rsidRPr="00AC5AB9" w:rsidP="006C0F19" w14:paraId="76B32503" w14:textId="518ADB11">
            <w:pPr>
              <w:widowControl/>
              <w:autoSpaceDE/>
              <w:autoSpaceDN/>
              <w:adjustRightInd/>
              <w:jc w:val="center"/>
              <w:rPr>
                <w:b/>
                <w:bCs/>
                <w:color w:val="000000"/>
                <w:szCs w:val="20"/>
              </w:rPr>
            </w:pPr>
            <w:r w:rsidRPr="003523E0">
              <w:rPr>
                <w:b/>
                <w:bCs/>
                <w:color w:val="000000"/>
                <w:szCs w:val="20"/>
              </w:rPr>
              <w:t>Average New</w:t>
            </w:r>
            <w:r>
              <w:rPr>
                <w:b/>
                <w:bCs/>
                <w:color w:val="000000"/>
                <w:szCs w:val="20"/>
              </w:rPr>
              <w:t xml:space="preserve"> Filings</w:t>
            </w:r>
          </w:p>
        </w:tc>
        <w:tc>
          <w:tcPr>
            <w:tcW w:w="900" w:type="dxa"/>
            <w:tcBorders>
              <w:top w:val="single" w:sz="8" w:space="0" w:color="auto"/>
              <w:left w:val="nil"/>
              <w:bottom w:val="single" w:sz="8" w:space="0" w:color="auto"/>
              <w:right w:val="single" w:sz="8" w:space="0" w:color="auto"/>
            </w:tcBorders>
            <w:shd w:val="clear" w:color="000000" w:fill="BFBFBF"/>
            <w:vAlign w:val="center"/>
            <w:hideMark/>
          </w:tcPr>
          <w:p w:rsidR="006C0F19" w:rsidRPr="00AC5AB9" w:rsidP="006C0F19" w14:paraId="519FCDBD" w14:textId="764C0036">
            <w:pPr>
              <w:widowControl/>
              <w:autoSpaceDE/>
              <w:autoSpaceDN/>
              <w:adjustRightInd/>
              <w:jc w:val="center"/>
              <w:rPr>
                <w:b/>
                <w:bCs/>
                <w:color w:val="000000"/>
                <w:szCs w:val="20"/>
              </w:rPr>
            </w:pPr>
            <w:r w:rsidRPr="003523E0">
              <w:rPr>
                <w:b/>
                <w:bCs/>
                <w:color w:val="000000"/>
                <w:szCs w:val="20"/>
              </w:rPr>
              <w:t>Average Biennial</w:t>
            </w:r>
            <w:r>
              <w:rPr>
                <w:b/>
                <w:bCs/>
                <w:color w:val="000000"/>
                <w:szCs w:val="20"/>
              </w:rPr>
              <w:t xml:space="preserve"> Updates and Changes</w:t>
            </w:r>
          </w:p>
        </w:tc>
      </w:tr>
      <w:tr w14:paraId="1F1F7774"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AC5AB9" w:rsidRPr="00AC5AB9" w:rsidP="00AC5AB9" w14:paraId="1A1A696A" w14:textId="4B9E25F5">
            <w:pPr>
              <w:widowControl/>
              <w:autoSpaceDE/>
              <w:autoSpaceDN/>
              <w:adjustRightInd/>
              <w:jc w:val="center"/>
              <w:rPr>
                <w:b/>
                <w:bCs/>
                <w:color w:val="000000"/>
                <w:szCs w:val="20"/>
              </w:rPr>
            </w:pPr>
            <w:r w:rsidRPr="00AC5AB9">
              <w:rPr>
                <w:b/>
                <w:bCs/>
                <w:color w:val="000000"/>
                <w:szCs w:val="20"/>
              </w:rPr>
              <w:t>Interstate Carriers</w:t>
            </w:r>
          </w:p>
        </w:tc>
        <w:tc>
          <w:tcPr>
            <w:tcW w:w="866"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024ACFF8" w14:textId="77777777">
            <w:pPr>
              <w:widowControl/>
              <w:autoSpaceDE/>
              <w:autoSpaceDN/>
              <w:adjustRightInd/>
              <w:jc w:val="center"/>
              <w:rPr>
                <w:color w:val="000000"/>
                <w:szCs w:val="20"/>
              </w:rPr>
            </w:pPr>
            <w:r w:rsidRPr="00AC5AB9">
              <w:rPr>
                <w:color w:val="000000"/>
                <w:szCs w:val="20"/>
              </w:rPr>
              <w:t>753</w:t>
            </w:r>
          </w:p>
        </w:tc>
        <w:tc>
          <w:tcPr>
            <w:tcW w:w="1024"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0B190303" w14:textId="77777777">
            <w:pPr>
              <w:widowControl/>
              <w:autoSpaceDE/>
              <w:autoSpaceDN/>
              <w:adjustRightInd/>
              <w:jc w:val="center"/>
              <w:rPr>
                <w:color w:val="000000"/>
                <w:szCs w:val="20"/>
              </w:rPr>
            </w:pPr>
            <w:r w:rsidRPr="00AC5AB9">
              <w:rPr>
                <w:color w:val="000000"/>
                <w:szCs w:val="20"/>
              </w:rPr>
              <w:t>1,324</w:t>
            </w:r>
          </w:p>
        </w:tc>
        <w:tc>
          <w:tcPr>
            <w:tcW w:w="866"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9953A1F" w14:textId="77777777">
            <w:pPr>
              <w:widowControl/>
              <w:autoSpaceDE/>
              <w:autoSpaceDN/>
              <w:adjustRightInd/>
              <w:jc w:val="center"/>
              <w:rPr>
                <w:color w:val="000000"/>
                <w:szCs w:val="20"/>
              </w:rPr>
            </w:pPr>
            <w:r w:rsidRPr="00AC5AB9">
              <w:rPr>
                <w:color w:val="000000"/>
                <w:szCs w:val="20"/>
              </w:rPr>
              <w:t>559</w:t>
            </w:r>
          </w:p>
        </w:tc>
        <w:tc>
          <w:tcPr>
            <w:tcW w:w="95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4CE3924A" w14:textId="77777777">
            <w:pPr>
              <w:widowControl/>
              <w:autoSpaceDE/>
              <w:autoSpaceDN/>
              <w:adjustRightInd/>
              <w:jc w:val="center"/>
              <w:rPr>
                <w:color w:val="000000"/>
                <w:szCs w:val="20"/>
              </w:rPr>
            </w:pPr>
            <w:r w:rsidRPr="00AC5AB9">
              <w:rPr>
                <w:color w:val="000000"/>
                <w:szCs w:val="20"/>
              </w:rPr>
              <w:t>1,425</w:t>
            </w:r>
          </w:p>
        </w:tc>
        <w:tc>
          <w:tcPr>
            <w:tcW w:w="884"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1700609" w14:textId="77777777">
            <w:pPr>
              <w:widowControl/>
              <w:autoSpaceDE/>
              <w:autoSpaceDN/>
              <w:adjustRightInd/>
              <w:jc w:val="center"/>
              <w:rPr>
                <w:color w:val="000000"/>
                <w:szCs w:val="20"/>
              </w:rPr>
            </w:pPr>
            <w:r w:rsidRPr="00AC5AB9">
              <w:rPr>
                <w:color w:val="000000"/>
                <w:szCs w:val="20"/>
              </w:rPr>
              <w:t>627</w:t>
            </w:r>
          </w:p>
        </w:tc>
        <w:tc>
          <w:tcPr>
            <w:tcW w:w="99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1A4695A" w14:textId="77777777">
            <w:pPr>
              <w:widowControl/>
              <w:autoSpaceDE/>
              <w:autoSpaceDN/>
              <w:adjustRightInd/>
              <w:jc w:val="center"/>
              <w:rPr>
                <w:color w:val="000000"/>
                <w:szCs w:val="20"/>
              </w:rPr>
            </w:pPr>
            <w:r w:rsidRPr="00AC5AB9">
              <w:rPr>
                <w:color w:val="000000"/>
                <w:szCs w:val="20"/>
              </w:rPr>
              <w:t>1,332</w:t>
            </w:r>
          </w:p>
        </w:tc>
        <w:tc>
          <w:tcPr>
            <w:tcW w:w="99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2B6A729F" w14:textId="77777777">
            <w:pPr>
              <w:widowControl/>
              <w:autoSpaceDE/>
              <w:autoSpaceDN/>
              <w:adjustRightInd/>
              <w:jc w:val="center"/>
              <w:rPr>
                <w:color w:val="000000"/>
                <w:szCs w:val="20"/>
              </w:rPr>
            </w:pPr>
            <w:r w:rsidRPr="00AC5AB9">
              <w:rPr>
                <w:color w:val="000000"/>
                <w:szCs w:val="20"/>
              </w:rPr>
              <w:t>646</w:t>
            </w:r>
          </w:p>
        </w:tc>
        <w:tc>
          <w:tcPr>
            <w:tcW w:w="90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2DBBF7D5" w14:textId="77777777">
            <w:pPr>
              <w:widowControl/>
              <w:autoSpaceDE/>
              <w:autoSpaceDN/>
              <w:adjustRightInd/>
              <w:jc w:val="center"/>
              <w:rPr>
                <w:color w:val="000000"/>
                <w:szCs w:val="20"/>
              </w:rPr>
            </w:pPr>
            <w:r w:rsidRPr="00AC5AB9">
              <w:rPr>
                <w:color w:val="000000"/>
                <w:szCs w:val="20"/>
              </w:rPr>
              <w:t>1,360</w:t>
            </w:r>
          </w:p>
        </w:tc>
      </w:tr>
      <w:tr w14:paraId="460C5C16"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AC5AB9" w:rsidRPr="00AC5AB9" w:rsidP="00AC5AB9" w14:paraId="15366526" w14:textId="77777777">
            <w:pPr>
              <w:widowControl/>
              <w:autoSpaceDE/>
              <w:autoSpaceDN/>
              <w:adjustRightInd/>
              <w:jc w:val="center"/>
              <w:rPr>
                <w:b/>
                <w:bCs/>
                <w:color w:val="000000"/>
                <w:szCs w:val="20"/>
              </w:rPr>
            </w:pPr>
            <w:r w:rsidRPr="00AC5AB9">
              <w:rPr>
                <w:b/>
                <w:bCs/>
                <w:color w:val="000000"/>
                <w:szCs w:val="20"/>
              </w:rPr>
              <w:t>Intrastate Hazmat Carriers</w:t>
            </w:r>
          </w:p>
        </w:tc>
        <w:tc>
          <w:tcPr>
            <w:tcW w:w="866"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62D32BA2" w14:textId="77777777">
            <w:pPr>
              <w:widowControl/>
              <w:autoSpaceDE/>
              <w:autoSpaceDN/>
              <w:adjustRightInd/>
              <w:jc w:val="center"/>
              <w:rPr>
                <w:color w:val="000000"/>
                <w:szCs w:val="20"/>
              </w:rPr>
            </w:pPr>
            <w:r w:rsidRPr="00AC5AB9">
              <w:rPr>
                <w:color w:val="000000"/>
                <w:szCs w:val="20"/>
              </w:rPr>
              <w:t>132</w:t>
            </w:r>
          </w:p>
        </w:tc>
        <w:tc>
          <w:tcPr>
            <w:tcW w:w="1024"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A3DD4F8" w14:textId="77777777">
            <w:pPr>
              <w:widowControl/>
              <w:autoSpaceDE/>
              <w:autoSpaceDN/>
              <w:adjustRightInd/>
              <w:jc w:val="center"/>
              <w:rPr>
                <w:color w:val="000000"/>
                <w:szCs w:val="20"/>
              </w:rPr>
            </w:pPr>
            <w:r w:rsidRPr="00AC5AB9">
              <w:rPr>
                <w:color w:val="000000"/>
                <w:szCs w:val="20"/>
              </w:rPr>
              <w:t>257</w:t>
            </w:r>
          </w:p>
        </w:tc>
        <w:tc>
          <w:tcPr>
            <w:tcW w:w="866"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1120163F" w14:textId="77777777">
            <w:pPr>
              <w:widowControl/>
              <w:autoSpaceDE/>
              <w:autoSpaceDN/>
              <w:adjustRightInd/>
              <w:jc w:val="center"/>
              <w:rPr>
                <w:color w:val="000000"/>
                <w:szCs w:val="20"/>
              </w:rPr>
            </w:pPr>
            <w:r w:rsidRPr="00AC5AB9">
              <w:rPr>
                <w:color w:val="000000"/>
                <w:szCs w:val="20"/>
              </w:rPr>
              <w:t>136</w:t>
            </w:r>
          </w:p>
        </w:tc>
        <w:tc>
          <w:tcPr>
            <w:tcW w:w="95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170234CC" w14:textId="77777777">
            <w:pPr>
              <w:widowControl/>
              <w:autoSpaceDE/>
              <w:autoSpaceDN/>
              <w:adjustRightInd/>
              <w:jc w:val="center"/>
              <w:rPr>
                <w:color w:val="000000"/>
                <w:szCs w:val="20"/>
              </w:rPr>
            </w:pPr>
            <w:r w:rsidRPr="00AC5AB9">
              <w:rPr>
                <w:color w:val="000000"/>
                <w:szCs w:val="20"/>
              </w:rPr>
              <w:t>297</w:t>
            </w:r>
          </w:p>
        </w:tc>
        <w:tc>
          <w:tcPr>
            <w:tcW w:w="884"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4AB03BA4" w14:textId="77777777">
            <w:pPr>
              <w:widowControl/>
              <w:autoSpaceDE/>
              <w:autoSpaceDN/>
              <w:adjustRightInd/>
              <w:jc w:val="center"/>
              <w:rPr>
                <w:color w:val="000000"/>
                <w:szCs w:val="20"/>
              </w:rPr>
            </w:pPr>
            <w:r w:rsidRPr="00AC5AB9">
              <w:rPr>
                <w:color w:val="000000"/>
                <w:szCs w:val="20"/>
              </w:rPr>
              <w:t>152</w:t>
            </w:r>
          </w:p>
        </w:tc>
        <w:tc>
          <w:tcPr>
            <w:tcW w:w="99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65ECF1FF" w14:textId="77777777">
            <w:pPr>
              <w:widowControl/>
              <w:autoSpaceDE/>
              <w:autoSpaceDN/>
              <w:adjustRightInd/>
              <w:jc w:val="center"/>
              <w:rPr>
                <w:color w:val="000000"/>
                <w:szCs w:val="20"/>
              </w:rPr>
            </w:pPr>
            <w:r w:rsidRPr="00AC5AB9">
              <w:rPr>
                <w:color w:val="000000"/>
                <w:szCs w:val="20"/>
              </w:rPr>
              <w:t>323</w:t>
            </w:r>
          </w:p>
        </w:tc>
        <w:tc>
          <w:tcPr>
            <w:tcW w:w="99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4E0CA14C" w14:textId="77777777">
            <w:pPr>
              <w:widowControl/>
              <w:autoSpaceDE/>
              <w:autoSpaceDN/>
              <w:adjustRightInd/>
              <w:jc w:val="center"/>
              <w:rPr>
                <w:color w:val="000000"/>
                <w:szCs w:val="20"/>
              </w:rPr>
            </w:pPr>
            <w:r w:rsidRPr="00AC5AB9">
              <w:rPr>
                <w:color w:val="000000"/>
                <w:szCs w:val="20"/>
              </w:rPr>
              <w:t>140</w:t>
            </w:r>
          </w:p>
        </w:tc>
        <w:tc>
          <w:tcPr>
            <w:tcW w:w="90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594BC65" w14:textId="77777777">
            <w:pPr>
              <w:widowControl/>
              <w:autoSpaceDE/>
              <w:autoSpaceDN/>
              <w:adjustRightInd/>
              <w:jc w:val="center"/>
              <w:rPr>
                <w:color w:val="000000"/>
                <w:szCs w:val="20"/>
              </w:rPr>
            </w:pPr>
            <w:r w:rsidRPr="00AC5AB9">
              <w:rPr>
                <w:color w:val="000000"/>
                <w:szCs w:val="20"/>
              </w:rPr>
              <w:t>292</w:t>
            </w:r>
          </w:p>
        </w:tc>
      </w:tr>
      <w:tr w14:paraId="009FE13A" w14:textId="77777777" w:rsidTr="00447043">
        <w:tblPrEx>
          <w:tblW w:w="9720" w:type="dxa"/>
          <w:tblInd w:w="180" w:type="dxa"/>
          <w:tblLook w:val="04A0"/>
        </w:tblPrEx>
        <w:trPr>
          <w:trHeight w:val="349"/>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AC5AB9" w:rsidRPr="00AC5AB9" w:rsidP="00AC5AB9" w14:paraId="63359952" w14:textId="77777777">
            <w:pPr>
              <w:widowControl/>
              <w:autoSpaceDE/>
              <w:autoSpaceDN/>
              <w:adjustRightInd/>
              <w:jc w:val="center"/>
              <w:rPr>
                <w:b/>
                <w:bCs/>
                <w:color w:val="000000"/>
                <w:szCs w:val="20"/>
              </w:rPr>
            </w:pPr>
            <w:r w:rsidRPr="00AC5AB9">
              <w:rPr>
                <w:b/>
                <w:bCs/>
                <w:color w:val="000000"/>
                <w:szCs w:val="20"/>
              </w:rPr>
              <w:t>Other (Shipper)</w:t>
            </w:r>
          </w:p>
        </w:tc>
        <w:tc>
          <w:tcPr>
            <w:tcW w:w="866"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1A47DD1F" w14:textId="77777777">
            <w:pPr>
              <w:widowControl/>
              <w:autoSpaceDE/>
              <w:autoSpaceDN/>
              <w:adjustRightInd/>
              <w:jc w:val="center"/>
              <w:rPr>
                <w:color w:val="000000"/>
                <w:szCs w:val="20"/>
              </w:rPr>
            </w:pPr>
            <w:r w:rsidRPr="00AC5AB9">
              <w:rPr>
                <w:color w:val="000000"/>
                <w:szCs w:val="20"/>
              </w:rPr>
              <w:t>177</w:t>
            </w:r>
          </w:p>
        </w:tc>
        <w:tc>
          <w:tcPr>
            <w:tcW w:w="1024"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1FAAB2D" w14:textId="77777777">
            <w:pPr>
              <w:widowControl/>
              <w:autoSpaceDE/>
              <w:autoSpaceDN/>
              <w:adjustRightInd/>
              <w:jc w:val="center"/>
              <w:rPr>
                <w:color w:val="000000"/>
                <w:szCs w:val="20"/>
              </w:rPr>
            </w:pPr>
            <w:r w:rsidRPr="00AC5AB9">
              <w:rPr>
                <w:color w:val="000000"/>
                <w:szCs w:val="20"/>
              </w:rPr>
              <w:t>247</w:t>
            </w:r>
          </w:p>
        </w:tc>
        <w:tc>
          <w:tcPr>
            <w:tcW w:w="866"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1885D10A" w14:textId="77777777">
            <w:pPr>
              <w:widowControl/>
              <w:autoSpaceDE/>
              <w:autoSpaceDN/>
              <w:adjustRightInd/>
              <w:jc w:val="center"/>
              <w:rPr>
                <w:color w:val="000000"/>
                <w:szCs w:val="20"/>
              </w:rPr>
            </w:pPr>
            <w:r w:rsidRPr="00AC5AB9">
              <w:rPr>
                <w:color w:val="000000"/>
                <w:szCs w:val="20"/>
              </w:rPr>
              <w:t>186</w:t>
            </w:r>
          </w:p>
        </w:tc>
        <w:tc>
          <w:tcPr>
            <w:tcW w:w="95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60B1317E" w14:textId="77777777">
            <w:pPr>
              <w:widowControl/>
              <w:autoSpaceDE/>
              <w:autoSpaceDN/>
              <w:adjustRightInd/>
              <w:jc w:val="center"/>
              <w:rPr>
                <w:color w:val="000000"/>
                <w:szCs w:val="20"/>
              </w:rPr>
            </w:pPr>
            <w:r w:rsidRPr="00AC5AB9">
              <w:rPr>
                <w:color w:val="000000"/>
                <w:szCs w:val="20"/>
              </w:rPr>
              <w:t>265</w:t>
            </w:r>
          </w:p>
        </w:tc>
        <w:tc>
          <w:tcPr>
            <w:tcW w:w="884"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08C485D8" w14:textId="77777777">
            <w:pPr>
              <w:widowControl/>
              <w:autoSpaceDE/>
              <w:autoSpaceDN/>
              <w:adjustRightInd/>
              <w:jc w:val="center"/>
              <w:rPr>
                <w:color w:val="000000"/>
                <w:szCs w:val="20"/>
              </w:rPr>
            </w:pPr>
            <w:r w:rsidRPr="00AC5AB9">
              <w:rPr>
                <w:color w:val="000000"/>
                <w:szCs w:val="20"/>
              </w:rPr>
              <w:t>175</w:t>
            </w:r>
          </w:p>
        </w:tc>
        <w:tc>
          <w:tcPr>
            <w:tcW w:w="99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764F657D" w14:textId="77777777">
            <w:pPr>
              <w:widowControl/>
              <w:autoSpaceDE/>
              <w:autoSpaceDN/>
              <w:adjustRightInd/>
              <w:jc w:val="center"/>
              <w:rPr>
                <w:color w:val="000000"/>
                <w:szCs w:val="20"/>
              </w:rPr>
            </w:pPr>
            <w:r w:rsidRPr="00AC5AB9">
              <w:rPr>
                <w:color w:val="000000"/>
                <w:szCs w:val="20"/>
              </w:rPr>
              <w:t>269</w:t>
            </w:r>
          </w:p>
        </w:tc>
        <w:tc>
          <w:tcPr>
            <w:tcW w:w="99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5EF56B30" w14:textId="77777777">
            <w:pPr>
              <w:widowControl/>
              <w:autoSpaceDE/>
              <w:autoSpaceDN/>
              <w:adjustRightInd/>
              <w:jc w:val="center"/>
              <w:rPr>
                <w:color w:val="000000"/>
                <w:szCs w:val="20"/>
              </w:rPr>
            </w:pPr>
            <w:r w:rsidRPr="00AC5AB9">
              <w:rPr>
                <w:color w:val="000000"/>
                <w:szCs w:val="20"/>
              </w:rPr>
              <w:t>179</w:t>
            </w:r>
          </w:p>
        </w:tc>
        <w:tc>
          <w:tcPr>
            <w:tcW w:w="900" w:type="dxa"/>
            <w:tcBorders>
              <w:top w:val="nil"/>
              <w:left w:val="nil"/>
              <w:bottom w:val="single" w:sz="8" w:space="0" w:color="auto"/>
              <w:right w:val="single" w:sz="8" w:space="0" w:color="auto"/>
            </w:tcBorders>
            <w:shd w:val="clear" w:color="auto" w:fill="auto"/>
            <w:noWrap/>
            <w:vAlign w:val="center"/>
            <w:hideMark/>
          </w:tcPr>
          <w:p w:rsidR="00AC5AB9" w:rsidRPr="00AC5AB9" w:rsidP="00AC5AB9" w14:paraId="081DF72B" w14:textId="77777777">
            <w:pPr>
              <w:widowControl/>
              <w:autoSpaceDE/>
              <w:autoSpaceDN/>
              <w:adjustRightInd/>
              <w:jc w:val="center"/>
              <w:rPr>
                <w:color w:val="000000"/>
                <w:szCs w:val="20"/>
              </w:rPr>
            </w:pPr>
            <w:r w:rsidRPr="00AC5AB9">
              <w:rPr>
                <w:color w:val="000000"/>
                <w:szCs w:val="20"/>
              </w:rPr>
              <w:t>260</w:t>
            </w:r>
          </w:p>
        </w:tc>
      </w:tr>
      <w:tr w14:paraId="55CE58BD" w14:textId="77777777" w:rsidTr="00447043">
        <w:tblPrEx>
          <w:tblW w:w="9720" w:type="dxa"/>
          <w:tblInd w:w="180" w:type="dxa"/>
          <w:tblLook w:val="04A0"/>
        </w:tblPrEx>
        <w:trPr>
          <w:trHeight w:val="320"/>
        </w:trPr>
        <w:tc>
          <w:tcPr>
            <w:tcW w:w="9720" w:type="dxa"/>
            <w:gridSpan w:val="9"/>
            <w:tcBorders>
              <w:top w:val="nil"/>
              <w:left w:val="nil"/>
              <w:bottom w:val="nil"/>
              <w:right w:val="nil"/>
            </w:tcBorders>
            <w:shd w:val="clear" w:color="auto" w:fill="auto"/>
            <w:noWrap/>
            <w:vAlign w:val="bottom"/>
            <w:hideMark/>
          </w:tcPr>
          <w:p w:rsidR="007D0681" w:rsidP="003523E0" w14:paraId="787BC110" w14:textId="77777777">
            <w:pPr>
              <w:widowControl/>
              <w:autoSpaceDE/>
              <w:autoSpaceDN/>
              <w:adjustRightInd/>
              <w:rPr>
                <w:b/>
                <w:bCs/>
                <w:color w:val="000000"/>
                <w:sz w:val="24"/>
              </w:rPr>
            </w:pPr>
          </w:p>
          <w:p w:rsidR="003523E0" w:rsidP="00447043" w14:paraId="6A6726B1" w14:textId="77777777">
            <w:pPr>
              <w:widowControl/>
              <w:autoSpaceDE/>
              <w:autoSpaceDN/>
              <w:adjustRightInd/>
              <w:jc w:val="center"/>
              <w:rPr>
                <w:b/>
                <w:bCs/>
                <w:color w:val="000000"/>
                <w:sz w:val="24"/>
              </w:rPr>
            </w:pPr>
            <w:r w:rsidRPr="003523E0">
              <w:rPr>
                <w:b/>
                <w:bCs/>
                <w:color w:val="000000"/>
                <w:sz w:val="24"/>
              </w:rPr>
              <w:t>Table 3. Form MCS-150C Application Data 2021-2023</w:t>
            </w:r>
          </w:p>
          <w:p w:rsidR="00823A5F" w:rsidP="00447043" w14:paraId="6A7A44C4" w14:textId="77777777">
            <w:pPr>
              <w:widowControl/>
              <w:autoSpaceDE/>
              <w:autoSpaceDN/>
              <w:adjustRightInd/>
              <w:jc w:val="center"/>
              <w:rPr>
                <w:b/>
                <w:bCs/>
                <w:color w:val="000000"/>
                <w:sz w:val="24"/>
              </w:rPr>
            </w:pPr>
          </w:p>
          <w:p w:rsidR="00E4568E" w:rsidRPr="003523E0" w:rsidP="003523E0" w14:paraId="125158F5" w14:textId="4CC9CFB5">
            <w:pPr>
              <w:widowControl/>
              <w:autoSpaceDE/>
              <w:autoSpaceDN/>
              <w:adjustRightInd/>
              <w:rPr>
                <w:b/>
                <w:bCs/>
                <w:color w:val="000000"/>
                <w:sz w:val="24"/>
              </w:rPr>
            </w:pPr>
          </w:p>
        </w:tc>
      </w:tr>
      <w:tr w14:paraId="70DA5F10" w14:textId="77777777" w:rsidTr="00447043">
        <w:tblPrEx>
          <w:tblW w:w="9720" w:type="dxa"/>
          <w:tblInd w:w="180" w:type="dxa"/>
          <w:tblLook w:val="04A0"/>
        </w:tblPrEx>
        <w:trPr>
          <w:trHeight w:val="300"/>
        </w:trPr>
        <w:tc>
          <w:tcPr>
            <w:tcW w:w="2250" w:type="dxa"/>
            <w:tcBorders>
              <w:top w:val="nil"/>
              <w:left w:val="nil"/>
              <w:bottom w:val="single" w:sz="8" w:space="0" w:color="auto"/>
              <w:right w:val="nil"/>
            </w:tcBorders>
            <w:shd w:val="clear" w:color="auto" w:fill="auto"/>
            <w:noWrap/>
            <w:vAlign w:val="bottom"/>
            <w:hideMark/>
          </w:tcPr>
          <w:p w:rsidR="003523E0" w:rsidRPr="003523E0" w:rsidP="003523E0" w14:paraId="682F2B2A" w14:textId="77777777">
            <w:pPr>
              <w:widowControl/>
              <w:autoSpaceDE/>
              <w:autoSpaceDN/>
              <w:adjustRightInd/>
              <w:rPr>
                <w:b/>
                <w:bCs/>
                <w:color w:val="000000"/>
                <w:sz w:val="24"/>
              </w:rPr>
            </w:pPr>
          </w:p>
        </w:tc>
        <w:tc>
          <w:tcPr>
            <w:tcW w:w="1890"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rsidR="003523E0" w:rsidRPr="003523E0" w:rsidP="003523E0" w14:paraId="7497E8A9" w14:textId="77777777">
            <w:pPr>
              <w:widowControl/>
              <w:autoSpaceDE/>
              <w:autoSpaceDN/>
              <w:adjustRightInd/>
              <w:jc w:val="center"/>
              <w:rPr>
                <w:b/>
                <w:bCs/>
                <w:color w:val="000000"/>
                <w:szCs w:val="20"/>
              </w:rPr>
            </w:pPr>
            <w:r w:rsidRPr="003523E0">
              <w:rPr>
                <w:b/>
                <w:bCs/>
                <w:color w:val="000000"/>
                <w:szCs w:val="20"/>
              </w:rPr>
              <w:t>2021</w:t>
            </w:r>
          </w:p>
        </w:tc>
        <w:tc>
          <w:tcPr>
            <w:tcW w:w="1816" w:type="dxa"/>
            <w:gridSpan w:val="2"/>
            <w:tcBorders>
              <w:top w:val="single" w:sz="8" w:space="0" w:color="auto"/>
              <w:left w:val="single" w:sz="4" w:space="0" w:color="auto"/>
              <w:bottom w:val="single" w:sz="8" w:space="0" w:color="auto"/>
              <w:right w:val="single" w:sz="4" w:space="0" w:color="auto"/>
            </w:tcBorders>
            <w:shd w:val="clear" w:color="000000" w:fill="D9D9D9"/>
            <w:noWrap/>
            <w:vAlign w:val="bottom"/>
            <w:hideMark/>
          </w:tcPr>
          <w:p w:rsidR="003523E0" w:rsidRPr="003523E0" w:rsidP="003523E0" w14:paraId="02C585A6" w14:textId="77777777">
            <w:pPr>
              <w:widowControl/>
              <w:autoSpaceDE/>
              <w:autoSpaceDN/>
              <w:adjustRightInd/>
              <w:jc w:val="center"/>
              <w:rPr>
                <w:b/>
                <w:bCs/>
                <w:color w:val="000000"/>
                <w:szCs w:val="20"/>
              </w:rPr>
            </w:pPr>
            <w:r w:rsidRPr="003523E0">
              <w:rPr>
                <w:b/>
                <w:bCs/>
                <w:color w:val="000000"/>
                <w:szCs w:val="20"/>
              </w:rPr>
              <w:t>2022</w:t>
            </w:r>
          </w:p>
        </w:tc>
        <w:tc>
          <w:tcPr>
            <w:tcW w:w="1874" w:type="dxa"/>
            <w:gridSpan w:val="2"/>
            <w:tcBorders>
              <w:top w:val="single" w:sz="8" w:space="0" w:color="auto"/>
              <w:left w:val="single" w:sz="4" w:space="0" w:color="auto"/>
              <w:bottom w:val="single" w:sz="8" w:space="0" w:color="auto"/>
              <w:right w:val="single" w:sz="4" w:space="0" w:color="auto"/>
            </w:tcBorders>
            <w:shd w:val="clear" w:color="000000" w:fill="BFBFBF"/>
            <w:noWrap/>
            <w:vAlign w:val="bottom"/>
            <w:hideMark/>
          </w:tcPr>
          <w:p w:rsidR="003523E0" w:rsidRPr="003523E0" w:rsidP="003523E0" w14:paraId="6EA4D44B" w14:textId="77777777">
            <w:pPr>
              <w:widowControl/>
              <w:autoSpaceDE/>
              <w:autoSpaceDN/>
              <w:adjustRightInd/>
              <w:jc w:val="center"/>
              <w:rPr>
                <w:b/>
                <w:bCs/>
                <w:color w:val="000000"/>
                <w:szCs w:val="20"/>
              </w:rPr>
            </w:pPr>
            <w:r w:rsidRPr="003523E0">
              <w:rPr>
                <w:b/>
                <w:bCs/>
                <w:color w:val="000000"/>
                <w:szCs w:val="20"/>
              </w:rPr>
              <w:t>2023</w:t>
            </w:r>
          </w:p>
        </w:tc>
        <w:tc>
          <w:tcPr>
            <w:tcW w:w="990" w:type="dxa"/>
            <w:tcBorders>
              <w:top w:val="nil"/>
              <w:left w:val="single" w:sz="4" w:space="0" w:color="auto"/>
              <w:bottom w:val="nil"/>
              <w:right w:val="nil"/>
            </w:tcBorders>
            <w:shd w:val="clear" w:color="auto" w:fill="auto"/>
            <w:noWrap/>
            <w:vAlign w:val="bottom"/>
            <w:hideMark/>
          </w:tcPr>
          <w:p w:rsidR="003523E0" w:rsidRPr="003523E0" w:rsidP="003523E0" w14:paraId="44713AC8" w14:textId="77777777">
            <w:pPr>
              <w:widowControl/>
              <w:autoSpaceDE/>
              <w:autoSpaceDN/>
              <w:adjustRightInd/>
              <w:jc w:val="center"/>
              <w:rPr>
                <w:b/>
                <w:bCs/>
                <w:color w:val="000000"/>
                <w:szCs w:val="20"/>
              </w:rPr>
            </w:pPr>
          </w:p>
        </w:tc>
        <w:tc>
          <w:tcPr>
            <w:tcW w:w="900" w:type="dxa"/>
            <w:tcBorders>
              <w:top w:val="nil"/>
              <w:left w:val="nil"/>
              <w:bottom w:val="nil"/>
              <w:right w:val="nil"/>
            </w:tcBorders>
            <w:shd w:val="clear" w:color="auto" w:fill="auto"/>
            <w:noWrap/>
            <w:vAlign w:val="bottom"/>
            <w:hideMark/>
          </w:tcPr>
          <w:p w:rsidR="003523E0" w:rsidRPr="003523E0" w:rsidP="003523E0" w14:paraId="46E8ED09" w14:textId="77777777">
            <w:pPr>
              <w:widowControl/>
              <w:autoSpaceDE/>
              <w:autoSpaceDN/>
              <w:adjustRightInd/>
              <w:rPr>
                <w:szCs w:val="20"/>
              </w:rPr>
            </w:pPr>
          </w:p>
        </w:tc>
      </w:tr>
      <w:tr w14:paraId="5D507E7B" w14:textId="77777777" w:rsidTr="00447043">
        <w:tblPrEx>
          <w:tblW w:w="9720" w:type="dxa"/>
          <w:tblInd w:w="180" w:type="dxa"/>
          <w:tblLook w:val="04A0"/>
        </w:tblPrEx>
        <w:trPr>
          <w:trHeight w:val="1080"/>
        </w:trPr>
        <w:tc>
          <w:tcPr>
            <w:tcW w:w="2250" w:type="dxa"/>
            <w:tcBorders>
              <w:top w:val="single" w:sz="8" w:space="0" w:color="auto"/>
              <w:left w:val="single" w:sz="4" w:space="0" w:color="auto"/>
              <w:bottom w:val="single" w:sz="8" w:space="0" w:color="auto"/>
              <w:right w:val="single" w:sz="8" w:space="0" w:color="auto"/>
            </w:tcBorders>
            <w:shd w:val="clear" w:color="000000" w:fill="BFBFBF"/>
            <w:vAlign w:val="center"/>
            <w:hideMark/>
          </w:tcPr>
          <w:p w:rsidR="003523E0" w:rsidRPr="003523E0" w:rsidP="003523E0" w14:paraId="047DDF21" w14:textId="2DBD3787">
            <w:pPr>
              <w:widowControl/>
              <w:autoSpaceDE/>
              <w:autoSpaceDN/>
              <w:adjustRightInd/>
              <w:jc w:val="center"/>
              <w:rPr>
                <w:b/>
                <w:bCs/>
                <w:color w:val="000000"/>
                <w:szCs w:val="20"/>
              </w:rPr>
            </w:pPr>
            <w:r w:rsidRPr="003523E0">
              <w:rPr>
                <w:b/>
                <w:bCs/>
                <w:color w:val="000000"/>
                <w:szCs w:val="20"/>
              </w:rPr>
              <w:t>MCS-150C</w:t>
            </w:r>
          </w:p>
        </w:tc>
        <w:tc>
          <w:tcPr>
            <w:tcW w:w="866" w:type="dxa"/>
            <w:tcBorders>
              <w:top w:val="nil"/>
              <w:left w:val="nil"/>
              <w:bottom w:val="single" w:sz="8" w:space="0" w:color="auto"/>
              <w:right w:val="single" w:sz="8" w:space="0" w:color="auto"/>
            </w:tcBorders>
            <w:shd w:val="clear" w:color="000000" w:fill="BFBFBF"/>
            <w:vAlign w:val="center"/>
            <w:hideMark/>
          </w:tcPr>
          <w:p w:rsidR="003523E0" w:rsidRPr="003523E0" w:rsidP="003523E0" w14:paraId="6BE5A145" w14:textId="2E574C7E">
            <w:pPr>
              <w:widowControl/>
              <w:autoSpaceDE/>
              <w:autoSpaceDN/>
              <w:adjustRightInd/>
              <w:jc w:val="center"/>
              <w:rPr>
                <w:b/>
                <w:bCs/>
                <w:color w:val="000000"/>
                <w:szCs w:val="20"/>
              </w:rPr>
            </w:pPr>
            <w:r w:rsidRPr="003523E0">
              <w:rPr>
                <w:b/>
                <w:bCs/>
                <w:color w:val="000000"/>
                <w:szCs w:val="20"/>
              </w:rPr>
              <w:t>New Filings</w:t>
            </w:r>
          </w:p>
        </w:tc>
        <w:tc>
          <w:tcPr>
            <w:tcW w:w="1024" w:type="dxa"/>
            <w:tcBorders>
              <w:top w:val="nil"/>
              <w:left w:val="nil"/>
              <w:bottom w:val="single" w:sz="8" w:space="0" w:color="auto"/>
              <w:right w:val="single" w:sz="8" w:space="0" w:color="auto"/>
            </w:tcBorders>
            <w:shd w:val="clear" w:color="000000" w:fill="BFBFBF"/>
            <w:vAlign w:val="center"/>
            <w:hideMark/>
          </w:tcPr>
          <w:p w:rsidR="003523E0" w:rsidRPr="003523E0" w:rsidP="003523E0" w14:paraId="6368BB51" w14:textId="384A4F4F">
            <w:pPr>
              <w:widowControl/>
              <w:autoSpaceDE/>
              <w:autoSpaceDN/>
              <w:adjustRightInd/>
              <w:jc w:val="center"/>
              <w:rPr>
                <w:b/>
                <w:bCs/>
                <w:color w:val="000000"/>
                <w:szCs w:val="20"/>
              </w:rPr>
            </w:pPr>
            <w:r w:rsidRPr="003523E0">
              <w:rPr>
                <w:b/>
                <w:bCs/>
                <w:color w:val="000000"/>
                <w:szCs w:val="20"/>
              </w:rPr>
              <w:t>Biennial Updates and Changes</w:t>
            </w:r>
          </w:p>
        </w:tc>
        <w:tc>
          <w:tcPr>
            <w:tcW w:w="866" w:type="dxa"/>
            <w:tcBorders>
              <w:top w:val="nil"/>
              <w:left w:val="nil"/>
              <w:bottom w:val="single" w:sz="8" w:space="0" w:color="auto"/>
              <w:right w:val="single" w:sz="8" w:space="0" w:color="auto"/>
            </w:tcBorders>
            <w:shd w:val="clear" w:color="000000" w:fill="D9D9D9"/>
            <w:vAlign w:val="center"/>
            <w:hideMark/>
          </w:tcPr>
          <w:p w:rsidR="003523E0" w:rsidRPr="003523E0" w:rsidP="003523E0" w14:paraId="43E6F7F4" w14:textId="77777777">
            <w:pPr>
              <w:widowControl/>
              <w:autoSpaceDE/>
              <w:autoSpaceDN/>
              <w:adjustRightInd/>
              <w:jc w:val="center"/>
              <w:rPr>
                <w:b/>
                <w:bCs/>
                <w:color w:val="000000"/>
                <w:szCs w:val="20"/>
              </w:rPr>
            </w:pPr>
            <w:r w:rsidRPr="003523E0">
              <w:rPr>
                <w:b/>
                <w:bCs/>
                <w:color w:val="000000"/>
                <w:szCs w:val="20"/>
              </w:rPr>
              <w:t>New Filings</w:t>
            </w:r>
          </w:p>
        </w:tc>
        <w:tc>
          <w:tcPr>
            <w:tcW w:w="950" w:type="dxa"/>
            <w:tcBorders>
              <w:top w:val="nil"/>
              <w:left w:val="nil"/>
              <w:bottom w:val="single" w:sz="8" w:space="0" w:color="auto"/>
              <w:right w:val="single" w:sz="8" w:space="0" w:color="auto"/>
            </w:tcBorders>
            <w:shd w:val="clear" w:color="000000" w:fill="D9D9D9"/>
            <w:vAlign w:val="center"/>
            <w:hideMark/>
          </w:tcPr>
          <w:p w:rsidR="003523E0" w:rsidRPr="003523E0" w:rsidP="003523E0" w14:paraId="0EC32A34" w14:textId="77777777">
            <w:pPr>
              <w:widowControl/>
              <w:autoSpaceDE/>
              <w:autoSpaceDN/>
              <w:adjustRightInd/>
              <w:jc w:val="center"/>
              <w:rPr>
                <w:b/>
                <w:bCs/>
                <w:color w:val="000000"/>
                <w:szCs w:val="20"/>
              </w:rPr>
            </w:pPr>
            <w:r w:rsidRPr="003523E0">
              <w:rPr>
                <w:b/>
                <w:bCs/>
                <w:color w:val="000000"/>
                <w:szCs w:val="20"/>
              </w:rPr>
              <w:t>Biennial Updates and Changes</w:t>
            </w:r>
          </w:p>
        </w:tc>
        <w:tc>
          <w:tcPr>
            <w:tcW w:w="884" w:type="dxa"/>
            <w:tcBorders>
              <w:top w:val="nil"/>
              <w:left w:val="nil"/>
              <w:bottom w:val="single" w:sz="8" w:space="0" w:color="auto"/>
              <w:right w:val="single" w:sz="8" w:space="0" w:color="auto"/>
            </w:tcBorders>
            <w:shd w:val="clear" w:color="000000" w:fill="BFBFBF"/>
            <w:vAlign w:val="center"/>
            <w:hideMark/>
          </w:tcPr>
          <w:p w:rsidR="003523E0" w:rsidRPr="003523E0" w:rsidP="003523E0" w14:paraId="7036C935" w14:textId="77777777">
            <w:pPr>
              <w:widowControl/>
              <w:autoSpaceDE/>
              <w:autoSpaceDN/>
              <w:adjustRightInd/>
              <w:jc w:val="center"/>
              <w:rPr>
                <w:b/>
                <w:bCs/>
                <w:color w:val="000000"/>
                <w:szCs w:val="20"/>
              </w:rPr>
            </w:pPr>
            <w:r w:rsidRPr="003523E0">
              <w:rPr>
                <w:b/>
                <w:bCs/>
                <w:color w:val="000000"/>
                <w:szCs w:val="20"/>
              </w:rPr>
              <w:t>New Filings</w:t>
            </w:r>
          </w:p>
        </w:tc>
        <w:tc>
          <w:tcPr>
            <w:tcW w:w="990" w:type="dxa"/>
            <w:tcBorders>
              <w:top w:val="nil"/>
              <w:left w:val="nil"/>
              <w:bottom w:val="single" w:sz="8" w:space="0" w:color="auto"/>
              <w:right w:val="single" w:sz="8" w:space="0" w:color="auto"/>
            </w:tcBorders>
            <w:shd w:val="clear" w:color="000000" w:fill="BFBFBF"/>
            <w:vAlign w:val="center"/>
            <w:hideMark/>
          </w:tcPr>
          <w:p w:rsidR="003523E0" w:rsidRPr="003523E0" w:rsidP="003523E0" w14:paraId="00D1D890" w14:textId="77777777">
            <w:pPr>
              <w:widowControl/>
              <w:autoSpaceDE/>
              <w:autoSpaceDN/>
              <w:adjustRightInd/>
              <w:jc w:val="center"/>
              <w:rPr>
                <w:b/>
                <w:bCs/>
                <w:color w:val="000000"/>
                <w:szCs w:val="20"/>
              </w:rPr>
            </w:pPr>
            <w:r w:rsidRPr="003523E0">
              <w:rPr>
                <w:b/>
                <w:bCs/>
                <w:color w:val="000000"/>
                <w:szCs w:val="20"/>
              </w:rPr>
              <w:t>Biennial Updates and Changes</w:t>
            </w:r>
          </w:p>
        </w:tc>
        <w:tc>
          <w:tcPr>
            <w:tcW w:w="990" w:type="dxa"/>
            <w:tcBorders>
              <w:top w:val="single" w:sz="8" w:space="0" w:color="auto"/>
              <w:left w:val="nil"/>
              <w:bottom w:val="single" w:sz="8" w:space="0" w:color="auto"/>
              <w:right w:val="single" w:sz="8" w:space="0" w:color="auto"/>
            </w:tcBorders>
            <w:shd w:val="clear" w:color="000000" w:fill="BFBFBF"/>
            <w:vAlign w:val="center"/>
            <w:hideMark/>
          </w:tcPr>
          <w:p w:rsidR="003523E0" w:rsidRPr="003523E0" w:rsidP="003523E0" w14:paraId="0D6DCBC8" w14:textId="5AFCF1B5">
            <w:pPr>
              <w:widowControl/>
              <w:autoSpaceDE/>
              <w:autoSpaceDN/>
              <w:adjustRightInd/>
              <w:jc w:val="center"/>
              <w:rPr>
                <w:b/>
                <w:bCs/>
                <w:color w:val="000000"/>
                <w:szCs w:val="20"/>
              </w:rPr>
            </w:pPr>
            <w:r w:rsidRPr="003523E0">
              <w:rPr>
                <w:b/>
                <w:bCs/>
                <w:color w:val="000000"/>
                <w:szCs w:val="20"/>
              </w:rPr>
              <w:t>Average New</w:t>
            </w:r>
            <w:r w:rsidR="00B60D23">
              <w:rPr>
                <w:b/>
                <w:bCs/>
                <w:color w:val="000000"/>
                <w:szCs w:val="20"/>
              </w:rPr>
              <w:t xml:space="preserve"> Filings</w:t>
            </w:r>
          </w:p>
        </w:tc>
        <w:tc>
          <w:tcPr>
            <w:tcW w:w="900" w:type="dxa"/>
            <w:tcBorders>
              <w:top w:val="single" w:sz="8" w:space="0" w:color="auto"/>
              <w:left w:val="nil"/>
              <w:bottom w:val="single" w:sz="8" w:space="0" w:color="auto"/>
              <w:right w:val="single" w:sz="8" w:space="0" w:color="auto"/>
            </w:tcBorders>
            <w:shd w:val="clear" w:color="000000" w:fill="BFBFBF"/>
            <w:vAlign w:val="center"/>
            <w:hideMark/>
          </w:tcPr>
          <w:p w:rsidR="003523E0" w:rsidRPr="003523E0" w:rsidP="003523E0" w14:paraId="482F655D" w14:textId="14568195">
            <w:pPr>
              <w:widowControl/>
              <w:autoSpaceDE/>
              <w:autoSpaceDN/>
              <w:adjustRightInd/>
              <w:jc w:val="center"/>
              <w:rPr>
                <w:b/>
                <w:bCs/>
                <w:color w:val="000000"/>
                <w:szCs w:val="20"/>
              </w:rPr>
            </w:pPr>
            <w:r w:rsidRPr="003523E0">
              <w:rPr>
                <w:b/>
                <w:bCs/>
                <w:color w:val="000000"/>
                <w:szCs w:val="20"/>
              </w:rPr>
              <w:t>Average Biennial</w:t>
            </w:r>
            <w:r w:rsidR="00B60D23">
              <w:rPr>
                <w:b/>
                <w:bCs/>
                <w:color w:val="000000"/>
                <w:szCs w:val="20"/>
              </w:rPr>
              <w:t xml:space="preserve"> Updates and Changes</w:t>
            </w:r>
          </w:p>
        </w:tc>
      </w:tr>
      <w:tr w14:paraId="3C7E48CF"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3523E0" w:rsidRPr="003523E0" w:rsidP="003523E0" w14:paraId="7411272C" w14:textId="77777777">
            <w:pPr>
              <w:widowControl/>
              <w:autoSpaceDE/>
              <w:autoSpaceDN/>
              <w:adjustRightInd/>
              <w:jc w:val="center"/>
              <w:rPr>
                <w:b/>
                <w:bCs/>
                <w:color w:val="000000"/>
                <w:szCs w:val="20"/>
              </w:rPr>
            </w:pPr>
            <w:r w:rsidRPr="003523E0">
              <w:rPr>
                <w:b/>
                <w:bCs/>
                <w:color w:val="000000"/>
                <w:szCs w:val="20"/>
              </w:rPr>
              <w:t>Interstate Carriers**</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5118B1CD" w14:textId="77777777">
            <w:pPr>
              <w:widowControl/>
              <w:autoSpaceDE/>
              <w:autoSpaceDN/>
              <w:adjustRightInd/>
              <w:jc w:val="center"/>
              <w:rPr>
                <w:color w:val="000000"/>
                <w:szCs w:val="20"/>
              </w:rPr>
            </w:pPr>
            <w:r w:rsidRPr="003523E0">
              <w:rPr>
                <w:color w:val="000000"/>
                <w:szCs w:val="20"/>
              </w:rPr>
              <w:t>1682</w:t>
            </w:r>
          </w:p>
        </w:tc>
        <w:tc>
          <w:tcPr>
            <w:tcW w:w="102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3B69F830" w14:textId="77777777">
            <w:pPr>
              <w:widowControl/>
              <w:autoSpaceDE/>
              <w:autoSpaceDN/>
              <w:adjustRightInd/>
              <w:jc w:val="center"/>
              <w:rPr>
                <w:color w:val="000000"/>
                <w:szCs w:val="20"/>
              </w:rPr>
            </w:pPr>
            <w:r w:rsidRPr="003523E0">
              <w:rPr>
                <w:color w:val="000000"/>
                <w:szCs w:val="20"/>
              </w:rPr>
              <w:t>0</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B6326CC" w14:textId="77777777">
            <w:pPr>
              <w:widowControl/>
              <w:autoSpaceDE/>
              <w:autoSpaceDN/>
              <w:adjustRightInd/>
              <w:jc w:val="center"/>
              <w:rPr>
                <w:color w:val="000000"/>
                <w:szCs w:val="20"/>
              </w:rPr>
            </w:pPr>
            <w:r w:rsidRPr="003523E0">
              <w:rPr>
                <w:color w:val="000000"/>
                <w:szCs w:val="20"/>
              </w:rPr>
              <w:t>1747</w:t>
            </w:r>
          </w:p>
        </w:tc>
        <w:tc>
          <w:tcPr>
            <w:tcW w:w="95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55D44663" w14:textId="77777777">
            <w:pPr>
              <w:widowControl/>
              <w:autoSpaceDE/>
              <w:autoSpaceDN/>
              <w:adjustRightInd/>
              <w:jc w:val="center"/>
              <w:rPr>
                <w:color w:val="000000"/>
                <w:szCs w:val="20"/>
              </w:rPr>
            </w:pPr>
            <w:r w:rsidRPr="003523E0">
              <w:rPr>
                <w:color w:val="000000"/>
                <w:szCs w:val="20"/>
              </w:rPr>
              <w:t>1</w:t>
            </w:r>
          </w:p>
        </w:tc>
        <w:tc>
          <w:tcPr>
            <w:tcW w:w="88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4B9D1B8E" w14:textId="77777777">
            <w:pPr>
              <w:widowControl/>
              <w:autoSpaceDE/>
              <w:autoSpaceDN/>
              <w:adjustRightInd/>
              <w:jc w:val="center"/>
              <w:rPr>
                <w:color w:val="000000"/>
                <w:szCs w:val="20"/>
              </w:rPr>
            </w:pPr>
            <w:r w:rsidRPr="003523E0">
              <w:rPr>
                <w:color w:val="000000"/>
                <w:szCs w:val="20"/>
              </w:rPr>
              <w:t>1155</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536FD63" w14:textId="77777777">
            <w:pPr>
              <w:widowControl/>
              <w:autoSpaceDE/>
              <w:autoSpaceDN/>
              <w:adjustRightInd/>
              <w:jc w:val="center"/>
              <w:rPr>
                <w:color w:val="000000"/>
                <w:szCs w:val="20"/>
              </w:rPr>
            </w:pPr>
            <w:r w:rsidRPr="003523E0">
              <w:rPr>
                <w:color w:val="000000"/>
                <w:szCs w:val="20"/>
              </w:rPr>
              <w:t>3</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09A3A0E6" w14:textId="77777777">
            <w:pPr>
              <w:widowControl/>
              <w:autoSpaceDE/>
              <w:autoSpaceDN/>
              <w:adjustRightInd/>
              <w:jc w:val="center"/>
              <w:rPr>
                <w:color w:val="000000"/>
                <w:szCs w:val="20"/>
              </w:rPr>
            </w:pPr>
            <w:r w:rsidRPr="003523E0">
              <w:rPr>
                <w:color w:val="000000"/>
                <w:szCs w:val="20"/>
              </w:rPr>
              <w:t>1,528</w:t>
            </w:r>
          </w:p>
        </w:tc>
        <w:tc>
          <w:tcPr>
            <w:tcW w:w="90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5605A8A" w14:textId="77777777">
            <w:pPr>
              <w:widowControl/>
              <w:autoSpaceDE/>
              <w:autoSpaceDN/>
              <w:adjustRightInd/>
              <w:jc w:val="center"/>
              <w:rPr>
                <w:color w:val="000000"/>
                <w:szCs w:val="20"/>
              </w:rPr>
            </w:pPr>
            <w:r w:rsidRPr="003523E0">
              <w:rPr>
                <w:color w:val="000000"/>
                <w:szCs w:val="20"/>
              </w:rPr>
              <w:t>1</w:t>
            </w:r>
          </w:p>
        </w:tc>
      </w:tr>
      <w:tr w14:paraId="3347A6AC"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3523E0" w:rsidRPr="003523E0" w:rsidP="003523E0" w14:paraId="53BBFD85" w14:textId="77777777">
            <w:pPr>
              <w:widowControl/>
              <w:autoSpaceDE/>
              <w:autoSpaceDN/>
              <w:adjustRightInd/>
              <w:jc w:val="center"/>
              <w:rPr>
                <w:b/>
                <w:bCs/>
                <w:color w:val="000000"/>
                <w:szCs w:val="20"/>
              </w:rPr>
            </w:pPr>
            <w:r w:rsidRPr="003523E0">
              <w:rPr>
                <w:b/>
                <w:bCs/>
                <w:color w:val="000000"/>
                <w:szCs w:val="20"/>
              </w:rPr>
              <w:t>Intrastate Hazmat Carriers</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DF9CCBA" w14:textId="77777777">
            <w:pPr>
              <w:widowControl/>
              <w:autoSpaceDE/>
              <w:autoSpaceDN/>
              <w:adjustRightInd/>
              <w:jc w:val="center"/>
              <w:rPr>
                <w:color w:val="000000"/>
                <w:szCs w:val="20"/>
              </w:rPr>
            </w:pPr>
            <w:r w:rsidRPr="003523E0">
              <w:rPr>
                <w:color w:val="000000"/>
                <w:szCs w:val="20"/>
              </w:rPr>
              <w:t>38</w:t>
            </w:r>
          </w:p>
        </w:tc>
        <w:tc>
          <w:tcPr>
            <w:tcW w:w="102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232FED9D" w14:textId="77777777">
            <w:pPr>
              <w:widowControl/>
              <w:autoSpaceDE/>
              <w:autoSpaceDN/>
              <w:adjustRightInd/>
              <w:jc w:val="center"/>
              <w:rPr>
                <w:color w:val="000000"/>
                <w:szCs w:val="20"/>
              </w:rPr>
            </w:pPr>
            <w:r w:rsidRPr="003523E0">
              <w:rPr>
                <w:color w:val="000000"/>
                <w:szCs w:val="20"/>
              </w:rPr>
              <w:t>0</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00BB6533" w14:textId="77777777">
            <w:pPr>
              <w:widowControl/>
              <w:autoSpaceDE/>
              <w:autoSpaceDN/>
              <w:adjustRightInd/>
              <w:jc w:val="center"/>
              <w:rPr>
                <w:color w:val="000000"/>
                <w:szCs w:val="20"/>
              </w:rPr>
            </w:pPr>
            <w:r w:rsidRPr="003523E0">
              <w:rPr>
                <w:color w:val="000000"/>
                <w:szCs w:val="20"/>
              </w:rPr>
              <w:t>41</w:t>
            </w:r>
          </w:p>
        </w:tc>
        <w:tc>
          <w:tcPr>
            <w:tcW w:w="95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3025FBBE" w14:textId="77777777">
            <w:pPr>
              <w:widowControl/>
              <w:autoSpaceDE/>
              <w:autoSpaceDN/>
              <w:adjustRightInd/>
              <w:jc w:val="center"/>
              <w:rPr>
                <w:color w:val="000000"/>
                <w:szCs w:val="20"/>
              </w:rPr>
            </w:pPr>
            <w:r w:rsidRPr="003523E0">
              <w:rPr>
                <w:color w:val="000000"/>
                <w:szCs w:val="20"/>
              </w:rPr>
              <w:t>0</w:t>
            </w:r>
          </w:p>
        </w:tc>
        <w:tc>
          <w:tcPr>
            <w:tcW w:w="88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3C3773ED" w14:textId="77777777">
            <w:pPr>
              <w:widowControl/>
              <w:autoSpaceDE/>
              <w:autoSpaceDN/>
              <w:adjustRightInd/>
              <w:jc w:val="center"/>
              <w:rPr>
                <w:color w:val="000000"/>
                <w:szCs w:val="20"/>
              </w:rPr>
            </w:pPr>
            <w:r w:rsidRPr="003523E0">
              <w:rPr>
                <w:color w:val="000000"/>
                <w:szCs w:val="20"/>
              </w:rPr>
              <w:t>37</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36673084" w14:textId="77777777">
            <w:pPr>
              <w:widowControl/>
              <w:autoSpaceDE/>
              <w:autoSpaceDN/>
              <w:adjustRightInd/>
              <w:jc w:val="center"/>
              <w:rPr>
                <w:color w:val="000000"/>
                <w:szCs w:val="20"/>
              </w:rPr>
            </w:pPr>
            <w:r w:rsidRPr="003523E0">
              <w:rPr>
                <w:color w:val="000000"/>
                <w:szCs w:val="20"/>
              </w:rPr>
              <w:t>0</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2FBCF8D8" w14:textId="77777777">
            <w:pPr>
              <w:widowControl/>
              <w:autoSpaceDE/>
              <w:autoSpaceDN/>
              <w:adjustRightInd/>
              <w:jc w:val="center"/>
              <w:rPr>
                <w:color w:val="000000"/>
                <w:szCs w:val="20"/>
              </w:rPr>
            </w:pPr>
            <w:r w:rsidRPr="003523E0">
              <w:rPr>
                <w:color w:val="000000"/>
                <w:szCs w:val="20"/>
              </w:rPr>
              <w:t>39</w:t>
            </w:r>
          </w:p>
        </w:tc>
        <w:tc>
          <w:tcPr>
            <w:tcW w:w="90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7FA3357B" w14:textId="77777777">
            <w:pPr>
              <w:widowControl/>
              <w:autoSpaceDE/>
              <w:autoSpaceDN/>
              <w:adjustRightInd/>
              <w:jc w:val="center"/>
              <w:rPr>
                <w:color w:val="000000"/>
                <w:szCs w:val="20"/>
              </w:rPr>
            </w:pPr>
            <w:r w:rsidRPr="003523E0">
              <w:rPr>
                <w:color w:val="000000"/>
                <w:szCs w:val="20"/>
              </w:rPr>
              <w:t>0</w:t>
            </w:r>
          </w:p>
        </w:tc>
      </w:tr>
      <w:tr w14:paraId="4F1B2430" w14:textId="77777777" w:rsidTr="00447043">
        <w:tblPrEx>
          <w:tblW w:w="9720" w:type="dxa"/>
          <w:tblInd w:w="180" w:type="dxa"/>
          <w:tblLook w:val="04A0"/>
        </w:tblPrEx>
        <w:trPr>
          <w:trHeight w:val="466"/>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3523E0" w:rsidRPr="003523E0" w:rsidP="003523E0" w14:paraId="5ED1D90B" w14:textId="77777777">
            <w:pPr>
              <w:widowControl/>
              <w:autoSpaceDE/>
              <w:autoSpaceDN/>
              <w:adjustRightInd/>
              <w:jc w:val="center"/>
              <w:rPr>
                <w:b/>
                <w:bCs/>
                <w:color w:val="000000"/>
                <w:szCs w:val="20"/>
              </w:rPr>
            </w:pPr>
            <w:r w:rsidRPr="003523E0">
              <w:rPr>
                <w:b/>
                <w:bCs/>
                <w:color w:val="000000"/>
                <w:szCs w:val="20"/>
              </w:rPr>
              <w:t>Intrastate Non-Hazmat Carriers</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33805C8E" w14:textId="77777777">
            <w:pPr>
              <w:widowControl/>
              <w:autoSpaceDE/>
              <w:autoSpaceDN/>
              <w:adjustRightInd/>
              <w:jc w:val="center"/>
              <w:rPr>
                <w:color w:val="000000"/>
                <w:szCs w:val="20"/>
              </w:rPr>
            </w:pPr>
            <w:r w:rsidRPr="003523E0">
              <w:rPr>
                <w:color w:val="000000"/>
                <w:szCs w:val="20"/>
              </w:rPr>
              <w:t>534</w:t>
            </w:r>
          </w:p>
        </w:tc>
        <w:tc>
          <w:tcPr>
            <w:tcW w:w="102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5E6B7A18" w14:textId="77777777">
            <w:pPr>
              <w:widowControl/>
              <w:autoSpaceDE/>
              <w:autoSpaceDN/>
              <w:adjustRightInd/>
              <w:jc w:val="center"/>
              <w:rPr>
                <w:color w:val="000000"/>
                <w:szCs w:val="20"/>
              </w:rPr>
            </w:pPr>
            <w:r w:rsidRPr="003523E0">
              <w:rPr>
                <w:color w:val="000000"/>
                <w:szCs w:val="20"/>
              </w:rPr>
              <w:t>0</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5C37C1A2" w14:textId="77777777">
            <w:pPr>
              <w:widowControl/>
              <w:autoSpaceDE/>
              <w:autoSpaceDN/>
              <w:adjustRightInd/>
              <w:jc w:val="center"/>
              <w:rPr>
                <w:color w:val="000000"/>
                <w:szCs w:val="20"/>
              </w:rPr>
            </w:pPr>
            <w:r w:rsidRPr="003523E0">
              <w:rPr>
                <w:color w:val="000000"/>
                <w:szCs w:val="20"/>
              </w:rPr>
              <w:t>653</w:t>
            </w:r>
          </w:p>
        </w:tc>
        <w:tc>
          <w:tcPr>
            <w:tcW w:w="95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20C58AA" w14:textId="77777777">
            <w:pPr>
              <w:widowControl/>
              <w:autoSpaceDE/>
              <w:autoSpaceDN/>
              <w:adjustRightInd/>
              <w:jc w:val="center"/>
              <w:rPr>
                <w:color w:val="000000"/>
                <w:szCs w:val="20"/>
              </w:rPr>
            </w:pPr>
            <w:r w:rsidRPr="003523E0">
              <w:rPr>
                <w:color w:val="000000"/>
                <w:szCs w:val="20"/>
              </w:rPr>
              <w:t>0</w:t>
            </w:r>
          </w:p>
        </w:tc>
        <w:tc>
          <w:tcPr>
            <w:tcW w:w="88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0EB2526B" w14:textId="77777777">
            <w:pPr>
              <w:widowControl/>
              <w:autoSpaceDE/>
              <w:autoSpaceDN/>
              <w:adjustRightInd/>
              <w:jc w:val="center"/>
              <w:rPr>
                <w:color w:val="000000"/>
                <w:szCs w:val="20"/>
              </w:rPr>
            </w:pPr>
            <w:r w:rsidRPr="003523E0">
              <w:rPr>
                <w:color w:val="000000"/>
                <w:szCs w:val="20"/>
              </w:rPr>
              <w:t>738</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A10927C" w14:textId="77777777">
            <w:pPr>
              <w:widowControl/>
              <w:autoSpaceDE/>
              <w:autoSpaceDN/>
              <w:adjustRightInd/>
              <w:jc w:val="center"/>
              <w:rPr>
                <w:color w:val="000000"/>
                <w:szCs w:val="20"/>
              </w:rPr>
            </w:pPr>
            <w:r w:rsidRPr="003523E0">
              <w:rPr>
                <w:color w:val="000000"/>
                <w:szCs w:val="20"/>
              </w:rPr>
              <w:t>1</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18D0810E" w14:textId="77777777">
            <w:pPr>
              <w:widowControl/>
              <w:autoSpaceDE/>
              <w:autoSpaceDN/>
              <w:adjustRightInd/>
              <w:jc w:val="center"/>
              <w:rPr>
                <w:color w:val="000000"/>
                <w:szCs w:val="20"/>
              </w:rPr>
            </w:pPr>
            <w:r w:rsidRPr="003523E0">
              <w:rPr>
                <w:color w:val="000000"/>
                <w:szCs w:val="20"/>
              </w:rPr>
              <w:t>642</w:t>
            </w:r>
          </w:p>
        </w:tc>
        <w:tc>
          <w:tcPr>
            <w:tcW w:w="90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11F3C00B" w14:textId="77777777">
            <w:pPr>
              <w:widowControl/>
              <w:autoSpaceDE/>
              <w:autoSpaceDN/>
              <w:adjustRightInd/>
              <w:jc w:val="center"/>
              <w:rPr>
                <w:color w:val="000000"/>
                <w:szCs w:val="20"/>
              </w:rPr>
            </w:pPr>
            <w:r w:rsidRPr="003523E0">
              <w:rPr>
                <w:color w:val="000000"/>
                <w:szCs w:val="20"/>
              </w:rPr>
              <w:t>0</w:t>
            </w:r>
          </w:p>
        </w:tc>
      </w:tr>
      <w:tr w14:paraId="0AD660B4" w14:textId="77777777" w:rsidTr="00447043">
        <w:tblPrEx>
          <w:tblW w:w="9720" w:type="dxa"/>
          <w:tblInd w:w="180" w:type="dxa"/>
          <w:tblLook w:val="04A0"/>
        </w:tblPrEx>
        <w:trPr>
          <w:trHeight w:val="300"/>
        </w:trPr>
        <w:tc>
          <w:tcPr>
            <w:tcW w:w="2250" w:type="dxa"/>
            <w:tcBorders>
              <w:top w:val="nil"/>
              <w:left w:val="single" w:sz="8" w:space="0" w:color="auto"/>
              <w:bottom w:val="single" w:sz="8" w:space="0" w:color="auto"/>
              <w:right w:val="single" w:sz="8" w:space="0" w:color="auto"/>
            </w:tcBorders>
            <w:shd w:val="clear" w:color="auto" w:fill="auto"/>
            <w:vAlign w:val="center"/>
            <w:hideMark/>
          </w:tcPr>
          <w:p w:rsidR="003523E0" w:rsidRPr="003523E0" w:rsidP="003523E0" w14:paraId="5F481622" w14:textId="77777777">
            <w:pPr>
              <w:widowControl/>
              <w:autoSpaceDE/>
              <w:autoSpaceDN/>
              <w:adjustRightInd/>
              <w:jc w:val="center"/>
              <w:rPr>
                <w:b/>
                <w:bCs/>
                <w:color w:val="000000"/>
                <w:szCs w:val="20"/>
              </w:rPr>
            </w:pPr>
            <w:r w:rsidRPr="003523E0">
              <w:rPr>
                <w:b/>
                <w:bCs/>
                <w:color w:val="000000"/>
                <w:szCs w:val="20"/>
              </w:rPr>
              <w:t>Other (Shipper)</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6B86083D" w14:textId="77777777">
            <w:pPr>
              <w:widowControl/>
              <w:autoSpaceDE/>
              <w:autoSpaceDN/>
              <w:adjustRightInd/>
              <w:jc w:val="center"/>
              <w:rPr>
                <w:color w:val="000000"/>
                <w:szCs w:val="20"/>
              </w:rPr>
            </w:pPr>
            <w:r w:rsidRPr="003523E0">
              <w:rPr>
                <w:color w:val="000000"/>
                <w:szCs w:val="20"/>
              </w:rPr>
              <w:t>1574</w:t>
            </w:r>
          </w:p>
        </w:tc>
        <w:tc>
          <w:tcPr>
            <w:tcW w:w="102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0FF70FF6" w14:textId="77777777">
            <w:pPr>
              <w:widowControl/>
              <w:autoSpaceDE/>
              <w:autoSpaceDN/>
              <w:adjustRightInd/>
              <w:jc w:val="center"/>
              <w:rPr>
                <w:color w:val="000000"/>
                <w:szCs w:val="20"/>
              </w:rPr>
            </w:pPr>
            <w:r w:rsidRPr="003523E0">
              <w:rPr>
                <w:color w:val="000000"/>
                <w:szCs w:val="20"/>
              </w:rPr>
              <w:t>0</w:t>
            </w:r>
          </w:p>
        </w:tc>
        <w:tc>
          <w:tcPr>
            <w:tcW w:w="866"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142C1754" w14:textId="77777777">
            <w:pPr>
              <w:widowControl/>
              <w:autoSpaceDE/>
              <w:autoSpaceDN/>
              <w:adjustRightInd/>
              <w:jc w:val="center"/>
              <w:rPr>
                <w:color w:val="000000"/>
                <w:szCs w:val="20"/>
              </w:rPr>
            </w:pPr>
            <w:r w:rsidRPr="003523E0">
              <w:rPr>
                <w:color w:val="000000"/>
                <w:szCs w:val="20"/>
              </w:rPr>
              <w:t>1612</w:t>
            </w:r>
          </w:p>
        </w:tc>
        <w:tc>
          <w:tcPr>
            <w:tcW w:w="95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7A87A583" w14:textId="77777777">
            <w:pPr>
              <w:widowControl/>
              <w:autoSpaceDE/>
              <w:autoSpaceDN/>
              <w:adjustRightInd/>
              <w:jc w:val="center"/>
              <w:rPr>
                <w:color w:val="000000"/>
                <w:szCs w:val="20"/>
              </w:rPr>
            </w:pPr>
            <w:r w:rsidRPr="003523E0">
              <w:rPr>
                <w:color w:val="000000"/>
                <w:szCs w:val="20"/>
              </w:rPr>
              <w:t>0</w:t>
            </w:r>
          </w:p>
        </w:tc>
        <w:tc>
          <w:tcPr>
            <w:tcW w:w="884"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40E5950A" w14:textId="77777777">
            <w:pPr>
              <w:widowControl/>
              <w:autoSpaceDE/>
              <w:autoSpaceDN/>
              <w:adjustRightInd/>
              <w:jc w:val="center"/>
              <w:rPr>
                <w:color w:val="000000"/>
                <w:szCs w:val="20"/>
              </w:rPr>
            </w:pPr>
            <w:r w:rsidRPr="003523E0">
              <w:rPr>
                <w:color w:val="000000"/>
                <w:szCs w:val="20"/>
              </w:rPr>
              <w:t>1315</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4293839D" w14:textId="77777777">
            <w:pPr>
              <w:widowControl/>
              <w:autoSpaceDE/>
              <w:autoSpaceDN/>
              <w:adjustRightInd/>
              <w:jc w:val="center"/>
              <w:rPr>
                <w:color w:val="000000"/>
                <w:szCs w:val="20"/>
              </w:rPr>
            </w:pPr>
            <w:r w:rsidRPr="003523E0">
              <w:rPr>
                <w:color w:val="000000"/>
                <w:szCs w:val="20"/>
              </w:rPr>
              <w:t>0</w:t>
            </w:r>
          </w:p>
        </w:tc>
        <w:tc>
          <w:tcPr>
            <w:tcW w:w="99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302CF5DA" w14:textId="77777777">
            <w:pPr>
              <w:widowControl/>
              <w:autoSpaceDE/>
              <w:autoSpaceDN/>
              <w:adjustRightInd/>
              <w:jc w:val="center"/>
              <w:rPr>
                <w:color w:val="000000"/>
                <w:szCs w:val="20"/>
              </w:rPr>
            </w:pPr>
            <w:r w:rsidRPr="003523E0">
              <w:rPr>
                <w:color w:val="000000"/>
                <w:szCs w:val="20"/>
              </w:rPr>
              <w:t>1,500</w:t>
            </w:r>
          </w:p>
        </w:tc>
        <w:tc>
          <w:tcPr>
            <w:tcW w:w="900" w:type="dxa"/>
            <w:tcBorders>
              <w:top w:val="nil"/>
              <w:left w:val="nil"/>
              <w:bottom w:val="single" w:sz="8" w:space="0" w:color="auto"/>
              <w:right w:val="single" w:sz="8" w:space="0" w:color="auto"/>
            </w:tcBorders>
            <w:shd w:val="clear" w:color="auto" w:fill="auto"/>
            <w:noWrap/>
            <w:vAlign w:val="center"/>
            <w:hideMark/>
          </w:tcPr>
          <w:p w:rsidR="003523E0" w:rsidRPr="003523E0" w:rsidP="003523E0" w14:paraId="47E0818A" w14:textId="77777777">
            <w:pPr>
              <w:widowControl/>
              <w:autoSpaceDE/>
              <w:autoSpaceDN/>
              <w:adjustRightInd/>
              <w:jc w:val="center"/>
              <w:rPr>
                <w:color w:val="000000"/>
                <w:szCs w:val="20"/>
              </w:rPr>
            </w:pPr>
            <w:r w:rsidRPr="003523E0">
              <w:rPr>
                <w:color w:val="000000"/>
                <w:szCs w:val="20"/>
              </w:rPr>
              <w:t>0</w:t>
            </w:r>
          </w:p>
        </w:tc>
      </w:tr>
    </w:tbl>
    <w:p w:rsidR="00843E59" w:rsidRPr="000A0036" w:rsidP="00084EB7" w14:paraId="6334F519" w14:textId="47D5DEAB">
      <w:pPr>
        <w:spacing w:before="240" w:after="240"/>
        <w:ind w:left="360"/>
        <w:rPr>
          <w:sz w:val="24"/>
        </w:rPr>
      </w:pPr>
      <w:r w:rsidRPr="000A0036">
        <w:rPr>
          <w:sz w:val="24"/>
          <w:u w:val="single"/>
        </w:rPr>
        <w:t>IC-1: Form MCS-150, Motor Carrier Identification Report</w:t>
      </w:r>
    </w:p>
    <w:p w:rsidR="00215E7C" w:rsidP="00084EB7" w14:paraId="6041C20A" w14:textId="0794D302">
      <w:pPr>
        <w:ind w:left="360"/>
        <w:rPr>
          <w:sz w:val="24"/>
        </w:rPr>
      </w:pPr>
      <w:r w:rsidRPr="002252D0">
        <w:rPr>
          <w:sz w:val="24"/>
        </w:rPr>
        <w:t>Form MCS-150, Motor Carrier Identification Repor</w:t>
      </w:r>
      <w:r w:rsidR="007A2E59">
        <w:rPr>
          <w:sz w:val="24"/>
        </w:rPr>
        <w:t xml:space="preserve">t, </w:t>
      </w:r>
      <w:r w:rsidRPr="002252D0">
        <w:rPr>
          <w:sz w:val="24"/>
        </w:rPr>
        <w:t xml:space="preserve">is filed </w:t>
      </w:r>
      <w:r>
        <w:rPr>
          <w:sz w:val="24"/>
        </w:rPr>
        <w:t xml:space="preserve">by </w:t>
      </w:r>
      <w:r w:rsidRPr="00A940BA">
        <w:rPr>
          <w:sz w:val="24"/>
        </w:rPr>
        <w:t>new</w:t>
      </w:r>
      <w:r>
        <w:rPr>
          <w:sz w:val="24"/>
        </w:rPr>
        <w:t>, biennial, ad</w:t>
      </w:r>
      <w:r w:rsidR="00A940BA">
        <w:rPr>
          <w:sz w:val="24"/>
        </w:rPr>
        <w:t>-</w:t>
      </w:r>
      <w:r>
        <w:rPr>
          <w:sz w:val="24"/>
        </w:rPr>
        <w:t xml:space="preserve">hoc changes for Mexico-domiciled carriers. This form is also filed by </w:t>
      </w:r>
      <w:r w:rsidR="00EF5432">
        <w:rPr>
          <w:sz w:val="24"/>
        </w:rPr>
        <w:t xml:space="preserve">interstate and </w:t>
      </w:r>
      <w:r w:rsidR="00AD6536">
        <w:rPr>
          <w:sz w:val="24"/>
        </w:rPr>
        <w:t xml:space="preserve">intrastate </w:t>
      </w:r>
      <w:r w:rsidR="00A03D98">
        <w:rPr>
          <w:sz w:val="24"/>
        </w:rPr>
        <w:t>non-</w:t>
      </w:r>
      <w:r w:rsidR="00A940BA">
        <w:rPr>
          <w:sz w:val="24"/>
        </w:rPr>
        <w:t>HM</w:t>
      </w:r>
      <w:r w:rsidR="00EF5432">
        <w:rPr>
          <w:sz w:val="24"/>
        </w:rPr>
        <w:t xml:space="preserve"> </w:t>
      </w:r>
      <w:r w:rsidR="00AD6536">
        <w:rPr>
          <w:sz w:val="24"/>
        </w:rPr>
        <w:t xml:space="preserve">carriers, HM interstate and </w:t>
      </w:r>
      <w:r w:rsidR="00EF5432">
        <w:rPr>
          <w:sz w:val="24"/>
        </w:rPr>
        <w:t xml:space="preserve">intrastate carriers, </w:t>
      </w:r>
      <w:r w:rsidR="000F7CD0">
        <w:rPr>
          <w:sz w:val="24"/>
        </w:rPr>
        <w:t xml:space="preserve">and </w:t>
      </w:r>
      <w:r w:rsidR="00A940BA">
        <w:rPr>
          <w:sz w:val="24"/>
        </w:rPr>
        <w:t>IEPs</w:t>
      </w:r>
      <w:r w:rsidR="007A2E59">
        <w:rPr>
          <w:sz w:val="24"/>
        </w:rPr>
        <w:t xml:space="preserve"> </w:t>
      </w:r>
      <w:r>
        <w:rPr>
          <w:sz w:val="24"/>
        </w:rPr>
        <w:t>on a biennial basis or on an ad</w:t>
      </w:r>
      <w:r w:rsidR="00A940BA">
        <w:rPr>
          <w:sz w:val="24"/>
        </w:rPr>
        <w:t>-</w:t>
      </w:r>
      <w:r>
        <w:rPr>
          <w:sz w:val="24"/>
        </w:rPr>
        <w:t xml:space="preserve">hoc basis. </w:t>
      </w:r>
      <w:r w:rsidRPr="005F5FF9">
        <w:rPr>
          <w:sz w:val="24"/>
        </w:rPr>
        <w:t xml:space="preserve">FMCSA </w:t>
      </w:r>
      <w:r>
        <w:rPr>
          <w:sz w:val="24"/>
        </w:rPr>
        <w:t xml:space="preserve">continues to </w:t>
      </w:r>
      <w:r w:rsidRPr="005F5FF9">
        <w:rPr>
          <w:sz w:val="24"/>
        </w:rPr>
        <w:t xml:space="preserve">estimate that </w:t>
      </w:r>
      <w:r w:rsidR="007A2E59">
        <w:rPr>
          <w:sz w:val="24"/>
        </w:rPr>
        <w:t xml:space="preserve">Mexico domiciled </w:t>
      </w:r>
      <w:r>
        <w:rPr>
          <w:sz w:val="24"/>
        </w:rPr>
        <w:t>new</w:t>
      </w:r>
      <w:r w:rsidRPr="005F5FF9">
        <w:rPr>
          <w:sz w:val="24"/>
        </w:rPr>
        <w:t xml:space="preserve"> </w:t>
      </w:r>
      <w:r>
        <w:rPr>
          <w:sz w:val="24"/>
        </w:rPr>
        <w:t xml:space="preserve">applicants </w:t>
      </w:r>
      <w:r w:rsidRPr="005F5FF9">
        <w:rPr>
          <w:sz w:val="24"/>
        </w:rPr>
        <w:t xml:space="preserve">will </w:t>
      </w:r>
      <w:r>
        <w:rPr>
          <w:sz w:val="24"/>
        </w:rPr>
        <w:t>require 20 minutes</w:t>
      </w:r>
      <w:r w:rsidR="00A940BA">
        <w:rPr>
          <w:sz w:val="24"/>
        </w:rPr>
        <w:t>,</w:t>
      </w:r>
      <w:r>
        <w:rPr>
          <w:sz w:val="24"/>
        </w:rPr>
        <w:t xml:space="preserve"> or 0.333 hours</w:t>
      </w:r>
      <w:r w:rsidR="00A940BA">
        <w:rPr>
          <w:sz w:val="24"/>
        </w:rPr>
        <w:t>,</w:t>
      </w:r>
      <w:r>
        <w:rPr>
          <w:sz w:val="24"/>
        </w:rPr>
        <w:t xml:space="preserve"> to complete a </w:t>
      </w:r>
      <w:r w:rsidR="001C652C">
        <w:rPr>
          <w:sz w:val="24"/>
        </w:rPr>
        <w:t>new filing</w:t>
      </w:r>
      <w:r>
        <w:rPr>
          <w:sz w:val="24"/>
        </w:rPr>
        <w:t xml:space="preserve">. For </w:t>
      </w:r>
      <w:r w:rsidR="0085590A">
        <w:rPr>
          <w:sz w:val="24"/>
        </w:rPr>
        <w:t>biennial updates</w:t>
      </w:r>
      <w:r>
        <w:rPr>
          <w:sz w:val="24"/>
        </w:rPr>
        <w:t xml:space="preserve">, </w:t>
      </w:r>
      <w:r w:rsidRPr="005F5FF9">
        <w:rPr>
          <w:sz w:val="24"/>
        </w:rPr>
        <w:t xml:space="preserve">FMCSA </w:t>
      </w:r>
      <w:r>
        <w:rPr>
          <w:sz w:val="24"/>
        </w:rPr>
        <w:t xml:space="preserve">continues to </w:t>
      </w:r>
      <w:r w:rsidRPr="005F5FF9">
        <w:rPr>
          <w:sz w:val="24"/>
        </w:rPr>
        <w:t>estimate</w:t>
      </w:r>
      <w:r>
        <w:rPr>
          <w:sz w:val="24"/>
        </w:rPr>
        <w:t xml:space="preserve"> each biennial update takes</w:t>
      </w:r>
      <w:r w:rsidR="000D68B5">
        <w:rPr>
          <w:sz w:val="24"/>
        </w:rPr>
        <w:t xml:space="preserve"> </w:t>
      </w:r>
      <w:r w:rsidRPr="00E41FF7" w:rsidR="002F6630">
        <w:rPr>
          <w:sz w:val="24"/>
        </w:rPr>
        <w:t xml:space="preserve">10 minutes </w:t>
      </w:r>
      <w:r w:rsidR="00E41FF7">
        <w:rPr>
          <w:sz w:val="24"/>
        </w:rPr>
        <w:t>to complete</w:t>
      </w:r>
      <w:r w:rsidR="00A940BA">
        <w:rPr>
          <w:sz w:val="24"/>
        </w:rPr>
        <w:t>,</w:t>
      </w:r>
      <w:r>
        <w:rPr>
          <w:sz w:val="24"/>
        </w:rPr>
        <w:t xml:space="preserve"> or 0.167 hours</w:t>
      </w:r>
      <w:r w:rsidR="00F54CAB">
        <w:rPr>
          <w:sz w:val="24"/>
        </w:rPr>
        <w:t>,</w:t>
      </w:r>
      <w:r w:rsidRPr="00E41FF7" w:rsidR="00883926">
        <w:rPr>
          <w:sz w:val="24"/>
        </w:rPr>
        <w:t xml:space="preserve"> and</w:t>
      </w:r>
      <w:r w:rsidR="00E41FF7">
        <w:rPr>
          <w:sz w:val="24"/>
        </w:rPr>
        <w:t xml:space="preserve"> </w:t>
      </w:r>
      <w:r w:rsidR="005F10BE">
        <w:rPr>
          <w:sz w:val="24"/>
        </w:rPr>
        <w:t>five</w:t>
      </w:r>
      <w:r w:rsidRPr="000A0036" w:rsidR="002F6630">
        <w:rPr>
          <w:sz w:val="24"/>
        </w:rPr>
        <w:t xml:space="preserve"> minutes</w:t>
      </w:r>
      <w:r w:rsidR="00E41FF7">
        <w:rPr>
          <w:sz w:val="24"/>
        </w:rPr>
        <w:t xml:space="preserve"> to complete </w:t>
      </w:r>
      <w:r w:rsidR="00215495">
        <w:rPr>
          <w:sz w:val="24"/>
        </w:rPr>
        <w:t xml:space="preserve">one </w:t>
      </w:r>
      <w:r w:rsidR="0085590A">
        <w:rPr>
          <w:sz w:val="24"/>
        </w:rPr>
        <w:t>ad</w:t>
      </w:r>
      <w:r w:rsidR="00A940BA">
        <w:rPr>
          <w:sz w:val="24"/>
        </w:rPr>
        <w:t>-</w:t>
      </w:r>
      <w:r w:rsidR="0085590A">
        <w:rPr>
          <w:sz w:val="24"/>
        </w:rPr>
        <w:t>hoc</w:t>
      </w:r>
      <w:r w:rsidR="00F54CAB">
        <w:rPr>
          <w:sz w:val="24"/>
        </w:rPr>
        <w:t xml:space="preserve"> </w:t>
      </w:r>
      <w:r w:rsidRPr="000A0036" w:rsidR="00B84FDE">
        <w:rPr>
          <w:sz w:val="24"/>
        </w:rPr>
        <w:t>c</w:t>
      </w:r>
      <w:r w:rsidRPr="000A0036" w:rsidR="002F6630">
        <w:rPr>
          <w:sz w:val="24"/>
        </w:rPr>
        <w:t>hange</w:t>
      </w:r>
      <w:r w:rsidR="0085590A">
        <w:rPr>
          <w:sz w:val="24"/>
        </w:rPr>
        <w:t xml:space="preserve"> (</w:t>
      </w:r>
      <w:r w:rsidR="00F54CAB">
        <w:rPr>
          <w:sz w:val="24"/>
        </w:rPr>
        <w:t>assuming a change is required)</w:t>
      </w:r>
      <w:r>
        <w:rPr>
          <w:sz w:val="24"/>
        </w:rPr>
        <w:t xml:space="preserve"> or 0.833 hours</w:t>
      </w:r>
      <w:r w:rsidR="00E41FF7">
        <w:rPr>
          <w:sz w:val="24"/>
        </w:rPr>
        <w:t>.</w:t>
      </w:r>
      <w:r w:rsidRPr="000A0036" w:rsidR="00B84FDE">
        <w:rPr>
          <w:sz w:val="24"/>
        </w:rPr>
        <w:t xml:space="preserve"> </w:t>
      </w:r>
      <w:r>
        <w:rPr>
          <w:sz w:val="24"/>
        </w:rPr>
        <w:t>FMC</w:t>
      </w:r>
      <w:r w:rsidR="00A940BA">
        <w:rPr>
          <w:sz w:val="24"/>
        </w:rPr>
        <w:t>S</w:t>
      </w:r>
      <w:r>
        <w:rPr>
          <w:sz w:val="24"/>
        </w:rPr>
        <w:t xml:space="preserve">A’s database, </w:t>
      </w:r>
      <w:r w:rsidRPr="005F5FF9" w:rsidR="00B84FDE">
        <w:rPr>
          <w:sz w:val="24"/>
        </w:rPr>
        <w:t>MCMIS</w:t>
      </w:r>
      <w:r>
        <w:rPr>
          <w:sz w:val="24"/>
        </w:rPr>
        <w:t>,</w:t>
      </w:r>
      <w:r w:rsidRPr="005F5FF9" w:rsidR="00B84FDE">
        <w:rPr>
          <w:sz w:val="24"/>
        </w:rPr>
        <w:t xml:space="preserve"> however, </w:t>
      </w:r>
      <w:r>
        <w:rPr>
          <w:sz w:val="24"/>
        </w:rPr>
        <w:t xml:space="preserve">is </w:t>
      </w:r>
      <w:r w:rsidRPr="005F5FF9" w:rsidR="00B84FDE">
        <w:rPr>
          <w:sz w:val="24"/>
        </w:rPr>
        <w:t>unable to differentiate between the changes made to MCS</w:t>
      </w:r>
      <w:r w:rsidR="00E61615">
        <w:rPr>
          <w:sz w:val="24"/>
        </w:rPr>
        <w:t>-</w:t>
      </w:r>
      <w:r w:rsidRPr="005F5FF9" w:rsidR="00B84FDE">
        <w:rPr>
          <w:sz w:val="24"/>
        </w:rPr>
        <w:t xml:space="preserve">150 information due to biennial updates </w:t>
      </w:r>
      <w:r>
        <w:rPr>
          <w:sz w:val="24"/>
        </w:rPr>
        <w:t xml:space="preserve">or </w:t>
      </w:r>
      <w:r w:rsidR="0085590A">
        <w:rPr>
          <w:sz w:val="24"/>
        </w:rPr>
        <w:t>ad</w:t>
      </w:r>
      <w:r w:rsidR="00A940BA">
        <w:rPr>
          <w:sz w:val="24"/>
        </w:rPr>
        <w:t>-</w:t>
      </w:r>
      <w:r w:rsidR="0085590A">
        <w:rPr>
          <w:sz w:val="24"/>
        </w:rPr>
        <w:t xml:space="preserve">hoc </w:t>
      </w:r>
      <w:r w:rsidRPr="005F5FF9" w:rsidR="00B84FDE">
        <w:rPr>
          <w:sz w:val="24"/>
        </w:rPr>
        <w:t>changes</w:t>
      </w:r>
      <w:r w:rsidR="002252D0">
        <w:rPr>
          <w:sz w:val="24"/>
        </w:rPr>
        <w:t>, including</w:t>
      </w:r>
      <w:r w:rsidR="00353DF7">
        <w:rPr>
          <w:sz w:val="24"/>
        </w:rPr>
        <w:t xml:space="preserve"> </w:t>
      </w:r>
      <w:r w:rsidRPr="005F5FF9" w:rsidR="00B84FDE">
        <w:rPr>
          <w:sz w:val="24"/>
        </w:rPr>
        <w:t>the reason</w:t>
      </w:r>
      <w:r w:rsidR="002252D0">
        <w:rPr>
          <w:sz w:val="24"/>
        </w:rPr>
        <w:t xml:space="preserve"> for the change</w:t>
      </w:r>
      <w:r w:rsidRPr="005F5FF9" w:rsidR="00B84FDE">
        <w:rPr>
          <w:sz w:val="24"/>
        </w:rPr>
        <w:t>. FMCSA in the past has tried to estimate which changes were due to bi</w:t>
      </w:r>
      <w:r w:rsidR="00DD5A3E">
        <w:rPr>
          <w:sz w:val="24"/>
        </w:rPr>
        <w:t>e</w:t>
      </w:r>
      <w:r w:rsidRPr="005F5FF9" w:rsidR="00B84FDE">
        <w:rPr>
          <w:sz w:val="24"/>
        </w:rPr>
        <w:t xml:space="preserve">nnial updates and which were other changes, but it is questionable whether this </w:t>
      </w:r>
      <w:r w:rsidRPr="005F5FF9" w:rsidR="00883926">
        <w:rPr>
          <w:sz w:val="24"/>
        </w:rPr>
        <w:t>improved</w:t>
      </w:r>
      <w:r w:rsidRPr="005F5FF9" w:rsidR="00B84FDE">
        <w:rPr>
          <w:sz w:val="24"/>
        </w:rPr>
        <w:t xml:space="preserve"> the accuracy of the burden estimates. Consequently, FMCS</w:t>
      </w:r>
      <w:r w:rsidRPr="005F5FF9" w:rsidR="009A5906">
        <w:rPr>
          <w:sz w:val="24"/>
        </w:rPr>
        <w:t>A</w:t>
      </w:r>
      <w:r w:rsidRPr="005F5FF9" w:rsidR="00B84FDE">
        <w:rPr>
          <w:sz w:val="24"/>
        </w:rPr>
        <w:t xml:space="preserve"> </w:t>
      </w:r>
      <w:r w:rsidR="00215495">
        <w:rPr>
          <w:sz w:val="24"/>
        </w:rPr>
        <w:t xml:space="preserve">continues </w:t>
      </w:r>
      <w:r w:rsidRPr="005F5FF9" w:rsidR="00B84FDE">
        <w:rPr>
          <w:sz w:val="24"/>
        </w:rPr>
        <w:t>to use an estimate of</w:t>
      </w:r>
      <w:r w:rsidR="000A0036">
        <w:rPr>
          <w:sz w:val="24"/>
        </w:rPr>
        <w:t xml:space="preserve"> </w:t>
      </w:r>
      <w:r w:rsidRPr="005F5FF9" w:rsidR="00B84FDE">
        <w:rPr>
          <w:sz w:val="24"/>
        </w:rPr>
        <w:t>7.5 minutes</w:t>
      </w:r>
      <w:r w:rsidR="005F10BE">
        <w:rPr>
          <w:sz w:val="24"/>
        </w:rPr>
        <w:t>,</w:t>
      </w:r>
      <w:r w:rsidR="009405D4">
        <w:rPr>
          <w:sz w:val="24"/>
        </w:rPr>
        <w:t xml:space="preserve"> </w:t>
      </w:r>
      <w:r w:rsidR="00655482">
        <w:rPr>
          <w:sz w:val="24"/>
        </w:rPr>
        <w:t xml:space="preserve">or </w:t>
      </w:r>
      <w:r w:rsidR="00BE07F4">
        <w:rPr>
          <w:sz w:val="24"/>
        </w:rPr>
        <w:t>0.125</w:t>
      </w:r>
      <w:r w:rsidR="00655482">
        <w:rPr>
          <w:sz w:val="24"/>
        </w:rPr>
        <w:t xml:space="preserve"> hours</w:t>
      </w:r>
      <w:r w:rsidR="005F10BE">
        <w:rPr>
          <w:sz w:val="24"/>
        </w:rPr>
        <w:t>,</w:t>
      </w:r>
      <w:r w:rsidRPr="00883926" w:rsidR="00883926">
        <w:rPr>
          <w:sz w:val="24"/>
        </w:rPr>
        <w:t xml:space="preserve"> </w:t>
      </w:r>
      <w:r w:rsidRPr="005F5FF9" w:rsidR="00883926">
        <w:rPr>
          <w:sz w:val="24"/>
        </w:rPr>
        <w:t xml:space="preserve">for any </w:t>
      </w:r>
      <w:r w:rsidR="00215495">
        <w:rPr>
          <w:sz w:val="24"/>
        </w:rPr>
        <w:t>biennial or ad</w:t>
      </w:r>
      <w:r w:rsidR="00A940BA">
        <w:rPr>
          <w:sz w:val="24"/>
        </w:rPr>
        <w:t>-</w:t>
      </w:r>
      <w:r w:rsidR="00215495">
        <w:rPr>
          <w:sz w:val="24"/>
        </w:rPr>
        <w:t>hoc changes</w:t>
      </w:r>
      <w:r w:rsidRPr="005F5FF9" w:rsidR="00215495">
        <w:rPr>
          <w:sz w:val="24"/>
        </w:rPr>
        <w:t xml:space="preserve"> </w:t>
      </w:r>
      <w:r w:rsidRPr="005F5FF9" w:rsidR="00883926">
        <w:rPr>
          <w:sz w:val="24"/>
        </w:rPr>
        <w:t xml:space="preserve">to </w:t>
      </w:r>
      <w:r w:rsidR="00215495">
        <w:rPr>
          <w:sz w:val="24"/>
        </w:rPr>
        <w:t xml:space="preserve">Form </w:t>
      </w:r>
      <w:r w:rsidRPr="005F5FF9" w:rsidR="00883926">
        <w:rPr>
          <w:sz w:val="24"/>
        </w:rPr>
        <w:t>MCS</w:t>
      </w:r>
      <w:r w:rsidR="00883926">
        <w:rPr>
          <w:sz w:val="24"/>
        </w:rPr>
        <w:t>-</w:t>
      </w:r>
      <w:r w:rsidRPr="005F5FF9" w:rsidR="00883926">
        <w:rPr>
          <w:sz w:val="24"/>
        </w:rPr>
        <w:t xml:space="preserve">150 data </w:t>
      </w:r>
      <w:r w:rsidR="00215495">
        <w:rPr>
          <w:sz w:val="24"/>
        </w:rPr>
        <w:t xml:space="preserve">that is </w:t>
      </w:r>
      <w:r w:rsidRPr="005F5FF9" w:rsidR="00883926">
        <w:rPr>
          <w:sz w:val="24"/>
        </w:rPr>
        <w:t>logged in MCMIS</w:t>
      </w:r>
      <w:r w:rsidRPr="005F5FF9" w:rsidR="00B84FDE">
        <w:rPr>
          <w:sz w:val="24"/>
        </w:rPr>
        <w:t>.</w:t>
      </w:r>
      <w:r w:rsidR="00E41FF7">
        <w:rPr>
          <w:sz w:val="24"/>
        </w:rPr>
        <w:t xml:space="preserve"> </w:t>
      </w:r>
      <w:r w:rsidRPr="00E41FF7" w:rsidR="00E41FF7">
        <w:rPr>
          <w:sz w:val="24"/>
        </w:rPr>
        <w:t xml:space="preserve">The estimated annual burden </w:t>
      </w:r>
      <w:r w:rsidR="00E41FF7">
        <w:rPr>
          <w:sz w:val="24"/>
        </w:rPr>
        <w:t>for IC-1 is detailed in</w:t>
      </w:r>
      <w:r w:rsidR="00812C4E">
        <w:rPr>
          <w:sz w:val="24"/>
        </w:rPr>
        <w:t xml:space="preserve"> Table </w:t>
      </w:r>
      <w:r w:rsidR="00CB3B53">
        <w:rPr>
          <w:sz w:val="24"/>
        </w:rPr>
        <w:t>4</w:t>
      </w:r>
      <w:r w:rsidRPr="00E41FF7" w:rsidR="00E41FF7">
        <w:rPr>
          <w:sz w:val="24"/>
        </w:rPr>
        <w:t>.</w:t>
      </w:r>
    </w:p>
    <w:p w:rsidR="00447043" w:rsidP="001630BC" w14:paraId="0B613055" w14:textId="77777777">
      <w:pPr>
        <w:rPr>
          <w:sz w:val="24"/>
        </w:rPr>
      </w:pPr>
    </w:p>
    <w:p w:rsidR="00823A5F" w:rsidP="001630BC" w14:paraId="6E3B0834" w14:textId="77777777">
      <w:pPr>
        <w:rPr>
          <w:sz w:val="24"/>
        </w:rPr>
      </w:pPr>
    </w:p>
    <w:p w:rsidR="00823A5F" w:rsidP="001630BC" w14:paraId="21380F16" w14:textId="77777777">
      <w:pPr>
        <w:rPr>
          <w:sz w:val="24"/>
        </w:rPr>
      </w:pPr>
    </w:p>
    <w:p w:rsidR="00823A5F" w:rsidP="001630BC" w14:paraId="7AA842B3" w14:textId="77777777">
      <w:pPr>
        <w:rPr>
          <w:sz w:val="24"/>
        </w:rPr>
      </w:pPr>
    </w:p>
    <w:p w:rsidR="00823A5F" w:rsidP="001630BC" w14:paraId="2630E822" w14:textId="77777777">
      <w:pPr>
        <w:rPr>
          <w:sz w:val="24"/>
        </w:rPr>
      </w:pPr>
    </w:p>
    <w:p w:rsidR="00823A5F" w:rsidP="001630BC" w14:paraId="45175651" w14:textId="77777777">
      <w:pPr>
        <w:rPr>
          <w:sz w:val="24"/>
        </w:rPr>
      </w:pPr>
    </w:p>
    <w:p w:rsidR="00823A5F" w:rsidP="001630BC" w14:paraId="4BC31A4C" w14:textId="77777777">
      <w:pPr>
        <w:rPr>
          <w:sz w:val="24"/>
        </w:rPr>
      </w:pPr>
    </w:p>
    <w:p w:rsidR="00823A5F" w:rsidP="001630BC" w14:paraId="7AA8E5EF" w14:textId="77777777">
      <w:pPr>
        <w:rPr>
          <w:sz w:val="24"/>
        </w:rPr>
      </w:pPr>
    </w:p>
    <w:p w:rsidR="00823A5F" w:rsidP="001630BC" w14:paraId="154BBA91" w14:textId="77777777">
      <w:pPr>
        <w:rPr>
          <w:sz w:val="24"/>
        </w:rPr>
      </w:pPr>
    </w:p>
    <w:p w:rsidR="00823A5F" w:rsidP="001630BC" w14:paraId="7AB53E11" w14:textId="77777777">
      <w:pPr>
        <w:rPr>
          <w:sz w:val="24"/>
        </w:rPr>
      </w:pPr>
    </w:p>
    <w:p w:rsidR="00823A5F" w:rsidP="001630BC" w14:paraId="28D636D1" w14:textId="77777777">
      <w:pPr>
        <w:rPr>
          <w:sz w:val="24"/>
        </w:rPr>
      </w:pPr>
    </w:p>
    <w:p w:rsidR="00823A5F" w:rsidP="001630BC" w14:paraId="0481859A" w14:textId="77777777">
      <w:pPr>
        <w:rPr>
          <w:sz w:val="24"/>
        </w:rPr>
      </w:pPr>
    </w:p>
    <w:p w:rsidR="00823A5F" w:rsidP="001630BC" w14:paraId="2863B19C" w14:textId="77777777">
      <w:pPr>
        <w:rPr>
          <w:sz w:val="24"/>
        </w:rPr>
      </w:pPr>
    </w:p>
    <w:p w:rsidR="00823A5F" w:rsidP="001630BC" w14:paraId="34041EDA" w14:textId="77777777">
      <w:pPr>
        <w:rPr>
          <w:sz w:val="24"/>
        </w:rPr>
      </w:pPr>
    </w:p>
    <w:p w:rsidR="00823A5F" w:rsidP="001630BC" w14:paraId="000D4611" w14:textId="77777777">
      <w:pPr>
        <w:rPr>
          <w:sz w:val="24"/>
        </w:rPr>
      </w:pPr>
    </w:p>
    <w:p w:rsidR="00823A5F" w:rsidP="001630BC" w14:paraId="42CAC0DC" w14:textId="77777777">
      <w:pPr>
        <w:rPr>
          <w:sz w:val="24"/>
        </w:rPr>
      </w:pPr>
    </w:p>
    <w:p w:rsidR="00E4568E" w:rsidP="00823A5F" w14:paraId="0759858A" w14:textId="6B9F054C">
      <w:pPr>
        <w:pStyle w:val="Caption"/>
        <w:keepNext/>
        <w:spacing w:after="0"/>
        <w:jc w:val="center"/>
        <w:rPr>
          <w:b/>
          <w:i w:val="0"/>
          <w:color w:val="auto"/>
          <w:sz w:val="24"/>
          <w:szCs w:val="24"/>
        </w:rPr>
      </w:pPr>
      <w:r w:rsidRPr="00D21006">
        <w:rPr>
          <w:b/>
          <w:i w:val="0"/>
          <w:color w:val="auto"/>
          <w:sz w:val="24"/>
          <w:szCs w:val="24"/>
        </w:rPr>
        <w:t xml:space="preserve">Table </w:t>
      </w:r>
      <w:r w:rsidR="00A25FF7">
        <w:rPr>
          <w:b/>
          <w:i w:val="0"/>
          <w:color w:val="auto"/>
          <w:sz w:val="24"/>
          <w:szCs w:val="24"/>
        </w:rPr>
        <w:t>4</w:t>
      </w:r>
      <w:r w:rsidRPr="00D21006">
        <w:rPr>
          <w:b/>
          <w:i w:val="0"/>
          <w:color w:val="auto"/>
          <w:sz w:val="24"/>
          <w:szCs w:val="24"/>
        </w:rPr>
        <w:t xml:space="preserve">. Estimated </w:t>
      </w:r>
      <w:r>
        <w:rPr>
          <w:b/>
          <w:i w:val="0"/>
          <w:color w:val="auto"/>
          <w:sz w:val="24"/>
          <w:szCs w:val="24"/>
        </w:rPr>
        <w:t>Annual Burden Hours</w:t>
      </w:r>
      <w:r w:rsidRPr="00D21006">
        <w:rPr>
          <w:b/>
          <w:i w:val="0"/>
          <w:color w:val="auto"/>
          <w:sz w:val="24"/>
          <w:szCs w:val="24"/>
        </w:rPr>
        <w:t xml:space="preserve"> for IC-1: Form MCS-150, Motor Carrier I</w:t>
      </w:r>
      <w:r>
        <w:rPr>
          <w:b/>
          <w:i w:val="0"/>
          <w:color w:val="auto"/>
          <w:sz w:val="24"/>
          <w:szCs w:val="24"/>
        </w:rPr>
        <w:t xml:space="preserve">dentification </w:t>
      </w:r>
      <w:r w:rsidRPr="00D21006">
        <w:rPr>
          <w:b/>
          <w:i w:val="0"/>
          <w:color w:val="auto"/>
          <w:sz w:val="24"/>
          <w:szCs w:val="24"/>
        </w:rPr>
        <w:t>Report</w:t>
      </w:r>
    </w:p>
    <w:p w:rsidR="00823A5F" w:rsidRPr="00823A5F" w:rsidP="00823A5F" w14:paraId="3E5E891A" w14:textId="77777777"/>
    <w:tbl>
      <w:tblPr>
        <w:tblW w:w="4815" w:type="pct"/>
        <w:tblInd w:w="350" w:type="dxa"/>
        <w:tblLayout w:type="fixed"/>
        <w:tblLook w:val="04A0"/>
      </w:tblPr>
      <w:tblGrid>
        <w:gridCol w:w="1709"/>
        <w:gridCol w:w="1332"/>
        <w:gridCol w:w="1458"/>
        <w:gridCol w:w="1500"/>
        <w:gridCol w:w="1497"/>
        <w:gridCol w:w="1498"/>
      </w:tblGrid>
      <w:tr w14:paraId="2DFB9419" w14:textId="77777777" w:rsidTr="00447043">
        <w:tblPrEx>
          <w:tblW w:w="4815" w:type="pct"/>
          <w:tblInd w:w="350" w:type="dxa"/>
          <w:tblLayout w:type="fixed"/>
          <w:tblLook w:val="04A0"/>
        </w:tblPrEx>
        <w:trPr>
          <w:trHeight w:val="1102"/>
        </w:trPr>
        <w:tc>
          <w:tcPr>
            <w:tcW w:w="1709" w:type="dxa"/>
            <w:vMerge w:val="restart"/>
            <w:tcBorders>
              <w:top w:val="single" w:sz="8" w:space="0" w:color="auto"/>
              <w:left w:val="single" w:sz="8" w:space="0" w:color="auto"/>
              <w:right w:val="single" w:sz="8" w:space="0" w:color="auto"/>
            </w:tcBorders>
            <w:shd w:val="clear" w:color="000000" w:fill="D9D9D9"/>
            <w:vAlign w:val="center"/>
            <w:hideMark/>
          </w:tcPr>
          <w:p w:rsidR="001C652C" w:rsidRPr="00EE7154" w:rsidP="00707F55" w14:paraId="44C13940" w14:textId="1D63FC14">
            <w:pPr>
              <w:widowControl/>
              <w:autoSpaceDE/>
              <w:autoSpaceDN/>
              <w:adjustRightInd/>
              <w:rPr>
                <w:color w:val="000000"/>
                <w:szCs w:val="20"/>
              </w:rPr>
            </w:pPr>
            <w:r w:rsidRPr="00EE7154">
              <w:rPr>
                <w:b/>
                <w:bCs/>
                <w:color w:val="000000"/>
                <w:szCs w:val="20"/>
              </w:rPr>
              <w:t>Applicable Motor Carrier Type</w:t>
            </w:r>
          </w:p>
        </w:tc>
        <w:tc>
          <w:tcPr>
            <w:tcW w:w="1332" w:type="dxa"/>
            <w:tcBorders>
              <w:top w:val="single" w:sz="8" w:space="0" w:color="auto"/>
              <w:left w:val="nil"/>
              <w:bottom w:val="nil"/>
              <w:right w:val="single" w:sz="8" w:space="0" w:color="auto"/>
            </w:tcBorders>
            <w:shd w:val="clear" w:color="000000" w:fill="D9D9D9"/>
            <w:vAlign w:val="center"/>
            <w:hideMark/>
          </w:tcPr>
          <w:p w:rsidR="001C652C" w:rsidRPr="00EE7154" w:rsidP="001C652C" w14:paraId="43BE347A" w14:textId="44A3D6D8">
            <w:pPr>
              <w:widowControl/>
              <w:autoSpaceDE/>
              <w:autoSpaceDN/>
              <w:adjustRightInd/>
              <w:jc w:val="center"/>
              <w:rPr>
                <w:b/>
                <w:bCs/>
                <w:color w:val="000000"/>
                <w:szCs w:val="20"/>
              </w:rPr>
            </w:pPr>
            <w:r>
              <w:rPr>
                <w:b/>
                <w:bCs/>
                <w:color w:val="000000"/>
                <w:szCs w:val="20"/>
              </w:rPr>
              <w:t xml:space="preserve">Total </w:t>
            </w:r>
            <w:r w:rsidRPr="008950B4">
              <w:rPr>
                <w:b/>
                <w:bCs/>
                <w:color w:val="000000"/>
                <w:szCs w:val="20"/>
              </w:rPr>
              <w:t>Number of Annual New Responses</w:t>
            </w:r>
            <w:r w:rsidRPr="00EE7154">
              <w:rPr>
                <w:b/>
                <w:bCs/>
                <w:color w:val="000000"/>
                <w:szCs w:val="20"/>
              </w:rPr>
              <w:t xml:space="preserve"> </w:t>
            </w:r>
          </w:p>
        </w:tc>
        <w:tc>
          <w:tcPr>
            <w:tcW w:w="1458" w:type="dxa"/>
            <w:tcBorders>
              <w:top w:val="single" w:sz="8" w:space="0" w:color="auto"/>
              <w:left w:val="nil"/>
              <w:bottom w:val="nil"/>
              <w:right w:val="single" w:sz="8" w:space="0" w:color="auto"/>
            </w:tcBorders>
            <w:shd w:val="clear" w:color="000000" w:fill="D9D9D9"/>
            <w:vAlign w:val="center"/>
            <w:hideMark/>
          </w:tcPr>
          <w:p w:rsidR="001C652C" w:rsidRPr="00EE7154" w:rsidP="001C652C" w14:paraId="72EFF932" w14:textId="77777777">
            <w:pPr>
              <w:widowControl/>
              <w:autoSpaceDE/>
              <w:autoSpaceDN/>
              <w:adjustRightInd/>
              <w:jc w:val="center"/>
              <w:rPr>
                <w:b/>
                <w:bCs/>
                <w:color w:val="000000"/>
                <w:szCs w:val="20"/>
              </w:rPr>
            </w:pPr>
            <w:r w:rsidRPr="00EE7154">
              <w:rPr>
                <w:b/>
                <w:bCs/>
                <w:color w:val="000000"/>
                <w:szCs w:val="20"/>
              </w:rPr>
              <w:t>Total Number of New Respondents</w:t>
            </w:r>
          </w:p>
        </w:tc>
        <w:tc>
          <w:tcPr>
            <w:tcW w:w="1500" w:type="dxa"/>
            <w:tcBorders>
              <w:top w:val="single" w:sz="8" w:space="0" w:color="auto"/>
              <w:left w:val="nil"/>
              <w:bottom w:val="nil"/>
              <w:right w:val="single" w:sz="8" w:space="0" w:color="auto"/>
            </w:tcBorders>
            <w:shd w:val="clear" w:color="000000" w:fill="D9D9D9"/>
            <w:vAlign w:val="center"/>
            <w:hideMark/>
          </w:tcPr>
          <w:p w:rsidR="001C652C" w:rsidRPr="00EE7154" w:rsidP="001C652C" w14:paraId="7B37DAF0" w14:textId="417A0CC6">
            <w:pPr>
              <w:widowControl/>
              <w:autoSpaceDE/>
              <w:autoSpaceDN/>
              <w:adjustRightInd/>
              <w:jc w:val="center"/>
              <w:rPr>
                <w:b/>
                <w:bCs/>
                <w:color w:val="000000"/>
                <w:szCs w:val="20"/>
              </w:rPr>
            </w:pPr>
            <w:r>
              <w:rPr>
                <w:b/>
                <w:bCs/>
                <w:color w:val="000000"/>
                <w:szCs w:val="20"/>
              </w:rPr>
              <w:t xml:space="preserve">Total Number of </w:t>
            </w:r>
            <w:r w:rsidRPr="008950B4">
              <w:rPr>
                <w:b/>
                <w:bCs/>
                <w:color w:val="000000"/>
                <w:szCs w:val="20"/>
              </w:rPr>
              <w:t xml:space="preserve">Biennial </w:t>
            </w:r>
            <w:r>
              <w:rPr>
                <w:b/>
                <w:bCs/>
                <w:color w:val="000000"/>
                <w:szCs w:val="20"/>
              </w:rPr>
              <w:t>and/or Ad</w:t>
            </w:r>
            <w:r w:rsidR="0063061B">
              <w:rPr>
                <w:b/>
                <w:bCs/>
                <w:color w:val="000000"/>
                <w:szCs w:val="20"/>
              </w:rPr>
              <w:t xml:space="preserve"> </w:t>
            </w:r>
            <w:r>
              <w:rPr>
                <w:b/>
                <w:bCs/>
                <w:color w:val="000000"/>
                <w:szCs w:val="20"/>
              </w:rPr>
              <w:t>hoc</w:t>
            </w:r>
            <w:r w:rsidRPr="008950B4">
              <w:rPr>
                <w:b/>
                <w:bCs/>
                <w:color w:val="000000"/>
                <w:szCs w:val="20"/>
              </w:rPr>
              <w:t xml:space="preserve"> Responses</w:t>
            </w:r>
            <w:r w:rsidRPr="00EE7154">
              <w:rPr>
                <w:b/>
                <w:bCs/>
                <w:color w:val="000000"/>
                <w:szCs w:val="20"/>
              </w:rPr>
              <w:t xml:space="preserve"> </w:t>
            </w:r>
          </w:p>
        </w:tc>
        <w:tc>
          <w:tcPr>
            <w:tcW w:w="1497" w:type="dxa"/>
            <w:tcBorders>
              <w:top w:val="single" w:sz="8" w:space="0" w:color="auto"/>
              <w:left w:val="nil"/>
              <w:bottom w:val="nil"/>
              <w:right w:val="single" w:sz="8" w:space="0" w:color="auto"/>
            </w:tcBorders>
            <w:shd w:val="clear" w:color="000000" w:fill="D9D9D9"/>
            <w:vAlign w:val="center"/>
            <w:hideMark/>
          </w:tcPr>
          <w:p w:rsidR="001C652C" w:rsidRPr="00EE7154" w:rsidP="001C652C" w14:paraId="28D7190F" w14:textId="0248EDD6">
            <w:pPr>
              <w:widowControl/>
              <w:autoSpaceDE/>
              <w:autoSpaceDN/>
              <w:adjustRightInd/>
              <w:jc w:val="center"/>
              <w:rPr>
                <w:b/>
                <w:bCs/>
                <w:color w:val="000000"/>
                <w:szCs w:val="20"/>
              </w:rPr>
            </w:pPr>
            <w:r>
              <w:rPr>
                <w:b/>
                <w:bCs/>
                <w:color w:val="000000"/>
                <w:szCs w:val="20"/>
              </w:rPr>
              <w:t>*</w:t>
            </w:r>
            <w:r w:rsidRPr="008950B4" w:rsidR="000C4A4E">
              <w:rPr>
                <w:b/>
                <w:bCs/>
                <w:color w:val="000000"/>
                <w:szCs w:val="20"/>
              </w:rPr>
              <w:t xml:space="preserve">Total Number of 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Respondents</w:t>
            </w:r>
            <w:r w:rsidRPr="00EE7154" w:rsidR="000C4A4E">
              <w:rPr>
                <w:b/>
                <w:bCs/>
                <w:color w:val="000000"/>
                <w:szCs w:val="20"/>
              </w:rPr>
              <w:t xml:space="preserve"> </w:t>
            </w:r>
          </w:p>
        </w:tc>
        <w:tc>
          <w:tcPr>
            <w:tcW w:w="1498" w:type="dxa"/>
            <w:tcBorders>
              <w:top w:val="single" w:sz="8" w:space="0" w:color="auto"/>
              <w:left w:val="nil"/>
              <w:bottom w:val="nil"/>
              <w:right w:val="single" w:sz="8" w:space="0" w:color="auto"/>
            </w:tcBorders>
            <w:shd w:val="clear" w:color="000000" w:fill="D9D9D9"/>
            <w:vAlign w:val="center"/>
            <w:hideMark/>
          </w:tcPr>
          <w:p w:rsidR="001C652C" w:rsidP="001C652C" w14:paraId="66A2C0AA" w14:textId="42D8DF6B">
            <w:pPr>
              <w:widowControl/>
              <w:autoSpaceDE/>
              <w:autoSpaceDN/>
              <w:adjustRightInd/>
              <w:jc w:val="center"/>
              <w:rPr>
                <w:b/>
                <w:bCs/>
                <w:color w:val="000000"/>
                <w:szCs w:val="20"/>
              </w:rPr>
            </w:pPr>
            <w:r>
              <w:rPr>
                <w:b/>
                <w:bCs/>
                <w:color w:val="000000"/>
                <w:szCs w:val="20"/>
              </w:rPr>
              <w:t>*</w:t>
            </w:r>
            <w:r w:rsidRPr="008950B4" w:rsidR="009C5162">
              <w:rPr>
                <w:b/>
                <w:bCs/>
                <w:color w:val="000000"/>
                <w:szCs w:val="20"/>
              </w:rPr>
              <w:t xml:space="preserve">Annual </w:t>
            </w:r>
            <w:r w:rsidR="009C5162">
              <w:rPr>
                <w:b/>
                <w:bCs/>
                <w:color w:val="000000"/>
                <w:szCs w:val="20"/>
              </w:rPr>
              <w:t xml:space="preserve">Hourly </w:t>
            </w:r>
            <w:r w:rsidRPr="008950B4" w:rsidR="009C5162">
              <w:rPr>
                <w:b/>
                <w:bCs/>
                <w:color w:val="000000"/>
                <w:szCs w:val="20"/>
              </w:rPr>
              <w:t>Burden for New</w:t>
            </w:r>
            <w:r w:rsidR="009C5162">
              <w:rPr>
                <w:b/>
                <w:bCs/>
                <w:color w:val="000000"/>
                <w:szCs w:val="20"/>
              </w:rPr>
              <w:t>, Biennial and/or Ad</w:t>
            </w:r>
            <w:r w:rsidR="0063061B">
              <w:rPr>
                <w:b/>
                <w:bCs/>
                <w:color w:val="000000"/>
                <w:szCs w:val="20"/>
              </w:rPr>
              <w:t xml:space="preserve"> </w:t>
            </w:r>
            <w:r w:rsidR="009C5162">
              <w:rPr>
                <w:b/>
                <w:bCs/>
                <w:color w:val="000000"/>
                <w:szCs w:val="20"/>
              </w:rPr>
              <w:t>hoc Changes</w:t>
            </w:r>
            <w:r w:rsidRPr="001C652C" w:rsidR="009C5162">
              <w:rPr>
                <w:b/>
                <w:bCs/>
                <w:color w:val="000000"/>
                <w:szCs w:val="20"/>
              </w:rPr>
              <w:t xml:space="preserve"> </w:t>
            </w:r>
          </w:p>
          <w:p w:rsidR="009C5162" w:rsidRPr="00EE7154" w:rsidP="001C652C" w14:paraId="5EE90F44" w14:textId="643BD68D">
            <w:pPr>
              <w:widowControl/>
              <w:autoSpaceDE/>
              <w:autoSpaceDN/>
              <w:adjustRightInd/>
              <w:jc w:val="center"/>
              <w:rPr>
                <w:b/>
                <w:bCs/>
                <w:color w:val="000000"/>
                <w:szCs w:val="20"/>
              </w:rPr>
            </w:pPr>
          </w:p>
        </w:tc>
      </w:tr>
      <w:tr w14:paraId="053DB0AB" w14:textId="77777777" w:rsidTr="00447043">
        <w:tblPrEx>
          <w:tblW w:w="4815" w:type="pct"/>
          <w:tblInd w:w="350" w:type="dxa"/>
          <w:tblLayout w:type="fixed"/>
          <w:tblLook w:val="04A0"/>
        </w:tblPrEx>
        <w:trPr>
          <w:trHeight w:val="417"/>
        </w:trPr>
        <w:tc>
          <w:tcPr>
            <w:tcW w:w="1709" w:type="dxa"/>
            <w:vMerge/>
            <w:tcBorders>
              <w:left w:val="single" w:sz="8" w:space="0" w:color="auto"/>
              <w:bottom w:val="single" w:sz="4" w:space="0" w:color="auto"/>
              <w:right w:val="single" w:sz="8" w:space="0" w:color="auto"/>
            </w:tcBorders>
            <w:shd w:val="clear" w:color="000000" w:fill="D9D9D9"/>
            <w:vAlign w:val="center"/>
            <w:hideMark/>
          </w:tcPr>
          <w:p w:rsidR="001C652C" w:rsidRPr="00EE7154" w:rsidP="001C652C" w14:paraId="276D483E" w14:textId="195951ED">
            <w:pPr>
              <w:widowControl/>
              <w:autoSpaceDE/>
              <w:autoSpaceDN/>
              <w:adjustRightInd/>
              <w:jc w:val="center"/>
              <w:rPr>
                <w:b/>
                <w:bCs/>
                <w:color w:val="000000"/>
                <w:szCs w:val="20"/>
              </w:rPr>
            </w:pPr>
          </w:p>
        </w:tc>
        <w:tc>
          <w:tcPr>
            <w:tcW w:w="1332" w:type="dxa"/>
            <w:tcBorders>
              <w:top w:val="nil"/>
              <w:left w:val="nil"/>
              <w:bottom w:val="single" w:sz="4" w:space="0" w:color="auto"/>
              <w:right w:val="single" w:sz="8" w:space="0" w:color="auto"/>
            </w:tcBorders>
            <w:shd w:val="clear" w:color="000000" w:fill="D9D9D9"/>
            <w:vAlign w:val="center"/>
            <w:hideMark/>
          </w:tcPr>
          <w:p w:rsidR="001C652C" w:rsidRPr="00EE7154" w:rsidP="001C652C" w14:paraId="26793F1A" w14:textId="77777777">
            <w:pPr>
              <w:widowControl/>
              <w:autoSpaceDE/>
              <w:autoSpaceDN/>
              <w:adjustRightInd/>
              <w:jc w:val="center"/>
              <w:rPr>
                <w:b/>
                <w:bCs/>
                <w:color w:val="000000"/>
                <w:szCs w:val="20"/>
              </w:rPr>
            </w:pPr>
            <w:r w:rsidRPr="00EE7154">
              <w:rPr>
                <w:b/>
                <w:bCs/>
                <w:color w:val="000000"/>
                <w:szCs w:val="20"/>
              </w:rPr>
              <w:t>(a)</w:t>
            </w:r>
          </w:p>
        </w:tc>
        <w:tc>
          <w:tcPr>
            <w:tcW w:w="1458" w:type="dxa"/>
            <w:tcBorders>
              <w:top w:val="nil"/>
              <w:left w:val="nil"/>
              <w:bottom w:val="single" w:sz="4" w:space="0" w:color="auto"/>
              <w:right w:val="single" w:sz="8" w:space="0" w:color="auto"/>
            </w:tcBorders>
            <w:shd w:val="clear" w:color="000000" w:fill="D9D9D9"/>
            <w:vAlign w:val="center"/>
            <w:hideMark/>
          </w:tcPr>
          <w:p w:rsidR="001C652C" w:rsidRPr="00EE7154" w:rsidP="001C652C" w14:paraId="1476945A" w14:textId="77777777">
            <w:pPr>
              <w:widowControl/>
              <w:autoSpaceDE/>
              <w:autoSpaceDN/>
              <w:adjustRightInd/>
              <w:jc w:val="center"/>
              <w:rPr>
                <w:b/>
                <w:bCs/>
                <w:color w:val="000000"/>
                <w:szCs w:val="20"/>
              </w:rPr>
            </w:pPr>
            <w:r w:rsidRPr="00EE7154">
              <w:rPr>
                <w:b/>
                <w:bCs/>
                <w:color w:val="000000"/>
                <w:szCs w:val="20"/>
              </w:rPr>
              <w:t xml:space="preserve">(b = a </w:t>
            </w:r>
            <w:r w:rsidRPr="00EE7154">
              <w:rPr>
                <w:rFonts w:ascii="Calibri" w:hAnsi="Calibri" w:cs="Calibri"/>
                <w:b/>
                <w:bCs/>
                <w:color w:val="000000"/>
                <w:szCs w:val="20"/>
              </w:rPr>
              <w:t>×</w:t>
            </w:r>
            <w:r w:rsidRPr="00EE7154">
              <w:rPr>
                <w:b/>
                <w:bCs/>
                <w:color w:val="000000"/>
                <w:szCs w:val="20"/>
              </w:rPr>
              <w:t xml:space="preserve"> 1)</w:t>
            </w:r>
          </w:p>
        </w:tc>
        <w:tc>
          <w:tcPr>
            <w:tcW w:w="1500" w:type="dxa"/>
            <w:tcBorders>
              <w:top w:val="nil"/>
              <w:left w:val="nil"/>
              <w:bottom w:val="single" w:sz="4" w:space="0" w:color="auto"/>
              <w:right w:val="single" w:sz="8" w:space="0" w:color="auto"/>
            </w:tcBorders>
            <w:shd w:val="clear" w:color="000000" w:fill="D9D9D9"/>
            <w:vAlign w:val="center"/>
            <w:hideMark/>
          </w:tcPr>
          <w:p w:rsidR="001C652C" w:rsidRPr="00EE7154" w:rsidP="001C652C" w14:paraId="2425F43F" w14:textId="77777777">
            <w:pPr>
              <w:widowControl/>
              <w:autoSpaceDE/>
              <w:autoSpaceDN/>
              <w:adjustRightInd/>
              <w:jc w:val="center"/>
              <w:rPr>
                <w:b/>
                <w:bCs/>
                <w:color w:val="000000"/>
                <w:szCs w:val="20"/>
              </w:rPr>
            </w:pPr>
            <w:r w:rsidRPr="00EE7154">
              <w:rPr>
                <w:b/>
                <w:bCs/>
                <w:color w:val="000000"/>
                <w:szCs w:val="20"/>
              </w:rPr>
              <w:t>(c)</w:t>
            </w:r>
          </w:p>
        </w:tc>
        <w:tc>
          <w:tcPr>
            <w:tcW w:w="1497" w:type="dxa"/>
            <w:tcBorders>
              <w:top w:val="nil"/>
              <w:left w:val="nil"/>
              <w:bottom w:val="single" w:sz="4" w:space="0" w:color="auto"/>
              <w:right w:val="single" w:sz="8" w:space="0" w:color="auto"/>
            </w:tcBorders>
            <w:shd w:val="clear" w:color="000000" w:fill="D9D9D9"/>
            <w:vAlign w:val="center"/>
            <w:hideMark/>
          </w:tcPr>
          <w:p w:rsidR="001C652C" w:rsidRPr="00EE7154" w:rsidP="001C652C" w14:paraId="5F17ED86" w14:textId="77777777">
            <w:pPr>
              <w:widowControl/>
              <w:autoSpaceDE/>
              <w:autoSpaceDN/>
              <w:adjustRightInd/>
              <w:jc w:val="center"/>
              <w:rPr>
                <w:b/>
                <w:bCs/>
                <w:color w:val="000000"/>
                <w:szCs w:val="20"/>
              </w:rPr>
            </w:pPr>
            <w:r w:rsidRPr="00EE7154">
              <w:rPr>
                <w:b/>
                <w:bCs/>
                <w:color w:val="000000"/>
                <w:szCs w:val="20"/>
              </w:rPr>
              <w:t xml:space="preserve">(d = c </w:t>
            </w:r>
            <w:r w:rsidRPr="00EE7154">
              <w:rPr>
                <w:rFonts w:ascii="Calibri" w:hAnsi="Calibri" w:cs="Calibri"/>
                <w:b/>
                <w:bCs/>
                <w:color w:val="000000"/>
                <w:szCs w:val="20"/>
              </w:rPr>
              <w:t>×</w:t>
            </w:r>
            <w:r w:rsidRPr="00EE7154">
              <w:rPr>
                <w:b/>
                <w:bCs/>
                <w:color w:val="000000"/>
                <w:szCs w:val="20"/>
              </w:rPr>
              <w:t xml:space="preserve"> .5)</w:t>
            </w:r>
          </w:p>
        </w:tc>
        <w:tc>
          <w:tcPr>
            <w:tcW w:w="1498" w:type="dxa"/>
            <w:tcBorders>
              <w:top w:val="nil"/>
              <w:left w:val="nil"/>
              <w:bottom w:val="single" w:sz="4" w:space="0" w:color="auto"/>
              <w:right w:val="single" w:sz="8" w:space="0" w:color="auto"/>
            </w:tcBorders>
            <w:shd w:val="clear" w:color="000000" w:fill="D9D9D9"/>
            <w:vAlign w:val="center"/>
            <w:hideMark/>
          </w:tcPr>
          <w:p w:rsidR="001C652C" w:rsidRPr="00EE7154" w:rsidP="001C652C" w14:paraId="34002950" w14:textId="5A44E6D9">
            <w:pPr>
              <w:widowControl/>
              <w:autoSpaceDE/>
              <w:autoSpaceDN/>
              <w:adjustRightInd/>
              <w:jc w:val="center"/>
              <w:rPr>
                <w:b/>
                <w:bCs/>
                <w:color w:val="000000"/>
                <w:szCs w:val="20"/>
              </w:rPr>
            </w:pPr>
            <w:r>
              <w:rPr>
                <w:b/>
                <w:bCs/>
                <w:color w:val="000000"/>
                <w:szCs w:val="20"/>
              </w:rPr>
              <w:t xml:space="preserve">(e = </w:t>
            </w:r>
            <w:r w:rsidR="002071DF">
              <w:rPr>
                <w:b/>
                <w:bCs/>
                <w:color w:val="000000"/>
                <w:szCs w:val="20"/>
              </w:rPr>
              <w:t>(</w:t>
            </w:r>
            <w:r>
              <w:rPr>
                <w:b/>
                <w:bCs/>
                <w:color w:val="000000"/>
                <w:szCs w:val="20"/>
              </w:rPr>
              <w:t>a × 0.333</w:t>
            </w:r>
            <w:r w:rsidR="002071DF">
              <w:rPr>
                <w:b/>
                <w:bCs/>
                <w:color w:val="000000"/>
                <w:szCs w:val="20"/>
              </w:rPr>
              <w:t>)</w:t>
            </w:r>
            <w:r>
              <w:rPr>
                <w:b/>
                <w:bCs/>
                <w:color w:val="000000"/>
                <w:szCs w:val="20"/>
              </w:rPr>
              <w:t xml:space="preserve"> + </w:t>
            </w:r>
            <w:r w:rsidR="002071DF">
              <w:rPr>
                <w:b/>
                <w:bCs/>
                <w:color w:val="000000"/>
                <w:szCs w:val="20"/>
              </w:rPr>
              <w:t>(</w:t>
            </w:r>
            <w:r>
              <w:rPr>
                <w:b/>
                <w:bCs/>
                <w:color w:val="000000"/>
                <w:szCs w:val="20"/>
              </w:rPr>
              <w:t>c × 0.125</w:t>
            </w:r>
            <w:r w:rsidR="002071DF">
              <w:rPr>
                <w:b/>
                <w:bCs/>
                <w:color w:val="000000"/>
                <w:szCs w:val="20"/>
              </w:rPr>
              <w:t>)</w:t>
            </w:r>
            <w:r>
              <w:rPr>
                <w:b/>
                <w:bCs/>
                <w:color w:val="000000"/>
                <w:szCs w:val="20"/>
              </w:rPr>
              <w:t xml:space="preserve">) </w:t>
            </w:r>
          </w:p>
        </w:tc>
      </w:tr>
      <w:tr w14:paraId="3A96D7BA" w14:textId="77777777" w:rsidTr="00447043">
        <w:tblPrEx>
          <w:tblW w:w="4815" w:type="pct"/>
          <w:tblInd w:w="350" w:type="dxa"/>
          <w:tblLayout w:type="fixed"/>
          <w:tblLook w:val="04A0"/>
        </w:tblPrEx>
        <w:trPr>
          <w:trHeight w:val="417"/>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CEE" w:rsidRPr="00EE7154" w:rsidP="00510CEE" w14:paraId="2AAF31FE" w14:textId="77777777">
            <w:pPr>
              <w:widowControl/>
              <w:autoSpaceDE/>
              <w:autoSpaceDN/>
              <w:adjustRightInd/>
              <w:rPr>
                <w:color w:val="000000"/>
                <w:szCs w:val="20"/>
              </w:rPr>
            </w:pPr>
            <w:r w:rsidRPr="00EE7154">
              <w:rPr>
                <w:color w:val="000000"/>
                <w:szCs w:val="20"/>
              </w:rPr>
              <w:t>Interstate Carriers</w:t>
            </w:r>
          </w:p>
        </w:tc>
        <w:tc>
          <w:tcPr>
            <w:tcW w:w="1332"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1E1D94A6" w14:textId="65F98600">
            <w:pPr>
              <w:widowControl/>
              <w:autoSpaceDE/>
              <w:autoSpaceDN/>
              <w:adjustRightInd/>
              <w:jc w:val="center"/>
              <w:rPr>
                <w:color w:val="000000"/>
                <w:szCs w:val="20"/>
              </w:rPr>
            </w:pPr>
            <w:r>
              <w:rPr>
                <w:color w:val="000000"/>
                <w:szCs w:val="20"/>
              </w:rPr>
              <w:t>124,513</w:t>
            </w:r>
          </w:p>
        </w:tc>
        <w:tc>
          <w:tcPr>
            <w:tcW w:w="1458"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6FDC60B2" w14:textId="135C4F0D">
            <w:pPr>
              <w:widowControl/>
              <w:autoSpaceDE/>
              <w:autoSpaceDN/>
              <w:adjustRightInd/>
              <w:jc w:val="center"/>
              <w:rPr>
                <w:color w:val="000000"/>
                <w:szCs w:val="20"/>
              </w:rPr>
            </w:pPr>
            <w:r>
              <w:rPr>
                <w:color w:val="000000"/>
                <w:szCs w:val="20"/>
              </w:rPr>
              <w:t>124,513</w:t>
            </w:r>
          </w:p>
        </w:tc>
        <w:tc>
          <w:tcPr>
            <w:tcW w:w="1500"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747675EF" w14:textId="56D5D32D">
            <w:pPr>
              <w:widowControl/>
              <w:autoSpaceDE/>
              <w:autoSpaceDN/>
              <w:adjustRightInd/>
              <w:jc w:val="center"/>
              <w:rPr>
                <w:color w:val="000000"/>
                <w:szCs w:val="20"/>
              </w:rPr>
            </w:pPr>
            <w:r>
              <w:rPr>
                <w:color w:val="000000"/>
                <w:szCs w:val="20"/>
              </w:rPr>
              <w:t>465,728</w:t>
            </w:r>
          </w:p>
        </w:tc>
        <w:tc>
          <w:tcPr>
            <w:tcW w:w="1497"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7F9759F7" w14:textId="333F3E22">
            <w:pPr>
              <w:widowControl/>
              <w:autoSpaceDE/>
              <w:autoSpaceDN/>
              <w:adjustRightInd/>
              <w:jc w:val="center"/>
              <w:rPr>
                <w:color w:val="000000"/>
                <w:szCs w:val="20"/>
              </w:rPr>
            </w:pPr>
            <w:r>
              <w:rPr>
                <w:color w:val="000000"/>
                <w:szCs w:val="20"/>
              </w:rPr>
              <w:t>232,864</w:t>
            </w:r>
          </w:p>
        </w:tc>
        <w:tc>
          <w:tcPr>
            <w:tcW w:w="1498" w:type="dxa"/>
            <w:tcBorders>
              <w:top w:val="nil"/>
              <w:left w:val="nil"/>
              <w:bottom w:val="single" w:sz="8" w:space="0" w:color="auto"/>
              <w:right w:val="single" w:sz="8" w:space="0" w:color="auto"/>
            </w:tcBorders>
            <w:shd w:val="clear" w:color="auto" w:fill="auto"/>
            <w:vAlign w:val="center"/>
            <w:hideMark/>
          </w:tcPr>
          <w:p w:rsidR="00510CEE" w:rsidRPr="00EE7154" w:rsidP="00510CEE" w14:paraId="6C635A94" w14:textId="310A1950">
            <w:pPr>
              <w:widowControl/>
              <w:autoSpaceDE/>
              <w:autoSpaceDN/>
              <w:adjustRightInd/>
              <w:jc w:val="center"/>
              <w:rPr>
                <w:color w:val="000000"/>
                <w:szCs w:val="20"/>
              </w:rPr>
            </w:pPr>
            <w:r>
              <w:rPr>
                <w:color w:val="000000"/>
                <w:szCs w:val="20"/>
              </w:rPr>
              <w:t>99,679</w:t>
            </w:r>
          </w:p>
        </w:tc>
      </w:tr>
      <w:tr w14:paraId="25C6875D" w14:textId="77777777" w:rsidTr="00447043">
        <w:tblPrEx>
          <w:tblW w:w="4815" w:type="pct"/>
          <w:tblInd w:w="350" w:type="dxa"/>
          <w:tblLayout w:type="fixed"/>
          <w:tblLook w:val="04A0"/>
        </w:tblPrEx>
        <w:trPr>
          <w:trHeight w:val="417"/>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CEE" w:rsidRPr="00EE7154" w:rsidP="00510CEE" w14:paraId="47DECD11" w14:textId="77777777">
            <w:pPr>
              <w:widowControl/>
              <w:autoSpaceDE/>
              <w:autoSpaceDN/>
              <w:adjustRightInd/>
              <w:rPr>
                <w:color w:val="000000"/>
                <w:szCs w:val="20"/>
              </w:rPr>
            </w:pPr>
            <w:r w:rsidRPr="00EE7154">
              <w:rPr>
                <w:color w:val="000000"/>
                <w:szCs w:val="20"/>
              </w:rPr>
              <w:t>Intrastate Hazmat Carriers</w:t>
            </w:r>
          </w:p>
        </w:tc>
        <w:tc>
          <w:tcPr>
            <w:tcW w:w="1332"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496DDE7D" w14:textId="7229823E">
            <w:pPr>
              <w:widowControl/>
              <w:autoSpaceDE/>
              <w:autoSpaceDN/>
              <w:adjustRightInd/>
              <w:jc w:val="center"/>
              <w:rPr>
                <w:color w:val="000000"/>
                <w:szCs w:val="20"/>
              </w:rPr>
            </w:pPr>
            <w:r>
              <w:rPr>
                <w:color w:val="000000"/>
                <w:szCs w:val="20"/>
              </w:rPr>
              <w:t>2,677</w:t>
            </w:r>
          </w:p>
        </w:tc>
        <w:tc>
          <w:tcPr>
            <w:tcW w:w="1458"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16FD4F08" w14:textId="1459047A">
            <w:pPr>
              <w:widowControl/>
              <w:autoSpaceDE/>
              <w:autoSpaceDN/>
              <w:adjustRightInd/>
              <w:jc w:val="center"/>
              <w:rPr>
                <w:color w:val="000000"/>
                <w:szCs w:val="20"/>
              </w:rPr>
            </w:pPr>
            <w:r>
              <w:rPr>
                <w:color w:val="000000"/>
                <w:szCs w:val="20"/>
              </w:rPr>
              <w:t>2,677</w:t>
            </w:r>
          </w:p>
        </w:tc>
        <w:tc>
          <w:tcPr>
            <w:tcW w:w="1500"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0ECDB5C8" w14:textId="0EAF2206">
            <w:pPr>
              <w:widowControl/>
              <w:autoSpaceDE/>
              <w:autoSpaceDN/>
              <w:adjustRightInd/>
              <w:jc w:val="center"/>
              <w:rPr>
                <w:color w:val="000000"/>
                <w:szCs w:val="20"/>
              </w:rPr>
            </w:pPr>
            <w:r>
              <w:rPr>
                <w:color w:val="000000"/>
                <w:szCs w:val="20"/>
              </w:rPr>
              <w:t>9,278</w:t>
            </w:r>
          </w:p>
        </w:tc>
        <w:tc>
          <w:tcPr>
            <w:tcW w:w="1497"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04C38543" w14:textId="48718FAC">
            <w:pPr>
              <w:widowControl/>
              <w:autoSpaceDE/>
              <w:autoSpaceDN/>
              <w:adjustRightInd/>
              <w:jc w:val="center"/>
              <w:rPr>
                <w:color w:val="000000"/>
                <w:szCs w:val="20"/>
              </w:rPr>
            </w:pPr>
            <w:r>
              <w:rPr>
                <w:color w:val="000000"/>
                <w:szCs w:val="20"/>
              </w:rPr>
              <w:t>4,639</w:t>
            </w:r>
          </w:p>
        </w:tc>
        <w:tc>
          <w:tcPr>
            <w:tcW w:w="1498" w:type="dxa"/>
            <w:tcBorders>
              <w:top w:val="nil"/>
              <w:left w:val="nil"/>
              <w:bottom w:val="single" w:sz="8" w:space="0" w:color="auto"/>
              <w:right w:val="single" w:sz="8" w:space="0" w:color="auto"/>
            </w:tcBorders>
            <w:shd w:val="clear" w:color="auto" w:fill="auto"/>
            <w:vAlign w:val="center"/>
            <w:hideMark/>
          </w:tcPr>
          <w:p w:rsidR="00510CEE" w:rsidRPr="00EE7154" w:rsidP="00510CEE" w14:paraId="5BDC1961" w14:textId="7F96CF07">
            <w:pPr>
              <w:widowControl/>
              <w:autoSpaceDE/>
              <w:autoSpaceDN/>
              <w:adjustRightInd/>
              <w:jc w:val="center"/>
              <w:rPr>
                <w:color w:val="000000"/>
                <w:szCs w:val="20"/>
              </w:rPr>
            </w:pPr>
            <w:r>
              <w:rPr>
                <w:color w:val="000000"/>
                <w:szCs w:val="20"/>
              </w:rPr>
              <w:t>2,051</w:t>
            </w:r>
          </w:p>
        </w:tc>
      </w:tr>
      <w:tr w14:paraId="40C3FF6F" w14:textId="77777777" w:rsidTr="00447043">
        <w:tblPrEx>
          <w:tblW w:w="4815" w:type="pct"/>
          <w:tblInd w:w="350" w:type="dxa"/>
          <w:tblLayout w:type="fixed"/>
          <w:tblLook w:val="04A0"/>
        </w:tblPrEx>
        <w:trPr>
          <w:trHeight w:val="417"/>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CEE" w:rsidRPr="00EE7154" w:rsidP="00510CEE" w14:paraId="4C43CE8E" w14:textId="77777777">
            <w:pPr>
              <w:widowControl/>
              <w:autoSpaceDE/>
              <w:autoSpaceDN/>
              <w:adjustRightInd/>
              <w:rPr>
                <w:color w:val="000000"/>
                <w:szCs w:val="20"/>
              </w:rPr>
            </w:pPr>
            <w:r w:rsidRPr="00EE7154">
              <w:rPr>
                <w:color w:val="000000"/>
                <w:szCs w:val="20"/>
              </w:rPr>
              <w:t>Intrastate Non-Hazmat Carriers</w:t>
            </w:r>
            <w:r w:rsidRPr="00EE7154">
              <w:rPr>
                <w:color w:val="000000"/>
                <w:sz w:val="16"/>
                <w:szCs w:val="16"/>
              </w:rPr>
              <w:t> </w:t>
            </w:r>
          </w:p>
        </w:tc>
        <w:tc>
          <w:tcPr>
            <w:tcW w:w="1332"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6057FA45" w14:textId="6DCF2F99">
            <w:pPr>
              <w:widowControl/>
              <w:autoSpaceDE/>
              <w:autoSpaceDN/>
              <w:adjustRightInd/>
              <w:jc w:val="center"/>
              <w:rPr>
                <w:color w:val="000000"/>
                <w:szCs w:val="20"/>
              </w:rPr>
            </w:pPr>
            <w:r>
              <w:rPr>
                <w:color w:val="000000"/>
                <w:szCs w:val="20"/>
              </w:rPr>
              <w:t>71,505</w:t>
            </w:r>
          </w:p>
        </w:tc>
        <w:tc>
          <w:tcPr>
            <w:tcW w:w="1458"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2A291D5B" w14:textId="7C88EA97">
            <w:pPr>
              <w:widowControl/>
              <w:autoSpaceDE/>
              <w:autoSpaceDN/>
              <w:adjustRightInd/>
              <w:jc w:val="center"/>
              <w:rPr>
                <w:color w:val="000000"/>
                <w:szCs w:val="20"/>
              </w:rPr>
            </w:pPr>
            <w:r>
              <w:rPr>
                <w:color w:val="000000"/>
                <w:szCs w:val="20"/>
              </w:rPr>
              <w:t>71,505</w:t>
            </w:r>
          </w:p>
        </w:tc>
        <w:tc>
          <w:tcPr>
            <w:tcW w:w="1500"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0658024E" w14:textId="4DCC0B2F">
            <w:pPr>
              <w:widowControl/>
              <w:autoSpaceDE/>
              <w:autoSpaceDN/>
              <w:adjustRightInd/>
              <w:jc w:val="center"/>
              <w:rPr>
                <w:color w:val="000000"/>
                <w:szCs w:val="20"/>
              </w:rPr>
            </w:pPr>
            <w:r>
              <w:rPr>
                <w:color w:val="000000"/>
                <w:szCs w:val="20"/>
              </w:rPr>
              <w:t>247,447</w:t>
            </w:r>
          </w:p>
        </w:tc>
        <w:tc>
          <w:tcPr>
            <w:tcW w:w="1497"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795D206E" w14:textId="70BB528B">
            <w:pPr>
              <w:widowControl/>
              <w:autoSpaceDE/>
              <w:autoSpaceDN/>
              <w:adjustRightInd/>
              <w:jc w:val="center"/>
              <w:rPr>
                <w:color w:val="000000"/>
                <w:szCs w:val="20"/>
              </w:rPr>
            </w:pPr>
            <w:r>
              <w:rPr>
                <w:color w:val="000000"/>
                <w:szCs w:val="20"/>
              </w:rPr>
              <w:t>123,724</w:t>
            </w:r>
          </w:p>
        </w:tc>
        <w:tc>
          <w:tcPr>
            <w:tcW w:w="1498" w:type="dxa"/>
            <w:tcBorders>
              <w:top w:val="nil"/>
              <w:left w:val="nil"/>
              <w:bottom w:val="single" w:sz="8" w:space="0" w:color="auto"/>
              <w:right w:val="single" w:sz="8" w:space="0" w:color="auto"/>
            </w:tcBorders>
            <w:shd w:val="clear" w:color="auto" w:fill="auto"/>
            <w:vAlign w:val="center"/>
            <w:hideMark/>
          </w:tcPr>
          <w:p w:rsidR="00510CEE" w:rsidRPr="00EE7154" w:rsidP="00510CEE" w14:paraId="04B221B6" w14:textId="63DC3D9E">
            <w:pPr>
              <w:widowControl/>
              <w:autoSpaceDE/>
              <w:autoSpaceDN/>
              <w:adjustRightInd/>
              <w:jc w:val="center"/>
              <w:rPr>
                <w:color w:val="000000"/>
                <w:szCs w:val="20"/>
              </w:rPr>
            </w:pPr>
            <w:r>
              <w:rPr>
                <w:color w:val="000000"/>
                <w:szCs w:val="20"/>
              </w:rPr>
              <w:t>54,742</w:t>
            </w:r>
          </w:p>
        </w:tc>
      </w:tr>
      <w:tr w14:paraId="605604CD" w14:textId="77777777" w:rsidTr="00447043">
        <w:tblPrEx>
          <w:tblW w:w="4815" w:type="pct"/>
          <w:tblInd w:w="350" w:type="dxa"/>
          <w:tblLayout w:type="fixed"/>
          <w:tblLook w:val="04A0"/>
        </w:tblPrEx>
        <w:trPr>
          <w:trHeight w:val="417"/>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CEE" w:rsidRPr="00EE7154" w:rsidP="00510CEE" w14:paraId="3A2B27A1" w14:textId="77777777">
            <w:pPr>
              <w:widowControl/>
              <w:autoSpaceDE/>
              <w:autoSpaceDN/>
              <w:adjustRightInd/>
              <w:rPr>
                <w:color w:val="000000"/>
                <w:szCs w:val="20"/>
              </w:rPr>
            </w:pPr>
            <w:r w:rsidRPr="00EE7154">
              <w:rPr>
                <w:color w:val="000000"/>
                <w:szCs w:val="20"/>
              </w:rPr>
              <w:t>Other (Shipper)</w:t>
            </w:r>
          </w:p>
        </w:tc>
        <w:tc>
          <w:tcPr>
            <w:tcW w:w="1332"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249C3151" w14:textId="11B236B4">
            <w:pPr>
              <w:widowControl/>
              <w:autoSpaceDE/>
              <w:autoSpaceDN/>
              <w:adjustRightInd/>
              <w:jc w:val="center"/>
              <w:rPr>
                <w:color w:val="000000"/>
                <w:szCs w:val="20"/>
              </w:rPr>
            </w:pPr>
            <w:r>
              <w:rPr>
                <w:color w:val="000000"/>
                <w:szCs w:val="20"/>
              </w:rPr>
              <w:t>1,300</w:t>
            </w:r>
          </w:p>
        </w:tc>
        <w:tc>
          <w:tcPr>
            <w:tcW w:w="1458"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171CC480" w14:textId="567D622E">
            <w:pPr>
              <w:widowControl/>
              <w:autoSpaceDE/>
              <w:autoSpaceDN/>
              <w:adjustRightInd/>
              <w:jc w:val="center"/>
              <w:rPr>
                <w:color w:val="000000"/>
                <w:szCs w:val="20"/>
              </w:rPr>
            </w:pPr>
            <w:r>
              <w:rPr>
                <w:color w:val="000000"/>
                <w:szCs w:val="20"/>
              </w:rPr>
              <w:t>1,300</w:t>
            </w:r>
          </w:p>
        </w:tc>
        <w:tc>
          <w:tcPr>
            <w:tcW w:w="1500"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45AB0E55" w14:textId="0C06E798">
            <w:pPr>
              <w:widowControl/>
              <w:autoSpaceDE/>
              <w:autoSpaceDN/>
              <w:adjustRightInd/>
              <w:jc w:val="center"/>
              <w:rPr>
                <w:color w:val="000000"/>
                <w:szCs w:val="20"/>
              </w:rPr>
            </w:pPr>
            <w:r>
              <w:rPr>
                <w:color w:val="000000"/>
                <w:szCs w:val="20"/>
              </w:rPr>
              <w:t>12,260</w:t>
            </w:r>
          </w:p>
        </w:tc>
        <w:tc>
          <w:tcPr>
            <w:tcW w:w="1497"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4E51B6AF" w14:textId="5B593B1C">
            <w:pPr>
              <w:widowControl/>
              <w:autoSpaceDE/>
              <w:autoSpaceDN/>
              <w:adjustRightInd/>
              <w:jc w:val="center"/>
              <w:rPr>
                <w:color w:val="000000"/>
                <w:szCs w:val="20"/>
              </w:rPr>
            </w:pPr>
            <w:r>
              <w:rPr>
                <w:color w:val="000000"/>
                <w:szCs w:val="20"/>
              </w:rPr>
              <w:t>6,130</w:t>
            </w:r>
          </w:p>
        </w:tc>
        <w:tc>
          <w:tcPr>
            <w:tcW w:w="1498" w:type="dxa"/>
            <w:tcBorders>
              <w:top w:val="nil"/>
              <w:left w:val="nil"/>
              <w:bottom w:val="single" w:sz="8" w:space="0" w:color="auto"/>
              <w:right w:val="single" w:sz="8" w:space="0" w:color="auto"/>
            </w:tcBorders>
            <w:shd w:val="clear" w:color="auto" w:fill="auto"/>
            <w:vAlign w:val="center"/>
            <w:hideMark/>
          </w:tcPr>
          <w:p w:rsidR="00510CEE" w:rsidRPr="00EE7154" w:rsidP="00510CEE" w14:paraId="2FDA2F51" w14:textId="018AE153">
            <w:pPr>
              <w:widowControl/>
              <w:autoSpaceDE/>
              <w:autoSpaceDN/>
              <w:adjustRightInd/>
              <w:jc w:val="center"/>
              <w:rPr>
                <w:color w:val="000000"/>
                <w:szCs w:val="20"/>
              </w:rPr>
            </w:pPr>
            <w:r>
              <w:rPr>
                <w:color w:val="000000"/>
                <w:szCs w:val="20"/>
              </w:rPr>
              <w:t>1,965</w:t>
            </w:r>
          </w:p>
        </w:tc>
      </w:tr>
      <w:tr w14:paraId="79A9059E" w14:textId="77777777" w:rsidTr="00447043">
        <w:tblPrEx>
          <w:tblW w:w="4815" w:type="pct"/>
          <w:tblInd w:w="350" w:type="dxa"/>
          <w:tblLayout w:type="fixed"/>
          <w:tblLook w:val="04A0"/>
        </w:tblPrEx>
        <w:trPr>
          <w:trHeight w:val="417"/>
        </w:trPr>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CEE" w:rsidRPr="00EE7154" w:rsidP="00510CEE" w14:paraId="5F030629" w14:textId="77777777">
            <w:pPr>
              <w:widowControl/>
              <w:autoSpaceDE/>
              <w:autoSpaceDN/>
              <w:adjustRightInd/>
              <w:rPr>
                <w:b/>
                <w:bCs/>
                <w:color w:val="000000"/>
                <w:szCs w:val="20"/>
              </w:rPr>
            </w:pPr>
            <w:r w:rsidRPr="00EE7154">
              <w:rPr>
                <w:b/>
                <w:bCs/>
                <w:color w:val="000000"/>
                <w:szCs w:val="20"/>
              </w:rPr>
              <w:t>Total</w:t>
            </w:r>
          </w:p>
        </w:tc>
        <w:tc>
          <w:tcPr>
            <w:tcW w:w="1332"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12103CFF" w14:textId="01F81604">
            <w:pPr>
              <w:widowControl/>
              <w:autoSpaceDE/>
              <w:autoSpaceDN/>
              <w:adjustRightInd/>
              <w:jc w:val="center"/>
              <w:rPr>
                <w:b/>
                <w:bCs/>
                <w:color w:val="000000"/>
                <w:szCs w:val="20"/>
              </w:rPr>
            </w:pPr>
            <w:r>
              <w:rPr>
                <w:b/>
                <w:bCs/>
                <w:color w:val="000000"/>
                <w:szCs w:val="20"/>
              </w:rPr>
              <w:t>199,995</w:t>
            </w:r>
          </w:p>
        </w:tc>
        <w:tc>
          <w:tcPr>
            <w:tcW w:w="1458"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1400BDE8" w14:textId="32CBE321">
            <w:pPr>
              <w:widowControl/>
              <w:autoSpaceDE/>
              <w:autoSpaceDN/>
              <w:adjustRightInd/>
              <w:jc w:val="center"/>
              <w:rPr>
                <w:b/>
                <w:bCs/>
                <w:color w:val="000000"/>
                <w:szCs w:val="20"/>
              </w:rPr>
            </w:pPr>
            <w:r>
              <w:rPr>
                <w:b/>
                <w:bCs/>
                <w:color w:val="000000"/>
                <w:szCs w:val="20"/>
              </w:rPr>
              <w:t>199,995</w:t>
            </w:r>
          </w:p>
        </w:tc>
        <w:tc>
          <w:tcPr>
            <w:tcW w:w="1500"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7B823AC1" w14:textId="6B4C90D7">
            <w:pPr>
              <w:widowControl/>
              <w:autoSpaceDE/>
              <w:autoSpaceDN/>
              <w:adjustRightInd/>
              <w:jc w:val="center"/>
              <w:rPr>
                <w:b/>
                <w:bCs/>
                <w:color w:val="000000"/>
                <w:szCs w:val="20"/>
              </w:rPr>
            </w:pPr>
            <w:r>
              <w:rPr>
                <w:b/>
                <w:bCs/>
                <w:color w:val="000000"/>
                <w:szCs w:val="20"/>
              </w:rPr>
              <w:t>734,713</w:t>
            </w:r>
          </w:p>
        </w:tc>
        <w:tc>
          <w:tcPr>
            <w:tcW w:w="1497" w:type="dxa"/>
            <w:tcBorders>
              <w:top w:val="nil"/>
              <w:left w:val="nil"/>
              <w:bottom w:val="single" w:sz="8" w:space="0" w:color="auto"/>
              <w:right w:val="single" w:sz="8" w:space="0" w:color="auto"/>
            </w:tcBorders>
            <w:shd w:val="clear" w:color="auto" w:fill="auto"/>
            <w:noWrap/>
            <w:vAlign w:val="center"/>
            <w:hideMark/>
          </w:tcPr>
          <w:p w:rsidR="00510CEE" w:rsidRPr="00EE7154" w:rsidP="00510CEE" w14:paraId="4E14F746" w14:textId="7909E63F">
            <w:pPr>
              <w:widowControl/>
              <w:autoSpaceDE/>
              <w:autoSpaceDN/>
              <w:adjustRightInd/>
              <w:jc w:val="center"/>
              <w:rPr>
                <w:b/>
                <w:bCs/>
                <w:color w:val="000000"/>
                <w:szCs w:val="20"/>
              </w:rPr>
            </w:pPr>
            <w:r>
              <w:rPr>
                <w:b/>
                <w:bCs/>
                <w:color w:val="000000"/>
                <w:szCs w:val="20"/>
              </w:rPr>
              <w:t>367,356</w:t>
            </w:r>
          </w:p>
        </w:tc>
        <w:tc>
          <w:tcPr>
            <w:tcW w:w="1498" w:type="dxa"/>
            <w:tcBorders>
              <w:top w:val="nil"/>
              <w:left w:val="nil"/>
              <w:bottom w:val="single" w:sz="8" w:space="0" w:color="auto"/>
              <w:right w:val="single" w:sz="8" w:space="0" w:color="auto"/>
            </w:tcBorders>
            <w:shd w:val="clear" w:color="auto" w:fill="auto"/>
            <w:vAlign w:val="center"/>
            <w:hideMark/>
          </w:tcPr>
          <w:p w:rsidR="00510CEE" w:rsidRPr="00EE7154" w:rsidP="00510CEE" w14:paraId="155F0755" w14:textId="097D2E26">
            <w:pPr>
              <w:widowControl/>
              <w:autoSpaceDE/>
              <w:autoSpaceDN/>
              <w:adjustRightInd/>
              <w:jc w:val="center"/>
              <w:rPr>
                <w:b/>
                <w:bCs/>
                <w:color w:val="000000"/>
                <w:szCs w:val="20"/>
              </w:rPr>
            </w:pPr>
            <w:r>
              <w:rPr>
                <w:b/>
                <w:bCs/>
                <w:color w:val="000000"/>
                <w:szCs w:val="20"/>
              </w:rPr>
              <w:t>158,437</w:t>
            </w:r>
          </w:p>
        </w:tc>
      </w:tr>
      <w:tr w14:paraId="6BDF020E" w14:textId="77777777" w:rsidTr="00447043">
        <w:tblPrEx>
          <w:tblW w:w="4815" w:type="pct"/>
          <w:tblInd w:w="350" w:type="dxa"/>
          <w:tblLayout w:type="fixed"/>
          <w:tblLook w:val="04A0"/>
        </w:tblPrEx>
        <w:trPr>
          <w:trHeight w:val="288"/>
        </w:trPr>
        <w:tc>
          <w:tcPr>
            <w:tcW w:w="89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10CEE" w:rsidP="00510CEE" w14:paraId="33A213D1" w14:textId="43F87D10">
            <w:pPr>
              <w:widowControl/>
              <w:autoSpaceDE/>
              <w:autoSpaceDN/>
              <w:adjustRightInd/>
              <w:rPr>
                <w:b/>
                <w:bCs/>
                <w:color w:val="000000"/>
                <w:szCs w:val="20"/>
              </w:rPr>
            </w:pPr>
            <w:r>
              <w:rPr>
                <w:color w:val="000000"/>
                <w:szCs w:val="20"/>
              </w:rPr>
              <w:t>*</w:t>
            </w:r>
            <w:r w:rsidRPr="009C5162">
              <w:rPr>
                <w:color w:val="000000"/>
                <w:szCs w:val="20"/>
              </w:rPr>
              <w:t>Estimates may be off due to rounding</w:t>
            </w:r>
            <w:r>
              <w:rPr>
                <w:color w:val="000000"/>
                <w:szCs w:val="20"/>
              </w:rPr>
              <w:t>.</w:t>
            </w:r>
          </w:p>
        </w:tc>
      </w:tr>
    </w:tbl>
    <w:p w:rsidR="00E4568E" w:rsidP="00E4568E" w14:paraId="2C7F310E" w14:textId="77777777">
      <w:pPr>
        <w:rPr>
          <w:b/>
          <w:sz w:val="24"/>
        </w:rPr>
      </w:pPr>
    </w:p>
    <w:p w:rsidR="00864914" w:rsidP="00447043" w14:paraId="709C84DA" w14:textId="2689B7FC">
      <w:pPr>
        <w:ind w:left="360"/>
        <w:rPr>
          <w:sz w:val="24"/>
        </w:rPr>
      </w:pPr>
      <w:r w:rsidRPr="00DA5319">
        <w:rPr>
          <w:b/>
          <w:sz w:val="24"/>
        </w:rPr>
        <w:t xml:space="preserve">Estimated </w:t>
      </w:r>
      <w:r w:rsidRPr="00DA5319" w:rsidR="004C5273">
        <w:rPr>
          <w:b/>
          <w:sz w:val="24"/>
        </w:rPr>
        <w:t xml:space="preserve">Average </w:t>
      </w:r>
      <w:r w:rsidRPr="00DA5319" w:rsidR="00462FE1">
        <w:rPr>
          <w:b/>
          <w:sz w:val="24"/>
        </w:rPr>
        <w:t xml:space="preserve">Annual </w:t>
      </w:r>
      <w:r w:rsidRPr="00DA5319">
        <w:rPr>
          <w:b/>
          <w:sz w:val="24"/>
        </w:rPr>
        <w:t xml:space="preserve">Total </w:t>
      </w:r>
      <w:r w:rsidRPr="00DA5319" w:rsidR="00F3301E">
        <w:rPr>
          <w:b/>
          <w:sz w:val="24"/>
        </w:rPr>
        <w:t>IC</w:t>
      </w:r>
      <w:r w:rsidRPr="00DA5319" w:rsidR="008E29E0">
        <w:rPr>
          <w:b/>
          <w:sz w:val="24"/>
        </w:rPr>
        <w:t>-</w:t>
      </w:r>
      <w:r w:rsidRPr="00DA5319" w:rsidR="00F3301E">
        <w:rPr>
          <w:b/>
          <w:sz w:val="24"/>
        </w:rPr>
        <w:t xml:space="preserve">1 </w:t>
      </w:r>
      <w:r w:rsidRPr="00DA5319">
        <w:rPr>
          <w:b/>
          <w:sz w:val="24"/>
        </w:rPr>
        <w:t>Annual Burden:</w:t>
      </w:r>
      <w:r w:rsidRPr="00DA5319">
        <w:rPr>
          <w:sz w:val="24"/>
        </w:rPr>
        <w:t xml:space="preserve"> </w:t>
      </w:r>
      <w:r w:rsidR="00B56F18">
        <w:rPr>
          <w:sz w:val="24"/>
        </w:rPr>
        <w:t xml:space="preserve">158,437 </w:t>
      </w:r>
      <w:r w:rsidRPr="00DA5319" w:rsidR="00B31988">
        <w:rPr>
          <w:sz w:val="24"/>
        </w:rPr>
        <w:t>hours</w:t>
      </w:r>
      <w:r w:rsidR="0046086D">
        <w:rPr>
          <w:sz w:val="24"/>
        </w:rPr>
        <w:t>.</w:t>
      </w:r>
    </w:p>
    <w:p w:rsidR="00E4568E" w:rsidRPr="00DA5319" w:rsidP="00447043" w14:paraId="74595E8B" w14:textId="77777777">
      <w:pPr>
        <w:ind w:left="360"/>
        <w:rPr>
          <w:sz w:val="24"/>
        </w:rPr>
      </w:pPr>
    </w:p>
    <w:p w:rsidR="001E29D5" w:rsidP="00447043" w14:paraId="3161FFDD" w14:textId="3C3A17AA">
      <w:pPr>
        <w:widowControl/>
        <w:autoSpaceDE/>
        <w:autoSpaceDN/>
        <w:adjustRightInd/>
        <w:ind w:left="360"/>
        <w:rPr>
          <w:sz w:val="24"/>
        </w:rPr>
      </w:pPr>
      <w:r w:rsidRPr="00DA5319">
        <w:rPr>
          <w:b/>
          <w:sz w:val="24"/>
        </w:rPr>
        <w:t>Estimated</w:t>
      </w:r>
      <w:r w:rsidRPr="00DA5319" w:rsidR="004C5273">
        <w:rPr>
          <w:b/>
          <w:sz w:val="24"/>
        </w:rPr>
        <w:t xml:space="preserve"> Average</w:t>
      </w:r>
      <w:r w:rsidRPr="00DA5319">
        <w:rPr>
          <w:b/>
          <w:sz w:val="24"/>
        </w:rPr>
        <w:t xml:space="preserve"> </w:t>
      </w:r>
      <w:r w:rsidRPr="00DA5319" w:rsidR="00F3301E">
        <w:rPr>
          <w:b/>
          <w:sz w:val="24"/>
        </w:rPr>
        <w:t>IC</w:t>
      </w:r>
      <w:r w:rsidRPr="00DA5319" w:rsidR="008E29E0">
        <w:rPr>
          <w:b/>
          <w:sz w:val="24"/>
        </w:rPr>
        <w:t>-</w:t>
      </w:r>
      <w:r w:rsidRPr="00DA5319" w:rsidR="00F3301E">
        <w:rPr>
          <w:b/>
          <w:sz w:val="24"/>
        </w:rPr>
        <w:t xml:space="preserve">1 </w:t>
      </w:r>
      <w:r w:rsidRPr="00DA5319">
        <w:rPr>
          <w:b/>
          <w:sz w:val="24"/>
        </w:rPr>
        <w:t>Annual Number of Respondents:</w:t>
      </w:r>
      <w:r w:rsidRPr="00DA5319">
        <w:rPr>
          <w:sz w:val="24"/>
        </w:rPr>
        <w:t xml:space="preserve"> </w:t>
      </w:r>
      <w:r w:rsidR="00FD283B">
        <w:rPr>
          <w:color w:val="000000"/>
          <w:sz w:val="24"/>
        </w:rPr>
        <w:t>567,351</w:t>
      </w:r>
      <w:r w:rsidRPr="009952C8" w:rsidR="00EE2267">
        <w:rPr>
          <w:sz w:val="24"/>
        </w:rPr>
        <w:t xml:space="preserve"> </w:t>
      </w:r>
      <w:r w:rsidRPr="009952C8" w:rsidR="00583E02">
        <w:rPr>
          <w:sz w:val="24"/>
        </w:rPr>
        <w:t xml:space="preserve">respondents </w:t>
      </w:r>
      <w:r w:rsidRPr="009952C8" w:rsidR="00203181">
        <w:rPr>
          <w:sz w:val="24"/>
        </w:rPr>
        <w:t>[</w:t>
      </w:r>
      <w:r w:rsidR="007C0E56">
        <w:rPr>
          <w:sz w:val="24"/>
        </w:rPr>
        <w:t>199,995</w:t>
      </w:r>
      <w:r w:rsidRPr="009952C8" w:rsidR="00263983">
        <w:rPr>
          <w:sz w:val="24"/>
        </w:rPr>
        <w:t xml:space="preserve"> </w:t>
      </w:r>
      <w:r w:rsidR="008E6505">
        <w:rPr>
          <w:sz w:val="24"/>
        </w:rPr>
        <w:t>new filings</w:t>
      </w:r>
      <w:r w:rsidR="002071DF">
        <w:rPr>
          <w:sz w:val="24"/>
        </w:rPr>
        <w:t xml:space="preserve"> </w:t>
      </w:r>
      <w:r w:rsidRPr="009952C8" w:rsidR="00203181">
        <w:rPr>
          <w:sz w:val="24"/>
        </w:rPr>
        <w:t xml:space="preserve">+ </w:t>
      </w:r>
      <w:r w:rsidR="007C0E56">
        <w:rPr>
          <w:sz w:val="24"/>
        </w:rPr>
        <w:t>367,356</w:t>
      </w:r>
      <w:r w:rsidR="008E6505">
        <w:rPr>
          <w:color w:val="000000"/>
          <w:sz w:val="24"/>
        </w:rPr>
        <w:t xml:space="preserve"> biennial updates and/or ad</w:t>
      </w:r>
      <w:r w:rsidR="0063061B">
        <w:rPr>
          <w:color w:val="000000"/>
          <w:sz w:val="24"/>
        </w:rPr>
        <w:t xml:space="preserve"> </w:t>
      </w:r>
      <w:r w:rsidR="008E6505">
        <w:rPr>
          <w:color w:val="000000"/>
          <w:sz w:val="24"/>
        </w:rPr>
        <w:t>hoc changes</w:t>
      </w:r>
      <w:r w:rsidRPr="009952C8" w:rsidR="00710696">
        <w:rPr>
          <w:sz w:val="24"/>
        </w:rPr>
        <w:t xml:space="preserve"> = </w:t>
      </w:r>
      <w:r w:rsidR="007C0E56">
        <w:rPr>
          <w:sz w:val="24"/>
        </w:rPr>
        <w:t>567,351</w:t>
      </w:r>
      <w:r w:rsidRPr="009952C8" w:rsidR="00710696">
        <w:rPr>
          <w:sz w:val="24"/>
        </w:rPr>
        <w:t xml:space="preserve"> respondents</w:t>
      </w:r>
      <w:r w:rsidRPr="009952C8" w:rsidR="00203181">
        <w:rPr>
          <w:sz w:val="24"/>
        </w:rPr>
        <w:t>].</w:t>
      </w:r>
    </w:p>
    <w:p w:rsidR="00E4568E" w:rsidRPr="009952C8" w:rsidP="00447043" w14:paraId="70892D38" w14:textId="77777777">
      <w:pPr>
        <w:widowControl/>
        <w:autoSpaceDE/>
        <w:autoSpaceDN/>
        <w:adjustRightInd/>
        <w:ind w:left="360"/>
        <w:rPr>
          <w:sz w:val="24"/>
        </w:rPr>
      </w:pPr>
    </w:p>
    <w:p w:rsidR="00550440" w:rsidRPr="00550440" w:rsidP="00447043" w14:paraId="0C3EB1E8" w14:textId="4E0495CF">
      <w:pPr>
        <w:widowControl/>
        <w:autoSpaceDE/>
        <w:autoSpaceDN/>
        <w:adjustRightInd/>
        <w:ind w:left="360"/>
        <w:rPr>
          <w:color w:val="000000"/>
          <w:sz w:val="24"/>
        </w:rPr>
      </w:pPr>
      <w:r w:rsidRPr="00045192">
        <w:rPr>
          <w:b/>
          <w:sz w:val="24"/>
        </w:rPr>
        <w:t xml:space="preserve">Estimated </w:t>
      </w:r>
      <w:r w:rsidRPr="00045192" w:rsidR="004C5273">
        <w:rPr>
          <w:b/>
          <w:sz w:val="24"/>
        </w:rPr>
        <w:t xml:space="preserve">Average </w:t>
      </w:r>
      <w:r w:rsidRPr="00045192" w:rsidR="00F3301E">
        <w:rPr>
          <w:b/>
          <w:sz w:val="24"/>
        </w:rPr>
        <w:t>IC</w:t>
      </w:r>
      <w:r w:rsidRPr="00045192" w:rsidR="008E29E0">
        <w:rPr>
          <w:b/>
          <w:sz w:val="24"/>
        </w:rPr>
        <w:t>-</w:t>
      </w:r>
      <w:r w:rsidRPr="00045192" w:rsidR="00F3301E">
        <w:rPr>
          <w:b/>
          <w:sz w:val="24"/>
        </w:rPr>
        <w:t xml:space="preserve">1 </w:t>
      </w:r>
      <w:r w:rsidRPr="00045192">
        <w:rPr>
          <w:b/>
          <w:sz w:val="24"/>
        </w:rPr>
        <w:t>Annual Number of Responses</w:t>
      </w:r>
      <w:r w:rsidRPr="00045192">
        <w:rPr>
          <w:sz w:val="24"/>
        </w:rPr>
        <w:t>:</w:t>
      </w:r>
      <w:r w:rsidRPr="00045192" w:rsidR="00EE2267">
        <w:rPr>
          <w:sz w:val="24"/>
        </w:rPr>
        <w:t xml:space="preserve"> </w:t>
      </w:r>
      <w:r w:rsidR="00C36322">
        <w:rPr>
          <w:color w:val="000000"/>
          <w:sz w:val="24"/>
        </w:rPr>
        <w:t>934,707</w:t>
      </w:r>
      <w:r w:rsidRPr="00550440">
        <w:rPr>
          <w:color w:val="000000"/>
          <w:sz w:val="24"/>
        </w:rPr>
        <w:t xml:space="preserve"> </w:t>
      </w:r>
      <w:r w:rsidRPr="00550440" w:rsidR="00583E02">
        <w:rPr>
          <w:sz w:val="24"/>
        </w:rPr>
        <w:t>responses</w:t>
      </w:r>
      <w:r w:rsidRPr="00550440" w:rsidR="0068685C">
        <w:rPr>
          <w:sz w:val="24"/>
        </w:rPr>
        <w:t xml:space="preserve"> </w:t>
      </w:r>
      <w:r w:rsidRPr="00550440" w:rsidR="00045192">
        <w:rPr>
          <w:sz w:val="24"/>
        </w:rPr>
        <w:t>[</w:t>
      </w:r>
      <w:r w:rsidR="00C36322">
        <w:rPr>
          <w:color w:val="000000"/>
          <w:sz w:val="24"/>
        </w:rPr>
        <w:t>199,995</w:t>
      </w:r>
    </w:p>
    <w:p w:rsidR="00045192" w:rsidP="00447043" w14:paraId="4DA1ECFB" w14:textId="2B5DC81F">
      <w:pPr>
        <w:widowControl/>
        <w:autoSpaceDE/>
        <w:autoSpaceDN/>
        <w:adjustRightInd/>
        <w:ind w:left="360"/>
        <w:rPr>
          <w:sz w:val="24"/>
        </w:rPr>
      </w:pPr>
      <w:r w:rsidRPr="00550440">
        <w:rPr>
          <w:sz w:val="24"/>
        </w:rPr>
        <w:t xml:space="preserve">new filings + </w:t>
      </w:r>
      <w:r w:rsidR="00C36322">
        <w:rPr>
          <w:color w:val="000000"/>
          <w:sz w:val="24"/>
        </w:rPr>
        <w:t>734,713</w:t>
      </w:r>
      <w:r w:rsidRPr="00550440">
        <w:rPr>
          <w:color w:val="000000"/>
          <w:sz w:val="24"/>
        </w:rPr>
        <w:t xml:space="preserve"> </w:t>
      </w:r>
      <w:r w:rsidRPr="00550440">
        <w:rPr>
          <w:sz w:val="24"/>
        </w:rPr>
        <w:t>biennial updates and/or ad</w:t>
      </w:r>
      <w:r w:rsidR="0063061B">
        <w:rPr>
          <w:sz w:val="24"/>
        </w:rPr>
        <w:t xml:space="preserve"> </w:t>
      </w:r>
      <w:r w:rsidRPr="00550440">
        <w:rPr>
          <w:sz w:val="24"/>
        </w:rPr>
        <w:t>hoc changes</w:t>
      </w:r>
      <w:r>
        <w:rPr>
          <w:sz w:val="24"/>
        </w:rPr>
        <w:t xml:space="preserve"> </w:t>
      </w:r>
      <w:r w:rsidRPr="00550440">
        <w:rPr>
          <w:sz w:val="24"/>
        </w:rPr>
        <w:t xml:space="preserve">= </w:t>
      </w:r>
      <w:r w:rsidR="002358A9">
        <w:rPr>
          <w:color w:val="000000"/>
          <w:sz w:val="24"/>
        </w:rPr>
        <w:t>934,707</w:t>
      </w:r>
      <w:r>
        <w:rPr>
          <w:color w:val="000000"/>
          <w:sz w:val="24"/>
        </w:rPr>
        <w:t xml:space="preserve"> </w:t>
      </w:r>
      <w:r w:rsidRPr="00550440" w:rsidR="009952C8">
        <w:rPr>
          <w:sz w:val="24"/>
        </w:rPr>
        <w:t>responses</w:t>
      </w:r>
      <w:r w:rsidRPr="00550440">
        <w:rPr>
          <w:sz w:val="24"/>
        </w:rPr>
        <w:t>].</w:t>
      </w:r>
    </w:p>
    <w:p w:rsidR="00E4568E" w:rsidP="00447043" w14:paraId="1BA2840D" w14:textId="77777777">
      <w:pPr>
        <w:widowControl/>
        <w:autoSpaceDE/>
        <w:autoSpaceDN/>
        <w:adjustRightInd/>
        <w:ind w:left="360"/>
        <w:rPr>
          <w:sz w:val="24"/>
        </w:rPr>
      </w:pPr>
    </w:p>
    <w:p w:rsidR="00EC3507" w:rsidRPr="00DA5319" w:rsidP="00447043" w14:paraId="5EBEFECC" w14:textId="1475AA9A">
      <w:pPr>
        <w:pStyle w:val="BodyText"/>
        <w:ind w:left="360"/>
      </w:pPr>
      <w:r w:rsidRPr="00DA5319">
        <w:rPr>
          <w:u w:val="single"/>
        </w:rPr>
        <w:t>IC-2: Form MCS-150B, Combined Motor Carrier Identification Report and HM Permit</w:t>
      </w:r>
    </w:p>
    <w:p w:rsidR="00E4568E" w:rsidP="00447043" w14:paraId="4E93BAE4" w14:textId="77777777">
      <w:pPr>
        <w:pStyle w:val="BodyText"/>
        <w:ind w:left="360"/>
      </w:pPr>
    </w:p>
    <w:p w:rsidR="00D21402" w:rsidP="00447043" w14:paraId="6041C26E" w14:textId="7D3FAD09">
      <w:pPr>
        <w:pStyle w:val="BodyText"/>
        <w:ind w:left="360"/>
      </w:pPr>
      <w:r>
        <w:t xml:space="preserve">Form MCS-150B is </w:t>
      </w:r>
      <w:r w:rsidR="00F74738">
        <w:t xml:space="preserve">estimated to take </w:t>
      </w:r>
      <w:r>
        <w:t>2</w:t>
      </w:r>
      <w:r w:rsidR="00521E20">
        <w:t>1</w:t>
      </w:r>
      <w:r>
        <w:t xml:space="preserve"> minutes to complete</w:t>
      </w:r>
      <w:r w:rsidR="00F74738">
        <w:t xml:space="preserve">. This is </w:t>
      </w:r>
      <w:r w:rsidR="008A5C05">
        <w:t xml:space="preserve">an increase of 15 minutes from the previous iteration of this IC. This is because the previous MCS-150B was a </w:t>
      </w:r>
      <w:r w:rsidR="00006229">
        <w:t>two-part</w:t>
      </w:r>
      <w:r w:rsidR="008A5C05">
        <w:t xml:space="preserve"> form, where applicants </w:t>
      </w:r>
      <w:r w:rsidR="47B957CC">
        <w:t xml:space="preserve">first </w:t>
      </w:r>
      <w:r w:rsidR="008A5C05">
        <w:t>submitted</w:t>
      </w:r>
      <w:r w:rsidR="41A16A51">
        <w:t xml:space="preserve"> the</w:t>
      </w:r>
      <w:r w:rsidR="008A5C05">
        <w:t xml:space="preserve"> MCS-150 </w:t>
      </w:r>
      <w:r w:rsidR="00006229">
        <w:t>a</w:t>
      </w:r>
      <w:r w:rsidR="008A5C05">
        <w:t xml:space="preserve">nd </w:t>
      </w:r>
      <w:r w:rsidR="3DFBCAA3">
        <w:t xml:space="preserve">then </w:t>
      </w:r>
      <w:r w:rsidR="008A5C05">
        <w:t xml:space="preserve">submitted </w:t>
      </w:r>
      <w:r w:rsidR="12FC28CD">
        <w:t xml:space="preserve">the </w:t>
      </w:r>
      <w:r w:rsidR="008A5C05">
        <w:t xml:space="preserve">MCS-150B. </w:t>
      </w:r>
      <w:r w:rsidR="00006229">
        <w:t>The non-consolidated version of the</w:t>
      </w:r>
      <w:r w:rsidR="0E96ECD2">
        <w:t xml:space="preserve"> MCS-150B</w:t>
      </w:r>
      <w:r w:rsidR="00006229">
        <w:t xml:space="preserve"> form</w:t>
      </w:r>
      <w:r w:rsidR="008A5C05">
        <w:t xml:space="preserve"> </w:t>
      </w:r>
      <w:r w:rsidR="00006229">
        <w:t xml:space="preserve">took </w:t>
      </w:r>
      <w:r w:rsidR="008A5C05">
        <w:t xml:space="preserve">6 minutes to complete. However, </w:t>
      </w:r>
      <w:r w:rsidR="00006229">
        <w:t xml:space="preserve">for this iteration of this IC, </w:t>
      </w:r>
      <w:r w:rsidR="00A940BA">
        <w:t>F</w:t>
      </w:r>
      <w:r w:rsidR="008A5C05">
        <w:t>orm MCS-150</w:t>
      </w:r>
      <w:r w:rsidR="00006229">
        <w:t>B</w:t>
      </w:r>
      <w:r w:rsidR="008A5C05">
        <w:t xml:space="preserve"> is </w:t>
      </w:r>
      <w:r w:rsidR="72CD19D4">
        <w:t xml:space="preserve">one </w:t>
      </w:r>
      <w:r w:rsidR="00006229">
        <w:t xml:space="preserve">consolidated </w:t>
      </w:r>
      <w:r w:rsidR="008A5C05">
        <w:t>for</w:t>
      </w:r>
      <w:r w:rsidR="00006229">
        <w:t>m</w:t>
      </w:r>
      <w:r w:rsidR="008A5C05">
        <w:t>. FMCSA estimates</w:t>
      </w:r>
      <w:r w:rsidR="00006229">
        <w:t xml:space="preserve"> new filers of form </w:t>
      </w:r>
      <w:r w:rsidR="008A5C05">
        <w:t xml:space="preserve">MCS-150B take 21 minutes to complete </w:t>
      </w:r>
      <w:r w:rsidR="009952C8">
        <w:t>(0.3</w:t>
      </w:r>
      <w:r w:rsidR="008A5C05">
        <w:t>5</w:t>
      </w:r>
      <w:r w:rsidR="009952C8">
        <w:t xml:space="preserve"> hours). </w:t>
      </w:r>
      <w:r w:rsidR="003552F7">
        <w:t xml:space="preserve">FMCSA continues to </w:t>
      </w:r>
      <w:r w:rsidR="00F3301E">
        <w:t xml:space="preserve">estimate </w:t>
      </w:r>
      <w:r w:rsidR="00006229">
        <w:t>respondents submitting biennial updates and/or ad</w:t>
      </w:r>
      <w:r w:rsidR="00A940BA">
        <w:t>-</w:t>
      </w:r>
      <w:r w:rsidR="00006229">
        <w:t xml:space="preserve">hoc changes </w:t>
      </w:r>
      <w:r w:rsidR="00F3301E">
        <w:t xml:space="preserve">will take </w:t>
      </w:r>
      <w:r w:rsidR="00C1657E">
        <w:t>an average of five</w:t>
      </w:r>
      <w:r w:rsidR="00F3301E">
        <w:t xml:space="preserve"> minutes </w:t>
      </w:r>
      <w:r w:rsidR="00C1657E">
        <w:t>(0.083 hours)</w:t>
      </w:r>
      <w:r w:rsidR="00F3301E">
        <w:t>.</w:t>
      </w:r>
      <w:r w:rsidR="005D66CA">
        <w:t xml:space="preserve"> The estimated annual burden</w:t>
      </w:r>
      <w:r w:rsidR="00DA5319">
        <w:t xml:space="preserve"> for IC-2</w:t>
      </w:r>
      <w:r w:rsidR="005D66CA">
        <w:t xml:space="preserve"> is detailed in </w:t>
      </w:r>
      <w:r>
        <w:fldChar w:fldCharType="begin"/>
      </w:r>
      <w:r>
        <w:instrText xml:space="preserve"> REF _Ref526889042 \h  \* MERGEFORMAT </w:instrText>
      </w:r>
      <w:r>
        <w:fldChar w:fldCharType="separate"/>
      </w:r>
      <w:r w:rsidR="0003093A">
        <w:t xml:space="preserve">Table </w:t>
      </w:r>
      <w:r>
        <w:fldChar w:fldCharType="end"/>
      </w:r>
      <w:r w:rsidR="002842CC">
        <w:t>5</w:t>
      </w:r>
      <w:r w:rsidR="005D66CA">
        <w:t>.</w:t>
      </w:r>
    </w:p>
    <w:p w:rsidR="00E4568E" w:rsidP="00E4568E" w14:paraId="48665A06" w14:textId="77777777">
      <w:pPr>
        <w:pStyle w:val="BodyText"/>
      </w:pPr>
    </w:p>
    <w:p w:rsidR="00823A5F" w:rsidP="00E4568E" w14:paraId="2A1F5FF1" w14:textId="77777777">
      <w:pPr>
        <w:pStyle w:val="BodyText"/>
      </w:pPr>
    </w:p>
    <w:p w:rsidR="00823A5F" w:rsidP="00E4568E" w14:paraId="5D7C5E30" w14:textId="77777777">
      <w:pPr>
        <w:pStyle w:val="BodyText"/>
      </w:pPr>
    </w:p>
    <w:p w:rsidR="00823A5F" w:rsidP="00E4568E" w14:paraId="3196BE2D" w14:textId="77777777">
      <w:pPr>
        <w:pStyle w:val="BodyText"/>
      </w:pPr>
    </w:p>
    <w:p w:rsidR="00823A5F" w:rsidP="00E4568E" w14:paraId="633F4D65" w14:textId="77777777">
      <w:pPr>
        <w:pStyle w:val="BodyText"/>
      </w:pPr>
    </w:p>
    <w:p w:rsidR="00823A5F" w:rsidP="00E4568E" w14:paraId="6323631D" w14:textId="77777777">
      <w:pPr>
        <w:pStyle w:val="BodyText"/>
      </w:pPr>
    </w:p>
    <w:p w:rsidR="00823A5F" w:rsidP="00E4568E" w14:paraId="26FD9B23" w14:textId="77777777">
      <w:pPr>
        <w:pStyle w:val="BodyText"/>
      </w:pPr>
    </w:p>
    <w:p w:rsidR="00823A5F" w:rsidP="00E4568E" w14:paraId="63980B95" w14:textId="77777777">
      <w:pPr>
        <w:pStyle w:val="BodyText"/>
      </w:pPr>
    </w:p>
    <w:p w:rsidR="00D21402" w:rsidP="00E4568E" w14:paraId="3199AB9D" w14:textId="45CA8A18">
      <w:pPr>
        <w:pStyle w:val="Caption"/>
        <w:keepNext/>
        <w:spacing w:after="0"/>
        <w:jc w:val="center"/>
        <w:rPr>
          <w:b/>
          <w:i w:val="0"/>
          <w:color w:val="auto"/>
          <w:sz w:val="24"/>
          <w:szCs w:val="24"/>
        </w:rPr>
      </w:pPr>
      <w:bookmarkStart w:id="2" w:name="_Ref526889042"/>
      <w:r w:rsidRPr="00A44115">
        <w:rPr>
          <w:b/>
          <w:i w:val="0"/>
          <w:color w:val="auto"/>
          <w:sz w:val="24"/>
          <w:szCs w:val="24"/>
        </w:rPr>
        <w:t xml:space="preserve">Table </w:t>
      </w:r>
      <w:r w:rsidR="00677FCC">
        <w:rPr>
          <w:b/>
          <w:i w:val="0"/>
          <w:color w:val="auto"/>
          <w:sz w:val="24"/>
          <w:szCs w:val="24"/>
        </w:rPr>
        <w:t>5</w:t>
      </w:r>
      <w:bookmarkEnd w:id="2"/>
      <w:r w:rsidRPr="00A44115">
        <w:rPr>
          <w:b/>
          <w:i w:val="0"/>
          <w:color w:val="auto"/>
          <w:sz w:val="24"/>
          <w:szCs w:val="24"/>
        </w:rPr>
        <w:t xml:space="preserve">. </w:t>
      </w:r>
      <w:r w:rsidR="007A2E68">
        <w:rPr>
          <w:b/>
          <w:i w:val="0"/>
          <w:color w:val="auto"/>
          <w:sz w:val="24"/>
          <w:szCs w:val="24"/>
        </w:rPr>
        <w:t xml:space="preserve">Estimated </w:t>
      </w:r>
      <w:r w:rsidR="0003093A">
        <w:rPr>
          <w:b/>
          <w:i w:val="0"/>
          <w:color w:val="auto"/>
          <w:sz w:val="24"/>
          <w:szCs w:val="24"/>
        </w:rPr>
        <w:t>Annual Burden Hours</w:t>
      </w:r>
      <w:r w:rsidRPr="00A44115" w:rsidR="00A44115">
        <w:rPr>
          <w:b/>
          <w:i w:val="0"/>
          <w:color w:val="auto"/>
          <w:sz w:val="24"/>
          <w:szCs w:val="24"/>
        </w:rPr>
        <w:t xml:space="preserve"> </w:t>
      </w:r>
      <w:r w:rsidRPr="00A44115">
        <w:rPr>
          <w:b/>
          <w:i w:val="0"/>
          <w:color w:val="auto"/>
          <w:sz w:val="24"/>
          <w:szCs w:val="24"/>
        </w:rPr>
        <w:t>for IC-2: Form MCS-150B, Combined Motor Carrier Identification Report and HM Permit Application</w:t>
      </w:r>
    </w:p>
    <w:p w:rsidR="00E4568E" w:rsidRPr="00E4568E" w:rsidP="00E4568E" w14:paraId="20A923B8" w14:textId="77777777">
      <w:pPr>
        <w:rPr>
          <w:sz w:val="24"/>
        </w:rPr>
      </w:pPr>
    </w:p>
    <w:tbl>
      <w:tblPr>
        <w:tblW w:w="9541" w:type="dxa"/>
        <w:tblInd w:w="80" w:type="dxa"/>
        <w:tblLook w:val="04A0"/>
      </w:tblPr>
      <w:tblGrid>
        <w:gridCol w:w="1692"/>
        <w:gridCol w:w="1417"/>
        <w:gridCol w:w="1417"/>
        <w:gridCol w:w="1417"/>
        <w:gridCol w:w="1417"/>
        <w:gridCol w:w="2181"/>
      </w:tblGrid>
      <w:tr w14:paraId="0C40086F" w14:textId="77777777" w:rsidTr="00447043">
        <w:tblPrEx>
          <w:tblW w:w="9541" w:type="dxa"/>
          <w:tblInd w:w="80" w:type="dxa"/>
          <w:tblLook w:val="04A0"/>
        </w:tblPrEx>
        <w:trPr>
          <w:trHeight w:val="493"/>
        </w:trPr>
        <w:tc>
          <w:tcPr>
            <w:tcW w:w="1692" w:type="dxa"/>
            <w:vMerge w:val="restart"/>
            <w:tcBorders>
              <w:top w:val="single" w:sz="8" w:space="0" w:color="auto"/>
              <w:left w:val="single" w:sz="8" w:space="0" w:color="auto"/>
              <w:right w:val="single" w:sz="8" w:space="0" w:color="auto"/>
            </w:tcBorders>
            <w:shd w:val="clear" w:color="000000" w:fill="D9D9D9"/>
            <w:vAlign w:val="center"/>
            <w:hideMark/>
          </w:tcPr>
          <w:p w:rsidR="008950B4" w:rsidRPr="008950B4" w:rsidP="008950B4" w14:paraId="247C112D" w14:textId="35B8DCE9">
            <w:pPr>
              <w:rPr>
                <w:b/>
                <w:bCs/>
                <w:color w:val="000000"/>
                <w:szCs w:val="20"/>
              </w:rPr>
            </w:pPr>
            <w:r w:rsidRPr="008950B4">
              <w:rPr>
                <w:b/>
                <w:bCs/>
                <w:color w:val="000000"/>
                <w:szCs w:val="20"/>
              </w:rPr>
              <w:t>Applicable Motor Carrier Type</w:t>
            </w:r>
          </w:p>
        </w:tc>
        <w:tc>
          <w:tcPr>
            <w:tcW w:w="1417" w:type="dxa"/>
            <w:tcBorders>
              <w:top w:val="single" w:sz="8" w:space="0" w:color="auto"/>
              <w:left w:val="nil"/>
              <w:bottom w:val="nil"/>
              <w:right w:val="single" w:sz="8" w:space="0" w:color="auto"/>
            </w:tcBorders>
            <w:shd w:val="clear" w:color="000000" w:fill="D9D9D9"/>
            <w:vAlign w:val="center"/>
            <w:hideMark/>
          </w:tcPr>
          <w:p w:rsidR="008950B4" w:rsidRPr="008950B4" w:rsidP="008950B4" w14:paraId="46ABC064" w14:textId="3521FD87">
            <w:pPr>
              <w:widowControl/>
              <w:autoSpaceDE/>
              <w:autoSpaceDN/>
              <w:adjustRightInd/>
              <w:jc w:val="center"/>
              <w:rPr>
                <w:b/>
                <w:bCs/>
                <w:color w:val="000000"/>
                <w:szCs w:val="20"/>
              </w:rPr>
            </w:pPr>
            <w:r>
              <w:rPr>
                <w:b/>
                <w:bCs/>
                <w:color w:val="000000"/>
                <w:szCs w:val="20"/>
              </w:rPr>
              <w:t xml:space="preserve">Total </w:t>
            </w:r>
            <w:r w:rsidRPr="008950B4">
              <w:rPr>
                <w:b/>
                <w:bCs/>
                <w:color w:val="000000"/>
                <w:szCs w:val="20"/>
              </w:rPr>
              <w:t>Number of Annual New Responses</w:t>
            </w:r>
          </w:p>
        </w:tc>
        <w:tc>
          <w:tcPr>
            <w:tcW w:w="1417" w:type="dxa"/>
            <w:tcBorders>
              <w:top w:val="single" w:sz="8" w:space="0" w:color="auto"/>
              <w:left w:val="nil"/>
              <w:bottom w:val="nil"/>
              <w:right w:val="single" w:sz="8" w:space="0" w:color="auto"/>
            </w:tcBorders>
            <w:shd w:val="clear" w:color="000000" w:fill="D9D9D9"/>
            <w:vAlign w:val="center"/>
            <w:hideMark/>
          </w:tcPr>
          <w:p w:rsidR="008950B4" w:rsidRPr="008950B4" w:rsidP="008950B4" w14:paraId="46009C63" w14:textId="7407EDB2">
            <w:pPr>
              <w:widowControl/>
              <w:autoSpaceDE/>
              <w:autoSpaceDN/>
              <w:adjustRightInd/>
              <w:jc w:val="center"/>
              <w:rPr>
                <w:b/>
                <w:bCs/>
                <w:color w:val="000000"/>
                <w:szCs w:val="20"/>
              </w:rPr>
            </w:pPr>
            <w:r>
              <w:rPr>
                <w:b/>
                <w:bCs/>
                <w:color w:val="000000"/>
                <w:szCs w:val="20"/>
              </w:rPr>
              <w:t xml:space="preserve">Total </w:t>
            </w:r>
            <w:r w:rsidRPr="008950B4">
              <w:rPr>
                <w:b/>
                <w:bCs/>
                <w:color w:val="000000"/>
                <w:szCs w:val="20"/>
              </w:rPr>
              <w:t>Number of New Respondents</w:t>
            </w:r>
          </w:p>
        </w:tc>
        <w:tc>
          <w:tcPr>
            <w:tcW w:w="1417" w:type="dxa"/>
            <w:tcBorders>
              <w:top w:val="single" w:sz="8" w:space="0" w:color="auto"/>
              <w:left w:val="nil"/>
              <w:bottom w:val="nil"/>
              <w:right w:val="single" w:sz="8" w:space="0" w:color="auto"/>
            </w:tcBorders>
            <w:shd w:val="clear" w:color="000000" w:fill="D9D9D9"/>
            <w:vAlign w:val="center"/>
            <w:hideMark/>
          </w:tcPr>
          <w:p w:rsidR="008950B4" w:rsidRPr="008950B4" w:rsidP="008950B4" w14:paraId="207C5690" w14:textId="1ED48478">
            <w:pPr>
              <w:widowControl/>
              <w:autoSpaceDE/>
              <w:autoSpaceDN/>
              <w:adjustRightInd/>
              <w:jc w:val="center"/>
              <w:rPr>
                <w:b/>
                <w:bCs/>
                <w:color w:val="000000"/>
                <w:szCs w:val="20"/>
              </w:rPr>
            </w:pPr>
            <w:r>
              <w:rPr>
                <w:b/>
                <w:bCs/>
                <w:color w:val="000000"/>
                <w:szCs w:val="20"/>
              </w:rPr>
              <w:t xml:space="preserve">Total </w:t>
            </w:r>
            <w:r w:rsidR="000C4A4E">
              <w:rPr>
                <w:b/>
                <w:bCs/>
                <w:color w:val="000000"/>
                <w:szCs w:val="20"/>
              </w:rPr>
              <w:t xml:space="preserve">Number of </w:t>
            </w:r>
            <w:r w:rsidRPr="008950B4">
              <w:rPr>
                <w:b/>
                <w:bCs/>
                <w:color w:val="000000"/>
                <w:szCs w:val="20"/>
              </w:rPr>
              <w:t xml:space="preserve">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w:t>
            </w:r>
            <w:r w:rsidRPr="008950B4">
              <w:rPr>
                <w:b/>
                <w:bCs/>
                <w:color w:val="000000"/>
                <w:szCs w:val="20"/>
              </w:rPr>
              <w:t>Responses</w:t>
            </w:r>
          </w:p>
        </w:tc>
        <w:tc>
          <w:tcPr>
            <w:tcW w:w="1417" w:type="dxa"/>
            <w:tcBorders>
              <w:top w:val="single" w:sz="8" w:space="0" w:color="auto"/>
              <w:left w:val="nil"/>
              <w:bottom w:val="nil"/>
              <w:right w:val="single" w:sz="8" w:space="0" w:color="auto"/>
            </w:tcBorders>
            <w:shd w:val="clear" w:color="000000" w:fill="D9D9D9"/>
            <w:vAlign w:val="center"/>
            <w:hideMark/>
          </w:tcPr>
          <w:p w:rsidR="008950B4" w:rsidRPr="008950B4" w:rsidP="008950B4" w14:paraId="5D11888F" w14:textId="59EABB0C">
            <w:pPr>
              <w:widowControl/>
              <w:autoSpaceDE/>
              <w:autoSpaceDN/>
              <w:adjustRightInd/>
              <w:jc w:val="center"/>
              <w:rPr>
                <w:b/>
                <w:bCs/>
                <w:color w:val="000000"/>
                <w:szCs w:val="20"/>
              </w:rPr>
            </w:pPr>
            <w:r>
              <w:rPr>
                <w:b/>
                <w:bCs/>
                <w:color w:val="000000"/>
                <w:szCs w:val="20"/>
              </w:rPr>
              <w:t>*</w:t>
            </w:r>
            <w:r w:rsidRPr="008950B4">
              <w:rPr>
                <w:b/>
                <w:bCs/>
                <w:color w:val="000000"/>
                <w:szCs w:val="20"/>
              </w:rPr>
              <w:t xml:space="preserve">Total Number of </w:t>
            </w:r>
            <w:r w:rsidRPr="008950B4" w:rsidR="000C4A4E">
              <w:rPr>
                <w:b/>
                <w:bCs/>
                <w:color w:val="000000"/>
                <w:szCs w:val="20"/>
              </w:rPr>
              <w:t xml:space="preserve">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Respondents </w:t>
            </w:r>
          </w:p>
        </w:tc>
        <w:tc>
          <w:tcPr>
            <w:tcW w:w="2181" w:type="dxa"/>
            <w:tcBorders>
              <w:top w:val="single" w:sz="8" w:space="0" w:color="auto"/>
              <w:left w:val="nil"/>
              <w:bottom w:val="nil"/>
              <w:right w:val="single" w:sz="8" w:space="0" w:color="auto"/>
            </w:tcBorders>
            <w:shd w:val="clear" w:color="000000" w:fill="D9D9D9"/>
            <w:vAlign w:val="center"/>
            <w:hideMark/>
          </w:tcPr>
          <w:p w:rsidR="008950B4" w:rsidRPr="008950B4" w:rsidP="008950B4" w14:paraId="04B0C346" w14:textId="1D1691D4">
            <w:pPr>
              <w:widowControl/>
              <w:autoSpaceDE/>
              <w:autoSpaceDN/>
              <w:adjustRightInd/>
              <w:jc w:val="center"/>
              <w:rPr>
                <w:b/>
                <w:bCs/>
                <w:color w:val="000000"/>
                <w:szCs w:val="20"/>
              </w:rPr>
            </w:pPr>
            <w:r>
              <w:rPr>
                <w:b/>
                <w:bCs/>
                <w:color w:val="000000"/>
                <w:szCs w:val="20"/>
              </w:rPr>
              <w:t>*</w:t>
            </w:r>
            <w:r w:rsidRPr="008950B4">
              <w:rPr>
                <w:b/>
                <w:bCs/>
                <w:color w:val="000000"/>
                <w:szCs w:val="20"/>
              </w:rPr>
              <w:t xml:space="preserve">Annual </w:t>
            </w:r>
            <w:r w:rsidR="003552F7">
              <w:rPr>
                <w:b/>
                <w:bCs/>
                <w:color w:val="000000"/>
                <w:szCs w:val="20"/>
              </w:rPr>
              <w:t xml:space="preserve">Hourly </w:t>
            </w:r>
            <w:r w:rsidRPr="008950B4">
              <w:rPr>
                <w:b/>
                <w:bCs/>
                <w:color w:val="000000"/>
                <w:szCs w:val="20"/>
              </w:rPr>
              <w:t>Burden for New</w:t>
            </w:r>
            <w:r w:rsidR="003552F7">
              <w:rPr>
                <w:b/>
                <w:bCs/>
                <w:color w:val="000000"/>
                <w:szCs w:val="20"/>
              </w:rPr>
              <w:t>, Biennial and/or Ad</w:t>
            </w:r>
            <w:r w:rsidR="0063061B">
              <w:rPr>
                <w:b/>
                <w:bCs/>
                <w:color w:val="000000"/>
                <w:szCs w:val="20"/>
              </w:rPr>
              <w:t xml:space="preserve"> </w:t>
            </w:r>
            <w:r w:rsidR="003552F7">
              <w:rPr>
                <w:b/>
                <w:bCs/>
                <w:color w:val="000000"/>
                <w:szCs w:val="20"/>
              </w:rPr>
              <w:t>hoc Changes</w:t>
            </w:r>
          </w:p>
        </w:tc>
      </w:tr>
      <w:tr w14:paraId="470F25E6" w14:textId="77777777" w:rsidTr="00447043">
        <w:tblPrEx>
          <w:tblW w:w="9541" w:type="dxa"/>
          <w:tblInd w:w="80" w:type="dxa"/>
          <w:tblLook w:val="04A0"/>
        </w:tblPrEx>
        <w:trPr>
          <w:trHeight w:val="336"/>
        </w:trPr>
        <w:tc>
          <w:tcPr>
            <w:tcW w:w="1692" w:type="dxa"/>
            <w:vMerge/>
            <w:tcBorders>
              <w:left w:val="single" w:sz="8" w:space="0" w:color="auto"/>
              <w:bottom w:val="single" w:sz="4" w:space="0" w:color="auto"/>
              <w:right w:val="single" w:sz="8" w:space="0" w:color="auto"/>
            </w:tcBorders>
            <w:shd w:val="clear" w:color="000000" w:fill="D9D9D9"/>
            <w:vAlign w:val="center"/>
            <w:hideMark/>
          </w:tcPr>
          <w:p w:rsidR="008950B4" w:rsidRPr="008950B4" w:rsidP="008950B4" w14:paraId="0F90400D" w14:textId="4CC24040">
            <w:pPr>
              <w:widowControl/>
              <w:autoSpaceDE/>
              <w:autoSpaceDN/>
              <w:adjustRightInd/>
              <w:jc w:val="center"/>
              <w:rPr>
                <w:b/>
                <w:bCs/>
                <w:color w:val="000000"/>
                <w:szCs w:val="20"/>
              </w:rPr>
            </w:pPr>
          </w:p>
        </w:tc>
        <w:tc>
          <w:tcPr>
            <w:tcW w:w="1417" w:type="dxa"/>
            <w:tcBorders>
              <w:top w:val="nil"/>
              <w:left w:val="nil"/>
              <w:bottom w:val="single" w:sz="4" w:space="0" w:color="auto"/>
              <w:right w:val="single" w:sz="8" w:space="0" w:color="auto"/>
            </w:tcBorders>
            <w:shd w:val="clear" w:color="000000" w:fill="D9D9D9"/>
            <w:vAlign w:val="center"/>
            <w:hideMark/>
          </w:tcPr>
          <w:p w:rsidR="008950B4" w:rsidRPr="008950B4" w:rsidP="008950B4" w14:paraId="2BF5EF44" w14:textId="77777777">
            <w:pPr>
              <w:widowControl/>
              <w:autoSpaceDE/>
              <w:autoSpaceDN/>
              <w:adjustRightInd/>
              <w:jc w:val="center"/>
              <w:rPr>
                <w:b/>
                <w:bCs/>
                <w:color w:val="000000"/>
                <w:szCs w:val="20"/>
              </w:rPr>
            </w:pPr>
            <w:r w:rsidRPr="008950B4">
              <w:rPr>
                <w:b/>
                <w:bCs/>
                <w:color w:val="000000"/>
                <w:szCs w:val="20"/>
              </w:rPr>
              <w:t>(a)</w:t>
            </w:r>
          </w:p>
        </w:tc>
        <w:tc>
          <w:tcPr>
            <w:tcW w:w="1417" w:type="dxa"/>
            <w:tcBorders>
              <w:top w:val="nil"/>
              <w:left w:val="nil"/>
              <w:bottom w:val="single" w:sz="4" w:space="0" w:color="auto"/>
              <w:right w:val="single" w:sz="8" w:space="0" w:color="auto"/>
            </w:tcBorders>
            <w:shd w:val="clear" w:color="000000" w:fill="D9D9D9"/>
            <w:vAlign w:val="center"/>
            <w:hideMark/>
          </w:tcPr>
          <w:p w:rsidR="008950B4" w:rsidRPr="008950B4" w:rsidP="008950B4" w14:paraId="14E8D48E" w14:textId="74E4ED1A">
            <w:pPr>
              <w:widowControl/>
              <w:autoSpaceDE/>
              <w:autoSpaceDN/>
              <w:adjustRightInd/>
              <w:jc w:val="center"/>
              <w:rPr>
                <w:b/>
                <w:bCs/>
                <w:color w:val="000000"/>
                <w:szCs w:val="20"/>
              </w:rPr>
            </w:pPr>
            <w:r w:rsidRPr="008950B4">
              <w:rPr>
                <w:b/>
                <w:bCs/>
                <w:color w:val="000000"/>
                <w:szCs w:val="20"/>
              </w:rPr>
              <w:t>(b = a × 1)</w:t>
            </w:r>
          </w:p>
        </w:tc>
        <w:tc>
          <w:tcPr>
            <w:tcW w:w="1417" w:type="dxa"/>
            <w:tcBorders>
              <w:top w:val="nil"/>
              <w:left w:val="nil"/>
              <w:bottom w:val="single" w:sz="4" w:space="0" w:color="auto"/>
              <w:right w:val="single" w:sz="8" w:space="0" w:color="auto"/>
            </w:tcBorders>
            <w:shd w:val="clear" w:color="000000" w:fill="D9D9D9"/>
            <w:vAlign w:val="center"/>
            <w:hideMark/>
          </w:tcPr>
          <w:p w:rsidR="008950B4" w:rsidRPr="008950B4" w:rsidP="008950B4" w14:paraId="432EFEB0" w14:textId="77777777">
            <w:pPr>
              <w:widowControl/>
              <w:autoSpaceDE/>
              <w:autoSpaceDN/>
              <w:adjustRightInd/>
              <w:jc w:val="center"/>
              <w:rPr>
                <w:b/>
                <w:bCs/>
                <w:color w:val="000000"/>
                <w:szCs w:val="20"/>
              </w:rPr>
            </w:pPr>
            <w:r w:rsidRPr="008950B4">
              <w:rPr>
                <w:b/>
                <w:bCs/>
                <w:color w:val="000000"/>
                <w:szCs w:val="20"/>
              </w:rPr>
              <w:t>(c)</w:t>
            </w:r>
          </w:p>
        </w:tc>
        <w:tc>
          <w:tcPr>
            <w:tcW w:w="1417" w:type="dxa"/>
            <w:tcBorders>
              <w:top w:val="nil"/>
              <w:left w:val="nil"/>
              <w:bottom w:val="single" w:sz="4" w:space="0" w:color="auto"/>
              <w:right w:val="single" w:sz="8" w:space="0" w:color="auto"/>
            </w:tcBorders>
            <w:shd w:val="clear" w:color="000000" w:fill="D9D9D9"/>
            <w:vAlign w:val="center"/>
            <w:hideMark/>
          </w:tcPr>
          <w:p w:rsidR="008950B4" w:rsidRPr="008950B4" w:rsidP="008950B4" w14:paraId="7CED7B21" w14:textId="0D68F12A">
            <w:pPr>
              <w:widowControl/>
              <w:autoSpaceDE/>
              <w:autoSpaceDN/>
              <w:adjustRightInd/>
              <w:jc w:val="center"/>
              <w:rPr>
                <w:b/>
                <w:bCs/>
                <w:color w:val="000000"/>
                <w:szCs w:val="20"/>
              </w:rPr>
            </w:pPr>
            <w:r w:rsidRPr="008950B4">
              <w:rPr>
                <w:b/>
                <w:bCs/>
                <w:color w:val="000000"/>
                <w:szCs w:val="20"/>
              </w:rPr>
              <w:t xml:space="preserve">(d = c </w:t>
            </w:r>
            <w:r w:rsidRPr="008950B4" w:rsidR="00C1657E">
              <w:rPr>
                <w:b/>
                <w:bCs/>
                <w:color w:val="000000"/>
                <w:szCs w:val="20"/>
              </w:rPr>
              <w:t>×</w:t>
            </w:r>
            <w:r w:rsidRPr="008950B4">
              <w:rPr>
                <w:b/>
                <w:bCs/>
                <w:color w:val="000000"/>
                <w:szCs w:val="20"/>
              </w:rPr>
              <w:t xml:space="preserve"> </w:t>
            </w:r>
            <w:r w:rsidR="00C1657E">
              <w:rPr>
                <w:b/>
                <w:bCs/>
                <w:color w:val="000000"/>
                <w:szCs w:val="20"/>
              </w:rPr>
              <w:t>0</w:t>
            </w:r>
            <w:r w:rsidRPr="008950B4">
              <w:rPr>
                <w:b/>
                <w:bCs/>
                <w:color w:val="000000"/>
                <w:szCs w:val="20"/>
              </w:rPr>
              <w:t>.5)</w:t>
            </w:r>
          </w:p>
        </w:tc>
        <w:tc>
          <w:tcPr>
            <w:tcW w:w="2181" w:type="dxa"/>
            <w:tcBorders>
              <w:top w:val="nil"/>
              <w:left w:val="nil"/>
              <w:bottom w:val="single" w:sz="4" w:space="0" w:color="auto"/>
              <w:right w:val="single" w:sz="8" w:space="0" w:color="auto"/>
            </w:tcBorders>
            <w:shd w:val="clear" w:color="000000" w:fill="D9D9D9"/>
            <w:vAlign w:val="center"/>
            <w:hideMark/>
          </w:tcPr>
          <w:p w:rsidR="008950B4" w:rsidRPr="008950B4" w:rsidP="008950B4" w14:paraId="3D998EFC" w14:textId="1302DABC">
            <w:pPr>
              <w:widowControl/>
              <w:autoSpaceDE/>
              <w:autoSpaceDN/>
              <w:adjustRightInd/>
              <w:jc w:val="center"/>
              <w:rPr>
                <w:b/>
                <w:bCs/>
                <w:color w:val="000000"/>
                <w:szCs w:val="20"/>
              </w:rPr>
            </w:pPr>
            <w:r w:rsidRPr="008950B4">
              <w:rPr>
                <w:b/>
                <w:bCs/>
                <w:color w:val="000000"/>
                <w:szCs w:val="20"/>
              </w:rPr>
              <w:t xml:space="preserve">(d = (a × </w:t>
            </w:r>
            <w:r w:rsidR="00C1657E">
              <w:rPr>
                <w:b/>
                <w:bCs/>
                <w:color w:val="000000"/>
                <w:szCs w:val="20"/>
              </w:rPr>
              <w:t>0</w:t>
            </w:r>
            <w:r w:rsidRPr="008950B4">
              <w:rPr>
                <w:b/>
                <w:bCs/>
                <w:color w:val="000000"/>
                <w:szCs w:val="20"/>
              </w:rPr>
              <w:t>.3</w:t>
            </w:r>
            <w:r w:rsidR="00006229">
              <w:rPr>
                <w:b/>
                <w:bCs/>
                <w:color w:val="000000"/>
                <w:szCs w:val="20"/>
              </w:rPr>
              <w:t>5</w:t>
            </w:r>
            <w:r w:rsidRPr="008950B4">
              <w:rPr>
                <w:b/>
                <w:bCs/>
                <w:color w:val="000000"/>
                <w:szCs w:val="20"/>
              </w:rPr>
              <w:t xml:space="preserve">) + (c × </w:t>
            </w:r>
            <w:r w:rsidR="00C1657E">
              <w:rPr>
                <w:b/>
                <w:bCs/>
                <w:color w:val="000000"/>
                <w:szCs w:val="20"/>
              </w:rPr>
              <w:t>0</w:t>
            </w:r>
            <w:r w:rsidRPr="008950B4">
              <w:rPr>
                <w:b/>
                <w:bCs/>
                <w:color w:val="000000"/>
                <w:szCs w:val="20"/>
              </w:rPr>
              <w:t>.083)</w:t>
            </w:r>
            <w:r w:rsidR="00C1657E">
              <w:rPr>
                <w:b/>
                <w:bCs/>
                <w:color w:val="000000"/>
                <w:szCs w:val="20"/>
              </w:rPr>
              <w:t>)</w:t>
            </w:r>
            <w:r w:rsidRPr="008950B4">
              <w:rPr>
                <w:b/>
                <w:bCs/>
                <w:color w:val="000000"/>
                <w:szCs w:val="20"/>
              </w:rPr>
              <w:t xml:space="preserve"> </w:t>
            </w:r>
          </w:p>
        </w:tc>
      </w:tr>
      <w:tr w14:paraId="248B1B30" w14:textId="77777777" w:rsidTr="00447043">
        <w:tblPrEx>
          <w:tblW w:w="9541" w:type="dxa"/>
          <w:tblInd w:w="80" w:type="dxa"/>
          <w:tblLook w:val="04A0"/>
        </w:tblPrEx>
        <w:trPr>
          <w:trHeight w:val="43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23C" w:rsidRPr="009C5162" w:rsidP="00C8223C" w14:paraId="2B2DC5EB" w14:textId="77777777">
            <w:pPr>
              <w:widowControl/>
              <w:autoSpaceDE/>
              <w:autoSpaceDN/>
              <w:adjustRightInd/>
              <w:rPr>
                <w:color w:val="000000"/>
                <w:szCs w:val="20"/>
              </w:rPr>
            </w:pPr>
            <w:r w:rsidRPr="009C5162">
              <w:rPr>
                <w:color w:val="000000"/>
                <w:szCs w:val="20"/>
              </w:rPr>
              <w:t>Interstate Carriers</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160E884A" w14:textId="1DD531B8">
            <w:pPr>
              <w:widowControl/>
              <w:autoSpaceDE/>
              <w:autoSpaceDN/>
              <w:adjustRightInd/>
              <w:jc w:val="center"/>
              <w:rPr>
                <w:color w:val="000000"/>
                <w:szCs w:val="20"/>
              </w:rPr>
            </w:pPr>
            <w:r>
              <w:rPr>
                <w:color w:val="000000"/>
                <w:szCs w:val="20"/>
              </w:rPr>
              <w:t>646</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468F3009" w14:textId="16E11007">
            <w:pPr>
              <w:widowControl/>
              <w:autoSpaceDE/>
              <w:autoSpaceDN/>
              <w:adjustRightInd/>
              <w:jc w:val="center"/>
              <w:rPr>
                <w:color w:val="000000"/>
                <w:szCs w:val="20"/>
              </w:rPr>
            </w:pPr>
            <w:r>
              <w:rPr>
                <w:color w:val="000000"/>
                <w:szCs w:val="20"/>
              </w:rPr>
              <w:t>646</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7E32A919" w14:textId="53308827">
            <w:pPr>
              <w:widowControl/>
              <w:autoSpaceDE/>
              <w:autoSpaceDN/>
              <w:adjustRightInd/>
              <w:jc w:val="center"/>
              <w:rPr>
                <w:color w:val="000000"/>
                <w:szCs w:val="20"/>
              </w:rPr>
            </w:pPr>
            <w:r>
              <w:rPr>
                <w:color w:val="000000"/>
                <w:szCs w:val="20"/>
              </w:rPr>
              <w:t>1,360</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788E307F" w14:textId="07E40F12">
            <w:pPr>
              <w:widowControl/>
              <w:autoSpaceDE/>
              <w:autoSpaceDN/>
              <w:adjustRightInd/>
              <w:jc w:val="center"/>
              <w:rPr>
                <w:color w:val="000000"/>
                <w:szCs w:val="20"/>
              </w:rPr>
            </w:pPr>
            <w:r>
              <w:rPr>
                <w:color w:val="000000"/>
                <w:szCs w:val="20"/>
              </w:rPr>
              <w:t>680</w:t>
            </w:r>
          </w:p>
        </w:tc>
        <w:tc>
          <w:tcPr>
            <w:tcW w:w="2181"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01E76144" w14:textId="5322E347">
            <w:pPr>
              <w:widowControl/>
              <w:autoSpaceDE/>
              <w:autoSpaceDN/>
              <w:adjustRightInd/>
              <w:jc w:val="center"/>
              <w:rPr>
                <w:color w:val="000000"/>
                <w:szCs w:val="20"/>
              </w:rPr>
            </w:pPr>
            <w:r>
              <w:rPr>
                <w:color w:val="000000"/>
                <w:szCs w:val="20"/>
              </w:rPr>
              <w:t>339</w:t>
            </w:r>
          </w:p>
        </w:tc>
      </w:tr>
      <w:tr w14:paraId="1E9F9AE3" w14:textId="77777777" w:rsidTr="00447043">
        <w:tblPrEx>
          <w:tblW w:w="9541" w:type="dxa"/>
          <w:tblInd w:w="80" w:type="dxa"/>
          <w:tblLook w:val="04A0"/>
        </w:tblPrEx>
        <w:trPr>
          <w:trHeight w:val="43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23C" w:rsidRPr="009C5162" w:rsidP="00C8223C" w14:paraId="079EBDBC" w14:textId="77777777">
            <w:pPr>
              <w:widowControl/>
              <w:autoSpaceDE/>
              <w:autoSpaceDN/>
              <w:adjustRightInd/>
              <w:rPr>
                <w:color w:val="000000"/>
                <w:szCs w:val="20"/>
              </w:rPr>
            </w:pPr>
            <w:r w:rsidRPr="009C5162">
              <w:rPr>
                <w:color w:val="000000"/>
                <w:szCs w:val="20"/>
              </w:rPr>
              <w:t>Intrastate Hazmat Carriers</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6FE18FBD" w14:textId="7C760E67">
            <w:pPr>
              <w:widowControl/>
              <w:autoSpaceDE/>
              <w:autoSpaceDN/>
              <w:adjustRightInd/>
              <w:jc w:val="center"/>
              <w:rPr>
                <w:color w:val="000000"/>
                <w:szCs w:val="20"/>
              </w:rPr>
            </w:pPr>
            <w:r>
              <w:rPr>
                <w:color w:val="000000"/>
                <w:szCs w:val="20"/>
              </w:rPr>
              <w:t>140</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3B543993" w14:textId="58139009">
            <w:pPr>
              <w:widowControl/>
              <w:autoSpaceDE/>
              <w:autoSpaceDN/>
              <w:adjustRightInd/>
              <w:jc w:val="center"/>
              <w:rPr>
                <w:color w:val="000000"/>
                <w:szCs w:val="20"/>
              </w:rPr>
            </w:pPr>
            <w:r>
              <w:rPr>
                <w:color w:val="000000"/>
                <w:szCs w:val="20"/>
              </w:rPr>
              <w:t>140</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2931963E" w14:textId="0189849C">
            <w:pPr>
              <w:widowControl/>
              <w:autoSpaceDE/>
              <w:autoSpaceDN/>
              <w:adjustRightInd/>
              <w:jc w:val="center"/>
              <w:rPr>
                <w:color w:val="000000"/>
                <w:szCs w:val="20"/>
              </w:rPr>
            </w:pPr>
            <w:r>
              <w:rPr>
                <w:color w:val="000000"/>
                <w:szCs w:val="20"/>
              </w:rPr>
              <w:t>292</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6E5D9A31" w14:textId="13B11843">
            <w:pPr>
              <w:widowControl/>
              <w:autoSpaceDE/>
              <w:autoSpaceDN/>
              <w:adjustRightInd/>
              <w:jc w:val="center"/>
              <w:rPr>
                <w:color w:val="000000"/>
                <w:szCs w:val="20"/>
              </w:rPr>
            </w:pPr>
            <w:r>
              <w:rPr>
                <w:color w:val="000000"/>
                <w:szCs w:val="20"/>
              </w:rPr>
              <w:t>146</w:t>
            </w:r>
          </w:p>
        </w:tc>
        <w:tc>
          <w:tcPr>
            <w:tcW w:w="2181"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17F1498E" w14:textId="0BFC6FAD">
            <w:pPr>
              <w:widowControl/>
              <w:autoSpaceDE/>
              <w:autoSpaceDN/>
              <w:adjustRightInd/>
              <w:jc w:val="center"/>
              <w:rPr>
                <w:color w:val="000000"/>
                <w:szCs w:val="20"/>
              </w:rPr>
            </w:pPr>
            <w:r>
              <w:rPr>
                <w:color w:val="000000"/>
                <w:szCs w:val="20"/>
              </w:rPr>
              <w:t>73</w:t>
            </w:r>
          </w:p>
        </w:tc>
      </w:tr>
      <w:tr w14:paraId="08A41C58" w14:textId="77777777" w:rsidTr="00447043">
        <w:tblPrEx>
          <w:tblW w:w="9541" w:type="dxa"/>
          <w:tblInd w:w="80" w:type="dxa"/>
          <w:tblLook w:val="04A0"/>
        </w:tblPrEx>
        <w:trPr>
          <w:trHeight w:val="43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23C" w:rsidRPr="009C5162" w:rsidP="00C8223C" w14:paraId="6C05C92F" w14:textId="77777777">
            <w:pPr>
              <w:widowControl/>
              <w:autoSpaceDE/>
              <w:autoSpaceDN/>
              <w:adjustRightInd/>
              <w:rPr>
                <w:color w:val="000000"/>
                <w:szCs w:val="20"/>
              </w:rPr>
            </w:pPr>
            <w:r w:rsidRPr="009C5162">
              <w:rPr>
                <w:color w:val="000000"/>
                <w:szCs w:val="20"/>
              </w:rPr>
              <w:t>Other (Shipper)</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3503FE4B" w14:textId="6136D096">
            <w:pPr>
              <w:widowControl/>
              <w:autoSpaceDE/>
              <w:autoSpaceDN/>
              <w:adjustRightInd/>
              <w:jc w:val="center"/>
              <w:rPr>
                <w:color w:val="000000"/>
                <w:szCs w:val="20"/>
              </w:rPr>
            </w:pPr>
            <w:r>
              <w:rPr>
                <w:color w:val="000000"/>
                <w:szCs w:val="20"/>
              </w:rPr>
              <w:t>179</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753F6493" w14:textId="0EECF92A">
            <w:pPr>
              <w:widowControl/>
              <w:autoSpaceDE/>
              <w:autoSpaceDN/>
              <w:adjustRightInd/>
              <w:jc w:val="center"/>
              <w:rPr>
                <w:color w:val="000000"/>
                <w:szCs w:val="20"/>
              </w:rPr>
            </w:pPr>
            <w:r>
              <w:rPr>
                <w:color w:val="000000"/>
                <w:szCs w:val="20"/>
              </w:rPr>
              <w:t>179</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1C0259BC" w14:textId="66A435C3">
            <w:pPr>
              <w:widowControl/>
              <w:autoSpaceDE/>
              <w:autoSpaceDN/>
              <w:adjustRightInd/>
              <w:jc w:val="center"/>
              <w:rPr>
                <w:color w:val="000000"/>
                <w:szCs w:val="20"/>
              </w:rPr>
            </w:pPr>
            <w:r>
              <w:rPr>
                <w:color w:val="000000"/>
                <w:szCs w:val="20"/>
              </w:rPr>
              <w:t>260</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21393E5E" w14:textId="44AF5BC5">
            <w:pPr>
              <w:widowControl/>
              <w:autoSpaceDE/>
              <w:autoSpaceDN/>
              <w:adjustRightInd/>
              <w:jc w:val="center"/>
              <w:rPr>
                <w:color w:val="000000"/>
                <w:szCs w:val="20"/>
              </w:rPr>
            </w:pPr>
            <w:r>
              <w:rPr>
                <w:color w:val="000000"/>
                <w:szCs w:val="20"/>
              </w:rPr>
              <w:t>130</w:t>
            </w:r>
          </w:p>
        </w:tc>
        <w:tc>
          <w:tcPr>
            <w:tcW w:w="2181"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2C1A510D" w14:textId="16607DEB">
            <w:pPr>
              <w:widowControl/>
              <w:autoSpaceDE/>
              <w:autoSpaceDN/>
              <w:adjustRightInd/>
              <w:jc w:val="center"/>
              <w:rPr>
                <w:color w:val="000000"/>
                <w:szCs w:val="20"/>
              </w:rPr>
            </w:pPr>
            <w:r>
              <w:rPr>
                <w:color w:val="000000"/>
                <w:szCs w:val="20"/>
              </w:rPr>
              <w:t>84</w:t>
            </w:r>
          </w:p>
        </w:tc>
      </w:tr>
      <w:tr w14:paraId="2991501A" w14:textId="77777777" w:rsidTr="00447043">
        <w:tblPrEx>
          <w:tblW w:w="9541" w:type="dxa"/>
          <w:tblInd w:w="80" w:type="dxa"/>
          <w:tblLook w:val="04A0"/>
        </w:tblPrEx>
        <w:trPr>
          <w:trHeight w:val="432"/>
        </w:trPr>
        <w:tc>
          <w:tcPr>
            <w:tcW w:w="1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223C" w:rsidRPr="009C5162" w:rsidP="00C8223C" w14:paraId="1AE00D6D" w14:textId="77777777">
            <w:pPr>
              <w:widowControl/>
              <w:autoSpaceDE/>
              <w:autoSpaceDN/>
              <w:adjustRightInd/>
              <w:rPr>
                <w:color w:val="000000"/>
                <w:szCs w:val="20"/>
              </w:rPr>
            </w:pPr>
            <w:r w:rsidRPr="009C5162">
              <w:rPr>
                <w:b/>
                <w:bCs/>
                <w:color w:val="000000"/>
                <w:szCs w:val="20"/>
              </w:rPr>
              <w:t>Total</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206FBD94" w14:textId="6479564D">
            <w:pPr>
              <w:widowControl/>
              <w:autoSpaceDE/>
              <w:autoSpaceDN/>
              <w:adjustRightInd/>
              <w:jc w:val="center"/>
              <w:rPr>
                <w:b/>
                <w:bCs/>
                <w:color w:val="000000"/>
                <w:szCs w:val="20"/>
              </w:rPr>
            </w:pPr>
            <w:r>
              <w:rPr>
                <w:b/>
                <w:bCs/>
                <w:color w:val="000000"/>
                <w:szCs w:val="20"/>
              </w:rPr>
              <w:t>966</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79C8AC55" w14:textId="1DF0B48C">
            <w:pPr>
              <w:widowControl/>
              <w:autoSpaceDE/>
              <w:autoSpaceDN/>
              <w:adjustRightInd/>
              <w:jc w:val="center"/>
              <w:rPr>
                <w:b/>
                <w:bCs/>
                <w:color w:val="000000"/>
                <w:szCs w:val="20"/>
              </w:rPr>
            </w:pPr>
            <w:r>
              <w:rPr>
                <w:b/>
                <w:bCs/>
                <w:color w:val="000000"/>
                <w:szCs w:val="20"/>
              </w:rPr>
              <w:t>966</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2288235B" w14:textId="68B16C0C">
            <w:pPr>
              <w:widowControl/>
              <w:autoSpaceDE/>
              <w:autoSpaceDN/>
              <w:adjustRightInd/>
              <w:jc w:val="center"/>
              <w:rPr>
                <w:b/>
                <w:bCs/>
                <w:color w:val="000000"/>
                <w:szCs w:val="20"/>
              </w:rPr>
            </w:pPr>
            <w:r>
              <w:rPr>
                <w:b/>
                <w:bCs/>
                <w:color w:val="000000"/>
                <w:szCs w:val="20"/>
              </w:rPr>
              <w:t>1,913</w:t>
            </w:r>
          </w:p>
        </w:tc>
        <w:tc>
          <w:tcPr>
            <w:tcW w:w="1417"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5BC111E1" w14:textId="59043ED8">
            <w:pPr>
              <w:widowControl/>
              <w:autoSpaceDE/>
              <w:autoSpaceDN/>
              <w:adjustRightInd/>
              <w:jc w:val="center"/>
              <w:rPr>
                <w:b/>
                <w:bCs/>
                <w:color w:val="000000"/>
                <w:szCs w:val="20"/>
              </w:rPr>
            </w:pPr>
            <w:r>
              <w:rPr>
                <w:b/>
                <w:bCs/>
                <w:color w:val="000000"/>
                <w:szCs w:val="20"/>
              </w:rPr>
              <w:t>957</w:t>
            </w:r>
          </w:p>
        </w:tc>
        <w:tc>
          <w:tcPr>
            <w:tcW w:w="2181" w:type="dxa"/>
            <w:tcBorders>
              <w:top w:val="nil"/>
              <w:left w:val="nil"/>
              <w:bottom w:val="single" w:sz="8" w:space="0" w:color="auto"/>
              <w:right w:val="single" w:sz="8" w:space="0" w:color="auto"/>
            </w:tcBorders>
            <w:shd w:val="clear" w:color="auto" w:fill="auto"/>
            <w:noWrap/>
            <w:vAlign w:val="center"/>
            <w:hideMark/>
          </w:tcPr>
          <w:p w:rsidR="00C8223C" w:rsidRPr="008950B4" w:rsidP="00C8223C" w14:paraId="18D7CAF1" w14:textId="0BC4FBA6">
            <w:pPr>
              <w:widowControl/>
              <w:autoSpaceDE/>
              <w:autoSpaceDN/>
              <w:adjustRightInd/>
              <w:jc w:val="center"/>
              <w:rPr>
                <w:b/>
                <w:bCs/>
                <w:color w:val="000000"/>
                <w:szCs w:val="20"/>
              </w:rPr>
            </w:pPr>
            <w:r>
              <w:rPr>
                <w:b/>
                <w:bCs/>
                <w:color w:val="000000"/>
                <w:szCs w:val="20"/>
              </w:rPr>
              <w:t>497</w:t>
            </w:r>
          </w:p>
        </w:tc>
      </w:tr>
      <w:tr w14:paraId="6E31E383" w14:textId="77777777" w:rsidTr="00447043">
        <w:tblPrEx>
          <w:tblW w:w="9541" w:type="dxa"/>
          <w:tblInd w:w="80" w:type="dxa"/>
          <w:tblLook w:val="04A0"/>
        </w:tblPrEx>
        <w:trPr>
          <w:trHeight w:val="288"/>
        </w:trPr>
        <w:tc>
          <w:tcPr>
            <w:tcW w:w="95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8223C" w:rsidRPr="009C5162" w:rsidP="00C8223C" w14:paraId="527F06BA" w14:textId="2699515C">
            <w:pPr>
              <w:widowControl/>
              <w:autoSpaceDE/>
              <w:autoSpaceDN/>
              <w:adjustRightInd/>
              <w:rPr>
                <w:color w:val="000000"/>
                <w:szCs w:val="20"/>
              </w:rPr>
            </w:pPr>
            <w:r>
              <w:rPr>
                <w:color w:val="000000"/>
                <w:szCs w:val="20"/>
              </w:rPr>
              <w:t>*</w:t>
            </w:r>
            <w:r w:rsidRPr="009C5162">
              <w:rPr>
                <w:color w:val="000000"/>
                <w:szCs w:val="20"/>
              </w:rPr>
              <w:t>Estimates may be off due to rounding</w:t>
            </w:r>
            <w:r>
              <w:rPr>
                <w:color w:val="000000"/>
                <w:szCs w:val="20"/>
              </w:rPr>
              <w:t>.</w:t>
            </w:r>
          </w:p>
        </w:tc>
      </w:tr>
    </w:tbl>
    <w:p w:rsidR="00F3301E" w:rsidP="00447043" w14:paraId="628E60BC" w14:textId="4E0F8508">
      <w:pPr>
        <w:spacing w:before="240" w:after="240"/>
        <w:ind w:left="360"/>
        <w:rPr>
          <w:sz w:val="24"/>
        </w:rPr>
      </w:pPr>
      <w:r w:rsidRPr="00DA5319">
        <w:rPr>
          <w:b/>
          <w:sz w:val="24"/>
        </w:rPr>
        <w:t xml:space="preserve">Estimated </w:t>
      </w:r>
      <w:r w:rsidRPr="00DA5319" w:rsidR="00E64E2F">
        <w:rPr>
          <w:b/>
          <w:sz w:val="24"/>
        </w:rPr>
        <w:t xml:space="preserve">Average </w:t>
      </w:r>
      <w:r w:rsidRPr="00DA5319">
        <w:rPr>
          <w:b/>
          <w:sz w:val="24"/>
        </w:rPr>
        <w:t>Total IC</w:t>
      </w:r>
      <w:r w:rsidRPr="00DA5319" w:rsidR="008E29E0">
        <w:rPr>
          <w:b/>
          <w:sz w:val="24"/>
        </w:rPr>
        <w:t>-</w:t>
      </w:r>
      <w:r w:rsidRPr="00DA5319">
        <w:rPr>
          <w:b/>
          <w:sz w:val="24"/>
        </w:rPr>
        <w:t>2 Annual Burden:</w:t>
      </w:r>
      <w:r w:rsidRPr="00DA5319">
        <w:rPr>
          <w:sz w:val="24"/>
        </w:rPr>
        <w:t xml:space="preserve">  </w:t>
      </w:r>
      <w:r w:rsidR="0046086D">
        <w:rPr>
          <w:sz w:val="24"/>
        </w:rPr>
        <w:t>497 hou</w:t>
      </w:r>
      <w:r w:rsidR="00C454AB">
        <w:rPr>
          <w:sz w:val="24"/>
        </w:rPr>
        <w:t>rs</w:t>
      </w:r>
      <w:r w:rsidRPr="00DA5319" w:rsidR="0068685C">
        <w:rPr>
          <w:sz w:val="24"/>
        </w:rPr>
        <w:t>.</w:t>
      </w:r>
    </w:p>
    <w:p w:rsidR="0068685C" w:rsidRPr="00DA5319" w:rsidP="00447043" w14:paraId="0B21F965" w14:textId="0C99945E">
      <w:pPr>
        <w:spacing w:before="240" w:after="240"/>
        <w:ind w:left="360"/>
        <w:rPr>
          <w:sz w:val="24"/>
        </w:rPr>
      </w:pPr>
      <w:r w:rsidRPr="00DA5319">
        <w:rPr>
          <w:b/>
          <w:sz w:val="24"/>
        </w:rPr>
        <w:t xml:space="preserve">Estimated </w:t>
      </w:r>
      <w:r w:rsidRPr="00DA5319" w:rsidR="00E64E2F">
        <w:rPr>
          <w:b/>
          <w:sz w:val="24"/>
        </w:rPr>
        <w:t xml:space="preserve">Average </w:t>
      </w:r>
      <w:r w:rsidRPr="00DA5319">
        <w:rPr>
          <w:b/>
          <w:sz w:val="24"/>
        </w:rPr>
        <w:t>IC</w:t>
      </w:r>
      <w:r w:rsidRPr="00DA5319" w:rsidR="008E29E0">
        <w:rPr>
          <w:b/>
          <w:sz w:val="24"/>
        </w:rPr>
        <w:t>-</w:t>
      </w:r>
      <w:r w:rsidRPr="00DA5319">
        <w:rPr>
          <w:b/>
          <w:sz w:val="24"/>
        </w:rPr>
        <w:t>2 Annual Number of Respondents:</w:t>
      </w:r>
      <w:r w:rsidRPr="00DA5319">
        <w:rPr>
          <w:sz w:val="24"/>
        </w:rPr>
        <w:t xml:space="preserve"> </w:t>
      </w:r>
      <w:r w:rsidR="00717A52">
        <w:rPr>
          <w:sz w:val="24"/>
        </w:rPr>
        <w:t>1,922</w:t>
      </w:r>
      <w:r w:rsidR="00D65E99">
        <w:rPr>
          <w:sz w:val="24"/>
        </w:rPr>
        <w:t xml:space="preserve"> </w:t>
      </w:r>
      <w:r w:rsidRPr="00DA5319" w:rsidR="00D65E99">
        <w:rPr>
          <w:sz w:val="24"/>
        </w:rPr>
        <w:t>[</w:t>
      </w:r>
      <w:r w:rsidR="00717A52">
        <w:rPr>
          <w:sz w:val="24"/>
        </w:rPr>
        <w:t>966</w:t>
      </w:r>
      <w:r w:rsidRPr="00DA5319" w:rsidR="00D65E99">
        <w:rPr>
          <w:sz w:val="24"/>
        </w:rPr>
        <w:t xml:space="preserve"> new filings + </w:t>
      </w:r>
      <w:r w:rsidR="00717A52">
        <w:rPr>
          <w:sz w:val="24"/>
        </w:rPr>
        <w:t>957</w:t>
      </w:r>
      <w:r w:rsidR="00D65E99">
        <w:rPr>
          <w:sz w:val="24"/>
        </w:rPr>
        <w:t xml:space="preserve"> </w:t>
      </w:r>
      <w:r w:rsidRPr="00DA5319" w:rsidR="00D65E99">
        <w:rPr>
          <w:sz w:val="24"/>
        </w:rPr>
        <w:t xml:space="preserve">biennial updates </w:t>
      </w:r>
      <w:r w:rsidR="00D65E99">
        <w:rPr>
          <w:sz w:val="24"/>
        </w:rPr>
        <w:t>=</w:t>
      </w:r>
      <w:r w:rsidR="00A062E8">
        <w:rPr>
          <w:sz w:val="24"/>
        </w:rPr>
        <w:t xml:space="preserve"> </w:t>
      </w:r>
      <w:r w:rsidR="00717A52">
        <w:rPr>
          <w:sz w:val="24"/>
        </w:rPr>
        <w:t>1,922</w:t>
      </w:r>
      <w:r w:rsidR="00D65E99">
        <w:rPr>
          <w:sz w:val="24"/>
        </w:rPr>
        <w:t xml:space="preserve"> respondents</w:t>
      </w:r>
      <w:r w:rsidRPr="00DA5319" w:rsidR="00D65E99">
        <w:rPr>
          <w:sz w:val="24"/>
        </w:rPr>
        <w:t>].</w:t>
      </w:r>
    </w:p>
    <w:p w:rsidR="00447043" w:rsidP="00823A5F" w14:paraId="3353D93B" w14:textId="4E9B1B30">
      <w:pPr>
        <w:ind w:left="360"/>
        <w:rPr>
          <w:sz w:val="24"/>
        </w:rPr>
      </w:pPr>
      <w:r w:rsidRPr="00DA5319">
        <w:rPr>
          <w:b/>
          <w:sz w:val="24"/>
        </w:rPr>
        <w:t xml:space="preserve">Estimated </w:t>
      </w:r>
      <w:r w:rsidRPr="00DA5319" w:rsidR="00E64E2F">
        <w:rPr>
          <w:b/>
          <w:sz w:val="24"/>
        </w:rPr>
        <w:t xml:space="preserve">Average </w:t>
      </w:r>
      <w:r w:rsidRPr="00DA5319">
        <w:rPr>
          <w:b/>
          <w:sz w:val="24"/>
        </w:rPr>
        <w:t>IC</w:t>
      </w:r>
      <w:r w:rsidRPr="00DA5319" w:rsidR="008E29E0">
        <w:rPr>
          <w:b/>
          <w:sz w:val="24"/>
        </w:rPr>
        <w:t>-</w:t>
      </w:r>
      <w:r w:rsidRPr="00DA5319">
        <w:rPr>
          <w:b/>
          <w:sz w:val="24"/>
        </w:rPr>
        <w:t>2 Annual Number of Responses</w:t>
      </w:r>
      <w:r w:rsidRPr="00DA5319">
        <w:rPr>
          <w:sz w:val="24"/>
        </w:rPr>
        <w:t xml:space="preserve">: </w:t>
      </w:r>
      <w:r w:rsidR="00717A52">
        <w:rPr>
          <w:sz w:val="24"/>
        </w:rPr>
        <w:t>2,879</w:t>
      </w:r>
      <w:r w:rsidRPr="00DA5319" w:rsidR="00DC74E1">
        <w:rPr>
          <w:sz w:val="24"/>
        </w:rPr>
        <w:t xml:space="preserve"> </w:t>
      </w:r>
      <w:r w:rsidRPr="00DA5319" w:rsidR="00E241FD">
        <w:rPr>
          <w:sz w:val="24"/>
        </w:rPr>
        <w:t>responses</w:t>
      </w:r>
      <w:r w:rsidRPr="00DA5319" w:rsidR="007060D8">
        <w:rPr>
          <w:sz w:val="24"/>
        </w:rPr>
        <w:t xml:space="preserve"> [</w:t>
      </w:r>
      <w:r w:rsidR="0044187C">
        <w:rPr>
          <w:sz w:val="24"/>
        </w:rPr>
        <w:t>966</w:t>
      </w:r>
      <w:r w:rsidR="002B6048">
        <w:rPr>
          <w:sz w:val="24"/>
        </w:rPr>
        <w:t xml:space="preserve"> </w:t>
      </w:r>
      <w:r w:rsidRPr="00DA5319" w:rsidR="007060D8">
        <w:rPr>
          <w:sz w:val="24"/>
        </w:rPr>
        <w:t xml:space="preserve">new filings + </w:t>
      </w:r>
      <w:r w:rsidR="0044187C">
        <w:rPr>
          <w:sz w:val="24"/>
        </w:rPr>
        <w:t>1,913</w:t>
      </w:r>
      <w:r w:rsidRPr="00DA5319" w:rsidR="00DC74E1">
        <w:rPr>
          <w:sz w:val="24"/>
        </w:rPr>
        <w:t xml:space="preserve"> </w:t>
      </w:r>
      <w:r w:rsidRPr="00DA5319" w:rsidR="0068685C">
        <w:rPr>
          <w:sz w:val="24"/>
        </w:rPr>
        <w:t>biennial updates and changes</w:t>
      </w:r>
      <w:r w:rsidR="00730587">
        <w:rPr>
          <w:sz w:val="24"/>
        </w:rPr>
        <w:t xml:space="preserve"> = </w:t>
      </w:r>
      <w:r w:rsidR="0044187C">
        <w:rPr>
          <w:sz w:val="24"/>
        </w:rPr>
        <w:t>2,879</w:t>
      </w:r>
      <w:r w:rsidR="00730587">
        <w:rPr>
          <w:sz w:val="24"/>
        </w:rPr>
        <w:t xml:space="preserve"> responses</w:t>
      </w:r>
      <w:r w:rsidRPr="00DA5319" w:rsidR="00E241FD">
        <w:rPr>
          <w:sz w:val="24"/>
        </w:rPr>
        <w:t>]</w:t>
      </w:r>
      <w:r w:rsidRPr="00DA5319" w:rsidR="00DD5A3E">
        <w:rPr>
          <w:sz w:val="24"/>
        </w:rPr>
        <w:t>.</w:t>
      </w:r>
    </w:p>
    <w:p w:rsidR="00447043" w:rsidRPr="00DA5319" w:rsidP="00447043" w14:paraId="44FE4077" w14:textId="77777777">
      <w:pPr>
        <w:ind w:left="360"/>
        <w:rPr>
          <w:sz w:val="24"/>
        </w:rPr>
      </w:pPr>
    </w:p>
    <w:p w:rsidR="00A94CFB" w:rsidRPr="00DA5319" w:rsidP="00447043" w14:paraId="2C179665" w14:textId="53F74397">
      <w:pPr>
        <w:pStyle w:val="BodyText"/>
        <w:ind w:left="360"/>
        <w:rPr>
          <w:u w:val="single"/>
        </w:rPr>
      </w:pPr>
      <w:r w:rsidRPr="00DA5319">
        <w:rPr>
          <w:u w:val="single"/>
        </w:rPr>
        <w:t xml:space="preserve">IC-3: Form MCS-150C, </w:t>
      </w:r>
      <w:r w:rsidRPr="00DA5319" w:rsidR="005801A0">
        <w:rPr>
          <w:u w:val="single"/>
        </w:rPr>
        <w:t>Intermodal Equipment Provider Identification Report</w:t>
      </w:r>
    </w:p>
    <w:p w:rsidR="00E4568E" w:rsidP="00447043" w14:paraId="710130D5" w14:textId="77777777">
      <w:pPr>
        <w:pStyle w:val="BodyText"/>
        <w:ind w:left="360"/>
        <w:rPr>
          <w:color w:val="000000"/>
        </w:rPr>
      </w:pPr>
    </w:p>
    <w:p w:rsidR="00EC10C9" w:rsidP="00447043" w14:paraId="1FF17C1B" w14:textId="40009281">
      <w:pPr>
        <w:pStyle w:val="BodyText"/>
        <w:ind w:left="360"/>
        <w:rPr>
          <w:color w:val="000000"/>
        </w:rPr>
      </w:pPr>
      <w:r w:rsidRPr="00DA5319">
        <w:rPr>
          <w:color w:val="000000"/>
        </w:rPr>
        <w:t>I</w:t>
      </w:r>
      <w:r w:rsidR="00A940BA">
        <w:rPr>
          <w:color w:val="000000"/>
        </w:rPr>
        <w:t>EP</w:t>
      </w:r>
      <w:r w:rsidRPr="00DA5319">
        <w:rPr>
          <w:color w:val="000000"/>
        </w:rPr>
        <w:t>s file Form M</w:t>
      </w:r>
      <w:r w:rsidRPr="00DA5319" w:rsidR="005801A0">
        <w:rPr>
          <w:color w:val="000000"/>
        </w:rPr>
        <w:t>CS-150C</w:t>
      </w:r>
      <w:r w:rsidRPr="00DA5319">
        <w:rPr>
          <w:color w:val="000000"/>
        </w:rPr>
        <w:t xml:space="preserve">. FMCSA </w:t>
      </w:r>
      <w:r w:rsidR="00730587">
        <w:rPr>
          <w:color w:val="000000"/>
        </w:rPr>
        <w:t xml:space="preserve">continues to </w:t>
      </w:r>
      <w:r w:rsidRPr="00DA5319">
        <w:rPr>
          <w:color w:val="000000"/>
        </w:rPr>
        <w:t>estimate Form MCS-150C take</w:t>
      </w:r>
      <w:r w:rsidR="00730587">
        <w:rPr>
          <w:color w:val="000000"/>
        </w:rPr>
        <w:t>s</w:t>
      </w:r>
      <w:r w:rsidRPr="00DA5319">
        <w:rPr>
          <w:color w:val="000000"/>
        </w:rPr>
        <w:t xml:space="preserve"> 20 minutes</w:t>
      </w:r>
      <w:r w:rsidR="00A062E8">
        <w:rPr>
          <w:color w:val="000000"/>
        </w:rPr>
        <w:t>,</w:t>
      </w:r>
      <w:r w:rsidR="00B856D6">
        <w:rPr>
          <w:color w:val="000000"/>
        </w:rPr>
        <w:t xml:space="preserve"> </w:t>
      </w:r>
      <w:r w:rsidR="00C150CE">
        <w:rPr>
          <w:color w:val="000000"/>
        </w:rPr>
        <w:t>or 0.333 hours</w:t>
      </w:r>
      <w:r w:rsidR="00A062E8">
        <w:rPr>
          <w:color w:val="000000"/>
        </w:rPr>
        <w:t>,</w:t>
      </w:r>
      <w:r w:rsidR="00730587">
        <w:rPr>
          <w:color w:val="000000"/>
        </w:rPr>
        <w:t xml:space="preserve"> for</w:t>
      </w:r>
      <w:r w:rsidRPr="00DA5319">
        <w:rPr>
          <w:color w:val="000000"/>
        </w:rPr>
        <w:t xml:space="preserve"> first time </w:t>
      </w:r>
      <w:r w:rsidR="00730587">
        <w:rPr>
          <w:color w:val="000000"/>
        </w:rPr>
        <w:t xml:space="preserve">filers. FMCSA continues to estimate </w:t>
      </w:r>
      <w:r w:rsidRPr="00DA5319">
        <w:rPr>
          <w:color w:val="000000"/>
        </w:rPr>
        <w:t xml:space="preserve">biennial updates or </w:t>
      </w:r>
      <w:r w:rsidR="00730587">
        <w:rPr>
          <w:color w:val="000000"/>
        </w:rPr>
        <w:t>ad</w:t>
      </w:r>
      <w:r w:rsidR="00A940BA">
        <w:rPr>
          <w:color w:val="000000"/>
        </w:rPr>
        <w:t>-</w:t>
      </w:r>
      <w:r w:rsidR="00730587">
        <w:rPr>
          <w:color w:val="000000"/>
        </w:rPr>
        <w:t xml:space="preserve">hoc </w:t>
      </w:r>
      <w:r w:rsidRPr="00DA5319">
        <w:rPr>
          <w:color w:val="000000"/>
        </w:rPr>
        <w:t xml:space="preserve">changes </w:t>
      </w:r>
      <w:r w:rsidR="00726735">
        <w:rPr>
          <w:color w:val="000000"/>
        </w:rPr>
        <w:t xml:space="preserve">take </w:t>
      </w:r>
      <w:r w:rsidRPr="00DA5319">
        <w:rPr>
          <w:color w:val="000000"/>
        </w:rPr>
        <w:t>7.5 minutes</w:t>
      </w:r>
      <w:r w:rsidR="00A940BA">
        <w:rPr>
          <w:color w:val="000000"/>
        </w:rPr>
        <w:t>,</w:t>
      </w:r>
      <w:r w:rsidR="00DA5258">
        <w:rPr>
          <w:color w:val="000000"/>
        </w:rPr>
        <w:t xml:space="preserve"> or 0.125 hours</w:t>
      </w:r>
      <w:r w:rsidR="00A940BA">
        <w:rPr>
          <w:color w:val="000000"/>
        </w:rPr>
        <w:t>,</w:t>
      </w:r>
      <w:r w:rsidR="000C4A4E">
        <w:rPr>
          <w:color w:val="000000"/>
        </w:rPr>
        <w:t xml:space="preserve"> per update or change</w:t>
      </w:r>
      <w:r w:rsidRPr="00DA5319">
        <w:rPr>
          <w:color w:val="000000"/>
        </w:rPr>
        <w:t>.</w:t>
      </w:r>
      <w:r w:rsidRPr="00DA5319" w:rsidR="005D66CA">
        <w:rPr>
          <w:color w:val="000000"/>
        </w:rPr>
        <w:t xml:space="preserve"> The estimated annual burden for IC-3 is presented in </w:t>
      </w:r>
      <w:r w:rsidRPr="00DA5319" w:rsidR="005D66CA">
        <w:rPr>
          <w:color w:val="000000"/>
        </w:rPr>
        <w:fldChar w:fldCharType="begin"/>
      </w:r>
      <w:r w:rsidRPr="00DA5319" w:rsidR="005D66CA">
        <w:rPr>
          <w:color w:val="000000"/>
        </w:rPr>
        <w:instrText xml:space="preserve"> REF _Ref526889007 \h  \* MERGEFORMAT </w:instrText>
      </w:r>
      <w:r w:rsidRPr="00DA5319" w:rsidR="005D66CA">
        <w:rPr>
          <w:color w:val="000000"/>
        </w:rPr>
        <w:fldChar w:fldCharType="separate"/>
      </w:r>
      <w:r w:rsidRPr="006D7BDD" w:rsidR="006D7BDD">
        <w:t xml:space="preserve">Table </w:t>
      </w:r>
      <w:r w:rsidRPr="00DA5319" w:rsidR="005D66CA">
        <w:rPr>
          <w:color w:val="000000"/>
        </w:rPr>
        <w:fldChar w:fldCharType="end"/>
      </w:r>
      <w:r w:rsidR="002842CC">
        <w:rPr>
          <w:color w:val="000000"/>
        </w:rPr>
        <w:t>6</w:t>
      </w:r>
      <w:r w:rsidRPr="002075E9" w:rsidR="005D66CA">
        <w:rPr>
          <w:color w:val="000000"/>
        </w:rPr>
        <w:t>.</w:t>
      </w:r>
    </w:p>
    <w:p w:rsidR="00310829" w:rsidP="00E4568E" w14:paraId="0CA8BB32" w14:textId="77777777">
      <w:pPr>
        <w:pStyle w:val="BodyText"/>
        <w:rPr>
          <w:color w:val="000000"/>
        </w:rPr>
      </w:pPr>
    </w:p>
    <w:p w:rsidR="00823A5F" w:rsidP="00E4568E" w14:paraId="560780E1" w14:textId="77777777">
      <w:pPr>
        <w:pStyle w:val="BodyText"/>
        <w:rPr>
          <w:color w:val="000000"/>
        </w:rPr>
      </w:pPr>
    </w:p>
    <w:p w:rsidR="00823A5F" w:rsidP="00E4568E" w14:paraId="1BD41D5D" w14:textId="77777777">
      <w:pPr>
        <w:pStyle w:val="BodyText"/>
        <w:rPr>
          <w:color w:val="000000"/>
        </w:rPr>
      </w:pPr>
    </w:p>
    <w:p w:rsidR="00823A5F" w:rsidP="00E4568E" w14:paraId="5B0C8355" w14:textId="77777777">
      <w:pPr>
        <w:pStyle w:val="BodyText"/>
        <w:rPr>
          <w:color w:val="000000"/>
        </w:rPr>
      </w:pPr>
    </w:p>
    <w:p w:rsidR="00823A5F" w:rsidP="00E4568E" w14:paraId="56455228" w14:textId="77777777">
      <w:pPr>
        <w:pStyle w:val="BodyText"/>
        <w:rPr>
          <w:color w:val="000000"/>
        </w:rPr>
      </w:pPr>
    </w:p>
    <w:p w:rsidR="00823A5F" w:rsidP="00E4568E" w14:paraId="2460C63E" w14:textId="77777777">
      <w:pPr>
        <w:pStyle w:val="BodyText"/>
        <w:rPr>
          <w:color w:val="000000"/>
        </w:rPr>
      </w:pPr>
    </w:p>
    <w:p w:rsidR="00823A5F" w:rsidP="00E4568E" w14:paraId="4B35CFD6" w14:textId="77777777">
      <w:pPr>
        <w:pStyle w:val="BodyText"/>
        <w:rPr>
          <w:color w:val="000000"/>
        </w:rPr>
      </w:pPr>
    </w:p>
    <w:p w:rsidR="00823A5F" w:rsidP="00E4568E" w14:paraId="4EC871AF" w14:textId="77777777">
      <w:pPr>
        <w:pStyle w:val="BodyText"/>
        <w:rPr>
          <w:color w:val="000000"/>
        </w:rPr>
      </w:pPr>
    </w:p>
    <w:p w:rsidR="00823A5F" w:rsidP="00E4568E" w14:paraId="41B652C3" w14:textId="77777777">
      <w:pPr>
        <w:pStyle w:val="BodyText"/>
        <w:rPr>
          <w:color w:val="000000"/>
        </w:rPr>
      </w:pPr>
    </w:p>
    <w:p w:rsidR="00823A5F" w:rsidP="00E4568E" w14:paraId="3155E0F3" w14:textId="77777777">
      <w:pPr>
        <w:pStyle w:val="BodyText"/>
        <w:rPr>
          <w:color w:val="000000"/>
        </w:rPr>
      </w:pPr>
    </w:p>
    <w:p w:rsidR="00823A5F" w:rsidP="00E4568E" w14:paraId="646D3353" w14:textId="77777777">
      <w:pPr>
        <w:pStyle w:val="BodyText"/>
        <w:rPr>
          <w:color w:val="000000"/>
        </w:rPr>
      </w:pPr>
    </w:p>
    <w:p w:rsidR="00823A5F" w:rsidP="00E4568E" w14:paraId="2BA87A1F" w14:textId="77777777">
      <w:pPr>
        <w:pStyle w:val="BodyText"/>
        <w:rPr>
          <w:color w:val="000000"/>
        </w:rPr>
      </w:pPr>
    </w:p>
    <w:p w:rsidR="00823A5F" w:rsidP="00E4568E" w14:paraId="5D9DE055" w14:textId="77777777">
      <w:pPr>
        <w:pStyle w:val="BodyText"/>
        <w:rPr>
          <w:color w:val="000000"/>
        </w:rPr>
      </w:pPr>
    </w:p>
    <w:p w:rsidR="00823A5F" w:rsidP="00E4568E" w14:paraId="6EDDD42A" w14:textId="77777777">
      <w:pPr>
        <w:pStyle w:val="BodyText"/>
        <w:rPr>
          <w:color w:val="000000"/>
        </w:rPr>
      </w:pPr>
    </w:p>
    <w:p w:rsidR="000D0349" w:rsidP="00447043" w14:paraId="5122D95C" w14:textId="6BE496B6">
      <w:pPr>
        <w:pStyle w:val="Caption"/>
        <w:keepNext/>
        <w:spacing w:after="0"/>
        <w:jc w:val="center"/>
        <w:rPr>
          <w:b/>
          <w:i w:val="0"/>
          <w:color w:val="auto"/>
          <w:sz w:val="24"/>
          <w:szCs w:val="24"/>
        </w:rPr>
      </w:pPr>
      <w:bookmarkStart w:id="3" w:name="_Ref526889007"/>
      <w:r w:rsidRPr="008563F8">
        <w:rPr>
          <w:b/>
          <w:i w:val="0"/>
          <w:color w:val="auto"/>
          <w:sz w:val="24"/>
          <w:szCs w:val="24"/>
        </w:rPr>
        <w:t xml:space="preserve">Table </w:t>
      </w:r>
      <w:r w:rsidR="0044187C">
        <w:rPr>
          <w:b/>
          <w:i w:val="0"/>
          <w:color w:val="auto"/>
          <w:sz w:val="24"/>
          <w:szCs w:val="24"/>
        </w:rPr>
        <w:t>6</w:t>
      </w:r>
      <w:bookmarkEnd w:id="3"/>
      <w:r w:rsidRPr="008563F8">
        <w:rPr>
          <w:b/>
          <w:i w:val="0"/>
          <w:color w:val="auto"/>
          <w:sz w:val="24"/>
          <w:szCs w:val="24"/>
        </w:rPr>
        <w:t xml:space="preserve">. </w:t>
      </w:r>
      <w:r w:rsidRPr="00FF2B9A" w:rsidR="00A14D10">
        <w:rPr>
          <w:b/>
          <w:i w:val="0"/>
          <w:color w:val="auto"/>
          <w:sz w:val="24"/>
          <w:szCs w:val="24"/>
        </w:rPr>
        <w:t>Estimated Annual Burden for IC-</w:t>
      </w:r>
      <w:r w:rsidR="006D7BDD">
        <w:rPr>
          <w:b/>
          <w:i w:val="0"/>
          <w:color w:val="auto"/>
          <w:sz w:val="24"/>
          <w:szCs w:val="24"/>
        </w:rPr>
        <w:t>3</w:t>
      </w:r>
      <w:r w:rsidRPr="00FF2B9A" w:rsidR="00A14D10">
        <w:rPr>
          <w:b/>
          <w:i w:val="0"/>
          <w:color w:val="auto"/>
          <w:sz w:val="24"/>
          <w:szCs w:val="24"/>
        </w:rPr>
        <w:t>: Form MCS-150C, Intermodal Equipment Provider Identification Report</w:t>
      </w:r>
    </w:p>
    <w:p w:rsidR="00E4568E" w:rsidRPr="00E4568E" w:rsidP="00E4568E" w14:paraId="0738ACE2" w14:textId="77777777">
      <w:pPr>
        <w:rPr>
          <w:sz w:val="24"/>
        </w:rPr>
      </w:pPr>
    </w:p>
    <w:tbl>
      <w:tblPr>
        <w:tblW w:w="8786" w:type="dxa"/>
        <w:tblLayout w:type="fixed"/>
        <w:tblLook w:val="04A0"/>
      </w:tblPr>
      <w:tblGrid>
        <w:gridCol w:w="1464"/>
        <w:gridCol w:w="1464"/>
        <w:gridCol w:w="1465"/>
        <w:gridCol w:w="1464"/>
        <w:gridCol w:w="1464"/>
        <w:gridCol w:w="1465"/>
      </w:tblGrid>
      <w:tr w14:paraId="25CBA9B0" w14:textId="77777777" w:rsidTr="00502505">
        <w:tblPrEx>
          <w:tblW w:w="8786" w:type="dxa"/>
          <w:tblLayout w:type="fixed"/>
          <w:tblLook w:val="04A0"/>
        </w:tblPrEx>
        <w:trPr>
          <w:trHeight w:val="553"/>
        </w:trPr>
        <w:tc>
          <w:tcPr>
            <w:tcW w:w="1464" w:type="dxa"/>
            <w:vMerge w:val="restart"/>
            <w:tcBorders>
              <w:top w:val="single" w:sz="8" w:space="0" w:color="auto"/>
              <w:left w:val="single" w:sz="8" w:space="0" w:color="auto"/>
              <w:right w:val="single" w:sz="8" w:space="0" w:color="auto"/>
            </w:tcBorders>
            <w:shd w:val="clear" w:color="000000" w:fill="D9D9D9"/>
            <w:vAlign w:val="center"/>
            <w:hideMark/>
          </w:tcPr>
          <w:p w:rsidR="003E7318" w:rsidRPr="003E7318" w:rsidP="003E7318" w14:paraId="36C910D7" w14:textId="4274FC8F">
            <w:pPr>
              <w:jc w:val="center"/>
              <w:rPr>
                <w:b/>
                <w:bCs/>
                <w:color w:val="000000"/>
                <w:szCs w:val="20"/>
              </w:rPr>
            </w:pPr>
            <w:r w:rsidRPr="003E7318">
              <w:rPr>
                <w:b/>
                <w:bCs/>
                <w:color w:val="000000"/>
                <w:szCs w:val="20"/>
              </w:rPr>
              <w:t>Applicable Motor Carrier Type</w:t>
            </w:r>
          </w:p>
        </w:tc>
        <w:tc>
          <w:tcPr>
            <w:tcW w:w="1464" w:type="dxa"/>
            <w:tcBorders>
              <w:top w:val="single" w:sz="8" w:space="0" w:color="auto"/>
              <w:left w:val="nil"/>
              <w:bottom w:val="nil"/>
              <w:right w:val="single" w:sz="8" w:space="0" w:color="auto"/>
            </w:tcBorders>
            <w:shd w:val="clear" w:color="000000" w:fill="D9D9D9"/>
            <w:vAlign w:val="center"/>
            <w:hideMark/>
          </w:tcPr>
          <w:p w:rsidR="003E7318" w:rsidRPr="003E7318" w:rsidP="003E7318" w14:paraId="5A97D00A" w14:textId="22AC2039">
            <w:pPr>
              <w:widowControl/>
              <w:autoSpaceDE/>
              <w:autoSpaceDN/>
              <w:adjustRightInd/>
              <w:jc w:val="center"/>
              <w:rPr>
                <w:b/>
                <w:bCs/>
                <w:color w:val="000000"/>
                <w:szCs w:val="20"/>
              </w:rPr>
            </w:pPr>
            <w:r>
              <w:rPr>
                <w:b/>
                <w:bCs/>
                <w:color w:val="000000"/>
                <w:szCs w:val="20"/>
              </w:rPr>
              <w:t xml:space="preserve">Total </w:t>
            </w:r>
            <w:r w:rsidRPr="008950B4">
              <w:rPr>
                <w:b/>
                <w:bCs/>
                <w:color w:val="000000"/>
                <w:szCs w:val="20"/>
              </w:rPr>
              <w:t>Number of Annual New Responses</w:t>
            </w:r>
            <w:r w:rsidRPr="003E7318">
              <w:rPr>
                <w:b/>
                <w:bCs/>
                <w:color w:val="000000"/>
                <w:szCs w:val="20"/>
              </w:rPr>
              <w:t xml:space="preserve"> </w:t>
            </w:r>
          </w:p>
        </w:tc>
        <w:tc>
          <w:tcPr>
            <w:tcW w:w="1465" w:type="dxa"/>
            <w:tcBorders>
              <w:top w:val="single" w:sz="8" w:space="0" w:color="auto"/>
              <w:left w:val="nil"/>
              <w:bottom w:val="nil"/>
              <w:right w:val="single" w:sz="8" w:space="0" w:color="auto"/>
            </w:tcBorders>
            <w:shd w:val="clear" w:color="000000" w:fill="D9D9D9"/>
            <w:vAlign w:val="center"/>
            <w:hideMark/>
          </w:tcPr>
          <w:p w:rsidR="003E7318" w:rsidRPr="003E7318" w:rsidP="003E7318" w14:paraId="0D14E880" w14:textId="77777777">
            <w:pPr>
              <w:widowControl/>
              <w:autoSpaceDE/>
              <w:autoSpaceDN/>
              <w:adjustRightInd/>
              <w:jc w:val="center"/>
              <w:rPr>
                <w:b/>
                <w:bCs/>
                <w:color w:val="000000"/>
                <w:szCs w:val="20"/>
              </w:rPr>
            </w:pPr>
            <w:r w:rsidRPr="003E7318">
              <w:rPr>
                <w:b/>
                <w:bCs/>
                <w:color w:val="000000"/>
                <w:szCs w:val="20"/>
              </w:rPr>
              <w:t>Total Number of New Respondents</w:t>
            </w:r>
          </w:p>
        </w:tc>
        <w:tc>
          <w:tcPr>
            <w:tcW w:w="1464" w:type="dxa"/>
            <w:tcBorders>
              <w:top w:val="single" w:sz="8" w:space="0" w:color="auto"/>
              <w:left w:val="nil"/>
              <w:bottom w:val="nil"/>
              <w:right w:val="single" w:sz="8" w:space="0" w:color="auto"/>
            </w:tcBorders>
            <w:shd w:val="clear" w:color="000000" w:fill="D9D9D9"/>
            <w:vAlign w:val="center"/>
            <w:hideMark/>
          </w:tcPr>
          <w:p w:rsidR="003E7318" w:rsidRPr="003E7318" w:rsidP="003E7318" w14:paraId="76283A4F" w14:textId="5365C6BB">
            <w:pPr>
              <w:widowControl/>
              <w:autoSpaceDE/>
              <w:autoSpaceDN/>
              <w:adjustRightInd/>
              <w:jc w:val="center"/>
              <w:rPr>
                <w:b/>
                <w:bCs/>
                <w:color w:val="000000"/>
                <w:szCs w:val="20"/>
              </w:rPr>
            </w:pPr>
            <w:r>
              <w:rPr>
                <w:b/>
                <w:bCs/>
                <w:color w:val="000000"/>
                <w:szCs w:val="20"/>
              </w:rPr>
              <w:t xml:space="preserve">Total Number of </w:t>
            </w:r>
            <w:r w:rsidRPr="008950B4">
              <w:rPr>
                <w:b/>
                <w:bCs/>
                <w:color w:val="000000"/>
                <w:szCs w:val="20"/>
              </w:rPr>
              <w:t xml:space="preserve">Biennial </w:t>
            </w:r>
            <w:r>
              <w:rPr>
                <w:b/>
                <w:bCs/>
                <w:color w:val="000000"/>
                <w:szCs w:val="20"/>
              </w:rPr>
              <w:t>and/or Ad</w:t>
            </w:r>
            <w:r w:rsidR="0063061B">
              <w:rPr>
                <w:b/>
                <w:bCs/>
                <w:color w:val="000000"/>
                <w:szCs w:val="20"/>
              </w:rPr>
              <w:t xml:space="preserve"> </w:t>
            </w:r>
            <w:r>
              <w:rPr>
                <w:b/>
                <w:bCs/>
                <w:color w:val="000000"/>
                <w:szCs w:val="20"/>
              </w:rPr>
              <w:t>hoc</w:t>
            </w:r>
            <w:r w:rsidRPr="008950B4">
              <w:rPr>
                <w:b/>
                <w:bCs/>
                <w:color w:val="000000"/>
                <w:szCs w:val="20"/>
              </w:rPr>
              <w:t xml:space="preserve"> Responses</w:t>
            </w:r>
            <w:r w:rsidRPr="003E7318">
              <w:rPr>
                <w:b/>
                <w:bCs/>
                <w:color w:val="000000"/>
                <w:szCs w:val="20"/>
              </w:rPr>
              <w:t xml:space="preserve"> </w:t>
            </w:r>
          </w:p>
        </w:tc>
        <w:tc>
          <w:tcPr>
            <w:tcW w:w="1464" w:type="dxa"/>
            <w:tcBorders>
              <w:top w:val="single" w:sz="8" w:space="0" w:color="auto"/>
              <w:left w:val="nil"/>
              <w:bottom w:val="nil"/>
              <w:right w:val="single" w:sz="8" w:space="0" w:color="auto"/>
            </w:tcBorders>
            <w:shd w:val="clear" w:color="000000" w:fill="D9D9D9"/>
            <w:vAlign w:val="center"/>
            <w:hideMark/>
          </w:tcPr>
          <w:p w:rsidR="003E7318" w:rsidRPr="003E7318" w:rsidP="003E7318" w14:paraId="0051D14E" w14:textId="0285C66F">
            <w:pPr>
              <w:widowControl/>
              <w:autoSpaceDE/>
              <w:autoSpaceDN/>
              <w:adjustRightInd/>
              <w:jc w:val="center"/>
              <w:rPr>
                <w:b/>
                <w:bCs/>
                <w:color w:val="000000"/>
                <w:szCs w:val="20"/>
              </w:rPr>
            </w:pPr>
            <w:r>
              <w:rPr>
                <w:b/>
                <w:bCs/>
                <w:color w:val="000000"/>
                <w:szCs w:val="20"/>
              </w:rPr>
              <w:t>*</w:t>
            </w:r>
            <w:r w:rsidRPr="008950B4" w:rsidR="000C4A4E">
              <w:rPr>
                <w:b/>
                <w:bCs/>
                <w:color w:val="000000"/>
                <w:szCs w:val="20"/>
              </w:rPr>
              <w:t xml:space="preserve">Total Number of Biennial </w:t>
            </w:r>
            <w:r w:rsidR="000C4A4E">
              <w:rPr>
                <w:b/>
                <w:bCs/>
                <w:color w:val="000000"/>
                <w:szCs w:val="20"/>
              </w:rPr>
              <w:t>and/or Ad</w:t>
            </w:r>
            <w:r w:rsidR="0063061B">
              <w:rPr>
                <w:b/>
                <w:bCs/>
                <w:color w:val="000000"/>
                <w:szCs w:val="20"/>
              </w:rPr>
              <w:t xml:space="preserve"> </w:t>
            </w:r>
            <w:r w:rsidR="000C4A4E">
              <w:rPr>
                <w:b/>
                <w:bCs/>
                <w:color w:val="000000"/>
                <w:szCs w:val="20"/>
              </w:rPr>
              <w:t>hoc</w:t>
            </w:r>
            <w:r w:rsidRPr="008950B4" w:rsidR="000C4A4E">
              <w:rPr>
                <w:b/>
                <w:bCs/>
                <w:color w:val="000000"/>
                <w:szCs w:val="20"/>
              </w:rPr>
              <w:t xml:space="preserve"> Respondents</w:t>
            </w:r>
            <w:r w:rsidRPr="003E7318" w:rsidR="000C4A4E">
              <w:rPr>
                <w:b/>
                <w:bCs/>
                <w:color w:val="000000"/>
                <w:szCs w:val="20"/>
              </w:rPr>
              <w:t xml:space="preserve"> </w:t>
            </w:r>
          </w:p>
        </w:tc>
        <w:tc>
          <w:tcPr>
            <w:tcW w:w="1465" w:type="dxa"/>
            <w:tcBorders>
              <w:top w:val="single" w:sz="8" w:space="0" w:color="auto"/>
              <w:left w:val="nil"/>
              <w:bottom w:val="nil"/>
              <w:right w:val="single" w:sz="8" w:space="0" w:color="auto"/>
            </w:tcBorders>
            <w:shd w:val="clear" w:color="000000" w:fill="D9D9D9"/>
            <w:vAlign w:val="center"/>
            <w:hideMark/>
          </w:tcPr>
          <w:p w:rsidR="009C5162" w:rsidRPr="003E7318" w:rsidP="000C4A4E" w14:paraId="5DD74053" w14:textId="611A4346">
            <w:pPr>
              <w:widowControl/>
              <w:autoSpaceDE/>
              <w:autoSpaceDN/>
              <w:adjustRightInd/>
              <w:jc w:val="center"/>
              <w:rPr>
                <w:b/>
                <w:bCs/>
                <w:color w:val="000000"/>
                <w:szCs w:val="20"/>
              </w:rPr>
            </w:pPr>
            <w:r>
              <w:rPr>
                <w:b/>
                <w:bCs/>
                <w:color w:val="000000"/>
                <w:szCs w:val="20"/>
              </w:rPr>
              <w:t>*</w:t>
            </w:r>
            <w:r w:rsidRPr="008950B4">
              <w:rPr>
                <w:b/>
                <w:bCs/>
                <w:color w:val="000000"/>
                <w:szCs w:val="20"/>
              </w:rPr>
              <w:t xml:space="preserve">Annual </w:t>
            </w:r>
            <w:r>
              <w:rPr>
                <w:b/>
                <w:bCs/>
                <w:color w:val="000000"/>
                <w:szCs w:val="20"/>
              </w:rPr>
              <w:t xml:space="preserve">Hourly </w:t>
            </w:r>
            <w:r w:rsidRPr="008950B4">
              <w:rPr>
                <w:b/>
                <w:bCs/>
                <w:color w:val="000000"/>
                <w:szCs w:val="20"/>
              </w:rPr>
              <w:t>Burden for New</w:t>
            </w:r>
            <w:r>
              <w:rPr>
                <w:b/>
                <w:bCs/>
                <w:color w:val="000000"/>
                <w:szCs w:val="20"/>
              </w:rPr>
              <w:t>, Biennial and/or Ad</w:t>
            </w:r>
            <w:r w:rsidR="0063061B">
              <w:rPr>
                <w:b/>
                <w:bCs/>
                <w:color w:val="000000"/>
                <w:szCs w:val="20"/>
              </w:rPr>
              <w:t xml:space="preserve"> </w:t>
            </w:r>
            <w:r>
              <w:rPr>
                <w:b/>
                <w:bCs/>
                <w:color w:val="000000"/>
                <w:szCs w:val="20"/>
              </w:rPr>
              <w:t>hoc Changes</w:t>
            </w:r>
            <w:r w:rsidRPr="003E7318">
              <w:rPr>
                <w:b/>
                <w:bCs/>
                <w:color w:val="000000"/>
                <w:szCs w:val="20"/>
              </w:rPr>
              <w:t xml:space="preserve"> </w:t>
            </w:r>
          </w:p>
        </w:tc>
      </w:tr>
      <w:tr w14:paraId="46AEB95F" w14:textId="77777777" w:rsidTr="000C4A4E">
        <w:tblPrEx>
          <w:tblW w:w="8786" w:type="dxa"/>
          <w:tblLayout w:type="fixed"/>
          <w:tblLook w:val="04A0"/>
        </w:tblPrEx>
        <w:trPr>
          <w:trHeight w:val="594"/>
        </w:trPr>
        <w:tc>
          <w:tcPr>
            <w:tcW w:w="1464" w:type="dxa"/>
            <w:vMerge/>
            <w:tcBorders>
              <w:left w:val="single" w:sz="8" w:space="0" w:color="auto"/>
              <w:bottom w:val="single" w:sz="4" w:space="0" w:color="auto"/>
              <w:right w:val="single" w:sz="8" w:space="0" w:color="auto"/>
            </w:tcBorders>
            <w:shd w:val="clear" w:color="000000" w:fill="D9D9D9"/>
            <w:vAlign w:val="center"/>
            <w:hideMark/>
          </w:tcPr>
          <w:p w:rsidR="003E7318" w:rsidRPr="003E7318" w:rsidP="003E7318" w14:paraId="11399EA1" w14:textId="25016B10">
            <w:pPr>
              <w:widowControl/>
              <w:autoSpaceDE/>
              <w:autoSpaceDN/>
              <w:adjustRightInd/>
              <w:jc w:val="center"/>
              <w:rPr>
                <w:b/>
                <w:bCs/>
                <w:color w:val="000000"/>
                <w:szCs w:val="20"/>
              </w:rPr>
            </w:pPr>
          </w:p>
        </w:tc>
        <w:tc>
          <w:tcPr>
            <w:tcW w:w="1464" w:type="dxa"/>
            <w:tcBorders>
              <w:top w:val="nil"/>
              <w:left w:val="nil"/>
              <w:bottom w:val="single" w:sz="4" w:space="0" w:color="auto"/>
              <w:right w:val="single" w:sz="8" w:space="0" w:color="auto"/>
            </w:tcBorders>
            <w:shd w:val="clear" w:color="000000" w:fill="D9D9D9"/>
            <w:vAlign w:val="center"/>
            <w:hideMark/>
          </w:tcPr>
          <w:p w:rsidR="003E7318" w:rsidRPr="009C5162" w:rsidP="003E7318" w14:paraId="6A874A39" w14:textId="77777777">
            <w:pPr>
              <w:widowControl/>
              <w:autoSpaceDE/>
              <w:autoSpaceDN/>
              <w:adjustRightInd/>
              <w:jc w:val="center"/>
              <w:rPr>
                <w:b/>
                <w:bCs/>
                <w:color w:val="000000"/>
                <w:szCs w:val="20"/>
              </w:rPr>
            </w:pPr>
            <w:r w:rsidRPr="009C5162">
              <w:rPr>
                <w:b/>
                <w:bCs/>
                <w:color w:val="000000"/>
                <w:szCs w:val="20"/>
              </w:rPr>
              <w:t>(a)</w:t>
            </w:r>
          </w:p>
        </w:tc>
        <w:tc>
          <w:tcPr>
            <w:tcW w:w="1465" w:type="dxa"/>
            <w:tcBorders>
              <w:top w:val="nil"/>
              <w:left w:val="nil"/>
              <w:bottom w:val="single" w:sz="4" w:space="0" w:color="auto"/>
              <w:right w:val="single" w:sz="8" w:space="0" w:color="auto"/>
            </w:tcBorders>
            <w:shd w:val="clear" w:color="000000" w:fill="D9D9D9"/>
            <w:vAlign w:val="center"/>
            <w:hideMark/>
          </w:tcPr>
          <w:p w:rsidR="003E7318" w:rsidRPr="009C5162" w:rsidP="003E7318" w14:paraId="63374E56" w14:textId="77777777">
            <w:pPr>
              <w:widowControl/>
              <w:autoSpaceDE/>
              <w:autoSpaceDN/>
              <w:adjustRightInd/>
              <w:jc w:val="center"/>
              <w:rPr>
                <w:b/>
                <w:bCs/>
                <w:color w:val="000000"/>
                <w:szCs w:val="20"/>
              </w:rPr>
            </w:pPr>
            <w:r w:rsidRPr="009C5162">
              <w:rPr>
                <w:b/>
                <w:bCs/>
                <w:color w:val="000000"/>
                <w:szCs w:val="20"/>
              </w:rPr>
              <w:t>(b) = (a × 1)</w:t>
            </w:r>
          </w:p>
        </w:tc>
        <w:tc>
          <w:tcPr>
            <w:tcW w:w="1464" w:type="dxa"/>
            <w:tcBorders>
              <w:top w:val="nil"/>
              <w:left w:val="nil"/>
              <w:bottom w:val="single" w:sz="4" w:space="0" w:color="auto"/>
              <w:right w:val="single" w:sz="8" w:space="0" w:color="auto"/>
            </w:tcBorders>
            <w:shd w:val="clear" w:color="000000" w:fill="D9D9D9"/>
            <w:vAlign w:val="center"/>
            <w:hideMark/>
          </w:tcPr>
          <w:p w:rsidR="003E7318" w:rsidRPr="009C5162" w:rsidP="003E7318" w14:paraId="5BC52D14" w14:textId="77777777">
            <w:pPr>
              <w:widowControl/>
              <w:autoSpaceDE/>
              <w:autoSpaceDN/>
              <w:adjustRightInd/>
              <w:jc w:val="center"/>
              <w:rPr>
                <w:b/>
                <w:bCs/>
                <w:color w:val="000000"/>
                <w:szCs w:val="20"/>
              </w:rPr>
            </w:pPr>
            <w:r w:rsidRPr="009C5162">
              <w:rPr>
                <w:b/>
                <w:bCs/>
                <w:color w:val="000000"/>
                <w:szCs w:val="20"/>
              </w:rPr>
              <w:t>(c)</w:t>
            </w:r>
          </w:p>
        </w:tc>
        <w:tc>
          <w:tcPr>
            <w:tcW w:w="1464" w:type="dxa"/>
            <w:tcBorders>
              <w:top w:val="nil"/>
              <w:left w:val="nil"/>
              <w:bottom w:val="single" w:sz="4" w:space="0" w:color="auto"/>
              <w:right w:val="single" w:sz="8" w:space="0" w:color="auto"/>
            </w:tcBorders>
            <w:shd w:val="clear" w:color="000000" w:fill="D9D9D9"/>
            <w:vAlign w:val="center"/>
            <w:hideMark/>
          </w:tcPr>
          <w:p w:rsidR="003E7318" w:rsidRPr="009C5162" w:rsidP="003E7318" w14:paraId="365F516D" w14:textId="4793C20D">
            <w:pPr>
              <w:widowControl/>
              <w:autoSpaceDE/>
              <w:autoSpaceDN/>
              <w:adjustRightInd/>
              <w:jc w:val="center"/>
              <w:rPr>
                <w:b/>
                <w:bCs/>
                <w:color w:val="000000"/>
                <w:szCs w:val="20"/>
              </w:rPr>
            </w:pPr>
            <w:r w:rsidRPr="009C5162">
              <w:rPr>
                <w:b/>
                <w:bCs/>
                <w:color w:val="000000"/>
                <w:szCs w:val="20"/>
              </w:rPr>
              <w:t xml:space="preserve">(d = c </w:t>
            </w:r>
            <w:r w:rsidRPr="009C5162" w:rsidR="002071DF">
              <w:rPr>
                <w:b/>
                <w:bCs/>
                <w:color w:val="000000"/>
                <w:szCs w:val="20"/>
              </w:rPr>
              <w:t>×</w:t>
            </w:r>
            <w:r w:rsidRPr="009C5162">
              <w:rPr>
                <w:b/>
                <w:bCs/>
                <w:color w:val="000000"/>
                <w:szCs w:val="20"/>
              </w:rPr>
              <w:t xml:space="preserve"> .5)</w:t>
            </w:r>
          </w:p>
        </w:tc>
        <w:tc>
          <w:tcPr>
            <w:tcW w:w="1465" w:type="dxa"/>
            <w:tcBorders>
              <w:top w:val="nil"/>
              <w:left w:val="nil"/>
              <w:bottom w:val="single" w:sz="4" w:space="0" w:color="auto"/>
              <w:right w:val="single" w:sz="8" w:space="0" w:color="auto"/>
            </w:tcBorders>
            <w:shd w:val="clear" w:color="000000" w:fill="D9D9D9"/>
            <w:vAlign w:val="center"/>
            <w:hideMark/>
          </w:tcPr>
          <w:p w:rsidR="003E7318" w:rsidRPr="009C5162" w:rsidP="003E7318" w14:paraId="01C3916D" w14:textId="66B37787">
            <w:pPr>
              <w:widowControl/>
              <w:autoSpaceDE/>
              <w:autoSpaceDN/>
              <w:adjustRightInd/>
              <w:jc w:val="center"/>
              <w:rPr>
                <w:b/>
                <w:bCs/>
                <w:color w:val="000000"/>
                <w:szCs w:val="20"/>
              </w:rPr>
            </w:pPr>
            <w:r w:rsidRPr="009C5162">
              <w:rPr>
                <w:b/>
                <w:bCs/>
                <w:color w:val="000000"/>
                <w:szCs w:val="20"/>
              </w:rPr>
              <w:t xml:space="preserve">(d = (a × </w:t>
            </w:r>
            <w:r w:rsidR="004F54D2">
              <w:rPr>
                <w:b/>
                <w:bCs/>
                <w:color w:val="000000"/>
                <w:szCs w:val="20"/>
              </w:rPr>
              <w:t>0</w:t>
            </w:r>
            <w:r w:rsidRPr="009C5162">
              <w:rPr>
                <w:b/>
                <w:bCs/>
                <w:color w:val="000000"/>
                <w:szCs w:val="20"/>
              </w:rPr>
              <w:t xml:space="preserve">.333) + (c × </w:t>
            </w:r>
            <w:r w:rsidR="004F54D2">
              <w:rPr>
                <w:b/>
                <w:bCs/>
                <w:color w:val="000000"/>
                <w:szCs w:val="20"/>
              </w:rPr>
              <w:t>0</w:t>
            </w:r>
            <w:r w:rsidRPr="009C5162">
              <w:rPr>
                <w:b/>
                <w:bCs/>
                <w:color w:val="000000"/>
                <w:szCs w:val="20"/>
              </w:rPr>
              <w:t xml:space="preserve">.083) </w:t>
            </w:r>
          </w:p>
        </w:tc>
      </w:tr>
      <w:tr w14:paraId="61953F0F" w14:textId="77777777" w:rsidTr="00E4122D">
        <w:tblPrEx>
          <w:tblW w:w="8786" w:type="dxa"/>
          <w:tblLayout w:type="fixed"/>
          <w:tblLook w:val="04A0"/>
        </w:tblPrEx>
        <w:trPr>
          <w:trHeight w:val="576"/>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2E4" w:rsidRPr="00726735" w:rsidP="00A742E4" w14:paraId="380A42E3" w14:textId="77777777">
            <w:pPr>
              <w:widowControl/>
              <w:autoSpaceDE/>
              <w:autoSpaceDN/>
              <w:adjustRightInd/>
              <w:rPr>
                <w:color w:val="000000"/>
                <w:szCs w:val="20"/>
              </w:rPr>
            </w:pPr>
            <w:r w:rsidRPr="00726735">
              <w:rPr>
                <w:color w:val="000000"/>
                <w:szCs w:val="20"/>
              </w:rPr>
              <w:t>Interstate Carriers</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7CB4D2FB" w14:textId="5B126779">
            <w:pPr>
              <w:widowControl/>
              <w:autoSpaceDE/>
              <w:autoSpaceDN/>
              <w:adjustRightInd/>
              <w:jc w:val="center"/>
              <w:rPr>
                <w:color w:val="000000"/>
                <w:szCs w:val="20"/>
              </w:rPr>
            </w:pPr>
            <w:r>
              <w:rPr>
                <w:color w:val="000000"/>
                <w:szCs w:val="20"/>
              </w:rPr>
              <w:t>1,528</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400EE331" w14:textId="2997A164">
            <w:pPr>
              <w:widowControl/>
              <w:autoSpaceDE/>
              <w:autoSpaceDN/>
              <w:adjustRightInd/>
              <w:jc w:val="center"/>
              <w:rPr>
                <w:color w:val="000000"/>
                <w:szCs w:val="20"/>
              </w:rPr>
            </w:pPr>
            <w:r>
              <w:rPr>
                <w:color w:val="000000"/>
                <w:szCs w:val="20"/>
              </w:rPr>
              <w:t>1528</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162E99F5" w14:textId="55244037">
            <w:pPr>
              <w:widowControl/>
              <w:autoSpaceDE/>
              <w:autoSpaceDN/>
              <w:adjustRightInd/>
              <w:jc w:val="center"/>
              <w:rPr>
                <w:color w:val="000000"/>
                <w:szCs w:val="20"/>
              </w:rPr>
            </w:pPr>
            <w:r>
              <w:rPr>
                <w:color w:val="000000"/>
                <w:szCs w:val="20"/>
              </w:rPr>
              <w:t>1</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14D5069A" w14:textId="5F2781D4">
            <w:pPr>
              <w:widowControl/>
              <w:autoSpaceDE/>
              <w:autoSpaceDN/>
              <w:adjustRightInd/>
              <w:jc w:val="center"/>
              <w:rPr>
                <w:color w:val="000000"/>
                <w:szCs w:val="20"/>
              </w:rPr>
            </w:pPr>
            <w:r>
              <w:rPr>
                <w:color w:val="000000"/>
                <w:szCs w:val="20"/>
              </w:rPr>
              <w:t>1</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4B6AF712" w14:textId="41208B09">
            <w:pPr>
              <w:widowControl/>
              <w:autoSpaceDE/>
              <w:autoSpaceDN/>
              <w:adjustRightInd/>
              <w:jc w:val="center"/>
              <w:rPr>
                <w:color w:val="000000"/>
                <w:szCs w:val="20"/>
              </w:rPr>
            </w:pPr>
            <w:r>
              <w:rPr>
                <w:color w:val="000000"/>
                <w:szCs w:val="20"/>
              </w:rPr>
              <w:t>509</w:t>
            </w:r>
          </w:p>
        </w:tc>
      </w:tr>
      <w:tr w14:paraId="1D364D1B" w14:textId="77777777" w:rsidTr="00E4122D">
        <w:tblPrEx>
          <w:tblW w:w="8786" w:type="dxa"/>
          <w:tblLayout w:type="fixed"/>
          <w:tblLook w:val="04A0"/>
        </w:tblPrEx>
        <w:trPr>
          <w:trHeight w:val="576"/>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2E4" w:rsidRPr="00726735" w:rsidP="00A742E4" w14:paraId="35A11444" w14:textId="77777777">
            <w:pPr>
              <w:widowControl/>
              <w:autoSpaceDE/>
              <w:autoSpaceDN/>
              <w:adjustRightInd/>
              <w:rPr>
                <w:color w:val="000000"/>
                <w:szCs w:val="20"/>
              </w:rPr>
            </w:pPr>
            <w:r w:rsidRPr="00726735">
              <w:rPr>
                <w:color w:val="000000"/>
                <w:szCs w:val="20"/>
              </w:rPr>
              <w:t>Intrastate Hazmat Carriers</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7F934B2B" w14:textId="0B4C0D2B">
            <w:pPr>
              <w:widowControl/>
              <w:autoSpaceDE/>
              <w:autoSpaceDN/>
              <w:adjustRightInd/>
              <w:jc w:val="center"/>
              <w:rPr>
                <w:color w:val="000000"/>
                <w:szCs w:val="20"/>
              </w:rPr>
            </w:pPr>
            <w:r>
              <w:rPr>
                <w:color w:val="000000"/>
                <w:szCs w:val="20"/>
              </w:rPr>
              <w:t>39</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50B7A1FD" w14:textId="26744061">
            <w:pPr>
              <w:widowControl/>
              <w:autoSpaceDE/>
              <w:autoSpaceDN/>
              <w:adjustRightInd/>
              <w:jc w:val="center"/>
              <w:rPr>
                <w:color w:val="000000"/>
                <w:szCs w:val="20"/>
              </w:rPr>
            </w:pPr>
            <w:r>
              <w:rPr>
                <w:color w:val="000000"/>
                <w:szCs w:val="20"/>
              </w:rPr>
              <w:t>39</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2FCE3A02" w14:textId="4E7E6E59">
            <w:pPr>
              <w:widowControl/>
              <w:autoSpaceDE/>
              <w:autoSpaceDN/>
              <w:adjustRightInd/>
              <w:jc w:val="center"/>
              <w:rPr>
                <w:color w:val="000000"/>
                <w:szCs w:val="20"/>
              </w:rPr>
            </w:pPr>
            <w:r>
              <w:rPr>
                <w:color w:val="000000"/>
                <w:szCs w:val="20"/>
              </w:rPr>
              <w:t>0</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15942310" w14:textId="77DFCA96">
            <w:pPr>
              <w:widowControl/>
              <w:autoSpaceDE/>
              <w:autoSpaceDN/>
              <w:adjustRightInd/>
              <w:jc w:val="center"/>
              <w:rPr>
                <w:color w:val="000000"/>
                <w:szCs w:val="20"/>
              </w:rPr>
            </w:pPr>
            <w:r>
              <w:rPr>
                <w:color w:val="000000"/>
                <w:szCs w:val="20"/>
              </w:rPr>
              <w:t>0</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6F11E976" w14:textId="2D8DCDDC">
            <w:pPr>
              <w:widowControl/>
              <w:autoSpaceDE/>
              <w:autoSpaceDN/>
              <w:adjustRightInd/>
              <w:jc w:val="center"/>
              <w:rPr>
                <w:color w:val="000000"/>
                <w:szCs w:val="20"/>
              </w:rPr>
            </w:pPr>
            <w:r>
              <w:rPr>
                <w:color w:val="000000"/>
                <w:szCs w:val="20"/>
              </w:rPr>
              <w:t>13</w:t>
            </w:r>
          </w:p>
        </w:tc>
      </w:tr>
      <w:tr w14:paraId="1FCE4F58" w14:textId="77777777" w:rsidTr="00E4122D">
        <w:tblPrEx>
          <w:tblW w:w="8786" w:type="dxa"/>
          <w:tblLayout w:type="fixed"/>
          <w:tblLook w:val="04A0"/>
        </w:tblPrEx>
        <w:trPr>
          <w:trHeight w:val="576"/>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2E4" w:rsidRPr="00726735" w:rsidP="00A742E4" w14:paraId="4738B463" w14:textId="77777777">
            <w:pPr>
              <w:widowControl/>
              <w:autoSpaceDE/>
              <w:autoSpaceDN/>
              <w:adjustRightInd/>
              <w:rPr>
                <w:color w:val="000000"/>
                <w:szCs w:val="20"/>
              </w:rPr>
            </w:pPr>
            <w:r w:rsidRPr="00726735">
              <w:rPr>
                <w:color w:val="000000"/>
                <w:szCs w:val="20"/>
              </w:rPr>
              <w:t>Intrastate Non-Hazmat Carriers</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656D20EA" w14:textId="0BC51170">
            <w:pPr>
              <w:widowControl/>
              <w:autoSpaceDE/>
              <w:autoSpaceDN/>
              <w:adjustRightInd/>
              <w:jc w:val="center"/>
              <w:rPr>
                <w:color w:val="000000"/>
                <w:szCs w:val="20"/>
              </w:rPr>
            </w:pPr>
            <w:r>
              <w:rPr>
                <w:color w:val="000000"/>
                <w:szCs w:val="20"/>
              </w:rPr>
              <w:t>642</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2694A0E1" w14:textId="0631EFA8">
            <w:pPr>
              <w:widowControl/>
              <w:autoSpaceDE/>
              <w:autoSpaceDN/>
              <w:adjustRightInd/>
              <w:jc w:val="center"/>
              <w:rPr>
                <w:color w:val="000000"/>
                <w:szCs w:val="20"/>
              </w:rPr>
            </w:pPr>
            <w:r>
              <w:rPr>
                <w:color w:val="000000"/>
                <w:szCs w:val="20"/>
              </w:rPr>
              <w:t>642</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2EEC927C" w14:textId="7754B432">
            <w:pPr>
              <w:widowControl/>
              <w:autoSpaceDE/>
              <w:autoSpaceDN/>
              <w:adjustRightInd/>
              <w:jc w:val="center"/>
              <w:rPr>
                <w:color w:val="000000"/>
                <w:szCs w:val="20"/>
              </w:rPr>
            </w:pPr>
            <w:r>
              <w:rPr>
                <w:color w:val="000000"/>
                <w:szCs w:val="20"/>
              </w:rPr>
              <w:t>0</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44BC621C" w14:textId="466F13A8">
            <w:pPr>
              <w:widowControl/>
              <w:autoSpaceDE/>
              <w:autoSpaceDN/>
              <w:adjustRightInd/>
              <w:jc w:val="center"/>
              <w:rPr>
                <w:color w:val="000000"/>
                <w:szCs w:val="20"/>
              </w:rPr>
            </w:pPr>
            <w:r>
              <w:rPr>
                <w:color w:val="000000"/>
                <w:szCs w:val="20"/>
              </w:rPr>
              <w:t>0</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0A0C9575" w14:textId="16A07447">
            <w:pPr>
              <w:widowControl/>
              <w:autoSpaceDE/>
              <w:autoSpaceDN/>
              <w:adjustRightInd/>
              <w:jc w:val="center"/>
              <w:rPr>
                <w:color w:val="000000"/>
                <w:szCs w:val="20"/>
              </w:rPr>
            </w:pPr>
            <w:r>
              <w:rPr>
                <w:color w:val="000000"/>
                <w:szCs w:val="20"/>
              </w:rPr>
              <w:t>214</w:t>
            </w:r>
          </w:p>
        </w:tc>
      </w:tr>
      <w:tr w14:paraId="77EA52FD" w14:textId="77777777" w:rsidTr="00E4122D">
        <w:tblPrEx>
          <w:tblW w:w="8786" w:type="dxa"/>
          <w:tblLayout w:type="fixed"/>
          <w:tblLook w:val="04A0"/>
        </w:tblPrEx>
        <w:trPr>
          <w:trHeight w:val="576"/>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2E4" w:rsidRPr="00726735" w:rsidP="00A742E4" w14:paraId="48C6B264" w14:textId="77777777">
            <w:pPr>
              <w:widowControl/>
              <w:autoSpaceDE/>
              <w:autoSpaceDN/>
              <w:adjustRightInd/>
              <w:rPr>
                <w:color w:val="000000"/>
                <w:szCs w:val="20"/>
              </w:rPr>
            </w:pPr>
            <w:r w:rsidRPr="00726735">
              <w:rPr>
                <w:color w:val="000000"/>
                <w:szCs w:val="20"/>
              </w:rPr>
              <w:t>Other (Shipper)</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09B694DA" w14:textId="45548422">
            <w:pPr>
              <w:widowControl/>
              <w:autoSpaceDE/>
              <w:autoSpaceDN/>
              <w:adjustRightInd/>
              <w:jc w:val="center"/>
              <w:rPr>
                <w:color w:val="000000"/>
                <w:szCs w:val="20"/>
              </w:rPr>
            </w:pPr>
            <w:r>
              <w:rPr>
                <w:color w:val="000000"/>
                <w:szCs w:val="20"/>
              </w:rPr>
              <w:t>1,500</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3C791F99" w14:textId="3E52DF1C">
            <w:pPr>
              <w:widowControl/>
              <w:autoSpaceDE/>
              <w:autoSpaceDN/>
              <w:adjustRightInd/>
              <w:jc w:val="center"/>
              <w:rPr>
                <w:color w:val="000000"/>
                <w:szCs w:val="20"/>
              </w:rPr>
            </w:pPr>
            <w:r>
              <w:rPr>
                <w:color w:val="000000"/>
                <w:szCs w:val="20"/>
              </w:rPr>
              <w:t>1500</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0DBE1776" w14:textId="154D3B03">
            <w:pPr>
              <w:widowControl/>
              <w:autoSpaceDE/>
              <w:autoSpaceDN/>
              <w:adjustRightInd/>
              <w:jc w:val="center"/>
              <w:rPr>
                <w:color w:val="000000"/>
                <w:szCs w:val="20"/>
              </w:rPr>
            </w:pPr>
            <w:r>
              <w:rPr>
                <w:color w:val="000000"/>
                <w:szCs w:val="20"/>
              </w:rPr>
              <w:t>0</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5096CC67" w14:textId="087A0DF1">
            <w:pPr>
              <w:widowControl/>
              <w:autoSpaceDE/>
              <w:autoSpaceDN/>
              <w:adjustRightInd/>
              <w:jc w:val="center"/>
              <w:rPr>
                <w:color w:val="000000"/>
                <w:szCs w:val="20"/>
              </w:rPr>
            </w:pPr>
            <w:r>
              <w:rPr>
                <w:color w:val="000000"/>
                <w:szCs w:val="20"/>
              </w:rPr>
              <w:t>0</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442C70A5" w14:textId="37E50177">
            <w:pPr>
              <w:widowControl/>
              <w:autoSpaceDE/>
              <w:autoSpaceDN/>
              <w:adjustRightInd/>
              <w:jc w:val="center"/>
              <w:rPr>
                <w:color w:val="000000"/>
                <w:szCs w:val="20"/>
              </w:rPr>
            </w:pPr>
            <w:r>
              <w:rPr>
                <w:color w:val="000000"/>
                <w:szCs w:val="20"/>
              </w:rPr>
              <w:t>500</w:t>
            </w:r>
          </w:p>
        </w:tc>
      </w:tr>
      <w:tr w14:paraId="3B87AE7A" w14:textId="77777777" w:rsidTr="00E4122D">
        <w:tblPrEx>
          <w:tblW w:w="8786" w:type="dxa"/>
          <w:tblLayout w:type="fixed"/>
          <w:tblLook w:val="04A0"/>
        </w:tblPrEx>
        <w:trPr>
          <w:trHeight w:val="576"/>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2E4" w:rsidRPr="003E7318" w:rsidP="00A742E4" w14:paraId="737EA712" w14:textId="77777777">
            <w:pPr>
              <w:widowControl/>
              <w:autoSpaceDE/>
              <w:autoSpaceDN/>
              <w:adjustRightInd/>
              <w:rPr>
                <w:b/>
                <w:bCs/>
                <w:color w:val="000000"/>
                <w:szCs w:val="20"/>
              </w:rPr>
            </w:pPr>
            <w:r w:rsidRPr="003E7318">
              <w:rPr>
                <w:b/>
                <w:bCs/>
                <w:color w:val="000000"/>
                <w:szCs w:val="20"/>
              </w:rPr>
              <w:t>Total</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5CDC64C8" w14:textId="2904487A">
            <w:pPr>
              <w:widowControl/>
              <w:autoSpaceDE/>
              <w:autoSpaceDN/>
              <w:adjustRightInd/>
              <w:jc w:val="center"/>
              <w:rPr>
                <w:b/>
                <w:bCs/>
                <w:color w:val="000000"/>
                <w:szCs w:val="20"/>
              </w:rPr>
            </w:pPr>
            <w:r>
              <w:rPr>
                <w:b/>
                <w:bCs/>
                <w:color w:val="000000"/>
                <w:szCs w:val="20"/>
              </w:rPr>
              <w:t>3,709</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0E13479E" w14:textId="475BD725">
            <w:pPr>
              <w:widowControl/>
              <w:autoSpaceDE/>
              <w:autoSpaceDN/>
              <w:adjustRightInd/>
              <w:jc w:val="center"/>
              <w:rPr>
                <w:b/>
                <w:bCs/>
                <w:color w:val="000000"/>
                <w:szCs w:val="20"/>
              </w:rPr>
            </w:pPr>
            <w:r>
              <w:rPr>
                <w:b/>
                <w:bCs/>
                <w:color w:val="000000"/>
                <w:szCs w:val="20"/>
              </w:rPr>
              <w:t>3,709</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14AF2EA6" w14:textId="760C4172">
            <w:pPr>
              <w:widowControl/>
              <w:autoSpaceDE/>
              <w:autoSpaceDN/>
              <w:adjustRightInd/>
              <w:jc w:val="center"/>
              <w:rPr>
                <w:b/>
                <w:bCs/>
                <w:color w:val="000000"/>
                <w:szCs w:val="20"/>
              </w:rPr>
            </w:pPr>
            <w:r>
              <w:rPr>
                <w:b/>
                <w:bCs/>
                <w:color w:val="000000"/>
                <w:szCs w:val="20"/>
              </w:rPr>
              <w:t>1</w:t>
            </w:r>
          </w:p>
        </w:tc>
        <w:tc>
          <w:tcPr>
            <w:tcW w:w="1464"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1F9D5D44" w14:textId="04048452">
            <w:pPr>
              <w:widowControl/>
              <w:autoSpaceDE/>
              <w:autoSpaceDN/>
              <w:adjustRightInd/>
              <w:jc w:val="center"/>
              <w:rPr>
                <w:b/>
                <w:bCs/>
                <w:color w:val="000000"/>
                <w:szCs w:val="20"/>
              </w:rPr>
            </w:pPr>
            <w:r>
              <w:rPr>
                <w:b/>
                <w:bCs/>
                <w:color w:val="000000"/>
                <w:szCs w:val="20"/>
              </w:rPr>
              <w:t>1</w:t>
            </w:r>
          </w:p>
        </w:tc>
        <w:tc>
          <w:tcPr>
            <w:tcW w:w="1465" w:type="dxa"/>
            <w:tcBorders>
              <w:top w:val="nil"/>
              <w:left w:val="nil"/>
              <w:bottom w:val="single" w:sz="8" w:space="0" w:color="auto"/>
              <w:right w:val="single" w:sz="8" w:space="0" w:color="auto"/>
            </w:tcBorders>
            <w:shd w:val="clear" w:color="auto" w:fill="auto"/>
            <w:noWrap/>
            <w:vAlign w:val="center"/>
            <w:hideMark/>
          </w:tcPr>
          <w:p w:rsidR="00A742E4" w:rsidRPr="003E7318" w:rsidP="00A742E4" w14:paraId="730FADB3" w14:textId="38930AB2">
            <w:pPr>
              <w:widowControl/>
              <w:autoSpaceDE/>
              <w:autoSpaceDN/>
              <w:adjustRightInd/>
              <w:jc w:val="center"/>
              <w:rPr>
                <w:b/>
                <w:bCs/>
                <w:color w:val="000000"/>
                <w:szCs w:val="20"/>
              </w:rPr>
            </w:pPr>
            <w:r>
              <w:rPr>
                <w:b/>
                <w:bCs/>
                <w:color w:val="000000"/>
                <w:szCs w:val="20"/>
              </w:rPr>
              <w:t>1,235</w:t>
            </w:r>
          </w:p>
        </w:tc>
      </w:tr>
      <w:tr w14:paraId="7D17B1A4" w14:textId="77777777" w:rsidTr="00726735">
        <w:tblPrEx>
          <w:tblW w:w="8786" w:type="dxa"/>
          <w:tblLayout w:type="fixed"/>
          <w:tblLook w:val="04A0"/>
        </w:tblPrEx>
        <w:trPr>
          <w:trHeight w:val="288"/>
        </w:trPr>
        <w:tc>
          <w:tcPr>
            <w:tcW w:w="87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742E4" w:rsidRPr="006D7BDD" w:rsidP="00A742E4" w14:paraId="01F05C75" w14:textId="12511594">
            <w:pPr>
              <w:widowControl/>
              <w:autoSpaceDE/>
              <w:autoSpaceDN/>
              <w:adjustRightInd/>
              <w:rPr>
                <w:color w:val="000000"/>
                <w:szCs w:val="20"/>
              </w:rPr>
            </w:pPr>
            <w:r>
              <w:rPr>
                <w:color w:val="000000"/>
                <w:szCs w:val="20"/>
              </w:rPr>
              <w:t>*</w:t>
            </w:r>
            <w:r w:rsidRPr="006D7BDD">
              <w:rPr>
                <w:color w:val="000000"/>
                <w:szCs w:val="20"/>
              </w:rPr>
              <w:t>Estimate may not match due to rounding.</w:t>
            </w:r>
          </w:p>
        </w:tc>
      </w:tr>
    </w:tbl>
    <w:p w:rsidR="003E7318" w:rsidRPr="00E4568E" w:rsidP="00447043" w14:paraId="0BFB69CC" w14:textId="47693523">
      <w:pPr>
        <w:ind w:left="360"/>
        <w:rPr>
          <w:sz w:val="24"/>
        </w:rPr>
      </w:pPr>
    </w:p>
    <w:p w:rsidR="00E241FD" w:rsidP="00447043" w14:paraId="60422388" w14:textId="056D87CE">
      <w:pPr>
        <w:ind w:left="360"/>
        <w:rPr>
          <w:sz w:val="24"/>
        </w:rPr>
      </w:pPr>
      <w:r w:rsidRPr="005F5FF9">
        <w:rPr>
          <w:b/>
          <w:sz w:val="24"/>
        </w:rPr>
        <w:t xml:space="preserve">Estimated </w:t>
      </w:r>
      <w:r w:rsidR="00DD23B4">
        <w:rPr>
          <w:b/>
          <w:sz w:val="24"/>
        </w:rPr>
        <w:t xml:space="preserve">Average </w:t>
      </w:r>
      <w:r w:rsidRPr="005F5FF9">
        <w:rPr>
          <w:b/>
          <w:sz w:val="24"/>
        </w:rPr>
        <w:t>Total IC</w:t>
      </w:r>
      <w:r w:rsidR="008E29E0">
        <w:rPr>
          <w:b/>
          <w:sz w:val="24"/>
        </w:rPr>
        <w:t>-</w:t>
      </w:r>
      <w:r w:rsidRPr="005F5FF9">
        <w:rPr>
          <w:b/>
          <w:sz w:val="24"/>
        </w:rPr>
        <w:t>3 Annual Burden:</w:t>
      </w:r>
      <w:r w:rsidRPr="005F5FF9">
        <w:rPr>
          <w:sz w:val="24"/>
        </w:rPr>
        <w:t xml:space="preserve">  </w:t>
      </w:r>
      <w:r w:rsidR="00A742E4">
        <w:rPr>
          <w:sz w:val="24"/>
        </w:rPr>
        <w:t>1,235</w:t>
      </w:r>
      <w:r w:rsidRPr="00FA1C03">
        <w:rPr>
          <w:sz w:val="24"/>
        </w:rPr>
        <w:t xml:space="preserve"> hours</w:t>
      </w:r>
      <w:r w:rsidRPr="005F5FF9">
        <w:rPr>
          <w:sz w:val="24"/>
        </w:rPr>
        <w:t>.</w:t>
      </w:r>
    </w:p>
    <w:p w:rsidR="00E4568E" w:rsidP="00447043" w14:paraId="2F92B1B2" w14:textId="77777777">
      <w:pPr>
        <w:ind w:left="360"/>
        <w:rPr>
          <w:sz w:val="24"/>
        </w:rPr>
      </w:pPr>
    </w:p>
    <w:p w:rsidR="000C1BA4" w:rsidP="00447043" w14:paraId="53569DDE" w14:textId="7BC839AA">
      <w:pPr>
        <w:ind w:left="360"/>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Respondents:</w:t>
      </w:r>
      <w:r w:rsidRPr="005F5FF9">
        <w:rPr>
          <w:sz w:val="24"/>
        </w:rPr>
        <w:t xml:space="preserve">  </w:t>
      </w:r>
      <w:r w:rsidR="006264BC">
        <w:rPr>
          <w:sz w:val="24"/>
        </w:rPr>
        <w:t>3,7</w:t>
      </w:r>
      <w:r w:rsidR="00CB3B53">
        <w:rPr>
          <w:sz w:val="24"/>
        </w:rPr>
        <w:t xml:space="preserve">10 </w:t>
      </w:r>
      <w:r w:rsidRPr="003C66DB" w:rsidR="00F23BE9">
        <w:rPr>
          <w:sz w:val="24"/>
        </w:rPr>
        <w:t>respondents</w:t>
      </w:r>
      <w:r w:rsidR="00A26147">
        <w:rPr>
          <w:sz w:val="24"/>
        </w:rPr>
        <w:t xml:space="preserve"> </w:t>
      </w:r>
      <w:r w:rsidR="00404C6E">
        <w:rPr>
          <w:sz w:val="24"/>
        </w:rPr>
        <w:t>[</w:t>
      </w:r>
      <w:r w:rsidR="00CB3B53">
        <w:rPr>
          <w:sz w:val="24"/>
        </w:rPr>
        <w:t>3,709</w:t>
      </w:r>
      <w:r>
        <w:rPr>
          <w:sz w:val="24"/>
        </w:rPr>
        <w:t xml:space="preserve"> new filings</w:t>
      </w:r>
      <w:r w:rsidRPr="005F5FF9">
        <w:rPr>
          <w:sz w:val="24"/>
        </w:rPr>
        <w:t xml:space="preserve"> </w:t>
      </w:r>
      <w:r>
        <w:rPr>
          <w:sz w:val="24"/>
        </w:rPr>
        <w:t>+</w:t>
      </w:r>
      <w:r w:rsidRPr="005F5FF9">
        <w:rPr>
          <w:sz w:val="24"/>
        </w:rPr>
        <w:t xml:space="preserve"> </w:t>
      </w:r>
      <w:r>
        <w:rPr>
          <w:sz w:val="24"/>
        </w:rPr>
        <w:t>one (1)</w:t>
      </w:r>
      <w:r w:rsidRPr="005F5FF9">
        <w:rPr>
          <w:sz w:val="24"/>
        </w:rPr>
        <w:t xml:space="preserve"> </w:t>
      </w:r>
      <w:r>
        <w:rPr>
          <w:sz w:val="24"/>
        </w:rPr>
        <w:t xml:space="preserve">for </w:t>
      </w:r>
      <w:r w:rsidRPr="005F5FF9">
        <w:rPr>
          <w:sz w:val="24"/>
        </w:rPr>
        <w:t xml:space="preserve">biennial updates and changes </w:t>
      </w:r>
      <w:r>
        <w:rPr>
          <w:sz w:val="24"/>
        </w:rPr>
        <w:t xml:space="preserve">= </w:t>
      </w:r>
      <w:r w:rsidR="00CB3B53">
        <w:rPr>
          <w:sz w:val="24"/>
        </w:rPr>
        <w:t>3,710</w:t>
      </w:r>
      <w:r>
        <w:rPr>
          <w:sz w:val="24"/>
        </w:rPr>
        <w:t xml:space="preserve"> respondents].</w:t>
      </w:r>
    </w:p>
    <w:p w:rsidR="00E4568E" w:rsidP="00447043" w14:paraId="0B81D5D1" w14:textId="77777777">
      <w:pPr>
        <w:ind w:left="360"/>
        <w:rPr>
          <w:sz w:val="24"/>
        </w:rPr>
      </w:pPr>
    </w:p>
    <w:p w:rsidR="007F32A5" w:rsidP="00447043" w14:paraId="6E3E380D" w14:textId="34D94F23">
      <w:pPr>
        <w:ind w:left="360"/>
        <w:rPr>
          <w:sz w:val="24"/>
        </w:rPr>
      </w:pPr>
      <w:r w:rsidRPr="005F5FF9">
        <w:rPr>
          <w:b/>
          <w:sz w:val="24"/>
        </w:rPr>
        <w:t xml:space="preserve">Estimated </w:t>
      </w:r>
      <w:r w:rsidR="00DD23B4">
        <w:rPr>
          <w:b/>
          <w:sz w:val="24"/>
        </w:rPr>
        <w:t xml:space="preserve">Average </w:t>
      </w:r>
      <w:r w:rsidRPr="005F5FF9">
        <w:rPr>
          <w:b/>
          <w:sz w:val="24"/>
        </w:rPr>
        <w:t>IC</w:t>
      </w:r>
      <w:r w:rsidR="008E29E0">
        <w:rPr>
          <w:b/>
          <w:sz w:val="24"/>
        </w:rPr>
        <w:t>-</w:t>
      </w:r>
      <w:r w:rsidRPr="005F5FF9">
        <w:rPr>
          <w:b/>
          <w:sz w:val="24"/>
        </w:rPr>
        <w:t>3 Annual Number of Responses</w:t>
      </w:r>
      <w:r w:rsidRPr="00DD5A3E">
        <w:rPr>
          <w:b/>
          <w:sz w:val="24"/>
        </w:rPr>
        <w:t xml:space="preserve">: </w:t>
      </w:r>
      <w:r w:rsidR="00CB3B53">
        <w:rPr>
          <w:bCs/>
          <w:sz w:val="24"/>
        </w:rPr>
        <w:t>3,710</w:t>
      </w:r>
      <w:r w:rsidRPr="003C66DB" w:rsidR="00F23BE9">
        <w:rPr>
          <w:sz w:val="24"/>
        </w:rPr>
        <w:t xml:space="preserve"> responses</w:t>
      </w:r>
      <w:r w:rsidR="00A26147">
        <w:rPr>
          <w:b/>
          <w:sz w:val="24"/>
        </w:rPr>
        <w:t xml:space="preserve"> </w:t>
      </w:r>
      <w:r w:rsidRPr="003C66DB" w:rsidR="00404C6E">
        <w:rPr>
          <w:sz w:val="24"/>
        </w:rPr>
        <w:t>[</w:t>
      </w:r>
      <w:r w:rsidR="00CB3B53">
        <w:rPr>
          <w:sz w:val="24"/>
        </w:rPr>
        <w:t>3,709</w:t>
      </w:r>
      <w:r w:rsidR="0025483D">
        <w:rPr>
          <w:sz w:val="24"/>
        </w:rPr>
        <w:t xml:space="preserve"> </w:t>
      </w:r>
      <w:r w:rsidR="003C66DB">
        <w:rPr>
          <w:sz w:val="24"/>
        </w:rPr>
        <w:t xml:space="preserve">new filings + </w:t>
      </w:r>
      <w:r w:rsidR="000C1BA4">
        <w:rPr>
          <w:sz w:val="24"/>
        </w:rPr>
        <w:t xml:space="preserve">one (1) </w:t>
      </w:r>
      <w:r w:rsidR="003C66DB">
        <w:rPr>
          <w:sz w:val="24"/>
        </w:rPr>
        <w:t>biennial updates and changes</w:t>
      </w:r>
      <w:r w:rsidR="005F1CF8">
        <w:rPr>
          <w:sz w:val="24"/>
        </w:rPr>
        <w:t xml:space="preserve"> = </w:t>
      </w:r>
      <w:r w:rsidR="00CB3B53">
        <w:rPr>
          <w:sz w:val="24"/>
        </w:rPr>
        <w:t>3,710</w:t>
      </w:r>
      <w:r w:rsidR="005F1CF8">
        <w:rPr>
          <w:sz w:val="24"/>
        </w:rPr>
        <w:t xml:space="preserve"> responses</w:t>
      </w:r>
      <w:r w:rsidRPr="00F23BE9" w:rsidR="00F23BE9">
        <w:rPr>
          <w:sz w:val="24"/>
        </w:rPr>
        <w:t>]</w:t>
      </w:r>
      <w:r w:rsidRPr="00F23BE9" w:rsidR="00DD5A3E">
        <w:rPr>
          <w:sz w:val="24"/>
        </w:rPr>
        <w:t>.</w:t>
      </w:r>
    </w:p>
    <w:p w:rsidR="00E4568E" w:rsidP="00447043" w14:paraId="50401824" w14:textId="77777777">
      <w:pPr>
        <w:ind w:left="360"/>
        <w:rPr>
          <w:sz w:val="24"/>
        </w:rPr>
      </w:pPr>
    </w:p>
    <w:p w:rsidR="005801A0" w:rsidRPr="005F5FF9" w:rsidP="00447043" w14:paraId="6A24613A" w14:textId="77777777">
      <w:pPr>
        <w:pStyle w:val="BodyText"/>
        <w:ind w:left="360"/>
        <w:rPr>
          <w:b/>
          <w:u w:val="single"/>
        </w:rPr>
      </w:pPr>
      <w:r w:rsidRPr="005F5FF9">
        <w:rPr>
          <w:b/>
          <w:u w:val="single"/>
        </w:rPr>
        <w:t>Total for IC</w:t>
      </w:r>
      <w:r w:rsidR="008E29E0">
        <w:rPr>
          <w:b/>
          <w:u w:val="single"/>
        </w:rPr>
        <w:t>-</w:t>
      </w:r>
      <w:r w:rsidRPr="005F5FF9">
        <w:rPr>
          <w:b/>
          <w:u w:val="single"/>
        </w:rPr>
        <w:t>1, IC</w:t>
      </w:r>
      <w:r w:rsidR="008E29E0">
        <w:rPr>
          <w:b/>
          <w:u w:val="single"/>
        </w:rPr>
        <w:t>-</w:t>
      </w:r>
      <w:r w:rsidRPr="005F5FF9">
        <w:rPr>
          <w:b/>
          <w:u w:val="single"/>
        </w:rPr>
        <w:t>2, and IC</w:t>
      </w:r>
      <w:r w:rsidR="008E29E0">
        <w:rPr>
          <w:b/>
          <w:u w:val="single"/>
        </w:rPr>
        <w:t>-</w:t>
      </w:r>
      <w:r w:rsidRPr="005F5FF9">
        <w:rPr>
          <w:b/>
          <w:u w:val="single"/>
        </w:rPr>
        <w:t>3</w:t>
      </w:r>
    </w:p>
    <w:p w:rsidR="00E4568E" w:rsidP="00447043" w14:paraId="64FAC56B" w14:textId="77777777">
      <w:pPr>
        <w:pStyle w:val="BodyText"/>
        <w:ind w:left="360"/>
      </w:pPr>
    </w:p>
    <w:p w:rsidR="00392313" w:rsidP="00447043" w14:paraId="10B2DCD1" w14:textId="45EB0A66">
      <w:pPr>
        <w:pStyle w:val="BodyText"/>
        <w:ind w:left="360"/>
      </w:pPr>
      <w:r w:rsidRPr="00711A56">
        <w:fldChar w:fldCharType="begin"/>
      </w:r>
      <w:r w:rsidRPr="00711A56">
        <w:instrText xml:space="preserve"> REF _Ref526886736 \h  \* MERGEFORMAT </w:instrText>
      </w:r>
      <w:r w:rsidRPr="00711A56">
        <w:fldChar w:fldCharType="separate"/>
      </w:r>
      <w:r w:rsidRPr="00C96CC2" w:rsidR="00C96CC2">
        <w:t xml:space="preserve">Table </w:t>
      </w:r>
      <w:r w:rsidRPr="00711A56">
        <w:fldChar w:fldCharType="end"/>
      </w:r>
      <w:r w:rsidR="002842CC">
        <w:t>7</w:t>
      </w:r>
      <w:r w:rsidRPr="00711A56">
        <w:t xml:space="preserve"> </w:t>
      </w:r>
      <w:r>
        <w:t>details t</w:t>
      </w:r>
      <w:r w:rsidR="00113377">
        <w:t>he combined total estimated annual burden, number of responses, number of respondents</w:t>
      </w:r>
      <w:r>
        <w:t>, and burden hour costs of this ICR.</w:t>
      </w:r>
    </w:p>
    <w:p w:rsidR="00E4568E" w:rsidP="00447043" w14:paraId="25DE1AE9" w14:textId="77777777">
      <w:pPr>
        <w:pStyle w:val="BodyText"/>
        <w:ind w:left="360"/>
      </w:pPr>
    </w:p>
    <w:p w:rsidR="00113377" w:rsidP="00447043" w14:paraId="525EEF4F" w14:textId="56B75E5D">
      <w:pPr>
        <w:widowControl/>
        <w:autoSpaceDE/>
        <w:autoSpaceDN/>
        <w:adjustRightInd/>
        <w:ind w:left="360"/>
        <w:rPr>
          <w:sz w:val="24"/>
        </w:rPr>
      </w:pPr>
      <w:r w:rsidRPr="00F52659">
        <w:rPr>
          <w:sz w:val="24"/>
        </w:rPr>
        <w:t xml:space="preserve">To estimate the total burden hour cost to respondents, FMCSA </w:t>
      </w:r>
      <w:r w:rsidR="00E96F96">
        <w:rPr>
          <w:sz w:val="24"/>
        </w:rPr>
        <w:t xml:space="preserve">continues to </w:t>
      </w:r>
      <w:r w:rsidRPr="00F52659">
        <w:rPr>
          <w:sz w:val="24"/>
        </w:rPr>
        <w:t>assume that a Business Operations Specialist (Standard Occupation Code 13-0000) in the truck transportation</w:t>
      </w:r>
      <w:r w:rsidRPr="00F52659">
        <w:rPr>
          <w:sz w:val="24"/>
        </w:rPr>
        <w:t xml:space="preserve"> industry (North American Industry Classification System [NAICS] code 484000)</w:t>
      </w:r>
      <w:r w:rsidRPr="00F52659">
        <w:rPr>
          <w:sz w:val="24"/>
        </w:rPr>
        <w:t xml:space="preserve"> will undertake these tasks. </w:t>
      </w:r>
      <w:r w:rsidRPr="00F52659" w:rsidR="00442266">
        <w:rPr>
          <w:sz w:val="24"/>
        </w:rPr>
        <w:t xml:space="preserve"> </w:t>
      </w:r>
      <w:r w:rsidRPr="00F52659">
        <w:rPr>
          <w:sz w:val="24"/>
        </w:rPr>
        <w:t xml:space="preserve">The median wage for </w:t>
      </w:r>
      <w:r w:rsidR="007D31D9">
        <w:rPr>
          <w:sz w:val="24"/>
        </w:rPr>
        <w:t>respondents filing forms MCS-</w:t>
      </w:r>
      <w:r w:rsidR="007D31D9">
        <w:rPr>
          <w:sz w:val="24"/>
        </w:rPr>
        <w:t xml:space="preserve">150, MCS-150B and MCS-150C </w:t>
      </w:r>
      <w:r w:rsidRPr="00F52659">
        <w:rPr>
          <w:sz w:val="24"/>
        </w:rPr>
        <w:t>is $</w:t>
      </w:r>
      <w:r w:rsidRPr="00F52659" w:rsidR="00F41684">
        <w:rPr>
          <w:color w:val="000000"/>
          <w:sz w:val="24"/>
        </w:rPr>
        <w:t>28.</w:t>
      </w:r>
      <w:r w:rsidR="004B6CF4">
        <w:rPr>
          <w:color w:val="000000"/>
          <w:sz w:val="24"/>
        </w:rPr>
        <w:t>98</w:t>
      </w:r>
      <w:r w:rsidRPr="00F52659">
        <w:rPr>
          <w:sz w:val="24"/>
        </w:rPr>
        <w:t>.</w:t>
      </w:r>
      <w:r>
        <w:rPr>
          <w:rStyle w:val="FootnoteReference"/>
          <w:sz w:val="24"/>
          <w:vertAlign w:val="superscript"/>
        </w:rPr>
        <w:footnoteReference w:id="6"/>
      </w:r>
      <w:r w:rsidRPr="00F52659" w:rsidR="00392313">
        <w:rPr>
          <w:sz w:val="24"/>
        </w:rPr>
        <w:t xml:space="preserve">  </w:t>
      </w:r>
      <w:r w:rsidRPr="00F52659">
        <w:rPr>
          <w:sz w:val="24"/>
        </w:rPr>
        <w:t xml:space="preserve">To arrive at a loaded wage, the </w:t>
      </w:r>
      <w:r w:rsidR="00C96CC2">
        <w:rPr>
          <w:sz w:val="24"/>
        </w:rPr>
        <w:t>a</w:t>
      </w:r>
      <w:r w:rsidRPr="00F52659">
        <w:rPr>
          <w:sz w:val="24"/>
        </w:rPr>
        <w:t xml:space="preserve">gency first </w:t>
      </w:r>
      <w:r w:rsidR="000112FD">
        <w:rPr>
          <w:sz w:val="24"/>
        </w:rPr>
        <w:t>estimates</w:t>
      </w:r>
      <w:r w:rsidRPr="00F52659" w:rsidR="00392313">
        <w:rPr>
          <w:sz w:val="24"/>
        </w:rPr>
        <w:t xml:space="preserve"> a load factor of </w:t>
      </w:r>
      <w:r w:rsidRPr="00A56EC8" w:rsidR="005D187D">
        <w:rPr>
          <w:color w:val="000000"/>
          <w:sz w:val="24"/>
        </w:rPr>
        <w:t>1.564</w:t>
      </w:r>
      <w:r w:rsidRPr="00A56EC8" w:rsidR="00A56EC8">
        <w:rPr>
          <w:color w:val="000000"/>
          <w:sz w:val="24"/>
        </w:rPr>
        <w:t xml:space="preserve"> </w:t>
      </w:r>
      <w:r w:rsidRPr="00F52659">
        <w:rPr>
          <w:sz w:val="24"/>
        </w:rPr>
        <w:t>by dividing the total cost of compensation for private industry workers of the</w:t>
      </w:r>
      <w:r w:rsidR="003E4B87">
        <w:rPr>
          <w:sz w:val="24"/>
        </w:rPr>
        <w:t xml:space="preserve"> T</w:t>
      </w:r>
      <w:r w:rsidRPr="00F52659">
        <w:rPr>
          <w:sz w:val="24"/>
        </w:rPr>
        <w:t>ransportation</w:t>
      </w:r>
      <w:r w:rsidRPr="00F52659" w:rsidR="00392313">
        <w:rPr>
          <w:sz w:val="24"/>
        </w:rPr>
        <w:t xml:space="preserve"> and </w:t>
      </w:r>
      <w:r w:rsidR="00E54133">
        <w:rPr>
          <w:sz w:val="24"/>
        </w:rPr>
        <w:t>Warehousing</w:t>
      </w:r>
      <w:r w:rsidR="003E4B87">
        <w:rPr>
          <w:sz w:val="24"/>
        </w:rPr>
        <w:t xml:space="preserve"> </w:t>
      </w:r>
      <w:r w:rsidRPr="00F52659" w:rsidR="00392313">
        <w:rPr>
          <w:sz w:val="24"/>
        </w:rPr>
        <w:t>industry ($</w:t>
      </w:r>
      <w:r w:rsidR="00FE3BEC">
        <w:rPr>
          <w:sz w:val="24"/>
        </w:rPr>
        <w:t>49.88</w:t>
      </w:r>
      <w:r w:rsidRPr="00F52659">
        <w:rPr>
          <w:sz w:val="24"/>
        </w:rPr>
        <w:t>) by the average cost of h</w:t>
      </w:r>
      <w:r w:rsidRPr="00F52659" w:rsidR="00392313">
        <w:rPr>
          <w:sz w:val="24"/>
        </w:rPr>
        <w:t xml:space="preserve">ourly wages and salaries </w:t>
      </w:r>
      <w:r w:rsidRPr="00B9028E" w:rsidR="00392313">
        <w:rPr>
          <w:sz w:val="24"/>
        </w:rPr>
        <w:t>(</w:t>
      </w:r>
      <w:r w:rsidR="00E96F96">
        <w:rPr>
          <w:sz w:val="24"/>
        </w:rPr>
        <w:t>$</w:t>
      </w:r>
      <w:r w:rsidR="00FE3BEC">
        <w:rPr>
          <w:color w:val="000000"/>
          <w:sz w:val="24"/>
        </w:rPr>
        <w:t>33.66</w:t>
      </w:r>
      <w:r w:rsidRPr="00B9028E">
        <w:rPr>
          <w:sz w:val="24"/>
        </w:rPr>
        <w:t>)</w:t>
      </w:r>
      <w:r w:rsidRPr="00F52659">
        <w:rPr>
          <w:sz w:val="24"/>
        </w:rPr>
        <w:t xml:space="preserve"> as reported by the Bureau of Labor Statistics</w:t>
      </w:r>
      <w:r w:rsidR="00E96F96">
        <w:rPr>
          <w:sz w:val="24"/>
        </w:rPr>
        <w:t xml:space="preserve">, </w:t>
      </w:r>
      <w:r w:rsidRPr="00E96F96">
        <w:rPr>
          <w:i/>
          <w:iCs/>
          <w:sz w:val="24"/>
        </w:rPr>
        <w:t>Employer Costs for Employee Compensation</w:t>
      </w:r>
      <w:r w:rsidRPr="00F52659">
        <w:rPr>
          <w:sz w:val="24"/>
        </w:rPr>
        <w:t xml:space="preserve"> </w:t>
      </w:r>
      <w:r w:rsidR="00E96F96">
        <w:rPr>
          <w:sz w:val="24"/>
        </w:rPr>
        <w:t xml:space="preserve">data table </w:t>
      </w:r>
      <w:r w:rsidRPr="00F52659">
        <w:rPr>
          <w:sz w:val="24"/>
        </w:rPr>
        <w:t xml:space="preserve">for </w:t>
      </w:r>
      <w:r w:rsidR="00FE3BEC">
        <w:rPr>
          <w:sz w:val="24"/>
        </w:rPr>
        <w:t>September 2024</w:t>
      </w:r>
      <w:r w:rsidRPr="00F52659">
        <w:rPr>
          <w:sz w:val="24"/>
        </w:rPr>
        <w:t>.</w:t>
      </w:r>
      <w:r>
        <w:rPr>
          <w:sz w:val="24"/>
          <w:vertAlign w:val="superscript"/>
        </w:rPr>
        <w:footnoteReference w:id="7"/>
      </w:r>
      <w:r w:rsidRPr="00F52659">
        <w:rPr>
          <w:sz w:val="24"/>
        </w:rPr>
        <w:t xml:space="preserve"> Multiplying the </w:t>
      </w:r>
      <w:r w:rsidRPr="00F52659" w:rsidR="00392313">
        <w:rPr>
          <w:sz w:val="24"/>
        </w:rPr>
        <w:t>median</w:t>
      </w:r>
      <w:r w:rsidRPr="00F52659">
        <w:rPr>
          <w:sz w:val="24"/>
        </w:rPr>
        <w:t xml:space="preserve"> hourly wage by the load factor results in a loaded hourly wage of $</w:t>
      </w:r>
      <w:r w:rsidR="00B71D4B">
        <w:rPr>
          <w:sz w:val="24"/>
        </w:rPr>
        <w:t>42.94</w:t>
      </w:r>
      <w:r w:rsidR="007D31D9">
        <w:rPr>
          <w:sz w:val="24"/>
        </w:rPr>
        <w:t xml:space="preserve"> (</w:t>
      </w:r>
      <w:r w:rsidR="00E96F96">
        <w:rPr>
          <w:sz w:val="24"/>
        </w:rPr>
        <w:t>$</w:t>
      </w:r>
      <w:r w:rsidR="00B71D4B">
        <w:rPr>
          <w:sz w:val="24"/>
        </w:rPr>
        <w:t>28.98</w:t>
      </w:r>
      <w:r w:rsidR="007D31D9">
        <w:rPr>
          <w:sz w:val="24"/>
        </w:rPr>
        <w:t xml:space="preserve"> × </w:t>
      </w:r>
      <w:r w:rsidR="00B71D4B">
        <w:rPr>
          <w:sz w:val="24"/>
        </w:rPr>
        <w:t>1.48</w:t>
      </w:r>
      <w:r w:rsidR="007D31D9">
        <w:rPr>
          <w:sz w:val="24"/>
        </w:rPr>
        <w:t xml:space="preserve"> = </w:t>
      </w:r>
      <w:r w:rsidR="00E96F96">
        <w:rPr>
          <w:sz w:val="24"/>
        </w:rPr>
        <w:t>$</w:t>
      </w:r>
      <w:r w:rsidR="00D50AC5">
        <w:rPr>
          <w:sz w:val="24"/>
        </w:rPr>
        <w:t>42.94</w:t>
      </w:r>
      <w:r w:rsidR="007D31D9">
        <w:rPr>
          <w:sz w:val="24"/>
        </w:rPr>
        <w:t>)</w:t>
      </w:r>
      <w:r w:rsidRPr="00F52659">
        <w:rPr>
          <w:sz w:val="24"/>
        </w:rPr>
        <w:t>.</w:t>
      </w:r>
      <w:r w:rsidRPr="00F52659" w:rsidR="00442266">
        <w:rPr>
          <w:sz w:val="24"/>
        </w:rPr>
        <w:t xml:space="preserve">  Multiplying the loaded hourly wage by the total number of burden hours for this ICR results in a total estimate</w:t>
      </w:r>
      <w:r w:rsidRPr="00F52659" w:rsidR="00DA5319">
        <w:rPr>
          <w:sz w:val="24"/>
        </w:rPr>
        <w:t xml:space="preserve">d burden hour cost of </w:t>
      </w:r>
      <w:r w:rsidRPr="009F060B" w:rsidR="00DA5319">
        <w:rPr>
          <w:sz w:val="24"/>
        </w:rPr>
        <w:t>$</w:t>
      </w:r>
      <w:r w:rsidR="00D50AC5">
        <w:rPr>
          <w:sz w:val="24"/>
        </w:rPr>
        <w:t>6,878,435</w:t>
      </w:r>
      <w:r w:rsidRPr="00F52659" w:rsidR="00442266">
        <w:rPr>
          <w:sz w:val="24"/>
        </w:rPr>
        <w:t xml:space="preserve"> (</w:t>
      </w:r>
      <w:r w:rsidR="00821C1C">
        <w:rPr>
          <w:sz w:val="24"/>
        </w:rPr>
        <w:t>160,169</w:t>
      </w:r>
      <w:r w:rsidR="009F060B">
        <w:rPr>
          <w:sz w:val="24"/>
        </w:rPr>
        <w:t xml:space="preserve"> </w:t>
      </w:r>
      <w:r w:rsidRPr="00F52659" w:rsidR="00442266">
        <w:rPr>
          <w:sz w:val="24"/>
        </w:rPr>
        <w:t>hours ×</w:t>
      </w:r>
      <w:r w:rsidRPr="00F52659" w:rsidR="00DA5319">
        <w:rPr>
          <w:sz w:val="24"/>
        </w:rPr>
        <w:t xml:space="preserve"> $</w:t>
      </w:r>
      <w:r w:rsidR="00821C1C">
        <w:rPr>
          <w:sz w:val="24"/>
        </w:rPr>
        <w:t>42.94</w:t>
      </w:r>
      <w:r w:rsidRPr="00F52659" w:rsidR="00442266">
        <w:rPr>
          <w:sz w:val="24"/>
        </w:rPr>
        <w:t xml:space="preserve"> per hour</w:t>
      </w:r>
      <w:r w:rsidR="009F060B">
        <w:rPr>
          <w:sz w:val="24"/>
        </w:rPr>
        <w:t xml:space="preserve"> = </w:t>
      </w:r>
      <w:r w:rsidRPr="00B0414F" w:rsidR="009F060B">
        <w:rPr>
          <w:color w:val="000000"/>
          <w:sz w:val="24"/>
        </w:rPr>
        <w:t>$</w:t>
      </w:r>
      <w:r w:rsidR="00821C1C">
        <w:rPr>
          <w:color w:val="000000"/>
          <w:sz w:val="24"/>
        </w:rPr>
        <w:t>6,878,435</w:t>
      </w:r>
      <w:r w:rsidRPr="009F060B" w:rsidR="009F060B">
        <w:rPr>
          <w:color w:val="000000"/>
          <w:sz w:val="24"/>
        </w:rPr>
        <w:t xml:space="preserve"> million</w:t>
      </w:r>
      <w:r w:rsidRPr="00F52659" w:rsidR="00442266">
        <w:rPr>
          <w:sz w:val="24"/>
        </w:rPr>
        <w:t>).</w:t>
      </w:r>
    </w:p>
    <w:p w:rsidR="00E4568E" w:rsidRPr="002919E7" w:rsidP="00E4568E" w14:paraId="2BCD143D" w14:textId="77777777">
      <w:pPr>
        <w:widowControl/>
        <w:autoSpaceDE/>
        <w:autoSpaceDN/>
        <w:adjustRightInd/>
        <w:rPr>
          <w:sz w:val="24"/>
        </w:rPr>
      </w:pPr>
    </w:p>
    <w:p w:rsidR="003C66DB" w:rsidP="00E4568E" w14:paraId="33A2FADF" w14:textId="548B585A">
      <w:pPr>
        <w:pStyle w:val="Caption"/>
        <w:keepNext/>
        <w:spacing w:after="0"/>
        <w:jc w:val="center"/>
        <w:rPr>
          <w:b/>
          <w:i w:val="0"/>
          <w:color w:val="auto"/>
          <w:sz w:val="24"/>
          <w:szCs w:val="24"/>
        </w:rPr>
      </w:pPr>
      <w:bookmarkStart w:id="4" w:name="_Ref526886736"/>
      <w:r w:rsidRPr="00516201">
        <w:rPr>
          <w:b/>
          <w:i w:val="0"/>
          <w:color w:val="auto"/>
          <w:sz w:val="24"/>
          <w:szCs w:val="24"/>
        </w:rPr>
        <w:t xml:space="preserve">Table </w:t>
      </w:r>
      <w:r w:rsidR="002842CC">
        <w:rPr>
          <w:b/>
          <w:i w:val="0"/>
          <w:color w:val="auto"/>
          <w:sz w:val="24"/>
          <w:szCs w:val="24"/>
        </w:rPr>
        <w:t>7</w:t>
      </w:r>
      <w:bookmarkEnd w:id="4"/>
      <w:r w:rsidRPr="00516201">
        <w:rPr>
          <w:b/>
          <w:i w:val="0"/>
          <w:color w:val="auto"/>
          <w:sz w:val="24"/>
          <w:szCs w:val="24"/>
        </w:rPr>
        <w:t>. Total Estimated Annual Burden for the ICR</w:t>
      </w:r>
    </w:p>
    <w:p w:rsidR="00E4568E" w:rsidRPr="00E4568E" w:rsidP="00E4568E" w14:paraId="6CD493B0" w14:textId="77777777">
      <w:pPr>
        <w:rPr>
          <w:sz w:val="24"/>
        </w:rPr>
      </w:pPr>
    </w:p>
    <w:tbl>
      <w:tblPr>
        <w:tblW w:w="8990" w:type="dxa"/>
        <w:tblInd w:w="350" w:type="dxa"/>
        <w:tblLayout w:type="fixed"/>
        <w:tblLook w:val="04A0"/>
      </w:tblPr>
      <w:tblGrid>
        <w:gridCol w:w="1206"/>
        <w:gridCol w:w="1557"/>
        <w:gridCol w:w="1557"/>
        <w:gridCol w:w="1556"/>
        <w:gridCol w:w="1557"/>
        <w:gridCol w:w="1557"/>
      </w:tblGrid>
      <w:tr w14:paraId="11C53FFA" w14:textId="77777777" w:rsidTr="00447043">
        <w:tblPrEx>
          <w:tblW w:w="8990" w:type="dxa"/>
          <w:tblInd w:w="350" w:type="dxa"/>
          <w:tblLayout w:type="fixed"/>
          <w:tblLook w:val="04A0"/>
        </w:tblPrEx>
        <w:trPr>
          <w:trHeight w:val="540"/>
        </w:trPr>
        <w:tc>
          <w:tcPr>
            <w:tcW w:w="1206" w:type="dxa"/>
            <w:vMerge w:val="restart"/>
            <w:tcBorders>
              <w:top w:val="single" w:sz="8" w:space="0" w:color="auto"/>
              <w:left w:val="single" w:sz="8" w:space="0" w:color="auto"/>
              <w:right w:val="single" w:sz="4" w:space="0" w:color="auto"/>
            </w:tcBorders>
            <w:shd w:val="clear" w:color="000000" w:fill="D9D9D9"/>
            <w:noWrap/>
            <w:vAlign w:val="center"/>
            <w:hideMark/>
          </w:tcPr>
          <w:p w:rsidR="00B0414F" w:rsidRPr="00B0414F" w:rsidP="00B0414F" w14:paraId="10B686A2" w14:textId="0204F88E">
            <w:pPr>
              <w:jc w:val="center"/>
              <w:rPr>
                <w:b/>
                <w:bCs/>
                <w:color w:val="000000"/>
                <w:szCs w:val="20"/>
              </w:rPr>
            </w:pPr>
            <w:r w:rsidRPr="00B0414F">
              <w:rPr>
                <w:b/>
                <w:bCs/>
                <w:color w:val="000000"/>
                <w:szCs w:val="20"/>
              </w:rPr>
              <w:t>IC</w:t>
            </w:r>
          </w:p>
        </w:tc>
        <w:tc>
          <w:tcPr>
            <w:tcW w:w="1557" w:type="dxa"/>
            <w:tcBorders>
              <w:top w:val="single" w:sz="4" w:space="0" w:color="auto"/>
              <w:left w:val="single" w:sz="4" w:space="0" w:color="auto"/>
              <w:right w:val="single" w:sz="4" w:space="0" w:color="auto"/>
            </w:tcBorders>
            <w:shd w:val="clear" w:color="000000" w:fill="D9D9D9"/>
            <w:noWrap/>
            <w:vAlign w:val="center"/>
            <w:hideMark/>
          </w:tcPr>
          <w:p w:rsidR="00B0414F" w:rsidRPr="00B0414F" w:rsidP="00B0414F" w14:paraId="4557B25E" w14:textId="46C8DEBB">
            <w:pPr>
              <w:widowControl/>
              <w:autoSpaceDE/>
              <w:autoSpaceDN/>
              <w:adjustRightInd/>
              <w:jc w:val="center"/>
              <w:rPr>
                <w:b/>
                <w:bCs/>
                <w:color w:val="000000"/>
                <w:szCs w:val="20"/>
              </w:rPr>
            </w:pPr>
            <w:r w:rsidRPr="00B0414F">
              <w:rPr>
                <w:b/>
                <w:bCs/>
                <w:color w:val="000000"/>
                <w:szCs w:val="20"/>
              </w:rPr>
              <w:t>Total Number of Responses</w:t>
            </w:r>
          </w:p>
        </w:tc>
        <w:tc>
          <w:tcPr>
            <w:tcW w:w="1557" w:type="dxa"/>
            <w:tcBorders>
              <w:top w:val="single" w:sz="4" w:space="0" w:color="auto"/>
              <w:left w:val="single" w:sz="4" w:space="0" w:color="auto"/>
              <w:right w:val="single" w:sz="4" w:space="0" w:color="auto"/>
            </w:tcBorders>
            <w:shd w:val="clear" w:color="000000" w:fill="D9D9D9"/>
            <w:noWrap/>
            <w:vAlign w:val="center"/>
            <w:hideMark/>
          </w:tcPr>
          <w:p w:rsidR="00B0414F" w:rsidRPr="00B0414F" w:rsidP="00B0414F" w14:paraId="50629EDB" w14:textId="77777777">
            <w:pPr>
              <w:widowControl/>
              <w:autoSpaceDE/>
              <w:autoSpaceDN/>
              <w:adjustRightInd/>
              <w:jc w:val="center"/>
              <w:rPr>
                <w:b/>
                <w:bCs/>
                <w:color w:val="000000"/>
                <w:szCs w:val="20"/>
              </w:rPr>
            </w:pPr>
            <w:r w:rsidRPr="00B0414F">
              <w:rPr>
                <w:b/>
                <w:bCs/>
                <w:color w:val="000000"/>
                <w:szCs w:val="20"/>
              </w:rPr>
              <w:t>Respondents</w:t>
            </w:r>
          </w:p>
        </w:tc>
        <w:tc>
          <w:tcPr>
            <w:tcW w:w="1556" w:type="dxa"/>
            <w:tcBorders>
              <w:top w:val="single" w:sz="8" w:space="0" w:color="auto"/>
              <w:left w:val="single" w:sz="4" w:space="0" w:color="auto"/>
              <w:bottom w:val="nil"/>
              <w:right w:val="single" w:sz="8" w:space="0" w:color="auto"/>
            </w:tcBorders>
            <w:shd w:val="clear" w:color="000000" w:fill="D9D9D9"/>
            <w:noWrap/>
            <w:vAlign w:val="center"/>
            <w:hideMark/>
          </w:tcPr>
          <w:p w:rsidR="00B0414F" w:rsidRPr="00B0414F" w:rsidP="00B0414F" w14:paraId="7275282C" w14:textId="77777777">
            <w:pPr>
              <w:widowControl/>
              <w:autoSpaceDE/>
              <w:autoSpaceDN/>
              <w:adjustRightInd/>
              <w:jc w:val="center"/>
              <w:rPr>
                <w:b/>
                <w:bCs/>
                <w:color w:val="000000"/>
                <w:szCs w:val="20"/>
              </w:rPr>
            </w:pPr>
            <w:r w:rsidRPr="00B0414F">
              <w:rPr>
                <w:b/>
                <w:bCs/>
                <w:color w:val="000000"/>
                <w:szCs w:val="20"/>
              </w:rPr>
              <w:t>Burden Hours</w:t>
            </w:r>
          </w:p>
        </w:tc>
        <w:tc>
          <w:tcPr>
            <w:tcW w:w="1557" w:type="dxa"/>
            <w:tcBorders>
              <w:top w:val="single" w:sz="8" w:space="0" w:color="auto"/>
              <w:left w:val="nil"/>
              <w:bottom w:val="nil"/>
              <w:right w:val="single" w:sz="8" w:space="0" w:color="auto"/>
            </w:tcBorders>
            <w:shd w:val="clear" w:color="000000" w:fill="D9D9D9"/>
            <w:vAlign w:val="center"/>
            <w:hideMark/>
          </w:tcPr>
          <w:p w:rsidR="00B0414F" w:rsidRPr="00B0414F" w:rsidP="00B0414F" w14:paraId="1393206A" w14:textId="77777777">
            <w:pPr>
              <w:widowControl/>
              <w:autoSpaceDE/>
              <w:autoSpaceDN/>
              <w:adjustRightInd/>
              <w:jc w:val="center"/>
              <w:rPr>
                <w:b/>
                <w:bCs/>
                <w:color w:val="000000"/>
                <w:szCs w:val="20"/>
              </w:rPr>
            </w:pPr>
            <w:r w:rsidRPr="00B0414F">
              <w:rPr>
                <w:b/>
                <w:bCs/>
                <w:color w:val="000000"/>
                <w:szCs w:val="20"/>
              </w:rPr>
              <w:t>Total Cost per Hour</w:t>
            </w:r>
          </w:p>
        </w:tc>
        <w:tc>
          <w:tcPr>
            <w:tcW w:w="1557" w:type="dxa"/>
            <w:tcBorders>
              <w:top w:val="single" w:sz="8" w:space="0" w:color="auto"/>
              <w:left w:val="nil"/>
              <w:bottom w:val="nil"/>
              <w:right w:val="single" w:sz="8" w:space="0" w:color="auto"/>
            </w:tcBorders>
            <w:shd w:val="clear" w:color="000000" w:fill="D9D9D9"/>
            <w:vAlign w:val="center"/>
            <w:hideMark/>
          </w:tcPr>
          <w:p w:rsidR="00B0414F" w:rsidRPr="00B0414F" w:rsidP="00B0414F" w14:paraId="0E4F42E0" w14:textId="77777777">
            <w:pPr>
              <w:widowControl/>
              <w:autoSpaceDE/>
              <w:autoSpaceDN/>
              <w:adjustRightInd/>
              <w:jc w:val="center"/>
              <w:rPr>
                <w:b/>
                <w:bCs/>
                <w:color w:val="000000"/>
                <w:szCs w:val="20"/>
              </w:rPr>
            </w:pPr>
            <w:r w:rsidRPr="00B0414F">
              <w:rPr>
                <w:b/>
                <w:bCs/>
                <w:color w:val="000000"/>
                <w:szCs w:val="20"/>
              </w:rPr>
              <w:t>Total Annual Burden Cost</w:t>
            </w:r>
          </w:p>
        </w:tc>
      </w:tr>
      <w:tr w14:paraId="46FB9111" w14:textId="77777777" w:rsidTr="00447043">
        <w:tblPrEx>
          <w:tblW w:w="8990" w:type="dxa"/>
          <w:tblInd w:w="350" w:type="dxa"/>
          <w:tblLayout w:type="fixed"/>
          <w:tblLook w:val="04A0"/>
        </w:tblPrEx>
        <w:trPr>
          <w:trHeight w:val="300"/>
        </w:trPr>
        <w:tc>
          <w:tcPr>
            <w:tcW w:w="1206" w:type="dxa"/>
            <w:vMerge/>
            <w:tcBorders>
              <w:left w:val="single" w:sz="8" w:space="0" w:color="auto"/>
              <w:bottom w:val="single" w:sz="4" w:space="0" w:color="auto"/>
              <w:right w:val="single" w:sz="4" w:space="0" w:color="auto"/>
            </w:tcBorders>
            <w:shd w:val="clear" w:color="000000" w:fill="D9D9D9"/>
            <w:noWrap/>
            <w:vAlign w:val="center"/>
            <w:hideMark/>
          </w:tcPr>
          <w:p w:rsidR="00B0414F" w:rsidRPr="00B0414F" w:rsidP="00B0414F" w14:paraId="573420ED" w14:textId="087B3112">
            <w:pPr>
              <w:widowControl/>
              <w:autoSpaceDE/>
              <w:autoSpaceDN/>
              <w:adjustRightInd/>
              <w:jc w:val="center"/>
              <w:rPr>
                <w:color w:val="000000"/>
                <w:szCs w:val="20"/>
              </w:rPr>
            </w:pPr>
          </w:p>
        </w:tc>
        <w:tc>
          <w:tcPr>
            <w:tcW w:w="1557" w:type="dxa"/>
            <w:tcBorders>
              <w:top w:val="nil"/>
              <w:left w:val="single" w:sz="4" w:space="0" w:color="auto"/>
              <w:bottom w:val="single" w:sz="4" w:space="0" w:color="auto"/>
              <w:right w:val="single" w:sz="4" w:space="0" w:color="auto"/>
            </w:tcBorders>
            <w:shd w:val="clear" w:color="000000" w:fill="D9D9D9"/>
            <w:noWrap/>
            <w:vAlign w:val="center"/>
            <w:hideMark/>
          </w:tcPr>
          <w:p w:rsidR="00B0414F" w:rsidRPr="00221BBF" w:rsidP="00B0414F" w14:paraId="05E00C67" w14:textId="77777777">
            <w:pPr>
              <w:widowControl/>
              <w:autoSpaceDE/>
              <w:autoSpaceDN/>
              <w:adjustRightInd/>
              <w:jc w:val="center"/>
              <w:rPr>
                <w:b/>
                <w:bCs/>
                <w:color w:val="000000"/>
                <w:szCs w:val="20"/>
              </w:rPr>
            </w:pPr>
            <w:r w:rsidRPr="00221BBF">
              <w:rPr>
                <w:b/>
                <w:bCs/>
                <w:color w:val="000000"/>
                <w:szCs w:val="20"/>
              </w:rPr>
              <w:t>(a)</w:t>
            </w:r>
          </w:p>
        </w:tc>
        <w:tc>
          <w:tcPr>
            <w:tcW w:w="1557" w:type="dxa"/>
            <w:tcBorders>
              <w:top w:val="nil"/>
              <w:left w:val="single" w:sz="4" w:space="0" w:color="auto"/>
              <w:bottom w:val="single" w:sz="4" w:space="0" w:color="auto"/>
              <w:right w:val="single" w:sz="4" w:space="0" w:color="auto"/>
            </w:tcBorders>
            <w:shd w:val="clear" w:color="000000" w:fill="D9D9D9"/>
            <w:vAlign w:val="center"/>
            <w:hideMark/>
          </w:tcPr>
          <w:p w:rsidR="00B0414F" w:rsidRPr="00221BBF" w:rsidP="00B0414F" w14:paraId="7F4878E5" w14:textId="77777777">
            <w:pPr>
              <w:widowControl/>
              <w:autoSpaceDE/>
              <w:autoSpaceDN/>
              <w:adjustRightInd/>
              <w:jc w:val="center"/>
              <w:rPr>
                <w:b/>
                <w:bCs/>
                <w:color w:val="000000"/>
                <w:szCs w:val="20"/>
              </w:rPr>
            </w:pPr>
            <w:r w:rsidRPr="00221BBF">
              <w:rPr>
                <w:b/>
                <w:bCs/>
                <w:color w:val="000000"/>
                <w:szCs w:val="20"/>
              </w:rPr>
              <w:t>(b)</w:t>
            </w:r>
          </w:p>
        </w:tc>
        <w:tc>
          <w:tcPr>
            <w:tcW w:w="1556" w:type="dxa"/>
            <w:tcBorders>
              <w:top w:val="nil"/>
              <w:left w:val="single" w:sz="4" w:space="0" w:color="auto"/>
              <w:bottom w:val="single" w:sz="4" w:space="0" w:color="auto"/>
              <w:right w:val="single" w:sz="8" w:space="0" w:color="auto"/>
            </w:tcBorders>
            <w:shd w:val="clear" w:color="000000" w:fill="D9D9D9"/>
            <w:vAlign w:val="center"/>
            <w:hideMark/>
          </w:tcPr>
          <w:p w:rsidR="00B0414F" w:rsidRPr="00221BBF" w:rsidP="00B0414F" w14:paraId="1A52F336" w14:textId="77777777">
            <w:pPr>
              <w:widowControl/>
              <w:autoSpaceDE/>
              <w:autoSpaceDN/>
              <w:adjustRightInd/>
              <w:jc w:val="center"/>
              <w:rPr>
                <w:b/>
                <w:bCs/>
                <w:color w:val="000000"/>
                <w:szCs w:val="20"/>
              </w:rPr>
            </w:pPr>
            <w:r w:rsidRPr="00221BBF">
              <w:rPr>
                <w:b/>
                <w:bCs/>
                <w:color w:val="000000"/>
                <w:szCs w:val="20"/>
              </w:rPr>
              <w:t xml:space="preserve">(c) </w:t>
            </w:r>
          </w:p>
        </w:tc>
        <w:tc>
          <w:tcPr>
            <w:tcW w:w="1557" w:type="dxa"/>
            <w:tcBorders>
              <w:top w:val="nil"/>
              <w:left w:val="nil"/>
              <w:bottom w:val="single" w:sz="4" w:space="0" w:color="auto"/>
              <w:right w:val="single" w:sz="8" w:space="0" w:color="auto"/>
            </w:tcBorders>
            <w:shd w:val="clear" w:color="000000" w:fill="D9D9D9"/>
            <w:vAlign w:val="center"/>
            <w:hideMark/>
          </w:tcPr>
          <w:p w:rsidR="00B0414F" w:rsidRPr="00221BBF" w:rsidP="00B0414F" w14:paraId="7B492891" w14:textId="77777777">
            <w:pPr>
              <w:widowControl/>
              <w:autoSpaceDE/>
              <w:autoSpaceDN/>
              <w:adjustRightInd/>
              <w:jc w:val="center"/>
              <w:rPr>
                <w:b/>
                <w:bCs/>
                <w:color w:val="000000"/>
                <w:szCs w:val="20"/>
              </w:rPr>
            </w:pPr>
            <w:r w:rsidRPr="00221BBF">
              <w:rPr>
                <w:b/>
                <w:bCs/>
                <w:color w:val="000000"/>
                <w:szCs w:val="20"/>
              </w:rPr>
              <w:t>(d)</w:t>
            </w:r>
          </w:p>
        </w:tc>
        <w:tc>
          <w:tcPr>
            <w:tcW w:w="1557" w:type="dxa"/>
            <w:tcBorders>
              <w:top w:val="nil"/>
              <w:left w:val="nil"/>
              <w:bottom w:val="single" w:sz="4" w:space="0" w:color="auto"/>
              <w:right w:val="single" w:sz="8" w:space="0" w:color="auto"/>
            </w:tcBorders>
            <w:shd w:val="clear" w:color="000000" w:fill="D9D9D9"/>
            <w:vAlign w:val="center"/>
            <w:hideMark/>
          </w:tcPr>
          <w:p w:rsidR="00B0414F" w:rsidRPr="00221BBF" w:rsidP="00B0414F" w14:paraId="40A64D98" w14:textId="77777777">
            <w:pPr>
              <w:widowControl/>
              <w:autoSpaceDE/>
              <w:autoSpaceDN/>
              <w:adjustRightInd/>
              <w:jc w:val="center"/>
              <w:rPr>
                <w:b/>
                <w:bCs/>
                <w:color w:val="000000"/>
                <w:szCs w:val="20"/>
              </w:rPr>
            </w:pPr>
            <w:r w:rsidRPr="00221BBF">
              <w:rPr>
                <w:b/>
                <w:bCs/>
                <w:color w:val="000000"/>
                <w:szCs w:val="20"/>
              </w:rPr>
              <w:t>(e = c × d)</w:t>
            </w:r>
          </w:p>
        </w:tc>
      </w:tr>
      <w:tr w14:paraId="7E8BCCE7" w14:textId="77777777" w:rsidTr="00447043">
        <w:tblPrEx>
          <w:tblW w:w="8990" w:type="dxa"/>
          <w:tblInd w:w="350" w:type="dxa"/>
          <w:tblLayout w:type="fixed"/>
          <w:tblLook w:val="04A0"/>
        </w:tblPrEx>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A36" w:rsidRPr="006D7BDD" w:rsidP="00F63A36" w14:paraId="3BF912A4" w14:textId="7AA573E9">
            <w:pPr>
              <w:widowControl/>
              <w:autoSpaceDE/>
              <w:autoSpaceDN/>
              <w:adjustRightInd/>
              <w:jc w:val="center"/>
              <w:rPr>
                <w:color w:val="000000"/>
                <w:szCs w:val="20"/>
              </w:rPr>
            </w:pPr>
            <w:r>
              <w:rPr>
                <w:color w:val="000000"/>
                <w:szCs w:val="20"/>
              </w:rPr>
              <w:t>IC-1</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5D4CF2C5" w14:textId="73B0D449">
            <w:pPr>
              <w:widowControl/>
              <w:autoSpaceDE/>
              <w:autoSpaceDN/>
              <w:adjustRightInd/>
              <w:jc w:val="center"/>
              <w:rPr>
                <w:color w:val="000000"/>
                <w:szCs w:val="20"/>
              </w:rPr>
            </w:pPr>
            <w:r>
              <w:rPr>
                <w:color w:val="000000"/>
                <w:szCs w:val="20"/>
              </w:rPr>
              <w:t>934,707</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6C0A5D8F" w14:textId="0BB82F19">
            <w:pPr>
              <w:widowControl/>
              <w:autoSpaceDE/>
              <w:autoSpaceDN/>
              <w:adjustRightInd/>
              <w:jc w:val="center"/>
              <w:rPr>
                <w:color w:val="000000"/>
                <w:szCs w:val="20"/>
              </w:rPr>
            </w:pPr>
            <w:r>
              <w:rPr>
                <w:color w:val="000000"/>
                <w:szCs w:val="20"/>
              </w:rPr>
              <w:t>567,351</w:t>
            </w:r>
          </w:p>
        </w:tc>
        <w:tc>
          <w:tcPr>
            <w:tcW w:w="1556" w:type="dxa"/>
            <w:tcBorders>
              <w:top w:val="nil"/>
              <w:left w:val="nil"/>
              <w:bottom w:val="single" w:sz="8" w:space="0" w:color="auto"/>
              <w:right w:val="single" w:sz="8" w:space="0" w:color="auto"/>
            </w:tcBorders>
            <w:shd w:val="clear" w:color="auto" w:fill="auto"/>
            <w:noWrap/>
            <w:vAlign w:val="center"/>
            <w:hideMark/>
          </w:tcPr>
          <w:p w:rsidR="00F63A36" w:rsidRPr="006D7BDD" w:rsidP="00F63A36" w14:paraId="64B429AA" w14:textId="1496BE65">
            <w:pPr>
              <w:widowControl/>
              <w:autoSpaceDE/>
              <w:autoSpaceDN/>
              <w:adjustRightInd/>
              <w:jc w:val="center"/>
              <w:rPr>
                <w:color w:val="000000"/>
                <w:szCs w:val="20"/>
              </w:rPr>
            </w:pPr>
            <w:r>
              <w:rPr>
                <w:color w:val="000000"/>
                <w:szCs w:val="20"/>
              </w:rPr>
              <w:t>158,437</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6EAF3C31" w14:textId="0616C3D7">
            <w:pPr>
              <w:widowControl/>
              <w:autoSpaceDE/>
              <w:autoSpaceDN/>
              <w:adjustRightInd/>
              <w:jc w:val="center"/>
              <w:rPr>
                <w:color w:val="000000"/>
                <w:szCs w:val="20"/>
              </w:rPr>
            </w:pPr>
            <w:r>
              <w:rPr>
                <w:color w:val="000000"/>
                <w:szCs w:val="20"/>
              </w:rPr>
              <w:t xml:space="preserve">$42.94 </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53A5110C" w14:textId="104A219D">
            <w:pPr>
              <w:widowControl/>
              <w:autoSpaceDE/>
              <w:autoSpaceDN/>
              <w:adjustRightInd/>
              <w:jc w:val="center"/>
              <w:rPr>
                <w:color w:val="000000"/>
                <w:szCs w:val="20"/>
              </w:rPr>
            </w:pPr>
            <w:r>
              <w:rPr>
                <w:color w:val="000000"/>
                <w:szCs w:val="20"/>
              </w:rPr>
              <w:t xml:space="preserve">$6,804,061 </w:t>
            </w:r>
          </w:p>
        </w:tc>
      </w:tr>
      <w:tr w14:paraId="04036FC2" w14:textId="77777777" w:rsidTr="00447043">
        <w:tblPrEx>
          <w:tblW w:w="8990" w:type="dxa"/>
          <w:tblInd w:w="350" w:type="dxa"/>
          <w:tblLayout w:type="fixed"/>
          <w:tblLook w:val="04A0"/>
        </w:tblPrEx>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A36" w:rsidRPr="006D7BDD" w:rsidP="00F63A36" w14:paraId="5440A810" w14:textId="1FD88C9D">
            <w:pPr>
              <w:widowControl/>
              <w:autoSpaceDE/>
              <w:autoSpaceDN/>
              <w:adjustRightInd/>
              <w:jc w:val="center"/>
              <w:rPr>
                <w:color w:val="000000"/>
                <w:szCs w:val="20"/>
              </w:rPr>
            </w:pPr>
            <w:r>
              <w:rPr>
                <w:color w:val="000000"/>
                <w:szCs w:val="20"/>
              </w:rPr>
              <w:t>IC-2</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4F7C4840" w14:textId="060D1B83">
            <w:pPr>
              <w:widowControl/>
              <w:autoSpaceDE/>
              <w:autoSpaceDN/>
              <w:adjustRightInd/>
              <w:jc w:val="center"/>
              <w:rPr>
                <w:color w:val="000000"/>
                <w:szCs w:val="20"/>
              </w:rPr>
            </w:pPr>
            <w:r>
              <w:rPr>
                <w:color w:val="000000"/>
                <w:szCs w:val="20"/>
              </w:rPr>
              <w:t>2,879</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6DECA24D" w14:textId="66205609">
            <w:pPr>
              <w:widowControl/>
              <w:autoSpaceDE/>
              <w:autoSpaceDN/>
              <w:adjustRightInd/>
              <w:jc w:val="center"/>
              <w:rPr>
                <w:color w:val="000000"/>
                <w:szCs w:val="20"/>
              </w:rPr>
            </w:pPr>
            <w:r>
              <w:rPr>
                <w:color w:val="000000"/>
                <w:szCs w:val="20"/>
              </w:rPr>
              <w:t>1,922</w:t>
            </w:r>
          </w:p>
        </w:tc>
        <w:tc>
          <w:tcPr>
            <w:tcW w:w="1556" w:type="dxa"/>
            <w:tcBorders>
              <w:top w:val="nil"/>
              <w:left w:val="nil"/>
              <w:bottom w:val="single" w:sz="8" w:space="0" w:color="auto"/>
              <w:right w:val="single" w:sz="8" w:space="0" w:color="auto"/>
            </w:tcBorders>
            <w:shd w:val="clear" w:color="auto" w:fill="auto"/>
            <w:noWrap/>
            <w:vAlign w:val="center"/>
            <w:hideMark/>
          </w:tcPr>
          <w:p w:rsidR="00F63A36" w:rsidRPr="006D7BDD" w:rsidP="00F63A36" w14:paraId="2A1B691F" w14:textId="09096B31">
            <w:pPr>
              <w:widowControl/>
              <w:autoSpaceDE/>
              <w:autoSpaceDN/>
              <w:adjustRightInd/>
              <w:jc w:val="center"/>
              <w:rPr>
                <w:color w:val="000000"/>
                <w:szCs w:val="20"/>
              </w:rPr>
            </w:pPr>
            <w:r>
              <w:rPr>
                <w:color w:val="000000"/>
                <w:szCs w:val="20"/>
              </w:rPr>
              <w:t>497</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789C9B8E" w14:textId="516C42BD">
            <w:pPr>
              <w:widowControl/>
              <w:autoSpaceDE/>
              <w:autoSpaceDN/>
              <w:adjustRightInd/>
              <w:jc w:val="center"/>
              <w:rPr>
                <w:color w:val="000000"/>
                <w:szCs w:val="20"/>
              </w:rPr>
            </w:pPr>
            <w:r>
              <w:rPr>
                <w:color w:val="000000"/>
                <w:szCs w:val="20"/>
              </w:rPr>
              <w:t xml:space="preserve">$42.94 </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2B0899DD" w14:textId="4A8BD97E">
            <w:pPr>
              <w:widowControl/>
              <w:autoSpaceDE/>
              <w:autoSpaceDN/>
              <w:adjustRightInd/>
              <w:jc w:val="center"/>
              <w:rPr>
                <w:color w:val="000000"/>
                <w:szCs w:val="20"/>
              </w:rPr>
            </w:pPr>
            <w:r>
              <w:rPr>
                <w:color w:val="000000"/>
                <w:szCs w:val="20"/>
              </w:rPr>
              <w:t xml:space="preserve">$21,333 </w:t>
            </w:r>
          </w:p>
        </w:tc>
      </w:tr>
      <w:tr w14:paraId="750D4110" w14:textId="77777777" w:rsidTr="00447043">
        <w:tblPrEx>
          <w:tblW w:w="8990" w:type="dxa"/>
          <w:tblInd w:w="350" w:type="dxa"/>
          <w:tblLayout w:type="fixed"/>
          <w:tblLook w:val="04A0"/>
        </w:tblPrEx>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A36" w:rsidRPr="006D7BDD" w:rsidP="00F63A36" w14:paraId="12E308FF" w14:textId="671EB1F8">
            <w:pPr>
              <w:widowControl/>
              <w:autoSpaceDE/>
              <w:autoSpaceDN/>
              <w:adjustRightInd/>
              <w:jc w:val="center"/>
              <w:rPr>
                <w:color w:val="000000"/>
                <w:szCs w:val="20"/>
              </w:rPr>
            </w:pPr>
            <w:r>
              <w:rPr>
                <w:color w:val="000000"/>
                <w:szCs w:val="20"/>
              </w:rPr>
              <w:t>IC-3</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2ADCD5DC" w14:textId="0C1B350B">
            <w:pPr>
              <w:widowControl/>
              <w:autoSpaceDE/>
              <w:autoSpaceDN/>
              <w:adjustRightInd/>
              <w:jc w:val="center"/>
              <w:rPr>
                <w:color w:val="000000"/>
                <w:szCs w:val="20"/>
              </w:rPr>
            </w:pPr>
            <w:r>
              <w:rPr>
                <w:color w:val="000000"/>
                <w:szCs w:val="20"/>
              </w:rPr>
              <w:t>3,710</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75052DBD" w14:textId="2ED66AEA">
            <w:pPr>
              <w:widowControl/>
              <w:autoSpaceDE/>
              <w:autoSpaceDN/>
              <w:adjustRightInd/>
              <w:jc w:val="center"/>
              <w:rPr>
                <w:color w:val="000000"/>
                <w:szCs w:val="20"/>
              </w:rPr>
            </w:pPr>
            <w:r>
              <w:rPr>
                <w:color w:val="000000"/>
                <w:szCs w:val="20"/>
              </w:rPr>
              <w:t>3,709</w:t>
            </w:r>
          </w:p>
        </w:tc>
        <w:tc>
          <w:tcPr>
            <w:tcW w:w="1556" w:type="dxa"/>
            <w:tcBorders>
              <w:top w:val="nil"/>
              <w:left w:val="nil"/>
              <w:bottom w:val="single" w:sz="8" w:space="0" w:color="auto"/>
              <w:right w:val="single" w:sz="8" w:space="0" w:color="auto"/>
            </w:tcBorders>
            <w:shd w:val="clear" w:color="auto" w:fill="auto"/>
            <w:noWrap/>
            <w:vAlign w:val="center"/>
            <w:hideMark/>
          </w:tcPr>
          <w:p w:rsidR="00F63A36" w:rsidRPr="006D7BDD" w:rsidP="00F63A36" w14:paraId="62B89D2D" w14:textId="5AFD235E">
            <w:pPr>
              <w:widowControl/>
              <w:autoSpaceDE/>
              <w:autoSpaceDN/>
              <w:adjustRightInd/>
              <w:jc w:val="center"/>
              <w:rPr>
                <w:color w:val="000000"/>
                <w:szCs w:val="20"/>
              </w:rPr>
            </w:pPr>
            <w:r>
              <w:rPr>
                <w:color w:val="000000"/>
                <w:szCs w:val="20"/>
              </w:rPr>
              <w:t>1,235</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5F72A861" w14:textId="1DDA83BA">
            <w:pPr>
              <w:widowControl/>
              <w:autoSpaceDE/>
              <w:autoSpaceDN/>
              <w:adjustRightInd/>
              <w:jc w:val="center"/>
              <w:rPr>
                <w:color w:val="000000"/>
                <w:szCs w:val="20"/>
              </w:rPr>
            </w:pPr>
            <w:r>
              <w:rPr>
                <w:color w:val="000000"/>
                <w:szCs w:val="20"/>
              </w:rPr>
              <w:t xml:space="preserve">$42.94 </w:t>
            </w:r>
          </w:p>
        </w:tc>
        <w:tc>
          <w:tcPr>
            <w:tcW w:w="1557" w:type="dxa"/>
            <w:tcBorders>
              <w:top w:val="nil"/>
              <w:left w:val="nil"/>
              <w:bottom w:val="single" w:sz="8" w:space="0" w:color="auto"/>
              <w:right w:val="single" w:sz="8" w:space="0" w:color="auto"/>
            </w:tcBorders>
            <w:shd w:val="clear" w:color="auto" w:fill="auto"/>
            <w:vAlign w:val="center"/>
            <w:hideMark/>
          </w:tcPr>
          <w:p w:rsidR="00F63A36" w:rsidRPr="006D7BDD" w:rsidP="00F63A36" w14:paraId="4CB273B2" w14:textId="7C4D8450">
            <w:pPr>
              <w:widowControl/>
              <w:autoSpaceDE/>
              <w:autoSpaceDN/>
              <w:adjustRightInd/>
              <w:jc w:val="center"/>
              <w:rPr>
                <w:color w:val="000000"/>
                <w:szCs w:val="20"/>
              </w:rPr>
            </w:pPr>
            <w:r>
              <w:rPr>
                <w:color w:val="000000"/>
                <w:szCs w:val="20"/>
              </w:rPr>
              <w:t xml:space="preserve">$53,041 </w:t>
            </w:r>
          </w:p>
        </w:tc>
      </w:tr>
      <w:tr w14:paraId="4C4836D4" w14:textId="77777777" w:rsidTr="00447043">
        <w:tblPrEx>
          <w:tblW w:w="8990" w:type="dxa"/>
          <w:tblInd w:w="350" w:type="dxa"/>
          <w:tblLayout w:type="fixed"/>
          <w:tblLook w:val="04A0"/>
        </w:tblPrEx>
        <w:trPr>
          <w:trHeight w:val="300"/>
        </w:trPr>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A36" w:rsidRPr="00B0414F" w:rsidP="00F63A36" w14:paraId="1885F502" w14:textId="12F2362C">
            <w:pPr>
              <w:widowControl/>
              <w:autoSpaceDE/>
              <w:autoSpaceDN/>
              <w:adjustRightInd/>
              <w:jc w:val="center"/>
              <w:rPr>
                <w:b/>
                <w:bCs/>
                <w:color w:val="000000"/>
                <w:szCs w:val="20"/>
              </w:rPr>
            </w:pPr>
            <w:r>
              <w:rPr>
                <w:b/>
                <w:bCs/>
                <w:color w:val="000000"/>
                <w:szCs w:val="20"/>
              </w:rPr>
              <w:t>Total</w:t>
            </w:r>
          </w:p>
        </w:tc>
        <w:tc>
          <w:tcPr>
            <w:tcW w:w="1557" w:type="dxa"/>
            <w:tcBorders>
              <w:top w:val="nil"/>
              <w:left w:val="nil"/>
              <w:bottom w:val="single" w:sz="8" w:space="0" w:color="auto"/>
              <w:right w:val="single" w:sz="8" w:space="0" w:color="auto"/>
            </w:tcBorders>
            <w:shd w:val="clear" w:color="auto" w:fill="auto"/>
            <w:vAlign w:val="center"/>
            <w:hideMark/>
          </w:tcPr>
          <w:p w:rsidR="00F63A36" w:rsidRPr="00B0414F" w:rsidP="00F63A36" w14:paraId="6614FA4F" w14:textId="0AA3DBE3">
            <w:pPr>
              <w:widowControl/>
              <w:autoSpaceDE/>
              <w:autoSpaceDN/>
              <w:adjustRightInd/>
              <w:jc w:val="center"/>
              <w:rPr>
                <w:b/>
                <w:bCs/>
                <w:color w:val="000000"/>
                <w:szCs w:val="20"/>
              </w:rPr>
            </w:pPr>
            <w:r>
              <w:rPr>
                <w:b/>
                <w:bCs/>
                <w:color w:val="000000"/>
                <w:szCs w:val="20"/>
              </w:rPr>
              <w:t>941,296</w:t>
            </w:r>
          </w:p>
        </w:tc>
        <w:tc>
          <w:tcPr>
            <w:tcW w:w="1557" w:type="dxa"/>
            <w:tcBorders>
              <w:top w:val="nil"/>
              <w:left w:val="nil"/>
              <w:bottom w:val="single" w:sz="8" w:space="0" w:color="auto"/>
              <w:right w:val="single" w:sz="8" w:space="0" w:color="auto"/>
            </w:tcBorders>
            <w:shd w:val="clear" w:color="auto" w:fill="auto"/>
            <w:vAlign w:val="center"/>
            <w:hideMark/>
          </w:tcPr>
          <w:p w:rsidR="00F63A36" w:rsidRPr="00B0414F" w:rsidP="00F63A36" w14:paraId="4DD38576" w14:textId="70A97E98">
            <w:pPr>
              <w:widowControl/>
              <w:autoSpaceDE/>
              <w:autoSpaceDN/>
              <w:adjustRightInd/>
              <w:jc w:val="center"/>
              <w:rPr>
                <w:b/>
                <w:bCs/>
                <w:color w:val="000000"/>
                <w:szCs w:val="20"/>
              </w:rPr>
            </w:pPr>
            <w:r>
              <w:rPr>
                <w:b/>
                <w:bCs/>
                <w:color w:val="000000"/>
                <w:szCs w:val="20"/>
              </w:rPr>
              <w:t>572,983</w:t>
            </w:r>
          </w:p>
        </w:tc>
        <w:tc>
          <w:tcPr>
            <w:tcW w:w="1556" w:type="dxa"/>
            <w:tcBorders>
              <w:top w:val="nil"/>
              <w:left w:val="nil"/>
              <w:bottom w:val="single" w:sz="8" w:space="0" w:color="auto"/>
              <w:right w:val="single" w:sz="8" w:space="0" w:color="auto"/>
            </w:tcBorders>
            <w:shd w:val="clear" w:color="auto" w:fill="auto"/>
            <w:noWrap/>
            <w:vAlign w:val="center"/>
            <w:hideMark/>
          </w:tcPr>
          <w:p w:rsidR="00F63A36" w:rsidRPr="00B0414F" w:rsidP="00F63A36" w14:paraId="46B3D4C3" w14:textId="7DD331C1">
            <w:pPr>
              <w:widowControl/>
              <w:autoSpaceDE/>
              <w:autoSpaceDN/>
              <w:adjustRightInd/>
              <w:jc w:val="center"/>
              <w:rPr>
                <w:b/>
                <w:bCs/>
                <w:color w:val="000000"/>
                <w:szCs w:val="20"/>
              </w:rPr>
            </w:pPr>
            <w:r>
              <w:rPr>
                <w:b/>
                <w:bCs/>
                <w:color w:val="000000"/>
                <w:szCs w:val="20"/>
              </w:rPr>
              <w:t>160,169</w:t>
            </w:r>
          </w:p>
        </w:tc>
        <w:tc>
          <w:tcPr>
            <w:tcW w:w="1557" w:type="dxa"/>
            <w:tcBorders>
              <w:top w:val="nil"/>
              <w:left w:val="nil"/>
              <w:bottom w:val="single" w:sz="8" w:space="0" w:color="auto"/>
              <w:right w:val="single" w:sz="8" w:space="0" w:color="auto"/>
            </w:tcBorders>
            <w:shd w:val="clear" w:color="auto" w:fill="auto"/>
            <w:vAlign w:val="center"/>
            <w:hideMark/>
          </w:tcPr>
          <w:p w:rsidR="00F63A36" w:rsidRPr="00B0414F" w:rsidP="00F63A36" w14:paraId="7BF60EF5" w14:textId="3D0088F6">
            <w:pPr>
              <w:widowControl/>
              <w:autoSpaceDE/>
              <w:autoSpaceDN/>
              <w:adjustRightInd/>
              <w:jc w:val="center"/>
              <w:rPr>
                <w:b/>
                <w:bCs/>
                <w:color w:val="000000"/>
                <w:szCs w:val="20"/>
              </w:rPr>
            </w:pPr>
            <w:r>
              <w:rPr>
                <w:b/>
                <w:bCs/>
                <w:color w:val="000000"/>
                <w:szCs w:val="20"/>
              </w:rPr>
              <w:t>-</w:t>
            </w:r>
          </w:p>
        </w:tc>
        <w:tc>
          <w:tcPr>
            <w:tcW w:w="1557" w:type="dxa"/>
            <w:tcBorders>
              <w:top w:val="nil"/>
              <w:left w:val="nil"/>
              <w:bottom w:val="single" w:sz="8" w:space="0" w:color="auto"/>
              <w:right w:val="single" w:sz="8" w:space="0" w:color="auto"/>
            </w:tcBorders>
            <w:shd w:val="clear" w:color="auto" w:fill="auto"/>
            <w:vAlign w:val="center"/>
            <w:hideMark/>
          </w:tcPr>
          <w:p w:rsidR="00F63A36" w:rsidRPr="00B0414F" w:rsidP="00F63A36" w14:paraId="29A8D034" w14:textId="5998A448">
            <w:pPr>
              <w:widowControl/>
              <w:autoSpaceDE/>
              <w:autoSpaceDN/>
              <w:adjustRightInd/>
              <w:jc w:val="center"/>
              <w:rPr>
                <w:b/>
                <w:bCs/>
                <w:color w:val="000000"/>
                <w:szCs w:val="20"/>
              </w:rPr>
            </w:pPr>
            <w:r>
              <w:rPr>
                <w:b/>
                <w:bCs/>
                <w:color w:val="000000"/>
                <w:szCs w:val="20"/>
              </w:rPr>
              <w:t xml:space="preserve">$6,878,435 </w:t>
            </w:r>
          </w:p>
        </w:tc>
      </w:tr>
    </w:tbl>
    <w:p w:rsidR="00B0414F" w:rsidRPr="00E4568E" w:rsidP="00447043" w14:paraId="0273893C" w14:textId="77777777">
      <w:pPr>
        <w:ind w:left="360"/>
        <w:rPr>
          <w:sz w:val="24"/>
        </w:rPr>
      </w:pPr>
    </w:p>
    <w:p w:rsidR="00EC3507" w:rsidP="00447043" w14:paraId="793A60DF" w14:textId="34FC5C19">
      <w:pPr>
        <w:pStyle w:val="BodyText"/>
        <w:ind w:left="360"/>
      </w:pPr>
      <w:bookmarkStart w:id="5" w:name="OLE_LINK2"/>
      <w:bookmarkStart w:id="6" w:name="OLE_LINK5"/>
      <w:r w:rsidRPr="005F5FF9">
        <w:rPr>
          <w:b/>
        </w:rPr>
        <w:t xml:space="preserve">Estimated Total Annual Burden for </w:t>
      </w:r>
      <w:r w:rsidR="00E96F96">
        <w:rPr>
          <w:b/>
        </w:rPr>
        <w:t xml:space="preserve">the </w:t>
      </w:r>
      <w:r w:rsidRPr="005F5FF9">
        <w:rPr>
          <w:b/>
        </w:rPr>
        <w:t xml:space="preserve">ICR:  </w:t>
      </w:r>
      <w:r w:rsidR="00821C1C">
        <w:rPr>
          <w:color w:val="000000"/>
        </w:rPr>
        <w:t>16</w:t>
      </w:r>
      <w:r w:rsidR="008D6946">
        <w:rPr>
          <w:color w:val="000000"/>
        </w:rPr>
        <w:t>0,169</w:t>
      </w:r>
      <w:r w:rsidRPr="00B0414F" w:rsidR="003C66DB">
        <w:t xml:space="preserve"> </w:t>
      </w:r>
      <w:r w:rsidRPr="00B0414F">
        <w:t>hour</w:t>
      </w:r>
      <w:bookmarkEnd w:id="5"/>
      <w:bookmarkEnd w:id="6"/>
      <w:r w:rsidRPr="00B0414F">
        <w:t>s</w:t>
      </w:r>
      <w:r w:rsidRPr="00B0414F">
        <w:rPr>
          <w:b/>
        </w:rPr>
        <w:t xml:space="preserve"> </w:t>
      </w:r>
      <w:r w:rsidRPr="00B0414F" w:rsidR="00F23BE9">
        <w:t>[</w:t>
      </w:r>
      <w:r w:rsidR="008D6946">
        <w:t>158,437</w:t>
      </w:r>
      <w:r w:rsidRPr="00B0414F" w:rsidR="00481CD4">
        <w:t xml:space="preserve"> </w:t>
      </w:r>
      <w:r w:rsidRPr="00B0414F">
        <w:t>hours for IC</w:t>
      </w:r>
      <w:r w:rsidRPr="00B0414F" w:rsidR="008E29E0">
        <w:t>-</w:t>
      </w:r>
      <w:r w:rsidRPr="00B0414F">
        <w:t xml:space="preserve">1 + </w:t>
      </w:r>
      <w:r w:rsidR="008D6946">
        <w:rPr>
          <w:color w:val="000000"/>
        </w:rPr>
        <w:t>497</w:t>
      </w:r>
      <w:r w:rsidRPr="00B0414F">
        <w:t xml:space="preserve"> hours for IC</w:t>
      </w:r>
      <w:r w:rsidRPr="00B0414F" w:rsidR="008E29E0">
        <w:t>-</w:t>
      </w:r>
      <w:r w:rsidRPr="00B0414F">
        <w:t>2</w:t>
      </w:r>
      <w:r w:rsidRPr="00B0414F" w:rsidR="003C66DB">
        <w:t xml:space="preserve"> + </w:t>
      </w:r>
      <w:r w:rsidR="008D6946">
        <w:rPr>
          <w:color w:val="000000"/>
        </w:rPr>
        <w:t>1,235</w:t>
      </w:r>
      <w:r w:rsidRPr="00B0414F" w:rsidR="003C66DB">
        <w:t xml:space="preserve"> </w:t>
      </w:r>
      <w:r w:rsidRPr="00B0414F">
        <w:t>hours for IC</w:t>
      </w:r>
      <w:r w:rsidRPr="00B0414F" w:rsidR="00BF0703">
        <w:t>-</w:t>
      </w:r>
      <w:r w:rsidRPr="00B0414F">
        <w:t>3</w:t>
      </w:r>
      <w:r w:rsidR="009A536C">
        <w:t xml:space="preserve"> = </w:t>
      </w:r>
      <w:r w:rsidR="008D6946">
        <w:t>160,169</w:t>
      </w:r>
      <w:r w:rsidR="009A536C">
        <w:t xml:space="preserve"> hours</w:t>
      </w:r>
      <w:r w:rsidRPr="00B0414F" w:rsidR="00F23BE9">
        <w:t>]</w:t>
      </w:r>
      <w:r w:rsidRPr="00B0414F" w:rsidR="005B6C35">
        <w:t>.</w:t>
      </w:r>
    </w:p>
    <w:p w:rsidR="00E4568E" w:rsidRPr="00B0414F" w:rsidP="00447043" w14:paraId="6B2042E2" w14:textId="77777777">
      <w:pPr>
        <w:pStyle w:val="BodyText"/>
        <w:ind w:left="360"/>
      </w:pPr>
    </w:p>
    <w:p w:rsidR="005D66CA" w:rsidP="00447043" w14:paraId="4FA3431F" w14:textId="23419079">
      <w:pPr>
        <w:pStyle w:val="BodyText"/>
        <w:ind w:left="360"/>
      </w:pPr>
      <w:r w:rsidRPr="005F5FF9">
        <w:rPr>
          <w:b/>
        </w:rPr>
        <w:t xml:space="preserve">Estimated Total Number of Annual Responses for </w:t>
      </w:r>
      <w:r w:rsidR="00E96F96">
        <w:rPr>
          <w:b/>
        </w:rPr>
        <w:t xml:space="preserve">the </w:t>
      </w:r>
      <w:r w:rsidRPr="005F5FF9">
        <w:rPr>
          <w:b/>
        </w:rPr>
        <w:t xml:space="preserve">ICR: </w:t>
      </w:r>
      <w:r>
        <w:t xml:space="preserve"> </w:t>
      </w:r>
      <w:r w:rsidR="002A6336">
        <w:t>941,296</w:t>
      </w:r>
      <w:r w:rsidRPr="00B0414F" w:rsidR="00B0414F">
        <w:t xml:space="preserve"> </w:t>
      </w:r>
      <w:r w:rsidRPr="00B0414F">
        <w:t>responses [</w:t>
      </w:r>
      <w:r w:rsidR="002A6336">
        <w:rPr>
          <w:color w:val="000000"/>
          <w:szCs w:val="20"/>
        </w:rPr>
        <w:t>934,707</w:t>
      </w:r>
      <w:r w:rsidRPr="00B0414F" w:rsidR="005F1CF8">
        <w:t xml:space="preserve"> </w:t>
      </w:r>
      <w:r w:rsidRPr="00B0414F">
        <w:t xml:space="preserve">responses for IC-1 + </w:t>
      </w:r>
      <w:r w:rsidR="002A6336">
        <w:rPr>
          <w:color w:val="000000"/>
          <w:szCs w:val="20"/>
        </w:rPr>
        <w:t>2,879</w:t>
      </w:r>
      <w:r w:rsidRPr="00B0414F">
        <w:t xml:space="preserve"> responses for IC-2 + </w:t>
      </w:r>
      <w:r w:rsidR="002A6336">
        <w:t>3,710</w:t>
      </w:r>
      <w:r w:rsidRPr="00B0414F">
        <w:t xml:space="preserve"> respo</w:t>
      </w:r>
      <w:r w:rsidRPr="005F5FF9">
        <w:t>nses for IC</w:t>
      </w:r>
      <w:r>
        <w:t>-</w:t>
      </w:r>
      <w:r w:rsidRPr="005F5FF9">
        <w:t>3</w:t>
      </w:r>
      <w:r w:rsidR="009A536C">
        <w:t xml:space="preserve"> =</w:t>
      </w:r>
      <w:r w:rsidR="002A6336">
        <w:t xml:space="preserve"> 941,296</w:t>
      </w:r>
      <w:r w:rsidR="009A536C">
        <w:t xml:space="preserve"> responses</w:t>
      </w:r>
      <w:r>
        <w:t>]</w:t>
      </w:r>
      <w:r w:rsidRPr="005F5FF9">
        <w:t>.</w:t>
      </w:r>
    </w:p>
    <w:p w:rsidR="00E4568E" w:rsidP="00447043" w14:paraId="22BBC504" w14:textId="77777777">
      <w:pPr>
        <w:pStyle w:val="BodyText"/>
        <w:ind w:left="360"/>
      </w:pPr>
    </w:p>
    <w:p w:rsidR="00EC3507" w:rsidP="00447043" w14:paraId="4552DCB2" w14:textId="725AC64C">
      <w:pPr>
        <w:pStyle w:val="BodyText"/>
        <w:ind w:left="360"/>
      </w:pPr>
      <w:r w:rsidRPr="005F5FF9">
        <w:rPr>
          <w:b/>
        </w:rPr>
        <w:t xml:space="preserve">Estimated Total Number of Annual Respondents for </w:t>
      </w:r>
      <w:r w:rsidR="00E96F96">
        <w:rPr>
          <w:b/>
        </w:rPr>
        <w:t xml:space="preserve">the </w:t>
      </w:r>
      <w:r w:rsidRPr="005F5FF9">
        <w:rPr>
          <w:b/>
        </w:rPr>
        <w:t xml:space="preserve">ICR:  </w:t>
      </w:r>
      <w:r w:rsidR="002A6336">
        <w:rPr>
          <w:color w:val="000000"/>
          <w:szCs w:val="20"/>
        </w:rPr>
        <w:t>572,983</w:t>
      </w:r>
      <w:r w:rsidRPr="009F060B" w:rsidR="00235B50">
        <w:t xml:space="preserve"> </w:t>
      </w:r>
      <w:r w:rsidRPr="009F060B" w:rsidR="003C66DB">
        <w:t xml:space="preserve">respondents </w:t>
      </w:r>
      <w:r w:rsidRPr="009F060B" w:rsidR="00F23BE9">
        <w:t>[</w:t>
      </w:r>
      <w:r w:rsidR="00092C84">
        <w:t>567,351</w:t>
      </w:r>
      <w:r w:rsidRPr="009F060B" w:rsidR="00B71403">
        <w:t xml:space="preserve"> </w:t>
      </w:r>
      <w:r w:rsidRPr="009F060B">
        <w:t>respondents for IC</w:t>
      </w:r>
      <w:r w:rsidRPr="009F060B" w:rsidR="008E29E0">
        <w:t>-</w:t>
      </w:r>
      <w:r w:rsidRPr="009F060B">
        <w:t xml:space="preserve">1 + </w:t>
      </w:r>
      <w:r w:rsidR="00092C84">
        <w:rPr>
          <w:color w:val="000000"/>
          <w:szCs w:val="20"/>
        </w:rPr>
        <w:t>1,922</w:t>
      </w:r>
      <w:r w:rsidRPr="009F060B" w:rsidR="00CF3BA0">
        <w:t xml:space="preserve"> </w:t>
      </w:r>
      <w:r w:rsidRPr="009F060B">
        <w:t>respondents for IC</w:t>
      </w:r>
      <w:r w:rsidRPr="009F060B" w:rsidR="008E29E0">
        <w:t>-</w:t>
      </w:r>
      <w:r w:rsidRPr="009F060B">
        <w:t>2</w:t>
      </w:r>
      <w:r w:rsidRPr="009F060B" w:rsidR="003C66DB">
        <w:t xml:space="preserve"> </w:t>
      </w:r>
      <w:r w:rsidRPr="009F060B">
        <w:t xml:space="preserve">+ </w:t>
      </w:r>
      <w:r w:rsidR="00092C84">
        <w:rPr>
          <w:color w:val="000000"/>
          <w:szCs w:val="20"/>
        </w:rPr>
        <w:t>3,709</w:t>
      </w:r>
      <w:r w:rsidRPr="009F060B">
        <w:t xml:space="preserve"> respondents for </w:t>
      </w:r>
      <w:r w:rsidRPr="005F5FF9">
        <w:t>IC</w:t>
      </w:r>
      <w:r w:rsidR="008E29E0">
        <w:t>-</w:t>
      </w:r>
      <w:r w:rsidRPr="005F5FF9">
        <w:t>3</w:t>
      </w:r>
      <w:r w:rsidR="009A536C">
        <w:t xml:space="preserve"> = </w:t>
      </w:r>
      <w:r w:rsidR="00092C84">
        <w:t>572,983</w:t>
      </w:r>
      <w:r w:rsidR="00F23BE9">
        <w:t>]</w:t>
      </w:r>
      <w:r w:rsidRPr="005F5FF9">
        <w:t>.</w:t>
      </w:r>
    </w:p>
    <w:p w:rsidR="00E4568E" w:rsidRPr="005F5FF9" w:rsidP="00447043" w14:paraId="4E58E983" w14:textId="77777777">
      <w:pPr>
        <w:pStyle w:val="BodyText"/>
        <w:ind w:left="360"/>
      </w:pPr>
    </w:p>
    <w:p w:rsidR="00392313" w:rsidP="00447043" w14:paraId="16E969BD" w14:textId="4F9C8D6B">
      <w:pPr>
        <w:pStyle w:val="BodyText"/>
        <w:ind w:left="360"/>
      </w:pPr>
      <w:r w:rsidRPr="00392313">
        <w:rPr>
          <w:b/>
        </w:rPr>
        <w:t xml:space="preserve">Estimated Total Burden Hour Cost for </w:t>
      </w:r>
      <w:r w:rsidR="00E96F96">
        <w:rPr>
          <w:b/>
        </w:rPr>
        <w:t xml:space="preserve">the </w:t>
      </w:r>
      <w:r w:rsidRPr="00392313">
        <w:rPr>
          <w:b/>
        </w:rPr>
        <w:t>ICR:</w:t>
      </w:r>
      <w:r>
        <w:t xml:space="preserve">  </w:t>
      </w:r>
      <w:r w:rsidRPr="00B0414F" w:rsidR="009F060B">
        <w:rPr>
          <w:color w:val="000000"/>
          <w:szCs w:val="20"/>
        </w:rPr>
        <w:t>$</w:t>
      </w:r>
      <w:r w:rsidR="00092C84">
        <w:rPr>
          <w:color w:val="000000"/>
          <w:szCs w:val="20"/>
        </w:rPr>
        <w:t>6,878,435</w:t>
      </w:r>
      <w:r>
        <w:t xml:space="preserve"> [</w:t>
      </w:r>
      <w:r w:rsidRPr="00B0414F" w:rsidR="009F060B">
        <w:rPr>
          <w:color w:val="000000"/>
          <w:szCs w:val="20"/>
        </w:rPr>
        <w:t>$</w:t>
      </w:r>
      <w:r w:rsidR="005B751F">
        <w:rPr>
          <w:color w:val="000000"/>
          <w:szCs w:val="20"/>
        </w:rPr>
        <w:t>6,804,061</w:t>
      </w:r>
      <w:r>
        <w:t xml:space="preserve"> for IC-1 + </w:t>
      </w:r>
      <w:r w:rsidRPr="00B0414F" w:rsidR="009F060B">
        <w:rPr>
          <w:color w:val="000000"/>
          <w:szCs w:val="20"/>
        </w:rPr>
        <w:t>$</w:t>
      </w:r>
      <w:r w:rsidR="005B751F">
        <w:rPr>
          <w:color w:val="000000"/>
          <w:szCs w:val="20"/>
        </w:rPr>
        <w:t>21,333</w:t>
      </w:r>
      <w:r w:rsidR="009C6176">
        <w:rPr>
          <w:color w:val="000000"/>
          <w:szCs w:val="20"/>
        </w:rPr>
        <w:t xml:space="preserve"> </w:t>
      </w:r>
      <w:r>
        <w:t xml:space="preserve">for IC-2 + </w:t>
      </w:r>
      <w:r w:rsidRPr="00B0414F" w:rsidR="009F060B">
        <w:rPr>
          <w:color w:val="000000"/>
          <w:szCs w:val="20"/>
        </w:rPr>
        <w:t>$</w:t>
      </w:r>
      <w:r w:rsidR="005B751F">
        <w:rPr>
          <w:color w:val="000000"/>
          <w:szCs w:val="20"/>
        </w:rPr>
        <w:t>53,041</w:t>
      </w:r>
      <w:r w:rsidRPr="00B0414F" w:rsidR="009F060B">
        <w:rPr>
          <w:color w:val="000000"/>
          <w:szCs w:val="20"/>
        </w:rPr>
        <w:t xml:space="preserve"> </w:t>
      </w:r>
      <w:r>
        <w:t>for IC-3</w:t>
      </w:r>
      <w:r w:rsidR="009A536C">
        <w:t xml:space="preserve"> = $</w:t>
      </w:r>
      <w:r w:rsidR="005B751F">
        <w:t>6,878,435</w:t>
      </w:r>
      <w:r>
        <w:t>].</w:t>
      </w:r>
    </w:p>
    <w:p w:rsidR="00E4568E" w:rsidRPr="005F5FF9" w:rsidP="00447043" w14:paraId="49AEEEB9" w14:textId="77777777">
      <w:pPr>
        <w:pStyle w:val="BodyText"/>
        <w:ind w:left="360"/>
      </w:pPr>
    </w:p>
    <w:p w:rsidR="00EC3507" w:rsidRPr="00E4568E" w:rsidP="00E4568E" w14:paraId="39B94BF4" w14:textId="5709151C">
      <w:pPr>
        <w:pStyle w:val="ListParagraph"/>
        <w:numPr>
          <w:ilvl w:val="0"/>
          <w:numId w:val="10"/>
        </w:numPr>
        <w:ind w:left="360"/>
        <w:outlineLvl w:val="1"/>
        <w:rPr>
          <w:sz w:val="24"/>
        </w:rPr>
      </w:pPr>
      <w:r w:rsidRPr="00E4568E">
        <w:rPr>
          <w:b/>
          <w:bCs/>
          <w:sz w:val="24"/>
        </w:rPr>
        <w:t>ESTIMATE OF TOTAL ANNUAL COST TO RESPONDENTS</w:t>
      </w:r>
    </w:p>
    <w:p w:rsidR="00E4568E" w:rsidP="00E4568E" w14:paraId="2DD71BB2" w14:textId="77777777">
      <w:pPr>
        <w:rPr>
          <w:sz w:val="24"/>
        </w:rPr>
      </w:pPr>
    </w:p>
    <w:p w:rsidR="00E60AF6" w:rsidP="00447043" w14:paraId="6BD62422" w14:textId="127BAE36">
      <w:pPr>
        <w:ind w:left="360"/>
        <w:rPr>
          <w:sz w:val="24"/>
        </w:rPr>
      </w:pPr>
      <w:r>
        <w:rPr>
          <w:sz w:val="24"/>
        </w:rPr>
        <w:t>With the exception of</w:t>
      </w:r>
      <w:r>
        <w:rPr>
          <w:sz w:val="24"/>
        </w:rPr>
        <w:t xml:space="preserve"> Mexico-domiciled carriers, r</w:t>
      </w:r>
      <w:r w:rsidR="00840B55">
        <w:rPr>
          <w:sz w:val="24"/>
        </w:rPr>
        <w:t xml:space="preserve">espondents may complete </w:t>
      </w:r>
      <w:r w:rsidR="00E96F96">
        <w:rPr>
          <w:sz w:val="24"/>
        </w:rPr>
        <w:t>Forms</w:t>
      </w:r>
      <w:r w:rsidR="00840B55">
        <w:rPr>
          <w:sz w:val="24"/>
        </w:rPr>
        <w:t xml:space="preserve"> MCS-150, MCS-150B, and MCS-150C </w:t>
      </w:r>
      <w:r w:rsidR="00195AC7">
        <w:rPr>
          <w:sz w:val="24"/>
        </w:rPr>
        <w:t xml:space="preserve">at no cost </w:t>
      </w:r>
      <w:r w:rsidR="00840B55">
        <w:rPr>
          <w:sz w:val="24"/>
        </w:rPr>
        <w:t>online</w:t>
      </w:r>
      <w:r w:rsidR="00E96F96">
        <w:rPr>
          <w:sz w:val="24"/>
        </w:rPr>
        <w:t xml:space="preserve">. </w:t>
      </w:r>
      <w:r>
        <w:rPr>
          <w:sz w:val="24"/>
        </w:rPr>
        <w:t>Mexico-domiciled carriers</w:t>
      </w:r>
      <w:r>
        <w:rPr>
          <w:sz w:val="24"/>
        </w:rPr>
        <w:t xml:space="preserve"> </w:t>
      </w:r>
      <w:r w:rsidR="00E96F96">
        <w:rPr>
          <w:sz w:val="24"/>
        </w:rPr>
        <w:t>must</w:t>
      </w:r>
      <w:r w:rsidR="00840B55">
        <w:rPr>
          <w:sz w:val="24"/>
        </w:rPr>
        <w:t xml:space="preserve"> complete </w:t>
      </w:r>
      <w:r w:rsidR="00C867FD">
        <w:rPr>
          <w:sz w:val="24"/>
        </w:rPr>
        <w:t>new filings, updates, and ad</w:t>
      </w:r>
      <w:r>
        <w:rPr>
          <w:sz w:val="24"/>
        </w:rPr>
        <w:t>-</w:t>
      </w:r>
      <w:r w:rsidR="00C867FD">
        <w:rPr>
          <w:sz w:val="24"/>
        </w:rPr>
        <w:t>hoc changes by</w:t>
      </w:r>
      <w:r w:rsidR="00840B55">
        <w:rPr>
          <w:sz w:val="24"/>
        </w:rPr>
        <w:t xml:space="preserve"> print</w:t>
      </w:r>
      <w:r w:rsidR="00C867FD">
        <w:rPr>
          <w:sz w:val="24"/>
        </w:rPr>
        <w:t>ing out a</w:t>
      </w:r>
      <w:r w:rsidR="00840B55">
        <w:rPr>
          <w:sz w:val="24"/>
        </w:rPr>
        <w:t xml:space="preserve"> copy and mail</w:t>
      </w:r>
      <w:r w:rsidR="00C867FD">
        <w:rPr>
          <w:sz w:val="24"/>
        </w:rPr>
        <w:t>ing</w:t>
      </w:r>
      <w:r w:rsidR="00840B55">
        <w:rPr>
          <w:sz w:val="24"/>
        </w:rPr>
        <w:t xml:space="preserve"> </w:t>
      </w:r>
      <w:r w:rsidR="00057B1E">
        <w:rPr>
          <w:sz w:val="24"/>
        </w:rPr>
        <w:t xml:space="preserve">it </w:t>
      </w:r>
      <w:r w:rsidR="00840B55">
        <w:rPr>
          <w:sz w:val="24"/>
        </w:rPr>
        <w:t>to FMCSA.</w:t>
      </w:r>
      <w:r w:rsidR="00195AC7">
        <w:rPr>
          <w:sz w:val="24"/>
        </w:rPr>
        <w:t xml:space="preserve"> </w:t>
      </w:r>
      <w:r w:rsidR="00617ED5">
        <w:rPr>
          <w:sz w:val="24"/>
        </w:rPr>
        <w:t>F</w:t>
      </w:r>
      <w:r w:rsidR="00706CF5">
        <w:rPr>
          <w:sz w:val="24"/>
        </w:rPr>
        <w:t xml:space="preserve">or this </w:t>
      </w:r>
      <w:r>
        <w:rPr>
          <w:sz w:val="24"/>
        </w:rPr>
        <w:t xml:space="preserve">renewal, </w:t>
      </w:r>
      <w:r w:rsidR="00706CF5">
        <w:rPr>
          <w:sz w:val="24"/>
        </w:rPr>
        <w:t>the agency includes the international cost of mail for Mexico</w:t>
      </w:r>
      <w:r>
        <w:rPr>
          <w:sz w:val="24"/>
        </w:rPr>
        <w:t>-</w:t>
      </w:r>
      <w:r w:rsidR="00706CF5">
        <w:rPr>
          <w:sz w:val="24"/>
        </w:rPr>
        <w:t>based</w:t>
      </w:r>
      <w:r>
        <w:rPr>
          <w:sz w:val="24"/>
        </w:rPr>
        <w:t xml:space="preserve"> </w:t>
      </w:r>
      <w:r w:rsidR="00706CF5">
        <w:rPr>
          <w:sz w:val="24"/>
        </w:rPr>
        <w:t>carriers</w:t>
      </w:r>
      <w:r w:rsidR="00A339DA">
        <w:rPr>
          <w:sz w:val="24"/>
        </w:rPr>
        <w:t xml:space="preserve"> </w:t>
      </w:r>
      <w:r>
        <w:rPr>
          <w:sz w:val="24"/>
        </w:rPr>
        <w:t>beginning operations</w:t>
      </w:r>
      <w:r w:rsidR="00A339DA">
        <w:rPr>
          <w:sz w:val="24"/>
        </w:rPr>
        <w:t xml:space="preserve"> </w:t>
      </w:r>
      <w:r>
        <w:rPr>
          <w:sz w:val="24"/>
        </w:rPr>
        <w:t xml:space="preserve">who use </w:t>
      </w:r>
      <w:r w:rsidR="00A339DA">
        <w:rPr>
          <w:sz w:val="24"/>
        </w:rPr>
        <w:t>Form MCS-150</w:t>
      </w:r>
      <w:r w:rsidR="00BD0F0F">
        <w:rPr>
          <w:sz w:val="24"/>
        </w:rPr>
        <w:t xml:space="preserve"> (</w:t>
      </w:r>
      <w:r w:rsidR="00374B4A">
        <w:rPr>
          <w:sz w:val="24"/>
        </w:rPr>
        <w:t>199,995</w:t>
      </w:r>
      <w:r w:rsidR="00BD0F0F">
        <w:rPr>
          <w:sz w:val="24"/>
        </w:rPr>
        <w:t xml:space="preserve"> filings).</w:t>
      </w:r>
      <w:r w:rsidR="00617ED5">
        <w:rPr>
          <w:sz w:val="24"/>
        </w:rPr>
        <w:t xml:space="preserve"> However, </w:t>
      </w:r>
      <w:r>
        <w:rPr>
          <w:sz w:val="24"/>
        </w:rPr>
        <w:t xml:space="preserve">FMCSA </w:t>
      </w:r>
      <w:r w:rsidR="00617ED5">
        <w:rPr>
          <w:sz w:val="24"/>
        </w:rPr>
        <w:t>does not estimate new</w:t>
      </w:r>
      <w:r w:rsidR="004F19A8">
        <w:rPr>
          <w:sz w:val="24"/>
        </w:rPr>
        <w:t xml:space="preserve"> filings of form MCS-150B and MCS-150C</w:t>
      </w:r>
      <w:r w:rsidR="00617ED5">
        <w:rPr>
          <w:sz w:val="24"/>
        </w:rPr>
        <w:t xml:space="preserve"> </w:t>
      </w:r>
      <w:r>
        <w:rPr>
          <w:sz w:val="24"/>
        </w:rPr>
        <w:t>and/</w:t>
      </w:r>
      <w:r w:rsidR="00617ED5">
        <w:rPr>
          <w:sz w:val="24"/>
        </w:rPr>
        <w:t xml:space="preserve">or biennial updates </w:t>
      </w:r>
      <w:r>
        <w:rPr>
          <w:sz w:val="24"/>
        </w:rPr>
        <w:t>and/</w:t>
      </w:r>
      <w:r w:rsidR="00617ED5">
        <w:rPr>
          <w:sz w:val="24"/>
        </w:rPr>
        <w:t>or ad</w:t>
      </w:r>
      <w:r>
        <w:rPr>
          <w:sz w:val="24"/>
        </w:rPr>
        <w:t>-</w:t>
      </w:r>
      <w:r w:rsidR="00617ED5">
        <w:rPr>
          <w:sz w:val="24"/>
        </w:rPr>
        <w:t>hoc changes</w:t>
      </w:r>
      <w:r w:rsidR="0014609D">
        <w:rPr>
          <w:sz w:val="24"/>
        </w:rPr>
        <w:t xml:space="preserve"> of form </w:t>
      </w:r>
      <w:r w:rsidR="000A7078">
        <w:rPr>
          <w:sz w:val="24"/>
        </w:rPr>
        <w:t xml:space="preserve">MCS-150, </w:t>
      </w:r>
      <w:r w:rsidR="0014609D">
        <w:rPr>
          <w:sz w:val="24"/>
        </w:rPr>
        <w:t>MCS</w:t>
      </w:r>
      <w:r w:rsidR="004F19A8">
        <w:rPr>
          <w:sz w:val="24"/>
        </w:rPr>
        <w:t>-150B and MCS-150C</w:t>
      </w:r>
      <w:r>
        <w:rPr>
          <w:sz w:val="24"/>
        </w:rPr>
        <w:t xml:space="preserve"> from Mexico domiciled carriers as this population is </w:t>
      </w:r>
      <w:r w:rsidR="007639AD">
        <w:rPr>
          <w:sz w:val="24"/>
        </w:rPr>
        <w:t xml:space="preserve">too </w:t>
      </w:r>
      <w:r>
        <w:rPr>
          <w:sz w:val="24"/>
        </w:rPr>
        <w:t>small and will not significantly impact total mail costs.</w:t>
      </w:r>
    </w:p>
    <w:p w:rsidR="00E4568E" w:rsidP="00447043" w14:paraId="43FFF7E7" w14:textId="77777777">
      <w:pPr>
        <w:ind w:left="360"/>
        <w:rPr>
          <w:sz w:val="24"/>
        </w:rPr>
      </w:pPr>
    </w:p>
    <w:p w:rsidR="00BD0F0F" w:rsidP="2FA67F2A" w14:paraId="2A5783D3" w14:textId="0B3438FE">
      <w:pPr>
        <w:ind w:left="360"/>
        <w:rPr>
          <w:color w:val="000000"/>
          <w:sz w:val="24"/>
        </w:rPr>
      </w:pPr>
      <w:r w:rsidRPr="2FA67F2A">
        <w:rPr>
          <w:sz w:val="24"/>
        </w:rPr>
        <w:t xml:space="preserve">For the </w:t>
      </w:r>
      <w:r w:rsidRPr="2FA67F2A" w:rsidR="004402EE">
        <w:rPr>
          <w:sz w:val="24"/>
        </w:rPr>
        <w:t>Non-MX Domiciled</w:t>
      </w:r>
      <w:r w:rsidRPr="2FA67F2A">
        <w:rPr>
          <w:sz w:val="24"/>
        </w:rPr>
        <w:t xml:space="preserve"> forms anticipated to be received, FMCSA</w:t>
      </w:r>
      <w:r w:rsidRPr="2FA67F2A" w:rsidR="007639AD">
        <w:rPr>
          <w:sz w:val="24"/>
        </w:rPr>
        <w:t xml:space="preserve"> continues to</w:t>
      </w:r>
      <w:r w:rsidRPr="2FA67F2A">
        <w:rPr>
          <w:sz w:val="24"/>
        </w:rPr>
        <w:t xml:space="preserve"> estimate the number of expected forms filed by mail using previous ICR estimates. For example, s</w:t>
      </w:r>
      <w:r w:rsidRPr="2FA67F2A" w:rsidR="00E96F96">
        <w:rPr>
          <w:sz w:val="24"/>
        </w:rPr>
        <w:t>ince FMCSA anticipates receiv</w:t>
      </w:r>
      <w:r w:rsidRPr="2FA67F2A" w:rsidR="006177C2">
        <w:rPr>
          <w:sz w:val="24"/>
        </w:rPr>
        <w:t>ing</w:t>
      </w:r>
      <w:r w:rsidRPr="2FA67F2A" w:rsidR="00E96F96">
        <w:rPr>
          <w:sz w:val="24"/>
        </w:rPr>
        <w:t xml:space="preserve"> </w:t>
      </w:r>
      <w:r w:rsidRPr="2FA67F2A" w:rsidR="0093691A">
        <w:rPr>
          <w:color w:val="000000" w:themeColor="text1"/>
          <w:sz w:val="24"/>
        </w:rPr>
        <w:t>734,</w:t>
      </w:r>
      <w:r w:rsidRPr="2FA67F2A" w:rsidR="0048693A">
        <w:rPr>
          <w:color w:val="000000" w:themeColor="text1"/>
          <w:sz w:val="24"/>
        </w:rPr>
        <w:t>713</w:t>
      </w:r>
      <w:r w:rsidRPr="2FA67F2A" w:rsidR="002919E7">
        <w:rPr>
          <w:color w:val="000000" w:themeColor="text1"/>
          <w:sz w:val="24"/>
        </w:rPr>
        <w:t xml:space="preserve"> </w:t>
      </w:r>
      <w:r w:rsidRPr="2FA67F2A" w:rsidR="007639AD">
        <w:rPr>
          <w:color w:val="000000" w:themeColor="text1"/>
          <w:sz w:val="24"/>
        </w:rPr>
        <w:t>responses</w:t>
      </w:r>
      <w:r w:rsidRPr="2FA67F2A" w:rsidR="006177C2">
        <w:rPr>
          <w:color w:val="000000" w:themeColor="text1"/>
          <w:sz w:val="24"/>
        </w:rPr>
        <w:t xml:space="preserve"> annually</w:t>
      </w:r>
      <w:r w:rsidRPr="2FA67F2A" w:rsidR="00AB2581">
        <w:rPr>
          <w:color w:val="000000" w:themeColor="text1"/>
          <w:sz w:val="24"/>
        </w:rPr>
        <w:t>, FMCSA continues to estimate 33% of this population</w:t>
      </w:r>
      <w:r w:rsidRPr="2FA67F2A" w:rsidR="00331454">
        <w:rPr>
          <w:color w:val="000000" w:themeColor="text1"/>
          <w:sz w:val="24"/>
        </w:rPr>
        <w:t xml:space="preserve">, or </w:t>
      </w:r>
      <w:r w:rsidRPr="2FA67F2A" w:rsidR="0048693A">
        <w:rPr>
          <w:color w:val="000000" w:themeColor="text1"/>
          <w:sz w:val="24"/>
        </w:rPr>
        <w:t>24</w:t>
      </w:r>
      <w:r w:rsidRPr="2FA67F2A" w:rsidR="0046E4CA">
        <w:rPr>
          <w:color w:val="000000" w:themeColor="text1"/>
          <w:sz w:val="24"/>
        </w:rPr>
        <w:t>2,455</w:t>
      </w:r>
      <w:r w:rsidRPr="2FA67F2A" w:rsidR="00331454">
        <w:rPr>
          <w:color w:val="000000" w:themeColor="text1"/>
          <w:sz w:val="24"/>
        </w:rPr>
        <w:t xml:space="preserve"> respon</w:t>
      </w:r>
      <w:r w:rsidRPr="2FA67F2A">
        <w:rPr>
          <w:color w:val="000000" w:themeColor="text1"/>
          <w:sz w:val="24"/>
        </w:rPr>
        <w:t>ses</w:t>
      </w:r>
      <w:r w:rsidRPr="2FA67F2A" w:rsidR="00331454">
        <w:rPr>
          <w:color w:val="000000" w:themeColor="text1"/>
          <w:sz w:val="24"/>
        </w:rPr>
        <w:t>,</w:t>
      </w:r>
      <w:r w:rsidRPr="2FA67F2A" w:rsidR="00AB2581">
        <w:rPr>
          <w:color w:val="000000" w:themeColor="text1"/>
          <w:sz w:val="24"/>
        </w:rPr>
        <w:t xml:space="preserve"> will file by mail.</w:t>
      </w:r>
      <w:r w:rsidRPr="2FA67F2A">
        <w:rPr>
          <w:color w:val="000000" w:themeColor="text1"/>
          <w:sz w:val="24"/>
        </w:rPr>
        <w:t xml:space="preserve"> </w:t>
      </w:r>
      <w:r w:rsidRPr="2FA67F2A" w:rsidR="00E34EE6">
        <w:rPr>
          <w:color w:val="000000" w:themeColor="text1"/>
          <w:sz w:val="24"/>
        </w:rPr>
        <w:t xml:space="preserve">The total mailing costs for the MCS 150 for MX domiciled and non-MX domiciled </w:t>
      </w:r>
      <w:r w:rsidRPr="2FA67F2A" w:rsidR="00B30D13">
        <w:rPr>
          <w:color w:val="000000" w:themeColor="text1"/>
          <w:sz w:val="24"/>
        </w:rPr>
        <w:t xml:space="preserve">filings is </w:t>
      </w:r>
      <w:r w:rsidRPr="2FA67F2A" w:rsidR="00873853">
        <w:rPr>
          <w:color w:val="000000" w:themeColor="text1"/>
          <w:sz w:val="24"/>
        </w:rPr>
        <w:t>$</w:t>
      </w:r>
      <w:r w:rsidRPr="2FA67F2A" w:rsidR="002C3BF0">
        <w:rPr>
          <w:color w:val="000000" w:themeColor="text1"/>
          <w:sz w:val="24"/>
        </w:rPr>
        <w:t>990,448</w:t>
      </w:r>
      <w:r w:rsidRPr="2FA67F2A" w:rsidR="00873853">
        <w:rPr>
          <w:color w:val="000000" w:themeColor="text1"/>
          <w:sz w:val="24"/>
        </w:rPr>
        <w:t xml:space="preserve"> </w:t>
      </w:r>
      <w:r w:rsidRPr="2FA67F2A" w:rsidR="00B30D13">
        <w:rPr>
          <w:color w:val="000000" w:themeColor="text1"/>
          <w:sz w:val="24"/>
        </w:rPr>
        <w:t>($</w:t>
      </w:r>
      <w:r w:rsidRPr="2FA67F2A" w:rsidR="00873853">
        <w:rPr>
          <w:color w:val="000000" w:themeColor="text1"/>
          <w:sz w:val="24"/>
        </w:rPr>
        <w:t>667,982</w:t>
      </w:r>
      <w:r w:rsidRPr="2FA67F2A" w:rsidR="00F351D7">
        <w:rPr>
          <w:color w:val="000000" w:themeColor="text1"/>
          <w:sz w:val="24"/>
        </w:rPr>
        <w:t xml:space="preserve"> </w:t>
      </w:r>
      <w:r w:rsidRPr="2FA67F2A" w:rsidR="00B30D13">
        <w:rPr>
          <w:color w:val="000000" w:themeColor="text1"/>
          <w:sz w:val="24"/>
        </w:rPr>
        <w:t>+ $</w:t>
      </w:r>
      <w:r w:rsidRPr="2FA67F2A" w:rsidR="002C3BF0">
        <w:rPr>
          <w:color w:val="000000" w:themeColor="text1"/>
          <w:sz w:val="24"/>
        </w:rPr>
        <w:t>322,465</w:t>
      </w:r>
      <w:r w:rsidRPr="2FA67F2A" w:rsidR="00F351D7">
        <w:rPr>
          <w:color w:val="000000" w:themeColor="text1"/>
          <w:sz w:val="24"/>
        </w:rPr>
        <w:t xml:space="preserve"> = </w:t>
      </w:r>
      <w:r w:rsidRPr="2FA67F2A" w:rsidR="4E4B7020">
        <w:rPr>
          <w:color w:val="000000" w:themeColor="text1"/>
          <w:sz w:val="24"/>
        </w:rPr>
        <w:t>$</w:t>
      </w:r>
      <w:r w:rsidRPr="2FA67F2A" w:rsidR="002C3BF0">
        <w:rPr>
          <w:color w:val="000000" w:themeColor="text1"/>
          <w:sz w:val="24"/>
        </w:rPr>
        <w:t>990,448</w:t>
      </w:r>
      <w:r w:rsidRPr="2FA67F2A" w:rsidR="00B30D13">
        <w:rPr>
          <w:color w:val="000000" w:themeColor="text1"/>
          <w:sz w:val="24"/>
        </w:rPr>
        <w:t>).</w:t>
      </w:r>
    </w:p>
    <w:p w:rsidR="00E4568E" w:rsidP="00447043" w14:paraId="3D595EBF" w14:textId="77777777">
      <w:pPr>
        <w:ind w:left="360"/>
        <w:rPr>
          <w:color w:val="000000"/>
          <w:sz w:val="24"/>
        </w:rPr>
      </w:pPr>
    </w:p>
    <w:p w:rsidR="003C020D" w:rsidP="00447043" w14:paraId="192FDB44" w14:textId="02112499">
      <w:pPr>
        <w:ind w:left="360"/>
        <w:rPr>
          <w:sz w:val="24"/>
        </w:rPr>
      </w:pPr>
      <w:r>
        <w:rPr>
          <w:color w:val="000000"/>
          <w:sz w:val="24"/>
        </w:rPr>
        <w:t>Similarly f</w:t>
      </w:r>
      <w:r w:rsidR="00617ED5">
        <w:rPr>
          <w:color w:val="000000"/>
          <w:sz w:val="24"/>
        </w:rPr>
        <w:t>or Forms MCS-150B and MCS-150C</w:t>
      </w:r>
      <w:r w:rsidR="006177C2">
        <w:rPr>
          <w:color w:val="000000"/>
          <w:sz w:val="24"/>
        </w:rPr>
        <w:t>,</w:t>
      </w:r>
      <w:r>
        <w:rPr>
          <w:color w:val="000000"/>
          <w:sz w:val="24"/>
        </w:rPr>
        <w:t xml:space="preserve"> FMCSA anticipates </w:t>
      </w:r>
      <w:r w:rsidR="00176510">
        <w:rPr>
          <w:sz w:val="24"/>
        </w:rPr>
        <w:t xml:space="preserve">13% </w:t>
      </w:r>
      <w:r w:rsidR="00B30D13">
        <w:rPr>
          <w:sz w:val="24"/>
        </w:rPr>
        <w:t>(</w:t>
      </w:r>
      <w:r w:rsidR="00A12D87">
        <w:rPr>
          <w:sz w:val="24"/>
        </w:rPr>
        <w:t>374</w:t>
      </w:r>
      <w:r w:rsidR="00B30D13">
        <w:rPr>
          <w:sz w:val="24"/>
        </w:rPr>
        <w:t xml:space="preserve"> filings) </w:t>
      </w:r>
      <w:r>
        <w:rPr>
          <w:sz w:val="24"/>
        </w:rPr>
        <w:t xml:space="preserve">and 96% </w:t>
      </w:r>
      <w:r w:rsidR="00B30D13">
        <w:rPr>
          <w:sz w:val="24"/>
        </w:rPr>
        <w:t>(</w:t>
      </w:r>
      <w:r w:rsidR="00A12D87">
        <w:rPr>
          <w:sz w:val="24"/>
        </w:rPr>
        <w:t>3,562</w:t>
      </w:r>
      <w:r w:rsidR="00B30D13">
        <w:rPr>
          <w:sz w:val="24"/>
        </w:rPr>
        <w:t xml:space="preserve"> filings) </w:t>
      </w:r>
      <w:r>
        <w:rPr>
          <w:sz w:val="24"/>
        </w:rPr>
        <w:t>of respon</w:t>
      </w:r>
      <w:r w:rsidR="006B261D">
        <w:rPr>
          <w:sz w:val="24"/>
        </w:rPr>
        <w:t>ses</w:t>
      </w:r>
      <w:r>
        <w:rPr>
          <w:sz w:val="24"/>
        </w:rPr>
        <w:t xml:space="preserve"> will submit by mail, respectively.</w:t>
      </w:r>
      <w:r w:rsidR="00176510">
        <w:rPr>
          <w:sz w:val="24"/>
        </w:rPr>
        <w:t xml:space="preserve"> </w:t>
      </w:r>
      <w:r>
        <w:rPr>
          <w:sz w:val="24"/>
        </w:rPr>
        <w:t>As a result</w:t>
      </w:r>
      <w:r w:rsidR="006177C2">
        <w:rPr>
          <w:sz w:val="24"/>
        </w:rPr>
        <w:t>,</w:t>
      </w:r>
      <w:r>
        <w:rPr>
          <w:sz w:val="24"/>
        </w:rPr>
        <w:t xml:space="preserve"> the total cost</w:t>
      </w:r>
      <w:r>
        <w:rPr>
          <w:rStyle w:val="FootnoteReference"/>
          <w:sz w:val="24"/>
          <w:vertAlign w:val="superscript"/>
        </w:rPr>
        <w:footnoteReference w:id="8"/>
      </w:r>
      <w:r>
        <w:rPr>
          <w:sz w:val="24"/>
        </w:rPr>
        <w:t xml:space="preserve"> to mail application</w:t>
      </w:r>
      <w:r w:rsidR="009F523D">
        <w:rPr>
          <w:sz w:val="24"/>
        </w:rPr>
        <w:t>s</w:t>
      </w:r>
      <w:r>
        <w:rPr>
          <w:sz w:val="24"/>
        </w:rPr>
        <w:t xml:space="preserve"> is expected to cost </w:t>
      </w:r>
      <w:r w:rsidRPr="00580562">
        <w:rPr>
          <w:sz w:val="24"/>
        </w:rPr>
        <w:t>respondents $</w:t>
      </w:r>
      <w:r w:rsidR="00D7430F">
        <w:rPr>
          <w:sz w:val="24"/>
        </w:rPr>
        <w:t>994,685</w:t>
      </w:r>
      <w:r w:rsidR="009F523D">
        <w:rPr>
          <w:sz w:val="24"/>
        </w:rPr>
        <w:t>,</w:t>
      </w:r>
      <w:r>
        <w:rPr>
          <w:sz w:val="24"/>
        </w:rPr>
        <w:t xml:space="preserve"> as summarized in</w:t>
      </w:r>
      <w:r w:rsidR="00812C4E">
        <w:rPr>
          <w:sz w:val="24"/>
        </w:rPr>
        <w:t xml:space="preserve"> Table </w:t>
      </w:r>
      <w:r w:rsidR="00A12D87">
        <w:rPr>
          <w:sz w:val="24"/>
        </w:rPr>
        <w:t>8</w:t>
      </w:r>
      <w:r w:rsidRPr="002919E7" w:rsidR="00230E11">
        <w:rPr>
          <w:sz w:val="24"/>
        </w:rPr>
        <w:t>.</w:t>
      </w:r>
    </w:p>
    <w:p w:rsidR="00E4568E" w:rsidP="00E4568E" w14:paraId="6A56B29A" w14:textId="77777777">
      <w:pPr>
        <w:rPr>
          <w:sz w:val="24"/>
        </w:rPr>
      </w:pPr>
    </w:p>
    <w:p w:rsidR="00AB2581" w:rsidP="00E4568E" w14:paraId="06DBF4AB" w14:textId="557E4ED7">
      <w:pPr>
        <w:pStyle w:val="Caption"/>
        <w:keepNext/>
        <w:spacing w:after="0"/>
        <w:jc w:val="center"/>
        <w:rPr>
          <w:b/>
          <w:bCs/>
          <w:i w:val="0"/>
          <w:iCs w:val="0"/>
          <w:color w:val="auto"/>
          <w:sz w:val="24"/>
          <w:szCs w:val="24"/>
        </w:rPr>
      </w:pPr>
      <w:r w:rsidRPr="00AB2581">
        <w:rPr>
          <w:b/>
          <w:bCs/>
          <w:i w:val="0"/>
          <w:iCs w:val="0"/>
          <w:color w:val="auto"/>
          <w:sz w:val="24"/>
          <w:szCs w:val="24"/>
        </w:rPr>
        <w:t>Table</w:t>
      </w:r>
      <w:r w:rsidR="005B751F">
        <w:rPr>
          <w:b/>
          <w:bCs/>
          <w:i w:val="0"/>
          <w:iCs w:val="0"/>
          <w:color w:val="auto"/>
          <w:sz w:val="24"/>
          <w:szCs w:val="24"/>
        </w:rPr>
        <w:t xml:space="preserve"> 8</w:t>
      </w:r>
      <w:r w:rsidRPr="00AB2581">
        <w:rPr>
          <w:b/>
          <w:bCs/>
          <w:i w:val="0"/>
          <w:iCs w:val="0"/>
          <w:color w:val="auto"/>
          <w:sz w:val="24"/>
          <w:szCs w:val="24"/>
        </w:rPr>
        <w:t>. Estimated Annual Cost to Respondents to File by Mail</w:t>
      </w:r>
    </w:p>
    <w:p w:rsidR="00E4568E" w:rsidRPr="00E4568E" w:rsidP="00E4568E" w14:paraId="1A6605BF" w14:textId="77777777">
      <w:pPr>
        <w:rPr>
          <w:sz w:val="24"/>
        </w:rPr>
      </w:pPr>
    </w:p>
    <w:tbl>
      <w:tblPr>
        <w:tblW w:w="9865" w:type="dxa"/>
        <w:tblLayout w:type="fixed"/>
        <w:tblLook w:val="04A0"/>
      </w:tblPr>
      <w:tblGrid>
        <w:gridCol w:w="808"/>
        <w:gridCol w:w="1090"/>
        <w:gridCol w:w="964"/>
        <w:gridCol w:w="978"/>
        <w:gridCol w:w="1122"/>
        <w:gridCol w:w="1264"/>
        <w:gridCol w:w="994"/>
        <w:gridCol w:w="1321"/>
        <w:gridCol w:w="1324"/>
      </w:tblGrid>
      <w:tr w14:paraId="2A5FCA99" w14:textId="77777777" w:rsidTr="2FA67F2A">
        <w:tblPrEx>
          <w:tblW w:w="9865" w:type="dxa"/>
          <w:tblLayout w:type="fixed"/>
          <w:tblLook w:val="04A0"/>
        </w:tblPrEx>
        <w:trPr>
          <w:trHeight w:val="1041"/>
        </w:trPr>
        <w:tc>
          <w:tcPr>
            <w:tcW w:w="808"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3C020D" w:rsidRPr="003C020D" w:rsidP="003C020D" w14:paraId="2C9F589B" w14:textId="77777777">
            <w:pPr>
              <w:widowControl/>
              <w:autoSpaceDE/>
              <w:autoSpaceDN/>
              <w:adjustRightInd/>
              <w:jc w:val="center"/>
              <w:rPr>
                <w:b/>
                <w:bCs/>
                <w:color w:val="000000"/>
                <w:szCs w:val="20"/>
              </w:rPr>
            </w:pPr>
            <w:r w:rsidRPr="003C020D">
              <w:rPr>
                <w:b/>
                <w:bCs/>
                <w:color w:val="000000"/>
                <w:szCs w:val="20"/>
              </w:rPr>
              <w:t>Form Type</w:t>
            </w:r>
          </w:p>
        </w:tc>
        <w:tc>
          <w:tcPr>
            <w:tcW w:w="1090"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7816FA63" w14:textId="65434976">
            <w:pPr>
              <w:widowControl/>
              <w:autoSpaceDE/>
              <w:autoSpaceDN/>
              <w:adjustRightInd/>
              <w:jc w:val="center"/>
              <w:rPr>
                <w:b/>
                <w:bCs/>
                <w:color w:val="000000"/>
                <w:szCs w:val="20"/>
              </w:rPr>
            </w:pPr>
            <w:r w:rsidRPr="003C020D">
              <w:rPr>
                <w:b/>
                <w:bCs/>
                <w:color w:val="000000"/>
                <w:szCs w:val="20"/>
              </w:rPr>
              <w:t xml:space="preserve">Number of </w:t>
            </w:r>
            <w:r w:rsidR="00C867FD">
              <w:rPr>
                <w:b/>
                <w:bCs/>
                <w:color w:val="000000"/>
                <w:szCs w:val="20"/>
              </w:rPr>
              <w:t>Filings</w:t>
            </w:r>
          </w:p>
        </w:tc>
        <w:tc>
          <w:tcPr>
            <w:tcW w:w="964"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24909E21" w14:textId="61663292">
            <w:pPr>
              <w:widowControl/>
              <w:autoSpaceDE/>
              <w:autoSpaceDN/>
              <w:adjustRightInd/>
              <w:jc w:val="center"/>
              <w:rPr>
                <w:b/>
                <w:bCs/>
                <w:color w:val="000000"/>
                <w:szCs w:val="20"/>
              </w:rPr>
            </w:pPr>
            <w:r w:rsidRPr="003C020D">
              <w:rPr>
                <w:b/>
                <w:bCs/>
                <w:color w:val="000000"/>
                <w:szCs w:val="20"/>
              </w:rPr>
              <w:t>Number of 8.5' x 11' Sheet</w:t>
            </w:r>
            <w:r w:rsidRPr="00C867FD" w:rsidR="00C867FD">
              <w:rPr>
                <w:b/>
                <w:bCs/>
                <w:color w:val="000000"/>
                <w:szCs w:val="20"/>
              </w:rPr>
              <w:t>s</w:t>
            </w:r>
            <w:r w:rsidRPr="00C867FD" w:rsidR="00AB2581">
              <w:rPr>
                <w:b/>
                <w:bCs/>
                <w:color w:val="000000"/>
                <w:szCs w:val="20"/>
              </w:rPr>
              <w:t xml:space="preserve"> of Paper </w:t>
            </w:r>
            <w:r w:rsidRPr="003C020D">
              <w:rPr>
                <w:b/>
                <w:bCs/>
                <w:color w:val="000000"/>
                <w:szCs w:val="20"/>
              </w:rPr>
              <w:t>per Form</w:t>
            </w:r>
          </w:p>
        </w:tc>
        <w:tc>
          <w:tcPr>
            <w:tcW w:w="978"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5B0F1CB2" w14:textId="0A37544E">
            <w:pPr>
              <w:widowControl/>
              <w:autoSpaceDE/>
              <w:autoSpaceDN/>
              <w:adjustRightInd/>
              <w:jc w:val="center"/>
              <w:rPr>
                <w:b/>
                <w:bCs/>
                <w:color w:val="000000"/>
                <w:szCs w:val="20"/>
              </w:rPr>
            </w:pPr>
            <w:r w:rsidRPr="003C020D">
              <w:rPr>
                <w:b/>
                <w:bCs/>
                <w:color w:val="000000"/>
                <w:szCs w:val="20"/>
              </w:rPr>
              <w:t xml:space="preserve">Weight per 8.5' x 11' Sheet </w:t>
            </w:r>
            <w:r w:rsidRPr="00C867FD" w:rsidR="00AB2581">
              <w:rPr>
                <w:b/>
                <w:bCs/>
                <w:color w:val="000000"/>
                <w:szCs w:val="20"/>
              </w:rPr>
              <w:t xml:space="preserve">of Paper </w:t>
            </w:r>
            <w:r w:rsidRPr="003C020D">
              <w:rPr>
                <w:b/>
                <w:bCs/>
                <w:color w:val="000000"/>
                <w:szCs w:val="20"/>
              </w:rPr>
              <w:t>(ounces)</w:t>
            </w:r>
          </w:p>
        </w:tc>
        <w:tc>
          <w:tcPr>
            <w:tcW w:w="1122"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6DCCC828" w14:textId="6ED1ACF3">
            <w:pPr>
              <w:widowControl/>
              <w:autoSpaceDE/>
              <w:autoSpaceDN/>
              <w:adjustRightInd/>
              <w:jc w:val="center"/>
              <w:rPr>
                <w:b/>
                <w:bCs/>
                <w:color w:val="000000"/>
                <w:szCs w:val="20"/>
              </w:rPr>
            </w:pPr>
            <w:r w:rsidRPr="003C020D">
              <w:rPr>
                <w:b/>
                <w:bCs/>
                <w:color w:val="000000"/>
                <w:szCs w:val="20"/>
              </w:rPr>
              <w:t xml:space="preserve">Total Weight of Sheets </w:t>
            </w:r>
            <w:r w:rsidRPr="00C867FD" w:rsidR="00C867FD">
              <w:rPr>
                <w:b/>
                <w:bCs/>
                <w:color w:val="000000"/>
                <w:szCs w:val="20"/>
              </w:rPr>
              <w:t xml:space="preserve">of Paper </w:t>
            </w:r>
            <w:r w:rsidRPr="003C020D">
              <w:rPr>
                <w:b/>
                <w:bCs/>
                <w:color w:val="000000"/>
                <w:szCs w:val="20"/>
              </w:rPr>
              <w:t>(ounces)</w:t>
            </w:r>
          </w:p>
        </w:tc>
        <w:tc>
          <w:tcPr>
            <w:tcW w:w="1264"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64278B28" w14:textId="28AEEACD">
            <w:pPr>
              <w:widowControl/>
              <w:autoSpaceDE/>
              <w:autoSpaceDN/>
              <w:adjustRightInd/>
              <w:jc w:val="center"/>
              <w:rPr>
                <w:b/>
                <w:bCs/>
                <w:color w:val="000000"/>
                <w:szCs w:val="20"/>
              </w:rPr>
            </w:pPr>
            <w:r w:rsidRPr="003C020D">
              <w:rPr>
                <w:b/>
                <w:bCs/>
                <w:color w:val="000000"/>
                <w:szCs w:val="20"/>
              </w:rPr>
              <w:t xml:space="preserve">Weight per </w:t>
            </w:r>
            <w:r w:rsidRPr="00C867FD" w:rsidR="00C867FD">
              <w:rPr>
                <w:b/>
                <w:bCs/>
                <w:color w:val="000000"/>
                <w:szCs w:val="20"/>
              </w:rPr>
              <w:t>Filing</w:t>
            </w:r>
            <w:r w:rsidRPr="003C020D" w:rsidR="00C867FD">
              <w:rPr>
                <w:b/>
                <w:bCs/>
                <w:color w:val="000000"/>
                <w:szCs w:val="20"/>
              </w:rPr>
              <w:t xml:space="preserve"> </w:t>
            </w:r>
            <w:r w:rsidRPr="003C020D">
              <w:rPr>
                <w:b/>
                <w:bCs/>
                <w:color w:val="000000"/>
                <w:szCs w:val="20"/>
              </w:rPr>
              <w:t xml:space="preserve">(ounces) </w:t>
            </w:r>
          </w:p>
        </w:tc>
        <w:tc>
          <w:tcPr>
            <w:tcW w:w="994"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5C127BA2" w14:textId="77777777">
            <w:pPr>
              <w:widowControl/>
              <w:autoSpaceDE/>
              <w:autoSpaceDN/>
              <w:adjustRightInd/>
              <w:jc w:val="center"/>
              <w:rPr>
                <w:b/>
                <w:bCs/>
                <w:color w:val="000000"/>
                <w:szCs w:val="20"/>
              </w:rPr>
            </w:pPr>
            <w:r w:rsidRPr="003C020D">
              <w:rPr>
                <w:b/>
                <w:bCs/>
                <w:color w:val="000000"/>
                <w:szCs w:val="20"/>
              </w:rPr>
              <w:t>Postage Cost</w:t>
            </w:r>
          </w:p>
        </w:tc>
        <w:tc>
          <w:tcPr>
            <w:tcW w:w="1321" w:type="dxa"/>
            <w:tcBorders>
              <w:top w:val="single" w:sz="4" w:space="0" w:color="auto"/>
              <w:left w:val="nil"/>
              <w:bottom w:val="nil"/>
              <w:right w:val="single" w:sz="4" w:space="0" w:color="auto"/>
            </w:tcBorders>
            <w:shd w:val="clear" w:color="auto" w:fill="D9D9D9" w:themeFill="background1" w:themeFillShade="D9"/>
            <w:vAlign w:val="bottom"/>
            <w:hideMark/>
          </w:tcPr>
          <w:p w:rsidR="00110F8F" w:rsidRPr="003C020D" w:rsidP="00110F8F" w14:paraId="4C1DEA97" w14:textId="5449C8B1">
            <w:pPr>
              <w:widowControl/>
              <w:autoSpaceDE/>
              <w:autoSpaceDN/>
              <w:adjustRightInd/>
              <w:jc w:val="center"/>
              <w:rPr>
                <w:b/>
                <w:bCs/>
                <w:color w:val="000000"/>
                <w:szCs w:val="20"/>
              </w:rPr>
            </w:pPr>
            <w:r w:rsidRPr="003C020D">
              <w:rPr>
                <w:b/>
                <w:bCs/>
                <w:color w:val="000000"/>
                <w:szCs w:val="20"/>
              </w:rPr>
              <w:t xml:space="preserve">Total Cost per </w:t>
            </w:r>
            <w:r w:rsidRPr="00C867FD" w:rsidR="00C867FD">
              <w:rPr>
                <w:b/>
                <w:bCs/>
                <w:color w:val="000000"/>
                <w:szCs w:val="20"/>
              </w:rPr>
              <w:t>Filing</w:t>
            </w:r>
            <w:r>
              <w:rPr>
                <w:b/>
                <w:bCs/>
                <w:color w:val="000000"/>
                <w:szCs w:val="20"/>
              </w:rPr>
              <w:t xml:space="preserve"> (Weight Cost plus Envelope Cost)</w:t>
            </w:r>
          </w:p>
        </w:tc>
        <w:tc>
          <w:tcPr>
            <w:tcW w:w="1324" w:type="dxa"/>
            <w:tcBorders>
              <w:top w:val="single" w:sz="4" w:space="0" w:color="auto"/>
              <w:left w:val="nil"/>
              <w:bottom w:val="nil"/>
              <w:right w:val="single" w:sz="4" w:space="0" w:color="auto"/>
            </w:tcBorders>
            <w:shd w:val="clear" w:color="auto" w:fill="D9D9D9" w:themeFill="background1" w:themeFillShade="D9"/>
            <w:vAlign w:val="bottom"/>
            <w:hideMark/>
          </w:tcPr>
          <w:p w:rsidR="003C020D" w:rsidRPr="003C020D" w:rsidP="003C020D" w14:paraId="32BD7C8C" w14:textId="77777777">
            <w:pPr>
              <w:widowControl/>
              <w:autoSpaceDE/>
              <w:autoSpaceDN/>
              <w:adjustRightInd/>
              <w:jc w:val="center"/>
              <w:rPr>
                <w:b/>
                <w:bCs/>
                <w:color w:val="000000"/>
                <w:szCs w:val="20"/>
              </w:rPr>
            </w:pPr>
            <w:r w:rsidRPr="003C020D">
              <w:rPr>
                <w:b/>
                <w:bCs/>
                <w:color w:val="000000"/>
                <w:szCs w:val="20"/>
              </w:rPr>
              <w:t>Total Cost per Total Responses</w:t>
            </w:r>
          </w:p>
        </w:tc>
      </w:tr>
      <w:tr w14:paraId="6E746C77" w14:textId="77777777" w:rsidTr="2FA67F2A">
        <w:tblPrEx>
          <w:tblW w:w="9865" w:type="dxa"/>
          <w:tblLayout w:type="fixed"/>
          <w:tblLook w:val="04A0"/>
        </w:tblPrEx>
        <w:trPr>
          <w:trHeight w:val="259"/>
        </w:trPr>
        <w:tc>
          <w:tcPr>
            <w:tcW w:w="808"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C020D" w:rsidRPr="003C020D" w:rsidP="003C020D" w14:paraId="37EC0ADA" w14:textId="77777777">
            <w:pPr>
              <w:widowControl/>
              <w:autoSpaceDE/>
              <w:autoSpaceDN/>
              <w:adjustRightInd/>
              <w:jc w:val="center"/>
              <w:rPr>
                <w:b/>
                <w:bCs/>
                <w:color w:val="000000"/>
                <w:szCs w:val="20"/>
              </w:rPr>
            </w:pPr>
            <w:r w:rsidRPr="003C020D">
              <w:rPr>
                <w:b/>
                <w:bCs/>
                <w:color w:val="000000"/>
                <w:szCs w:val="20"/>
              </w:rPr>
              <w:t> </w:t>
            </w:r>
          </w:p>
        </w:tc>
        <w:tc>
          <w:tcPr>
            <w:tcW w:w="1090"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75691AAB" w14:textId="77777777">
            <w:pPr>
              <w:widowControl/>
              <w:autoSpaceDE/>
              <w:autoSpaceDN/>
              <w:adjustRightInd/>
              <w:jc w:val="center"/>
              <w:rPr>
                <w:b/>
                <w:bCs/>
                <w:color w:val="000000"/>
                <w:szCs w:val="20"/>
              </w:rPr>
            </w:pPr>
            <w:r w:rsidRPr="003C020D">
              <w:rPr>
                <w:b/>
                <w:bCs/>
                <w:color w:val="000000"/>
                <w:szCs w:val="20"/>
              </w:rPr>
              <w:t>(a)</w:t>
            </w:r>
          </w:p>
        </w:tc>
        <w:tc>
          <w:tcPr>
            <w:tcW w:w="964"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5C310B47" w14:textId="77777777">
            <w:pPr>
              <w:widowControl/>
              <w:autoSpaceDE/>
              <w:autoSpaceDN/>
              <w:adjustRightInd/>
              <w:jc w:val="center"/>
              <w:rPr>
                <w:b/>
                <w:bCs/>
                <w:color w:val="000000"/>
                <w:szCs w:val="20"/>
              </w:rPr>
            </w:pPr>
            <w:r w:rsidRPr="003C020D">
              <w:rPr>
                <w:b/>
                <w:bCs/>
                <w:color w:val="000000"/>
                <w:szCs w:val="20"/>
              </w:rPr>
              <w:t>(b)</w:t>
            </w:r>
          </w:p>
        </w:tc>
        <w:tc>
          <w:tcPr>
            <w:tcW w:w="978"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608A980E" w14:textId="77777777">
            <w:pPr>
              <w:widowControl/>
              <w:autoSpaceDE/>
              <w:autoSpaceDN/>
              <w:adjustRightInd/>
              <w:jc w:val="center"/>
              <w:rPr>
                <w:b/>
                <w:bCs/>
                <w:color w:val="000000"/>
                <w:szCs w:val="20"/>
              </w:rPr>
            </w:pPr>
            <w:r w:rsidRPr="003C020D">
              <w:rPr>
                <w:b/>
                <w:bCs/>
                <w:color w:val="000000"/>
                <w:szCs w:val="20"/>
              </w:rPr>
              <w:t>(c)</w:t>
            </w:r>
          </w:p>
        </w:tc>
        <w:tc>
          <w:tcPr>
            <w:tcW w:w="1122"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3FF83531" w14:textId="6AF558F3">
            <w:pPr>
              <w:widowControl/>
              <w:autoSpaceDE/>
              <w:autoSpaceDN/>
              <w:adjustRightInd/>
              <w:jc w:val="center"/>
              <w:rPr>
                <w:b/>
                <w:bCs/>
                <w:color w:val="000000"/>
                <w:szCs w:val="20"/>
              </w:rPr>
            </w:pPr>
            <w:r w:rsidRPr="003C020D">
              <w:rPr>
                <w:b/>
                <w:bCs/>
                <w:color w:val="000000"/>
                <w:szCs w:val="20"/>
              </w:rPr>
              <w:t>(d =</w:t>
            </w:r>
            <w:r w:rsidRPr="00C867FD">
              <w:rPr>
                <w:b/>
                <w:bCs/>
                <w:color w:val="000000"/>
                <w:szCs w:val="20"/>
              </w:rPr>
              <w:t xml:space="preserve"> </w:t>
            </w:r>
            <w:r w:rsidRPr="003C020D">
              <w:rPr>
                <w:b/>
                <w:bCs/>
                <w:color w:val="000000"/>
                <w:szCs w:val="20"/>
              </w:rPr>
              <w:t>b</w:t>
            </w:r>
            <w:r w:rsidR="005246AA">
              <w:rPr>
                <w:b/>
                <w:bCs/>
                <w:color w:val="000000"/>
                <w:szCs w:val="20"/>
              </w:rPr>
              <w:t xml:space="preserve"> </w:t>
            </w:r>
            <w:r w:rsidRPr="003C020D">
              <w:rPr>
                <w:b/>
                <w:bCs/>
                <w:color w:val="000000"/>
                <w:szCs w:val="20"/>
              </w:rPr>
              <w:t>×</w:t>
            </w:r>
            <w:r w:rsidR="005246AA">
              <w:rPr>
                <w:b/>
                <w:bCs/>
                <w:color w:val="000000"/>
                <w:szCs w:val="20"/>
              </w:rPr>
              <w:t xml:space="preserve"> </w:t>
            </w:r>
            <w:r w:rsidRPr="003C020D">
              <w:rPr>
                <w:b/>
                <w:bCs/>
                <w:color w:val="000000"/>
                <w:szCs w:val="20"/>
              </w:rPr>
              <w:t>c)</w:t>
            </w:r>
          </w:p>
        </w:tc>
        <w:tc>
          <w:tcPr>
            <w:tcW w:w="1264"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301D660E" w14:textId="130D6107">
            <w:pPr>
              <w:widowControl/>
              <w:autoSpaceDE/>
              <w:autoSpaceDN/>
              <w:adjustRightInd/>
              <w:jc w:val="center"/>
              <w:rPr>
                <w:b/>
                <w:bCs/>
                <w:color w:val="000000"/>
                <w:szCs w:val="20"/>
              </w:rPr>
            </w:pPr>
            <w:r w:rsidRPr="003C020D">
              <w:rPr>
                <w:b/>
                <w:bCs/>
                <w:color w:val="000000"/>
                <w:szCs w:val="20"/>
              </w:rPr>
              <w:t>(e =</w:t>
            </w:r>
            <w:r w:rsidR="005246AA">
              <w:rPr>
                <w:b/>
                <w:bCs/>
                <w:color w:val="000000"/>
                <w:szCs w:val="20"/>
              </w:rPr>
              <w:t xml:space="preserve"> </w:t>
            </w:r>
            <w:r w:rsidRPr="003C020D">
              <w:rPr>
                <w:b/>
                <w:bCs/>
                <w:color w:val="000000"/>
                <w:szCs w:val="20"/>
              </w:rPr>
              <w:t>d</w:t>
            </w:r>
            <w:r w:rsidR="005246AA">
              <w:rPr>
                <w:b/>
                <w:bCs/>
                <w:color w:val="000000"/>
                <w:szCs w:val="20"/>
              </w:rPr>
              <w:t xml:space="preserve"> </w:t>
            </w:r>
            <w:r w:rsidRPr="003C020D">
              <w:rPr>
                <w:b/>
                <w:bCs/>
                <w:color w:val="000000"/>
                <w:szCs w:val="20"/>
              </w:rPr>
              <w:t>+ 0.3)</w:t>
            </w:r>
          </w:p>
        </w:tc>
        <w:tc>
          <w:tcPr>
            <w:tcW w:w="994"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72E0E4F9" w14:textId="107FB5C2">
            <w:pPr>
              <w:widowControl/>
              <w:autoSpaceDE/>
              <w:autoSpaceDN/>
              <w:adjustRightInd/>
              <w:jc w:val="center"/>
              <w:rPr>
                <w:b/>
                <w:bCs/>
                <w:color w:val="000000"/>
                <w:szCs w:val="20"/>
              </w:rPr>
            </w:pPr>
            <w:r w:rsidRPr="003C020D">
              <w:rPr>
                <w:b/>
                <w:bCs/>
                <w:color w:val="000000"/>
                <w:szCs w:val="20"/>
              </w:rPr>
              <w:t>(</w:t>
            </w:r>
            <w:r w:rsidR="00110F8F">
              <w:rPr>
                <w:b/>
                <w:bCs/>
                <w:color w:val="000000"/>
                <w:szCs w:val="20"/>
              </w:rPr>
              <w:t>f</w:t>
            </w:r>
            <w:r w:rsidRPr="003C020D">
              <w:rPr>
                <w:b/>
                <w:bCs/>
                <w:color w:val="000000"/>
                <w:szCs w:val="20"/>
              </w:rPr>
              <w:t>)</w:t>
            </w:r>
          </w:p>
        </w:tc>
        <w:tc>
          <w:tcPr>
            <w:tcW w:w="1321"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38BD2602" w14:textId="757C250F">
            <w:pPr>
              <w:widowControl/>
              <w:autoSpaceDE/>
              <w:autoSpaceDN/>
              <w:adjustRightInd/>
              <w:jc w:val="center"/>
              <w:rPr>
                <w:b/>
                <w:bCs/>
                <w:color w:val="000000"/>
                <w:szCs w:val="20"/>
              </w:rPr>
            </w:pPr>
            <w:r w:rsidRPr="003C020D">
              <w:rPr>
                <w:b/>
                <w:bCs/>
                <w:color w:val="000000"/>
                <w:szCs w:val="20"/>
              </w:rPr>
              <w:t>(</w:t>
            </w:r>
            <w:r w:rsidR="00110F8F">
              <w:rPr>
                <w:b/>
                <w:bCs/>
                <w:color w:val="000000"/>
                <w:szCs w:val="20"/>
              </w:rPr>
              <w:t>g</w:t>
            </w:r>
            <w:r w:rsidR="005246AA">
              <w:rPr>
                <w:b/>
                <w:bCs/>
                <w:color w:val="000000"/>
                <w:szCs w:val="20"/>
              </w:rPr>
              <w:t xml:space="preserve"> </w:t>
            </w:r>
            <w:r w:rsidRPr="003C020D">
              <w:rPr>
                <w:b/>
                <w:bCs/>
                <w:color w:val="000000"/>
                <w:szCs w:val="20"/>
              </w:rPr>
              <w:t>=</w:t>
            </w:r>
            <w:r w:rsidR="005246AA">
              <w:rPr>
                <w:b/>
                <w:bCs/>
                <w:color w:val="000000"/>
                <w:szCs w:val="20"/>
              </w:rPr>
              <w:t xml:space="preserve"> </w:t>
            </w:r>
            <w:r w:rsidR="00110F8F">
              <w:rPr>
                <w:b/>
                <w:bCs/>
                <w:color w:val="000000"/>
                <w:szCs w:val="20"/>
              </w:rPr>
              <w:t>f</w:t>
            </w:r>
            <w:r w:rsidR="005246AA">
              <w:rPr>
                <w:b/>
                <w:bCs/>
                <w:color w:val="000000"/>
                <w:szCs w:val="20"/>
              </w:rPr>
              <w:t xml:space="preserve"> </w:t>
            </w:r>
            <w:r w:rsidRPr="003C020D">
              <w:rPr>
                <w:b/>
                <w:bCs/>
                <w:color w:val="000000"/>
                <w:szCs w:val="20"/>
              </w:rPr>
              <w:t>+ $</w:t>
            </w:r>
            <w:r w:rsidRPr="00C867FD">
              <w:rPr>
                <w:b/>
                <w:bCs/>
                <w:color w:val="000000"/>
                <w:szCs w:val="20"/>
              </w:rPr>
              <w:t>0</w:t>
            </w:r>
            <w:r w:rsidRPr="003C020D">
              <w:rPr>
                <w:b/>
                <w:bCs/>
                <w:color w:val="000000"/>
                <w:szCs w:val="20"/>
              </w:rPr>
              <w:t>.04)</w:t>
            </w:r>
          </w:p>
        </w:tc>
        <w:tc>
          <w:tcPr>
            <w:tcW w:w="1324" w:type="dxa"/>
            <w:tcBorders>
              <w:top w:val="nil"/>
              <w:left w:val="nil"/>
              <w:bottom w:val="single" w:sz="4" w:space="0" w:color="auto"/>
              <w:right w:val="single" w:sz="4" w:space="0" w:color="auto"/>
            </w:tcBorders>
            <w:shd w:val="clear" w:color="auto" w:fill="D9D9D9" w:themeFill="background1" w:themeFillShade="D9"/>
            <w:vAlign w:val="bottom"/>
            <w:hideMark/>
          </w:tcPr>
          <w:p w:rsidR="003C020D" w:rsidRPr="003C020D" w:rsidP="003C020D" w14:paraId="4B67F6D0" w14:textId="31C5C002">
            <w:pPr>
              <w:widowControl/>
              <w:autoSpaceDE/>
              <w:autoSpaceDN/>
              <w:adjustRightInd/>
              <w:jc w:val="center"/>
              <w:rPr>
                <w:b/>
                <w:bCs/>
                <w:color w:val="000000"/>
                <w:szCs w:val="20"/>
              </w:rPr>
            </w:pPr>
            <w:r w:rsidRPr="003C020D">
              <w:rPr>
                <w:b/>
                <w:bCs/>
                <w:color w:val="000000"/>
                <w:szCs w:val="20"/>
              </w:rPr>
              <w:t>(</w:t>
            </w:r>
            <w:r w:rsidR="00110F8F">
              <w:rPr>
                <w:b/>
                <w:bCs/>
                <w:color w:val="000000"/>
                <w:szCs w:val="20"/>
              </w:rPr>
              <w:t>h</w:t>
            </w:r>
            <w:r w:rsidRPr="003C020D">
              <w:rPr>
                <w:b/>
                <w:bCs/>
                <w:color w:val="000000"/>
                <w:szCs w:val="20"/>
              </w:rPr>
              <w:t xml:space="preserve"> =</w:t>
            </w:r>
            <w:r w:rsidR="005246AA">
              <w:rPr>
                <w:b/>
                <w:bCs/>
                <w:color w:val="000000"/>
                <w:szCs w:val="20"/>
              </w:rPr>
              <w:t xml:space="preserve"> </w:t>
            </w:r>
            <w:r w:rsidR="00110F8F">
              <w:rPr>
                <w:b/>
                <w:bCs/>
                <w:color w:val="000000"/>
                <w:szCs w:val="20"/>
              </w:rPr>
              <w:t>g</w:t>
            </w:r>
            <w:r w:rsidR="005246AA">
              <w:rPr>
                <w:b/>
                <w:bCs/>
                <w:color w:val="000000"/>
                <w:szCs w:val="20"/>
              </w:rPr>
              <w:t xml:space="preserve"> </w:t>
            </w:r>
            <w:r w:rsidRPr="003C020D">
              <w:rPr>
                <w:b/>
                <w:bCs/>
                <w:color w:val="000000"/>
                <w:szCs w:val="20"/>
              </w:rPr>
              <w:t>×</w:t>
            </w:r>
            <w:r w:rsidR="005246AA">
              <w:rPr>
                <w:b/>
                <w:bCs/>
                <w:color w:val="000000"/>
                <w:szCs w:val="20"/>
              </w:rPr>
              <w:t xml:space="preserve"> </w:t>
            </w:r>
            <w:r w:rsidRPr="003C020D">
              <w:rPr>
                <w:b/>
                <w:bCs/>
                <w:color w:val="000000"/>
                <w:szCs w:val="20"/>
              </w:rPr>
              <w:t xml:space="preserve">a) </w:t>
            </w:r>
          </w:p>
        </w:tc>
      </w:tr>
      <w:tr w14:paraId="4711A068" w14:textId="77777777" w:rsidTr="2FA67F2A">
        <w:tblPrEx>
          <w:tblW w:w="9865" w:type="dxa"/>
          <w:tblLayout w:type="fixed"/>
          <w:tblLook w:val="04A0"/>
        </w:tblPrEx>
        <w:trPr>
          <w:trHeight w:val="216"/>
        </w:trPr>
        <w:tc>
          <w:tcPr>
            <w:tcW w:w="808" w:type="dxa"/>
            <w:tcBorders>
              <w:top w:val="nil"/>
              <w:left w:val="single" w:sz="4" w:space="0" w:color="auto"/>
              <w:bottom w:val="nil"/>
              <w:right w:val="nil"/>
            </w:tcBorders>
            <w:shd w:val="clear" w:color="auto" w:fill="auto"/>
            <w:vAlign w:val="bottom"/>
            <w:hideMark/>
          </w:tcPr>
          <w:p w:rsidR="003C020D" w:rsidRPr="003C020D" w:rsidP="003C020D" w14:paraId="03720872" w14:textId="77777777">
            <w:pPr>
              <w:widowControl/>
              <w:autoSpaceDE/>
              <w:autoSpaceDN/>
              <w:adjustRightInd/>
              <w:rPr>
                <w:color w:val="000000"/>
                <w:szCs w:val="20"/>
              </w:rPr>
            </w:pPr>
            <w:r w:rsidRPr="003C020D">
              <w:rPr>
                <w:color w:val="000000"/>
                <w:szCs w:val="20"/>
              </w:rPr>
              <w:t> </w:t>
            </w:r>
          </w:p>
        </w:tc>
        <w:tc>
          <w:tcPr>
            <w:tcW w:w="1090" w:type="dxa"/>
            <w:tcBorders>
              <w:top w:val="nil"/>
              <w:left w:val="nil"/>
              <w:bottom w:val="nil"/>
              <w:right w:val="nil"/>
            </w:tcBorders>
            <w:shd w:val="clear" w:color="auto" w:fill="auto"/>
            <w:vAlign w:val="bottom"/>
            <w:hideMark/>
          </w:tcPr>
          <w:p w:rsidR="003C020D" w:rsidRPr="003C020D" w:rsidP="003C020D" w14:paraId="48BAB097" w14:textId="77777777">
            <w:pPr>
              <w:widowControl/>
              <w:autoSpaceDE/>
              <w:autoSpaceDN/>
              <w:adjustRightInd/>
              <w:rPr>
                <w:color w:val="000000"/>
                <w:szCs w:val="20"/>
              </w:rPr>
            </w:pPr>
          </w:p>
        </w:tc>
        <w:tc>
          <w:tcPr>
            <w:tcW w:w="964" w:type="dxa"/>
            <w:tcBorders>
              <w:top w:val="nil"/>
              <w:left w:val="nil"/>
              <w:bottom w:val="nil"/>
              <w:right w:val="nil"/>
            </w:tcBorders>
            <w:shd w:val="clear" w:color="auto" w:fill="auto"/>
            <w:vAlign w:val="bottom"/>
            <w:hideMark/>
          </w:tcPr>
          <w:p w:rsidR="003C020D" w:rsidRPr="003C020D" w:rsidP="003C020D" w14:paraId="3D156D05" w14:textId="77777777">
            <w:pPr>
              <w:widowControl/>
              <w:autoSpaceDE/>
              <w:autoSpaceDN/>
              <w:adjustRightInd/>
              <w:jc w:val="center"/>
              <w:rPr>
                <w:szCs w:val="20"/>
              </w:rPr>
            </w:pPr>
          </w:p>
        </w:tc>
        <w:tc>
          <w:tcPr>
            <w:tcW w:w="978" w:type="dxa"/>
            <w:tcBorders>
              <w:top w:val="nil"/>
              <w:left w:val="nil"/>
              <w:bottom w:val="nil"/>
              <w:right w:val="nil"/>
            </w:tcBorders>
            <w:shd w:val="clear" w:color="auto" w:fill="auto"/>
            <w:vAlign w:val="bottom"/>
            <w:hideMark/>
          </w:tcPr>
          <w:p w:rsidR="003C020D" w:rsidRPr="003C020D" w:rsidP="003C020D" w14:paraId="7A041C53" w14:textId="77777777">
            <w:pPr>
              <w:widowControl/>
              <w:autoSpaceDE/>
              <w:autoSpaceDN/>
              <w:adjustRightInd/>
              <w:jc w:val="center"/>
              <w:rPr>
                <w:szCs w:val="20"/>
              </w:rPr>
            </w:pPr>
          </w:p>
        </w:tc>
        <w:tc>
          <w:tcPr>
            <w:tcW w:w="1122" w:type="dxa"/>
            <w:tcBorders>
              <w:top w:val="nil"/>
              <w:left w:val="nil"/>
              <w:bottom w:val="nil"/>
              <w:right w:val="nil"/>
            </w:tcBorders>
            <w:shd w:val="clear" w:color="auto" w:fill="auto"/>
            <w:vAlign w:val="bottom"/>
            <w:hideMark/>
          </w:tcPr>
          <w:p w:rsidR="003C020D" w:rsidRPr="003C020D" w:rsidP="003C020D" w14:paraId="0ABF8F3F" w14:textId="77777777">
            <w:pPr>
              <w:widowControl/>
              <w:autoSpaceDE/>
              <w:autoSpaceDN/>
              <w:adjustRightInd/>
              <w:jc w:val="center"/>
              <w:rPr>
                <w:szCs w:val="20"/>
              </w:rPr>
            </w:pPr>
          </w:p>
        </w:tc>
        <w:tc>
          <w:tcPr>
            <w:tcW w:w="1264" w:type="dxa"/>
            <w:tcBorders>
              <w:top w:val="nil"/>
              <w:left w:val="nil"/>
              <w:bottom w:val="nil"/>
              <w:right w:val="nil"/>
            </w:tcBorders>
            <w:shd w:val="clear" w:color="auto" w:fill="auto"/>
            <w:vAlign w:val="bottom"/>
            <w:hideMark/>
          </w:tcPr>
          <w:p w:rsidR="003C020D" w:rsidRPr="003C020D" w:rsidP="003C020D" w14:paraId="71E7175C" w14:textId="77777777">
            <w:pPr>
              <w:widowControl/>
              <w:autoSpaceDE/>
              <w:autoSpaceDN/>
              <w:adjustRightInd/>
              <w:jc w:val="center"/>
              <w:rPr>
                <w:szCs w:val="20"/>
              </w:rPr>
            </w:pPr>
          </w:p>
        </w:tc>
        <w:tc>
          <w:tcPr>
            <w:tcW w:w="994" w:type="dxa"/>
            <w:tcBorders>
              <w:top w:val="nil"/>
              <w:left w:val="nil"/>
              <w:bottom w:val="nil"/>
              <w:right w:val="nil"/>
            </w:tcBorders>
            <w:shd w:val="clear" w:color="auto" w:fill="auto"/>
            <w:vAlign w:val="bottom"/>
            <w:hideMark/>
          </w:tcPr>
          <w:p w:rsidR="003C020D" w:rsidRPr="003C020D" w:rsidP="003C020D" w14:paraId="49781C75" w14:textId="77777777">
            <w:pPr>
              <w:widowControl/>
              <w:autoSpaceDE/>
              <w:autoSpaceDN/>
              <w:adjustRightInd/>
              <w:jc w:val="center"/>
              <w:rPr>
                <w:szCs w:val="20"/>
              </w:rPr>
            </w:pPr>
          </w:p>
        </w:tc>
        <w:tc>
          <w:tcPr>
            <w:tcW w:w="1321" w:type="dxa"/>
            <w:tcBorders>
              <w:top w:val="nil"/>
              <w:left w:val="nil"/>
              <w:bottom w:val="nil"/>
              <w:right w:val="nil"/>
            </w:tcBorders>
            <w:shd w:val="clear" w:color="auto" w:fill="auto"/>
            <w:vAlign w:val="bottom"/>
            <w:hideMark/>
          </w:tcPr>
          <w:p w:rsidR="003C020D" w:rsidRPr="003C020D" w:rsidP="003C020D" w14:paraId="1FE88E0C" w14:textId="77777777">
            <w:pPr>
              <w:widowControl/>
              <w:autoSpaceDE/>
              <w:autoSpaceDN/>
              <w:adjustRightInd/>
              <w:jc w:val="center"/>
              <w:rPr>
                <w:szCs w:val="20"/>
              </w:rPr>
            </w:pPr>
          </w:p>
        </w:tc>
        <w:tc>
          <w:tcPr>
            <w:tcW w:w="1324" w:type="dxa"/>
            <w:tcBorders>
              <w:top w:val="nil"/>
              <w:left w:val="nil"/>
              <w:bottom w:val="nil"/>
              <w:right w:val="single" w:sz="4" w:space="0" w:color="auto"/>
            </w:tcBorders>
            <w:shd w:val="clear" w:color="auto" w:fill="auto"/>
            <w:vAlign w:val="bottom"/>
            <w:hideMark/>
          </w:tcPr>
          <w:p w:rsidR="003C020D" w:rsidRPr="003C020D" w:rsidP="003C020D" w14:paraId="379E1829" w14:textId="77777777">
            <w:pPr>
              <w:widowControl/>
              <w:autoSpaceDE/>
              <w:autoSpaceDN/>
              <w:adjustRightInd/>
              <w:rPr>
                <w:color w:val="000000"/>
                <w:szCs w:val="20"/>
              </w:rPr>
            </w:pPr>
            <w:r w:rsidRPr="003C020D">
              <w:rPr>
                <w:color w:val="000000"/>
                <w:szCs w:val="20"/>
              </w:rPr>
              <w:t> </w:t>
            </w:r>
          </w:p>
        </w:tc>
      </w:tr>
      <w:tr w14:paraId="5AF28F10" w14:textId="77777777" w:rsidTr="2FA67F2A">
        <w:tblPrEx>
          <w:tblW w:w="9865" w:type="dxa"/>
          <w:tblLayout w:type="fixed"/>
          <w:tblLook w:val="04A0"/>
        </w:tblPrEx>
        <w:trPr>
          <w:trHeight w:val="25"/>
        </w:trPr>
        <w:tc>
          <w:tcPr>
            <w:tcW w:w="9865" w:type="dxa"/>
            <w:gridSpan w:val="9"/>
            <w:tcBorders>
              <w:top w:val="nil"/>
              <w:left w:val="single" w:sz="4" w:space="0" w:color="auto"/>
              <w:bottom w:val="single" w:sz="4" w:space="0" w:color="auto"/>
              <w:right w:val="single" w:sz="4" w:space="0" w:color="000000" w:themeColor="text1"/>
            </w:tcBorders>
            <w:shd w:val="clear" w:color="auto" w:fill="auto"/>
            <w:vAlign w:val="center"/>
            <w:hideMark/>
          </w:tcPr>
          <w:p w:rsidR="003C020D" w:rsidRPr="003C020D" w:rsidP="003C020D" w14:paraId="0A438283" w14:textId="77777777">
            <w:pPr>
              <w:widowControl/>
              <w:autoSpaceDE/>
              <w:autoSpaceDN/>
              <w:adjustRightInd/>
              <w:rPr>
                <w:color w:val="000000"/>
                <w:szCs w:val="20"/>
              </w:rPr>
            </w:pPr>
            <w:r w:rsidRPr="003C020D">
              <w:rPr>
                <w:color w:val="000000"/>
                <w:szCs w:val="20"/>
              </w:rPr>
              <w:t>MX Domiciled</w:t>
            </w:r>
          </w:p>
        </w:tc>
      </w:tr>
      <w:tr w14:paraId="10045694" w14:textId="77777777" w:rsidTr="2FA67F2A">
        <w:tblPrEx>
          <w:tblW w:w="9865" w:type="dxa"/>
          <w:tblLayout w:type="fixed"/>
          <w:tblLook w:val="04A0"/>
        </w:tblPrEx>
        <w:trPr>
          <w:trHeight w:val="259"/>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rsidR="00516EC4" w:rsidRPr="003C020D" w:rsidP="00516EC4" w14:paraId="266750D9" w14:textId="5F90F4DB">
            <w:pPr>
              <w:widowControl/>
              <w:autoSpaceDE/>
              <w:autoSpaceDN/>
              <w:adjustRightInd/>
              <w:rPr>
                <w:color w:val="000000"/>
                <w:szCs w:val="20"/>
              </w:rPr>
            </w:pPr>
            <w:r w:rsidRPr="00C867FD">
              <w:rPr>
                <w:color w:val="000000"/>
                <w:szCs w:val="20"/>
              </w:rPr>
              <w:t>MCS-</w:t>
            </w:r>
            <w:r w:rsidRPr="003C020D">
              <w:rPr>
                <w:color w:val="000000"/>
                <w:szCs w:val="20"/>
              </w:rPr>
              <w:t xml:space="preserve"> 150</w:t>
            </w:r>
          </w:p>
        </w:tc>
        <w:tc>
          <w:tcPr>
            <w:tcW w:w="1090" w:type="dxa"/>
            <w:tcBorders>
              <w:top w:val="nil"/>
              <w:left w:val="nil"/>
              <w:bottom w:val="single" w:sz="8" w:space="0" w:color="auto"/>
              <w:right w:val="nil"/>
            </w:tcBorders>
            <w:shd w:val="clear" w:color="auto" w:fill="auto"/>
            <w:noWrap/>
            <w:vAlign w:val="center"/>
            <w:hideMark/>
          </w:tcPr>
          <w:p w:rsidR="00516EC4" w:rsidRPr="003C020D" w:rsidP="00516EC4" w14:paraId="64956E38" w14:textId="551690F2">
            <w:pPr>
              <w:widowControl/>
              <w:autoSpaceDE/>
              <w:autoSpaceDN/>
              <w:adjustRightInd/>
              <w:jc w:val="center"/>
              <w:rPr>
                <w:color w:val="000000"/>
                <w:szCs w:val="20"/>
              </w:rPr>
            </w:pPr>
            <w:r>
              <w:rPr>
                <w:color w:val="000000"/>
                <w:szCs w:val="20"/>
              </w:rPr>
              <w:t>199,995</w:t>
            </w:r>
          </w:p>
        </w:tc>
        <w:tc>
          <w:tcPr>
            <w:tcW w:w="964" w:type="dxa"/>
            <w:tcBorders>
              <w:top w:val="nil"/>
              <w:left w:val="single" w:sz="8" w:space="0" w:color="auto"/>
              <w:bottom w:val="single" w:sz="8" w:space="0" w:color="auto"/>
              <w:right w:val="single" w:sz="8" w:space="0" w:color="auto"/>
            </w:tcBorders>
            <w:shd w:val="clear" w:color="auto" w:fill="auto"/>
            <w:noWrap/>
            <w:vAlign w:val="center"/>
            <w:hideMark/>
          </w:tcPr>
          <w:p w:rsidR="00516EC4" w:rsidRPr="003C020D" w:rsidP="00516EC4" w14:paraId="53B24EEE" w14:textId="7A1C4F57">
            <w:pPr>
              <w:widowControl/>
              <w:autoSpaceDE/>
              <w:autoSpaceDN/>
              <w:adjustRightInd/>
              <w:jc w:val="center"/>
              <w:rPr>
                <w:color w:val="000000"/>
                <w:szCs w:val="20"/>
              </w:rPr>
            </w:pPr>
            <w:r>
              <w:rPr>
                <w:color w:val="000000"/>
                <w:szCs w:val="20"/>
              </w:rPr>
              <w:t>11</w:t>
            </w:r>
          </w:p>
        </w:tc>
        <w:tc>
          <w:tcPr>
            <w:tcW w:w="978" w:type="dxa"/>
            <w:tcBorders>
              <w:top w:val="nil"/>
              <w:left w:val="nil"/>
              <w:bottom w:val="single" w:sz="8" w:space="0" w:color="auto"/>
              <w:right w:val="nil"/>
            </w:tcBorders>
            <w:shd w:val="clear" w:color="auto" w:fill="auto"/>
            <w:noWrap/>
            <w:vAlign w:val="center"/>
            <w:hideMark/>
          </w:tcPr>
          <w:p w:rsidR="00516EC4" w:rsidRPr="003C020D" w:rsidP="00516EC4" w14:paraId="7A8AF293" w14:textId="476EEF9C">
            <w:pPr>
              <w:widowControl/>
              <w:autoSpaceDE/>
              <w:autoSpaceDN/>
              <w:adjustRightInd/>
              <w:jc w:val="center"/>
              <w:rPr>
                <w:color w:val="000000"/>
                <w:szCs w:val="20"/>
              </w:rPr>
            </w:pPr>
            <w:r>
              <w:rPr>
                <w:color w:val="000000"/>
                <w:szCs w:val="20"/>
              </w:rPr>
              <w:t>0.16</w:t>
            </w:r>
          </w:p>
        </w:tc>
        <w:tc>
          <w:tcPr>
            <w:tcW w:w="1122" w:type="dxa"/>
            <w:tcBorders>
              <w:top w:val="nil"/>
              <w:left w:val="single" w:sz="8" w:space="0" w:color="auto"/>
              <w:bottom w:val="single" w:sz="8" w:space="0" w:color="auto"/>
              <w:right w:val="nil"/>
            </w:tcBorders>
            <w:shd w:val="clear" w:color="auto" w:fill="auto"/>
            <w:noWrap/>
            <w:vAlign w:val="center"/>
            <w:hideMark/>
          </w:tcPr>
          <w:p w:rsidR="00516EC4" w:rsidRPr="003C020D" w:rsidP="00516EC4" w14:paraId="3F88E3BE" w14:textId="4403C3B1">
            <w:pPr>
              <w:widowControl/>
              <w:autoSpaceDE/>
              <w:autoSpaceDN/>
              <w:adjustRightInd/>
              <w:jc w:val="center"/>
              <w:rPr>
                <w:color w:val="000000"/>
                <w:szCs w:val="20"/>
              </w:rPr>
            </w:pPr>
            <w:r>
              <w:rPr>
                <w:color w:val="000000"/>
                <w:szCs w:val="20"/>
              </w:rPr>
              <w:t>1.76</w:t>
            </w:r>
          </w:p>
        </w:tc>
        <w:tc>
          <w:tcPr>
            <w:tcW w:w="1264" w:type="dxa"/>
            <w:tcBorders>
              <w:top w:val="nil"/>
              <w:left w:val="single" w:sz="8" w:space="0" w:color="auto"/>
              <w:bottom w:val="single" w:sz="8" w:space="0" w:color="auto"/>
              <w:right w:val="single" w:sz="8" w:space="0" w:color="auto"/>
            </w:tcBorders>
            <w:shd w:val="clear" w:color="auto" w:fill="auto"/>
            <w:noWrap/>
            <w:vAlign w:val="center"/>
            <w:hideMark/>
          </w:tcPr>
          <w:p w:rsidR="00516EC4" w:rsidRPr="003C020D" w:rsidP="00516EC4" w14:paraId="0195D10F" w14:textId="7BB7D555">
            <w:pPr>
              <w:widowControl/>
              <w:autoSpaceDE/>
              <w:autoSpaceDN/>
              <w:adjustRightInd/>
              <w:jc w:val="center"/>
              <w:rPr>
                <w:color w:val="000000"/>
                <w:szCs w:val="20"/>
              </w:rPr>
            </w:pPr>
            <w:r>
              <w:rPr>
                <w:color w:val="000000"/>
                <w:szCs w:val="20"/>
              </w:rPr>
              <w:t>2.06</w:t>
            </w:r>
          </w:p>
        </w:tc>
        <w:tc>
          <w:tcPr>
            <w:tcW w:w="994" w:type="dxa"/>
            <w:tcBorders>
              <w:top w:val="nil"/>
              <w:left w:val="nil"/>
              <w:bottom w:val="single" w:sz="8" w:space="0" w:color="auto"/>
              <w:right w:val="single" w:sz="8" w:space="0" w:color="auto"/>
            </w:tcBorders>
            <w:shd w:val="clear" w:color="auto" w:fill="auto"/>
            <w:noWrap/>
            <w:vAlign w:val="center"/>
            <w:hideMark/>
          </w:tcPr>
          <w:p w:rsidR="00516EC4" w:rsidRPr="003C020D" w:rsidP="00516EC4" w14:paraId="6B81E88A" w14:textId="2F697BAC">
            <w:pPr>
              <w:widowControl/>
              <w:autoSpaceDE/>
              <w:autoSpaceDN/>
              <w:adjustRightInd/>
              <w:jc w:val="center"/>
              <w:rPr>
                <w:color w:val="000000"/>
                <w:szCs w:val="20"/>
              </w:rPr>
            </w:pPr>
            <w:r>
              <w:rPr>
                <w:color w:val="000000"/>
                <w:szCs w:val="20"/>
              </w:rPr>
              <w:t xml:space="preserve">$3.30 </w:t>
            </w:r>
          </w:p>
        </w:tc>
        <w:tc>
          <w:tcPr>
            <w:tcW w:w="1321" w:type="dxa"/>
            <w:tcBorders>
              <w:top w:val="nil"/>
              <w:left w:val="nil"/>
              <w:bottom w:val="single" w:sz="8" w:space="0" w:color="auto"/>
              <w:right w:val="single" w:sz="8" w:space="0" w:color="auto"/>
            </w:tcBorders>
            <w:shd w:val="clear" w:color="auto" w:fill="auto"/>
            <w:noWrap/>
            <w:vAlign w:val="center"/>
            <w:hideMark/>
          </w:tcPr>
          <w:p w:rsidR="00516EC4" w:rsidRPr="003C020D" w:rsidP="00516EC4" w14:paraId="71C2E9E5" w14:textId="021B3567">
            <w:pPr>
              <w:widowControl/>
              <w:autoSpaceDE/>
              <w:autoSpaceDN/>
              <w:adjustRightInd/>
              <w:jc w:val="center"/>
              <w:rPr>
                <w:color w:val="000000"/>
                <w:szCs w:val="20"/>
              </w:rPr>
            </w:pPr>
            <w:r>
              <w:rPr>
                <w:color w:val="000000"/>
                <w:szCs w:val="20"/>
              </w:rPr>
              <w:t xml:space="preserve">$3.34 </w:t>
            </w:r>
          </w:p>
        </w:tc>
        <w:tc>
          <w:tcPr>
            <w:tcW w:w="1324" w:type="dxa"/>
            <w:tcBorders>
              <w:top w:val="nil"/>
              <w:left w:val="nil"/>
              <w:bottom w:val="single" w:sz="8" w:space="0" w:color="auto"/>
              <w:right w:val="single" w:sz="8" w:space="0" w:color="auto"/>
            </w:tcBorders>
            <w:shd w:val="clear" w:color="auto" w:fill="auto"/>
            <w:noWrap/>
            <w:vAlign w:val="center"/>
            <w:hideMark/>
          </w:tcPr>
          <w:p w:rsidR="00516EC4" w:rsidRPr="003C020D" w:rsidP="00516EC4" w14:paraId="5D93F3FF" w14:textId="54758A4E">
            <w:pPr>
              <w:widowControl/>
              <w:autoSpaceDE/>
              <w:autoSpaceDN/>
              <w:adjustRightInd/>
              <w:rPr>
                <w:color w:val="000000"/>
                <w:szCs w:val="20"/>
              </w:rPr>
            </w:pPr>
            <w:r>
              <w:rPr>
                <w:color w:val="000000"/>
                <w:szCs w:val="20"/>
              </w:rPr>
              <w:t xml:space="preserve">$667,982 </w:t>
            </w:r>
          </w:p>
        </w:tc>
      </w:tr>
      <w:tr w14:paraId="60C81E01" w14:textId="77777777" w:rsidTr="2FA67F2A">
        <w:tblPrEx>
          <w:tblW w:w="9865" w:type="dxa"/>
          <w:tblLayout w:type="fixed"/>
          <w:tblLook w:val="04A0"/>
        </w:tblPrEx>
        <w:trPr>
          <w:trHeight w:val="259"/>
        </w:trPr>
        <w:tc>
          <w:tcPr>
            <w:tcW w:w="808" w:type="dxa"/>
            <w:tcBorders>
              <w:top w:val="nil"/>
              <w:left w:val="single" w:sz="4" w:space="0" w:color="auto"/>
              <w:bottom w:val="nil"/>
              <w:right w:val="nil"/>
            </w:tcBorders>
            <w:shd w:val="clear" w:color="auto" w:fill="auto"/>
            <w:noWrap/>
            <w:vAlign w:val="bottom"/>
            <w:hideMark/>
          </w:tcPr>
          <w:p w:rsidR="00516EC4" w:rsidRPr="003C020D" w:rsidP="00516EC4" w14:paraId="117A368C" w14:textId="77777777">
            <w:pPr>
              <w:widowControl/>
              <w:autoSpaceDE/>
              <w:autoSpaceDN/>
              <w:adjustRightInd/>
              <w:rPr>
                <w:color w:val="000000"/>
                <w:szCs w:val="20"/>
              </w:rPr>
            </w:pPr>
            <w:r w:rsidRPr="003C020D">
              <w:rPr>
                <w:color w:val="000000"/>
                <w:szCs w:val="20"/>
              </w:rPr>
              <w:t> </w:t>
            </w:r>
          </w:p>
        </w:tc>
        <w:tc>
          <w:tcPr>
            <w:tcW w:w="1090" w:type="dxa"/>
            <w:tcBorders>
              <w:top w:val="nil"/>
              <w:left w:val="nil"/>
              <w:bottom w:val="nil"/>
              <w:right w:val="nil"/>
            </w:tcBorders>
            <w:shd w:val="clear" w:color="auto" w:fill="auto"/>
            <w:noWrap/>
            <w:vAlign w:val="bottom"/>
            <w:hideMark/>
          </w:tcPr>
          <w:p w:rsidR="00516EC4" w:rsidRPr="003C020D" w:rsidP="00516EC4" w14:paraId="188B56FA" w14:textId="77777777">
            <w:pPr>
              <w:widowControl/>
              <w:autoSpaceDE/>
              <w:autoSpaceDN/>
              <w:adjustRightInd/>
              <w:rPr>
                <w:color w:val="000000"/>
                <w:szCs w:val="20"/>
              </w:rPr>
            </w:pPr>
          </w:p>
        </w:tc>
        <w:tc>
          <w:tcPr>
            <w:tcW w:w="964" w:type="dxa"/>
            <w:tcBorders>
              <w:top w:val="nil"/>
              <w:left w:val="nil"/>
              <w:bottom w:val="nil"/>
              <w:right w:val="nil"/>
            </w:tcBorders>
            <w:shd w:val="clear" w:color="auto" w:fill="auto"/>
            <w:noWrap/>
            <w:vAlign w:val="bottom"/>
            <w:hideMark/>
          </w:tcPr>
          <w:p w:rsidR="00516EC4" w:rsidRPr="003C020D" w:rsidP="00516EC4" w14:paraId="34947E8D" w14:textId="77777777">
            <w:pPr>
              <w:widowControl/>
              <w:autoSpaceDE/>
              <w:autoSpaceDN/>
              <w:adjustRightInd/>
              <w:jc w:val="center"/>
              <w:rPr>
                <w:szCs w:val="20"/>
              </w:rPr>
            </w:pPr>
          </w:p>
        </w:tc>
        <w:tc>
          <w:tcPr>
            <w:tcW w:w="978" w:type="dxa"/>
            <w:tcBorders>
              <w:top w:val="nil"/>
              <w:left w:val="nil"/>
              <w:bottom w:val="nil"/>
              <w:right w:val="nil"/>
            </w:tcBorders>
            <w:shd w:val="clear" w:color="auto" w:fill="auto"/>
            <w:noWrap/>
            <w:vAlign w:val="bottom"/>
            <w:hideMark/>
          </w:tcPr>
          <w:p w:rsidR="00516EC4" w:rsidRPr="003C020D" w:rsidP="00516EC4" w14:paraId="3FC7B6DF" w14:textId="77777777">
            <w:pPr>
              <w:widowControl/>
              <w:autoSpaceDE/>
              <w:autoSpaceDN/>
              <w:adjustRightInd/>
              <w:jc w:val="center"/>
              <w:rPr>
                <w:szCs w:val="20"/>
              </w:rPr>
            </w:pPr>
          </w:p>
        </w:tc>
        <w:tc>
          <w:tcPr>
            <w:tcW w:w="1122" w:type="dxa"/>
            <w:tcBorders>
              <w:top w:val="nil"/>
              <w:left w:val="nil"/>
              <w:bottom w:val="nil"/>
              <w:right w:val="nil"/>
            </w:tcBorders>
            <w:shd w:val="clear" w:color="auto" w:fill="auto"/>
            <w:noWrap/>
            <w:vAlign w:val="bottom"/>
            <w:hideMark/>
          </w:tcPr>
          <w:p w:rsidR="00516EC4" w:rsidRPr="003C020D" w:rsidP="00516EC4" w14:paraId="6BBF6612" w14:textId="77777777">
            <w:pPr>
              <w:widowControl/>
              <w:autoSpaceDE/>
              <w:autoSpaceDN/>
              <w:adjustRightInd/>
              <w:jc w:val="center"/>
              <w:rPr>
                <w:szCs w:val="20"/>
              </w:rPr>
            </w:pPr>
          </w:p>
        </w:tc>
        <w:tc>
          <w:tcPr>
            <w:tcW w:w="1264" w:type="dxa"/>
            <w:tcBorders>
              <w:top w:val="nil"/>
              <w:left w:val="nil"/>
              <w:bottom w:val="nil"/>
              <w:right w:val="nil"/>
            </w:tcBorders>
            <w:shd w:val="clear" w:color="auto" w:fill="auto"/>
            <w:noWrap/>
            <w:vAlign w:val="bottom"/>
            <w:hideMark/>
          </w:tcPr>
          <w:p w:rsidR="00516EC4" w:rsidRPr="003C020D" w:rsidP="00516EC4" w14:paraId="28BBB14F" w14:textId="77777777">
            <w:pPr>
              <w:widowControl/>
              <w:autoSpaceDE/>
              <w:autoSpaceDN/>
              <w:adjustRightInd/>
              <w:jc w:val="center"/>
              <w:rPr>
                <w:szCs w:val="20"/>
              </w:rPr>
            </w:pPr>
          </w:p>
        </w:tc>
        <w:tc>
          <w:tcPr>
            <w:tcW w:w="994" w:type="dxa"/>
            <w:tcBorders>
              <w:top w:val="nil"/>
              <w:left w:val="nil"/>
              <w:bottom w:val="nil"/>
              <w:right w:val="nil"/>
            </w:tcBorders>
            <w:shd w:val="clear" w:color="auto" w:fill="auto"/>
            <w:noWrap/>
            <w:vAlign w:val="bottom"/>
            <w:hideMark/>
          </w:tcPr>
          <w:p w:rsidR="00516EC4" w:rsidRPr="003C020D" w:rsidP="00516EC4" w14:paraId="438DE569" w14:textId="77777777">
            <w:pPr>
              <w:widowControl/>
              <w:autoSpaceDE/>
              <w:autoSpaceDN/>
              <w:adjustRightInd/>
              <w:jc w:val="center"/>
              <w:rPr>
                <w:szCs w:val="20"/>
              </w:rPr>
            </w:pPr>
          </w:p>
        </w:tc>
        <w:tc>
          <w:tcPr>
            <w:tcW w:w="1321" w:type="dxa"/>
            <w:tcBorders>
              <w:top w:val="nil"/>
              <w:left w:val="nil"/>
              <w:bottom w:val="nil"/>
              <w:right w:val="nil"/>
            </w:tcBorders>
            <w:shd w:val="clear" w:color="auto" w:fill="auto"/>
            <w:noWrap/>
            <w:vAlign w:val="bottom"/>
            <w:hideMark/>
          </w:tcPr>
          <w:p w:rsidR="00516EC4" w:rsidRPr="003C020D" w:rsidP="00516EC4" w14:paraId="35A6D273" w14:textId="77777777">
            <w:pPr>
              <w:widowControl/>
              <w:autoSpaceDE/>
              <w:autoSpaceDN/>
              <w:adjustRightInd/>
              <w:jc w:val="center"/>
              <w:rPr>
                <w:szCs w:val="20"/>
              </w:rPr>
            </w:pPr>
          </w:p>
        </w:tc>
        <w:tc>
          <w:tcPr>
            <w:tcW w:w="1324" w:type="dxa"/>
            <w:tcBorders>
              <w:top w:val="nil"/>
              <w:left w:val="nil"/>
              <w:bottom w:val="nil"/>
              <w:right w:val="single" w:sz="4" w:space="0" w:color="auto"/>
            </w:tcBorders>
            <w:shd w:val="clear" w:color="auto" w:fill="auto"/>
            <w:noWrap/>
            <w:vAlign w:val="bottom"/>
            <w:hideMark/>
          </w:tcPr>
          <w:p w:rsidR="00516EC4" w:rsidRPr="003C020D" w:rsidP="00516EC4" w14:paraId="5BE44F6E" w14:textId="77777777">
            <w:pPr>
              <w:widowControl/>
              <w:autoSpaceDE/>
              <w:autoSpaceDN/>
              <w:adjustRightInd/>
              <w:rPr>
                <w:color w:val="000000"/>
                <w:szCs w:val="20"/>
              </w:rPr>
            </w:pPr>
            <w:r w:rsidRPr="003C020D">
              <w:rPr>
                <w:color w:val="000000"/>
                <w:szCs w:val="20"/>
              </w:rPr>
              <w:t> </w:t>
            </w:r>
          </w:p>
        </w:tc>
      </w:tr>
      <w:tr w14:paraId="7B2CDDE3" w14:textId="77777777" w:rsidTr="2FA67F2A">
        <w:tblPrEx>
          <w:tblW w:w="9865" w:type="dxa"/>
          <w:tblLayout w:type="fixed"/>
          <w:tblLook w:val="04A0"/>
        </w:tblPrEx>
        <w:trPr>
          <w:trHeight w:val="58"/>
        </w:trPr>
        <w:tc>
          <w:tcPr>
            <w:tcW w:w="9865" w:type="dxa"/>
            <w:gridSpan w:val="9"/>
            <w:tcBorders>
              <w:top w:val="nil"/>
              <w:left w:val="single" w:sz="4" w:space="0" w:color="auto"/>
              <w:bottom w:val="single" w:sz="4" w:space="0" w:color="auto"/>
              <w:right w:val="single" w:sz="4" w:space="0" w:color="000000" w:themeColor="text1"/>
            </w:tcBorders>
            <w:shd w:val="clear" w:color="auto" w:fill="auto"/>
            <w:vAlign w:val="center"/>
            <w:hideMark/>
          </w:tcPr>
          <w:p w:rsidR="00516EC4" w:rsidRPr="003C020D" w:rsidP="00516EC4" w14:paraId="7833ED8B" w14:textId="77777777">
            <w:pPr>
              <w:widowControl/>
              <w:autoSpaceDE/>
              <w:autoSpaceDN/>
              <w:adjustRightInd/>
              <w:rPr>
                <w:color w:val="000000"/>
                <w:szCs w:val="20"/>
              </w:rPr>
            </w:pPr>
            <w:r w:rsidRPr="003C020D">
              <w:rPr>
                <w:color w:val="000000"/>
                <w:szCs w:val="20"/>
              </w:rPr>
              <w:t>Non-MX Domiciled</w:t>
            </w:r>
          </w:p>
        </w:tc>
      </w:tr>
      <w:tr w14:paraId="01E6AB41" w14:textId="77777777" w:rsidTr="2FA67F2A">
        <w:tblPrEx>
          <w:tblW w:w="9865" w:type="dxa"/>
          <w:tblLayout w:type="fixed"/>
          <w:tblLook w:val="04A0"/>
        </w:tblPrEx>
        <w:trPr>
          <w:trHeight w:val="259"/>
        </w:trPr>
        <w:tc>
          <w:tcPr>
            <w:tcW w:w="808" w:type="dxa"/>
            <w:tcBorders>
              <w:top w:val="nil"/>
              <w:left w:val="single" w:sz="4" w:space="0" w:color="auto"/>
              <w:bottom w:val="single" w:sz="4" w:space="0" w:color="auto"/>
              <w:right w:val="nil"/>
            </w:tcBorders>
            <w:shd w:val="clear" w:color="auto" w:fill="auto"/>
            <w:noWrap/>
            <w:vAlign w:val="bottom"/>
            <w:hideMark/>
          </w:tcPr>
          <w:p w:rsidR="00827E93" w:rsidRPr="003C020D" w:rsidP="6265C577" w14:paraId="034938FE" w14:textId="272C2E34">
            <w:pPr>
              <w:widowControl/>
              <w:autoSpaceDE/>
              <w:autoSpaceDN/>
              <w:adjustRightInd/>
              <w:rPr>
                <w:color w:val="000000"/>
              </w:rPr>
            </w:pPr>
            <w:r w:rsidRPr="6265C577">
              <w:rPr>
                <w:color w:val="000000" w:themeColor="text1"/>
              </w:rPr>
              <w:t>MCS-150</w:t>
            </w:r>
          </w:p>
        </w:tc>
        <w:tc>
          <w:tcPr>
            <w:tcW w:w="1090" w:type="dxa"/>
            <w:tcBorders>
              <w:top w:val="nil"/>
              <w:left w:val="single" w:sz="8" w:space="0" w:color="auto"/>
              <w:bottom w:val="single" w:sz="8" w:space="0" w:color="auto"/>
              <w:right w:val="single" w:sz="8" w:space="0" w:color="auto"/>
            </w:tcBorders>
            <w:shd w:val="clear" w:color="auto" w:fill="auto"/>
            <w:noWrap/>
            <w:vAlign w:val="center"/>
            <w:hideMark/>
          </w:tcPr>
          <w:p w:rsidR="00827E93" w:rsidRPr="003C020D" w:rsidP="2FA67F2A" w14:paraId="2B1C0E90" w14:textId="317D2A91">
            <w:pPr>
              <w:widowControl/>
              <w:spacing w:line="259" w:lineRule="auto"/>
              <w:jc w:val="center"/>
            </w:pPr>
            <w:r w:rsidRPr="2FA67F2A">
              <w:rPr>
                <w:color w:val="000000" w:themeColor="text1"/>
              </w:rPr>
              <w:t>242,455</w:t>
            </w:r>
          </w:p>
        </w:tc>
        <w:tc>
          <w:tcPr>
            <w:tcW w:w="96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6E677D2F" w14:textId="26B3145B">
            <w:pPr>
              <w:widowControl/>
              <w:autoSpaceDE/>
              <w:autoSpaceDN/>
              <w:adjustRightInd/>
              <w:jc w:val="center"/>
              <w:rPr>
                <w:color w:val="000000"/>
                <w:szCs w:val="20"/>
              </w:rPr>
            </w:pPr>
            <w:r>
              <w:rPr>
                <w:color w:val="000000"/>
                <w:szCs w:val="20"/>
              </w:rPr>
              <w:t>11</w:t>
            </w:r>
          </w:p>
        </w:tc>
        <w:tc>
          <w:tcPr>
            <w:tcW w:w="978"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133A60E0" w14:textId="3F20A733">
            <w:pPr>
              <w:widowControl/>
              <w:autoSpaceDE/>
              <w:autoSpaceDN/>
              <w:adjustRightInd/>
              <w:jc w:val="center"/>
              <w:rPr>
                <w:color w:val="000000"/>
                <w:szCs w:val="20"/>
              </w:rPr>
            </w:pPr>
            <w:r>
              <w:rPr>
                <w:color w:val="000000"/>
                <w:szCs w:val="20"/>
              </w:rPr>
              <w:t>0.16</w:t>
            </w:r>
          </w:p>
        </w:tc>
        <w:tc>
          <w:tcPr>
            <w:tcW w:w="1122" w:type="dxa"/>
            <w:tcBorders>
              <w:top w:val="nil"/>
              <w:left w:val="nil"/>
              <w:bottom w:val="single" w:sz="8" w:space="0" w:color="auto"/>
              <w:right w:val="nil"/>
            </w:tcBorders>
            <w:shd w:val="clear" w:color="auto" w:fill="auto"/>
            <w:noWrap/>
            <w:vAlign w:val="center"/>
            <w:hideMark/>
          </w:tcPr>
          <w:p w:rsidR="00827E93" w:rsidRPr="003C020D" w:rsidP="00827E93" w14:paraId="41A31AF6" w14:textId="62BB1595">
            <w:pPr>
              <w:widowControl/>
              <w:autoSpaceDE/>
              <w:autoSpaceDN/>
              <w:adjustRightInd/>
              <w:jc w:val="center"/>
              <w:rPr>
                <w:color w:val="000000"/>
                <w:szCs w:val="20"/>
              </w:rPr>
            </w:pPr>
            <w:r>
              <w:rPr>
                <w:color w:val="000000"/>
                <w:szCs w:val="20"/>
              </w:rPr>
              <w:t>1.76</w:t>
            </w:r>
          </w:p>
        </w:tc>
        <w:tc>
          <w:tcPr>
            <w:tcW w:w="1264" w:type="dxa"/>
            <w:tcBorders>
              <w:top w:val="nil"/>
              <w:left w:val="single" w:sz="8" w:space="0" w:color="auto"/>
              <w:bottom w:val="single" w:sz="8" w:space="0" w:color="auto"/>
              <w:right w:val="single" w:sz="8" w:space="0" w:color="auto"/>
            </w:tcBorders>
            <w:shd w:val="clear" w:color="auto" w:fill="auto"/>
            <w:noWrap/>
            <w:vAlign w:val="center"/>
            <w:hideMark/>
          </w:tcPr>
          <w:p w:rsidR="00827E93" w:rsidRPr="003C020D" w:rsidP="00827E93" w14:paraId="294E21F1" w14:textId="3E37EEF6">
            <w:pPr>
              <w:widowControl/>
              <w:autoSpaceDE/>
              <w:autoSpaceDN/>
              <w:adjustRightInd/>
              <w:jc w:val="center"/>
              <w:rPr>
                <w:color w:val="000000"/>
                <w:szCs w:val="20"/>
              </w:rPr>
            </w:pPr>
            <w:r>
              <w:rPr>
                <w:color w:val="000000"/>
                <w:szCs w:val="20"/>
              </w:rPr>
              <w:t>2.06</w:t>
            </w:r>
          </w:p>
        </w:tc>
        <w:tc>
          <w:tcPr>
            <w:tcW w:w="99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3578D479" w14:textId="15EDC4E9">
            <w:pPr>
              <w:widowControl/>
              <w:autoSpaceDE/>
              <w:autoSpaceDN/>
              <w:adjustRightInd/>
              <w:jc w:val="center"/>
              <w:rPr>
                <w:color w:val="000000"/>
                <w:szCs w:val="20"/>
              </w:rPr>
            </w:pPr>
            <w:r>
              <w:rPr>
                <w:color w:val="000000"/>
                <w:szCs w:val="20"/>
              </w:rPr>
              <w:t xml:space="preserve">$1.29 </w:t>
            </w:r>
          </w:p>
        </w:tc>
        <w:tc>
          <w:tcPr>
            <w:tcW w:w="1321"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777BE917" w14:textId="097160BC">
            <w:pPr>
              <w:widowControl/>
              <w:autoSpaceDE/>
              <w:autoSpaceDN/>
              <w:adjustRightInd/>
              <w:jc w:val="center"/>
              <w:rPr>
                <w:color w:val="000000"/>
                <w:szCs w:val="20"/>
              </w:rPr>
            </w:pPr>
            <w:r>
              <w:rPr>
                <w:color w:val="000000"/>
                <w:szCs w:val="20"/>
              </w:rPr>
              <w:t xml:space="preserve">$1.33 </w:t>
            </w:r>
          </w:p>
        </w:tc>
        <w:tc>
          <w:tcPr>
            <w:tcW w:w="132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67AA0DF7" w14:textId="090C4C2B">
            <w:pPr>
              <w:widowControl/>
              <w:autoSpaceDE/>
              <w:autoSpaceDN/>
              <w:adjustRightInd/>
              <w:rPr>
                <w:color w:val="000000"/>
                <w:szCs w:val="20"/>
              </w:rPr>
            </w:pPr>
            <w:r>
              <w:rPr>
                <w:color w:val="000000"/>
                <w:szCs w:val="20"/>
              </w:rPr>
              <w:t>$</w:t>
            </w:r>
            <w:r w:rsidR="003B04FF">
              <w:rPr>
                <w:color w:val="000000"/>
                <w:szCs w:val="20"/>
              </w:rPr>
              <w:t>322,465</w:t>
            </w:r>
            <w:r>
              <w:rPr>
                <w:color w:val="000000"/>
                <w:szCs w:val="20"/>
              </w:rPr>
              <w:t xml:space="preserve"> </w:t>
            </w:r>
          </w:p>
        </w:tc>
      </w:tr>
      <w:tr w14:paraId="63AC2E86" w14:textId="77777777" w:rsidTr="2FA67F2A">
        <w:tblPrEx>
          <w:tblW w:w="9865" w:type="dxa"/>
          <w:tblLayout w:type="fixed"/>
          <w:tblLook w:val="04A0"/>
        </w:tblPrEx>
        <w:trPr>
          <w:trHeight w:val="259"/>
        </w:trPr>
        <w:tc>
          <w:tcPr>
            <w:tcW w:w="808" w:type="dxa"/>
            <w:tcBorders>
              <w:top w:val="nil"/>
              <w:left w:val="single" w:sz="4" w:space="0" w:color="auto"/>
              <w:bottom w:val="single" w:sz="4" w:space="0" w:color="auto"/>
              <w:right w:val="nil"/>
            </w:tcBorders>
            <w:shd w:val="clear" w:color="auto" w:fill="auto"/>
            <w:noWrap/>
            <w:vAlign w:val="bottom"/>
            <w:hideMark/>
          </w:tcPr>
          <w:p w:rsidR="00827E93" w:rsidRPr="003C020D" w:rsidP="00827E93" w14:paraId="09448D05" w14:textId="3C80DC78">
            <w:pPr>
              <w:widowControl/>
              <w:autoSpaceDE/>
              <w:autoSpaceDN/>
              <w:adjustRightInd/>
              <w:rPr>
                <w:color w:val="000000"/>
                <w:szCs w:val="20"/>
              </w:rPr>
            </w:pPr>
            <w:r w:rsidRPr="00C867FD">
              <w:rPr>
                <w:color w:val="000000"/>
                <w:szCs w:val="20"/>
              </w:rPr>
              <w:t>MCS-</w:t>
            </w:r>
            <w:r w:rsidRPr="003C020D">
              <w:rPr>
                <w:color w:val="000000"/>
                <w:szCs w:val="20"/>
              </w:rPr>
              <w:t xml:space="preserve"> 150B</w:t>
            </w:r>
          </w:p>
        </w:tc>
        <w:tc>
          <w:tcPr>
            <w:tcW w:w="1090" w:type="dxa"/>
            <w:tcBorders>
              <w:top w:val="nil"/>
              <w:left w:val="single" w:sz="8" w:space="0" w:color="auto"/>
              <w:bottom w:val="single" w:sz="8" w:space="0" w:color="auto"/>
              <w:right w:val="single" w:sz="8" w:space="0" w:color="auto"/>
            </w:tcBorders>
            <w:shd w:val="clear" w:color="auto" w:fill="auto"/>
            <w:noWrap/>
            <w:vAlign w:val="center"/>
            <w:hideMark/>
          </w:tcPr>
          <w:p w:rsidR="00827E93" w:rsidRPr="003C020D" w:rsidP="00827E93" w14:paraId="25E2B955" w14:textId="6BD71611">
            <w:pPr>
              <w:widowControl/>
              <w:autoSpaceDE/>
              <w:autoSpaceDN/>
              <w:adjustRightInd/>
              <w:jc w:val="center"/>
              <w:rPr>
                <w:color w:val="000000"/>
                <w:szCs w:val="20"/>
              </w:rPr>
            </w:pPr>
            <w:r>
              <w:rPr>
                <w:color w:val="000000"/>
                <w:szCs w:val="20"/>
              </w:rPr>
              <w:t>374</w:t>
            </w:r>
          </w:p>
        </w:tc>
        <w:tc>
          <w:tcPr>
            <w:tcW w:w="96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05ECCB6A" w14:textId="357687AF">
            <w:pPr>
              <w:widowControl/>
              <w:autoSpaceDE/>
              <w:autoSpaceDN/>
              <w:adjustRightInd/>
              <w:jc w:val="center"/>
              <w:rPr>
                <w:color w:val="000000"/>
                <w:szCs w:val="20"/>
              </w:rPr>
            </w:pPr>
            <w:r>
              <w:rPr>
                <w:color w:val="000000"/>
                <w:szCs w:val="20"/>
              </w:rPr>
              <w:t>12</w:t>
            </w:r>
          </w:p>
        </w:tc>
        <w:tc>
          <w:tcPr>
            <w:tcW w:w="978"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6844480E" w14:textId="1F4001A5">
            <w:pPr>
              <w:widowControl/>
              <w:autoSpaceDE/>
              <w:autoSpaceDN/>
              <w:adjustRightInd/>
              <w:jc w:val="center"/>
              <w:rPr>
                <w:color w:val="000000"/>
                <w:szCs w:val="20"/>
              </w:rPr>
            </w:pPr>
            <w:r>
              <w:rPr>
                <w:color w:val="000000"/>
                <w:szCs w:val="20"/>
              </w:rPr>
              <w:t>0.16</w:t>
            </w:r>
          </w:p>
        </w:tc>
        <w:tc>
          <w:tcPr>
            <w:tcW w:w="1122" w:type="dxa"/>
            <w:tcBorders>
              <w:top w:val="nil"/>
              <w:left w:val="nil"/>
              <w:bottom w:val="single" w:sz="8" w:space="0" w:color="auto"/>
              <w:right w:val="nil"/>
            </w:tcBorders>
            <w:shd w:val="clear" w:color="auto" w:fill="auto"/>
            <w:noWrap/>
            <w:vAlign w:val="center"/>
            <w:hideMark/>
          </w:tcPr>
          <w:p w:rsidR="00827E93" w:rsidRPr="003C020D" w:rsidP="00827E93" w14:paraId="1E8D3F88" w14:textId="758BCBD6">
            <w:pPr>
              <w:widowControl/>
              <w:autoSpaceDE/>
              <w:autoSpaceDN/>
              <w:adjustRightInd/>
              <w:jc w:val="center"/>
              <w:rPr>
                <w:color w:val="000000"/>
                <w:szCs w:val="20"/>
              </w:rPr>
            </w:pPr>
            <w:r>
              <w:rPr>
                <w:color w:val="000000"/>
                <w:szCs w:val="20"/>
              </w:rPr>
              <w:t>1.92</w:t>
            </w:r>
          </w:p>
        </w:tc>
        <w:tc>
          <w:tcPr>
            <w:tcW w:w="1264" w:type="dxa"/>
            <w:tcBorders>
              <w:top w:val="nil"/>
              <w:left w:val="single" w:sz="8" w:space="0" w:color="auto"/>
              <w:bottom w:val="single" w:sz="8" w:space="0" w:color="auto"/>
              <w:right w:val="single" w:sz="8" w:space="0" w:color="auto"/>
            </w:tcBorders>
            <w:shd w:val="clear" w:color="auto" w:fill="auto"/>
            <w:noWrap/>
            <w:vAlign w:val="center"/>
            <w:hideMark/>
          </w:tcPr>
          <w:p w:rsidR="00827E93" w:rsidRPr="003C020D" w:rsidP="00827E93" w14:paraId="2BCAF88F" w14:textId="0F17DA17">
            <w:pPr>
              <w:widowControl/>
              <w:autoSpaceDE/>
              <w:autoSpaceDN/>
              <w:adjustRightInd/>
              <w:jc w:val="center"/>
              <w:rPr>
                <w:color w:val="000000"/>
                <w:szCs w:val="20"/>
              </w:rPr>
            </w:pPr>
            <w:r>
              <w:rPr>
                <w:color w:val="000000"/>
                <w:szCs w:val="20"/>
              </w:rPr>
              <w:t>2.22</w:t>
            </w:r>
          </w:p>
        </w:tc>
        <w:tc>
          <w:tcPr>
            <w:tcW w:w="99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24AE499D" w14:textId="70E99B69">
            <w:pPr>
              <w:widowControl/>
              <w:autoSpaceDE/>
              <w:autoSpaceDN/>
              <w:adjustRightInd/>
              <w:jc w:val="center"/>
              <w:rPr>
                <w:color w:val="000000"/>
                <w:szCs w:val="20"/>
              </w:rPr>
            </w:pPr>
            <w:r>
              <w:rPr>
                <w:color w:val="000000"/>
                <w:szCs w:val="20"/>
              </w:rPr>
              <w:t xml:space="preserve">$1.29 </w:t>
            </w:r>
          </w:p>
        </w:tc>
        <w:tc>
          <w:tcPr>
            <w:tcW w:w="1321"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4D4AC056" w14:textId="7B0A358F">
            <w:pPr>
              <w:widowControl/>
              <w:autoSpaceDE/>
              <w:autoSpaceDN/>
              <w:adjustRightInd/>
              <w:jc w:val="center"/>
              <w:rPr>
                <w:color w:val="000000"/>
                <w:szCs w:val="20"/>
              </w:rPr>
            </w:pPr>
            <w:r>
              <w:rPr>
                <w:color w:val="000000"/>
                <w:szCs w:val="20"/>
              </w:rPr>
              <w:t xml:space="preserve">$1.33 </w:t>
            </w:r>
          </w:p>
        </w:tc>
        <w:tc>
          <w:tcPr>
            <w:tcW w:w="132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47C174D7" w14:textId="6F3E37F9">
            <w:pPr>
              <w:widowControl/>
              <w:autoSpaceDE/>
              <w:autoSpaceDN/>
              <w:adjustRightInd/>
              <w:rPr>
                <w:color w:val="000000"/>
                <w:szCs w:val="20"/>
              </w:rPr>
            </w:pPr>
            <w:r>
              <w:rPr>
                <w:color w:val="000000"/>
                <w:szCs w:val="20"/>
              </w:rPr>
              <w:t xml:space="preserve">$498 </w:t>
            </w:r>
          </w:p>
        </w:tc>
      </w:tr>
      <w:tr w14:paraId="124EB57D" w14:textId="77777777" w:rsidTr="2FA67F2A">
        <w:tblPrEx>
          <w:tblW w:w="9865" w:type="dxa"/>
          <w:tblLayout w:type="fixed"/>
          <w:tblLook w:val="04A0"/>
        </w:tblPrEx>
        <w:trPr>
          <w:trHeight w:val="259"/>
        </w:trPr>
        <w:tc>
          <w:tcPr>
            <w:tcW w:w="808" w:type="dxa"/>
            <w:tcBorders>
              <w:top w:val="nil"/>
              <w:left w:val="single" w:sz="4" w:space="0" w:color="auto"/>
              <w:bottom w:val="nil"/>
              <w:right w:val="nil"/>
            </w:tcBorders>
            <w:shd w:val="clear" w:color="auto" w:fill="auto"/>
            <w:noWrap/>
            <w:vAlign w:val="bottom"/>
            <w:hideMark/>
          </w:tcPr>
          <w:p w:rsidR="00827E93" w:rsidRPr="003C020D" w:rsidP="00827E93" w14:paraId="5F81C363" w14:textId="28C9DB44">
            <w:pPr>
              <w:widowControl/>
              <w:autoSpaceDE/>
              <w:autoSpaceDN/>
              <w:adjustRightInd/>
              <w:rPr>
                <w:color w:val="000000"/>
                <w:szCs w:val="20"/>
              </w:rPr>
            </w:pPr>
            <w:r w:rsidRPr="00C867FD">
              <w:rPr>
                <w:color w:val="000000"/>
                <w:szCs w:val="20"/>
              </w:rPr>
              <w:t>MCS-</w:t>
            </w:r>
            <w:r w:rsidRPr="003C020D">
              <w:rPr>
                <w:color w:val="000000"/>
                <w:szCs w:val="20"/>
              </w:rPr>
              <w:t xml:space="preserve"> 150C</w:t>
            </w:r>
          </w:p>
        </w:tc>
        <w:tc>
          <w:tcPr>
            <w:tcW w:w="1090" w:type="dxa"/>
            <w:tcBorders>
              <w:top w:val="nil"/>
              <w:left w:val="single" w:sz="8" w:space="0" w:color="auto"/>
              <w:bottom w:val="nil"/>
              <w:right w:val="single" w:sz="8" w:space="0" w:color="auto"/>
            </w:tcBorders>
            <w:shd w:val="clear" w:color="auto" w:fill="auto"/>
            <w:noWrap/>
            <w:vAlign w:val="center"/>
            <w:hideMark/>
          </w:tcPr>
          <w:p w:rsidR="00827E93" w:rsidRPr="003C020D" w:rsidP="00827E93" w14:paraId="10319EB6" w14:textId="40F63807">
            <w:pPr>
              <w:widowControl/>
              <w:autoSpaceDE/>
              <w:autoSpaceDN/>
              <w:adjustRightInd/>
              <w:jc w:val="center"/>
              <w:rPr>
                <w:color w:val="000000"/>
                <w:szCs w:val="20"/>
              </w:rPr>
            </w:pPr>
            <w:r>
              <w:rPr>
                <w:color w:val="000000"/>
                <w:szCs w:val="20"/>
              </w:rPr>
              <w:t>3,562</w:t>
            </w:r>
          </w:p>
        </w:tc>
        <w:tc>
          <w:tcPr>
            <w:tcW w:w="964" w:type="dxa"/>
            <w:tcBorders>
              <w:top w:val="nil"/>
              <w:left w:val="nil"/>
              <w:bottom w:val="nil"/>
              <w:right w:val="single" w:sz="8" w:space="0" w:color="auto"/>
            </w:tcBorders>
            <w:shd w:val="clear" w:color="auto" w:fill="auto"/>
            <w:noWrap/>
            <w:vAlign w:val="center"/>
            <w:hideMark/>
          </w:tcPr>
          <w:p w:rsidR="00827E93" w:rsidRPr="003C020D" w:rsidP="00827E93" w14:paraId="5AA25540" w14:textId="40D04606">
            <w:pPr>
              <w:widowControl/>
              <w:autoSpaceDE/>
              <w:autoSpaceDN/>
              <w:adjustRightInd/>
              <w:jc w:val="center"/>
              <w:rPr>
                <w:color w:val="000000"/>
                <w:szCs w:val="20"/>
              </w:rPr>
            </w:pPr>
            <w:r>
              <w:rPr>
                <w:color w:val="000000"/>
                <w:szCs w:val="20"/>
              </w:rPr>
              <w:t>6</w:t>
            </w:r>
          </w:p>
        </w:tc>
        <w:tc>
          <w:tcPr>
            <w:tcW w:w="978" w:type="dxa"/>
            <w:tcBorders>
              <w:top w:val="nil"/>
              <w:left w:val="nil"/>
              <w:bottom w:val="nil"/>
              <w:right w:val="single" w:sz="8" w:space="0" w:color="auto"/>
            </w:tcBorders>
            <w:shd w:val="clear" w:color="auto" w:fill="auto"/>
            <w:noWrap/>
            <w:vAlign w:val="center"/>
            <w:hideMark/>
          </w:tcPr>
          <w:p w:rsidR="00827E93" w:rsidRPr="003C020D" w:rsidP="00827E93" w14:paraId="20AD6DBD" w14:textId="111B3A16">
            <w:pPr>
              <w:widowControl/>
              <w:autoSpaceDE/>
              <w:autoSpaceDN/>
              <w:adjustRightInd/>
              <w:jc w:val="center"/>
              <w:rPr>
                <w:color w:val="000000"/>
                <w:szCs w:val="20"/>
              </w:rPr>
            </w:pPr>
            <w:r>
              <w:rPr>
                <w:color w:val="000000"/>
                <w:szCs w:val="20"/>
              </w:rPr>
              <w:t>0.16</w:t>
            </w:r>
          </w:p>
        </w:tc>
        <w:tc>
          <w:tcPr>
            <w:tcW w:w="1122" w:type="dxa"/>
            <w:tcBorders>
              <w:top w:val="nil"/>
              <w:left w:val="nil"/>
              <w:bottom w:val="single" w:sz="8" w:space="0" w:color="auto"/>
              <w:right w:val="nil"/>
            </w:tcBorders>
            <w:shd w:val="clear" w:color="auto" w:fill="auto"/>
            <w:noWrap/>
            <w:vAlign w:val="center"/>
            <w:hideMark/>
          </w:tcPr>
          <w:p w:rsidR="00827E93" w:rsidRPr="003C020D" w:rsidP="00827E93" w14:paraId="3857BE4F" w14:textId="5C9012AA">
            <w:pPr>
              <w:widowControl/>
              <w:autoSpaceDE/>
              <w:autoSpaceDN/>
              <w:adjustRightInd/>
              <w:jc w:val="center"/>
              <w:rPr>
                <w:color w:val="000000"/>
                <w:szCs w:val="20"/>
              </w:rPr>
            </w:pPr>
            <w:r>
              <w:rPr>
                <w:color w:val="000000"/>
                <w:szCs w:val="20"/>
              </w:rPr>
              <w:t>0.96</w:t>
            </w:r>
          </w:p>
        </w:tc>
        <w:tc>
          <w:tcPr>
            <w:tcW w:w="1264" w:type="dxa"/>
            <w:tcBorders>
              <w:top w:val="nil"/>
              <w:left w:val="single" w:sz="8" w:space="0" w:color="auto"/>
              <w:bottom w:val="single" w:sz="8" w:space="0" w:color="auto"/>
              <w:right w:val="single" w:sz="8" w:space="0" w:color="auto"/>
            </w:tcBorders>
            <w:shd w:val="clear" w:color="auto" w:fill="auto"/>
            <w:noWrap/>
            <w:vAlign w:val="center"/>
            <w:hideMark/>
          </w:tcPr>
          <w:p w:rsidR="00827E93" w:rsidRPr="003C020D" w:rsidP="00827E93" w14:paraId="192C9D97" w14:textId="1E28F833">
            <w:pPr>
              <w:widowControl/>
              <w:autoSpaceDE/>
              <w:autoSpaceDN/>
              <w:adjustRightInd/>
              <w:jc w:val="center"/>
              <w:rPr>
                <w:color w:val="000000"/>
                <w:szCs w:val="20"/>
              </w:rPr>
            </w:pPr>
            <w:r>
              <w:rPr>
                <w:color w:val="000000"/>
                <w:szCs w:val="20"/>
              </w:rPr>
              <w:t>1.26</w:t>
            </w:r>
          </w:p>
        </w:tc>
        <w:tc>
          <w:tcPr>
            <w:tcW w:w="994" w:type="dxa"/>
            <w:tcBorders>
              <w:top w:val="nil"/>
              <w:left w:val="nil"/>
              <w:bottom w:val="nil"/>
              <w:right w:val="single" w:sz="8" w:space="0" w:color="auto"/>
            </w:tcBorders>
            <w:shd w:val="clear" w:color="auto" w:fill="auto"/>
            <w:noWrap/>
            <w:vAlign w:val="center"/>
            <w:hideMark/>
          </w:tcPr>
          <w:p w:rsidR="00827E93" w:rsidRPr="003C020D" w:rsidP="00827E93" w14:paraId="5FA668DE" w14:textId="6D505630">
            <w:pPr>
              <w:widowControl/>
              <w:autoSpaceDE/>
              <w:autoSpaceDN/>
              <w:adjustRightInd/>
              <w:jc w:val="center"/>
              <w:rPr>
                <w:color w:val="000000"/>
                <w:szCs w:val="20"/>
              </w:rPr>
            </w:pPr>
            <w:r>
              <w:rPr>
                <w:color w:val="000000"/>
                <w:szCs w:val="20"/>
              </w:rPr>
              <w:t xml:space="preserve">$1.01 </w:t>
            </w:r>
          </w:p>
        </w:tc>
        <w:tc>
          <w:tcPr>
            <w:tcW w:w="1321"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0E1203A3" w14:textId="39846FAD">
            <w:pPr>
              <w:widowControl/>
              <w:autoSpaceDE/>
              <w:autoSpaceDN/>
              <w:adjustRightInd/>
              <w:jc w:val="center"/>
              <w:rPr>
                <w:color w:val="000000"/>
                <w:szCs w:val="20"/>
              </w:rPr>
            </w:pPr>
            <w:r>
              <w:rPr>
                <w:color w:val="000000"/>
                <w:szCs w:val="20"/>
              </w:rPr>
              <w:t xml:space="preserve">$1.05 </w:t>
            </w:r>
          </w:p>
        </w:tc>
        <w:tc>
          <w:tcPr>
            <w:tcW w:w="1324" w:type="dxa"/>
            <w:tcBorders>
              <w:top w:val="nil"/>
              <w:left w:val="nil"/>
              <w:bottom w:val="single" w:sz="8" w:space="0" w:color="auto"/>
              <w:right w:val="single" w:sz="8" w:space="0" w:color="auto"/>
            </w:tcBorders>
            <w:shd w:val="clear" w:color="auto" w:fill="auto"/>
            <w:noWrap/>
            <w:vAlign w:val="center"/>
            <w:hideMark/>
          </w:tcPr>
          <w:p w:rsidR="00827E93" w:rsidRPr="003C020D" w:rsidP="00827E93" w14:paraId="642248C6" w14:textId="5735ADDC">
            <w:pPr>
              <w:widowControl/>
              <w:autoSpaceDE/>
              <w:autoSpaceDN/>
              <w:adjustRightInd/>
              <w:rPr>
                <w:color w:val="000000"/>
                <w:szCs w:val="20"/>
              </w:rPr>
            </w:pPr>
            <w:r>
              <w:rPr>
                <w:color w:val="000000"/>
                <w:szCs w:val="20"/>
              </w:rPr>
              <w:t xml:space="preserve">$3,740 </w:t>
            </w:r>
          </w:p>
        </w:tc>
      </w:tr>
      <w:tr w14:paraId="6AE8BC73" w14:textId="77777777" w:rsidTr="2FA67F2A">
        <w:tblPrEx>
          <w:tblW w:w="9865" w:type="dxa"/>
          <w:tblLayout w:type="fixed"/>
          <w:tblLook w:val="04A0"/>
        </w:tblPrEx>
        <w:trPr>
          <w:trHeight w:val="259"/>
        </w:trPr>
        <w:tc>
          <w:tcPr>
            <w:tcW w:w="808" w:type="dxa"/>
            <w:tcBorders>
              <w:top w:val="single" w:sz="4" w:space="0" w:color="auto"/>
              <w:left w:val="single" w:sz="4" w:space="0" w:color="auto"/>
              <w:bottom w:val="single" w:sz="4" w:space="0" w:color="auto"/>
              <w:right w:val="nil"/>
            </w:tcBorders>
            <w:shd w:val="clear" w:color="auto" w:fill="auto"/>
            <w:noWrap/>
            <w:vAlign w:val="bottom"/>
            <w:hideMark/>
          </w:tcPr>
          <w:p w:rsidR="00827E93" w:rsidRPr="003C020D" w:rsidP="00827E93" w14:paraId="709542EA" w14:textId="77777777">
            <w:pPr>
              <w:widowControl/>
              <w:autoSpaceDE/>
              <w:autoSpaceDN/>
              <w:adjustRightInd/>
              <w:rPr>
                <w:b/>
                <w:bCs/>
                <w:color w:val="000000"/>
                <w:szCs w:val="20"/>
              </w:rPr>
            </w:pPr>
            <w:r w:rsidRPr="003C020D">
              <w:rPr>
                <w:b/>
                <w:bCs/>
                <w:color w:val="000000"/>
                <w:szCs w:val="20"/>
              </w:rPr>
              <w:t>Total</w:t>
            </w:r>
          </w:p>
        </w:tc>
        <w:tc>
          <w:tcPr>
            <w:tcW w:w="1090" w:type="dxa"/>
            <w:tcBorders>
              <w:top w:val="single" w:sz="8" w:space="0" w:color="auto"/>
              <w:left w:val="nil"/>
              <w:bottom w:val="single" w:sz="8" w:space="0" w:color="auto"/>
              <w:right w:val="nil"/>
            </w:tcBorders>
            <w:shd w:val="clear" w:color="auto" w:fill="auto"/>
            <w:noWrap/>
            <w:vAlign w:val="center"/>
            <w:hideMark/>
          </w:tcPr>
          <w:p w:rsidR="00827E93" w:rsidRPr="003C020D" w:rsidP="00827E93" w14:paraId="2935084A" w14:textId="13CC6F91">
            <w:pPr>
              <w:widowControl/>
              <w:autoSpaceDE/>
              <w:autoSpaceDN/>
              <w:adjustRightInd/>
              <w:rPr>
                <w:b/>
                <w:bCs/>
                <w:color w:val="000000"/>
                <w:szCs w:val="20"/>
              </w:rPr>
            </w:pPr>
            <w:r>
              <w:rPr>
                <w:b/>
                <w:bCs/>
                <w:color w:val="000000"/>
                <w:szCs w:val="20"/>
              </w:rPr>
              <w:t> </w:t>
            </w:r>
          </w:p>
        </w:tc>
        <w:tc>
          <w:tcPr>
            <w:tcW w:w="964" w:type="dxa"/>
            <w:tcBorders>
              <w:top w:val="single" w:sz="8" w:space="0" w:color="auto"/>
              <w:left w:val="nil"/>
              <w:bottom w:val="single" w:sz="8" w:space="0" w:color="auto"/>
              <w:right w:val="nil"/>
            </w:tcBorders>
            <w:shd w:val="clear" w:color="auto" w:fill="auto"/>
            <w:noWrap/>
            <w:vAlign w:val="center"/>
            <w:hideMark/>
          </w:tcPr>
          <w:p w:rsidR="00827E93" w:rsidRPr="003C020D" w:rsidP="00827E93" w14:paraId="728BCD54" w14:textId="74B62BE8">
            <w:pPr>
              <w:widowControl/>
              <w:autoSpaceDE/>
              <w:autoSpaceDN/>
              <w:adjustRightInd/>
              <w:rPr>
                <w:b/>
                <w:bCs/>
                <w:color w:val="000000"/>
                <w:szCs w:val="20"/>
              </w:rPr>
            </w:pPr>
            <w:r>
              <w:rPr>
                <w:b/>
                <w:bCs/>
                <w:color w:val="000000"/>
                <w:szCs w:val="20"/>
              </w:rPr>
              <w:t> </w:t>
            </w:r>
          </w:p>
        </w:tc>
        <w:tc>
          <w:tcPr>
            <w:tcW w:w="978" w:type="dxa"/>
            <w:tcBorders>
              <w:top w:val="single" w:sz="8" w:space="0" w:color="auto"/>
              <w:left w:val="nil"/>
              <w:bottom w:val="single" w:sz="8" w:space="0" w:color="auto"/>
              <w:right w:val="nil"/>
            </w:tcBorders>
            <w:shd w:val="clear" w:color="auto" w:fill="auto"/>
            <w:noWrap/>
            <w:vAlign w:val="center"/>
            <w:hideMark/>
          </w:tcPr>
          <w:p w:rsidR="00827E93" w:rsidRPr="003C020D" w:rsidP="00827E93" w14:paraId="78511689" w14:textId="6FC32D7F">
            <w:pPr>
              <w:widowControl/>
              <w:autoSpaceDE/>
              <w:autoSpaceDN/>
              <w:adjustRightInd/>
              <w:rPr>
                <w:b/>
                <w:bCs/>
                <w:color w:val="000000"/>
                <w:szCs w:val="20"/>
              </w:rPr>
            </w:pPr>
            <w:r>
              <w:rPr>
                <w:b/>
                <w:bCs/>
                <w:color w:val="000000"/>
                <w:szCs w:val="20"/>
              </w:rPr>
              <w:t> </w:t>
            </w:r>
          </w:p>
        </w:tc>
        <w:tc>
          <w:tcPr>
            <w:tcW w:w="1122" w:type="dxa"/>
            <w:tcBorders>
              <w:top w:val="nil"/>
              <w:left w:val="nil"/>
              <w:bottom w:val="single" w:sz="8" w:space="0" w:color="auto"/>
              <w:right w:val="nil"/>
            </w:tcBorders>
            <w:shd w:val="clear" w:color="auto" w:fill="auto"/>
            <w:noWrap/>
            <w:vAlign w:val="center"/>
            <w:hideMark/>
          </w:tcPr>
          <w:p w:rsidR="00827E93" w:rsidRPr="003C020D" w:rsidP="00827E93" w14:paraId="59DA6BE5" w14:textId="003A42E7">
            <w:pPr>
              <w:widowControl/>
              <w:autoSpaceDE/>
              <w:autoSpaceDN/>
              <w:adjustRightInd/>
              <w:rPr>
                <w:b/>
                <w:bCs/>
                <w:color w:val="000000"/>
                <w:szCs w:val="20"/>
              </w:rPr>
            </w:pPr>
            <w:r>
              <w:rPr>
                <w:b/>
                <w:bCs/>
                <w:color w:val="000000"/>
                <w:szCs w:val="20"/>
              </w:rPr>
              <w:t> </w:t>
            </w:r>
          </w:p>
        </w:tc>
        <w:tc>
          <w:tcPr>
            <w:tcW w:w="1264" w:type="dxa"/>
            <w:tcBorders>
              <w:top w:val="nil"/>
              <w:left w:val="nil"/>
              <w:bottom w:val="single" w:sz="8" w:space="0" w:color="auto"/>
              <w:right w:val="nil"/>
            </w:tcBorders>
            <w:shd w:val="clear" w:color="auto" w:fill="auto"/>
            <w:noWrap/>
            <w:vAlign w:val="center"/>
            <w:hideMark/>
          </w:tcPr>
          <w:p w:rsidR="00827E93" w:rsidRPr="003C020D" w:rsidP="00827E93" w14:paraId="2B6A2036" w14:textId="4F307893">
            <w:pPr>
              <w:widowControl/>
              <w:autoSpaceDE/>
              <w:autoSpaceDN/>
              <w:adjustRightInd/>
              <w:rPr>
                <w:b/>
                <w:bCs/>
                <w:color w:val="000000"/>
                <w:szCs w:val="20"/>
              </w:rPr>
            </w:pPr>
            <w:r>
              <w:rPr>
                <w:b/>
                <w:bCs/>
                <w:color w:val="000000"/>
                <w:szCs w:val="20"/>
              </w:rPr>
              <w:t> </w:t>
            </w:r>
          </w:p>
        </w:tc>
        <w:tc>
          <w:tcPr>
            <w:tcW w:w="994" w:type="dxa"/>
            <w:tcBorders>
              <w:top w:val="single" w:sz="8" w:space="0" w:color="auto"/>
              <w:left w:val="nil"/>
              <w:bottom w:val="single" w:sz="8" w:space="0" w:color="auto"/>
              <w:right w:val="nil"/>
            </w:tcBorders>
            <w:shd w:val="clear" w:color="auto" w:fill="auto"/>
            <w:noWrap/>
            <w:vAlign w:val="center"/>
            <w:hideMark/>
          </w:tcPr>
          <w:p w:rsidR="00827E93" w:rsidRPr="003C020D" w:rsidP="00827E93" w14:paraId="2162804D" w14:textId="118E836F">
            <w:pPr>
              <w:widowControl/>
              <w:autoSpaceDE/>
              <w:autoSpaceDN/>
              <w:adjustRightInd/>
              <w:rPr>
                <w:b/>
                <w:bCs/>
                <w:color w:val="000000"/>
                <w:szCs w:val="20"/>
              </w:rPr>
            </w:pPr>
            <w:r>
              <w:rPr>
                <w:b/>
                <w:bCs/>
                <w:color w:val="000000"/>
                <w:szCs w:val="20"/>
              </w:rPr>
              <w:t> </w:t>
            </w:r>
          </w:p>
        </w:tc>
        <w:tc>
          <w:tcPr>
            <w:tcW w:w="1321" w:type="dxa"/>
            <w:tcBorders>
              <w:top w:val="nil"/>
              <w:left w:val="nil"/>
              <w:bottom w:val="single" w:sz="8" w:space="0" w:color="auto"/>
              <w:right w:val="nil"/>
            </w:tcBorders>
            <w:shd w:val="clear" w:color="auto" w:fill="auto"/>
            <w:noWrap/>
            <w:vAlign w:val="center"/>
            <w:hideMark/>
          </w:tcPr>
          <w:p w:rsidR="00827E93" w:rsidRPr="003C020D" w:rsidP="00827E93" w14:paraId="5AE0C4CA" w14:textId="2354FF9C">
            <w:pPr>
              <w:widowControl/>
              <w:autoSpaceDE/>
              <w:autoSpaceDN/>
              <w:adjustRightInd/>
              <w:rPr>
                <w:b/>
                <w:bCs/>
                <w:color w:val="000000"/>
                <w:szCs w:val="20"/>
              </w:rPr>
            </w:pPr>
            <w:r>
              <w:rPr>
                <w:b/>
                <w:bCs/>
                <w:color w:val="000000"/>
                <w:szCs w:val="20"/>
              </w:rPr>
              <w:t> </w:t>
            </w:r>
          </w:p>
        </w:tc>
        <w:tc>
          <w:tcPr>
            <w:tcW w:w="1324" w:type="dxa"/>
            <w:tcBorders>
              <w:top w:val="nil"/>
              <w:left w:val="single" w:sz="8" w:space="0" w:color="auto"/>
              <w:bottom w:val="single" w:sz="8" w:space="0" w:color="auto"/>
              <w:right w:val="single" w:sz="8" w:space="0" w:color="auto"/>
            </w:tcBorders>
            <w:shd w:val="clear" w:color="auto" w:fill="auto"/>
            <w:noWrap/>
            <w:vAlign w:val="center"/>
            <w:hideMark/>
          </w:tcPr>
          <w:p w:rsidR="00827E93" w:rsidRPr="003C020D" w:rsidP="6265C577" w14:paraId="7BEA69C6" w14:textId="6EB7D42D">
            <w:pPr>
              <w:widowControl/>
              <w:autoSpaceDE/>
              <w:autoSpaceDN/>
              <w:adjustRightInd/>
              <w:rPr>
                <w:b/>
                <w:bCs/>
                <w:color w:val="000000"/>
              </w:rPr>
            </w:pPr>
            <w:r w:rsidRPr="2FA67F2A">
              <w:rPr>
                <w:b/>
                <w:bCs/>
                <w:color w:val="000000" w:themeColor="text1"/>
              </w:rPr>
              <w:t>$</w:t>
            </w:r>
            <w:r w:rsidRPr="2FA67F2A" w:rsidR="777B22A1">
              <w:rPr>
                <w:b/>
                <w:bCs/>
                <w:color w:val="000000" w:themeColor="text1"/>
              </w:rPr>
              <w:t>994,</w:t>
            </w:r>
            <w:r w:rsidRPr="2FA67F2A" w:rsidR="7994BF3D">
              <w:rPr>
                <w:b/>
                <w:bCs/>
                <w:color w:val="000000" w:themeColor="text1"/>
              </w:rPr>
              <w:t>685</w:t>
            </w:r>
            <w:r w:rsidRPr="2FA67F2A">
              <w:rPr>
                <w:b/>
                <w:bCs/>
                <w:color w:val="000000" w:themeColor="text1"/>
              </w:rPr>
              <w:t xml:space="preserve"> </w:t>
            </w:r>
          </w:p>
        </w:tc>
      </w:tr>
    </w:tbl>
    <w:p w:rsidR="00E4568E" w:rsidP="00E4568E" w14:paraId="6295B81B" w14:textId="77777777">
      <w:pPr>
        <w:outlineLvl w:val="1"/>
        <w:rPr>
          <w:sz w:val="24"/>
        </w:rPr>
      </w:pPr>
    </w:p>
    <w:p w:rsidR="002818BC" w:rsidP="00E4568E" w14:paraId="22B13165" w14:textId="77777777">
      <w:pPr>
        <w:outlineLvl w:val="1"/>
        <w:rPr>
          <w:sz w:val="24"/>
        </w:rPr>
      </w:pPr>
    </w:p>
    <w:p w:rsidR="002818BC" w:rsidP="00E4568E" w14:paraId="3714AE32" w14:textId="77777777">
      <w:pPr>
        <w:outlineLvl w:val="1"/>
        <w:rPr>
          <w:sz w:val="24"/>
        </w:rPr>
      </w:pPr>
    </w:p>
    <w:p w:rsidR="00EC3507" w:rsidRPr="00E4568E" w:rsidP="00E4568E" w14:paraId="2AC2D193" w14:textId="0806B2DC">
      <w:pPr>
        <w:pStyle w:val="ListParagraph"/>
        <w:numPr>
          <w:ilvl w:val="0"/>
          <w:numId w:val="10"/>
        </w:numPr>
        <w:ind w:left="360"/>
        <w:outlineLvl w:val="1"/>
        <w:rPr>
          <w:sz w:val="24"/>
        </w:rPr>
      </w:pPr>
      <w:r w:rsidRPr="00E4568E">
        <w:rPr>
          <w:b/>
          <w:bCs/>
          <w:sz w:val="24"/>
        </w:rPr>
        <w:t>ESTIMATE OF COST TO THE FEDERAL GOVERNMENT</w:t>
      </w:r>
    </w:p>
    <w:p w:rsidR="00E4568E" w:rsidP="00950151" w14:paraId="4C28F99A" w14:textId="77777777">
      <w:pPr>
        <w:widowControl/>
        <w:autoSpaceDE/>
        <w:autoSpaceDN/>
        <w:adjustRightInd/>
        <w:rPr>
          <w:color w:val="000000"/>
          <w:sz w:val="24"/>
        </w:rPr>
      </w:pPr>
    </w:p>
    <w:p w:rsidR="00F16B1B" w:rsidP="00447043" w14:paraId="4BDFE2B4" w14:textId="5AFC5B37">
      <w:pPr>
        <w:widowControl/>
        <w:autoSpaceDE/>
        <w:autoSpaceDN/>
        <w:adjustRightInd/>
        <w:ind w:left="360"/>
        <w:rPr>
          <w:color w:val="000000"/>
          <w:sz w:val="24"/>
        </w:rPr>
      </w:pPr>
      <w:r>
        <w:rPr>
          <w:color w:val="000000"/>
          <w:sz w:val="24"/>
        </w:rPr>
        <w:t>The</w:t>
      </w:r>
      <w:r w:rsidRPr="005F5FF9" w:rsidR="00EA27CF">
        <w:rPr>
          <w:color w:val="000000"/>
          <w:sz w:val="24"/>
        </w:rPr>
        <w:t xml:space="preserve"> information </w:t>
      </w:r>
      <w:r w:rsidR="009F523D">
        <w:rPr>
          <w:color w:val="000000"/>
          <w:sz w:val="24"/>
        </w:rPr>
        <w:t>provided on</w:t>
      </w:r>
      <w:r w:rsidR="004A3682">
        <w:rPr>
          <w:color w:val="000000"/>
          <w:sz w:val="24"/>
        </w:rPr>
        <w:t xml:space="preserve"> </w:t>
      </w:r>
      <w:r w:rsidRPr="005F5FF9" w:rsidR="00EA27CF">
        <w:rPr>
          <w:color w:val="000000"/>
          <w:sz w:val="24"/>
        </w:rPr>
        <w:t xml:space="preserve">forms </w:t>
      </w:r>
      <w:r w:rsidR="00293792">
        <w:rPr>
          <w:color w:val="000000"/>
          <w:sz w:val="24"/>
        </w:rPr>
        <w:t xml:space="preserve">MCS-150, MCS-150B and MCS-150C </w:t>
      </w:r>
      <w:r w:rsidR="009F523D">
        <w:rPr>
          <w:color w:val="000000"/>
          <w:sz w:val="24"/>
        </w:rPr>
        <w:t>is transmitted</w:t>
      </w:r>
      <w:r w:rsidR="004A3682">
        <w:rPr>
          <w:color w:val="000000"/>
          <w:sz w:val="24"/>
        </w:rPr>
        <w:t xml:space="preserve"> to FMCSA electronically or by hard copy via the United States Postal Service. The population of forms received by mail are the following: 1) </w:t>
      </w:r>
      <w:r w:rsidRPr="009F523D" w:rsidR="004A3682">
        <w:rPr>
          <w:color w:val="000000"/>
          <w:sz w:val="24"/>
        </w:rPr>
        <w:t>new</w:t>
      </w:r>
      <w:r w:rsidR="004A3682">
        <w:rPr>
          <w:i/>
          <w:iCs/>
          <w:color w:val="000000"/>
          <w:sz w:val="24"/>
        </w:rPr>
        <w:t xml:space="preserve"> </w:t>
      </w:r>
      <w:r>
        <w:rPr>
          <w:color w:val="000000"/>
          <w:sz w:val="24"/>
        </w:rPr>
        <w:t>filers</w:t>
      </w:r>
      <w:r w:rsidR="004A3682">
        <w:rPr>
          <w:color w:val="000000"/>
          <w:sz w:val="24"/>
        </w:rPr>
        <w:t xml:space="preserve"> that are domiciled in Mexico</w:t>
      </w:r>
      <w:r>
        <w:rPr>
          <w:color w:val="000000"/>
          <w:sz w:val="24"/>
        </w:rPr>
        <w:t xml:space="preserve"> or existing applicants submitting biennial updates and</w:t>
      </w:r>
      <w:r w:rsidR="009F523D">
        <w:rPr>
          <w:color w:val="000000"/>
          <w:sz w:val="24"/>
        </w:rPr>
        <w:t>/</w:t>
      </w:r>
      <w:r>
        <w:rPr>
          <w:color w:val="000000"/>
          <w:sz w:val="24"/>
        </w:rPr>
        <w:t>or ad</w:t>
      </w:r>
      <w:r w:rsidR="009F523D">
        <w:rPr>
          <w:color w:val="000000"/>
          <w:sz w:val="24"/>
        </w:rPr>
        <w:t>-</w:t>
      </w:r>
      <w:r>
        <w:rPr>
          <w:color w:val="000000"/>
          <w:sz w:val="24"/>
        </w:rPr>
        <w:t>hoc changes to form MCS-150; 2) new filers or existing carriers submitting biennial updates and/or ad</w:t>
      </w:r>
      <w:r w:rsidR="009F523D">
        <w:rPr>
          <w:color w:val="000000"/>
          <w:sz w:val="24"/>
        </w:rPr>
        <w:t>-</w:t>
      </w:r>
      <w:r>
        <w:rPr>
          <w:color w:val="000000"/>
          <w:sz w:val="24"/>
        </w:rPr>
        <w:t>hoc changes to form MCS-150B</w:t>
      </w:r>
      <w:r w:rsidR="004A3682">
        <w:rPr>
          <w:color w:val="000000"/>
          <w:sz w:val="24"/>
        </w:rPr>
        <w:t>,</w:t>
      </w:r>
      <w:r>
        <w:rPr>
          <w:color w:val="000000"/>
          <w:sz w:val="24"/>
        </w:rPr>
        <w:t xml:space="preserve"> 3) new filers or existing carriers submitting biennial updates and/or ad</w:t>
      </w:r>
      <w:r w:rsidR="009F523D">
        <w:rPr>
          <w:color w:val="000000"/>
          <w:sz w:val="24"/>
        </w:rPr>
        <w:t>-</w:t>
      </w:r>
      <w:r>
        <w:rPr>
          <w:color w:val="000000"/>
          <w:sz w:val="24"/>
        </w:rPr>
        <w:t>hoc changes to form MCS-150C.</w:t>
      </w:r>
    </w:p>
    <w:p w:rsidR="00447043" w:rsidP="00447043" w14:paraId="22CD65B3" w14:textId="77777777">
      <w:pPr>
        <w:widowControl/>
        <w:autoSpaceDE/>
        <w:autoSpaceDN/>
        <w:adjustRightInd/>
        <w:ind w:left="360"/>
        <w:rPr>
          <w:color w:val="000000"/>
          <w:sz w:val="24"/>
        </w:rPr>
      </w:pPr>
    </w:p>
    <w:p w:rsidR="00C54842" w:rsidRPr="00C54842" w:rsidP="00447043" w14:paraId="78588029" w14:textId="6F2CC9C9">
      <w:pPr>
        <w:widowControl/>
        <w:autoSpaceDE/>
        <w:autoSpaceDN/>
        <w:adjustRightInd/>
        <w:ind w:left="360"/>
        <w:rPr>
          <w:color w:val="000000"/>
          <w:sz w:val="24"/>
          <w:u w:val="single"/>
        </w:rPr>
      </w:pPr>
      <w:r w:rsidRPr="00C54842">
        <w:rPr>
          <w:color w:val="000000"/>
          <w:sz w:val="24"/>
          <w:u w:val="single"/>
        </w:rPr>
        <w:t>Mail</w:t>
      </w:r>
    </w:p>
    <w:p w:rsidR="00F16B1B" w:rsidP="00447043" w14:paraId="55D1BDAF" w14:textId="2159F98C">
      <w:pPr>
        <w:widowControl/>
        <w:autoSpaceDE/>
        <w:autoSpaceDN/>
        <w:adjustRightInd/>
        <w:ind w:left="360"/>
        <w:rPr>
          <w:color w:val="000000"/>
          <w:sz w:val="24"/>
        </w:rPr>
      </w:pPr>
      <w:r>
        <w:rPr>
          <w:color w:val="000000"/>
          <w:sz w:val="24"/>
        </w:rPr>
        <w:t xml:space="preserve">FMCSA anticipates receiving an annual </w:t>
      </w:r>
      <w:r w:rsidR="008834D6">
        <w:rPr>
          <w:color w:val="000000"/>
          <w:sz w:val="24"/>
        </w:rPr>
        <w:t>308,</w:t>
      </w:r>
      <w:r w:rsidR="00E32031">
        <w:rPr>
          <w:color w:val="000000"/>
          <w:sz w:val="24"/>
        </w:rPr>
        <w:t>453</w:t>
      </w:r>
      <w:r>
        <w:rPr>
          <w:color w:val="000000"/>
          <w:sz w:val="24"/>
        </w:rPr>
        <w:t xml:space="preserve"> </w:t>
      </w:r>
      <w:r w:rsidR="00C54842">
        <w:rPr>
          <w:color w:val="000000"/>
          <w:sz w:val="24"/>
        </w:rPr>
        <w:t xml:space="preserve">mailed responses </w:t>
      </w:r>
      <w:r>
        <w:rPr>
          <w:color w:val="000000"/>
          <w:sz w:val="24"/>
        </w:rPr>
        <w:t>for form MCS-150</w:t>
      </w:r>
      <w:r w:rsidR="009F523D">
        <w:rPr>
          <w:color w:val="000000"/>
          <w:sz w:val="24"/>
        </w:rPr>
        <w:t>,</w:t>
      </w:r>
      <w:r>
        <w:rPr>
          <w:rStyle w:val="FootnoteReference"/>
          <w:color w:val="000000"/>
          <w:sz w:val="24"/>
          <w:vertAlign w:val="superscript"/>
        </w:rPr>
        <w:footnoteReference w:id="9"/>
      </w:r>
      <w:r>
        <w:rPr>
          <w:color w:val="000000"/>
          <w:sz w:val="24"/>
        </w:rPr>
        <w:t xml:space="preserve"> </w:t>
      </w:r>
      <w:r w:rsidR="00315B3F">
        <w:rPr>
          <w:color w:val="000000"/>
          <w:sz w:val="24"/>
        </w:rPr>
        <w:t xml:space="preserve">374 </w:t>
      </w:r>
      <w:r w:rsidR="00C54842">
        <w:rPr>
          <w:color w:val="000000"/>
          <w:sz w:val="24"/>
        </w:rPr>
        <w:t xml:space="preserve">mailed responses </w:t>
      </w:r>
      <w:r w:rsidRPr="00293792" w:rsidR="00CE18B2">
        <w:rPr>
          <w:color w:val="000000"/>
          <w:sz w:val="24"/>
        </w:rPr>
        <w:t>for form</w:t>
      </w:r>
      <w:r w:rsidR="00293792">
        <w:rPr>
          <w:color w:val="000000"/>
          <w:sz w:val="24"/>
        </w:rPr>
        <w:t xml:space="preserve"> </w:t>
      </w:r>
      <w:r>
        <w:rPr>
          <w:color w:val="000000"/>
          <w:sz w:val="24"/>
        </w:rPr>
        <w:t>MCS-150B</w:t>
      </w:r>
      <w:r w:rsidR="009F523D">
        <w:rPr>
          <w:color w:val="000000"/>
          <w:sz w:val="24"/>
        </w:rPr>
        <w:t>,</w:t>
      </w:r>
      <w:r>
        <w:rPr>
          <w:rStyle w:val="FootnoteReference"/>
          <w:color w:val="000000"/>
          <w:sz w:val="24"/>
          <w:vertAlign w:val="superscript"/>
        </w:rPr>
        <w:footnoteReference w:id="10"/>
      </w:r>
      <w:r w:rsidR="00946BA1">
        <w:rPr>
          <w:color w:val="000000"/>
          <w:sz w:val="24"/>
        </w:rPr>
        <w:t xml:space="preserve"> and </w:t>
      </w:r>
      <w:r w:rsidR="00315B3F">
        <w:rPr>
          <w:color w:val="000000"/>
          <w:sz w:val="24"/>
        </w:rPr>
        <w:t>3,562</w:t>
      </w:r>
      <w:r w:rsidR="00C54842">
        <w:rPr>
          <w:color w:val="000000"/>
          <w:sz w:val="24"/>
        </w:rPr>
        <w:t xml:space="preserve"> mailed responses</w:t>
      </w:r>
      <w:r w:rsidR="00534D10">
        <w:rPr>
          <w:color w:val="000000"/>
          <w:sz w:val="24"/>
        </w:rPr>
        <w:t xml:space="preserve"> for form MCS-150C</w:t>
      </w:r>
      <w:r w:rsidR="009F523D">
        <w:rPr>
          <w:color w:val="000000"/>
          <w:sz w:val="24"/>
        </w:rPr>
        <w:t>,</w:t>
      </w:r>
      <w:r>
        <w:rPr>
          <w:rStyle w:val="FootnoteReference"/>
          <w:color w:val="000000"/>
          <w:sz w:val="24"/>
          <w:vertAlign w:val="superscript"/>
        </w:rPr>
        <w:footnoteReference w:id="11"/>
      </w:r>
      <w:r w:rsidR="00C54842">
        <w:rPr>
          <w:color w:val="000000"/>
          <w:sz w:val="24"/>
        </w:rPr>
        <w:t xml:space="preserve"> for a </w:t>
      </w:r>
      <w:r w:rsidR="00534D10">
        <w:rPr>
          <w:color w:val="000000"/>
          <w:sz w:val="24"/>
        </w:rPr>
        <w:t xml:space="preserve">total of </w:t>
      </w:r>
      <w:r w:rsidR="00E417A2">
        <w:rPr>
          <w:color w:val="000000"/>
          <w:sz w:val="24"/>
        </w:rPr>
        <w:t>312,389</w:t>
      </w:r>
      <w:r w:rsidR="00CF3FCF">
        <w:rPr>
          <w:color w:val="000000"/>
          <w:sz w:val="24"/>
        </w:rPr>
        <w:t xml:space="preserve"> </w:t>
      </w:r>
      <w:r w:rsidR="00C54842">
        <w:rPr>
          <w:color w:val="000000"/>
          <w:sz w:val="24"/>
        </w:rPr>
        <w:t xml:space="preserve">mailed </w:t>
      </w:r>
      <w:r w:rsidR="00CF3FCF">
        <w:rPr>
          <w:color w:val="000000"/>
          <w:sz w:val="24"/>
        </w:rPr>
        <w:t>responses</w:t>
      </w:r>
      <w:r w:rsidR="00534D10">
        <w:rPr>
          <w:color w:val="000000"/>
          <w:sz w:val="24"/>
        </w:rPr>
        <w:t>.</w:t>
      </w:r>
    </w:p>
    <w:p w:rsidR="001642DB" w:rsidP="00447043" w14:paraId="567AF90B" w14:textId="77777777">
      <w:pPr>
        <w:widowControl/>
        <w:autoSpaceDE/>
        <w:autoSpaceDN/>
        <w:adjustRightInd/>
        <w:ind w:left="360"/>
        <w:rPr>
          <w:color w:val="000000"/>
          <w:sz w:val="24"/>
        </w:rPr>
      </w:pPr>
    </w:p>
    <w:p w:rsidR="00336FBC" w:rsidP="00447043" w14:paraId="79CFB92D" w14:textId="3E64B8C2">
      <w:pPr>
        <w:widowControl/>
        <w:autoSpaceDE/>
        <w:autoSpaceDN/>
        <w:adjustRightInd/>
        <w:ind w:left="360"/>
        <w:rPr>
          <w:color w:val="000000"/>
          <w:sz w:val="24"/>
        </w:rPr>
      </w:pPr>
      <w:r>
        <w:rPr>
          <w:color w:val="000000"/>
          <w:sz w:val="24"/>
        </w:rPr>
        <w:t xml:space="preserve">Forms </w:t>
      </w:r>
      <w:r w:rsidR="00E61886">
        <w:rPr>
          <w:color w:val="000000"/>
          <w:sz w:val="24"/>
        </w:rPr>
        <w:t xml:space="preserve">submitted by mail must be manually processed by </w:t>
      </w:r>
      <w:r w:rsidR="00FA6E43">
        <w:rPr>
          <w:sz w:val="24"/>
        </w:rPr>
        <w:t xml:space="preserve">a </w:t>
      </w:r>
      <w:r w:rsidRPr="00F574EB" w:rsidR="00FA6E43">
        <w:rPr>
          <w:sz w:val="24"/>
        </w:rPr>
        <w:t xml:space="preserve">data entry </w:t>
      </w:r>
      <w:r w:rsidR="00B40E4C">
        <w:rPr>
          <w:sz w:val="24"/>
        </w:rPr>
        <w:t>staff member</w:t>
      </w:r>
      <w:r w:rsidRPr="00F574EB" w:rsidR="00FA6E43">
        <w:rPr>
          <w:sz w:val="24"/>
        </w:rPr>
        <w:t>.</w:t>
      </w:r>
      <w:r w:rsidR="00950151">
        <w:rPr>
          <w:sz w:val="24"/>
        </w:rPr>
        <w:t xml:space="preserve"> </w:t>
      </w:r>
      <w:r w:rsidRPr="005F5FF9" w:rsidR="00EA27CF">
        <w:rPr>
          <w:color w:val="000000"/>
          <w:sz w:val="24"/>
        </w:rPr>
        <w:t xml:space="preserve">FMCSA estimates that it takes </w:t>
      </w:r>
      <w:r w:rsidR="009F523D">
        <w:rPr>
          <w:color w:val="000000"/>
          <w:sz w:val="24"/>
        </w:rPr>
        <w:t xml:space="preserve">a </w:t>
      </w:r>
      <w:r w:rsidR="00A96B48">
        <w:rPr>
          <w:color w:val="000000"/>
          <w:sz w:val="24"/>
        </w:rPr>
        <w:t>contractor</w:t>
      </w:r>
      <w:r w:rsidRPr="005F5FF9" w:rsidR="00EA27CF">
        <w:rPr>
          <w:color w:val="000000"/>
          <w:sz w:val="24"/>
        </w:rPr>
        <w:t xml:space="preserve"> </w:t>
      </w:r>
      <w:r w:rsidR="0083647F">
        <w:rPr>
          <w:color w:val="000000"/>
          <w:sz w:val="24"/>
        </w:rPr>
        <w:t>two</w:t>
      </w:r>
      <w:r w:rsidRPr="005F5FF9" w:rsidR="00EA27CF">
        <w:rPr>
          <w:color w:val="000000"/>
          <w:sz w:val="24"/>
        </w:rPr>
        <w:t xml:space="preserve"> to </w:t>
      </w:r>
      <w:r w:rsidR="0083647F">
        <w:rPr>
          <w:color w:val="000000"/>
          <w:sz w:val="24"/>
        </w:rPr>
        <w:t>nine</w:t>
      </w:r>
      <w:r w:rsidRPr="005F5FF9" w:rsidR="00EA27CF">
        <w:rPr>
          <w:color w:val="000000"/>
          <w:sz w:val="24"/>
        </w:rPr>
        <w:t xml:space="preserve"> minutes </w:t>
      </w:r>
      <w:r>
        <w:rPr>
          <w:color w:val="000000"/>
          <w:sz w:val="24"/>
        </w:rPr>
        <w:t>to process a</w:t>
      </w:r>
      <w:r w:rsidRPr="005F5FF9">
        <w:rPr>
          <w:color w:val="000000"/>
          <w:sz w:val="24"/>
        </w:rPr>
        <w:t xml:space="preserve"> </w:t>
      </w:r>
      <w:r w:rsidR="009C6176">
        <w:rPr>
          <w:color w:val="000000"/>
          <w:sz w:val="24"/>
        </w:rPr>
        <w:t xml:space="preserve">hard copy </w:t>
      </w:r>
      <w:r w:rsidRPr="005F5FF9" w:rsidR="00EA27CF">
        <w:rPr>
          <w:color w:val="000000"/>
          <w:sz w:val="24"/>
        </w:rPr>
        <w:t>form</w:t>
      </w:r>
      <w:r>
        <w:rPr>
          <w:color w:val="000000"/>
          <w:sz w:val="24"/>
        </w:rPr>
        <w:t>.</w:t>
      </w:r>
      <w:r w:rsidRPr="005F5FF9" w:rsidR="00EA27CF">
        <w:rPr>
          <w:color w:val="000000"/>
          <w:sz w:val="24"/>
        </w:rPr>
        <w:t xml:space="preserve"> </w:t>
      </w:r>
      <w:r>
        <w:rPr>
          <w:color w:val="000000"/>
          <w:sz w:val="24"/>
        </w:rPr>
        <w:t xml:space="preserve">FMCSA continues to estimate it takes a data entry contractor </w:t>
      </w:r>
      <w:r w:rsidR="0083647F">
        <w:rPr>
          <w:color w:val="000000"/>
          <w:sz w:val="24"/>
        </w:rPr>
        <w:t xml:space="preserve">an average of </w:t>
      </w:r>
      <w:r w:rsidRPr="005F5FF9" w:rsidR="00EA27CF">
        <w:rPr>
          <w:color w:val="000000"/>
          <w:sz w:val="24"/>
        </w:rPr>
        <w:t>5.5 minutes</w:t>
      </w:r>
      <w:r w:rsidR="006230EB">
        <w:rPr>
          <w:color w:val="000000"/>
          <w:sz w:val="24"/>
        </w:rPr>
        <w:t xml:space="preserve"> or 0.092 hours</w:t>
      </w:r>
      <w:r>
        <w:rPr>
          <w:color w:val="000000"/>
          <w:sz w:val="24"/>
        </w:rPr>
        <w:t xml:space="preserve"> to process one hard copy form. </w:t>
      </w:r>
      <w:r w:rsidR="008B68DE">
        <w:rPr>
          <w:color w:val="000000"/>
          <w:sz w:val="24"/>
        </w:rPr>
        <w:t>FMCSA estimate</w:t>
      </w:r>
      <w:r w:rsidR="00520135">
        <w:rPr>
          <w:color w:val="000000"/>
          <w:sz w:val="24"/>
        </w:rPr>
        <w:t>s</w:t>
      </w:r>
      <w:r w:rsidR="008B68DE">
        <w:rPr>
          <w:color w:val="000000"/>
          <w:sz w:val="24"/>
        </w:rPr>
        <w:t xml:space="preserve"> the wages and salary rate of </w:t>
      </w:r>
      <w:r w:rsidR="001F6620">
        <w:rPr>
          <w:color w:val="000000"/>
          <w:sz w:val="24"/>
        </w:rPr>
        <w:t>a data entry</w:t>
      </w:r>
      <w:r w:rsidR="007E6BD7">
        <w:rPr>
          <w:color w:val="000000"/>
          <w:sz w:val="24"/>
        </w:rPr>
        <w:t xml:space="preserve"> staff is</w:t>
      </w:r>
      <w:r w:rsidR="001F6620">
        <w:rPr>
          <w:color w:val="000000"/>
          <w:sz w:val="24"/>
        </w:rPr>
        <w:t xml:space="preserve"> </w:t>
      </w:r>
      <w:r w:rsidRPr="005F5FF9" w:rsidR="00EA27CF">
        <w:rPr>
          <w:color w:val="000000"/>
          <w:sz w:val="24"/>
        </w:rPr>
        <w:t>$</w:t>
      </w:r>
      <w:r w:rsidR="00081088">
        <w:rPr>
          <w:color w:val="000000"/>
          <w:sz w:val="24"/>
        </w:rPr>
        <w:t>31.15</w:t>
      </w:r>
      <w:r w:rsidR="007E6BD7">
        <w:rPr>
          <w:color w:val="000000"/>
          <w:sz w:val="24"/>
        </w:rPr>
        <w:t>.</w:t>
      </w:r>
      <w:r>
        <w:rPr>
          <w:rStyle w:val="FootnoteReference"/>
          <w:color w:val="000000"/>
          <w:sz w:val="24"/>
          <w:vertAlign w:val="superscript"/>
        </w:rPr>
        <w:footnoteReference w:id="12"/>
      </w:r>
      <w:r w:rsidR="00BD3B74">
        <w:rPr>
          <w:color w:val="000000"/>
          <w:sz w:val="24"/>
        </w:rPr>
        <w:t xml:space="preserve"> </w:t>
      </w:r>
      <w:r w:rsidR="007E6BD7">
        <w:rPr>
          <w:color w:val="000000"/>
          <w:sz w:val="24"/>
        </w:rPr>
        <w:t xml:space="preserve">FMCSA takes the wage and salary rate </w:t>
      </w:r>
      <w:r w:rsidR="00BD3B74">
        <w:rPr>
          <w:color w:val="000000"/>
          <w:sz w:val="24"/>
        </w:rPr>
        <w:t xml:space="preserve">and multiplies </w:t>
      </w:r>
      <w:r w:rsidR="009F523D">
        <w:rPr>
          <w:color w:val="000000"/>
          <w:sz w:val="24"/>
        </w:rPr>
        <w:t xml:space="preserve">it </w:t>
      </w:r>
      <w:r w:rsidR="00BD3B74">
        <w:rPr>
          <w:color w:val="000000"/>
          <w:sz w:val="24"/>
        </w:rPr>
        <w:t xml:space="preserve">by </w:t>
      </w:r>
      <w:r w:rsidR="00292BEE">
        <w:rPr>
          <w:color w:val="000000"/>
          <w:sz w:val="24"/>
        </w:rPr>
        <w:t xml:space="preserve">government </w:t>
      </w:r>
      <w:r w:rsidR="00BD3B74">
        <w:rPr>
          <w:color w:val="000000"/>
          <w:sz w:val="24"/>
        </w:rPr>
        <w:t xml:space="preserve">load rate </w:t>
      </w:r>
      <w:r w:rsidR="007E6BD7">
        <w:rPr>
          <w:color w:val="000000"/>
          <w:sz w:val="24"/>
        </w:rPr>
        <w:t>of</w:t>
      </w:r>
      <w:r w:rsidR="00BD3B74">
        <w:rPr>
          <w:color w:val="000000"/>
          <w:sz w:val="24"/>
        </w:rPr>
        <w:t xml:space="preserve"> 1.28</w:t>
      </w:r>
      <w:r w:rsidR="009F523D">
        <w:rPr>
          <w:color w:val="000000"/>
          <w:sz w:val="24"/>
        </w:rPr>
        <w:t>.</w:t>
      </w:r>
      <w:r>
        <w:rPr>
          <w:rStyle w:val="FootnoteReference"/>
          <w:color w:val="000000"/>
          <w:sz w:val="24"/>
          <w:vertAlign w:val="superscript"/>
        </w:rPr>
        <w:footnoteReference w:id="13"/>
      </w:r>
      <w:r>
        <w:rPr>
          <w:color w:val="000000"/>
          <w:sz w:val="24"/>
        </w:rPr>
        <w:t xml:space="preserve"> This multiplication </w:t>
      </w:r>
      <w:r w:rsidR="00816F5C">
        <w:rPr>
          <w:color w:val="000000"/>
          <w:sz w:val="24"/>
        </w:rPr>
        <w:t>results</w:t>
      </w:r>
      <w:r w:rsidR="00A51850">
        <w:rPr>
          <w:color w:val="000000"/>
          <w:sz w:val="24"/>
        </w:rPr>
        <w:t xml:space="preserve"> in </w:t>
      </w:r>
      <w:r>
        <w:rPr>
          <w:color w:val="000000"/>
          <w:sz w:val="24"/>
        </w:rPr>
        <w:t xml:space="preserve">a </w:t>
      </w:r>
      <w:r w:rsidR="00A51850">
        <w:rPr>
          <w:color w:val="000000"/>
          <w:sz w:val="24"/>
        </w:rPr>
        <w:t>$</w:t>
      </w:r>
      <w:r w:rsidR="00081088">
        <w:rPr>
          <w:color w:val="000000"/>
          <w:sz w:val="24"/>
        </w:rPr>
        <w:t>39.87</w:t>
      </w:r>
      <w:r w:rsidR="00950151">
        <w:rPr>
          <w:color w:val="000000"/>
          <w:sz w:val="24"/>
        </w:rPr>
        <w:t xml:space="preserve"> loaded </w:t>
      </w:r>
      <w:r w:rsidR="009F523D">
        <w:rPr>
          <w:color w:val="000000"/>
          <w:sz w:val="24"/>
        </w:rPr>
        <w:t xml:space="preserve">wage </w:t>
      </w:r>
      <w:r w:rsidR="00950151">
        <w:rPr>
          <w:color w:val="000000"/>
          <w:sz w:val="24"/>
        </w:rPr>
        <w:t>cost per hour</w:t>
      </w:r>
      <w:r w:rsidR="00A51850">
        <w:rPr>
          <w:color w:val="000000"/>
          <w:sz w:val="24"/>
        </w:rPr>
        <w:t>.</w:t>
      </w:r>
      <w:r w:rsidR="00816F5C">
        <w:rPr>
          <w:color w:val="000000"/>
          <w:sz w:val="24"/>
        </w:rPr>
        <w:t xml:space="preserve"> </w:t>
      </w:r>
      <w:r w:rsidR="00A51850">
        <w:rPr>
          <w:color w:val="000000"/>
          <w:sz w:val="24"/>
        </w:rPr>
        <w:t>The</w:t>
      </w:r>
      <w:r w:rsidR="00816F5C">
        <w:rPr>
          <w:color w:val="000000"/>
          <w:sz w:val="24"/>
        </w:rPr>
        <w:t xml:space="preserve"> total </w:t>
      </w:r>
      <w:r w:rsidR="00276CE8">
        <w:rPr>
          <w:color w:val="000000"/>
          <w:sz w:val="24"/>
        </w:rPr>
        <w:t xml:space="preserve">number of </w:t>
      </w:r>
      <w:r>
        <w:rPr>
          <w:color w:val="000000"/>
          <w:sz w:val="24"/>
        </w:rPr>
        <w:t xml:space="preserve">hard copy </w:t>
      </w:r>
      <w:r w:rsidR="007A6466">
        <w:rPr>
          <w:color w:val="000000"/>
          <w:sz w:val="24"/>
        </w:rPr>
        <w:t>responses</w:t>
      </w:r>
      <w:r w:rsidR="00276CE8">
        <w:rPr>
          <w:color w:val="000000"/>
          <w:sz w:val="24"/>
        </w:rPr>
        <w:t xml:space="preserve"> received for </w:t>
      </w:r>
      <w:r w:rsidR="00A51850">
        <w:rPr>
          <w:color w:val="000000"/>
          <w:sz w:val="24"/>
        </w:rPr>
        <w:t>IC-1, IC-2</w:t>
      </w:r>
      <w:r w:rsidR="009F523D">
        <w:rPr>
          <w:color w:val="000000"/>
          <w:sz w:val="24"/>
        </w:rPr>
        <w:t>,</w:t>
      </w:r>
      <w:r w:rsidR="00A51850">
        <w:rPr>
          <w:color w:val="000000"/>
          <w:sz w:val="24"/>
        </w:rPr>
        <w:t xml:space="preserve"> and IC-3 is</w:t>
      </w:r>
      <w:r w:rsidR="00816F5C">
        <w:rPr>
          <w:color w:val="000000"/>
          <w:sz w:val="24"/>
        </w:rPr>
        <w:t xml:space="preserve"> </w:t>
      </w:r>
      <w:r w:rsidR="00E466F3">
        <w:rPr>
          <w:color w:val="000000"/>
          <w:sz w:val="24"/>
        </w:rPr>
        <w:t>312,389</w:t>
      </w:r>
      <w:r>
        <w:rPr>
          <w:color w:val="000000"/>
          <w:sz w:val="24"/>
        </w:rPr>
        <w:t>, which</w:t>
      </w:r>
      <w:r w:rsidR="00276CE8">
        <w:rPr>
          <w:color w:val="000000"/>
          <w:sz w:val="24"/>
        </w:rPr>
        <w:t xml:space="preserve"> results in a </w:t>
      </w:r>
      <w:r w:rsidRPr="00950151" w:rsidR="00950151">
        <w:rPr>
          <w:color w:val="000000"/>
          <w:sz w:val="24"/>
        </w:rPr>
        <w:t>$</w:t>
      </w:r>
      <w:r w:rsidR="00081088">
        <w:rPr>
          <w:color w:val="000000"/>
          <w:sz w:val="24"/>
        </w:rPr>
        <w:t>1,145,840</w:t>
      </w:r>
      <w:r w:rsidR="00950151">
        <w:rPr>
          <w:color w:val="000000"/>
          <w:sz w:val="24"/>
        </w:rPr>
        <w:t xml:space="preserve"> </w:t>
      </w:r>
      <w:r w:rsidR="00276CE8">
        <w:rPr>
          <w:color w:val="000000"/>
          <w:sz w:val="24"/>
        </w:rPr>
        <w:t>cost to the federal government ($</w:t>
      </w:r>
      <w:r w:rsidR="00081088">
        <w:rPr>
          <w:color w:val="000000"/>
          <w:sz w:val="24"/>
        </w:rPr>
        <w:t>39.87</w:t>
      </w:r>
      <w:r w:rsidR="00276CE8">
        <w:rPr>
          <w:color w:val="000000"/>
          <w:sz w:val="24"/>
        </w:rPr>
        <w:t xml:space="preserve"> × </w:t>
      </w:r>
      <w:r w:rsidR="00081088">
        <w:rPr>
          <w:color w:val="000000"/>
          <w:sz w:val="24"/>
        </w:rPr>
        <w:t>312,389</w:t>
      </w:r>
      <w:r w:rsidR="00276CE8">
        <w:rPr>
          <w:color w:val="000000"/>
          <w:sz w:val="24"/>
        </w:rPr>
        <w:t xml:space="preserve"> responses </w:t>
      </w:r>
      <w:r w:rsidR="00465524">
        <w:rPr>
          <w:color w:val="000000"/>
          <w:sz w:val="24"/>
        </w:rPr>
        <w:t xml:space="preserve">× 0.092 hours per response </w:t>
      </w:r>
      <w:r w:rsidR="00276CE8">
        <w:rPr>
          <w:color w:val="000000"/>
          <w:sz w:val="24"/>
        </w:rPr>
        <w:t xml:space="preserve">= </w:t>
      </w:r>
      <w:r w:rsidRPr="00950151" w:rsidR="00950151">
        <w:rPr>
          <w:color w:val="000000"/>
          <w:sz w:val="24"/>
        </w:rPr>
        <w:t>$</w:t>
      </w:r>
      <w:r w:rsidR="00081088">
        <w:rPr>
          <w:color w:val="000000"/>
          <w:sz w:val="24"/>
        </w:rPr>
        <w:t>1,145,840</w:t>
      </w:r>
      <w:r w:rsidRPr="00950151" w:rsidR="007A6466">
        <w:rPr>
          <w:color w:val="000000"/>
          <w:sz w:val="24"/>
        </w:rPr>
        <w:t>)</w:t>
      </w:r>
      <w:r w:rsidRPr="00950151" w:rsidR="00276CE8">
        <w:rPr>
          <w:color w:val="000000"/>
          <w:sz w:val="24"/>
        </w:rPr>
        <w:t>.</w:t>
      </w:r>
    </w:p>
    <w:p w:rsidR="00C54842" w:rsidP="00447043" w14:paraId="5685C4DA" w14:textId="05ED8D2F">
      <w:pPr>
        <w:widowControl/>
        <w:autoSpaceDE/>
        <w:autoSpaceDN/>
        <w:adjustRightInd/>
        <w:ind w:left="360"/>
        <w:rPr>
          <w:color w:val="000000"/>
          <w:sz w:val="24"/>
        </w:rPr>
      </w:pPr>
    </w:p>
    <w:p w:rsidR="00C54842" w:rsidRPr="00C54842" w:rsidP="00447043" w14:paraId="054E02DE" w14:textId="7A91ECE7">
      <w:pPr>
        <w:widowControl/>
        <w:autoSpaceDE/>
        <w:autoSpaceDN/>
        <w:adjustRightInd/>
        <w:ind w:left="360"/>
        <w:rPr>
          <w:color w:val="000000"/>
          <w:sz w:val="24"/>
          <w:u w:val="single"/>
        </w:rPr>
      </w:pPr>
      <w:r w:rsidRPr="00C54842">
        <w:rPr>
          <w:color w:val="000000"/>
          <w:sz w:val="24"/>
          <w:u w:val="single"/>
        </w:rPr>
        <w:t>Electronic</w:t>
      </w:r>
    </w:p>
    <w:p w:rsidR="00C54842" w:rsidP="00447043" w14:paraId="451DB472" w14:textId="0714235A">
      <w:pPr>
        <w:widowControl/>
        <w:autoSpaceDE/>
        <w:autoSpaceDN/>
        <w:adjustRightInd/>
        <w:ind w:left="360"/>
        <w:rPr>
          <w:color w:val="000000"/>
          <w:sz w:val="24"/>
        </w:rPr>
      </w:pPr>
      <w:r>
        <w:rPr>
          <w:color w:val="000000"/>
          <w:sz w:val="24"/>
        </w:rPr>
        <w:t xml:space="preserve">FMCSA anticipates receiving an annual </w:t>
      </w:r>
      <w:r w:rsidR="008C3D24">
        <w:rPr>
          <w:color w:val="000000"/>
          <w:sz w:val="24"/>
        </w:rPr>
        <w:t>626,254</w:t>
      </w:r>
      <w:r>
        <w:rPr>
          <w:color w:val="000000"/>
          <w:sz w:val="24"/>
        </w:rPr>
        <w:t xml:space="preserve"> electronic responses for form MCS-150</w:t>
      </w:r>
      <w:r w:rsidR="009F523D">
        <w:rPr>
          <w:color w:val="000000"/>
          <w:sz w:val="24"/>
        </w:rPr>
        <w:t>,</w:t>
      </w:r>
      <w:r>
        <w:rPr>
          <w:rStyle w:val="FootnoteReference"/>
          <w:color w:val="000000"/>
          <w:sz w:val="24"/>
          <w:vertAlign w:val="superscript"/>
        </w:rPr>
        <w:footnoteReference w:id="14"/>
      </w:r>
      <w:r>
        <w:rPr>
          <w:color w:val="000000"/>
          <w:sz w:val="24"/>
        </w:rPr>
        <w:t xml:space="preserve"> </w:t>
      </w:r>
      <w:r w:rsidR="008C3D24">
        <w:rPr>
          <w:color w:val="000000"/>
          <w:sz w:val="24"/>
        </w:rPr>
        <w:t>2,504</w:t>
      </w:r>
      <w:r>
        <w:rPr>
          <w:color w:val="000000"/>
          <w:sz w:val="24"/>
        </w:rPr>
        <w:t xml:space="preserve"> electronic responses </w:t>
      </w:r>
      <w:r w:rsidRPr="00293792">
        <w:rPr>
          <w:color w:val="000000"/>
          <w:sz w:val="24"/>
        </w:rPr>
        <w:t>for form</w:t>
      </w:r>
      <w:r>
        <w:rPr>
          <w:color w:val="000000"/>
          <w:sz w:val="24"/>
        </w:rPr>
        <w:t xml:space="preserve"> MCS-150B</w:t>
      </w:r>
      <w:r w:rsidR="009F523D">
        <w:rPr>
          <w:color w:val="000000"/>
          <w:sz w:val="24"/>
        </w:rPr>
        <w:t>,</w:t>
      </w:r>
      <w:r>
        <w:rPr>
          <w:rStyle w:val="FootnoteReference"/>
          <w:color w:val="000000"/>
          <w:sz w:val="24"/>
          <w:vertAlign w:val="superscript"/>
        </w:rPr>
        <w:footnoteReference w:id="15"/>
      </w:r>
      <w:r>
        <w:rPr>
          <w:color w:val="000000"/>
          <w:sz w:val="24"/>
        </w:rPr>
        <w:t xml:space="preserve"> and </w:t>
      </w:r>
      <w:r w:rsidR="008C3D24">
        <w:rPr>
          <w:color w:val="000000"/>
          <w:sz w:val="24"/>
        </w:rPr>
        <w:t xml:space="preserve">148 </w:t>
      </w:r>
      <w:r>
        <w:rPr>
          <w:color w:val="000000"/>
          <w:sz w:val="24"/>
        </w:rPr>
        <w:t>electronic responses for form MCS-150C</w:t>
      </w:r>
      <w:r w:rsidR="009F523D">
        <w:rPr>
          <w:color w:val="000000"/>
          <w:sz w:val="24"/>
        </w:rPr>
        <w:t>,</w:t>
      </w:r>
      <w:r>
        <w:rPr>
          <w:rStyle w:val="FootnoteReference"/>
          <w:color w:val="000000"/>
          <w:sz w:val="24"/>
          <w:vertAlign w:val="superscript"/>
        </w:rPr>
        <w:footnoteReference w:id="16"/>
      </w:r>
      <w:r>
        <w:rPr>
          <w:color w:val="000000"/>
          <w:sz w:val="24"/>
        </w:rPr>
        <w:t xml:space="preserve"> for a total of </w:t>
      </w:r>
      <w:r w:rsidR="00EB11DF">
        <w:rPr>
          <w:color w:val="000000"/>
          <w:sz w:val="24"/>
        </w:rPr>
        <w:t>628,907</w:t>
      </w:r>
      <w:r w:rsidR="00FA544A">
        <w:rPr>
          <w:color w:val="000000"/>
          <w:sz w:val="24"/>
        </w:rPr>
        <w:t xml:space="preserve"> electronic</w:t>
      </w:r>
      <w:r>
        <w:rPr>
          <w:color w:val="000000"/>
          <w:sz w:val="24"/>
        </w:rPr>
        <w:t xml:space="preserve"> responses.</w:t>
      </w:r>
    </w:p>
    <w:p w:rsidR="00FA544A" w:rsidP="00447043" w14:paraId="5F1004A7" w14:textId="22A14D09">
      <w:pPr>
        <w:widowControl/>
        <w:autoSpaceDE/>
        <w:autoSpaceDN/>
        <w:adjustRightInd/>
        <w:ind w:left="360"/>
        <w:rPr>
          <w:color w:val="000000"/>
          <w:sz w:val="24"/>
        </w:rPr>
      </w:pPr>
    </w:p>
    <w:p w:rsidR="00FA544A" w:rsidP="00447043" w14:paraId="1AB77A08" w14:textId="367DA80A">
      <w:pPr>
        <w:widowControl/>
        <w:autoSpaceDE/>
        <w:autoSpaceDN/>
        <w:adjustRightInd/>
        <w:ind w:left="360"/>
        <w:rPr>
          <w:color w:val="000000"/>
          <w:sz w:val="24"/>
        </w:rPr>
      </w:pPr>
      <w:r>
        <w:rPr>
          <w:color w:val="000000"/>
          <w:sz w:val="24"/>
        </w:rPr>
        <w:t xml:space="preserve">Forms submitted electronically are processed by a </w:t>
      </w:r>
      <w:r w:rsidRPr="00F574EB">
        <w:rPr>
          <w:sz w:val="24"/>
        </w:rPr>
        <w:t xml:space="preserve">data </w:t>
      </w:r>
      <w:r w:rsidR="00005CB2">
        <w:rPr>
          <w:sz w:val="24"/>
        </w:rPr>
        <w:t>entry</w:t>
      </w:r>
      <w:r w:rsidRPr="00F574EB">
        <w:rPr>
          <w:sz w:val="24"/>
        </w:rPr>
        <w:t xml:space="preserve"> </w:t>
      </w:r>
      <w:r w:rsidR="00B40E4C">
        <w:rPr>
          <w:sz w:val="24"/>
        </w:rPr>
        <w:t>staff member</w:t>
      </w:r>
      <w:r w:rsidRPr="00F574EB">
        <w:rPr>
          <w:sz w:val="24"/>
        </w:rPr>
        <w:t>.</w:t>
      </w:r>
      <w:r>
        <w:rPr>
          <w:sz w:val="24"/>
        </w:rPr>
        <w:t xml:space="preserve"> </w:t>
      </w:r>
      <w:r w:rsidRPr="005F5FF9">
        <w:rPr>
          <w:color w:val="000000"/>
          <w:sz w:val="24"/>
        </w:rPr>
        <w:t xml:space="preserve">FMCSA estimates it takes </w:t>
      </w:r>
      <w:r w:rsidR="009F523D">
        <w:rPr>
          <w:color w:val="000000"/>
          <w:sz w:val="24"/>
        </w:rPr>
        <w:t xml:space="preserve">a </w:t>
      </w:r>
      <w:r>
        <w:rPr>
          <w:color w:val="000000"/>
          <w:sz w:val="24"/>
        </w:rPr>
        <w:t>contractor</w:t>
      </w:r>
      <w:r w:rsidRPr="005F5FF9">
        <w:rPr>
          <w:color w:val="000000"/>
          <w:sz w:val="24"/>
        </w:rPr>
        <w:t xml:space="preserve"> </w:t>
      </w:r>
      <w:r>
        <w:rPr>
          <w:color w:val="000000"/>
          <w:sz w:val="24"/>
        </w:rPr>
        <w:t>one</w:t>
      </w:r>
      <w:r w:rsidRPr="005F5FF9">
        <w:rPr>
          <w:color w:val="000000"/>
          <w:sz w:val="24"/>
        </w:rPr>
        <w:t xml:space="preserve"> </w:t>
      </w:r>
      <w:r>
        <w:rPr>
          <w:color w:val="000000"/>
          <w:sz w:val="24"/>
        </w:rPr>
        <w:t xml:space="preserve">minute to process </w:t>
      </w:r>
      <w:r w:rsidR="00B40E4C">
        <w:rPr>
          <w:color w:val="000000"/>
          <w:sz w:val="24"/>
        </w:rPr>
        <w:t>one</w:t>
      </w:r>
      <w:r>
        <w:rPr>
          <w:color w:val="000000"/>
          <w:sz w:val="24"/>
        </w:rPr>
        <w:t xml:space="preserve"> form</w:t>
      </w:r>
      <w:r w:rsidR="00B40E4C">
        <w:rPr>
          <w:color w:val="000000"/>
          <w:sz w:val="24"/>
        </w:rPr>
        <w:t>. One form can be a new filing, a b</w:t>
      </w:r>
      <w:r>
        <w:rPr>
          <w:color w:val="000000"/>
          <w:sz w:val="24"/>
        </w:rPr>
        <w:t xml:space="preserve">iennial update, </w:t>
      </w:r>
      <w:r w:rsidR="00B40E4C">
        <w:rPr>
          <w:color w:val="000000"/>
          <w:sz w:val="24"/>
        </w:rPr>
        <w:t xml:space="preserve">or an </w:t>
      </w:r>
      <w:r>
        <w:rPr>
          <w:color w:val="000000"/>
          <w:sz w:val="24"/>
        </w:rPr>
        <w:t>ad</w:t>
      </w:r>
      <w:r w:rsidR="009F523D">
        <w:rPr>
          <w:color w:val="000000"/>
          <w:sz w:val="24"/>
        </w:rPr>
        <w:t>-</w:t>
      </w:r>
      <w:r>
        <w:rPr>
          <w:color w:val="000000"/>
          <w:sz w:val="24"/>
        </w:rPr>
        <w:t>hoc change</w:t>
      </w:r>
      <w:r w:rsidR="00B40E4C">
        <w:rPr>
          <w:color w:val="000000"/>
          <w:sz w:val="24"/>
        </w:rPr>
        <w:t>.</w:t>
      </w:r>
      <w:r w:rsidRPr="005F5FF9">
        <w:rPr>
          <w:color w:val="000000"/>
          <w:sz w:val="24"/>
        </w:rPr>
        <w:t xml:space="preserve"> </w:t>
      </w:r>
      <w:r>
        <w:rPr>
          <w:color w:val="000000"/>
          <w:sz w:val="24"/>
        </w:rPr>
        <w:t xml:space="preserve">FMCSA estimates the wages and salary rate of a </w:t>
      </w:r>
      <w:r w:rsidRPr="00F574EB" w:rsidR="00525AF1">
        <w:rPr>
          <w:sz w:val="24"/>
        </w:rPr>
        <w:t xml:space="preserve">data </w:t>
      </w:r>
      <w:r w:rsidR="00525AF1">
        <w:rPr>
          <w:sz w:val="24"/>
        </w:rPr>
        <w:t>entry</w:t>
      </w:r>
      <w:r w:rsidRPr="00F574EB" w:rsidR="00525AF1">
        <w:rPr>
          <w:sz w:val="24"/>
        </w:rPr>
        <w:t xml:space="preserve"> </w:t>
      </w:r>
      <w:r w:rsidR="00525AF1">
        <w:rPr>
          <w:sz w:val="24"/>
        </w:rPr>
        <w:t>staff member</w:t>
      </w:r>
      <w:r w:rsidR="00525AF1">
        <w:rPr>
          <w:color w:val="000000"/>
          <w:sz w:val="24"/>
        </w:rPr>
        <w:t xml:space="preserve"> </w:t>
      </w:r>
      <w:r>
        <w:rPr>
          <w:color w:val="000000"/>
          <w:sz w:val="24"/>
        </w:rPr>
        <w:t xml:space="preserve">is </w:t>
      </w:r>
      <w:r w:rsidRPr="00B40E4C" w:rsidR="00B40E4C">
        <w:rPr>
          <w:color w:val="000000"/>
          <w:sz w:val="24"/>
        </w:rPr>
        <w:t>$</w:t>
      </w:r>
      <w:r w:rsidR="005E20D8">
        <w:rPr>
          <w:color w:val="000000"/>
          <w:sz w:val="24"/>
        </w:rPr>
        <w:t>48.78</w:t>
      </w:r>
      <w:r>
        <w:rPr>
          <w:color w:val="000000"/>
          <w:sz w:val="24"/>
        </w:rPr>
        <w:t>.</w:t>
      </w:r>
      <w:r>
        <w:rPr>
          <w:rStyle w:val="FootnoteReference"/>
          <w:color w:val="000000"/>
          <w:sz w:val="24"/>
          <w:vertAlign w:val="superscript"/>
        </w:rPr>
        <w:footnoteReference w:id="17"/>
      </w:r>
      <w:r>
        <w:rPr>
          <w:color w:val="000000"/>
          <w:sz w:val="24"/>
        </w:rPr>
        <w:t xml:space="preserve"> FMCSA takes the wage and salary rate and multiplies </w:t>
      </w:r>
      <w:r w:rsidR="009F523D">
        <w:rPr>
          <w:color w:val="000000"/>
          <w:sz w:val="24"/>
        </w:rPr>
        <w:t xml:space="preserve">it </w:t>
      </w:r>
      <w:r>
        <w:rPr>
          <w:color w:val="000000"/>
          <w:sz w:val="24"/>
        </w:rPr>
        <w:t>by government load rate of 1.28</w:t>
      </w:r>
      <w:r w:rsidR="009F523D">
        <w:rPr>
          <w:color w:val="000000"/>
          <w:sz w:val="24"/>
        </w:rPr>
        <w:t>.</w:t>
      </w:r>
      <w:r>
        <w:rPr>
          <w:rStyle w:val="FootnoteReference"/>
          <w:color w:val="000000"/>
          <w:sz w:val="24"/>
          <w:vertAlign w:val="superscript"/>
        </w:rPr>
        <w:footnoteReference w:id="18"/>
      </w:r>
      <w:r>
        <w:rPr>
          <w:color w:val="000000"/>
          <w:sz w:val="24"/>
        </w:rPr>
        <w:t xml:space="preserve"> This multiplication results in a $</w:t>
      </w:r>
      <w:r w:rsidR="005E20D8">
        <w:rPr>
          <w:color w:val="000000"/>
          <w:sz w:val="24"/>
        </w:rPr>
        <w:t>62.43</w:t>
      </w:r>
      <w:r>
        <w:rPr>
          <w:color w:val="000000"/>
          <w:sz w:val="24"/>
        </w:rPr>
        <w:t xml:space="preserve"> loaded </w:t>
      </w:r>
      <w:r w:rsidR="009F523D">
        <w:rPr>
          <w:color w:val="000000"/>
          <w:sz w:val="24"/>
        </w:rPr>
        <w:t xml:space="preserve">wage </w:t>
      </w:r>
      <w:r>
        <w:rPr>
          <w:color w:val="000000"/>
          <w:sz w:val="24"/>
        </w:rPr>
        <w:t xml:space="preserve">cost per </w:t>
      </w:r>
      <w:r>
        <w:rPr>
          <w:color w:val="000000"/>
          <w:sz w:val="24"/>
        </w:rPr>
        <w:t xml:space="preserve">hour. The total number of </w:t>
      </w:r>
      <w:r w:rsidR="00867062">
        <w:rPr>
          <w:color w:val="000000"/>
          <w:sz w:val="24"/>
        </w:rPr>
        <w:t>electronic</w:t>
      </w:r>
      <w:r>
        <w:rPr>
          <w:color w:val="000000"/>
          <w:sz w:val="24"/>
        </w:rPr>
        <w:t xml:space="preserve"> responses received for IC-1, IC-2</w:t>
      </w:r>
      <w:r w:rsidR="009F523D">
        <w:rPr>
          <w:color w:val="000000"/>
          <w:sz w:val="24"/>
        </w:rPr>
        <w:t>,</w:t>
      </w:r>
      <w:r>
        <w:rPr>
          <w:color w:val="000000"/>
          <w:sz w:val="24"/>
        </w:rPr>
        <w:t xml:space="preserve"> and IC-3 is </w:t>
      </w:r>
      <w:r w:rsidR="0079204A">
        <w:rPr>
          <w:color w:val="000000"/>
          <w:sz w:val="24"/>
        </w:rPr>
        <w:t>628,907</w:t>
      </w:r>
      <w:r>
        <w:rPr>
          <w:color w:val="000000"/>
          <w:sz w:val="24"/>
        </w:rPr>
        <w:t xml:space="preserve">, which results in a </w:t>
      </w:r>
      <w:r w:rsidRPr="00950151">
        <w:rPr>
          <w:color w:val="000000"/>
          <w:sz w:val="24"/>
        </w:rPr>
        <w:t>$</w:t>
      </w:r>
      <w:r w:rsidR="00F25010">
        <w:rPr>
          <w:color w:val="000000"/>
          <w:sz w:val="24"/>
        </w:rPr>
        <w:t>3,612,428</w:t>
      </w:r>
      <w:r>
        <w:rPr>
          <w:color w:val="000000"/>
          <w:sz w:val="24"/>
        </w:rPr>
        <w:t xml:space="preserve"> cost to the federal government ($</w:t>
      </w:r>
      <w:r w:rsidR="00F25010">
        <w:rPr>
          <w:color w:val="000000"/>
          <w:sz w:val="24"/>
        </w:rPr>
        <w:t>62.43</w:t>
      </w:r>
      <w:r>
        <w:rPr>
          <w:color w:val="000000"/>
          <w:sz w:val="24"/>
        </w:rPr>
        <w:t xml:space="preserve"> × </w:t>
      </w:r>
      <w:r w:rsidR="00C52AE6">
        <w:rPr>
          <w:color w:val="000000"/>
          <w:sz w:val="24"/>
        </w:rPr>
        <w:t>628,907</w:t>
      </w:r>
      <w:r>
        <w:rPr>
          <w:color w:val="000000"/>
          <w:sz w:val="24"/>
        </w:rPr>
        <w:t xml:space="preserve"> responses × 0.092 hours per response = </w:t>
      </w:r>
      <w:r w:rsidRPr="00950151" w:rsidR="00867062">
        <w:rPr>
          <w:color w:val="000000"/>
          <w:sz w:val="24"/>
        </w:rPr>
        <w:t>$</w:t>
      </w:r>
      <w:r w:rsidR="00C52AE6">
        <w:rPr>
          <w:color w:val="000000"/>
          <w:sz w:val="24"/>
        </w:rPr>
        <w:t>3,612,428</w:t>
      </w:r>
      <w:r w:rsidRPr="00950151">
        <w:rPr>
          <w:color w:val="000000"/>
          <w:sz w:val="24"/>
        </w:rPr>
        <w:t>).</w:t>
      </w:r>
    </w:p>
    <w:p w:rsidR="00E4568E" w:rsidRPr="00B40E4C" w:rsidP="00447043" w14:paraId="20A064D1" w14:textId="77777777">
      <w:pPr>
        <w:widowControl/>
        <w:autoSpaceDE/>
        <w:autoSpaceDN/>
        <w:adjustRightInd/>
        <w:ind w:left="360"/>
        <w:rPr>
          <w:rFonts w:ascii="Arial" w:hAnsi="Arial" w:cs="Arial"/>
          <w:color w:val="000000"/>
          <w:sz w:val="21"/>
          <w:szCs w:val="21"/>
        </w:rPr>
      </w:pPr>
    </w:p>
    <w:p w:rsidR="00EA27CF" w:rsidP="00447043" w14:paraId="675F102F" w14:textId="61682CF6">
      <w:pPr>
        <w:tabs>
          <w:tab w:val="left" w:pos="-1440"/>
          <w:tab w:val="left" w:pos="-720"/>
          <w:tab w:val="left" w:pos="0"/>
          <w:tab w:val="left" w:pos="720"/>
          <w:tab w:val="left" w:pos="1440"/>
          <w:tab w:val="left" w:pos="2160"/>
          <w:tab w:val="left" w:pos="2880"/>
          <w:tab w:val="left" w:pos="3600"/>
          <w:tab w:val="left" w:pos="4320"/>
          <w:tab w:val="left" w:pos="5040"/>
          <w:tab w:val="decimal" w:pos="5760"/>
        </w:tabs>
        <w:ind w:left="360"/>
        <w:rPr>
          <w:color w:val="000000"/>
          <w:sz w:val="24"/>
        </w:rPr>
      </w:pPr>
      <w:r w:rsidRPr="001D366B">
        <w:rPr>
          <w:b/>
          <w:color w:val="000000"/>
          <w:sz w:val="24"/>
        </w:rPr>
        <w:t xml:space="preserve">Estimate of </w:t>
      </w:r>
      <w:r w:rsidR="00806423">
        <w:rPr>
          <w:b/>
          <w:color w:val="000000"/>
          <w:sz w:val="24"/>
        </w:rPr>
        <w:t xml:space="preserve">Average </w:t>
      </w:r>
      <w:r w:rsidRPr="001D366B">
        <w:rPr>
          <w:b/>
          <w:color w:val="000000"/>
          <w:sz w:val="24"/>
        </w:rPr>
        <w:t xml:space="preserve">Annual Cost to </w:t>
      </w:r>
      <w:r w:rsidRPr="001D366B" w:rsidR="001D366B">
        <w:rPr>
          <w:b/>
          <w:color w:val="000000"/>
          <w:sz w:val="24"/>
        </w:rPr>
        <w:t>Federal Government:</w:t>
      </w:r>
      <w:r w:rsidR="001D366B">
        <w:rPr>
          <w:color w:val="000000"/>
          <w:sz w:val="24"/>
        </w:rPr>
        <w:t xml:space="preserve">  </w:t>
      </w:r>
      <w:r w:rsidRPr="005F5FF9">
        <w:rPr>
          <w:b/>
          <w:color w:val="000000"/>
          <w:sz w:val="24"/>
        </w:rPr>
        <w:t>$</w:t>
      </w:r>
      <w:r w:rsidR="00C52AE6">
        <w:rPr>
          <w:b/>
          <w:bCs/>
          <w:color w:val="000000"/>
          <w:sz w:val="24"/>
        </w:rPr>
        <w:t>4,758,268</w:t>
      </w:r>
      <w:r w:rsidR="001D366B">
        <w:rPr>
          <w:color w:val="000000"/>
          <w:sz w:val="24"/>
        </w:rPr>
        <w:t xml:space="preserve"> </w:t>
      </w:r>
      <w:r w:rsidR="00113377">
        <w:rPr>
          <w:color w:val="000000"/>
          <w:sz w:val="24"/>
        </w:rPr>
        <w:t>[</w:t>
      </w:r>
      <w:r w:rsidRPr="00867062" w:rsidR="00867062">
        <w:rPr>
          <w:color w:val="000000"/>
          <w:sz w:val="24"/>
        </w:rPr>
        <w:t>$</w:t>
      </w:r>
      <w:r w:rsidR="007E65CB">
        <w:rPr>
          <w:color w:val="000000"/>
          <w:sz w:val="24"/>
        </w:rPr>
        <w:t>1,145,840</w:t>
      </w:r>
      <w:r w:rsidRPr="00867062" w:rsidR="00867062">
        <w:rPr>
          <w:color w:val="000000"/>
          <w:sz w:val="24"/>
        </w:rPr>
        <w:t xml:space="preserve"> </w:t>
      </w:r>
      <w:r w:rsidR="009F523D">
        <w:rPr>
          <w:color w:val="000000"/>
          <w:sz w:val="24"/>
        </w:rPr>
        <w:t xml:space="preserve">+ </w:t>
      </w:r>
      <w:r w:rsidRPr="00867062" w:rsidR="009F523D">
        <w:rPr>
          <w:color w:val="000000"/>
          <w:sz w:val="24"/>
        </w:rPr>
        <w:t>$</w:t>
      </w:r>
      <w:r w:rsidR="007E65CB">
        <w:rPr>
          <w:color w:val="000000"/>
          <w:sz w:val="24"/>
        </w:rPr>
        <w:t>3,612,428</w:t>
      </w:r>
      <w:r w:rsidR="00867062">
        <w:rPr>
          <w:color w:val="000000"/>
          <w:sz w:val="24"/>
        </w:rPr>
        <w:t xml:space="preserve"> = </w:t>
      </w:r>
      <w:r w:rsidR="007E65CB">
        <w:rPr>
          <w:color w:val="000000"/>
          <w:sz w:val="24"/>
        </w:rPr>
        <w:t>4,758,268</w:t>
      </w:r>
      <w:r w:rsidR="001D366B">
        <w:rPr>
          <w:color w:val="000000"/>
          <w:sz w:val="24"/>
        </w:rPr>
        <w:t>].</w:t>
      </w:r>
    </w:p>
    <w:p w:rsidR="00E4568E" w:rsidP="00447043" w14:paraId="271ED025" w14:textId="77777777">
      <w:pPr>
        <w:tabs>
          <w:tab w:val="left" w:pos="-1440"/>
          <w:tab w:val="left" w:pos="-720"/>
          <w:tab w:val="left" w:pos="0"/>
          <w:tab w:val="left" w:pos="720"/>
          <w:tab w:val="left" w:pos="1440"/>
          <w:tab w:val="left" w:pos="2160"/>
          <w:tab w:val="left" w:pos="2880"/>
          <w:tab w:val="left" w:pos="3600"/>
          <w:tab w:val="left" w:pos="4320"/>
          <w:tab w:val="left" w:pos="5040"/>
          <w:tab w:val="decimal" w:pos="5760"/>
        </w:tabs>
        <w:ind w:left="360"/>
        <w:rPr>
          <w:color w:val="000000"/>
          <w:sz w:val="24"/>
        </w:rPr>
      </w:pPr>
    </w:p>
    <w:p w:rsidR="00AD1AD8" w:rsidRPr="00E4568E" w:rsidP="00E4568E" w14:paraId="2F13F6E7" w14:textId="6423D0B7">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ind w:left="360"/>
        <w:outlineLvl w:val="1"/>
        <w:rPr>
          <w:sz w:val="24"/>
        </w:rPr>
      </w:pPr>
      <w:r w:rsidRPr="00E4568E">
        <w:rPr>
          <w:b/>
          <w:bCs/>
          <w:sz w:val="24"/>
        </w:rPr>
        <w:t>EXPLANATION OF PROGRAM CHANGES OR ADJUSTMENTS</w:t>
      </w:r>
    </w:p>
    <w:p w:rsidR="00E4568E" w:rsidP="00E4568E" w14:paraId="4C91993C" w14:textId="77777777">
      <w:pPr>
        <w:pStyle w:val="BodyText2"/>
      </w:pPr>
    </w:p>
    <w:p w:rsidR="006864CE" w:rsidP="00447043" w14:paraId="7427FF4B" w14:textId="4C55881A">
      <w:pPr>
        <w:pStyle w:val="BodyText2"/>
        <w:tabs>
          <w:tab w:val="clear" w:pos="0"/>
        </w:tabs>
        <w:ind w:left="360"/>
      </w:pPr>
      <w:r>
        <w:t>T</w:t>
      </w:r>
      <w:r w:rsidR="00334EF4">
        <w:t xml:space="preserve">he </w:t>
      </w:r>
      <w:r w:rsidR="002E5E5E">
        <w:t xml:space="preserve">total annual number of </w:t>
      </w:r>
      <w:r w:rsidR="00334EF4">
        <w:t>responses</w:t>
      </w:r>
      <w:r w:rsidR="002E5E5E">
        <w:t xml:space="preserve"> </w:t>
      </w:r>
      <w:r>
        <w:t xml:space="preserve">for this ICR </w:t>
      </w:r>
      <w:r w:rsidR="00452240">
        <w:t xml:space="preserve">increased </w:t>
      </w:r>
      <w:r w:rsidR="002E5E5E">
        <w:t xml:space="preserve">by </w:t>
      </w:r>
      <w:r w:rsidRPr="003603C1" w:rsidR="003603C1">
        <w:t>252,564</w:t>
      </w:r>
      <w:r w:rsidR="003603C1">
        <w:t xml:space="preserve"> </w:t>
      </w:r>
      <w:r w:rsidR="00124ED4">
        <w:t xml:space="preserve">or </w:t>
      </w:r>
      <w:r w:rsidR="003603C1">
        <w:t>37</w:t>
      </w:r>
      <w:r w:rsidR="002E5E5E">
        <w:t xml:space="preserve">% from </w:t>
      </w:r>
      <w:r w:rsidR="00913EE7">
        <w:t>688,732</w:t>
      </w:r>
      <w:r w:rsidR="007617A2">
        <w:t xml:space="preserve"> to </w:t>
      </w:r>
      <w:r w:rsidR="00124ED4">
        <w:t xml:space="preserve">the proposed </w:t>
      </w:r>
      <w:r w:rsidRPr="00913EE7" w:rsidR="00913EE7">
        <w:t>941,296</w:t>
      </w:r>
      <w:r w:rsidR="007617A2">
        <w:t xml:space="preserve">. </w:t>
      </w:r>
      <w:r w:rsidR="00F670EA">
        <w:t xml:space="preserve">The total number of respondents increased by </w:t>
      </w:r>
      <w:r w:rsidRPr="007C656E" w:rsidR="007C656E">
        <w:t>156,353</w:t>
      </w:r>
      <w:r w:rsidR="007C656E">
        <w:t xml:space="preserve"> </w:t>
      </w:r>
      <w:r w:rsidR="00F670EA">
        <w:t xml:space="preserve">or </w:t>
      </w:r>
      <w:r w:rsidR="007C656E">
        <w:t>38</w:t>
      </w:r>
      <w:r w:rsidR="00F670EA">
        <w:t xml:space="preserve">% from </w:t>
      </w:r>
      <w:r w:rsidR="007C656E">
        <w:t>416,</w:t>
      </w:r>
      <w:r w:rsidR="00CF76B3">
        <w:t>630</w:t>
      </w:r>
      <w:r w:rsidR="00F670EA">
        <w:t xml:space="preserve"> to the proposed </w:t>
      </w:r>
      <w:r w:rsidRPr="00CF76B3" w:rsidR="00CF76B3">
        <w:t>572,983</w:t>
      </w:r>
      <w:r w:rsidR="00F670EA">
        <w:t>.</w:t>
      </w:r>
      <w:r w:rsidRPr="00465524" w:rsidR="00F670EA">
        <w:t xml:space="preserve"> </w:t>
      </w:r>
      <w:r w:rsidR="007617A2">
        <w:t xml:space="preserve">The total annual number of </w:t>
      </w:r>
      <w:r w:rsidR="00482748">
        <w:t xml:space="preserve">burden hours </w:t>
      </w:r>
      <w:r w:rsidR="0003196A">
        <w:t xml:space="preserve">increased </w:t>
      </w:r>
      <w:r w:rsidR="00124ED4">
        <w:t xml:space="preserve">by </w:t>
      </w:r>
      <w:r w:rsidRPr="00334ACF" w:rsidR="00334ACF">
        <w:t>44,097</w:t>
      </w:r>
      <w:r w:rsidR="00334ACF">
        <w:t xml:space="preserve"> </w:t>
      </w:r>
      <w:r w:rsidR="00124ED4">
        <w:t xml:space="preserve">or </w:t>
      </w:r>
      <w:r w:rsidR="00B43D22">
        <w:t>3</w:t>
      </w:r>
      <w:r w:rsidR="00334ACF">
        <w:t>8</w:t>
      </w:r>
      <w:r w:rsidR="00124ED4">
        <w:t xml:space="preserve">% from </w:t>
      </w:r>
      <w:r w:rsidR="00334ACF">
        <w:t>116,072</w:t>
      </w:r>
      <w:r w:rsidR="00482748">
        <w:t xml:space="preserve"> </w:t>
      </w:r>
      <w:r w:rsidR="00124ED4">
        <w:t xml:space="preserve">to the proposed </w:t>
      </w:r>
      <w:r w:rsidRPr="00845467" w:rsidR="00845467">
        <w:t>160,169</w:t>
      </w:r>
      <w:r w:rsidR="007A6466">
        <w:t>.</w:t>
      </w:r>
      <w:r w:rsidR="00482748">
        <w:t xml:space="preserve"> </w:t>
      </w:r>
      <w:r w:rsidR="00530D92">
        <w:t>The t</w:t>
      </w:r>
      <w:r w:rsidR="00B96D53">
        <w:t>otal</w:t>
      </w:r>
      <w:r w:rsidR="00364871">
        <w:t xml:space="preserve"> cost to respondents </w:t>
      </w:r>
      <w:r w:rsidR="00B43D22">
        <w:t xml:space="preserve">increased </w:t>
      </w:r>
      <w:r w:rsidR="00364871">
        <w:t>by</w:t>
      </w:r>
      <w:r w:rsidRPr="006864CE">
        <w:t xml:space="preserve"> </w:t>
      </w:r>
      <w:r w:rsidRPr="003228A4" w:rsidR="003228A4">
        <w:t>1,738,767</w:t>
      </w:r>
      <w:r w:rsidR="003228A4">
        <w:t xml:space="preserve"> </w:t>
      </w:r>
      <w:r>
        <w:t xml:space="preserve">million or </w:t>
      </w:r>
      <w:r w:rsidR="003228A4">
        <w:t>34</w:t>
      </w:r>
      <w:r w:rsidRPr="00465524">
        <w:t>%</w:t>
      </w:r>
      <w:r>
        <w:t xml:space="preserve"> from </w:t>
      </w:r>
      <w:r w:rsidRPr="006864CE">
        <w:t>$</w:t>
      </w:r>
      <w:r w:rsidR="003228A4">
        <w:t>5.1</w:t>
      </w:r>
      <w:r>
        <w:t xml:space="preserve"> million to the proposed</w:t>
      </w:r>
      <w:r w:rsidRPr="006864CE">
        <w:t xml:space="preserve"> $</w:t>
      </w:r>
      <w:r w:rsidR="003228A4">
        <w:t>6.8</w:t>
      </w:r>
      <w:r>
        <w:t xml:space="preserve"> million</w:t>
      </w:r>
      <w:r w:rsidRPr="00465524" w:rsidR="00B96D53">
        <w:t xml:space="preserve">. </w:t>
      </w:r>
      <w:r w:rsidRPr="00465524" w:rsidR="00E94BAA">
        <w:t>Th</w:t>
      </w:r>
      <w:r>
        <w:t xml:space="preserve">ese </w:t>
      </w:r>
      <w:r w:rsidR="00B43D22">
        <w:t>changes</w:t>
      </w:r>
      <w:r>
        <w:t xml:space="preserve"> were the result of </w:t>
      </w:r>
      <w:bookmarkStart w:id="7" w:name="_Hlk97042696"/>
      <w:r w:rsidR="00367921">
        <w:t xml:space="preserve">an increase in the number of </w:t>
      </w:r>
      <w:r w:rsidR="003B3F46">
        <w:t xml:space="preserve">new </w:t>
      </w:r>
      <w:r w:rsidR="00367921">
        <w:t>fil</w:t>
      </w:r>
      <w:r w:rsidR="003B3F46">
        <w:t>ings and biennial updates</w:t>
      </w:r>
      <w:r w:rsidR="00367921">
        <w:t xml:space="preserve"> for forms </w:t>
      </w:r>
      <w:r w:rsidR="003B3F46">
        <w:t>MCS-150, MCS-150B and MCS-150C from 2021 to 2023.</w:t>
      </w:r>
    </w:p>
    <w:p w:rsidR="00E4568E" w:rsidP="00447043" w14:paraId="4A348CEE" w14:textId="77777777">
      <w:pPr>
        <w:pStyle w:val="BodyText2"/>
        <w:tabs>
          <w:tab w:val="clear" w:pos="0"/>
        </w:tabs>
        <w:ind w:left="360"/>
      </w:pPr>
    </w:p>
    <w:bookmarkEnd w:id="7"/>
    <w:p w:rsidR="009B311D" w:rsidP="00447043" w14:paraId="710A21E6" w14:textId="08533A9F">
      <w:pPr>
        <w:pStyle w:val="BodyText2"/>
        <w:tabs>
          <w:tab w:val="clear" w:pos="0"/>
        </w:tabs>
        <w:ind w:left="360"/>
      </w:pPr>
      <w:r w:rsidRPr="00465524">
        <w:t xml:space="preserve">The cost of mail </w:t>
      </w:r>
      <w:r w:rsidR="001D4557">
        <w:t>increased</w:t>
      </w:r>
      <w:r w:rsidRPr="00465524" w:rsidR="001D4557">
        <w:t xml:space="preserve"> </w:t>
      </w:r>
      <w:r w:rsidRPr="00465524">
        <w:t xml:space="preserve">by </w:t>
      </w:r>
      <w:r w:rsidRPr="00465524" w:rsidR="007A6466">
        <w:t>1</w:t>
      </w:r>
      <w:r w:rsidRPr="00465524">
        <w:t xml:space="preserve">% from </w:t>
      </w:r>
      <w:r w:rsidRPr="00465524" w:rsidR="008B7155">
        <w:t>$</w:t>
      </w:r>
      <w:r w:rsidRPr="00465524" w:rsidR="007A6466">
        <w:rPr>
          <w:bCs/>
        </w:rPr>
        <w:t>224,682</w:t>
      </w:r>
      <w:r w:rsidRPr="00465524">
        <w:t xml:space="preserve"> to </w:t>
      </w:r>
      <w:r>
        <w:t xml:space="preserve">the proposed </w:t>
      </w:r>
      <w:r w:rsidRPr="00465524" w:rsidR="007A6466">
        <w:t>$</w:t>
      </w:r>
      <w:r w:rsidR="002F4440">
        <w:t>227</w:t>
      </w:r>
      <w:r w:rsidR="00E24C85">
        <w:t>,</w:t>
      </w:r>
      <w:r w:rsidR="002F4440">
        <w:t>917</w:t>
      </w:r>
      <w:r w:rsidR="001D4557">
        <w:t>,</w:t>
      </w:r>
      <w:r w:rsidRPr="00465524" w:rsidR="00182D51">
        <w:t xml:space="preserve"> which is </w:t>
      </w:r>
      <w:r w:rsidR="002F4440">
        <w:t xml:space="preserve">minimal change. It should be noted that for this iteration </w:t>
      </w:r>
      <w:r w:rsidR="00E24C85">
        <w:t xml:space="preserve">international shipping costs </w:t>
      </w:r>
      <w:r w:rsidR="002F4440">
        <w:t xml:space="preserve">were added </w:t>
      </w:r>
      <w:r w:rsidR="00E24C85">
        <w:t xml:space="preserve">to account for </w:t>
      </w:r>
      <w:r w:rsidR="001D4557">
        <w:t xml:space="preserve">the </w:t>
      </w:r>
      <w:r w:rsidR="00E24C85">
        <w:t>Mexico-domiciled carrier population</w:t>
      </w:r>
      <w:r w:rsidRPr="00465524" w:rsidR="00182D51">
        <w:t>.</w:t>
      </w:r>
      <w:r w:rsidRPr="00465524" w:rsidR="00364871">
        <w:t xml:space="preserve"> </w:t>
      </w:r>
      <w:r w:rsidR="00E24C85">
        <w:t>This change was added to be more precise</w:t>
      </w:r>
      <w:r w:rsidR="001D4557">
        <w:t xml:space="preserve"> in the estimates</w:t>
      </w:r>
      <w:r w:rsidR="00E24C85">
        <w:t>.</w:t>
      </w:r>
    </w:p>
    <w:p w:rsidR="00E4568E" w:rsidP="00447043" w14:paraId="228D01FC" w14:textId="77777777">
      <w:pPr>
        <w:pStyle w:val="BodyText2"/>
        <w:tabs>
          <w:tab w:val="clear" w:pos="0"/>
        </w:tabs>
        <w:ind w:left="360"/>
      </w:pPr>
    </w:p>
    <w:p w:rsidR="0051271F" w:rsidP="00447043" w14:paraId="3298BF84" w14:textId="28C7448F">
      <w:pPr>
        <w:pStyle w:val="BodyText2"/>
        <w:tabs>
          <w:tab w:val="clear" w:pos="0"/>
        </w:tabs>
        <w:ind w:left="360"/>
      </w:pPr>
      <w:r w:rsidRPr="00465524">
        <w:t xml:space="preserve">The cost </w:t>
      </w:r>
      <w:r w:rsidRPr="00465524" w:rsidR="00F1386C">
        <w:t>t</w:t>
      </w:r>
      <w:r w:rsidRPr="00465524">
        <w:t xml:space="preserve">o the </w:t>
      </w:r>
      <w:r w:rsidR="00530D92">
        <w:t>F</w:t>
      </w:r>
      <w:r w:rsidRPr="00465524">
        <w:t>ederal government increase</w:t>
      </w:r>
      <w:r w:rsidRPr="00465524" w:rsidR="00F1386C">
        <w:t xml:space="preserve">d </w:t>
      </w:r>
      <w:r w:rsidRPr="00465524">
        <w:t xml:space="preserve">by </w:t>
      </w:r>
      <w:r w:rsidR="00A4577B">
        <w:t>325</w:t>
      </w:r>
      <w:r w:rsidRPr="00465524">
        <w:t xml:space="preserve">% from </w:t>
      </w:r>
      <w:r w:rsidRPr="0003063F" w:rsidR="0003063F">
        <w:t>$1,120,165</w:t>
      </w:r>
      <w:r w:rsidR="0003063F">
        <w:t xml:space="preserve"> </w:t>
      </w:r>
      <w:r w:rsidRPr="00465524">
        <w:t xml:space="preserve">to </w:t>
      </w:r>
      <w:r w:rsidR="009B311D">
        <w:t xml:space="preserve">the proposed </w:t>
      </w:r>
      <w:r w:rsidRPr="0003063F" w:rsidR="0003063F">
        <w:t>$4,758,26</w:t>
      </w:r>
      <w:r w:rsidR="009D4BDD">
        <w:t>8</w:t>
      </w:r>
      <w:r w:rsidRPr="00465524" w:rsidR="00F50506">
        <w:t xml:space="preserve">. This change is </w:t>
      </w:r>
      <w:r w:rsidR="009D4BDD">
        <w:t>due to the increased filings in new and biennial updates for the forms covered under this ICR.</w:t>
      </w:r>
      <w:r w:rsidR="00F876A3">
        <w:t xml:space="preserve"> </w:t>
      </w:r>
      <w:r w:rsidRPr="008869EB" w:rsidR="008869EB">
        <w:fldChar w:fldCharType="begin"/>
      </w:r>
      <w:r w:rsidRPr="008869EB" w:rsidR="008869EB">
        <w:instrText xml:space="preserve"> REF _Ref83147387 \h  \* MERGEFORMAT </w:instrText>
      </w:r>
      <w:r w:rsidRPr="008869EB" w:rsidR="008869EB">
        <w:fldChar w:fldCharType="separate"/>
      </w:r>
      <w:r w:rsidRPr="00124ED4" w:rsidR="00124ED4">
        <w:rPr>
          <w:color w:val="auto"/>
        </w:rPr>
        <w:t xml:space="preserve">Table </w:t>
      </w:r>
      <w:r w:rsidRPr="008869EB" w:rsidR="008869EB">
        <w:fldChar w:fldCharType="end"/>
      </w:r>
      <w:r w:rsidR="00043F61">
        <w:t>9</w:t>
      </w:r>
      <w:r w:rsidR="008869EB">
        <w:t xml:space="preserve"> is provided as a summary </w:t>
      </w:r>
      <w:r w:rsidR="00465524">
        <w:t>of program changes and adjustments.</w:t>
      </w:r>
    </w:p>
    <w:p w:rsidR="00E4568E" w:rsidP="00447043" w14:paraId="33D1EACC" w14:textId="77777777">
      <w:pPr>
        <w:pStyle w:val="BodyText2"/>
        <w:tabs>
          <w:tab w:val="clear" w:pos="0"/>
        </w:tabs>
        <w:ind w:left="360"/>
      </w:pPr>
    </w:p>
    <w:p w:rsidR="00334EF4" w:rsidP="00E4568E" w14:paraId="71CC48F5" w14:textId="78908252">
      <w:pPr>
        <w:pStyle w:val="Caption"/>
        <w:keepNext/>
        <w:spacing w:after="0"/>
        <w:jc w:val="center"/>
        <w:rPr>
          <w:b/>
          <w:bCs/>
          <w:i w:val="0"/>
          <w:iCs w:val="0"/>
          <w:color w:val="auto"/>
          <w:sz w:val="24"/>
          <w:szCs w:val="24"/>
        </w:rPr>
      </w:pPr>
      <w:bookmarkStart w:id="8" w:name="_Ref83147387"/>
      <w:r w:rsidRPr="00834B8E">
        <w:rPr>
          <w:b/>
          <w:bCs/>
          <w:i w:val="0"/>
          <w:iCs w:val="0"/>
          <w:color w:val="auto"/>
          <w:sz w:val="24"/>
          <w:szCs w:val="24"/>
        </w:rPr>
        <w:t xml:space="preserve">Table </w:t>
      </w:r>
      <w:r w:rsidR="00043F61">
        <w:rPr>
          <w:b/>
          <w:bCs/>
          <w:i w:val="0"/>
          <w:iCs w:val="0"/>
          <w:color w:val="auto"/>
          <w:sz w:val="24"/>
          <w:szCs w:val="24"/>
        </w:rPr>
        <w:t>9</w:t>
      </w:r>
      <w:bookmarkEnd w:id="8"/>
      <w:r>
        <w:rPr>
          <w:b/>
          <w:bCs/>
          <w:i w:val="0"/>
          <w:iCs w:val="0"/>
          <w:color w:val="auto"/>
          <w:sz w:val="24"/>
          <w:szCs w:val="24"/>
        </w:rPr>
        <w:t xml:space="preserve"> Summary Table of Program Changes Total</w:t>
      </w:r>
    </w:p>
    <w:p w:rsidR="00E4568E" w:rsidRPr="00E4568E" w:rsidP="00E4568E" w14:paraId="27D3FE56" w14:textId="77777777">
      <w:pPr>
        <w:rPr>
          <w:sz w:val="24"/>
        </w:rPr>
      </w:pPr>
    </w:p>
    <w:tbl>
      <w:tblPr>
        <w:tblStyle w:val="TableGrid"/>
        <w:tblW w:w="9119" w:type="dxa"/>
        <w:tblInd w:w="355" w:type="dxa"/>
        <w:tblLook w:val="04A0"/>
      </w:tblPr>
      <w:tblGrid>
        <w:gridCol w:w="1539"/>
        <w:gridCol w:w="1895"/>
        <w:gridCol w:w="1895"/>
        <w:gridCol w:w="1895"/>
        <w:gridCol w:w="1895"/>
      </w:tblGrid>
      <w:tr w14:paraId="42AE9451" w14:textId="10E63B4E" w:rsidTr="00447043">
        <w:tblPrEx>
          <w:tblW w:w="9119" w:type="dxa"/>
          <w:tblInd w:w="355" w:type="dxa"/>
          <w:tblLook w:val="04A0"/>
        </w:tblPrEx>
        <w:trPr>
          <w:trHeight w:val="199"/>
        </w:trPr>
        <w:tc>
          <w:tcPr>
            <w:tcW w:w="1539" w:type="dxa"/>
            <w:shd w:val="clear" w:color="auto" w:fill="F2F2F2" w:themeFill="background1" w:themeFillShade="F2"/>
          </w:tcPr>
          <w:p w:rsidR="00A462FE" w:rsidRPr="003334FA" w:rsidP="00930583" w14:paraId="05FF0AD5" w14:textId="77777777">
            <w:pPr>
              <w:pStyle w:val="BodyText2"/>
              <w:jc w:val="center"/>
              <w:rPr>
                <w:sz w:val="20"/>
                <w:szCs w:val="20"/>
              </w:rPr>
            </w:pPr>
          </w:p>
        </w:tc>
        <w:tc>
          <w:tcPr>
            <w:tcW w:w="1895" w:type="dxa"/>
            <w:shd w:val="clear" w:color="auto" w:fill="F2F2F2" w:themeFill="background1" w:themeFillShade="F2"/>
          </w:tcPr>
          <w:p w:rsidR="00A462FE" w:rsidRPr="003334FA" w:rsidP="00930583" w14:paraId="244F3099" w14:textId="77777777">
            <w:pPr>
              <w:pStyle w:val="BodyText2"/>
              <w:jc w:val="center"/>
              <w:rPr>
                <w:sz w:val="20"/>
                <w:szCs w:val="20"/>
              </w:rPr>
            </w:pPr>
            <w:r>
              <w:rPr>
                <w:sz w:val="20"/>
                <w:szCs w:val="20"/>
              </w:rPr>
              <w:t xml:space="preserve">Approved </w:t>
            </w:r>
            <w:r w:rsidRPr="003334FA">
              <w:rPr>
                <w:sz w:val="20"/>
                <w:szCs w:val="20"/>
              </w:rPr>
              <w:t>ICR</w:t>
            </w:r>
          </w:p>
        </w:tc>
        <w:tc>
          <w:tcPr>
            <w:tcW w:w="1895" w:type="dxa"/>
            <w:shd w:val="clear" w:color="auto" w:fill="F2F2F2" w:themeFill="background1" w:themeFillShade="F2"/>
          </w:tcPr>
          <w:p w:rsidR="00A462FE" w:rsidRPr="003334FA" w:rsidP="00930583" w14:paraId="0D081F4C" w14:textId="77777777">
            <w:pPr>
              <w:pStyle w:val="BodyText2"/>
              <w:jc w:val="center"/>
              <w:rPr>
                <w:sz w:val="20"/>
                <w:szCs w:val="20"/>
              </w:rPr>
            </w:pPr>
            <w:r>
              <w:rPr>
                <w:sz w:val="20"/>
                <w:szCs w:val="20"/>
              </w:rPr>
              <w:t>Proposed</w:t>
            </w:r>
            <w:r w:rsidRPr="003334FA">
              <w:rPr>
                <w:sz w:val="20"/>
                <w:szCs w:val="20"/>
              </w:rPr>
              <w:t xml:space="preserve"> ICR</w:t>
            </w:r>
          </w:p>
        </w:tc>
        <w:tc>
          <w:tcPr>
            <w:tcW w:w="1895" w:type="dxa"/>
            <w:shd w:val="clear" w:color="auto" w:fill="F2F2F2" w:themeFill="background1" w:themeFillShade="F2"/>
          </w:tcPr>
          <w:p w:rsidR="00A462FE" w:rsidRPr="003334FA" w:rsidP="00930583" w14:paraId="0BA5658D" w14:textId="77777777">
            <w:pPr>
              <w:pStyle w:val="BodyText2"/>
              <w:jc w:val="center"/>
              <w:rPr>
                <w:sz w:val="20"/>
                <w:szCs w:val="20"/>
              </w:rPr>
            </w:pPr>
            <w:r w:rsidRPr="003334FA">
              <w:rPr>
                <w:sz w:val="20"/>
                <w:szCs w:val="20"/>
              </w:rPr>
              <w:t>Change</w:t>
            </w:r>
          </w:p>
        </w:tc>
        <w:tc>
          <w:tcPr>
            <w:tcW w:w="1895" w:type="dxa"/>
            <w:shd w:val="clear" w:color="auto" w:fill="F2F2F2" w:themeFill="background1" w:themeFillShade="F2"/>
          </w:tcPr>
          <w:p w:rsidR="00A462FE" w:rsidRPr="003334FA" w:rsidP="00930583" w14:paraId="6B7DC9BE" w14:textId="244A185E">
            <w:pPr>
              <w:pStyle w:val="BodyText2"/>
              <w:jc w:val="center"/>
              <w:rPr>
                <w:sz w:val="20"/>
                <w:szCs w:val="20"/>
              </w:rPr>
            </w:pPr>
            <w:r>
              <w:rPr>
                <w:sz w:val="20"/>
                <w:szCs w:val="20"/>
              </w:rPr>
              <w:t>Percent Change</w:t>
            </w:r>
          </w:p>
        </w:tc>
      </w:tr>
      <w:tr w14:paraId="00CD5566" w14:textId="2EB5D100" w:rsidTr="00447043">
        <w:tblPrEx>
          <w:tblW w:w="9119" w:type="dxa"/>
          <w:tblInd w:w="355" w:type="dxa"/>
          <w:tblLook w:val="04A0"/>
        </w:tblPrEx>
        <w:trPr>
          <w:trHeight w:val="199"/>
        </w:trPr>
        <w:tc>
          <w:tcPr>
            <w:tcW w:w="1539" w:type="dxa"/>
          </w:tcPr>
          <w:p w:rsidR="00B25287" w:rsidRPr="003334FA" w:rsidP="00B25287" w14:paraId="3E7CBD38" w14:textId="134D0590">
            <w:pPr>
              <w:pStyle w:val="BodyText2"/>
              <w:jc w:val="center"/>
              <w:rPr>
                <w:sz w:val="20"/>
                <w:szCs w:val="20"/>
              </w:rPr>
            </w:pPr>
            <w:r>
              <w:rPr>
                <w:sz w:val="20"/>
                <w:szCs w:val="20"/>
              </w:rPr>
              <w:t xml:space="preserve">Total </w:t>
            </w:r>
            <w:r w:rsidRPr="003334FA">
              <w:rPr>
                <w:sz w:val="20"/>
                <w:szCs w:val="20"/>
              </w:rPr>
              <w:t>Responses</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5273E65C" w14:textId="39EC59CA">
            <w:pPr>
              <w:pStyle w:val="BodyText2"/>
              <w:jc w:val="center"/>
              <w:rPr>
                <w:bCs/>
                <w:sz w:val="20"/>
                <w:szCs w:val="20"/>
              </w:rPr>
            </w:pPr>
            <w:r>
              <w:rPr>
                <w:sz w:val="20"/>
                <w:szCs w:val="20"/>
              </w:rPr>
              <w:t>688,732</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359292B" w14:textId="39D83632">
            <w:pPr>
              <w:pStyle w:val="BodyText2"/>
              <w:jc w:val="center"/>
              <w:rPr>
                <w:bCs/>
                <w:sz w:val="20"/>
                <w:szCs w:val="20"/>
              </w:rPr>
            </w:pPr>
            <w:r>
              <w:rPr>
                <w:sz w:val="20"/>
                <w:szCs w:val="20"/>
              </w:rPr>
              <w:t>941,296</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E8D36FA" w14:textId="515EF12B">
            <w:pPr>
              <w:pStyle w:val="BodyText2"/>
              <w:jc w:val="center"/>
              <w:rPr>
                <w:bCs/>
                <w:sz w:val="20"/>
                <w:szCs w:val="20"/>
              </w:rPr>
            </w:pPr>
            <w:r>
              <w:rPr>
                <w:sz w:val="20"/>
                <w:szCs w:val="20"/>
              </w:rPr>
              <w:t>252,564</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101FB8C1" w14:textId="382F6275">
            <w:pPr>
              <w:pStyle w:val="BodyText2"/>
              <w:jc w:val="center"/>
              <w:rPr>
                <w:bCs/>
                <w:sz w:val="20"/>
                <w:szCs w:val="20"/>
              </w:rPr>
            </w:pPr>
            <w:r>
              <w:rPr>
                <w:sz w:val="20"/>
                <w:szCs w:val="20"/>
              </w:rPr>
              <w:t>37%</w:t>
            </w:r>
          </w:p>
        </w:tc>
      </w:tr>
      <w:tr w14:paraId="563DBE77" w14:textId="054E2FAF" w:rsidTr="00447043">
        <w:tblPrEx>
          <w:tblW w:w="9119" w:type="dxa"/>
          <w:tblInd w:w="355" w:type="dxa"/>
          <w:tblLook w:val="04A0"/>
        </w:tblPrEx>
        <w:trPr>
          <w:trHeight w:val="199"/>
        </w:trPr>
        <w:tc>
          <w:tcPr>
            <w:tcW w:w="1539" w:type="dxa"/>
          </w:tcPr>
          <w:p w:rsidR="00B25287" w:rsidRPr="003334FA" w:rsidP="00B25287" w14:paraId="6051E70B" w14:textId="1A54DAF7">
            <w:pPr>
              <w:pStyle w:val="BodyText2"/>
              <w:jc w:val="center"/>
              <w:rPr>
                <w:sz w:val="20"/>
                <w:szCs w:val="20"/>
              </w:rPr>
            </w:pPr>
            <w:r>
              <w:rPr>
                <w:sz w:val="20"/>
                <w:szCs w:val="20"/>
              </w:rPr>
              <w:t xml:space="preserve">Total </w:t>
            </w:r>
            <w:r w:rsidRPr="003334FA">
              <w:rPr>
                <w:sz w:val="20"/>
                <w:szCs w:val="20"/>
              </w:rPr>
              <w:t>Respondents</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1198BA8" w14:textId="4247863A">
            <w:pPr>
              <w:pStyle w:val="BodyText2"/>
              <w:jc w:val="center"/>
              <w:rPr>
                <w:bCs/>
                <w:sz w:val="20"/>
                <w:szCs w:val="20"/>
              </w:rPr>
            </w:pPr>
            <w:r>
              <w:rPr>
                <w:sz w:val="20"/>
                <w:szCs w:val="20"/>
              </w:rPr>
              <w:t>416,630</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0C0F783D" w14:textId="61CD3A43">
            <w:pPr>
              <w:pStyle w:val="BodyText2"/>
              <w:jc w:val="center"/>
              <w:rPr>
                <w:bCs/>
                <w:sz w:val="20"/>
                <w:szCs w:val="20"/>
              </w:rPr>
            </w:pPr>
            <w:r>
              <w:rPr>
                <w:sz w:val="20"/>
                <w:szCs w:val="20"/>
              </w:rPr>
              <w:t>572,983</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8846538" w14:textId="5B351CEC">
            <w:pPr>
              <w:pStyle w:val="BodyText2"/>
              <w:jc w:val="center"/>
              <w:rPr>
                <w:bCs/>
                <w:sz w:val="20"/>
                <w:szCs w:val="20"/>
              </w:rPr>
            </w:pPr>
            <w:r>
              <w:rPr>
                <w:sz w:val="20"/>
                <w:szCs w:val="20"/>
              </w:rPr>
              <w:t>156,353</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2387FBDB" w14:textId="3C400F7F">
            <w:pPr>
              <w:pStyle w:val="BodyText2"/>
              <w:jc w:val="center"/>
              <w:rPr>
                <w:bCs/>
                <w:sz w:val="20"/>
                <w:szCs w:val="20"/>
              </w:rPr>
            </w:pPr>
            <w:r>
              <w:rPr>
                <w:sz w:val="20"/>
                <w:szCs w:val="20"/>
              </w:rPr>
              <w:t>38%</w:t>
            </w:r>
          </w:p>
        </w:tc>
      </w:tr>
      <w:tr w14:paraId="2164A400" w14:textId="35E4D880" w:rsidTr="00447043">
        <w:tblPrEx>
          <w:tblW w:w="9119" w:type="dxa"/>
          <w:tblInd w:w="355" w:type="dxa"/>
          <w:tblLook w:val="04A0"/>
        </w:tblPrEx>
        <w:trPr>
          <w:trHeight w:val="199"/>
        </w:trPr>
        <w:tc>
          <w:tcPr>
            <w:tcW w:w="1539" w:type="dxa"/>
          </w:tcPr>
          <w:p w:rsidR="00B25287" w:rsidRPr="003334FA" w:rsidP="00B25287" w14:paraId="19C0BC1E" w14:textId="23C8FDC7">
            <w:pPr>
              <w:pStyle w:val="BodyText2"/>
              <w:jc w:val="center"/>
              <w:rPr>
                <w:sz w:val="20"/>
                <w:szCs w:val="20"/>
              </w:rPr>
            </w:pPr>
            <w:r>
              <w:rPr>
                <w:sz w:val="20"/>
                <w:szCs w:val="20"/>
              </w:rPr>
              <w:t xml:space="preserve">Total Annual Burden </w:t>
            </w:r>
            <w:r w:rsidRPr="003334FA">
              <w:rPr>
                <w:sz w:val="20"/>
                <w:szCs w:val="20"/>
              </w:rPr>
              <w:t>Hours</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11FD790F" w14:textId="708A1918">
            <w:pPr>
              <w:pStyle w:val="BodyText2"/>
              <w:jc w:val="center"/>
              <w:rPr>
                <w:bCs/>
                <w:sz w:val="20"/>
                <w:szCs w:val="20"/>
              </w:rPr>
            </w:pPr>
            <w:r>
              <w:rPr>
                <w:sz w:val="20"/>
                <w:szCs w:val="20"/>
              </w:rPr>
              <w:t>116,072</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419E3BB" w14:textId="6D94F69A">
            <w:pPr>
              <w:pStyle w:val="BodyText2"/>
              <w:jc w:val="center"/>
              <w:rPr>
                <w:bCs/>
                <w:sz w:val="20"/>
                <w:szCs w:val="20"/>
              </w:rPr>
            </w:pPr>
            <w:r>
              <w:rPr>
                <w:sz w:val="20"/>
                <w:szCs w:val="20"/>
              </w:rPr>
              <w:t>160,169</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30424803" w14:textId="3A22F4FE">
            <w:pPr>
              <w:pStyle w:val="BodyText2"/>
              <w:jc w:val="center"/>
              <w:rPr>
                <w:bCs/>
                <w:sz w:val="20"/>
                <w:szCs w:val="20"/>
              </w:rPr>
            </w:pPr>
            <w:r>
              <w:rPr>
                <w:sz w:val="20"/>
                <w:szCs w:val="20"/>
              </w:rPr>
              <w:t>44,097</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275277A6" w14:textId="7BCE1859">
            <w:pPr>
              <w:pStyle w:val="BodyText2"/>
              <w:jc w:val="center"/>
              <w:rPr>
                <w:bCs/>
                <w:sz w:val="20"/>
                <w:szCs w:val="20"/>
              </w:rPr>
            </w:pPr>
            <w:r>
              <w:rPr>
                <w:sz w:val="20"/>
                <w:szCs w:val="20"/>
              </w:rPr>
              <w:t>38%</w:t>
            </w:r>
          </w:p>
        </w:tc>
      </w:tr>
      <w:tr w14:paraId="0F7B668B" w14:textId="6C2E5DC7" w:rsidTr="00447043">
        <w:tblPrEx>
          <w:tblW w:w="9119" w:type="dxa"/>
          <w:tblInd w:w="355" w:type="dxa"/>
          <w:tblLook w:val="04A0"/>
        </w:tblPrEx>
        <w:trPr>
          <w:trHeight w:val="199"/>
        </w:trPr>
        <w:tc>
          <w:tcPr>
            <w:tcW w:w="1539" w:type="dxa"/>
          </w:tcPr>
          <w:p w:rsidR="00B25287" w:rsidRPr="003334FA" w:rsidP="00B25287" w14:paraId="2219B477" w14:textId="073B0913">
            <w:pPr>
              <w:pStyle w:val="BodyText2"/>
              <w:jc w:val="center"/>
              <w:rPr>
                <w:sz w:val="20"/>
                <w:szCs w:val="20"/>
              </w:rPr>
            </w:pPr>
            <w:r>
              <w:rPr>
                <w:sz w:val="20"/>
                <w:szCs w:val="20"/>
              </w:rPr>
              <w:t>Cost to Respondents</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F2D0057" w14:textId="4E45EF0E">
            <w:pPr>
              <w:pStyle w:val="BodyText2"/>
              <w:jc w:val="center"/>
              <w:rPr>
                <w:bCs/>
                <w:sz w:val="20"/>
                <w:szCs w:val="20"/>
              </w:rPr>
            </w:pPr>
            <w:r>
              <w:rPr>
                <w:sz w:val="20"/>
                <w:szCs w:val="20"/>
              </w:rPr>
              <w:t xml:space="preserve">$5,139,668 </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0C72D70C" w14:textId="4E6C1A92">
            <w:pPr>
              <w:pStyle w:val="BodyText2"/>
              <w:jc w:val="center"/>
              <w:rPr>
                <w:bCs/>
                <w:sz w:val="20"/>
                <w:szCs w:val="20"/>
              </w:rPr>
            </w:pPr>
            <w:r>
              <w:rPr>
                <w:sz w:val="20"/>
                <w:szCs w:val="20"/>
              </w:rPr>
              <w:t xml:space="preserve">$6,878,435 </w:t>
            </w:r>
          </w:p>
        </w:tc>
        <w:tc>
          <w:tcPr>
            <w:tcW w:w="1895" w:type="dxa"/>
            <w:tcBorders>
              <w:top w:val="nil"/>
              <w:left w:val="nil"/>
              <w:bottom w:val="single" w:sz="8" w:space="0" w:color="auto"/>
              <w:right w:val="single" w:sz="8" w:space="0" w:color="auto"/>
            </w:tcBorders>
            <w:shd w:val="clear" w:color="auto" w:fill="auto"/>
            <w:vAlign w:val="center"/>
          </w:tcPr>
          <w:p w:rsidR="00B25287" w:rsidRPr="007A6466" w:rsidP="00B25287" w14:paraId="2CB0A374" w14:textId="24D8D148">
            <w:pPr>
              <w:pStyle w:val="BodyText2"/>
              <w:jc w:val="center"/>
              <w:rPr>
                <w:bCs/>
                <w:color w:val="auto"/>
                <w:sz w:val="20"/>
                <w:szCs w:val="20"/>
              </w:rPr>
            </w:pPr>
            <w:r>
              <w:rPr>
                <w:sz w:val="20"/>
                <w:szCs w:val="20"/>
              </w:rPr>
              <w:t>1,738,767</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49D07FEC" w14:textId="715D6B91">
            <w:pPr>
              <w:pStyle w:val="BodyText2"/>
              <w:jc w:val="center"/>
              <w:rPr>
                <w:bCs/>
                <w:sz w:val="20"/>
                <w:szCs w:val="20"/>
              </w:rPr>
            </w:pPr>
            <w:r>
              <w:rPr>
                <w:sz w:val="20"/>
                <w:szCs w:val="20"/>
              </w:rPr>
              <w:t>34%</w:t>
            </w:r>
          </w:p>
        </w:tc>
      </w:tr>
      <w:tr w14:paraId="6D47B396" w14:textId="0EFB9C5B" w:rsidTr="00447043">
        <w:tblPrEx>
          <w:tblW w:w="9119" w:type="dxa"/>
          <w:tblInd w:w="355" w:type="dxa"/>
          <w:tblLook w:val="04A0"/>
        </w:tblPrEx>
        <w:trPr>
          <w:trHeight w:val="199"/>
        </w:trPr>
        <w:tc>
          <w:tcPr>
            <w:tcW w:w="1539" w:type="dxa"/>
          </w:tcPr>
          <w:p w:rsidR="00B25287" w:rsidP="00B25287" w14:paraId="56245278" w14:textId="36AAD47E">
            <w:pPr>
              <w:pStyle w:val="BodyText2"/>
              <w:jc w:val="center"/>
              <w:rPr>
                <w:sz w:val="20"/>
                <w:szCs w:val="20"/>
              </w:rPr>
            </w:pPr>
            <w:r>
              <w:rPr>
                <w:sz w:val="20"/>
                <w:szCs w:val="20"/>
              </w:rPr>
              <w:t>Mail Cost</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4A7C9A90" w14:textId="514C440C">
            <w:pPr>
              <w:pStyle w:val="BodyText2"/>
              <w:jc w:val="center"/>
              <w:rPr>
                <w:bCs/>
                <w:sz w:val="20"/>
                <w:szCs w:val="20"/>
              </w:rPr>
            </w:pPr>
            <w:r>
              <w:rPr>
                <w:sz w:val="20"/>
                <w:szCs w:val="20"/>
              </w:rPr>
              <w:t xml:space="preserve">$227,917 </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29425F67" w14:textId="7CCFC139">
            <w:pPr>
              <w:pStyle w:val="BodyText2"/>
              <w:jc w:val="center"/>
              <w:rPr>
                <w:bCs/>
                <w:sz w:val="20"/>
                <w:szCs w:val="20"/>
              </w:rPr>
            </w:pPr>
            <w:r>
              <w:rPr>
                <w:sz w:val="20"/>
                <w:szCs w:val="20"/>
              </w:rPr>
              <w:t xml:space="preserve">$1,145,840 </w:t>
            </w:r>
          </w:p>
        </w:tc>
        <w:tc>
          <w:tcPr>
            <w:tcW w:w="1895" w:type="dxa"/>
            <w:tcBorders>
              <w:top w:val="nil"/>
              <w:left w:val="nil"/>
              <w:bottom w:val="single" w:sz="8" w:space="0" w:color="auto"/>
              <w:right w:val="single" w:sz="8" w:space="0" w:color="auto"/>
            </w:tcBorders>
            <w:shd w:val="clear" w:color="auto" w:fill="auto"/>
            <w:vAlign w:val="center"/>
          </w:tcPr>
          <w:p w:rsidR="00B25287" w:rsidRPr="007A6466" w:rsidP="00B25287" w14:paraId="7252CB21" w14:textId="55E62B8E">
            <w:pPr>
              <w:pStyle w:val="BodyText2"/>
              <w:jc w:val="center"/>
              <w:rPr>
                <w:bCs/>
                <w:color w:val="auto"/>
                <w:sz w:val="20"/>
                <w:szCs w:val="20"/>
              </w:rPr>
            </w:pPr>
            <w:r>
              <w:rPr>
                <w:sz w:val="20"/>
                <w:szCs w:val="20"/>
              </w:rPr>
              <w:t>917,923</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65AA12CB" w14:textId="504EC8CB">
            <w:pPr>
              <w:pStyle w:val="BodyText2"/>
              <w:jc w:val="center"/>
              <w:rPr>
                <w:bCs/>
                <w:sz w:val="20"/>
                <w:szCs w:val="20"/>
              </w:rPr>
            </w:pPr>
            <w:r>
              <w:rPr>
                <w:sz w:val="20"/>
                <w:szCs w:val="20"/>
              </w:rPr>
              <w:t>403%</w:t>
            </w:r>
          </w:p>
        </w:tc>
      </w:tr>
      <w:tr w14:paraId="4E4127F4" w14:textId="73154C46" w:rsidTr="00447043">
        <w:tblPrEx>
          <w:tblW w:w="9119" w:type="dxa"/>
          <w:tblInd w:w="355" w:type="dxa"/>
          <w:tblLook w:val="04A0"/>
        </w:tblPrEx>
        <w:trPr>
          <w:trHeight w:val="199"/>
        </w:trPr>
        <w:tc>
          <w:tcPr>
            <w:tcW w:w="1539" w:type="dxa"/>
          </w:tcPr>
          <w:p w:rsidR="00B25287" w:rsidRPr="003334FA" w:rsidP="00B25287" w14:paraId="4432FB07" w14:textId="3FD765B3">
            <w:pPr>
              <w:pStyle w:val="BodyText2"/>
              <w:jc w:val="center"/>
              <w:rPr>
                <w:sz w:val="20"/>
                <w:szCs w:val="20"/>
              </w:rPr>
            </w:pPr>
            <w:r>
              <w:rPr>
                <w:sz w:val="20"/>
                <w:szCs w:val="20"/>
              </w:rPr>
              <w:t>Cost to Federal Government</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72D50425" w14:textId="13CBBEE5">
            <w:pPr>
              <w:pStyle w:val="BodyText2"/>
              <w:jc w:val="center"/>
              <w:rPr>
                <w:bCs/>
                <w:sz w:val="20"/>
                <w:szCs w:val="20"/>
              </w:rPr>
            </w:pPr>
            <w:r>
              <w:rPr>
                <w:sz w:val="20"/>
                <w:szCs w:val="20"/>
              </w:rPr>
              <w:t xml:space="preserve">$1,120,165 </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710D0004" w14:textId="5B485367">
            <w:pPr>
              <w:pStyle w:val="BodyText2"/>
              <w:jc w:val="center"/>
              <w:rPr>
                <w:bCs/>
                <w:sz w:val="20"/>
                <w:szCs w:val="20"/>
              </w:rPr>
            </w:pPr>
            <w:r>
              <w:rPr>
                <w:sz w:val="20"/>
                <w:szCs w:val="20"/>
              </w:rPr>
              <w:t xml:space="preserve">$4,758,268 </w:t>
            </w:r>
          </w:p>
        </w:tc>
        <w:tc>
          <w:tcPr>
            <w:tcW w:w="1895" w:type="dxa"/>
            <w:tcBorders>
              <w:top w:val="nil"/>
              <w:left w:val="nil"/>
              <w:bottom w:val="single" w:sz="8" w:space="0" w:color="auto"/>
              <w:right w:val="single" w:sz="8" w:space="0" w:color="auto"/>
            </w:tcBorders>
            <w:shd w:val="clear" w:color="auto" w:fill="auto"/>
            <w:vAlign w:val="center"/>
          </w:tcPr>
          <w:p w:rsidR="00B25287" w:rsidRPr="003334FA" w:rsidP="00B25287" w14:paraId="1AC68DF8" w14:textId="0C8E40B4">
            <w:pPr>
              <w:pStyle w:val="BodyText2"/>
              <w:jc w:val="center"/>
              <w:rPr>
                <w:bCs/>
                <w:sz w:val="20"/>
                <w:szCs w:val="20"/>
              </w:rPr>
            </w:pPr>
            <w:r>
              <w:rPr>
                <w:sz w:val="20"/>
                <w:szCs w:val="20"/>
              </w:rPr>
              <w:t>3,638,103</w:t>
            </w:r>
          </w:p>
        </w:tc>
        <w:tc>
          <w:tcPr>
            <w:tcW w:w="1895" w:type="dxa"/>
            <w:tcBorders>
              <w:top w:val="nil"/>
              <w:left w:val="nil"/>
              <w:bottom w:val="single" w:sz="8" w:space="0" w:color="auto"/>
              <w:right w:val="single" w:sz="8" w:space="0" w:color="auto"/>
            </w:tcBorders>
            <w:shd w:val="clear" w:color="auto" w:fill="auto"/>
            <w:vAlign w:val="center"/>
          </w:tcPr>
          <w:p w:rsidR="00B25287" w:rsidP="00B25287" w14:paraId="131C0E9F" w14:textId="257461B3">
            <w:pPr>
              <w:pStyle w:val="BodyText2"/>
              <w:jc w:val="center"/>
              <w:rPr>
                <w:bCs/>
                <w:sz w:val="20"/>
                <w:szCs w:val="20"/>
              </w:rPr>
            </w:pPr>
            <w:r>
              <w:rPr>
                <w:sz w:val="20"/>
                <w:szCs w:val="20"/>
              </w:rPr>
              <w:t>325%</w:t>
            </w:r>
          </w:p>
        </w:tc>
      </w:tr>
    </w:tbl>
    <w:p w:rsidR="001630BC" w:rsidRPr="001630BC" w:rsidP="00E4568E" w14:paraId="50A9C4E3" w14:textId="77777777">
      <w:pPr>
        <w:tabs>
          <w:tab w:val="left" w:pos="-1440"/>
          <w:tab w:val="left" w:pos="-720"/>
          <w:tab w:val="left" w:pos="0"/>
          <w:tab w:val="left" w:pos="1440"/>
          <w:tab w:val="left" w:pos="2160"/>
          <w:tab w:val="left" w:pos="2880"/>
          <w:tab w:val="left" w:pos="3600"/>
          <w:tab w:val="left" w:pos="4320"/>
          <w:tab w:val="left" w:pos="5040"/>
          <w:tab w:val="decimal" w:pos="5760"/>
        </w:tabs>
        <w:outlineLvl w:val="1"/>
        <w:rPr>
          <w:sz w:val="24"/>
        </w:rPr>
      </w:pPr>
    </w:p>
    <w:p w:rsidR="00AD1AD8" w:rsidRPr="00E4568E" w:rsidP="00E4568E" w14:paraId="7CF29C29" w14:textId="17D691D1">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ind w:left="360"/>
        <w:outlineLvl w:val="1"/>
        <w:rPr>
          <w:sz w:val="24"/>
        </w:rPr>
      </w:pPr>
      <w:r w:rsidRPr="00E4568E">
        <w:rPr>
          <w:b/>
          <w:bCs/>
          <w:sz w:val="24"/>
        </w:rPr>
        <w:t>PUBLICATION OF RESULTS OF DATA COLLECTION</w:t>
      </w:r>
    </w:p>
    <w:p w:rsidR="00F876A3" w:rsidP="00E4568E" w14:paraId="69501762" w14:textId="77777777">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447043" w:rsidP="00823A5F" w14:paraId="75A83B25" w14:textId="2F6ECD8A">
      <w:pPr>
        <w:tabs>
          <w:tab w:val="left" w:pos="-1440"/>
          <w:tab w:val="left" w:pos="-720"/>
          <w:tab w:val="left" w:pos="720"/>
          <w:tab w:val="left" w:pos="1440"/>
          <w:tab w:val="left" w:pos="2160"/>
          <w:tab w:val="left" w:pos="2880"/>
          <w:tab w:val="left" w:pos="3600"/>
          <w:tab w:val="left" w:pos="4320"/>
          <w:tab w:val="left" w:pos="5040"/>
          <w:tab w:val="decimal" w:pos="5760"/>
        </w:tabs>
        <w:ind w:left="360"/>
        <w:rPr>
          <w:sz w:val="24"/>
        </w:rPr>
      </w:pPr>
      <w:r>
        <w:rPr>
          <w:sz w:val="24"/>
        </w:rPr>
        <w:t>Registration data for this information collection is publicly available.</w:t>
      </w:r>
    </w:p>
    <w:p w:rsidR="004C5197" w:rsidP="00823A5F" w14:paraId="3FB13582" w14:textId="77777777">
      <w:pPr>
        <w:tabs>
          <w:tab w:val="left" w:pos="-1440"/>
          <w:tab w:val="left" w:pos="-720"/>
          <w:tab w:val="left" w:pos="720"/>
          <w:tab w:val="left" w:pos="1440"/>
          <w:tab w:val="left" w:pos="2160"/>
          <w:tab w:val="left" w:pos="2880"/>
          <w:tab w:val="left" w:pos="3600"/>
          <w:tab w:val="left" w:pos="4320"/>
          <w:tab w:val="left" w:pos="5040"/>
          <w:tab w:val="decimal" w:pos="5760"/>
        </w:tabs>
        <w:ind w:left="360"/>
        <w:rPr>
          <w:sz w:val="24"/>
        </w:rPr>
      </w:pPr>
    </w:p>
    <w:p w:rsidR="004C5197" w:rsidP="00823A5F" w14:paraId="23623F57" w14:textId="77777777">
      <w:pPr>
        <w:tabs>
          <w:tab w:val="left" w:pos="-1440"/>
          <w:tab w:val="left" w:pos="-720"/>
          <w:tab w:val="left" w:pos="720"/>
          <w:tab w:val="left" w:pos="1440"/>
          <w:tab w:val="left" w:pos="2160"/>
          <w:tab w:val="left" w:pos="2880"/>
          <w:tab w:val="left" w:pos="3600"/>
          <w:tab w:val="left" w:pos="4320"/>
          <w:tab w:val="left" w:pos="5040"/>
          <w:tab w:val="decimal" w:pos="5760"/>
        </w:tabs>
        <w:ind w:left="360"/>
        <w:rPr>
          <w:sz w:val="24"/>
        </w:rPr>
      </w:pPr>
    </w:p>
    <w:p w:rsidR="004C5197" w:rsidP="00823A5F" w14:paraId="1C39FC76" w14:textId="77777777">
      <w:pPr>
        <w:tabs>
          <w:tab w:val="left" w:pos="-1440"/>
          <w:tab w:val="left" w:pos="-720"/>
          <w:tab w:val="left" w:pos="720"/>
          <w:tab w:val="left" w:pos="1440"/>
          <w:tab w:val="left" w:pos="2160"/>
          <w:tab w:val="left" w:pos="2880"/>
          <w:tab w:val="left" w:pos="3600"/>
          <w:tab w:val="left" w:pos="4320"/>
          <w:tab w:val="left" w:pos="5040"/>
          <w:tab w:val="decimal" w:pos="5760"/>
        </w:tabs>
        <w:ind w:left="360"/>
        <w:rPr>
          <w:sz w:val="24"/>
        </w:rPr>
      </w:pPr>
    </w:p>
    <w:p w:rsidR="00447043" w:rsidP="00E4568E" w14:paraId="4985B092" w14:textId="77777777">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Pr="00F876A3" w:rsidP="00447043" w14:paraId="5BDD6D72" w14:textId="59EA2A46">
      <w:pPr>
        <w:pStyle w:val="ListParagraph"/>
        <w:numPr>
          <w:ilvl w:val="0"/>
          <w:numId w:val="10"/>
        </w:numPr>
        <w:tabs>
          <w:tab w:val="left" w:pos="-1440"/>
          <w:tab w:val="left" w:pos="-720"/>
          <w:tab w:val="left" w:pos="1440"/>
          <w:tab w:val="left" w:pos="2160"/>
          <w:tab w:val="left" w:pos="2880"/>
          <w:tab w:val="left" w:pos="3600"/>
          <w:tab w:val="left" w:pos="4320"/>
          <w:tab w:val="left" w:pos="5040"/>
          <w:tab w:val="decimal" w:pos="5760"/>
        </w:tabs>
        <w:ind w:left="360"/>
        <w:outlineLvl w:val="1"/>
        <w:rPr>
          <w:sz w:val="24"/>
        </w:rPr>
      </w:pPr>
      <w:r w:rsidRPr="00F876A3">
        <w:rPr>
          <w:b/>
          <w:bCs/>
          <w:sz w:val="24"/>
        </w:rPr>
        <w:t>APPROVAL FOR NOT DISPLAYING THE EXPIRATION DATE FOR OMB APPROVAL</w:t>
      </w:r>
    </w:p>
    <w:p w:rsidR="00F876A3" w:rsidP="00E4568E" w14:paraId="3B72458E" w14:textId="77777777">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F876A3" w:rsidP="00447043" w14:paraId="29DC69F6" w14:textId="77777777">
      <w:pPr>
        <w:tabs>
          <w:tab w:val="left" w:pos="-1440"/>
          <w:tab w:val="left" w:pos="-720"/>
          <w:tab w:val="left" w:pos="720"/>
          <w:tab w:val="left" w:pos="1440"/>
          <w:tab w:val="left" w:pos="2160"/>
          <w:tab w:val="left" w:pos="2880"/>
          <w:tab w:val="left" w:pos="3600"/>
          <w:tab w:val="left" w:pos="4320"/>
          <w:tab w:val="left" w:pos="5040"/>
          <w:tab w:val="decimal" w:pos="5760"/>
        </w:tabs>
        <w:ind w:left="360"/>
        <w:rPr>
          <w:sz w:val="24"/>
        </w:rPr>
      </w:pPr>
      <w:r w:rsidRPr="005F5FF9">
        <w:rPr>
          <w:sz w:val="24"/>
        </w:rPr>
        <w:t xml:space="preserve">FMCSA is </w:t>
      </w:r>
      <w:r w:rsidRPr="00404C6E">
        <w:rPr>
          <w:sz w:val="24"/>
        </w:rPr>
        <w:t>not</w:t>
      </w:r>
      <w:r w:rsidRPr="005F5FF9">
        <w:rPr>
          <w:sz w:val="24"/>
        </w:rPr>
        <w:t xml:space="preserve"> seeking an exemption from displaying the expiration date.</w:t>
      </w:r>
    </w:p>
    <w:p w:rsidR="00AD1AD8" w:rsidRPr="005F5FF9" w:rsidP="00E4568E" w14:paraId="572DCFF8" w14:textId="07D9BA31">
      <w:pPr>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Pr="00F876A3" w:rsidP="00E4568E" w14:paraId="2080EA83" w14:textId="46C8A9A4">
      <w:pPr>
        <w:pStyle w:val="ListParagraph"/>
        <w:numPr>
          <w:ilvl w:val="0"/>
          <w:numId w:val="10"/>
        </w:numPr>
        <w:tabs>
          <w:tab w:val="left" w:pos="-1440"/>
          <w:tab w:val="left" w:pos="-720"/>
          <w:tab w:val="left" w:pos="0"/>
          <w:tab w:val="left" w:pos="1440"/>
          <w:tab w:val="left" w:pos="2160"/>
          <w:tab w:val="left" w:pos="2880"/>
          <w:tab w:val="left" w:pos="3600"/>
          <w:tab w:val="left" w:pos="4320"/>
          <w:tab w:val="left" w:pos="5040"/>
          <w:tab w:val="decimal" w:pos="5760"/>
        </w:tabs>
        <w:ind w:left="360"/>
        <w:outlineLvl w:val="1"/>
        <w:rPr>
          <w:sz w:val="24"/>
        </w:rPr>
      </w:pPr>
      <w:r w:rsidRPr="00F876A3">
        <w:rPr>
          <w:b/>
          <w:bCs/>
          <w:sz w:val="24"/>
        </w:rPr>
        <w:t>EXCEPTION TO CERTIFICATION STATEMENT</w:t>
      </w:r>
    </w:p>
    <w:p w:rsidR="00F876A3" w:rsidP="00E4568E" w14:paraId="4E976BCF" w14:textId="77777777">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p>
    <w:p w:rsidR="00AD1AD8" w:rsidP="00447043" w14:paraId="0E9348BE" w14:textId="059C29DB">
      <w:pPr>
        <w:pStyle w:val="BodyText"/>
        <w:tabs>
          <w:tab w:val="left" w:pos="-1440"/>
          <w:tab w:val="left" w:pos="-720"/>
          <w:tab w:val="left" w:pos="720"/>
          <w:tab w:val="left" w:pos="1440"/>
          <w:tab w:val="left" w:pos="2160"/>
          <w:tab w:val="left" w:pos="2880"/>
          <w:tab w:val="left" w:pos="3600"/>
          <w:tab w:val="left" w:pos="4320"/>
          <w:tab w:val="left" w:pos="5040"/>
          <w:tab w:val="decimal" w:pos="5760"/>
        </w:tabs>
        <w:ind w:left="360"/>
      </w:pPr>
      <w:r>
        <w:t>None.</w:t>
      </w:r>
    </w:p>
    <w:p w:rsidR="00F876A3" w:rsidP="00E4568E" w14:paraId="3526EAB7" w14:textId="77777777">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p>
    <w:p w:rsidR="00243236" w:rsidP="00E4568E" w14:paraId="3163B494" w14:textId="77777777">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p>
    <w:p w:rsidR="00447043" w:rsidRPr="005F5FF9" w:rsidP="00E4568E" w14:paraId="5A987CFD" w14:textId="77777777">
      <w:pPr>
        <w:pStyle w:val="BodyText"/>
        <w:tabs>
          <w:tab w:val="left" w:pos="-1440"/>
          <w:tab w:val="left" w:pos="-720"/>
          <w:tab w:val="left" w:pos="0"/>
          <w:tab w:val="left" w:pos="720"/>
          <w:tab w:val="left" w:pos="1440"/>
          <w:tab w:val="left" w:pos="2160"/>
          <w:tab w:val="left" w:pos="2880"/>
          <w:tab w:val="left" w:pos="3600"/>
          <w:tab w:val="left" w:pos="4320"/>
          <w:tab w:val="left" w:pos="5040"/>
          <w:tab w:val="decimal" w:pos="5760"/>
        </w:tabs>
      </w:pPr>
    </w:p>
    <w:p w:rsidR="00823E90" w:rsidP="00E4568E" w14:paraId="411F81E0" w14:textId="59FFAD72">
      <w:pPr>
        <w:tabs>
          <w:tab w:val="center" w:pos="4680"/>
          <w:tab w:val="left" w:pos="5040"/>
          <w:tab w:val="decimal" w:pos="5760"/>
        </w:tabs>
        <w:rPr>
          <w:b/>
          <w:color w:val="000000"/>
          <w:sz w:val="24"/>
        </w:rPr>
      </w:pPr>
      <w:r w:rsidRPr="00DA7944">
        <w:rPr>
          <w:b/>
          <w:color w:val="000000"/>
          <w:sz w:val="24"/>
        </w:rPr>
        <w:t>ATTACHMENTS</w:t>
      </w:r>
    </w:p>
    <w:p w:rsidR="00F876A3" w:rsidRPr="00DA7944" w:rsidP="00E4568E" w14:paraId="03622207" w14:textId="77777777">
      <w:pPr>
        <w:tabs>
          <w:tab w:val="center" w:pos="4680"/>
          <w:tab w:val="left" w:pos="5040"/>
          <w:tab w:val="decimal" w:pos="5760"/>
        </w:tabs>
        <w:rPr>
          <w:b/>
          <w:color w:val="000000"/>
          <w:sz w:val="24"/>
        </w:rPr>
      </w:pPr>
    </w:p>
    <w:p w:rsidR="007F12B8" w:rsidRPr="00F876A3" w:rsidP="00F876A3" w14:paraId="565A5F48" w14:textId="66C006C3">
      <w:pPr>
        <w:pStyle w:val="ListParagraph"/>
        <w:numPr>
          <w:ilvl w:val="0"/>
          <w:numId w:val="13"/>
        </w:numPr>
        <w:tabs>
          <w:tab w:val="center" w:pos="4680"/>
          <w:tab w:val="left" w:pos="5040"/>
          <w:tab w:val="decimal" w:pos="5760"/>
        </w:tabs>
        <w:rPr>
          <w:rFonts w:cs="Arial"/>
          <w:sz w:val="24"/>
        </w:rPr>
      </w:pPr>
      <w:r w:rsidRPr="00F876A3">
        <w:rPr>
          <w:rFonts w:cs="Arial"/>
          <w:sz w:val="24"/>
        </w:rPr>
        <w:t xml:space="preserve">49 CFR </w:t>
      </w:r>
      <w:r w:rsidRPr="00F876A3">
        <w:rPr>
          <w:sz w:val="24"/>
        </w:rPr>
        <w:t>§</w:t>
      </w:r>
      <w:r w:rsidRPr="00F876A3">
        <w:rPr>
          <w:rFonts w:cs="Arial"/>
          <w:sz w:val="24"/>
        </w:rPr>
        <w:t xml:space="preserve"> 390.19</w:t>
      </w:r>
    </w:p>
    <w:p w:rsidR="008F7980" w:rsidRPr="00F876A3" w:rsidP="00F876A3" w14:paraId="25353867" w14:textId="6FD044B9">
      <w:pPr>
        <w:pStyle w:val="ListParagraph"/>
        <w:numPr>
          <w:ilvl w:val="0"/>
          <w:numId w:val="13"/>
        </w:numPr>
        <w:tabs>
          <w:tab w:val="center" w:pos="4680"/>
          <w:tab w:val="left" w:pos="5040"/>
          <w:tab w:val="decimal" w:pos="5760"/>
        </w:tabs>
        <w:rPr>
          <w:sz w:val="24"/>
        </w:rPr>
      </w:pPr>
      <w:r w:rsidRPr="00F876A3">
        <w:rPr>
          <w:color w:val="000000"/>
          <w:sz w:val="24"/>
        </w:rPr>
        <w:t>F</w:t>
      </w:r>
      <w:r w:rsidRPr="00F876A3">
        <w:rPr>
          <w:sz w:val="24"/>
        </w:rPr>
        <w:t>inal rule entitled “Requirements for Intermodal Equipment Providers and for Motor Carriers and Drivers Operating Intermodal Equipment” (73 FR 76794)</w:t>
      </w:r>
    </w:p>
    <w:p w:rsidR="008F7980" w:rsidRPr="00F876A3" w:rsidP="00F876A3" w14:paraId="6E65C8E4" w14:textId="324AE206">
      <w:pPr>
        <w:pStyle w:val="ListParagraph"/>
        <w:numPr>
          <w:ilvl w:val="0"/>
          <w:numId w:val="13"/>
        </w:numPr>
        <w:tabs>
          <w:tab w:val="center" w:pos="4680"/>
          <w:tab w:val="left" w:pos="5040"/>
          <w:tab w:val="decimal" w:pos="5760"/>
        </w:tabs>
        <w:rPr>
          <w:sz w:val="24"/>
        </w:rPr>
      </w:pPr>
      <w:r w:rsidRPr="006F261E">
        <w:rPr>
          <w:sz w:val="24"/>
        </w:rPr>
        <w:t xml:space="preserve">Government Paperwork Elimination </w:t>
      </w:r>
      <w:r w:rsidRPr="006F261E">
        <w:rPr>
          <w:color w:val="000000"/>
          <w:sz w:val="24"/>
        </w:rPr>
        <w:t>Act</w:t>
      </w:r>
      <w:r>
        <w:rPr>
          <w:color w:val="000000"/>
          <w:sz w:val="24"/>
        </w:rPr>
        <w:t xml:space="preserve"> (GPEA)</w:t>
      </w:r>
      <w:r w:rsidRPr="006F261E">
        <w:rPr>
          <w:color w:val="000000"/>
          <w:sz w:val="24"/>
        </w:rPr>
        <w:t>, Pub</w:t>
      </w:r>
      <w:r>
        <w:rPr>
          <w:color w:val="000000"/>
          <w:sz w:val="24"/>
        </w:rPr>
        <w:t>lic Law</w:t>
      </w:r>
      <w:r w:rsidRPr="006F261E">
        <w:rPr>
          <w:color w:val="000000"/>
          <w:sz w:val="24"/>
        </w:rPr>
        <w:t xml:space="preserve"> 105-277</w:t>
      </w:r>
      <w:r>
        <w:rPr>
          <w:color w:val="000000"/>
          <w:sz w:val="24"/>
        </w:rPr>
        <w:t xml:space="preserve"> (October 21, 1988)</w:t>
      </w:r>
    </w:p>
    <w:p w:rsidR="00447043" w:rsidRPr="00447043" w:rsidP="00F876A3" w14:paraId="1FA6B08A" w14:textId="16D98B7C">
      <w:pPr>
        <w:pStyle w:val="ListParagraph"/>
        <w:numPr>
          <w:ilvl w:val="0"/>
          <w:numId w:val="13"/>
        </w:numPr>
        <w:tabs>
          <w:tab w:val="center" w:pos="4680"/>
          <w:tab w:val="left" w:pos="5040"/>
          <w:tab w:val="decimal" w:pos="5760"/>
        </w:tabs>
        <w:rPr>
          <w:color w:val="000000"/>
          <w:sz w:val="24"/>
        </w:rPr>
      </w:pPr>
      <w:r>
        <w:rPr>
          <w:sz w:val="24"/>
        </w:rPr>
        <w:t xml:space="preserve">60-day Federal Register notice </w:t>
      </w:r>
      <w:r w:rsidRPr="05A6BEF6">
        <w:rPr>
          <w:sz w:val="24"/>
        </w:rPr>
        <w:t>(</w:t>
      </w:r>
      <w:r>
        <w:rPr>
          <w:sz w:val="24"/>
        </w:rPr>
        <w:t>90</w:t>
      </w:r>
      <w:r w:rsidRPr="0058620E">
        <w:rPr>
          <w:sz w:val="24"/>
        </w:rPr>
        <w:t xml:space="preserve"> FR </w:t>
      </w:r>
      <w:r>
        <w:rPr>
          <w:sz w:val="24"/>
        </w:rPr>
        <w:t>25742</w:t>
      </w:r>
      <w:r w:rsidRPr="05A6BEF6">
        <w:rPr>
          <w:sz w:val="24"/>
        </w:rPr>
        <w:t>)</w:t>
      </w:r>
      <w:r>
        <w:rPr>
          <w:sz w:val="24"/>
        </w:rPr>
        <w:t>, published on June 17, 2025.</w:t>
      </w:r>
    </w:p>
    <w:p w:rsidR="00E92682" w:rsidRPr="00F876A3" w:rsidP="00F876A3" w14:paraId="03110F18" w14:textId="502E6A09">
      <w:pPr>
        <w:pStyle w:val="ListParagraph"/>
        <w:numPr>
          <w:ilvl w:val="0"/>
          <w:numId w:val="13"/>
        </w:numPr>
        <w:tabs>
          <w:tab w:val="center" w:pos="4680"/>
          <w:tab w:val="left" w:pos="5040"/>
          <w:tab w:val="decimal" w:pos="5760"/>
        </w:tabs>
        <w:rPr>
          <w:color w:val="000000"/>
          <w:sz w:val="24"/>
        </w:rPr>
      </w:pPr>
      <w:r w:rsidRPr="00F876A3">
        <w:rPr>
          <w:sz w:val="24"/>
        </w:rPr>
        <w:t>Freedom of Information Act (FOIA), 5 U.S.C. § 552 as amended</w:t>
      </w:r>
    </w:p>
    <w:sectPr w:rsidSect="00CE3ADF">
      <w:footerReference w:type="default" r:id="rId10"/>
      <w:headerReference w:type="first" r:id="rId11"/>
      <w:footerReference w:type="first" r:id="rId12"/>
      <w:endnotePr>
        <w:numFmt w:val="decimal"/>
      </w:endnotePr>
      <w:pgSz w:w="12240" w:h="15840"/>
      <w:pgMar w:top="1440" w:right="1440" w:bottom="1440" w:left="1440" w:header="1008"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876" w14:paraId="432C13A7" w14:textId="77777777">
    <w:pPr>
      <w:spacing w:line="240" w:lineRule="exact"/>
    </w:pPr>
  </w:p>
  <w:p w:rsidR="00804876" w14:paraId="0CFAC410" w14:textId="3A09BD4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2</w:t>
    </w:r>
    <w:r>
      <w:rPr>
        <w:sz w:val="24"/>
      </w:rPr>
      <w:fldChar w:fldCharType="end"/>
    </w:r>
  </w:p>
  <w:p w:rsidR="00804876" w14:paraId="0B405DDA" w14:textId="77777777">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588539"/>
      <w:docPartObj>
        <w:docPartGallery w:val="Page Numbers (Bottom of Page)"/>
        <w:docPartUnique/>
      </w:docPartObj>
    </w:sdtPr>
    <w:sdtEndPr>
      <w:rPr>
        <w:noProof/>
      </w:rPr>
    </w:sdtEndPr>
    <w:sdtContent>
      <w:p w:rsidR="00804876" w14:paraId="26061ABD" w14:textId="715547D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04876" w14:paraId="533C7C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0578" w14:paraId="0F863C74" w14:textId="77777777">
      <w:r>
        <w:separator/>
      </w:r>
    </w:p>
  </w:footnote>
  <w:footnote w:type="continuationSeparator" w:id="1">
    <w:p w:rsidR="00280578" w14:paraId="7B5FB660" w14:textId="77777777">
      <w:r>
        <w:continuationSeparator/>
      </w:r>
    </w:p>
  </w:footnote>
  <w:footnote w:type="continuationNotice" w:id="2">
    <w:p w:rsidR="00280578" w14:paraId="57B9DCAE" w14:textId="77777777"/>
  </w:footnote>
  <w:footnote w:id="3">
    <w:p w:rsidR="00804876" w:rsidRPr="00A11E8A" w:rsidP="006F5EF4" w14:paraId="4ABD6FCA" w14:textId="38BD6815">
      <w:pPr>
        <w:widowControl/>
        <w:shd w:val="clear" w:color="auto" w:fill="FFFFFF"/>
        <w:autoSpaceDE/>
        <w:autoSpaceDN/>
        <w:adjustRightInd/>
        <w:rPr>
          <w:color w:val="000000"/>
          <w:szCs w:val="20"/>
        </w:rPr>
      </w:pPr>
      <w:r w:rsidRPr="00A11E8A">
        <w:rPr>
          <w:rStyle w:val="FootnoteReference"/>
          <w:vertAlign w:val="superscript"/>
        </w:rPr>
        <w:footnoteRef/>
      </w:r>
      <w:r>
        <w:t xml:space="preserve"> </w:t>
      </w:r>
      <w:r w:rsidRPr="00A11E8A">
        <w:rPr>
          <w:color w:val="000000"/>
          <w:szCs w:val="20"/>
        </w:rPr>
        <w:t>Federal Register:</w:t>
      </w:r>
      <w:hyperlink r:id="rId1" w:history="1">
        <w:r w:rsidRPr="00A11E8A">
          <w:rPr>
            <w:rStyle w:val="Hyperlink"/>
            <w:color w:val="0066CC"/>
            <w:szCs w:val="20"/>
          </w:rPr>
          <w:t>20</w:t>
        </w:r>
        <w:r w:rsidR="00EB6B82">
          <w:rPr>
            <w:rStyle w:val="Hyperlink"/>
            <w:color w:val="0066CC"/>
            <w:szCs w:val="20"/>
          </w:rPr>
          <w:t>23</w:t>
        </w:r>
        <w:r w:rsidRPr="00A11E8A">
          <w:rPr>
            <w:rStyle w:val="Hyperlink"/>
            <w:color w:val="0066CC"/>
            <w:szCs w:val="20"/>
          </w:rPr>
          <w:t>-</w:t>
        </w:r>
        <w:r w:rsidR="00EB6B82">
          <w:rPr>
            <w:rStyle w:val="Hyperlink"/>
            <w:color w:val="0066CC"/>
            <w:szCs w:val="20"/>
          </w:rPr>
          <w:t>05585</w:t>
        </w:r>
      </w:hyperlink>
      <w:r>
        <w:rPr>
          <w:color w:val="000000"/>
          <w:szCs w:val="20"/>
        </w:rPr>
        <w:t>, D</w:t>
      </w:r>
      <w:r w:rsidRPr="00A11E8A">
        <w:rPr>
          <w:color w:val="000000"/>
          <w:szCs w:val="20"/>
        </w:rPr>
        <w:t>ocket Number:</w:t>
      </w:r>
      <w:hyperlink r:id="rId2" w:tgtFrame="_blank" w:history="1">
        <w:r w:rsidRPr="00A11E8A">
          <w:rPr>
            <w:rStyle w:val="Hyperlink"/>
            <w:color w:val="0066CC"/>
            <w:szCs w:val="20"/>
          </w:rPr>
          <w:t>FMCSA-20</w:t>
        </w:r>
        <w:r w:rsidR="00EB6B82">
          <w:rPr>
            <w:rStyle w:val="Hyperlink"/>
            <w:color w:val="0066CC"/>
            <w:szCs w:val="20"/>
          </w:rPr>
          <w:t>22</w:t>
        </w:r>
        <w:r w:rsidRPr="00A11E8A">
          <w:rPr>
            <w:rStyle w:val="Hyperlink"/>
            <w:color w:val="0066CC"/>
            <w:szCs w:val="20"/>
          </w:rPr>
          <w:t>-02</w:t>
        </w:r>
        <w:r w:rsidR="00EB6B82">
          <w:rPr>
            <w:rStyle w:val="Hyperlink"/>
            <w:color w:val="0066CC"/>
            <w:szCs w:val="20"/>
          </w:rPr>
          <w:t>23</w:t>
        </w:r>
      </w:hyperlink>
      <w:r>
        <w:rPr>
          <w:color w:val="000000"/>
          <w:szCs w:val="20"/>
        </w:rPr>
        <w:t xml:space="preserve">, </w:t>
      </w:r>
      <w:r w:rsidRPr="006F5EF4">
        <w:rPr>
          <w:color w:val="000000"/>
          <w:szCs w:val="20"/>
        </w:rPr>
        <w:t>Published Date:</w:t>
      </w:r>
      <w:r w:rsidR="00EB6B82">
        <w:rPr>
          <w:color w:val="000000"/>
          <w:szCs w:val="20"/>
        </w:rPr>
        <w:t>03</w:t>
      </w:r>
      <w:r w:rsidRPr="006F5EF4">
        <w:rPr>
          <w:color w:val="000000"/>
          <w:szCs w:val="20"/>
        </w:rPr>
        <w:t>/2</w:t>
      </w:r>
      <w:r w:rsidR="00EB6B82">
        <w:rPr>
          <w:color w:val="000000"/>
          <w:szCs w:val="20"/>
        </w:rPr>
        <w:t>0</w:t>
      </w:r>
      <w:r w:rsidRPr="006F5EF4">
        <w:rPr>
          <w:color w:val="000000"/>
          <w:szCs w:val="20"/>
        </w:rPr>
        <w:t>/20</w:t>
      </w:r>
      <w:r w:rsidR="00EB6B82">
        <w:rPr>
          <w:color w:val="000000"/>
          <w:szCs w:val="20"/>
        </w:rPr>
        <w:t>23</w:t>
      </w:r>
      <w:r>
        <w:rPr>
          <w:color w:val="000000"/>
          <w:szCs w:val="20"/>
        </w:rPr>
        <w:t>.</w:t>
      </w:r>
    </w:p>
    <w:p w:rsidR="00804876" w:rsidRPr="00A11E8A" w:rsidP="006F5EF4" w14:paraId="6076779D" w14:textId="77777777">
      <w:pPr>
        <w:pStyle w:val="FootnoteText"/>
      </w:pPr>
    </w:p>
  </w:footnote>
  <w:footnote w:id="4">
    <w:p w:rsidR="00804876" w:rsidP="004E7093" w14:paraId="5011ABBD" w14:textId="63C92EB4">
      <w:pPr>
        <w:pStyle w:val="FootnoteText"/>
      </w:pPr>
      <w:r w:rsidRPr="00EE6567">
        <w:rPr>
          <w:rStyle w:val="FootnoteReference"/>
          <w:vertAlign w:val="superscript"/>
        </w:rPr>
        <w:footnoteRef/>
      </w:r>
      <w:r w:rsidRPr="00EE6567">
        <w:rPr>
          <w:rStyle w:val="FootnoteReference"/>
          <w:vertAlign w:val="superscript"/>
        </w:rPr>
        <w:t xml:space="preserve"> </w:t>
      </w:r>
      <w:r>
        <w:t xml:space="preserve">See U. S. Small Business Administration Table “Small Business Size Standards Matched to North American Industry Classification System Codes,” see NAICS code 484121 “General Freight Trucking, Long-Distance, Truckload” , NAICS code 485510 “Charter Bus Industry” and NAICs code 485999 “All Other Transit and Ground Passenger Transportation” available at </w:t>
      </w:r>
      <w:hyperlink r:id="rId3" w:history="1">
        <w:r w:rsidRPr="008A2986">
          <w:rPr>
            <w:rStyle w:val="Hyperlink"/>
          </w:rPr>
          <w:t>https://www.sba.gov/sites/default/files/2019-08/SBA%20Table%20of%20Size%20Standards_Effective%20Aug%2019%2C%202019_Rev.pdf</w:t>
        </w:r>
      </w:hyperlink>
      <w:r>
        <w:t xml:space="preserve"> </w:t>
      </w:r>
    </w:p>
    <w:p w:rsidR="00804876" w:rsidP="004E7093" w14:paraId="50F646B4" w14:textId="16086E74">
      <w:pPr>
        <w:pStyle w:val="FootnoteText"/>
      </w:pPr>
      <w:r>
        <w:t>accessed on November 10, 2021.</w:t>
      </w:r>
      <w:r w:rsidRPr="001E2746">
        <w:t xml:space="preserve"> </w:t>
      </w:r>
    </w:p>
  </w:footnote>
  <w:footnote w:id="5">
    <w:p w:rsidR="00804876" w:rsidP="00FD15CC" w14:paraId="263F08A8" w14:textId="77777777">
      <w:pPr>
        <w:pStyle w:val="FootnoteText"/>
      </w:pPr>
      <w:r w:rsidRPr="00FD15CC">
        <w:rPr>
          <w:rStyle w:val="FootnoteReference"/>
          <w:vertAlign w:val="superscript"/>
        </w:rPr>
        <w:footnoteRef/>
      </w:r>
      <w:r>
        <w:t xml:space="preserve"> See Table 7 – “Estimates of Numbers of Small Entities” in the final rule “Electronic Logging Devices and Hours of Service Supporting Documents” (80 FR 78292; December 16, 2015).</w:t>
      </w:r>
    </w:p>
  </w:footnote>
  <w:footnote w:id="6">
    <w:p w:rsidR="00804876" w:rsidP="00113377" w14:paraId="5B3BC9DB" w14:textId="0A83581E">
      <w:pPr>
        <w:pStyle w:val="FootnoteText"/>
      </w:pPr>
      <w:r w:rsidRPr="00C93965">
        <w:rPr>
          <w:rStyle w:val="FootnoteReference"/>
          <w:vertAlign w:val="superscript"/>
        </w:rPr>
        <w:footnoteRef/>
      </w:r>
      <w:r w:rsidRPr="00FE333A">
        <w:t>Bureau of Labor Statistics. Occupational Employment and Wages, May 20</w:t>
      </w:r>
      <w:r>
        <w:t>2</w:t>
      </w:r>
      <w:r w:rsidR="00692A1D">
        <w:t>3</w:t>
      </w:r>
      <w:r w:rsidRPr="00FE333A">
        <w:t>, NAICS 484</w:t>
      </w:r>
      <w:r>
        <w:t>0</w:t>
      </w:r>
      <w:r w:rsidRPr="00FE333A">
        <w:t xml:space="preserve">00 </w:t>
      </w:r>
      <w:r>
        <w:t>–</w:t>
      </w:r>
      <w:r w:rsidRPr="00FE333A">
        <w:t xml:space="preserve"> </w:t>
      </w:r>
      <w:r>
        <w:t>Truck Transportation</w:t>
      </w:r>
      <w:r w:rsidRPr="00FE333A">
        <w:t>.</w:t>
      </w:r>
      <w:r>
        <w:t xml:space="preserve"> Available at </w:t>
      </w:r>
      <w:hyperlink r:id="rId4" w:history="1">
        <w:r w:rsidRPr="00074E2E">
          <w:rPr>
            <w:rStyle w:val="Hyperlink"/>
          </w:rPr>
          <w:t>https://www.bls.gov/OES/CURRENT/naics3_484000.htm</w:t>
        </w:r>
      </w:hyperlink>
      <w:r>
        <w:t xml:space="preserve">  </w:t>
      </w:r>
      <w:r w:rsidRPr="00C96CC2">
        <w:t xml:space="preserve">See Occupation code 13-1000, Business Operations Specialists </w:t>
      </w:r>
      <w:r>
        <w:t>(a</w:t>
      </w:r>
      <w:r w:rsidRPr="00FE333A">
        <w:t xml:space="preserve">ccessed </w:t>
      </w:r>
      <w:r w:rsidR="00692A1D">
        <w:t>December 22, 2024</w:t>
      </w:r>
      <w:r>
        <w:t>)</w:t>
      </w:r>
      <w:r w:rsidRPr="00FE333A">
        <w:t>.</w:t>
      </w:r>
    </w:p>
  </w:footnote>
  <w:footnote w:id="7">
    <w:p w:rsidR="00804876" w:rsidP="00113377" w14:paraId="1FBBB293" w14:textId="06774488">
      <w:pPr>
        <w:pStyle w:val="FootnoteText"/>
      </w:pPr>
      <w:r>
        <w:rPr>
          <w:vertAlign w:val="superscript"/>
        </w:rPr>
        <w:footnoteRef/>
      </w:r>
      <w:r>
        <w:t xml:space="preserve">Bureau of Labor Statistics. “Table </w:t>
      </w:r>
      <w:r w:rsidR="000427AF">
        <w:t>4</w:t>
      </w:r>
      <w:r>
        <w:t xml:space="preserve">. Employer costs </w:t>
      </w:r>
      <w:r w:rsidR="0090202E">
        <w:t>for Employee Compensation for private industry workers by occupational and industry group</w:t>
      </w:r>
      <w:r>
        <w:t xml:space="preserve">.” Available at </w:t>
      </w:r>
      <w:hyperlink r:id="rId5" w:history="1">
        <w:r w:rsidRPr="000427AF" w:rsidR="000427AF">
          <w:rPr>
            <w:color w:val="0000FF"/>
            <w:szCs w:val="24"/>
            <w:u w:val="single"/>
          </w:rPr>
          <w:t>Employer Costs for Employee Compensation - September 2024</w:t>
        </w:r>
      </w:hyperlink>
      <w:r>
        <w:t xml:space="preserve">. (accessed </w:t>
      </w:r>
      <w:r w:rsidR="0090202E">
        <w:t>December 22, 2024</w:t>
      </w:r>
      <w:r>
        <w:t>).</w:t>
      </w:r>
    </w:p>
  </w:footnote>
  <w:footnote w:id="8">
    <w:p w:rsidR="00804876" w:rsidP="00DA7DD5" w14:paraId="792D78A1" w14:textId="232BE230">
      <w:pPr>
        <w:pStyle w:val="FootnoteText"/>
      </w:pPr>
      <w:r w:rsidRPr="00190156">
        <w:rPr>
          <w:rStyle w:val="FootnoteReference"/>
          <w:vertAlign w:val="superscript"/>
        </w:rPr>
        <w:footnoteRef/>
      </w:r>
      <w:r>
        <w:t xml:space="preserve"> For International and domestic pricing of postage see </w:t>
      </w:r>
      <w:hyperlink r:id="rId6" w:history="1">
        <w:r w:rsidRPr="004C5BC3">
          <w:rPr>
            <w:rStyle w:val="Hyperlink"/>
          </w:rPr>
          <w:t>www.usps.com</w:t>
        </w:r>
      </w:hyperlink>
      <w:r>
        <w:t>. Note cost of mail is from Mexico to U.S., however, FMCSA could not attain Mexico postage costs and thus USPS international rates were used. This may overestimate or underestimate the cost of mail for Mexico-domiciled carriers. Cost of envelopes were based on the unit average cost of #10 envelopes, 500 unit box from Sta</w:t>
      </w:r>
      <w:r w:rsidR="002C21C9">
        <w:t>p</w:t>
      </w:r>
      <w:r>
        <w:t>les®,</w:t>
      </w:r>
      <w:r w:rsidR="002C21C9">
        <w:t xml:space="preserve"> </w:t>
      </w:r>
      <w:r>
        <w:t>Walmart®, Office Depot®, Amazon ® and a 250 unit box from Target®. Note stores brands were used in analysis</w:t>
      </w:r>
    </w:p>
    <w:p w:rsidR="00804876" w:rsidP="00DA7DD5" w14:paraId="6079C0A2" w14:textId="77777777">
      <w:pPr>
        <w:pStyle w:val="FootnoteText"/>
      </w:pPr>
    </w:p>
  </w:footnote>
  <w:footnote w:id="9">
    <w:p w:rsidR="00804876" w:rsidRPr="00293792" w14:paraId="623E3456" w14:textId="654A5AD6">
      <w:pPr>
        <w:pStyle w:val="FootnoteText"/>
      </w:pPr>
      <w:r w:rsidRPr="00CE18B2">
        <w:rPr>
          <w:rStyle w:val="FootnoteReference"/>
          <w:vertAlign w:val="superscript"/>
        </w:rPr>
        <w:footnoteRef/>
      </w:r>
      <w:r>
        <w:t xml:space="preserve"> </w:t>
      </w:r>
      <w:r w:rsidR="00E32031">
        <w:rPr>
          <w:color w:val="000000"/>
        </w:rPr>
        <w:t>934,707</w:t>
      </w:r>
      <w:r w:rsidRPr="00293792">
        <w:rPr>
          <w:color w:val="000000"/>
        </w:rPr>
        <w:t xml:space="preserve"> </w:t>
      </w:r>
      <w:r w:rsidRPr="00293792">
        <w:t xml:space="preserve">responses </w:t>
      </w:r>
      <w:r w:rsidRPr="00293792">
        <w:rPr>
          <w:color w:val="000000"/>
        </w:rPr>
        <w:t xml:space="preserve">× 33% estimated to be mailed = </w:t>
      </w:r>
      <w:r w:rsidR="00E32031">
        <w:rPr>
          <w:color w:val="000000"/>
        </w:rPr>
        <w:t>308,453</w:t>
      </w:r>
      <w:r w:rsidRPr="00293792">
        <w:rPr>
          <w:color w:val="000000"/>
        </w:rPr>
        <w:t xml:space="preserve"> responses received by mail.</w:t>
      </w:r>
    </w:p>
  </w:footnote>
  <w:footnote w:id="10">
    <w:p w:rsidR="00804876" w:rsidRPr="00293792" w14:paraId="7E7722C8" w14:textId="0995FF61">
      <w:pPr>
        <w:pStyle w:val="FootnoteText"/>
      </w:pPr>
      <w:r w:rsidRPr="00CE18B2">
        <w:rPr>
          <w:rStyle w:val="FootnoteReference"/>
          <w:vertAlign w:val="superscript"/>
        </w:rPr>
        <w:footnoteRef/>
      </w:r>
      <w:r>
        <w:t xml:space="preserve"> </w:t>
      </w:r>
      <w:r w:rsidR="00183442">
        <w:rPr>
          <w:color w:val="000000"/>
        </w:rPr>
        <w:t>2,879</w:t>
      </w:r>
      <w:r w:rsidRPr="00293792">
        <w:rPr>
          <w:color w:val="000000"/>
        </w:rPr>
        <w:t xml:space="preserve"> responses × 13% estimated to be mailed = </w:t>
      </w:r>
      <w:r w:rsidR="005833C9">
        <w:rPr>
          <w:color w:val="000000"/>
        </w:rPr>
        <w:t>374</w:t>
      </w:r>
      <w:r w:rsidRPr="00293792">
        <w:rPr>
          <w:color w:val="000000"/>
        </w:rPr>
        <w:t xml:space="preserve"> responses received by mail.</w:t>
      </w:r>
    </w:p>
  </w:footnote>
  <w:footnote w:id="11">
    <w:p w:rsidR="00804876" w:rsidRPr="00534D10" w14:paraId="51E5CB6F" w14:textId="339E3559">
      <w:pPr>
        <w:pStyle w:val="FootnoteText"/>
        <w:rPr>
          <w:vertAlign w:val="superscript"/>
        </w:rPr>
      </w:pPr>
      <w:r w:rsidRPr="00534D10">
        <w:rPr>
          <w:rStyle w:val="FootnoteReference"/>
          <w:vertAlign w:val="superscript"/>
        </w:rPr>
        <w:footnoteRef/>
      </w:r>
      <w:r w:rsidRPr="00534D10">
        <w:rPr>
          <w:vertAlign w:val="superscript"/>
        </w:rPr>
        <w:t xml:space="preserve"> </w:t>
      </w:r>
      <w:r w:rsidR="005833C9">
        <w:rPr>
          <w:color w:val="000000"/>
        </w:rPr>
        <w:t>3,710</w:t>
      </w:r>
      <w:r>
        <w:rPr>
          <w:color w:val="000000"/>
          <w:sz w:val="24"/>
        </w:rPr>
        <w:t xml:space="preserve"> </w:t>
      </w:r>
      <w:r w:rsidRPr="00293792">
        <w:rPr>
          <w:color w:val="000000"/>
        </w:rPr>
        <w:t xml:space="preserve">responses × </w:t>
      </w:r>
      <w:r>
        <w:rPr>
          <w:color w:val="000000"/>
        </w:rPr>
        <w:t>96</w:t>
      </w:r>
      <w:r w:rsidRPr="00293792">
        <w:rPr>
          <w:color w:val="000000"/>
        </w:rPr>
        <w:t xml:space="preserve">% estimated to be mailed = </w:t>
      </w:r>
      <w:r w:rsidR="005833C9">
        <w:rPr>
          <w:color w:val="000000"/>
        </w:rPr>
        <w:t>3,562</w:t>
      </w:r>
      <w:r w:rsidRPr="00293792">
        <w:rPr>
          <w:color w:val="000000"/>
        </w:rPr>
        <w:t xml:space="preserve"> responses received by mail.</w:t>
      </w:r>
    </w:p>
  </w:footnote>
  <w:footnote w:id="12">
    <w:p w:rsidR="00804876" w:rsidRPr="00BD3B74" w14:paraId="5C92EBF4" w14:textId="3EF3092F">
      <w:pPr>
        <w:pStyle w:val="FootnoteText"/>
        <w:rPr>
          <w:vertAlign w:val="superscript"/>
        </w:rPr>
      </w:pPr>
      <w:r w:rsidRPr="00BA01D3">
        <w:rPr>
          <w:rStyle w:val="FootnoteReference"/>
          <w:vertAlign w:val="superscript"/>
        </w:rPr>
        <w:footnoteRef/>
      </w:r>
      <w:r>
        <w:t xml:space="preserve"> Rate based on a General Schedule (GS) level 10, average between 10 steps based on the Office of Personnel Management’s </w:t>
      </w:r>
      <w:r w:rsidR="00F339F4">
        <w:t>2024</w:t>
      </w:r>
      <w:r>
        <w:t xml:space="preserve">, “Salary Table” available </w:t>
      </w:r>
      <w:hyperlink r:id="rId7" w:history="1">
        <w:r w:rsidRPr="00315C85" w:rsidR="00315C85">
          <w:rPr>
            <w:color w:val="0000FF"/>
            <w:szCs w:val="24"/>
            <w:u w:val="single"/>
          </w:rPr>
          <w:t>SALARY TABLE 2024-GS</w:t>
        </w:r>
      </w:hyperlink>
      <w:r w:rsidR="00315C85">
        <w:t xml:space="preserve"> </w:t>
      </w:r>
      <w:r>
        <w:t xml:space="preserve"> (accessed </w:t>
      </w:r>
      <w:r w:rsidR="00F339F4">
        <w:t>December 23, 2024</w:t>
      </w:r>
      <w:r>
        <w:t xml:space="preserve">). </w:t>
      </w:r>
    </w:p>
  </w:footnote>
  <w:footnote w:id="13">
    <w:p w:rsidR="00804876" w14:paraId="70E30669" w14:textId="6160E073">
      <w:pPr>
        <w:pStyle w:val="FootnoteText"/>
      </w:pPr>
      <w:r w:rsidRPr="00D26465">
        <w:rPr>
          <w:rStyle w:val="FootnoteReference"/>
          <w:vertAlign w:val="superscript"/>
        </w:rPr>
        <w:footnoteRef/>
      </w:r>
      <w:r>
        <w:t xml:space="preserve"> Consistent with other FMCSA ICRs.</w:t>
      </w:r>
    </w:p>
  </w:footnote>
  <w:footnote w:id="14">
    <w:p w:rsidR="00804876" w:rsidRPr="00293792" w:rsidP="00C54842" w14:paraId="1FA05760" w14:textId="26EEF101">
      <w:pPr>
        <w:pStyle w:val="FootnoteText"/>
      </w:pPr>
      <w:r w:rsidRPr="00CE18B2">
        <w:rPr>
          <w:rStyle w:val="FootnoteReference"/>
          <w:vertAlign w:val="superscript"/>
        </w:rPr>
        <w:footnoteRef/>
      </w:r>
      <w:r>
        <w:t xml:space="preserve"> </w:t>
      </w:r>
      <w:r w:rsidR="00155529">
        <w:rPr>
          <w:color w:val="000000"/>
        </w:rPr>
        <w:t>934,707</w:t>
      </w:r>
      <w:r w:rsidRPr="00293792">
        <w:rPr>
          <w:color w:val="000000"/>
        </w:rPr>
        <w:t xml:space="preserve"> </w:t>
      </w:r>
      <w:r w:rsidRPr="00293792">
        <w:t xml:space="preserve">responses </w:t>
      </w:r>
      <w:r w:rsidRPr="00293792">
        <w:rPr>
          <w:color w:val="000000"/>
        </w:rPr>
        <w:t xml:space="preserve">× </w:t>
      </w:r>
      <w:r w:rsidR="001D1E49">
        <w:rPr>
          <w:color w:val="000000"/>
        </w:rPr>
        <w:t>67</w:t>
      </w:r>
      <w:r w:rsidRPr="00293792">
        <w:rPr>
          <w:color w:val="000000"/>
        </w:rPr>
        <w:t xml:space="preserve">% estimated to be mailed = </w:t>
      </w:r>
      <w:r w:rsidR="001D1E49">
        <w:rPr>
          <w:color w:val="000000"/>
        </w:rPr>
        <w:t>626,254</w:t>
      </w:r>
      <w:r w:rsidRPr="00293792">
        <w:rPr>
          <w:color w:val="000000"/>
        </w:rPr>
        <w:t xml:space="preserve"> responses received </w:t>
      </w:r>
      <w:r w:rsidR="001D1E49">
        <w:rPr>
          <w:color w:val="000000"/>
        </w:rPr>
        <w:t>electronically</w:t>
      </w:r>
      <w:r w:rsidRPr="00293792">
        <w:rPr>
          <w:color w:val="000000"/>
        </w:rPr>
        <w:t>.</w:t>
      </w:r>
    </w:p>
  </w:footnote>
  <w:footnote w:id="15">
    <w:p w:rsidR="00804876" w:rsidRPr="00293792" w:rsidP="00C54842" w14:paraId="6544CF2C" w14:textId="3BC30214">
      <w:pPr>
        <w:pStyle w:val="FootnoteText"/>
      </w:pPr>
      <w:r w:rsidRPr="00CE18B2">
        <w:rPr>
          <w:rStyle w:val="FootnoteReference"/>
          <w:vertAlign w:val="superscript"/>
        </w:rPr>
        <w:footnoteRef/>
      </w:r>
      <w:r>
        <w:t xml:space="preserve"> </w:t>
      </w:r>
      <w:r w:rsidR="001D1E49">
        <w:rPr>
          <w:color w:val="000000"/>
        </w:rPr>
        <w:t>2,879</w:t>
      </w:r>
      <w:r w:rsidRPr="00293792">
        <w:rPr>
          <w:color w:val="000000"/>
        </w:rPr>
        <w:t xml:space="preserve"> responses × </w:t>
      </w:r>
      <w:r w:rsidR="00CF357C">
        <w:rPr>
          <w:color w:val="000000"/>
        </w:rPr>
        <w:t>87</w:t>
      </w:r>
      <w:r w:rsidRPr="00293792">
        <w:rPr>
          <w:color w:val="000000"/>
        </w:rPr>
        <w:t xml:space="preserve">% estimated to be mailed = </w:t>
      </w:r>
      <w:r w:rsidR="00CF357C">
        <w:rPr>
          <w:color w:val="000000"/>
        </w:rPr>
        <w:t>2,504</w:t>
      </w:r>
      <w:r w:rsidRPr="00293792">
        <w:rPr>
          <w:color w:val="000000"/>
        </w:rPr>
        <w:t xml:space="preserve"> responses received </w:t>
      </w:r>
      <w:r w:rsidR="00CF357C">
        <w:rPr>
          <w:color w:val="000000"/>
        </w:rPr>
        <w:t>electronically</w:t>
      </w:r>
      <w:r w:rsidRPr="00293792">
        <w:rPr>
          <w:color w:val="000000"/>
        </w:rPr>
        <w:t>.</w:t>
      </w:r>
    </w:p>
  </w:footnote>
  <w:footnote w:id="16">
    <w:p w:rsidR="00804876" w:rsidRPr="00534D10" w:rsidP="00C54842" w14:paraId="1BCCA7E6" w14:textId="25AA9596">
      <w:pPr>
        <w:pStyle w:val="FootnoteText"/>
        <w:rPr>
          <w:vertAlign w:val="superscript"/>
        </w:rPr>
      </w:pPr>
      <w:r w:rsidRPr="00534D10">
        <w:rPr>
          <w:rStyle w:val="FootnoteReference"/>
          <w:vertAlign w:val="superscript"/>
        </w:rPr>
        <w:footnoteRef/>
      </w:r>
      <w:r w:rsidRPr="00534D10">
        <w:rPr>
          <w:vertAlign w:val="superscript"/>
        </w:rPr>
        <w:t xml:space="preserve"> </w:t>
      </w:r>
      <w:r w:rsidR="00CF357C">
        <w:rPr>
          <w:color w:val="000000"/>
        </w:rPr>
        <w:t>3,710</w:t>
      </w:r>
      <w:r>
        <w:rPr>
          <w:color w:val="000000"/>
          <w:sz w:val="24"/>
        </w:rPr>
        <w:t xml:space="preserve"> </w:t>
      </w:r>
      <w:r w:rsidRPr="00293792">
        <w:rPr>
          <w:color w:val="000000"/>
        </w:rPr>
        <w:t xml:space="preserve">responses × </w:t>
      </w:r>
      <w:r w:rsidR="00CF357C">
        <w:rPr>
          <w:color w:val="000000"/>
        </w:rPr>
        <w:t>4</w:t>
      </w:r>
      <w:r w:rsidRPr="00293792">
        <w:rPr>
          <w:color w:val="000000"/>
        </w:rPr>
        <w:t xml:space="preserve">% estimated to be mailed = </w:t>
      </w:r>
      <w:r w:rsidR="00CF357C">
        <w:rPr>
          <w:color w:val="000000"/>
        </w:rPr>
        <w:t>148</w:t>
      </w:r>
      <w:r w:rsidRPr="00293792">
        <w:rPr>
          <w:color w:val="000000"/>
        </w:rPr>
        <w:t xml:space="preserve"> responses received </w:t>
      </w:r>
      <w:r w:rsidR="00487C66">
        <w:rPr>
          <w:color w:val="000000"/>
        </w:rPr>
        <w:t>electronically</w:t>
      </w:r>
      <w:r w:rsidRPr="00293792">
        <w:rPr>
          <w:color w:val="000000"/>
        </w:rPr>
        <w:t>.</w:t>
      </w:r>
    </w:p>
  </w:footnote>
  <w:footnote w:id="17">
    <w:p w:rsidR="00804876" w:rsidRPr="00BD3B74" w:rsidP="00FA544A" w14:paraId="54BFD95E" w14:textId="40E008C8">
      <w:pPr>
        <w:pStyle w:val="FootnoteText"/>
        <w:rPr>
          <w:vertAlign w:val="superscript"/>
        </w:rPr>
      </w:pPr>
      <w:r w:rsidRPr="00BA01D3">
        <w:rPr>
          <w:rStyle w:val="FootnoteReference"/>
          <w:vertAlign w:val="superscript"/>
        </w:rPr>
        <w:footnoteRef/>
      </w:r>
      <w:r>
        <w:t xml:space="preserve"> Rate based on a General Schedule (GS) level 13, average between 10 steps based on the Office of Personnel Management’s </w:t>
      </w:r>
      <w:r w:rsidR="00315C85">
        <w:t>2024</w:t>
      </w:r>
      <w:r>
        <w:t>, “Salary Table” available</w:t>
      </w:r>
      <w:r w:rsidRPr="00315C85" w:rsidR="00315C85">
        <w:rPr>
          <w:szCs w:val="24"/>
        </w:rPr>
        <w:t xml:space="preserve"> </w:t>
      </w:r>
      <w:hyperlink r:id="rId7" w:history="1">
        <w:r w:rsidRPr="00315C85" w:rsidR="00315C85">
          <w:rPr>
            <w:color w:val="0000FF"/>
            <w:szCs w:val="24"/>
            <w:u w:val="single"/>
          </w:rPr>
          <w:t>SALARY TABLE 2024-GS</w:t>
        </w:r>
      </w:hyperlink>
      <w:r>
        <w:t xml:space="preserve"> (accessed </w:t>
      </w:r>
      <w:r w:rsidR="00315C85">
        <w:t>December 23, 2024</w:t>
      </w:r>
      <w:r>
        <w:t xml:space="preserve">). </w:t>
      </w:r>
    </w:p>
  </w:footnote>
  <w:footnote w:id="18">
    <w:p w:rsidR="00804876" w:rsidP="00FA544A" w14:paraId="5F02C0B7" w14:textId="77777777">
      <w:pPr>
        <w:pStyle w:val="FootnoteText"/>
      </w:pPr>
      <w:r w:rsidRPr="00D26465">
        <w:rPr>
          <w:rStyle w:val="FootnoteReference"/>
          <w:vertAlign w:val="superscript"/>
        </w:rPr>
        <w:footnoteRef/>
      </w:r>
      <w:r>
        <w:t xml:space="preserve"> Consistent with other FMCSA ICRs.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876" w:rsidP="00B84FDE" w14:paraId="736047C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A45D3"/>
    <w:multiLevelType w:val="hybridMultilevel"/>
    <w:tmpl w:val="F6F479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614369"/>
    <w:multiLevelType w:val="hybridMultilevel"/>
    <w:tmpl w:val="B8C2858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F1093"/>
    <w:multiLevelType w:val="hybridMultilevel"/>
    <w:tmpl w:val="165C4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2677E46"/>
    <w:multiLevelType w:val="hybridMultilevel"/>
    <w:tmpl w:val="11E84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D32D1C"/>
    <w:multiLevelType w:val="hybridMultilevel"/>
    <w:tmpl w:val="308A7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D62259F"/>
    <w:multiLevelType w:val="hybridMultilevel"/>
    <w:tmpl w:val="1284B97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0F0C21"/>
    <w:multiLevelType w:val="hybridMultilevel"/>
    <w:tmpl w:val="587CF74A"/>
    <w:lvl w:ilvl="0">
      <w:start w:val="14"/>
      <w:numFmt w:val="decimal"/>
      <w:lvlText w:val="%1."/>
      <w:lvlJc w:val="left"/>
      <w:pPr>
        <w:tabs>
          <w:tab w:val="num" w:pos="870"/>
        </w:tabs>
        <w:ind w:left="870" w:hanging="4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8650916"/>
    <w:multiLevelType w:val="hybridMultilevel"/>
    <w:tmpl w:val="976EC582"/>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E235356"/>
    <w:multiLevelType w:val="hybridMultilevel"/>
    <w:tmpl w:val="C2CA3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8741FF"/>
    <w:multiLevelType w:val="hybridMultilevel"/>
    <w:tmpl w:val="A1E8D6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C76DA3"/>
    <w:multiLevelType w:val="hybridMultilevel"/>
    <w:tmpl w:val="7FF09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021408"/>
    <w:multiLevelType w:val="hybridMultilevel"/>
    <w:tmpl w:val="96B2AB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9541690">
    <w:abstractNumId w:val="2"/>
  </w:num>
  <w:num w:numId="2" w16cid:durableId="1008293496">
    <w:abstractNumId w:val="7"/>
  </w:num>
  <w:num w:numId="3" w16cid:durableId="1651515278">
    <w:abstractNumId w:val="5"/>
  </w:num>
  <w:num w:numId="4" w16cid:durableId="292835377">
    <w:abstractNumId w:val="8"/>
  </w:num>
  <w:num w:numId="5" w16cid:durableId="216741081">
    <w:abstractNumId w:val="9"/>
  </w:num>
  <w:num w:numId="6" w16cid:durableId="2118477810">
    <w:abstractNumId w:val="10"/>
  </w:num>
  <w:num w:numId="7" w16cid:durableId="163208241">
    <w:abstractNumId w:val="3"/>
  </w:num>
  <w:num w:numId="8" w16cid:durableId="1397043908">
    <w:abstractNumId w:val="11"/>
  </w:num>
  <w:num w:numId="9" w16cid:durableId="537470867">
    <w:abstractNumId w:val="0"/>
  </w:num>
  <w:num w:numId="10" w16cid:durableId="2092005319">
    <w:abstractNumId w:val="12"/>
  </w:num>
  <w:num w:numId="11" w16cid:durableId="661470680">
    <w:abstractNumId w:val="4"/>
  </w:num>
  <w:num w:numId="12" w16cid:durableId="1576360836">
    <w:abstractNumId w:val="6"/>
  </w:num>
  <w:num w:numId="13" w16cid:durableId="6279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9D"/>
    <w:rsid w:val="000005D9"/>
    <w:rsid w:val="00000FF5"/>
    <w:rsid w:val="00001797"/>
    <w:rsid w:val="000034E9"/>
    <w:rsid w:val="000056FE"/>
    <w:rsid w:val="00005CB2"/>
    <w:rsid w:val="00006229"/>
    <w:rsid w:val="0000668C"/>
    <w:rsid w:val="00010789"/>
    <w:rsid w:val="00010B3C"/>
    <w:rsid w:val="000112FD"/>
    <w:rsid w:val="00012026"/>
    <w:rsid w:val="00013EBE"/>
    <w:rsid w:val="00015408"/>
    <w:rsid w:val="0001773B"/>
    <w:rsid w:val="000200F7"/>
    <w:rsid w:val="00021297"/>
    <w:rsid w:val="0002136F"/>
    <w:rsid w:val="00021EF3"/>
    <w:rsid w:val="0002597F"/>
    <w:rsid w:val="00025F5F"/>
    <w:rsid w:val="0002799E"/>
    <w:rsid w:val="0003063F"/>
    <w:rsid w:val="0003093A"/>
    <w:rsid w:val="00031538"/>
    <w:rsid w:val="0003196A"/>
    <w:rsid w:val="00031A60"/>
    <w:rsid w:val="0003203E"/>
    <w:rsid w:val="00032B9C"/>
    <w:rsid w:val="0003317D"/>
    <w:rsid w:val="00033248"/>
    <w:rsid w:val="00033430"/>
    <w:rsid w:val="00033D9B"/>
    <w:rsid w:val="00036617"/>
    <w:rsid w:val="000427AF"/>
    <w:rsid w:val="00043F61"/>
    <w:rsid w:val="000440A4"/>
    <w:rsid w:val="000440FA"/>
    <w:rsid w:val="00045192"/>
    <w:rsid w:val="0004670C"/>
    <w:rsid w:val="000471A2"/>
    <w:rsid w:val="0005114E"/>
    <w:rsid w:val="00051DAC"/>
    <w:rsid w:val="000520C1"/>
    <w:rsid w:val="0005290E"/>
    <w:rsid w:val="00053337"/>
    <w:rsid w:val="000538DF"/>
    <w:rsid w:val="00053CB9"/>
    <w:rsid w:val="00054520"/>
    <w:rsid w:val="00056723"/>
    <w:rsid w:val="00056A98"/>
    <w:rsid w:val="00057441"/>
    <w:rsid w:val="000574F3"/>
    <w:rsid w:val="000579F8"/>
    <w:rsid w:val="00057B1E"/>
    <w:rsid w:val="0006414E"/>
    <w:rsid w:val="00064197"/>
    <w:rsid w:val="00064D06"/>
    <w:rsid w:val="00064DE5"/>
    <w:rsid w:val="0006521B"/>
    <w:rsid w:val="00066A7C"/>
    <w:rsid w:val="00070EAA"/>
    <w:rsid w:val="00071146"/>
    <w:rsid w:val="000729B9"/>
    <w:rsid w:val="00074E2E"/>
    <w:rsid w:val="000776EE"/>
    <w:rsid w:val="00077D53"/>
    <w:rsid w:val="00081088"/>
    <w:rsid w:val="0008202C"/>
    <w:rsid w:val="00083ABF"/>
    <w:rsid w:val="00084EB7"/>
    <w:rsid w:val="000868A3"/>
    <w:rsid w:val="00090E59"/>
    <w:rsid w:val="000921BB"/>
    <w:rsid w:val="00092408"/>
    <w:rsid w:val="000925D0"/>
    <w:rsid w:val="00092B82"/>
    <w:rsid w:val="00092C84"/>
    <w:rsid w:val="000963CB"/>
    <w:rsid w:val="00096988"/>
    <w:rsid w:val="00096C9A"/>
    <w:rsid w:val="00096D55"/>
    <w:rsid w:val="000976B3"/>
    <w:rsid w:val="000A0036"/>
    <w:rsid w:val="000A061B"/>
    <w:rsid w:val="000A08B3"/>
    <w:rsid w:val="000A3840"/>
    <w:rsid w:val="000A409C"/>
    <w:rsid w:val="000A7078"/>
    <w:rsid w:val="000A78C7"/>
    <w:rsid w:val="000B0E18"/>
    <w:rsid w:val="000B0ED7"/>
    <w:rsid w:val="000B11D7"/>
    <w:rsid w:val="000B1B28"/>
    <w:rsid w:val="000B34CA"/>
    <w:rsid w:val="000B4292"/>
    <w:rsid w:val="000B64D6"/>
    <w:rsid w:val="000B6C80"/>
    <w:rsid w:val="000B789A"/>
    <w:rsid w:val="000B7C1B"/>
    <w:rsid w:val="000C0DD6"/>
    <w:rsid w:val="000C1126"/>
    <w:rsid w:val="000C1BA4"/>
    <w:rsid w:val="000C336A"/>
    <w:rsid w:val="000C4A4E"/>
    <w:rsid w:val="000C4B9F"/>
    <w:rsid w:val="000C68E4"/>
    <w:rsid w:val="000D0349"/>
    <w:rsid w:val="000D0A05"/>
    <w:rsid w:val="000D0B00"/>
    <w:rsid w:val="000D0F93"/>
    <w:rsid w:val="000D1601"/>
    <w:rsid w:val="000D199C"/>
    <w:rsid w:val="000D1D03"/>
    <w:rsid w:val="000D281E"/>
    <w:rsid w:val="000D495F"/>
    <w:rsid w:val="000D49AF"/>
    <w:rsid w:val="000D4D8F"/>
    <w:rsid w:val="000D534E"/>
    <w:rsid w:val="000D5656"/>
    <w:rsid w:val="000D653E"/>
    <w:rsid w:val="000D68B5"/>
    <w:rsid w:val="000D6C77"/>
    <w:rsid w:val="000E1FF7"/>
    <w:rsid w:val="000E36A5"/>
    <w:rsid w:val="000E3E68"/>
    <w:rsid w:val="000E488B"/>
    <w:rsid w:val="000E5E6D"/>
    <w:rsid w:val="000E61BA"/>
    <w:rsid w:val="000F0CD3"/>
    <w:rsid w:val="000F1DC1"/>
    <w:rsid w:val="000F5C95"/>
    <w:rsid w:val="000F6360"/>
    <w:rsid w:val="000F7BB0"/>
    <w:rsid w:val="000F7CD0"/>
    <w:rsid w:val="001005B6"/>
    <w:rsid w:val="00100CCF"/>
    <w:rsid w:val="00102C7C"/>
    <w:rsid w:val="00103089"/>
    <w:rsid w:val="001030FB"/>
    <w:rsid w:val="001056A6"/>
    <w:rsid w:val="00110080"/>
    <w:rsid w:val="00110F8F"/>
    <w:rsid w:val="00112551"/>
    <w:rsid w:val="00113377"/>
    <w:rsid w:val="001135F7"/>
    <w:rsid w:val="001138C3"/>
    <w:rsid w:val="00114470"/>
    <w:rsid w:val="001201CF"/>
    <w:rsid w:val="00122390"/>
    <w:rsid w:val="001232B1"/>
    <w:rsid w:val="00124D9C"/>
    <w:rsid w:val="00124ED4"/>
    <w:rsid w:val="00127E4E"/>
    <w:rsid w:val="00130272"/>
    <w:rsid w:val="00132B62"/>
    <w:rsid w:val="00132F68"/>
    <w:rsid w:val="00135188"/>
    <w:rsid w:val="00136623"/>
    <w:rsid w:val="00136ED7"/>
    <w:rsid w:val="00137F5F"/>
    <w:rsid w:val="00140C76"/>
    <w:rsid w:val="00141026"/>
    <w:rsid w:val="00142152"/>
    <w:rsid w:val="00142E58"/>
    <w:rsid w:val="001432C0"/>
    <w:rsid w:val="001443A1"/>
    <w:rsid w:val="0014609D"/>
    <w:rsid w:val="00147525"/>
    <w:rsid w:val="0015189D"/>
    <w:rsid w:val="00155529"/>
    <w:rsid w:val="00157834"/>
    <w:rsid w:val="00161395"/>
    <w:rsid w:val="00161E69"/>
    <w:rsid w:val="00161E9C"/>
    <w:rsid w:val="001630BC"/>
    <w:rsid w:val="001642DB"/>
    <w:rsid w:val="001664A3"/>
    <w:rsid w:val="00166C36"/>
    <w:rsid w:val="00170BD7"/>
    <w:rsid w:val="001736F5"/>
    <w:rsid w:val="00173D6A"/>
    <w:rsid w:val="00174235"/>
    <w:rsid w:val="00174590"/>
    <w:rsid w:val="0017492B"/>
    <w:rsid w:val="00174FD7"/>
    <w:rsid w:val="00176510"/>
    <w:rsid w:val="00180CAF"/>
    <w:rsid w:val="00181F97"/>
    <w:rsid w:val="00182D51"/>
    <w:rsid w:val="00183442"/>
    <w:rsid w:val="00185AFD"/>
    <w:rsid w:val="00186D4D"/>
    <w:rsid w:val="00190156"/>
    <w:rsid w:val="00190386"/>
    <w:rsid w:val="0019124B"/>
    <w:rsid w:val="0019159F"/>
    <w:rsid w:val="00192643"/>
    <w:rsid w:val="0019427A"/>
    <w:rsid w:val="00194C41"/>
    <w:rsid w:val="00195737"/>
    <w:rsid w:val="00195A21"/>
    <w:rsid w:val="00195AC7"/>
    <w:rsid w:val="001967B9"/>
    <w:rsid w:val="00196E6A"/>
    <w:rsid w:val="00197792"/>
    <w:rsid w:val="001A1BBD"/>
    <w:rsid w:val="001A2246"/>
    <w:rsid w:val="001A2412"/>
    <w:rsid w:val="001A2584"/>
    <w:rsid w:val="001A27E2"/>
    <w:rsid w:val="001A2828"/>
    <w:rsid w:val="001A313D"/>
    <w:rsid w:val="001A3516"/>
    <w:rsid w:val="001A5D32"/>
    <w:rsid w:val="001A70DE"/>
    <w:rsid w:val="001B0B56"/>
    <w:rsid w:val="001B0F83"/>
    <w:rsid w:val="001B1B78"/>
    <w:rsid w:val="001B1CCC"/>
    <w:rsid w:val="001B4762"/>
    <w:rsid w:val="001B6E9F"/>
    <w:rsid w:val="001C2346"/>
    <w:rsid w:val="001C3C89"/>
    <w:rsid w:val="001C42CF"/>
    <w:rsid w:val="001C42E7"/>
    <w:rsid w:val="001C4314"/>
    <w:rsid w:val="001C652C"/>
    <w:rsid w:val="001D0E90"/>
    <w:rsid w:val="001D1B33"/>
    <w:rsid w:val="001D1E49"/>
    <w:rsid w:val="001D1F97"/>
    <w:rsid w:val="001D366B"/>
    <w:rsid w:val="001D4557"/>
    <w:rsid w:val="001D4695"/>
    <w:rsid w:val="001D4FFD"/>
    <w:rsid w:val="001D558C"/>
    <w:rsid w:val="001D5B58"/>
    <w:rsid w:val="001D7367"/>
    <w:rsid w:val="001D7E7A"/>
    <w:rsid w:val="001E0645"/>
    <w:rsid w:val="001E0EEE"/>
    <w:rsid w:val="001E1167"/>
    <w:rsid w:val="001E14A3"/>
    <w:rsid w:val="001E16D4"/>
    <w:rsid w:val="001E1D6F"/>
    <w:rsid w:val="001E2746"/>
    <w:rsid w:val="001E29D5"/>
    <w:rsid w:val="001E3084"/>
    <w:rsid w:val="001E473A"/>
    <w:rsid w:val="001E5B6B"/>
    <w:rsid w:val="001E6230"/>
    <w:rsid w:val="001E713B"/>
    <w:rsid w:val="001E7272"/>
    <w:rsid w:val="001F162E"/>
    <w:rsid w:val="001F1EAA"/>
    <w:rsid w:val="001F23E4"/>
    <w:rsid w:val="001F446E"/>
    <w:rsid w:val="001F580F"/>
    <w:rsid w:val="001F6481"/>
    <w:rsid w:val="001F6620"/>
    <w:rsid w:val="002016D3"/>
    <w:rsid w:val="00203181"/>
    <w:rsid w:val="00203EEB"/>
    <w:rsid w:val="00203FEC"/>
    <w:rsid w:val="002071DF"/>
    <w:rsid w:val="002075E9"/>
    <w:rsid w:val="00211BC1"/>
    <w:rsid w:val="0021527D"/>
    <w:rsid w:val="00215495"/>
    <w:rsid w:val="00215E7C"/>
    <w:rsid w:val="002168DE"/>
    <w:rsid w:val="002179BD"/>
    <w:rsid w:val="00217CFA"/>
    <w:rsid w:val="00221AD8"/>
    <w:rsid w:val="00221BBF"/>
    <w:rsid w:val="0022208C"/>
    <w:rsid w:val="00222733"/>
    <w:rsid w:val="00223AE8"/>
    <w:rsid w:val="00224366"/>
    <w:rsid w:val="00224AC7"/>
    <w:rsid w:val="002252D0"/>
    <w:rsid w:val="00225378"/>
    <w:rsid w:val="00225F7B"/>
    <w:rsid w:val="00226223"/>
    <w:rsid w:val="0022650C"/>
    <w:rsid w:val="00230CE8"/>
    <w:rsid w:val="00230E11"/>
    <w:rsid w:val="00232AB1"/>
    <w:rsid w:val="00233318"/>
    <w:rsid w:val="0023510A"/>
    <w:rsid w:val="002358A9"/>
    <w:rsid w:val="00235B50"/>
    <w:rsid w:val="0023606B"/>
    <w:rsid w:val="0023668E"/>
    <w:rsid w:val="002403D9"/>
    <w:rsid w:val="002408ED"/>
    <w:rsid w:val="00243236"/>
    <w:rsid w:val="00244B2D"/>
    <w:rsid w:val="002500F0"/>
    <w:rsid w:val="0025483D"/>
    <w:rsid w:val="0025526C"/>
    <w:rsid w:val="00260AE7"/>
    <w:rsid w:val="0026234B"/>
    <w:rsid w:val="002636AF"/>
    <w:rsid w:val="00263983"/>
    <w:rsid w:val="00264190"/>
    <w:rsid w:val="002645DB"/>
    <w:rsid w:val="002660F9"/>
    <w:rsid w:val="002673EB"/>
    <w:rsid w:val="00267629"/>
    <w:rsid w:val="00267DFB"/>
    <w:rsid w:val="00267FDC"/>
    <w:rsid w:val="002713E1"/>
    <w:rsid w:val="00272908"/>
    <w:rsid w:val="00275FC9"/>
    <w:rsid w:val="002767DC"/>
    <w:rsid w:val="00276CE8"/>
    <w:rsid w:val="00280578"/>
    <w:rsid w:val="002818BC"/>
    <w:rsid w:val="0028272A"/>
    <w:rsid w:val="002827CB"/>
    <w:rsid w:val="00282806"/>
    <w:rsid w:val="00283FCB"/>
    <w:rsid w:val="0028423F"/>
    <w:rsid w:val="002842CC"/>
    <w:rsid w:val="00284849"/>
    <w:rsid w:val="00287119"/>
    <w:rsid w:val="0029142F"/>
    <w:rsid w:val="002919E7"/>
    <w:rsid w:val="0029278D"/>
    <w:rsid w:val="00292A61"/>
    <w:rsid w:val="00292BEE"/>
    <w:rsid w:val="002934BA"/>
    <w:rsid w:val="00293792"/>
    <w:rsid w:val="002942FA"/>
    <w:rsid w:val="00296696"/>
    <w:rsid w:val="00297657"/>
    <w:rsid w:val="002A15DF"/>
    <w:rsid w:val="002A17E7"/>
    <w:rsid w:val="002A24C1"/>
    <w:rsid w:val="002A3A07"/>
    <w:rsid w:val="002A4163"/>
    <w:rsid w:val="002A46E6"/>
    <w:rsid w:val="002A5465"/>
    <w:rsid w:val="002A6336"/>
    <w:rsid w:val="002B01A3"/>
    <w:rsid w:val="002B0CCD"/>
    <w:rsid w:val="002B26F6"/>
    <w:rsid w:val="002B292E"/>
    <w:rsid w:val="002B3AF1"/>
    <w:rsid w:val="002B422E"/>
    <w:rsid w:val="002B4A06"/>
    <w:rsid w:val="002B4C39"/>
    <w:rsid w:val="002B6048"/>
    <w:rsid w:val="002B68CA"/>
    <w:rsid w:val="002C1AA2"/>
    <w:rsid w:val="002C21C9"/>
    <w:rsid w:val="002C3BF0"/>
    <w:rsid w:val="002C5313"/>
    <w:rsid w:val="002C6DBA"/>
    <w:rsid w:val="002C7233"/>
    <w:rsid w:val="002C7A95"/>
    <w:rsid w:val="002D26F5"/>
    <w:rsid w:val="002D364B"/>
    <w:rsid w:val="002D5163"/>
    <w:rsid w:val="002D69E3"/>
    <w:rsid w:val="002D786C"/>
    <w:rsid w:val="002E57CF"/>
    <w:rsid w:val="002E592C"/>
    <w:rsid w:val="002E5A58"/>
    <w:rsid w:val="002E5E5E"/>
    <w:rsid w:val="002E63A8"/>
    <w:rsid w:val="002F2243"/>
    <w:rsid w:val="002F4440"/>
    <w:rsid w:val="002F4602"/>
    <w:rsid w:val="002F4A19"/>
    <w:rsid w:val="002F4A2D"/>
    <w:rsid w:val="002F615A"/>
    <w:rsid w:val="002F6630"/>
    <w:rsid w:val="002F7327"/>
    <w:rsid w:val="00300611"/>
    <w:rsid w:val="003066A7"/>
    <w:rsid w:val="00306B10"/>
    <w:rsid w:val="00307A44"/>
    <w:rsid w:val="00310829"/>
    <w:rsid w:val="00311302"/>
    <w:rsid w:val="00313E55"/>
    <w:rsid w:val="00314266"/>
    <w:rsid w:val="00315B3F"/>
    <w:rsid w:val="00315C85"/>
    <w:rsid w:val="00316BA8"/>
    <w:rsid w:val="0032075E"/>
    <w:rsid w:val="00321BE2"/>
    <w:rsid w:val="003228A4"/>
    <w:rsid w:val="00323121"/>
    <w:rsid w:val="0032318F"/>
    <w:rsid w:val="003239F2"/>
    <w:rsid w:val="00324122"/>
    <w:rsid w:val="003243C8"/>
    <w:rsid w:val="00326312"/>
    <w:rsid w:val="0032751B"/>
    <w:rsid w:val="00331454"/>
    <w:rsid w:val="00331E0B"/>
    <w:rsid w:val="003334FA"/>
    <w:rsid w:val="00334ACF"/>
    <w:rsid w:val="00334EF4"/>
    <w:rsid w:val="00335413"/>
    <w:rsid w:val="00336FBC"/>
    <w:rsid w:val="00340B65"/>
    <w:rsid w:val="00342453"/>
    <w:rsid w:val="0034335E"/>
    <w:rsid w:val="003441B4"/>
    <w:rsid w:val="0034457C"/>
    <w:rsid w:val="00344E44"/>
    <w:rsid w:val="0034776F"/>
    <w:rsid w:val="00350064"/>
    <w:rsid w:val="003523E0"/>
    <w:rsid w:val="003526D5"/>
    <w:rsid w:val="00353DF7"/>
    <w:rsid w:val="0035460E"/>
    <w:rsid w:val="00354F94"/>
    <w:rsid w:val="00354F9E"/>
    <w:rsid w:val="0035515A"/>
    <w:rsid w:val="003552F7"/>
    <w:rsid w:val="003558AF"/>
    <w:rsid w:val="003577EE"/>
    <w:rsid w:val="003603C1"/>
    <w:rsid w:val="00362B55"/>
    <w:rsid w:val="00362B6B"/>
    <w:rsid w:val="00364871"/>
    <w:rsid w:val="00365C12"/>
    <w:rsid w:val="00365CB0"/>
    <w:rsid w:val="00365E51"/>
    <w:rsid w:val="00366C15"/>
    <w:rsid w:val="00367306"/>
    <w:rsid w:val="00367921"/>
    <w:rsid w:val="00367A96"/>
    <w:rsid w:val="00371430"/>
    <w:rsid w:val="00372259"/>
    <w:rsid w:val="00372AE6"/>
    <w:rsid w:val="003736CD"/>
    <w:rsid w:val="00373CD5"/>
    <w:rsid w:val="00374B4A"/>
    <w:rsid w:val="00375921"/>
    <w:rsid w:val="0037752C"/>
    <w:rsid w:val="00380184"/>
    <w:rsid w:val="00380614"/>
    <w:rsid w:val="00381026"/>
    <w:rsid w:val="0038429F"/>
    <w:rsid w:val="003842D0"/>
    <w:rsid w:val="00391B37"/>
    <w:rsid w:val="00392216"/>
    <w:rsid w:val="00392313"/>
    <w:rsid w:val="00392FCA"/>
    <w:rsid w:val="003934E5"/>
    <w:rsid w:val="00393A96"/>
    <w:rsid w:val="00397DEC"/>
    <w:rsid w:val="003A0456"/>
    <w:rsid w:val="003A22D4"/>
    <w:rsid w:val="003A2478"/>
    <w:rsid w:val="003A434C"/>
    <w:rsid w:val="003A73AD"/>
    <w:rsid w:val="003B02F2"/>
    <w:rsid w:val="003B04FF"/>
    <w:rsid w:val="003B0803"/>
    <w:rsid w:val="003B2640"/>
    <w:rsid w:val="003B3B11"/>
    <w:rsid w:val="003B3F46"/>
    <w:rsid w:val="003B4D67"/>
    <w:rsid w:val="003B5CEB"/>
    <w:rsid w:val="003B5FF7"/>
    <w:rsid w:val="003B6929"/>
    <w:rsid w:val="003C020D"/>
    <w:rsid w:val="003C22E0"/>
    <w:rsid w:val="003C5927"/>
    <w:rsid w:val="003C66DB"/>
    <w:rsid w:val="003C6891"/>
    <w:rsid w:val="003C7FCA"/>
    <w:rsid w:val="003D0D41"/>
    <w:rsid w:val="003D1E73"/>
    <w:rsid w:val="003D21A9"/>
    <w:rsid w:val="003D4F34"/>
    <w:rsid w:val="003D6C85"/>
    <w:rsid w:val="003D7F1B"/>
    <w:rsid w:val="003E0175"/>
    <w:rsid w:val="003E22DD"/>
    <w:rsid w:val="003E260D"/>
    <w:rsid w:val="003E2F83"/>
    <w:rsid w:val="003E4B87"/>
    <w:rsid w:val="003E7318"/>
    <w:rsid w:val="003E7FFA"/>
    <w:rsid w:val="003F0577"/>
    <w:rsid w:val="003F0B4F"/>
    <w:rsid w:val="003F0F35"/>
    <w:rsid w:val="003F2752"/>
    <w:rsid w:val="0040357E"/>
    <w:rsid w:val="00404C6E"/>
    <w:rsid w:val="00405B99"/>
    <w:rsid w:val="00405E3D"/>
    <w:rsid w:val="00407137"/>
    <w:rsid w:val="00407D7C"/>
    <w:rsid w:val="004128D3"/>
    <w:rsid w:val="00412B5C"/>
    <w:rsid w:val="00413C37"/>
    <w:rsid w:val="004146CD"/>
    <w:rsid w:val="00417E9B"/>
    <w:rsid w:val="0042009A"/>
    <w:rsid w:val="00424256"/>
    <w:rsid w:val="00425DA8"/>
    <w:rsid w:val="004265F4"/>
    <w:rsid w:val="00433F49"/>
    <w:rsid w:val="00437853"/>
    <w:rsid w:val="004402EE"/>
    <w:rsid w:val="0044112F"/>
    <w:rsid w:val="0044187C"/>
    <w:rsid w:val="00442266"/>
    <w:rsid w:val="00442517"/>
    <w:rsid w:val="0044263B"/>
    <w:rsid w:val="00442B87"/>
    <w:rsid w:val="00446B8B"/>
    <w:rsid w:val="00447043"/>
    <w:rsid w:val="00452240"/>
    <w:rsid w:val="004556D7"/>
    <w:rsid w:val="004564FB"/>
    <w:rsid w:val="004569A5"/>
    <w:rsid w:val="00456D90"/>
    <w:rsid w:val="00457669"/>
    <w:rsid w:val="004602B6"/>
    <w:rsid w:val="0046086D"/>
    <w:rsid w:val="004620E0"/>
    <w:rsid w:val="00462FE1"/>
    <w:rsid w:val="00463E16"/>
    <w:rsid w:val="00465524"/>
    <w:rsid w:val="004655E2"/>
    <w:rsid w:val="0046E4CA"/>
    <w:rsid w:val="00470840"/>
    <w:rsid w:val="00470CFF"/>
    <w:rsid w:val="004713B5"/>
    <w:rsid w:val="00472AB2"/>
    <w:rsid w:val="00472E88"/>
    <w:rsid w:val="0047788B"/>
    <w:rsid w:val="00481CD4"/>
    <w:rsid w:val="00482748"/>
    <w:rsid w:val="00483015"/>
    <w:rsid w:val="0048693A"/>
    <w:rsid w:val="00486BB7"/>
    <w:rsid w:val="00487C66"/>
    <w:rsid w:val="00491433"/>
    <w:rsid w:val="00491937"/>
    <w:rsid w:val="00492A43"/>
    <w:rsid w:val="0049394F"/>
    <w:rsid w:val="004970BB"/>
    <w:rsid w:val="00497AEE"/>
    <w:rsid w:val="00497E81"/>
    <w:rsid w:val="004A0053"/>
    <w:rsid w:val="004A0488"/>
    <w:rsid w:val="004A0E7B"/>
    <w:rsid w:val="004A1037"/>
    <w:rsid w:val="004A1343"/>
    <w:rsid w:val="004A150A"/>
    <w:rsid w:val="004A2208"/>
    <w:rsid w:val="004A3415"/>
    <w:rsid w:val="004A3682"/>
    <w:rsid w:val="004A3B5F"/>
    <w:rsid w:val="004A4E5C"/>
    <w:rsid w:val="004A4F5F"/>
    <w:rsid w:val="004A65D2"/>
    <w:rsid w:val="004A706C"/>
    <w:rsid w:val="004A731F"/>
    <w:rsid w:val="004B24BA"/>
    <w:rsid w:val="004B2F55"/>
    <w:rsid w:val="004B5013"/>
    <w:rsid w:val="004B6BFF"/>
    <w:rsid w:val="004B6CF4"/>
    <w:rsid w:val="004C092A"/>
    <w:rsid w:val="004C1008"/>
    <w:rsid w:val="004C1531"/>
    <w:rsid w:val="004C184E"/>
    <w:rsid w:val="004C25B7"/>
    <w:rsid w:val="004C5197"/>
    <w:rsid w:val="004C5273"/>
    <w:rsid w:val="004C5BC3"/>
    <w:rsid w:val="004C7DBB"/>
    <w:rsid w:val="004D31EC"/>
    <w:rsid w:val="004D396E"/>
    <w:rsid w:val="004D3EA6"/>
    <w:rsid w:val="004D51BD"/>
    <w:rsid w:val="004D59CC"/>
    <w:rsid w:val="004D643D"/>
    <w:rsid w:val="004D677E"/>
    <w:rsid w:val="004D7FF8"/>
    <w:rsid w:val="004E2233"/>
    <w:rsid w:val="004E2D80"/>
    <w:rsid w:val="004E3349"/>
    <w:rsid w:val="004E4F7F"/>
    <w:rsid w:val="004E5440"/>
    <w:rsid w:val="004E7093"/>
    <w:rsid w:val="004E750D"/>
    <w:rsid w:val="004F07CE"/>
    <w:rsid w:val="004F07E9"/>
    <w:rsid w:val="004F19A8"/>
    <w:rsid w:val="004F2786"/>
    <w:rsid w:val="004F54D2"/>
    <w:rsid w:val="004F5FE4"/>
    <w:rsid w:val="004F7760"/>
    <w:rsid w:val="00501C83"/>
    <w:rsid w:val="0050219D"/>
    <w:rsid w:val="005023CB"/>
    <w:rsid w:val="00502505"/>
    <w:rsid w:val="00502D84"/>
    <w:rsid w:val="005031FB"/>
    <w:rsid w:val="005044CE"/>
    <w:rsid w:val="00506301"/>
    <w:rsid w:val="00507237"/>
    <w:rsid w:val="00510CEE"/>
    <w:rsid w:val="0051271F"/>
    <w:rsid w:val="00513257"/>
    <w:rsid w:val="00516201"/>
    <w:rsid w:val="00516942"/>
    <w:rsid w:val="00516D65"/>
    <w:rsid w:val="00516EC4"/>
    <w:rsid w:val="00517193"/>
    <w:rsid w:val="00517343"/>
    <w:rsid w:val="00517631"/>
    <w:rsid w:val="00517D76"/>
    <w:rsid w:val="00520135"/>
    <w:rsid w:val="00521A69"/>
    <w:rsid w:val="00521AFB"/>
    <w:rsid w:val="00521E20"/>
    <w:rsid w:val="0052226B"/>
    <w:rsid w:val="005246AA"/>
    <w:rsid w:val="00525AF1"/>
    <w:rsid w:val="00526E4D"/>
    <w:rsid w:val="0053071E"/>
    <w:rsid w:val="00530D92"/>
    <w:rsid w:val="00531064"/>
    <w:rsid w:val="00532CAC"/>
    <w:rsid w:val="00533DAD"/>
    <w:rsid w:val="00534D10"/>
    <w:rsid w:val="00535177"/>
    <w:rsid w:val="00535C3D"/>
    <w:rsid w:val="00536B9E"/>
    <w:rsid w:val="00536BFE"/>
    <w:rsid w:val="00541346"/>
    <w:rsid w:val="00541C18"/>
    <w:rsid w:val="0054263E"/>
    <w:rsid w:val="005434A8"/>
    <w:rsid w:val="00546CFB"/>
    <w:rsid w:val="00550440"/>
    <w:rsid w:val="00551518"/>
    <w:rsid w:val="0055294B"/>
    <w:rsid w:val="00561267"/>
    <w:rsid w:val="00561318"/>
    <w:rsid w:val="00561629"/>
    <w:rsid w:val="0056166A"/>
    <w:rsid w:val="005647C5"/>
    <w:rsid w:val="00564FEE"/>
    <w:rsid w:val="0056505F"/>
    <w:rsid w:val="0056608C"/>
    <w:rsid w:val="0057195F"/>
    <w:rsid w:val="00571C83"/>
    <w:rsid w:val="00573431"/>
    <w:rsid w:val="00576D1A"/>
    <w:rsid w:val="005801A0"/>
    <w:rsid w:val="00580562"/>
    <w:rsid w:val="0058241B"/>
    <w:rsid w:val="00582EE9"/>
    <w:rsid w:val="005833C9"/>
    <w:rsid w:val="00583E02"/>
    <w:rsid w:val="00584874"/>
    <w:rsid w:val="00585F7B"/>
    <w:rsid w:val="0058620E"/>
    <w:rsid w:val="005862F3"/>
    <w:rsid w:val="00586F21"/>
    <w:rsid w:val="005910A3"/>
    <w:rsid w:val="00592865"/>
    <w:rsid w:val="0059424C"/>
    <w:rsid w:val="005945BD"/>
    <w:rsid w:val="005948D8"/>
    <w:rsid w:val="005979C5"/>
    <w:rsid w:val="005A1B29"/>
    <w:rsid w:val="005A5516"/>
    <w:rsid w:val="005A6EAD"/>
    <w:rsid w:val="005B1B09"/>
    <w:rsid w:val="005B2117"/>
    <w:rsid w:val="005B239E"/>
    <w:rsid w:val="005B2717"/>
    <w:rsid w:val="005B528A"/>
    <w:rsid w:val="005B6C35"/>
    <w:rsid w:val="005B751F"/>
    <w:rsid w:val="005B7A17"/>
    <w:rsid w:val="005B7B90"/>
    <w:rsid w:val="005C091F"/>
    <w:rsid w:val="005C2A9E"/>
    <w:rsid w:val="005C3CD7"/>
    <w:rsid w:val="005C4222"/>
    <w:rsid w:val="005C4C12"/>
    <w:rsid w:val="005C5EE7"/>
    <w:rsid w:val="005C799F"/>
    <w:rsid w:val="005C7BFF"/>
    <w:rsid w:val="005D014A"/>
    <w:rsid w:val="005D093B"/>
    <w:rsid w:val="005D187D"/>
    <w:rsid w:val="005D2B59"/>
    <w:rsid w:val="005D3070"/>
    <w:rsid w:val="005D336C"/>
    <w:rsid w:val="005D3AE0"/>
    <w:rsid w:val="005D4A51"/>
    <w:rsid w:val="005D5D08"/>
    <w:rsid w:val="005D66CA"/>
    <w:rsid w:val="005E20D8"/>
    <w:rsid w:val="005E35FD"/>
    <w:rsid w:val="005E48EE"/>
    <w:rsid w:val="005E7C51"/>
    <w:rsid w:val="005F0153"/>
    <w:rsid w:val="005F10BE"/>
    <w:rsid w:val="005F19B3"/>
    <w:rsid w:val="005F1CF8"/>
    <w:rsid w:val="005F2D73"/>
    <w:rsid w:val="005F4175"/>
    <w:rsid w:val="005F58E8"/>
    <w:rsid w:val="005F59D4"/>
    <w:rsid w:val="005F5FF9"/>
    <w:rsid w:val="005F6810"/>
    <w:rsid w:val="005F732A"/>
    <w:rsid w:val="00603A2D"/>
    <w:rsid w:val="00604590"/>
    <w:rsid w:val="00605247"/>
    <w:rsid w:val="00605373"/>
    <w:rsid w:val="00607C89"/>
    <w:rsid w:val="0061092E"/>
    <w:rsid w:val="00611190"/>
    <w:rsid w:val="006138BE"/>
    <w:rsid w:val="00613946"/>
    <w:rsid w:val="006145AE"/>
    <w:rsid w:val="00615CDC"/>
    <w:rsid w:val="00616C13"/>
    <w:rsid w:val="006177C2"/>
    <w:rsid w:val="00617ED5"/>
    <w:rsid w:val="00622905"/>
    <w:rsid w:val="006230EB"/>
    <w:rsid w:val="00623F8A"/>
    <w:rsid w:val="0062489C"/>
    <w:rsid w:val="00624A57"/>
    <w:rsid w:val="006264BC"/>
    <w:rsid w:val="00627EC0"/>
    <w:rsid w:val="0063040B"/>
    <w:rsid w:val="0063061B"/>
    <w:rsid w:val="0063087B"/>
    <w:rsid w:val="00630ABF"/>
    <w:rsid w:val="00632254"/>
    <w:rsid w:val="0063229A"/>
    <w:rsid w:val="00633F3C"/>
    <w:rsid w:val="00634528"/>
    <w:rsid w:val="0063720F"/>
    <w:rsid w:val="00637BAA"/>
    <w:rsid w:val="00637E77"/>
    <w:rsid w:val="00640238"/>
    <w:rsid w:val="006408F1"/>
    <w:rsid w:val="00641BE2"/>
    <w:rsid w:val="00641F23"/>
    <w:rsid w:val="0064206F"/>
    <w:rsid w:val="00642DBA"/>
    <w:rsid w:val="006454BE"/>
    <w:rsid w:val="006464A2"/>
    <w:rsid w:val="006468A5"/>
    <w:rsid w:val="00646C16"/>
    <w:rsid w:val="00651663"/>
    <w:rsid w:val="00652029"/>
    <w:rsid w:val="006538CB"/>
    <w:rsid w:val="00653FF3"/>
    <w:rsid w:val="00655482"/>
    <w:rsid w:val="00655896"/>
    <w:rsid w:val="00655B4B"/>
    <w:rsid w:val="00660C93"/>
    <w:rsid w:val="00660D1D"/>
    <w:rsid w:val="00661C9D"/>
    <w:rsid w:val="00664C41"/>
    <w:rsid w:val="00664DF5"/>
    <w:rsid w:val="006668D0"/>
    <w:rsid w:val="00667985"/>
    <w:rsid w:val="00671FFD"/>
    <w:rsid w:val="00672472"/>
    <w:rsid w:val="006726E9"/>
    <w:rsid w:val="00672CE3"/>
    <w:rsid w:val="006747FB"/>
    <w:rsid w:val="006750BF"/>
    <w:rsid w:val="00676743"/>
    <w:rsid w:val="00677FCC"/>
    <w:rsid w:val="006817A2"/>
    <w:rsid w:val="006817C7"/>
    <w:rsid w:val="0068226C"/>
    <w:rsid w:val="006824C6"/>
    <w:rsid w:val="00682F69"/>
    <w:rsid w:val="0068318E"/>
    <w:rsid w:val="006846CE"/>
    <w:rsid w:val="006853D8"/>
    <w:rsid w:val="006864CE"/>
    <w:rsid w:val="0068685C"/>
    <w:rsid w:val="00686948"/>
    <w:rsid w:val="0068710E"/>
    <w:rsid w:val="00691615"/>
    <w:rsid w:val="00691B02"/>
    <w:rsid w:val="006920B3"/>
    <w:rsid w:val="00692A1D"/>
    <w:rsid w:val="00693A56"/>
    <w:rsid w:val="00696736"/>
    <w:rsid w:val="00697B03"/>
    <w:rsid w:val="00697BCE"/>
    <w:rsid w:val="006A0F31"/>
    <w:rsid w:val="006A1EFA"/>
    <w:rsid w:val="006A2B9A"/>
    <w:rsid w:val="006A452A"/>
    <w:rsid w:val="006B1547"/>
    <w:rsid w:val="006B1902"/>
    <w:rsid w:val="006B261D"/>
    <w:rsid w:val="006B31CD"/>
    <w:rsid w:val="006B355B"/>
    <w:rsid w:val="006B551C"/>
    <w:rsid w:val="006C0EAC"/>
    <w:rsid w:val="006C0F19"/>
    <w:rsid w:val="006C1357"/>
    <w:rsid w:val="006C396D"/>
    <w:rsid w:val="006C42E4"/>
    <w:rsid w:val="006C4482"/>
    <w:rsid w:val="006C4645"/>
    <w:rsid w:val="006C4C3E"/>
    <w:rsid w:val="006C545B"/>
    <w:rsid w:val="006C5A8E"/>
    <w:rsid w:val="006C5DB2"/>
    <w:rsid w:val="006C610B"/>
    <w:rsid w:val="006C6B33"/>
    <w:rsid w:val="006D20D6"/>
    <w:rsid w:val="006D258F"/>
    <w:rsid w:val="006D25F7"/>
    <w:rsid w:val="006D28DF"/>
    <w:rsid w:val="006D2E78"/>
    <w:rsid w:val="006D33D2"/>
    <w:rsid w:val="006D359F"/>
    <w:rsid w:val="006D378E"/>
    <w:rsid w:val="006D46EC"/>
    <w:rsid w:val="006D480B"/>
    <w:rsid w:val="006D5A53"/>
    <w:rsid w:val="006D5D39"/>
    <w:rsid w:val="006D70FE"/>
    <w:rsid w:val="006D7BDD"/>
    <w:rsid w:val="006D7BF7"/>
    <w:rsid w:val="006E0412"/>
    <w:rsid w:val="006E11C4"/>
    <w:rsid w:val="006E2D00"/>
    <w:rsid w:val="006E320A"/>
    <w:rsid w:val="006E3516"/>
    <w:rsid w:val="006E3BAE"/>
    <w:rsid w:val="006E7869"/>
    <w:rsid w:val="006F136A"/>
    <w:rsid w:val="006F1B7E"/>
    <w:rsid w:val="006F261E"/>
    <w:rsid w:val="006F5061"/>
    <w:rsid w:val="006F5938"/>
    <w:rsid w:val="006F5EF4"/>
    <w:rsid w:val="006F78B5"/>
    <w:rsid w:val="00701BF7"/>
    <w:rsid w:val="007024CF"/>
    <w:rsid w:val="00704ED2"/>
    <w:rsid w:val="007060D8"/>
    <w:rsid w:val="00706815"/>
    <w:rsid w:val="00706CF5"/>
    <w:rsid w:val="00707F55"/>
    <w:rsid w:val="00710696"/>
    <w:rsid w:val="00711127"/>
    <w:rsid w:val="00711A56"/>
    <w:rsid w:val="00712DE5"/>
    <w:rsid w:val="007130CC"/>
    <w:rsid w:val="00713FE5"/>
    <w:rsid w:val="0071550B"/>
    <w:rsid w:val="007160EB"/>
    <w:rsid w:val="00716A34"/>
    <w:rsid w:val="00717A52"/>
    <w:rsid w:val="007219F4"/>
    <w:rsid w:val="00721FA8"/>
    <w:rsid w:val="007235CB"/>
    <w:rsid w:val="00726735"/>
    <w:rsid w:val="0072719A"/>
    <w:rsid w:val="00730284"/>
    <w:rsid w:val="00730587"/>
    <w:rsid w:val="00731728"/>
    <w:rsid w:val="0073183A"/>
    <w:rsid w:val="00735FAA"/>
    <w:rsid w:val="00737BFA"/>
    <w:rsid w:val="00741E7D"/>
    <w:rsid w:val="00743C16"/>
    <w:rsid w:val="00751DAB"/>
    <w:rsid w:val="007617A2"/>
    <w:rsid w:val="007639AD"/>
    <w:rsid w:val="00763C60"/>
    <w:rsid w:val="00764BF7"/>
    <w:rsid w:val="00765C3B"/>
    <w:rsid w:val="00766582"/>
    <w:rsid w:val="007665A3"/>
    <w:rsid w:val="00770D9A"/>
    <w:rsid w:val="0077113C"/>
    <w:rsid w:val="007719C1"/>
    <w:rsid w:val="00772754"/>
    <w:rsid w:val="00772C49"/>
    <w:rsid w:val="007732D6"/>
    <w:rsid w:val="00773659"/>
    <w:rsid w:val="00773C42"/>
    <w:rsid w:val="007751F3"/>
    <w:rsid w:val="00775746"/>
    <w:rsid w:val="007759ED"/>
    <w:rsid w:val="0077665B"/>
    <w:rsid w:val="007772C4"/>
    <w:rsid w:val="00780F98"/>
    <w:rsid w:val="00786D8F"/>
    <w:rsid w:val="007876D7"/>
    <w:rsid w:val="0079204A"/>
    <w:rsid w:val="0079301D"/>
    <w:rsid w:val="0079372E"/>
    <w:rsid w:val="00793B6F"/>
    <w:rsid w:val="00794942"/>
    <w:rsid w:val="007A2E59"/>
    <w:rsid w:val="007A2E68"/>
    <w:rsid w:val="007A37C7"/>
    <w:rsid w:val="007A3E6E"/>
    <w:rsid w:val="007A444F"/>
    <w:rsid w:val="007A6038"/>
    <w:rsid w:val="007A642E"/>
    <w:rsid w:val="007A6466"/>
    <w:rsid w:val="007B2645"/>
    <w:rsid w:val="007B620F"/>
    <w:rsid w:val="007B724C"/>
    <w:rsid w:val="007C0E56"/>
    <w:rsid w:val="007C1720"/>
    <w:rsid w:val="007C1ACB"/>
    <w:rsid w:val="007C2159"/>
    <w:rsid w:val="007C30F0"/>
    <w:rsid w:val="007C4AD3"/>
    <w:rsid w:val="007C547C"/>
    <w:rsid w:val="007C5832"/>
    <w:rsid w:val="007C656E"/>
    <w:rsid w:val="007C6762"/>
    <w:rsid w:val="007D0335"/>
    <w:rsid w:val="007D0681"/>
    <w:rsid w:val="007D21ED"/>
    <w:rsid w:val="007D257E"/>
    <w:rsid w:val="007D31D9"/>
    <w:rsid w:val="007D44EE"/>
    <w:rsid w:val="007D5133"/>
    <w:rsid w:val="007D5F66"/>
    <w:rsid w:val="007D72FF"/>
    <w:rsid w:val="007E085C"/>
    <w:rsid w:val="007E0A14"/>
    <w:rsid w:val="007E297B"/>
    <w:rsid w:val="007E2CDA"/>
    <w:rsid w:val="007E5413"/>
    <w:rsid w:val="007E542E"/>
    <w:rsid w:val="007E5444"/>
    <w:rsid w:val="007E5855"/>
    <w:rsid w:val="007E5BA5"/>
    <w:rsid w:val="007E5FFB"/>
    <w:rsid w:val="007E65CB"/>
    <w:rsid w:val="007E6980"/>
    <w:rsid w:val="007E6BD7"/>
    <w:rsid w:val="007E6CA6"/>
    <w:rsid w:val="007E6EC0"/>
    <w:rsid w:val="007F10F2"/>
    <w:rsid w:val="007F12B8"/>
    <w:rsid w:val="007F2E35"/>
    <w:rsid w:val="007F32A5"/>
    <w:rsid w:val="007F3A16"/>
    <w:rsid w:val="007F3E2D"/>
    <w:rsid w:val="007F3FC0"/>
    <w:rsid w:val="007F4CCD"/>
    <w:rsid w:val="007F6B37"/>
    <w:rsid w:val="007F7D60"/>
    <w:rsid w:val="00802564"/>
    <w:rsid w:val="00802D6C"/>
    <w:rsid w:val="008036AC"/>
    <w:rsid w:val="0080440B"/>
    <w:rsid w:val="00804876"/>
    <w:rsid w:val="00806423"/>
    <w:rsid w:val="008074C7"/>
    <w:rsid w:val="008127C1"/>
    <w:rsid w:val="00812C4E"/>
    <w:rsid w:val="00814D73"/>
    <w:rsid w:val="0081690D"/>
    <w:rsid w:val="00816AF9"/>
    <w:rsid w:val="00816F5C"/>
    <w:rsid w:val="00821C1C"/>
    <w:rsid w:val="008239AF"/>
    <w:rsid w:val="00823A5F"/>
    <w:rsid w:val="00823E90"/>
    <w:rsid w:val="00824CAB"/>
    <w:rsid w:val="00825FF7"/>
    <w:rsid w:val="008270DF"/>
    <w:rsid w:val="008277F5"/>
    <w:rsid w:val="00827E93"/>
    <w:rsid w:val="008331F4"/>
    <w:rsid w:val="00833572"/>
    <w:rsid w:val="00834B32"/>
    <w:rsid w:val="00834B8E"/>
    <w:rsid w:val="00835833"/>
    <w:rsid w:val="00835AA7"/>
    <w:rsid w:val="00835E5C"/>
    <w:rsid w:val="0083647F"/>
    <w:rsid w:val="00836E17"/>
    <w:rsid w:val="00840B55"/>
    <w:rsid w:val="00840EA1"/>
    <w:rsid w:val="0084161D"/>
    <w:rsid w:val="00841D7D"/>
    <w:rsid w:val="00843E0F"/>
    <w:rsid w:val="00843E59"/>
    <w:rsid w:val="0084469E"/>
    <w:rsid w:val="00845467"/>
    <w:rsid w:val="0084759D"/>
    <w:rsid w:val="00852810"/>
    <w:rsid w:val="00853006"/>
    <w:rsid w:val="00855663"/>
    <w:rsid w:val="0085590A"/>
    <w:rsid w:val="008563F8"/>
    <w:rsid w:val="00856CED"/>
    <w:rsid w:val="00857D6C"/>
    <w:rsid w:val="0086371E"/>
    <w:rsid w:val="00863E87"/>
    <w:rsid w:val="00864914"/>
    <w:rsid w:val="00867062"/>
    <w:rsid w:val="00870DD9"/>
    <w:rsid w:val="00871708"/>
    <w:rsid w:val="00873853"/>
    <w:rsid w:val="00874A97"/>
    <w:rsid w:val="00876CB1"/>
    <w:rsid w:val="00876E68"/>
    <w:rsid w:val="00880D9B"/>
    <w:rsid w:val="00880DCD"/>
    <w:rsid w:val="00880FC7"/>
    <w:rsid w:val="008829D5"/>
    <w:rsid w:val="00882D80"/>
    <w:rsid w:val="008834D6"/>
    <w:rsid w:val="00883926"/>
    <w:rsid w:val="0088457B"/>
    <w:rsid w:val="008849E8"/>
    <w:rsid w:val="00884FB4"/>
    <w:rsid w:val="008869EB"/>
    <w:rsid w:val="008873CF"/>
    <w:rsid w:val="00891FFF"/>
    <w:rsid w:val="00892661"/>
    <w:rsid w:val="008948FF"/>
    <w:rsid w:val="008950B4"/>
    <w:rsid w:val="00895FBF"/>
    <w:rsid w:val="008973F1"/>
    <w:rsid w:val="008977A3"/>
    <w:rsid w:val="008A095B"/>
    <w:rsid w:val="008A2986"/>
    <w:rsid w:val="008A4CFD"/>
    <w:rsid w:val="008A5B5D"/>
    <w:rsid w:val="008A5C05"/>
    <w:rsid w:val="008A6CA0"/>
    <w:rsid w:val="008B0A8F"/>
    <w:rsid w:val="008B2064"/>
    <w:rsid w:val="008B2D53"/>
    <w:rsid w:val="008B5ED1"/>
    <w:rsid w:val="008B643E"/>
    <w:rsid w:val="008B68DE"/>
    <w:rsid w:val="008B7155"/>
    <w:rsid w:val="008B78C1"/>
    <w:rsid w:val="008C1067"/>
    <w:rsid w:val="008C109A"/>
    <w:rsid w:val="008C18C6"/>
    <w:rsid w:val="008C1C5B"/>
    <w:rsid w:val="008C3D24"/>
    <w:rsid w:val="008C420B"/>
    <w:rsid w:val="008C42B0"/>
    <w:rsid w:val="008C4542"/>
    <w:rsid w:val="008C4F68"/>
    <w:rsid w:val="008C6692"/>
    <w:rsid w:val="008D0568"/>
    <w:rsid w:val="008D0685"/>
    <w:rsid w:val="008D2100"/>
    <w:rsid w:val="008D3A7D"/>
    <w:rsid w:val="008D49B4"/>
    <w:rsid w:val="008D4D8F"/>
    <w:rsid w:val="008D601D"/>
    <w:rsid w:val="008D63F9"/>
    <w:rsid w:val="008D6946"/>
    <w:rsid w:val="008D6E70"/>
    <w:rsid w:val="008D7690"/>
    <w:rsid w:val="008D7B81"/>
    <w:rsid w:val="008D7D7A"/>
    <w:rsid w:val="008E057A"/>
    <w:rsid w:val="008E10CB"/>
    <w:rsid w:val="008E1CF6"/>
    <w:rsid w:val="008E1DB8"/>
    <w:rsid w:val="008E29E0"/>
    <w:rsid w:val="008E565B"/>
    <w:rsid w:val="008E613C"/>
    <w:rsid w:val="008E6505"/>
    <w:rsid w:val="008E6747"/>
    <w:rsid w:val="008F02B7"/>
    <w:rsid w:val="008F1C26"/>
    <w:rsid w:val="008F1F74"/>
    <w:rsid w:val="008F1FEA"/>
    <w:rsid w:val="008F43B4"/>
    <w:rsid w:val="008F4674"/>
    <w:rsid w:val="008F6D92"/>
    <w:rsid w:val="008F702E"/>
    <w:rsid w:val="008F70BB"/>
    <w:rsid w:val="008F7980"/>
    <w:rsid w:val="009003E7"/>
    <w:rsid w:val="0090202E"/>
    <w:rsid w:val="00902600"/>
    <w:rsid w:val="00902D67"/>
    <w:rsid w:val="00904575"/>
    <w:rsid w:val="00913EE7"/>
    <w:rsid w:val="00915143"/>
    <w:rsid w:val="00915A66"/>
    <w:rsid w:val="009205FE"/>
    <w:rsid w:val="00920D02"/>
    <w:rsid w:val="009211FF"/>
    <w:rsid w:val="00922CDF"/>
    <w:rsid w:val="00923195"/>
    <w:rsid w:val="00923FCE"/>
    <w:rsid w:val="00924255"/>
    <w:rsid w:val="009244D6"/>
    <w:rsid w:val="00925770"/>
    <w:rsid w:val="0092593E"/>
    <w:rsid w:val="00926FB3"/>
    <w:rsid w:val="00927126"/>
    <w:rsid w:val="00927BBE"/>
    <w:rsid w:val="00930583"/>
    <w:rsid w:val="0093352A"/>
    <w:rsid w:val="0093418F"/>
    <w:rsid w:val="0093470E"/>
    <w:rsid w:val="0093691A"/>
    <w:rsid w:val="009405D4"/>
    <w:rsid w:val="009420E1"/>
    <w:rsid w:val="0094249E"/>
    <w:rsid w:val="00942778"/>
    <w:rsid w:val="0094370C"/>
    <w:rsid w:val="00944B08"/>
    <w:rsid w:val="00945588"/>
    <w:rsid w:val="00945A40"/>
    <w:rsid w:val="00945C1D"/>
    <w:rsid w:val="00946BA1"/>
    <w:rsid w:val="0094778B"/>
    <w:rsid w:val="00950151"/>
    <w:rsid w:val="00950378"/>
    <w:rsid w:val="0095116D"/>
    <w:rsid w:val="009524BB"/>
    <w:rsid w:val="0095439E"/>
    <w:rsid w:val="00955D00"/>
    <w:rsid w:val="009572A4"/>
    <w:rsid w:val="00961C28"/>
    <w:rsid w:val="00962C1E"/>
    <w:rsid w:val="00963118"/>
    <w:rsid w:val="0096374D"/>
    <w:rsid w:val="00964AE0"/>
    <w:rsid w:val="009712A4"/>
    <w:rsid w:val="00972BD5"/>
    <w:rsid w:val="00973518"/>
    <w:rsid w:val="00973839"/>
    <w:rsid w:val="0097451D"/>
    <w:rsid w:val="009750B1"/>
    <w:rsid w:val="00976EB5"/>
    <w:rsid w:val="009816EE"/>
    <w:rsid w:val="009817EE"/>
    <w:rsid w:val="00981823"/>
    <w:rsid w:val="00981E0C"/>
    <w:rsid w:val="009821DB"/>
    <w:rsid w:val="009828C0"/>
    <w:rsid w:val="00983761"/>
    <w:rsid w:val="00984636"/>
    <w:rsid w:val="00985414"/>
    <w:rsid w:val="00985AB6"/>
    <w:rsid w:val="009865E5"/>
    <w:rsid w:val="00986A43"/>
    <w:rsid w:val="00987BFE"/>
    <w:rsid w:val="009901B1"/>
    <w:rsid w:val="00991A87"/>
    <w:rsid w:val="00991C4F"/>
    <w:rsid w:val="0099288C"/>
    <w:rsid w:val="009945FD"/>
    <w:rsid w:val="00994C52"/>
    <w:rsid w:val="009952C8"/>
    <w:rsid w:val="009960E4"/>
    <w:rsid w:val="0099783C"/>
    <w:rsid w:val="009A2488"/>
    <w:rsid w:val="009A42D1"/>
    <w:rsid w:val="009A536C"/>
    <w:rsid w:val="009A554D"/>
    <w:rsid w:val="009A5906"/>
    <w:rsid w:val="009A6B4C"/>
    <w:rsid w:val="009B14C9"/>
    <w:rsid w:val="009B25BE"/>
    <w:rsid w:val="009B311D"/>
    <w:rsid w:val="009B4890"/>
    <w:rsid w:val="009B639D"/>
    <w:rsid w:val="009C103E"/>
    <w:rsid w:val="009C39AE"/>
    <w:rsid w:val="009C5162"/>
    <w:rsid w:val="009C5238"/>
    <w:rsid w:val="009C553E"/>
    <w:rsid w:val="009C5792"/>
    <w:rsid w:val="009C6176"/>
    <w:rsid w:val="009C7824"/>
    <w:rsid w:val="009D120B"/>
    <w:rsid w:val="009D226D"/>
    <w:rsid w:val="009D2B9D"/>
    <w:rsid w:val="009D4558"/>
    <w:rsid w:val="009D4BDD"/>
    <w:rsid w:val="009D530B"/>
    <w:rsid w:val="009E0313"/>
    <w:rsid w:val="009E07B5"/>
    <w:rsid w:val="009E14ED"/>
    <w:rsid w:val="009E6340"/>
    <w:rsid w:val="009E6D39"/>
    <w:rsid w:val="009F03C8"/>
    <w:rsid w:val="009F060B"/>
    <w:rsid w:val="009F0B79"/>
    <w:rsid w:val="009F12D6"/>
    <w:rsid w:val="009F2074"/>
    <w:rsid w:val="009F211A"/>
    <w:rsid w:val="009F2CEF"/>
    <w:rsid w:val="009F3FD9"/>
    <w:rsid w:val="009F523D"/>
    <w:rsid w:val="009F617D"/>
    <w:rsid w:val="009F68A3"/>
    <w:rsid w:val="00A00F3B"/>
    <w:rsid w:val="00A034B4"/>
    <w:rsid w:val="00A0358A"/>
    <w:rsid w:val="00A03A1A"/>
    <w:rsid w:val="00A03D98"/>
    <w:rsid w:val="00A062E8"/>
    <w:rsid w:val="00A064C1"/>
    <w:rsid w:val="00A07A5F"/>
    <w:rsid w:val="00A07EC6"/>
    <w:rsid w:val="00A10D63"/>
    <w:rsid w:val="00A11A72"/>
    <w:rsid w:val="00A11E8A"/>
    <w:rsid w:val="00A1220E"/>
    <w:rsid w:val="00A12D87"/>
    <w:rsid w:val="00A12FF8"/>
    <w:rsid w:val="00A13835"/>
    <w:rsid w:val="00A14D10"/>
    <w:rsid w:val="00A206B7"/>
    <w:rsid w:val="00A211BA"/>
    <w:rsid w:val="00A227AA"/>
    <w:rsid w:val="00A24726"/>
    <w:rsid w:val="00A24B7F"/>
    <w:rsid w:val="00A25FF7"/>
    <w:rsid w:val="00A26147"/>
    <w:rsid w:val="00A306F5"/>
    <w:rsid w:val="00A32787"/>
    <w:rsid w:val="00A339DA"/>
    <w:rsid w:val="00A379DC"/>
    <w:rsid w:val="00A4073C"/>
    <w:rsid w:val="00A41AD7"/>
    <w:rsid w:val="00A425FC"/>
    <w:rsid w:val="00A44115"/>
    <w:rsid w:val="00A44443"/>
    <w:rsid w:val="00A45093"/>
    <w:rsid w:val="00A4577B"/>
    <w:rsid w:val="00A462FE"/>
    <w:rsid w:val="00A46309"/>
    <w:rsid w:val="00A503A1"/>
    <w:rsid w:val="00A51850"/>
    <w:rsid w:val="00A55AA3"/>
    <w:rsid w:val="00A56EC8"/>
    <w:rsid w:val="00A63F98"/>
    <w:rsid w:val="00A646D0"/>
    <w:rsid w:val="00A66EF4"/>
    <w:rsid w:val="00A67208"/>
    <w:rsid w:val="00A67EF9"/>
    <w:rsid w:val="00A742E4"/>
    <w:rsid w:val="00A74F66"/>
    <w:rsid w:val="00A75B7B"/>
    <w:rsid w:val="00A762A2"/>
    <w:rsid w:val="00A7693F"/>
    <w:rsid w:val="00A77EFB"/>
    <w:rsid w:val="00A80AB3"/>
    <w:rsid w:val="00A82C65"/>
    <w:rsid w:val="00A82DC1"/>
    <w:rsid w:val="00A839D3"/>
    <w:rsid w:val="00A83F67"/>
    <w:rsid w:val="00A85684"/>
    <w:rsid w:val="00A85729"/>
    <w:rsid w:val="00A8627F"/>
    <w:rsid w:val="00A86ABF"/>
    <w:rsid w:val="00A87B29"/>
    <w:rsid w:val="00A92509"/>
    <w:rsid w:val="00A927D8"/>
    <w:rsid w:val="00A92B8E"/>
    <w:rsid w:val="00A92CA0"/>
    <w:rsid w:val="00A93668"/>
    <w:rsid w:val="00A940BA"/>
    <w:rsid w:val="00A94857"/>
    <w:rsid w:val="00A94CFB"/>
    <w:rsid w:val="00A96981"/>
    <w:rsid w:val="00A96B48"/>
    <w:rsid w:val="00A97692"/>
    <w:rsid w:val="00AA111A"/>
    <w:rsid w:val="00AA2032"/>
    <w:rsid w:val="00AA2207"/>
    <w:rsid w:val="00AA3EA8"/>
    <w:rsid w:val="00AA3FCD"/>
    <w:rsid w:val="00AA4B8D"/>
    <w:rsid w:val="00AA5182"/>
    <w:rsid w:val="00AA5B83"/>
    <w:rsid w:val="00AA5F1F"/>
    <w:rsid w:val="00AB144A"/>
    <w:rsid w:val="00AB17D3"/>
    <w:rsid w:val="00AB22E6"/>
    <w:rsid w:val="00AB233D"/>
    <w:rsid w:val="00AB2474"/>
    <w:rsid w:val="00AB2581"/>
    <w:rsid w:val="00AB3491"/>
    <w:rsid w:val="00AB393D"/>
    <w:rsid w:val="00AC3C47"/>
    <w:rsid w:val="00AC5AB9"/>
    <w:rsid w:val="00AC5B14"/>
    <w:rsid w:val="00AD1AD8"/>
    <w:rsid w:val="00AD299A"/>
    <w:rsid w:val="00AD2A24"/>
    <w:rsid w:val="00AD3D00"/>
    <w:rsid w:val="00AD402B"/>
    <w:rsid w:val="00AD4809"/>
    <w:rsid w:val="00AD5253"/>
    <w:rsid w:val="00AD52EC"/>
    <w:rsid w:val="00AD56A1"/>
    <w:rsid w:val="00AD6536"/>
    <w:rsid w:val="00AE1814"/>
    <w:rsid w:val="00AE1970"/>
    <w:rsid w:val="00AE1B88"/>
    <w:rsid w:val="00AE2718"/>
    <w:rsid w:val="00AE45AF"/>
    <w:rsid w:val="00AE4BAD"/>
    <w:rsid w:val="00AE73B7"/>
    <w:rsid w:val="00AF0B0C"/>
    <w:rsid w:val="00AF0F7C"/>
    <w:rsid w:val="00AF2750"/>
    <w:rsid w:val="00AF2FEA"/>
    <w:rsid w:val="00AF3780"/>
    <w:rsid w:val="00AF4557"/>
    <w:rsid w:val="00AF7245"/>
    <w:rsid w:val="00AF7BE4"/>
    <w:rsid w:val="00B02997"/>
    <w:rsid w:val="00B04092"/>
    <w:rsid w:val="00B0414F"/>
    <w:rsid w:val="00B04488"/>
    <w:rsid w:val="00B119EC"/>
    <w:rsid w:val="00B11F22"/>
    <w:rsid w:val="00B1355B"/>
    <w:rsid w:val="00B140A7"/>
    <w:rsid w:val="00B1679D"/>
    <w:rsid w:val="00B208A2"/>
    <w:rsid w:val="00B21FF8"/>
    <w:rsid w:val="00B2208A"/>
    <w:rsid w:val="00B2251D"/>
    <w:rsid w:val="00B227BE"/>
    <w:rsid w:val="00B22A72"/>
    <w:rsid w:val="00B23046"/>
    <w:rsid w:val="00B23B9C"/>
    <w:rsid w:val="00B2479A"/>
    <w:rsid w:val="00B24B1A"/>
    <w:rsid w:val="00B25287"/>
    <w:rsid w:val="00B2618C"/>
    <w:rsid w:val="00B27DE4"/>
    <w:rsid w:val="00B303F6"/>
    <w:rsid w:val="00B30D13"/>
    <w:rsid w:val="00B31988"/>
    <w:rsid w:val="00B357D1"/>
    <w:rsid w:val="00B35968"/>
    <w:rsid w:val="00B35B6A"/>
    <w:rsid w:val="00B35CD2"/>
    <w:rsid w:val="00B36294"/>
    <w:rsid w:val="00B36C98"/>
    <w:rsid w:val="00B37DBF"/>
    <w:rsid w:val="00B4025E"/>
    <w:rsid w:val="00B4089E"/>
    <w:rsid w:val="00B40E4C"/>
    <w:rsid w:val="00B434E7"/>
    <w:rsid w:val="00B4391E"/>
    <w:rsid w:val="00B43D22"/>
    <w:rsid w:val="00B44A5F"/>
    <w:rsid w:val="00B44E5B"/>
    <w:rsid w:val="00B4583A"/>
    <w:rsid w:val="00B45C85"/>
    <w:rsid w:val="00B45D62"/>
    <w:rsid w:val="00B46885"/>
    <w:rsid w:val="00B47D70"/>
    <w:rsid w:val="00B5309D"/>
    <w:rsid w:val="00B543EA"/>
    <w:rsid w:val="00B54B32"/>
    <w:rsid w:val="00B54C06"/>
    <w:rsid w:val="00B56F18"/>
    <w:rsid w:val="00B603CE"/>
    <w:rsid w:val="00B605E5"/>
    <w:rsid w:val="00B60647"/>
    <w:rsid w:val="00B60916"/>
    <w:rsid w:val="00B60D23"/>
    <w:rsid w:val="00B612D1"/>
    <w:rsid w:val="00B628BD"/>
    <w:rsid w:val="00B63D91"/>
    <w:rsid w:val="00B65133"/>
    <w:rsid w:val="00B66907"/>
    <w:rsid w:val="00B67D25"/>
    <w:rsid w:val="00B71403"/>
    <w:rsid w:val="00B71D4B"/>
    <w:rsid w:val="00B71E0E"/>
    <w:rsid w:val="00B74B64"/>
    <w:rsid w:val="00B74DF5"/>
    <w:rsid w:val="00B77113"/>
    <w:rsid w:val="00B8057A"/>
    <w:rsid w:val="00B84576"/>
    <w:rsid w:val="00B84FDE"/>
    <w:rsid w:val="00B856D6"/>
    <w:rsid w:val="00B87E03"/>
    <w:rsid w:val="00B87F84"/>
    <w:rsid w:val="00B9028E"/>
    <w:rsid w:val="00B9070E"/>
    <w:rsid w:val="00B9284D"/>
    <w:rsid w:val="00B93726"/>
    <w:rsid w:val="00B94CB7"/>
    <w:rsid w:val="00B9528B"/>
    <w:rsid w:val="00B95892"/>
    <w:rsid w:val="00B95B35"/>
    <w:rsid w:val="00B96121"/>
    <w:rsid w:val="00B96D53"/>
    <w:rsid w:val="00B97433"/>
    <w:rsid w:val="00BA01D3"/>
    <w:rsid w:val="00BA3D30"/>
    <w:rsid w:val="00BA414D"/>
    <w:rsid w:val="00BA4B7B"/>
    <w:rsid w:val="00BA52B4"/>
    <w:rsid w:val="00BA5CC0"/>
    <w:rsid w:val="00BA694E"/>
    <w:rsid w:val="00BB0E34"/>
    <w:rsid w:val="00BB30B1"/>
    <w:rsid w:val="00BB7444"/>
    <w:rsid w:val="00BC0349"/>
    <w:rsid w:val="00BC1FE1"/>
    <w:rsid w:val="00BC2535"/>
    <w:rsid w:val="00BC461A"/>
    <w:rsid w:val="00BC61F9"/>
    <w:rsid w:val="00BD0F0F"/>
    <w:rsid w:val="00BD34CF"/>
    <w:rsid w:val="00BD3B74"/>
    <w:rsid w:val="00BD44F7"/>
    <w:rsid w:val="00BD5350"/>
    <w:rsid w:val="00BD5469"/>
    <w:rsid w:val="00BD597E"/>
    <w:rsid w:val="00BD5A4E"/>
    <w:rsid w:val="00BD7E73"/>
    <w:rsid w:val="00BE0299"/>
    <w:rsid w:val="00BE07F4"/>
    <w:rsid w:val="00BE0814"/>
    <w:rsid w:val="00BE0949"/>
    <w:rsid w:val="00BE2AA4"/>
    <w:rsid w:val="00BE4A24"/>
    <w:rsid w:val="00BE61B3"/>
    <w:rsid w:val="00BE738D"/>
    <w:rsid w:val="00BF03D4"/>
    <w:rsid w:val="00BF0664"/>
    <w:rsid w:val="00BF0703"/>
    <w:rsid w:val="00BF1F90"/>
    <w:rsid w:val="00BF488C"/>
    <w:rsid w:val="00BF6568"/>
    <w:rsid w:val="00BF7924"/>
    <w:rsid w:val="00C00359"/>
    <w:rsid w:val="00C00800"/>
    <w:rsid w:val="00C01C37"/>
    <w:rsid w:val="00C02298"/>
    <w:rsid w:val="00C0426B"/>
    <w:rsid w:val="00C06D73"/>
    <w:rsid w:val="00C0742C"/>
    <w:rsid w:val="00C07669"/>
    <w:rsid w:val="00C100DD"/>
    <w:rsid w:val="00C1111E"/>
    <w:rsid w:val="00C11A5C"/>
    <w:rsid w:val="00C13C52"/>
    <w:rsid w:val="00C150CE"/>
    <w:rsid w:val="00C16156"/>
    <w:rsid w:val="00C1657E"/>
    <w:rsid w:val="00C1726E"/>
    <w:rsid w:val="00C172AA"/>
    <w:rsid w:val="00C17FEF"/>
    <w:rsid w:val="00C20CC4"/>
    <w:rsid w:val="00C21DC6"/>
    <w:rsid w:val="00C22EBF"/>
    <w:rsid w:val="00C2371F"/>
    <w:rsid w:val="00C25968"/>
    <w:rsid w:val="00C26E7B"/>
    <w:rsid w:val="00C31E31"/>
    <w:rsid w:val="00C327F0"/>
    <w:rsid w:val="00C33114"/>
    <w:rsid w:val="00C3349A"/>
    <w:rsid w:val="00C33753"/>
    <w:rsid w:val="00C342D1"/>
    <w:rsid w:val="00C36322"/>
    <w:rsid w:val="00C37BBD"/>
    <w:rsid w:val="00C424EB"/>
    <w:rsid w:val="00C42F5F"/>
    <w:rsid w:val="00C441C1"/>
    <w:rsid w:val="00C44812"/>
    <w:rsid w:val="00C4484D"/>
    <w:rsid w:val="00C44F40"/>
    <w:rsid w:val="00C454AB"/>
    <w:rsid w:val="00C45973"/>
    <w:rsid w:val="00C47DBD"/>
    <w:rsid w:val="00C50005"/>
    <w:rsid w:val="00C50831"/>
    <w:rsid w:val="00C52236"/>
    <w:rsid w:val="00C52AE6"/>
    <w:rsid w:val="00C53D33"/>
    <w:rsid w:val="00C54168"/>
    <w:rsid w:val="00C54842"/>
    <w:rsid w:val="00C550AC"/>
    <w:rsid w:val="00C55552"/>
    <w:rsid w:val="00C566A7"/>
    <w:rsid w:val="00C574A8"/>
    <w:rsid w:val="00C579FD"/>
    <w:rsid w:val="00C57C44"/>
    <w:rsid w:val="00C6189E"/>
    <w:rsid w:val="00C6252E"/>
    <w:rsid w:val="00C63394"/>
    <w:rsid w:val="00C633A5"/>
    <w:rsid w:val="00C649AF"/>
    <w:rsid w:val="00C70ADD"/>
    <w:rsid w:val="00C77FB2"/>
    <w:rsid w:val="00C8223C"/>
    <w:rsid w:val="00C82BDD"/>
    <w:rsid w:val="00C850E3"/>
    <w:rsid w:val="00C862DC"/>
    <w:rsid w:val="00C8632A"/>
    <w:rsid w:val="00C867FD"/>
    <w:rsid w:val="00C87319"/>
    <w:rsid w:val="00C90BB2"/>
    <w:rsid w:val="00C90DD7"/>
    <w:rsid w:val="00C9162C"/>
    <w:rsid w:val="00C9202D"/>
    <w:rsid w:val="00C93275"/>
    <w:rsid w:val="00C9392A"/>
    <w:rsid w:val="00C945A4"/>
    <w:rsid w:val="00C95491"/>
    <w:rsid w:val="00C96CC2"/>
    <w:rsid w:val="00C96E18"/>
    <w:rsid w:val="00CA0DA8"/>
    <w:rsid w:val="00CA14AF"/>
    <w:rsid w:val="00CA596E"/>
    <w:rsid w:val="00CA5CB0"/>
    <w:rsid w:val="00CA741E"/>
    <w:rsid w:val="00CB1754"/>
    <w:rsid w:val="00CB1F16"/>
    <w:rsid w:val="00CB2146"/>
    <w:rsid w:val="00CB3411"/>
    <w:rsid w:val="00CB3B53"/>
    <w:rsid w:val="00CB4A64"/>
    <w:rsid w:val="00CB65BE"/>
    <w:rsid w:val="00CC1728"/>
    <w:rsid w:val="00CC1C66"/>
    <w:rsid w:val="00CC2CCE"/>
    <w:rsid w:val="00CC3469"/>
    <w:rsid w:val="00CC3C3B"/>
    <w:rsid w:val="00CC5DEF"/>
    <w:rsid w:val="00CC6C48"/>
    <w:rsid w:val="00CC78C0"/>
    <w:rsid w:val="00CD01EA"/>
    <w:rsid w:val="00CD0857"/>
    <w:rsid w:val="00CD411D"/>
    <w:rsid w:val="00CD4801"/>
    <w:rsid w:val="00CD48F1"/>
    <w:rsid w:val="00CD522D"/>
    <w:rsid w:val="00CD52EB"/>
    <w:rsid w:val="00CD5582"/>
    <w:rsid w:val="00CD5F71"/>
    <w:rsid w:val="00CD753C"/>
    <w:rsid w:val="00CE04B1"/>
    <w:rsid w:val="00CE18B2"/>
    <w:rsid w:val="00CE2DFF"/>
    <w:rsid w:val="00CE3223"/>
    <w:rsid w:val="00CE35D2"/>
    <w:rsid w:val="00CE3ADF"/>
    <w:rsid w:val="00CE4137"/>
    <w:rsid w:val="00CE4657"/>
    <w:rsid w:val="00CE5092"/>
    <w:rsid w:val="00CE60B2"/>
    <w:rsid w:val="00CE6555"/>
    <w:rsid w:val="00CE7FE4"/>
    <w:rsid w:val="00CF112B"/>
    <w:rsid w:val="00CF357C"/>
    <w:rsid w:val="00CF3BA0"/>
    <w:rsid w:val="00CF3BE9"/>
    <w:rsid w:val="00CF3FCF"/>
    <w:rsid w:val="00CF4414"/>
    <w:rsid w:val="00CF6357"/>
    <w:rsid w:val="00CF6845"/>
    <w:rsid w:val="00CF6AB7"/>
    <w:rsid w:val="00CF76B3"/>
    <w:rsid w:val="00D0354F"/>
    <w:rsid w:val="00D05C6D"/>
    <w:rsid w:val="00D11392"/>
    <w:rsid w:val="00D11FB1"/>
    <w:rsid w:val="00D121E6"/>
    <w:rsid w:val="00D12805"/>
    <w:rsid w:val="00D12C32"/>
    <w:rsid w:val="00D16AAA"/>
    <w:rsid w:val="00D2019F"/>
    <w:rsid w:val="00D21006"/>
    <w:rsid w:val="00D21402"/>
    <w:rsid w:val="00D21ED8"/>
    <w:rsid w:val="00D224EF"/>
    <w:rsid w:val="00D26465"/>
    <w:rsid w:val="00D34F3F"/>
    <w:rsid w:val="00D35E7E"/>
    <w:rsid w:val="00D36FA8"/>
    <w:rsid w:val="00D37218"/>
    <w:rsid w:val="00D40680"/>
    <w:rsid w:val="00D41629"/>
    <w:rsid w:val="00D41914"/>
    <w:rsid w:val="00D42AAA"/>
    <w:rsid w:val="00D43E6A"/>
    <w:rsid w:val="00D45F05"/>
    <w:rsid w:val="00D46BAB"/>
    <w:rsid w:val="00D46CAD"/>
    <w:rsid w:val="00D471D0"/>
    <w:rsid w:val="00D47985"/>
    <w:rsid w:val="00D5010D"/>
    <w:rsid w:val="00D50AC5"/>
    <w:rsid w:val="00D517E6"/>
    <w:rsid w:val="00D52905"/>
    <w:rsid w:val="00D544D7"/>
    <w:rsid w:val="00D5741E"/>
    <w:rsid w:val="00D576D5"/>
    <w:rsid w:val="00D60080"/>
    <w:rsid w:val="00D62238"/>
    <w:rsid w:val="00D6304A"/>
    <w:rsid w:val="00D65E99"/>
    <w:rsid w:val="00D65F6F"/>
    <w:rsid w:val="00D67DEA"/>
    <w:rsid w:val="00D67F91"/>
    <w:rsid w:val="00D7046C"/>
    <w:rsid w:val="00D73746"/>
    <w:rsid w:val="00D7430F"/>
    <w:rsid w:val="00D755B0"/>
    <w:rsid w:val="00D759B5"/>
    <w:rsid w:val="00D80E61"/>
    <w:rsid w:val="00D812A5"/>
    <w:rsid w:val="00D82F6D"/>
    <w:rsid w:val="00D830C6"/>
    <w:rsid w:val="00D8442C"/>
    <w:rsid w:val="00D8731D"/>
    <w:rsid w:val="00D94224"/>
    <w:rsid w:val="00D9459F"/>
    <w:rsid w:val="00D951EB"/>
    <w:rsid w:val="00D95E68"/>
    <w:rsid w:val="00D96F8B"/>
    <w:rsid w:val="00D978FE"/>
    <w:rsid w:val="00DA21E6"/>
    <w:rsid w:val="00DA3B7C"/>
    <w:rsid w:val="00DA4739"/>
    <w:rsid w:val="00DA5258"/>
    <w:rsid w:val="00DA5319"/>
    <w:rsid w:val="00DA6239"/>
    <w:rsid w:val="00DA62EE"/>
    <w:rsid w:val="00DA6B98"/>
    <w:rsid w:val="00DA7944"/>
    <w:rsid w:val="00DA7DD5"/>
    <w:rsid w:val="00DB192E"/>
    <w:rsid w:val="00DB25C4"/>
    <w:rsid w:val="00DB3315"/>
    <w:rsid w:val="00DB4B9F"/>
    <w:rsid w:val="00DB5556"/>
    <w:rsid w:val="00DB59CB"/>
    <w:rsid w:val="00DB6D27"/>
    <w:rsid w:val="00DB7FD5"/>
    <w:rsid w:val="00DC047C"/>
    <w:rsid w:val="00DC13A4"/>
    <w:rsid w:val="00DC4C9D"/>
    <w:rsid w:val="00DC51ED"/>
    <w:rsid w:val="00DC74E1"/>
    <w:rsid w:val="00DC792F"/>
    <w:rsid w:val="00DC7F84"/>
    <w:rsid w:val="00DD1115"/>
    <w:rsid w:val="00DD166E"/>
    <w:rsid w:val="00DD2350"/>
    <w:rsid w:val="00DD23B4"/>
    <w:rsid w:val="00DD2F6B"/>
    <w:rsid w:val="00DD5132"/>
    <w:rsid w:val="00DD542B"/>
    <w:rsid w:val="00DD5A3E"/>
    <w:rsid w:val="00DE1CCA"/>
    <w:rsid w:val="00DE22ED"/>
    <w:rsid w:val="00DE4021"/>
    <w:rsid w:val="00DE713E"/>
    <w:rsid w:val="00DF47B8"/>
    <w:rsid w:val="00DF4883"/>
    <w:rsid w:val="00E000F5"/>
    <w:rsid w:val="00E00EAC"/>
    <w:rsid w:val="00E01822"/>
    <w:rsid w:val="00E0445F"/>
    <w:rsid w:val="00E06992"/>
    <w:rsid w:val="00E105F9"/>
    <w:rsid w:val="00E13154"/>
    <w:rsid w:val="00E132B8"/>
    <w:rsid w:val="00E14FF5"/>
    <w:rsid w:val="00E155AC"/>
    <w:rsid w:val="00E1778B"/>
    <w:rsid w:val="00E209E5"/>
    <w:rsid w:val="00E2150C"/>
    <w:rsid w:val="00E216C7"/>
    <w:rsid w:val="00E21F0D"/>
    <w:rsid w:val="00E223C1"/>
    <w:rsid w:val="00E23793"/>
    <w:rsid w:val="00E241FD"/>
    <w:rsid w:val="00E24C85"/>
    <w:rsid w:val="00E30CC7"/>
    <w:rsid w:val="00E31D0F"/>
    <w:rsid w:val="00E32031"/>
    <w:rsid w:val="00E34EE6"/>
    <w:rsid w:val="00E351E9"/>
    <w:rsid w:val="00E36652"/>
    <w:rsid w:val="00E36B75"/>
    <w:rsid w:val="00E36DA7"/>
    <w:rsid w:val="00E377DC"/>
    <w:rsid w:val="00E40312"/>
    <w:rsid w:val="00E405C4"/>
    <w:rsid w:val="00E4074F"/>
    <w:rsid w:val="00E4122D"/>
    <w:rsid w:val="00E417A2"/>
    <w:rsid w:val="00E41FF7"/>
    <w:rsid w:val="00E4300D"/>
    <w:rsid w:val="00E44A0F"/>
    <w:rsid w:val="00E45346"/>
    <w:rsid w:val="00E4568E"/>
    <w:rsid w:val="00E466F3"/>
    <w:rsid w:val="00E469C1"/>
    <w:rsid w:val="00E46BFE"/>
    <w:rsid w:val="00E51E4D"/>
    <w:rsid w:val="00E521CA"/>
    <w:rsid w:val="00E52661"/>
    <w:rsid w:val="00E53530"/>
    <w:rsid w:val="00E54133"/>
    <w:rsid w:val="00E54A2D"/>
    <w:rsid w:val="00E55169"/>
    <w:rsid w:val="00E557AA"/>
    <w:rsid w:val="00E55858"/>
    <w:rsid w:val="00E607E6"/>
    <w:rsid w:val="00E60AF6"/>
    <w:rsid w:val="00E61615"/>
    <w:rsid w:val="00E61886"/>
    <w:rsid w:val="00E624FE"/>
    <w:rsid w:val="00E634CD"/>
    <w:rsid w:val="00E64655"/>
    <w:rsid w:val="00E6497D"/>
    <w:rsid w:val="00E64D64"/>
    <w:rsid w:val="00E64E2F"/>
    <w:rsid w:val="00E718B0"/>
    <w:rsid w:val="00E7271C"/>
    <w:rsid w:val="00E7290E"/>
    <w:rsid w:val="00E739AD"/>
    <w:rsid w:val="00E7421F"/>
    <w:rsid w:val="00E748C7"/>
    <w:rsid w:val="00E74B3D"/>
    <w:rsid w:val="00E74FC4"/>
    <w:rsid w:val="00E77416"/>
    <w:rsid w:val="00E77D04"/>
    <w:rsid w:val="00E8062A"/>
    <w:rsid w:val="00E8072C"/>
    <w:rsid w:val="00E8086D"/>
    <w:rsid w:val="00E81011"/>
    <w:rsid w:val="00E849C3"/>
    <w:rsid w:val="00E862EF"/>
    <w:rsid w:val="00E8700A"/>
    <w:rsid w:val="00E8717A"/>
    <w:rsid w:val="00E87A6C"/>
    <w:rsid w:val="00E87D79"/>
    <w:rsid w:val="00E92682"/>
    <w:rsid w:val="00E94A54"/>
    <w:rsid w:val="00E94BAA"/>
    <w:rsid w:val="00E95540"/>
    <w:rsid w:val="00E96F96"/>
    <w:rsid w:val="00E9715C"/>
    <w:rsid w:val="00E9791C"/>
    <w:rsid w:val="00E97983"/>
    <w:rsid w:val="00E97D75"/>
    <w:rsid w:val="00EA0138"/>
    <w:rsid w:val="00EA0169"/>
    <w:rsid w:val="00EA27CF"/>
    <w:rsid w:val="00EA2DEA"/>
    <w:rsid w:val="00EA3BF5"/>
    <w:rsid w:val="00EA4C13"/>
    <w:rsid w:val="00EA5F8F"/>
    <w:rsid w:val="00EA715A"/>
    <w:rsid w:val="00EB11DF"/>
    <w:rsid w:val="00EB1469"/>
    <w:rsid w:val="00EB2EE5"/>
    <w:rsid w:val="00EB5869"/>
    <w:rsid w:val="00EB5E63"/>
    <w:rsid w:val="00EB6B82"/>
    <w:rsid w:val="00EB71F6"/>
    <w:rsid w:val="00EC10C9"/>
    <w:rsid w:val="00EC10D8"/>
    <w:rsid w:val="00EC233C"/>
    <w:rsid w:val="00EC3507"/>
    <w:rsid w:val="00EC39F1"/>
    <w:rsid w:val="00EC3C8D"/>
    <w:rsid w:val="00EC442D"/>
    <w:rsid w:val="00EC4547"/>
    <w:rsid w:val="00EC4907"/>
    <w:rsid w:val="00ED0478"/>
    <w:rsid w:val="00ED4231"/>
    <w:rsid w:val="00ED46D3"/>
    <w:rsid w:val="00ED5594"/>
    <w:rsid w:val="00ED61A1"/>
    <w:rsid w:val="00ED6328"/>
    <w:rsid w:val="00ED656B"/>
    <w:rsid w:val="00ED7C7B"/>
    <w:rsid w:val="00EE2267"/>
    <w:rsid w:val="00EE4037"/>
    <w:rsid w:val="00EE42BB"/>
    <w:rsid w:val="00EE5BF3"/>
    <w:rsid w:val="00EE6567"/>
    <w:rsid w:val="00EE6BB8"/>
    <w:rsid w:val="00EE7154"/>
    <w:rsid w:val="00EF0DAE"/>
    <w:rsid w:val="00EF3456"/>
    <w:rsid w:val="00EF5432"/>
    <w:rsid w:val="00EF6B6F"/>
    <w:rsid w:val="00EF73D7"/>
    <w:rsid w:val="00EF768E"/>
    <w:rsid w:val="00F022E2"/>
    <w:rsid w:val="00F02608"/>
    <w:rsid w:val="00F02985"/>
    <w:rsid w:val="00F03B1C"/>
    <w:rsid w:val="00F0502B"/>
    <w:rsid w:val="00F06F30"/>
    <w:rsid w:val="00F079DE"/>
    <w:rsid w:val="00F07B73"/>
    <w:rsid w:val="00F10A60"/>
    <w:rsid w:val="00F119BC"/>
    <w:rsid w:val="00F13273"/>
    <w:rsid w:val="00F1386C"/>
    <w:rsid w:val="00F138E6"/>
    <w:rsid w:val="00F1480A"/>
    <w:rsid w:val="00F151AF"/>
    <w:rsid w:val="00F16B1B"/>
    <w:rsid w:val="00F170DF"/>
    <w:rsid w:val="00F173DD"/>
    <w:rsid w:val="00F21D04"/>
    <w:rsid w:val="00F21EA3"/>
    <w:rsid w:val="00F23BE9"/>
    <w:rsid w:val="00F24E5E"/>
    <w:rsid w:val="00F25010"/>
    <w:rsid w:val="00F25C2F"/>
    <w:rsid w:val="00F26D1F"/>
    <w:rsid w:val="00F27CA7"/>
    <w:rsid w:val="00F3107C"/>
    <w:rsid w:val="00F32992"/>
    <w:rsid w:val="00F32FBE"/>
    <w:rsid w:val="00F3301E"/>
    <w:rsid w:val="00F339F4"/>
    <w:rsid w:val="00F351D7"/>
    <w:rsid w:val="00F3696C"/>
    <w:rsid w:val="00F40D44"/>
    <w:rsid w:val="00F41684"/>
    <w:rsid w:val="00F41FB9"/>
    <w:rsid w:val="00F42DFB"/>
    <w:rsid w:val="00F43518"/>
    <w:rsid w:val="00F469C8"/>
    <w:rsid w:val="00F500CA"/>
    <w:rsid w:val="00F50506"/>
    <w:rsid w:val="00F50EBB"/>
    <w:rsid w:val="00F52659"/>
    <w:rsid w:val="00F52B2C"/>
    <w:rsid w:val="00F541EB"/>
    <w:rsid w:val="00F54CAB"/>
    <w:rsid w:val="00F556E8"/>
    <w:rsid w:val="00F574EB"/>
    <w:rsid w:val="00F57945"/>
    <w:rsid w:val="00F6028C"/>
    <w:rsid w:val="00F60759"/>
    <w:rsid w:val="00F61ABE"/>
    <w:rsid w:val="00F63A36"/>
    <w:rsid w:val="00F6494A"/>
    <w:rsid w:val="00F66D67"/>
    <w:rsid w:val="00F670EA"/>
    <w:rsid w:val="00F673E1"/>
    <w:rsid w:val="00F73CE4"/>
    <w:rsid w:val="00F73DE6"/>
    <w:rsid w:val="00F741CE"/>
    <w:rsid w:val="00F74738"/>
    <w:rsid w:val="00F74885"/>
    <w:rsid w:val="00F7607D"/>
    <w:rsid w:val="00F76756"/>
    <w:rsid w:val="00F77492"/>
    <w:rsid w:val="00F7790F"/>
    <w:rsid w:val="00F77B4B"/>
    <w:rsid w:val="00F80CA2"/>
    <w:rsid w:val="00F80CD1"/>
    <w:rsid w:val="00F818EF"/>
    <w:rsid w:val="00F858A4"/>
    <w:rsid w:val="00F871C0"/>
    <w:rsid w:val="00F876A3"/>
    <w:rsid w:val="00F87C06"/>
    <w:rsid w:val="00F908E0"/>
    <w:rsid w:val="00F90BB9"/>
    <w:rsid w:val="00F911FC"/>
    <w:rsid w:val="00F92CA6"/>
    <w:rsid w:val="00F93296"/>
    <w:rsid w:val="00F950A2"/>
    <w:rsid w:val="00F9599C"/>
    <w:rsid w:val="00F9731F"/>
    <w:rsid w:val="00FA1507"/>
    <w:rsid w:val="00FA1C03"/>
    <w:rsid w:val="00FA2974"/>
    <w:rsid w:val="00FA3529"/>
    <w:rsid w:val="00FA3E2B"/>
    <w:rsid w:val="00FA44F4"/>
    <w:rsid w:val="00FA544A"/>
    <w:rsid w:val="00FA6B3F"/>
    <w:rsid w:val="00FA6E43"/>
    <w:rsid w:val="00FA737A"/>
    <w:rsid w:val="00FB02FD"/>
    <w:rsid w:val="00FB269C"/>
    <w:rsid w:val="00FB4483"/>
    <w:rsid w:val="00FB5041"/>
    <w:rsid w:val="00FB6EF3"/>
    <w:rsid w:val="00FB7E20"/>
    <w:rsid w:val="00FB7EBB"/>
    <w:rsid w:val="00FB7F13"/>
    <w:rsid w:val="00FC03DD"/>
    <w:rsid w:val="00FC0BE3"/>
    <w:rsid w:val="00FC1D4A"/>
    <w:rsid w:val="00FC20D8"/>
    <w:rsid w:val="00FC238C"/>
    <w:rsid w:val="00FC49B5"/>
    <w:rsid w:val="00FC4E84"/>
    <w:rsid w:val="00FC5EBF"/>
    <w:rsid w:val="00FC7CA2"/>
    <w:rsid w:val="00FC7ECE"/>
    <w:rsid w:val="00FD0FEB"/>
    <w:rsid w:val="00FD15CC"/>
    <w:rsid w:val="00FD23B4"/>
    <w:rsid w:val="00FD283B"/>
    <w:rsid w:val="00FD2F09"/>
    <w:rsid w:val="00FD56CE"/>
    <w:rsid w:val="00FD5ED5"/>
    <w:rsid w:val="00FD668B"/>
    <w:rsid w:val="00FE296E"/>
    <w:rsid w:val="00FE333A"/>
    <w:rsid w:val="00FE3636"/>
    <w:rsid w:val="00FE3BEC"/>
    <w:rsid w:val="00FE3D58"/>
    <w:rsid w:val="00FE543C"/>
    <w:rsid w:val="00FE5F29"/>
    <w:rsid w:val="00FE7FF7"/>
    <w:rsid w:val="00FF2B9A"/>
    <w:rsid w:val="00FF38A3"/>
    <w:rsid w:val="00FF3DF3"/>
    <w:rsid w:val="00FF4F95"/>
    <w:rsid w:val="00FF6060"/>
    <w:rsid w:val="00FF628B"/>
    <w:rsid w:val="00FF6643"/>
    <w:rsid w:val="00FF7190"/>
    <w:rsid w:val="00FF728E"/>
    <w:rsid w:val="013CC8B7"/>
    <w:rsid w:val="05A6BEF6"/>
    <w:rsid w:val="0A6D7A3B"/>
    <w:rsid w:val="0E96ECD2"/>
    <w:rsid w:val="102CE53A"/>
    <w:rsid w:val="12FC28CD"/>
    <w:rsid w:val="17567031"/>
    <w:rsid w:val="185971BB"/>
    <w:rsid w:val="194ACA0F"/>
    <w:rsid w:val="2FA67F2A"/>
    <w:rsid w:val="368CB5E2"/>
    <w:rsid w:val="3DFBCAA3"/>
    <w:rsid w:val="41A16A51"/>
    <w:rsid w:val="4638C4DC"/>
    <w:rsid w:val="47B957CC"/>
    <w:rsid w:val="48A40CF5"/>
    <w:rsid w:val="4E4B7020"/>
    <w:rsid w:val="56FD2092"/>
    <w:rsid w:val="6265C577"/>
    <w:rsid w:val="72CD19D4"/>
    <w:rsid w:val="777B22A1"/>
    <w:rsid w:val="7994BF3D"/>
    <w:rsid w:val="79DF90DA"/>
    <w:rsid w:val="7E439C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31F7E8"/>
  <w15:docId w15:val="{5D3E3D69-7F2C-45FD-BE39-2A50D866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4576"/>
    <w:pPr>
      <w:widowControl w:val="0"/>
      <w:autoSpaceDE w:val="0"/>
      <w:autoSpaceDN w:val="0"/>
      <w:adjustRightInd w:val="0"/>
    </w:pPr>
    <w:rPr>
      <w:szCs w:val="24"/>
    </w:rPr>
  </w:style>
  <w:style w:type="paragraph" w:styleId="Heading1">
    <w:name w:val="heading 1"/>
    <w:basedOn w:val="Normal"/>
    <w:next w:val="Normal"/>
    <w:qFormat/>
    <w:rsid w:val="00B84576"/>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paragraph" w:styleId="Heading2">
    <w:name w:val="heading 2"/>
    <w:basedOn w:val="Normal"/>
    <w:next w:val="Normal"/>
    <w:link w:val="Heading2Char"/>
    <w:semiHidden/>
    <w:unhideWhenUsed/>
    <w:qFormat/>
    <w:rsid w:val="007736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84576"/>
  </w:style>
  <w:style w:type="paragraph" w:styleId="Title">
    <w:name w:val="Title"/>
    <w:basedOn w:val="Normal"/>
    <w:link w:val="TitleChar"/>
    <w:qFormat/>
    <w:rsid w:val="00B84576"/>
    <w:pPr>
      <w:spacing w:line="300" w:lineRule="auto"/>
      <w:jc w:val="center"/>
    </w:pPr>
    <w:rPr>
      <w:b/>
      <w:bCs/>
      <w:sz w:val="24"/>
    </w:rPr>
  </w:style>
  <w:style w:type="character" w:styleId="Hyperlink">
    <w:name w:val="Hyperlink"/>
    <w:uiPriority w:val="99"/>
    <w:rsid w:val="00B84576"/>
    <w:rPr>
      <w:color w:val="0000FF"/>
      <w:u w:val="single"/>
    </w:rPr>
  </w:style>
  <w:style w:type="paragraph" w:styleId="BodyText">
    <w:name w:val="Body Text"/>
    <w:basedOn w:val="Normal"/>
    <w:rsid w:val="00B84576"/>
    <w:rPr>
      <w:sz w:val="24"/>
    </w:rPr>
  </w:style>
  <w:style w:type="paragraph" w:styleId="BodyText2">
    <w:name w:val="Body Text 2"/>
    <w:basedOn w:val="Normal"/>
    <w:rsid w:val="00B84576"/>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link w:val="FootnoteTextChar"/>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link w:val="FooterChar"/>
    <w:uiPriority w:val="99"/>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668D0"/>
    <w:rPr>
      <w:sz w:val="16"/>
      <w:szCs w:val="16"/>
    </w:rPr>
  </w:style>
  <w:style w:type="paragraph" w:styleId="CommentText">
    <w:name w:val="annotation text"/>
    <w:basedOn w:val="Normal"/>
    <w:semiHidden/>
    <w:rsid w:val="006668D0"/>
    <w:rPr>
      <w:szCs w:val="20"/>
    </w:rPr>
  </w:style>
  <w:style w:type="paragraph" w:styleId="CommentSubject">
    <w:name w:val="annotation subject"/>
    <w:basedOn w:val="CommentText"/>
    <w:next w:val="CommentText"/>
    <w:semiHidden/>
    <w:rsid w:val="006668D0"/>
    <w:rPr>
      <w:b/>
      <w:bCs/>
    </w:rPr>
  </w:style>
  <w:style w:type="paragraph" w:styleId="ListParagraph">
    <w:name w:val="List Paragraph"/>
    <w:basedOn w:val="Normal"/>
    <w:uiPriority w:val="34"/>
    <w:qFormat/>
    <w:rsid w:val="00991C4F"/>
    <w:pPr>
      <w:ind w:left="720"/>
    </w:pPr>
  </w:style>
  <w:style w:type="character" w:styleId="PageNumber">
    <w:name w:val="page number"/>
    <w:basedOn w:val="DefaultParagraphFont"/>
    <w:rsid w:val="00584874"/>
  </w:style>
  <w:style w:type="character" w:customStyle="1" w:styleId="s">
    <w:name w:val="s"/>
    <w:basedOn w:val="DefaultParagraphFont"/>
    <w:rsid w:val="00584874"/>
  </w:style>
  <w:style w:type="paragraph" w:customStyle="1" w:styleId="1AutoList39">
    <w:name w:val="1AutoList39"/>
    <w:rsid w:val="00584874"/>
    <w:pPr>
      <w:widowControl w:val="0"/>
      <w:autoSpaceDE w:val="0"/>
      <w:autoSpaceDN w:val="0"/>
      <w:adjustRightInd w:val="0"/>
    </w:pPr>
    <w:rPr>
      <w:sz w:val="24"/>
      <w:szCs w:val="24"/>
    </w:rPr>
  </w:style>
  <w:style w:type="paragraph" w:styleId="BodyTextIndent">
    <w:name w:val="Body Text Indent"/>
    <w:basedOn w:val="Normal"/>
    <w:link w:val="BodyTextIndentChar"/>
    <w:rsid w:val="00584874"/>
    <w:pPr>
      <w:spacing w:after="120"/>
      <w:ind w:left="360"/>
    </w:pPr>
  </w:style>
  <w:style w:type="character" w:customStyle="1" w:styleId="BodyTextIndentChar">
    <w:name w:val="Body Text Indent Char"/>
    <w:link w:val="BodyTextIndent"/>
    <w:rsid w:val="00584874"/>
    <w:rPr>
      <w:szCs w:val="24"/>
    </w:rPr>
  </w:style>
  <w:style w:type="character" w:customStyle="1" w:styleId="FooterChar">
    <w:name w:val="Footer Char"/>
    <w:basedOn w:val="DefaultParagraphFont"/>
    <w:link w:val="Footer"/>
    <w:uiPriority w:val="99"/>
    <w:rsid w:val="00362B6B"/>
    <w:rPr>
      <w:szCs w:val="24"/>
    </w:rPr>
  </w:style>
  <w:style w:type="paragraph" w:styleId="NormalWeb">
    <w:name w:val="Normal (Web)"/>
    <w:basedOn w:val="Normal"/>
    <w:uiPriority w:val="99"/>
    <w:semiHidden/>
    <w:unhideWhenUsed/>
    <w:rsid w:val="00267DFB"/>
    <w:pPr>
      <w:widowControl/>
      <w:autoSpaceDE/>
      <w:autoSpaceDN/>
      <w:adjustRightInd/>
      <w:spacing w:before="100" w:beforeAutospacing="1" w:after="100" w:afterAutospacing="1"/>
    </w:pPr>
    <w:rPr>
      <w:sz w:val="24"/>
    </w:rPr>
  </w:style>
  <w:style w:type="paragraph" w:styleId="Caption">
    <w:name w:val="caption"/>
    <w:basedOn w:val="Normal"/>
    <w:next w:val="Normal"/>
    <w:unhideWhenUsed/>
    <w:qFormat/>
    <w:rsid w:val="005B528A"/>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11A56"/>
    <w:rPr>
      <w:color w:val="808080"/>
      <w:shd w:val="clear" w:color="auto" w:fill="E6E6E6"/>
    </w:rPr>
  </w:style>
  <w:style w:type="character" w:customStyle="1" w:styleId="FootnoteTextChar">
    <w:name w:val="Footnote Text Char"/>
    <w:basedOn w:val="DefaultParagraphFont"/>
    <w:link w:val="FootnoteText"/>
    <w:rsid w:val="00FA6E43"/>
  </w:style>
  <w:style w:type="character" w:styleId="FollowedHyperlink">
    <w:name w:val="FollowedHyperlink"/>
    <w:basedOn w:val="DefaultParagraphFont"/>
    <w:semiHidden/>
    <w:unhideWhenUsed/>
    <w:rsid w:val="00816F5C"/>
    <w:rPr>
      <w:color w:val="800080" w:themeColor="followedHyperlink"/>
      <w:u w:val="single"/>
    </w:rPr>
  </w:style>
  <w:style w:type="paragraph" w:styleId="Revision">
    <w:name w:val="Revision"/>
    <w:hidden/>
    <w:uiPriority w:val="99"/>
    <w:semiHidden/>
    <w:rsid w:val="003C5927"/>
    <w:rPr>
      <w:szCs w:val="24"/>
    </w:rPr>
  </w:style>
  <w:style w:type="character" w:customStyle="1" w:styleId="UnresolvedMention2">
    <w:name w:val="Unresolved Mention2"/>
    <w:basedOn w:val="DefaultParagraphFont"/>
    <w:uiPriority w:val="99"/>
    <w:semiHidden/>
    <w:unhideWhenUsed/>
    <w:rsid w:val="00284849"/>
    <w:rPr>
      <w:color w:val="808080"/>
      <w:shd w:val="clear" w:color="auto" w:fill="E6E6E6"/>
    </w:rPr>
  </w:style>
  <w:style w:type="character" w:styleId="UnresolvedMention">
    <w:name w:val="Unresolved Mention"/>
    <w:basedOn w:val="DefaultParagraphFont"/>
    <w:uiPriority w:val="99"/>
    <w:semiHidden/>
    <w:unhideWhenUsed/>
    <w:rsid w:val="00EE6567"/>
    <w:rPr>
      <w:color w:val="605E5C"/>
      <w:shd w:val="clear" w:color="auto" w:fill="E1DFDD"/>
    </w:rPr>
  </w:style>
  <w:style w:type="character" w:customStyle="1" w:styleId="Heading2Char">
    <w:name w:val="Heading 2 Char"/>
    <w:basedOn w:val="DefaultParagraphFont"/>
    <w:link w:val="Heading2"/>
    <w:semiHidden/>
    <w:rsid w:val="00773659"/>
    <w:rPr>
      <w:rFonts w:asciiTheme="majorHAnsi" w:eastAsiaTheme="majorEastAsia" w:hAnsiTheme="majorHAnsi" w:cstheme="majorBidi"/>
      <w:color w:val="365F91" w:themeColor="accent1" w:themeShade="BF"/>
      <w:sz w:val="26"/>
      <w:szCs w:val="26"/>
    </w:rPr>
  </w:style>
  <w:style w:type="character" w:customStyle="1" w:styleId="field">
    <w:name w:val="field"/>
    <w:basedOn w:val="DefaultParagraphFont"/>
    <w:rsid w:val="006F5EF4"/>
  </w:style>
  <w:style w:type="paragraph" w:styleId="Subtitle">
    <w:name w:val="Subtitle"/>
    <w:basedOn w:val="Normal"/>
    <w:link w:val="SubtitleChar"/>
    <w:qFormat/>
    <w:rsid w:val="00502505"/>
    <w:rPr>
      <w:rFonts w:ascii="Letter Gothic 12cpi" w:hAnsi="Letter Gothic 12cpi"/>
      <w:b/>
      <w:bCs/>
      <w:sz w:val="24"/>
      <w:u w:val="single"/>
    </w:rPr>
  </w:style>
  <w:style w:type="character" w:customStyle="1" w:styleId="SubtitleChar">
    <w:name w:val="Subtitle Char"/>
    <w:basedOn w:val="DefaultParagraphFont"/>
    <w:link w:val="Subtitle"/>
    <w:rsid w:val="00502505"/>
    <w:rPr>
      <w:rFonts w:ascii="Letter Gothic 12cpi" w:hAnsi="Letter Gothic 12cpi"/>
      <w:b/>
      <w:bCs/>
      <w:sz w:val="24"/>
      <w:szCs w:val="24"/>
      <w:u w:val="single"/>
    </w:rPr>
  </w:style>
  <w:style w:type="character" w:customStyle="1" w:styleId="TitleChar">
    <w:name w:val="Title Char"/>
    <w:link w:val="Title"/>
    <w:rsid w:val="0050250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mcsa.dot.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federalregister.gov/a/2019-27899" TargetMode="External" /><Relationship Id="rId2" Type="http://schemas.openxmlformats.org/officeDocument/2006/relationships/hyperlink" Target="http://www.regulations.gov/docket/FMCSA-2019-0204" TargetMode="External" /><Relationship Id="rId3" Type="http://schemas.openxmlformats.org/officeDocument/2006/relationships/hyperlink" Target="https://www.sba.gov/sites/default/files/2019-08/SBA%20Table%20of%20Size%20Standards_Effective%20Aug%2019%2C%202019_Rev.pdf" TargetMode="External" /><Relationship Id="rId4" Type="http://schemas.openxmlformats.org/officeDocument/2006/relationships/hyperlink" Target="https://www.bls.gov/OES/CURRENT/naics3_484000.htm" TargetMode="External" /><Relationship Id="rId5" Type="http://schemas.openxmlformats.org/officeDocument/2006/relationships/hyperlink" Target="https://www.bls.gov/news.release/pdf/ecec.pdf" TargetMode="External" /><Relationship Id="rId6" Type="http://schemas.openxmlformats.org/officeDocument/2006/relationships/hyperlink" Target="http://www.usps.com" TargetMode="External" /><Relationship Id="rId7" Type="http://schemas.openxmlformats.org/officeDocument/2006/relationships/hyperlink" Target="https://www.opm.gov/policy-data-oversight/pay-leave/salaries-wages/salary-tables/pdf/2024/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09AD0-68DA-4AFD-A81E-92591898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137D8-AA8D-43F5-AF11-E6856A8CC5C8}">
  <ds:schemaRefs>
    <ds:schemaRef ds:uri="http://schemas.microsoft.com/sharepoint/v3/contenttype/forms"/>
  </ds:schemaRefs>
</ds:datastoreItem>
</file>

<file path=customXml/itemProps3.xml><?xml version="1.0" encoding="utf-8"?>
<ds:datastoreItem xmlns:ds="http://schemas.openxmlformats.org/officeDocument/2006/customXml" ds:itemID="{2B2BE0BB-73FD-41F5-A350-526443F9166F}">
  <ds:schemaRefs>
    <ds:schemaRef ds:uri="http://schemas.openxmlformats.org/officeDocument/2006/bibliography"/>
  </ds:schemaRefs>
</ds:datastoreItem>
</file>

<file path=customXml/itemProps4.xml><?xml version="1.0" encoding="utf-8"?>
<ds:datastoreItem xmlns:ds="http://schemas.openxmlformats.org/officeDocument/2006/customXml" ds:itemID="{A261BFF2-74EE-4351-9CFA-DBA0C53829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4143</Words>
  <Characters>23616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fmcsa</dc:creator>
  <cp:lastModifiedBy>Oliver, Roxane (FMCSA)</cp:lastModifiedBy>
  <cp:revision>2</cp:revision>
  <cp:lastPrinted>2018-12-12T20:48:00Z</cp:lastPrinted>
  <dcterms:created xsi:type="dcterms:W3CDTF">2025-11-21T15:09:00Z</dcterms:created>
  <dcterms:modified xsi:type="dcterms:W3CDTF">2025-11-21T15:09:00Z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_NewReviewCycle">
    <vt:lpwstr/>
  </property>
</Properties>
</file>