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0720" w:rsidRPr="00220568" w:rsidP="008A6589" w14:paraId="404173D8" w14:textId="416E2FBA">
      <w:pPr>
        <w:pStyle w:val="Title"/>
        <w:rPr>
          <w:rFonts w:ascii="Times New Roman" w:hAnsi="Times New Roman"/>
          <w:u w:val="none"/>
        </w:rPr>
      </w:pPr>
      <w:r w:rsidRPr="00220568">
        <w:rPr>
          <w:rFonts w:ascii="Times New Roman" w:hAnsi="Times New Roman"/>
          <w:u w:val="none"/>
        </w:rPr>
        <w:t>Department of Transportation</w:t>
      </w:r>
    </w:p>
    <w:p w:rsidR="00470720" w:rsidRPr="00295914" w:rsidP="008A6589" w14:paraId="2A05F365" w14:textId="5ECA1691">
      <w:pPr>
        <w:pStyle w:val="Title"/>
        <w:rPr>
          <w:rFonts w:ascii="Times New Roman" w:hAnsi="Times New Roman"/>
          <w:u w:val="none"/>
        </w:rPr>
      </w:pPr>
      <w:r w:rsidRPr="00295914">
        <w:rPr>
          <w:rFonts w:ascii="Times New Roman" w:hAnsi="Times New Roman"/>
          <w:u w:val="none"/>
        </w:rPr>
        <w:t xml:space="preserve">Maritime Administration </w:t>
      </w:r>
    </w:p>
    <w:p w:rsidR="00233E81" w:rsidRPr="00295914" w:rsidP="008A6589" w14:paraId="493154E1" w14:textId="70E730E0">
      <w:pPr>
        <w:pStyle w:val="Title"/>
        <w:rPr>
          <w:rFonts w:ascii="Times New Roman" w:hAnsi="Times New Roman"/>
          <w:u w:val="none"/>
        </w:rPr>
      </w:pPr>
      <w:r w:rsidRPr="00295914">
        <w:rPr>
          <w:rFonts w:ascii="Times New Roman" w:hAnsi="Times New Roman"/>
          <w:u w:val="none"/>
        </w:rPr>
        <w:t>Information Collection Request (ICR)</w:t>
      </w:r>
    </w:p>
    <w:p w:rsidR="00233E81" w:rsidRPr="00295914" w:rsidP="00233E81" w14:paraId="1F6503E0" w14:textId="77777777">
      <w:pPr>
        <w:pStyle w:val="Title"/>
        <w:rPr>
          <w:rFonts w:ascii="Times New Roman" w:hAnsi="Times New Roman"/>
          <w:u w:val="none"/>
        </w:rPr>
      </w:pPr>
      <w:r w:rsidRPr="00295914">
        <w:rPr>
          <w:rFonts w:ascii="Times New Roman" w:hAnsi="Times New Roman"/>
          <w:u w:val="none"/>
        </w:rPr>
        <w:t>2133-0522</w:t>
      </w:r>
    </w:p>
    <w:p w:rsidR="00233E81" w:rsidRPr="00295914" w:rsidP="00233E81" w14:paraId="0152684B" w14:textId="3793B43B">
      <w:pPr>
        <w:pStyle w:val="Title"/>
        <w:rPr>
          <w:rFonts w:ascii="Times New Roman" w:hAnsi="Times New Roman"/>
          <w:u w:val="none"/>
        </w:rPr>
      </w:pPr>
      <w:r w:rsidRPr="00295914">
        <w:rPr>
          <w:rFonts w:ascii="Times New Roman" w:hAnsi="Times New Roman"/>
          <w:u w:val="none"/>
        </w:rPr>
        <w:t>Seamen's Claims</w:t>
      </w:r>
      <w:r w:rsidR="004322A9">
        <w:rPr>
          <w:rFonts w:ascii="Times New Roman" w:hAnsi="Times New Roman"/>
          <w:u w:val="none"/>
        </w:rPr>
        <w:t xml:space="preserve">, </w:t>
      </w:r>
      <w:r w:rsidRPr="00295914">
        <w:rPr>
          <w:rFonts w:ascii="Times New Roman" w:hAnsi="Times New Roman"/>
          <w:u w:val="none"/>
        </w:rPr>
        <w:t>Administrative Action</w:t>
      </w:r>
      <w:r w:rsidR="0029484A">
        <w:rPr>
          <w:rFonts w:ascii="Times New Roman" w:hAnsi="Times New Roman"/>
          <w:u w:val="none"/>
        </w:rPr>
        <w:t>,</w:t>
      </w:r>
      <w:r w:rsidRPr="00295914">
        <w:rPr>
          <w:rFonts w:ascii="Times New Roman" w:hAnsi="Times New Roman"/>
          <w:u w:val="none"/>
        </w:rPr>
        <w:t xml:space="preserve"> and Litigation</w:t>
      </w:r>
    </w:p>
    <w:p w:rsidR="00233E81" w:rsidRPr="00220568" w:rsidP="008A6589" w14:paraId="7BA3B70B" w14:textId="77777777">
      <w:pPr>
        <w:pStyle w:val="Title"/>
        <w:rPr>
          <w:rFonts w:ascii="Times New Roman" w:hAnsi="Times New Roman"/>
        </w:rPr>
      </w:pPr>
    </w:p>
    <w:p w:rsidR="0004749E" w:rsidRPr="00295914" w:rsidP="008A6589" w14:paraId="41573FEF" w14:textId="74F9BC67">
      <w:pPr>
        <w:pStyle w:val="Title"/>
        <w:rPr>
          <w:rFonts w:ascii="Times New Roman" w:hAnsi="Times New Roman"/>
          <w:u w:val="none"/>
        </w:rPr>
      </w:pPr>
      <w:r w:rsidRPr="00295914">
        <w:rPr>
          <w:rFonts w:ascii="Times New Roman" w:hAnsi="Times New Roman"/>
          <w:u w:val="none"/>
        </w:rPr>
        <w:t>SUPPORTING STATEMENT</w:t>
      </w:r>
    </w:p>
    <w:p w:rsidR="00987537" w:rsidP="008A6589" w14:paraId="6D781FE7" w14:textId="77777777">
      <w:pPr>
        <w:pStyle w:val="Title"/>
        <w:rPr>
          <w:rFonts w:ascii="Times New Roman" w:hAnsi="Times New Roman"/>
          <w:b w:val="0"/>
          <w:u w:val="none"/>
        </w:rPr>
      </w:pPr>
      <w:bookmarkStart w:id="0" w:name="_Hlk81308662"/>
    </w:p>
    <w:bookmarkEnd w:id="0"/>
    <w:p w:rsidR="0004749E" w:rsidRPr="00295914" w:rsidP="00110DBE" w14:paraId="4B95C704" w14:textId="77777777">
      <w:pPr>
        <w:pStyle w:val="Subtitle"/>
        <w:ind w:left="-720"/>
        <w:rPr>
          <w:rFonts w:ascii="Times New Roman" w:hAnsi="Times New Roman"/>
          <w:u w:val="none"/>
        </w:rPr>
      </w:pPr>
      <w:r w:rsidRPr="00295914">
        <w:rPr>
          <w:rFonts w:ascii="Times New Roman" w:hAnsi="Times New Roman"/>
          <w:u w:val="none"/>
        </w:rPr>
        <w:t>INTRODUCTION</w:t>
      </w:r>
    </w:p>
    <w:p w:rsidR="0004749E" w:rsidRPr="00220568" w:rsidP="00110DBE" w14:paraId="4C00CE67" w14:textId="77777777">
      <w:pPr>
        <w:ind w:left="-720"/>
        <w:rPr>
          <w:rFonts w:ascii="Times New Roman" w:hAnsi="Times New Roman"/>
          <w:b/>
          <w:bCs/>
          <w:sz w:val="24"/>
          <w:szCs w:val="24"/>
        </w:rPr>
      </w:pPr>
    </w:p>
    <w:p w:rsidR="00C01598" w:rsidRPr="00295914" w:rsidP="00110DBE" w14:paraId="55FB191D" w14:textId="2169A7E6">
      <w:pPr>
        <w:ind w:left="-720"/>
        <w:rPr>
          <w:rFonts w:ascii="Times New Roman" w:hAnsi="Times New Roman"/>
          <w:bCs/>
          <w:i/>
          <w:iCs/>
        </w:rPr>
      </w:pPr>
      <w:r w:rsidRPr="00220568">
        <w:rPr>
          <w:rFonts w:ascii="Times New Roman" w:hAnsi="Times New Roman"/>
          <w:sz w:val="24"/>
          <w:szCs w:val="24"/>
        </w:rPr>
        <w:t xml:space="preserve">This </w:t>
      </w:r>
      <w:r w:rsidR="004322A9">
        <w:rPr>
          <w:rFonts w:ascii="Times New Roman" w:hAnsi="Times New Roman"/>
          <w:sz w:val="24"/>
          <w:szCs w:val="24"/>
        </w:rPr>
        <w:t>submission is</w:t>
      </w:r>
      <w:r w:rsidRPr="00220568">
        <w:rPr>
          <w:rFonts w:ascii="Times New Roman" w:hAnsi="Times New Roman"/>
          <w:sz w:val="24"/>
          <w:szCs w:val="24"/>
        </w:rPr>
        <w:t xml:space="preserve"> to request </w:t>
      </w:r>
      <w:r w:rsidR="004322A9">
        <w:rPr>
          <w:rFonts w:ascii="Times New Roman" w:hAnsi="Times New Roman"/>
          <w:sz w:val="24"/>
          <w:szCs w:val="24"/>
        </w:rPr>
        <w:t xml:space="preserve">a three-year approval from </w:t>
      </w:r>
      <w:r w:rsidRPr="00220568">
        <w:rPr>
          <w:rFonts w:ascii="Times New Roman" w:hAnsi="Times New Roman"/>
          <w:sz w:val="24"/>
          <w:szCs w:val="24"/>
        </w:rPr>
        <w:t>the Office of Management and Budget</w:t>
      </w:r>
      <w:r w:rsidR="006643D0">
        <w:rPr>
          <w:rFonts w:ascii="Times New Roman" w:hAnsi="Times New Roman"/>
          <w:sz w:val="24"/>
          <w:szCs w:val="24"/>
        </w:rPr>
        <w:t xml:space="preserve">  </w:t>
      </w:r>
      <w:r w:rsidRPr="00220568">
        <w:rPr>
          <w:rFonts w:ascii="Times New Roman" w:hAnsi="Times New Roman"/>
          <w:sz w:val="24"/>
          <w:szCs w:val="24"/>
        </w:rPr>
        <w:t>(OMB) for the information collection entitled</w:t>
      </w:r>
      <w:r w:rsidR="004322A9">
        <w:rPr>
          <w:rFonts w:ascii="Times New Roman" w:hAnsi="Times New Roman"/>
          <w:sz w:val="24"/>
          <w:szCs w:val="24"/>
        </w:rPr>
        <w:t xml:space="preserve"> OMB </w:t>
      </w:r>
      <w:r w:rsidRPr="004322A9" w:rsidR="004322A9">
        <w:rPr>
          <w:rFonts w:ascii="Times New Roman" w:hAnsi="Times New Roman"/>
          <w:sz w:val="24"/>
          <w:szCs w:val="24"/>
        </w:rPr>
        <w:t>2133-0522</w:t>
      </w:r>
      <w:r w:rsidR="004322A9">
        <w:rPr>
          <w:rFonts w:ascii="Times New Roman" w:hAnsi="Times New Roman"/>
          <w:sz w:val="24"/>
          <w:szCs w:val="24"/>
        </w:rPr>
        <w:t xml:space="preserve"> (</w:t>
      </w:r>
      <w:r w:rsidRPr="00FB67FA" w:rsidR="007E762F">
        <w:rPr>
          <w:rFonts w:ascii="Times New Roman" w:hAnsi="Times New Roman"/>
          <w:sz w:val="24"/>
          <w:szCs w:val="24"/>
        </w:rPr>
        <w:t>Seamen's Claims</w:t>
      </w:r>
      <w:r w:rsidR="00C11A96">
        <w:rPr>
          <w:rFonts w:ascii="Times New Roman" w:hAnsi="Times New Roman"/>
          <w:sz w:val="24"/>
          <w:szCs w:val="24"/>
        </w:rPr>
        <w:t xml:space="preserve"> </w:t>
      </w:r>
      <w:r w:rsidRPr="00FB67FA" w:rsidR="007E762F">
        <w:rPr>
          <w:rFonts w:ascii="Times New Roman" w:hAnsi="Times New Roman"/>
          <w:sz w:val="24"/>
          <w:szCs w:val="24"/>
        </w:rPr>
        <w:t>Administrative Action</w:t>
      </w:r>
      <w:r w:rsidR="004322A9">
        <w:rPr>
          <w:rFonts w:ascii="Times New Roman" w:hAnsi="Times New Roman"/>
          <w:sz w:val="24"/>
          <w:szCs w:val="24"/>
        </w:rPr>
        <w:t>,</w:t>
      </w:r>
      <w:r w:rsidRPr="00FB67FA" w:rsidR="007E762F">
        <w:rPr>
          <w:rFonts w:ascii="Times New Roman" w:hAnsi="Times New Roman"/>
          <w:sz w:val="24"/>
          <w:szCs w:val="24"/>
        </w:rPr>
        <w:t xml:space="preserve"> and Litigation</w:t>
      </w:r>
      <w:r w:rsidR="004322A9">
        <w:rPr>
          <w:rFonts w:ascii="Times New Roman" w:hAnsi="Times New Roman"/>
          <w:sz w:val="24"/>
          <w:szCs w:val="24"/>
        </w:rPr>
        <w:t>)</w:t>
      </w:r>
      <w:r w:rsidRPr="00220568">
        <w:rPr>
          <w:rFonts w:ascii="Times New Roman" w:hAnsi="Times New Roman"/>
          <w:sz w:val="24"/>
          <w:szCs w:val="24"/>
        </w:rPr>
        <w:t>, which expire</w:t>
      </w:r>
      <w:r w:rsidR="004322A9">
        <w:rPr>
          <w:rFonts w:ascii="Times New Roman" w:hAnsi="Times New Roman"/>
          <w:sz w:val="24"/>
          <w:szCs w:val="24"/>
        </w:rPr>
        <w:t>s</w:t>
      </w:r>
      <w:r w:rsidRPr="00220568">
        <w:rPr>
          <w:rFonts w:ascii="Times New Roman" w:hAnsi="Times New Roman"/>
          <w:sz w:val="24"/>
          <w:szCs w:val="24"/>
        </w:rPr>
        <w:t xml:space="preserve"> on</w:t>
      </w:r>
      <w:r w:rsidR="00BC3521">
        <w:rPr>
          <w:rFonts w:ascii="Times New Roman" w:hAnsi="Times New Roman"/>
          <w:sz w:val="24"/>
          <w:szCs w:val="24"/>
        </w:rPr>
        <w:t xml:space="preserve"> </w:t>
      </w:r>
      <w:r w:rsidR="004322A9">
        <w:rPr>
          <w:rFonts w:ascii="Times New Roman" w:hAnsi="Times New Roman"/>
          <w:sz w:val="24"/>
          <w:szCs w:val="24"/>
        </w:rPr>
        <w:t>December 31, 2025</w:t>
      </w:r>
      <w:r w:rsidRPr="00220568" w:rsidR="007E762F">
        <w:rPr>
          <w:rFonts w:ascii="Times New Roman" w:hAnsi="Times New Roman"/>
          <w:sz w:val="24"/>
          <w:szCs w:val="24"/>
        </w:rPr>
        <w:t>.</w:t>
      </w:r>
      <w:r w:rsidR="00987537">
        <w:rPr>
          <w:rFonts w:ascii="Times New Roman" w:hAnsi="Times New Roman"/>
          <w:sz w:val="24"/>
          <w:szCs w:val="24"/>
        </w:rPr>
        <w:t xml:space="preserve">  </w:t>
      </w:r>
      <w:r w:rsidR="004322A9">
        <w:rPr>
          <w:rFonts w:ascii="Times New Roman" w:hAnsi="Times New Roman"/>
          <w:sz w:val="24"/>
          <w:szCs w:val="24"/>
        </w:rPr>
        <w:t>There are no changes s</w:t>
      </w:r>
      <w:r>
        <w:rPr>
          <w:rFonts w:ascii="Times New Roman" w:hAnsi="Times New Roman"/>
          <w:sz w:val="24"/>
          <w:szCs w:val="24"/>
        </w:rPr>
        <w:t xml:space="preserve">ince the last </w:t>
      </w:r>
      <w:r w:rsidR="004322A9">
        <w:rPr>
          <w:rFonts w:ascii="Times New Roman" w:hAnsi="Times New Roman"/>
          <w:sz w:val="24"/>
          <w:szCs w:val="24"/>
        </w:rPr>
        <w:t xml:space="preserve">renewal, so this collection will be submitted as </w:t>
      </w:r>
      <w:r w:rsidRPr="00295914" w:rsidR="004322A9">
        <w:rPr>
          <w:rFonts w:ascii="Times New Roman" w:hAnsi="Times New Roman"/>
          <w:i/>
          <w:iCs/>
          <w:sz w:val="24"/>
          <w:szCs w:val="24"/>
        </w:rPr>
        <w:t>an extension without change of a currently approved collection</w:t>
      </w:r>
      <w:r w:rsidRPr="00295914">
        <w:rPr>
          <w:rFonts w:ascii="Times New Roman" w:hAnsi="Times New Roman"/>
          <w:i/>
          <w:iCs/>
          <w:sz w:val="24"/>
          <w:szCs w:val="24"/>
        </w:rPr>
        <w:t xml:space="preserve">.  </w:t>
      </w:r>
    </w:p>
    <w:p w:rsidR="0004749E" w:rsidRPr="00220568" w:rsidP="009B47AF" w14:paraId="1CFF4341" w14:textId="77777777">
      <w:pPr>
        <w:rPr>
          <w:rFonts w:ascii="Times New Roman" w:hAnsi="Times New Roman"/>
          <w:b/>
          <w:bCs/>
          <w:sz w:val="24"/>
          <w:szCs w:val="24"/>
        </w:rPr>
      </w:pPr>
    </w:p>
    <w:p w:rsidR="0004749E" w:rsidRPr="00295914" w:rsidP="00110DBE" w14:paraId="07C3E6AA" w14:textId="6AFB278C">
      <w:pPr>
        <w:pStyle w:val="ListParagraph"/>
        <w:numPr>
          <w:ilvl w:val="0"/>
          <w:numId w:val="24"/>
        </w:numPr>
        <w:tabs>
          <w:tab w:val="left" w:pos="-1440"/>
          <w:tab w:val="left" w:pos="-720"/>
          <w:tab w:val="left" w:pos="-36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ind w:left="-720" w:firstLine="0"/>
        <w:rPr>
          <w:rFonts w:ascii="Times New Roman" w:hAnsi="Times New Roman"/>
          <w:b/>
          <w:bCs/>
          <w:sz w:val="24"/>
          <w:szCs w:val="24"/>
        </w:rPr>
      </w:pPr>
      <w:r w:rsidRPr="00295914">
        <w:rPr>
          <w:rFonts w:ascii="Times New Roman" w:hAnsi="Times New Roman"/>
          <w:b/>
          <w:bCs/>
          <w:sz w:val="24"/>
          <w:szCs w:val="24"/>
        </w:rPr>
        <w:t>JUSTIFICATION</w:t>
      </w:r>
    </w:p>
    <w:p w:rsidR="0004749E" w:rsidRPr="00220568" w:rsidP="009B47AF" w14:paraId="0174B744"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p>
    <w:p w:rsidR="0004749E" w:rsidRPr="00295914" w:rsidP="00110DBE" w14:paraId="75A76552" w14:textId="4CBF040A">
      <w:pPr>
        <w:pStyle w:val="ListParagraph"/>
        <w:numPr>
          <w:ilvl w:val="0"/>
          <w:numId w:val="23"/>
        </w:num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ind w:hanging="1440"/>
        <w:rPr>
          <w:rFonts w:ascii="Times New Roman" w:hAnsi="Times New Roman"/>
          <w:b/>
          <w:sz w:val="24"/>
          <w:szCs w:val="24"/>
        </w:rPr>
      </w:pPr>
      <w:r w:rsidRPr="00295914">
        <w:rPr>
          <w:rFonts w:ascii="Times New Roman" w:hAnsi="Times New Roman"/>
          <w:b/>
          <w:sz w:val="24"/>
          <w:szCs w:val="24"/>
        </w:rPr>
        <w:t xml:space="preserve">Circumstances </w:t>
      </w:r>
      <w:r w:rsidRPr="00295914" w:rsidR="00AA29BF">
        <w:rPr>
          <w:rFonts w:ascii="Times New Roman" w:hAnsi="Times New Roman"/>
          <w:b/>
          <w:sz w:val="24"/>
          <w:szCs w:val="24"/>
        </w:rPr>
        <w:t>M</w:t>
      </w:r>
      <w:r w:rsidRPr="00295914">
        <w:rPr>
          <w:rFonts w:ascii="Times New Roman" w:hAnsi="Times New Roman"/>
          <w:b/>
          <w:sz w:val="24"/>
          <w:szCs w:val="24"/>
        </w:rPr>
        <w:t>ak</w:t>
      </w:r>
      <w:r w:rsidRPr="00295914" w:rsidR="00AA29BF">
        <w:rPr>
          <w:rFonts w:ascii="Times New Roman" w:hAnsi="Times New Roman"/>
          <w:b/>
          <w:sz w:val="24"/>
          <w:szCs w:val="24"/>
        </w:rPr>
        <w:t>ing the C</w:t>
      </w:r>
      <w:r w:rsidRPr="00295914">
        <w:rPr>
          <w:rFonts w:ascii="Times New Roman" w:hAnsi="Times New Roman"/>
          <w:b/>
          <w:sz w:val="24"/>
          <w:szCs w:val="24"/>
        </w:rPr>
        <w:t xml:space="preserve">ollection of </w:t>
      </w:r>
      <w:r w:rsidRPr="00295914" w:rsidR="00AA29BF">
        <w:rPr>
          <w:rFonts w:ascii="Times New Roman" w:hAnsi="Times New Roman"/>
          <w:b/>
          <w:sz w:val="24"/>
          <w:szCs w:val="24"/>
        </w:rPr>
        <w:t>Information Necessary</w:t>
      </w:r>
      <w:r w:rsidRPr="00295914" w:rsidR="00470720">
        <w:rPr>
          <w:rFonts w:ascii="Times New Roman" w:hAnsi="Times New Roman"/>
          <w:b/>
          <w:sz w:val="24"/>
          <w:szCs w:val="24"/>
        </w:rPr>
        <w:t xml:space="preserve"> </w:t>
      </w:r>
    </w:p>
    <w:p w:rsidR="009E69EE" w:rsidRPr="00220568" w:rsidP="00110DBE" w14:paraId="31E6EEC8" w14:textId="5C628D09">
      <w:pPr>
        <w:tabs>
          <w:tab w:val="left" w:pos="-720"/>
          <w:tab w:val="left" w:pos="0"/>
        </w:tabs>
        <w:suppressAutoHyphens/>
        <w:ind w:hanging="360"/>
        <w:rPr>
          <w:rFonts w:ascii="Times New Roman" w:hAnsi="Times New Roman"/>
          <w:sz w:val="24"/>
          <w:szCs w:val="24"/>
        </w:rPr>
      </w:pPr>
      <w:r w:rsidRPr="00220568">
        <w:rPr>
          <w:rFonts w:ascii="Times New Roman" w:hAnsi="Times New Roman"/>
          <w:sz w:val="24"/>
          <w:szCs w:val="24"/>
        </w:rPr>
        <w:br/>
      </w:r>
      <w:r w:rsidRPr="00220568">
        <w:rPr>
          <w:rFonts w:ascii="Times New Roman" w:hAnsi="Times New Roman"/>
          <w:sz w:val="24"/>
          <w:szCs w:val="24"/>
        </w:rPr>
        <w:t xml:space="preserve">Applicable statutes are found in the Suits in Admiralty Act, 46 </w:t>
      </w:r>
      <w:r w:rsidR="00AB761B">
        <w:rPr>
          <w:rFonts w:ascii="Times New Roman" w:hAnsi="Times New Roman"/>
          <w:sz w:val="24"/>
          <w:szCs w:val="24"/>
        </w:rPr>
        <w:t>United States Code (</w:t>
      </w:r>
      <w:r w:rsidRPr="00220568">
        <w:rPr>
          <w:rFonts w:ascii="Times New Roman" w:hAnsi="Times New Roman"/>
          <w:sz w:val="24"/>
          <w:szCs w:val="24"/>
        </w:rPr>
        <w:t>U</w:t>
      </w:r>
      <w:r w:rsidR="00AB761B">
        <w:rPr>
          <w:rFonts w:ascii="Times New Roman" w:hAnsi="Times New Roman"/>
          <w:sz w:val="24"/>
          <w:szCs w:val="24"/>
        </w:rPr>
        <w:t>SC) Sections (§</w:t>
      </w:r>
      <w:bookmarkStart w:id="1" w:name="_Hlk206662689"/>
      <w:r w:rsidR="00AB761B">
        <w:rPr>
          <w:rFonts w:ascii="Times New Roman" w:hAnsi="Times New Roman"/>
          <w:sz w:val="24"/>
          <w:szCs w:val="24"/>
        </w:rPr>
        <w:t>§</w:t>
      </w:r>
      <w:bookmarkEnd w:id="1"/>
      <w:r w:rsidR="00AB761B">
        <w:rPr>
          <w:rFonts w:ascii="Times New Roman" w:hAnsi="Times New Roman"/>
          <w:sz w:val="24"/>
          <w:szCs w:val="24"/>
        </w:rPr>
        <w:t>)</w:t>
      </w:r>
      <w:r w:rsidRPr="00220568">
        <w:rPr>
          <w:rFonts w:ascii="Times New Roman" w:hAnsi="Times New Roman"/>
          <w:sz w:val="24"/>
          <w:szCs w:val="24"/>
        </w:rPr>
        <w:t xml:space="preserve"> 30901-309</w:t>
      </w:r>
      <w:r w:rsidR="00864B81">
        <w:rPr>
          <w:rFonts w:ascii="Times New Roman" w:hAnsi="Times New Roman"/>
          <w:sz w:val="24"/>
          <w:szCs w:val="24"/>
        </w:rPr>
        <w:t>08</w:t>
      </w:r>
      <w:r w:rsidRPr="00220568">
        <w:rPr>
          <w:rFonts w:ascii="Times New Roman" w:hAnsi="Times New Roman"/>
          <w:sz w:val="24"/>
          <w:szCs w:val="24"/>
        </w:rPr>
        <w:t xml:space="preserve"> and the Public Vessels Act, 46 U</w:t>
      </w:r>
      <w:r w:rsidR="00AB761B">
        <w:rPr>
          <w:rFonts w:ascii="Times New Roman" w:hAnsi="Times New Roman"/>
          <w:sz w:val="24"/>
          <w:szCs w:val="24"/>
        </w:rPr>
        <w:t>SC</w:t>
      </w:r>
      <w:r w:rsidRPr="00220568">
        <w:rPr>
          <w:rFonts w:ascii="Times New Roman" w:hAnsi="Times New Roman"/>
          <w:sz w:val="24"/>
          <w:szCs w:val="24"/>
        </w:rPr>
        <w:t xml:space="preserve"> </w:t>
      </w:r>
      <w:r w:rsidRPr="00AB761B" w:rsidR="00AB761B">
        <w:rPr>
          <w:rFonts w:ascii="Times New Roman" w:hAnsi="Times New Roman"/>
          <w:sz w:val="24"/>
          <w:szCs w:val="24"/>
        </w:rPr>
        <w:t>§</w:t>
      </w:r>
      <w:r w:rsidR="00AB761B">
        <w:rPr>
          <w:rFonts w:ascii="Times New Roman" w:hAnsi="Times New Roman"/>
          <w:sz w:val="24"/>
          <w:szCs w:val="24"/>
        </w:rPr>
        <w:t xml:space="preserve"> </w:t>
      </w:r>
      <w:r w:rsidRPr="00220568">
        <w:rPr>
          <w:rFonts w:ascii="Times New Roman" w:hAnsi="Times New Roman"/>
          <w:sz w:val="24"/>
          <w:szCs w:val="24"/>
        </w:rPr>
        <w:t>31101-3</w:t>
      </w:r>
      <w:r w:rsidR="00864B81">
        <w:rPr>
          <w:rFonts w:ascii="Times New Roman" w:hAnsi="Times New Roman"/>
          <w:sz w:val="24"/>
          <w:szCs w:val="24"/>
        </w:rPr>
        <w:t>1</w:t>
      </w:r>
      <w:r w:rsidRPr="00220568">
        <w:rPr>
          <w:rFonts w:ascii="Times New Roman" w:hAnsi="Times New Roman"/>
          <w:sz w:val="24"/>
          <w:szCs w:val="24"/>
        </w:rPr>
        <w:t>1</w:t>
      </w:r>
      <w:r w:rsidR="00864B81">
        <w:rPr>
          <w:rFonts w:ascii="Times New Roman" w:hAnsi="Times New Roman"/>
          <w:sz w:val="24"/>
          <w:szCs w:val="24"/>
        </w:rPr>
        <w:t>0</w:t>
      </w:r>
      <w:r w:rsidRPr="00220568">
        <w:rPr>
          <w:rFonts w:ascii="Times New Roman" w:hAnsi="Times New Roman"/>
          <w:sz w:val="24"/>
          <w:szCs w:val="24"/>
        </w:rPr>
        <w:t>3</w:t>
      </w:r>
      <w:r w:rsidR="0029484A">
        <w:rPr>
          <w:rFonts w:ascii="Times New Roman" w:hAnsi="Times New Roman"/>
          <w:sz w:val="24"/>
          <w:szCs w:val="24"/>
        </w:rPr>
        <w:t>,</w:t>
      </w:r>
      <w:r w:rsidRPr="00220568">
        <w:rPr>
          <w:rFonts w:ascii="Times New Roman" w:hAnsi="Times New Roman"/>
          <w:sz w:val="24"/>
          <w:szCs w:val="24"/>
        </w:rPr>
        <w:t xml:space="preserve"> permit non-jury proceedings in admiralty to be brought against the United States</w:t>
      </w:r>
      <w:r w:rsidR="00AB761B">
        <w:rPr>
          <w:rFonts w:ascii="Times New Roman" w:hAnsi="Times New Roman"/>
          <w:sz w:val="24"/>
          <w:szCs w:val="24"/>
        </w:rPr>
        <w:t>,</w:t>
      </w:r>
      <w:r w:rsidRPr="00220568">
        <w:rPr>
          <w:rFonts w:ascii="Times New Roman" w:hAnsi="Times New Roman"/>
          <w:sz w:val="24"/>
          <w:szCs w:val="24"/>
        </w:rPr>
        <w:t xml:space="preserve"> by persons</w:t>
      </w:r>
      <w:r w:rsidR="00295914">
        <w:rPr>
          <w:rFonts w:ascii="Times New Roman" w:hAnsi="Times New Roman"/>
          <w:sz w:val="24"/>
          <w:szCs w:val="24"/>
        </w:rPr>
        <w:t xml:space="preserve"> who suffer </w:t>
      </w:r>
      <w:r w:rsidRPr="00220568">
        <w:rPr>
          <w:rFonts w:ascii="Times New Roman" w:hAnsi="Times New Roman"/>
          <w:sz w:val="24"/>
          <w:szCs w:val="24"/>
        </w:rPr>
        <w:t>injury or illness</w:t>
      </w:r>
      <w:r w:rsidR="00041CE6">
        <w:rPr>
          <w:rFonts w:ascii="Times New Roman" w:hAnsi="Times New Roman"/>
          <w:sz w:val="24"/>
          <w:szCs w:val="24"/>
        </w:rPr>
        <w:t>,</w:t>
      </w:r>
      <w:r w:rsidRPr="00220568">
        <w:rPr>
          <w:rFonts w:ascii="Times New Roman" w:hAnsi="Times New Roman"/>
          <w:sz w:val="24"/>
          <w:szCs w:val="24"/>
        </w:rPr>
        <w:t xml:space="preserve"> while serving as masters or members of a crew on board a vessel owned or operated by the United States. </w:t>
      </w:r>
      <w:r w:rsidR="00974B72">
        <w:rPr>
          <w:rFonts w:ascii="Times New Roman" w:hAnsi="Times New Roman"/>
          <w:sz w:val="24"/>
          <w:szCs w:val="24"/>
        </w:rPr>
        <w:t xml:space="preserve"> </w:t>
      </w:r>
      <w:r w:rsidR="00295914">
        <w:rPr>
          <w:rFonts w:ascii="Times New Roman" w:hAnsi="Times New Roman"/>
          <w:sz w:val="24"/>
          <w:szCs w:val="24"/>
        </w:rPr>
        <w:t xml:space="preserve">Injuries or illness that result in death may also be brought against the United States by a </w:t>
      </w:r>
      <w:r w:rsidR="007F2EC6">
        <w:rPr>
          <w:rFonts w:ascii="Times New Roman" w:hAnsi="Times New Roman"/>
          <w:sz w:val="24"/>
          <w:szCs w:val="24"/>
        </w:rPr>
        <w:t>third-party</w:t>
      </w:r>
      <w:r w:rsidR="00295914">
        <w:rPr>
          <w:rFonts w:ascii="Times New Roman" w:hAnsi="Times New Roman"/>
          <w:sz w:val="24"/>
          <w:szCs w:val="24"/>
        </w:rPr>
        <w:t xml:space="preserve"> representative.</w:t>
      </w:r>
      <w:r w:rsidRPr="00220568">
        <w:rPr>
          <w:rFonts w:ascii="Times New Roman" w:hAnsi="Times New Roman"/>
          <w:sz w:val="24"/>
          <w:szCs w:val="24"/>
        </w:rPr>
        <w:t xml:space="preserve"> </w:t>
      </w:r>
      <w:r w:rsidR="00974B72">
        <w:rPr>
          <w:rFonts w:ascii="Times New Roman" w:hAnsi="Times New Roman"/>
          <w:sz w:val="24"/>
          <w:szCs w:val="24"/>
        </w:rPr>
        <w:t xml:space="preserve"> </w:t>
      </w:r>
      <w:r w:rsidRPr="00220568">
        <w:rPr>
          <w:rFonts w:ascii="Times New Roman" w:hAnsi="Times New Roman"/>
          <w:sz w:val="24"/>
          <w:szCs w:val="24"/>
        </w:rPr>
        <w:t>Title 46 Code of Federal</w:t>
      </w:r>
      <w:r w:rsidR="00AB761B">
        <w:rPr>
          <w:rFonts w:ascii="Times New Roman" w:hAnsi="Times New Roman"/>
          <w:sz w:val="24"/>
          <w:szCs w:val="24"/>
        </w:rPr>
        <w:t xml:space="preserve"> </w:t>
      </w:r>
      <w:r w:rsidRPr="00220568">
        <w:rPr>
          <w:rFonts w:ascii="Times New Roman" w:hAnsi="Times New Roman"/>
          <w:sz w:val="24"/>
          <w:szCs w:val="24"/>
        </w:rPr>
        <w:t xml:space="preserve">Regulations </w:t>
      </w:r>
      <w:r w:rsidR="00AB761B">
        <w:rPr>
          <w:rFonts w:ascii="Times New Roman" w:hAnsi="Times New Roman"/>
          <w:sz w:val="24"/>
          <w:szCs w:val="24"/>
        </w:rPr>
        <w:t>(CFR)</w:t>
      </w:r>
      <w:r w:rsidR="003578DE">
        <w:rPr>
          <w:rFonts w:ascii="Times New Roman" w:hAnsi="Times New Roman"/>
          <w:sz w:val="24"/>
          <w:szCs w:val="24"/>
        </w:rPr>
        <w:t xml:space="preserve"> </w:t>
      </w:r>
      <w:r w:rsidRPr="00220568">
        <w:rPr>
          <w:rFonts w:ascii="Times New Roman" w:hAnsi="Times New Roman"/>
          <w:sz w:val="24"/>
          <w:szCs w:val="24"/>
        </w:rPr>
        <w:t xml:space="preserve">Part 327 establishes a Maritime Administration (MARAD) administrative procedure to respond to claims for damage recovery allowed under these statutes.  </w:t>
      </w:r>
      <w:r w:rsidRPr="00220568" w:rsidR="003578DE">
        <w:rPr>
          <w:rFonts w:ascii="Times New Roman" w:hAnsi="Times New Roman"/>
          <w:sz w:val="24"/>
          <w:szCs w:val="24"/>
        </w:rPr>
        <w:t>Th</w:t>
      </w:r>
      <w:r w:rsidR="003578DE">
        <w:rPr>
          <w:rFonts w:ascii="Times New Roman" w:hAnsi="Times New Roman"/>
          <w:sz w:val="24"/>
          <w:szCs w:val="24"/>
        </w:rPr>
        <w:t>is</w:t>
      </w:r>
      <w:r w:rsidRPr="00220568" w:rsidR="003578DE">
        <w:rPr>
          <w:rFonts w:ascii="Times New Roman" w:hAnsi="Times New Roman"/>
          <w:sz w:val="24"/>
          <w:szCs w:val="24"/>
        </w:rPr>
        <w:t xml:space="preserve"> </w:t>
      </w:r>
      <w:r w:rsidRPr="00220568">
        <w:rPr>
          <w:rFonts w:ascii="Times New Roman" w:hAnsi="Times New Roman"/>
          <w:sz w:val="24"/>
          <w:szCs w:val="24"/>
        </w:rPr>
        <w:t xml:space="preserve">administrative process allows claimants to submit information at their own initiative to seek recovery in their own self-interest for alleged damages.  </w:t>
      </w:r>
      <w:r w:rsidRPr="00220568" w:rsidR="007F2EC6">
        <w:rPr>
          <w:rFonts w:ascii="Times New Roman" w:hAnsi="Times New Roman"/>
          <w:sz w:val="24"/>
          <w:szCs w:val="24"/>
        </w:rPr>
        <w:t>To</w:t>
      </w:r>
      <w:r w:rsidRPr="00220568">
        <w:rPr>
          <w:rFonts w:ascii="Times New Roman" w:hAnsi="Times New Roman"/>
          <w:sz w:val="24"/>
          <w:szCs w:val="24"/>
        </w:rPr>
        <w:t xml:space="preserve"> accomplish this, the rule instructs the initiator of the claim to provide certain appropriate information so that MARAD can evaluate the issues of agency</w:t>
      </w:r>
      <w:r w:rsidR="00562DFA">
        <w:rPr>
          <w:rFonts w:ascii="Times New Roman" w:hAnsi="Times New Roman"/>
          <w:sz w:val="24"/>
          <w:szCs w:val="24"/>
        </w:rPr>
        <w:t xml:space="preserve">, </w:t>
      </w:r>
      <w:r w:rsidRPr="00220568">
        <w:rPr>
          <w:rFonts w:ascii="Times New Roman" w:hAnsi="Times New Roman"/>
          <w:sz w:val="24"/>
          <w:szCs w:val="24"/>
        </w:rPr>
        <w:t>vessel liability</w:t>
      </w:r>
      <w:r w:rsidR="00041CE6">
        <w:rPr>
          <w:rFonts w:ascii="Times New Roman" w:hAnsi="Times New Roman"/>
          <w:sz w:val="24"/>
          <w:szCs w:val="24"/>
        </w:rPr>
        <w:t>,</w:t>
      </w:r>
      <w:r w:rsidRPr="00220568">
        <w:rPr>
          <w:rFonts w:ascii="Times New Roman" w:hAnsi="Times New Roman"/>
          <w:sz w:val="24"/>
          <w:szCs w:val="24"/>
        </w:rPr>
        <w:t xml:space="preserve"> and the reasonableness of the recovery demand.  This information collection enhances </w:t>
      </w:r>
      <w:r w:rsidR="00974B72">
        <w:rPr>
          <w:rFonts w:ascii="Times New Roman" w:hAnsi="Times New Roman"/>
          <w:sz w:val="24"/>
          <w:szCs w:val="24"/>
        </w:rPr>
        <w:t>Department of Transportation’s ((</w:t>
      </w:r>
      <w:r w:rsidRPr="00220568">
        <w:rPr>
          <w:rFonts w:ascii="Times New Roman" w:hAnsi="Times New Roman"/>
          <w:sz w:val="24"/>
          <w:szCs w:val="24"/>
        </w:rPr>
        <w:t>DOT’s</w:t>
      </w:r>
      <w:r w:rsidR="00974B72">
        <w:rPr>
          <w:rFonts w:ascii="Times New Roman" w:hAnsi="Times New Roman"/>
          <w:sz w:val="24"/>
          <w:szCs w:val="24"/>
        </w:rPr>
        <w:t>)</w:t>
      </w:r>
      <w:r w:rsidRPr="00220568">
        <w:rPr>
          <w:rFonts w:ascii="Times New Roman" w:hAnsi="Times New Roman"/>
          <w:sz w:val="24"/>
          <w:szCs w:val="24"/>
        </w:rPr>
        <w:t xml:space="preserve"> National Security goal</w:t>
      </w:r>
      <w:r w:rsidR="00295914">
        <w:rPr>
          <w:rFonts w:ascii="Times New Roman" w:hAnsi="Times New Roman"/>
          <w:sz w:val="24"/>
          <w:szCs w:val="24"/>
        </w:rPr>
        <w:t xml:space="preserve"> by supporting all seafarers who sail</w:t>
      </w:r>
      <w:r w:rsidR="007F2EC6">
        <w:rPr>
          <w:rFonts w:ascii="Times New Roman" w:hAnsi="Times New Roman"/>
          <w:sz w:val="24"/>
          <w:szCs w:val="24"/>
        </w:rPr>
        <w:t xml:space="preserve"> or work</w:t>
      </w:r>
      <w:r w:rsidR="00295914">
        <w:rPr>
          <w:rFonts w:ascii="Times New Roman" w:hAnsi="Times New Roman"/>
          <w:sz w:val="24"/>
          <w:szCs w:val="24"/>
        </w:rPr>
        <w:t xml:space="preserve"> aboard ships that are active in the National Defense Reserve Fleet (NDRF)</w:t>
      </w:r>
      <w:r w:rsidR="007F2EC6">
        <w:rPr>
          <w:rFonts w:ascii="Times New Roman" w:hAnsi="Times New Roman"/>
          <w:sz w:val="24"/>
          <w:szCs w:val="24"/>
        </w:rPr>
        <w:t xml:space="preserve"> and managed by MARAD.</w:t>
      </w:r>
    </w:p>
    <w:p w:rsidR="0004749E" w:rsidRPr="00220568" w:rsidP="00110DBE" w14:paraId="03633492" w14:textId="77777777">
      <w:pPr>
        <w:ind w:hanging="360"/>
        <w:rPr>
          <w:rFonts w:ascii="Times New Roman" w:hAnsi="Times New Roman"/>
          <w:sz w:val="24"/>
          <w:szCs w:val="24"/>
        </w:rPr>
      </w:pPr>
    </w:p>
    <w:p w:rsidR="00470720" w:rsidRPr="00295914" w:rsidP="00110DBE" w14:paraId="0FE46436" w14:textId="1D846403">
      <w:pPr>
        <w:pStyle w:val="ListParagraph"/>
        <w:numPr>
          <w:ilvl w:val="0"/>
          <w:numId w:val="23"/>
        </w:numPr>
        <w:ind w:left="0"/>
        <w:rPr>
          <w:rFonts w:ascii="Times New Roman" w:hAnsi="Times New Roman"/>
          <w:b/>
          <w:sz w:val="24"/>
          <w:szCs w:val="24"/>
        </w:rPr>
      </w:pPr>
      <w:r w:rsidRPr="00295914">
        <w:rPr>
          <w:rFonts w:ascii="Times New Roman" w:hAnsi="Times New Roman"/>
          <w:b/>
          <w:sz w:val="24"/>
          <w:szCs w:val="24"/>
        </w:rPr>
        <w:t>P</w:t>
      </w:r>
      <w:r w:rsidRPr="00295914" w:rsidR="0004749E">
        <w:rPr>
          <w:rFonts w:ascii="Times New Roman" w:hAnsi="Times New Roman"/>
          <w:b/>
          <w:sz w:val="24"/>
          <w:szCs w:val="24"/>
        </w:rPr>
        <w:t xml:space="preserve">urpose </w:t>
      </w:r>
      <w:r w:rsidRPr="00295914">
        <w:rPr>
          <w:rFonts w:ascii="Times New Roman" w:hAnsi="Times New Roman"/>
          <w:b/>
          <w:sz w:val="24"/>
          <w:szCs w:val="24"/>
        </w:rPr>
        <w:t>and Use of</w:t>
      </w:r>
      <w:r w:rsidRPr="00295914" w:rsidR="0004749E">
        <w:rPr>
          <w:rFonts w:ascii="Times New Roman" w:hAnsi="Times New Roman"/>
          <w:b/>
          <w:sz w:val="24"/>
          <w:szCs w:val="24"/>
        </w:rPr>
        <w:t xml:space="preserve"> </w:t>
      </w:r>
      <w:r w:rsidRPr="00295914">
        <w:rPr>
          <w:rFonts w:ascii="Times New Roman" w:hAnsi="Times New Roman"/>
          <w:b/>
          <w:sz w:val="24"/>
          <w:szCs w:val="24"/>
        </w:rPr>
        <w:t>Information Collection</w:t>
      </w:r>
      <w:r w:rsidRPr="00295914">
        <w:rPr>
          <w:rFonts w:ascii="Times New Roman" w:hAnsi="Times New Roman"/>
          <w:b/>
          <w:sz w:val="24"/>
          <w:szCs w:val="24"/>
        </w:rPr>
        <w:t xml:space="preserve"> </w:t>
      </w:r>
      <w:r w:rsidRPr="00295914" w:rsidR="009D4F72">
        <w:rPr>
          <w:rFonts w:ascii="Times New Roman" w:hAnsi="Times New Roman"/>
          <w:b/>
          <w:sz w:val="24"/>
          <w:szCs w:val="24"/>
        </w:rPr>
        <w:t xml:space="preserve"> </w:t>
      </w:r>
    </w:p>
    <w:p w:rsidR="009E69EE" w:rsidRPr="00220568" w:rsidP="00110DBE" w14:paraId="47E534AC" w14:textId="347D2866">
      <w:pPr>
        <w:tabs>
          <w:tab w:val="left" w:pos="-720"/>
          <w:tab w:val="left" w:pos="0"/>
        </w:tabs>
        <w:suppressAutoHyphens/>
        <w:ind w:hanging="360"/>
        <w:rPr>
          <w:rFonts w:ascii="Times New Roman" w:hAnsi="Times New Roman"/>
          <w:sz w:val="24"/>
          <w:szCs w:val="24"/>
        </w:rPr>
      </w:pPr>
      <w:r w:rsidRPr="00220568">
        <w:rPr>
          <w:rFonts w:ascii="Times New Roman" w:hAnsi="Times New Roman"/>
          <w:sz w:val="24"/>
          <w:szCs w:val="24"/>
        </w:rPr>
        <w:br/>
      </w:r>
      <w:r w:rsidRPr="00220568">
        <w:rPr>
          <w:rFonts w:ascii="Times New Roman" w:hAnsi="Times New Roman"/>
          <w:sz w:val="24"/>
          <w:szCs w:val="24"/>
        </w:rPr>
        <w:t xml:space="preserve">The information </w:t>
      </w:r>
      <w:r w:rsidR="00974B72">
        <w:rPr>
          <w:rFonts w:ascii="Times New Roman" w:hAnsi="Times New Roman"/>
          <w:sz w:val="24"/>
          <w:szCs w:val="24"/>
        </w:rPr>
        <w:t xml:space="preserve">collected </w:t>
      </w:r>
      <w:r w:rsidRPr="00220568">
        <w:rPr>
          <w:rFonts w:ascii="Times New Roman" w:hAnsi="Times New Roman"/>
          <w:sz w:val="24"/>
          <w:szCs w:val="24"/>
        </w:rPr>
        <w:t>about the alleged damage claim is evaluated by MARAD to determine fair</w:t>
      </w:r>
      <w:r w:rsidR="00974B72">
        <w:rPr>
          <w:rFonts w:ascii="Times New Roman" w:hAnsi="Times New Roman"/>
          <w:sz w:val="24"/>
          <w:szCs w:val="24"/>
        </w:rPr>
        <w:t>ness</w:t>
      </w:r>
      <w:r w:rsidRPr="00220568">
        <w:rPr>
          <w:rFonts w:ascii="Times New Roman" w:hAnsi="Times New Roman"/>
          <w:sz w:val="24"/>
          <w:szCs w:val="24"/>
        </w:rPr>
        <w:t xml:space="preserve"> and reasonable</w:t>
      </w:r>
      <w:r w:rsidR="00974B72">
        <w:rPr>
          <w:rFonts w:ascii="Times New Roman" w:hAnsi="Times New Roman"/>
          <w:sz w:val="24"/>
          <w:szCs w:val="24"/>
        </w:rPr>
        <w:t>ness</w:t>
      </w:r>
      <w:r w:rsidRPr="00220568">
        <w:rPr>
          <w:rFonts w:ascii="Times New Roman" w:hAnsi="Times New Roman"/>
          <w:sz w:val="24"/>
          <w:szCs w:val="24"/>
        </w:rPr>
        <w:t xml:space="preserve">.  If MARAD allows the claim, and it is settled, the agency will make appropriate payments to the claimant.  This administrative process impacts upon Federal programs of the U.S. Admiralty Courts, U.S. Department of </w:t>
      </w:r>
      <w:r w:rsidRPr="00220568" w:rsidR="00041CE6">
        <w:rPr>
          <w:rFonts w:ascii="Times New Roman" w:hAnsi="Times New Roman"/>
          <w:sz w:val="24"/>
          <w:szCs w:val="24"/>
        </w:rPr>
        <w:t>Justice,</w:t>
      </w:r>
      <w:r w:rsidRPr="00220568">
        <w:rPr>
          <w:rFonts w:ascii="Times New Roman" w:hAnsi="Times New Roman"/>
          <w:sz w:val="24"/>
          <w:szCs w:val="24"/>
        </w:rPr>
        <w:t xml:space="preserve"> and the U.S. Treasury.</w:t>
      </w:r>
    </w:p>
    <w:p w:rsidR="0004749E" w:rsidRPr="00220568" w:rsidP="00110DBE" w14:paraId="3F228825" w14:textId="77777777">
      <w:pPr>
        <w:ind w:hanging="360"/>
        <w:rPr>
          <w:rFonts w:ascii="Times New Roman" w:hAnsi="Times New Roman"/>
          <w:sz w:val="24"/>
          <w:szCs w:val="24"/>
        </w:rPr>
      </w:pPr>
    </w:p>
    <w:p w:rsidR="00470720" w:rsidRPr="00295914" w:rsidP="00110DBE" w14:paraId="2ACDCF3B" w14:textId="03DF8781">
      <w:pPr>
        <w:pStyle w:val="ListParagraph"/>
        <w:numPr>
          <w:ilvl w:val="0"/>
          <w:numId w:val="23"/>
        </w:numPr>
        <w:ind w:left="0"/>
        <w:rPr>
          <w:rFonts w:ascii="Times New Roman" w:hAnsi="Times New Roman"/>
          <w:b/>
          <w:sz w:val="24"/>
          <w:szCs w:val="24"/>
        </w:rPr>
      </w:pPr>
      <w:r w:rsidRPr="00295914">
        <w:rPr>
          <w:rFonts w:ascii="Times New Roman" w:hAnsi="Times New Roman"/>
          <w:b/>
          <w:sz w:val="24"/>
          <w:szCs w:val="24"/>
        </w:rPr>
        <w:t>A</w:t>
      </w:r>
      <w:r w:rsidRPr="00295914" w:rsidR="0004749E">
        <w:rPr>
          <w:rFonts w:ascii="Times New Roman" w:hAnsi="Times New Roman"/>
          <w:b/>
          <w:sz w:val="24"/>
          <w:szCs w:val="24"/>
        </w:rPr>
        <w:t>utomat</w:t>
      </w:r>
      <w:r w:rsidRPr="00295914">
        <w:rPr>
          <w:rFonts w:ascii="Times New Roman" w:hAnsi="Times New Roman"/>
          <w:b/>
          <w:sz w:val="24"/>
          <w:szCs w:val="24"/>
        </w:rPr>
        <w:t>ion of Use of I</w:t>
      </w:r>
      <w:r w:rsidRPr="00295914" w:rsidR="0004749E">
        <w:rPr>
          <w:rFonts w:ascii="Times New Roman" w:hAnsi="Times New Roman"/>
          <w:b/>
          <w:sz w:val="24"/>
          <w:szCs w:val="24"/>
        </w:rPr>
        <w:t xml:space="preserve">nformation </w:t>
      </w:r>
      <w:r w:rsidRPr="00295914">
        <w:rPr>
          <w:rFonts w:ascii="Times New Roman" w:hAnsi="Times New Roman"/>
          <w:b/>
          <w:sz w:val="24"/>
          <w:szCs w:val="24"/>
        </w:rPr>
        <w:t xml:space="preserve">Technology </w:t>
      </w:r>
      <w:r w:rsidRPr="00295914">
        <w:rPr>
          <w:rFonts w:ascii="Times New Roman" w:hAnsi="Times New Roman"/>
          <w:b/>
          <w:sz w:val="24"/>
          <w:szCs w:val="24"/>
        </w:rPr>
        <w:t xml:space="preserve"> </w:t>
      </w:r>
      <w:r w:rsidRPr="00295914" w:rsidR="009D4F72">
        <w:rPr>
          <w:rFonts w:ascii="Times New Roman" w:hAnsi="Times New Roman"/>
          <w:b/>
          <w:sz w:val="24"/>
          <w:szCs w:val="24"/>
        </w:rPr>
        <w:t xml:space="preserve"> </w:t>
      </w:r>
    </w:p>
    <w:p w:rsidR="009E69EE" w:rsidP="00110DBE" w14:paraId="3493D177" w14:textId="3D922655">
      <w:pPr>
        <w:tabs>
          <w:tab w:val="left" w:pos="-720"/>
          <w:tab w:val="left" w:pos="0"/>
        </w:tabs>
        <w:suppressAutoHyphens/>
        <w:ind w:hanging="360"/>
        <w:rPr>
          <w:rFonts w:ascii="Times New Roman" w:hAnsi="Times New Roman"/>
          <w:sz w:val="24"/>
          <w:szCs w:val="24"/>
        </w:rPr>
      </w:pPr>
      <w:r w:rsidRPr="00220568">
        <w:rPr>
          <w:rFonts w:ascii="Times New Roman" w:hAnsi="Times New Roman"/>
          <w:sz w:val="24"/>
          <w:szCs w:val="24"/>
        </w:rPr>
        <w:br/>
      </w:r>
      <w:r w:rsidR="00974B72">
        <w:rPr>
          <w:rFonts w:ascii="Times New Roman" w:hAnsi="Times New Roman"/>
          <w:sz w:val="24"/>
          <w:szCs w:val="24"/>
        </w:rPr>
        <w:t xml:space="preserve">MARAD </w:t>
      </w:r>
      <w:r w:rsidRPr="00220568">
        <w:rPr>
          <w:rFonts w:ascii="Times New Roman" w:hAnsi="Times New Roman"/>
          <w:sz w:val="24"/>
          <w:szCs w:val="24"/>
        </w:rPr>
        <w:t xml:space="preserve">provides a total electronic option for </w:t>
      </w:r>
      <w:r w:rsidR="00974B72">
        <w:rPr>
          <w:rFonts w:ascii="Times New Roman" w:hAnsi="Times New Roman"/>
          <w:sz w:val="24"/>
          <w:szCs w:val="24"/>
        </w:rPr>
        <w:t xml:space="preserve">submission of claims for </w:t>
      </w:r>
      <w:r w:rsidRPr="00220568">
        <w:rPr>
          <w:rFonts w:ascii="Times New Roman" w:hAnsi="Times New Roman"/>
          <w:sz w:val="24"/>
          <w:szCs w:val="24"/>
        </w:rPr>
        <w:t>this information collection.</w:t>
      </w:r>
    </w:p>
    <w:p w:rsidR="008A6589" w:rsidP="00110DBE" w14:paraId="25D7A390" w14:textId="77777777">
      <w:pPr>
        <w:tabs>
          <w:tab w:val="left" w:pos="-720"/>
          <w:tab w:val="left" w:pos="0"/>
        </w:tabs>
        <w:suppressAutoHyphens/>
        <w:ind w:hanging="360"/>
        <w:rPr>
          <w:rFonts w:ascii="Times New Roman" w:hAnsi="Times New Roman"/>
          <w:sz w:val="24"/>
          <w:szCs w:val="24"/>
        </w:rPr>
      </w:pPr>
    </w:p>
    <w:p w:rsidR="008A6589" w:rsidRPr="00295914" w:rsidP="00110DBE" w14:paraId="49F6AC3A" w14:textId="29EF2977">
      <w:pPr>
        <w:pStyle w:val="NormalWeb"/>
        <w:numPr>
          <w:ilvl w:val="0"/>
          <w:numId w:val="23"/>
        </w:numPr>
        <w:spacing w:before="0" w:beforeAutospacing="0" w:after="0" w:afterAutospacing="0"/>
        <w:ind w:left="0"/>
        <w:rPr>
          <w:rFonts w:ascii="Times New Roman" w:hAnsi="Times New Roman" w:cs="Times New Roman"/>
          <w:b/>
        </w:rPr>
      </w:pPr>
      <w:r w:rsidRPr="00295914">
        <w:rPr>
          <w:rFonts w:ascii="Times New Roman" w:hAnsi="Times New Roman" w:cs="Times New Roman"/>
          <w:b/>
        </w:rPr>
        <w:t xml:space="preserve">Efforts to </w:t>
      </w:r>
      <w:r w:rsidRPr="00295914" w:rsidR="00BF4501">
        <w:rPr>
          <w:rFonts w:ascii="Times New Roman" w:hAnsi="Times New Roman" w:cs="Times New Roman"/>
          <w:b/>
        </w:rPr>
        <w:t>Identify Duplication</w:t>
      </w:r>
    </w:p>
    <w:p w:rsidR="0071072E" w:rsidP="00110DBE" w14:paraId="07404E82" w14:textId="77777777">
      <w:pPr>
        <w:pStyle w:val="NormalWeb"/>
        <w:spacing w:before="0" w:beforeAutospacing="0" w:after="0" w:afterAutospacing="0"/>
        <w:ind w:hanging="360"/>
        <w:rPr>
          <w:rFonts w:ascii="Times New Roman" w:hAnsi="Times New Roman" w:cs="Times New Roman"/>
        </w:rPr>
      </w:pPr>
    </w:p>
    <w:p w:rsidR="009E69EE" w:rsidRPr="00220568" w:rsidP="00110DBE" w14:paraId="2AC2CC50" w14:textId="395183F6">
      <w:pPr>
        <w:pStyle w:val="NormalWeb"/>
        <w:spacing w:before="0" w:beforeAutospacing="0" w:after="0" w:afterAutospacing="0"/>
        <w:rPr>
          <w:rFonts w:ascii="Times New Roman" w:hAnsi="Times New Roman" w:cs="Times New Roman"/>
          <w:b/>
          <w:bCs/>
          <w:u w:val="single"/>
        </w:rPr>
      </w:pPr>
      <w:r w:rsidRPr="00220568">
        <w:rPr>
          <w:rFonts w:ascii="Times New Roman" w:hAnsi="Times New Roman" w:cs="Times New Roman"/>
        </w:rPr>
        <w:t xml:space="preserve">Requested information is not available through other means or sources.  The claimant must establish the claim.  </w:t>
      </w:r>
    </w:p>
    <w:p w:rsidR="0004749E" w:rsidRPr="00220568" w:rsidP="00110DBE" w14:paraId="0E24F574" w14:textId="77777777">
      <w:pPr>
        <w:ind w:hanging="360"/>
        <w:rPr>
          <w:rFonts w:ascii="Times New Roman" w:hAnsi="Times New Roman"/>
          <w:sz w:val="24"/>
          <w:szCs w:val="24"/>
        </w:rPr>
      </w:pPr>
    </w:p>
    <w:p w:rsidR="009E69EE" w:rsidRPr="00295914" w:rsidP="00110DBE" w14:paraId="3AE91532" w14:textId="433473F4">
      <w:pPr>
        <w:pStyle w:val="ListParagraph"/>
        <w:numPr>
          <w:ilvl w:val="0"/>
          <w:numId w:val="23"/>
        </w:numPr>
        <w:ind w:left="0"/>
        <w:rPr>
          <w:rFonts w:ascii="Times New Roman" w:hAnsi="Times New Roman"/>
          <w:b/>
          <w:sz w:val="24"/>
          <w:szCs w:val="24"/>
        </w:rPr>
      </w:pPr>
      <w:r w:rsidRPr="00295914">
        <w:rPr>
          <w:rFonts w:ascii="Times New Roman" w:hAnsi="Times New Roman"/>
          <w:b/>
          <w:sz w:val="24"/>
          <w:szCs w:val="24"/>
        </w:rPr>
        <w:t>Impact</w:t>
      </w:r>
      <w:r w:rsidRPr="00295914" w:rsidR="0004749E">
        <w:rPr>
          <w:rFonts w:ascii="Times New Roman" w:hAnsi="Times New Roman"/>
          <w:b/>
          <w:sz w:val="24"/>
          <w:szCs w:val="24"/>
        </w:rPr>
        <w:t xml:space="preserve"> on </w:t>
      </w:r>
      <w:r w:rsidRPr="00295914">
        <w:rPr>
          <w:rFonts w:ascii="Times New Roman" w:hAnsi="Times New Roman"/>
          <w:b/>
          <w:sz w:val="24"/>
          <w:szCs w:val="24"/>
        </w:rPr>
        <w:t>Small Businesses</w:t>
      </w:r>
      <w:r w:rsidRPr="00295914" w:rsidR="008A06FD">
        <w:rPr>
          <w:rFonts w:ascii="Times New Roman" w:hAnsi="Times New Roman"/>
          <w:b/>
          <w:sz w:val="24"/>
          <w:szCs w:val="24"/>
        </w:rPr>
        <w:t xml:space="preserve"> or Other Small Entities</w:t>
      </w:r>
      <w:r w:rsidRPr="00295914" w:rsidR="00470720">
        <w:rPr>
          <w:rFonts w:ascii="Times New Roman" w:hAnsi="Times New Roman"/>
          <w:b/>
          <w:sz w:val="24"/>
          <w:szCs w:val="24"/>
        </w:rPr>
        <w:t xml:space="preserve"> </w:t>
      </w:r>
    </w:p>
    <w:p w:rsidR="009E69EE" w:rsidRPr="00220568" w:rsidP="00110DBE" w14:paraId="1ADEDF88" w14:textId="77777777">
      <w:pPr>
        <w:ind w:hanging="360"/>
        <w:rPr>
          <w:rFonts w:ascii="Times New Roman" w:hAnsi="Times New Roman"/>
          <w:b/>
          <w:sz w:val="24"/>
          <w:szCs w:val="24"/>
        </w:rPr>
      </w:pPr>
    </w:p>
    <w:p w:rsidR="00470720" w:rsidRPr="00220568" w:rsidP="00110DBE" w14:paraId="73321901" w14:textId="6869B8C6">
      <w:pPr>
        <w:rPr>
          <w:rFonts w:ascii="Times New Roman" w:hAnsi="Times New Roman"/>
          <w:sz w:val="24"/>
          <w:szCs w:val="24"/>
        </w:rPr>
      </w:pPr>
      <w:r>
        <w:rPr>
          <w:rFonts w:ascii="Times New Roman" w:hAnsi="Times New Roman"/>
          <w:sz w:val="24"/>
          <w:szCs w:val="24"/>
        </w:rPr>
        <w:t xml:space="preserve">This collection does not affect small businesses or other small entities. </w:t>
      </w:r>
      <w:r w:rsidR="00974B72">
        <w:rPr>
          <w:rFonts w:ascii="Times New Roman" w:hAnsi="Times New Roman"/>
          <w:sz w:val="24"/>
          <w:szCs w:val="24"/>
        </w:rPr>
        <w:t xml:space="preserve"> </w:t>
      </w:r>
      <w:r w:rsidRPr="00220568" w:rsidR="009E69EE">
        <w:rPr>
          <w:rFonts w:ascii="Times New Roman" w:hAnsi="Times New Roman"/>
          <w:sz w:val="24"/>
          <w:szCs w:val="24"/>
        </w:rPr>
        <w:t>Only individuals may be claimants.</w:t>
      </w:r>
      <w:r w:rsidRPr="00220568" w:rsidR="008F2CDB">
        <w:rPr>
          <w:rFonts w:ascii="Times New Roman" w:hAnsi="Times New Roman"/>
          <w:b/>
          <w:sz w:val="24"/>
          <w:szCs w:val="24"/>
        </w:rPr>
        <w:br/>
      </w:r>
    </w:p>
    <w:p w:rsidR="00470720" w:rsidRPr="00295914" w:rsidP="00110DBE" w14:paraId="63F628D5" w14:textId="1C4E6B58">
      <w:pPr>
        <w:pStyle w:val="ListParagraph"/>
        <w:numPr>
          <w:ilvl w:val="0"/>
          <w:numId w:val="23"/>
        </w:numPr>
        <w:ind w:left="0"/>
        <w:rPr>
          <w:rFonts w:ascii="Times New Roman" w:hAnsi="Times New Roman"/>
          <w:b/>
          <w:sz w:val="24"/>
          <w:szCs w:val="24"/>
        </w:rPr>
      </w:pPr>
      <w:r w:rsidRPr="00295914">
        <w:rPr>
          <w:rFonts w:ascii="Times New Roman" w:hAnsi="Times New Roman"/>
          <w:b/>
          <w:sz w:val="24"/>
          <w:szCs w:val="24"/>
        </w:rPr>
        <w:t>Impact of</w:t>
      </w:r>
      <w:r w:rsidRPr="00295914" w:rsidR="008A06FD">
        <w:rPr>
          <w:rFonts w:ascii="Times New Roman" w:hAnsi="Times New Roman"/>
          <w:b/>
          <w:sz w:val="24"/>
          <w:szCs w:val="24"/>
        </w:rPr>
        <w:t xml:space="preserve"> Not Conducting or L</w:t>
      </w:r>
      <w:r w:rsidRPr="00295914">
        <w:rPr>
          <w:rFonts w:ascii="Times New Roman" w:hAnsi="Times New Roman"/>
          <w:b/>
          <w:sz w:val="24"/>
          <w:szCs w:val="24"/>
        </w:rPr>
        <w:t xml:space="preserve">ess </w:t>
      </w:r>
      <w:r w:rsidRPr="00295914" w:rsidR="008A06FD">
        <w:rPr>
          <w:rFonts w:ascii="Times New Roman" w:hAnsi="Times New Roman"/>
          <w:b/>
          <w:sz w:val="24"/>
          <w:szCs w:val="24"/>
        </w:rPr>
        <w:t xml:space="preserve">Frequent Collection </w:t>
      </w:r>
      <w:r w:rsidRPr="00295914">
        <w:rPr>
          <w:rFonts w:ascii="Times New Roman" w:hAnsi="Times New Roman"/>
          <w:b/>
          <w:sz w:val="24"/>
          <w:szCs w:val="24"/>
        </w:rPr>
        <w:t xml:space="preserve">of </w:t>
      </w:r>
      <w:r w:rsidRPr="00295914" w:rsidR="008A06FD">
        <w:rPr>
          <w:rFonts w:ascii="Times New Roman" w:hAnsi="Times New Roman"/>
          <w:b/>
          <w:sz w:val="24"/>
          <w:szCs w:val="24"/>
        </w:rPr>
        <w:t>Information</w:t>
      </w:r>
    </w:p>
    <w:p w:rsidR="00EE74DB" w:rsidRPr="00220568" w:rsidP="00110DBE" w14:paraId="75895BC0" w14:textId="77777777">
      <w:pPr>
        <w:ind w:hanging="360"/>
        <w:rPr>
          <w:rFonts w:ascii="Times New Roman" w:hAnsi="Times New Roman"/>
          <w:sz w:val="24"/>
          <w:szCs w:val="24"/>
        </w:rPr>
      </w:pPr>
    </w:p>
    <w:p w:rsidR="009E69EE" w:rsidRPr="00220568" w:rsidP="00110DBE" w14:paraId="3191D5ED" w14:textId="0778C90B">
      <w:pPr>
        <w:tabs>
          <w:tab w:val="left" w:pos="-720"/>
          <w:tab w:val="left" w:pos="0"/>
        </w:tabs>
        <w:suppressAutoHyphens/>
        <w:ind w:hanging="360"/>
        <w:rPr>
          <w:rFonts w:ascii="Times New Roman" w:hAnsi="Times New Roman"/>
          <w:sz w:val="24"/>
          <w:szCs w:val="24"/>
        </w:rPr>
      </w:pPr>
      <w:r w:rsidRPr="00220568">
        <w:rPr>
          <w:rFonts w:ascii="Times New Roman" w:hAnsi="Times New Roman"/>
          <w:sz w:val="24"/>
          <w:szCs w:val="24"/>
        </w:rPr>
        <w:tab/>
      </w:r>
      <w:r w:rsidRPr="00220568">
        <w:rPr>
          <w:rFonts w:ascii="Times New Roman" w:hAnsi="Times New Roman"/>
          <w:sz w:val="24"/>
          <w:szCs w:val="24"/>
        </w:rPr>
        <w:t xml:space="preserve">Claim information is provided only when the claimant decides to submit a claim.  Without this information, a claim </w:t>
      </w:r>
      <w:r w:rsidR="008A06FD">
        <w:rPr>
          <w:rFonts w:ascii="Times New Roman" w:hAnsi="Times New Roman"/>
          <w:sz w:val="24"/>
          <w:szCs w:val="24"/>
        </w:rPr>
        <w:t>can</w:t>
      </w:r>
      <w:r w:rsidRPr="00220568">
        <w:rPr>
          <w:rFonts w:ascii="Times New Roman" w:hAnsi="Times New Roman"/>
          <w:sz w:val="24"/>
          <w:szCs w:val="24"/>
        </w:rPr>
        <w:t xml:space="preserve">not be processed. </w:t>
      </w:r>
    </w:p>
    <w:p w:rsidR="0004749E" w:rsidRPr="00220568" w:rsidP="00110DBE" w14:paraId="42C8C4A2" w14:textId="77777777">
      <w:pPr>
        <w:ind w:hanging="360"/>
        <w:rPr>
          <w:rFonts w:ascii="Times New Roman" w:hAnsi="Times New Roman"/>
          <w:sz w:val="24"/>
          <w:szCs w:val="24"/>
        </w:rPr>
      </w:pPr>
    </w:p>
    <w:p w:rsidR="00470720" w:rsidRPr="00295914" w:rsidP="00110DBE" w14:paraId="2B2C4508" w14:textId="4EB0F43D">
      <w:pPr>
        <w:pStyle w:val="ListParagraph"/>
        <w:numPr>
          <w:ilvl w:val="0"/>
          <w:numId w:val="23"/>
        </w:numPr>
        <w:ind w:left="0"/>
        <w:rPr>
          <w:rFonts w:ascii="Times New Roman" w:hAnsi="Times New Roman"/>
          <w:b/>
          <w:sz w:val="24"/>
          <w:szCs w:val="24"/>
        </w:rPr>
      </w:pPr>
      <w:r w:rsidRPr="00295914">
        <w:rPr>
          <w:rFonts w:ascii="Times New Roman" w:hAnsi="Times New Roman"/>
          <w:b/>
          <w:sz w:val="24"/>
          <w:szCs w:val="24"/>
        </w:rPr>
        <w:t xml:space="preserve">Special </w:t>
      </w:r>
      <w:r w:rsidRPr="00295914" w:rsidR="008A06FD">
        <w:rPr>
          <w:rFonts w:ascii="Times New Roman" w:hAnsi="Times New Roman"/>
          <w:b/>
          <w:sz w:val="24"/>
          <w:szCs w:val="24"/>
        </w:rPr>
        <w:t>Circumstances Relating to the Guidelines 5 CFR 1320.5</w:t>
      </w:r>
    </w:p>
    <w:p w:rsidR="00470720" w:rsidRPr="00220568" w:rsidP="00110DBE" w14:paraId="5C611700" w14:textId="77777777">
      <w:pPr>
        <w:ind w:hanging="360"/>
        <w:rPr>
          <w:rFonts w:ascii="Times New Roman" w:hAnsi="Times New Roman"/>
          <w:b/>
          <w:sz w:val="24"/>
          <w:szCs w:val="24"/>
        </w:rPr>
      </w:pPr>
    </w:p>
    <w:p w:rsidR="009E69EE" w:rsidP="00110DBE" w14:paraId="13BC45B3" w14:textId="7596B04F">
      <w:pPr>
        <w:rPr>
          <w:rFonts w:ascii="Times New Roman" w:hAnsi="Times New Roman"/>
          <w:sz w:val="24"/>
          <w:szCs w:val="24"/>
        </w:rPr>
      </w:pPr>
      <w:r w:rsidRPr="00220568">
        <w:rPr>
          <w:rFonts w:ascii="Times New Roman" w:hAnsi="Times New Roman"/>
          <w:sz w:val="24"/>
          <w:szCs w:val="24"/>
        </w:rPr>
        <w:t xml:space="preserve">There are no special circumstances that require the collection of information to be conducted in a manner described </w:t>
      </w:r>
      <w:r w:rsidR="008A06FD">
        <w:rPr>
          <w:rFonts w:ascii="Times New Roman" w:hAnsi="Times New Roman"/>
          <w:sz w:val="24"/>
          <w:szCs w:val="24"/>
        </w:rPr>
        <w:t>below:</w:t>
      </w:r>
    </w:p>
    <w:p w:rsidR="008A06FD" w:rsidP="00110DBE" w14:paraId="1D99043A" w14:textId="77777777">
      <w:pPr>
        <w:ind w:hanging="360"/>
        <w:rPr>
          <w:rFonts w:ascii="Times New Roman" w:hAnsi="Times New Roman"/>
          <w:sz w:val="24"/>
          <w:szCs w:val="24"/>
        </w:rPr>
      </w:pPr>
    </w:p>
    <w:p w:rsidR="008A06FD" w:rsidRPr="00C94597" w:rsidP="00110DBE" w14:paraId="391253DF" w14:textId="77777777">
      <w:pPr>
        <w:numPr>
          <w:ilvl w:val="0"/>
          <w:numId w:val="25"/>
        </w:numPr>
        <w:ind w:left="360"/>
        <w:contextualSpacing/>
        <w:rPr>
          <w:rFonts w:ascii="Times New Roman" w:hAnsi="Times New Roman"/>
          <w:bCs/>
          <w:sz w:val="24"/>
          <w:szCs w:val="24"/>
        </w:rPr>
      </w:pPr>
      <w:bookmarkStart w:id="2" w:name="_Hlk197696183"/>
      <w:r w:rsidRPr="00C94597">
        <w:rPr>
          <w:rFonts w:ascii="Times New Roman" w:hAnsi="Times New Roman"/>
          <w:bCs/>
          <w:sz w:val="24"/>
          <w:szCs w:val="24"/>
        </w:rPr>
        <w:t>Requiring respondents to report information to MARAD more often than quarterly;</w:t>
      </w:r>
    </w:p>
    <w:p w:rsidR="008A06FD" w:rsidRPr="00C94597" w:rsidP="00110DBE" w14:paraId="0F285DEB" w14:textId="2703D43C">
      <w:pPr>
        <w:numPr>
          <w:ilvl w:val="0"/>
          <w:numId w:val="25"/>
        </w:numPr>
        <w:tabs>
          <w:tab w:val="left" w:pos="360"/>
        </w:tabs>
        <w:ind w:left="0" w:firstLine="0"/>
        <w:contextualSpacing/>
        <w:rPr>
          <w:rFonts w:ascii="Times New Roman" w:hAnsi="Times New Roman"/>
          <w:bCs/>
          <w:sz w:val="24"/>
          <w:szCs w:val="24"/>
        </w:rPr>
      </w:pPr>
      <w:r w:rsidRPr="00C94597">
        <w:rPr>
          <w:rFonts w:ascii="Times New Roman" w:hAnsi="Times New Roman"/>
          <w:bCs/>
          <w:sz w:val="24"/>
          <w:szCs w:val="24"/>
        </w:rPr>
        <w:t xml:space="preserve">Requiring respondents to prepare a written response in fewer than 30 days after receipt of a </w:t>
      </w:r>
      <w:r w:rsidR="00110DBE">
        <w:rPr>
          <w:rFonts w:ascii="Times New Roman" w:hAnsi="Times New Roman"/>
          <w:bCs/>
          <w:sz w:val="24"/>
          <w:szCs w:val="24"/>
        </w:rPr>
        <w:tab/>
      </w:r>
      <w:r w:rsidRPr="00C94597">
        <w:rPr>
          <w:rFonts w:ascii="Times New Roman" w:hAnsi="Times New Roman"/>
          <w:bCs/>
          <w:sz w:val="24"/>
          <w:szCs w:val="24"/>
        </w:rPr>
        <w:t>collection instrument;</w:t>
      </w:r>
    </w:p>
    <w:p w:rsidR="008A06FD" w:rsidRPr="00C94597" w:rsidP="00110DBE" w14:paraId="1AA7B3ED" w14:textId="77777777">
      <w:pPr>
        <w:numPr>
          <w:ilvl w:val="0"/>
          <w:numId w:val="25"/>
        </w:numPr>
        <w:tabs>
          <w:tab w:val="left" w:pos="360"/>
        </w:tabs>
        <w:ind w:left="0" w:firstLine="0"/>
        <w:contextualSpacing/>
        <w:rPr>
          <w:rFonts w:ascii="Times New Roman" w:hAnsi="Times New Roman"/>
          <w:bCs/>
          <w:sz w:val="24"/>
          <w:szCs w:val="24"/>
        </w:rPr>
      </w:pPr>
      <w:r w:rsidRPr="00C94597">
        <w:rPr>
          <w:rFonts w:ascii="Times New Roman" w:hAnsi="Times New Roman"/>
          <w:bCs/>
          <w:sz w:val="24"/>
          <w:szCs w:val="24"/>
        </w:rPr>
        <w:t>Requiring respondents to submit more than one original copy of any document;</w:t>
      </w:r>
    </w:p>
    <w:p w:rsidR="008A06FD" w:rsidRPr="00C94597" w:rsidP="00110DBE" w14:paraId="2EAE3D60" w14:textId="3FEA8D82">
      <w:pPr>
        <w:numPr>
          <w:ilvl w:val="0"/>
          <w:numId w:val="25"/>
        </w:numPr>
        <w:tabs>
          <w:tab w:val="left" w:pos="360"/>
        </w:tabs>
        <w:ind w:left="360"/>
        <w:contextualSpacing/>
        <w:rPr>
          <w:rFonts w:ascii="Times New Roman" w:hAnsi="Times New Roman"/>
          <w:bCs/>
          <w:sz w:val="24"/>
          <w:szCs w:val="24"/>
        </w:rPr>
      </w:pPr>
      <w:r w:rsidRPr="00C94597">
        <w:rPr>
          <w:rFonts w:ascii="Times New Roman" w:hAnsi="Times New Roman"/>
          <w:bCs/>
          <w:sz w:val="24"/>
          <w:szCs w:val="24"/>
        </w:rPr>
        <w:t>Requiring respondents to retain records, other than health, medical, government contract,</w:t>
      </w:r>
      <w:r w:rsidR="00110DBE">
        <w:rPr>
          <w:rFonts w:ascii="Times New Roman" w:hAnsi="Times New Roman"/>
          <w:bCs/>
          <w:sz w:val="24"/>
          <w:szCs w:val="24"/>
        </w:rPr>
        <w:t xml:space="preserve"> </w:t>
      </w:r>
      <w:r w:rsidRPr="00C94597">
        <w:rPr>
          <w:rFonts w:ascii="Times New Roman" w:hAnsi="Times New Roman"/>
          <w:bCs/>
          <w:sz w:val="24"/>
          <w:szCs w:val="24"/>
        </w:rPr>
        <w:t>grant-in-aid, or tax records for more than three years;</w:t>
      </w:r>
    </w:p>
    <w:p w:rsidR="00110DBE" w:rsidP="00110DBE" w14:paraId="5D3D5830" w14:textId="77777777">
      <w:pPr>
        <w:numPr>
          <w:ilvl w:val="0"/>
          <w:numId w:val="25"/>
        </w:numPr>
        <w:tabs>
          <w:tab w:val="left" w:pos="360"/>
        </w:tabs>
        <w:ind w:left="0" w:firstLine="0"/>
        <w:contextualSpacing/>
        <w:rPr>
          <w:rFonts w:ascii="Times New Roman" w:hAnsi="Times New Roman"/>
          <w:bCs/>
          <w:sz w:val="24"/>
          <w:szCs w:val="24"/>
        </w:rPr>
      </w:pPr>
      <w:r w:rsidRPr="00C94597">
        <w:rPr>
          <w:rFonts w:ascii="Times New Roman" w:hAnsi="Times New Roman"/>
          <w:bCs/>
          <w:sz w:val="24"/>
          <w:szCs w:val="24"/>
        </w:rPr>
        <w:t xml:space="preserve">Requiring the use of any statistical data that is not designed to produce valid and reliable </w:t>
      </w:r>
    </w:p>
    <w:p w:rsidR="008A06FD" w:rsidRPr="00C94597" w:rsidP="00110DBE" w14:paraId="6D756124" w14:textId="156D035B">
      <w:pPr>
        <w:tabs>
          <w:tab w:val="left" w:pos="360"/>
        </w:tabs>
        <w:contextualSpacing/>
        <w:rPr>
          <w:rFonts w:ascii="Times New Roman" w:hAnsi="Times New Roman"/>
          <w:bCs/>
          <w:sz w:val="24"/>
          <w:szCs w:val="24"/>
        </w:rPr>
      </w:pPr>
      <w:r>
        <w:rPr>
          <w:rFonts w:ascii="Times New Roman" w:hAnsi="Times New Roman"/>
          <w:bCs/>
          <w:sz w:val="24"/>
          <w:szCs w:val="24"/>
        </w:rPr>
        <w:tab/>
      </w:r>
      <w:r w:rsidRPr="00C94597">
        <w:rPr>
          <w:rFonts w:ascii="Times New Roman" w:hAnsi="Times New Roman"/>
          <w:bCs/>
          <w:sz w:val="24"/>
          <w:szCs w:val="24"/>
        </w:rPr>
        <w:t>results that can be generalized to the universe of study;</w:t>
      </w:r>
    </w:p>
    <w:p w:rsidR="00110DBE" w:rsidP="00110DBE" w14:paraId="4B5864A4" w14:textId="77777777">
      <w:pPr>
        <w:numPr>
          <w:ilvl w:val="0"/>
          <w:numId w:val="25"/>
        </w:numPr>
        <w:tabs>
          <w:tab w:val="left" w:pos="360"/>
        </w:tabs>
        <w:ind w:left="0" w:firstLine="0"/>
        <w:contextualSpacing/>
        <w:rPr>
          <w:rFonts w:ascii="Times New Roman" w:hAnsi="Times New Roman"/>
          <w:bCs/>
          <w:sz w:val="24"/>
          <w:szCs w:val="24"/>
        </w:rPr>
      </w:pPr>
      <w:r w:rsidRPr="00C94597">
        <w:rPr>
          <w:rFonts w:ascii="Times New Roman" w:hAnsi="Times New Roman"/>
          <w:bCs/>
          <w:sz w:val="24"/>
          <w:szCs w:val="24"/>
        </w:rPr>
        <w:t xml:space="preserve">Requiring the use of a statistical data classification that has not been reviewed and approved </w:t>
      </w:r>
    </w:p>
    <w:p w:rsidR="008A06FD" w:rsidRPr="00C94597" w:rsidP="00110DBE" w14:paraId="4B1C970A" w14:textId="4D81B2EE">
      <w:pPr>
        <w:tabs>
          <w:tab w:val="left" w:pos="360"/>
        </w:tabs>
        <w:contextualSpacing/>
        <w:rPr>
          <w:rFonts w:ascii="Times New Roman" w:hAnsi="Times New Roman"/>
          <w:bCs/>
          <w:sz w:val="24"/>
          <w:szCs w:val="24"/>
        </w:rPr>
      </w:pPr>
      <w:r>
        <w:rPr>
          <w:rFonts w:ascii="Times New Roman" w:hAnsi="Times New Roman"/>
          <w:bCs/>
          <w:sz w:val="24"/>
          <w:szCs w:val="24"/>
        </w:rPr>
        <w:t xml:space="preserve">      </w:t>
      </w:r>
      <w:r w:rsidRPr="00C94597">
        <w:rPr>
          <w:rFonts w:ascii="Times New Roman" w:hAnsi="Times New Roman"/>
          <w:bCs/>
          <w:sz w:val="24"/>
          <w:szCs w:val="24"/>
        </w:rPr>
        <w:t>by OMB;</w:t>
      </w:r>
    </w:p>
    <w:p w:rsidR="008A06FD" w:rsidRPr="00C94597" w:rsidP="00110DBE" w14:paraId="22DB494E" w14:textId="77777777">
      <w:pPr>
        <w:numPr>
          <w:ilvl w:val="0"/>
          <w:numId w:val="25"/>
        </w:numPr>
        <w:tabs>
          <w:tab w:val="left" w:pos="360"/>
        </w:tabs>
        <w:ind w:left="0" w:firstLine="0"/>
        <w:contextualSpacing/>
        <w:rPr>
          <w:rFonts w:ascii="Times New Roman" w:hAnsi="Times New Roman"/>
          <w:bCs/>
          <w:sz w:val="24"/>
          <w:szCs w:val="24"/>
        </w:rPr>
      </w:pPr>
      <w:r>
        <w:rPr>
          <w:rFonts w:ascii="Times New Roman" w:hAnsi="Times New Roman"/>
          <w:bCs/>
          <w:sz w:val="24"/>
          <w:szCs w:val="24"/>
        </w:rPr>
        <w:t>Requiring any</w:t>
      </w:r>
      <w:r w:rsidRPr="00C94597">
        <w:rPr>
          <w:rFonts w:ascii="Times New Roman" w:hAnsi="Times New Roman"/>
          <w:bCs/>
          <w:sz w:val="24"/>
          <w:szCs w:val="24"/>
        </w:rPr>
        <w:t xml:space="preserve"> pledge of confidentiality</w:t>
      </w:r>
      <w:r>
        <w:rPr>
          <w:rFonts w:ascii="Times New Roman" w:hAnsi="Times New Roman"/>
          <w:bCs/>
          <w:sz w:val="24"/>
          <w:szCs w:val="24"/>
        </w:rPr>
        <w:t xml:space="preserve">; </w:t>
      </w:r>
      <w:r w:rsidRPr="00C94597">
        <w:rPr>
          <w:rFonts w:ascii="Times New Roman" w:hAnsi="Times New Roman"/>
          <w:bCs/>
          <w:sz w:val="24"/>
          <w:szCs w:val="24"/>
        </w:rPr>
        <w:t xml:space="preserve">or </w:t>
      </w:r>
    </w:p>
    <w:p w:rsidR="008A06FD" w:rsidRPr="00C94597" w:rsidP="00110DBE" w14:paraId="5197F3AD" w14:textId="77777777">
      <w:pPr>
        <w:numPr>
          <w:ilvl w:val="0"/>
          <w:numId w:val="25"/>
        </w:numPr>
        <w:tabs>
          <w:tab w:val="left" w:pos="360"/>
        </w:tabs>
        <w:ind w:left="0" w:firstLine="0"/>
        <w:contextualSpacing/>
        <w:rPr>
          <w:rFonts w:ascii="Times New Roman" w:hAnsi="Times New Roman"/>
          <w:bCs/>
          <w:sz w:val="24"/>
          <w:szCs w:val="24"/>
        </w:rPr>
      </w:pPr>
      <w:r w:rsidRPr="00C94597">
        <w:rPr>
          <w:rFonts w:ascii="Times New Roman" w:hAnsi="Times New Roman"/>
          <w:bCs/>
          <w:sz w:val="24"/>
          <w:szCs w:val="24"/>
        </w:rPr>
        <w:t xml:space="preserve">Requiring respondents to submit </w:t>
      </w:r>
      <w:r>
        <w:rPr>
          <w:rFonts w:ascii="Times New Roman" w:hAnsi="Times New Roman"/>
          <w:bCs/>
          <w:sz w:val="24"/>
          <w:szCs w:val="24"/>
        </w:rPr>
        <w:t xml:space="preserve">any </w:t>
      </w:r>
      <w:r w:rsidRPr="00C94597">
        <w:rPr>
          <w:rFonts w:ascii="Times New Roman" w:hAnsi="Times New Roman"/>
          <w:bCs/>
          <w:sz w:val="24"/>
          <w:szCs w:val="24"/>
        </w:rPr>
        <w:t>proprietary</w:t>
      </w:r>
      <w:r>
        <w:rPr>
          <w:rFonts w:ascii="Times New Roman" w:hAnsi="Times New Roman"/>
          <w:bCs/>
          <w:sz w:val="24"/>
          <w:szCs w:val="24"/>
        </w:rPr>
        <w:t xml:space="preserve"> or</w:t>
      </w:r>
      <w:r w:rsidRPr="00C94597">
        <w:rPr>
          <w:rFonts w:ascii="Times New Roman" w:hAnsi="Times New Roman"/>
          <w:bCs/>
          <w:sz w:val="24"/>
          <w:szCs w:val="24"/>
        </w:rPr>
        <w:t xml:space="preserve"> trade secret</w:t>
      </w:r>
      <w:r>
        <w:rPr>
          <w:rFonts w:ascii="Times New Roman" w:hAnsi="Times New Roman"/>
          <w:bCs/>
          <w:sz w:val="24"/>
          <w:szCs w:val="24"/>
        </w:rPr>
        <w:t>s</w:t>
      </w:r>
      <w:r w:rsidRPr="00C94597">
        <w:rPr>
          <w:rFonts w:ascii="Times New Roman" w:hAnsi="Times New Roman"/>
          <w:bCs/>
          <w:sz w:val="24"/>
          <w:szCs w:val="24"/>
        </w:rPr>
        <w:t>.</w:t>
      </w:r>
    </w:p>
    <w:bookmarkEnd w:id="2"/>
    <w:p w:rsidR="0004749E" w:rsidRPr="00220568" w:rsidP="00110DBE" w14:paraId="38CAB0AE" w14:textId="77777777">
      <w:pPr>
        <w:pStyle w:val="NormalWeb"/>
        <w:spacing w:before="0" w:beforeAutospacing="0" w:after="0" w:afterAutospacing="0"/>
        <w:ind w:hanging="360"/>
        <w:rPr>
          <w:rFonts w:ascii="Times New Roman" w:hAnsi="Times New Roman" w:cs="Times New Roman"/>
        </w:rPr>
      </w:pPr>
    </w:p>
    <w:p w:rsidR="007472BA" w:rsidRPr="00295914" w:rsidP="00110DBE" w14:paraId="52E8D615" w14:textId="02D2BB10">
      <w:pPr>
        <w:pStyle w:val="ListParagraph"/>
        <w:numPr>
          <w:ilvl w:val="0"/>
          <w:numId w:val="23"/>
        </w:numPr>
        <w:ind w:left="0"/>
        <w:rPr>
          <w:rFonts w:ascii="Times New Roman" w:hAnsi="Times New Roman"/>
          <w:b/>
          <w:sz w:val="24"/>
          <w:szCs w:val="24"/>
        </w:rPr>
      </w:pPr>
      <w:r w:rsidRPr="00295914">
        <w:rPr>
          <w:rFonts w:ascii="Times New Roman" w:hAnsi="Times New Roman"/>
          <w:b/>
          <w:sz w:val="24"/>
          <w:szCs w:val="24"/>
        </w:rPr>
        <w:t xml:space="preserve">Public Comments in Response to the Federal Register Notice and Outside Consultation </w:t>
      </w:r>
      <w:r w:rsidRPr="00295914" w:rsidR="00470720">
        <w:rPr>
          <w:rFonts w:ascii="Times New Roman" w:hAnsi="Times New Roman"/>
          <w:b/>
          <w:sz w:val="24"/>
          <w:szCs w:val="24"/>
        </w:rPr>
        <w:t xml:space="preserve"> </w:t>
      </w:r>
    </w:p>
    <w:p w:rsidR="007472BA" w:rsidP="00110DBE" w14:paraId="4969B96C" w14:textId="77777777">
      <w:pPr>
        <w:ind w:hanging="360"/>
        <w:rPr>
          <w:rFonts w:ascii="Times New Roman" w:hAnsi="Times New Roman"/>
          <w:b/>
          <w:bCs/>
          <w:sz w:val="24"/>
          <w:szCs w:val="24"/>
        </w:rPr>
      </w:pPr>
    </w:p>
    <w:p w:rsidR="00DA3EAA" w:rsidRPr="00DA3EAA" w:rsidP="00110DBE" w14:paraId="7FDEBB65" w14:textId="0357DFB1">
      <w:pPr>
        <w:rPr>
          <w:rFonts w:ascii="Times New Roman" w:hAnsi="Times New Roman"/>
          <w:bCs/>
          <w:sz w:val="24"/>
          <w:szCs w:val="24"/>
        </w:rPr>
      </w:pPr>
      <w:bookmarkStart w:id="3" w:name="_Hlk133402302"/>
      <w:r w:rsidRPr="00DA3EAA">
        <w:rPr>
          <w:rFonts w:ascii="Times New Roman" w:hAnsi="Times New Roman"/>
          <w:bCs/>
          <w:sz w:val="24"/>
          <w:szCs w:val="24"/>
        </w:rPr>
        <w:t xml:space="preserve">MARAD published a 60-day notice and request for comments on this information collection in the Federal Register (FR 47901, Vol 90, No. 189) on October 2, 2025, indicating comments should be submitted on or before December 1, 2025. No comments were received. A 30-day notice </w:t>
      </w:r>
      <w:r w:rsidR="00844629">
        <w:rPr>
          <w:rFonts w:ascii="Times New Roman" w:hAnsi="Times New Roman"/>
          <w:bCs/>
          <w:sz w:val="24"/>
          <w:szCs w:val="24"/>
        </w:rPr>
        <w:t>was</w:t>
      </w:r>
      <w:r w:rsidRPr="00DA3EAA">
        <w:rPr>
          <w:rFonts w:ascii="Times New Roman" w:hAnsi="Times New Roman"/>
          <w:bCs/>
          <w:sz w:val="24"/>
          <w:szCs w:val="24"/>
        </w:rPr>
        <w:t xml:space="preserve"> published in the Federal Register to solicit public comments.</w:t>
      </w:r>
      <w:bookmarkEnd w:id="3"/>
    </w:p>
    <w:p w:rsidR="00DA3EAA" w:rsidP="00110DBE" w14:paraId="56806AF9" w14:textId="77777777">
      <w:pPr>
        <w:ind w:hanging="360"/>
        <w:rPr>
          <w:rFonts w:ascii="Times New Roman" w:hAnsi="Times New Roman"/>
          <w:b/>
          <w:sz w:val="24"/>
          <w:szCs w:val="24"/>
        </w:rPr>
      </w:pPr>
    </w:p>
    <w:p w:rsidR="00EE61E1" w:rsidP="00110DBE" w14:paraId="17F9D7DE" w14:textId="608F9D11">
      <w:pPr>
        <w:rPr>
          <w:rFonts w:ascii="Times New Roman" w:hAnsi="Times New Roman"/>
          <w:sz w:val="24"/>
          <w:szCs w:val="24"/>
        </w:rPr>
      </w:pPr>
      <w:r w:rsidRPr="00FE02EB">
        <w:rPr>
          <w:rFonts w:ascii="Times New Roman" w:hAnsi="Times New Roman"/>
          <w:sz w:val="24"/>
          <w:szCs w:val="24"/>
        </w:rPr>
        <w:t>Seafarers</w:t>
      </w:r>
      <w:r w:rsidRPr="00FE02EB" w:rsidR="00F735D1">
        <w:rPr>
          <w:rFonts w:ascii="Times New Roman" w:hAnsi="Times New Roman"/>
          <w:sz w:val="24"/>
          <w:szCs w:val="24"/>
        </w:rPr>
        <w:t xml:space="preserve"> </w:t>
      </w:r>
      <w:r w:rsidR="00562DFA">
        <w:rPr>
          <w:rFonts w:ascii="Times New Roman" w:hAnsi="Times New Roman"/>
          <w:sz w:val="24"/>
          <w:szCs w:val="24"/>
        </w:rPr>
        <w:t xml:space="preserve">may </w:t>
      </w:r>
      <w:r w:rsidRPr="00FE02EB" w:rsidR="00F735D1">
        <w:rPr>
          <w:rFonts w:ascii="Times New Roman" w:hAnsi="Times New Roman"/>
          <w:sz w:val="24"/>
          <w:szCs w:val="24"/>
        </w:rPr>
        <w:t xml:space="preserve">obtain legal representation from a maritime attorney. </w:t>
      </w:r>
      <w:r w:rsidR="00D25BA4">
        <w:rPr>
          <w:rFonts w:ascii="Times New Roman" w:hAnsi="Times New Roman"/>
          <w:sz w:val="24"/>
          <w:szCs w:val="24"/>
        </w:rPr>
        <w:t xml:space="preserve"> </w:t>
      </w:r>
      <w:r w:rsidRPr="00FE02EB" w:rsidR="00F735D1">
        <w:rPr>
          <w:rFonts w:ascii="Times New Roman" w:hAnsi="Times New Roman"/>
          <w:sz w:val="24"/>
          <w:szCs w:val="24"/>
        </w:rPr>
        <w:t xml:space="preserve">The attorney manages the Administrative Claim for the seafarer as it is processed by MARAD. </w:t>
      </w:r>
      <w:r w:rsidR="00D25BA4">
        <w:rPr>
          <w:rFonts w:ascii="Times New Roman" w:hAnsi="Times New Roman"/>
          <w:sz w:val="24"/>
          <w:szCs w:val="24"/>
        </w:rPr>
        <w:t xml:space="preserve"> </w:t>
      </w:r>
      <w:r w:rsidRPr="00FE02EB" w:rsidR="00F735D1">
        <w:rPr>
          <w:rFonts w:ascii="Times New Roman" w:hAnsi="Times New Roman"/>
          <w:sz w:val="24"/>
          <w:szCs w:val="24"/>
        </w:rPr>
        <w:t>The attorney helps to collect and organize the information that is needed</w:t>
      </w:r>
      <w:r w:rsidR="00F735D1">
        <w:rPr>
          <w:rFonts w:ascii="Times New Roman" w:hAnsi="Times New Roman"/>
          <w:sz w:val="24"/>
          <w:szCs w:val="24"/>
        </w:rPr>
        <w:t xml:space="preserve"> by the seafarer</w:t>
      </w:r>
      <w:r w:rsidRPr="00FE02EB" w:rsidR="00F735D1">
        <w:rPr>
          <w:rFonts w:ascii="Times New Roman" w:hAnsi="Times New Roman"/>
          <w:sz w:val="24"/>
          <w:szCs w:val="24"/>
        </w:rPr>
        <w:t xml:space="preserve"> under the statue listed in </w:t>
      </w:r>
      <w:r>
        <w:rPr>
          <w:rFonts w:ascii="Times New Roman" w:hAnsi="Times New Roman"/>
          <w:sz w:val="24"/>
          <w:szCs w:val="24"/>
        </w:rPr>
        <w:t xml:space="preserve">item </w:t>
      </w:r>
      <w:r w:rsidRPr="00FE02EB" w:rsidR="00F735D1">
        <w:rPr>
          <w:rFonts w:ascii="Times New Roman" w:hAnsi="Times New Roman"/>
          <w:sz w:val="24"/>
          <w:szCs w:val="24"/>
        </w:rPr>
        <w:t>1</w:t>
      </w:r>
      <w:r>
        <w:rPr>
          <w:rFonts w:ascii="Times New Roman" w:hAnsi="Times New Roman"/>
          <w:sz w:val="24"/>
          <w:szCs w:val="24"/>
        </w:rPr>
        <w:t xml:space="preserve"> of this document.</w:t>
      </w:r>
      <w:r w:rsidRPr="00FE02EB" w:rsidR="00F735D1">
        <w:rPr>
          <w:rFonts w:ascii="Times New Roman" w:hAnsi="Times New Roman"/>
          <w:sz w:val="24"/>
          <w:szCs w:val="24"/>
        </w:rPr>
        <w:t xml:space="preserve"> </w:t>
      </w:r>
      <w:r w:rsidR="008815FF">
        <w:rPr>
          <w:rFonts w:ascii="Times New Roman" w:hAnsi="Times New Roman"/>
          <w:sz w:val="24"/>
          <w:szCs w:val="24"/>
        </w:rPr>
        <w:t xml:space="preserve"> </w:t>
      </w:r>
      <w:r w:rsidRPr="00C106AB">
        <w:rPr>
          <w:rFonts w:ascii="Times New Roman" w:hAnsi="Times New Roman"/>
          <w:sz w:val="24"/>
          <w:szCs w:val="24"/>
        </w:rPr>
        <w:t>The Seafarer’</w:t>
      </w:r>
      <w:r w:rsidRPr="00C106AB" w:rsidR="00356198">
        <w:rPr>
          <w:rFonts w:ascii="Times New Roman" w:hAnsi="Times New Roman"/>
          <w:sz w:val="24"/>
          <w:szCs w:val="24"/>
        </w:rPr>
        <w:t xml:space="preserve">s attorney will follow the statue for information collection. </w:t>
      </w:r>
      <w:r w:rsidR="00D25BA4">
        <w:rPr>
          <w:rFonts w:ascii="Times New Roman" w:hAnsi="Times New Roman"/>
          <w:sz w:val="24"/>
          <w:szCs w:val="24"/>
        </w:rPr>
        <w:t xml:space="preserve"> </w:t>
      </w:r>
      <w:r w:rsidRPr="00C106AB" w:rsidR="00356198">
        <w:rPr>
          <w:rFonts w:ascii="Times New Roman" w:hAnsi="Times New Roman"/>
          <w:sz w:val="24"/>
          <w:szCs w:val="24"/>
        </w:rPr>
        <w:t xml:space="preserve">The statue provides an outline of all needed information to process the Administrative Claim. </w:t>
      </w:r>
      <w:r w:rsidR="00562DFA">
        <w:rPr>
          <w:rFonts w:ascii="Times New Roman" w:hAnsi="Times New Roman"/>
          <w:sz w:val="24"/>
          <w:szCs w:val="24"/>
        </w:rPr>
        <w:t xml:space="preserve"> </w:t>
      </w:r>
      <w:r w:rsidRPr="00C106AB" w:rsidR="00356198">
        <w:rPr>
          <w:rFonts w:ascii="Times New Roman" w:hAnsi="Times New Roman"/>
          <w:sz w:val="24"/>
          <w:szCs w:val="24"/>
        </w:rPr>
        <w:t>MARAD provide</w:t>
      </w:r>
      <w:r w:rsidR="00562DFA">
        <w:rPr>
          <w:rFonts w:ascii="Times New Roman" w:hAnsi="Times New Roman"/>
          <w:sz w:val="24"/>
          <w:szCs w:val="24"/>
        </w:rPr>
        <w:t>s</w:t>
      </w:r>
      <w:r w:rsidRPr="00C106AB" w:rsidR="00356198">
        <w:rPr>
          <w:rFonts w:ascii="Times New Roman" w:hAnsi="Times New Roman"/>
          <w:sz w:val="24"/>
          <w:szCs w:val="24"/>
        </w:rPr>
        <w:t xml:space="preserve"> a checklist that can be used as guidance when submitting an Administrative Claim. </w:t>
      </w:r>
      <w:r w:rsidR="00D25BA4">
        <w:rPr>
          <w:rFonts w:ascii="Times New Roman" w:hAnsi="Times New Roman"/>
          <w:sz w:val="24"/>
          <w:szCs w:val="24"/>
        </w:rPr>
        <w:t xml:space="preserve"> </w:t>
      </w:r>
      <w:r w:rsidRPr="00C106AB" w:rsidR="00356198">
        <w:rPr>
          <w:rFonts w:ascii="Times New Roman" w:hAnsi="Times New Roman"/>
          <w:sz w:val="24"/>
          <w:szCs w:val="24"/>
        </w:rPr>
        <w:t xml:space="preserve">The checklist has been provided as part of this approval process. </w:t>
      </w:r>
    </w:p>
    <w:p w:rsidR="00D02D5C" w:rsidP="00110DBE" w14:paraId="23358F15" w14:textId="0089711E">
      <w:pPr>
        <w:ind w:hanging="360"/>
        <w:rPr>
          <w:rFonts w:ascii="Times New Roman" w:hAnsi="Times New Roman"/>
          <w:sz w:val="24"/>
          <w:szCs w:val="24"/>
        </w:rPr>
      </w:pPr>
    </w:p>
    <w:p w:rsidR="00470720" w:rsidRPr="00220568" w:rsidP="00110DBE" w14:paraId="66DB1E49" w14:textId="77777777">
      <w:pPr>
        <w:ind w:hanging="360"/>
        <w:rPr>
          <w:rFonts w:ascii="Times New Roman" w:hAnsi="Times New Roman"/>
          <w:b/>
          <w:sz w:val="24"/>
          <w:szCs w:val="24"/>
        </w:rPr>
      </w:pPr>
    </w:p>
    <w:p w:rsidR="00EE74DB" w:rsidRPr="00295914" w:rsidP="00110DBE" w14:paraId="7F25D106" w14:textId="5A035771">
      <w:pPr>
        <w:pStyle w:val="ListParagraph"/>
        <w:numPr>
          <w:ilvl w:val="0"/>
          <w:numId w:val="23"/>
        </w:numPr>
        <w:ind w:left="0"/>
        <w:rPr>
          <w:rFonts w:ascii="Times New Roman" w:hAnsi="Times New Roman"/>
          <w:b/>
          <w:sz w:val="24"/>
          <w:szCs w:val="24"/>
        </w:rPr>
      </w:pPr>
      <w:r w:rsidRPr="00295914">
        <w:rPr>
          <w:rFonts w:ascii="Times New Roman" w:hAnsi="Times New Roman"/>
          <w:b/>
          <w:sz w:val="24"/>
          <w:szCs w:val="24"/>
        </w:rPr>
        <w:t xml:space="preserve">Explanation of Any </w:t>
      </w:r>
      <w:r w:rsidRPr="00295914" w:rsidR="0004749E">
        <w:rPr>
          <w:rFonts w:ascii="Times New Roman" w:hAnsi="Times New Roman"/>
          <w:b/>
          <w:sz w:val="24"/>
          <w:szCs w:val="24"/>
        </w:rPr>
        <w:t xml:space="preserve">Payments or </w:t>
      </w:r>
      <w:r w:rsidRPr="00295914">
        <w:rPr>
          <w:rFonts w:ascii="Times New Roman" w:hAnsi="Times New Roman"/>
          <w:b/>
          <w:sz w:val="24"/>
          <w:szCs w:val="24"/>
        </w:rPr>
        <w:t xml:space="preserve">Gifts </w:t>
      </w:r>
      <w:r w:rsidRPr="00295914" w:rsidR="0004749E">
        <w:rPr>
          <w:rFonts w:ascii="Times New Roman" w:hAnsi="Times New Roman"/>
          <w:b/>
          <w:sz w:val="24"/>
          <w:szCs w:val="24"/>
        </w:rPr>
        <w:t xml:space="preserve">to </w:t>
      </w:r>
      <w:r w:rsidRPr="00295914">
        <w:rPr>
          <w:rFonts w:ascii="Times New Roman" w:hAnsi="Times New Roman"/>
          <w:b/>
          <w:sz w:val="24"/>
          <w:szCs w:val="24"/>
        </w:rPr>
        <w:t>Respondents</w:t>
      </w:r>
    </w:p>
    <w:p w:rsidR="00470720" w:rsidRPr="00220568" w:rsidP="00110DBE" w14:paraId="68D0D2B5" w14:textId="77777777">
      <w:pPr>
        <w:ind w:hanging="360"/>
        <w:rPr>
          <w:rFonts w:ascii="Times New Roman" w:hAnsi="Times New Roman"/>
          <w:sz w:val="24"/>
          <w:szCs w:val="24"/>
        </w:rPr>
      </w:pPr>
      <w:r w:rsidRPr="00220568">
        <w:rPr>
          <w:rFonts w:ascii="Times New Roman" w:hAnsi="Times New Roman"/>
          <w:b/>
          <w:bCs/>
          <w:sz w:val="24"/>
          <w:szCs w:val="24"/>
        </w:rPr>
        <w:t xml:space="preserve">  </w:t>
      </w:r>
    </w:p>
    <w:p w:rsidR="00C61E92" w:rsidRPr="00220568" w:rsidP="00110DBE" w14:paraId="2E304997" w14:textId="77777777">
      <w:pPr>
        <w:tabs>
          <w:tab w:val="left" w:pos="-720"/>
          <w:tab w:val="left" w:pos="0"/>
        </w:tabs>
        <w:suppressAutoHyphens/>
        <w:ind w:hanging="360"/>
        <w:rPr>
          <w:rFonts w:ascii="Times New Roman" w:hAnsi="Times New Roman"/>
          <w:sz w:val="24"/>
          <w:szCs w:val="24"/>
        </w:rPr>
      </w:pPr>
      <w:r w:rsidRPr="00220568">
        <w:rPr>
          <w:rFonts w:ascii="Times New Roman" w:hAnsi="Times New Roman"/>
          <w:sz w:val="24"/>
          <w:szCs w:val="24"/>
        </w:rPr>
        <w:tab/>
        <w:t>Payments are made or denied to injured seamen based on the information provided in this collection.</w:t>
      </w:r>
    </w:p>
    <w:p w:rsidR="0004749E" w:rsidRPr="00220568" w:rsidP="00110DBE" w14:paraId="0D83E58C" w14:textId="77777777">
      <w:pPr>
        <w:ind w:hanging="360"/>
        <w:rPr>
          <w:rFonts w:ascii="Times New Roman" w:hAnsi="Times New Roman"/>
          <w:sz w:val="24"/>
          <w:szCs w:val="24"/>
        </w:rPr>
      </w:pPr>
    </w:p>
    <w:p w:rsidR="008815FF" w:rsidRPr="00295914" w:rsidP="00110DBE" w14:paraId="221E8451" w14:textId="33A1AA14">
      <w:pPr>
        <w:pStyle w:val="ListParagraph"/>
        <w:numPr>
          <w:ilvl w:val="0"/>
          <w:numId w:val="23"/>
        </w:numPr>
        <w:tabs>
          <w:tab w:val="left" w:pos="-720"/>
          <w:tab w:val="left" w:pos="0"/>
        </w:tabs>
        <w:suppressAutoHyphens/>
        <w:ind w:left="0"/>
        <w:rPr>
          <w:rFonts w:ascii="Times New Roman" w:hAnsi="Times New Roman"/>
          <w:b/>
          <w:sz w:val="24"/>
          <w:szCs w:val="24"/>
        </w:rPr>
      </w:pPr>
      <w:r w:rsidRPr="00295914">
        <w:rPr>
          <w:rFonts w:ascii="Times New Roman" w:hAnsi="Times New Roman"/>
          <w:b/>
          <w:sz w:val="24"/>
          <w:szCs w:val="24"/>
        </w:rPr>
        <w:t>Assurance of Confidentiality and Protection of</w:t>
      </w:r>
      <w:r w:rsidRPr="00295914" w:rsidR="005B587A">
        <w:rPr>
          <w:rFonts w:ascii="Times New Roman" w:hAnsi="Times New Roman"/>
          <w:b/>
          <w:sz w:val="24"/>
          <w:szCs w:val="24"/>
        </w:rPr>
        <w:t xml:space="preserve"> Privacy </w:t>
      </w:r>
    </w:p>
    <w:p w:rsidR="008D553C" w:rsidRPr="008815FF" w:rsidP="00110DBE" w14:paraId="500E5DCA" w14:textId="27CCC0A3">
      <w:pPr>
        <w:pStyle w:val="ListParagraph"/>
        <w:tabs>
          <w:tab w:val="left" w:pos="-720"/>
          <w:tab w:val="left" w:pos="0"/>
        </w:tabs>
        <w:suppressAutoHyphens/>
        <w:ind w:left="0" w:hanging="360"/>
        <w:rPr>
          <w:rFonts w:ascii="Times New Roman" w:hAnsi="Times New Roman"/>
          <w:sz w:val="24"/>
          <w:szCs w:val="24"/>
        </w:rPr>
      </w:pPr>
      <w:r w:rsidRPr="008815FF">
        <w:rPr>
          <w:rFonts w:ascii="Times New Roman" w:hAnsi="Times New Roman"/>
          <w:sz w:val="24"/>
          <w:szCs w:val="24"/>
        </w:rPr>
        <w:br/>
      </w:r>
      <w:r w:rsidRPr="008815FF" w:rsidR="005B587A">
        <w:rPr>
          <w:rFonts w:ascii="Times New Roman" w:hAnsi="Times New Roman"/>
          <w:sz w:val="24"/>
          <w:szCs w:val="24"/>
        </w:rPr>
        <w:t>The information collected is fully protected under the Privacy Act in the system of records known as DOT/MARAD 007, Litigation Claims and Administrative Proceeding Records.</w:t>
      </w:r>
    </w:p>
    <w:p w:rsidR="0004749E" w:rsidRPr="008D47B6" w:rsidP="00110DBE" w14:paraId="5230F34F"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hanging="360"/>
        <w:rPr>
          <w:rFonts w:ascii="Times New Roman" w:hAnsi="Times New Roman"/>
        </w:rPr>
      </w:pPr>
    </w:p>
    <w:p w:rsidR="008D553C" w:rsidRPr="00295914" w:rsidP="00110DBE" w14:paraId="3AF3113D" w14:textId="57357359">
      <w:pPr>
        <w:pStyle w:val="ListParagraph"/>
        <w:numPr>
          <w:ilvl w:val="0"/>
          <w:numId w:val="23"/>
        </w:numPr>
        <w:ind w:left="0"/>
        <w:rPr>
          <w:rFonts w:ascii="Times New Roman" w:hAnsi="Times New Roman"/>
          <w:b/>
          <w:sz w:val="24"/>
          <w:szCs w:val="24"/>
        </w:rPr>
      </w:pPr>
      <w:r w:rsidRPr="00295914">
        <w:rPr>
          <w:rFonts w:ascii="Times New Roman" w:hAnsi="Times New Roman"/>
          <w:b/>
          <w:sz w:val="24"/>
          <w:szCs w:val="24"/>
        </w:rPr>
        <w:t xml:space="preserve">Justification for </w:t>
      </w:r>
      <w:r w:rsidRPr="00295914" w:rsidR="008815FF">
        <w:rPr>
          <w:rFonts w:ascii="Times New Roman" w:hAnsi="Times New Roman"/>
          <w:b/>
          <w:sz w:val="24"/>
          <w:szCs w:val="24"/>
        </w:rPr>
        <w:t>S</w:t>
      </w:r>
      <w:r w:rsidRPr="00295914">
        <w:rPr>
          <w:rFonts w:ascii="Times New Roman" w:hAnsi="Times New Roman"/>
          <w:b/>
          <w:sz w:val="24"/>
          <w:szCs w:val="24"/>
        </w:rPr>
        <w:t xml:space="preserve">ensitive </w:t>
      </w:r>
      <w:r w:rsidRPr="00295914" w:rsidR="008815FF">
        <w:rPr>
          <w:rFonts w:ascii="Times New Roman" w:hAnsi="Times New Roman"/>
          <w:b/>
          <w:sz w:val="24"/>
          <w:szCs w:val="24"/>
        </w:rPr>
        <w:t>Questions</w:t>
      </w:r>
    </w:p>
    <w:p w:rsidR="008D553C" w:rsidRPr="00220568" w:rsidP="00110DBE" w14:paraId="19E92E73" w14:textId="77777777">
      <w:pPr>
        <w:ind w:hanging="360"/>
        <w:rPr>
          <w:rFonts w:ascii="Times New Roman" w:hAnsi="Times New Roman"/>
          <w:b/>
          <w:sz w:val="24"/>
          <w:szCs w:val="24"/>
        </w:rPr>
      </w:pPr>
    </w:p>
    <w:p w:rsidR="008D553C" w:rsidRPr="00220568" w:rsidP="00110DBE" w14:paraId="21A7AABA" w14:textId="7F42D879">
      <w:pPr>
        <w:tabs>
          <w:tab w:val="left" w:pos="-720"/>
          <w:tab w:val="left" w:pos="0"/>
        </w:tabs>
        <w:suppressAutoHyphens/>
        <w:ind w:hanging="360"/>
        <w:rPr>
          <w:rFonts w:ascii="Times New Roman" w:hAnsi="Times New Roman"/>
          <w:sz w:val="24"/>
          <w:szCs w:val="24"/>
        </w:rPr>
      </w:pPr>
      <w:r w:rsidRPr="00220568">
        <w:rPr>
          <w:rFonts w:ascii="Times New Roman" w:hAnsi="Times New Roman"/>
          <w:sz w:val="24"/>
          <w:szCs w:val="24"/>
        </w:rPr>
        <w:tab/>
        <w:t>There are no questions of a sensitive nature.</w:t>
      </w:r>
    </w:p>
    <w:p w:rsidR="00470720" w:rsidRPr="00220568" w:rsidP="00110DBE" w14:paraId="384D56D8" w14:textId="77777777">
      <w:pPr>
        <w:ind w:hanging="360"/>
        <w:rPr>
          <w:rFonts w:ascii="Times New Roman" w:hAnsi="Times New Roman"/>
          <w:sz w:val="24"/>
          <w:szCs w:val="24"/>
        </w:rPr>
      </w:pPr>
    </w:p>
    <w:p w:rsidR="00470720" w:rsidP="00110DBE" w14:paraId="0A097BEE" w14:textId="581F0B6E">
      <w:pPr>
        <w:pStyle w:val="ListParagraph"/>
        <w:numPr>
          <w:ilvl w:val="0"/>
          <w:numId w:val="23"/>
        </w:numPr>
        <w:ind w:left="0"/>
        <w:rPr>
          <w:rFonts w:ascii="Times New Roman" w:hAnsi="Times New Roman"/>
          <w:b/>
          <w:sz w:val="24"/>
          <w:szCs w:val="24"/>
        </w:rPr>
      </w:pPr>
      <w:r w:rsidRPr="00295914">
        <w:rPr>
          <w:rFonts w:ascii="Times New Roman" w:hAnsi="Times New Roman"/>
          <w:b/>
          <w:sz w:val="24"/>
          <w:szCs w:val="24"/>
        </w:rPr>
        <w:t xml:space="preserve">Estimate of </w:t>
      </w:r>
      <w:r w:rsidRPr="00295914" w:rsidR="008815FF">
        <w:rPr>
          <w:rFonts w:ascii="Times New Roman" w:hAnsi="Times New Roman"/>
          <w:b/>
          <w:sz w:val="24"/>
          <w:szCs w:val="24"/>
        </w:rPr>
        <w:t>Annualized Burden Hours and Cost</w:t>
      </w:r>
      <w:r w:rsidRPr="00295914">
        <w:rPr>
          <w:rFonts w:ascii="Times New Roman" w:hAnsi="Times New Roman"/>
          <w:b/>
          <w:sz w:val="24"/>
          <w:szCs w:val="24"/>
        </w:rPr>
        <w:t xml:space="preserve"> </w:t>
      </w:r>
    </w:p>
    <w:p w:rsidR="008815FF" w:rsidP="00110DBE" w14:paraId="14D62568" w14:textId="77777777">
      <w:pPr>
        <w:ind w:hanging="360"/>
        <w:rPr>
          <w:rFonts w:ascii="Times New Roman" w:hAnsi="Times New Roman"/>
          <w:b/>
          <w:sz w:val="24"/>
          <w:szCs w:val="24"/>
        </w:rPr>
      </w:pPr>
    </w:p>
    <w:p w:rsidR="008815FF" w:rsidP="00110DBE" w14:paraId="1E218E28" w14:textId="787CA2A0">
      <w:pPr>
        <w:pStyle w:val="ListParagraph"/>
        <w:numPr>
          <w:ilvl w:val="0"/>
          <w:numId w:val="26"/>
        </w:numPr>
        <w:ind w:left="360"/>
        <w:rPr>
          <w:rFonts w:ascii="Times New Roman" w:hAnsi="Times New Roman"/>
          <w:b/>
          <w:sz w:val="24"/>
          <w:szCs w:val="24"/>
        </w:rPr>
      </w:pPr>
      <w:r>
        <w:rPr>
          <w:rFonts w:ascii="Times New Roman" w:hAnsi="Times New Roman"/>
          <w:b/>
          <w:sz w:val="24"/>
          <w:szCs w:val="24"/>
        </w:rPr>
        <w:t>Estimated Annualized Burden Hours</w:t>
      </w:r>
    </w:p>
    <w:p w:rsidR="008815FF" w:rsidP="00110DBE" w14:paraId="1D3D033B" w14:textId="77777777">
      <w:pPr>
        <w:pStyle w:val="ListParagraph"/>
        <w:ind w:left="0" w:hanging="360"/>
        <w:rPr>
          <w:rFonts w:ascii="Times New Roman" w:hAnsi="Times New Roman"/>
          <w:b/>
          <w:sz w:val="24"/>
          <w:szCs w:val="24"/>
        </w:rPr>
      </w:pPr>
    </w:p>
    <w:p w:rsidR="00DC55A4" w:rsidP="00110DBE" w14:paraId="3148BF1E" w14:textId="5988D6B2">
      <w:pPr>
        <w:pStyle w:val="ListParagraph"/>
        <w:ind w:left="360"/>
        <w:rPr>
          <w:rFonts w:ascii="Times New Roman" w:hAnsi="Times New Roman"/>
          <w:bCs/>
          <w:sz w:val="24"/>
          <w:szCs w:val="24"/>
        </w:rPr>
      </w:pPr>
      <w:r>
        <w:rPr>
          <w:rFonts w:ascii="Times New Roman" w:hAnsi="Times New Roman"/>
          <w:bCs/>
          <w:sz w:val="24"/>
          <w:szCs w:val="24"/>
        </w:rPr>
        <w:t>An estimated 15 respondents will spend on average a total 12.5 hours to consult with their attorney</w:t>
      </w:r>
      <w:r w:rsidR="00562DFA">
        <w:rPr>
          <w:rFonts w:ascii="Times New Roman" w:hAnsi="Times New Roman"/>
          <w:bCs/>
          <w:sz w:val="24"/>
          <w:szCs w:val="24"/>
        </w:rPr>
        <w:t xml:space="preserve">, </w:t>
      </w:r>
      <w:r>
        <w:rPr>
          <w:rFonts w:ascii="Times New Roman" w:hAnsi="Times New Roman"/>
          <w:bCs/>
          <w:sz w:val="24"/>
          <w:szCs w:val="24"/>
        </w:rPr>
        <w:t xml:space="preserve">compile and submit a claim in reference to this collection. This estimate is based on feedback provided to MARAD by previous respondents to this collection. </w:t>
      </w:r>
      <w:r w:rsidR="00562DFA">
        <w:rPr>
          <w:rFonts w:ascii="Times New Roman" w:hAnsi="Times New Roman"/>
          <w:bCs/>
          <w:sz w:val="24"/>
          <w:szCs w:val="24"/>
        </w:rPr>
        <w:t xml:space="preserve"> </w:t>
      </w:r>
      <w:r>
        <w:rPr>
          <w:rFonts w:ascii="Times New Roman" w:hAnsi="Times New Roman"/>
          <w:bCs/>
          <w:sz w:val="24"/>
          <w:szCs w:val="24"/>
        </w:rPr>
        <w:t xml:space="preserve">Therefore, the total annualized burden hours associated with this collection is 187.5 or 188 hours, which can be calculated as show in the table below: </w:t>
      </w:r>
    </w:p>
    <w:p w:rsidR="00DC55A4" w:rsidP="00110DBE" w14:paraId="33383BE0" w14:textId="77777777">
      <w:pPr>
        <w:pStyle w:val="ListParagraph"/>
        <w:ind w:left="360" w:hanging="360"/>
        <w:rPr>
          <w:rFonts w:ascii="Times New Roman" w:hAnsi="Times New Roman"/>
          <w:bCs/>
          <w:sz w:val="24"/>
          <w:szCs w:val="24"/>
        </w:rPr>
      </w:pPr>
    </w:p>
    <w:tbl>
      <w:tblPr>
        <w:tblW w:w="9720" w:type="dxa"/>
        <w:tblInd w:w="-285" w:type="dxa"/>
        <w:tblLook w:val="04A0"/>
      </w:tblPr>
      <w:tblGrid>
        <w:gridCol w:w="1439"/>
        <w:gridCol w:w="540"/>
        <w:gridCol w:w="1440"/>
        <w:gridCol w:w="630"/>
        <w:gridCol w:w="1182"/>
        <w:gridCol w:w="529"/>
        <w:gridCol w:w="1620"/>
        <w:gridCol w:w="540"/>
        <w:gridCol w:w="1578"/>
        <w:gridCol w:w="222"/>
      </w:tblGrid>
      <w:tr w14:paraId="51FB2F8B" w14:textId="77777777" w:rsidTr="00110DBE">
        <w:tblPrEx>
          <w:tblW w:w="9720" w:type="dxa"/>
          <w:tblInd w:w="-285" w:type="dxa"/>
          <w:tblLook w:val="04A0"/>
        </w:tblPrEx>
        <w:trPr>
          <w:gridAfter w:val="1"/>
          <w:wAfter w:w="222" w:type="dxa"/>
          <w:trHeight w:val="885"/>
        </w:trPr>
        <w:tc>
          <w:tcPr>
            <w:tcW w:w="1439" w:type="dxa"/>
            <w:tcBorders>
              <w:top w:val="single" w:sz="12" w:space="0" w:color="auto"/>
              <w:left w:val="single" w:sz="12" w:space="0" w:color="auto"/>
              <w:bottom w:val="single" w:sz="12" w:space="0" w:color="auto"/>
              <w:right w:val="single" w:sz="12" w:space="0" w:color="auto"/>
            </w:tcBorders>
            <w:shd w:val="clear" w:color="000000" w:fill="D0CECE"/>
            <w:vAlign w:val="center"/>
            <w:hideMark/>
          </w:tcPr>
          <w:p w:rsidR="00DC55A4" w:rsidRPr="00DC55A4" w:rsidP="00110DBE" w14:paraId="1F48D566" w14:textId="77777777">
            <w:pPr>
              <w:widowControl/>
              <w:autoSpaceDE/>
              <w:autoSpaceDN/>
              <w:adjustRightInd/>
              <w:ind w:hanging="360"/>
              <w:jc w:val="center"/>
              <w:rPr>
                <w:rFonts w:ascii="Times New Roman" w:hAnsi="Times New Roman"/>
                <w:b/>
                <w:bCs/>
                <w:color w:val="000000"/>
                <w:sz w:val="22"/>
                <w:szCs w:val="22"/>
              </w:rPr>
            </w:pPr>
            <w:r w:rsidRPr="00DC55A4">
              <w:rPr>
                <w:rFonts w:ascii="Times New Roman" w:hAnsi="Times New Roman"/>
                <w:b/>
                <w:bCs/>
                <w:color w:val="000000"/>
                <w:sz w:val="22"/>
                <w:szCs w:val="22"/>
              </w:rPr>
              <w:t>Total Respondents</w:t>
            </w:r>
          </w:p>
        </w:tc>
        <w:tc>
          <w:tcPr>
            <w:tcW w:w="540" w:type="dxa"/>
            <w:tcBorders>
              <w:top w:val="single" w:sz="12" w:space="0" w:color="auto"/>
              <w:left w:val="nil"/>
              <w:bottom w:val="single" w:sz="12" w:space="0" w:color="auto"/>
              <w:right w:val="single" w:sz="12" w:space="0" w:color="auto"/>
            </w:tcBorders>
            <w:shd w:val="clear" w:color="000000" w:fill="D0CECE"/>
            <w:vAlign w:val="center"/>
            <w:hideMark/>
          </w:tcPr>
          <w:p w:rsidR="00DC55A4" w:rsidRPr="00DC55A4" w:rsidP="00110DBE" w14:paraId="482F658C" w14:textId="77777777">
            <w:pPr>
              <w:widowControl/>
              <w:autoSpaceDE/>
              <w:autoSpaceDN/>
              <w:adjustRightInd/>
              <w:ind w:hanging="360"/>
              <w:rPr>
                <w:rFonts w:ascii="Times New Roman" w:hAnsi="Times New Roman"/>
                <w:color w:val="000000"/>
                <w:sz w:val="22"/>
                <w:szCs w:val="22"/>
              </w:rPr>
            </w:pPr>
            <w:r w:rsidRPr="00DC55A4">
              <w:rPr>
                <w:rFonts w:ascii="Times New Roman" w:hAnsi="Times New Roman"/>
                <w:color w:val="000000"/>
                <w:sz w:val="22"/>
                <w:szCs w:val="22"/>
              </w:rPr>
              <w:t> </w:t>
            </w:r>
          </w:p>
        </w:tc>
        <w:tc>
          <w:tcPr>
            <w:tcW w:w="1440" w:type="dxa"/>
            <w:tcBorders>
              <w:top w:val="single" w:sz="12" w:space="0" w:color="auto"/>
              <w:left w:val="nil"/>
              <w:bottom w:val="single" w:sz="12" w:space="0" w:color="auto"/>
              <w:right w:val="single" w:sz="12" w:space="0" w:color="auto"/>
            </w:tcBorders>
            <w:shd w:val="clear" w:color="000000" w:fill="D0CECE"/>
            <w:vAlign w:val="center"/>
            <w:hideMark/>
          </w:tcPr>
          <w:p w:rsidR="00DC55A4" w:rsidRPr="00DC55A4" w:rsidP="009F074F" w14:paraId="5D578E3D" w14:textId="77777777">
            <w:pPr>
              <w:widowControl/>
              <w:autoSpaceDE/>
              <w:autoSpaceDN/>
              <w:adjustRightInd/>
              <w:ind w:firstLine="70"/>
              <w:jc w:val="center"/>
              <w:rPr>
                <w:rFonts w:ascii="Times New Roman" w:hAnsi="Times New Roman"/>
                <w:b/>
                <w:bCs/>
                <w:color w:val="000000"/>
                <w:sz w:val="22"/>
                <w:szCs w:val="22"/>
              </w:rPr>
            </w:pPr>
            <w:r w:rsidRPr="00DC55A4">
              <w:rPr>
                <w:rFonts w:ascii="Times New Roman" w:hAnsi="Times New Roman"/>
                <w:b/>
                <w:bCs/>
                <w:color w:val="000000"/>
                <w:sz w:val="22"/>
                <w:szCs w:val="22"/>
              </w:rPr>
              <w:t>Total Responses per Respondent</w:t>
            </w:r>
          </w:p>
        </w:tc>
        <w:tc>
          <w:tcPr>
            <w:tcW w:w="630" w:type="dxa"/>
            <w:tcBorders>
              <w:top w:val="single" w:sz="12" w:space="0" w:color="auto"/>
              <w:left w:val="nil"/>
              <w:bottom w:val="single" w:sz="12" w:space="0" w:color="auto"/>
              <w:right w:val="single" w:sz="12" w:space="0" w:color="auto"/>
            </w:tcBorders>
            <w:shd w:val="clear" w:color="000000" w:fill="D0CECE"/>
            <w:vAlign w:val="center"/>
            <w:hideMark/>
          </w:tcPr>
          <w:p w:rsidR="00DC55A4" w:rsidRPr="00DC55A4" w:rsidP="00110DBE" w14:paraId="02F8A6F6" w14:textId="77777777">
            <w:pPr>
              <w:widowControl/>
              <w:autoSpaceDE/>
              <w:autoSpaceDN/>
              <w:adjustRightInd/>
              <w:ind w:hanging="360"/>
              <w:jc w:val="center"/>
              <w:rPr>
                <w:rFonts w:ascii="Times New Roman" w:hAnsi="Times New Roman"/>
                <w:b/>
                <w:bCs/>
                <w:color w:val="000000"/>
                <w:sz w:val="22"/>
                <w:szCs w:val="22"/>
              </w:rPr>
            </w:pPr>
            <w:r w:rsidRPr="00DC55A4">
              <w:rPr>
                <w:rFonts w:ascii="Times New Roman" w:hAnsi="Times New Roman"/>
                <w:b/>
                <w:bCs/>
                <w:color w:val="000000"/>
                <w:sz w:val="22"/>
                <w:szCs w:val="22"/>
              </w:rPr>
              <w:t> </w:t>
            </w:r>
          </w:p>
        </w:tc>
        <w:tc>
          <w:tcPr>
            <w:tcW w:w="1182" w:type="dxa"/>
            <w:tcBorders>
              <w:top w:val="single" w:sz="12" w:space="0" w:color="auto"/>
              <w:left w:val="nil"/>
              <w:bottom w:val="single" w:sz="12" w:space="0" w:color="auto"/>
              <w:right w:val="single" w:sz="12" w:space="0" w:color="auto"/>
            </w:tcBorders>
            <w:shd w:val="clear" w:color="000000" w:fill="D0CECE"/>
            <w:vAlign w:val="center"/>
            <w:hideMark/>
          </w:tcPr>
          <w:p w:rsidR="00DC55A4" w:rsidRPr="00DC55A4" w:rsidP="00110DBE" w14:paraId="1829D4F5" w14:textId="77777777">
            <w:pPr>
              <w:widowControl/>
              <w:autoSpaceDE/>
              <w:autoSpaceDN/>
              <w:adjustRightInd/>
              <w:ind w:hanging="360"/>
              <w:jc w:val="center"/>
              <w:rPr>
                <w:rFonts w:ascii="Times New Roman" w:hAnsi="Times New Roman"/>
                <w:b/>
                <w:bCs/>
                <w:color w:val="000000"/>
                <w:sz w:val="22"/>
                <w:szCs w:val="22"/>
              </w:rPr>
            </w:pPr>
            <w:r w:rsidRPr="00DC55A4">
              <w:rPr>
                <w:rFonts w:ascii="Times New Roman" w:hAnsi="Times New Roman"/>
                <w:b/>
                <w:bCs/>
                <w:color w:val="000000"/>
                <w:sz w:val="22"/>
                <w:szCs w:val="22"/>
              </w:rPr>
              <w:t>Total Responses</w:t>
            </w:r>
          </w:p>
        </w:tc>
        <w:tc>
          <w:tcPr>
            <w:tcW w:w="529" w:type="dxa"/>
            <w:tcBorders>
              <w:top w:val="single" w:sz="12" w:space="0" w:color="auto"/>
              <w:left w:val="nil"/>
              <w:bottom w:val="single" w:sz="12" w:space="0" w:color="auto"/>
              <w:right w:val="single" w:sz="12" w:space="0" w:color="auto"/>
            </w:tcBorders>
            <w:shd w:val="clear" w:color="000000" w:fill="D0CECE"/>
            <w:vAlign w:val="center"/>
            <w:hideMark/>
          </w:tcPr>
          <w:p w:rsidR="00DC55A4" w:rsidRPr="00DC55A4" w:rsidP="00110DBE" w14:paraId="17DB6737" w14:textId="77777777">
            <w:pPr>
              <w:widowControl/>
              <w:autoSpaceDE/>
              <w:autoSpaceDN/>
              <w:adjustRightInd/>
              <w:ind w:hanging="360"/>
              <w:jc w:val="center"/>
              <w:rPr>
                <w:rFonts w:ascii="Times New Roman" w:hAnsi="Times New Roman"/>
                <w:b/>
                <w:bCs/>
                <w:color w:val="000000"/>
                <w:sz w:val="22"/>
                <w:szCs w:val="22"/>
              </w:rPr>
            </w:pPr>
            <w:r w:rsidRPr="00DC55A4">
              <w:rPr>
                <w:rFonts w:ascii="Times New Roman" w:hAnsi="Times New Roman"/>
                <w:b/>
                <w:bCs/>
                <w:color w:val="000000"/>
                <w:sz w:val="22"/>
                <w:szCs w:val="22"/>
              </w:rPr>
              <w:t> </w:t>
            </w:r>
          </w:p>
        </w:tc>
        <w:tc>
          <w:tcPr>
            <w:tcW w:w="1620" w:type="dxa"/>
            <w:tcBorders>
              <w:top w:val="single" w:sz="12" w:space="0" w:color="auto"/>
              <w:left w:val="nil"/>
              <w:bottom w:val="single" w:sz="12" w:space="0" w:color="auto"/>
              <w:right w:val="single" w:sz="12" w:space="0" w:color="auto"/>
            </w:tcBorders>
            <w:shd w:val="clear" w:color="000000" w:fill="D0CECE"/>
            <w:vAlign w:val="center"/>
            <w:hideMark/>
          </w:tcPr>
          <w:p w:rsidR="00DC55A4" w:rsidRPr="00DC55A4" w:rsidP="009F074F" w14:paraId="571379E7" w14:textId="77777777">
            <w:pPr>
              <w:widowControl/>
              <w:autoSpaceDE/>
              <w:autoSpaceDN/>
              <w:adjustRightInd/>
              <w:ind w:firstLine="70"/>
              <w:jc w:val="center"/>
              <w:rPr>
                <w:rFonts w:ascii="Times New Roman" w:hAnsi="Times New Roman"/>
                <w:b/>
                <w:bCs/>
                <w:color w:val="000000"/>
                <w:sz w:val="22"/>
                <w:szCs w:val="22"/>
              </w:rPr>
            </w:pPr>
            <w:r w:rsidRPr="00DC55A4">
              <w:rPr>
                <w:rFonts w:ascii="Times New Roman" w:hAnsi="Times New Roman"/>
                <w:b/>
                <w:bCs/>
                <w:color w:val="000000"/>
                <w:sz w:val="22"/>
                <w:szCs w:val="22"/>
              </w:rPr>
              <w:t>Average Time Taken to Respond (Hour)</w:t>
            </w:r>
          </w:p>
        </w:tc>
        <w:tc>
          <w:tcPr>
            <w:tcW w:w="540" w:type="dxa"/>
            <w:tcBorders>
              <w:top w:val="single" w:sz="12" w:space="0" w:color="auto"/>
              <w:left w:val="nil"/>
              <w:bottom w:val="single" w:sz="12" w:space="0" w:color="auto"/>
              <w:right w:val="single" w:sz="12" w:space="0" w:color="auto"/>
            </w:tcBorders>
            <w:shd w:val="clear" w:color="000000" w:fill="D0CECE"/>
            <w:vAlign w:val="center"/>
            <w:hideMark/>
          </w:tcPr>
          <w:p w:rsidR="00DC55A4" w:rsidRPr="00DC55A4" w:rsidP="00110DBE" w14:paraId="2138735A" w14:textId="77777777">
            <w:pPr>
              <w:widowControl/>
              <w:autoSpaceDE/>
              <w:autoSpaceDN/>
              <w:adjustRightInd/>
              <w:ind w:hanging="360"/>
              <w:jc w:val="center"/>
              <w:rPr>
                <w:rFonts w:ascii="Times New Roman" w:hAnsi="Times New Roman"/>
                <w:b/>
                <w:bCs/>
                <w:color w:val="000000"/>
                <w:sz w:val="22"/>
                <w:szCs w:val="22"/>
              </w:rPr>
            </w:pPr>
            <w:r w:rsidRPr="00DC55A4">
              <w:rPr>
                <w:rFonts w:ascii="Times New Roman" w:hAnsi="Times New Roman"/>
                <w:b/>
                <w:bCs/>
                <w:color w:val="000000"/>
                <w:sz w:val="22"/>
                <w:szCs w:val="22"/>
              </w:rPr>
              <w:t> </w:t>
            </w:r>
          </w:p>
        </w:tc>
        <w:tc>
          <w:tcPr>
            <w:tcW w:w="1578" w:type="dxa"/>
            <w:tcBorders>
              <w:top w:val="single" w:sz="12" w:space="0" w:color="auto"/>
              <w:left w:val="nil"/>
              <w:bottom w:val="single" w:sz="12" w:space="0" w:color="auto"/>
              <w:right w:val="single" w:sz="12" w:space="0" w:color="auto"/>
            </w:tcBorders>
            <w:shd w:val="clear" w:color="000000" w:fill="D0CECE"/>
            <w:vAlign w:val="center"/>
            <w:hideMark/>
          </w:tcPr>
          <w:p w:rsidR="00DC55A4" w:rsidRPr="00DC55A4" w:rsidP="009F074F" w14:paraId="0DAE14C5" w14:textId="77777777">
            <w:pPr>
              <w:widowControl/>
              <w:autoSpaceDE/>
              <w:autoSpaceDN/>
              <w:adjustRightInd/>
              <w:ind w:hanging="20"/>
              <w:jc w:val="center"/>
              <w:rPr>
                <w:rFonts w:ascii="Times New Roman" w:hAnsi="Times New Roman"/>
                <w:b/>
                <w:bCs/>
                <w:color w:val="000000"/>
                <w:sz w:val="22"/>
                <w:szCs w:val="22"/>
              </w:rPr>
            </w:pPr>
            <w:r w:rsidRPr="00DC55A4">
              <w:rPr>
                <w:rFonts w:ascii="Times New Roman" w:hAnsi="Times New Roman"/>
                <w:b/>
                <w:bCs/>
                <w:color w:val="000000"/>
                <w:sz w:val="22"/>
                <w:szCs w:val="22"/>
              </w:rPr>
              <w:t>Total Burden Hours</w:t>
            </w:r>
          </w:p>
        </w:tc>
      </w:tr>
      <w:tr w14:paraId="16BF566D" w14:textId="77777777" w:rsidTr="00110DBE">
        <w:tblPrEx>
          <w:tblW w:w="9720" w:type="dxa"/>
          <w:tblInd w:w="-285" w:type="dxa"/>
          <w:tblLook w:val="04A0"/>
        </w:tblPrEx>
        <w:trPr>
          <w:gridAfter w:val="1"/>
          <w:wAfter w:w="222" w:type="dxa"/>
          <w:trHeight w:val="315"/>
        </w:trPr>
        <w:tc>
          <w:tcPr>
            <w:tcW w:w="1439" w:type="dxa"/>
            <w:vMerge w:val="restart"/>
            <w:tcBorders>
              <w:top w:val="nil"/>
              <w:left w:val="single" w:sz="12" w:space="0" w:color="auto"/>
              <w:bottom w:val="single" w:sz="12" w:space="0" w:color="000000"/>
              <w:right w:val="single" w:sz="12" w:space="0" w:color="auto"/>
            </w:tcBorders>
            <w:shd w:val="clear" w:color="auto" w:fill="auto"/>
            <w:vAlign w:val="center"/>
            <w:hideMark/>
          </w:tcPr>
          <w:p w:rsidR="00DC55A4" w:rsidRPr="00DC55A4" w:rsidP="00110DBE" w14:paraId="6F607D3B" w14:textId="77777777">
            <w:pPr>
              <w:widowControl/>
              <w:autoSpaceDE/>
              <w:autoSpaceDN/>
              <w:adjustRightInd/>
              <w:ind w:hanging="360"/>
              <w:jc w:val="center"/>
              <w:rPr>
                <w:rFonts w:ascii="Times New Roman" w:hAnsi="Times New Roman"/>
                <w:color w:val="000000"/>
                <w:sz w:val="22"/>
                <w:szCs w:val="22"/>
              </w:rPr>
            </w:pPr>
            <w:r w:rsidRPr="00DC55A4">
              <w:rPr>
                <w:rFonts w:ascii="Times New Roman" w:hAnsi="Times New Roman"/>
                <w:color w:val="000000"/>
                <w:sz w:val="22"/>
                <w:szCs w:val="22"/>
              </w:rPr>
              <w:t>15</w:t>
            </w:r>
          </w:p>
        </w:tc>
        <w:tc>
          <w:tcPr>
            <w:tcW w:w="540" w:type="dxa"/>
            <w:vMerge w:val="restart"/>
            <w:tcBorders>
              <w:top w:val="nil"/>
              <w:left w:val="single" w:sz="12" w:space="0" w:color="auto"/>
              <w:bottom w:val="single" w:sz="12" w:space="0" w:color="000000"/>
              <w:right w:val="single" w:sz="12" w:space="0" w:color="auto"/>
            </w:tcBorders>
            <w:shd w:val="clear" w:color="auto" w:fill="auto"/>
            <w:vAlign w:val="center"/>
            <w:hideMark/>
          </w:tcPr>
          <w:p w:rsidR="00DC55A4" w:rsidRPr="00DC55A4" w:rsidP="00110DBE" w14:paraId="63B12F8D" w14:textId="68C49DBC">
            <w:pPr>
              <w:widowControl/>
              <w:autoSpaceDE/>
              <w:autoSpaceDN/>
              <w:adjustRightInd/>
              <w:ind w:hanging="360"/>
              <w:jc w:val="center"/>
              <w:rPr>
                <w:rFonts w:ascii="Times New Roman" w:hAnsi="Times New Roman"/>
                <w:color w:val="000000"/>
                <w:sz w:val="22"/>
                <w:szCs w:val="22"/>
              </w:rPr>
            </w:pPr>
            <w:r>
              <w:rPr>
                <w:rFonts w:ascii="Times New Roman" w:hAnsi="Times New Roman"/>
                <w:color w:val="000000"/>
                <w:sz w:val="22"/>
                <w:szCs w:val="22"/>
              </w:rPr>
              <w:t xml:space="preserve">   </w:t>
            </w:r>
            <w:r w:rsidRPr="00DC55A4">
              <w:rPr>
                <w:rFonts w:ascii="Times New Roman" w:hAnsi="Times New Roman"/>
                <w:color w:val="000000"/>
                <w:sz w:val="22"/>
                <w:szCs w:val="22"/>
              </w:rPr>
              <w:t>*</w:t>
            </w:r>
          </w:p>
        </w:tc>
        <w:tc>
          <w:tcPr>
            <w:tcW w:w="1440" w:type="dxa"/>
            <w:vMerge w:val="restart"/>
            <w:tcBorders>
              <w:top w:val="nil"/>
              <w:left w:val="single" w:sz="12" w:space="0" w:color="auto"/>
              <w:bottom w:val="single" w:sz="12" w:space="0" w:color="000000"/>
              <w:right w:val="single" w:sz="12" w:space="0" w:color="auto"/>
            </w:tcBorders>
            <w:shd w:val="clear" w:color="auto" w:fill="auto"/>
            <w:vAlign w:val="center"/>
            <w:hideMark/>
          </w:tcPr>
          <w:p w:rsidR="00DC55A4" w:rsidRPr="00DC55A4" w:rsidP="00110DBE" w14:paraId="1F7A1C73" w14:textId="77777777">
            <w:pPr>
              <w:widowControl/>
              <w:autoSpaceDE/>
              <w:autoSpaceDN/>
              <w:adjustRightInd/>
              <w:ind w:hanging="360"/>
              <w:jc w:val="center"/>
              <w:rPr>
                <w:rFonts w:ascii="Times New Roman" w:hAnsi="Times New Roman"/>
                <w:color w:val="000000"/>
                <w:sz w:val="22"/>
                <w:szCs w:val="22"/>
              </w:rPr>
            </w:pPr>
            <w:r w:rsidRPr="00DC55A4">
              <w:rPr>
                <w:rFonts w:ascii="Times New Roman" w:hAnsi="Times New Roman"/>
                <w:color w:val="000000"/>
                <w:sz w:val="22"/>
                <w:szCs w:val="22"/>
              </w:rPr>
              <w:t>1</w:t>
            </w:r>
          </w:p>
        </w:tc>
        <w:tc>
          <w:tcPr>
            <w:tcW w:w="630" w:type="dxa"/>
            <w:vMerge w:val="restart"/>
            <w:tcBorders>
              <w:top w:val="nil"/>
              <w:left w:val="single" w:sz="12" w:space="0" w:color="auto"/>
              <w:bottom w:val="single" w:sz="12" w:space="0" w:color="000000"/>
              <w:right w:val="single" w:sz="12" w:space="0" w:color="auto"/>
            </w:tcBorders>
            <w:shd w:val="clear" w:color="auto" w:fill="auto"/>
            <w:vAlign w:val="center"/>
            <w:hideMark/>
          </w:tcPr>
          <w:p w:rsidR="00DC55A4" w:rsidRPr="00DC55A4" w:rsidP="00110DBE" w14:paraId="2AA234A8" w14:textId="72404330">
            <w:pPr>
              <w:widowControl/>
              <w:autoSpaceDE/>
              <w:autoSpaceDN/>
              <w:adjustRightInd/>
              <w:ind w:hanging="360"/>
              <w:jc w:val="center"/>
              <w:rPr>
                <w:rFonts w:ascii="Times New Roman" w:hAnsi="Times New Roman"/>
                <w:color w:val="000000"/>
                <w:sz w:val="22"/>
                <w:szCs w:val="22"/>
              </w:rPr>
            </w:pPr>
            <w:r>
              <w:rPr>
                <w:rFonts w:ascii="Times New Roman" w:hAnsi="Times New Roman"/>
                <w:color w:val="000000"/>
                <w:sz w:val="22"/>
                <w:szCs w:val="22"/>
              </w:rPr>
              <w:t xml:space="preserve">   </w:t>
            </w:r>
            <w:r w:rsidRPr="00DC55A4">
              <w:rPr>
                <w:rFonts w:ascii="Times New Roman" w:hAnsi="Times New Roman"/>
                <w:color w:val="000000"/>
                <w:sz w:val="22"/>
                <w:szCs w:val="22"/>
              </w:rPr>
              <w:t>=</w:t>
            </w:r>
          </w:p>
        </w:tc>
        <w:tc>
          <w:tcPr>
            <w:tcW w:w="1182" w:type="dxa"/>
            <w:vMerge w:val="restart"/>
            <w:tcBorders>
              <w:top w:val="nil"/>
              <w:left w:val="single" w:sz="12" w:space="0" w:color="auto"/>
              <w:bottom w:val="single" w:sz="12" w:space="0" w:color="000000"/>
              <w:right w:val="single" w:sz="12" w:space="0" w:color="auto"/>
            </w:tcBorders>
            <w:shd w:val="clear" w:color="auto" w:fill="auto"/>
            <w:vAlign w:val="center"/>
            <w:hideMark/>
          </w:tcPr>
          <w:p w:rsidR="00DC55A4" w:rsidRPr="00DC55A4" w:rsidP="00110DBE" w14:paraId="2BCAD272" w14:textId="77777777">
            <w:pPr>
              <w:widowControl/>
              <w:autoSpaceDE/>
              <w:autoSpaceDN/>
              <w:adjustRightInd/>
              <w:ind w:hanging="360"/>
              <w:jc w:val="center"/>
              <w:rPr>
                <w:rFonts w:ascii="Times New Roman" w:hAnsi="Times New Roman"/>
                <w:color w:val="000000"/>
                <w:sz w:val="22"/>
                <w:szCs w:val="22"/>
              </w:rPr>
            </w:pPr>
            <w:r w:rsidRPr="00DC55A4">
              <w:rPr>
                <w:rFonts w:ascii="Times New Roman" w:hAnsi="Times New Roman"/>
                <w:color w:val="000000"/>
                <w:sz w:val="22"/>
                <w:szCs w:val="22"/>
              </w:rPr>
              <w:t>15</w:t>
            </w:r>
          </w:p>
        </w:tc>
        <w:tc>
          <w:tcPr>
            <w:tcW w:w="529" w:type="dxa"/>
            <w:vMerge w:val="restart"/>
            <w:tcBorders>
              <w:top w:val="nil"/>
              <w:left w:val="single" w:sz="12" w:space="0" w:color="auto"/>
              <w:bottom w:val="single" w:sz="12" w:space="0" w:color="000000"/>
              <w:right w:val="single" w:sz="12" w:space="0" w:color="auto"/>
            </w:tcBorders>
            <w:shd w:val="clear" w:color="auto" w:fill="auto"/>
            <w:vAlign w:val="center"/>
            <w:hideMark/>
          </w:tcPr>
          <w:p w:rsidR="00DC55A4" w:rsidRPr="00DC55A4" w:rsidP="00110DBE" w14:paraId="1EF828D9" w14:textId="423364FB">
            <w:pPr>
              <w:widowControl/>
              <w:autoSpaceDE/>
              <w:autoSpaceDN/>
              <w:adjustRightInd/>
              <w:ind w:hanging="360"/>
              <w:jc w:val="center"/>
              <w:rPr>
                <w:rFonts w:ascii="Times New Roman" w:hAnsi="Times New Roman"/>
                <w:color w:val="000000"/>
                <w:sz w:val="22"/>
                <w:szCs w:val="22"/>
              </w:rPr>
            </w:pPr>
            <w:r>
              <w:rPr>
                <w:rFonts w:ascii="Times New Roman" w:hAnsi="Times New Roman"/>
                <w:color w:val="000000"/>
                <w:sz w:val="22"/>
                <w:szCs w:val="22"/>
              </w:rPr>
              <w:t xml:space="preserve">    </w:t>
            </w:r>
            <w:r w:rsidRPr="00DC55A4">
              <w:rPr>
                <w:rFonts w:ascii="Times New Roman" w:hAnsi="Times New Roman"/>
                <w:color w:val="000000"/>
                <w:sz w:val="22"/>
                <w:szCs w:val="22"/>
              </w:rPr>
              <w:t>*</w:t>
            </w:r>
          </w:p>
        </w:tc>
        <w:tc>
          <w:tcPr>
            <w:tcW w:w="1620" w:type="dxa"/>
            <w:vMerge w:val="restart"/>
            <w:tcBorders>
              <w:top w:val="nil"/>
              <w:left w:val="single" w:sz="12" w:space="0" w:color="auto"/>
              <w:bottom w:val="single" w:sz="12" w:space="0" w:color="000000"/>
              <w:right w:val="single" w:sz="12" w:space="0" w:color="auto"/>
            </w:tcBorders>
            <w:shd w:val="clear" w:color="auto" w:fill="auto"/>
            <w:vAlign w:val="center"/>
            <w:hideMark/>
          </w:tcPr>
          <w:p w:rsidR="00DC55A4" w:rsidRPr="00DC55A4" w:rsidP="00110DBE" w14:paraId="3143C09C" w14:textId="77777777">
            <w:pPr>
              <w:widowControl/>
              <w:autoSpaceDE/>
              <w:autoSpaceDN/>
              <w:adjustRightInd/>
              <w:ind w:hanging="360"/>
              <w:jc w:val="center"/>
              <w:rPr>
                <w:rFonts w:ascii="Times New Roman" w:hAnsi="Times New Roman"/>
                <w:color w:val="000000"/>
                <w:sz w:val="22"/>
                <w:szCs w:val="22"/>
              </w:rPr>
            </w:pPr>
            <w:r w:rsidRPr="00DC55A4">
              <w:rPr>
                <w:rFonts w:ascii="Times New Roman" w:hAnsi="Times New Roman"/>
                <w:color w:val="000000"/>
                <w:sz w:val="22"/>
                <w:szCs w:val="22"/>
              </w:rPr>
              <w:t>12.5</w:t>
            </w:r>
          </w:p>
        </w:tc>
        <w:tc>
          <w:tcPr>
            <w:tcW w:w="540" w:type="dxa"/>
            <w:vMerge w:val="restart"/>
            <w:tcBorders>
              <w:top w:val="nil"/>
              <w:left w:val="single" w:sz="12" w:space="0" w:color="auto"/>
              <w:bottom w:val="single" w:sz="12" w:space="0" w:color="000000"/>
              <w:right w:val="single" w:sz="12" w:space="0" w:color="auto"/>
            </w:tcBorders>
            <w:shd w:val="clear" w:color="auto" w:fill="auto"/>
            <w:vAlign w:val="center"/>
            <w:hideMark/>
          </w:tcPr>
          <w:p w:rsidR="00DC55A4" w:rsidRPr="00DC55A4" w:rsidP="00110DBE" w14:paraId="0F40E7DB" w14:textId="7B6E4E84">
            <w:pPr>
              <w:widowControl/>
              <w:autoSpaceDE/>
              <w:autoSpaceDN/>
              <w:adjustRightInd/>
              <w:ind w:hanging="360"/>
              <w:jc w:val="center"/>
              <w:rPr>
                <w:rFonts w:ascii="Times New Roman" w:hAnsi="Times New Roman"/>
                <w:color w:val="000000"/>
                <w:sz w:val="22"/>
                <w:szCs w:val="22"/>
              </w:rPr>
            </w:pPr>
            <w:r>
              <w:rPr>
                <w:rFonts w:ascii="Times New Roman" w:hAnsi="Times New Roman"/>
                <w:color w:val="000000"/>
                <w:sz w:val="22"/>
                <w:szCs w:val="22"/>
              </w:rPr>
              <w:t xml:space="preserve">   </w:t>
            </w:r>
            <w:r w:rsidRPr="00DC55A4">
              <w:rPr>
                <w:rFonts w:ascii="Times New Roman" w:hAnsi="Times New Roman"/>
                <w:color w:val="000000"/>
                <w:sz w:val="22"/>
                <w:szCs w:val="22"/>
              </w:rPr>
              <w:t>=</w:t>
            </w:r>
          </w:p>
        </w:tc>
        <w:tc>
          <w:tcPr>
            <w:tcW w:w="1578" w:type="dxa"/>
            <w:vMerge w:val="restart"/>
            <w:tcBorders>
              <w:top w:val="nil"/>
              <w:left w:val="single" w:sz="12" w:space="0" w:color="auto"/>
              <w:bottom w:val="single" w:sz="12" w:space="0" w:color="000000"/>
              <w:right w:val="single" w:sz="12" w:space="0" w:color="auto"/>
            </w:tcBorders>
            <w:shd w:val="clear" w:color="auto" w:fill="auto"/>
            <w:vAlign w:val="center"/>
            <w:hideMark/>
          </w:tcPr>
          <w:p w:rsidR="00DC55A4" w:rsidRPr="00DC55A4" w:rsidP="00110DBE" w14:paraId="480B8577" w14:textId="276B74FA">
            <w:pPr>
              <w:widowControl/>
              <w:autoSpaceDE/>
              <w:autoSpaceDN/>
              <w:adjustRightInd/>
              <w:ind w:hanging="360"/>
              <w:jc w:val="center"/>
              <w:rPr>
                <w:rFonts w:ascii="Times New Roman" w:hAnsi="Times New Roman"/>
                <w:color w:val="000000"/>
                <w:sz w:val="22"/>
                <w:szCs w:val="22"/>
              </w:rPr>
            </w:pPr>
            <w:r w:rsidRPr="00DC55A4">
              <w:rPr>
                <w:rFonts w:ascii="Times New Roman" w:hAnsi="Times New Roman"/>
                <w:color w:val="000000"/>
                <w:sz w:val="22"/>
                <w:szCs w:val="22"/>
              </w:rPr>
              <w:t>187.50</w:t>
            </w:r>
            <w:r>
              <w:rPr>
                <w:rFonts w:ascii="Times New Roman" w:hAnsi="Times New Roman"/>
                <w:color w:val="000000"/>
                <w:sz w:val="22"/>
                <w:szCs w:val="22"/>
              </w:rPr>
              <w:t>/ 188</w:t>
            </w:r>
          </w:p>
        </w:tc>
      </w:tr>
      <w:tr w14:paraId="0805A07E" w14:textId="77777777" w:rsidTr="00110DBE">
        <w:tblPrEx>
          <w:tblW w:w="9720" w:type="dxa"/>
          <w:tblInd w:w="-285" w:type="dxa"/>
          <w:tblLook w:val="04A0"/>
        </w:tblPrEx>
        <w:trPr>
          <w:trHeight w:val="315"/>
        </w:trPr>
        <w:tc>
          <w:tcPr>
            <w:tcW w:w="1439" w:type="dxa"/>
            <w:vMerge/>
            <w:tcBorders>
              <w:top w:val="nil"/>
              <w:left w:val="single" w:sz="12" w:space="0" w:color="auto"/>
              <w:bottom w:val="single" w:sz="12" w:space="0" w:color="000000"/>
              <w:right w:val="single" w:sz="12" w:space="0" w:color="auto"/>
            </w:tcBorders>
            <w:vAlign w:val="center"/>
            <w:hideMark/>
          </w:tcPr>
          <w:p w:rsidR="00DC55A4" w:rsidRPr="00DC55A4" w:rsidP="00110DBE" w14:paraId="4EE775AB" w14:textId="77777777">
            <w:pPr>
              <w:widowControl/>
              <w:autoSpaceDE/>
              <w:autoSpaceDN/>
              <w:adjustRightInd/>
              <w:ind w:hanging="360"/>
              <w:rPr>
                <w:rFonts w:ascii="Times New Roman" w:hAnsi="Times New Roman"/>
                <w:color w:val="000000"/>
                <w:sz w:val="22"/>
                <w:szCs w:val="22"/>
              </w:rPr>
            </w:pPr>
          </w:p>
        </w:tc>
        <w:tc>
          <w:tcPr>
            <w:tcW w:w="540" w:type="dxa"/>
            <w:vMerge/>
            <w:tcBorders>
              <w:top w:val="nil"/>
              <w:left w:val="single" w:sz="12" w:space="0" w:color="auto"/>
              <w:bottom w:val="single" w:sz="12" w:space="0" w:color="000000"/>
              <w:right w:val="single" w:sz="12" w:space="0" w:color="auto"/>
            </w:tcBorders>
            <w:vAlign w:val="center"/>
            <w:hideMark/>
          </w:tcPr>
          <w:p w:rsidR="00DC55A4" w:rsidRPr="00DC55A4" w:rsidP="00110DBE" w14:paraId="209A0DD8" w14:textId="77777777">
            <w:pPr>
              <w:widowControl/>
              <w:autoSpaceDE/>
              <w:autoSpaceDN/>
              <w:adjustRightInd/>
              <w:ind w:hanging="360"/>
              <w:rPr>
                <w:rFonts w:ascii="Times New Roman" w:hAnsi="Times New Roman"/>
                <w:color w:val="000000"/>
                <w:sz w:val="22"/>
                <w:szCs w:val="22"/>
              </w:rPr>
            </w:pPr>
          </w:p>
        </w:tc>
        <w:tc>
          <w:tcPr>
            <w:tcW w:w="1440" w:type="dxa"/>
            <w:vMerge/>
            <w:tcBorders>
              <w:top w:val="nil"/>
              <w:left w:val="single" w:sz="12" w:space="0" w:color="auto"/>
              <w:bottom w:val="single" w:sz="12" w:space="0" w:color="000000"/>
              <w:right w:val="single" w:sz="12" w:space="0" w:color="auto"/>
            </w:tcBorders>
            <w:vAlign w:val="center"/>
            <w:hideMark/>
          </w:tcPr>
          <w:p w:rsidR="00DC55A4" w:rsidRPr="00DC55A4" w:rsidP="00110DBE" w14:paraId="5111E073" w14:textId="77777777">
            <w:pPr>
              <w:widowControl/>
              <w:autoSpaceDE/>
              <w:autoSpaceDN/>
              <w:adjustRightInd/>
              <w:ind w:hanging="360"/>
              <w:rPr>
                <w:rFonts w:ascii="Times New Roman" w:hAnsi="Times New Roman"/>
                <w:color w:val="000000"/>
                <w:sz w:val="22"/>
                <w:szCs w:val="22"/>
              </w:rPr>
            </w:pPr>
          </w:p>
        </w:tc>
        <w:tc>
          <w:tcPr>
            <w:tcW w:w="630" w:type="dxa"/>
            <w:vMerge/>
            <w:tcBorders>
              <w:top w:val="nil"/>
              <w:left w:val="single" w:sz="12" w:space="0" w:color="auto"/>
              <w:bottom w:val="single" w:sz="12" w:space="0" w:color="000000"/>
              <w:right w:val="single" w:sz="12" w:space="0" w:color="auto"/>
            </w:tcBorders>
            <w:vAlign w:val="center"/>
            <w:hideMark/>
          </w:tcPr>
          <w:p w:rsidR="00DC55A4" w:rsidRPr="00DC55A4" w:rsidP="00110DBE" w14:paraId="35DC7278" w14:textId="77777777">
            <w:pPr>
              <w:widowControl/>
              <w:autoSpaceDE/>
              <w:autoSpaceDN/>
              <w:adjustRightInd/>
              <w:ind w:hanging="360"/>
              <w:rPr>
                <w:rFonts w:ascii="Times New Roman" w:hAnsi="Times New Roman"/>
                <w:color w:val="000000"/>
                <w:sz w:val="22"/>
                <w:szCs w:val="22"/>
              </w:rPr>
            </w:pPr>
          </w:p>
        </w:tc>
        <w:tc>
          <w:tcPr>
            <w:tcW w:w="1182" w:type="dxa"/>
            <w:vMerge/>
            <w:tcBorders>
              <w:top w:val="nil"/>
              <w:left w:val="single" w:sz="12" w:space="0" w:color="auto"/>
              <w:bottom w:val="single" w:sz="12" w:space="0" w:color="000000"/>
              <w:right w:val="single" w:sz="12" w:space="0" w:color="auto"/>
            </w:tcBorders>
            <w:vAlign w:val="center"/>
            <w:hideMark/>
          </w:tcPr>
          <w:p w:rsidR="00DC55A4" w:rsidRPr="00DC55A4" w:rsidP="00110DBE" w14:paraId="65204580" w14:textId="77777777">
            <w:pPr>
              <w:widowControl/>
              <w:autoSpaceDE/>
              <w:autoSpaceDN/>
              <w:adjustRightInd/>
              <w:ind w:hanging="360"/>
              <w:rPr>
                <w:rFonts w:ascii="Times New Roman" w:hAnsi="Times New Roman"/>
                <w:color w:val="000000"/>
                <w:sz w:val="22"/>
                <w:szCs w:val="22"/>
              </w:rPr>
            </w:pPr>
          </w:p>
        </w:tc>
        <w:tc>
          <w:tcPr>
            <w:tcW w:w="529" w:type="dxa"/>
            <w:vMerge/>
            <w:tcBorders>
              <w:top w:val="nil"/>
              <w:left w:val="single" w:sz="12" w:space="0" w:color="auto"/>
              <w:bottom w:val="single" w:sz="12" w:space="0" w:color="000000"/>
              <w:right w:val="single" w:sz="12" w:space="0" w:color="auto"/>
            </w:tcBorders>
            <w:vAlign w:val="center"/>
            <w:hideMark/>
          </w:tcPr>
          <w:p w:rsidR="00DC55A4" w:rsidRPr="00DC55A4" w:rsidP="00110DBE" w14:paraId="22172C86" w14:textId="77777777">
            <w:pPr>
              <w:widowControl/>
              <w:autoSpaceDE/>
              <w:autoSpaceDN/>
              <w:adjustRightInd/>
              <w:ind w:hanging="360"/>
              <w:rPr>
                <w:rFonts w:ascii="Times New Roman" w:hAnsi="Times New Roman"/>
                <w:color w:val="000000"/>
                <w:sz w:val="22"/>
                <w:szCs w:val="22"/>
              </w:rPr>
            </w:pPr>
          </w:p>
        </w:tc>
        <w:tc>
          <w:tcPr>
            <w:tcW w:w="1620" w:type="dxa"/>
            <w:vMerge/>
            <w:tcBorders>
              <w:top w:val="nil"/>
              <w:left w:val="single" w:sz="12" w:space="0" w:color="auto"/>
              <w:bottom w:val="single" w:sz="12" w:space="0" w:color="000000"/>
              <w:right w:val="single" w:sz="12" w:space="0" w:color="auto"/>
            </w:tcBorders>
            <w:vAlign w:val="center"/>
            <w:hideMark/>
          </w:tcPr>
          <w:p w:rsidR="00DC55A4" w:rsidRPr="00DC55A4" w:rsidP="00110DBE" w14:paraId="6E13CF2B" w14:textId="77777777">
            <w:pPr>
              <w:widowControl/>
              <w:autoSpaceDE/>
              <w:autoSpaceDN/>
              <w:adjustRightInd/>
              <w:ind w:hanging="360"/>
              <w:rPr>
                <w:rFonts w:ascii="Times New Roman" w:hAnsi="Times New Roman"/>
                <w:color w:val="000000"/>
                <w:sz w:val="22"/>
                <w:szCs w:val="22"/>
              </w:rPr>
            </w:pPr>
          </w:p>
        </w:tc>
        <w:tc>
          <w:tcPr>
            <w:tcW w:w="540" w:type="dxa"/>
            <w:vMerge/>
            <w:tcBorders>
              <w:top w:val="nil"/>
              <w:left w:val="single" w:sz="12" w:space="0" w:color="auto"/>
              <w:bottom w:val="single" w:sz="12" w:space="0" w:color="000000"/>
              <w:right w:val="single" w:sz="12" w:space="0" w:color="auto"/>
            </w:tcBorders>
            <w:vAlign w:val="center"/>
            <w:hideMark/>
          </w:tcPr>
          <w:p w:rsidR="00DC55A4" w:rsidRPr="00DC55A4" w:rsidP="00110DBE" w14:paraId="08FF9132" w14:textId="77777777">
            <w:pPr>
              <w:widowControl/>
              <w:autoSpaceDE/>
              <w:autoSpaceDN/>
              <w:adjustRightInd/>
              <w:ind w:hanging="360"/>
              <w:rPr>
                <w:rFonts w:ascii="Times New Roman" w:hAnsi="Times New Roman"/>
                <w:color w:val="000000"/>
                <w:sz w:val="22"/>
                <w:szCs w:val="22"/>
              </w:rPr>
            </w:pPr>
          </w:p>
        </w:tc>
        <w:tc>
          <w:tcPr>
            <w:tcW w:w="1578" w:type="dxa"/>
            <w:vMerge/>
            <w:tcBorders>
              <w:top w:val="nil"/>
              <w:left w:val="single" w:sz="12" w:space="0" w:color="auto"/>
              <w:bottom w:val="single" w:sz="12" w:space="0" w:color="000000"/>
              <w:right w:val="single" w:sz="12" w:space="0" w:color="auto"/>
            </w:tcBorders>
            <w:vAlign w:val="center"/>
            <w:hideMark/>
          </w:tcPr>
          <w:p w:rsidR="00DC55A4" w:rsidRPr="00DC55A4" w:rsidP="00110DBE" w14:paraId="4F71E648" w14:textId="77777777">
            <w:pPr>
              <w:widowControl/>
              <w:autoSpaceDE/>
              <w:autoSpaceDN/>
              <w:adjustRightInd/>
              <w:ind w:hanging="360"/>
              <w:rPr>
                <w:rFonts w:ascii="Times New Roman" w:hAnsi="Times New Roman"/>
                <w:color w:val="000000"/>
                <w:sz w:val="22"/>
                <w:szCs w:val="22"/>
              </w:rPr>
            </w:pPr>
          </w:p>
        </w:tc>
        <w:tc>
          <w:tcPr>
            <w:tcW w:w="222" w:type="dxa"/>
            <w:tcBorders>
              <w:top w:val="nil"/>
              <w:left w:val="nil"/>
              <w:bottom w:val="nil"/>
              <w:right w:val="nil"/>
            </w:tcBorders>
            <w:shd w:val="clear" w:color="auto" w:fill="auto"/>
            <w:noWrap/>
            <w:vAlign w:val="bottom"/>
            <w:hideMark/>
          </w:tcPr>
          <w:p w:rsidR="00DC55A4" w:rsidRPr="00DC55A4" w:rsidP="00110DBE" w14:paraId="5F9C3E0F" w14:textId="77777777">
            <w:pPr>
              <w:widowControl/>
              <w:autoSpaceDE/>
              <w:autoSpaceDN/>
              <w:adjustRightInd/>
              <w:ind w:hanging="360"/>
              <w:jc w:val="center"/>
              <w:rPr>
                <w:rFonts w:ascii="Times New Roman" w:hAnsi="Times New Roman"/>
                <w:color w:val="000000"/>
                <w:sz w:val="22"/>
                <w:szCs w:val="22"/>
              </w:rPr>
            </w:pPr>
          </w:p>
        </w:tc>
      </w:tr>
    </w:tbl>
    <w:p w:rsidR="00DC55A4" w:rsidP="00110DBE" w14:paraId="368899A4" w14:textId="77777777">
      <w:pPr>
        <w:pStyle w:val="ListParagraph"/>
        <w:ind w:left="0" w:hanging="360"/>
        <w:rPr>
          <w:rFonts w:ascii="Times New Roman" w:hAnsi="Times New Roman"/>
          <w:bCs/>
          <w:sz w:val="24"/>
          <w:szCs w:val="24"/>
        </w:rPr>
      </w:pPr>
    </w:p>
    <w:p w:rsidR="00DC55A4" w:rsidP="00110DBE" w14:paraId="2DE1ED42" w14:textId="7FFDAC5C">
      <w:pPr>
        <w:pStyle w:val="ListParagraph"/>
        <w:numPr>
          <w:ilvl w:val="0"/>
          <w:numId w:val="26"/>
        </w:numPr>
        <w:ind w:left="360"/>
        <w:rPr>
          <w:rFonts w:ascii="Times New Roman" w:hAnsi="Times New Roman"/>
          <w:b/>
          <w:sz w:val="24"/>
          <w:szCs w:val="24"/>
        </w:rPr>
      </w:pPr>
      <w:r w:rsidRPr="00295914">
        <w:rPr>
          <w:rFonts w:ascii="Times New Roman" w:hAnsi="Times New Roman"/>
          <w:b/>
          <w:sz w:val="24"/>
          <w:szCs w:val="24"/>
        </w:rPr>
        <w:t>Estimated Annualized Cost Burden</w:t>
      </w:r>
    </w:p>
    <w:p w:rsidR="00762FA6" w:rsidP="00110DBE" w14:paraId="2E2564DD" w14:textId="77777777">
      <w:pPr>
        <w:pStyle w:val="ListParagraph"/>
        <w:ind w:left="0" w:hanging="360"/>
        <w:rPr>
          <w:rFonts w:ascii="Times New Roman" w:hAnsi="Times New Roman"/>
          <w:b/>
          <w:sz w:val="24"/>
          <w:szCs w:val="24"/>
        </w:rPr>
      </w:pPr>
    </w:p>
    <w:p w:rsidR="00762FA6" w:rsidP="002F0A65" w14:paraId="3E2BEDE7" w14:textId="54CB63E4">
      <w:pPr>
        <w:pStyle w:val="ListParagraph"/>
        <w:ind w:left="360" w:hanging="360"/>
        <w:rPr>
          <w:rFonts w:ascii="Times New Roman" w:hAnsi="Times New Roman"/>
          <w:iCs/>
          <w:snapToGrid w:val="0"/>
          <w:sz w:val="24"/>
        </w:rPr>
      </w:pPr>
      <w:r>
        <w:rPr>
          <w:rFonts w:ascii="Times New Roman" w:hAnsi="Times New Roman"/>
          <w:iCs/>
          <w:snapToGrid w:val="0"/>
          <w:sz w:val="24"/>
        </w:rPr>
        <w:t xml:space="preserve">      </w:t>
      </w:r>
      <w:r w:rsidRPr="00762FA6">
        <w:rPr>
          <w:rFonts w:ascii="Times New Roman" w:hAnsi="Times New Roman"/>
          <w:iCs/>
          <w:snapToGrid w:val="0"/>
          <w:sz w:val="24"/>
        </w:rPr>
        <w:t>The Bureau of Labor and Statistics (BLS)</w:t>
      </w:r>
      <w:r>
        <w:rPr>
          <w:rFonts w:ascii="Times New Roman" w:hAnsi="Times New Roman"/>
          <w:iCs/>
          <w:snapToGrid w:val="0"/>
          <w:sz w:val="24"/>
          <w:vertAlign w:val="superscript"/>
        </w:rPr>
        <w:footnoteReference w:id="2"/>
      </w:r>
      <w:r>
        <w:rPr>
          <w:rFonts w:ascii="Times New Roman" w:hAnsi="Times New Roman"/>
          <w:iCs/>
          <w:snapToGrid w:val="0"/>
          <w:sz w:val="24"/>
        </w:rPr>
        <w:t xml:space="preserve"> estimates that the average wage for </w:t>
      </w:r>
      <w:r w:rsidRPr="00762FA6">
        <w:rPr>
          <w:rFonts w:ascii="Times New Roman" w:hAnsi="Times New Roman"/>
          <w:iCs/>
          <w:snapToGrid w:val="0"/>
          <w:sz w:val="24"/>
        </w:rPr>
        <w:t xml:space="preserve">claimant’s (seafarer) </w:t>
      </w:r>
      <w:r>
        <w:rPr>
          <w:rFonts w:ascii="Times New Roman" w:hAnsi="Times New Roman"/>
          <w:iCs/>
          <w:snapToGrid w:val="0"/>
          <w:sz w:val="24"/>
        </w:rPr>
        <w:t xml:space="preserve">lawyer (23-1011) is 87.86. </w:t>
      </w:r>
      <w:r w:rsidR="00562DFA">
        <w:rPr>
          <w:rFonts w:ascii="Times New Roman" w:hAnsi="Times New Roman"/>
          <w:iCs/>
          <w:snapToGrid w:val="0"/>
          <w:sz w:val="24"/>
        </w:rPr>
        <w:t xml:space="preserve"> </w:t>
      </w:r>
      <w:r w:rsidRPr="00762FA6">
        <w:rPr>
          <w:rFonts w:ascii="Times New Roman" w:hAnsi="Times New Roman"/>
          <w:iCs/>
          <w:snapToGrid w:val="0"/>
          <w:sz w:val="24"/>
        </w:rPr>
        <w:t>When combined the total compensation rate of 29%</w:t>
      </w:r>
      <w:r>
        <w:rPr>
          <w:rFonts w:ascii="Times New Roman" w:hAnsi="Times New Roman"/>
          <w:iCs/>
          <w:snapToGrid w:val="0"/>
          <w:sz w:val="24"/>
          <w:vertAlign w:val="superscript"/>
        </w:rPr>
        <w:footnoteReference w:id="3"/>
      </w:r>
      <w:r w:rsidRPr="00762FA6">
        <w:rPr>
          <w:rFonts w:ascii="Times New Roman" w:hAnsi="Times New Roman"/>
          <w:iCs/>
          <w:snapToGrid w:val="0"/>
          <w:sz w:val="24"/>
        </w:rPr>
        <w:t>, the annualized hourly rate is:</w:t>
      </w:r>
      <w:r w:rsidR="00F01504">
        <w:rPr>
          <w:rFonts w:ascii="Times New Roman" w:hAnsi="Times New Roman"/>
          <w:iCs/>
          <w:snapToGrid w:val="0"/>
          <w:sz w:val="24"/>
        </w:rPr>
        <w:t xml:space="preserve"> $113.34. </w:t>
      </w:r>
      <w:r w:rsidR="00562DFA">
        <w:rPr>
          <w:rFonts w:ascii="Times New Roman" w:hAnsi="Times New Roman"/>
          <w:iCs/>
          <w:snapToGrid w:val="0"/>
          <w:sz w:val="24"/>
        </w:rPr>
        <w:t xml:space="preserve"> </w:t>
      </w:r>
      <w:r w:rsidR="00F01504">
        <w:rPr>
          <w:rFonts w:ascii="Times New Roman" w:hAnsi="Times New Roman"/>
          <w:iCs/>
          <w:snapToGrid w:val="0"/>
          <w:sz w:val="24"/>
        </w:rPr>
        <w:t xml:space="preserve">Therefore, the annualized cost burden associated with all tasks involving preparing and submitting claims in reference to this collection is $ 21,307.92, which can be calculated as shown in the table below: </w:t>
      </w:r>
    </w:p>
    <w:p w:rsidR="00F01504" w:rsidP="002F0A65" w14:paraId="27B1CE1A" w14:textId="77777777">
      <w:pPr>
        <w:rPr>
          <w:rFonts w:ascii="Times New Roman" w:hAnsi="Times New Roman"/>
          <w:b/>
          <w:sz w:val="24"/>
          <w:szCs w:val="24"/>
        </w:rPr>
      </w:pPr>
    </w:p>
    <w:tbl>
      <w:tblPr>
        <w:tblW w:w="11340" w:type="dxa"/>
        <w:tblInd w:w="-8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800"/>
        <w:gridCol w:w="1530"/>
        <w:gridCol w:w="1800"/>
        <w:gridCol w:w="1365"/>
        <w:gridCol w:w="1573"/>
        <w:gridCol w:w="1292"/>
        <w:gridCol w:w="1980"/>
      </w:tblGrid>
      <w:tr w14:paraId="654ED697" w14:textId="77777777" w:rsidTr="00110DBE">
        <w:tblPrEx>
          <w:tblW w:w="11340" w:type="dxa"/>
          <w:tblInd w:w="-8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trHeight w:val="870"/>
        </w:trPr>
        <w:tc>
          <w:tcPr>
            <w:tcW w:w="1800" w:type="dxa"/>
            <w:shd w:val="clear" w:color="000000" w:fill="D0CECE"/>
            <w:vAlign w:val="center"/>
            <w:hideMark/>
          </w:tcPr>
          <w:p w:rsidR="00F01504" w:rsidRPr="00295914" w:rsidP="00110DBE" w14:paraId="61C61605" w14:textId="0DED4D65">
            <w:pPr>
              <w:widowControl/>
              <w:autoSpaceDE/>
              <w:autoSpaceDN/>
              <w:adjustRightInd/>
              <w:ind w:hanging="20"/>
              <w:jc w:val="center"/>
              <w:rPr>
                <w:rFonts w:ascii="Times New Roman" w:hAnsi="Times New Roman"/>
                <w:b/>
                <w:bCs/>
                <w:color w:val="000000" w:themeColor="text1"/>
                <w:sz w:val="22"/>
                <w:szCs w:val="22"/>
              </w:rPr>
            </w:pPr>
            <w:r w:rsidRPr="00295914">
              <w:rPr>
                <w:rFonts w:ascii="Times New Roman" w:hAnsi="Times New Roman"/>
                <w:b/>
                <w:bCs/>
                <w:color w:val="000000" w:themeColor="text1"/>
                <w:sz w:val="22"/>
                <w:szCs w:val="22"/>
              </w:rPr>
              <w:t>Title and Code of  Respondents</w:t>
            </w:r>
          </w:p>
        </w:tc>
        <w:tc>
          <w:tcPr>
            <w:tcW w:w="1530" w:type="dxa"/>
            <w:shd w:val="clear" w:color="000000" w:fill="D0CECE"/>
            <w:vAlign w:val="center"/>
            <w:hideMark/>
          </w:tcPr>
          <w:p w:rsidR="00110DBE" w:rsidP="00110DBE" w14:paraId="1B013EB1" w14:textId="77777777">
            <w:pPr>
              <w:widowControl/>
              <w:autoSpaceDE/>
              <w:autoSpaceDN/>
              <w:adjustRightInd/>
              <w:ind w:hanging="360"/>
              <w:jc w:val="center"/>
              <w:rPr>
                <w:rFonts w:ascii="Times New Roman" w:hAnsi="Times New Roman"/>
                <w:b/>
                <w:bCs/>
                <w:color w:val="000000" w:themeColor="text1"/>
                <w:sz w:val="22"/>
                <w:szCs w:val="22"/>
              </w:rPr>
            </w:pPr>
            <w:r w:rsidRPr="00295914">
              <w:rPr>
                <w:rFonts w:ascii="Times New Roman" w:hAnsi="Times New Roman"/>
                <w:b/>
                <w:bCs/>
                <w:color w:val="000000" w:themeColor="text1"/>
                <w:sz w:val="22"/>
                <w:szCs w:val="22"/>
              </w:rPr>
              <w:t xml:space="preserve">Hourly </w:t>
            </w:r>
          </w:p>
          <w:p w:rsidR="00F01504" w:rsidRPr="00295914" w:rsidP="00110DBE" w14:paraId="0747B628" w14:textId="099B0451">
            <w:pPr>
              <w:widowControl/>
              <w:autoSpaceDE/>
              <w:autoSpaceDN/>
              <w:adjustRightInd/>
              <w:ind w:hanging="360"/>
              <w:jc w:val="center"/>
              <w:rPr>
                <w:rFonts w:ascii="Times New Roman" w:hAnsi="Times New Roman"/>
                <w:b/>
                <w:bCs/>
                <w:color w:val="000000" w:themeColor="text1"/>
                <w:sz w:val="22"/>
                <w:szCs w:val="22"/>
              </w:rPr>
            </w:pPr>
            <w:r w:rsidRPr="00295914">
              <w:rPr>
                <w:rFonts w:ascii="Times New Roman" w:hAnsi="Times New Roman"/>
                <w:b/>
                <w:bCs/>
                <w:color w:val="000000" w:themeColor="text1"/>
                <w:sz w:val="22"/>
                <w:szCs w:val="22"/>
              </w:rPr>
              <w:t>Wage</w:t>
            </w:r>
          </w:p>
        </w:tc>
        <w:tc>
          <w:tcPr>
            <w:tcW w:w="1800" w:type="dxa"/>
            <w:shd w:val="clear" w:color="000000" w:fill="D0CECE"/>
            <w:vAlign w:val="center"/>
            <w:hideMark/>
          </w:tcPr>
          <w:p w:rsidR="00F01504" w:rsidRPr="00295914" w:rsidP="00110DBE" w14:paraId="6523C511" w14:textId="28EAE422">
            <w:pPr>
              <w:widowControl/>
              <w:autoSpaceDE/>
              <w:autoSpaceDN/>
              <w:adjustRightInd/>
              <w:ind w:left="160" w:hanging="360"/>
              <w:jc w:val="center"/>
              <w:rPr>
                <w:rFonts w:ascii="Times New Roman" w:hAnsi="Times New Roman"/>
                <w:b/>
                <w:bCs/>
                <w:color w:val="000000" w:themeColor="text1"/>
                <w:sz w:val="22"/>
                <w:szCs w:val="22"/>
              </w:rPr>
            </w:pPr>
            <w:r w:rsidRPr="00295914">
              <w:rPr>
                <w:rFonts w:ascii="Times New Roman" w:hAnsi="Times New Roman"/>
                <w:b/>
                <w:bCs/>
                <w:color w:val="000000" w:themeColor="text1"/>
                <w:sz w:val="22"/>
                <w:szCs w:val="22"/>
              </w:rPr>
              <w:t>Compensation Rate of 29%</w:t>
            </w:r>
          </w:p>
        </w:tc>
        <w:tc>
          <w:tcPr>
            <w:tcW w:w="1365" w:type="dxa"/>
            <w:shd w:val="clear" w:color="000000" w:fill="D0CECE"/>
            <w:vAlign w:val="center"/>
            <w:hideMark/>
          </w:tcPr>
          <w:p w:rsidR="00F01504" w:rsidRPr="00295914" w:rsidP="00110DBE" w14:paraId="284C0148" w14:textId="3E4C59BF">
            <w:pPr>
              <w:widowControl/>
              <w:autoSpaceDE/>
              <w:autoSpaceDN/>
              <w:adjustRightInd/>
              <w:ind w:hanging="20"/>
              <w:jc w:val="center"/>
              <w:rPr>
                <w:rFonts w:ascii="Times New Roman" w:hAnsi="Times New Roman"/>
                <w:b/>
                <w:bCs/>
                <w:color w:val="000000" w:themeColor="text1"/>
                <w:sz w:val="22"/>
                <w:szCs w:val="22"/>
              </w:rPr>
            </w:pPr>
            <w:r w:rsidRPr="00295914">
              <w:rPr>
                <w:rFonts w:ascii="Times New Roman" w:hAnsi="Times New Roman"/>
                <w:b/>
                <w:bCs/>
                <w:color w:val="000000" w:themeColor="text1"/>
                <w:sz w:val="22"/>
                <w:szCs w:val="22"/>
              </w:rPr>
              <w:t>Number of Employees</w:t>
            </w:r>
          </w:p>
        </w:tc>
        <w:tc>
          <w:tcPr>
            <w:tcW w:w="1573" w:type="dxa"/>
            <w:shd w:val="clear" w:color="000000" w:fill="D0CECE"/>
            <w:vAlign w:val="center"/>
            <w:hideMark/>
          </w:tcPr>
          <w:p w:rsidR="00F01504" w:rsidRPr="00295914" w:rsidP="00110DBE" w14:paraId="06D9F469" w14:textId="77777777">
            <w:pPr>
              <w:widowControl/>
              <w:autoSpaceDE/>
              <w:autoSpaceDN/>
              <w:adjustRightInd/>
              <w:ind w:hanging="360"/>
              <w:jc w:val="center"/>
              <w:rPr>
                <w:rFonts w:ascii="Times New Roman" w:hAnsi="Times New Roman"/>
                <w:b/>
                <w:bCs/>
                <w:color w:val="000000" w:themeColor="text1"/>
                <w:sz w:val="22"/>
                <w:szCs w:val="22"/>
              </w:rPr>
            </w:pPr>
            <w:r w:rsidRPr="00295914">
              <w:rPr>
                <w:rFonts w:ascii="Times New Roman" w:hAnsi="Times New Roman"/>
                <w:b/>
                <w:bCs/>
                <w:color w:val="000000" w:themeColor="text1"/>
                <w:sz w:val="22"/>
                <w:szCs w:val="22"/>
              </w:rPr>
              <w:t>Total Compensation Rate for Each Respondent</w:t>
            </w:r>
          </w:p>
        </w:tc>
        <w:tc>
          <w:tcPr>
            <w:tcW w:w="1292" w:type="dxa"/>
            <w:shd w:val="clear" w:color="000000" w:fill="D0CECE"/>
            <w:vAlign w:val="center"/>
            <w:hideMark/>
          </w:tcPr>
          <w:p w:rsidR="00F01504" w:rsidRPr="00295914" w:rsidP="00110DBE" w14:paraId="72821E08" w14:textId="77777777">
            <w:pPr>
              <w:widowControl/>
              <w:autoSpaceDE/>
              <w:autoSpaceDN/>
              <w:adjustRightInd/>
              <w:ind w:hanging="360"/>
              <w:jc w:val="center"/>
              <w:rPr>
                <w:rFonts w:ascii="Times New Roman" w:hAnsi="Times New Roman"/>
                <w:b/>
                <w:bCs/>
                <w:color w:val="000000" w:themeColor="text1"/>
                <w:sz w:val="22"/>
                <w:szCs w:val="22"/>
              </w:rPr>
            </w:pPr>
            <w:r w:rsidRPr="00295914">
              <w:rPr>
                <w:rFonts w:ascii="Times New Roman" w:hAnsi="Times New Roman"/>
                <w:b/>
                <w:bCs/>
                <w:color w:val="000000" w:themeColor="text1"/>
                <w:sz w:val="22"/>
                <w:szCs w:val="22"/>
              </w:rPr>
              <w:t>Total Annualized Burden Hours</w:t>
            </w:r>
          </w:p>
        </w:tc>
        <w:tc>
          <w:tcPr>
            <w:tcW w:w="1980" w:type="dxa"/>
            <w:shd w:val="clear" w:color="000000" w:fill="D0CECE"/>
            <w:vAlign w:val="center"/>
            <w:hideMark/>
          </w:tcPr>
          <w:p w:rsidR="00110DBE" w:rsidP="00110DBE" w14:paraId="26FBF3B7" w14:textId="77777777">
            <w:pPr>
              <w:widowControl/>
              <w:autoSpaceDE/>
              <w:autoSpaceDN/>
              <w:adjustRightInd/>
              <w:ind w:hanging="20"/>
              <w:jc w:val="center"/>
              <w:rPr>
                <w:rFonts w:ascii="Times New Roman" w:hAnsi="Times New Roman"/>
                <w:b/>
                <w:bCs/>
                <w:color w:val="000000" w:themeColor="text1"/>
                <w:sz w:val="22"/>
                <w:szCs w:val="22"/>
              </w:rPr>
            </w:pPr>
            <w:r w:rsidRPr="00295914">
              <w:rPr>
                <w:rFonts w:ascii="Times New Roman" w:hAnsi="Times New Roman"/>
                <w:b/>
                <w:bCs/>
                <w:color w:val="000000" w:themeColor="text1"/>
                <w:sz w:val="22"/>
                <w:szCs w:val="22"/>
              </w:rPr>
              <w:t>Total Annualized</w:t>
            </w:r>
          </w:p>
          <w:p w:rsidR="00F01504" w:rsidRPr="00295914" w:rsidP="00110DBE" w14:paraId="04C71A76" w14:textId="6BA1530C">
            <w:pPr>
              <w:widowControl/>
              <w:autoSpaceDE/>
              <w:autoSpaceDN/>
              <w:adjustRightInd/>
              <w:ind w:left="70" w:hanging="430"/>
              <w:jc w:val="center"/>
              <w:rPr>
                <w:rFonts w:ascii="Times New Roman" w:hAnsi="Times New Roman"/>
                <w:b/>
                <w:bCs/>
                <w:color w:val="000000" w:themeColor="text1"/>
                <w:sz w:val="22"/>
                <w:szCs w:val="22"/>
              </w:rPr>
            </w:pPr>
            <w:r w:rsidRPr="00295914">
              <w:rPr>
                <w:rFonts w:ascii="Times New Roman" w:hAnsi="Times New Roman"/>
                <w:b/>
                <w:bCs/>
                <w:color w:val="000000" w:themeColor="text1"/>
                <w:sz w:val="22"/>
                <w:szCs w:val="22"/>
              </w:rPr>
              <w:t xml:space="preserve"> Cost Burden</w:t>
            </w:r>
          </w:p>
        </w:tc>
      </w:tr>
      <w:tr w14:paraId="008FCDFC" w14:textId="77777777" w:rsidTr="00110DBE">
        <w:tblPrEx>
          <w:tblW w:w="11340" w:type="dxa"/>
          <w:tblInd w:w="-825" w:type="dxa"/>
          <w:tblLook w:val="04A0"/>
        </w:tblPrEx>
        <w:trPr>
          <w:trHeight w:val="315"/>
        </w:trPr>
        <w:tc>
          <w:tcPr>
            <w:tcW w:w="1800" w:type="dxa"/>
            <w:shd w:val="clear" w:color="auto" w:fill="auto"/>
            <w:vAlign w:val="center"/>
            <w:hideMark/>
          </w:tcPr>
          <w:p w:rsidR="00F01504" w:rsidRPr="00295914" w:rsidP="00110DBE" w14:paraId="1C8B41C3" w14:textId="06E55825">
            <w:pPr>
              <w:widowControl/>
              <w:autoSpaceDE/>
              <w:autoSpaceDN/>
              <w:adjustRightInd/>
              <w:ind w:hanging="110"/>
              <w:jc w:val="center"/>
              <w:rPr>
                <w:rFonts w:ascii="Times New Roman" w:hAnsi="Times New Roman"/>
                <w:color w:val="000000" w:themeColor="text1"/>
                <w:sz w:val="22"/>
                <w:szCs w:val="22"/>
              </w:rPr>
            </w:pPr>
            <w:r w:rsidRPr="00295914">
              <w:rPr>
                <w:rFonts w:ascii="Times New Roman" w:hAnsi="Times New Roman"/>
                <w:color w:val="000000" w:themeColor="text1"/>
                <w:sz w:val="22"/>
                <w:szCs w:val="22"/>
              </w:rPr>
              <w:t>Lawyer</w:t>
            </w:r>
            <w:r w:rsidR="00110DBE">
              <w:rPr>
                <w:rFonts w:ascii="Times New Roman" w:hAnsi="Times New Roman"/>
                <w:color w:val="000000" w:themeColor="text1"/>
                <w:sz w:val="22"/>
                <w:szCs w:val="22"/>
              </w:rPr>
              <w:t xml:space="preserve"> </w:t>
            </w:r>
            <w:r w:rsidRPr="00295914">
              <w:rPr>
                <w:rFonts w:ascii="Times New Roman" w:hAnsi="Times New Roman"/>
                <w:color w:val="000000" w:themeColor="text1"/>
                <w:sz w:val="22"/>
                <w:szCs w:val="22"/>
              </w:rPr>
              <w:t>(23 -1021)</w:t>
            </w:r>
          </w:p>
        </w:tc>
        <w:tc>
          <w:tcPr>
            <w:tcW w:w="1530" w:type="dxa"/>
            <w:shd w:val="clear" w:color="auto" w:fill="auto"/>
            <w:noWrap/>
            <w:vAlign w:val="center"/>
            <w:hideMark/>
          </w:tcPr>
          <w:p w:rsidR="00F01504" w:rsidRPr="00295914" w:rsidP="00110DBE" w14:paraId="2566A6B0" w14:textId="4CA15CD3">
            <w:pPr>
              <w:widowControl/>
              <w:autoSpaceDE/>
              <w:autoSpaceDN/>
              <w:adjustRightInd/>
              <w:ind w:hanging="360"/>
              <w:jc w:val="center"/>
              <w:rPr>
                <w:rFonts w:ascii="Times New Roman" w:hAnsi="Times New Roman"/>
                <w:color w:val="000000" w:themeColor="text1"/>
                <w:sz w:val="22"/>
                <w:szCs w:val="22"/>
              </w:rPr>
            </w:pPr>
            <w:r w:rsidRPr="00295914">
              <w:rPr>
                <w:rFonts w:ascii="Times New Roman" w:hAnsi="Times New Roman"/>
                <w:color w:val="000000" w:themeColor="text1"/>
                <w:sz w:val="22"/>
                <w:szCs w:val="22"/>
              </w:rPr>
              <w:t>$ 87.86</w:t>
            </w:r>
          </w:p>
        </w:tc>
        <w:tc>
          <w:tcPr>
            <w:tcW w:w="1800" w:type="dxa"/>
            <w:shd w:val="clear" w:color="auto" w:fill="auto"/>
            <w:noWrap/>
            <w:vAlign w:val="center"/>
            <w:hideMark/>
          </w:tcPr>
          <w:p w:rsidR="00F01504" w:rsidRPr="00295914" w:rsidP="00110DBE" w14:paraId="6E158766" w14:textId="03782A2A">
            <w:pPr>
              <w:widowControl/>
              <w:autoSpaceDE/>
              <w:autoSpaceDN/>
              <w:adjustRightInd/>
              <w:ind w:left="70" w:hanging="360"/>
              <w:jc w:val="center"/>
              <w:rPr>
                <w:rFonts w:ascii="Times New Roman" w:hAnsi="Times New Roman"/>
                <w:color w:val="000000" w:themeColor="text1"/>
                <w:sz w:val="22"/>
                <w:szCs w:val="22"/>
              </w:rPr>
            </w:pPr>
            <w:r w:rsidRPr="00295914">
              <w:rPr>
                <w:rFonts w:ascii="Times New Roman" w:hAnsi="Times New Roman"/>
                <w:color w:val="000000" w:themeColor="text1"/>
                <w:sz w:val="22"/>
                <w:szCs w:val="22"/>
              </w:rPr>
              <w:t>$ 113.34</w:t>
            </w:r>
          </w:p>
        </w:tc>
        <w:tc>
          <w:tcPr>
            <w:tcW w:w="1365" w:type="dxa"/>
            <w:shd w:val="clear" w:color="auto" w:fill="auto"/>
            <w:noWrap/>
            <w:vAlign w:val="center"/>
            <w:hideMark/>
          </w:tcPr>
          <w:p w:rsidR="00F01504" w:rsidRPr="00295914" w:rsidP="00110DBE" w14:paraId="4AF84F9C" w14:textId="77777777">
            <w:pPr>
              <w:widowControl/>
              <w:autoSpaceDE/>
              <w:autoSpaceDN/>
              <w:adjustRightInd/>
              <w:ind w:hanging="360"/>
              <w:jc w:val="center"/>
              <w:rPr>
                <w:rFonts w:ascii="Times New Roman" w:hAnsi="Times New Roman"/>
                <w:color w:val="000000" w:themeColor="text1"/>
                <w:sz w:val="22"/>
                <w:szCs w:val="22"/>
              </w:rPr>
            </w:pPr>
            <w:r w:rsidRPr="00295914">
              <w:rPr>
                <w:rFonts w:ascii="Times New Roman" w:hAnsi="Times New Roman"/>
                <w:color w:val="000000" w:themeColor="text1"/>
                <w:sz w:val="22"/>
                <w:szCs w:val="22"/>
              </w:rPr>
              <w:t>1</w:t>
            </w:r>
          </w:p>
        </w:tc>
        <w:tc>
          <w:tcPr>
            <w:tcW w:w="1573" w:type="dxa"/>
            <w:shd w:val="clear" w:color="auto" w:fill="auto"/>
            <w:noWrap/>
            <w:vAlign w:val="center"/>
            <w:hideMark/>
          </w:tcPr>
          <w:p w:rsidR="00F01504" w:rsidRPr="00295914" w:rsidP="00110DBE" w14:paraId="331301BE" w14:textId="0A858DCE">
            <w:pPr>
              <w:widowControl/>
              <w:autoSpaceDE/>
              <w:autoSpaceDN/>
              <w:adjustRightInd/>
              <w:ind w:hanging="360"/>
              <w:jc w:val="center"/>
              <w:rPr>
                <w:rFonts w:ascii="Times New Roman" w:hAnsi="Times New Roman"/>
                <w:color w:val="000000" w:themeColor="text1"/>
                <w:sz w:val="22"/>
                <w:szCs w:val="22"/>
              </w:rPr>
            </w:pPr>
            <w:r w:rsidRPr="00295914">
              <w:rPr>
                <w:rFonts w:ascii="Times New Roman" w:hAnsi="Times New Roman"/>
                <w:color w:val="000000" w:themeColor="text1"/>
                <w:sz w:val="22"/>
                <w:szCs w:val="22"/>
              </w:rPr>
              <w:t>$  113.34</w:t>
            </w:r>
          </w:p>
        </w:tc>
        <w:tc>
          <w:tcPr>
            <w:tcW w:w="1292" w:type="dxa"/>
            <w:shd w:val="clear" w:color="auto" w:fill="auto"/>
            <w:noWrap/>
            <w:vAlign w:val="center"/>
            <w:hideMark/>
          </w:tcPr>
          <w:p w:rsidR="00F01504" w:rsidRPr="00295914" w:rsidP="00110DBE" w14:paraId="7B36A957" w14:textId="77777777">
            <w:pPr>
              <w:widowControl/>
              <w:autoSpaceDE/>
              <w:autoSpaceDN/>
              <w:adjustRightInd/>
              <w:ind w:hanging="360"/>
              <w:jc w:val="center"/>
              <w:rPr>
                <w:rFonts w:ascii="Times New Roman" w:hAnsi="Times New Roman"/>
                <w:color w:val="000000" w:themeColor="text1"/>
                <w:sz w:val="22"/>
                <w:szCs w:val="22"/>
              </w:rPr>
            </w:pPr>
            <w:r w:rsidRPr="00295914">
              <w:rPr>
                <w:rFonts w:ascii="Times New Roman" w:hAnsi="Times New Roman"/>
                <w:color w:val="000000" w:themeColor="text1"/>
                <w:sz w:val="22"/>
                <w:szCs w:val="22"/>
              </w:rPr>
              <w:t>188</w:t>
            </w:r>
          </w:p>
        </w:tc>
        <w:tc>
          <w:tcPr>
            <w:tcW w:w="1980" w:type="dxa"/>
            <w:shd w:val="clear" w:color="auto" w:fill="auto"/>
            <w:noWrap/>
            <w:vAlign w:val="center"/>
            <w:hideMark/>
          </w:tcPr>
          <w:p w:rsidR="00F01504" w:rsidRPr="00295914" w:rsidP="00110DBE" w14:paraId="7B0B6E34" w14:textId="03C6889F">
            <w:pPr>
              <w:widowControl/>
              <w:autoSpaceDE/>
              <w:autoSpaceDN/>
              <w:adjustRightInd/>
              <w:ind w:hanging="360"/>
              <w:jc w:val="center"/>
              <w:rPr>
                <w:rFonts w:ascii="Times New Roman" w:hAnsi="Times New Roman"/>
                <w:color w:val="000000" w:themeColor="text1"/>
                <w:sz w:val="22"/>
                <w:szCs w:val="22"/>
              </w:rPr>
            </w:pPr>
            <w:r w:rsidRPr="00295914">
              <w:rPr>
                <w:rFonts w:ascii="Times New Roman" w:hAnsi="Times New Roman"/>
                <w:color w:val="000000" w:themeColor="text1"/>
                <w:sz w:val="22"/>
                <w:szCs w:val="22"/>
              </w:rPr>
              <w:t>$   21,307.92</w:t>
            </w:r>
          </w:p>
        </w:tc>
      </w:tr>
    </w:tbl>
    <w:p w:rsidR="0004749E" w:rsidRPr="00295914" w:rsidP="00110DBE" w14:paraId="3CB6417A" w14:textId="3A55A682">
      <w:pPr>
        <w:pStyle w:val="ListParagraph"/>
        <w:numPr>
          <w:ilvl w:val="0"/>
          <w:numId w:val="23"/>
        </w:numPr>
        <w:ind w:left="0"/>
        <w:rPr>
          <w:rFonts w:ascii="Times New Roman" w:hAnsi="Times New Roman"/>
          <w:b/>
        </w:rPr>
      </w:pPr>
      <w:r w:rsidRPr="00295914">
        <w:rPr>
          <w:rFonts w:ascii="Times New Roman" w:hAnsi="Times New Roman"/>
          <w:b/>
          <w:sz w:val="24"/>
          <w:szCs w:val="24"/>
        </w:rPr>
        <w:t>Estimate of</w:t>
      </w:r>
      <w:r w:rsidRPr="00295914" w:rsidR="003A109D">
        <w:rPr>
          <w:rFonts w:ascii="Times New Roman" w:hAnsi="Times New Roman"/>
          <w:b/>
          <w:sz w:val="24"/>
          <w:szCs w:val="24"/>
        </w:rPr>
        <w:t xml:space="preserve"> the</w:t>
      </w:r>
      <w:r w:rsidRPr="00295914">
        <w:rPr>
          <w:rFonts w:ascii="Times New Roman" w:hAnsi="Times New Roman"/>
          <w:b/>
          <w:sz w:val="24"/>
          <w:szCs w:val="24"/>
        </w:rPr>
        <w:t xml:space="preserve"> </w:t>
      </w:r>
      <w:r w:rsidRPr="00295914" w:rsidR="003A109D">
        <w:rPr>
          <w:rFonts w:ascii="Times New Roman" w:hAnsi="Times New Roman"/>
          <w:b/>
          <w:sz w:val="24"/>
          <w:szCs w:val="24"/>
        </w:rPr>
        <w:t>T</w:t>
      </w:r>
      <w:r w:rsidRPr="00295914">
        <w:rPr>
          <w:rFonts w:ascii="Times New Roman" w:hAnsi="Times New Roman"/>
          <w:b/>
          <w:sz w:val="24"/>
          <w:szCs w:val="24"/>
        </w:rPr>
        <w:t xml:space="preserve">otal </w:t>
      </w:r>
      <w:r w:rsidRPr="00295914" w:rsidR="003A109D">
        <w:rPr>
          <w:rFonts w:ascii="Times New Roman" w:hAnsi="Times New Roman"/>
          <w:b/>
          <w:sz w:val="24"/>
          <w:szCs w:val="24"/>
        </w:rPr>
        <w:t xml:space="preserve">Annual Cost Burden </w:t>
      </w:r>
      <w:r w:rsidRPr="00295914">
        <w:rPr>
          <w:rFonts w:ascii="Times New Roman" w:hAnsi="Times New Roman"/>
          <w:b/>
          <w:sz w:val="24"/>
          <w:szCs w:val="24"/>
        </w:rPr>
        <w:t xml:space="preserve">to </w:t>
      </w:r>
      <w:r w:rsidRPr="00295914" w:rsidR="003A109D">
        <w:rPr>
          <w:rFonts w:ascii="Times New Roman" w:hAnsi="Times New Roman"/>
          <w:b/>
          <w:sz w:val="24"/>
          <w:szCs w:val="24"/>
        </w:rPr>
        <w:t>R</w:t>
      </w:r>
      <w:r w:rsidRPr="00295914">
        <w:rPr>
          <w:rFonts w:ascii="Times New Roman" w:hAnsi="Times New Roman"/>
          <w:b/>
          <w:sz w:val="24"/>
          <w:szCs w:val="24"/>
        </w:rPr>
        <w:t>espondents</w:t>
      </w:r>
      <w:r w:rsidRPr="00295914" w:rsidR="003A109D">
        <w:rPr>
          <w:rFonts w:ascii="Times New Roman" w:hAnsi="Times New Roman"/>
          <w:b/>
          <w:sz w:val="24"/>
          <w:szCs w:val="24"/>
        </w:rPr>
        <w:t xml:space="preserve"> or Recordkeepers</w:t>
      </w:r>
      <w:r w:rsidRPr="00295914" w:rsidR="00105F8E">
        <w:rPr>
          <w:rFonts w:ascii="Times New Roman" w:hAnsi="Times New Roman"/>
          <w:b/>
          <w:sz w:val="24"/>
          <w:szCs w:val="24"/>
        </w:rPr>
        <w:t xml:space="preserve">  </w:t>
      </w:r>
    </w:p>
    <w:p w:rsidR="008D553C" w:rsidRPr="00295914" w:rsidP="00110DBE" w14:paraId="36FAAFBA" w14:textId="77777777">
      <w:pPr>
        <w:ind w:hanging="360"/>
        <w:rPr>
          <w:rFonts w:ascii="Times New Roman" w:hAnsi="Times New Roman"/>
          <w:b/>
          <w:sz w:val="24"/>
          <w:szCs w:val="24"/>
        </w:rPr>
      </w:pPr>
    </w:p>
    <w:p w:rsidR="002F0A65" w:rsidP="002F0A65" w14:paraId="72A09D6B" w14:textId="77777777">
      <w:pPr>
        <w:pStyle w:val="ListParagraph"/>
        <w:numPr>
          <w:ilvl w:val="0"/>
          <w:numId w:val="27"/>
        </w:numPr>
        <w:ind w:left="0" w:firstLine="0"/>
        <w:rPr>
          <w:rFonts w:ascii="Times New Roman" w:hAnsi="Times New Roman"/>
          <w:sz w:val="24"/>
          <w:szCs w:val="24"/>
        </w:rPr>
      </w:pPr>
      <w:r w:rsidRPr="00295914">
        <w:rPr>
          <w:rFonts w:ascii="Times New Roman" w:hAnsi="Times New Roman"/>
          <w:b/>
          <w:bCs/>
          <w:sz w:val="24"/>
          <w:szCs w:val="24"/>
          <w:u w:val="single"/>
        </w:rPr>
        <w:t>Total Capital and Start-Up Costs Estimate</w:t>
      </w:r>
      <w:r w:rsidRPr="00295914">
        <w:rPr>
          <w:rFonts w:ascii="Times New Roman" w:hAnsi="Times New Roman"/>
          <w:sz w:val="24"/>
          <w:szCs w:val="24"/>
        </w:rPr>
        <w:t xml:space="preserve">:  There are no capital or start-up costs </w:t>
      </w:r>
    </w:p>
    <w:p w:rsidR="008D553C" w:rsidRPr="00295914" w:rsidP="002F0A65" w14:paraId="4FC3B397" w14:textId="313C5549">
      <w:pPr>
        <w:pStyle w:val="ListParagraph"/>
        <w:ind w:left="0" w:firstLine="720"/>
        <w:rPr>
          <w:rFonts w:ascii="Times New Roman" w:hAnsi="Times New Roman"/>
          <w:sz w:val="24"/>
          <w:szCs w:val="24"/>
        </w:rPr>
      </w:pPr>
      <w:r w:rsidRPr="00295914">
        <w:rPr>
          <w:rFonts w:ascii="Times New Roman" w:hAnsi="Times New Roman"/>
          <w:sz w:val="24"/>
          <w:szCs w:val="24"/>
        </w:rPr>
        <w:t>associated with this information collection.</w:t>
      </w:r>
    </w:p>
    <w:p w:rsidR="00A75A5B" w:rsidRPr="00220568" w:rsidP="00110DBE" w14:paraId="21CD75A2" w14:textId="77777777">
      <w:pPr>
        <w:ind w:hanging="360"/>
        <w:rPr>
          <w:rFonts w:ascii="Times New Roman" w:hAnsi="Times New Roman"/>
          <w:sz w:val="24"/>
          <w:szCs w:val="24"/>
        </w:rPr>
      </w:pPr>
    </w:p>
    <w:p w:rsidR="002F0A65" w:rsidP="002F0A65" w14:paraId="621EAE05" w14:textId="77777777">
      <w:pPr>
        <w:numPr>
          <w:ilvl w:val="0"/>
          <w:numId w:val="27"/>
        </w:numPr>
        <w:tabs>
          <w:tab w:val="left" w:pos="-720"/>
          <w:tab w:val="left" w:pos="0"/>
        </w:tabs>
        <w:suppressAutoHyphens/>
        <w:autoSpaceDE/>
        <w:autoSpaceDN/>
        <w:adjustRightInd/>
        <w:ind w:left="0" w:firstLine="0"/>
        <w:rPr>
          <w:rFonts w:ascii="Times New Roman" w:hAnsi="Times New Roman"/>
          <w:sz w:val="24"/>
          <w:szCs w:val="24"/>
        </w:rPr>
      </w:pPr>
      <w:r w:rsidRPr="00295914">
        <w:rPr>
          <w:rFonts w:ascii="Times New Roman" w:hAnsi="Times New Roman"/>
          <w:b/>
          <w:bCs/>
          <w:sz w:val="24"/>
          <w:szCs w:val="24"/>
          <w:u w:val="single"/>
        </w:rPr>
        <w:t>Total Operation and Maintenance and Purchase of Services Estimate</w:t>
      </w:r>
      <w:r w:rsidRPr="00295914">
        <w:rPr>
          <w:rFonts w:ascii="Times New Roman" w:hAnsi="Times New Roman"/>
          <w:b/>
          <w:bCs/>
          <w:sz w:val="24"/>
          <w:szCs w:val="24"/>
        </w:rPr>
        <w:t>:</w:t>
      </w:r>
      <w:r w:rsidRPr="00F03327">
        <w:rPr>
          <w:rFonts w:ascii="Times New Roman" w:hAnsi="Times New Roman"/>
          <w:sz w:val="24"/>
          <w:szCs w:val="24"/>
        </w:rPr>
        <w:t xml:space="preserve"> </w:t>
      </w:r>
      <w:r w:rsidRPr="00F03327" w:rsidR="00F03327">
        <w:rPr>
          <w:rFonts w:ascii="Times New Roman" w:hAnsi="Times New Roman"/>
          <w:sz w:val="24"/>
          <w:szCs w:val="24"/>
        </w:rPr>
        <w:t xml:space="preserve"> </w:t>
      </w:r>
      <w:r w:rsidR="00C630F0">
        <w:rPr>
          <w:rFonts w:ascii="Times New Roman" w:hAnsi="Times New Roman"/>
          <w:sz w:val="24"/>
          <w:szCs w:val="24"/>
        </w:rPr>
        <w:t>There are no</w:t>
      </w:r>
      <w:r w:rsidR="003A109D">
        <w:rPr>
          <w:rFonts w:ascii="Times New Roman" w:hAnsi="Times New Roman"/>
          <w:sz w:val="24"/>
          <w:szCs w:val="24"/>
        </w:rPr>
        <w:t xml:space="preserve"> </w:t>
      </w:r>
    </w:p>
    <w:p w:rsidR="008D553C" w:rsidRPr="00295914" w:rsidP="002F0A65" w14:paraId="7C75333B" w14:textId="776D2549">
      <w:pPr>
        <w:tabs>
          <w:tab w:val="left" w:pos="-720"/>
          <w:tab w:val="left" w:pos="0"/>
        </w:tabs>
        <w:suppressAutoHyphens/>
        <w:autoSpaceDE/>
        <w:autoSpaceDN/>
        <w:adjustRightInd/>
        <w:rPr>
          <w:rFonts w:ascii="Times New Roman" w:hAnsi="Times New Roman"/>
          <w:sz w:val="24"/>
          <w:szCs w:val="24"/>
        </w:rPr>
      </w:pPr>
      <w:r>
        <w:rPr>
          <w:rFonts w:ascii="Times New Roman" w:hAnsi="Times New Roman"/>
          <w:sz w:val="24"/>
          <w:szCs w:val="24"/>
        </w:rPr>
        <w:tab/>
      </w:r>
      <w:r w:rsidRPr="00295914">
        <w:rPr>
          <w:rFonts w:ascii="Times New Roman" w:hAnsi="Times New Roman"/>
          <w:sz w:val="24"/>
          <w:szCs w:val="24"/>
        </w:rPr>
        <w:t>operation and maintenance costs associated with this information collection.</w:t>
      </w:r>
    </w:p>
    <w:p w:rsidR="00F03327" w:rsidP="00110DBE" w14:paraId="373B636F" w14:textId="77777777">
      <w:pPr>
        <w:ind w:hanging="360"/>
        <w:rPr>
          <w:rFonts w:ascii="Times New Roman" w:hAnsi="Times New Roman"/>
          <w:bCs/>
          <w:sz w:val="24"/>
          <w:szCs w:val="24"/>
        </w:rPr>
      </w:pPr>
    </w:p>
    <w:p w:rsidR="00105F8E" w:rsidRPr="00295914" w:rsidP="00110DBE" w14:paraId="7C625CAE" w14:textId="310209D9">
      <w:pPr>
        <w:pStyle w:val="ListParagraph"/>
        <w:numPr>
          <w:ilvl w:val="0"/>
          <w:numId w:val="23"/>
        </w:numPr>
        <w:ind w:left="0"/>
        <w:rPr>
          <w:rFonts w:ascii="Times New Roman" w:hAnsi="Times New Roman"/>
          <w:b/>
          <w:sz w:val="24"/>
          <w:szCs w:val="24"/>
        </w:rPr>
      </w:pPr>
      <w:r w:rsidRPr="00295914">
        <w:rPr>
          <w:rFonts w:ascii="Times New Roman" w:hAnsi="Times New Roman"/>
          <w:b/>
          <w:sz w:val="24"/>
          <w:szCs w:val="24"/>
        </w:rPr>
        <w:t xml:space="preserve">Estimate of Federal </w:t>
      </w:r>
      <w:r w:rsidRPr="00295914" w:rsidR="003A109D">
        <w:rPr>
          <w:rFonts w:ascii="Times New Roman" w:hAnsi="Times New Roman"/>
          <w:b/>
          <w:sz w:val="24"/>
          <w:szCs w:val="24"/>
        </w:rPr>
        <w:t>Government Costs</w:t>
      </w:r>
      <w:r w:rsidRPr="00295914">
        <w:rPr>
          <w:rFonts w:ascii="Times New Roman" w:hAnsi="Times New Roman"/>
          <w:b/>
          <w:sz w:val="24"/>
          <w:szCs w:val="24"/>
        </w:rPr>
        <w:t xml:space="preserve"> </w:t>
      </w:r>
      <w:r w:rsidRPr="00295914" w:rsidR="009D4F72">
        <w:rPr>
          <w:rFonts w:ascii="Times New Roman" w:hAnsi="Times New Roman"/>
          <w:b/>
          <w:sz w:val="24"/>
          <w:szCs w:val="24"/>
        </w:rPr>
        <w:t xml:space="preserve"> </w:t>
      </w:r>
    </w:p>
    <w:p w:rsidR="008D553C" w:rsidRPr="00605D99" w:rsidP="00110DBE" w14:paraId="648A8ABA" w14:textId="77777777">
      <w:pPr>
        <w:ind w:hanging="360"/>
        <w:rPr>
          <w:rFonts w:ascii="Times New Roman" w:hAnsi="Times New Roman"/>
          <w:b/>
          <w:sz w:val="24"/>
          <w:szCs w:val="24"/>
        </w:rPr>
      </w:pPr>
    </w:p>
    <w:p w:rsidR="00C11A96" w:rsidP="002F0A65" w14:paraId="53612517" w14:textId="77777777">
      <w:pPr>
        <w:ind w:left="360" w:hanging="360"/>
        <w:rPr>
          <w:rFonts w:ascii="Times New Roman" w:hAnsi="Times New Roman"/>
          <w:sz w:val="24"/>
          <w:szCs w:val="24"/>
        </w:rPr>
      </w:pPr>
      <w:r w:rsidRPr="00220568">
        <w:rPr>
          <w:rFonts w:ascii="Times New Roman" w:hAnsi="Times New Roman"/>
          <w:sz w:val="24"/>
          <w:szCs w:val="24"/>
        </w:rPr>
        <w:t xml:space="preserve">The total cost to the Federal Government for processing </w:t>
      </w:r>
      <w:r w:rsidRPr="00220568" w:rsidR="00562DFA">
        <w:rPr>
          <w:rFonts w:ascii="Times New Roman" w:hAnsi="Times New Roman"/>
          <w:sz w:val="24"/>
          <w:szCs w:val="24"/>
        </w:rPr>
        <w:t>th</w:t>
      </w:r>
      <w:r w:rsidR="00562DFA">
        <w:rPr>
          <w:rFonts w:ascii="Times New Roman" w:hAnsi="Times New Roman"/>
          <w:sz w:val="24"/>
          <w:szCs w:val="24"/>
        </w:rPr>
        <w:t>is</w:t>
      </w:r>
      <w:r w:rsidRPr="00220568" w:rsidR="00562DFA">
        <w:rPr>
          <w:rFonts w:ascii="Times New Roman" w:hAnsi="Times New Roman"/>
          <w:sz w:val="24"/>
          <w:szCs w:val="24"/>
        </w:rPr>
        <w:t xml:space="preserve"> </w:t>
      </w:r>
      <w:r w:rsidRPr="00220568">
        <w:rPr>
          <w:rFonts w:ascii="Times New Roman" w:hAnsi="Times New Roman"/>
          <w:sz w:val="24"/>
          <w:szCs w:val="24"/>
        </w:rPr>
        <w:t>collection is:</w:t>
      </w:r>
      <w:r w:rsidR="00562DFA">
        <w:rPr>
          <w:rFonts w:ascii="Times New Roman" w:hAnsi="Times New Roman"/>
          <w:sz w:val="24"/>
          <w:szCs w:val="24"/>
        </w:rPr>
        <w:t xml:space="preserve"> </w:t>
      </w:r>
    </w:p>
    <w:p w:rsidR="008D553C" w:rsidP="002F0A65" w14:paraId="31F8E3CD" w14:textId="6D5AE71D">
      <w:pPr>
        <w:ind w:left="360" w:hanging="360"/>
        <w:rPr>
          <w:rFonts w:ascii="Times New Roman" w:hAnsi="Times New Roman"/>
          <w:sz w:val="24"/>
          <w:szCs w:val="24"/>
        </w:rPr>
      </w:pPr>
      <w:r w:rsidRPr="00562DFA">
        <w:rPr>
          <w:rFonts w:ascii="Times New Roman" w:hAnsi="Times New Roman"/>
          <w:sz w:val="24"/>
          <w:szCs w:val="24"/>
        </w:rPr>
        <w:t>$ 12,789.60</w:t>
      </w:r>
      <w:r>
        <w:rPr>
          <w:rFonts w:ascii="Times New Roman" w:hAnsi="Times New Roman"/>
          <w:sz w:val="24"/>
          <w:szCs w:val="24"/>
        </w:rPr>
        <w:t>.</w:t>
      </w:r>
    </w:p>
    <w:p w:rsidR="003A109D" w:rsidP="002F0A65" w14:paraId="2BCE7E24" w14:textId="77777777">
      <w:pPr>
        <w:ind w:left="360" w:hanging="360"/>
        <w:rPr>
          <w:rFonts w:ascii="Times New Roman" w:hAnsi="Times New Roman"/>
          <w:sz w:val="24"/>
          <w:szCs w:val="24"/>
        </w:rPr>
      </w:pPr>
    </w:p>
    <w:p w:rsidR="003A109D" w:rsidRPr="002F0A65" w:rsidP="002F0A65" w14:paraId="6A79DEA5" w14:textId="45B69ABB">
      <w:pPr>
        <w:rPr>
          <w:rFonts w:ascii="Times New Roman" w:hAnsi="Times New Roman"/>
          <w:iCs/>
          <w:snapToGrid w:val="0"/>
          <w:sz w:val="24"/>
        </w:rPr>
      </w:pPr>
      <w:r w:rsidRPr="003A109D">
        <w:rPr>
          <w:rFonts w:ascii="Times New Roman" w:hAnsi="Times New Roman"/>
          <w:iCs/>
          <w:snapToGrid w:val="0"/>
          <w:sz w:val="24"/>
        </w:rPr>
        <w:t>According to the Office of Personnel Management (OPM)</w:t>
      </w:r>
      <w:r>
        <w:rPr>
          <w:rFonts w:ascii="Times New Roman" w:hAnsi="Times New Roman"/>
          <w:iCs/>
          <w:snapToGrid w:val="0"/>
          <w:sz w:val="24"/>
          <w:vertAlign w:val="superscript"/>
        </w:rPr>
        <w:footnoteReference w:id="4"/>
      </w:r>
      <w:r w:rsidRPr="003A109D">
        <w:rPr>
          <w:rFonts w:ascii="Times New Roman" w:hAnsi="Times New Roman"/>
          <w:iCs/>
          <w:snapToGrid w:val="0"/>
          <w:sz w:val="24"/>
        </w:rPr>
        <w:t xml:space="preserve"> wage tables</w:t>
      </w:r>
      <w:r>
        <w:rPr>
          <w:rFonts w:ascii="Times New Roman" w:hAnsi="Times New Roman"/>
          <w:iCs/>
          <w:snapToGrid w:val="0"/>
          <w:sz w:val="24"/>
        </w:rPr>
        <w:t xml:space="preserve">, the hourly wage for a GS-14 (Step7) employee with a Washington-Baltimore-Arlington locality pay is $81.93. </w:t>
      </w:r>
      <w:r w:rsidR="00562DFA">
        <w:rPr>
          <w:rFonts w:ascii="Times New Roman" w:hAnsi="Times New Roman"/>
          <w:iCs/>
          <w:snapToGrid w:val="0"/>
          <w:sz w:val="24"/>
        </w:rPr>
        <w:t xml:space="preserve"> </w:t>
      </w:r>
      <w:r w:rsidRPr="003A109D">
        <w:rPr>
          <w:rFonts w:ascii="Times New Roman" w:hAnsi="Times New Roman"/>
          <w:iCs/>
          <w:snapToGrid w:val="0"/>
          <w:sz w:val="24"/>
        </w:rPr>
        <w:t>When</w:t>
      </w:r>
      <w:r w:rsidR="002F0A65">
        <w:rPr>
          <w:rFonts w:ascii="Times New Roman" w:hAnsi="Times New Roman"/>
          <w:iCs/>
          <w:snapToGrid w:val="0"/>
          <w:sz w:val="24"/>
        </w:rPr>
        <w:t xml:space="preserve"> </w:t>
      </w:r>
      <w:r w:rsidRPr="003A109D">
        <w:rPr>
          <w:rFonts w:ascii="Times New Roman" w:hAnsi="Times New Roman"/>
          <w:iCs/>
          <w:snapToGrid w:val="0"/>
          <w:sz w:val="24"/>
        </w:rPr>
        <w:t>combined with the Federal Employee Compensation rate of 31%</w:t>
      </w:r>
      <w:r>
        <w:rPr>
          <w:rFonts w:ascii="Times New Roman" w:hAnsi="Times New Roman"/>
          <w:iCs/>
          <w:snapToGrid w:val="0"/>
          <w:sz w:val="24"/>
          <w:vertAlign w:val="superscript"/>
        </w:rPr>
        <w:footnoteReference w:id="5"/>
      </w:r>
      <w:r w:rsidRPr="003A109D">
        <w:rPr>
          <w:rFonts w:ascii="Times New Roman" w:hAnsi="Times New Roman"/>
          <w:iCs/>
          <w:snapToGrid w:val="0"/>
          <w:sz w:val="24"/>
        </w:rPr>
        <w:t>,</w:t>
      </w:r>
      <w:r w:rsidR="00562DFA">
        <w:rPr>
          <w:rFonts w:ascii="Times New Roman" w:hAnsi="Times New Roman"/>
          <w:iCs/>
          <w:snapToGrid w:val="0"/>
          <w:sz w:val="24"/>
        </w:rPr>
        <w:t xml:space="preserve"> </w:t>
      </w:r>
      <w:r>
        <w:rPr>
          <w:rFonts w:ascii="Times New Roman" w:hAnsi="Times New Roman"/>
          <w:iCs/>
          <w:snapToGrid w:val="0"/>
          <w:sz w:val="24"/>
        </w:rPr>
        <w:t xml:space="preserve">the total hourly wage rate for this employee is </w:t>
      </w:r>
      <w:r w:rsidR="00254561">
        <w:rPr>
          <w:rFonts w:ascii="Times New Roman" w:hAnsi="Times New Roman"/>
          <w:iCs/>
          <w:snapToGrid w:val="0"/>
          <w:sz w:val="24"/>
        </w:rPr>
        <w:t xml:space="preserve">$ 107.33. </w:t>
      </w:r>
      <w:r w:rsidR="00562DFA">
        <w:rPr>
          <w:rFonts w:ascii="Times New Roman" w:hAnsi="Times New Roman"/>
          <w:iCs/>
          <w:snapToGrid w:val="0"/>
          <w:sz w:val="24"/>
        </w:rPr>
        <w:t xml:space="preserve"> </w:t>
      </w:r>
      <w:r w:rsidR="00254561">
        <w:rPr>
          <w:rFonts w:ascii="Times New Roman" w:hAnsi="Times New Roman"/>
          <w:iCs/>
          <w:snapToGrid w:val="0"/>
          <w:sz w:val="24"/>
        </w:rPr>
        <w:t xml:space="preserve">This employee will take approximately </w:t>
      </w:r>
      <w:r w:rsidR="00562DFA">
        <w:rPr>
          <w:rFonts w:ascii="Times New Roman" w:hAnsi="Times New Roman"/>
          <w:iCs/>
          <w:snapToGrid w:val="0"/>
          <w:sz w:val="24"/>
        </w:rPr>
        <w:t>eight (</w:t>
      </w:r>
      <w:r w:rsidR="00254561">
        <w:rPr>
          <w:rFonts w:ascii="Times New Roman" w:hAnsi="Times New Roman"/>
          <w:iCs/>
          <w:snapToGrid w:val="0"/>
          <w:sz w:val="24"/>
        </w:rPr>
        <w:t>8</w:t>
      </w:r>
      <w:r w:rsidR="00562DFA">
        <w:rPr>
          <w:rFonts w:ascii="Times New Roman" w:hAnsi="Times New Roman"/>
          <w:iCs/>
          <w:snapToGrid w:val="0"/>
          <w:sz w:val="24"/>
        </w:rPr>
        <w:t>)</w:t>
      </w:r>
      <w:r w:rsidR="00254561">
        <w:rPr>
          <w:rFonts w:ascii="Times New Roman" w:hAnsi="Times New Roman"/>
          <w:iCs/>
          <w:snapToGrid w:val="0"/>
          <w:sz w:val="24"/>
        </w:rPr>
        <w:t xml:space="preserve"> hours to review and process each of the </w:t>
      </w:r>
      <w:r w:rsidR="00562DFA">
        <w:rPr>
          <w:rFonts w:ascii="Times New Roman" w:hAnsi="Times New Roman"/>
          <w:iCs/>
          <w:snapToGrid w:val="0"/>
          <w:sz w:val="24"/>
        </w:rPr>
        <w:t>fifteen (</w:t>
      </w:r>
      <w:r w:rsidR="00254561">
        <w:rPr>
          <w:rFonts w:ascii="Times New Roman" w:hAnsi="Times New Roman"/>
          <w:iCs/>
          <w:snapToGrid w:val="0"/>
          <w:sz w:val="24"/>
        </w:rPr>
        <w:t>15</w:t>
      </w:r>
      <w:r w:rsidR="00562DFA">
        <w:rPr>
          <w:rFonts w:ascii="Times New Roman" w:hAnsi="Times New Roman"/>
          <w:iCs/>
          <w:snapToGrid w:val="0"/>
          <w:sz w:val="24"/>
        </w:rPr>
        <w:t>)</w:t>
      </w:r>
      <w:r w:rsidR="00254561">
        <w:rPr>
          <w:rFonts w:ascii="Times New Roman" w:hAnsi="Times New Roman"/>
          <w:iCs/>
          <w:snapToGrid w:val="0"/>
          <w:sz w:val="24"/>
        </w:rPr>
        <w:t xml:space="preserve"> claims once annually. </w:t>
      </w:r>
      <w:r w:rsidR="00562DFA">
        <w:rPr>
          <w:rFonts w:ascii="Times New Roman" w:hAnsi="Times New Roman"/>
          <w:iCs/>
          <w:snapToGrid w:val="0"/>
          <w:sz w:val="24"/>
        </w:rPr>
        <w:t xml:space="preserve"> </w:t>
      </w:r>
      <w:r w:rsidR="00254561">
        <w:rPr>
          <w:rFonts w:ascii="Times New Roman" w:hAnsi="Times New Roman"/>
          <w:iCs/>
          <w:snapToGrid w:val="0"/>
          <w:sz w:val="24"/>
        </w:rPr>
        <w:t xml:space="preserve">Therefore, the total cost associated with this effort is </w:t>
      </w:r>
      <w:bookmarkStart w:id="5" w:name="_Hlk206663997"/>
      <w:r w:rsidR="00254561">
        <w:rPr>
          <w:rFonts w:ascii="Times New Roman" w:hAnsi="Times New Roman"/>
          <w:iCs/>
          <w:snapToGrid w:val="0"/>
          <w:sz w:val="24"/>
        </w:rPr>
        <w:t>$ 12,789.60</w:t>
      </w:r>
      <w:bookmarkEnd w:id="5"/>
      <w:r w:rsidR="00254561">
        <w:rPr>
          <w:rFonts w:ascii="Times New Roman" w:hAnsi="Times New Roman"/>
          <w:iCs/>
          <w:snapToGrid w:val="0"/>
          <w:sz w:val="24"/>
        </w:rPr>
        <w:t xml:space="preserve">, which can be calculated as shown in the table below: </w:t>
      </w:r>
    </w:p>
    <w:p w:rsidR="00254561" w:rsidP="00110DBE" w14:paraId="641A869D" w14:textId="0DFDAD54">
      <w:pPr>
        <w:ind w:hanging="360"/>
        <w:rPr>
          <w:rFonts w:ascii="Times New Roman" w:hAnsi="Times New Roman"/>
        </w:rPr>
      </w:pPr>
      <w:r>
        <w:fldChar w:fldCharType="begin"/>
      </w:r>
      <w:r>
        <w:instrText xml:space="preserve"> LINK Excel.Sheet.12 "C:\\Users\\tamelia.bolton\\Desktop\\IC Program\\MARAD Information Collections Tracker.xlsx" "14. Annualized Cost to Fed Govt!R125C92:R126C99" \a \f 4 \h  \* MERGEFORMAT </w:instrText>
      </w:r>
      <w:r>
        <w:fldChar w:fldCharType="separate"/>
      </w:r>
    </w:p>
    <w:tbl>
      <w:tblPr>
        <w:tblW w:w="10800" w:type="dxa"/>
        <w:tblInd w:w="-4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036"/>
        <w:gridCol w:w="1014"/>
        <w:gridCol w:w="1620"/>
        <w:gridCol w:w="1260"/>
        <w:gridCol w:w="1373"/>
        <w:gridCol w:w="876"/>
        <w:gridCol w:w="1219"/>
        <w:gridCol w:w="1402"/>
      </w:tblGrid>
      <w:tr w14:paraId="4E5E196E" w14:textId="77777777" w:rsidTr="00295914">
        <w:tblPrEx>
          <w:tblW w:w="10800" w:type="dxa"/>
          <w:tblInd w:w="-4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trHeight w:val="1151"/>
        </w:trPr>
        <w:tc>
          <w:tcPr>
            <w:tcW w:w="2036" w:type="dxa"/>
            <w:shd w:val="clear" w:color="000000" w:fill="D9D9D9"/>
            <w:vAlign w:val="center"/>
            <w:hideMark/>
          </w:tcPr>
          <w:p w:rsidR="00254561" w:rsidRPr="00295914" w:rsidP="002F0A65" w14:paraId="1A0CC857" w14:textId="0E62170A">
            <w:pPr>
              <w:widowControl/>
              <w:autoSpaceDE/>
              <w:autoSpaceDN/>
              <w:adjustRightInd/>
              <w:ind w:right="-130"/>
              <w:rPr>
                <w:rFonts w:ascii="Times New Roman" w:hAnsi="Times New Roman"/>
                <w:b/>
                <w:bCs/>
                <w:color w:val="000000"/>
                <w:sz w:val="22"/>
                <w:szCs w:val="22"/>
              </w:rPr>
            </w:pPr>
            <w:r w:rsidRPr="00295914">
              <w:rPr>
                <w:rFonts w:ascii="Times New Roman" w:hAnsi="Times New Roman"/>
                <w:b/>
                <w:bCs/>
                <w:color w:val="000000"/>
                <w:sz w:val="22"/>
                <w:szCs w:val="22"/>
              </w:rPr>
              <w:t>FTE Grade and Step &amp; CRF Program Related  Task</w:t>
            </w:r>
          </w:p>
        </w:tc>
        <w:tc>
          <w:tcPr>
            <w:tcW w:w="1014" w:type="dxa"/>
            <w:shd w:val="clear" w:color="000000" w:fill="D9D9D9"/>
            <w:vAlign w:val="center"/>
            <w:hideMark/>
          </w:tcPr>
          <w:p w:rsidR="00254561" w:rsidRPr="00295914" w:rsidP="002F0A65" w14:paraId="776E68D3" w14:textId="77777777">
            <w:pPr>
              <w:widowControl/>
              <w:autoSpaceDE/>
              <w:autoSpaceDN/>
              <w:adjustRightInd/>
              <w:ind w:hanging="20"/>
              <w:jc w:val="center"/>
              <w:rPr>
                <w:rFonts w:ascii="Times New Roman" w:hAnsi="Times New Roman"/>
                <w:b/>
                <w:bCs/>
                <w:color w:val="000000"/>
                <w:sz w:val="22"/>
                <w:szCs w:val="22"/>
              </w:rPr>
            </w:pPr>
            <w:r w:rsidRPr="00295914">
              <w:rPr>
                <w:rFonts w:ascii="Times New Roman" w:hAnsi="Times New Roman"/>
                <w:b/>
                <w:bCs/>
                <w:color w:val="000000"/>
                <w:sz w:val="22"/>
                <w:szCs w:val="22"/>
              </w:rPr>
              <w:t>Hourly Wage</w:t>
            </w:r>
          </w:p>
        </w:tc>
        <w:tc>
          <w:tcPr>
            <w:tcW w:w="1620" w:type="dxa"/>
            <w:shd w:val="clear" w:color="000000" w:fill="D9D9D9"/>
            <w:vAlign w:val="center"/>
            <w:hideMark/>
          </w:tcPr>
          <w:p w:rsidR="00254561" w:rsidRPr="00295914" w:rsidP="002F0A65" w14:paraId="61B861D5" w14:textId="77777777">
            <w:pPr>
              <w:widowControl/>
              <w:autoSpaceDE/>
              <w:autoSpaceDN/>
              <w:adjustRightInd/>
              <w:jc w:val="center"/>
              <w:rPr>
                <w:rFonts w:ascii="Times New Roman" w:hAnsi="Times New Roman"/>
                <w:b/>
                <w:bCs/>
                <w:color w:val="000000"/>
                <w:sz w:val="22"/>
                <w:szCs w:val="22"/>
              </w:rPr>
            </w:pPr>
            <w:r w:rsidRPr="00295914">
              <w:rPr>
                <w:rFonts w:ascii="Times New Roman" w:hAnsi="Times New Roman"/>
                <w:b/>
                <w:bCs/>
                <w:color w:val="000000"/>
                <w:sz w:val="22"/>
                <w:szCs w:val="22"/>
              </w:rPr>
              <w:t xml:space="preserve">Average Hourly Wage Rate with 31% Compensation   </w:t>
            </w:r>
          </w:p>
        </w:tc>
        <w:tc>
          <w:tcPr>
            <w:tcW w:w="1260" w:type="dxa"/>
            <w:shd w:val="clear" w:color="000000" w:fill="D9D9D9"/>
            <w:vAlign w:val="center"/>
            <w:hideMark/>
          </w:tcPr>
          <w:p w:rsidR="00254561" w:rsidRPr="00295914" w:rsidP="002F0A65" w14:paraId="798E19E4" w14:textId="77777777">
            <w:pPr>
              <w:widowControl/>
              <w:autoSpaceDE/>
              <w:autoSpaceDN/>
              <w:adjustRightInd/>
              <w:jc w:val="center"/>
              <w:rPr>
                <w:rFonts w:ascii="Times New Roman" w:hAnsi="Times New Roman"/>
                <w:b/>
                <w:bCs/>
                <w:color w:val="000000"/>
                <w:sz w:val="22"/>
                <w:szCs w:val="22"/>
              </w:rPr>
            </w:pPr>
            <w:r w:rsidRPr="00295914">
              <w:rPr>
                <w:rFonts w:ascii="Times New Roman" w:hAnsi="Times New Roman"/>
                <w:b/>
                <w:bCs/>
                <w:color w:val="000000"/>
                <w:sz w:val="22"/>
                <w:szCs w:val="22"/>
              </w:rPr>
              <w:t xml:space="preserve">Total Employees </w:t>
            </w:r>
          </w:p>
        </w:tc>
        <w:tc>
          <w:tcPr>
            <w:tcW w:w="1373" w:type="dxa"/>
            <w:shd w:val="clear" w:color="000000" w:fill="D9D9D9"/>
            <w:vAlign w:val="center"/>
            <w:hideMark/>
          </w:tcPr>
          <w:p w:rsidR="00254561" w:rsidRPr="00295914" w:rsidP="002F0A65" w14:paraId="5B844726" w14:textId="77777777">
            <w:pPr>
              <w:widowControl/>
              <w:autoSpaceDE/>
              <w:autoSpaceDN/>
              <w:adjustRightInd/>
              <w:ind w:hanging="20"/>
              <w:jc w:val="center"/>
              <w:rPr>
                <w:rFonts w:ascii="Times New Roman" w:hAnsi="Times New Roman"/>
                <w:b/>
                <w:bCs/>
                <w:color w:val="000000"/>
                <w:sz w:val="22"/>
                <w:szCs w:val="22"/>
              </w:rPr>
            </w:pPr>
            <w:r w:rsidRPr="00295914">
              <w:rPr>
                <w:rFonts w:ascii="Times New Roman" w:hAnsi="Times New Roman"/>
                <w:b/>
                <w:bCs/>
                <w:color w:val="000000"/>
                <w:sz w:val="22"/>
                <w:szCs w:val="22"/>
              </w:rPr>
              <w:t>Total Time for Per application  ( Avg. Hours)</w:t>
            </w:r>
          </w:p>
        </w:tc>
        <w:tc>
          <w:tcPr>
            <w:tcW w:w="876" w:type="dxa"/>
            <w:shd w:val="clear" w:color="000000" w:fill="D9D9D9"/>
            <w:vAlign w:val="center"/>
            <w:hideMark/>
          </w:tcPr>
          <w:p w:rsidR="00254561" w:rsidRPr="00295914" w:rsidP="002F0A65" w14:paraId="7CAA5870" w14:textId="77777777">
            <w:pPr>
              <w:widowControl/>
              <w:autoSpaceDE/>
              <w:autoSpaceDN/>
              <w:adjustRightInd/>
              <w:ind w:hanging="160"/>
              <w:jc w:val="center"/>
              <w:rPr>
                <w:rFonts w:ascii="Times New Roman" w:hAnsi="Times New Roman"/>
                <w:b/>
                <w:bCs/>
                <w:color w:val="000000"/>
                <w:sz w:val="22"/>
                <w:szCs w:val="22"/>
              </w:rPr>
            </w:pPr>
            <w:r w:rsidRPr="00295914">
              <w:rPr>
                <w:rFonts w:ascii="Times New Roman" w:hAnsi="Times New Roman"/>
                <w:b/>
                <w:bCs/>
                <w:color w:val="000000"/>
                <w:sz w:val="22"/>
                <w:szCs w:val="22"/>
              </w:rPr>
              <w:t>Total Claims</w:t>
            </w:r>
          </w:p>
        </w:tc>
        <w:tc>
          <w:tcPr>
            <w:tcW w:w="1219" w:type="dxa"/>
            <w:shd w:val="clear" w:color="000000" w:fill="D9D9D9"/>
            <w:vAlign w:val="center"/>
            <w:hideMark/>
          </w:tcPr>
          <w:p w:rsidR="00254561" w:rsidRPr="00295914" w:rsidP="002F0A65" w14:paraId="2E0FC683" w14:textId="77777777">
            <w:pPr>
              <w:widowControl/>
              <w:autoSpaceDE/>
              <w:autoSpaceDN/>
              <w:adjustRightInd/>
              <w:ind w:hanging="20"/>
              <w:jc w:val="center"/>
              <w:rPr>
                <w:rFonts w:ascii="Times New Roman" w:hAnsi="Times New Roman"/>
                <w:b/>
                <w:bCs/>
                <w:color w:val="000000"/>
                <w:sz w:val="22"/>
                <w:szCs w:val="22"/>
              </w:rPr>
            </w:pPr>
            <w:r w:rsidRPr="00295914">
              <w:rPr>
                <w:rFonts w:ascii="Times New Roman" w:hAnsi="Times New Roman"/>
                <w:b/>
                <w:bCs/>
                <w:color w:val="000000"/>
                <w:sz w:val="22"/>
                <w:szCs w:val="22"/>
              </w:rPr>
              <w:t xml:space="preserve">Frequency of Responses </w:t>
            </w:r>
          </w:p>
        </w:tc>
        <w:tc>
          <w:tcPr>
            <w:tcW w:w="1402" w:type="dxa"/>
            <w:shd w:val="clear" w:color="000000" w:fill="D9D9D9"/>
            <w:vAlign w:val="center"/>
            <w:hideMark/>
          </w:tcPr>
          <w:p w:rsidR="00254561" w:rsidRPr="00295914" w:rsidP="002F0A65" w14:paraId="2E3F52F4" w14:textId="77777777">
            <w:pPr>
              <w:widowControl/>
              <w:autoSpaceDE/>
              <w:autoSpaceDN/>
              <w:adjustRightInd/>
              <w:ind w:firstLine="20"/>
              <w:jc w:val="center"/>
              <w:rPr>
                <w:rFonts w:ascii="Times New Roman" w:hAnsi="Times New Roman"/>
                <w:b/>
                <w:bCs/>
                <w:color w:val="000000"/>
                <w:sz w:val="22"/>
                <w:szCs w:val="22"/>
              </w:rPr>
            </w:pPr>
            <w:r w:rsidRPr="00295914">
              <w:rPr>
                <w:rFonts w:ascii="Times New Roman" w:hAnsi="Times New Roman"/>
                <w:b/>
                <w:bCs/>
                <w:color w:val="000000"/>
                <w:sz w:val="22"/>
                <w:szCs w:val="22"/>
              </w:rPr>
              <w:t xml:space="preserve">Total Federal Government Wages   </w:t>
            </w:r>
          </w:p>
        </w:tc>
      </w:tr>
      <w:tr w14:paraId="345295C1" w14:textId="77777777" w:rsidTr="00295914">
        <w:tblPrEx>
          <w:tblW w:w="10800" w:type="dxa"/>
          <w:tblInd w:w="-455" w:type="dxa"/>
          <w:tblLook w:val="04A0"/>
        </w:tblPrEx>
        <w:trPr>
          <w:trHeight w:val="765"/>
        </w:trPr>
        <w:tc>
          <w:tcPr>
            <w:tcW w:w="2036" w:type="dxa"/>
            <w:shd w:val="clear" w:color="auto" w:fill="auto"/>
            <w:hideMark/>
          </w:tcPr>
          <w:p w:rsidR="00254561" w:rsidRPr="00295914" w:rsidP="002F0A65" w14:paraId="0B02730C" w14:textId="7C4A8340">
            <w:pPr>
              <w:widowControl/>
              <w:autoSpaceDE/>
              <w:autoSpaceDN/>
              <w:adjustRightInd/>
              <w:rPr>
                <w:rFonts w:ascii="Times New Roman" w:hAnsi="Times New Roman"/>
                <w:sz w:val="22"/>
                <w:szCs w:val="22"/>
              </w:rPr>
            </w:pPr>
            <w:r w:rsidRPr="00295914">
              <w:rPr>
                <w:rFonts w:ascii="Times New Roman" w:hAnsi="Times New Roman"/>
                <w:sz w:val="22"/>
                <w:szCs w:val="22"/>
              </w:rPr>
              <w:t xml:space="preserve">GS 14 (Step 7): </w:t>
            </w:r>
            <w:r>
              <w:rPr>
                <w:rFonts w:ascii="Times New Roman" w:hAnsi="Times New Roman"/>
                <w:sz w:val="22"/>
                <w:szCs w:val="22"/>
              </w:rPr>
              <w:t xml:space="preserve">Evaluate and process </w:t>
            </w:r>
            <w:r w:rsidRPr="00295914">
              <w:rPr>
                <w:rFonts w:ascii="Times New Roman" w:hAnsi="Times New Roman"/>
                <w:sz w:val="22"/>
                <w:szCs w:val="22"/>
              </w:rPr>
              <w:t>claim information</w:t>
            </w:r>
          </w:p>
        </w:tc>
        <w:tc>
          <w:tcPr>
            <w:tcW w:w="1014" w:type="dxa"/>
            <w:shd w:val="clear" w:color="auto" w:fill="auto"/>
            <w:vAlign w:val="center"/>
            <w:hideMark/>
          </w:tcPr>
          <w:p w:rsidR="00254561" w:rsidRPr="00295914" w:rsidP="002F0A65" w14:paraId="78043DEA" w14:textId="28BED7BB">
            <w:pPr>
              <w:widowControl/>
              <w:autoSpaceDE/>
              <w:autoSpaceDN/>
              <w:adjustRightInd/>
              <w:ind w:hanging="20"/>
              <w:rPr>
                <w:rFonts w:ascii="Times New Roman" w:hAnsi="Times New Roman"/>
                <w:sz w:val="22"/>
                <w:szCs w:val="22"/>
              </w:rPr>
            </w:pPr>
            <w:r w:rsidRPr="00295914">
              <w:rPr>
                <w:rFonts w:ascii="Times New Roman" w:hAnsi="Times New Roman"/>
                <w:sz w:val="22"/>
                <w:szCs w:val="22"/>
              </w:rPr>
              <w:t xml:space="preserve"> $  81.93 </w:t>
            </w:r>
          </w:p>
        </w:tc>
        <w:tc>
          <w:tcPr>
            <w:tcW w:w="1620" w:type="dxa"/>
            <w:shd w:val="clear" w:color="auto" w:fill="auto"/>
            <w:vAlign w:val="center"/>
            <w:hideMark/>
          </w:tcPr>
          <w:p w:rsidR="00254561" w:rsidRPr="00295914" w:rsidP="00110DBE" w14:paraId="55C840CE" w14:textId="5CBADFCB">
            <w:pPr>
              <w:widowControl/>
              <w:autoSpaceDE/>
              <w:autoSpaceDN/>
              <w:adjustRightInd/>
              <w:ind w:hanging="360"/>
              <w:jc w:val="center"/>
              <w:rPr>
                <w:rFonts w:ascii="Times New Roman" w:hAnsi="Times New Roman"/>
                <w:sz w:val="22"/>
                <w:szCs w:val="22"/>
              </w:rPr>
            </w:pPr>
            <w:r w:rsidRPr="00295914">
              <w:rPr>
                <w:rFonts w:ascii="Times New Roman" w:hAnsi="Times New Roman"/>
                <w:sz w:val="22"/>
                <w:szCs w:val="22"/>
              </w:rPr>
              <w:t xml:space="preserve"> $  107.33 </w:t>
            </w:r>
          </w:p>
        </w:tc>
        <w:tc>
          <w:tcPr>
            <w:tcW w:w="1260" w:type="dxa"/>
            <w:shd w:val="clear" w:color="auto" w:fill="auto"/>
            <w:vAlign w:val="center"/>
            <w:hideMark/>
          </w:tcPr>
          <w:p w:rsidR="00254561" w:rsidRPr="00295914" w:rsidP="00110DBE" w14:paraId="7E6AEFFB" w14:textId="77777777">
            <w:pPr>
              <w:widowControl/>
              <w:autoSpaceDE/>
              <w:autoSpaceDN/>
              <w:adjustRightInd/>
              <w:ind w:hanging="360"/>
              <w:jc w:val="center"/>
              <w:rPr>
                <w:rFonts w:ascii="Times New Roman" w:hAnsi="Times New Roman"/>
                <w:sz w:val="22"/>
                <w:szCs w:val="22"/>
              </w:rPr>
            </w:pPr>
            <w:r w:rsidRPr="00295914">
              <w:rPr>
                <w:rFonts w:ascii="Times New Roman" w:hAnsi="Times New Roman"/>
                <w:sz w:val="22"/>
                <w:szCs w:val="22"/>
              </w:rPr>
              <w:t>1</w:t>
            </w:r>
          </w:p>
        </w:tc>
        <w:tc>
          <w:tcPr>
            <w:tcW w:w="1373" w:type="dxa"/>
            <w:shd w:val="clear" w:color="auto" w:fill="auto"/>
            <w:vAlign w:val="center"/>
            <w:hideMark/>
          </w:tcPr>
          <w:p w:rsidR="00254561" w:rsidRPr="00295914" w:rsidP="00110DBE" w14:paraId="67856585" w14:textId="77777777">
            <w:pPr>
              <w:widowControl/>
              <w:autoSpaceDE/>
              <w:autoSpaceDN/>
              <w:adjustRightInd/>
              <w:ind w:hanging="360"/>
              <w:jc w:val="center"/>
              <w:rPr>
                <w:rFonts w:ascii="Times New Roman" w:hAnsi="Times New Roman"/>
                <w:sz w:val="22"/>
                <w:szCs w:val="22"/>
              </w:rPr>
            </w:pPr>
            <w:r w:rsidRPr="00295914">
              <w:rPr>
                <w:rFonts w:ascii="Times New Roman" w:hAnsi="Times New Roman"/>
                <w:sz w:val="22"/>
                <w:szCs w:val="22"/>
              </w:rPr>
              <w:t>8</w:t>
            </w:r>
          </w:p>
        </w:tc>
        <w:tc>
          <w:tcPr>
            <w:tcW w:w="876" w:type="dxa"/>
            <w:shd w:val="clear" w:color="auto" w:fill="auto"/>
            <w:vAlign w:val="center"/>
            <w:hideMark/>
          </w:tcPr>
          <w:p w:rsidR="00254561" w:rsidRPr="00295914" w:rsidP="00110DBE" w14:paraId="03948A8B" w14:textId="77777777">
            <w:pPr>
              <w:widowControl/>
              <w:autoSpaceDE/>
              <w:autoSpaceDN/>
              <w:adjustRightInd/>
              <w:ind w:hanging="360"/>
              <w:jc w:val="center"/>
              <w:rPr>
                <w:rFonts w:ascii="Times New Roman" w:hAnsi="Times New Roman"/>
                <w:sz w:val="22"/>
                <w:szCs w:val="22"/>
              </w:rPr>
            </w:pPr>
            <w:r w:rsidRPr="00295914">
              <w:rPr>
                <w:rFonts w:ascii="Times New Roman" w:hAnsi="Times New Roman"/>
                <w:sz w:val="22"/>
                <w:szCs w:val="22"/>
              </w:rPr>
              <w:t>15</w:t>
            </w:r>
          </w:p>
        </w:tc>
        <w:tc>
          <w:tcPr>
            <w:tcW w:w="1219" w:type="dxa"/>
            <w:shd w:val="clear" w:color="auto" w:fill="auto"/>
            <w:vAlign w:val="center"/>
            <w:hideMark/>
          </w:tcPr>
          <w:p w:rsidR="00254561" w:rsidRPr="00295914" w:rsidP="00110DBE" w14:paraId="7493A732" w14:textId="77777777">
            <w:pPr>
              <w:widowControl/>
              <w:autoSpaceDE/>
              <w:autoSpaceDN/>
              <w:adjustRightInd/>
              <w:ind w:hanging="360"/>
              <w:jc w:val="center"/>
              <w:rPr>
                <w:rFonts w:ascii="Times New Roman" w:hAnsi="Times New Roman"/>
                <w:sz w:val="22"/>
                <w:szCs w:val="22"/>
              </w:rPr>
            </w:pPr>
            <w:r w:rsidRPr="00295914">
              <w:rPr>
                <w:rFonts w:ascii="Times New Roman" w:hAnsi="Times New Roman"/>
                <w:sz w:val="22"/>
                <w:szCs w:val="22"/>
              </w:rPr>
              <w:t>1</w:t>
            </w:r>
          </w:p>
        </w:tc>
        <w:tc>
          <w:tcPr>
            <w:tcW w:w="1402" w:type="dxa"/>
            <w:shd w:val="clear" w:color="auto" w:fill="auto"/>
            <w:vAlign w:val="center"/>
            <w:hideMark/>
          </w:tcPr>
          <w:p w:rsidR="00254561" w:rsidRPr="00295914" w:rsidP="00110DBE" w14:paraId="5F822BEA" w14:textId="33ED0070">
            <w:pPr>
              <w:widowControl/>
              <w:autoSpaceDE/>
              <w:autoSpaceDN/>
              <w:adjustRightInd/>
              <w:ind w:hanging="360"/>
              <w:jc w:val="right"/>
              <w:rPr>
                <w:rFonts w:ascii="Times New Roman" w:hAnsi="Times New Roman"/>
                <w:sz w:val="22"/>
                <w:szCs w:val="22"/>
              </w:rPr>
            </w:pPr>
            <w:r>
              <w:rPr>
                <w:rFonts w:ascii="Times New Roman" w:hAnsi="Times New Roman"/>
                <w:sz w:val="22"/>
                <w:szCs w:val="22"/>
              </w:rPr>
              <w:t xml:space="preserve">$  </w:t>
            </w:r>
            <w:r w:rsidRPr="00295914">
              <w:rPr>
                <w:rFonts w:ascii="Times New Roman" w:hAnsi="Times New Roman"/>
                <w:sz w:val="22"/>
                <w:szCs w:val="22"/>
              </w:rPr>
              <w:t xml:space="preserve">12,879.60 </w:t>
            </w:r>
          </w:p>
        </w:tc>
      </w:tr>
    </w:tbl>
    <w:p w:rsidR="0074307A" w:rsidRPr="00D94CF3" w:rsidP="00110DBE" w14:paraId="20FBC0A4" w14:textId="4AB554F9">
      <w:pPr>
        <w:ind w:hanging="360"/>
        <w:rPr>
          <w:rFonts w:ascii="Times New Roman" w:hAnsi="Times New Roman"/>
          <w:sz w:val="24"/>
          <w:szCs w:val="24"/>
        </w:rPr>
      </w:pPr>
      <w:r>
        <w:rPr>
          <w:rFonts w:ascii="Times New Roman" w:hAnsi="Times New Roman"/>
          <w:sz w:val="24"/>
          <w:szCs w:val="24"/>
          <w:u w:val="single"/>
        </w:rPr>
        <w:fldChar w:fldCharType="end"/>
      </w:r>
    </w:p>
    <w:p w:rsidR="00105F8E" w:rsidRPr="00295914" w:rsidP="00110DBE" w14:paraId="751A25C6" w14:textId="4B31FC0F">
      <w:pPr>
        <w:pStyle w:val="ListParagraph"/>
        <w:numPr>
          <w:ilvl w:val="0"/>
          <w:numId w:val="23"/>
        </w:numPr>
        <w:ind w:left="0"/>
        <w:rPr>
          <w:rFonts w:ascii="Times New Roman" w:hAnsi="Times New Roman"/>
          <w:b/>
          <w:sz w:val="24"/>
          <w:szCs w:val="24"/>
        </w:rPr>
      </w:pPr>
      <w:r w:rsidRPr="00295914">
        <w:rPr>
          <w:rFonts w:ascii="Times New Roman" w:hAnsi="Times New Roman"/>
          <w:b/>
          <w:sz w:val="24"/>
          <w:szCs w:val="24"/>
        </w:rPr>
        <w:t xml:space="preserve">Explanation of </w:t>
      </w:r>
      <w:r w:rsidRPr="00295914" w:rsidR="00254561">
        <w:rPr>
          <w:rFonts w:ascii="Times New Roman" w:hAnsi="Times New Roman"/>
          <w:b/>
          <w:sz w:val="24"/>
          <w:szCs w:val="24"/>
        </w:rPr>
        <w:t xml:space="preserve">Program Changes </w:t>
      </w:r>
      <w:r w:rsidRPr="00295914">
        <w:rPr>
          <w:rFonts w:ascii="Times New Roman" w:hAnsi="Times New Roman"/>
          <w:b/>
          <w:sz w:val="24"/>
          <w:szCs w:val="24"/>
        </w:rPr>
        <w:t xml:space="preserve">or </w:t>
      </w:r>
      <w:r w:rsidRPr="00295914" w:rsidR="00254561">
        <w:rPr>
          <w:rFonts w:ascii="Times New Roman" w:hAnsi="Times New Roman"/>
          <w:b/>
          <w:sz w:val="24"/>
          <w:szCs w:val="24"/>
        </w:rPr>
        <w:t>Adjustments</w:t>
      </w:r>
      <w:r w:rsidRPr="00295914">
        <w:rPr>
          <w:rFonts w:ascii="Times New Roman" w:hAnsi="Times New Roman"/>
          <w:b/>
          <w:sz w:val="24"/>
          <w:szCs w:val="24"/>
        </w:rPr>
        <w:t>.</w:t>
      </w:r>
      <w:r w:rsidRPr="00295914">
        <w:rPr>
          <w:rFonts w:ascii="Times New Roman" w:hAnsi="Times New Roman"/>
          <w:b/>
          <w:sz w:val="24"/>
          <w:szCs w:val="24"/>
        </w:rPr>
        <w:t xml:space="preserve"> </w:t>
      </w:r>
      <w:r w:rsidRPr="00295914" w:rsidR="009D4F72">
        <w:rPr>
          <w:rFonts w:ascii="Times New Roman" w:hAnsi="Times New Roman"/>
          <w:b/>
          <w:sz w:val="24"/>
          <w:szCs w:val="24"/>
        </w:rPr>
        <w:t xml:space="preserve"> </w:t>
      </w:r>
    </w:p>
    <w:p w:rsidR="00793B7D" w:rsidRPr="00C630F0" w:rsidP="00110DBE" w14:paraId="072800BD" w14:textId="77777777">
      <w:pPr>
        <w:ind w:hanging="360"/>
        <w:rPr>
          <w:rFonts w:ascii="Times New Roman" w:hAnsi="Times New Roman"/>
          <w:sz w:val="24"/>
          <w:szCs w:val="24"/>
        </w:rPr>
      </w:pPr>
    </w:p>
    <w:p w:rsidR="0004749E" w:rsidRPr="00C630F0" w:rsidP="002F0A65" w14:paraId="24B1040A" w14:textId="1B044109">
      <w:pPr>
        <w:pStyle w:val="PlainText"/>
        <w:rPr>
          <w:rFonts w:ascii="Times New Roman" w:hAnsi="Times New Roman" w:cs="Times New Roman"/>
          <w:sz w:val="24"/>
          <w:szCs w:val="24"/>
        </w:rPr>
      </w:pPr>
      <w:r w:rsidRPr="00C630F0">
        <w:rPr>
          <w:rFonts w:ascii="Times New Roman" w:hAnsi="Times New Roman" w:cs="Times New Roman"/>
          <w:sz w:val="24"/>
          <w:szCs w:val="24"/>
        </w:rPr>
        <w:t>The</w:t>
      </w:r>
      <w:r w:rsidRPr="00C630F0" w:rsidR="005D2BAD">
        <w:rPr>
          <w:rFonts w:ascii="Times New Roman" w:hAnsi="Times New Roman" w:cs="Times New Roman"/>
          <w:sz w:val="24"/>
          <w:szCs w:val="24"/>
        </w:rPr>
        <w:t xml:space="preserve">re were no program changes </w:t>
      </w:r>
      <w:r w:rsidR="00BD3A33">
        <w:rPr>
          <w:rFonts w:ascii="Times New Roman" w:hAnsi="Times New Roman" w:cs="Times New Roman"/>
          <w:sz w:val="24"/>
          <w:szCs w:val="24"/>
        </w:rPr>
        <w:t xml:space="preserve">since the last approval.  </w:t>
      </w:r>
    </w:p>
    <w:p w:rsidR="0004749E" w:rsidRPr="00220568" w:rsidP="00110DBE" w14:paraId="35F4C202" w14:textId="77777777">
      <w:pPr>
        <w:ind w:hanging="360"/>
        <w:rPr>
          <w:rFonts w:ascii="Times New Roman" w:hAnsi="Times New Roman"/>
          <w:sz w:val="24"/>
          <w:szCs w:val="24"/>
        </w:rPr>
      </w:pPr>
    </w:p>
    <w:p w:rsidR="00105F8E" w:rsidRPr="00295914" w:rsidP="00110DBE" w14:paraId="09C3A06B" w14:textId="26252B3F">
      <w:pPr>
        <w:pStyle w:val="ListParagraph"/>
        <w:numPr>
          <w:ilvl w:val="0"/>
          <w:numId w:val="23"/>
        </w:numPr>
        <w:ind w:left="0"/>
        <w:rPr>
          <w:rFonts w:ascii="Times New Roman" w:hAnsi="Times New Roman"/>
          <w:b/>
          <w:sz w:val="24"/>
          <w:szCs w:val="24"/>
        </w:rPr>
      </w:pPr>
      <w:r w:rsidRPr="00295914">
        <w:rPr>
          <w:rFonts w:ascii="Times New Roman" w:hAnsi="Times New Roman"/>
          <w:b/>
          <w:sz w:val="24"/>
          <w:szCs w:val="24"/>
        </w:rPr>
        <w:t>Publication of</w:t>
      </w:r>
      <w:r w:rsidRPr="00295914" w:rsidR="00F97FF8">
        <w:rPr>
          <w:rFonts w:ascii="Times New Roman" w:hAnsi="Times New Roman"/>
          <w:b/>
          <w:sz w:val="24"/>
          <w:szCs w:val="24"/>
        </w:rPr>
        <w:t xml:space="preserve"> Data Collection R</w:t>
      </w:r>
      <w:r w:rsidRPr="00295914">
        <w:rPr>
          <w:rFonts w:ascii="Times New Roman" w:hAnsi="Times New Roman"/>
          <w:b/>
          <w:sz w:val="24"/>
          <w:szCs w:val="24"/>
        </w:rPr>
        <w:t>esults</w:t>
      </w:r>
    </w:p>
    <w:p w:rsidR="00326ED5" w:rsidRPr="00220568" w:rsidP="00110DBE" w14:paraId="30EDEC9C" w14:textId="77777777">
      <w:pPr>
        <w:ind w:hanging="360"/>
        <w:rPr>
          <w:rFonts w:ascii="Times New Roman" w:hAnsi="Times New Roman"/>
          <w:b/>
          <w:sz w:val="24"/>
          <w:szCs w:val="24"/>
        </w:rPr>
      </w:pPr>
    </w:p>
    <w:p w:rsidR="00326ED5" w:rsidP="00110DBE" w14:paraId="329AD7F1" w14:textId="16C41227">
      <w:pPr>
        <w:tabs>
          <w:tab w:val="left" w:pos="-1440"/>
          <w:tab w:val="left" w:pos="-720"/>
          <w:tab w:val="left" w:pos="0"/>
          <w:tab w:val="left" w:pos="63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rPr>
          <w:rFonts w:ascii="Times New Roman" w:hAnsi="Times New Roman"/>
          <w:sz w:val="24"/>
          <w:szCs w:val="24"/>
        </w:rPr>
      </w:pPr>
      <w:r>
        <w:rPr>
          <w:rFonts w:ascii="Times New Roman" w:hAnsi="Times New Roman"/>
          <w:sz w:val="24"/>
          <w:szCs w:val="24"/>
        </w:rPr>
        <w:tab/>
      </w:r>
      <w:r w:rsidRPr="00220568">
        <w:rPr>
          <w:rFonts w:ascii="Times New Roman" w:hAnsi="Times New Roman"/>
          <w:sz w:val="24"/>
          <w:szCs w:val="24"/>
        </w:rPr>
        <w:t>The information collected is intended for internal use only.  There are no plans to publish the results of the information collection for statistical purposes.</w:t>
      </w:r>
    </w:p>
    <w:p w:rsidR="00F97FF8" w:rsidRPr="00220568" w:rsidP="00110DBE" w14:paraId="2AC07051" w14:textId="77777777">
      <w:pPr>
        <w:tabs>
          <w:tab w:val="left" w:pos="-1440"/>
          <w:tab w:val="left" w:pos="-720"/>
          <w:tab w:val="left" w:pos="0"/>
          <w:tab w:val="left" w:pos="63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rPr>
          <w:rFonts w:ascii="Times New Roman" w:hAnsi="Times New Roman"/>
          <w:sz w:val="24"/>
          <w:szCs w:val="24"/>
        </w:rPr>
      </w:pPr>
    </w:p>
    <w:p w:rsidR="0004749E" w:rsidRPr="00295914" w:rsidP="00110DBE" w14:paraId="795B0606" w14:textId="0FAD00CB">
      <w:pPr>
        <w:pStyle w:val="BodyText3"/>
        <w:numPr>
          <w:ilvl w:val="0"/>
          <w:numId w:val="23"/>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0"/>
        <w:rPr>
          <w:rFonts w:ascii="Times New Roman" w:hAnsi="Times New Roman"/>
          <w:b/>
          <w:color w:val="auto"/>
        </w:rPr>
      </w:pPr>
      <w:r w:rsidRPr="00295914">
        <w:rPr>
          <w:rFonts w:ascii="Times New Roman" w:hAnsi="Times New Roman"/>
          <w:b/>
          <w:color w:val="auto"/>
        </w:rPr>
        <w:t>D</w:t>
      </w:r>
      <w:r w:rsidRPr="00295914" w:rsidR="00605D99">
        <w:rPr>
          <w:rFonts w:ascii="Times New Roman" w:hAnsi="Times New Roman"/>
          <w:b/>
          <w:color w:val="auto"/>
        </w:rPr>
        <w:t>isplay</w:t>
      </w:r>
      <w:r w:rsidRPr="00295914">
        <w:rPr>
          <w:rFonts w:ascii="Times New Roman" w:hAnsi="Times New Roman"/>
          <w:b/>
          <w:color w:val="auto"/>
        </w:rPr>
        <w:t xml:space="preserve"> of t</w:t>
      </w:r>
      <w:r w:rsidRPr="00295914" w:rsidR="00605D99">
        <w:rPr>
          <w:rFonts w:ascii="Times New Roman" w:hAnsi="Times New Roman"/>
          <w:b/>
          <w:color w:val="auto"/>
        </w:rPr>
        <w:t>he</w:t>
      </w:r>
      <w:r w:rsidRPr="00295914">
        <w:rPr>
          <w:rFonts w:ascii="Times New Roman" w:hAnsi="Times New Roman"/>
          <w:b/>
          <w:color w:val="auto"/>
        </w:rPr>
        <w:t xml:space="preserve"> OMB</w:t>
      </w:r>
      <w:r w:rsidRPr="00295914" w:rsidR="00605D99">
        <w:rPr>
          <w:rFonts w:ascii="Times New Roman" w:hAnsi="Times New Roman"/>
          <w:b/>
          <w:color w:val="auto"/>
        </w:rPr>
        <w:t xml:space="preserve"> </w:t>
      </w:r>
      <w:r w:rsidRPr="00295914">
        <w:rPr>
          <w:rFonts w:ascii="Times New Roman" w:hAnsi="Times New Roman"/>
          <w:b/>
          <w:color w:val="auto"/>
        </w:rPr>
        <w:t>E</w:t>
      </w:r>
      <w:r w:rsidRPr="00295914" w:rsidR="00605D99">
        <w:rPr>
          <w:rFonts w:ascii="Times New Roman" w:hAnsi="Times New Roman"/>
          <w:b/>
          <w:color w:val="auto"/>
        </w:rPr>
        <w:t xml:space="preserve">xpiration </w:t>
      </w:r>
      <w:r w:rsidRPr="00295914">
        <w:rPr>
          <w:rFonts w:ascii="Times New Roman" w:hAnsi="Times New Roman"/>
          <w:b/>
          <w:color w:val="auto"/>
        </w:rPr>
        <w:t>Date</w:t>
      </w:r>
    </w:p>
    <w:p w:rsidR="00105F8E" w:rsidRPr="00220568" w:rsidP="00110DBE" w14:paraId="34030D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imes New Roman" w:hAnsi="Times New Roman"/>
          <w:sz w:val="24"/>
          <w:szCs w:val="24"/>
        </w:rPr>
      </w:pPr>
    </w:p>
    <w:p w:rsidR="00326ED5" w:rsidP="00110DBE" w14:paraId="74239181" w14:textId="4315BE53">
      <w:pPr>
        <w:tabs>
          <w:tab w:val="left" w:pos="-1440"/>
          <w:tab w:val="left" w:pos="-720"/>
          <w:tab w:val="left" w:pos="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rPr>
          <w:rFonts w:ascii="Times New Roman" w:hAnsi="Times New Roman"/>
          <w:sz w:val="24"/>
          <w:szCs w:val="24"/>
        </w:rPr>
      </w:pPr>
      <w:r>
        <w:rPr>
          <w:rFonts w:ascii="Times New Roman" w:hAnsi="Times New Roman"/>
          <w:sz w:val="24"/>
          <w:szCs w:val="24"/>
        </w:rPr>
        <w:tab/>
      </w:r>
      <w:r w:rsidR="00F97FF8">
        <w:rPr>
          <w:rFonts w:ascii="Times New Roman" w:hAnsi="Times New Roman"/>
          <w:sz w:val="24"/>
          <w:szCs w:val="24"/>
        </w:rPr>
        <w:t xml:space="preserve">MARAD is </w:t>
      </w:r>
      <w:r w:rsidRPr="00220568" w:rsidR="00605D99">
        <w:rPr>
          <w:rFonts w:ascii="Times New Roman" w:hAnsi="Times New Roman"/>
          <w:sz w:val="24"/>
          <w:szCs w:val="24"/>
        </w:rPr>
        <w:t>not seek</w:t>
      </w:r>
      <w:r w:rsidRPr="00220568">
        <w:rPr>
          <w:rFonts w:ascii="Times New Roman" w:hAnsi="Times New Roman"/>
          <w:sz w:val="24"/>
          <w:szCs w:val="24"/>
        </w:rPr>
        <w:t xml:space="preserve">ing approval not to </w:t>
      </w:r>
      <w:r w:rsidR="00F97FF8">
        <w:rPr>
          <w:rFonts w:ascii="Times New Roman" w:hAnsi="Times New Roman"/>
          <w:sz w:val="24"/>
          <w:szCs w:val="24"/>
        </w:rPr>
        <w:t xml:space="preserve">avoid </w:t>
      </w:r>
      <w:r w:rsidRPr="00220568">
        <w:rPr>
          <w:rFonts w:ascii="Times New Roman" w:hAnsi="Times New Roman"/>
          <w:sz w:val="24"/>
          <w:szCs w:val="24"/>
        </w:rPr>
        <w:t>display</w:t>
      </w:r>
      <w:r w:rsidR="00F97FF8">
        <w:rPr>
          <w:rFonts w:ascii="Times New Roman" w:hAnsi="Times New Roman"/>
          <w:sz w:val="24"/>
          <w:szCs w:val="24"/>
        </w:rPr>
        <w:t>ing</w:t>
      </w:r>
      <w:r w:rsidRPr="00220568">
        <w:rPr>
          <w:rFonts w:ascii="Times New Roman" w:hAnsi="Times New Roman"/>
          <w:sz w:val="24"/>
          <w:szCs w:val="24"/>
        </w:rPr>
        <w:t xml:space="preserve"> the expiration date. </w:t>
      </w:r>
    </w:p>
    <w:p w:rsidR="00F97FF8" w:rsidRPr="00220568" w:rsidP="00110DBE" w14:paraId="7723A4B5" w14:textId="77777777">
      <w:pPr>
        <w:tabs>
          <w:tab w:val="left" w:pos="-1440"/>
          <w:tab w:val="left" w:pos="-720"/>
          <w:tab w:val="left" w:pos="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rPr>
          <w:rFonts w:ascii="Times New Roman" w:hAnsi="Times New Roman"/>
          <w:sz w:val="24"/>
          <w:szCs w:val="24"/>
        </w:rPr>
      </w:pPr>
    </w:p>
    <w:p w:rsidR="00105F8E" w:rsidRPr="00295914" w:rsidP="00110DBE" w14:paraId="1391E5F8" w14:textId="73C147BD">
      <w:pPr>
        <w:pStyle w:val="ListParagraph"/>
        <w:numPr>
          <w:ilvl w:val="0"/>
          <w:numId w:val="23"/>
        </w:numPr>
        <w:ind w:left="0"/>
        <w:rPr>
          <w:rFonts w:ascii="Times New Roman" w:hAnsi="Times New Roman"/>
          <w:b/>
          <w:sz w:val="24"/>
          <w:szCs w:val="24"/>
        </w:rPr>
      </w:pPr>
      <w:r w:rsidRPr="00295914">
        <w:rPr>
          <w:rFonts w:ascii="Times New Roman" w:hAnsi="Times New Roman"/>
          <w:b/>
          <w:sz w:val="24"/>
          <w:szCs w:val="24"/>
        </w:rPr>
        <w:t>Exceptions to</w:t>
      </w:r>
      <w:r w:rsidRPr="00295914" w:rsidR="00F97FF8">
        <w:rPr>
          <w:rFonts w:ascii="Times New Roman" w:hAnsi="Times New Roman"/>
          <w:b/>
          <w:sz w:val="24"/>
          <w:szCs w:val="24"/>
        </w:rPr>
        <w:t xml:space="preserve"> the</w:t>
      </w:r>
      <w:r w:rsidRPr="00295914">
        <w:rPr>
          <w:rFonts w:ascii="Times New Roman" w:hAnsi="Times New Roman"/>
          <w:b/>
          <w:sz w:val="24"/>
          <w:szCs w:val="24"/>
        </w:rPr>
        <w:t xml:space="preserve"> </w:t>
      </w:r>
      <w:r w:rsidRPr="00295914" w:rsidR="00F97FF8">
        <w:rPr>
          <w:rFonts w:ascii="Times New Roman" w:hAnsi="Times New Roman"/>
          <w:b/>
          <w:sz w:val="24"/>
          <w:szCs w:val="24"/>
        </w:rPr>
        <w:t>Certification Statement</w:t>
      </w:r>
    </w:p>
    <w:p w:rsidR="00793B7D" w:rsidRPr="00220568" w:rsidP="00110DBE" w14:paraId="5F302858" w14:textId="77777777">
      <w:pPr>
        <w:ind w:hanging="360"/>
        <w:rPr>
          <w:rFonts w:ascii="Times New Roman" w:hAnsi="Times New Roman"/>
          <w:b/>
          <w:sz w:val="24"/>
          <w:szCs w:val="24"/>
        </w:rPr>
      </w:pPr>
    </w:p>
    <w:p w:rsidR="00192C47" w:rsidRPr="00220568" w:rsidP="00110DBE" w14:paraId="55889C39" w14:textId="58EA1804">
      <w:pPr>
        <w:pStyle w:val="NormalWeb"/>
        <w:spacing w:before="0" w:beforeAutospacing="0" w:after="0" w:afterAutospacing="0"/>
        <w:ind w:hanging="360"/>
        <w:rPr>
          <w:rFonts w:ascii="Times New Roman" w:hAnsi="Times New Roman" w:cs="Times New Roman"/>
          <w:bCs/>
        </w:rPr>
      </w:pPr>
      <w:r w:rsidRPr="00220568">
        <w:rPr>
          <w:rFonts w:ascii="Times New Roman" w:hAnsi="Times New Roman" w:cs="Times New Roman"/>
        </w:rPr>
        <w:t>There are no exceptions to the certificate statement.</w:t>
      </w:r>
      <w:r w:rsidRPr="00220568" w:rsidR="00CD7543">
        <w:rPr>
          <w:rFonts w:ascii="Times New Roman" w:hAnsi="Times New Roman" w:cs="Times New Roman"/>
          <w:bCs/>
        </w:rPr>
        <w:br/>
      </w:r>
    </w:p>
    <w:sectPr>
      <w:footerReference w:type="default" r:id="rId5"/>
      <w:footnotePr>
        <w:numRestart w:val="eachSect"/>
      </w:footnotePr>
      <w:endnotePr>
        <w:numFmt w:val="decimal"/>
      </w:endnotePr>
      <w:pgSz w:w="12240" w:h="15840" w:code="1"/>
      <w:pgMar w:top="1296" w:right="1440" w:bottom="129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714E" w14:paraId="36DD74D5" w14:textId="3D8324F6">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5B587A">
      <w:rPr>
        <w:rStyle w:val="PageNumber"/>
        <w:noProof/>
      </w:rPr>
      <w:t>4</w:t>
    </w:r>
    <w:r>
      <w:rPr>
        <w:rStyle w:val="PageNumber"/>
      </w:rPr>
      <w:fldChar w:fldCharType="end"/>
    </w:r>
  </w:p>
  <w:p w:rsidR="006C714E" w14:paraId="68D7E9A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86C41" w14:paraId="3AF2B653" w14:textId="77777777">
      <w:r>
        <w:separator/>
      </w:r>
    </w:p>
  </w:footnote>
  <w:footnote w:type="continuationSeparator" w:id="1">
    <w:p w:rsidR="00086C41" w14:paraId="76249895" w14:textId="77777777">
      <w:r>
        <w:continuationSeparator/>
      </w:r>
    </w:p>
  </w:footnote>
  <w:footnote w:id="2">
    <w:p w:rsidR="00762FA6" w:rsidRPr="006B2334" w:rsidP="00762FA6" w14:paraId="4384B3BB" w14:textId="77777777">
      <w:pPr>
        <w:pStyle w:val="FootnoteText"/>
        <w:rPr>
          <w:rFonts w:ascii="Times New Roman" w:hAnsi="Times New Roman"/>
        </w:rPr>
      </w:pPr>
      <w:r w:rsidRPr="006B2334">
        <w:rPr>
          <w:rStyle w:val="FootnoteReference"/>
          <w:rFonts w:ascii="Times New Roman" w:hAnsi="Times New Roman"/>
        </w:rPr>
        <w:footnoteRef/>
      </w:r>
      <w:r w:rsidRPr="006B2334">
        <w:rPr>
          <w:rFonts w:ascii="Times New Roman" w:hAnsi="Times New Roman"/>
        </w:rPr>
        <w:t xml:space="preserve"> The hourly wage estimate is taken from current BLS tables: </w:t>
      </w:r>
      <w:hyperlink r:id="rId1" w:anchor="/industry/000000" w:history="1">
        <w:r w:rsidRPr="00AB775A">
          <w:rPr>
            <w:rStyle w:val="Hyperlink"/>
            <w:rFonts w:ascii="Times New Roman" w:eastAsia="Calibri" w:hAnsi="Times New Roman"/>
          </w:rPr>
          <w:t>https://data.bls.gov/oes/#/industry/000000</w:t>
        </w:r>
      </w:hyperlink>
      <w:r>
        <w:rPr>
          <w:rFonts w:ascii="Times New Roman" w:hAnsi="Times New Roman"/>
        </w:rPr>
        <w:t xml:space="preserve"> </w:t>
      </w:r>
      <w:r w:rsidRPr="006B2334">
        <w:rPr>
          <w:rFonts w:ascii="Times New Roman" w:hAnsi="Times New Roman"/>
        </w:rPr>
        <w:t>.</w:t>
      </w:r>
    </w:p>
  </w:footnote>
  <w:footnote w:id="3">
    <w:p w:rsidR="00762FA6" w:rsidP="00762FA6" w14:paraId="2352ED1F" w14:textId="77777777">
      <w:pPr>
        <w:pStyle w:val="FootnoteText"/>
      </w:pPr>
      <w:r w:rsidRPr="006B2334">
        <w:rPr>
          <w:rStyle w:val="FootnoteReference"/>
          <w:rFonts w:ascii="Times New Roman" w:hAnsi="Times New Roman"/>
        </w:rPr>
        <w:footnoteRef/>
      </w:r>
      <w:r w:rsidRPr="006B2334">
        <w:rPr>
          <w:rFonts w:ascii="Times New Roman" w:hAnsi="Times New Roman"/>
        </w:rPr>
        <w:t xml:space="preserve"> </w:t>
      </w:r>
      <w:bookmarkStart w:id="4" w:name="_Hlk164072686"/>
      <w:r w:rsidRPr="006B2334">
        <w:rPr>
          <w:rFonts w:ascii="Times New Roman" w:hAnsi="Times New Roman"/>
        </w:rPr>
        <w:t>Per BLS Employee Compensation Memo, the total compensation rate for the private sector is 29%,</w:t>
      </w:r>
      <w:r>
        <w:rPr>
          <w:rFonts w:ascii="Times New Roman" w:hAnsi="Times New Roman"/>
        </w:rPr>
        <w:t xml:space="preserve"> </w:t>
      </w:r>
      <w:r w:rsidRPr="006B2334">
        <w:rPr>
          <w:rFonts w:ascii="Times New Roman" w:hAnsi="Times New Roman"/>
        </w:rPr>
        <w:t>:</w:t>
      </w:r>
      <w:hyperlink r:id="rId2" w:history="1">
        <w:r w:rsidRPr="006B2334">
          <w:rPr>
            <w:rStyle w:val="Hyperlink"/>
            <w:rFonts w:ascii="Times New Roman" w:eastAsia="Calibri" w:hAnsi="Times New Roman"/>
          </w:rPr>
          <w:t>https://www.bls.gov/news.release/pdf/ecec.pdf</w:t>
        </w:r>
      </w:hyperlink>
      <w:bookmarkEnd w:id="4"/>
    </w:p>
  </w:footnote>
  <w:footnote w:id="4">
    <w:p w:rsidR="003A109D" w:rsidRPr="00DB3FD3" w:rsidP="003A109D" w14:paraId="31FD4E80" w14:textId="77777777">
      <w:pPr>
        <w:pStyle w:val="FootnoteText"/>
        <w:rPr>
          <w:rFonts w:ascii="Times New Roman" w:hAnsi="Times New Roman"/>
        </w:rPr>
      </w:pPr>
      <w:r w:rsidRPr="00DB3FD3">
        <w:rPr>
          <w:rStyle w:val="FootnoteReference"/>
          <w:rFonts w:ascii="Times New Roman" w:hAnsi="Times New Roman"/>
        </w:rPr>
        <w:footnoteRef/>
      </w:r>
      <w:r w:rsidRPr="00DB3FD3">
        <w:rPr>
          <w:rFonts w:ascii="Times New Roman" w:hAnsi="Times New Roman"/>
        </w:rPr>
        <w:t xml:space="preserve"> The hourly Federal Government wage is taken from OPM 2024 wage tables: </w:t>
      </w:r>
      <w:hyperlink r:id="rId3" w:history="1">
        <w:r w:rsidRPr="00DB3FD3">
          <w:rPr>
            <w:rStyle w:val="Hyperlink"/>
            <w:rFonts w:ascii="Times New Roman" w:eastAsia="Calibri" w:hAnsi="Times New Roman"/>
          </w:rPr>
          <w:t>https://www.opm.gov/policy-data-oversight/pay-leave/salaries-wages/salary-tables/25Tables/html/DCB_h.aspx</w:t>
        </w:r>
      </w:hyperlink>
      <w:r w:rsidRPr="00DB3FD3">
        <w:rPr>
          <w:rFonts w:ascii="Times New Roman" w:hAnsi="Times New Roman"/>
        </w:rPr>
        <w:t xml:space="preserve"> </w:t>
      </w:r>
    </w:p>
  </w:footnote>
  <w:footnote w:id="5">
    <w:p w:rsidR="003A109D" w:rsidP="003A109D" w14:paraId="6A523426" w14:textId="77777777">
      <w:pPr>
        <w:pStyle w:val="FootnoteText"/>
      </w:pPr>
      <w:r w:rsidRPr="00DB3FD3">
        <w:rPr>
          <w:rStyle w:val="FootnoteReference"/>
          <w:rFonts w:ascii="Times New Roman" w:hAnsi="Times New Roman"/>
        </w:rPr>
        <w:footnoteRef/>
      </w:r>
      <w:r w:rsidRPr="00DB3FD3">
        <w:rPr>
          <w:rFonts w:ascii="Times New Roman" w:hAnsi="Times New Roman"/>
        </w:rPr>
        <w:t xml:space="preserve"> Per BLS Employee Compensation Memo, the total compensation rate for the Federal Government  is 31%,  :</w:t>
      </w:r>
      <w:hyperlink r:id="rId2" w:history="1">
        <w:r w:rsidRPr="00DB3FD3">
          <w:rPr>
            <w:rStyle w:val="Hyperlink"/>
            <w:rFonts w:ascii="Times New Roman" w:eastAsia="Calibri" w:hAnsi="Times New Roman"/>
          </w:rPr>
          <w:t>https://www.bls.gov/news.release/pdf/ecec.pdf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96F04"/>
    <w:multiLevelType w:val="hybridMultilevel"/>
    <w:tmpl w:val="8DAA16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454D12"/>
    <w:multiLevelType w:val="hybridMultilevel"/>
    <w:tmpl w:val="C01CA576"/>
    <w:lvl w:ilvl="0">
      <w:start w:val="1"/>
      <w:numFmt w:val="decimal"/>
      <w:lvlText w:val="%1."/>
      <w:lvlJc w:val="left"/>
      <w:pPr>
        <w:ind w:left="1080" w:hanging="360"/>
      </w:pPr>
      <w:rPr>
        <w:rFonts w:hint="default"/>
        <w:b/>
        <w:bCs/>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CC47289"/>
    <w:multiLevelType w:val="hybridMultilevel"/>
    <w:tmpl w:val="1CFA037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29641C9"/>
    <w:multiLevelType w:val="hybridMultilevel"/>
    <w:tmpl w:val="D638A606"/>
    <w:lvl w:ilvl="0">
      <w:start w:val="1"/>
      <w:numFmt w:val="bullet"/>
      <w:lvlText w:val=""/>
      <w:lvlJc w:val="left"/>
      <w:pPr>
        <w:ind w:left="45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714DFB"/>
    <w:multiLevelType w:val="hybridMultilevel"/>
    <w:tmpl w:val="B5D2E8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A962B56"/>
    <w:multiLevelType w:val="hybridMultilevel"/>
    <w:tmpl w:val="88CA429E"/>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Letter Gothic 12cpi" w:eastAsia="Times New Roman" w:hAnsi="Letter Gothic 12cpi"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D991F28"/>
    <w:multiLevelType w:val="hybridMultilevel"/>
    <w:tmpl w:val="B36479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1962F0"/>
    <w:multiLevelType w:val="hybrid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2B1D3404"/>
    <w:multiLevelType w:val="hybridMultilevel"/>
    <w:tmpl w:val="FCEA34C0"/>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D7E6B94"/>
    <w:multiLevelType w:val="hybridMultilevel"/>
    <w:tmpl w:val="BB5654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DDF04A4"/>
    <w:multiLevelType w:val="singleLevel"/>
    <w:tmpl w:val="90F0C6F6"/>
    <w:lvl w:ilvl="0">
      <w:start w:val="2"/>
      <w:numFmt w:val="lowerLetter"/>
      <w:lvlText w:val="(%1)"/>
      <w:lvlJc w:val="left"/>
      <w:pPr>
        <w:tabs>
          <w:tab w:val="num" w:pos="1080"/>
        </w:tabs>
        <w:ind w:left="1080" w:hanging="360"/>
      </w:pPr>
      <w:rPr>
        <w:rFonts w:hint="default"/>
      </w:rPr>
    </w:lvl>
  </w:abstractNum>
  <w:abstractNum w:abstractNumId="13">
    <w:nsid w:val="31763388"/>
    <w:multiLevelType w:val="hybridMultilevel"/>
    <w:tmpl w:val="43661E62"/>
    <w:lvl w:ilvl="0">
      <w:start w:val="1"/>
      <w:numFmt w:val="upperLetter"/>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CC46FAC"/>
    <w:multiLevelType w:val="hybridMultilevel"/>
    <w:tmpl w:val="209C4C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D4E241E"/>
    <w:multiLevelType w:val="hybridMultilevel"/>
    <w:tmpl w:val="A30EEF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E9C7896"/>
    <w:multiLevelType w:val="hybridMultilevel"/>
    <w:tmpl w:val="C4407DCE"/>
    <w:lvl w:ilvl="0">
      <w:start w:val="1"/>
      <w:numFmt w:val="lowerLetter"/>
      <w:lvlText w:val="(%1)"/>
      <w:lvlJc w:val="left"/>
      <w:pPr>
        <w:ind w:left="1470" w:hanging="390"/>
      </w:pPr>
      <w:rPr>
        <w:rFonts w:hint="default"/>
        <w:b/>
        <w:b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583B0F5D"/>
    <w:multiLevelType w:val="hybridMultilevel"/>
    <w:tmpl w:val="48B6DE5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0">
    <w:nsid w:val="5F2C68CF"/>
    <w:multiLevelType w:val="singleLevel"/>
    <w:tmpl w:val="349EEDBC"/>
    <w:lvl w:ilvl="0">
      <w:start w:val="1"/>
      <w:numFmt w:val="lowerLetter"/>
      <w:lvlText w:val="%1)"/>
      <w:lvlJc w:val="left"/>
      <w:pPr>
        <w:tabs>
          <w:tab w:val="num" w:pos="1080"/>
        </w:tabs>
        <w:ind w:left="1080" w:hanging="360"/>
      </w:pPr>
      <w:rPr>
        <w:rFonts w:hint="default"/>
      </w:rPr>
    </w:lvl>
  </w:abstractNum>
  <w:abstractNum w:abstractNumId="21">
    <w:nsid w:val="631F5F04"/>
    <w:multiLevelType w:val="hybridMultilevel"/>
    <w:tmpl w:val="6114ADA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65746CD4"/>
    <w:multiLevelType w:val="hybridMultilevel"/>
    <w:tmpl w:val="8646D6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4">
    <w:nsid w:val="6B295B79"/>
    <w:multiLevelType w:val="hybridMultilevel"/>
    <w:tmpl w:val="1A3E4038"/>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783E3CB9"/>
    <w:multiLevelType w:val="hybridMultilevel"/>
    <w:tmpl w:val="8176288C"/>
    <w:lvl w:ilvl="0">
      <w:start w:val="1"/>
      <w:numFmt w:val="upperLetter"/>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F1F1647"/>
    <w:multiLevelType w:val="hybridMultilevel"/>
    <w:tmpl w:val="C226B95C"/>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881939061">
    <w:abstractNumId w:val="2"/>
  </w:num>
  <w:num w:numId="2" w16cid:durableId="2071462436">
    <w:abstractNumId w:val="6"/>
  </w:num>
  <w:num w:numId="3" w16cid:durableId="1517309194">
    <w:abstractNumId w:val="8"/>
  </w:num>
  <w:num w:numId="4" w16cid:durableId="1448817035">
    <w:abstractNumId w:val="23"/>
  </w:num>
  <w:num w:numId="5" w16cid:durableId="185948120">
    <w:abstractNumId w:val="19"/>
  </w:num>
  <w:num w:numId="6" w16cid:durableId="1435055707">
    <w:abstractNumId w:val="9"/>
  </w:num>
  <w:num w:numId="7" w16cid:durableId="76367026">
    <w:abstractNumId w:val="18"/>
  </w:num>
  <w:num w:numId="8" w16cid:durableId="1866823428">
    <w:abstractNumId w:val="14"/>
  </w:num>
  <w:num w:numId="9" w16cid:durableId="2124036740">
    <w:abstractNumId w:val="5"/>
  </w:num>
  <w:num w:numId="10" w16cid:durableId="1744835842">
    <w:abstractNumId w:val="12"/>
  </w:num>
  <w:num w:numId="11" w16cid:durableId="298849826">
    <w:abstractNumId w:val="20"/>
  </w:num>
  <w:num w:numId="12" w16cid:durableId="1160193848">
    <w:abstractNumId w:val="11"/>
  </w:num>
  <w:num w:numId="13" w16cid:durableId="631984728">
    <w:abstractNumId w:val="22"/>
  </w:num>
  <w:num w:numId="14" w16cid:durableId="1935236516">
    <w:abstractNumId w:val="0"/>
  </w:num>
  <w:num w:numId="15" w16cid:durableId="2079012378">
    <w:abstractNumId w:val="16"/>
  </w:num>
  <w:num w:numId="16" w16cid:durableId="527913192">
    <w:abstractNumId w:val="4"/>
  </w:num>
  <w:num w:numId="17" w16cid:durableId="788671851">
    <w:abstractNumId w:val="7"/>
  </w:num>
  <w:num w:numId="18" w16cid:durableId="514807873">
    <w:abstractNumId w:val="15"/>
  </w:num>
  <w:num w:numId="19" w16cid:durableId="1891110604">
    <w:abstractNumId w:val="24"/>
  </w:num>
  <w:num w:numId="20" w16cid:durableId="906498097">
    <w:abstractNumId w:val="13"/>
  </w:num>
  <w:num w:numId="21" w16cid:durableId="816914756">
    <w:abstractNumId w:val="25"/>
  </w:num>
  <w:num w:numId="22" w16cid:durableId="1965848505">
    <w:abstractNumId w:val="10"/>
  </w:num>
  <w:num w:numId="23" w16cid:durableId="1477723507">
    <w:abstractNumId w:val="1"/>
  </w:num>
  <w:num w:numId="24" w16cid:durableId="1540700606">
    <w:abstractNumId w:val="26"/>
  </w:num>
  <w:num w:numId="25" w16cid:durableId="314532490">
    <w:abstractNumId w:val="3"/>
  </w:num>
  <w:num w:numId="26" w16cid:durableId="207106133">
    <w:abstractNumId w:val="21"/>
  </w:num>
  <w:num w:numId="27" w16cid:durableId="8981773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0" w:insDel="1" w:markup="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0"/>
    <w:footnote w:id="1"/>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F5D"/>
    <w:rsid w:val="00003772"/>
    <w:rsid w:val="000149A2"/>
    <w:rsid w:val="00030AD4"/>
    <w:rsid w:val="00041CE6"/>
    <w:rsid w:val="0004749E"/>
    <w:rsid w:val="00075011"/>
    <w:rsid w:val="0008270D"/>
    <w:rsid w:val="00086C41"/>
    <w:rsid w:val="00091612"/>
    <w:rsid w:val="00091BEF"/>
    <w:rsid w:val="000B484D"/>
    <w:rsid w:val="00103851"/>
    <w:rsid w:val="00105F8E"/>
    <w:rsid w:val="00110DBE"/>
    <w:rsid w:val="00123D23"/>
    <w:rsid w:val="0015642C"/>
    <w:rsid w:val="00157601"/>
    <w:rsid w:val="00192C47"/>
    <w:rsid w:val="001A010B"/>
    <w:rsid w:val="001B439B"/>
    <w:rsid w:val="001C1785"/>
    <w:rsid w:val="00220568"/>
    <w:rsid w:val="00221853"/>
    <w:rsid w:val="00231C8A"/>
    <w:rsid w:val="00233E81"/>
    <w:rsid w:val="00254561"/>
    <w:rsid w:val="00257F4B"/>
    <w:rsid w:val="002603D3"/>
    <w:rsid w:val="00264EED"/>
    <w:rsid w:val="00265600"/>
    <w:rsid w:val="0029484A"/>
    <w:rsid w:val="00295914"/>
    <w:rsid w:val="002A33C3"/>
    <w:rsid w:val="002F0A65"/>
    <w:rsid w:val="002F226F"/>
    <w:rsid w:val="00326ED5"/>
    <w:rsid w:val="0034776A"/>
    <w:rsid w:val="00356198"/>
    <w:rsid w:val="003578DE"/>
    <w:rsid w:val="003A109D"/>
    <w:rsid w:val="003B3022"/>
    <w:rsid w:val="003C52E8"/>
    <w:rsid w:val="003E5998"/>
    <w:rsid w:val="003E733F"/>
    <w:rsid w:val="004322A9"/>
    <w:rsid w:val="00470720"/>
    <w:rsid w:val="00486C1B"/>
    <w:rsid w:val="004F1582"/>
    <w:rsid w:val="005265BC"/>
    <w:rsid w:val="00562DFA"/>
    <w:rsid w:val="0057531E"/>
    <w:rsid w:val="005B587A"/>
    <w:rsid w:val="005D2BAD"/>
    <w:rsid w:val="005E229B"/>
    <w:rsid w:val="005E2473"/>
    <w:rsid w:val="005F4B84"/>
    <w:rsid w:val="00605D99"/>
    <w:rsid w:val="00606F46"/>
    <w:rsid w:val="00651C06"/>
    <w:rsid w:val="00662E3A"/>
    <w:rsid w:val="006643D0"/>
    <w:rsid w:val="00667711"/>
    <w:rsid w:val="006864E6"/>
    <w:rsid w:val="0069732F"/>
    <w:rsid w:val="006B2334"/>
    <w:rsid w:val="006C066D"/>
    <w:rsid w:val="006C714E"/>
    <w:rsid w:val="006E0380"/>
    <w:rsid w:val="006F197F"/>
    <w:rsid w:val="0071072E"/>
    <w:rsid w:val="00736595"/>
    <w:rsid w:val="0074307A"/>
    <w:rsid w:val="007472BA"/>
    <w:rsid w:val="00762FA6"/>
    <w:rsid w:val="00765446"/>
    <w:rsid w:val="00791D52"/>
    <w:rsid w:val="00793B7D"/>
    <w:rsid w:val="007E762F"/>
    <w:rsid w:val="007F2EC6"/>
    <w:rsid w:val="007F73F0"/>
    <w:rsid w:val="008126C3"/>
    <w:rsid w:val="00830F5D"/>
    <w:rsid w:val="008313CD"/>
    <w:rsid w:val="00844629"/>
    <w:rsid w:val="00855A3A"/>
    <w:rsid w:val="00864B81"/>
    <w:rsid w:val="00880CD0"/>
    <w:rsid w:val="008815FF"/>
    <w:rsid w:val="008A06FD"/>
    <w:rsid w:val="008A6589"/>
    <w:rsid w:val="008D1F35"/>
    <w:rsid w:val="008D34A3"/>
    <w:rsid w:val="008D47B6"/>
    <w:rsid w:val="008D553C"/>
    <w:rsid w:val="008D6E78"/>
    <w:rsid w:val="008F0BE7"/>
    <w:rsid w:val="008F2CDB"/>
    <w:rsid w:val="008F7792"/>
    <w:rsid w:val="00902DFA"/>
    <w:rsid w:val="00922ED0"/>
    <w:rsid w:val="00931517"/>
    <w:rsid w:val="009474B1"/>
    <w:rsid w:val="009558EB"/>
    <w:rsid w:val="00974B72"/>
    <w:rsid w:val="009757CE"/>
    <w:rsid w:val="00985042"/>
    <w:rsid w:val="00987537"/>
    <w:rsid w:val="009B47AF"/>
    <w:rsid w:val="009D317D"/>
    <w:rsid w:val="009D4F72"/>
    <w:rsid w:val="009D658E"/>
    <w:rsid w:val="009E69EE"/>
    <w:rsid w:val="009F074F"/>
    <w:rsid w:val="009F56A8"/>
    <w:rsid w:val="00A21E42"/>
    <w:rsid w:val="00A32516"/>
    <w:rsid w:val="00A3353D"/>
    <w:rsid w:val="00A501CC"/>
    <w:rsid w:val="00A60F51"/>
    <w:rsid w:val="00A72E59"/>
    <w:rsid w:val="00A75A5B"/>
    <w:rsid w:val="00A80D80"/>
    <w:rsid w:val="00A917C1"/>
    <w:rsid w:val="00AA29BF"/>
    <w:rsid w:val="00AA64C8"/>
    <w:rsid w:val="00AB6EFD"/>
    <w:rsid w:val="00AB761B"/>
    <w:rsid w:val="00AB775A"/>
    <w:rsid w:val="00AC7F26"/>
    <w:rsid w:val="00AD1747"/>
    <w:rsid w:val="00B22478"/>
    <w:rsid w:val="00B36408"/>
    <w:rsid w:val="00B470A0"/>
    <w:rsid w:val="00B6683E"/>
    <w:rsid w:val="00BC3521"/>
    <w:rsid w:val="00BD3483"/>
    <w:rsid w:val="00BD3A33"/>
    <w:rsid w:val="00BF4501"/>
    <w:rsid w:val="00C01598"/>
    <w:rsid w:val="00C0493B"/>
    <w:rsid w:val="00C106AB"/>
    <w:rsid w:val="00C11A96"/>
    <w:rsid w:val="00C52D1A"/>
    <w:rsid w:val="00C61E92"/>
    <w:rsid w:val="00C630F0"/>
    <w:rsid w:val="00C94597"/>
    <w:rsid w:val="00CD7543"/>
    <w:rsid w:val="00CE1135"/>
    <w:rsid w:val="00CF580F"/>
    <w:rsid w:val="00D02D5C"/>
    <w:rsid w:val="00D25BA4"/>
    <w:rsid w:val="00D554FD"/>
    <w:rsid w:val="00D608DF"/>
    <w:rsid w:val="00D77ABD"/>
    <w:rsid w:val="00D94CF3"/>
    <w:rsid w:val="00D95382"/>
    <w:rsid w:val="00DA3E2B"/>
    <w:rsid w:val="00DA3EAA"/>
    <w:rsid w:val="00DB3FD3"/>
    <w:rsid w:val="00DC55A4"/>
    <w:rsid w:val="00DF531F"/>
    <w:rsid w:val="00E059D6"/>
    <w:rsid w:val="00E376EC"/>
    <w:rsid w:val="00E5796F"/>
    <w:rsid w:val="00E61820"/>
    <w:rsid w:val="00E953BE"/>
    <w:rsid w:val="00EE61E1"/>
    <w:rsid w:val="00EE74DB"/>
    <w:rsid w:val="00F01504"/>
    <w:rsid w:val="00F03327"/>
    <w:rsid w:val="00F45074"/>
    <w:rsid w:val="00F53412"/>
    <w:rsid w:val="00F53FB7"/>
    <w:rsid w:val="00F6638A"/>
    <w:rsid w:val="00F67869"/>
    <w:rsid w:val="00F735D1"/>
    <w:rsid w:val="00F828A2"/>
    <w:rsid w:val="00F831E7"/>
    <w:rsid w:val="00F92057"/>
    <w:rsid w:val="00F97FF8"/>
    <w:rsid w:val="00FA153C"/>
    <w:rsid w:val="00FB67FA"/>
    <w:rsid w:val="00FE02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23449A1"/>
  <w15:chartTrackingRefBased/>
  <w15:docId w15:val="{ED823AC2-9168-4185-B318-2E00BB8D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ListParagraph">
    <w:name w:val="List Paragraph"/>
    <w:basedOn w:val="Normal"/>
    <w:uiPriority w:val="34"/>
    <w:qFormat/>
    <w:rsid w:val="009E69EE"/>
    <w:pPr>
      <w:ind w:left="720"/>
    </w:pPr>
  </w:style>
  <w:style w:type="paragraph" w:styleId="PlainText">
    <w:name w:val="Plain Text"/>
    <w:basedOn w:val="Normal"/>
    <w:link w:val="PlainTextChar"/>
    <w:uiPriority w:val="99"/>
    <w:unhideWhenUsed/>
    <w:rsid w:val="008D553C"/>
    <w:pPr>
      <w:widowControl/>
      <w:autoSpaceDE/>
      <w:autoSpaceDN/>
      <w:adjustRightInd/>
    </w:pPr>
    <w:rPr>
      <w:rFonts w:ascii="Calibri" w:eastAsia="Calibri" w:hAnsi="Calibri" w:cs="Consolas"/>
      <w:sz w:val="22"/>
      <w:szCs w:val="21"/>
    </w:rPr>
  </w:style>
  <w:style w:type="character" w:customStyle="1" w:styleId="PlainTextChar">
    <w:name w:val="Plain Text Char"/>
    <w:link w:val="PlainText"/>
    <w:uiPriority w:val="99"/>
    <w:rsid w:val="008D553C"/>
    <w:rPr>
      <w:rFonts w:ascii="Calibri" w:eastAsia="Calibri" w:hAnsi="Calibri" w:cs="Consolas"/>
      <w:sz w:val="22"/>
      <w:szCs w:val="21"/>
    </w:rPr>
  </w:style>
  <w:style w:type="character" w:styleId="CommentReference">
    <w:name w:val="annotation reference"/>
    <w:rsid w:val="006864E6"/>
    <w:rPr>
      <w:sz w:val="16"/>
      <w:szCs w:val="16"/>
    </w:rPr>
  </w:style>
  <w:style w:type="paragraph" w:styleId="CommentText">
    <w:name w:val="annotation text"/>
    <w:basedOn w:val="Normal"/>
    <w:link w:val="CommentTextChar"/>
    <w:rsid w:val="006864E6"/>
  </w:style>
  <w:style w:type="character" w:customStyle="1" w:styleId="CommentTextChar">
    <w:name w:val="Comment Text Char"/>
    <w:link w:val="CommentText"/>
    <w:rsid w:val="006864E6"/>
    <w:rPr>
      <w:rFonts w:ascii="Letter Gothic 12cpi" w:hAnsi="Letter Gothic 12cpi"/>
    </w:rPr>
  </w:style>
  <w:style w:type="paragraph" w:styleId="CommentSubject">
    <w:name w:val="annotation subject"/>
    <w:basedOn w:val="CommentText"/>
    <w:next w:val="CommentText"/>
    <w:link w:val="CommentSubjectChar"/>
    <w:rsid w:val="006864E6"/>
    <w:rPr>
      <w:b/>
      <w:bCs/>
    </w:rPr>
  </w:style>
  <w:style w:type="character" w:customStyle="1" w:styleId="CommentSubjectChar">
    <w:name w:val="Comment Subject Char"/>
    <w:link w:val="CommentSubject"/>
    <w:rsid w:val="006864E6"/>
    <w:rPr>
      <w:rFonts w:ascii="Letter Gothic 12cpi" w:hAnsi="Letter Gothic 12cpi"/>
      <w:b/>
      <w:bCs/>
    </w:rPr>
  </w:style>
  <w:style w:type="paragraph" w:styleId="BalloonText">
    <w:name w:val="Balloon Text"/>
    <w:basedOn w:val="Normal"/>
    <w:link w:val="BalloonTextChar"/>
    <w:rsid w:val="006864E6"/>
    <w:rPr>
      <w:rFonts w:ascii="Segoe UI" w:hAnsi="Segoe UI" w:cs="Segoe UI"/>
      <w:sz w:val="18"/>
      <w:szCs w:val="18"/>
    </w:rPr>
  </w:style>
  <w:style w:type="character" w:customStyle="1" w:styleId="BalloonTextChar">
    <w:name w:val="Balloon Text Char"/>
    <w:link w:val="BalloonText"/>
    <w:rsid w:val="006864E6"/>
    <w:rPr>
      <w:rFonts w:ascii="Segoe UI" w:hAnsi="Segoe UI" w:cs="Segoe UI"/>
      <w:sz w:val="18"/>
      <w:szCs w:val="18"/>
    </w:rPr>
  </w:style>
  <w:style w:type="character" w:styleId="UnresolvedMention">
    <w:name w:val="Unresolved Mention"/>
    <w:basedOn w:val="DefaultParagraphFont"/>
    <w:uiPriority w:val="99"/>
    <w:semiHidden/>
    <w:unhideWhenUsed/>
    <w:rsid w:val="005265BC"/>
    <w:rPr>
      <w:color w:val="605E5C"/>
      <w:shd w:val="clear" w:color="auto" w:fill="E1DFDD"/>
    </w:rPr>
  </w:style>
  <w:style w:type="paragraph" w:styleId="Revision">
    <w:name w:val="Revision"/>
    <w:hidden/>
    <w:uiPriority w:val="99"/>
    <w:semiHidden/>
    <w:rsid w:val="00233E81"/>
    <w:rPr>
      <w:rFonts w:ascii="Letter Gothic 12cpi" w:hAnsi="Letter Gothic 12cpi"/>
    </w:rPr>
  </w:style>
  <w:style w:type="paragraph" w:styleId="FootnoteText">
    <w:name w:val="footnote text"/>
    <w:basedOn w:val="Normal"/>
    <w:link w:val="FootnoteTextChar"/>
    <w:uiPriority w:val="99"/>
    <w:rsid w:val="00762FA6"/>
  </w:style>
  <w:style w:type="character" w:customStyle="1" w:styleId="FootnoteTextChar">
    <w:name w:val="Footnote Text Char"/>
    <w:basedOn w:val="DefaultParagraphFont"/>
    <w:link w:val="FootnoteText"/>
    <w:uiPriority w:val="99"/>
    <w:rsid w:val="00762FA6"/>
    <w:rPr>
      <w:rFonts w:ascii="Letter Gothic 12cpi" w:hAnsi="Letter Gothic 12cpi"/>
    </w:rPr>
  </w:style>
  <w:style w:type="character" w:styleId="FootnoteReference">
    <w:name w:val="footnote reference"/>
    <w:uiPriority w:val="99"/>
    <w:unhideWhenUsed/>
    <w:rsid w:val="00762FA6"/>
    <w:rPr>
      <w:vertAlign w:val="superscript"/>
    </w:rPr>
  </w:style>
  <w:style w:type="character" w:styleId="FollowedHyperlink">
    <w:name w:val="FollowedHyperlink"/>
    <w:basedOn w:val="DefaultParagraphFont"/>
    <w:rsid w:val="00762F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data.bls.gov/oes/" TargetMode="External" /><Relationship Id="rId2" Type="http://schemas.openxmlformats.org/officeDocument/2006/relationships/hyperlink" Target="https://www.bls.gov/news.release/pdf/ecec.pdf" TargetMode="External" /><Relationship Id="rId3" Type="http://schemas.openxmlformats.org/officeDocument/2006/relationships/hyperlink" Target="https://www.opm.gov/policy-data-oversight/pay-leave/salaries-wages/salary-tables/25Tables/html/DCB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5</Pages>
  <Words>1363</Words>
  <Characters>7773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Tamelia.Bolton (MARAD)</dc:creator>
  <cp:lastModifiedBy>Bolton, Tamelia (MARAD)</cp:lastModifiedBy>
  <cp:revision>6</cp:revision>
  <cp:lastPrinted>2007-03-23T19:09:00Z</cp:lastPrinted>
  <dcterms:created xsi:type="dcterms:W3CDTF">2025-12-19T17:56:00Z</dcterms:created>
  <dcterms:modified xsi:type="dcterms:W3CDTF">2025-12-19T19:00:00Z</dcterms:modified>
</cp:coreProperties>
</file>