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4880" w:rsidRPr="007C454E" w:rsidP="00ED4880" w14:paraId="643CB647" w14:textId="77777777">
      <w:pPr>
        <w:widowControl w:val="0"/>
        <w:tabs>
          <w:tab w:val="left" w:pos="2544"/>
        </w:tabs>
        <w:autoSpaceDE w:val="0"/>
        <w:autoSpaceDN w:val="0"/>
        <w:adjustRightInd w:val="0"/>
        <w:spacing w:before="29" w:after="0" w:line="240" w:lineRule="auto"/>
        <w:ind w:right="804"/>
        <w:rPr>
          <w:rFonts w:ascii="Arial" w:eastAsia="Times New Roman" w:hAnsi="Arial" w:cs="Arial"/>
          <w:b/>
          <w:sz w:val="24"/>
          <w:szCs w:val="24"/>
        </w:rPr>
      </w:pPr>
      <w:r w:rsidRPr="007C454E">
        <w:rPr>
          <w:rFonts w:ascii="Arial" w:eastAsia="Times New Roman" w:hAnsi="Arial" w:cs="Arial"/>
          <w:b/>
          <w:sz w:val="24"/>
          <w:szCs w:val="24"/>
        </w:rPr>
        <w:t>852.212-</w:t>
      </w:r>
      <w:r w:rsidRPr="007C454E">
        <w:rPr>
          <w:rFonts w:ascii="Arial" w:eastAsia="Times New Roman" w:hAnsi="Arial" w:cs="Arial"/>
          <w:b/>
          <w:sz w:val="24"/>
          <w:szCs w:val="24"/>
        </w:rPr>
        <w:t>71  Gray</w:t>
      </w:r>
      <w:r w:rsidRPr="007C454E">
        <w:rPr>
          <w:rFonts w:ascii="Arial" w:eastAsia="Times New Roman" w:hAnsi="Arial" w:cs="Arial"/>
          <w:b/>
          <w:sz w:val="24"/>
          <w:szCs w:val="24"/>
        </w:rPr>
        <w:t xml:space="preserve"> Market and Counterfeit Items.</w:t>
      </w:r>
    </w:p>
    <w:p w:rsidR="00ED4880" w:rsidRPr="007C454E" w:rsidP="00ED4880" w14:paraId="0829A321" w14:textId="77777777">
      <w:pPr>
        <w:widowControl w:val="0"/>
        <w:tabs>
          <w:tab w:val="left" w:pos="2544"/>
        </w:tabs>
        <w:autoSpaceDE w:val="0"/>
        <w:autoSpaceDN w:val="0"/>
        <w:adjustRightInd w:val="0"/>
        <w:spacing w:before="29" w:after="0" w:line="240" w:lineRule="auto"/>
        <w:ind w:right="804"/>
        <w:rPr>
          <w:rFonts w:ascii="Arial" w:eastAsia="Times New Roman" w:hAnsi="Arial" w:cs="Arial"/>
          <w:bCs/>
          <w:sz w:val="24"/>
          <w:szCs w:val="24"/>
        </w:rPr>
      </w:pPr>
    </w:p>
    <w:p w:rsidR="00ED4880" w:rsidRPr="007C454E" w:rsidP="00ED4880" w14:paraId="4063DA97" w14:textId="77777777">
      <w:pPr>
        <w:widowControl w:val="0"/>
        <w:tabs>
          <w:tab w:val="left" w:pos="2544"/>
        </w:tabs>
        <w:autoSpaceDE w:val="0"/>
        <w:autoSpaceDN w:val="0"/>
        <w:adjustRightInd w:val="0"/>
        <w:spacing w:after="0" w:line="480" w:lineRule="auto"/>
        <w:ind w:right="806" w:firstLine="720"/>
        <w:rPr>
          <w:rFonts w:ascii="Arial" w:eastAsia="Times New Roman" w:hAnsi="Arial" w:cs="Arial"/>
          <w:bCs/>
          <w:sz w:val="24"/>
          <w:szCs w:val="24"/>
        </w:rPr>
      </w:pPr>
      <w:r w:rsidRPr="007C454E">
        <w:rPr>
          <w:rFonts w:ascii="Arial" w:eastAsia="Times New Roman" w:hAnsi="Arial" w:cs="Arial"/>
          <w:bCs/>
          <w:sz w:val="24"/>
          <w:szCs w:val="24"/>
        </w:rPr>
        <w:t>As prescribed in 812.301(f), insert the following clause:</w:t>
      </w:r>
    </w:p>
    <w:p w:rsidR="00ED4880" w:rsidRPr="007C454E" w:rsidP="00ED4880" w14:paraId="51C5B622" w14:textId="77777777">
      <w:pPr>
        <w:widowControl w:val="0"/>
        <w:tabs>
          <w:tab w:val="left" w:pos="2544"/>
        </w:tabs>
        <w:autoSpaceDE w:val="0"/>
        <w:autoSpaceDN w:val="0"/>
        <w:adjustRightInd w:val="0"/>
        <w:spacing w:before="29" w:after="0" w:line="240" w:lineRule="auto"/>
        <w:ind w:right="804"/>
        <w:jc w:val="center"/>
        <w:rPr>
          <w:rFonts w:ascii="Arial" w:eastAsia="Times New Roman" w:hAnsi="Arial" w:cs="Arial"/>
          <w:b/>
          <w:sz w:val="24"/>
          <w:szCs w:val="24"/>
        </w:rPr>
      </w:pPr>
      <w:r w:rsidRPr="007C454E">
        <w:rPr>
          <w:rFonts w:ascii="Arial" w:eastAsia="Times New Roman" w:hAnsi="Arial" w:cs="Arial"/>
          <w:b/>
          <w:sz w:val="24"/>
          <w:szCs w:val="24"/>
        </w:rPr>
        <w:t>GRAY MARKET AND COUNTERFEIT ITEMS (</w:t>
      </w:r>
      <w:r>
        <w:rPr>
          <w:rFonts w:ascii="Arial" w:eastAsia="Times New Roman" w:hAnsi="Arial" w:cs="Arial"/>
          <w:b/>
          <w:sz w:val="24"/>
          <w:szCs w:val="24"/>
        </w:rPr>
        <w:t>FEB 2023</w:t>
      </w:r>
      <w:r w:rsidRPr="007C454E">
        <w:rPr>
          <w:rFonts w:ascii="Arial" w:eastAsia="Times New Roman" w:hAnsi="Arial" w:cs="Arial"/>
          <w:b/>
          <w:sz w:val="24"/>
          <w:szCs w:val="24"/>
        </w:rPr>
        <w:t>)</w:t>
      </w:r>
    </w:p>
    <w:p w:rsidR="00ED4880" w:rsidRPr="007C454E" w:rsidP="00ED4880" w14:paraId="28E92A0B" w14:textId="77777777">
      <w:pPr>
        <w:widowControl w:val="0"/>
        <w:tabs>
          <w:tab w:val="left" w:pos="2544"/>
        </w:tabs>
        <w:autoSpaceDE w:val="0"/>
        <w:autoSpaceDN w:val="0"/>
        <w:adjustRightInd w:val="0"/>
        <w:spacing w:before="29" w:after="0" w:line="240" w:lineRule="auto"/>
        <w:ind w:right="804"/>
        <w:jc w:val="center"/>
        <w:rPr>
          <w:rFonts w:ascii="Arial" w:eastAsia="Times New Roman" w:hAnsi="Arial" w:cs="Arial"/>
          <w:b/>
          <w:sz w:val="24"/>
          <w:szCs w:val="24"/>
        </w:rPr>
      </w:pPr>
    </w:p>
    <w:p w:rsidR="00ED4880" w:rsidRPr="007C454E" w:rsidP="00ED4880" w14:paraId="13FEACDC" w14:textId="77777777">
      <w:pPr>
        <w:widowControl w:val="0"/>
        <w:tabs>
          <w:tab w:val="left" w:pos="2544"/>
        </w:tabs>
        <w:autoSpaceDE w:val="0"/>
        <w:autoSpaceDN w:val="0"/>
        <w:adjustRightInd w:val="0"/>
        <w:spacing w:after="0" w:line="480" w:lineRule="auto"/>
        <w:ind w:firstLine="720"/>
        <w:contextualSpacing/>
        <w:rPr>
          <w:rFonts w:ascii="Arial" w:eastAsia="Times New Roman" w:hAnsi="Arial" w:cs="Arial"/>
          <w:bCs/>
          <w:sz w:val="24"/>
          <w:szCs w:val="24"/>
        </w:rPr>
      </w:pPr>
      <w:r w:rsidRPr="007C454E">
        <w:rPr>
          <w:rFonts w:ascii="Arial" w:eastAsia="Times New Roman" w:hAnsi="Arial" w:cs="Arial"/>
          <w:bCs/>
          <w:sz w:val="24"/>
          <w:szCs w:val="24"/>
        </w:rPr>
        <w:t xml:space="preserve">(a) </w:t>
      </w:r>
      <w:bookmarkStart w:id="0" w:name="_Hlk49941748"/>
      <w:r w:rsidRPr="007C454E">
        <w:rPr>
          <w:rFonts w:ascii="Arial" w:eastAsia="Times New Roman" w:hAnsi="Arial" w:cs="Arial"/>
          <w:bCs/>
          <w:sz w:val="24"/>
          <w:szCs w:val="24"/>
        </w:rPr>
        <w:t>No used, refurbished, or remanufactured supplies or equipment/parts shall be provided. This procurement is for new Original Equipment Manufacturer (OEM) items only. No gray market items shall be provided. Gray market items are OEM goods intentionally or unintentionally sold outside an authorized sales territory or sold by non-authorized dealers in an authorized sales territory.</w:t>
      </w:r>
    </w:p>
    <w:bookmarkEnd w:id="0"/>
    <w:p w:rsidR="00ED4880" w:rsidRPr="007C454E" w:rsidP="00ED4880" w14:paraId="2C3A24A0" w14:textId="77777777">
      <w:pPr>
        <w:widowControl w:val="0"/>
        <w:tabs>
          <w:tab w:val="left" w:pos="2544"/>
        </w:tabs>
        <w:autoSpaceDE w:val="0"/>
        <w:autoSpaceDN w:val="0"/>
        <w:adjustRightInd w:val="0"/>
        <w:spacing w:after="0" w:line="480" w:lineRule="auto"/>
        <w:ind w:firstLine="720"/>
        <w:contextualSpacing/>
        <w:rPr>
          <w:rFonts w:ascii="Arial" w:eastAsia="Times New Roman" w:hAnsi="Arial" w:cs="Arial"/>
          <w:bCs/>
          <w:sz w:val="24"/>
          <w:szCs w:val="24"/>
        </w:rPr>
      </w:pPr>
      <w:r w:rsidRPr="007C454E">
        <w:rPr>
          <w:rFonts w:ascii="Arial" w:eastAsia="Times New Roman" w:hAnsi="Arial" w:cs="Arial"/>
          <w:bCs/>
          <w:sz w:val="24"/>
          <w:szCs w:val="24"/>
        </w:rPr>
        <w:t>(b) No counterfeit supplies or equipment/parts shall be provided. Counterfeit items include unlawful or unauthorized reproductions, substitutions, or alterations that have been mismarked, misidentified, or otherwise misrepresented to be an authentic, unmodified item from the original manufacturer, or a source with the express written authority of the original manufacturer or current design activity, including an authorized aftermarket manufacturer. Unlawful or unauthorized substitutions include used items represented as new, or the false identification of grade, serial number, lot number, date code, or performance characteristics.</w:t>
      </w:r>
    </w:p>
    <w:p w:rsidR="00ED4880" w:rsidRPr="007C454E" w:rsidP="00ED4880" w14:paraId="4D9BEA83" w14:textId="77777777">
      <w:pPr>
        <w:widowControl w:val="0"/>
        <w:tabs>
          <w:tab w:val="left" w:pos="2544"/>
        </w:tabs>
        <w:autoSpaceDE w:val="0"/>
        <w:autoSpaceDN w:val="0"/>
        <w:adjustRightInd w:val="0"/>
        <w:spacing w:after="0" w:line="480" w:lineRule="auto"/>
        <w:ind w:firstLine="720"/>
        <w:contextualSpacing/>
        <w:rPr>
          <w:rFonts w:ascii="Arial" w:eastAsia="Times New Roman" w:hAnsi="Arial" w:cs="Arial"/>
          <w:bCs/>
          <w:sz w:val="24"/>
          <w:szCs w:val="24"/>
        </w:rPr>
      </w:pPr>
      <w:r w:rsidRPr="007C454E">
        <w:rPr>
          <w:rFonts w:ascii="Arial" w:eastAsia="Times New Roman" w:hAnsi="Arial" w:cs="Arial"/>
          <w:bCs/>
          <w:sz w:val="24"/>
          <w:szCs w:val="24"/>
        </w:rPr>
        <w:t>(c) Vendor shall be an OEM, authorized dealer, authorized distributor</w:t>
      </w:r>
      <w:r>
        <w:rPr>
          <w:rFonts w:ascii="Arial" w:eastAsia="Times New Roman" w:hAnsi="Arial" w:cs="Arial"/>
          <w:bCs/>
          <w:sz w:val="24"/>
          <w:szCs w:val="24"/>
        </w:rPr>
        <w:t>,</w:t>
      </w:r>
      <w:r w:rsidRPr="007C454E">
        <w:rPr>
          <w:rFonts w:ascii="Arial" w:eastAsia="Times New Roman" w:hAnsi="Arial" w:cs="Arial"/>
          <w:bCs/>
          <w:sz w:val="24"/>
          <w:szCs w:val="24"/>
        </w:rPr>
        <w:t xml:space="preserve"> or authorized reseller for the proposed equipment/system, verified by an authorization letter or other documents from the OEM. All software licensing, warranty and service associated with the equipment/system shall be in accordance with the OEM terms and conditions.</w:t>
      </w:r>
    </w:p>
    <w:p w:rsidR="00ED4880" w:rsidP="00ED4880" w14:paraId="17CD6315" w14:textId="71807C01">
      <w:pPr>
        <w:rPr>
          <w:rFonts w:ascii="Arial" w:hAnsi="Arial" w:cs="Arial"/>
          <w:sz w:val="24"/>
          <w:szCs w:val="24"/>
        </w:rPr>
      </w:pPr>
      <w:r w:rsidRPr="007C454E">
        <w:rPr>
          <w:rFonts w:ascii="Arial" w:eastAsia="Times New Roman" w:hAnsi="Arial" w:cs="Arial"/>
          <w:bCs/>
          <w:sz w:val="24"/>
          <w:szCs w:val="24"/>
        </w:rPr>
        <w:t>(End of clause)</w:t>
      </w:r>
    </w:p>
    <w:p w:rsidR="006F5234" w:rsidP="006F5234" w14:paraId="71105584" w14:textId="1AAD9B5F">
      <w:pPr>
        <w:rPr>
          <w:rFonts w:ascii="Arial" w:hAnsi="Arial" w:cs="Arial"/>
          <w:sz w:val="24"/>
          <w:szCs w:val="24"/>
        </w:rPr>
      </w:pPr>
    </w:p>
    <w:p w:rsidR="00ED4880" w:rsidRPr="007C454E" w:rsidP="00ED4880" w14:paraId="0A7CF48C" w14:textId="77777777">
      <w:pPr>
        <w:widowControl w:val="0"/>
        <w:tabs>
          <w:tab w:val="left" w:pos="2544"/>
        </w:tabs>
        <w:autoSpaceDE w:val="0"/>
        <w:autoSpaceDN w:val="0"/>
        <w:adjustRightInd w:val="0"/>
        <w:spacing w:before="29" w:after="0" w:line="240" w:lineRule="auto"/>
        <w:ind w:right="804"/>
        <w:rPr>
          <w:rFonts w:ascii="Arial" w:eastAsia="Times New Roman" w:hAnsi="Arial" w:cs="Arial"/>
          <w:b/>
          <w:sz w:val="24"/>
          <w:szCs w:val="24"/>
        </w:rPr>
      </w:pPr>
      <w:r w:rsidRPr="007C454E">
        <w:rPr>
          <w:rFonts w:ascii="Arial" w:eastAsia="Times New Roman" w:hAnsi="Arial" w:cs="Arial"/>
          <w:b/>
          <w:sz w:val="24"/>
          <w:szCs w:val="24"/>
        </w:rPr>
        <w:t>852.212-</w:t>
      </w:r>
      <w:r w:rsidRPr="007C454E">
        <w:rPr>
          <w:rFonts w:ascii="Arial" w:eastAsia="Times New Roman" w:hAnsi="Arial" w:cs="Arial"/>
          <w:b/>
          <w:sz w:val="24"/>
          <w:szCs w:val="24"/>
        </w:rPr>
        <w:t>72  Gray</w:t>
      </w:r>
      <w:r w:rsidRPr="007C454E">
        <w:rPr>
          <w:rFonts w:ascii="Arial" w:eastAsia="Times New Roman" w:hAnsi="Arial" w:cs="Arial"/>
          <w:b/>
          <w:sz w:val="24"/>
          <w:szCs w:val="24"/>
        </w:rPr>
        <w:t xml:space="preserve"> Market and Counterfeit Items—Information Technology Maintenance Allowing Other-than-New Parts.</w:t>
      </w:r>
    </w:p>
    <w:p w:rsidR="00ED4880" w:rsidRPr="007C454E" w:rsidP="00ED4880" w14:paraId="76BE5E65" w14:textId="77777777">
      <w:pPr>
        <w:widowControl w:val="0"/>
        <w:tabs>
          <w:tab w:val="left" w:pos="2544"/>
        </w:tabs>
        <w:autoSpaceDE w:val="0"/>
        <w:autoSpaceDN w:val="0"/>
        <w:adjustRightInd w:val="0"/>
        <w:spacing w:before="29" w:after="0" w:line="240" w:lineRule="auto"/>
        <w:ind w:right="804"/>
        <w:rPr>
          <w:rFonts w:ascii="Arial" w:eastAsia="Times New Roman" w:hAnsi="Arial" w:cs="Arial"/>
          <w:b/>
          <w:sz w:val="24"/>
          <w:szCs w:val="24"/>
        </w:rPr>
      </w:pPr>
    </w:p>
    <w:p w:rsidR="00ED4880" w:rsidRPr="007C454E" w:rsidP="00ED4880" w14:paraId="00384A19" w14:textId="77777777">
      <w:pPr>
        <w:widowControl w:val="0"/>
        <w:tabs>
          <w:tab w:val="left" w:pos="2544"/>
        </w:tabs>
        <w:autoSpaceDE w:val="0"/>
        <w:autoSpaceDN w:val="0"/>
        <w:adjustRightInd w:val="0"/>
        <w:spacing w:after="0" w:line="480" w:lineRule="auto"/>
        <w:ind w:right="806" w:firstLine="720"/>
        <w:rPr>
          <w:rFonts w:ascii="Arial" w:eastAsia="Times New Roman" w:hAnsi="Arial" w:cs="Arial"/>
          <w:bCs/>
          <w:sz w:val="24"/>
          <w:szCs w:val="24"/>
        </w:rPr>
      </w:pPr>
      <w:r w:rsidRPr="007C454E">
        <w:rPr>
          <w:rFonts w:ascii="Arial" w:eastAsia="Times New Roman" w:hAnsi="Arial" w:cs="Arial"/>
          <w:bCs/>
          <w:sz w:val="24"/>
          <w:szCs w:val="24"/>
        </w:rPr>
        <w:t>As prescribed in 812.301(</w:t>
      </w:r>
      <w:r>
        <w:rPr>
          <w:rFonts w:ascii="Arial" w:eastAsia="Times New Roman" w:hAnsi="Arial" w:cs="Arial"/>
          <w:bCs/>
          <w:sz w:val="24"/>
          <w:szCs w:val="24"/>
        </w:rPr>
        <w:t>f</w:t>
      </w:r>
      <w:r w:rsidRPr="007C454E">
        <w:rPr>
          <w:rFonts w:ascii="Arial" w:eastAsia="Times New Roman" w:hAnsi="Arial" w:cs="Arial"/>
          <w:bCs/>
          <w:sz w:val="24"/>
          <w:szCs w:val="24"/>
        </w:rPr>
        <w:t xml:space="preserve">), insert the following clause: </w:t>
      </w:r>
    </w:p>
    <w:p w:rsidR="00ED4880" w:rsidRPr="007C454E" w:rsidP="00ED4880" w14:paraId="0A7F48DF" w14:textId="77777777">
      <w:pPr>
        <w:widowControl w:val="0"/>
        <w:tabs>
          <w:tab w:val="left" w:pos="2544"/>
        </w:tabs>
        <w:autoSpaceDE w:val="0"/>
        <w:autoSpaceDN w:val="0"/>
        <w:adjustRightInd w:val="0"/>
        <w:spacing w:before="29" w:after="0" w:line="240" w:lineRule="auto"/>
        <w:ind w:right="804" w:firstLine="720"/>
        <w:jc w:val="center"/>
        <w:rPr>
          <w:rFonts w:ascii="Arial" w:eastAsia="Times New Roman" w:hAnsi="Arial" w:cs="Arial"/>
          <w:b/>
          <w:sz w:val="24"/>
          <w:szCs w:val="24"/>
        </w:rPr>
      </w:pPr>
      <w:r w:rsidRPr="007C454E">
        <w:rPr>
          <w:rFonts w:ascii="Arial" w:eastAsia="Times New Roman" w:hAnsi="Arial" w:cs="Arial"/>
          <w:b/>
          <w:sz w:val="24"/>
          <w:szCs w:val="24"/>
        </w:rPr>
        <w:t>GRAY MARKET AND COUNTERFEIT ITEMS—INFORMATION TECHNOLOGY MAINTENANCE ALLOWING OTHER-THAN-NEW PARTS (</w:t>
      </w:r>
      <w:r>
        <w:rPr>
          <w:rFonts w:ascii="Arial" w:eastAsia="Times New Roman" w:hAnsi="Arial" w:cs="Arial"/>
          <w:b/>
          <w:sz w:val="24"/>
          <w:szCs w:val="24"/>
        </w:rPr>
        <w:t>FEB 2023</w:t>
      </w:r>
      <w:r w:rsidRPr="007C454E">
        <w:rPr>
          <w:rFonts w:ascii="Arial" w:eastAsia="Times New Roman" w:hAnsi="Arial" w:cs="Arial"/>
          <w:b/>
          <w:sz w:val="24"/>
          <w:szCs w:val="24"/>
        </w:rPr>
        <w:t>)</w:t>
      </w:r>
    </w:p>
    <w:p w:rsidR="00ED4880" w:rsidRPr="007C454E" w:rsidP="00ED4880" w14:paraId="501B57CC" w14:textId="77777777">
      <w:pPr>
        <w:widowControl w:val="0"/>
        <w:tabs>
          <w:tab w:val="left" w:pos="2544"/>
        </w:tabs>
        <w:autoSpaceDE w:val="0"/>
        <w:autoSpaceDN w:val="0"/>
        <w:adjustRightInd w:val="0"/>
        <w:spacing w:before="29" w:after="0" w:line="240" w:lineRule="auto"/>
        <w:ind w:right="804" w:firstLine="720"/>
        <w:rPr>
          <w:rFonts w:ascii="Arial" w:eastAsia="Times New Roman" w:hAnsi="Arial" w:cs="Arial"/>
          <w:bCs/>
          <w:sz w:val="24"/>
          <w:szCs w:val="24"/>
        </w:rPr>
      </w:pPr>
    </w:p>
    <w:p w:rsidR="00ED4880" w:rsidRPr="007C454E" w:rsidP="00ED4880" w14:paraId="44040B96" w14:textId="77777777">
      <w:pPr>
        <w:widowControl w:val="0"/>
        <w:tabs>
          <w:tab w:val="left" w:pos="2544"/>
        </w:tabs>
        <w:autoSpaceDE w:val="0"/>
        <w:autoSpaceDN w:val="0"/>
        <w:adjustRightInd w:val="0"/>
        <w:spacing w:after="0" w:line="480" w:lineRule="auto"/>
        <w:ind w:firstLine="720"/>
        <w:contextualSpacing/>
        <w:rPr>
          <w:rFonts w:ascii="Arial" w:eastAsia="Times New Roman" w:hAnsi="Arial" w:cs="Arial"/>
          <w:bCs/>
          <w:sz w:val="24"/>
          <w:szCs w:val="24"/>
        </w:rPr>
      </w:pPr>
      <w:r w:rsidRPr="007C454E">
        <w:rPr>
          <w:rFonts w:ascii="Arial" w:eastAsia="Times New Roman" w:hAnsi="Arial" w:cs="Arial"/>
          <w:bCs/>
          <w:sz w:val="24"/>
          <w:szCs w:val="24"/>
        </w:rPr>
        <w:t>(a) Used, refurbished, or remanufactured parts may be provided. No gray market supplies or equipment shall be provided. Gray market items are Original Equipment Manufacturer (OEM) goods intentionally or unintentionally sold outside an authorized sales territory or sold by non-authorized dealers in an authorized sales territory.</w:t>
      </w:r>
    </w:p>
    <w:p w:rsidR="00ED4880" w:rsidRPr="007C454E" w:rsidP="00ED4880" w14:paraId="6A3D45EB" w14:textId="77777777">
      <w:pPr>
        <w:widowControl w:val="0"/>
        <w:tabs>
          <w:tab w:val="left" w:pos="2544"/>
        </w:tabs>
        <w:autoSpaceDE w:val="0"/>
        <w:autoSpaceDN w:val="0"/>
        <w:adjustRightInd w:val="0"/>
        <w:spacing w:after="0" w:line="480" w:lineRule="auto"/>
        <w:ind w:firstLine="720"/>
        <w:contextualSpacing/>
        <w:rPr>
          <w:rFonts w:ascii="Arial" w:eastAsia="Times New Roman" w:hAnsi="Arial" w:cs="Arial"/>
          <w:bCs/>
          <w:sz w:val="24"/>
          <w:szCs w:val="24"/>
        </w:rPr>
      </w:pPr>
      <w:r w:rsidRPr="007C454E">
        <w:rPr>
          <w:rFonts w:ascii="Arial" w:eastAsia="Times New Roman" w:hAnsi="Arial" w:cs="Arial"/>
          <w:bCs/>
          <w:sz w:val="24"/>
          <w:szCs w:val="24"/>
        </w:rPr>
        <w:t>(b) No counterfeit supplies or equipment shall be provided. Counterfeit items include unlawful or unauthorized reproductions, substitutions, or alterations that have been mismarked, misidentified, or otherwise misrepresented to be an authentic, unmodified item from the original manufacturer, or a source with the express written authority of the original manufacturer or current design activity, including an authorized aftermarket manufacturer. Unlawful or unauthorized substitutions include used items represented as new, or the false identification of grade, serial number, lot number, date code, or performance characteristics.</w:t>
      </w:r>
    </w:p>
    <w:p w:rsidR="00ED4880" w:rsidRPr="007C454E" w:rsidP="00ED4880" w14:paraId="4BB02CB3" w14:textId="77777777">
      <w:pPr>
        <w:widowControl w:val="0"/>
        <w:tabs>
          <w:tab w:val="left" w:pos="2544"/>
        </w:tabs>
        <w:autoSpaceDE w:val="0"/>
        <w:autoSpaceDN w:val="0"/>
        <w:adjustRightInd w:val="0"/>
        <w:spacing w:after="0" w:line="480" w:lineRule="auto"/>
        <w:ind w:firstLine="720"/>
        <w:contextualSpacing/>
        <w:rPr>
          <w:rFonts w:ascii="Arial" w:eastAsia="Times New Roman" w:hAnsi="Arial" w:cs="Arial"/>
          <w:bCs/>
          <w:sz w:val="24"/>
          <w:szCs w:val="24"/>
        </w:rPr>
      </w:pPr>
      <w:r w:rsidRPr="007C454E">
        <w:rPr>
          <w:rFonts w:ascii="Arial" w:eastAsia="Times New Roman" w:hAnsi="Arial" w:cs="Arial"/>
          <w:bCs/>
          <w:sz w:val="24"/>
          <w:szCs w:val="24"/>
        </w:rPr>
        <w:t xml:space="preserve">(c) Vendor shall be an OEM, authorized dealer, authorized </w:t>
      </w:r>
      <w:r w:rsidRPr="007C454E">
        <w:rPr>
          <w:rFonts w:ascii="Arial" w:eastAsia="Times New Roman" w:hAnsi="Arial" w:cs="Arial"/>
          <w:bCs/>
          <w:sz w:val="24"/>
          <w:szCs w:val="24"/>
        </w:rPr>
        <w:t>distributor</w:t>
      </w:r>
      <w:r w:rsidRPr="007C454E">
        <w:rPr>
          <w:rFonts w:ascii="Arial" w:eastAsia="Times New Roman" w:hAnsi="Arial" w:cs="Arial"/>
          <w:bCs/>
          <w:sz w:val="24"/>
          <w:szCs w:val="24"/>
        </w:rPr>
        <w:t xml:space="preserve"> or authorized reseller for the proposed equipment/system, verified by an authorization letter or other documents from the OEM. All software licensing, warranty and service associated with the equipment/system shall be in accordance with the OEM terms and conditions.</w:t>
      </w:r>
    </w:p>
    <w:p w:rsidR="006F5234" w:rsidP="00ED4880" w14:paraId="112E4D14" w14:textId="40AFB12F">
      <w:pPr>
        <w:rPr>
          <w:rFonts w:ascii="Arial" w:hAnsi="Arial" w:cs="Arial"/>
          <w:sz w:val="24"/>
          <w:szCs w:val="24"/>
        </w:rPr>
      </w:pPr>
      <w:r w:rsidRPr="007C454E">
        <w:rPr>
          <w:rFonts w:ascii="Arial" w:eastAsia="Times New Roman" w:hAnsi="Arial" w:cs="Arial"/>
          <w:bCs/>
          <w:sz w:val="24"/>
          <w:szCs w:val="24"/>
        </w:rPr>
        <w:t>(End of clause)</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0AF5" w:rsidP="00340AF5" w14:paraId="51EE586A" w14:textId="022219DD">
    <w:pPr>
      <w:tabs>
        <w:tab w:val="center" w:pos="4680"/>
        <w:tab w:val="right" w:pos="9360"/>
      </w:tabs>
      <w:spacing w:after="0" w:line="240" w:lineRule="auto"/>
      <w:ind w:left="6570"/>
      <w:rPr>
        <w:rFonts w:ascii="Arial" w:eastAsia="Times New Roman" w:hAnsi="Arial" w:cs="Arial"/>
        <w:sz w:val="16"/>
        <w:szCs w:val="16"/>
      </w:rPr>
    </w:pPr>
    <w:r>
      <w:rPr>
        <w:rFonts w:ascii="Arial" w:eastAsia="Times New Roman" w:hAnsi="Arial" w:cs="Arial"/>
        <w:sz w:val="16"/>
        <w:szCs w:val="16"/>
      </w:rPr>
      <w:t>OMB 2900-</w:t>
    </w:r>
    <w:r w:rsidR="006F44D1">
      <w:rPr>
        <w:rFonts w:ascii="Arial" w:eastAsia="Times New Roman" w:hAnsi="Arial" w:cs="Arial"/>
        <w:sz w:val="16"/>
        <w:szCs w:val="16"/>
      </w:rPr>
      <w:t>0902</w:t>
    </w:r>
    <w:r>
      <w:rPr>
        <w:rFonts w:ascii="Arial" w:eastAsia="Times New Roman" w:hAnsi="Arial" w:cs="Arial"/>
        <w:sz w:val="16"/>
        <w:szCs w:val="16"/>
      </w:rPr>
      <w:br/>
      <w:t>Annual Burden:</w:t>
    </w:r>
    <w:r w:rsidR="009D7766">
      <w:rPr>
        <w:rFonts w:ascii="Arial" w:eastAsia="Times New Roman" w:hAnsi="Arial" w:cs="Arial"/>
        <w:sz w:val="16"/>
        <w:szCs w:val="16"/>
      </w:rPr>
      <w:t xml:space="preserve"> </w:t>
    </w:r>
    <w:r w:rsidR="00174CA4">
      <w:rPr>
        <w:rFonts w:ascii="Arial" w:eastAsia="Times New Roman" w:hAnsi="Arial" w:cs="Arial"/>
        <w:sz w:val="16"/>
        <w:szCs w:val="16"/>
      </w:rPr>
      <w:t>2,170</w:t>
    </w:r>
    <w:r>
      <w:rPr>
        <w:rFonts w:ascii="Arial" w:eastAsia="Times New Roman" w:hAnsi="Arial" w:cs="Arial"/>
        <w:sz w:val="16"/>
        <w:szCs w:val="16"/>
      </w:rPr>
      <w:t xml:space="preserve"> hours</w:t>
    </w:r>
    <w:r>
      <w:rPr>
        <w:rFonts w:ascii="Arial" w:eastAsia="Times New Roman" w:hAnsi="Arial" w:cs="Arial"/>
        <w:sz w:val="16"/>
        <w:szCs w:val="16"/>
      </w:rPr>
      <w:br/>
    </w:r>
  </w:p>
  <w:p w:rsidR="0093115C" w14:paraId="3FC2C9A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58"/>
    <w:rsid w:val="00014E71"/>
    <w:rsid w:val="0009059E"/>
    <w:rsid w:val="000E1229"/>
    <w:rsid w:val="000F7920"/>
    <w:rsid w:val="00174CA4"/>
    <w:rsid w:val="002228B3"/>
    <w:rsid w:val="002A348F"/>
    <w:rsid w:val="002E2501"/>
    <w:rsid w:val="00340AF5"/>
    <w:rsid w:val="00351881"/>
    <w:rsid w:val="003D1113"/>
    <w:rsid w:val="00436B08"/>
    <w:rsid w:val="00440C70"/>
    <w:rsid w:val="00442772"/>
    <w:rsid w:val="004F7A6F"/>
    <w:rsid w:val="00506E2F"/>
    <w:rsid w:val="005C1F70"/>
    <w:rsid w:val="006013EA"/>
    <w:rsid w:val="00644937"/>
    <w:rsid w:val="00670546"/>
    <w:rsid w:val="006E1791"/>
    <w:rsid w:val="006F44D1"/>
    <w:rsid w:val="006F5234"/>
    <w:rsid w:val="006F7CB8"/>
    <w:rsid w:val="00731BC9"/>
    <w:rsid w:val="007C454E"/>
    <w:rsid w:val="008D0115"/>
    <w:rsid w:val="008F7979"/>
    <w:rsid w:val="00916858"/>
    <w:rsid w:val="0093115C"/>
    <w:rsid w:val="00932C32"/>
    <w:rsid w:val="009C18BE"/>
    <w:rsid w:val="009D7766"/>
    <w:rsid w:val="00A149C2"/>
    <w:rsid w:val="00A24E9F"/>
    <w:rsid w:val="00A3261B"/>
    <w:rsid w:val="00B01CF9"/>
    <w:rsid w:val="00B5330F"/>
    <w:rsid w:val="00B80B0D"/>
    <w:rsid w:val="00BA594B"/>
    <w:rsid w:val="00C64624"/>
    <w:rsid w:val="00DA5B87"/>
    <w:rsid w:val="00E40EC5"/>
    <w:rsid w:val="00E42951"/>
    <w:rsid w:val="00ED4880"/>
    <w:rsid w:val="00EE7690"/>
    <w:rsid w:val="00F135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E84726"/>
  <w15:docId w15:val="{6B2306B8-6DB4-4164-AF0A-F667BD76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6858"/>
    <w:rPr>
      <w:strike w:val="0"/>
      <w:dstrike w:val="0"/>
      <w:color w:val="0B6CB2"/>
      <w:u w:val="none"/>
      <w:effect w:val="none"/>
      <w:shd w:val="clear" w:color="auto" w:fill="auto"/>
    </w:rPr>
  </w:style>
  <w:style w:type="character" w:styleId="Strong">
    <w:name w:val="Strong"/>
    <w:basedOn w:val="DefaultParagraphFont"/>
    <w:uiPriority w:val="22"/>
    <w:qFormat/>
    <w:rsid w:val="00916858"/>
    <w:rPr>
      <w:b/>
      <w:bCs/>
    </w:rPr>
  </w:style>
  <w:style w:type="paragraph" w:styleId="NormalWeb">
    <w:name w:val="Normal (Web)"/>
    <w:basedOn w:val="Normal"/>
    <w:uiPriority w:val="99"/>
    <w:semiHidden/>
    <w:unhideWhenUsed/>
    <w:rsid w:val="00916858"/>
    <w:pPr>
      <w:spacing w:after="0" w:line="360" w:lineRule="atLeast"/>
    </w:pPr>
    <w:rPr>
      <w:rFonts w:ascii="Arial" w:eastAsia="Times New Roman" w:hAnsi="Arial" w:cs="Arial"/>
      <w:color w:val="2E2E2E"/>
      <w:sz w:val="26"/>
      <w:szCs w:val="26"/>
    </w:rPr>
  </w:style>
  <w:style w:type="paragraph" w:customStyle="1" w:styleId="acenter">
    <w:name w:val="acenter"/>
    <w:basedOn w:val="Normal"/>
    <w:rsid w:val="00916858"/>
    <w:pPr>
      <w:spacing w:after="0" w:line="360" w:lineRule="atLeast"/>
      <w:jc w:val="center"/>
    </w:pPr>
    <w:rPr>
      <w:rFonts w:ascii="Arial" w:eastAsia="Times New Roman" w:hAnsi="Arial" w:cs="Arial"/>
      <w:color w:val="2E2E2E"/>
      <w:sz w:val="26"/>
      <w:szCs w:val="26"/>
    </w:rPr>
  </w:style>
  <w:style w:type="paragraph" w:customStyle="1" w:styleId="indentpara">
    <w:name w:val="indentpara"/>
    <w:basedOn w:val="Normal"/>
    <w:rsid w:val="00916858"/>
    <w:pPr>
      <w:spacing w:after="0" w:line="360" w:lineRule="atLeast"/>
      <w:ind w:firstLine="225"/>
    </w:pPr>
    <w:rPr>
      <w:rFonts w:ascii="Arial" w:eastAsia="Times New Roman" w:hAnsi="Arial" w:cs="Arial"/>
      <w:color w:val="2E2E2E"/>
      <w:sz w:val="26"/>
      <w:szCs w:val="26"/>
    </w:rPr>
  </w:style>
  <w:style w:type="paragraph" w:customStyle="1" w:styleId="indenta">
    <w:name w:val="indenta"/>
    <w:basedOn w:val="Normal"/>
    <w:rsid w:val="00916858"/>
    <w:pPr>
      <w:spacing w:after="0" w:line="360" w:lineRule="atLeast"/>
      <w:ind w:firstLine="225"/>
    </w:pPr>
    <w:rPr>
      <w:rFonts w:ascii="Arial" w:eastAsia="Times New Roman" w:hAnsi="Arial" w:cs="Arial"/>
      <w:color w:val="2E2E2E"/>
      <w:sz w:val="26"/>
      <w:szCs w:val="26"/>
    </w:rPr>
  </w:style>
  <w:style w:type="paragraph" w:styleId="BalloonText">
    <w:name w:val="Balloon Text"/>
    <w:basedOn w:val="Normal"/>
    <w:link w:val="BalloonTextChar"/>
    <w:uiPriority w:val="99"/>
    <w:semiHidden/>
    <w:unhideWhenUsed/>
    <w:rsid w:val="00916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858"/>
    <w:rPr>
      <w:rFonts w:ascii="Tahoma" w:hAnsi="Tahoma" w:cs="Tahoma"/>
      <w:sz w:val="16"/>
      <w:szCs w:val="16"/>
    </w:rPr>
  </w:style>
  <w:style w:type="paragraph" w:styleId="Header">
    <w:name w:val="header"/>
    <w:basedOn w:val="Normal"/>
    <w:link w:val="HeaderChar"/>
    <w:uiPriority w:val="99"/>
    <w:unhideWhenUsed/>
    <w:rsid w:val="00931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15C"/>
  </w:style>
  <w:style w:type="paragraph" w:styleId="Footer">
    <w:name w:val="footer"/>
    <w:basedOn w:val="Normal"/>
    <w:link w:val="FooterChar"/>
    <w:uiPriority w:val="99"/>
    <w:unhideWhenUsed/>
    <w:rsid w:val="00931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15C"/>
  </w:style>
  <w:style w:type="paragraph" w:styleId="ListParagraph">
    <w:name w:val="List Paragraph"/>
    <w:basedOn w:val="Normal"/>
    <w:uiPriority w:val="34"/>
    <w:qFormat/>
    <w:rsid w:val="000F7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Ricky L.</dc:creator>
  <cp:lastModifiedBy>Payne, Sterai C.  (C-M JV/Cadre)</cp:lastModifiedBy>
  <cp:revision>2</cp:revision>
  <dcterms:created xsi:type="dcterms:W3CDTF">2023-01-26T22:30:00Z</dcterms:created>
  <dcterms:modified xsi:type="dcterms:W3CDTF">2023-01-26T22:30:00Z</dcterms:modified>
</cp:coreProperties>
</file>