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7B23" w:rsidRPr="00B07B23" w:rsidP="00B07B23" w14:paraId="3AE1087C" w14:textId="575DB699">
      <w:pPr>
        <w:rPr>
          <w:b/>
          <w:szCs w:val="22"/>
        </w:rPr>
      </w:pPr>
      <w:r w:rsidRPr="00B07B23">
        <w:rPr>
          <w:b/>
          <w:szCs w:val="22"/>
        </w:rPr>
        <w:t>Incarcerated People’s Communications Services (IPCS) Provider</w:t>
      </w:r>
      <w:r w:rsidRPr="00B07B23">
        <w:rPr>
          <w:b/>
          <w:szCs w:val="22"/>
        </w:rPr>
        <w:tab/>
      </w:r>
      <w:r w:rsidRPr="00B07B23">
        <w:rPr>
          <w:b/>
          <w:szCs w:val="22"/>
        </w:rPr>
        <w:tab/>
      </w:r>
      <w:r w:rsidRPr="00B07B23">
        <w:rPr>
          <w:b/>
          <w:szCs w:val="22"/>
        </w:rPr>
        <w:tab/>
      </w:r>
      <w:r w:rsidR="0079140A">
        <w:rPr>
          <w:b/>
          <w:szCs w:val="22"/>
        </w:rPr>
        <w:t xml:space="preserve">   </w:t>
      </w:r>
      <w:r w:rsidRPr="00B07B23">
        <w:rPr>
          <w:b/>
          <w:szCs w:val="22"/>
        </w:rPr>
        <w:t>3060-1222</w:t>
      </w:r>
    </w:p>
    <w:p w:rsidR="0029259B" w:rsidRPr="00AB674F" w:rsidP="00B07B23" w14:paraId="020542E7" w14:textId="05DEBD7E">
      <w:pPr>
        <w:rPr>
          <w:b/>
          <w:bCs/>
        </w:rPr>
      </w:pPr>
      <w:r w:rsidRPr="00B07B23">
        <w:rPr>
          <w:b/>
          <w:szCs w:val="22"/>
        </w:rPr>
        <w:t>Annual Reporting, Certification, and Other Requirements</w:t>
      </w:r>
      <w:r w:rsidRPr="00B07B23">
        <w:rPr>
          <w:b/>
          <w:szCs w:val="22"/>
        </w:rPr>
        <w:tab/>
      </w:r>
      <w:r w:rsidR="00AE08EA">
        <w:tab/>
      </w:r>
      <w:r w:rsidR="00C67C7C">
        <w:t xml:space="preserve">                  </w:t>
      </w:r>
      <w:r w:rsidR="0074314E">
        <w:t xml:space="preserve"> </w:t>
      </w:r>
      <w:r w:rsidR="00C67C7C">
        <w:rPr>
          <w:b/>
          <w:bCs/>
        </w:rPr>
        <w:t>November 2025</w:t>
      </w:r>
    </w:p>
    <w:p w:rsidR="00E2213C" w:rsidRPr="004460F4" w:rsidP="00E2213C" w14:paraId="30A8553A" w14:textId="4D183BC7">
      <w:pPr>
        <w:rPr>
          <w:b/>
          <w:szCs w:val="22"/>
        </w:rPr>
      </w:pPr>
      <w:r w:rsidRPr="004460F4">
        <w:rPr>
          <w:b/>
          <w:szCs w:val="22"/>
        </w:rPr>
        <w:t>WC Docket No</w:t>
      </w:r>
      <w:r w:rsidR="00DC1491">
        <w:rPr>
          <w:b/>
          <w:szCs w:val="22"/>
        </w:rPr>
        <w:t>s. 23-62</w:t>
      </w:r>
      <w:r w:rsidR="0095375A">
        <w:rPr>
          <w:b/>
          <w:szCs w:val="22"/>
        </w:rPr>
        <w:t xml:space="preserve">, </w:t>
      </w:r>
      <w:r w:rsidR="00DC1491">
        <w:rPr>
          <w:b/>
          <w:szCs w:val="22"/>
        </w:rPr>
        <w:t>12-375</w:t>
      </w:r>
      <w:r w:rsidR="008D485D">
        <w:rPr>
          <w:b/>
          <w:szCs w:val="22"/>
        </w:rPr>
        <w:tab/>
      </w:r>
      <w:r w:rsidR="008D485D">
        <w:rPr>
          <w:b/>
          <w:szCs w:val="22"/>
        </w:rPr>
        <w:tab/>
      </w:r>
      <w:r w:rsidR="008D485D">
        <w:rPr>
          <w:b/>
          <w:szCs w:val="22"/>
        </w:rPr>
        <w:tab/>
      </w:r>
      <w:r w:rsidR="008D485D">
        <w:rPr>
          <w:b/>
          <w:szCs w:val="22"/>
        </w:rPr>
        <w:tab/>
      </w:r>
      <w:r w:rsidR="008D485D">
        <w:rPr>
          <w:b/>
          <w:szCs w:val="22"/>
        </w:rPr>
        <w:tab/>
      </w:r>
      <w:r w:rsidR="008D485D">
        <w:rPr>
          <w:b/>
          <w:szCs w:val="22"/>
        </w:rPr>
        <w:tab/>
      </w:r>
      <w:r w:rsidR="007954BC">
        <w:rPr>
          <w:b/>
          <w:szCs w:val="22"/>
        </w:rPr>
        <w:t xml:space="preserve">     </w:t>
      </w:r>
    </w:p>
    <w:p w:rsidR="00810818" w:rsidRPr="004460F4" w:rsidP="00E2213C" w14:paraId="44DA6B76" w14:textId="77777777">
      <w:pPr>
        <w:jc w:val="right"/>
        <w:rPr>
          <w:b/>
          <w:szCs w:val="22"/>
          <w:u w:val="single"/>
        </w:rPr>
      </w:pPr>
    </w:p>
    <w:p w:rsidR="007E0735" w:rsidRPr="004367FD" w:rsidP="00A2413C" w14:paraId="0A595C19" w14:textId="77777777">
      <w:pPr>
        <w:jc w:val="center"/>
        <w:rPr>
          <w:b/>
          <w:bCs/>
        </w:rPr>
      </w:pPr>
      <w:r w:rsidRPr="004367FD">
        <w:rPr>
          <w:b/>
          <w:bCs/>
        </w:rPr>
        <w:t>SUPPORTING STATEMENT</w:t>
      </w:r>
    </w:p>
    <w:p w:rsidR="007A4A45" w:rsidRPr="004460F4" w:rsidP="007A4A45" w14:paraId="212ED079" w14:textId="77777777">
      <w:pPr>
        <w:rPr>
          <w:szCs w:val="22"/>
        </w:rPr>
      </w:pPr>
    </w:p>
    <w:p w:rsidR="00262EFF" w:rsidRPr="00AB3A8B" w:rsidP="00AB4EF2" w14:paraId="2DEB273E" w14:textId="2AA0EE12">
      <w:pPr>
        <w:pStyle w:val="Numberedparagraphs"/>
        <w:numPr>
          <w:ilvl w:val="0"/>
          <w:numId w:val="0"/>
        </w:numPr>
        <w:tabs>
          <w:tab w:val="left" w:pos="720"/>
        </w:tabs>
        <w:ind w:firstLine="720"/>
      </w:pPr>
      <w:r>
        <w:t>This submission is being made pursuant to 44 U.S.C. §</w:t>
      </w:r>
      <w:r w:rsidR="007A7A22">
        <w:t xml:space="preserve"> </w:t>
      </w:r>
      <w:r>
        <w:t>3507 of</w:t>
      </w:r>
      <w:r w:rsidR="004153C5">
        <w:t xml:space="preserve"> the</w:t>
      </w:r>
      <w:r>
        <w:t xml:space="preserve"> Paperwork Reduction Act of 1995 to </w:t>
      </w:r>
      <w:r w:rsidR="00845E1B">
        <w:t xml:space="preserve">revise an </w:t>
      </w:r>
      <w:r>
        <w:t xml:space="preserve">existing </w:t>
      </w:r>
      <w:r w:rsidR="00845E1B">
        <w:t xml:space="preserve">information collection in order to obtain </w:t>
      </w:r>
      <w:r>
        <w:t xml:space="preserve">Office of Management and Budget (OMB) approval </w:t>
      </w:r>
      <w:r w:rsidR="00845E1B">
        <w:t xml:space="preserve">for </w:t>
      </w:r>
      <w:r>
        <w:t>the full three-year clearance.</w:t>
      </w:r>
      <w:r w:rsidR="00B84D20">
        <w:t xml:space="preserve">  </w:t>
      </w:r>
    </w:p>
    <w:p w:rsidR="00B9212C" w:rsidRPr="00AB1E80" w:rsidP="00262EFF" w14:paraId="59EC1AB5" w14:textId="094A5A56">
      <w:pPr>
        <w:pStyle w:val="Numberedparagraphs"/>
        <w:numPr>
          <w:ilvl w:val="0"/>
          <w:numId w:val="0"/>
        </w:numPr>
        <w:tabs>
          <w:tab w:val="left" w:pos="720"/>
          <w:tab w:val="clear" w:pos="1440"/>
        </w:tabs>
        <w:rPr>
          <w:b/>
          <w:u w:val="single"/>
        </w:rPr>
      </w:pPr>
      <w:r w:rsidRPr="179D11A9">
        <w:rPr>
          <w:b/>
          <w:bCs/>
          <w:u w:val="single"/>
        </w:rPr>
        <w:t>Justificat</w:t>
      </w:r>
      <w:r w:rsidR="00226254">
        <w:rPr>
          <w:b/>
          <w:bCs/>
          <w:u w:val="single"/>
        </w:rPr>
        <w:t>ion</w:t>
      </w:r>
    </w:p>
    <w:p w:rsidR="00850BC3" w:rsidP="00BA50EC" w14:paraId="07A5FFDF" w14:textId="62C34CB2">
      <w:pPr>
        <w:rPr>
          <w:b/>
          <w:szCs w:val="22"/>
        </w:rPr>
      </w:pPr>
      <w:r w:rsidRPr="00AC68A8">
        <w:rPr>
          <w:b/>
          <w:i/>
          <w:szCs w:val="22"/>
        </w:rPr>
        <w:t>Circumstances that make the collection necessary</w:t>
      </w:r>
      <w:r w:rsidRPr="00AC68A8">
        <w:rPr>
          <w:b/>
          <w:szCs w:val="22"/>
        </w:rPr>
        <w:t>:</w:t>
      </w:r>
    </w:p>
    <w:p w:rsidR="007E0735" w:rsidRPr="004460F4" w:rsidP="007E0735" w14:paraId="6A49E0FA" w14:textId="77777777">
      <w:pPr>
        <w:pStyle w:val="ParaNum"/>
        <w:numPr>
          <w:ilvl w:val="0"/>
          <w:numId w:val="0"/>
        </w:numPr>
        <w:tabs>
          <w:tab w:val="left" w:pos="1440"/>
        </w:tabs>
        <w:spacing w:after="0"/>
        <w:rPr>
          <w:szCs w:val="22"/>
        </w:rPr>
      </w:pPr>
    </w:p>
    <w:p w:rsidR="00FF010F" w:rsidP="00C67C7C" w14:paraId="10907C6A" w14:textId="42FC0322">
      <w:pPr>
        <w:pStyle w:val="ParaNum"/>
      </w:pPr>
      <w:r w:rsidRPr="00A60301">
        <w:t xml:space="preserve">This supporting statement </w:t>
      </w:r>
      <w:r w:rsidR="00B33729">
        <w:t xml:space="preserve">seeks OMB approval of </w:t>
      </w:r>
      <w:r w:rsidRPr="00A60301">
        <w:t>the paperwork burdens associated</w:t>
      </w:r>
      <w:r w:rsidR="00867D85">
        <w:t xml:space="preserve"> </w:t>
      </w:r>
      <w:r w:rsidRPr="00A60301">
        <w:t xml:space="preserve">with </w:t>
      </w:r>
      <w:r w:rsidR="002B0A13">
        <w:t xml:space="preserve">the alternate pricing plan rules that </w:t>
      </w:r>
      <w:r w:rsidRPr="00A60301">
        <w:t>the Commission adopted to implement the</w:t>
      </w:r>
      <w:r>
        <w:t xml:space="preserve"> Martha Wright-Reed Just and Reasonable Communications Act of 2022 (Martha Wright-Reed Act or the Act)</w:t>
      </w:r>
      <w:r w:rsidR="00FF1C51">
        <w:t xml:space="preserve">.  That Act </w:t>
      </w:r>
      <w:r>
        <w:t>expands the Commission’s statutory authority</w:t>
      </w:r>
      <w:r w:rsidRPr="0021492C">
        <w:t xml:space="preserve"> </w:t>
      </w:r>
      <w:r>
        <w:t xml:space="preserve">over communications between incarcerated people and the non-incarcerated to include </w:t>
      </w:r>
      <w:r w:rsidRPr="00A01B32">
        <w:t>“any audio or video communications service used by inmates</w:t>
      </w:r>
      <w:r>
        <w:t xml:space="preserve"> </w:t>
      </w:r>
      <w:r w:rsidRPr="00A01B32">
        <w:t>. . . regardless of technology used.”</w:t>
      </w:r>
      <w:r>
        <w:rPr>
          <w:sz w:val="20"/>
          <w:vertAlign w:val="superscript"/>
        </w:rPr>
        <w:footnoteReference w:id="3"/>
      </w:r>
      <w:r>
        <w:t xml:space="preserve">  The Act also amends section 2(b) of the Communications Act of 1934, as amended, to make clear that the Commission’s authority extends to intrastate </w:t>
      </w:r>
      <w:r w:rsidRPr="001A4524">
        <w:t xml:space="preserve">as well as interstate and international </w:t>
      </w:r>
      <w:r>
        <w:t>communications services used by incarcerated people</w:t>
      </w:r>
      <w:r>
        <w:t>.</w:t>
      </w:r>
      <w:r>
        <w:rPr>
          <w:rStyle w:val="FootnoteReference"/>
        </w:rPr>
        <w:footnoteReference w:id="4"/>
      </w:r>
      <w:r>
        <w:t xml:space="preserve">  </w:t>
      </w:r>
    </w:p>
    <w:p w:rsidR="008C6921" w:rsidP="00C67C7C" w14:paraId="75BA8EDE" w14:textId="1A363662">
      <w:pPr>
        <w:pStyle w:val="Numberedparagraphs"/>
        <w:numPr>
          <w:ilvl w:val="0"/>
          <w:numId w:val="0"/>
        </w:numPr>
        <w:tabs>
          <w:tab w:val="left" w:pos="720"/>
        </w:tabs>
        <w:ind w:firstLine="720"/>
      </w:pPr>
      <w:r>
        <w:t>The Act directs the Commission to “promulgate any regulations necessary to implement” it</w:t>
      </w:r>
      <w:r w:rsidR="009C4229">
        <w:t xml:space="preserve"> </w:t>
      </w:r>
      <w:r>
        <w:t>not earlier than 18 months and not later than 24 months after the Act’s January 5, 2023 enactment date.</w:t>
      </w:r>
      <w:r>
        <w:rPr>
          <w:sz w:val="20"/>
          <w:vertAlign w:val="superscript"/>
        </w:rPr>
        <w:footnoteReference w:id="5"/>
      </w:r>
      <w:r>
        <w:t xml:space="preserve">  </w:t>
      </w:r>
      <w:r w:rsidRPr="00C92A96">
        <w:t>Pursuant to that directive,</w:t>
      </w:r>
      <w:r>
        <w:t xml:space="preserve"> the Commission released the </w:t>
      </w:r>
      <w:r w:rsidRPr="00FA4A15">
        <w:rPr>
          <w:i/>
          <w:iCs/>
        </w:rPr>
        <w:t>2024 IPCS Order</w:t>
      </w:r>
      <w:r>
        <w:t xml:space="preserve"> </w:t>
      </w:r>
      <w:r w:rsidRPr="00BB4AE5">
        <w:t>on July 22, 2024</w:t>
      </w:r>
      <w:r>
        <w:t xml:space="preserve">, which </w:t>
      </w:r>
      <w:r w:rsidRPr="00656587">
        <w:t>fundamentally reform</w:t>
      </w:r>
      <w:r>
        <w:t>ed</w:t>
      </w:r>
      <w:r w:rsidRPr="00656587">
        <w:t xml:space="preserve"> the regulation of IPCS in all correctional facilities, regardless of the technology used to deliver these services</w:t>
      </w:r>
      <w:r w:rsidR="00E70C96">
        <w:t xml:space="preserve"> or the jurisdictional character of those services</w:t>
      </w:r>
      <w:r w:rsidRPr="00656587">
        <w:t>, and significantly lower</w:t>
      </w:r>
      <w:r>
        <w:t>ed</w:t>
      </w:r>
      <w:r w:rsidRPr="00656587">
        <w:t xml:space="preserve"> the IPCS rates that incarcerated people and their loved ones will pay.</w:t>
      </w:r>
      <w:r>
        <w:rPr>
          <w:vertAlign w:val="superscript"/>
        </w:rPr>
        <w:footnoteReference w:id="6"/>
      </w:r>
      <w:r>
        <w:t xml:space="preserve"> </w:t>
      </w:r>
      <w:r w:rsidR="00FA4A15">
        <w:t xml:space="preserve"> The </w:t>
      </w:r>
      <w:r w:rsidR="00046A39">
        <w:t xml:space="preserve">reforms </w:t>
      </w:r>
      <w:r w:rsidRPr="004E2C46" w:rsidR="00777535">
        <w:t>address</w:t>
      </w:r>
      <w:r w:rsidR="00777535">
        <w:t>ed</w:t>
      </w:r>
      <w:r w:rsidRPr="004E2C46" w:rsidR="00777535">
        <w:t xml:space="preserve"> six major rulemaking areas that implicate the P</w:t>
      </w:r>
      <w:r w:rsidR="00F816E6">
        <w:t xml:space="preserve">aperwork </w:t>
      </w:r>
      <w:r w:rsidRPr="004E2C46" w:rsidR="00777535">
        <w:t>R</w:t>
      </w:r>
      <w:r w:rsidR="00F816E6">
        <w:t xml:space="preserve">eduction </w:t>
      </w:r>
      <w:r w:rsidRPr="004E2C46" w:rsidR="00777535">
        <w:t>A</w:t>
      </w:r>
      <w:r w:rsidR="00F816E6">
        <w:t>ct</w:t>
      </w:r>
      <w:r w:rsidR="00C54991">
        <w:t xml:space="preserve"> (PRA)</w:t>
      </w:r>
      <w:r w:rsidR="00B16078">
        <w:t xml:space="preserve">: </w:t>
      </w:r>
      <w:r w:rsidR="00F2646B">
        <w:t xml:space="preserve"> </w:t>
      </w:r>
      <w:r w:rsidR="00B16078">
        <w:t>a</w:t>
      </w:r>
      <w:r w:rsidRPr="004E2C46" w:rsidR="00B16078">
        <w:t>lternate pricing plans,</w:t>
      </w:r>
      <w:r w:rsidR="00B16078">
        <w:t xml:space="preserve"> </w:t>
      </w:r>
      <w:r w:rsidR="001551FB">
        <w:t xml:space="preserve">annual reports and certifications, </w:t>
      </w:r>
      <w:r w:rsidRPr="004E2C46" w:rsidR="00B16078">
        <w:t>disability access, inactive accounts, consumer</w:t>
      </w:r>
      <w:r w:rsidR="00B16078">
        <w:t>s</w:t>
      </w:r>
      <w:r w:rsidRPr="004E2C46" w:rsidR="00B16078">
        <w:t xml:space="preserve"> disclosure, and waiver requests</w:t>
      </w:r>
      <w:r w:rsidR="00F2646B">
        <w:t xml:space="preserve">.  </w:t>
      </w:r>
      <w:r w:rsidR="00C86688">
        <w:t xml:space="preserve">This supporting statement seeks OMB </w:t>
      </w:r>
      <w:r w:rsidR="001D0B91">
        <w:t>approval</w:t>
      </w:r>
      <w:r w:rsidR="0000733E">
        <w:t xml:space="preserve">, for a </w:t>
      </w:r>
      <w:r w:rsidR="001B6B5A">
        <w:t xml:space="preserve">full </w:t>
      </w:r>
      <w:r w:rsidR="0000733E">
        <w:t>three-year term,</w:t>
      </w:r>
      <w:r w:rsidR="001D0B91">
        <w:t xml:space="preserve"> </w:t>
      </w:r>
      <w:r w:rsidR="00A132F7">
        <w:t xml:space="preserve">of the paperwork </w:t>
      </w:r>
      <w:r w:rsidR="001D0B91">
        <w:t>burdens associated with the alternate pricing</w:t>
      </w:r>
      <w:r w:rsidR="00D86D4D">
        <w:t xml:space="preserve"> plan</w:t>
      </w:r>
      <w:r w:rsidR="001D0B91">
        <w:t xml:space="preserve"> rules that the Commission </w:t>
      </w:r>
      <w:r w:rsidR="0000733E">
        <w:t xml:space="preserve">adopted </w:t>
      </w:r>
      <w:r w:rsidR="006A21B1">
        <w:t xml:space="preserve">in the </w:t>
      </w:r>
      <w:r w:rsidRPr="008C6921" w:rsidR="006A21B1">
        <w:rPr>
          <w:i/>
          <w:iCs/>
        </w:rPr>
        <w:t>2024 IPCS Order</w:t>
      </w:r>
      <w:r w:rsidR="006A21B1">
        <w:t>.</w:t>
      </w:r>
      <w:r>
        <w:rPr>
          <w:rStyle w:val="FootnoteReference"/>
        </w:rPr>
        <w:footnoteReference w:id="7"/>
      </w:r>
      <w:r w:rsidR="004378C2">
        <w:t xml:space="preserve">  </w:t>
      </w:r>
    </w:p>
    <w:p w:rsidR="0065729E" w:rsidRPr="00935E3E" w:rsidP="0065729E" w14:paraId="42BBFA95" w14:textId="5A0F5DA8">
      <w:pPr>
        <w:widowControl/>
        <w:spacing w:line="247" w:lineRule="auto"/>
        <w:ind w:right="15"/>
        <w:rPr>
          <w:u w:val="single"/>
        </w:rPr>
      </w:pPr>
      <w:bookmarkStart w:id="1" w:name="_Hlk102471039"/>
      <w:bookmarkStart w:id="2" w:name="_Hlk26368662"/>
      <w:r w:rsidRPr="00C00893">
        <w:rPr>
          <w:b/>
          <w:bCs/>
          <w:u w:val="single"/>
        </w:rPr>
        <w:t>Alternate Pricing Plans Reporting Requirements</w:t>
      </w:r>
      <w:r w:rsidRPr="00935E3E">
        <w:rPr>
          <w:b/>
          <w:bCs/>
          <w:i/>
          <w:iCs/>
          <w:u w:val="single"/>
        </w:rPr>
        <w:t xml:space="preserve"> </w:t>
      </w:r>
      <w:r w:rsidRPr="00935E3E">
        <w:rPr>
          <w:b/>
          <w:bCs/>
          <w:u w:val="single"/>
        </w:rPr>
        <w:t>(</w:t>
      </w:r>
      <w:r w:rsidRPr="00764E57">
        <w:rPr>
          <w:b/>
          <w:bCs/>
          <w:u w:val="single"/>
        </w:rPr>
        <w:t>§</w:t>
      </w:r>
      <w:bookmarkStart w:id="3" w:name="_Hlk176253537"/>
      <w:r w:rsidRPr="00764E57">
        <w:rPr>
          <w:b/>
          <w:bCs/>
          <w:u w:val="single"/>
        </w:rPr>
        <w:t>§</w:t>
      </w:r>
      <w:bookmarkEnd w:id="3"/>
      <w:r w:rsidRPr="00764E57">
        <w:rPr>
          <w:b/>
          <w:bCs/>
          <w:u w:val="single"/>
        </w:rPr>
        <w:t xml:space="preserve"> </w:t>
      </w:r>
      <w:r w:rsidRPr="00935E3E">
        <w:rPr>
          <w:b/>
          <w:bCs/>
          <w:u w:val="single"/>
        </w:rPr>
        <w:t xml:space="preserve">64.6140(c), (d), (e)(2)-(4), (f)(2), </w:t>
      </w:r>
      <w:r w:rsidR="00F50799">
        <w:rPr>
          <w:b/>
          <w:bCs/>
          <w:u w:val="single"/>
        </w:rPr>
        <w:t>(f)</w:t>
      </w:r>
      <w:r w:rsidRPr="00935E3E">
        <w:rPr>
          <w:b/>
          <w:bCs/>
          <w:u w:val="single"/>
        </w:rPr>
        <w:t>(4))</w:t>
      </w:r>
    </w:p>
    <w:p w:rsidR="0065729E" w:rsidP="0065729E" w14:paraId="4088F70D" w14:textId="77777777">
      <w:pPr>
        <w:widowControl/>
        <w:spacing w:line="247" w:lineRule="auto"/>
        <w:ind w:right="15"/>
      </w:pPr>
    </w:p>
    <w:p w:rsidR="0065729E" w:rsidP="005D24E0" w14:paraId="617A8E27" w14:textId="77777777">
      <w:pPr>
        <w:pStyle w:val="Numberedparagraphs"/>
        <w:numPr>
          <w:ilvl w:val="0"/>
          <w:numId w:val="0"/>
        </w:numPr>
        <w:tabs>
          <w:tab w:val="left" w:pos="720"/>
        </w:tabs>
        <w:ind w:firstLine="720"/>
      </w:pPr>
      <w:r w:rsidRPr="0085011E">
        <w:rPr>
          <w:b/>
          <w:bCs/>
          <w:i/>
          <w:iCs/>
        </w:rPr>
        <w:t>Background.</w:t>
      </w:r>
      <w:r>
        <w:t xml:space="preserve">  </w:t>
      </w:r>
      <w:r w:rsidRPr="00381826">
        <w:t xml:space="preserve">The Commission has traditionally required IPCS providers to </w:t>
      </w:r>
      <w:r>
        <w:t>price their</w:t>
      </w:r>
      <w:r w:rsidRPr="00381826">
        <w:t xml:space="preserve"> interstate and international audio IPCS on a per-minute basis.</w:t>
      </w:r>
      <w:r>
        <w:rPr>
          <w:rStyle w:val="FootnoteReference"/>
        </w:rPr>
        <w:footnoteReference w:id="8"/>
      </w:r>
      <w:r w:rsidRPr="00381826">
        <w:t xml:space="preserve">  </w:t>
      </w:r>
      <w:r w:rsidRPr="005A739E">
        <w:t>In</w:t>
      </w:r>
      <w:r>
        <w:t xml:space="preserve"> the </w:t>
      </w:r>
      <w:r>
        <w:rPr>
          <w:i/>
          <w:iCs/>
        </w:rPr>
        <w:t>2020</w:t>
      </w:r>
      <w:r w:rsidRPr="00E068BA">
        <w:rPr>
          <w:i/>
          <w:iCs/>
        </w:rPr>
        <w:t xml:space="preserve"> ICS</w:t>
      </w:r>
      <w:r>
        <w:rPr>
          <w:i/>
          <w:iCs/>
        </w:rPr>
        <w:t xml:space="preserve"> Notice</w:t>
      </w:r>
      <w:r>
        <w:t>, the Commission sought comment about “alternative rate structures” and whether it should change its rules “to recognize industry innovations” including new pay models.</w:t>
      </w:r>
      <w:r>
        <w:rPr>
          <w:rStyle w:val="FootnoteReference"/>
        </w:rPr>
        <w:footnoteReference w:id="9"/>
      </w:r>
      <w:r>
        <w:t xml:space="preserve">  In </w:t>
      </w:r>
      <w:r w:rsidRPr="005A739E">
        <w:t xml:space="preserve">the </w:t>
      </w:r>
      <w:r>
        <w:rPr>
          <w:i/>
          <w:iCs/>
        </w:rPr>
        <w:t xml:space="preserve">2021 ICS </w:t>
      </w:r>
      <w:r w:rsidRPr="005A739E">
        <w:rPr>
          <w:i/>
          <w:iCs/>
        </w:rPr>
        <w:t>Notice</w:t>
      </w:r>
      <w:r w:rsidRPr="005A739E">
        <w:t>, the Commission asked whether it should consider “a</w:t>
      </w:r>
      <w:r w:rsidRPr="005A739E">
        <w:rPr>
          <w:szCs w:val="22"/>
        </w:rPr>
        <w:t xml:space="preserve">lternative rate structures, </w:t>
      </w:r>
      <w:r w:rsidRPr="005A739E">
        <w:rPr>
          <w:snapToGrid/>
          <w:kern w:val="0"/>
          <w:szCs w:val="22"/>
        </w:rPr>
        <w:t xml:space="preserve">such as one under which an incarcerated person would have a </w:t>
      </w:r>
      <w:r w:rsidRPr="005A739E">
        <w:t>specified</w:t>
      </w:r>
      <w:r w:rsidRPr="005A739E">
        <w:rPr>
          <w:snapToGrid/>
          <w:kern w:val="0"/>
          <w:szCs w:val="22"/>
        </w:rPr>
        <w:t>—or unlimited—number of monthly minutes of use for a predetermined monthly charge.”</w:t>
      </w:r>
      <w:r>
        <w:rPr>
          <w:rStyle w:val="FootnoteReference"/>
          <w:kern w:val="0"/>
        </w:rPr>
        <w:footnoteReference w:id="10"/>
      </w:r>
      <w:r>
        <w:rPr>
          <w:snapToGrid/>
          <w:kern w:val="0"/>
          <w:szCs w:val="22"/>
        </w:rPr>
        <w:t xml:space="preserve">  </w:t>
      </w:r>
      <w:r w:rsidRPr="005A739E">
        <w:t xml:space="preserve">In the </w:t>
      </w:r>
      <w:r w:rsidRPr="005A739E">
        <w:rPr>
          <w:i/>
          <w:iCs/>
        </w:rPr>
        <w:t xml:space="preserve">2022 </w:t>
      </w:r>
      <w:r>
        <w:rPr>
          <w:i/>
          <w:iCs/>
        </w:rPr>
        <w:t xml:space="preserve">ICS </w:t>
      </w:r>
      <w:r w:rsidRPr="005A739E">
        <w:rPr>
          <w:i/>
          <w:iCs/>
        </w:rPr>
        <w:t>Notice</w:t>
      </w:r>
      <w:r w:rsidRPr="005A739E">
        <w:t xml:space="preserve">, and </w:t>
      </w:r>
      <w:r>
        <w:t xml:space="preserve">again </w:t>
      </w:r>
      <w:r w:rsidRPr="005A739E">
        <w:t xml:space="preserve">in the </w:t>
      </w:r>
      <w:r w:rsidRPr="005A739E">
        <w:rPr>
          <w:i/>
          <w:iCs/>
        </w:rPr>
        <w:t>2023 IPCS Notice</w:t>
      </w:r>
      <w:r w:rsidRPr="005A739E">
        <w:t xml:space="preserve">, the Commission </w:t>
      </w:r>
      <w:r>
        <w:t>sought</w:t>
      </w:r>
      <w:r w:rsidRPr="005A739E">
        <w:t xml:space="preserve"> further comment </w:t>
      </w:r>
      <w:r>
        <w:t>on</w:t>
      </w:r>
      <w:r w:rsidRPr="005A739E">
        <w:t xml:space="preserve"> </w:t>
      </w:r>
      <w:r>
        <w:t>a</w:t>
      </w:r>
      <w:r w:rsidRPr="008A3079">
        <w:t>lternate</w:t>
      </w:r>
      <w:r>
        <w:t xml:space="preserve"> pricing </w:t>
      </w:r>
      <w:r w:rsidRPr="008A3079">
        <w:t>p</w:t>
      </w:r>
      <w:r>
        <w:t>lans, conditions that may be placed on the plans, and consumer disclosures to ensure that providers accurately disclose the details of any a</w:t>
      </w:r>
      <w:r w:rsidRPr="008A3079">
        <w:t>lternate</w:t>
      </w:r>
      <w:r>
        <w:t xml:space="preserve"> pricing </w:t>
      </w:r>
      <w:r w:rsidRPr="008A3079">
        <w:t>p</w:t>
      </w:r>
      <w:r>
        <w:t>lans.</w:t>
      </w:r>
      <w:r>
        <w:rPr>
          <w:rStyle w:val="FootnoteReference"/>
        </w:rPr>
        <w:footnoteReference w:id="11"/>
      </w:r>
    </w:p>
    <w:p w:rsidR="0065729E" w:rsidP="005D24E0" w14:paraId="31C2B351" w14:textId="77777777">
      <w:pPr>
        <w:pStyle w:val="Numberedparagraphs"/>
        <w:numPr>
          <w:ilvl w:val="0"/>
          <w:numId w:val="0"/>
        </w:numPr>
        <w:tabs>
          <w:tab w:val="left" w:pos="720"/>
        </w:tabs>
        <w:ind w:firstLine="720"/>
      </w:pPr>
      <w:r>
        <w:t>In recognition of the pro-consumer benefits of allowing more flexible pricing programs,</w:t>
      </w:r>
      <w:r>
        <w:rPr>
          <w:rStyle w:val="FootnoteReference"/>
        </w:rPr>
        <w:footnoteReference w:id="12"/>
      </w:r>
      <w:r>
        <w:t xml:space="preserve"> the Commission in the </w:t>
      </w:r>
      <w:r w:rsidRPr="002909A5">
        <w:rPr>
          <w:i/>
          <w:iCs/>
        </w:rPr>
        <w:t>2024 IPCS Order</w:t>
      </w:r>
      <w:r>
        <w:t xml:space="preserve"> permitted </w:t>
      </w:r>
      <w:r w:rsidRPr="00BF185F">
        <w:t xml:space="preserve">IPCS providers to offer incarcerated people and their friends and family </w:t>
      </w:r>
      <w:r>
        <w:t xml:space="preserve">IPCS </w:t>
      </w:r>
      <w:r w:rsidRPr="00BF185F">
        <w:t xml:space="preserve">via </w:t>
      </w:r>
      <w:r>
        <w:t xml:space="preserve">optional </w:t>
      </w:r>
      <w:r w:rsidRPr="00BF185F">
        <w:t>“alterna</w:t>
      </w:r>
      <w:r>
        <w:t>t</w:t>
      </w:r>
      <w:r w:rsidRPr="00BF185F">
        <w:t>e pricing p</w:t>
      </w:r>
      <w:r>
        <w:t>lans,</w:t>
      </w:r>
      <w:r w:rsidRPr="00BF185F">
        <w:t>”</w:t>
      </w:r>
      <w:r>
        <w:t xml:space="preserve"> subject to clearly defined safeguards to ensure that IPCS consumers are protected.</w:t>
      </w:r>
      <w:r>
        <w:rPr>
          <w:rStyle w:val="FootnoteReference"/>
        </w:rPr>
        <w:footnoteReference w:id="13"/>
      </w:r>
      <w:r w:rsidRPr="00BF185F">
        <w:t xml:space="preserve"> </w:t>
      </w:r>
      <w:r>
        <w:t xml:space="preserve"> To help ensure that consumers who enroll in the plans benefit from them and that IPCS providers do not use such plans to otherwise evade the Commission’s IPCS rules, the Commission required that the plans comply with the general rules applicable to all IPCS in addition to specific consumer protection and disclosure rules for alternate pricing plans</w:t>
      </w:r>
      <w:r w:rsidRPr="008E1448">
        <w:t>, as set forth below</w:t>
      </w:r>
      <w:r>
        <w:t>.</w:t>
      </w:r>
      <w:r>
        <w:rPr>
          <w:rStyle w:val="FootnoteReference"/>
        </w:rPr>
        <w:footnoteReference w:id="14"/>
      </w:r>
    </w:p>
    <w:p w:rsidR="0065729E" w:rsidP="0065729E" w14:paraId="1565F342" w14:textId="77777777">
      <w:pPr>
        <w:pStyle w:val="ParaNum"/>
        <w:numPr>
          <w:ilvl w:val="0"/>
          <w:numId w:val="0"/>
        </w:numPr>
        <w:tabs>
          <w:tab w:val="num" w:pos="1440"/>
        </w:tabs>
      </w:pPr>
      <w:r w:rsidRPr="006247DB">
        <w:rPr>
          <w:b/>
          <w:bCs/>
          <w:u w:val="single"/>
        </w:rPr>
        <w:t>Section 64.6140(c</w:t>
      </w:r>
      <w:r>
        <w:rPr>
          <w:b/>
          <w:bCs/>
          <w:u w:val="single"/>
        </w:rPr>
        <w:t>)</w:t>
      </w:r>
      <w:r w:rsidRPr="00732C90">
        <w:rPr>
          <w:b/>
          <w:bCs/>
        </w:rPr>
        <w:t>:</w:t>
      </w:r>
    </w:p>
    <w:p w:rsidR="0065729E" w:rsidRPr="00FE39FC" w:rsidP="0065729E" w14:paraId="0331F3BC" w14:textId="77777777">
      <w:pPr>
        <w:spacing w:after="120"/>
        <w:ind w:left="720" w:hanging="360"/>
        <w:rPr>
          <w:i/>
        </w:rPr>
      </w:pPr>
      <w:r w:rsidRPr="00FE39FC">
        <w:t xml:space="preserve">(c) </w:t>
      </w:r>
      <w:r w:rsidRPr="00FE39FC">
        <w:rPr>
          <w:i/>
        </w:rPr>
        <w:t>Consumer Disclosures</w:t>
      </w:r>
      <w:r w:rsidRPr="00FE39FC">
        <w:t xml:space="preserve">.  </w:t>
      </w:r>
    </w:p>
    <w:p w:rsidR="0065729E" w:rsidRPr="00FE39FC" w:rsidP="0065729E" w14:paraId="2E603516" w14:textId="77777777">
      <w:pPr>
        <w:widowControl/>
        <w:spacing w:after="120"/>
        <w:ind w:left="1080" w:hanging="360"/>
        <w:rPr>
          <w:rFonts w:eastAsia="Calibri"/>
          <w:kern w:val="2"/>
        </w:rPr>
      </w:pPr>
      <w:r w:rsidRPr="00FE39FC">
        <w:t xml:space="preserve">(1) A Provider offering an Alternate Pricing Plan must comply with the consumer disclosure requirements in § 64.6110 </w:t>
      </w:r>
      <w:r>
        <w:t>of this chapter</w:t>
      </w:r>
      <w:r w:rsidRPr="00FE39FC">
        <w:t xml:space="preserve"> as well as the requirements in this section.</w:t>
      </w:r>
    </w:p>
    <w:p w:rsidR="0065729E" w:rsidRPr="00FE39FC" w:rsidP="0065729E" w14:paraId="3BE152E7" w14:textId="77777777">
      <w:pPr>
        <w:widowControl/>
        <w:spacing w:after="120"/>
        <w:ind w:left="1080" w:hanging="360"/>
        <w:rPr>
          <w:rFonts w:eastAsia="Calibri"/>
          <w:kern w:val="2"/>
        </w:rPr>
      </w:pPr>
      <w:r w:rsidRPr="00FE39FC">
        <w:t xml:space="preserve">(2) </w:t>
      </w:r>
      <w:r w:rsidRPr="00FE39FC">
        <w:rPr>
          <w:rFonts w:eastAsia="TimesNewRoman"/>
          <w:kern w:val="0"/>
        </w:rPr>
        <w:t xml:space="preserve">Before a Consumer enrolls in an Alternate Pricing Plan; upon request, at any time after Alternate Pricing Plan enrollment; with a Billing Statement or Statement of Account, and any </w:t>
      </w:r>
      <w:r w:rsidRPr="00FE39FC">
        <w:rPr>
          <w:rFonts w:eastAsia="TimesNewRoman"/>
          <w:kern w:val="0"/>
        </w:rPr>
        <w:t>related communications; and at the beginning of each call or communication, t</w:t>
      </w:r>
      <w:r w:rsidRPr="00FE39FC">
        <w:t>he Provider also must make disclosures that include the following information for each Alternate Pricing Plan offered by the Provider:</w:t>
      </w:r>
    </w:p>
    <w:p w:rsidR="0065729E" w:rsidRPr="0035180E" w:rsidP="0065729E" w14:paraId="4E364474" w14:textId="77777777">
      <w:pPr>
        <w:spacing w:after="120"/>
        <w:ind w:left="1440"/>
        <w:rPr>
          <w:rFonts w:ascii="Aptos" w:eastAsia="Calibri" w:hAnsi="Aptos"/>
          <w:snapToGrid/>
          <w:kern w:val="0"/>
          <w:szCs w:val="22"/>
        </w:rPr>
      </w:pPr>
      <w:r w:rsidRPr="00FE39FC">
        <w:rPr>
          <w:rFonts w:eastAsia="Calibri"/>
          <w:kern w:val="0"/>
        </w:rPr>
        <w:t xml:space="preserve">(i) The rates and any added </w:t>
      </w:r>
      <w:r>
        <w:rPr>
          <w:rFonts w:eastAsia="Calibri"/>
          <w:kern w:val="0"/>
        </w:rPr>
        <w:t>Mandatory T</w:t>
      </w:r>
      <w:r w:rsidRPr="00FE39FC">
        <w:rPr>
          <w:rFonts w:eastAsia="Calibri"/>
          <w:kern w:val="0"/>
        </w:rPr>
        <w:t xml:space="preserve">axes or </w:t>
      </w:r>
      <w:r>
        <w:rPr>
          <w:rFonts w:eastAsia="Calibri"/>
          <w:kern w:val="0"/>
        </w:rPr>
        <w:t>Mandatory F</w:t>
      </w:r>
      <w:r w:rsidRPr="00FE39FC">
        <w:rPr>
          <w:rFonts w:eastAsia="Calibri"/>
          <w:kern w:val="0"/>
        </w:rPr>
        <w:t xml:space="preserve">ees, a detailed explanation of the </w:t>
      </w:r>
      <w:r>
        <w:rPr>
          <w:rFonts w:eastAsia="Calibri"/>
          <w:kern w:val="0"/>
        </w:rPr>
        <w:t>Mandatory T</w:t>
      </w:r>
      <w:r w:rsidRPr="00FE39FC">
        <w:rPr>
          <w:rFonts w:eastAsia="Calibri"/>
          <w:kern w:val="0"/>
        </w:rPr>
        <w:t xml:space="preserve">axes and </w:t>
      </w:r>
      <w:r>
        <w:rPr>
          <w:rFonts w:eastAsia="Calibri"/>
          <w:kern w:val="0"/>
        </w:rPr>
        <w:t>Mandatory F</w:t>
      </w:r>
      <w:r w:rsidRPr="00FE39FC">
        <w:rPr>
          <w:rFonts w:eastAsia="Calibri"/>
          <w:kern w:val="0"/>
        </w:rPr>
        <w:t>ees, total charge, quantity of minutes, calls or communications included in the Plan, the service period, and the beginning and end dates of the service period;</w:t>
      </w:r>
    </w:p>
    <w:p w:rsidR="0065729E" w:rsidRPr="0035180E" w:rsidP="0065729E" w14:paraId="12ECFC7F" w14:textId="77777777">
      <w:pPr>
        <w:spacing w:after="120"/>
        <w:ind w:left="1440"/>
        <w:rPr>
          <w:rFonts w:ascii="Aptos" w:eastAsia="Calibri" w:hAnsi="Aptos"/>
          <w:snapToGrid/>
          <w:kern w:val="0"/>
          <w:szCs w:val="22"/>
        </w:rPr>
      </w:pPr>
      <w:r w:rsidRPr="00FE39FC">
        <w:rPr>
          <w:rFonts w:eastAsia="Calibri"/>
          <w:kern w:val="0"/>
        </w:rPr>
        <w:t>(ii) Terms and conditions, including those concerning dropped calls and communications in paragraph (</w:t>
      </w:r>
      <w:r>
        <w:rPr>
          <w:rFonts w:eastAsia="Calibri"/>
          <w:kern w:val="0"/>
        </w:rPr>
        <w:t>d</w:t>
      </w:r>
      <w:r w:rsidRPr="00FE39FC">
        <w:rPr>
          <w:rFonts w:eastAsia="Calibri"/>
          <w:kern w:val="0"/>
        </w:rPr>
        <w:t>) of this section, automatic renewals in paragraph (</w:t>
      </w:r>
      <w:r>
        <w:rPr>
          <w:rFonts w:eastAsia="Calibri"/>
          <w:kern w:val="0"/>
        </w:rPr>
        <w:t>e</w:t>
      </w:r>
      <w:r w:rsidRPr="00FE39FC">
        <w:rPr>
          <w:rFonts w:eastAsia="Calibri"/>
          <w:kern w:val="0"/>
        </w:rPr>
        <w:t>) of this section and cancellations in paragraph (</w:t>
      </w:r>
      <w:r>
        <w:rPr>
          <w:rFonts w:eastAsia="Calibri"/>
          <w:kern w:val="0"/>
        </w:rPr>
        <w:t>f</w:t>
      </w:r>
      <w:r w:rsidRPr="00FE39FC">
        <w:rPr>
          <w:rFonts w:eastAsia="Calibri"/>
          <w:kern w:val="0"/>
        </w:rPr>
        <w:t>) of this section;</w:t>
      </w:r>
    </w:p>
    <w:p w:rsidR="0065729E" w:rsidRPr="0035180E" w:rsidP="0065729E" w14:paraId="289F4C43" w14:textId="77777777">
      <w:pPr>
        <w:spacing w:after="120"/>
        <w:ind w:left="1440"/>
        <w:rPr>
          <w:rFonts w:ascii="Aptos" w:eastAsia="Calibri" w:hAnsi="Aptos"/>
          <w:snapToGrid/>
          <w:kern w:val="0"/>
          <w:szCs w:val="22"/>
        </w:rPr>
      </w:pPr>
      <w:r w:rsidRPr="00FE39FC">
        <w:rPr>
          <w:rFonts w:eastAsia="Calibri"/>
          <w:kern w:val="0"/>
        </w:rPr>
        <w:t>(iii) An explanation that per-minute rates are always available as an option to an Alternate Pricing Plan and that per-minute rates apply if the Consumer exceeds the calls/communications allotted in the Plan;</w:t>
      </w:r>
    </w:p>
    <w:p w:rsidR="0065729E" w:rsidRPr="0035180E" w:rsidP="0065729E" w14:paraId="023D5BB1" w14:textId="77777777">
      <w:pPr>
        <w:spacing w:after="120"/>
        <w:ind w:left="1440"/>
        <w:rPr>
          <w:rFonts w:ascii="Aptos" w:eastAsia="Calibri" w:hAnsi="Aptos"/>
          <w:snapToGrid/>
          <w:kern w:val="0"/>
          <w:szCs w:val="22"/>
        </w:rPr>
      </w:pPr>
      <w:r w:rsidRPr="00FE39FC">
        <w:rPr>
          <w:rFonts w:eastAsia="Calibri"/>
          <w:kern w:val="0"/>
        </w:rPr>
        <w:t xml:space="preserve">(iv) The Breakeven Point indicating at the amount of Alternate Pricing Plan usage above which the Consumer will save money compared to the </w:t>
      </w:r>
      <w:r>
        <w:rPr>
          <w:rFonts w:eastAsia="Calibri"/>
          <w:kern w:val="0"/>
        </w:rPr>
        <w:t>P</w:t>
      </w:r>
      <w:r w:rsidRPr="00FE39FC">
        <w:rPr>
          <w:rFonts w:eastAsia="Calibri"/>
          <w:kern w:val="0"/>
        </w:rPr>
        <w:t>rovider’s applicable per-minute rate for the same type and amount of service at the Correctional Facility; and</w:t>
      </w:r>
    </w:p>
    <w:p w:rsidR="0065729E" w:rsidRPr="0035180E" w:rsidP="0065729E" w14:paraId="06F3555E" w14:textId="77777777">
      <w:pPr>
        <w:spacing w:after="120"/>
        <w:ind w:left="1440"/>
        <w:rPr>
          <w:rFonts w:ascii="Aptos" w:eastAsia="Calibri" w:hAnsi="Aptos"/>
          <w:snapToGrid/>
          <w:kern w:val="0"/>
          <w:szCs w:val="22"/>
        </w:rPr>
      </w:pPr>
      <w:r w:rsidRPr="00FE39FC">
        <w:rPr>
          <w:rFonts w:eastAsia="Calibri"/>
          <w:kern w:val="0"/>
        </w:rPr>
        <w:t xml:space="preserve">(v) The ability to obtain prior usage and billing data, upon request, for each of the most recent three service periods (where feasible), including total usage and total charges including taxes and fees.  </w:t>
      </w:r>
    </w:p>
    <w:p w:rsidR="0065729E" w:rsidRPr="0035180E" w:rsidP="0065729E" w14:paraId="401EB63E" w14:textId="77777777">
      <w:pPr>
        <w:widowControl/>
        <w:spacing w:after="120"/>
        <w:ind w:left="1080" w:hanging="360"/>
        <w:rPr>
          <w:rFonts w:ascii="Aptos" w:eastAsia="Calibri" w:hAnsi="Aptos"/>
          <w:snapToGrid/>
          <w:kern w:val="2"/>
          <w:szCs w:val="22"/>
        </w:rPr>
      </w:pPr>
      <w:r w:rsidRPr="00FE39FC">
        <w:rPr>
          <w:rFonts w:eastAsia="Calibri"/>
          <w:kern w:val="2"/>
        </w:rPr>
        <w:t xml:space="preserve">(3) The Provider must make the disclosures for Alternate Pricing Plans pursuant to </w:t>
      </w:r>
      <w:r>
        <w:rPr>
          <w:rFonts w:eastAsia="Calibri"/>
          <w:kern w:val="2"/>
        </w:rPr>
        <w:t xml:space="preserve">this </w:t>
      </w:r>
      <w:r w:rsidRPr="00FE39FC">
        <w:rPr>
          <w:rFonts w:eastAsia="Calibri"/>
          <w:kern w:val="2"/>
        </w:rPr>
        <w:t>paragraph (c) of this section available: to the public on the Provider’s website; on the Provider’s online or mobile application, if Consumers use the application to enroll in the Plan; via paper upon request; and via the methods for general IPCS disclosures pursuant to § 64.</w:t>
      </w:r>
      <w:r w:rsidRPr="00FE39FC">
        <w:rPr>
          <w:rFonts w:eastAsia="Calibri"/>
        </w:rPr>
        <w:t>6110</w:t>
      </w:r>
      <w:r>
        <w:rPr>
          <w:rFonts w:eastAsia="Calibri"/>
        </w:rPr>
        <w:t xml:space="preserve"> of this chapter</w:t>
      </w:r>
      <w:r w:rsidRPr="00FE39FC">
        <w:rPr>
          <w:rFonts w:eastAsia="Calibri"/>
        </w:rPr>
        <w:t xml:space="preserve"> before, during,</w:t>
      </w:r>
      <w:r w:rsidRPr="00FE39FC">
        <w:rPr>
          <w:rFonts w:eastAsia="Calibri"/>
          <w:kern w:val="2"/>
        </w:rPr>
        <w:t xml:space="preserve"> and after a Consumer’s enrollment in a Plan.</w:t>
      </w:r>
    </w:p>
    <w:p w:rsidR="0065729E" w:rsidRPr="0035180E" w:rsidP="0065729E" w14:paraId="754230BE" w14:textId="77777777">
      <w:pPr>
        <w:widowControl/>
        <w:spacing w:after="120"/>
        <w:ind w:left="1080" w:hanging="360"/>
        <w:rPr>
          <w:rFonts w:ascii="Aptos" w:eastAsia="Calibri" w:hAnsi="Aptos"/>
          <w:snapToGrid/>
          <w:kern w:val="2"/>
          <w:szCs w:val="22"/>
        </w:rPr>
      </w:pPr>
      <w:r w:rsidRPr="00FE39FC">
        <w:rPr>
          <w:rFonts w:eastAsia="Calibri"/>
          <w:kern w:val="2"/>
        </w:rPr>
        <w:t xml:space="preserve">(4) In every communication between the Provider and a Consumer (or the Incarcerated </w:t>
      </w:r>
      <w:r w:rsidRPr="00FE39FC">
        <w:rPr>
          <w:rFonts w:eastAsia="Calibri"/>
        </w:rPr>
        <w:t>P</w:t>
      </w:r>
      <w:r w:rsidRPr="00FE39FC">
        <w:rPr>
          <w:rFonts w:eastAsia="Calibri"/>
          <w:kern w:val="2"/>
        </w:rPr>
        <w:t>erson, if they are not the Consumer) concerning the Alternate Pricing Plan, the Provider must either include the disclosures for Alternate Pricing Plans pursuant to paragraph (</w:t>
      </w:r>
      <w:r w:rsidRPr="00FE39FC">
        <w:rPr>
          <w:rFonts w:eastAsia="Calibri"/>
        </w:rPr>
        <w:t>c</w:t>
      </w:r>
      <w:r w:rsidRPr="00FE39FC">
        <w:rPr>
          <w:rFonts w:eastAsia="Calibri"/>
          <w:kern w:val="2"/>
        </w:rPr>
        <w:t xml:space="preserve">) of this section, or provide clear, easy to follow, instructions for how the consumer (or </w:t>
      </w:r>
      <w:r w:rsidRPr="00FE39FC">
        <w:rPr>
          <w:rFonts w:eastAsia="Calibri"/>
        </w:rPr>
        <w:t xml:space="preserve">Incarcerated Person, if not the Consumer) may immediately obtain access to those disclosures.  </w:t>
      </w:r>
    </w:p>
    <w:p w:rsidR="0065729E" w:rsidRPr="00FE39FC" w:rsidP="0065729E" w14:paraId="0754DDD7" w14:textId="77777777">
      <w:pPr>
        <w:widowControl/>
        <w:spacing w:after="120"/>
        <w:ind w:left="1080" w:hanging="360"/>
        <w:rPr>
          <w:rFonts w:eastAsia="Calibri"/>
          <w:kern w:val="2"/>
        </w:rPr>
      </w:pPr>
      <w:r w:rsidRPr="00FE39FC">
        <w:t>(5) Before a Consumer enrolls in a Plan, and at any time upon Consumer request, the Provider must also provide to the Consumer:</w:t>
      </w:r>
    </w:p>
    <w:p w:rsidR="0065729E" w:rsidRPr="0035180E" w:rsidP="0065729E" w14:paraId="5DCF3B79" w14:textId="77777777">
      <w:pPr>
        <w:spacing w:after="120"/>
        <w:ind w:left="1440"/>
        <w:rPr>
          <w:rFonts w:ascii="Aptos" w:eastAsia="Calibri" w:hAnsi="Aptos"/>
          <w:snapToGrid/>
          <w:kern w:val="0"/>
          <w:szCs w:val="22"/>
        </w:rPr>
      </w:pPr>
      <w:r w:rsidRPr="00FE39FC">
        <w:rPr>
          <w:rFonts w:eastAsia="Calibri"/>
          <w:kern w:val="0"/>
        </w:rPr>
        <w:t xml:space="preserve">(i) The rates, Breakeven Point, and total cost including any </w:t>
      </w:r>
      <w:r>
        <w:rPr>
          <w:rFonts w:eastAsia="Calibri"/>
          <w:kern w:val="0"/>
        </w:rPr>
        <w:t>Mandatory T</w:t>
      </w:r>
      <w:r w:rsidRPr="00FE39FC">
        <w:rPr>
          <w:rFonts w:eastAsia="Calibri"/>
          <w:kern w:val="0"/>
        </w:rPr>
        <w:t xml:space="preserve">axes or </w:t>
      </w:r>
      <w:r>
        <w:rPr>
          <w:rFonts w:eastAsia="Calibri"/>
          <w:kern w:val="0"/>
        </w:rPr>
        <w:t>Mandatory F</w:t>
      </w:r>
      <w:r w:rsidRPr="00FE39FC">
        <w:rPr>
          <w:rFonts w:eastAsia="Calibri"/>
          <w:kern w:val="0"/>
        </w:rPr>
        <w:t xml:space="preserve">ees associated with the Plan; and  </w:t>
      </w:r>
    </w:p>
    <w:p w:rsidR="0065729E" w:rsidRPr="0035180E" w:rsidP="0065729E" w14:paraId="72297DE6" w14:textId="77777777">
      <w:pPr>
        <w:spacing w:after="120"/>
        <w:ind w:left="1440"/>
        <w:rPr>
          <w:rFonts w:ascii="Aptos" w:eastAsia="Calibri" w:hAnsi="Aptos"/>
          <w:snapToGrid/>
          <w:kern w:val="0"/>
          <w:szCs w:val="22"/>
        </w:rPr>
      </w:pPr>
      <w:r w:rsidRPr="00FE39FC">
        <w:rPr>
          <w:rFonts w:eastAsia="Calibri"/>
          <w:kern w:val="0"/>
        </w:rPr>
        <w:t xml:space="preserve">(ii) An explanation that the Consumer’s prior usage and billing data is available upon request through a readily accessible means and must include:  </w:t>
      </w:r>
    </w:p>
    <w:p w:rsidR="0065729E" w:rsidRPr="00FE39FC" w:rsidP="0065729E" w14:paraId="3CCFE4CE" w14:textId="77777777">
      <w:pPr>
        <w:widowControl/>
        <w:spacing w:after="120"/>
        <w:ind w:left="1800" w:hanging="360"/>
      </w:pPr>
      <w:r w:rsidRPr="00FE39FC">
        <w:t xml:space="preserve">(A) For the Provider’s most recent three service periods (where feasible): the minutes of use for each of the calls or communications made by the Consumer and the applicable per-minute rate that was charged; the total number of minutes; and the totals charged for each service period including the details of any </w:t>
      </w:r>
      <w:r>
        <w:t>Mandatory T</w:t>
      </w:r>
      <w:r w:rsidRPr="00FE39FC">
        <w:t xml:space="preserve">axes and </w:t>
      </w:r>
      <w:r>
        <w:t>Mandatory F</w:t>
      </w:r>
      <w:r w:rsidRPr="00FE39FC">
        <w:t xml:space="preserve">ees; and  </w:t>
      </w:r>
    </w:p>
    <w:p w:rsidR="0065729E" w:rsidRPr="00FE39FC" w:rsidP="0065729E" w14:paraId="0E897D3E" w14:textId="77777777">
      <w:pPr>
        <w:spacing w:after="120"/>
        <w:ind w:left="1800" w:hanging="360"/>
      </w:pPr>
      <w:r w:rsidRPr="00FE39FC">
        <w:t>(B) This prior usage and billing data must be made available to the Consumer via the Provider’s website or online or mobile application or via paper upon request of the Consumer.</w:t>
      </w:r>
    </w:p>
    <w:p w:rsidR="0065729E" w:rsidRPr="0035180E" w:rsidP="0065729E" w14:paraId="4B967529" w14:textId="77777777">
      <w:pPr>
        <w:widowControl/>
        <w:spacing w:after="120"/>
        <w:ind w:left="1080" w:hanging="360"/>
        <w:rPr>
          <w:rFonts w:ascii="Aptos" w:eastAsia="Calibri" w:hAnsi="Aptos"/>
          <w:snapToGrid/>
          <w:kern w:val="2"/>
          <w:szCs w:val="22"/>
        </w:rPr>
      </w:pPr>
      <w:r w:rsidRPr="00FE39FC">
        <w:rPr>
          <w:rFonts w:eastAsia="TimesNewRoman"/>
          <w:kern w:val="0"/>
        </w:rPr>
        <w:t xml:space="preserve">(6) After the Consumer enrolls in a Plan, the Provider must </w:t>
      </w:r>
      <w:r w:rsidRPr="00FE39FC">
        <w:t xml:space="preserve">provide Billing Statements and Statements of Account for the Plan via the same method the Consumer used to sign up for the </w:t>
      </w:r>
      <w:r w:rsidRPr="00FE39FC">
        <w:t xml:space="preserve">Plan, and via paper upon Consumer request.  The Billing Statements and Statements of Account must include information specific to the Alternate Pricing Plan for the service period but the Consumer must be able to receive, upon request, information for the past three service periods (where feasible).  The Billing Statement or Statement of Account must include for each service period: </w:t>
      </w:r>
    </w:p>
    <w:p w:rsidR="0065729E" w:rsidRPr="00FE39FC" w:rsidP="0065729E" w14:paraId="6619843A" w14:textId="77777777">
      <w:pPr>
        <w:spacing w:after="120"/>
        <w:ind w:left="1440"/>
        <w:rPr>
          <w:rFonts w:eastAsia="Calibri"/>
          <w:kern w:val="0"/>
        </w:rPr>
      </w:pPr>
      <w:r w:rsidRPr="00FE39FC">
        <w:rPr>
          <w:rFonts w:eastAsia="Calibri"/>
          <w:kern w:val="0"/>
        </w:rPr>
        <w:t xml:space="preserve">(i) Call details, including the duration of each call made, and the total minutes used for that service period, and the total charge including </w:t>
      </w:r>
      <w:r>
        <w:rPr>
          <w:rFonts w:eastAsia="Calibri"/>
          <w:kern w:val="0"/>
        </w:rPr>
        <w:t>Mandatory T</w:t>
      </w:r>
      <w:r w:rsidRPr="00FE39FC">
        <w:rPr>
          <w:rFonts w:eastAsia="Calibri"/>
          <w:kern w:val="0"/>
        </w:rPr>
        <w:t xml:space="preserve">axes and </w:t>
      </w:r>
      <w:r>
        <w:rPr>
          <w:rFonts w:eastAsia="Calibri"/>
          <w:kern w:val="0"/>
        </w:rPr>
        <w:t>Mandatory F</w:t>
      </w:r>
      <w:r w:rsidRPr="00FE39FC">
        <w:rPr>
          <w:rFonts w:eastAsia="Calibri"/>
          <w:kern w:val="0"/>
        </w:rPr>
        <w:t xml:space="preserve">ees, with explanations of each </w:t>
      </w:r>
      <w:r>
        <w:rPr>
          <w:rFonts w:eastAsia="Calibri"/>
          <w:kern w:val="0"/>
        </w:rPr>
        <w:t>Mandatory T</w:t>
      </w:r>
      <w:r w:rsidRPr="00FE39FC">
        <w:rPr>
          <w:rFonts w:eastAsia="Calibri"/>
          <w:kern w:val="0"/>
        </w:rPr>
        <w:t xml:space="preserve">ax or </w:t>
      </w:r>
      <w:r>
        <w:rPr>
          <w:rFonts w:eastAsia="Calibri"/>
          <w:kern w:val="0"/>
        </w:rPr>
        <w:t>Mandatory F</w:t>
      </w:r>
      <w:r w:rsidRPr="00FE39FC">
        <w:rPr>
          <w:rFonts w:eastAsia="Calibri"/>
          <w:kern w:val="0"/>
        </w:rPr>
        <w:t xml:space="preserve">ee; </w:t>
      </w:r>
    </w:p>
    <w:p w:rsidR="0065729E" w:rsidRPr="00FE39FC" w:rsidP="0065729E" w14:paraId="7BF29935" w14:textId="77777777">
      <w:pPr>
        <w:spacing w:after="120"/>
        <w:ind w:left="1440"/>
        <w:rPr>
          <w:rFonts w:eastAsia="Calibri"/>
          <w:kern w:val="0"/>
        </w:rPr>
      </w:pPr>
      <w:r w:rsidRPr="00FE39FC">
        <w:rPr>
          <w:rFonts w:eastAsia="Calibri"/>
          <w:kern w:val="0"/>
        </w:rPr>
        <w:t>(ii) The charges that would have been assessed for each call using the Provider’s per-minute rate, and the total of those charges;</w:t>
      </w:r>
    </w:p>
    <w:p w:rsidR="0065729E" w:rsidRPr="00FE39FC" w:rsidP="0065729E" w14:paraId="24EC74ED" w14:textId="77777777">
      <w:pPr>
        <w:spacing w:after="120"/>
        <w:ind w:left="1440"/>
        <w:rPr>
          <w:rFonts w:eastAsia="Calibri"/>
          <w:kern w:val="0"/>
        </w:rPr>
      </w:pPr>
      <w:r w:rsidRPr="00FE39FC">
        <w:rPr>
          <w:rFonts w:eastAsia="Calibri"/>
          <w:kern w:val="0"/>
        </w:rPr>
        <w:t xml:space="preserve">(iii) The calculated per-minute rate for the service period under the Alternate Pricing Plan, calculated as the charge for the service period divided by the total minutes used by that Consumer, with an explanation of that rate; </w:t>
      </w:r>
    </w:p>
    <w:p w:rsidR="0065729E" w:rsidRPr="00FE39FC" w:rsidP="0065729E" w14:paraId="1E4E6684" w14:textId="77777777">
      <w:pPr>
        <w:spacing w:after="120"/>
        <w:ind w:left="1440"/>
        <w:rPr>
          <w:rFonts w:eastAsia="Calibri"/>
          <w:kern w:val="0"/>
        </w:rPr>
      </w:pPr>
      <w:r w:rsidRPr="00FE39FC">
        <w:rPr>
          <w:rFonts w:eastAsia="Calibri"/>
          <w:kern w:val="0"/>
        </w:rPr>
        <w:t>(iv) The Breakeven Point with an explanation of the Breakeven Point; and</w:t>
      </w:r>
    </w:p>
    <w:p w:rsidR="0065729E" w:rsidRPr="00FE39FC" w:rsidP="0065729E" w14:paraId="40BF9531" w14:textId="77777777">
      <w:pPr>
        <w:spacing w:after="120"/>
        <w:ind w:left="1440"/>
        <w:rPr>
          <w:rFonts w:eastAsia="TimesNewRoman"/>
          <w:kern w:val="0"/>
        </w:rPr>
      </w:pPr>
      <w:r w:rsidRPr="00FE39FC">
        <w:rPr>
          <w:rFonts w:eastAsia="Calibri"/>
          <w:kern w:val="0"/>
        </w:rPr>
        <w:t xml:space="preserve">(v) Information about deposits made to the Consumer’s IPCS Account and the IPCS Account balance. </w:t>
      </w:r>
      <w:r w:rsidRPr="00FE39FC">
        <w:rPr>
          <w:rFonts w:eastAsia="TimesNewRoman"/>
          <w:kern w:val="0"/>
        </w:rPr>
        <w:t xml:space="preserve"> </w:t>
      </w:r>
    </w:p>
    <w:p w:rsidR="0065729E" w:rsidRPr="0035180E" w:rsidP="0065729E" w14:paraId="10CB5E55" w14:textId="77777777">
      <w:pPr>
        <w:widowControl/>
        <w:spacing w:after="120"/>
        <w:ind w:left="1080" w:hanging="360"/>
        <w:rPr>
          <w:rFonts w:ascii="Aptos" w:eastAsia="Calibri" w:hAnsi="Aptos"/>
          <w:snapToGrid/>
          <w:kern w:val="2"/>
          <w:szCs w:val="22"/>
        </w:rPr>
      </w:pPr>
      <w:r w:rsidRPr="00FE39FC">
        <w:rPr>
          <w:rFonts w:eastAsia="TimesNewRoman"/>
          <w:kern w:val="0"/>
        </w:rPr>
        <w:t xml:space="preserve">(7) The Provider must make available the number of minutes, calls, or communications remaining </w:t>
      </w:r>
      <w:r>
        <w:rPr>
          <w:rFonts w:eastAsia="TimesNewRoman"/>
          <w:kern w:val="0"/>
        </w:rPr>
        <w:t xml:space="preserve">under a Consumer’s Alternate Pricing Plan </w:t>
      </w:r>
      <w:r w:rsidRPr="00FE39FC">
        <w:rPr>
          <w:rFonts w:eastAsia="TimesNewRoman"/>
          <w:kern w:val="0"/>
        </w:rPr>
        <w:t xml:space="preserve">for the service period without the Consumer having to initiate a call or communication that would count toward a fixed allotment of minutes, calls, or communications in an Alternate Pricing Plan.  </w:t>
      </w:r>
    </w:p>
    <w:p w:rsidR="0065729E" w:rsidP="0065729E" w14:paraId="64EE9B13" w14:textId="77777777">
      <w:pPr>
        <w:keepNext/>
        <w:spacing w:after="120"/>
        <w:ind w:left="360" w:hanging="360"/>
      </w:pPr>
      <w:r w:rsidRPr="00323B9D">
        <w:rPr>
          <w:b/>
          <w:bCs/>
          <w:u w:val="single"/>
        </w:rPr>
        <w:t>Section 64.</w:t>
      </w:r>
      <w:r w:rsidRPr="00D966C5">
        <w:rPr>
          <w:b/>
          <w:bCs/>
          <w:u w:val="single"/>
        </w:rPr>
        <w:t>6140(d</w:t>
      </w:r>
      <w:r w:rsidRPr="00732C90">
        <w:rPr>
          <w:b/>
          <w:bCs/>
          <w:u w:val="single"/>
        </w:rPr>
        <w:t>)</w:t>
      </w:r>
      <w:r w:rsidRPr="00732C90">
        <w:rPr>
          <w:b/>
          <w:bCs/>
        </w:rPr>
        <w:t>:</w:t>
      </w:r>
    </w:p>
    <w:p w:rsidR="0065729E" w:rsidRPr="00FE39FC" w:rsidP="0065729E" w14:paraId="30C00A96" w14:textId="77777777">
      <w:pPr>
        <w:spacing w:after="120"/>
        <w:ind w:left="720" w:hanging="360"/>
        <w:rPr>
          <w:i/>
        </w:rPr>
      </w:pPr>
      <w:r w:rsidRPr="00FE39FC">
        <w:t xml:space="preserve">(d) </w:t>
      </w:r>
      <w:r w:rsidRPr="00FE39FC">
        <w:rPr>
          <w:i/>
        </w:rPr>
        <w:t>Dropped Calls or Communications and Related Consumer Disclosures.</w:t>
      </w:r>
    </w:p>
    <w:p w:rsidR="0065729E" w:rsidRPr="00FE39FC" w:rsidP="0065729E" w14:paraId="5262D86F" w14:textId="77777777">
      <w:pPr>
        <w:widowControl/>
        <w:spacing w:after="120"/>
        <w:ind w:left="1080" w:hanging="360"/>
        <w:rPr>
          <w:rFonts w:eastAsia="Calibri"/>
          <w:kern w:val="2"/>
        </w:rPr>
      </w:pPr>
      <w:r w:rsidRPr="00FE39FC">
        <w:t>(1) A Provider offering an Alternate Pricing Plan must explain its policies regarding dropped calls or communications in plain language in its consumer disclosures.</w:t>
      </w:r>
    </w:p>
    <w:p w:rsidR="0065729E" w:rsidRPr="00FE39FC" w:rsidP="0065729E" w14:paraId="35160027" w14:textId="77777777">
      <w:pPr>
        <w:widowControl/>
        <w:spacing w:after="120"/>
        <w:ind w:left="1080" w:hanging="360"/>
        <w:rPr>
          <w:rFonts w:eastAsia="Calibri"/>
          <w:kern w:val="2"/>
        </w:rPr>
      </w:pPr>
      <w:r w:rsidRPr="00FE39FC">
        <w:t>(2) The consumer disclosures must include:</w:t>
      </w:r>
    </w:p>
    <w:p w:rsidR="0065729E" w:rsidRPr="0035180E" w:rsidP="0065729E" w14:paraId="2810AC3D" w14:textId="77777777">
      <w:pPr>
        <w:spacing w:after="120"/>
        <w:ind w:left="1440"/>
        <w:rPr>
          <w:rFonts w:ascii="Aptos" w:eastAsia="Calibri" w:hAnsi="Aptos"/>
          <w:snapToGrid/>
          <w:kern w:val="0"/>
          <w:szCs w:val="22"/>
        </w:rPr>
      </w:pPr>
      <w:r w:rsidRPr="00FE39FC">
        <w:rPr>
          <w:rFonts w:eastAsia="Calibri"/>
          <w:kern w:val="0"/>
        </w:rPr>
        <w:t>(i) The types of dropped calls and communications that a Consumer can seek a credit or refund for;</w:t>
      </w:r>
    </w:p>
    <w:p w:rsidR="0065729E" w:rsidRPr="0035180E" w:rsidP="0065729E" w14:paraId="22AC725C" w14:textId="77777777">
      <w:pPr>
        <w:spacing w:after="120"/>
        <w:ind w:left="1440"/>
        <w:rPr>
          <w:rFonts w:ascii="Aptos" w:eastAsia="Calibri" w:hAnsi="Aptos"/>
          <w:snapToGrid/>
          <w:kern w:val="0"/>
          <w:szCs w:val="22"/>
        </w:rPr>
      </w:pPr>
      <w:r w:rsidRPr="00FE39FC">
        <w:rPr>
          <w:rFonts w:eastAsia="Calibri"/>
          <w:kern w:val="0"/>
        </w:rPr>
        <w:t>(ii) How the Provider will calculate a credit or refund for a dropped call or communication; and</w:t>
      </w:r>
    </w:p>
    <w:p w:rsidR="0065729E" w:rsidRPr="0035180E" w:rsidP="0065729E" w14:paraId="4CABF0DD" w14:textId="77777777">
      <w:pPr>
        <w:spacing w:after="120"/>
        <w:ind w:left="1440"/>
        <w:rPr>
          <w:rFonts w:ascii="Aptos" w:eastAsia="Calibri" w:hAnsi="Aptos"/>
          <w:snapToGrid/>
          <w:kern w:val="0"/>
          <w:szCs w:val="22"/>
        </w:rPr>
      </w:pPr>
      <w:r w:rsidRPr="00FE39FC">
        <w:rPr>
          <w:rFonts w:eastAsia="Calibri"/>
          <w:kern w:val="0"/>
        </w:rPr>
        <w:t>(iii) The method the Consumer must use to request a credit or refund for a dropped call or communication, and that method must be easy for the Consumer to complete.</w:t>
      </w:r>
    </w:p>
    <w:p w:rsidR="0065729E" w:rsidP="0065729E" w14:paraId="7B442606" w14:textId="77777777">
      <w:pPr>
        <w:pStyle w:val="ParaNum"/>
        <w:numPr>
          <w:ilvl w:val="0"/>
          <w:numId w:val="0"/>
        </w:numPr>
      </w:pPr>
      <w:r>
        <w:t xml:space="preserve"> </w:t>
      </w:r>
      <w:r w:rsidRPr="00E254D3">
        <w:rPr>
          <w:b/>
          <w:bCs/>
          <w:u w:val="single"/>
        </w:rPr>
        <w:t>Section 64.6140(e)(2)</w:t>
      </w:r>
      <w:r w:rsidRPr="00D966C5">
        <w:rPr>
          <w:b/>
          <w:bCs/>
          <w:u w:val="single"/>
        </w:rPr>
        <w:t>-(4)</w:t>
      </w:r>
      <w:r w:rsidRPr="00732C90">
        <w:rPr>
          <w:b/>
          <w:bCs/>
        </w:rPr>
        <w:t>:</w:t>
      </w:r>
    </w:p>
    <w:p w:rsidR="0065729E" w:rsidRPr="00FE39FC" w:rsidP="0065729E" w14:paraId="0073A8EC" w14:textId="77777777">
      <w:pPr>
        <w:spacing w:after="120"/>
        <w:ind w:left="720" w:hanging="360"/>
        <w:rPr>
          <w:i/>
        </w:rPr>
      </w:pPr>
      <w:r w:rsidRPr="00FE39FC">
        <w:t xml:space="preserve">(e) </w:t>
      </w:r>
      <w:r w:rsidRPr="00FE39FC">
        <w:rPr>
          <w:i/>
        </w:rPr>
        <w:t>Automatic Renewals and Related Consumer Disclosures</w:t>
      </w:r>
      <w:r w:rsidRPr="00FE39FC">
        <w:t>.</w:t>
      </w:r>
    </w:p>
    <w:p w:rsidR="0065729E" w:rsidP="0065729E" w14:paraId="70241935" w14:textId="77777777">
      <w:pPr>
        <w:widowControl/>
        <w:spacing w:after="120"/>
        <w:ind w:left="360" w:hanging="360"/>
      </w:pPr>
      <w:r>
        <w:t>* * * * *</w:t>
      </w:r>
    </w:p>
    <w:p w:rsidR="0065729E" w:rsidRPr="0035180E" w:rsidP="0065729E" w14:paraId="33E7FE4B" w14:textId="77777777">
      <w:pPr>
        <w:widowControl/>
        <w:spacing w:after="120"/>
        <w:ind w:left="1080" w:hanging="360"/>
        <w:rPr>
          <w:rFonts w:ascii="Aptos" w:eastAsia="Calibri" w:hAnsi="Aptos"/>
          <w:snapToGrid/>
          <w:kern w:val="2"/>
          <w:szCs w:val="22"/>
        </w:rPr>
      </w:pPr>
      <w:r w:rsidRPr="00FE39FC">
        <w:rPr>
          <w:rFonts w:eastAsia="Calibri"/>
          <w:kern w:val="2"/>
        </w:rPr>
        <w:t>(2) A Provider offering an Alternate Pricing Plan must explain the terms and conditions of the automatic renewal in plain language in its consumer disclosures when it initially offers the automatic renewal option and before any automatic renewal is about to occur by whatever method the Provider has established for consumer notifications to the Consumer.</w:t>
      </w:r>
    </w:p>
    <w:p w:rsidR="0065729E" w:rsidRPr="0035180E" w:rsidP="0065729E" w14:paraId="661341CF" w14:textId="77777777">
      <w:pPr>
        <w:widowControl/>
        <w:spacing w:after="120"/>
        <w:ind w:left="1080" w:hanging="360"/>
        <w:rPr>
          <w:rFonts w:ascii="Aptos" w:eastAsia="Calibri" w:hAnsi="Aptos"/>
          <w:snapToGrid/>
          <w:kern w:val="2"/>
          <w:szCs w:val="22"/>
        </w:rPr>
      </w:pPr>
      <w:r w:rsidRPr="00FE39FC">
        <w:rPr>
          <w:rFonts w:eastAsia="Calibri"/>
          <w:kern w:val="2"/>
        </w:rPr>
        <w:t xml:space="preserve">(3) The consumer disclosures must include an explanation that if a Consumer who requested automatic renewals does not later want the Alternate Pricing Plan to be renewed, the Consumer may cancel their participation in the Alternate Pricing </w:t>
      </w:r>
      <w:r w:rsidRPr="00FE39FC">
        <w:rPr>
          <w:rFonts w:eastAsia="Calibri"/>
        </w:rPr>
        <w:t>Plan.</w:t>
      </w:r>
    </w:p>
    <w:p w:rsidR="0065729E" w:rsidRPr="00EA5922" w:rsidP="0065729E" w14:paraId="0BD095BE" w14:textId="77777777">
      <w:pPr>
        <w:widowControl/>
        <w:spacing w:after="120"/>
        <w:ind w:left="1080" w:hanging="360"/>
        <w:rPr>
          <w:rFonts w:ascii="Aptos" w:eastAsia="Calibri" w:hAnsi="Aptos"/>
          <w:snapToGrid/>
          <w:kern w:val="2"/>
          <w:szCs w:val="22"/>
        </w:rPr>
      </w:pPr>
      <w:r w:rsidRPr="00FE39FC">
        <w:rPr>
          <w:rFonts w:eastAsia="Calibri"/>
          <w:kern w:val="2"/>
        </w:rPr>
        <w:t xml:space="preserve">(4) The Provider must give notice of an upcoming renewal for an Alternative Pricing Plan directly to the Consumer no later than three business days prior to the renewal date.  Along with providing the notice, the Provider must explain, in plain language, the terms and conditions of the automatic renewal using, at a minimum, the method of communication the Consumer agreed to at the time they enrolled in the Alternate Pricing </w:t>
      </w:r>
      <w:r w:rsidRPr="00FE39FC">
        <w:rPr>
          <w:rFonts w:eastAsia="Calibri"/>
        </w:rPr>
        <w:t>Plan.</w:t>
      </w:r>
    </w:p>
    <w:p w:rsidR="0065729E" w:rsidP="0065729E" w14:paraId="5C0D50F2" w14:textId="77777777">
      <w:pPr>
        <w:spacing w:after="120"/>
        <w:ind w:left="360" w:hanging="360"/>
      </w:pPr>
      <w:r w:rsidRPr="00EA5922">
        <w:rPr>
          <w:b/>
          <w:bCs/>
          <w:u w:val="single"/>
        </w:rPr>
        <w:t>Section 64.6140(f)(2)</w:t>
      </w:r>
      <w:r>
        <w:rPr>
          <w:b/>
          <w:bCs/>
          <w:u w:val="single"/>
        </w:rPr>
        <w:t>, (f</w:t>
      </w:r>
      <w:r w:rsidRPr="009F4F62">
        <w:rPr>
          <w:b/>
          <w:bCs/>
          <w:u w:val="single"/>
        </w:rPr>
        <w:t>)(4)</w:t>
      </w:r>
      <w:r w:rsidRPr="00732C90">
        <w:rPr>
          <w:b/>
          <w:bCs/>
        </w:rPr>
        <w:t>:</w:t>
      </w:r>
    </w:p>
    <w:p w:rsidR="0065729E" w:rsidRPr="00FE39FC" w:rsidP="0065729E" w14:paraId="05E7333A" w14:textId="77777777">
      <w:pPr>
        <w:spacing w:after="120"/>
        <w:ind w:left="720" w:hanging="360"/>
        <w:rPr>
          <w:i/>
        </w:rPr>
      </w:pPr>
      <w:r w:rsidRPr="00FE39FC">
        <w:t xml:space="preserve">(f) </w:t>
      </w:r>
      <w:r w:rsidRPr="00FE39FC">
        <w:rPr>
          <w:i/>
        </w:rPr>
        <w:t>Cancellation by the Consumer and Related Consumer Disclosures.</w:t>
      </w:r>
      <w:r w:rsidRPr="00FE39FC">
        <w:t xml:space="preserve">  </w:t>
      </w:r>
    </w:p>
    <w:p w:rsidR="0065729E" w:rsidP="0065729E" w14:paraId="11A4ED59" w14:textId="77777777">
      <w:pPr>
        <w:widowControl/>
        <w:spacing w:after="120"/>
        <w:ind w:left="360" w:hanging="360"/>
      </w:pPr>
      <w:r>
        <w:t>* * * * *</w:t>
      </w:r>
    </w:p>
    <w:p w:rsidR="0065729E" w:rsidRPr="00FE39FC" w:rsidP="0065729E" w14:paraId="7F32286D" w14:textId="77777777">
      <w:pPr>
        <w:widowControl/>
        <w:spacing w:after="120"/>
        <w:ind w:left="1080" w:hanging="360"/>
        <w:rPr>
          <w:rFonts w:eastAsia="Calibri"/>
          <w:kern w:val="2"/>
        </w:rPr>
      </w:pPr>
      <w:r w:rsidRPr="00FE39FC">
        <w:t xml:space="preserve">(2) A </w:t>
      </w:r>
      <w:r>
        <w:t>Provider must issue</w:t>
      </w:r>
      <w:r w:rsidRPr="00FE39FC">
        <w:t xml:space="preserve"> a refund for the remaining balance on an Alternate Pricing Plan if:</w:t>
      </w:r>
    </w:p>
    <w:p w:rsidR="0065729E" w:rsidRPr="00FE39FC" w:rsidP="0065729E" w14:paraId="4245C72C" w14:textId="77777777">
      <w:pPr>
        <w:spacing w:after="120"/>
        <w:ind w:left="1440"/>
        <w:rPr>
          <w:rFonts w:eastAsia="Calibri"/>
          <w:kern w:val="0"/>
        </w:rPr>
      </w:pPr>
      <w:r w:rsidRPr="00FE39FC">
        <w:rPr>
          <w:rFonts w:eastAsia="Calibri"/>
          <w:kern w:val="0"/>
        </w:rPr>
        <w:t xml:space="preserve">(i) The Incarcerated Person is released; </w:t>
      </w:r>
    </w:p>
    <w:p w:rsidR="0065729E" w:rsidRPr="00FE39FC" w:rsidP="0065729E" w14:paraId="09F6BA48" w14:textId="77777777">
      <w:pPr>
        <w:spacing w:after="120"/>
        <w:ind w:left="1440"/>
        <w:rPr>
          <w:rFonts w:eastAsia="Calibri"/>
          <w:kern w:val="0"/>
        </w:rPr>
      </w:pPr>
      <w:r w:rsidRPr="00FE39FC">
        <w:rPr>
          <w:rFonts w:eastAsia="Calibri"/>
          <w:kern w:val="0"/>
        </w:rPr>
        <w:t xml:space="preserve">(ii) The Incarcerated Person is transferred to another Correctional Facility; or </w:t>
      </w:r>
    </w:p>
    <w:p w:rsidR="0065729E" w:rsidRPr="00FE39FC" w:rsidP="0065729E" w14:paraId="595500B8" w14:textId="77777777">
      <w:pPr>
        <w:spacing w:after="120"/>
        <w:ind w:left="1440"/>
        <w:rPr>
          <w:rFonts w:eastAsia="Calibri"/>
          <w:kern w:val="0"/>
        </w:rPr>
      </w:pPr>
      <w:r w:rsidRPr="00FE39FC">
        <w:rPr>
          <w:rFonts w:eastAsia="Calibri"/>
          <w:kern w:val="0"/>
        </w:rPr>
        <w:t xml:space="preserve">(iii) The Incarcerated Person is not permitted to make calls or communications for a substantial portion of the subscription period.  </w:t>
      </w:r>
    </w:p>
    <w:p w:rsidR="0065729E" w:rsidP="0065729E" w14:paraId="2D098543" w14:textId="77777777">
      <w:pPr>
        <w:widowControl/>
        <w:spacing w:after="120"/>
        <w:ind w:left="360" w:hanging="360"/>
      </w:pPr>
      <w:r>
        <w:t>* * * * *</w:t>
      </w:r>
    </w:p>
    <w:p w:rsidR="0065729E" w:rsidRPr="00FE39FC" w:rsidP="0065729E" w14:paraId="614A1CD3" w14:textId="77777777">
      <w:pPr>
        <w:widowControl/>
        <w:spacing w:after="120"/>
        <w:ind w:left="1080" w:hanging="360"/>
        <w:rPr>
          <w:rFonts w:eastAsia="Calibri"/>
          <w:kern w:val="2"/>
        </w:rPr>
      </w:pPr>
      <w:r w:rsidRPr="00FE39FC">
        <w:t>(4) Consumer disclosures related to Consumer cancellation of an Alternate Pricing Plan must include:</w:t>
      </w:r>
    </w:p>
    <w:p w:rsidR="0065729E" w:rsidRPr="0035180E" w:rsidP="0065729E" w14:paraId="7340C169" w14:textId="77777777">
      <w:pPr>
        <w:spacing w:after="120"/>
        <w:ind w:left="1440"/>
        <w:rPr>
          <w:rFonts w:ascii="Aptos" w:eastAsia="Calibri" w:hAnsi="Aptos"/>
          <w:snapToGrid/>
          <w:kern w:val="0"/>
          <w:szCs w:val="22"/>
        </w:rPr>
      </w:pPr>
      <w:r w:rsidRPr="00FE39FC">
        <w:rPr>
          <w:rFonts w:eastAsia="Calibri"/>
          <w:kern w:val="0"/>
        </w:rPr>
        <w:t>(i) An explanation that a Consumer enrolled in an Alternate Pricing Plan may cancel at any time and where applicable, the Provider will begin billing the Consumer at the Provider’s per-minute rates by the first day after the termination date;</w:t>
      </w:r>
    </w:p>
    <w:p w:rsidR="0065729E" w:rsidRPr="0035180E" w:rsidP="0065729E" w14:paraId="1648D587" w14:textId="77777777">
      <w:pPr>
        <w:spacing w:after="120"/>
        <w:ind w:left="1440"/>
        <w:rPr>
          <w:rFonts w:ascii="Aptos" w:eastAsia="Calibri" w:hAnsi="Aptos"/>
          <w:snapToGrid/>
          <w:kern w:val="0"/>
          <w:szCs w:val="22"/>
        </w:rPr>
      </w:pPr>
      <w:r w:rsidRPr="00FE39FC">
        <w:rPr>
          <w:rFonts w:eastAsia="Calibri"/>
          <w:kern w:val="0"/>
        </w:rPr>
        <w:t xml:space="preserve">(ii) An explanation of the process for requesting cancellation of the Alternate Pricing Plan;  </w:t>
      </w:r>
    </w:p>
    <w:p w:rsidR="0065729E" w:rsidRPr="0035180E" w:rsidP="0065729E" w14:paraId="0334639B" w14:textId="77777777">
      <w:pPr>
        <w:spacing w:after="120"/>
        <w:ind w:left="1440"/>
        <w:rPr>
          <w:rFonts w:ascii="Aptos" w:eastAsia="Calibri" w:hAnsi="Aptos"/>
          <w:snapToGrid/>
          <w:kern w:val="0"/>
          <w:szCs w:val="22"/>
        </w:rPr>
      </w:pPr>
      <w:r w:rsidRPr="00FE39FC">
        <w:rPr>
          <w:rFonts w:eastAsia="Calibri"/>
          <w:kern w:val="0"/>
        </w:rPr>
        <w:t xml:space="preserve">(iii) An explanation that the Consumer can end the Alternate Pricing Plan on a specific termination date of their choosing; and  </w:t>
      </w:r>
    </w:p>
    <w:p w:rsidR="0065729E" w:rsidP="0065729E" w14:paraId="7E14E209" w14:textId="7087C71A">
      <w:pPr>
        <w:spacing w:after="120"/>
        <w:ind w:left="1440"/>
        <w:rPr>
          <w:rFonts w:eastAsia="Calibri"/>
          <w:kern w:val="0"/>
        </w:rPr>
      </w:pPr>
      <w:r w:rsidRPr="00FE39FC">
        <w:rPr>
          <w:rFonts w:eastAsia="Calibri"/>
          <w:kern w:val="0"/>
        </w:rPr>
        <w:t xml:space="preserve">(iv) The special circumstances for which a Consumer who has cancelled their enrollment </w:t>
      </w:r>
      <w:r>
        <w:rPr>
          <w:rFonts w:eastAsia="Calibri"/>
          <w:kern w:val="0"/>
        </w:rPr>
        <w:t>s</w:t>
      </w:r>
      <w:r w:rsidRPr="00FE39FC">
        <w:rPr>
          <w:rFonts w:eastAsia="Calibri"/>
          <w:kern w:val="0"/>
        </w:rPr>
        <w:t xml:space="preserve">hall receive a refund and how that refund will be calculated.  </w:t>
      </w:r>
    </w:p>
    <w:p w:rsidR="00BD3C4F" w:rsidRPr="00917CE6" w:rsidP="00C67C7C" w14:paraId="5B05F2F5" w14:textId="77777777">
      <w:pPr>
        <w:spacing w:after="120"/>
        <w:ind w:firstLine="720"/>
      </w:pPr>
      <w:r w:rsidRPr="00090669">
        <w:t xml:space="preserve">Statutory authority for this information collection is contained in sections </w:t>
      </w:r>
      <w:r w:rsidRPr="00917CE6">
        <w:t xml:space="preserve">1, 2, 4(i)-(j), </w:t>
      </w:r>
      <w:r>
        <w:t xml:space="preserve">5(c), </w:t>
      </w:r>
      <w:r w:rsidRPr="00917CE6">
        <w:t xml:space="preserve">201(b), 218, 220, </w:t>
      </w:r>
      <w:r>
        <w:t xml:space="preserve">225, 255, </w:t>
      </w:r>
      <w:r w:rsidRPr="00917CE6">
        <w:t xml:space="preserve">276, </w:t>
      </w:r>
      <w:r>
        <w:t xml:space="preserve">403, </w:t>
      </w:r>
      <w:r w:rsidRPr="00917CE6">
        <w:t xml:space="preserve">and </w:t>
      </w:r>
      <w:r>
        <w:t>716</w:t>
      </w:r>
      <w:r w:rsidRPr="00917CE6">
        <w:t xml:space="preserve"> of the Communications Act of 1934, as amended, 47 U.S.C. §§ 151, 152, 154(i)-(j), </w:t>
      </w:r>
      <w:r>
        <w:t xml:space="preserve">155(c), </w:t>
      </w:r>
      <w:r w:rsidRPr="00917CE6">
        <w:t xml:space="preserve">201(b), 218, 220, </w:t>
      </w:r>
      <w:r>
        <w:t xml:space="preserve">225, 255, </w:t>
      </w:r>
      <w:r w:rsidRPr="00917CE6">
        <w:t xml:space="preserve">276, </w:t>
      </w:r>
      <w:r>
        <w:t xml:space="preserve">403, </w:t>
      </w:r>
      <w:r w:rsidRPr="00917CE6">
        <w:t xml:space="preserve">and </w:t>
      </w:r>
      <w:r>
        <w:t>617,</w:t>
      </w:r>
      <w:r w:rsidRPr="00A01B32">
        <w:t xml:space="preserve"> and the Martha Wright-Reed </w:t>
      </w:r>
      <w:r>
        <w:t xml:space="preserve">Just and Reasonable Communications </w:t>
      </w:r>
      <w:r w:rsidRPr="00A01B32">
        <w:t>Act</w:t>
      </w:r>
      <w:r>
        <w:t xml:space="preserve"> of 2022</w:t>
      </w:r>
      <w:r w:rsidRPr="00A01B32">
        <w:t>, Pub. L. No. 117-338, 136 Stat</w:t>
      </w:r>
      <w:r>
        <w:t>.</w:t>
      </w:r>
      <w:r w:rsidRPr="00A01B32">
        <w:t xml:space="preserve"> 6156 (2022).</w:t>
      </w:r>
    </w:p>
    <w:p w:rsidR="00BD3C4F" w:rsidRPr="004460F4" w:rsidP="00C67C7C" w14:paraId="0E4690F3" w14:textId="77777777">
      <w:pPr>
        <w:spacing w:after="120"/>
        <w:ind w:firstLine="720"/>
        <w:rPr>
          <w:szCs w:val="22"/>
        </w:rPr>
      </w:pPr>
      <w:r w:rsidRPr="004460F4">
        <w:rPr>
          <w:szCs w:val="22"/>
        </w:rPr>
        <w:t>This information collection does not affect individuals or households; thus, there are no impacts under the Privacy Act.</w:t>
      </w:r>
    </w:p>
    <w:p w:rsidR="00B54A95" w:rsidRPr="00EB14BB" w:rsidP="00C8066B" w14:paraId="034B32F3" w14:textId="741634D2">
      <w:pPr>
        <w:pStyle w:val="ParaNum"/>
        <w:rPr>
          <w:b/>
          <w:bCs/>
        </w:rPr>
      </w:pPr>
      <w:bookmarkStart w:id="4" w:name="_Hlk14172746"/>
      <w:r w:rsidRPr="004460F4">
        <w:t xml:space="preserve">The </w:t>
      </w:r>
      <w:r w:rsidRPr="00B54A95">
        <w:rPr>
          <w:szCs w:val="22"/>
        </w:rPr>
        <w:t>information</w:t>
      </w:r>
      <w:r w:rsidRPr="004460F4">
        <w:t xml:space="preserve"> </w:t>
      </w:r>
      <w:r w:rsidR="007A2349">
        <w:t xml:space="preserve">collection </w:t>
      </w:r>
      <w:r w:rsidRPr="004460F4">
        <w:t xml:space="preserve">requirements set forth below </w:t>
      </w:r>
      <w:r w:rsidR="00A32208">
        <w:t xml:space="preserve">will help </w:t>
      </w:r>
      <w:r w:rsidRPr="004460F4">
        <w:t xml:space="preserve">ensure that </w:t>
      </w:r>
      <w:r w:rsidR="0005493C">
        <w:t>IPCS consumers</w:t>
      </w:r>
      <w:r w:rsidR="00A32208">
        <w:t xml:space="preserve"> have the information they need to make informed </w:t>
      </w:r>
      <w:r w:rsidR="00E5583F">
        <w:t>decisions about the</w:t>
      </w:r>
      <w:r w:rsidR="008C30C7">
        <w:t>ir IPCS us</w:t>
      </w:r>
      <w:r w:rsidR="00F61057">
        <w:t xml:space="preserve">age and that the </w:t>
      </w:r>
      <w:r w:rsidRPr="004460F4">
        <w:t xml:space="preserve">Commission </w:t>
      </w:r>
      <w:r>
        <w:t xml:space="preserve">will have </w:t>
      </w:r>
      <w:r w:rsidRPr="004460F4">
        <w:t xml:space="preserve">access to the information it needs </w:t>
      </w:r>
      <w:r w:rsidR="00DA7841">
        <w:t xml:space="preserve">to </w:t>
      </w:r>
      <w:r w:rsidR="00A14C44">
        <w:t xml:space="preserve">monitor </w:t>
      </w:r>
      <w:r w:rsidR="00DD7CDB">
        <w:t xml:space="preserve">any </w:t>
      </w:r>
      <w:r w:rsidR="00A14C44">
        <w:t>alternate pricing plan</w:t>
      </w:r>
      <w:r w:rsidR="00DD7CDB">
        <w:t xml:space="preserve"> that IP</w:t>
      </w:r>
      <w:r w:rsidR="005A483B">
        <w:t>CS providers choose to offer</w:t>
      </w:r>
      <w:r w:rsidR="00A14C44">
        <w:t xml:space="preserve">, </w:t>
      </w:r>
      <w:r w:rsidRPr="004460F4">
        <w:t xml:space="preserve">while minimizing the burden on providers. </w:t>
      </w:r>
      <w:r w:rsidRPr="00EC3A4C">
        <w:t xml:space="preserve"> </w:t>
      </w:r>
      <w:r>
        <w:t xml:space="preserve"> </w:t>
      </w:r>
    </w:p>
    <w:p w:rsidR="003309B1" w:rsidRPr="00B54A95" w:rsidP="00C67C7C" w14:paraId="5E172C8D" w14:textId="3D642469">
      <w:pPr>
        <w:pStyle w:val="ParaNum"/>
        <w:rPr>
          <w:szCs w:val="22"/>
        </w:rPr>
      </w:pPr>
      <w:r w:rsidRPr="00B54A95">
        <w:rPr>
          <w:szCs w:val="22"/>
        </w:rPr>
        <w:t>The annual reports and certification portion of this collection involves the use of informational technology to permit the electronic submission of responses.</w:t>
      </w:r>
      <w:bookmarkEnd w:id="4"/>
    </w:p>
    <w:p w:rsidR="001D5F99" w:rsidRPr="003309B1" w:rsidP="00C67C7C" w14:paraId="2B62E73F" w14:textId="110DEE8F">
      <w:pPr>
        <w:pStyle w:val="ParaNum"/>
        <w:rPr>
          <w:szCs w:val="22"/>
        </w:rPr>
      </w:pPr>
      <w:r w:rsidRPr="003309B1">
        <w:rPr>
          <w:szCs w:val="22"/>
        </w:rPr>
        <w:t xml:space="preserve">The Commission is not aware of any similar information already available that can be used or modified for the purposes described in Item </w:t>
      </w:r>
      <w:r w:rsidR="00215CCB">
        <w:rPr>
          <w:szCs w:val="22"/>
        </w:rPr>
        <w:t>3</w:t>
      </w:r>
      <w:r w:rsidRPr="003309B1">
        <w:rPr>
          <w:szCs w:val="22"/>
        </w:rPr>
        <w:t xml:space="preserve"> above.  The </w:t>
      </w:r>
      <w:r w:rsidRPr="003309B1" w:rsidR="00010CDF">
        <w:rPr>
          <w:szCs w:val="22"/>
        </w:rPr>
        <w:t xml:space="preserve">alternate pricing plan </w:t>
      </w:r>
      <w:r w:rsidRPr="003309B1">
        <w:rPr>
          <w:szCs w:val="22"/>
        </w:rPr>
        <w:t xml:space="preserve">requirements will provide the Commission, its state counterparts, </w:t>
      </w:r>
      <w:r w:rsidRPr="003309B1" w:rsidR="005C0DFB">
        <w:rPr>
          <w:szCs w:val="22"/>
        </w:rPr>
        <w:t xml:space="preserve">IPCS consumers, </w:t>
      </w:r>
      <w:r w:rsidRPr="003309B1">
        <w:rPr>
          <w:szCs w:val="22"/>
        </w:rPr>
        <w:t xml:space="preserve">and the public with a </w:t>
      </w:r>
      <w:r w:rsidRPr="003309B1" w:rsidR="00087ED2">
        <w:rPr>
          <w:szCs w:val="22"/>
        </w:rPr>
        <w:t xml:space="preserve">full </w:t>
      </w:r>
      <w:r w:rsidRPr="003309B1">
        <w:rPr>
          <w:szCs w:val="22"/>
        </w:rPr>
        <w:t xml:space="preserve">picture of IPCS providers’ </w:t>
      </w:r>
      <w:r w:rsidRPr="003309B1" w:rsidR="00087ED2">
        <w:rPr>
          <w:szCs w:val="22"/>
        </w:rPr>
        <w:t xml:space="preserve">alternate pricing plans </w:t>
      </w:r>
      <w:r>
        <w:rPr>
          <w:szCs w:val="22"/>
        </w:rPr>
        <w:t xml:space="preserve">without imposing undue </w:t>
      </w:r>
      <w:r w:rsidRPr="003309B1">
        <w:rPr>
          <w:szCs w:val="22"/>
        </w:rPr>
        <w:t xml:space="preserve">burdens on IPCS providers. </w:t>
      </w:r>
    </w:p>
    <w:p w:rsidR="00F71BB2" w:rsidRPr="001D5F99" w:rsidP="00C67C7C" w14:paraId="41F15D6B" w14:textId="76354E3A">
      <w:pPr>
        <w:pStyle w:val="ParaNum"/>
        <w:rPr>
          <w:szCs w:val="22"/>
        </w:rPr>
      </w:pPr>
      <w:r w:rsidRPr="001D5F99">
        <w:rPr>
          <w:szCs w:val="22"/>
        </w:rPr>
        <w:t>Because the Commission requires all IPCS providers to comply with the information requirements, this information collection will affect smaller as well as larger providers.  The Commission has taken steps to ensure that</w:t>
      </w:r>
      <w:r w:rsidRPr="001D5F99" w:rsidR="008A0CC8">
        <w:rPr>
          <w:szCs w:val="22"/>
        </w:rPr>
        <w:t xml:space="preserve"> its IPCS-related information collection requirements</w:t>
      </w:r>
      <w:r w:rsidRPr="001D5F99">
        <w:rPr>
          <w:szCs w:val="22"/>
        </w:rPr>
        <w:t xml:space="preserve"> are competitively neutral and not unduly burdensome for any set of providers. </w:t>
      </w:r>
    </w:p>
    <w:p w:rsidR="00F71BB2" w:rsidRPr="00F71BB2" w:rsidP="00C67C7C" w14:paraId="0F305F69" w14:textId="6BEED402">
      <w:pPr>
        <w:pStyle w:val="ParaNum"/>
        <w:rPr>
          <w:szCs w:val="22"/>
        </w:rPr>
      </w:pPr>
      <w:r w:rsidRPr="00F71BB2">
        <w:rPr>
          <w:szCs w:val="22"/>
        </w:rPr>
        <w:t xml:space="preserve">Collecting the information on a less frequent basis, or not at all, would undermine the Commission’s efforts to ensure that IPCS is provided at just and reasonable rates.  It would also deprive consumers and other affected parties of the ability to monitor IPCS rates </w:t>
      </w:r>
      <w:r w:rsidRPr="00F71BB2" w:rsidR="001D560D">
        <w:rPr>
          <w:szCs w:val="22"/>
        </w:rPr>
        <w:t>and practices regarding alternate pricing plan</w:t>
      </w:r>
      <w:r w:rsidRPr="00F71BB2" w:rsidR="006A6AF6">
        <w:rPr>
          <w:szCs w:val="22"/>
        </w:rPr>
        <w:t>s</w:t>
      </w:r>
      <w:r w:rsidRPr="00F71BB2">
        <w:rPr>
          <w:szCs w:val="22"/>
        </w:rPr>
        <w:t xml:space="preserve">.  Not requiring providers to disclose </w:t>
      </w:r>
      <w:r w:rsidRPr="00F71BB2" w:rsidR="006A6AF6">
        <w:rPr>
          <w:szCs w:val="22"/>
        </w:rPr>
        <w:t>those rates and practices</w:t>
      </w:r>
      <w:r w:rsidRPr="00F71BB2">
        <w:rPr>
          <w:szCs w:val="22"/>
        </w:rPr>
        <w:t xml:space="preserve"> would prevent customers from making informed decisions before deciding whether or how to use the provider’s services. </w:t>
      </w:r>
    </w:p>
    <w:p w:rsidR="00F71BB2" w:rsidRPr="00F71BB2" w:rsidP="00C67C7C" w14:paraId="688EFAEA" w14:textId="257DCA66">
      <w:pPr>
        <w:pStyle w:val="ParaNum"/>
        <w:rPr>
          <w:szCs w:val="22"/>
        </w:rPr>
      </w:pPr>
      <w:r w:rsidRPr="00F71BB2">
        <w:rPr>
          <w:szCs w:val="22"/>
        </w:rPr>
        <w:t xml:space="preserve">No other special circumstances will apply to this information collection. </w:t>
      </w:r>
    </w:p>
    <w:p w:rsidR="00BD3C4F" w:rsidRPr="00F71BB2" w:rsidP="00C8066B" w14:paraId="48B12D71" w14:textId="18279367">
      <w:pPr>
        <w:pStyle w:val="ParaNum"/>
        <w:rPr>
          <w:szCs w:val="22"/>
        </w:rPr>
      </w:pPr>
      <w:r w:rsidRPr="00F71BB2">
        <w:rPr>
          <w:szCs w:val="22"/>
        </w:rPr>
        <w:t>Pursuant to 5 CFR § 1320.8(d), on October 25, 2024, the Commission published a 60-Day Notice in the Federal Register to solicit public comment on the foregoing requirements.</w:t>
      </w:r>
      <w:r>
        <w:rPr>
          <w:vertAlign w:val="superscript"/>
        </w:rPr>
        <w:footnoteReference w:id="15"/>
      </w:r>
      <w:r w:rsidRPr="00F71BB2">
        <w:rPr>
          <w:szCs w:val="22"/>
        </w:rPr>
        <w:t xml:space="preserve">  We received comments from two parties—Securus Technologies, LLC (Securus) and Global Tel*Link Corporation d/b/a </w:t>
      </w:r>
      <w:r w:rsidRPr="00F71BB2">
        <w:rPr>
          <w:szCs w:val="22"/>
        </w:rPr>
        <w:t>ViaPath</w:t>
      </w:r>
      <w:r w:rsidRPr="00F71BB2">
        <w:rPr>
          <w:szCs w:val="22"/>
        </w:rPr>
        <w:t xml:space="preserve"> Technologies (</w:t>
      </w:r>
      <w:r w:rsidRPr="00F71BB2">
        <w:rPr>
          <w:szCs w:val="22"/>
        </w:rPr>
        <w:t>ViaPath</w:t>
      </w:r>
      <w:r w:rsidRPr="00F71BB2">
        <w:rPr>
          <w:szCs w:val="22"/>
        </w:rPr>
        <w:t xml:space="preserve">).  Securus’s comments address the disclosure rules pertaining to alternate pricing plans, </w:t>
      </w:r>
      <w:r w:rsidRPr="00F71BB2" w:rsidR="001C5406">
        <w:rPr>
          <w:szCs w:val="22"/>
        </w:rPr>
        <w:t xml:space="preserve">among other information collections adopted </w:t>
      </w:r>
      <w:r w:rsidRPr="00F71BB2">
        <w:rPr>
          <w:szCs w:val="22"/>
        </w:rPr>
        <w:t xml:space="preserve">in the </w:t>
      </w:r>
      <w:r w:rsidRPr="00F71BB2">
        <w:rPr>
          <w:i/>
          <w:iCs/>
          <w:szCs w:val="22"/>
        </w:rPr>
        <w:t>2024 IPCS Order</w:t>
      </w:r>
      <w:r w:rsidRPr="00F71BB2">
        <w:rPr>
          <w:szCs w:val="22"/>
        </w:rPr>
        <w:t xml:space="preserve">.  </w:t>
      </w:r>
      <w:r w:rsidRPr="00F71BB2">
        <w:rPr>
          <w:szCs w:val="22"/>
        </w:rPr>
        <w:t>ViaPath’s</w:t>
      </w:r>
      <w:r w:rsidRPr="00F71BB2">
        <w:rPr>
          <w:szCs w:val="22"/>
        </w:rPr>
        <w:t xml:space="preserve"> comments address the Commission’s requirements more generally, focusing on the burdens and costs associated with those requirements. </w:t>
      </w:r>
    </w:p>
    <w:p w:rsidR="00BD3C4F" w:rsidP="00BD3C4F" w14:paraId="502914A0" w14:textId="28A44A17">
      <w:pPr>
        <w:pStyle w:val="Numberedparagraphs"/>
        <w:numPr>
          <w:ilvl w:val="0"/>
          <w:numId w:val="0"/>
        </w:numPr>
        <w:tabs>
          <w:tab w:val="left" w:pos="720"/>
        </w:tabs>
        <w:rPr>
          <w:szCs w:val="22"/>
        </w:rPr>
      </w:pPr>
      <w:r>
        <w:rPr>
          <w:szCs w:val="22"/>
        </w:rPr>
        <w:tab/>
      </w:r>
      <w:r>
        <w:rPr>
          <w:szCs w:val="22"/>
        </w:rPr>
        <w:t>On April 1, 2025, the Commission published a 30-Day Notice in the Federal Register to solicit additional public comment on the information collections described above.</w:t>
      </w:r>
      <w:r>
        <w:rPr>
          <w:rStyle w:val="FootnoteReference"/>
          <w:szCs w:val="22"/>
        </w:rPr>
        <w:footnoteReference w:id="16"/>
      </w:r>
      <w:r>
        <w:rPr>
          <w:szCs w:val="22"/>
        </w:rPr>
        <w:t xml:space="preserve">  We received a single comment, from Securus, that contends that the Supporting Statement the Commission submitted to OMB in connection with the 30-Day Notice underestimates the costs and burdens of the information collection requirements before OMB for review and that those requirements otherwise violate the PRA.</w:t>
      </w:r>
      <w:r>
        <w:rPr>
          <w:rStyle w:val="FootnoteReference"/>
          <w:szCs w:val="22"/>
        </w:rPr>
        <w:footnoteReference w:id="17"/>
      </w:r>
    </w:p>
    <w:p w:rsidR="00BD3C4F" w:rsidRPr="00EB3336" w:rsidP="00C67C7C" w14:paraId="53093064" w14:textId="414E88D8">
      <w:pPr>
        <w:pStyle w:val="Numberedparagraphs"/>
        <w:numPr>
          <w:ilvl w:val="0"/>
          <w:numId w:val="0"/>
        </w:numPr>
        <w:tabs>
          <w:tab w:val="left" w:pos="720"/>
        </w:tabs>
        <w:rPr>
          <w:szCs w:val="22"/>
        </w:rPr>
      </w:pPr>
      <w:r>
        <w:rPr>
          <w:szCs w:val="22"/>
        </w:rPr>
        <w:tab/>
      </w:r>
      <w:r w:rsidR="006358BC">
        <w:rPr>
          <w:szCs w:val="22"/>
        </w:rPr>
        <w:t>Below, w</w:t>
      </w:r>
      <w:r w:rsidRPr="00EB3336">
        <w:rPr>
          <w:szCs w:val="22"/>
        </w:rPr>
        <w:t xml:space="preserve">e address </w:t>
      </w:r>
      <w:r>
        <w:rPr>
          <w:szCs w:val="22"/>
        </w:rPr>
        <w:t xml:space="preserve">Securus’s and </w:t>
      </w:r>
      <w:r>
        <w:rPr>
          <w:szCs w:val="22"/>
        </w:rPr>
        <w:t>ViaPath’s</w:t>
      </w:r>
      <w:r w:rsidRPr="00EB3336">
        <w:rPr>
          <w:szCs w:val="22"/>
        </w:rPr>
        <w:t xml:space="preserve"> arguments </w:t>
      </w:r>
      <w:r w:rsidR="00952F66">
        <w:rPr>
          <w:szCs w:val="22"/>
        </w:rPr>
        <w:t xml:space="preserve">to the extent they relate </w:t>
      </w:r>
      <w:r w:rsidR="00237F18">
        <w:rPr>
          <w:szCs w:val="22"/>
        </w:rPr>
        <w:t>to alternate pricing plans</w:t>
      </w:r>
      <w:r w:rsidRPr="00EB3336">
        <w:rPr>
          <w:szCs w:val="22"/>
        </w:rPr>
        <w:t>.</w:t>
      </w:r>
    </w:p>
    <w:p w:rsidR="004F5F84" w:rsidP="00A26E9A" w14:paraId="65C01449" w14:textId="7CE4A9AC">
      <w:pPr>
        <w:pStyle w:val="Numberedparagraphs"/>
        <w:numPr>
          <w:ilvl w:val="0"/>
          <w:numId w:val="0"/>
        </w:numPr>
        <w:tabs>
          <w:tab w:val="left" w:pos="720"/>
          <w:tab w:val="clear" w:pos="1440"/>
        </w:tabs>
        <w:rPr>
          <w:b/>
          <w:bCs/>
          <w:szCs w:val="22"/>
        </w:rPr>
      </w:pPr>
      <w:r>
        <w:rPr>
          <w:b/>
          <w:bCs/>
          <w:szCs w:val="22"/>
        </w:rPr>
        <w:t>The Commission’s Burden Hours Estimate</w:t>
      </w:r>
      <w:r w:rsidR="001A6516">
        <w:rPr>
          <w:b/>
          <w:bCs/>
          <w:szCs w:val="22"/>
        </w:rPr>
        <w:t>s</w:t>
      </w:r>
    </w:p>
    <w:p w:rsidR="004B1A18" w:rsidRPr="00EB3336" w:rsidP="00C67C7C" w14:paraId="453238DD" w14:textId="615BB117">
      <w:pPr>
        <w:pStyle w:val="Numberedparagraphs"/>
        <w:widowControl/>
        <w:numPr>
          <w:ilvl w:val="0"/>
          <w:numId w:val="0"/>
        </w:numPr>
        <w:tabs>
          <w:tab w:val="left" w:pos="720"/>
        </w:tabs>
        <w:rPr>
          <w:szCs w:val="22"/>
        </w:rPr>
      </w:pPr>
      <w:r>
        <w:rPr>
          <w:i/>
          <w:iCs/>
          <w:szCs w:val="22"/>
        </w:rPr>
        <w:tab/>
      </w:r>
      <w:r w:rsidRPr="004B1A18">
        <w:rPr>
          <w:i/>
          <w:iCs/>
          <w:szCs w:val="22"/>
        </w:rPr>
        <w:t xml:space="preserve"> </w:t>
      </w:r>
      <w:r w:rsidRPr="00EB3336">
        <w:rPr>
          <w:i/>
          <w:iCs/>
          <w:szCs w:val="22"/>
        </w:rPr>
        <w:t>Arguments</w:t>
      </w:r>
      <w:r w:rsidRPr="00EB3336">
        <w:rPr>
          <w:szCs w:val="22"/>
        </w:rPr>
        <w:t xml:space="preserve">.  </w:t>
      </w:r>
      <w:r w:rsidRPr="00EB3336">
        <w:rPr>
          <w:szCs w:val="22"/>
        </w:rPr>
        <w:t>ViaPath</w:t>
      </w:r>
      <w:r w:rsidRPr="00EB3336">
        <w:rPr>
          <w:szCs w:val="22"/>
        </w:rPr>
        <w:t xml:space="preserve"> argues that the Commission’s estimate that it will take each IPCS provider between 5 and 240 hours to comply with the Commission’s requirements “demonstrates the considerable burden associated with the requirements.”</w:t>
      </w:r>
      <w:r>
        <w:footnoteReference w:id="18"/>
      </w:r>
      <w:r w:rsidRPr="00EB3336">
        <w:rPr>
          <w:szCs w:val="22"/>
        </w:rPr>
        <w:t xml:space="preserve">  </w:t>
      </w:r>
      <w:r w:rsidRPr="00EB3336">
        <w:rPr>
          <w:szCs w:val="22"/>
        </w:rPr>
        <w:t>ViaPath</w:t>
      </w:r>
      <w:r w:rsidRPr="00EB3336">
        <w:rPr>
          <w:szCs w:val="22"/>
        </w:rPr>
        <w:t xml:space="preserve"> also argues that the Commission’s estimate is “substantially understated.”</w:t>
      </w:r>
      <w:r>
        <w:rPr>
          <w:szCs w:val="22"/>
          <w:vertAlign w:val="superscript"/>
        </w:rPr>
        <w:footnoteReference w:id="19"/>
      </w:r>
      <w:r w:rsidRPr="00EB3336">
        <w:rPr>
          <w:szCs w:val="22"/>
        </w:rPr>
        <w:t xml:space="preserve">  </w:t>
      </w:r>
      <w:r w:rsidRPr="00EB3336">
        <w:rPr>
          <w:szCs w:val="22"/>
        </w:rPr>
        <w:t>ViaPath</w:t>
      </w:r>
      <w:r w:rsidRPr="00EB3336">
        <w:rPr>
          <w:szCs w:val="22"/>
        </w:rPr>
        <w:t xml:space="preserve"> notes that in 2023, “the Commission estimated IPCS providers would spend between 5 and 1,200 hours to respond to the annual reporting and certification, third party disclosure, and waiver request requirements.”</w:t>
      </w:r>
      <w:r>
        <w:rPr>
          <w:szCs w:val="22"/>
          <w:vertAlign w:val="superscript"/>
        </w:rPr>
        <w:footnoteReference w:id="20"/>
      </w:r>
      <w:r w:rsidRPr="00EB3336">
        <w:rPr>
          <w:szCs w:val="22"/>
        </w:rPr>
        <w:t xml:space="preserve">  In contrast to the requirements under review at that time, the requirements now under review are “significantly more detailed” in </w:t>
      </w:r>
      <w:r w:rsidRPr="00EB3336">
        <w:rPr>
          <w:szCs w:val="22"/>
        </w:rPr>
        <w:t>ViaPath’s</w:t>
      </w:r>
      <w:r w:rsidRPr="00EB3336">
        <w:rPr>
          <w:szCs w:val="22"/>
        </w:rPr>
        <w:t xml:space="preserve"> view.</w:t>
      </w:r>
      <w:r>
        <w:rPr>
          <w:szCs w:val="22"/>
          <w:vertAlign w:val="superscript"/>
        </w:rPr>
        <w:footnoteReference w:id="21"/>
      </w:r>
      <w:r w:rsidRPr="00EB3336">
        <w:rPr>
          <w:szCs w:val="22"/>
        </w:rPr>
        <w:t xml:space="preserve">  </w:t>
      </w:r>
      <w:r w:rsidRPr="00EB3336">
        <w:rPr>
          <w:szCs w:val="22"/>
        </w:rPr>
        <w:t>ViaPath</w:t>
      </w:r>
      <w:r w:rsidRPr="00EB3336">
        <w:rPr>
          <w:szCs w:val="22"/>
        </w:rPr>
        <w:t xml:space="preserve"> also </w:t>
      </w:r>
      <w:r w:rsidRPr="00EB3336">
        <w:rPr>
          <w:szCs w:val="22"/>
        </w:rPr>
        <w:t>argues that there are less burdensome mechanisms to achieve the Commission’s goals.</w:t>
      </w:r>
      <w:r>
        <w:rPr>
          <w:szCs w:val="22"/>
          <w:vertAlign w:val="superscript"/>
        </w:rPr>
        <w:footnoteReference w:id="22"/>
      </w:r>
      <w:r w:rsidRPr="00EB3336">
        <w:rPr>
          <w:szCs w:val="22"/>
        </w:rPr>
        <w:t xml:space="preserve">  </w:t>
      </w:r>
      <w:r>
        <w:rPr>
          <w:szCs w:val="22"/>
        </w:rPr>
        <w:t xml:space="preserve">Securus adds that </w:t>
      </w:r>
      <w:r>
        <w:t>given the multiple disclosures required by the alternate pricing plan rules, the Commission’s burden estimate</w:t>
      </w:r>
      <w:r w:rsidR="003A4029">
        <w:t xml:space="preserve"> of </w:t>
      </w:r>
      <w:r>
        <w:t xml:space="preserve">200 hours per year for alternate pricing plans </w:t>
      </w:r>
      <w:r w:rsidR="003A4029">
        <w:t xml:space="preserve">is </w:t>
      </w:r>
      <w:r>
        <w:t>“patently defective” and “woefully inadequate.”</w:t>
      </w:r>
      <w:r>
        <w:rPr>
          <w:rStyle w:val="FootnoteReference"/>
        </w:rPr>
        <w:footnoteReference w:id="23"/>
      </w:r>
      <w:r>
        <w:t xml:space="preserve">  </w:t>
      </w:r>
    </w:p>
    <w:p w:rsidR="004F5F84" w:rsidP="004F5F84" w14:paraId="1AE6DEBB" w14:textId="02427BC4">
      <w:pPr>
        <w:pStyle w:val="Numberedparagraphs"/>
        <w:numPr>
          <w:ilvl w:val="0"/>
          <w:numId w:val="0"/>
        </w:numPr>
        <w:tabs>
          <w:tab w:val="left" w:pos="720"/>
          <w:tab w:val="clear" w:pos="1440"/>
        </w:tabs>
        <w:rPr>
          <w:szCs w:val="22"/>
        </w:rPr>
      </w:pPr>
      <w:r>
        <w:rPr>
          <w:szCs w:val="22"/>
        </w:rPr>
        <w:t xml:space="preserve"> </w:t>
      </w:r>
      <w:r>
        <w:rPr>
          <w:i/>
          <w:iCs/>
          <w:szCs w:val="22"/>
        </w:rPr>
        <w:tab/>
        <w:t>Response</w:t>
      </w:r>
      <w:r>
        <w:rPr>
          <w:szCs w:val="22"/>
        </w:rPr>
        <w:t xml:space="preserve">.  </w:t>
      </w:r>
      <w:r w:rsidRPr="00EB3336" w:rsidR="00986840">
        <w:rPr>
          <w:szCs w:val="22"/>
        </w:rPr>
        <w:t>W</w:t>
      </w:r>
      <w:r w:rsidR="00986840">
        <w:rPr>
          <w:szCs w:val="22"/>
        </w:rPr>
        <w:t xml:space="preserve">hile we increase our burden estimates for alternate pricing plans in response to Securus’s and </w:t>
      </w:r>
      <w:r w:rsidR="00986840">
        <w:rPr>
          <w:szCs w:val="22"/>
        </w:rPr>
        <w:t>ViaPath’s</w:t>
      </w:r>
      <w:r w:rsidR="00986840">
        <w:rPr>
          <w:szCs w:val="22"/>
        </w:rPr>
        <w:t xml:space="preserve"> comments, we are otherwise </w:t>
      </w:r>
      <w:r w:rsidRPr="00EB3336" w:rsidR="00986840">
        <w:rPr>
          <w:szCs w:val="22"/>
        </w:rPr>
        <w:t xml:space="preserve">unpersuaded by </w:t>
      </w:r>
      <w:r w:rsidR="00986840">
        <w:rPr>
          <w:szCs w:val="22"/>
        </w:rPr>
        <w:t xml:space="preserve">their </w:t>
      </w:r>
      <w:r w:rsidRPr="00EB3336" w:rsidR="00986840">
        <w:rPr>
          <w:szCs w:val="22"/>
        </w:rPr>
        <w:t xml:space="preserve">arguments regarding the burdens associated with the Commission’s information collection requirements. </w:t>
      </w:r>
      <w:r w:rsidR="005478C3">
        <w:rPr>
          <w:szCs w:val="22"/>
        </w:rPr>
        <w:t xml:space="preserve"> </w:t>
      </w:r>
      <w:r w:rsidRPr="00EB3336">
        <w:rPr>
          <w:szCs w:val="22"/>
        </w:rPr>
        <w:t xml:space="preserve">As an initial matter, </w:t>
      </w:r>
      <w:r>
        <w:rPr>
          <w:szCs w:val="22"/>
        </w:rPr>
        <w:t>ViaPath</w:t>
      </w:r>
      <w:r w:rsidR="00BD628F">
        <w:rPr>
          <w:szCs w:val="22"/>
        </w:rPr>
        <w:t>’s</w:t>
      </w:r>
      <w:r w:rsidR="00BD628F">
        <w:rPr>
          <w:szCs w:val="22"/>
        </w:rPr>
        <w:t xml:space="preserve"> burden hour concer</w:t>
      </w:r>
      <w:r w:rsidR="00FC32CC">
        <w:rPr>
          <w:szCs w:val="22"/>
        </w:rPr>
        <w:t xml:space="preserve">n </w:t>
      </w:r>
      <w:r w:rsidR="00A14F43">
        <w:rPr>
          <w:szCs w:val="22"/>
        </w:rPr>
        <w:t>reflects a</w:t>
      </w:r>
      <w:r>
        <w:rPr>
          <w:szCs w:val="22"/>
        </w:rPr>
        <w:t xml:space="preserve"> misunderstand</w:t>
      </w:r>
      <w:r w:rsidR="00A14F43">
        <w:rPr>
          <w:szCs w:val="22"/>
        </w:rPr>
        <w:t xml:space="preserve">ing </w:t>
      </w:r>
      <w:r w:rsidR="006523D1">
        <w:rPr>
          <w:szCs w:val="22"/>
        </w:rPr>
        <w:t>of the Commission</w:t>
      </w:r>
      <w:r w:rsidR="00E619D7">
        <w:rPr>
          <w:szCs w:val="22"/>
        </w:rPr>
        <w:t>’</w:t>
      </w:r>
      <w:r>
        <w:rPr>
          <w:szCs w:val="22"/>
        </w:rPr>
        <w:t>s</w:t>
      </w:r>
      <w:r w:rsidR="00282E4D">
        <w:rPr>
          <w:szCs w:val="22"/>
        </w:rPr>
        <w:t xml:space="preserve"> entries for “Estimated </w:t>
      </w:r>
      <w:r w:rsidR="00362437">
        <w:rPr>
          <w:szCs w:val="22"/>
        </w:rPr>
        <w:t>Time per Response” in its</w:t>
      </w:r>
      <w:r>
        <w:rPr>
          <w:szCs w:val="22"/>
        </w:rPr>
        <w:t xml:space="preserve"> </w:t>
      </w:r>
      <w:r w:rsidR="00BD71ED">
        <w:rPr>
          <w:szCs w:val="22"/>
        </w:rPr>
        <w:t xml:space="preserve">Federal Register notices.  </w:t>
      </w:r>
      <w:r w:rsidR="00BB3028">
        <w:rPr>
          <w:szCs w:val="22"/>
        </w:rPr>
        <w:t xml:space="preserve">Instead of </w:t>
      </w:r>
      <w:r w:rsidR="00772A72">
        <w:rPr>
          <w:szCs w:val="22"/>
        </w:rPr>
        <w:t>establishing a range</w:t>
      </w:r>
      <w:r w:rsidR="00514173">
        <w:rPr>
          <w:szCs w:val="22"/>
        </w:rPr>
        <w:t xml:space="preserve">, as </w:t>
      </w:r>
      <w:r w:rsidR="00514173">
        <w:rPr>
          <w:szCs w:val="22"/>
        </w:rPr>
        <w:t>ViaPath</w:t>
      </w:r>
      <w:r w:rsidR="00514173">
        <w:rPr>
          <w:szCs w:val="22"/>
        </w:rPr>
        <w:t xml:space="preserve"> </w:t>
      </w:r>
      <w:r w:rsidR="00D755EA">
        <w:rPr>
          <w:szCs w:val="22"/>
        </w:rPr>
        <w:t>suggests,</w:t>
      </w:r>
      <w:r w:rsidR="00772A72">
        <w:rPr>
          <w:szCs w:val="22"/>
        </w:rPr>
        <w:t xml:space="preserve"> </w:t>
      </w:r>
      <w:r w:rsidR="00605EFB">
        <w:rPr>
          <w:szCs w:val="22"/>
        </w:rPr>
        <w:t xml:space="preserve">those entries </w:t>
      </w:r>
      <w:r>
        <w:rPr>
          <w:szCs w:val="22"/>
        </w:rPr>
        <w:t>reflect the portion of the data collection with the lowest annual burden hour estimate (five burden hours per respondent</w:t>
      </w:r>
      <w:r w:rsidR="001406E4">
        <w:rPr>
          <w:szCs w:val="22"/>
        </w:rPr>
        <w:t xml:space="preserve"> in both the </w:t>
      </w:r>
      <w:r w:rsidR="00665F4B">
        <w:rPr>
          <w:szCs w:val="22"/>
        </w:rPr>
        <w:t>60-Day Notice and th</w:t>
      </w:r>
      <w:r w:rsidR="00B76235">
        <w:rPr>
          <w:szCs w:val="22"/>
        </w:rPr>
        <w:t>is Supporting Statement</w:t>
      </w:r>
      <w:r>
        <w:rPr>
          <w:szCs w:val="22"/>
        </w:rPr>
        <w:t>) and the portion of the data collection with the highest annual burden hour estimate (</w:t>
      </w:r>
      <w:r w:rsidR="00A83D40">
        <w:rPr>
          <w:szCs w:val="22"/>
        </w:rPr>
        <w:t>1,200</w:t>
      </w:r>
      <w:r w:rsidR="00A07D2D">
        <w:rPr>
          <w:szCs w:val="22"/>
        </w:rPr>
        <w:t xml:space="preserve"> </w:t>
      </w:r>
      <w:r w:rsidR="00145EDF">
        <w:rPr>
          <w:szCs w:val="22"/>
        </w:rPr>
        <w:t xml:space="preserve">hours per respondent in the </w:t>
      </w:r>
      <w:r w:rsidR="00444229">
        <w:rPr>
          <w:szCs w:val="22"/>
        </w:rPr>
        <w:t xml:space="preserve">60-Day Notice and </w:t>
      </w:r>
      <w:r w:rsidR="00A75B62">
        <w:rPr>
          <w:szCs w:val="22"/>
        </w:rPr>
        <w:t xml:space="preserve">280 </w:t>
      </w:r>
      <w:r w:rsidR="009A6EEA">
        <w:rPr>
          <w:szCs w:val="22"/>
        </w:rPr>
        <w:t>h</w:t>
      </w:r>
      <w:r w:rsidR="00FD4485">
        <w:rPr>
          <w:szCs w:val="22"/>
        </w:rPr>
        <w:t xml:space="preserve">ours </w:t>
      </w:r>
      <w:r w:rsidR="00560957">
        <w:rPr>
          <w:szCs w:val="22"/>
        </w:rPr>
        <w:t>per respondent in</w:t>
      </w:r>
      <w:r w:rsidR="00B76235">
        <w:rPr>
          <w:szCs w:val="22"/>
        </w:rPr>
        <w:t xml:space="preserve"> this Supporting Statement</w:t>
      </w:r>
      <w:r w:rsidR="00560957">
        <w:rPr>
          <w:szCs w:val="22"/>
        </w:rPr>
        <w:t>).</w:t>
      </w:r>
      <w:r w:rsidR="003063CA">
        <w:rPr>
          <w:szCs w:val="22"/>
        </w:rPr>
        <w:t xml:space="preserve">  </w:t>
      </w:r>
      <w:r>
        <w:rPr>
          <w:szCs w:val="22"/>
        </w:rPr>
        <w:t xml:space="preserve">Thus, the </w:t>
      </w:r>
      <w:r w:rsidR="00A46742">
        <w:rPr>
          <w:szCs w:val="22"/>
        </w:rPr>
        <w:t xml:space="preserve">“Estimated Time per Response” </w:t>
      </w:r>
      <w:r>
        <w:rPr>
          <w:szCs w:val="22"/>
        </w:rPr>
        <w:t>estimate</w:t>
      </w:r>
      <w:r w:rsidR="00A46742">
        <w:rPr>
          <w:szCs w:val="22"/>
        </w:rPr>
        <w:t>s</w:t>
      </w:r>
      <w:r>
        <w:rPr>
          <w:szCs w:val="22"/>
        </w:rPr>
        <w:t xml:space="preserve"> appl</w:t>
      </w:r>
      <w:r w:rsidR="00A46742">
        <w:rPr>
          <w:szCs w:val="22"/>
        </w:rPr>
        <w:t>y</w:t>
      </w:r>
      <w:r>
        <w:rPr>
          <w:szCs w:val="22"/>
        </w:rPr>
        <w:t xml:space="preserve"> to discrete parts of the </w:t>
      </w:r>
      <w:r w:rsidR="00E934A8">
        <w:rPr>
          <w:szCs w:val="22"/>
        </w:rPr>
        <w:t xml:space="preserve">collection </w:t>
      </w:r>
      <w:r>
        <w:rPr>
          <w:szCs w:val="22"/>
        </w:rPr>
        <w:t xml:space="preserve">and </w:t>
      </w:r>
      <w:r w:rsidR="00D77979">
        <w:rPr>
          <w:szCs w:val="22"/>
        </w:rPr>
        <w:t xml:space="preserve">do </w:t>
      </w:r>
      <w:r>
        <w:rPr>
          <w:szCs w:val="22"/>
        </w:rPr>
        <w:t xml:space="preserve">not, as </w:t>
      </w:r>
      <w:r>
        <w:rPr>
          <w:szCs w:val="22"/>
        </w:rPr>
        <w:t>ViaPath</w:t>
      </w:r>
      <w:r>
        <w:rPr>
          <w:szCs w:val="22"/>
        </w:rPr>
        <w:t xml:space="preserve"> suggest</w:t>
      </w:r>
      <w:r w:rsidR="00BD7670">
        <w:rPr>
          <w:szCs w:val="22"/>
        </w:rPr>
        <w:t>s</w:t>
      </w:r>
      <w:r>
        <w:rPr>
          <w:szCs w:val="22"/>
        </w:rPr>
        <w:t xml:space="preserve">, </w:t>
      </w:r>
      <w:r w:rsidR="00BD7670">
        <w:rPr>
          <w:szCs w:val="22"/>
        </w:rPr>
        <w:t xml:space="preserve">provide </w:t>
      </w:r>
      <w:r>
        <w:rPr>
          <w:szCs w:val="22"/>
        </w:rPr>
        <w:t xml:space="preserve">a range for </w:t>
      </w:r>
      <w:r w:rsidR="00FA3FC5">
        <w:rPr>
          <w:szCs w:val="22"/>
        </w:rPr>
        <w:t>compl</w:t>
      </w:r>
      <w:r w:rsidR="00D241F8">
        <w:rPr>
          <w:szCs w:val="22"/>
        </w:rPr>
        <w:t xml:space="preserve">iance </w:t>
      </w:r>
      <w:r w:rsidR="003F1688">
        <w:rPr>
          <w:szCs w:val="22"/>
        </w:rPr>
        <w:t xml:space="preserve">burdens </w:t>
      </w:r>
      <w:r w:rsidR="00D241F8">
        <w:rPr>
          <w:szCs w:val="22"/>
        </w:rPr>
        <w:t xml:space="preserve">with </w:t>
      </w:r>
      <w:r w:rsidR="00A53375">
        <w:rPr>
          <w:szCs w:val="22"/>
        </w:rPr>
        <w:t>all</w:t>
      </w:r>
      <w:r w:rsidR="00D241F8">
        <w:rPr>
          <w:szCs w:val="22"/>
        </w:rPr>
        <w:t xml:space="preserve"> IPCS-related p</w:t>
      </w:r>
      <w:r w:rsidR="00C6488E">
        <w:rPr>
          <w:szCs w:val="22"/>
        </w:rPr>
        <w:t>aperwork burdens</w:t>
      </w:r>
      <w:r>
        <w:rPr>
          <w:szCs w:val="22"/>
        </w:rPr>
        <w:t xml:space="preserve">, with some providers requiring only five hours and other providers </w:t>
      </w:r>
      <w:r w:rsidR="007F5613">
        <w:rPr>
          <w:szCs w:val="22"/>
        </w:rPr>
        <w:t>requiring substantially more time</w:t>
      </w:r>
      <w:r>
        <w:rPr>
          <w:szCs w:val="22"/>
        </w:rPr>
        <w:t xml:space="preserve">.  </w:t>
      </w:r>
    </w:p>
    <w:p w:rsidR="00945925" w:rsidP="00945925" w14:paraId="62D69465" w14:textId="39627E43">
      <w:pPr>
        <w:pStyle w:val="Numberedparagraphs"/>
        <w:widowControl/>
        <w:numPr>
          <w:ilvl w:val="0"/>
          <w:numId w:val="0"/>
        </w:numPr>
        <w:tabs>
          <w:tab w:val="left" w:pos="720"/>
        </w:tabs>
        <w:rPr>
          <w:szCs w:val="22"/>
        </w:rPr>
      </w:pPr>
      <w:r>
        <w:rPr>
          <w:szCs w:val="22"/>
        </w:rPr>
        <w:tab/>
      </w:r>
      <w:r>
        <w:rPr>
          <w:szCs w:val="22"/>
        </w:rPr>
        <w:t>Further</w:t>
      </w:r>
      <w:r w:rsidRPr="00EB3336">
        <w:rPr>
          <w:szCs w:val="22"/>
        </w:rPr>
        <w:t xml:space="preserve">, </w:t>
      </w:r>
      <w:r w:rsidR="0030650C">
        <w:rPr>
          <w:szCs w:val="22"/>
        </w:rPr>
        <w:t>as we previously informed OMB</w:t>
      </w:r>
      <w:r>
        <w:rPr>
          <w:szCs w:val="22"/>
        </w:rPr>
        <w:t>,</w:t>
      </w:r>
      <w:r w:rsidRPr="00EB3336">
        <w:rPr>
          <w:szCs w:val="22"/>
        </w:rPr>
        <w:t xml:space="preserve"> due to a typographical</w:t>
      </w:r>
      <w:r w:rsidR="00381A66">
        <w:rPr>
          <w:szCs w:val="22"/>
        </w:rPr>
        <w:t xml:space="preserve"> error</w:t>
      </w:r>
      <w:r w:rsidRPr="00EB3336">
        <w:rPr>
          <w:szCs w:val="22"/>
        </w:rPr>
        <w:t xml:space="preserve">, </w:t>
      </w:r>
      <w:r w:rsidR="00BC4CD6">
        <w:rPr>
          <w:szCs w:val="22"/>
        </w:rPr>
        <w:t xml:space="preserve">a </w:t>
      </w:r>
      <w:r w:rsidRPr="00B70846">
        <w:rPr>
          <w:szCs w:val="22"/>
        </w:rPr>
        <w:t xml:space="preserve">30-Day Notice </w:t>
      </w:r>
      <w:r w:rsidR="00BC4CD6">
        <w:rPr>
          <w:szCs w:val="22"/>
        </w:rPr>
        <w:t xml:space="preserve">from 2023 </w:t>
      </w:r>
      <w:r w:rsidRPr="00EB3336">
        <w:rPr>
          <w:szCs w:val="22"/>
        </w:rPr>
        <w:t xml:space="preserve">incorrectly specified </w:t>
      </w:r>
      <w:r>
        <w:rPr>
          <w:szCs w:val="22"/>
        </w:rPr>
        <w:t>an estimated time per response of “</w:t>
      </w:r>
      <w:r w:rsidRPr="00EB3336">
        <w:rPr>
          <w:szCs w:val="22"/>
        </w:rPr>
        <w:t>5</w:t>
      </w:r>
      <w:r>
        <w:rPr>
          <w:szCs w:val="22"/>
        </w:rPr>
        <w:t>—</w:t>
      </w:r>
      <w:r w:rsidRPr="00EB3336">
        <w:rPr>
          <w:szCs w:val="22"/>
        </w:rPr>
        <w:t>1,200 hours</w:t>
      </w:r>
      <w:r w:rsidR="004A049E">
        <w:rPr>
          <w:szCs w:val="22"/>
        </w:rPr>
        <w:t xml:space="preserve">, rather than </w:t>
      </w:r>
      <w:r w:rsidRPr="00EB3336" w:rsidR="004A049E">
        <w:rPr>
          <w:szCs w:val="22"/>
        </w:rPr>
        <w:t>“5—120 hours</w:t>
      </w:r>
      <w:r w:rsidRPr="00EB3336">
        <w:rPr>
          <w:szCs w:val="22"/>
        </w:rPr>
        <w:t>.</w:t>
      </w:r>
      <w:r>
        <w:rPr>
          <w:szCs w:val="22"/>
        </w:rPr>
        <w:t>”</w:t>
      </w:r>
      <w:r>
        <w:rPr>
          <w:szCs w:val="22"/>
          <w:vertAlign w:val="superscript"/>
        </w:rPr>
        <w:footnoteReference w:id="24"/>
      </w:r>
      <w:r w:rsidRPr="00EB3336">
        <w:rPr>
          <w:szCs w:val="22"/>
        </w:rPr>
        <w:t xml:space="preserve">  </w:t>
      </w:r>
      <w:r w:rsidRPr="00EB3336">
        <w:rPr>
          <w:szCs w:val="22"/>
        </w:rPr>
        <w:t>ViaPath’s</w:t>
      </w:r>
      <w:r w:rsidRPr="00EB3336">
        <w:rPr>
          <w:szCs w:val="22"/>
        </w:rPr>
        <w:t xml:space="preserve"> comparison between the requirements under review in 2023 and the requirements now under review is thus far less persuasive</w:t>
      </w:r>
      <w:r>
        <w:rPr>
          <w:szCs w:val="22"/>
        </w:rPr>
        <w:t>,</w:t>
      </w:r>
      <w:r w:rsidRPr="00EB3336">
        <w:rPr>
          <w:szCs w:val="22"/>
        </w:rPr>
        <w:t xml:space="preserve"> given the lack of a significant disparity between the </w:t>
      </w:r>
      <w:r>
        <w:rPr>
          <w:szCs w:val="22"/>
        </w:rPr>
        <w:t>portion of the information collection with the highest annual burden hour estimate in the 60-Day Notice (</w:t>
      </w:r>
      <w:r w:rsidRPr="005D3AFA">
        <w:rPr>
          <w:szCs w:val="22"/>
        </w:rPr>
        <w:t>5—240 hour</w:t>
      </w:r>
      <w:r w:rsidRPr="00EB5924">
        <w:rPr>
          <w:szCs w:val="22"/>
        </w:rPr>
        <w:t>s</w:t>
      </w:r>
      <w:r>
        <w:rPr>
          <w:szCs w:val="22"/>
        </w:rPr>
        <w:t>) and the correct number of hours in the 30-Day Notice (</w:t>
      </w:r>
      <w:r w:rsidRPr="005D3AFA">
        <w:rPr>
          <w:szCs w:val="22"/>
        </w:rPr>
        <w:t>5—120 hours, not 1,200</w:t>
      </w:r>
      <w:r>
        <w:rPr>
          <w:szCs w:val="22"/>
        </w:rPr>
        <w:t>).</w:t>
      </w:r>
      <w:r w:rsidRPr="00EB3336">
        <w:rPr>
          <w:szCs w:val="22"/>
        </w:rPr>
        <w:t xml:space="preserve"> </w:t>
      </w:r>
    </w:p>
    <w:p w:rsidR="006D6C91" w:rsidP="004F5F84" w14:paraId="4D705643" w14:textId="02787502">
      <w:pPr>
        <w:pStyle w:val="Numberedparagraphs"/>
        <w:numPr>
          <w:ilvl w:val="0"/>
          <w:numId w:val="0"/>
        </w:numPr>
        <w:tabs>
          <w:tab w:val="left" w:pos="720"/>
          <w:tab w:val="clear" w:pos="1440"/>
        </w:tabs>
        <w:rPr>
          <w:szCs w:val="22"/>
        </w:rPr>
      </w:pPr>
      <w:r>
        <w:rPr>
          <w:szCs w:val="22"/>
        </w:rPr>
        <w:tab/>
      </w:r>
      <w:r>
        <w:rPr>
          <w:szCs w:val="22"/>
        </w:rPr>
        <w:t xml:space="preserve">As indicated above, after considering Securus’s and </w:t>
      </w:r>
      <w:r>
        <w:rPr>
          <w:szCs w:val="22"/>
        </w:rPr>
        <w:t>ViaPath’s</w:t>
      </w:r>
      <w:r>
        <w:rPr>
          <w:szCs w:val="22"/>
        </w:rPr>
        <w:t xml:space="preserve"> comments, we find that our Supporting Statement as initially submitted to OMB likely understated the </w:t>
      </w:r>
      <w:r w:rsidRPr="00114AE9">
        <w:rPr>
          <w:szCs w:val="22"/>
        </w:rPr>
        <w:t>average annual</w:t>
      </w:r>
      <w:r>
        <w:rPr>
          <w:szCs w:val="22"/>
        </w:rPr>
        <w:t xml:space="preserve"> burden hours associated with our alternate pricing plan rules.</w:t>
      </w:r>
      <w:r>
        <w:rPr>
          <w:rStyle w:val="FootnoteReference"/>
          <w:szCs w:val="22"/>
        </w:rPr>
        <w:footnoteReference w:id="25"/>
      </w:r>
      <w:r>
        <w:rPr>
          <w:szCs w:val="22"/>
        </w:rPr>
        <w:t xml:space="preserve">  We therefore increase our burden hour estimate for the information collection requirements associated with the alternate pricing rules from an average of 200 hours per year to </w:t>
      </w:r>
      <w:r w:rsidR="00E2170D">
        <w:rPr>
          <w:szCs w:val="22"/>
        </w:rPr>
        <w:t xml:space="preserve">an average of </w:t>
      </w:r>
      <w:r>
        <w:rPr>
          <w:szCs w:val="22"/>
        </w:rPr>
        <w:t>280 hours per year.</w:t>
      </w:r>
      <w:r>
        <w:rPr>
          <w:rStyle w:val="FootnoteReference"/>
          <w:szCs w:val="22"/>
        </w:rPr>
        <w:footnoteReference w:id="26"/>
      </w:r>
      <w:r>
        <w:rPr>
          <w:szCs w:val="22"/>
        </w:rPr>
        <w:t xml:space="preserve">  With these changes, </w:t>
      </w:r>
      <w:r w:rsidRPr="00EB3336">
        <w:rPr>
          <w:szCs w:val="22"/>
        </w:rPr>
        <w:t>we find that our burden estimate accurately measure</w:t>
      </w:r>
      <w:r w:rsidR="00A4343D">
        <w:rPr>
          <w:szCs w:val="22"/>
        </w:rPr>
        <w:t>s</w:t>
      </w:r>
      <w:r w:rsidRPr="00EB3336">
        <w:rPr>
          <w:szCs w:val="22"/>
        </w:rPr>
        <w:t xml:space="preserve"> the average number of hours that it will take IPCS providers to comply with the</w:t>
      </w:r>
      <w:r w:rsidR="00A4343D">
        <w:rPr>
          <w:szCs w:val="22"/>
        </w:rPr>
        <w:t xml:space="preserve"> alternate pricing plan rules</w:t>
      </w:r>
      <w:r w:rsidRPr="00EB3336">
        <w:rPr>
          <w:szCs w:val="22"/>
        </w:rPr>
        <w:t>.</w:t>
      </w:r>
      <w:r>
        <w:rPr>
          <w:szCs w:val="22"/>
        </w:rPr>
        <w:t xml:space="preserve">  </w:t>
      </w:r>
    </w:p>
    <w:p w:rsidR="002C5261" w:rsidRPr="001F0801" w:rsidP="00C8066B" w14:paraId="35C664F3" w14:textId="77777777">
      <w:pPr>
        <w:pStyle w:val="Numberedparagraphs"/>
        <w:numPr>
          <w:ilvl w:val="0"/>
          <w:numId w:val="0"/>
        </w:numPr>
        <w:tabs>
          <w:tab w:val="left" w:pos="720"/>
          <w:tab w:val="clear" w:pos="1440"/>
        </w:tabs>
        <w:rPr>
          <w:b/>
          <w:bCs/>
          <w:szCs w:val="22"/>
        </w:rPr>
      </w:pPr>
      <w:r w:rsidRPr="001F0801">
        <w:rPr>
          <w:b/>
          <w:bCs/>
          <w:szCs w:val="22"/>
        </w:rPr>
        <w:t>Disclosures Related to Alternate Pricing Plans</w:t>
      </w:r>
    </w:p>
    <w:p w:rsidR="002C5261" w:rsidRPr="00EB3336" w:rsidP="002C5261" w14:paraId="171B9FD6" w14:textId="129295A7">
      <w:pPr>
        <w:pStyle w:val="Numberedparagraphs"/>
        <w:numPr>
          <w:ilvl w:val="0"/>
          <w:numId w:val="0"/>
        </w:numPr>
        <w:tabs>
          <w:tab w:val="left" w:pos="720"/>
        </w:tabs>
        <w:rPr>
          <w:szCs w:val="22"/>
        </w:rPr>
      </w:pPr>
      <w:r>
        <w:rPr>
          <w:i/>
          <w:iCs/>
          <w:szCs w:val="22"/>
        </w:rPr>
        <w:tab/>
      </w:r>
      <w:r w:rsidRPr="00EB3336">
        <w:rPr>
          <w:i/>
          <w:iCs/>
          <w:szCs w:val="22"/>
        </w:rPr>
        <w:t>Arguments</w:t>
      </w:r>
      <w:r w:rsidRPr="00EB3336">
        <w:rPr>
          <w:szCs w:val="22"/>
        </w:rPr>
        <w:t xml:space="preserve">.  Securus argues that the disclosures required in connection with alternate pricing </w:t>
      </w:r>
      <w:r w:rsidRPr="00EB3336">
        <w:rPr>
          <w:szCs w:val="22"/>
        </w:rPr>
        <w:t>plans are overly burdensome and go “far beyond what is necessary” to keep consumers informed.</w:t>
      </w:r>
      <w:r>
        <w:rPr>
          <w:szCs w:val="22"/>
          <w:vertAlign w:val="superscript"/>
        </w:rPr>
        <w:footnoteReference w:id="27"/>
      </w:r>
      <w:r w:rsidRPr="00EB3336">
        <w:rPr>
          <w:szCs w:val="22"/>
        </w:rPr>
        <w:t xml:space="preserve">  In Securus’s view, the required disclosures, which include information regarding the rates, the breakeven point, and </w:t>
      </w:r>
      <w:r w:rsidR="00D42DC4">
        <w:rPr>
          <w:szCs w:val="22"/>
        </w:rPr>
        <w:t xml:space="preserve">the </w:t>
      </w:r>
      <w:r w:rsidRPr="00EB3336">
        <w:rPr>
          <w:szCs w:val="22"/>
        </w:rPr>
        <w:t>total cost of an alternate pricing plan, and which are required to be made at various points during a consumer’s use of the plan are duplicative and unnecessary.</w:t>
      </w:r>
      <w:r>
        <w:rPr>
          <w:szCs w:val="22"/>
          <w:vertAlign w:val="superscript"/>
        </w:rPr>
        <w:footnoteReference w:id="28"/>
      </w:r>
      <w:r w:rsidRPr="00EB3336">
        <w:rPr>
          <w:szCs w:val="22"/>
        </w:rPr>
        <w:t xml:space="preserve">  Securus also alleges that some of the required disclosures “suffer from ambiguities regarding what is required.”</w:t>
      </w:r>
      <w:r>
        <w:rPr>
          <w:szCs w:val="22"/>
          <w:vertAlign w:val="superscript"/>
        </w:rPr>
        <w:footnoteReference w:id="29"/>
      </w:r>
      <w:r w:rsidRPr="00EB3336">
        <w:rPr>
          <w:szCs w:val="22"/>
        </w:rPr>
        <w:t xml:space="preserve">  Rather than the required disclosures, Securus proposes a narrower set of disclosures that would only be provided before the consumer enrolls in an alternate pricing plan and would also be readily available on the provider’s website.</w:t>
      </w:r>
      <w:r>
        <w:rPr>
          <w:szCs w:val="22"/>
          <w:vertAlign w:val="superscript"/>
        </w:rPr>
        <w:footnoteReference w:id="30"/>
      </w:r>
    </w:p>
    <w:p w:rsidR="002C5261" w:rsidRPr="00EB3336" w:rsidP="002C5261" w14:paraId="19CF9B41" w14:textId="71A4B1EC">
      <w:pPr>
        <w:pStyle w:val="Numberedparagraphs"/>
        <w:numPr>
          <w:ilvl w:val="0"/>
          <w:numId w:val="0"/>
        </w:numPr>
        <w:tabs>
          <w:tab w:val="left" w:pos="720"/>
        </w:tabs>
        <w:rPr>
          <w:szCs w:val="22"/>
        </w:rPr>
      </w:pPr>
      <w:r>
        <w:rPr>
          <w:i/>
          <w:iCs/>
          <w:szCs w:val="22"/>
        </w:rPr>
        <w:tab/>
      </w:r>
      <w:r w:rsidRPr="00EB3336">
        <w:rPr>
          <w:i/>
          <w:iCs/>
          <w:szCs w:val="22"/>
        </w:rPr>
        <w:t>Response</w:t>
      </w:r>
      <w:r w:rsidRPr="00EB3336">
        <w:rPr>
          <w:szCs w:val="22"/>
        </w:rPr>
        <w:t>.  Securus’s arguments are, in effect, arguments that the Commission improperly exercised its discretion or otherwise erred in adopting its disclosure rules for alternate pricing plans.  As such, those arguments</w:t>
      </w:r>
      <w:r>
        <w:rPr>
          <w:szCs w:val="22"/>
        </w:rPr>
        <w:t xml:space="preserve"> go well beyond</w:t>
      </w:r>
      <w:r w:rsidRPr="00EB3336">
        <w:rPr>
          <w:szCs w:val="22"/>
        </w:rPr>
        <w:t xml:space="preserve"> </w:t>
      </w:r>
      <w:r w:rsidR="004B0546">
        <w:rPr>
          <w:szCs w:val="22"/>
        </w:rPr>
        <w:t>a</w:t>
      </w:r>
      <w:r w:rsidRPr="00EB3336">
        <w:rPr>
          <w:szCs w:val="22"/>
        </w:rPr>
        <w:t xml:space="preserve"> review of the paperwork burdens associated with those rules.</w:t>
      </w:r>
      <w:r>
        <w:rPr>
          <w:szCs w:val="22"/>
          <w:vertAlign w:val="superscript"/>
        </w:rPr>
        <w:footnoteReference w:id="31"/>
      </w:r>
      <w:r w:rsidRPr="00EB3336">
        <w:rPr>
          <w:szCs w:val="22"/>
        </w:rPr>
        <w:t xml:space="preserve">  In permitting IPCS providers to offer alternate pricing plans, the Commission acknowledged that such plans can provide meaningful benefits to IPCS consumers but that they may not be a good fit for every consumer.</w:t>
      </w:r>
      <w:r>
        <w:rPr>
          <w:szCs w:val="22"/>
          <w:vertAlign w:val="superscript"/>
        </w:rPr>
        <w:footnoteReference w:id="32"/>
      </w:r>
      <w:r w:rsidRPr="00EB3336">
        <w:rPr>
          <w:szCs w:val="22"/>
        </w:rPr>
        <w:t xml:space="preserve">  In recognition of the benefits that alternate pricing plans may provide, the Commission permitted IPCS providers to offer them, subject to clearly defined guardrails to protect against potential abuse and higher prices.</w:t>
      </w:r>
      <w:r>
        <w:rPr>
          <w:szCs w:val="22"/>
          <w:vertAlign w:val="superscript"/>
        </w:rPr>
        <w:footnoteReference w:id="33"/>
      </w:r>
      <w:r w:rsidRPr="00EB3336">
        <w:rPr>
          <w:szCs w:val="22"/>
        </w:rPr>
        <w:t xml:space="preserve">  Among the guardrails the Commission adopted were disclosure requirements, that, </w:t>
      </w:r>
      <w:r w:rsidR="008C5949">
        <w:rPr>
          <w:szCs w:val="22"/>
        </w:rPr>
        <w:t xml:space="preserve">based on </w:t>
      </w:r>
      <w:r w:rsidRPr="00EB3336">
        <w:rPr>
          <w:szCs w:val="22"/>
        </w:rPr>
        <w:t>the record, the Commission concluded must be made at various points during the consumer’s use of and interaction with an alternate pricing plan, including pre-and post-enrollment</w:t>
      </w:r>
      <w:r w:rsidR="00E467A9">
        <w:rPr>
          <w:szCs w:val="22"/>
        </w:rPr>
        <w:t xml:space="preserve"> disclosures</w:t>
      </w:r>
      <w:r w:rsidRPr="00EB3336">
        <w:rPr>
          <w:szCs w:val="22"/>
        </w:rPr>
        <w:t>.</w:t>
      </w:r>
      <w:r>
        <w:rPr>
          <w:szCs w:val="22"/>
          <w:vertAlign w:val="superscript"/>
        </w:rPr>
        <w:footnoteReference w:id="34"/>
      </w:r>
      <w:r w:rsidRPr="00EB3336">
        <w:rPr>
          <w:szCs w:val="22"/>
        </w:rPr>
        <w:t xml:space="preserve">  As the Commission explained, these disclosures, in conjunction with other safeguards, ensure that IPCS consumers have the information they need “to make informed choices and are protected from unjust and unreasonable rates and charges.”</w:t>
      </w:r>
      <w:r>
        <w:rPr>
          <w:szCs w:val="22"/>
          <w:vertAlign w:val="superscript"/>
        </w:rPr>
        <w:footnoteReference w:id="35"/>
      </w:r>
      <w:r w:rsidRPr="00EB3336">
        <w:rPr>
          <w:szCs w:val="22"/>
        </w:rPr>
        <w:t xml:space="preserve">  While Securus criticizes the required disclosures as overly burdensome and/or duplicative and provides an alternative proposal that would scale back the disclosures, the required disclosures are </w:t>
      </w:r>
      <w:r w:rsidR="002F717D">
        <w:rPr>
          <w:szCs w:val="22"/>
        </w:rPr>
        <w:t xml:space="preserve">mandated by </w:t>
      </w:r>
      <w:r w:rsidRPr="00EB3336">
        <w:rPr>
          <w:szCs w:val="22"/>
        </w:rPr>
        <w:t>the Commission’s rules and reflect the Commission’s balancing of competing consumer and provider interest</w:t>
      </w:r>
      <w:r>
        <w:rPr>
          <w:szCs w:val="22"/>
        </w:rPr>
        <w:t>s</w:t>
      </w:r>
      <w:r w:rsidRPr="00EB3336">
        <w:rPr>
          <w:szCs w:val="22"/>
        </w:rPr>
        <w:t>.</w:t>
      </w:r>
      <w:r>
        <w:rPr>
          <w:rStyle w:val="FootnoteReference"/>
          <w:szCs w:val="22"/>
        </w:rPr>
        <w:footnoteReference w:id="36"/>
      </w:r>
      <w:r w:rsidRPr="00EB3336">
        <w:rPr>
          <w:szCs w:val="22"/>
        </w:rPr>
        <w:t xml:space="preserve">  </w:t>
      </w:r>
      <w:r w:rsidR="003858F7">
        <w:rPr>
          <w:szCs w:val="22"/>
        </w:rPr>
        <w:t xml:space="preserve">A review of paperwork burdens </w:t>
      </w:r>
      <w:r w:rsidRPr="00EB3336">
        <w:rPr>
          <w:szCs w:val="22"/>
        </w:rPr>
        <w:t xml:space="preserve">is not the appropriate forum to </w:t>
      </w:r>
      <w:r w:rsidR="006921E8">
        <w:rPr>
          <w:szCs w:val="22"/>
        </w:rPr>
        <w:t xml:space="preserve">attempt to </w:t>
      </w:r>
      <w:r w:rsidRPr="00EB3336">
        <w:rPr>
          <w:szCs w:val="22"/>
        </w:rPr>
        <w:t>revisit that balancing.</w:t>
      </w:r>
      <w:r w:rsidRPr="00F32356" w:rsidR="00F32356">
        <w:rPr>
          <w:szCs w:val="22"/>
        </w:rPr>
        <w:t xml:space="preserve"> </w:t>
      </w:r>
      <w:r w:rsidR="00F32356">
        <w:rPr>
          <w:szCs w:val="22"/>
        </w:rPr>
        <w:t xml:space="preserve"> All parties, including Securus, </w:t>
      </w:r>
      <w:r w:rsidR="00F32356">
        <w:rPr>
          <w:szCs w:val="22"/>
        </w:rPr>
        <w:t xml:space="preserve">have the option to petition the Commission to seek modification of these rules.  </w:t>
      </w:r>
    </w:p>
    <w:p w:rsidR="002C5261" w:rsidRPr="001B34FD" w:rsidP="00C8066B" w14:paraId="4C83BD2B" w14:textId="592FA598">
      <w:pPr>
        <w:pStyle w:val="Numberedparagraphs"/>
        <w:numPr>
          <w:ilvl w:val="0"/>
          <w:numId w:val="0"/>
        </w:numPr>
        <w:tabs>
          <w:tab w:val="left" w:pos="720"/>
        </w:tabs>
        <w:rPr>
          <w:szCs w:val="22"/>
        </w:rPr>
      </w:pPr>
      <w:r>
        <w:rPr>
          <w:szCs w:val="22"/>
        </w:rPr>
        <w:tab/>
      </w:r>
      <w:r>
        <w:rPr>
          <w:szCs w:val="22"/>
        </w:rPr>
        <w:t>Securus asserts that the Supporting Statement as initially submitted to OMB did not address its concerns regarding the disclosure framework for alternate pricing plans or its alternative proposal for scaled-back disclosures.</w:t>
      </w:r>
      <w:r>
        <w:rPr>
          <w:rStyle w:val="FootnoteReference"/>
          <w:szCs w:val="22"/>
        </w:rPr>
        <w:footnoteReference w:id="37"/>
      </w:r>
      <w:r>
        <w:rPr>
          <w:szCs w:val="22"/>
        </w:rPr>
        <w:t xml:space="preserve">  We disagree.</w:t>
      </w:r>
      <w:r>
        <w:rPr>
          <w:rStyle w:val="FootnoteReference"/>
          <w:szCs w:val="22"/>
        </w:rPr>
        <w:footnoteReference w:id="38"/>
      </w:r>
      <w:r>
        <w:rPr>
          <w:szCs w:val="22"/>
        </w:rPr>
        <w:t xml:space="preserve">  While the Commission has discretion to consider scaling back the disclosure requirements as part of any future review of its IPCS rules and policies, this is not the appropriate forum in which to do so.</w:t>
      </w:r>
      <w:r w:rsidR="00B476BD">
        <w:rPr>
          <w:szCs w:val="22"/>
        </w:rPr>
        <w:t xml:space="preserve">  </w:t>
      </w:r>
    </w:p>
    <w:p w:rsidR="008A1716" w:rsidRPr="0058150C" w:rsidP="00C8066B" w14:paraId="4E9DABA5" w14:textId="7F98484D">
      <w:pPr>
        <w:pStyle w:val="Numberedparagraphs"/>
        <w:numPr>
          <w:ilvl w:val="0"/>
          <w:numId w:val="0"/>
        </w:numPr>
        <w:tabs>
          <w:tab w:val="left" w:pos="720"/>
          <w:tab w:val="clear" w:pos="1440"/>
        </w:tabs>
        <w:rPr>
          <w:b/>
          <w:bCs/>
          <w:szCs w:val="22"/>
        </w:rPr>
      </w:pPr>
      <w:r w:rsidRPr="0058150C">
        <w:rPr>
          <w:b/>
          <w:bCs/>
          <w:szCs w:val="22"/>
        </w:rPr>
        <w:t>Number of Annual Responses for Alternate Pricing Plans</w:t>
      </w:r>
    </w:p>
    <w:p w:rsidR="008A1716" w:rsidRPr="0058150C" w:rsidP="008A1716" w14:paraId="11CEB3E8" w14:textId="65927617">
      <w:pPr>
        <w:pStyle w:val="Numberedparagraphs"/>
        <w:widowControl/>
        <w:numPr>
          <w:ilvl w:val="0"/>
          <w:numId w:val="0"/>
        </w:numPr>
        <w:tabs>
          <w:tab w:val="left" w:pos="720"/>
        </w:tabs>
        <w:rPr>
          <w:szCs w:val="22"/>
        </w:rPr>
      </w:pPr>
      <w:r w:rsidRPr="0058150C">
        <w:rPr>
          <w:szCs w:val="22"/>
        </w:rPr>
        <w:tab/>
      </w:r>
      <w:r w:rsidR="001550DF">
        <w:rPr>
          <w:i/>
          <w:iCs/>
          <w:szCs w:val="22"/>
        </w:rPr>
        <w:t>Arguments</w:t>
      </w:r>
      <w:r w:rsidR="001550DF">
        <w:rPr>
          <w:szCs w:val="22"/>
        </w:rPr>
        <w:t xml:space="preserve">. </w:t>
      </w:r>
      <w:r w:rsidR="001550DF">
        <w:rPr>
          <w:i/>
          <w:iCs/>
          <w:szCs w:val="22"/>
        </w:rPr>
        <w:t xml:space="preserve"> </w:t>
      </w:r>
      <w:r w:rsidRPr="0058150C">
        <w:rPr>
          <w:szCs w:val="22"/>
        </w:rPr>
        <w:t>Securus argues that the Supporting Statement as originally submitted to OMB incorrectly assume</w:t>
      </w:r>
      <w:r w:rsidR="000B22DF">
        <w:rPr>
          <w:szCs w:val="22"/>
        </w:rPr>
        <w:t>d</w:t>
      </w:r>
      <w:r w:rsidRPr="0058150C">
        <w:rPr>
          <w:szCs w:val="22"/>
        </w:rPr>
        <w:t xml:space="preserve"> that “only one annual response is required for obligations that require virtually daily disclosures to IPCS providers’ hundreds or thousands of consumers.”</w:t>
      </w:r>
      <w:r>
        <w:rPr>
          <w:rStyle w:val="FootnoteReference"/>
          <w:szCs w:val="22"/>
        </w:rPr>
        <w:footnoteReference w:id="39"/>
      </w:r>
      <w:r w:rsidRPr="0058150C">
        <w:rPr>
          <w:szCs w:val="22"/>
        </w:rPr>
        <w:t xml:space="preserve">  Securus points out that the alternate pricing plan rules require each provider that chooses to offer an alternate pricing plan to disclose certain information to consumers on an ongoing basis, including before a consumer enrolls in an alternate pricing plan, upon the consumer’s request, with each billing statement and related communication, at the beginning of each call, and on the provider’s website, mobile application, or on paper if requested.</w:t>
      </w:r>
      <w:r>
        <w:rPr>
          <w:rStyle w:val="FootnoteReference"/>
          <w:szCs w:val="22"/>
        </w:rPr>
        <w:footnoteReference w:id="40"/>
      </w:r>
      <w:r w:rsidRPr="0058150C">
        <w:rPr>
          <w:szCs w:val="22"/>
        </w:rPr>
        <w:t xml:space="preserve">  Securus contends that each of these disclosures should be counted as a separate response.</w:t>
      </w:r>
      <w:r>
        <w:rPr>
          <w:rStyle w:val="FootnoteReference"/>
          <w:szCs w:val="22"/>
        </w:rPr>
        <w:footnoteReference w:id="41"/>
      </w:r>
    </w:p>
    <w:p w:rsidR="00850051" w:rsidRPr="0058150C" w:rsidP="00C8066B" w14:paraId="76EC0970" w14:textId="560C5864">
      <w:pPr>
        <w:pStyle w:val="Numberedparagraphs"/>
        <w:widowControl/>
        <w:numPr>
          <w:ilvl w:val="0"/>
          <w:numId w:val="0"/>
        </w:numPr>
        <w:tabs>
          <w:tab w:val="left" w:pos="720"/>
        </w:tabs>
        <w:rPr>
          <w:szCs w:val="22"/>
        </w:rPr>
      </w:pPr>
      <w:r w:rsidRPr="0058150C">
        <w:rPr>
          <w:szCs w:val="22"/>
        </w:rPr>
        <w:tab/>
      </w:r>
      <w:r w:rsidR="001550DF">
        <w:rPr>
          <w:i/>
          <w:iCs/>
          <w:szCs w:val="22"/>
        </w:rPr>
        <w:t>Response</w:t>
      </w:r>
      <w:r w:rsidR="001550DF">
        <w:rPr>
          <w:szCs w:val="22"/>
        </w:rPr>
        <w:t xml:space="preserve">. </w:t>
      </w:r>
      <w:r w:rsidR="001550DF">
        <w:rPr>
          <w:i/>
          <w:iCs/>
          <w:szCs w:val="22"/>
        </w:rPr>
        <w:t xml:space="preserve"> </w:t>
      </w:r>
      <w:r w:rsidRPr="0058150C">
        <w:rPr>
          <w:szCs w:val="22"/>
        </w:rPr>
        <w:t xml:space="preserve">While certain IPCS rules, including </w:t>
      </w:r>
      <w:r w:rsidRPr="0058150C" w:rsidR="00B37174">
        <w:rPr>
          <w:szCs w:val="22"/>
        </w:rPr>
        <w:t xml:space="preserve">the </w:t>
      </w:r>
      <w:r w:rsidRPr="0058150C">
        <w:rPr>
          <w:szCs w:val="22"/>
        </w:rPr>
        <w:t>alternate pricing plan rules, impose broader recordkeeping and disclosure obligations on providers, treating those obligations and disclosures as one annual response per provider is consistent with OMB’s PRA guidelines.  Those guidelines distinguish among recordkeeping, third party disclosure, and reporting requirements and restrict reporting “to information collections that involve reporting to the Federal Government.”</w:t>
      </w:r>
      <w:r>
        <w:rPr>
          <w:rStyle w:val="FootnoteReference"/>
          <w:szCs w:val="22"/>
        </w:rPr>
        <w:footnoteReference w:id="42"/>
      </w:r>
      <w:r w:rsidRPr="0058150C">
        <w:rPr>
          <w:szCs w:val="22"/>
        </w:rPr>
        <w:t xml:space="preserve">  Those guidelines also instruct that “[f]</w:t>
      </w:r>
      <w:r w:rsidRPr="0058150C">
        <w:t>or recordkeeping as compared to reporting activity, the number of respondents equals the number of recordkeepers.”</w:t>
      </w:r>
      <w:r>
        <w:rPr>
          <w:rStyle w:val="FootnoteReference"/>
        </w:rPr>
        <w:footnoteReference w:id="43"/>
      </w:r>
      <w:r w:rsidRPr="0058150C">
        <w:t xml:space="preserve">  Given these guidelines, </w:t>
      </w:r>
      <w:r w:rsidRPr="0058150C">
        <w:rPr>
          <w:szCs w:val="22"/>
        </w:rPr>
        <w:t>the Supporting Statement should not count each separate consumer disclosure as a separate response.</w:t>
      </w:r>
      <w:r>
        <w:rPr>
          <w:rStyle w:val="FootnoteReference"/>
          <w:szCs w:val="22"/>
        </w:rPr>
        <w:footnoteReference w:id="44"/>
      </w:r>
      <w:r w:rsidRPr="0058150C">
        <w:t xml:space="preserve">  We note, however, that our burden hour and annual cost estimates reflect the full range of recordkeeping and disclosure obligations that Securus highlights. </w:t>
      </w:r>
      <w:r w:rsidRPr="0011402E" w:rsidR="0011402E">
        <w:rPr>
          <w:rFonts w:ascii="Segoe UI" w:hAnsi="Segoe UI" w:cs="Segoe UI"/>
          <w:sz w:val="18"/>
          <w:szCs w:val="18"/>
        </w:rPr>
        <w:t xml:space="preserve"> </w:t>
      </w:r>
      <w:r w:rsidR="00727712">
        <w:t>A</w:t>
      </w:r>
      <w:r w:rsidR="00D41C04">
        <w:t>nd, a</w:t>
      </w:r>
      <w:r w:rsidR="00727712">
        <w:t xml:space="preserve">s we note above, </w:t>
      </w:r>
      <w:r w:rsidR="006B110E">
        <w:t xml:space="preserve">this Supporting Statement </w:t>
      </w:r>
      <w:r w:rsidRPr="0011402E" w:rsidR="0011402E">
        <w:t>increase</w:t>
      </w:r>
      <w:r w:rsidR="006B110E">
        <w:t>s</w:t>
      </w:r>
      <w:r w:rsidRPr="0011402E" w:rsidR="0011402E">
        <w:t xml:space="preserve"> the </w:t>
      </w:r>
      <w:r w:rsidR="003952F8">
        <w:t xml:space="preserve">annual </w:t>
      </w:r>
      <w:r w:rsidRPr="0011402E" w:rsidR="0011402E">
        <w:t>burden hour estimate for this rule from 200 to 280 to ensure our estimate is sufficient to cover all recordkeeping duties imposed by the alternate pricing plan rules, on average for all IPCS providers.</w:t>
      </w:r>
      <w:r w:rsidR="00F052E5">
        <w:t xml:space="preserve">  </w:t>
      </w:r>
      <w:r w:rsidRPr="0058150C">
        <w:t xml:space="preserve">Our treatment of information </w:t>
      </w:r>
      <w:r w:rsidRPr="0058150C">
        <w:t>collections that do not involve reporting to the federal government as requiring one response annually therefore should not affect OMB’s decision whether those estimates are consistent with the PRA.</w:t>
      </w:r>
    </w:p>
    <w:p w:rsidR="004F5F84" w:rsidRPr="0058150C" w:rsidP="004F5F84" w14:paraId="3BC0E031" w14:textId="44460A77">
      <w:pPr>
        <w:pStyle w:val="Numberedparagraphs"/>
        <w:numPr>
          <w:ilvl w:val="0"/>
          <w:numId w:val="0"/>
        </w:numPr>
        <w:tabs>
          <w:tab w:val="left" w:pos="720"/>
          <w:tab w:val="clear" w:pos="1440"/>
        </w:tabs>
        <w:rPr>
          <w:b/>
          <w:bCs/>
          <w:szCs w:val="22"/>
        </w:rPr>
      </w:pPr>
      <w:r w:rsidRPr="0058150C">
        <w:rPr>
          <w:b/>
          <w:bCs/>
          <w:szCs w:val="22"/>
        </w:rPr>
        <w:t>The Commission’s Total Annual Cost Estimate</w:t>
      </w:r>
      <w:r w:rsidR="00695CBC">
        <w:rPr>
          <w:b/>
          <w:bCs/>
          <w:szCs w:val="22"/>
        </w:rPr>
        <w:t xml:space="preserve"> Associated with Alternative Pricing Plan Rules</w:t>
      </w:r>
    </w:p>
    <w:p w:rsidR="00D2352B" w:rsidRPr="0058150C" w:rsidP="00C67C7C" w14:paraId="62B73552" w14:textId="65A010C1">
      <w:pPr>
        <w:pStyle w:val="Numberedparagraphs"/>
        <w:widowControl/>
        <w:numPr>
          <w:ilvl w:val="0"/>
          <w:numId w:val="0"/>
        </w:numPr>
        <w:tabs>
          <w:tab w:val="left" w:pos="720"/>
        </w:tabs>
        <w:rPr>
          <w:szCs w:val="22"/>
        </w:rPr>
      </w:pPr>
      <w:r w:rsidRPr="0058150C">
        <w:rPr>
          <w:b/>
          <w:bCs/>
          <w:szCs w:val="22"/>
        </w:rPr>
        <w:tab/>
      </w:r>
      <w:r w:rsidRPr="0058150C">
        <w:rPr>
          <w:i/>
          <w:iCs/>
          <w:szCs w:val="22"/>
        </w:rPr>
        <w:t>Arguments</w:t>
      </w:r>
      <w:r w:rsidRPr="0058150C">
        <w:rPr>
          <w:szCs w:val="22"/>
        </w:rPr>
        <w:t xml:space="preserve">.  OMB requires that agencies estimate both the “the total annual burden” and the “total annual cost” of their information collection requirements.  In the 60-Day Notice, the Commission estimated that the total “annual burden” of </w:t>
      </w:r>
      <w:r w:rsidR="00FE0B0F">
        <w:rPr>
          <w:szCs w:val="22"/>
        </w:rPr>
        <w:t>the information collection</w:t>
      </w:r>
      <w:r w:rsidR="00B82581">
        <w:rPr>
          <w:szCs w:val="22"/>
        </w:rPr>
        <w:t xml:space="preserve"> requirements associated with the alternate pricing</w:t>
      </w:r>
      <w:r w:rsidR="00695CBC">
        <w:rPr>
          <w:szCs w:val="22"/>
        </w:rPr>
        <w:t xml:space="preserve"> plan</w:t>
      </w:r>
      <w:r w:rsidR="00B82581">
        <w:rPr>
          <w:szCs w:val="22"/>
        </w:rPr>
        <w:t xml:space="preserve"> rules and other rules</w:t>
      </w:r>
      <w:r w:rsidR="00FC0421">
        <w:rPr>
          <w:szCs w:val="22"/>
        </w:rPr>
        <w:t xml:space="preserve"> </w:t>
      </w:r>
      <w:r w:rsidR="00CF2CA0">
        <w:rPr>
          <w:szCs w:val="22"/>
        </w:rPr>
        <w:t xml:space="preserve">adopted in the </w:t>
      </w:r>
      <w:r w:rsidR="00CF2CA0">
        <w:rPr>
          <w:i/>
          <w:iCs/>
          <w:szCs w:val="22"/>
        </w:rPr>
        <w:t xml:space="preserve">2024 </w:t>
      </w:r>
      <w:r w:rsidRPr="00C67C7C" w:rsidR="00CF2CA0">
        <w:rPr>
          <w:i/>
        </w:rPr>
        <w:t xml:space="preserve">IPCS </w:t>
      </w:r>
      <w:r w:rsidR="00CF2CA0">
        <w:rPr>
          <w:i/>
          <w:iCs/>
          <w:szCs w:val="22"/>
        </w:rPr>
        <w:t xml:space="preserve">Order </w:t>
      </w:r>
      <w:r w:rsidRPr="0058150C">
        <w:rPr>
          <w:szCs w:val="22"/>
        </w:rPr>
        <w:t xml:space="preserve">would be </w:t>
      </w:r>
      <w:r w:rsidRPr="0058150C" w:rsidR="00E7789D">
        <w:rPr>
          <w:szCs w:val="22"/>
        </w:rPr>
        <w:t>17,555</w:t>
      </w:r>
      <w:r w:rsidRPr="0058150C" w:rsidR="00273613">
        <w:rPr>
          <w:szCs w:val="22"/>
        </w:rPr>
        <w:t xml:space="preserve"> hours</w:t>
      </w:r>
      <w:r w:rsidRPr="0058150C">
        <w:rPr>
          <w:szCs w:val="22"/>
        </w:rPr>
        <w:t xml:space="preserve"> and that there would be no “total annual cost” from those requirements.</w:t>
      </w:r>
      <w:r>
        <w:rPr>
          <w:szCs w:val="22"/>
          <w:vertAlign w:val="superscript"/>
        </w:rPr>
        <w:footnoteReference w:id="45"/>
      </w:r>
      <w:r w:rsidRPr="0058150C">
        <w:rPr>
          <w:szCs w:val="22"/>
        </w:rPr>
        <w:t xml:space="preserve">  </w:t>
      </w:r>
      <w:r w:rsidRPr="0058150C">
        <w:rPr>
          <w:szCs w:val="22"/>
        </w:rPr>
        <w:t>ViaPath</w:t>
      </w:r>
      <w:r w:rsidRPr="0058150C">
        <w:rPr>
          <w:szCs w:val="22"/>
        </w:rPr>
        <w:t xml:space="preserve"> challenges the latter estimate, arguing that “implementation of the information collection requirements will require substantial changes, reconfiguration, and reprogramming of IPCS provider systems, including updates to billing systems, back office functions, and websites.”</w:t>
      </w:r>
      <w:r>
        <w:footnoteReference w:id="46"/>
      </w:r>
      <w:r w:rsidRPr="0058150C">
        <w:rPr>
          <w:szCs w:val="22"/>
        </w:rPr>
        <w:t xml:space="preserve">  </w:t>
      </w:r>
      <w:r w:rsidRPr="0058150C">
        <w:rPr>
          <w:szCs w:val="22"/>
        </w:rPr>
        <w:t>ViaPath</w:t>
      </w:r>
      <w:r w:rsidRPr="0058150C">
        <w:rPr>
          <w:szCs w:val="22"/>
        </w:rPr>
        <w:t xml:space="preserve"> contends that the Commission’s cost estimate “ignores the significant costs associated with implementation of the information collection requirements as well as the costs related to ongoing compliance with the requirements.”</w:t>
      </w:r>
      <w:r>
        <w:rPr>
          <w:szCs w:val="22"/>
          <w:vertAlign w:val="superscript"/>
        </w:rPr>
        <w:footnoteReference w:id="47"/>
      </w:r>
    </w:p>
    <w:p w:rsidR="00386AFE" w:rsidRPr="0058150C" w:rsidP="004F5F84" w14:paraId="7D9E5172" w14:textId="3E5BBFA0">
      <w:pPr>
        <w:pStyle w:val="Numberedparagraphs"/>
        <w:numPr>
          <w:ilvl w:val="0"/>
          <w:numId w:val="0"/>
        </w:numPr>
        <w:tabs>
          <w:tab w:val="left" w:pos="720"/>
          <w:tab w:val="clear" w:pos="1440"/>
        </w:tabs>
      </w:pPr>
      <w:r w:rsidRPr="0058150C">
        <w:rPr>
          <w:szCs w:val="22"/>
        </w:rPr>
        <w:tab/>
      </w:r>
      <w:r w:rsidRPr="0058150C">
        <w:rPr>
          <w:i/>
          <w:iCs/>
          <w:szCs w:val="22"/>
        </w:rPr>
        <w:t>Response</w:t>
      </w:r>
      <w:r w:rsidRPr="0058150C">
        <w:rPr>
          <w:szCs w:val="22"/>
        </w:rPr>
        <w:t xml:space="preserve">.  </w:t>
      </w:r>
      <w:r w:rsidRPr="0058150C">
        <w:rPr>
          <w:szCs w:val="22"/>
        </w:rPr>
        <w:t>ViaPath’s</w:t>
      </w:r>
      <w:r w:rsidRPr="0058150C">
        <w:rPr>
          <w:szCs w:val="22"/>
        </w:rPr>
        <w:t xml:space="preserve"> argument regarding the Commission’s total annual cost estimate reflect</w:t>
      </w:r>
      <w:r w:rsidRPr="0058150C" w:rsidR="009F50DF">
        <w:rPr>
          <w:szCs w:val="22"/>
        </w:rPr>
        <w:t>s</w:t>
      </w:r>
      <w:r w:rsidRPr="0058150C">
        <w:rPr>
          <w:szCs w:val="22"/>
        </w:rPr>
        <w:t xml:space="preserve"> a misunderstanding of the relationship between the Commission’s </w:t>
      </w:r>
      <w:r w:rsidRPr="0058150C">
        <w:t>“total annual burden” and “total annual cost” estimates</w:t>
      </w:r>
      <w:r w:rsidRPr="0058150C">
        <w:rPr>
          <w:szCs w:val="22"/>
        </w:rPr>
        <w:t xml:space="preserve">.  </w:t>
      </w:r>
      <w:r w:rsidRPr="0058150C">
        <w:t>The “total annual</w:t>
      </w:r>
      <w:r w:rsidRPr="0058150C">
        <w:rPr>
          <w:szCs w:val="22"/>
        </w:rPr>
        <w:t xml:space="preserve"> </w:t>
      </w:r>
      <w:r w:rsidRPr="0058150C">
        <w:t>burden” figure</w:t>
      </w:r>
      <w:r w:rsidRPr="0058150C" w:rsidR="009D5514">
        <w:t>s</w:t>
      </w:r>
      <w:r w:rsidRPr="0058150C">
        <w:t xml:space="preserve"> provided in the 60-Day Notice </w:t>
      </w:r>
      <w:r w:rsidRPr="0058150C" w:rsidR="00594319">
        <w:t xml:space="preserve">and this Supporting Statement </w:t>
      </w:r>
      <w:r w:rsidRPr="0058150C">
        <w:t>estimate the total number of work hours required to comply with the new and revised requirements of this information collection</w:t>
      </w:r>
      <w:r w:rsidRPr="0058150C" w:rsidR="00B63E4D">
        <w:t>, and includes the cost</w:t>
      </w:r>
      <w:r w:rsidRPr="0058150C" w:rsidR="007D6D0B">
        <w:t xml:space="preserve"> of employee wages</w:t>
      </w:r>
      <w:r w:rsidRPr="0058150C">
        <w:t>.</w:t>
      </w:r>
      <w:r>
        <w:rPr>
          <w:rStyle w:val="FootnoteReference"/>
        </w:rPr>
        <w:footnoteReference w:id="48"/>
      </w:r>
      <w:r w:rsidRPr="0058150C">
        <w:t xml:space="preserve">  In contrast, the “total annual cost” </w:t>
      </w:r>
      <w:r w:rsidRPr="0058150C" w:rsidR="00A46EF0">
        <w:t xml:space="preserve">figures </w:t>
      </w:r>
      <w:r w:rsidRPr="0058150C">
        <w:t>provided in the</w:t>
      </w:r>
      <w:r w:rsidRPr="0058150C">
        <w:rPr>
          <w:szCs w:val="22"/>
        </w:rPr>
        <w:t xml:space="preserve"> </w:t>
      </w:r>
      <w:r w:rsidRPr="0058150C">
        <w:t>60-Day Notice</w:t>
      </w:r>
      <w:r w:rsidRPr="0058150C">
        <w:rPr>
          <w:szCs w:val="22"/>
        </w:rPr>
        <w:t xml:space="preserve"> </w:t>
      </w:r>
      <w:r w:rsidRPr="0058150C" w:rsidR="005D457E">
        <w:t xml:space="preserve">and this Supporting Statement </w:t>
      </w:r>
      <w:r w:rsidRPr="0058150C">
        <w:t>estimate any additional capital expenditures or operations and maintenance costs that IPCS providers will incur in complying with the information collection requirements beyond those they would incur in the normal course of business</w:t>
      </w:r>
      <w:r w:rsidRPr="0058150C">
        <w:rPr>
          <w:szCs w:val="22"/>
        </w:rPr>
        <w:t xml:space="preserve">. </w:t>
      </w:r>
      <w:r w:rsidRPr="0058150C">
        <w:t xml:space="preserve"> </w:t>
      </w:r>
    </w:p>
    <w:p w:rsidR="00615EB3" w:rsidRPr="00615EB3" w:rsidP="005D24E0" w14:paraId="5F6575AC" w14:textId="29AFA198">
      <w:pPr>
        <w:pStyle w:val="ParaNum"/>
        <w:numPr>
          <w:ilvl w:val="0"/>
          <w:numId w:val="0"/>
        </w:numPr>
        <w:ind w:firstLine="720"/>
        <w:rPr>
          <w:szCs w:val="22"/>
        </w:rPr>
      </w:pPr>
      <w:r w:rsidRPr="0058150C">
        <w:t>While IPCS providers may have to update their existing software or billing systems to comply with the Commission’s rules,</w:t>
      </w:r>
      <w:r>
        <w:rPr>
          <w:vertAlign w:val="superscript"/>
        </w:rPr>
        <w:footnoteReference w:id="49"/>
      </w:r>
      <w:r w:rsidRPr="0058150C">
        <w:t xml:space="preserve"> </w:t>
      </w:r>
      <w:r w:rsidRPr="0058150C">
        <w:t>ViaPath</w:t>
      </w:r>
      <w:r w:rsidRPr="0058150C">
        <w:t xml:space="preserve"> makes no claim that it will incur any specific additional capital expenditures or operations and maintenance costs beyond those already accounted for in the burden hour estimates set forth in this statement.  </w:t>
      </w:r>
      <w:r w:rsidRPr="0058150C">
        <w:t>ViaPath’s</w:t>
      </w:r>
      <w:r w:rsidRPr="0058150C">
        <w:t xml:space="preserve"> comments therefore provide no basis for finding that the Commission’s cost estimates are “incorrect,” as </w:t>
      </w:r>
      <w:r w:rsidRPr="0058150C">
        <w:t>ViaPath</w:t>
      </w:r>
      <w:r w:rsidRPr="0058150C">
        <w:t xml:space="preserve"> suggests.</w:t>
      </w:r>
      <w:r>
        <w:rPr>
          <w:vertAlign w:val="superscript"/>
        </w:rPr>
        <w:footnoteReference w:id="50"/>
      </w:r>
      <w:bookmarkEnd w:id="1"/>
      <w:bookmarkEnd w:id="2"/>
      <w:r w:rsidR="00C522B0">
        <w:t xml:space="preserve">  </w:t>
      </w:r>
    </w:p>
    <w:p w:rsidR="007E0735" w:rsidRPr="004460F4" w:rsidP="00C67C7C" w14:paraId="503B3755" w14:textId="434F9720">
      <w:pPr>
        <w:pStyle w:val="ParaNum"/>
        <w:rPr>
          <w:szCs w:val="22"/>
        </w:rPr>
      </w:pPr>
      <w:r w:rsidRPr="0058150C">
        <w:rPr>
          <w:szCs w:val="22"/>
        </w:rPr>
        <w:t xml:space="preserve">The </w:t>
      </w:r>
      <w:r w:rsidRPr="00F66599">
        <w:t>Commission</w:t>
      </w:r>
      <w:r w:rsidRPr="0058150C">
        <w:rPr>
          <w:szCs w:val="22"/>
        </w:rPr>
        <w:t xml:space="preserve"> does not anticipate providing any</w:t>
      </w:r>
      <w:r w:rsidRPr="004460F4">
        <w:rPr>
          <w:szCs w:val="22"/>
        </w:rPr>
        <w:t xml:space="preserve"> payment or gift to respondents.</w:t>
      </w:r>
    </w:p>
    <w:p w:rsidR="007E0735" w:rsidRPr="004460F4" w:rsidP="00C67C7C" w14:paraId="0AC69A0A" w14:textId="6246F9C8">
      <w:pPr>
        <w:pStyle w:val="ParaNum"/>
        <w:rPr>
          <w:szCs w:val="22"/>
        </w:rPr>
      </w:pPr>
      <w:r w:rsidRPr="004460F4">
        <w:rPr>
          <w:szCs w:val="22"/>
        </w:rPr>
        <w:t>The</w:t>
      </w:r>
      <w:r w:rsidR="0063588A">
        <w:rPr>
          <w:szCs w:val="22"/>
        </w:rPr>
        <w:t xml:space="preserve"> </w:t>
      </w:r>
      <w:r w:rsidR="0063588A">
        <w:rPr>
          <w:i/>
          <w:szCs w:val="22"/>
        </w:rPr>
        <w:t>P</w:t>
      </w:r>
      <w:r w:rsidRPr="004460F4" w:rsidR="00CF71C4">
        <w:rPr>
          <w:i/>
          <w:szCs w:val="22"/>
        </w:rPr>
        <w:t>r</w:t>
      </w:r>
      <w:r w:rsidRPr="004460F4" w:rsidR="00884782">
        <w:rPr>
          <w:i/>
          <w:szCs w:val="22"/>
        </w:rPr>
        <w:t xml:space="preserve">otective </w:t>
      </w:r>
      <w:r w:rsidRPr="004460F4" w:rsidR="00CF71C4">
        <w:rPr>
          <w:i/>
          <w:szCs w:val="22"/>
        </w:rPr>
        <w:t>O</w:t>
      </w:r>
      <w:r w:rsidRPr="004460F4" w:rsidR="00884782">
        <w:rPr>
          <w:i/>
          <w:szCs w:val="22"/>
        </w:rPr>
        <w:t>rder</w:t>
      </w:r>
      <w:r w:rsidRPr="00AB1E80" w:rsidR="00884782">
        <w:rPr>
          <w:szCs w:val="22"/>
        </w:rPr>
        <w:t xml:space="preserve"> </w:t>
      </w:r>
      <w:r w:rsidR="009146C2">
        <w:rPr>
          <w:szCs w:val="22"/>
        </w:rPr>
        <w:t xml:space="preserve">adopted </w:t>
      </w:r>
      <w:r w:rsidRPr="00AB1E80" w:rsidR="00884782">
        <w:rPr>
          <w:szCs w:val="22"/>
        </w:rPr>
        <w:t xml:space="preserve">in </w:t>
      </w:r>
      <w:r w:rsidR="00146B94">
        <w:rPr>
          <w:szCs w:val="22"/>
        </w:rPr>
        <w:t>the Commission’s I</w:t>
      </w:r>
      <w:r w:rsidR="00AF1A5D">
        <w:rPr>
          <w:szCs w:val="22"/>
        </w:rPr>
        <w:t>P</w:t>
      </w:r>
      <w:r w:rsidR="00146B94">
        <w:rPr>
          <w:szCs w:val="22"/>
        </w:rPr>
        <w:t>CS</w:t>
      </w:r>
      <w:r w:rsidRPr="00AB1E80" w:rsidR="00146B94">
        <w:rPr>
          <w:szCs w:val="22"/>
        </w:rPr>
        <w:t xml:space="preserve"> </w:t>
      </w:r>
      <w:r w:rsidRPr="00AB1E80" w:rsidR="00884782">
        <w:rPr>
          <w:szCs w:val="22"/>
        </w:rPr>
        <w:t>proceeding</w:t>
      </w:r>
      <w:r w:rsidRPr="00AB1E80">
        <w:rPr>
          <w:szCs w:val="22"/>
        </w:rPr>
        <w:t xml:space="preserve"> </w:t>
      </w:r>
      <w:r w:rsidRPr="00AB1E80" w:rsidR="00884782">
        <w:rPr>
          <w:szCs w:val="22"/>
        </w:rPr>
        <w:t>provides</w:t>
      </w:r>
      <w:r w:rsidRPr="004460F4">
        <w:rPr>
          <w:szCs w:val="22"/>
        </w:rPr>
        <w:t xml:space="preserve"> confidential </w:t>
      </w:r>
      <w:r w:rsidRPr="004460F4">
        <w:rPr>
          <w:szCs w:val="22"/>
        </w:rPr>
        <w:t xml:space="preserve">treatment for the proprietary information submitted by providers in response </w:t>
      </w:r>
      <w:r w:rsidR="00A60F59">
        <w:rPr>
          <w:szCs w:val="22"/>
        </w:rPr>
        <w:t>to Commission directives</w:t>
      </w:r>
      <w:r w:rsidRPr="004460F4">
        <w:rPr>
          <w:szCs w:val="22"/>
        </w:rPr>
        <w:t>.</w:t>
      </w:r>
      <w:r>
        <w:rPr>
          <w:rStyle w:val="FootnoteReference"/>
        </w:rPr>
        <w:footnoteReference w:id="51"/>
      </w:r>
      <w:r w:rsidRPr="0082647E">
        <w:rPr>
          <w:szCs w:val="22"/>
        </w:rPr>
        <w:t xml:space="preserve"> </w:t>
      </w:r>
      <w:r w:rsidRPr="00AB1E80">
        <w:rPr>
          <w:szCs w:val="22"/>
        </w:rPr>
        <w:t xml:space="preserve"> </w:t>
      </w:r>
      <w:r w:rsidRPr="00AB1E80" w:rsidR="00884782">
        <w:rPr>
          <w:szCs w:val="22"/>
        </w:rPr>
        <w:t xml:space="preserve">The Commission will </w:t>
      </w:r>
      <w:r w:rsidR="00CF71C4">
        <w:rPr>
          <w:szCs w:val="22"/>
        </w:rPr>
        <w:t xml:space="preserve">treat as presumptively </w:t>
      </w:r>
      <w:r w:rsidRPr="004460F4" w:rsidR="00884782">
        <w:rPr>
          <w:szCs w:val="22"/>
        </w:rPr>
        <w:t>confidential any particular information identified as confidential by the provider</w:t>
      </w:r>
      <w:r w:rsidR="009146C2">
        <w:rPr>
          <w:szCs w:val="22"/>
        </w:rPr>
        <w:t>,</w:t>
      </w:r>
      <w:r w:rsidR="00CF71C4">
        <w:rPr>
          <w:szCs w:val="22"/>
        </w:rPr>
        <w:t xml:space="preserve"> in accordance with </w:t>
      </w:r>
      <w:r w:rsidRPr="00AB1E80" w:rsidR="00AC7A68">
        <w:rPr>
          <w:szCs w:val="22"/>
        </w:rPr>
        <w:t>the Freedom of Information Act and Commission rules.</w:t>
      </w:r>
      <w:r w:rsidRPr="004460F4" w:rsidR="00AC7A68">
        <w:rPr>
          <w:szCs w:val="22"/>
        </w:rPr>
        <w:t xml:space="preserve"> </w:t>
      </w:r>
      <w:r w:rsidRPr="004460F4" w:rsidR="00884782">
        <w:rPr>
          <w:szCs w:val="22"/>
        </w:rPr>
        <w:t xml:space="preserve"> Each confidential document should be stamped and submitted to the Secretary’s Office with an accompanying cover letter, as specified by </w:t>
      </w:r>
      <w:r w:rsidR="0063588A">
        <w:rPr>
          <w:szCs w:val="22"/>
        </w:rPr>
        <w:t xml:space="preserve">the </w:t>
      </w:r>
      <w:r w:rsidRPr="004460F4" w:rsidR="00884782">
        <w:rPr>
          <w:i/>
          <w:szCs w:val="22"/>
        </w:rPr>
        <w:t>Protective Order</w:t>
      </w:r>
      <w:r w:rsidRPr="004460F4" w:rsidR="00884782">
        <w:rPr>
          <w:szCs w:val="22"/>
        </w:rPr>
        <w:t xml:space="preserve">.  </w:t>
      </w:r>
      <w:r w:rsidRPr="004460F4">
        <w:rPr>
          <w:szCs w:val="22"/>
        </w:rPr>
        <w:t xml:space="preserve">This is standard practice when the Commission seeks competitively sensitive information for ratemaking or other purposes.  </w:t>
      </w:r>
    </w:p>
    <w:p w:rsidR="00A92A86" w:rsidRPr="004460F4" w:rsidP="00C67C7C" w14:paraId="0010232A" w14:textId="57E96431">
      <w:pPr>
        <w:pStyle w:val="ParaNum"/>
        <w:rPr>
          <w:szCs w:val="22"/>
        </w:rPr>
      </w:pPr>
      <w:r w:rsidRPr="004460F4">
        <w:rPr>
          <w:szCs w:val="22"/>
        </w:rPr>
        <w:t>The information collection does not address any matters of a sensitive nature.</w:t>
      </w:r>
      <w:r w:rsidRPr="004460F4">
        <w:rPr>
          <w:szCs w:val="22"/>
        </w:rPr>
        <w:tab/>
      </w:r>
    </w:p>
    <w:p w:rsidR="009A513E" w:rsidP="00C67C7C" w14:paraId="2628F5AF" w14:textId="63DFDEB6">
      <w:pPr>
        <w:pStyle w:val="ParaNum"/>
        <w:rPr>
          <w:szCs w:val="22"/>
        </w:rPr>
      </w:pPr>
      <w:r w:rsidRPr="004460F4">
        <w:rPr>
          <w:szCs w:val="22"/>
        </w:rPr>
        <w:t xml:space="preserve">The following </w:t>
      </w:r>
      <w:r w:rsidR="009146C2">
        <w:rPr>
          <w:szCs w:val="22"/>
        </w:rPr>
        <w:t xml:space="preserve">describes </w:t>
      </w:r>
      <w:r w:rsidRPr="004460F4">
        <w:rPr>
          <w:szCs w:val="22"/>
        </w:rPr>
        <w:t xml:space="preserve">the </w:t>
      </w:r>
      <w:r w:rsidR="008C2814">
        <w:rPr>
          <w:szCs w:val="22"/>
        </w:rPr>
        <w:t>burden hours</w:t>
      </w:r>
      <w:r w:rsidRPr="004460F4">
        <w:rPr>
          <w:szCs w:val="22"/>
        </w:rPr>
        <w:t xml:space="preserve"> </w:t>
      </w:r>
      <w:r w:rsidR="009146C2">
        <w:rPr>
          <w:szCs w:val="22"/>
        </w:rPr>
        <w:t xml:space="preserve">associated with </w:t>
      </w:r>
      <w:r w:rsidRPr="004460F4">
        <w:rPr>
          <w:szCs w:val="22"/>
        </w:rPr>
        <w:t>the collections of information discussed herein</w:t>
      </w:r>
      <w:r w:rsidR="00992065">
        <w:rPr>
          <w:szCs w:val="22"/>
        </w:rPr>
        <w:t>.</w:t>
      </w:r>
    </w:p>
    <w:p w:rsidR="008B0876" w:rsidP="007E0735" w14:paraId="289DF84B" w14:textId="1E6FD6BE">
      <w:pPr>
        <w:pStyle w:val="Numberedparagraphs"/>
        <w:numPr>
          <w:ilvl w:val="0"/>
          <w:numId w:val="0"/>
        </w:numPr>
        <w:tabs>
          <w:tab w:val="left" w:pos="720"/>
          <w:tab w:val="clear" w:pos="1440"/>
        </w:tabs>
        <w:rPr>
          <w:b/>
          <w:bCs/>
          <w:szCs w:val="22"/>
        </w:rPr>
      </w:pPr>
      <w:bookmarkStart w:id="5" w:name="_Hlk90909531"/>
      <w:r>
        <w:rPr>
          <w:b/>
          <w:bCs/>
          <w:szCs w:val="22"/>
          <w:u w:val="single"/>
        </w:rPr>
        <w:t>New</w:t>
      </w:r>
      <w:r w:rsidRPr="008B0876" w:rsidR="004A0A24">
        <w:rPr>
          <w:b/>
          <w:bCs/>
          <w:szCs w:val="22"/>
          <w:u w:val="single"/>
        </w:rPr>
        <w:t xml:space="preserve"> </w:t>
      </w:r>
      <w:r w:rsidRPr="006770D4" w:rsidR="006770D4">
        <w:rPr>
          <w:b/>
          <w:bCs/>
          <w:szCs w:val="22"/>
          <w:u w:val="single"/>
        </w:rPr>
        <w:t xml:space="preserve">Information Collection </w:t>
      </w:r>
      <w:r w:rsidRPr="008B0876" w:rsidR="00905497">
        <w:rPr>
          <w:b/>
          <w:bCs/>
          <w:szCs w:val="22"/>
          <w:u w:val="single"/>
        </w:rPr>
        <w:t>Requirements</w:t>
      </w:r>
      <w:r w:rsidRPr="000A61AF" w:rsidR="006770D4">
        <w:rPr>
          <w:b/>
          <w:bCs/>
          <w:szCs w:val="22"/>
        </w:rPr>
        <w:t>:</w:t>
      </w:r>
    </w:p>
    <w:p w:rsidR="00893DC9" w:rsidRPr="006B0B53" w:rsidP="005D24E0" w14:paraId="44729129" w14:textId="3A31D609">
      <w:pPr>
        <w:pStyle w:val="Numberedparagraphs"/>
        <w:widowControl/>
        <w:numPr>
          <w:ilvl w:val="0"/>
          <w:numId w:val="46"/>
        </w:numPr>
        <w:tabs>
          <w:tab w:val="left" w:pos="720"/>
          <w:tab w:val="clear" w:pos="1440"/>
        </w:tabs>
        <w:rPr>
          <w:b/>
          <w:spacing w:val="-3"/>
          <w:szCs w:val="22"/>
          <w:u w:val="single"/>
        </w:rPr>
      </w:pPr>
      <w:r w:rsidRPr="005D24E0">
        <w:rPr>
          <w:b/>
          <w:szCs w:val="22"/>
          <w:u w:val="single"/>
        </w:rPr>
        <w:t>Alternate</w:t>
      </w:r>
      <w:r w:rsidRPr="00FC73B8">
        <w:rPr>
          <w:b/>
          <w:spacing w:val="-3"/>
          <w:szCs w:val="22"/>
          <w:u w:val="single"/>
        </w:rPr>
        <w:t xml:space="preserve"> Pricing Plan </w:t>
      </w:r>
      <w:r>
        <w:rPr>
          <w:b/>
          <w:spacing w:val="-3"/>
          <w:szCs w:val="22"/>
          <w:u w:val="single"/>
        </w:rPr>
        <w:t>Recordkeeping</w:t>
      </w:r>
      <w:r w:rsidRPr="00FC73B8">
        <w:rPr>
          <w:b/>
          <w:spacing w:val="-3"/>
          <w:szCs w:val="22"/>
          <w:u w:val="single"/>
        </w:rPr>
        <w:t xml:space="preserve"> and </w:t>
      </w:r>
      <w:r>
        <w:rPr>
          <w:b/>
          <w:spacing w:val="-3"/>
          <w:szCs w:val="22"/>
          <w:u w:val="single"/>
        </w:rPr>
        <w:t xml:space="preserve">Third-Party </w:t>
      </w:r>
      <w:r w:rsidRPr="00FC73B8">
        <w:rPr>
          <w:b/>
          <w:spacing w:val="-3"/>
          <w:szCs w:val="22"/>
          <w:u w:val="single"/>
        </w:rPr>
        <w:t>Disclosure Requirements  (Section 64.6140)</w:t>
      </w:r>
    </w:p>
    <w:p w:rsidR="00893DC9" w:rsidP="00893DC9" w14:paraId="7A37B70B" w14:textId="77777777">
      <w:pPr>
        <w:pStyle w:val="ListParagraph"/>
        <w:ind w:left="1080"/>
        <w:rPr>
          <w:spacing w:val="-3"/>
          <w:szCs w:val="22"/>
        </w:rPr>
      </w:pPr>
    </w:p>
    <w:p w:rsidR="00893DC9" w:rsidRPr="00007370" w:rsidP="00893DC9" w14:paraId="46762971" w14:textId="77777777">
      <w:pPr>
        <w:pStyle w:val="ListParagraph"/>
        <w:numPr>
          <w:ilvl w:val="0"/>
          <w:numId w:val="26"/>
        </w:numPr>
      </w:pPr>
      <w:r w:rsidRPr="006B0B53">
        <w:rPr>
          <w:u w:val="single"/>
        </w:rPr>
        <w:t>Number of respondents</w:t>
      </w:r>
      <w:r w:rsidRPr="00007370">
        <w:t>:  Approximately 5.</w:t>
      </w:r>
    </w:p>
    <w:p w:rsidR="00893DC9" w:rsidRPr="006B0B53" w:rsidP="00893DC9" w14:paraId="3E20A50C" w14:textId="77777777">
      <w:pPr>
        <w:rPr>
          <w:spacing w:val="-3"/>
          <w:szCs w:val="22"/>
        </w:rPr>
      </w:pPr>
    </w:p>
    <w:p w:rsidR="00893DC9" w:rsidP="00893DC9" w14:paraId="0568A4C4" w14:textId="77777777">
      <w:pPr>
        <w:pStyle w:val="ListParagraph"/>
        <w:numPr>
          <w:ilvl w:val="0"/>
          <w:numId w:val="26"/>
        </w:numPr>
        <w:rPr>
          <w:spacing w:val="-3"/>
          <w:szCs w:val="22"/>
        </w:rPr>
      </w:pPr>
      <w:r w:rsidRPr="00404225">
        <w:rPr>
          <w:spacing w:val="-3"/>
          <w:szCs w:val="22"/>
          <w:u w:val="single"/>
        </w:rPr>
        <w:t>Frequency of response</w:t>
      </w:r>
      <w:r w:rsidRPr="00404225">
        <w:rPr>
          <w:spacing w:val="-3"/>
          <w:szCs w:val="22"/>
        </w:rPr>
        <w:t xml:space="preserve">:  </w:t>
      </w:r>
      <w:r w:rsidRPr="00CC0841">
        <w:rPr>
          <w:spacing w:val="-3"/>
          <w:szCs w:val="22"/>
        </w:rPr>
        <w:t>On occasion reporting requirement as requested by filer</w:t>
      </w:r>
      <w:r>
        <w:rPr>
          <w:spacing w:val="-3"/>
          <w:szCs w:val="22"/>
        </w:rPr>
        <w:t>.</w:t>
      </w:r>
    </w:p>
    <w:p w:rsidR="00893DC9" w:rsidRPr="00A13D8A" w:rsidP="00893DC9" w14:paraId="1A8599CB" w14:textId="77777777">
      <w:pPr>
        <w:pStyle w:val="ListParagraph"/>
        <w:rPr>
          <w:spacing w:val="-3"/>
          <w:szCs w:val="22"/>
        </w:rPr>
      </w:pPr>
    </w:p>
    <w:p w:rsidR="00893DC9" w:rsidRPr="00A13D8A" w:rsidP="00893DC9" w14:paraId="1269C921" w14:textId="77777777">
      <w:pPr>
        <w:pStyle w:val="ListParagraph"/>
        <w:numPr>
          <w:ilvl w:val="0"/>
          <w:numId w:val="26"/>
        </w:numPr>
        <w:rPr>
          <w:spacing w:val="-3"/>
          <w:szCs w:val="22"/>
        </w:rPr>
      </w:pPr>
      <w:r w:rsidRPr="00A13D8A">
        <w:rPr>
          <w:spacing w:val="-3"/>
          <w:szCs w:val="22"/>
          <w:u w:val="single"/>
        </w:rPr>
        <w:t>Total number of responses annually</w:t>
      </w:r>
      <w:r w:rsidRPr="00A13D8A">
        <w:rPr>
          <w:spacing w:val="-3"/>
          <w:szCs w:val="22"/>
        </w:rPr>
        <w:t xml:space="preserve">:  Approximately </w:t>
      </w:r>
      <w:r>
        <w:rPr>
          <w:spacing w:val="-3"/>
          <w:szCs w:val="22"/>
        </w:rPr>
        <w:t>5</w:t>
      </w:r>
      <w:r w:rsidRPr="00A13D8A">
        <w:rPr>
          <w:spacing w:val="-3"/>
          <w:szCs w:val="22"/>
        </w:rPr>
        <w:t>.</w:t>
      </w:r>
    </w:p>
    <w:p w:rsidR="00893DC9" w:rsidRPr="004460F4" w:rsidP="00893DC9" w14:paraId="7F55BC4B" w14:textId="77777777">
      <w:pPr>
        <w:tabs>
          <w:tab w:val="left" w:pos="-720"/>
        </w:tabs>
        <w:suppressAutoHyphens/>
        <w:rPr>
          <w:spacing w:val="-3"/>
          <w:szCs w:val="22"/>
        </w:rPr>
      </w:pPr>
    </w:p>
    <w:p w:rsidR="00893DC9" w:rsidRPr="004460F4" w:rsidP="00893DC9" w14:paraId="17258A20" w14:textId="77777777">
      <w:pPr>
        <w:tabs>
          <w:tab w:val="left" w:pos="-720"/>
        </w:tabs>
        <w:suppressAutoHyphens/>
        <w:rPr>
          <w:spacing w:val="-3"/>
          <w:szCs w:val="22"/>
        </w:rPr>
      </w:pPr>
      <w:r w:rsidRPr="004460F4">
        <w:rPr>
          <w:spacing w:val="-3"/>
          <w:szCs w:val="22"/>
        </w:rPr>
        <w:tab/>
        <w:t xml:space="preserve">(4)  </w:t>
      </w:r>
      <w:r w:rsidRPr="004460F4">
        <w:rPr>
          <w:spacing w:val="-3"/>
          <w:szCs w:val="22"/>
          <w:u w:val="single"/>
        </w:rPr>
        <w:t>Estimated Time per Response</w:t>
      </w:r>
      <w:r w:rsidRPr="004460F4">
        <w:rPr>
          <w:spacing w:val="-3"/>
          <w:szCs w:val="22"/>
        </w:rPr>
        <w:t xml:space="preserve">:  </w:t>
      </w:r>
      <w:r w:rsidRPr="00C8066B">
        <w:rPr>
          <w:b/>
          <w:spacing w:val="-3"/>
          <w:szCs w:val="22"/>
        </w:rPr>
        <w:t>280 hours</w:t>
      </w:r>
      <w:r w:rsidRPr="00B95768">
        <w:rPr>
          <w:spacing w:val="-3"/>
          <w:szCs w:val="22"/>
        </w:rPr>
        <w:t>.</w:t>
      </w:r>
    </w:p>
    <w:p w:rsidR="00893DC9" w:rsidRPr="004460F4" w:rsidP="00893DC9" w14:paraId="1630B14A" w14:textId="77777777">
      <w:pPr>
        <w:tabs>
          <w:tab w:val="left" w:pos="-720"/>
        </w:tabs>
        <w:suppressAutoHyphens/>
        <w:rPr>
          <w:spacing w:val="-3"/>
          <w:szCs w:val="22"/>
        </w:rPr>
      </w:pPr>
    </w:p>
    <w:p w:rsidR="00893DC9" w:rsidRPr="004460F4" w:rsidP="00893DC9" w14:paraId="650E182E" w14:textId="77777777">
      <w:pPr>
        <w:tabs>
          <w:tab w:val="left" w:pos="-720"/>
        </w:tabs>
        <w:suppressAutoHyphens/>
        <w:rPr>
          <w:spacing w:val="-3"/>
          <w:szCs w:val="22"/>
        </w:rPr>
      </w:pPr>
      <w:r w:rsidRPr="004460F4">
        <w:rPr>
          <w:spacing w:val="-3"/>
          <w:szCs w:val="22"/>
        </w:rPr>
        <w:tab/>
      </w:r>
      <w:r w:rsidRPr="004460F4">
        <w:rPr>
          <w:spacing w:val="-3"/>
          <w:szCs w:val="22"/>
        </w:rPr>
        <w:tab/>
      </w:r>
      <w:r>
        <w:rPr>
          <w:spacing w:val="-3"/>
          <w:szCs w:val="22"/>
        </w:rPr>
        <w:t>5</w:t>
      </w:r>
      <w:r w:rsidRPr="004460F4">
        <w:rPr>
          <w:spacing w:val="-3"/>
          <w:szCs w:val="22"/>
        </w:rPr>
        <w:t xml:space="preserve"> </w:t>
      </w:r>
      <w:r>
        <w:rPr>
          <w:spacing w:val="-3"/>
          <w:szCs w:val="22"/>
        </w:rPr>
        <w:t xml:space="preserve">respondents </w:t>
      </w:r>
      <w:r w:rsidRPr="004460F4">
        <w:rPr>
          <w:spacing w:val="-3"/>
          <w:szCs w:val="22"/>
        </w:rPr>
        <w:t xml:space="preserve">x </w:t>
      </w:r>
      <w:r>
        <w:rPr>
          <w:spacing w:val="-3"/>
          <w:szCs w:val="22"/>
        </w:rPr>
        <w:t xml:space="preserve">280 </w:t>
      </w:r>
      <w:r w:rsidRPr="004460F4">
        <w:rPr>
          <w:spacing w:val="-3"/>
          <w:szCs w:val="22"/>
        </w:rPr>
        <w:t xml:space="preserve">hours per response x 1 response per year per respondent = </w:t>
      </w:r>
      <w:r>
        <w:rPr>
          <w:spacing w:val="-3"/>
          <w:szCs w:val="22"/>
        </w:rPr>
        <w:t>1,400 hours.</w:t>
      </w:r>
    </w:p>
    <w:p w:rsidR="00893DC9" w:rsidRPr="004460F4" w:rsidP="00893DC9" w14:paraId="68C294AB" w14:textId="77777777">
      <w:pPr>
        <w:tabs>
          <w:tab w:val="left" w:pos="-720"/>
        </w:tabs>
        <w:suppressAutoHyphens/>
        <w:rPr>
          <w:spacing w:val="-3"/>
          <w:szCs w:val="22"/>
        </w:rPr>
      </w:pPr>
    </w:p>
    <w:p w:rsidR="00893DC9" w:rsidRPr="004460F4" w:rsidP="00893DC9" w14:paraId="0BCE5CE9" w14:textId="77777777">
      <w:pPr>
        <w:tabs>
          <w:tab w:val="left" w:pos="-720"/>
        </w:tabs>
        <w:suppressAutoHyphens/>
        <w:rPr>
          <w:spacing w:val="-3"/>
          <w:szCs w:val="22"/>
        </w:rPr>
      </w:pPr>
      <w:r w:rsidRPr="004460F4">
        <w:rPr>
          <w:spacing w:val="-3"/>
          <w:szCs w:val="22"/>
        </w:rPr>
        <w:tab/>
        <w:t xml:space="preserve">(5)  </w:t>
      </w:r>
      <w:r w:rsidRPr="004460F4">
        <w:rPr>
          <w:spacing w:val="-3"/>
          <w:szCs w:val="22"/>
          <w:u w:val="single"/>
        </w:rPr>
        <w:t>Total annual burden</w:t>
      </w:r>
      <w:r w:rsidRPr="004460F4">
        <w:rPr>
          <w:spacing w:val="-3"/>
          <w:szCs w:val="22"/>
        </w:rPr>
        <w:t xml:space="preserve">:  </w:t>
      </w:r>
      <w:r>
        <w:rPr>
          <w:spacing w:val="-3"/>
          <w:szCs w:val="22"/>
        </w:rPr>
        <w:t xml:space="preserve">Approximately </w:t>
      </w:r>
      <w:r>
        <w:rPr>
          <w:b/>
          <w:spacing w:val="-3"/>
          <w:szCs w:val="22"/>
        </w:rPr>
        <w:t xml:space="preserve">1,400 </w:t>
      </w:r>
      <w:r w:rsidRPr="004460F4">
        <w:rPr>
          <w:b/>
          <w:spacing w:val="-3"/>
          <w:szCs w:val="22"/>
        </w:rPr>
        <w:t>hours</w:t>
      </w:r>
      <w:r w:rsidRPr="004460F4">
        <w:rPr>
          <w:spacing w:val="-3"/>
          <w:szCs w:val="22"/>
        </w:rPr>
        <w:t>.</w:t>
      </w:r>
    </w:p>
    <w:p w:rsidR="00893DC9" w:rsidRPr="004460F4" w:rsidP="00893DC9" w14:paraId="06CF02A2" w14:textId="77777777">
      <w:pPr>
        <w:tabs>
          <w:tab w:val="left" w:pos="-720"/>
        </w:tabs>
        <w:suppressAutoHyphens/>
        <w:rPr>
          <w:spacing w:val="-3"/>
          <w:szCs w:val="22"/>
        </w:rPr>
      </w:pPr>
    </w:p>
    <w:p w:rsidR="00893DC9" w:rsidP="00893DC9" w14:paraId="4EA4A5DE" w14:textId="77777777">
      <w:pPr>
        <w:tabs>
          <w:tab w:val="left" w:pos="-720"/>
        </w:tabs>
        <w:suppressAutoHyphens/>
        <w:ind w:left="1440"/>
        <w:rPr>
          <w:spacing w:val="-3"/>
          <w:szCs w:val="22"/>
        </w:rPr>
      </w:pPr>
      <w:r w:rsidRPr="004460F4">
        <w:rPr>
          <w:spacing w:val="-3"/>
          <w:szCs w:val="22"/>
        </w:rPr>
        <w:t xml:space="preserve">The Commission estimates that approximately </w:t>
      </w:r>
      <w:r>
        <w:rPr>
          <w:spacing w:val="-3"/>
          <w:szCs w:val="22"/>
        </w:rPr>
        <w:t>5</w:t>
      </w:r>
      <w:r w:rsidRPr="004460F4">
        <w:rPr>
          <w:spacing w:val="-3"/>
          <w:szCs w:val="22"/>
        </w:rPr>
        <w:t xml:space="preserve"> providers will require </w:t>
      </w:r>
      <w:r>
        <w:rPr>
          <w:spacing w:val="-3"/>
          <w:szCs w:val="22"/>
        </w:rPr>
        <w:t>approximately 280 hours of time to comply with the requirements of section 64.</w:t>
      </w:r>
      <w:r w:rsidRPr="002E0A2A">
        <w:rPr>
          <w:spacing w:val="-3"/>
          <w:szCs w:val="22"/>
        </w:rPr>
        <w:t>6140(c), (d), (e)(2)-(4), (f)(2), (f)(4)</w:t>
      </w:r>
      <w:r>
        <w:rPr>
          <w:spacing w:val="-3"/>
          <w:szCs w:val="22"/>
        </w:rPr>
        <w:t>.</w:t>
      </w:r>
    </w:p>
    <w:p w:rsidR="00893DC9" w:rsidP="00893DC9" w14:paraId="1D7C0526" w14:textId="77777777">
      <w:pPr>
        <w:tabs>
          <w:tab w:val="left" w:pos="-720"/>
        </w:tabs>
        <w:suppressAutoHyphens/>
        <w:ind w:left="1440"/>
        <w:rPr>
          <w:spacing w:val="-3"/>
          <w:szCs w:val="22"/>
        </w:rPr>
      </w:pPr>
    </w:p>
    <w:p w:rsidR="00893DC9" w:rsidP="00893DC9" w14:paraId="39DE51EE" w14:textId="1D45328D">
      <w:pPr>
        <w:tabs>
          <w:tab w:val="left" w:pos="-720"/>
        </w:tabs>
        <w:suppressAutoHyphens/>
        <w:ind w:left="1440"/>
        <w:rPr>
          <w:spacing w:val="-3"/>
          <w:szCs w:val="22"/>
        </w:rPr>
      </w:pPr>
      <w:r w:rsidRPr="009F745F">
        <w:rPr>
          <w:spacing w:val="-3"/>
          <w:szCs w:val="22"/>
        </w:rPr>
        <w:t xml:space="preserve">Approximately </w:t>
      </w:r>
      <w:r>
        <w:rPr>
          <w:spacing w:val="-3"/>
          <w:szCs w:val="22"/>
        </w:rPr>
        <w:t>5</w:t>
      </w:r>
      <w:r w:rsidRPr="009F745F">
        <w:rPr>
          <w:spacing w:val="-3"/>
          <w:szCs w:val="22"/>
        </w:rPr>
        <w:t xml:space="preserve"> respondents annually x 1 response annually x </w:t>
      </w:r>
      <w:r>
        <w:rPr>
          <w:spacing w:val="-3"/>
          <w:szCs w:val="22"/>
        </w:rPr>
        <w:t>280</w:t>
      </w:r>
      <w:r w:rsidRPr="009F745F">
        <w:rPr>
          <w:spacing w:val="-3"/>
          <w:szCs w:val="22"/>
        </w:rPr>
        <w:t xml:space="preserve"> hours per response = </w:t>
      </w:r>
      <w:r>
        <w:rPr>
          <w:spacing w:val="-3"/>
          <w:szCs w:val="22"/>
        </w:rPr>
        <w:t>1,400</w:t>
      </w:r>
      <w:r w:rsidR="00F95FF3">
        <w:rPr>
          <w:spacing w:val="-3"/>
          <w:szCs w:val="22"/>
        </w:rPr>
        <w:t xml:space="preserve"> </w:t>
      </w:r>
      <w:r w:rsidRPr="009F745F">
        <w:rPr>
          <w:spacing w:val="-3"/>
          <w:szCs w:val="22"/>
        </w:rPr>
        <w:t>hours)</w:t>
      </w:r>
      <w:r>
        <w:rPr>
          <w:spacing w:val="-3"/>
          <w:szCs w:val="22"/>
        </w:rPr>
        <w:t>.</w:t>
      </w:r>
      <w:r w:rsidRPr="009F745F">
        <w:rPr>
          <w:spacing w:val="-3"/>
          <w:szCs w:val="22"/>
        </w:rPr>
        <w:t xml:space="preserve">  </w:t>
      </w:r>
    </w:p>
    <w:p w:rsidR="00893DC9" w:rsidRPr="004460F4" w:rsidP="00893DC9" w14:paraId="20F9EA1C" w14:textId="77777777">
      <w:pPr>
        <w:tabs>
          <w:tab w:val="left" w:pos="-720"/>
        </w:tabs>
        <w:suppressAutoHyphens/>
        <w:rPr>
          <w:spacing w:val="-3"/>
          <w:szCs w:val="22"/>
        </w:rPr>
      </w:pPr>
    </w:p>
    <w:p w:rsidR="00893DC9" w:rsidP="00893DC9" w14:paraId="2E96F510" w14:textId="77777777">
      <w:pPr>
        <w:tabs>
          <w:tab w:val="left" w:pos="-720"/>
        </w:tabs>
        <w:suppressAutoHyphens/>
        <w:rPr>
          <w:spacing w:val="-3"/>
          <w:szCs w:val="22"/>
        </w:rPr>
      </w:pPr>
      <w:r>
        <w:rPr>
          <w:spacing w:val="-3"/>
          <w:szCs w:val="22"/>
        </w:rPr>
        <w:tab/>
      </w:r>
      <w:r w:rsidRPr="006A2D75">
        <w:rPr>
          <w:spacing w:val="-3"/>
          <w:szCs w:val="22"/>
        </w:rPr>
        <w:t>(</w:t>
      </w:r>
      <w:r>
        <w:rPr>
          <w:spacing w:val="-3"/>
          <w:szCs w:val="22"/>
        </w:rPr>
        <w:t>6</w:t>
      </w:r>
      <w:r w:rsidRPr="006A2D75">
        <w:rPr>
          <w:spacing w:val="-3"/>
          <w:szCs w:val="22"/>
        </w:rPr>
        <w:t>)</w:t>
      </w:r>
      <w:r w:rsidRPr="006A2D75">
        <w:rPr>
          <w:spacing w:val="-3"/>
          <w:szCs w:val="22"/>
        </w:rPr>
        <w:tab/>
      </w:r>
      <w:r w:rsidRPr="00F93018">
        <w:rPr>
          <w:spacing w:val="-3"/>
          <w:szCs w:val="22"/>
          <w:u w:val="single"/>
        </w:rPr>
        <w:t>Total estimate of “in-house” cost to respondents</w:t>
      </w:r>
      <w:r w:rsidRPr="006A2D75">
        <w:rPr>
          <w:spacing w:val="-3"/>
          <w:szCs w:val="22"/>
        </w:rPr>
        <w:t xml:space="preserve">:  </w:t>
      </w:r>
      <w:r w:rsidRPr="00FA7A33">
        <w:rPr>
          <w:b/>
          <w:bCs/>
          <w:spacing w:val="-3"/>
          <w:szCs w:val="22"/>
        </w:rPr>
        <w:t>$1</w:t>
      </w:r>
      <w:r w:rsidRPr="009F4EF0">
        <w:rPr>
          <w:b/>
          <w:bCs/>
          <w:szCs w:val="22"/>
        </w:rPr>
        <w:t>48,974 per year.</w:t>
      </w:r>
    </w:p>
    <w:p w:rsidR="00893DC9" w:rsidRPr="006A2D75" w:rsidP="00893DC9" w14:paraId="704425D3" w14:textId="77777777">
      <w:pPr>
        <w:tabs>
          <w:tab w:val="left" w:pos="-720"/>
        </w:tabs>
        <w:suppressAutoHyphens/>
        <w:rPr>
          <w:spacing w:val="-3"/>
          <w:szCs w:val="22"/>
        </w:rPr>
      </w:pPr>
    </w:p>
    <w:p w:rsidR="00893DC9" w:rsidP="00893DC9" w14:paraId="016C06A5" w14:textId="77777777">
      <w:pPr>
        <w:tabs>
          <w:tab w:val="left" w:pos="-720"/>
        </w:tabs>
        <w:suppressAutoHyphens/>
        <w:rPr>
          <w:spacing w:val="-3"/>
          <w:szCs w:val="22"/>
        </w:rPr>
      </w:pPr>
      <w:r>
        <w:rPr>
          <w:spacing w:val="-3"/>
          <w:szCs w:val="22"/>
        </w:rPr>
        <w:tab/>
      </w:r>
      <w:r w:rsidRPr="006E7B40">
        <w:rPr>
          <w:spacing w:val="-3"/>
          <w:szCs w:val="22"/>
        </w:rPr>
        <w:t>(</w:t>
      </w:r>
      <w:r>
        <w:rPr>
          <w:spacing w:val="-3"/>
          <w:szCs w:val="22"/>
        </w:rPr>
        <w:t>7</w:t>
      </w:r>
      <w:r w:rsidRPr="006E7B40">
        <w:rPr>
          <w:spacing w:val="-3"/>
          <w:szCs w:val="22"/>
        </w:rPr>
        <w:t>)</w:t>
      </w:r>
      <w:r w:rsidRPr="006E7B40">
        <w:rPr>
          <w:spacing w:val="-3"/>
          <w:szCs w:val="22"/>
        </w:rPr>
        <w:tab/>
      </w:r>
      <w:r>
        <w:rPr>
          <w:spacing w:val="-3"/>
          <w:szCs w:val="22"/>
        </w:rPr>
        <w:t>Explanation of the calculation:</w:t>
      </w:r>
    </w:p>
    <w:p w:rsidR="00893DC9" w:rsidRPr="004460F4" w:rsidP="00893DC9" w14:paraId="28478624" w14:textId="77777777">
      <w:pPr>
        <w:tabs>
          <w:tab w:val="left" w:pos="-720"/>
        </w:tabs>
        <w:suppressAutoHyphens/>
        <w:rPr>
          <w:szCs w:val="22"/>
        </w:rPr>
      </w:pPr>
    </w:p>
    <w:p w:rsidR="00893DC9" w:rsidRPr="00ED4887" w:rsidP="00893DC9" w14:paraId="5AF1CE45" w14:textId="77777777">
      <w:pPr>
        <w:pStyle w:val="Numberedparagraphs"/>
        <w:numPr>
          <w:ilvl w:val="0"/>
          <w:numId w:val="0"/>
        </w:numPr>
        <w:tabs>
          <w:tab w:val="left" w:pos="720"/>
        </w:tabs>
        <w:ind w:left="1440"/>
        <w:rPr>
          <w:bCs/>
          <w:szCs w:val="22"/>
        </w:rPr>
      </w:pPr>
      <w:r>
        <w:rPr>
          <w:bCs/>
          <w:szCs w:val="22"/>
        </w:rPr>
        <w:t>We</w:t>
      </w:r>
      <w:r w:rsidRPr="00ED4887">
        <w:rPr>
          <w:bCs/>
          <w:szCs w:val="22"/>
        </w:rPr>
        <w:t xml:space="preserve"> estimate that respondents will use a variety of in-house personnel whose pay is comparable to </w:t>
      </w:r>
      <w:r>
        <w:rPr>
          <w:bCs/>
          <w:szCs w:val="22"/>
        </w:rPr>
        <w:t xml:space="preserve">that for </w:t>
      </w:r>
      <w:r w:rsidRPr="00ED4887">
        <w:rPr>
          <w:bCs/>
          <w:szCs w:val="22"/>
        </w:rPr>
        <w:t xml:space="preserve">mid-level to senior-level federal employees.  For mid-level employees, </w:t>
      </w:r>
      <w:r>
        <w:rPr>
          <w:bCs/>
          <w:szCs w:val="22"/>
        </w:rPr>
        <w:t xml:space="preserve">we </w:t>
      </w:r>
      <w:r w:rsidRPr="00ED4887">
        <w:rPr>
          <w:bCs/>
          <w:szCs w:val="22"/>
        </w:rPr>
        <w:t xml:space="preserve">estimate that respondents will use personnel comparable in pay to a GS 13/Step 5 employee earning $65.48 per hour.  For some specialized functions, we estimate that respondents will use personnel comparable in pay to a GS 14/5 employee earning $77.38 per hour.  For regulatory attorneys, we estimate that respondents will use </w:t>
      </w:r>
      <w:r w:rsidRPr="00ED4887">
        <w:rPr>
          <w:bCs/>
          <w:szCs w:val="22"/>
        </w:rPr>
        <w:t>personnel comparable in pay to a GS 15/Step 5 employee earning $91.02 per hour.  For upper management to supervise and review the work performed by the foregoing employees, we estimate that respondents will use personnel comparable in pay to a GS 15/Step 10 employee earning $93.53 per hour.</w:t>
      </w:r>
      <w:r>
        <w:rPr>
          <w:bCs/>
          <w:szCs w:val="22"/>
        </w:rPr>
        <w:t xml:space="preserve">  </w:t>
      </w:r>
    </w:p>
    <w:p w:rsidR="00893DC9" w:rsidRPr="0022685D" w:rsidP="00893DC9" w14:paraId="09832571" w14:textId="77777777">
      <w:pPr>
        <w:pStyle w:val="Numberedparagraphs"/>
        <w:numPr>
          <w:ilvl w:val="0"/>
          <w:numId w:val="0"/>
        </w:numPr>
        <w:tabs>
          <w:tab w:val="left" w:pos="720"/>
          <w:tab w:val="clear" w:pos="1440"/>
        </w:tabs>
        <w:ind w:left="1440"/>
      </w:pPr>
      <w:r w:rsidRPr="00ED4887">
        <w:rPr>
          <w:bCs/>
          <w:szCs w:val="22"/>
        </w:rPr>
        <w:t xml:space="preserve">The simple average of these hourly wages is $81.85.  </w:t>
      </w:r>
      <w:r>
        <w:rPr>
          <w:bCs/>
          <w:szCs w:val="22"/>
        </w:rPr>
        <w:t xml:space="preserve">We add a 30% overhead factor ($24.66 = 0.30 x $81.85) to this amount to capture the full range of costs providers will incur in complying with this information collection requirement.  </w:t>
      </w:r>
      <w:r w:rsidRPr="00ED4887">
        <w:rPr>
          <w:bCs/>
          <w:szCs w:val="22"/>
        </w:rPr>
        <w:t xml:space="preserve">Because we lack the information that would allow us to quantify the extent to which providers will use employees in each of these hourly wage groups to comply with </w:t>
      </w:r>
      <w:r>
        <w:rPr>
          <w:bCs/>
          <w:szCs w:val="22"/>
        </w:rPr>
        <w:t>the s</w:t>
      </w:r>
      <w:r w:rsidRPr="0044364F">
        <w:rPr>
          <w:bCs/>
          <w:szCs w:val="22"/>
        </w:rPr>
        <w:t xml:space="preserve">ection 64.6040(f) </w:t>
      </w:r>
      <w:r w:rsidRPr="00ED4887">
        <w:rPr>
          <w:bCs/>
          <w:szCs w:val="22"/>
        </w:rPr>
        <w:t xml:space="preserve">recordkeeping and disclosure requirements, we use </w:t>
      </w:r>
      <w:r>
        <w:rPr>
          <w:bCs/>
          <w:szCs w:val="22"/>
        </w:rPr>
        <w:t xml:space="preserve">the sum of these figures, $106.41 ($81.85 + $24.66), </w:t>
      </w:r>
      <w:r w:rsidRPr="00ED4887">
        <w:rPr>
          <w:bCs/>
          <w:szCs w:val="22"/>
        </w:rPr>
        <w:t xml:space="preserve">to estimate respondents’ </w:t>
      </w:r>
      <w:r>
        <w:rPr>
          <w:bCs/>
          <w:szCs w:val="22"/>
        </w:rPr>
        <w:t xml:space="preserve">fully loaded per hour </w:t>
      </w:r>
      <w:r w:rsidRPr="00ED4887">
        <w:rPr>
          <w:bCs/>
          <w:szCs w:val="22"/>
        </w:rPr>
        <w:t>in-house costs.</w:t>
      </w:r>
    </w:p>
    <w:p w:rsidR="00893DC9" w:rsidRPr="004460F4" w:rsidP="00893DC9" w14:paraId="07401F4B" w14:textId="77777777">
      <w:pPr>
        <w:tabs>
          <w:tab w:val="left" w:pos="-720"/>
        </w:tabs>
        <w:suppressAutoHyphens/>
        <w:ind w:left="1440"/>
        <w:rPr>
          <w:spacing w:val="-3"/>
          <w:szCs w:val="22"/>
        </w:rPr>
      </w:pPr>
      <w:r>
        <w:rPr>
          <w:szCs w:val="22"/>
        </w:rPr>
        <w:t>Thus, approximately 1,400 hours per year x $106.41 per hour = $148,974 per year.</w:t>
      </w:r>
    </w:p>
    <w:p w:rsidR="00893DC9" w:rsidP="00893DC9" w14:paraId="41FD3F69" w14:textId="77777777">
      <w:pPr>
        <w:tabs>
          <w:tab w:val="left" w:pos="-720"/>
        </w:tabs>
        <w:suppressAutoHyphens/>
        <w:rPr>
          <w:szCs w:val="22"/>
        </w:rPr>
      </w:pPr>
    </w:p>
    <w:p w:rsidR="00350D0F" w:rsidRPr="00C8066B" w:rsidP="00350D0F" w14:paraId="5424B06A" w14:textId="7016F15F">
      <w:pPr>
        <w:pStyle w:val="Numberedparagraphs"/>
        <w:numPr>
          <w:ilvl w:val="0"/>
          <w:numId w:val="0"/>
        </w:numPr>
        <w:tabs>
          <w:tab w:val="left" w:pos="720"/>
          <w:tab w:val="clear" w:pos="1440"/>
        </w:tabs>
        <w:rPr>
          <w:b/>
          <w:bCs/>
          <w:szCs w:val="22"/>
        </w:rPr>
      </w:pPr>
      <w:r w:rsidRPr="009A513E">
        <w:rPr>
          <w:b/>
          <w:bCs/>
          <w:szCs w:val="22"/>
          <w:u w:val="single"/>
        </w:rPr>
        <w:t>Previously-Approve</w:t>
      </w:r>
      <w:r w:rsidR="004C1382">
        <w:rPr>
          <w:b/>
          <w:bCs/>
          <w:szCs w:val="22"/>
          <w:u w:val="single"/>
        </w:rPr>
        <w:t>d</w:t>
      </w:r>
      <w:r w:rsidRPr="00C67C7C" w:rsidR="004C1382">
        <w:rPr>
          <w:b/>
          <w:u w:val="single"/>
        </w:rPr>
        <w:t xml:space="preserve"> </w:t>
      </w:r>
      <w:r w:rsidRPr="0055282B">
        <w:rPr>
          <w:b/>
          <w:bCs/>
          <w:szCs w:val="22"/>
          <w:u w:val="single"/>
        </w:rPr>
        <w:t>Information Collection Requirement</w:t>
      </w:r>
      <w:r>
        <w:rPr>
          <w:b/>
          <w:bCs/>
          <w:szCs w:val="22"/>
          <w:u w:val="single"/>
        </w:rPr>
        <w:t>s</w:t>
      </w:r>
      <w:r w:rsidRPr="00C67C7C">
        <w:rPr>
          <w:b/>
        </w:rPr>
        <w:t>:</w:t>
      </w:r>
    </w:p>
    <w:p w:rsidR="006770D4" w:rsidRPr="00EA0F98" w:rsidP="00C67C7C" w14:paraId="620CD806" w14:textId="450915A9">
      <w:pPr>
        <w:pStyle w:val="Numberedparagraphs"/>
        <w:widowControl/>
        <w:numPr>
          <w:ilvl w:val="0"/>
          <w:numId w:val="46"/>
        </w:numPr>
        <w:tabs>
          <w:tab w:val="left" w:pos="720"/>
          <w:tab w:val="clear" w:pos="1440"/>
        </w:tabs>
        <w:rPr>
          <w:bCs/>
          <w:szCs w:val="22"/>
        </w:rPr>
      </w:pPr>
      <w:r w:rsidRPr="00B91FFE">
        <w:rPr>
          <w:b/>
          <w:szCs w:val="22"/>
          <w:u w:val="single"/>
        </w:rPr>
        <w:t>Reporting Requirement (</w:t>
      </w:r>
      <w:r w:rsidR="00DD2210">
        <w:rPr>
          <w:b/>
          <w:szCs w:val="22"/>
          <w:u w:val="single"/>
        </w:rPr>
        <w:t>A</w:t>
      </w:r>
      <w:r w:rsidRPr="00B91FFE">
        <w:rPr>
          <w:b/>
          <w:szCs w:val="22"/>
          <w:u w:val="single"/>
        </w:rPr>
        <w:t>nnual Repor</w:t>
      </w:r>
      <w:r w:rsidRPr="00807898">
        <w:rPr>
          <w:b/>
          <w:szCs w:val="22"/>
          <w:u w:val="single"/>
        </w:rPr>
        <w:t>ts)</w:t>
      </w:r>
      <w:r w:rsidRPr="003832FF" w:rsidR="003832FF">
        <w:rPr>
          <w:b/>
          <w:szCs w:val="22"/>
          <w:u w:val="single"/>
        </w:rPr>
        <w:t xml:space="preserve"> (Section 64.6</w:t>
      </w:r>
      <w:r w:rsidR="003832FF">
        <w:rPr>
          <w:b/>
          <w:szCs w:val="22"/>
          <w:u w:val="single"/>
        </w:rPr>
        <w:t>060</w:t>
      </w:r>
      <w:r w:rsidRPr="003832FF" w:rsidR="003832FF">
        <w:rPr>
          <w:b/>
          <w:szCs w:val="22"/>
          <w:u w:val="single"/>
        </w:rPr>
        <w:t>)</w:t>
      </w:r>
      <w:r w:rsidRPr="00EA0F98">
        <w:rPr>
          <w:b/>
          <w:szCs w:val="22"/>
        </w:rPr>
        <w:t>:</w:t>
      </w:r>
      <w:r w:rsidR="00800B42">
        <w:rPr>
          <w:b/>
          <w:szCs w:val="22"/>
        </w:rPr>
        <w:t xml:space="preserve"> </w:t>
      </w:r>
    </w:p>
    <w:p w:rsidR="009979A3" w:rsidRPr="00B91FFE" w:rsidP="00334EFE" w14:paraId="732C62B1" w14:textId="32A83239">
      <w:pPr>
        <w:pStyle w:val="Numberedparagraphs"/>
        <w:numPr>
          <w:ilvl w:val="0"/>
          <w:numId w:val="0"/>
        </w:numPr>
        <w:tabs>
          <w:tab w:val="left" w:pos="720"/>
          <w:tab w:val="clear" w:pos="1440"/>
        </w:tabs>
        <w:rPr>
          <w:bCs/>
          <w:szCs w:val="22"/>
        </w:rPr>
      </w:pPr>
      <w:r>
        <w:rPr>
          <w:bCs/>
          <w:szCs w:val="22"/>
        </w:rPr>
        <w:tab/>
      </w:r>
      <w:r w:rsidRPr="00B91FFE">
        <w:rPr>
          <w:bCs/>
          <w:szCs w:val="22"/>
        </w:rPr>
        <w:t xml:space="preserve">(1)  </w:t>
      </w:r>
      <w:r w:rsidRPr="00B91FFE">
        <w:rPr>
          <w:bCs/>
          <w:szCs w:val="22"/>
          <w:u w:val="single"/>
        </w:rPr>
        <w:t>Number of respondents</w:t>
      </w:r>
      <w:r w:rsidRPr="00B91FFE">
        <w:rPr>
          <w:bCs/>
          <w:szCs w:val="22"/>
        </w:rPr>
        <w:t xml:space="preserve">:  </w:t>
      </w:r>
      <w:r w:rsidRPr="009426F4" w:rsidR="00FB334B">
        <w:rPr>
          <w:bCs/>
          <w:szCs w:val="22"/>
        </w:rPr>
        <w:t>Approximately</w:t>
      </w:r>
      <w:r w:rsidRPr="009426F4" w:rsidR="00830484">
        <w:rPr>
          <w:bCs/>
          <w:szCs w:val="22"/>
        </w:rPr>
        <w:t xml:space="preserve"> </w:t>
      </w:r>
      <w:r w:rsidRPr="009426F4" w:rsidR="006770D4">
        <w:rPr>
          <w:bCs/>
          <w:szCs w:val="22"/>
        </w:rPr>
        <w:t>3</w:t>
      </w:r>
      <w:r w:rsidRPr="009426F4" w:rsidR="00607096">
        <w:rPr>
          <w:bCs/>
          <w:szCs w:val="22"/>
        </w:rPr>
        <w:t>5</w:t>
      </w:r>
      <w:r w:rsidRPr="009426F4" w:rsidR="009426F4">
        <w:rPr>
          <w:bCs/>
          <w:szCs w:val="22"/>
        </w:rPr>
        <w:t>.</w:t>
      </w:r>
    </w:p>
    <w:p w:rsidR="009979A3" w:rsidRPr="00B91FFE" w:rsidP="00334EFE" w14:paraId="25524C37" w14:textId="015412EB">
      <w:pPr>
        <w:pStyle w:val="Numberedparagraphs"/>
        <w:numPr>
          <w:ilvl w:val="0"/>
          <w:numId w:val="0"/>
        </w:numPr>
        <w:tabs>
          <w:tab w:val="left" w:pos="720"/>
          <w:tab w:val="clear" w:pos="1440"/>
        </w:tabs>
        <w:rPr>
          <w:bCs/>
          <w:szCs w:val="22"/>
        </w:rPr>
      </w:pPr>
      <w:r w:rsidRPr="00B91FFE">
        <w:rPr>
          <w:bCs/>
          <w:szCs w:val="22"/>
        </w:rPr>
        <w:tab/>
        <w:t xml:space="preserve">(2)  </w:t>
      </w:r>
      <w:r w:rsidRPr="00B91FFE">
        <w:rPr>
          <w:bCs/>
          <w:szCs w:val="22"/>
          <w:u w:val="single"/>
        </w:rPr>
        <w:t>Frequency of response</w:t>
      </w:r>
      <w:r w:rsidRPr="00B91FFE">
        <w:rPr>
          <w:bCs/>
          <w:szCs w:val="22"/>
        </w:rPr>
        <w:t>:</w:t>
      </w:r>
      <w:r w:rsidRPr="00B91FFE" w:rsidR="00FB334B">
        <w:rPr>
          <w:bCs/>
          <w:szCs w:val="22"/>
        </w:rPr>
        <w:t xml:space="preserve">  Annual.</w:t>
      </w:r>
    </w:p>
    <w:p w:rsidR="009979A3" w:rsidRPr="00B91FFE" w:rsidP="00334EFE" w14:paraId="38AC2373" w14:textId="0A6CC57A">
      <w:pPr>
        <w:pStyle w:val="Numberedparagraphs"/>
        <w:numPr>
          <w:ilvl w:val="0"/>
          <w:numId w:val="0"/>
        </w:numPr>
        <w:tabs>
          <w:tab w:val="left" w:pos="720"/>
          <w:tab w:val="clear" w:pos="1440"/>
        </w:tabs>
        <w:rPr>
          <w:bCs/>
          <w:szCs w:val="22"/>
        </w:rPr>
      </w:pPr>
      <w:r w:rsidRPr="00B91FFE">
        <w:rPr>
          <w:bCs/>
          <w:szCs w:val="22"/>
        </w:rPr>
        <w:tab/>
        <w:t xml:space="preserve">(3)  </w:t>
      </w:r>
      <w:r w:rsidRPr="00B91FFE">
        <w:rPr>
          <w:bCs/>
          <w:szCs w:val="22"/>
          <w:u w:val="single"/>
        </w:rPr>
        <w:t>Total number of responses annually</w:t>
      </w:r>
      <w:r w:rsidRPr="00B91FFE">
        <w:rPr>
          <w:bCs/>
          <w:szCs w:val="22"/>
        </w:rPr>
        <w:t xml:space="preserve">:  Approximately </w:t>
      </w:r>
      <w:r w:rsidR="006770D4">
        <w:rPr>
          <w:bCs/>
          <w:szCs w:val="22"/>
        </w:rPr>
        <w:t>3</w:t>
      </w:r>
      <w:r w:rsidR="00C85C54">
        <w:rPr>
          <w:bCs/>
          <w:szCs w:val="22"/>
        </w:rPr>
        <w:t>5</w:t>
      </w:r>
      <w:r w:rsidRPr="00B91FFE">
        <w:rPr>
          <w:bCs/>
          <w:szCs w:val="22"/>
        </w:rPr>
        <w:t>.</w:t>
      </w:r>
    </w:p>
    <w:p w:rsidR="009979A3" w:rsidRPr="00B91FFE" w:rsidP="00334EFE" w14:paraId="777786BE" w14:textId="5F60C5A0">
      <w:pPr>
        <w:pStyle w:val="Numberedparagraphs"/>
        <w:numPr>
          <w:ilvl w:val="0"/>
          <w:numId w:val="0"/>
        </w:numPr>
        <w:tabs>
          <w:tab w:val="left" w:pos="720"/>
          <w:tab w:val="clear" w:pos="1440"/>
        </w:tabs>
        <w:rPr>
          <w:bCs/>
          <w:szCs w:val="22"/>
        </w:rPr>
      </w:pPr>
      <w:r w:rsidRPr="00B91FFE">
        <w:rPr>
          <w:bCs/>
          <w:szCs w:val="22"/>
        </w:rPr>
        <w:tab/>
        <w:t xml:space="preserve">(4)  </w:t>
      </w:r>
      <w:r w:rsidRPr="00B91FFE">
        <w:rPr>
          <w:bCs/>
          <w:szCs w:val="22"/>
          <w:u w:val="single"/>
        </w:rPr>
        <w:t>Estimated Time per Response</w:t>
      </w:r>
      <w:r w:rsidRPr="00B91FFE">
        <w:rPr>
          <w:bCs/>
          <w:szCs w:val="22"/>
        </w:rPr>
        <w:t>:</w:t>
      </w:r>
      <w:r w:rsidRPr="00B91FFE" w:rsidR="00FB334B">
        <w:rPr>
          <w:bCs/>
          <w:szCs w:val="22"/>
        </w:rPr>
        <w:t xml:space="preserve">  </w:t>
      </w:r>
      <w:r w:rsidR="00795F22">
        <w:rPr>
          <w:bCs/>
          <w:szCs w:val="22"/>
        </w:rPr>
        <w:t>A</w:t>
      </w:r>
      <w:r w:rsidRPr="009426F4" w:rsidR="000D39D1">
        <w:rPr>
          <w:bCs/>
          <w:szCs w:val="22"/>
        </w:rPr>
        <w:t>pproximately</w:t>
      </w:r>
      <w:r w:rsidRPr="009426F4" w:rsidR="00000589">
        <w:rPr>
          <w:bCs/>
          <w:szCs w:val="22"/>
        </w:rPr>
        <w:t xml:space="preserve"> </w:t>
      </w:r>
      <w:r w:rsidRPr="00B5342D" w:rsidR="009426F4">
        <w:rPr>
          <w:b/>
          <w:szCs w:val="22"/>
        </w:rPr>
        <w:t>160</w:t>
      </w:r>
      <w:r w:rsidRPr="00B5342D" w:rsidR="000251A5">
        <w:rPr>
          <w:b/>
          <w:szCs w:val="22"/>
        </w:rPr>
        <w:t xml:space="preserve"> hours</w:t>
      </w:r>
      <w:r w:rsidRPr="009426F4" w:rsidR="000251A5">
        <w:rPr>
          <w:bCs/>
          <w:szCs w:val="22"/>
        </w:rPr>
        <w:t>.</w:t>
      </w:r>
    </w:p>
    <w:p w:rsidR="00CE7BBD" w:rsidRPr="00B91FFE" w:rsidP="00C83191" w14:paraId="24F99491" w14:textId="39348920">
      <w:pPr>
        <w:pStyle w:val="Numberedparagraphs"/>
        <w:numPr>
          <w:ilvl w:val="0"/>
          <w:numId w:val="0"/>
        </w:numPr>
        <w:tabs>
          <w:tab w:val="left" w:pos="720"/>
          <w:tab w:val="clear" w:pos="1440"/>
        </w:tabs>
        <w:ind w:left="1440"/>
        <w:rPr>
          <w:bCs/>
          <w:szCs w:val="22"/>
        </w:rPr>
      </w:pPr>
      <w:r>
        <w:rPr>
          <w:bCs/>
          <w:szCs w:val="22"/>
        </w:rPr>
        <w:t>3</w:t>
      </w:r>
      <w:r w:rsidR="00C85C54">
        <w:rPr>
          <w:bCs/>
          <w:szCs w:val="22"/>
        </w:rPr>
        <w:t>5</w:t>
      </w:r>
      <w:r w:rsidRPr="00B91FFE" w:rsidR="008E558A">
        <w:rPr>
          <w:bCs/>
          <w:szCs w:val="22"/>
        </w:rPr>
        <w:t xml:space="preserve"> </w:t>
      </w:r>
      <w:r w:rsidR="00547328">
        <w:rPr>
          <w:bCs/>
          <w:szCs w:val="22"/>
        </w:rPr>
        <w:t xml:space="preserve">respondents </w:t>
      </w:r>
      <w:r w:rsidRPr="00B91FFE" w:rsidR="008E558A">
        <w:rPr>
          <w:bCs/>
          <w:szCs w:val="22"/>
        </w:rPr>
        <w:t xml:space="preserve">x </w:t>
      </w:r>
      <w:r w:rsidRPr="009426F4" w:rsidR="000D39D1">
        <w:rPr>
          <w:bCs/>
          <w:szCs w:val="22"/>
        </w:rPr>
        <w:t>approximately</w:t>
      </w:r>
      <w:r w:rsidRPr="009426F4" w:rsidR="00126861">
        <w:rPr>
          <w:bCs/>
          <w:szCs w:val="22"/>
        </w:rPr>
        <w:t xml:space="preserve"> </w:t>
      </w:r>
      <w:r w:rsidR="009426F4">
        <w:rPr>
          <w:bCs/>
          <w:szCs w:val="22"/>
        </w:rPr>
        <w:t>160</w:t>
      </w:r>
      <w:r w:rsidRPr="009426F4" w:rsidR="00605A4F">
        <w:rPr>
          <w:bCs/>
          <w:szCs w:val="22"/>
        </w:rPr>
        <w:t xml:space="preserve"> </w:t>
      </w:r>
      <w:r w:rsidRPr="009426F4" w:rsidR="008E558A">
        <w:rPr>
          <w:bCs/>
          <w:szCs w:val="22"/>
        </w:rPr>
        <w:t>hours per response x 1 response</w:t>
      </w:r>
      <w:r w:rsidRPr="00B91FFE" w:rsidR="008E558A">
        <w:rPr>
          <w:bCs/>
          <w:szCs w:val="22"/>
        </w:rPr>
        <w:t xml:space="preserve"> </w:t>
      </w:r>
      <w:r w:rsidR="008F71AD">
        <w:rPr>
          <w:bCs/>
          <w:szCs w:val="22"/>
        </w:rPr>
        <w:t xml:space="preserve">per respondent </w:t>
      </w:r>
      <w:r w:rsidRPr="00B91FFE" w:rsidR="008E558A">
        <w:rPr>
          <w:bCs/>
          <w:szCs w:val="22"/>
        </w:rPr>
        <w:t xml:space="preserve">= </w:t>
      </w:r>
      <w:r w:rsidR="00605A4F">
        <w:rPr>
          <w:bCs/>
          <w:szCs w:val="22"/>
        </w:rPr>
        <w:t xml:space="preserve"> </w:t>
      </w:r>
      <w:r w:rsidR="00A44FD9">
        <w:rPr>
          <w:bCs/>
          <w:szCs w:val="22"/>
        </w:rPr>
        <w:t xml:space="preserve"> </w:t>
      </w:r>
      <w:r w:rsidR="00F21D01">
        <w:rPr>
          <w:bCs/>
          <w:szCs w:val="22"/>
        </w:rPr>
        <w:t xml:space="preserve"> </w:t>
      </w:r>
      <w:r w:rsidR="004546A5">
        <w:rPr>
          <w:bCs/>
          <w:szCs w:val="22"/>
        </w:rPr>
        <w:t xml:space="preserve">5,600 </w:t>
      </w:r>
      <w:r w:rsidR="0030102E">
        <w:rPr>
          <w:bCs/>
          <w:szCs w:val="22"/>
        </w:rPr>
        <w:t>hours</w:t>
      </w:r>
      <w:r w:rsidRPr="00B91FFE" w:rsidR="008E558A">
        <w:rPr>
          <w:bCs/>
          <w:szCs w:val="22"/>
        </w:rPr>
        <w:t>.</w:t>
      </w:r>
    </w:p>
    <w:p w:rsidR="00CE7BBD" w:rsidRPr="00B91FFE" w:rsidP="00334EFE" w14:paraId="020C1AEB" w14:textId="0852CB0A">
      <w:pPr>
        <w:pStyle w:val="Numberedparagraphs"/>
        <w:numPr>
          <w:ilvl w:val="0"/>
          <w:numId w:val="0"/>
        </w:numPr>
        <w:tabs>
          <w:tab w:val="left" w:pos="720"/>
          <w:tab w:val="clear" w:pos="1440"/>
        </w:tabs>
        <w:rPr>
          <w:bCs/>
          <w:szCs w:val="22"/>
        </w:rPr>
      </w:pPr>
      <w:r w:rsidRPr="00B91FFE">
        <w:rPr>
          <w:bCs/>
          <w:szCs w:val="22"/>
        </w:rPr>
        <w:tab/>
        <w:t xml:space="preserve">(5)  </w:t>
      </w:r>
      <w:r w:rsidRPr="00B91FFE">
        <w:rPr>
          <w:bCs/>
          <w:szCs w:val="22"/>
          <w:u w:val="single"/>
        </w:rPr>
        <w:t>Total annual burden</w:t>
      </w:r>
      <w:r w:rsidRPr="00B91FFE">
        <w:rPr>
          <w:bCs/>
          <w:szCs w:val="22"/>
        </w:rPr>
        <w:t xml:space="preserve">: </w:t>
      </w:r>
      <w:r w:rsidR="00795F22">
        <w:rPr>
          <w:b/>
          <w:szCs w:val="22"/>
        </w:rPr>
        <w:t>5,600</w:t>
      </w:r>
      <w:r w:rsidR="00542E01">
        <w:rPr>
          <w:b/>
          <w:szCs w:val="22"/>
        </w:rPr>
        <w:t xml:space="preserve"> </w:t>
      </w:r>
      <w:r w:rsidRPr="004C0C38" w:rsidR="004C0C38">
        <w:rPr>
          <w:b/>
          <w:szCs w:val="22"/>
        </w:rPr>
        <w:t>hours</w:t>
      </w:r>
      <w:r w:rsidR="004C0C38">
        <w:rPr>
          <w:bCs/>
          <w:szCs w:val="22"/>
        </w:rPr>
        <w:t>.</w:t>
      </w:r>
    </w:p>
    <w:p w:rsidR="00CE7BBD" w:rsidRPr="00B91FFE" w:rsidP="00FB334B" w14:paraId="604CF372" w14:textId="57D387DA">
      <w:pPr>
        <w:pStyle w:val="Numberedparagraphs"/>
        <w:numPr>
          <w:ilvl w:val="0"/>
          <w:numId w:val="0"/>
        </w:numPr>
        <w:tabs>
          <w:tab w:val="left" w:pos="720"/>
          <w:tab w:val="clear" w:pos="1440"/>
        </w:tabs>
        <w:ind w:left="1440"/>
        <w:rPr>
          <w:bCs/>
          <w:szCs w:val="22"/>
        </w:rPr>
      </w:pPr>
      <w:r w:rsidRPr="00B91FFE">
        <w:rPr>
          <w:bCs/>
          <w:szCs w:val="22"/>
        </w:rPr>
        <w:t xml:space="preserve">The Commission estimates that </w:t>
      </w:r>
      <w:r w:rsidRPr="00B91FFE" w:rsidR="00FB334B">
        <w:rPr>
          <w:bCs/>
          <w:szCs w:val="22"/>
        </w:rPr>
        <w:t>approximate</w:t>
      </w:r>
      <w:r w:rsidR="008575E3">
        <w:rPr>
          <w:bCs/>
          <w:szCs w:val="22"/>
        </w:rPr>
        <w:t>ly</w:t>
      </w:r>
      <w:r w:rsidRPr="00B91FFE" w:rsidR="00FB334B">
        <w:rPr>
          <w:bCs/>
          <w:szCs w:val="22"/>
        </w:rPr>
        <w:t xml:space="preserve"> </w:t>
      </w:r>
      <w:r w:rsidR="009D73AA">
        <w:rPr>
          <w:bCs/>
          <w:szCs w:val="22"/>
        </w:rPr>
        <w:t>3</w:t>
      </w:r>
      <w:r w:rsidR="00C85C54">
        <w:rPr>
          <w:bCs/>
          <w:szCs w:val="22"/>
        </w:rPr>
        <w:t>5</w:t>
      </w:r>
      <w:r w:rsidRPr="00B91FFE" w:rsidR="00FB334B">
        <w:rPr>
          <w:bCs/>
          <w:szCs w:val="22"/>
        </w:rPr>
        <w:t xml:space="preserve"> providers will </w:t>
      </w:r>
      <w:r w:rsidR="005459F3">
        <w:rPr>
          <w:bCs/>
          <w:szCs w:val="22"/>
        </w:rPr>
        <w:t xml:space="preserve">on average </w:t>
      </w:r>
      <w:r w:rsidRPr="00B91FFE" w:rsidR="00FB334B">
        <w:rPr>
          <w:bCs/>
          <w:szCs w:val="22"/>
        </w:rPr>
        <w:t xml:space="preserve">require </w:t>
      </w:r>
      <w:r w:rsidRPr="009426F4" w:rsidR="000D39D1">
        <w:rPr>
          <w:bCs/>
          <w:szCs w:val="22"/>
        </w:rPr>
        <w:t xml:space="preserve">approximately </w:t>
      </w:r>
      <w:r w:rsidR="00760A62">
        <w:rPr>
          <w:bCs/>
          <w:szCs w:val="22"/>
        </w:rPr>
        <w:t>160</w:t>
      </w:r>
      <w:r w:rsidRPr="009426F4" w:rsidR="00605A4F">
        <w:rPr>
          <w:bCs/>
          <w:szCs w:val="22"/>
        </w:rPr>
        <w:t xml:space="preserve"> </w:t>
      </w:r>
      <w:r w:rsidRPr="009426F4" w:rsidR="00FB334B">
        <w:rPr>
          <w:bCs/>
          <w:szCs w:val="22"/>
        </w:rPr>
        <w:t>hours</w:t>
      </w:r>
      <w:r w:rsidRPr="00B91FFE" w:rsidR="00FB334B">
        <w:rPr>
          <w:bCs/>
          <w:szCs w:val="22"/>
        </w:rPr>
        <w:t xml:space="preserve"> </w:t>
      </w:r>
      <w:r w:rsidR="00F21D01">
        <w:rPr>
          <w:bCs/>
          <w:szCs w:val="22"/>
        </w:rPr>
        <w:t xml:space="preserve">to comply with the reporting requirements. </w:t>
      </w:r>
    </w:p>
    <w:p w:rsidR="00FB334B" w:rsidP="00FB334B" w14:paraId="5E079CEF" w14:textId="0752A015">
      <w:pPr>
        <w:pStyle w:val="Numberedparagraphs"/>
        <w:numPr>
          <w:ilvl w:val="0"/>
          <w:numId w:val="0"/>
        </w:numPr>
        <w:tabs>
          <w:tab w:val="left" w:pos="720"/>
          <w:tab w:val="clear" w:pos="1440"/>
        </w:tabs>
        <w:ind w:left="720"/>
        <w:rPr>
          <w:bCs/>
          <w:szCs w:val="22"/>
        </w:rPr>
      </w:pPr>
      <w:r w:rsidRPr="00B91FFE">
        <w:rPr>
          <w:bCs/>
          <w:szCs w:val="22"/>
        </w:rPr>
        <w:t xml:space="preserve">(6)  </w:t>
      </w:r>
      <w:r w:rsidRPr="00B91FFE">
        <w:rPr>
          <w:bCs/>
          <w:szCs w:val="22"/>
          <w:u w:val="single"/>
        </w:rPr>
        <w:t>Total estimate of “in-house” costs to respondents</w:t>
      </w:r>
      <w:r w:rsidRPr="000A61AF">
        <w:rPr>
          <w:bCs/>
          <w:szCs w:val="22"/>
        </w:rPr>
        <w:t>:</w:t>
      </w:r>
      <w:r w:rsidRPr="00CC3072">
        <w:rPr>
          <w:b/>
          <w:szCs w:val="22"/>
        </w:rPr>
        <w:t xml:space="preserve">  </w:t>
      </w:r>
      <w:r w:rsidR="00C34F88">
        <w:rPr>
          <w:b/>
          <w:szCs w:val="22"/>
        </w:rPr>
        <w:t>$</w:t>
      </w:r>
      <w:r w:rsidR="001A2E10">
        <w:rPr>
          <w:b/>
          <w:szCs w:val="22"/>
        </w:rPr>
        <w:t>59</w:t>
      </w:r>
      <w:r w:rsidR="00C75936">
        <w:rPr>
          <w:b/>
          <w:szCs w:val="22"/>
        </w:rPr>
        <w:t>5,896</w:t>
      </w:r>
      <w:r w:rsidR="00DF6A6F">
        <w:rPr>
          <w:bCs/>
          <w:szCs w:val="22"/>
        </w:rPr>
        <w:t>.</w:t>
      </w:r>
    </w:p>
    <w:p w:rsidR="00616343" w:rsidP="00FB334B" w14:paraId="02778823" w14:textId="36CFC7B5">
      <w:pPr>
        <w:pStyle w:val="Numberedparagraphs"/>
        <w:numPr>
          <w:ilvl w:val="0"/>
          <w:numId w:val="0"/>
        </w:numPr>
        <w:tabs>
          <w:tab w:val="left" w:pos="720"/>
          <w:tab w:val="clear" w:pos="1440"/>
        </w:tabs>
        <w:ind w:left="720"/>
        <w:rPr>
          <w:bCs/>
          <w:szCs w:val="22"/>
        </w:rPr>
      </w:pPr>
      <w:r>
        <w:rPr>
          <w:bCs/>
          <w:szCs w:val="22"/>
        </w:rPr>
        <w:t>(7)  Explanation of the calculation:</w:t>
      </w:r>
    </w:p>
    <w:p w:rsidR="00BA1488" w:rsidRPr="00ED4887" w:rsidP="00BA1488" w14:paraId="764E3D41" w14:textId="77777777">
      <w:pPr>
        <w:pStyle w:val="Numberedparagraphs"/>
        <w:numPr>
          <w:ilvl w:val="0"/>
          <w:numId w:val="0"/>
        </w:numPr>
        <w:tabs>
          <w:tab w:val="left" w:pos="720"/>
        </w:tabs>
        <w:ind w:left="1440"/>
        <w:rPr>
          <w:bCs/>
          <w:szCs w:val="22"/>
        </w:rPr>
      </w:pPr>
      <w:r>
        <w:rPr>
          <w:bCs/>
          <w:szCs w:val="22"/>
        </w:rPr>
        <w:t>We</w:t>
      </w:r>
      <w:r w:rsidRPr="00ED4887">
        <w:rPr>
          <w:bCs/>
          <w:szCs w:val="22"/>
        </w:rPr>
        <w:t xml:space="preserve"> estimate that respondents will use a variety of in-house personnel whose pay is comparable to </w:t>
      </w:r>
      <w:r>
        <w:rPr>
          <w:bCs/>
          <w:szCs w:val="22"/>
        </w:rPr>
        <w:t xml:space="preserve">that of </w:t>
      </w:r>
      <w:r w:rsidRPr="00ED4887">
        <w:rPr>
          <w:bCs/>
          <w:szCs w:val="22"/>
        </w:rPr>
        <w:t xml:space="preserve">mid-level to senior-level federal employees.  For mid-level employees, </w:t>
      </w:r>
      <w:r>
        <w:rPr>
          <w:bCs/>
          <w:szCs w:val="22"/>
        </w:rPr>
        <w:t xml:space="preserve">we </w:t>
      </w:r>
      <w:r w:rsidRPr="00ED4887">
        <w:rPr>
          <w:bCs/>
          <w:szCs w:val="22"/>
        </w:rPr>
        <w:t>estimate that respondents will use personnel comparable in pay to a GS 13/Step 5 employee earning $65.48 per hour.  For some specialized functions, we estimate that respondents will use personnel comparable in pay to a GS 14/5 employee earning $77.38 per hour.  For regulatory attorneys, we estimate that respondents will use personnel comparable in pay to a GS 15/Step 5 employee earning $91.02 per hour.  For upper management to supervise and review the work performed by the foregoing employees, we estimate that respondents will use personnel comparable in pay to a GS 15/Step 10 employee earning $93.53 per hour.</w:t>
      </w:r>
      <w:r>
        <w:rPr>
          <w:bCs/>
          <w:szCs w:val="22"/>
        </w:rPr>
        <w:t xml:space="preserve">  </w:t>
      </w:r>
    </w:p>
    <w:p w:rsidR="00BA1488" w:rsidRPr="0022685D" w:rsidP="00BA1488" w14:paraId="3290E1A6" w14:textId="77777777">
      <w:pPr>
        <w:pStyle w:val="Numberedparagraphs"/>
        <w:numPr>
          <w:ilvl w:val="0"/>
          <w:numId w:val="0"/>
        </w:numPr>
        <w:tabs>
          <w:tab w:val="left" w:pos="720"/>
          <w:tab w:val="clear" w:pos="1440"/>
        </w:tabs>
        <w:ind w:left="1440"/>
      </w:pPr>
      <w:r w:rsidRPr="00ED4887">
        <w:rPr>
          <w:bCs/>
          <w:szCs w:val="22"/>
        </w:rPr>
        <w:t xml:space="preserve">The simple average of these hourly wages is $81.85.  </w:t>
      </w:r>
      <w:r>
        <w:rPr>
          <w:bCs/>
          <w:szCs w:val="22"/>
        </w:rPr>
        <w:t xml:space="preserve">We add a 30% overhead factor ($24.66 = 0.30 x $81.85) to this amount to capture the full range of costs providers will incur in complying with this information collection requirement.  </w:t>
      </w:r>
      <w:r w:rsidRPr="00ED4887">
        <w:rPr>
          <w:bCs/>
          <w:szCs w:val="22"/>
        </w:rPr>
        <w:t xml:space="preserve">Because we lack the </w:t>
      </w:r>
      <w:r w:rsidRPr="00ED4887">
        <w:rPr>
          <w:bCs/>
          <w:szCs w:val="22"/>
        </w:rPr>
        <w:t xml:space="preserve">information that would allow us to quantify the extent to which providers will use employees in each of these hourly wage groups to comply with </w:t>
      </w:r>
      <w:r>
        <w:rPr>
          <w:bCs/>
          <w:szCs w:val="22"/>
        </w:rPr>
        <w:t>the s</w:t>
      </w:r>
      <w:r w:rsidRPr="009F4EF0">
        <w:rPr>
          <w:bCs/>
          <w:szCs w:val="22"/>
        </w:rPr>
        <w:t xml:space="preserve">ection 64.6040(f) </w:t>
      </w:r>
      <w:r w:rsidRPr="00ED4887">
        <w:rPr>
          <w:bCs/>
          <w:szCs w:val="22"/>
        </w:rPr>
        <w:t xml:space="preserve">recordkeeping and disclosure requirements, we use </w:t>
      </w:r>
      <w:r>
        <w:rPr>
          <w:bCs/>
          <w:szCs w:val="22"/>
        </w:rPr>
        <w:t xml:space="preserve">the sum of these figures, $106.41 ($81.85 + $24.66), </w:t>
      </w:r>
      <w:r w:rsidRPr="00ED4887">
        <w:rPr>
          <w:bCs/>
          <w:szCs w:val="22"/>
        </w:rPr>
        <w:t xml:space="preserve">to estimate respondents’ </w:t>
      </w:r>
      <w:r>
        <w:rPr>
          <w:bCs/>
          <w:szCs w:val="22"/>
        </w:rPr>
        <w:t xml:space="preserve">fully loaded per hour </w:t>
      </w:r>
      <w:r w:rsidRPr="00ED4887">
        <w:rPr>
          <w:bCs/>
          <w:szCs w:val="22"/>
        </w:rPr>
        <w:t>in-house costs.</w:t>
      </w:r>
    </w:p>
    <w:p w:rsidR="00BA1488" w:rsidP="00BA1488" w14:paraId="7B2D5AAB" w14:textId="588A28E1">
      <w:pPr>
        <w:tabs>
          <w:tab w:val="left" w:pos="-720"/>
        </w:tabs>
        <w:suppressAutoHyphens/>
        <w:ind w:left="1440"/>
        <w:rPr>
          <w:szCs w:val="22"/>
        </w:rPr>
      </w:pPr>
      <w:r>
        <w:rPr>
          <w:szCs w:val="22"/>
        </w:rPr>
        <w:t xml:space="preserve">Thus, approximately </w:t>
      </w:r>
      <w:r w:rsidR="00506E9C">
        <w:rPr>
          <w:szCs w:val="22"/>
        </w:rPr>
        <w:t>5,600</w:t>
      </w:r>
      <w:r>
        <w:rPr>
          <w:szCs w:val="22"/>
        </w:rPr>
        <w:t xml:space="preserve"> hours per year x $106.41 per hour = $</w:t>
      </w:r>
      <w:r w:rsidR="001A2E10">
        <w:rPr>
          <w:szCs w:val="22"/>
        </w:rPr>
        <w:t>595,896</w:t>
      </w:r>
      <w:r>
        <w:rPr>
          <w:szCs w:val="22"/>
        </w:rPr>
        <w:t xml:space="preserve"> per year.</w:t>
      </w:r>
    </w:p>
    <w:p w:rsidR="00F9007C" w:rsidP="00BA1488" w14:paraId="197B1C5F" w14:textId="77777777">
      <w:pPr>
        <w:tabs>
          <w:tab w:val="left" w:pos="-720"/>
        </w:tabs>
        <w:suppressAutoHyphens/>
        <w:ind w:left="1440"/>
        <w:rPr>
          <w:szCs w:val="22"/>
        </w:rPr>
      </w:pPr>
    </w:p>
    <w:p w:rsidR="002365C0" w:rsidRPr="006E0E8C" w:rsidP="00C67C7C" w14:paraId="475E6278" w14:textId="155B961A">
      <w:pPr>
        <w:pStyle w:val="Numberedparagraphs"/>
        <w:widowControl/>
        <w:numPr>
          <w:ilvl w:val="0"/>
          <w:numId w:val="46"/>
        </w:numPr>
        <w:tabs>
          <w:tab w:val="left" w:pos="720"/>
          <w:tab w:val="clear" w:pos="1440"/>
        </w:tabs>
        <w:rPr>
          <w:szCs w:val="22"/>
        </w:rPr>
      </w:pPr>
      <w:r w:rsidRPr="009033F2">
        <w:rPr>
          <w:b/>
          <w:szCs w:val="22"/>
          <w:u w:val="single"/>
        </w:rPr>
        <w:t>Certification</w:t>
      </w:r>
      <w:r w:rsidRPr="00E872AD">
        <w:rPr>
          <w:b/>
          <w:bCs/>
          <w:szCs w:val="22"/>
          <w:u w:val="single"/>
        </w:rPr>
        <w:t xml:space="preserve"> of Information and Data in the Annual Report</w:t>
      </w:r>
      <w:r w:rsidRPr="00807898">
        <w:rPr>
          <w:b/>
          <w:bCs/>
          <w:szCs w:val="22"/>
          <w:u w:val="single"/>
        </w:rPr>
        <w:t>s</w:t>
      </w:r>
      <w:r w:rsidR="003832FF">
        <w:rPr>
          <w:b/>
          <w:bCs/>
          <w:szCs w:val="22"/>
          <w:u w:val="single"/>
        </w:rPr>
        <w:t xml:space="preserve"> </w:t>
      </w:r>
      <w:r w:rsidRPr="003832FF" w:rsidR="003832FF">
        <w:rPr>
          <w:b/>
          <w:bCs/>
          <w:szCs w:val="22"/>
          <w:u w:val="single"/>
        </w:rPr>
        <w:t>(Section 64.6060)</w:t>
      </w:r>
      <w:r w:rsidRPr="000A61AF">
        <w:rPr>
          <w:b/>
          <w:bCs/>
          <w:szCs w:val="22"/>
        </w:rPr>
        <w:t>:</w:t>
      </w:r>
      <w:r w:rsidR="00800B42">
        <w:rPr>
          <w:b/>
          <w:bCs/>
          <w:szCs w:val="22"/>
        </w:rPr>
        <w:t xml:space="preserve"> </w:t>
      </w:r>
    </w:p>
    <w:p w:rsidR="002365C0" w:rsidRPr="00F46FB3" w:rsidP="002365C0" w14:paraId="0AF463E6" w14:textId="30A23B8E">
      <w:pPr>
        <w:pStyle w:val="ListParagraph"/>
        <w:keepLines/>
        <w:numPr>
          <w:ilvl w:val="0"/>
          <w:numId w:val="2"/>
        </w:numPr>
        <w:tabs>
          <w:tab w:val="left" w:pos="-720"/>
        </w:tabs>
        <w:suppressAutoHyphens/>
        <w:rPr>
          <w:spacing w:val="-3"/>
          <w:szCs w:val="22"/>
        </w:rPr>
      </w:pPr>
      <w:r w:rsidRPr="00F46FB3">
        <w:rPr>
          <w:spacing w:val="-3"/>
          <w:szCs w:val="22"/>
          <w:u w:val="single"/>
        </w:rPr>
        <w:t>Number of respondents</w:t>
      </w:r>
      <w:r w:rsidRPr="00F46FB3">
        <w:rPr>
          <w:spacing w:val="-3"/>
          <w:szCs w:val="22"/>
        </w:rPr>
        <w:t xml:space="preserve">:  Approximately </w:t>
      </w:r>
      <w:r>
        <w:rPr>
          <w:spacing w:val="-3"/>
          <w:szCs w:val="22"/>
        </w:rPr>
        <w:t>3</w:t>
      </w:r>
      <w:r w:rsidR="0002186C">
        <w:rPr>
          <w:spacing w:val="-3"/>
          <w:szCs w:val="22"/>
        </w:rPr>
        <w:t>5</w:t>
      </w:r>
      <w:r w:rsidRPr="00F46FB3">
        <w:rPr>
          <w:spacing w:val="-3"/>
          <w:szCs w:val="22"/>
        </w:rPr>
        <w:t>.</w:t>
      </w:r>
    </w:p>
    <w:p w:rsidR="002365C0" w:rsidRPr="004460F4" w:rsidP="002365C0" w14:paraId="5CA91AE9" w14:textId="77777777">
      <w:pPr>
        <w:keepLines/>
        <w:tabs>
          <w:tab w:val="left" w:pos="-720"/>
        </w:tabs>
        <w:suppressAutoHyphens/>
        <w:rPr>
          <w:spacing w:val="-3"/>
          <w:szCs w:val="22"/>
        </w:rPr>
      </w:pPr>
    </w:p>
    <w:p w:rsidR="002365C0" w:rsidRPr="004460F4" w:rsidP="002365C0" w14:paraId="5E7A4ADD" w14:textId="77777777">
      <w:pPr>
        <w:keepLines/>
        <w:tabs>
          <w:tab w:val="left" w:pos="-720"/>
        </w:tabs>
        <w:suppressAutoHyphens/>
        <w:rPr>
          <w:spacing w:val="-3"/>
          <w:szCs w:val="22"/>
        </w:rPr>
      </w:pPr>
      <w:r w:rsidRPr="004460F4">
        <w:rPr>
          <w:spacing w:val="-3"/>
          <w:szCs w:val="22"/>
        </w:rPr>
        <w:tab/>
        <w:t xml:space="preserve">(2)  </w:t>
      </w:r>
      <w:r w:rsidRPr="004460F4">
        <w:rPr>
          <w:spacing w:val="-3"/>
          <w:szCs w:val="22"/>
          <w:u w:val="single"/>
        </w:rPr>
        <w:t>Frequency of response</w:t>
      </w:r>
      <w:r w:rsidRPr="004460F4">
        <w:rPr>
          <w:spacing w:val="-3"/>
          <w:szCs w:val="22"/>
        </w:rPr>
        <w:t xml:space="preserve">:  Annual.  </w:t>
      </w:r>
    </w:p>
    <w:p w:rsidR="002365C0" w:rsidRPr="004460F4" w:rsidP="002365C0" w14:paraId="1496E18C" w14:textId="77777777">
      <w:pPr>
        <w:tabs>
          <w:tab w:val="left" w:pos="-720"/>
        </w:tabs>
        <w:suppressAutoHyphens/>
        <w:rPr>
          <w:spacing w:val="-3"/>
          <w:szCs w:val="22"/>
        </w:rPr>
      </w:pPr>
    </w:p>
    <w:p w:rsidR="002365C0" w:rsidRPr="004460F4" w:rsidP="002365C0" w14:paraId="7B57627E" w14:textId="77DCD6AF">
      <w:pPr>
        <w:tabs>
          <w:tab w:val="left" w:pos="-720"/>
        </w:tabs>
        <w:suppressAutoHyphens/>
        <w:rPr>
          <w:spacing w:val="-3"/>
          <w:szCs w:val="22"/>
        </w:rPr>
      </w:pPr>
      <w:r w:rsidRPr="004460F4">
        <w:rPr>
          <w:spacing w:val="-3"/>
          <w:szCs w:val="22"/>
        </w:rPr>
        <w:tab/>
        <w:t xml:space="preserve">(3)  </w:t>
      </w:r>
      <w:r w:rsidRPr="004460F4">
        <w:rPr>
          <w:spacing w:val="-3"/>
          <w:szCs w:val="22"/>
          <w:u w:val="single"/>
        </w:rPr>
        <w:t>Total number of responses annually</w:t>
      </w:r>
      <w:r w:rsidRPr="004460F4">
        <w:rPr>
          <w:spacing w:val="-3"/>
          <w:szCs w:val="22"/>
        </w:rPr>
        <w:t xml:space="preserve">:  Approximately </w:t>
      </w:r>
      <w:r>
        <w:rPr>
          <w:spacing w:val="-3"/>
          <w:szCs w:val="22"/>
        </w:rPr>
        <w:t>3</w:t>
      </w:r>
      <w:r w:rsidR="00D21AA4">
        <w:rPr>
          <w:spacing w:val="-3"/>
          <w:szCs w:val="22"/>
        </w:rPr>
        <w:t>5</w:t>
      </w:r>
      <w:r w:rsidRPr="004460F4">
        <w:rPr>
          <w:spacing w:val="-3"/>
          <w:szCs w:val="22"/>
        </w:rPr>
        <w:t>.</w:t>
      </w:r>
    </w:p>
    <w:p w:rsidR="002365C0" w:rsidRPr="004460F4" w:rsidP="002365C0" w14:paraId="626A632C" w14:textId="77777777">
      <w:pPr>
        <w:tabs>
          <w:tab w:val="left" w:pos="-720"/>
        </w:tabs>
        <w:suppressAutoHyphens/>
        <w:rPr>
          <w:spacing w:val="-3"/>
          <w:szCs w:val="22"/>
        </w:rPr>
      </w:pPr>
    </w:p>
    <w:p w:rsidR="002365C0" w:rsidRPr="004460F4" w:rsidP="002365C0" w14:paraId="266B824D" w14:textId="26ACBA49">
      <w:pPr>
        <w:tabs>
          <w:tab w:val="left" w:pos="-720"/>
        </w:tabs>
        <w:suppressAutoHyphens/>
        <w:rPr>
          <w:spacing w:val="-3"/>
          <w:szCs w:val="22"/>
        </w:rPr>
      </w:pPr>
      <w:r w:rsidRPr="004460F4">
        <w:rPr>
          <w:spacing w:val="-3"/>
          <w:szCs w:val="22"/>
        </w:rPr>
        <w:tab/>
        <w:t xml:space="preserve">(4)  </w:t>
      </w:r>
      <w:r w:rsidRPr="004460F4">
        <w:rPr>
          <w:spacing w:val="-3"/>
          <w:szCs w:val="22"/>
          <w:u w:val="single"/>
        </w:rPr>
        <w:t>Estimated Time per Response</w:t>
      </w:r>
      <w:r w:rsidRPr="004460F4">
        <w:rPr>
          <w:spacing w:val="-3"/>
          <w:szCs w:val="22"/>
        </w:rPr>
        <w:t xml:space="preserve">:  </w:t>
      </w:r>
      <w:r w:rsidRPr="009E076B" w:rsidR="009E076B">
        <w:rPr>
          <w:spacing w:val="-3"/>
          <w:szCs w:val="22"/>
        </w:rPr>
        <w:t>A</w:t>
      </w:r>
      <w:r w:rsidRPr="009E076B">
        <w:rPr>
          <w:spacing w:val="-3"/>
          <w:szCs w:val="22"/>
        </w:rPr>
        <w:t xml:space="preserve">pproximately </w:t>
      </w:r>
      <w:r w:rsidRPr="009E076B">
        <w:rPr>
          <w:b/>
          <w:bCs/>
          <w:spacing w:val="-3"/>
          <w:szCs w:val="22"/>
        </w:rPr>
        <w:t>5 hours</w:t>
      </w:r>
      <w:r w:rsidRPr="009E076B">
        <w:rPr>
          <w:spacing w:val="-3"/>
          <w:szCs w:val="22"/>
        </w:rPr>
        <w:t>.</w:t>
      </w:r>
    </w:p>
    <w:p w:rsidR="002365C0" w:rsidRPr="004460F4" w:rsidP="002365C0" w14:paraId="05728C5B" w14:textId="77777777">
      <w:pPr>
        <w:tabs>
          <w:tab w:val="left" w:pos="-720"/>
        </w:tabs>
        <w:suppressAutoHyphens/>
        <w:rPr>
          <w:spacing w:val="-3"/>
          <w:szCs w:val="22"/>
        </w:rPr>
      </w:pPr>
    </w:p>
    <w:p w:rsidR="002365C0" w:rsidRPr="004460F4" w:rsidP="002365C0" w14:paraId="167F445F" w14:textId="480133B6">
      <w:pPr>
        <w:tabs>
          <w:tab w:val="left" w:pos="-720"/>
        </w:tabs>
        <w:suppressAutoHyphens/>
        <w:rPr>
          <w:spacing w:val="-3"/>
          <w:szCs w:val="22"/>
        </w:rPr>
      </w:pPr>
      <w:r w:rsidRPr="004460F4">
        <w:rPr>
          <w:spacing w:val="-3"/>
          <w:szCs w:val="22"/>
        </w:rPr>
        <w:tab/>
      </w:r>
      <w:r w:rsidRPr="004460F4">
        <w:rPr>
          <w:spacing w:val="-3"/>
          <w:szCs w:val="22"/>
        </w:rPr>
        <w:tab/>
      </w:r>
      <w:r>
        <w:rPr>
          <w:spacing w:val="-3"/>
          <w:szCs w:val="22"/>
        </w:rPr>
        <w:t>3</w:t>
      </w:r>
      <w:r w:rsidR="00D21AA4">
        <w:rPr>
          <w:spacing w:val="-3"/>
          <w:szCs w:val="22"/>
        </w:rPr>
        <w:t>5</w:t>
      </w:r>
      <w:r w:rsidRPr="004460F4">
        <w:rPr>
          <w:spacing w:val="-3"/>
          <w:szCs w:val="22"/>
        </w:rPr>
        <w:t xml:space="preserve"> </w:t>
      </w:r>
      <w:r>
        <w:rPr>
          <w:spacing w:val="-3"/>
          <w:szCs w:val="22"/>
        </w:rPr>
        <w:t xml:space="preserve">respondents </w:t>
      </w:r>
      <w:r w:rsidRPr="009E076B">
        <w:rPr>
          <w:spacing w:val="-3"/>
          <w:szCs w:val="22"/>
        </w:rPr>
        <w:t>x 5 hours per response x</w:t>
      </w:r>
      <w:r w:rsidRPr="004460F4">
        <w:rPr>
          <w:spacing w:val="-3"/>
          <w:szCs w:val="22"/>
        </w:rPr>
        <w:t xml:space="preserve"> 1 response per year per respondent = </w:t>
      </w:r>
      <w:r w:rsidR="004149A9">
        <w:rPr>
          <w:spacing w:val="-3"/>
          <w:szCs w:val="22"/>
        </w:rPr>
        <w:t>175</w:t>
      </w:r>
      <w:r>
        <w:rPr>
          <w:spacing w:val="-3"/>
          <w:szCs w:val="22"/>
        </w:rPr>
        <w:t xml:space="preserve"> hours.</w:t>
      </w:r>
    </w:p>
    <w:p w:rsidR="002365C0" w:rsidRPr="004460F4" w:rsidP="002365C0" w14:paraId="2B6EA4AA" w14:textId="77777777">
      <w:pPr>
        <w:tabs>
          <w:tab w:val="left" w:pos="-720"/>
        </w:tabs>
        <w:suppressAutoHyphens/>
        <w:rPr>
          <w:spacing w:val="-3"/>
          <w:szCs w:val="22"/>
        </w:rPr>
      </w:pPr>
    </w:p>
    <w:p w:rsidR="002365C0" w:rsidRPr="004460F4" w:rsidP="002365C0" w14:paraId="4EAFD16B" w14:textId="649251D9">
      <w:pPr>
        <w:tabs>
          <w:tab w:val="left" w:pos="-720"/>
        </w:tabs>
        <w:suppressAutoHyphens/>
        <w:rPr>
          <w:spacing w:val="-3"/>
          <w:szCs w:val="22"/>
        </w:rPr>
      </w:pPr>
      <w:r w:rsidRPr="004460F4">
        <w:rPr>
          <w:spacing w:val="-3"/>
          <w:szCs w:val="22"/>
        </w:rPr>
        <w:tab/>
        <w:t xml:space="preserve">(5)  </w:t>
      </w:r>
      <w:r w:rsidRPr="004460F4">
        <w:rPr>
          <w:spacing w:val="-3"/>
          <w:szCs w:val="22"/>
          <w:u w:val="single"/>
        </w:rPr>
        <w:t>Total annual burden</w:t>
      </w:r>
      <w:r w:rsidRPr="004460F4">
        <w:rPr>
          <w:spacing w:val="-3"/>
          <w:szCs w:val="22"/>
        </w:rPr>
        <w:t xml:space="preserve">:  </w:t>
      </w:r>
      <w:r>
        <w:rPr>
          <w:spacing w:val="-3"/>
          <w:szCs w:val="22"/>
        </w:rPr>
        <w:t xml:space="preserve">Approximately </w:t>
      </w:r>
      <w:r>
        <w:rPr>
          <w:b/>
          <w:spacing w:val="-3"/>
          <w:szCs w:val="22"/>
        </w:rPr>
        <w:t>1</w:t>
      </w:r>
      <w:r w:rsidR="004149A9">
        <w:rPr>
          <w:b/>
          <w:spacing w:val="-3"/>
          <w:szCs w:val="22"/>
        </w:rPr>
        <w:t>75</w:t>
      </w:r>
      <w:r>
        <w:rPr>
          <w:b/>
          <w:spacing w:val="-3"/>
          <w:szCs w:val="22"/>
        </w:rPr>
        <w:t xml:space="preserve"> </w:t>
      </w:r>
      <w:r w:rsidRPr="004460F4">
        <w:rPr>
          <w:b/>
          <w:spacing w:val="-3"/>
          <w:szCs w:val="22"/>
        </w:rPr>
        <w:t>hours</w:t>
      </w:r>
      <w:r w:rsidRPr="004460F4">
        <w:rPr>
          <w:spacing w:val="-3"/>
          <w:szCs w:val="22"/>
        </w:rPr>
        <w:t>.</w:t>
      </w:r>
    </w:p>
    <w:p w:rsidR="002365C0" w:rsidRPr="004460F4" w:rsidP="002365C0" w14:paraId="4A01D089" w14:textId="77777777">
      <w:pPr>
        <w:tabs>
          <w:tab w:val="left" w:pos="-720"/>
        </w:tabs>
        <w:suppressAutoHyphens/>
        <w:rPr>
          <w:spacing w:val="-3"/>
          <w:szCs w:val="22"/>
        </w:rPr>
      </w:pPr>
    </w:p>
    <w:p w:rsidR="002365C0" w:rsidP="002365C0" w14:paraId="0B6A8D93" w14:textId="7875BFC9">
      <w:pPr>
        <w:tabs>
          <w:tab w:val="left" w:pos="-720"/>
        </w:tabs>
        <w:suppressAutoHyphens/>
        <w:ind w:left="1440"/>
        <w:rPr>
          <w:spacing w:val="-3"/>
          <w:szCs w:val="22"/>
        </w:rPr>
      </w:pPr>
      <w:r w:rsidRPr="004460F4">
        <w:rPr>
          <w:spacing w:val="-3"/>
          <w:szCs w:val="22"/>
        </w:rPr>
        <w:t xml:space="preserve">The Commission estimates that approximately </w:t>
      </w:r>
      <w:r>
        <w:rPr>
          <w:spacing w:val="-3"/>
          <w:szCs w:val="22"/>
        </w:rPr>
        <w:t>3</w:t>
      </w:r>
      <w:r w:rsidR="004149A9">
        <w:rPr>
          <w:spacing w:val="-3"/>
          <w:szCs w:val="22"/>
        </w:rPr>
        <w:t>5</w:t>
      </w:r>
      <w:r w:rsidRPr="004460F4">
        <w:rPr>
          <w:spacing w:val="-3"/>
          <w:szCs w:val="22"/>
        </w:rPr>
        <w:t xml:space="preserve"> providers will </w:t>
      </w:r>
      <w:r w:rsidR="00DC060E">
        <w:rPr>
          <w:spacing w:val="-3"/>
          <w:szCs w:val="22"/>
        </w:rPr>
        <w:t xml:space="preserve">on average </w:t>
      </w:r>
      <w:r w:rsidRPr="004460F4">
        <w:rPr>
          <w:spacing w:val="-3"/>
          <w:szCs w:val="22"/>
        </w:rPr>
        <w:t xml:space="preserve">require </w:t>
      </w:r>
      <w:r>
        <w:rPr>
          <w:spacing w:val="-3"/>
          <w:szCs w:val="22"/>
        </w:rPr>
        <w:t>approximately 5</w:t>
      </w:r>
      <w:r w:rsidRPr="004460F4">
        <w:rPr>
          <w:spacing w:val="-3"/>
          <w:szCs w:val="22"/>
        </w:rPr>
        <w:t xml:space="preserve"> hours of time per annual filin</w:t>
      </w:r>
      <w:r w:rsidR="006E2324">
        <w:rPr>
          <w:spacing w:val="-3"/>
          <w:szCs w:val="22"/>
        </w:rPr>
        <w:t xml:space="preserve">g.  Although </w:t>
      </w:r>
      <w:r>
        <w:rPr>
          <w:spacing w:val="-3"/>
          <w:szCs w:val="22"/>
        </w:rPr>
        <w:t xml:space="preserve">there are minor changes </w:t>
      </w:r>
      <w:r w:rsidR="006E2324">
        <w:rPr>
          <w:spacing w:val="-3"/>
          <w:szCs w:val="22"/>
        </w:rPr>
        <w:t>to</w:t>
      </w:r>
      <w:r>
        <w:rPr>
          <w:spacing w:val="-3"/>
          <w:szCs w:val="22"/>
        </w:rPr>
        <w:t xml:space="preserve"> the certification form, </w:t>
      </w:r>
      <w:r w:rsidR="006E2324">
        <w:rPr>
          <w:spacing w:val="-3"/>
          <w:szCs w:val="22"/>
        </w:rPr>
        <w:t xml:space="preserve">the burden per provider has not changed.  </w:t>
      </w:r>
    </w:p>
    <w:p w:rsidR="006E2324" w:rsidRPr="004460F4" w:rsidP="002365C0" w14:paraId="4677A15F" w14:textId="77777777">
      <w:pPr>
        <w:tabs>
          <w:tab w:val="left" w:pos="-720"/>
        </w:tabs>
        <w:suppressAutoHyphens/>
        <w:ind w:left="1440"/>
        <w:rPr>
          <w:spacing w:val="-3"/>
          <w:szCs w:val="22"/>
        </w:rPr>
      </w:pPr>
    </w:p>
    <w:p w:rsidR="002365C0" w:rsidRPr="004460F4" w:rsidP="002365C0" w14:paraId="11C5EC63" w14:textId="4C65774A">
      <w:pPr>
        <w:tabs>
          <w:tab w:val="left" w:pos="-720"/>
        </w:tabs>
        <w:suppressAutoHyphens/>
        <w:ind w:left="1440"/>
        <w:rPr>
          <w:spacing w:val="-3"/>
          <w:szCs w:val="22"/>
        </w:rPr>
      </w:pPr>
      <w:r w:rsidRPr="004460F4">
        <w:rPr>
          <w:spacing w:val="-3"/>
          <w:szCs w:val="22"/>
        </w:rPr>
        <w:t xml:space="preserve">Approximately </w:t>
      </w:r>
      <w:r>
        <w:rPr>
          <w:spacing w:val="-3"/>
          <w:szCs w:val="22"/>
        </w:rPr>
        <w:t>3</w:t>
      </w:r>
      <w:r w:rsidR="004149A9">
        <w:rPr>
          <w:spacing w:val="-3"/>
          <w:szCs w:val="22"/>
        </w:rPr>
        <w:t>5</w:t>
      </w:r>
      <w:r w:rsidRPr="004460F4">
        <w:rPr>
          <w:spacing w:val="-3"/>
          <w:szCs w:val="22"/>
        </w:rPr>
        <w:t xml:space="preserve"> respondents annually x 1 response annually x </w:t>
      </w:r>
      <w:r>
        <w:rPr>
          <w:spacing w:val="-3"/>
          <w:szCs w:val="22"/>
        </w:rPr>
        <w:t>5</w:t>
      </w:r>
      <w:r w:rsidRPr="004460F4">
        <w:rPr>
          <w:spacing w:val="-3"/>
          <w:szCs w:val="22"/>
        </w:rPr>
        <w:t xml:space="preserve"> hours per response = </w:t>
      </w:r>
      <w:r>
        <w:rPr>
          <w:spacing w:val="-3"/>
          <w:szCs w:val="22"/>
        </w:rPr>
        <w:t>1</w:t>
      </w:r>
      <w:r w:rsidR="004149A9">
        <w:rPr>
          <w:spacing w:val="-3"/>
          <w:szCs w:val="22"/>
        </w:rPr>
        <w:t xml:space="preserve">75 </w:t>
      </w:r>
      <w:r w:rsidRPr="004460F4">
        <w:rPr>
          <w:spacing w:val="-3"/>
          <w:szCs w:val="22"/>
        </w:rPr>
        <w:t>hours.</w:t>
      </w:r>
    </w:p>
    <w:p w:rsidR="002365C0" w:rsidRPr="004460F4" w:rsidP="002365C0" w14:paraId="710A5D57" w14:textId="77777777">
      <w:pPr>
        <w:tabs>
          <w:tab w:val="left" w:pos="-720"/>
        </w:tabs>
        <w:suppressAutoHyphens/>
        <w:rPr>
          <w:spacing w:val="-3"/>
          <w:szCs w:val="22"/>
        </w:rPr>
      </w:pPr>
    </w:p>
    <w:p w:rsidR="002365C0" w:rsidP="002365C0" w14:paraId="35ABC878" w14:textId="3B36AFDD">
      <w:pPr>
        <w:tabs>
          <w:tab w:val="left" w:pos="-720"/>
        </w:tabs>
        <w:suppressAutoHyphens/>
        <w:rPr>
          <w:szCs w:val="22"/>
        </w:rPr>
      </w:pPr>
      <w:r w:rsidRPr="004460F4">
        <w:rPr>
          <w:spacing w:val="-3"/>
          <w:szCs w:val="22"/>
        </w:rPr>
        <w:tab/>
        <w:t xml:space="preserve">(6)  </w:t>
      </w:r>
      <w:r w:rsidRPr="004460F4">
        <w:rPr>
          <w:spacing w:val="-3"/>
          <w:szCs w:val="22"/>
          <w:u w:val="single"/>
        </w:rPr>
        <w:t>Total estimate of “in-house” cost to respondents</w:t>
      </w:r>
      <w:r w:rsidRPr="000A61AF">
        <w:rPr>
          <w:spacing w:val="-3"/>
          <w:szCs w:val="22"/>
        </w:rPr>
        <w:t xml:space="preserve">: </w:t>
      </w:r>
      <w:r w:rsidRPr="00CC3072">
        <w:rPr>
          <w:b/>
          <w:bCs/>
          <w:spacing w:val="-3"/>
          <w:szCs w:val="22"/>
        </w:rPr>
        <w:t xml:space="preserve"> </w:t>
      </w:r>
      <w:r w:rsidRPr="00CC3072">
        <w:rPr>
          <w:b/>
          <w:bCs/>
          <w:szCs w:val="22"/>
        </w:rPr>
        <w:t>$</w:t>
      </w:r>
      <w:r w:rsidR="002B6D83">
        <w:rPr>
          <w:b/>
          <w:bCs/>
          <w:szCs w:val="22"/>
        </w:rPr>
        <w:t>2</w:t>
      </w:r>
      <w:r w:rsidR="00A35F33">
        <w:rPr>
          <w:b/>
          <w:bCs/>
          <w:szCs w:val="22"/>
        </w:rPr>
        <w:t>8</w:t>
      </w:r>
      <w:r w:rsidR="002B6D83">
        <w:rPr>
          <w:b/>
          <w:bCs/>
          <w:szCs w:val="22"/>
        </w:rPr>
        <w:t>,</w:t>
      </w:r>
      <w:r w:rsidR="008D4FC0">
        <w:rPr>
          <w:b/>
          <w:bCs/>
          <w:szCs w:val="22"/>
        </w:rPr>
        <w:t>437.50</w:t>
      </w:r>
      <w:r>
        <w:rPr>
          <w:b/>
          <w:bCs/>
          <w:szCs w:val="22"/>
        </w:rPr>
        <w:t>.</w:t>
      </w:r>
    </w:p>
    <w:p w:rsidR="002365C0" w:rsidRPr="004460F4" w:rsidP="002365C0" w14:paraId="1A3672CC" w14:textId="77777777">
      <w:pPr>
        <w:tabs>
          <w:tab w:val="left" w:pos="-720"/>
        </w:tabs>
        <w:suppressAutoHyphens/>
        <w:rPr>
          <w:spacing w:val="-3"/>
          <w:szCs w:val="22"/>
        </w:rPr>
      </w:pPr>
    </w:p>
    <w:p w:rsidR="002365C0" w:rsidRPr="004460F4" w:rsidP="002365C0" w14:paraId="35DEAF5C" w14:textId="77777777">
      <w:pPr>
        <w:tabs>
          <w:tab w:val="left" w:pos="-720"/>
        </w:tabs>
        <w:suppressAutoHyphens/>
        <w:rPr>
          <w:szCs w:val="22"/>
        </w:rPr>
      </w:pPr>
      <w:r w:rsidRPr="004460F4">
        <w:rPr>
          <w:szCs w:val="22"/>
        </w:rPr>
        <w:tab/>
        <w:t xml:space="preserve">(7)  </w:t>
      </w:r>
      <w:r w:rsidRPr="004460F4">
        <w:rPr>
          <w:szCs w:val="22"/>
          <w:u w:val="single"/>
        </w:rPr>
        <w:t>Explanation of the calculation</w:t>
      </w:r>
      <w:r w:rsidRPr="004460F4">
        <w:rPr>
          <w:szCs w:val="22"/>
        </w:rPr>
        <w:t xml:space="preserve">:  </w:t>
      </w:r>
    </w:p>
    <w:p w:rsidR="002365C0" w:rsidRPr="004460F4" w:rsidP="002365C0" w14:paraId="3AFA3F8D" w14:textId="77777777">
      <w:pPr>
        <w:tabs>
          <w:tab w:val="left" w:pos="-720"/>
        </w:tabs>
        <w:suppressAutoHyphens/>
        <w:rPr>
          <w:szCs w:val="22"/>
        </w:rPr>
      </w:pPr>
    </w:p>
    <w:p w:rsidR="002365C0" w:rsidRPr="004460F4" w:rsidP="002365C0" w14:paraId="2D64E9FA" w14:textId="2C9BB9EB">
      <w:pPr>
        <w:tabs>
          <w:tab w:val="left" w:pos="-720"/>
        </w:tabs>
        <w:suppressAutoHyphens/>
        <w:ind w:left="1440"/>
        <w:rPr>
          <w:szCs w:val="22"/>
        </w:rPr>
      </w:pPr>
      <w:r w:rsidRPr="004460F4">
        <w:rPr>
          <w:szCs w:val="22"/>
        </w:rPr>
        <w:t xml:space="preserve">The Commission estimates that </w:t>
      </w:r>
      <w:r>
        <w:rPr>
          <w:szCs w:val="22"/>
        </w:rPr>
        <w:t>3</w:t>
      </w:r>
      <w:r w:rsidR="004149A9">
        <w:rPr>
          <w:szCs w:val="22"/>
        </w:rPr>
        <w:t>5</w:t>
      </w:r>
      <w:r w:rsidRPr="004460F4">
        <w:rPr>
          <w:szCs w:val="22"/>
        </w:rPr>
        <w:t xml:space="preserve"> providers will be subject to this certification requirement.</w:t>
      </w:r>
    </w:p>
    <w:p w:rsidR="002365C0" w:rsidRPr="004460F4" w:rsidP="002365C0" w14:paraId="1370E8ED" w14:textId="77777777">
      <w:pPr>
        <w:tabs>
          <w:tab w:val="left" w:pos="-720"/>
        </w:tabs>
        <w:suppressAutoHyphens/>
        <w:rPr>
          <w:szCs w:val="22"/>
        </w:rPr>
      </w:pPr>
    </w:p>
    <w:p w:rsidR="005C0852" w:rsidRPr="005C0852" w:rsidP="005C0852" w14:paraId="623BC618" w14:textId="66DED7A5">
      <w:pPr>
        <w:tabs>
          <w:tab w:val="left" w:pos="-720"/>
        </w:tabs>
        <w:suppressAutoHyphens/>
        <w:ind w:left="1440"/>
        <w:rPr>
          <w:bCs/>
          <w:szCs w:val="22"/>
        </w:rPr>
      </w:pPr>
      <w:r w:rsidRPr="004460F4">
        <w:rPr>
          <w:szCs w:val="22"/>
        </w:rPr>
        <w:t xml:space="preserve">We </w:t>
      </w:r>
      <w:r>
        <w:rPr>
          <w:szCs w:val="22"/>
        </w:rPr>
        <w:t>estimate</w:t>
      </w:r>
      <w:r w:rsidRPr="004460F4">
        <w:rPr>
          <w:szCs w:val="22"/>
        </w:rPr>
        <w:t xml:space="preserve"> that respondents will use 5 hours of an officer </w:t>
      </w:r>
      <w:r>
        <w:rPr>
          <w:szCs w:val="22"/>
        </w:rPr>
        <w:t>of the company’s time (</w:t>
      </w:r>
      <w:r w:rsidRPr="004460F4">
        <w:rPr>
          <w:szCs w:val="22"/>
        </w:rPr>
        <w:t xml:space="preserve">rate of </w:t>
      </w:r>
      <w:r>
        <w:rPr>
          <w:szCs w:val="22"/>
        </w:rPr>
        <w:t>app</w:t>
      </w:r>
      <w:r w:rsidRPr="0002350E">
        <w:rPr>
          <w:szCs w:val="22"/>
        </w:rPr>
        <w:t xml:space="preserve">roximately </w:t>
      </w:r>
      <w:r w:rsidRPr="000A61AF">
        <w:rPr>
          <w:szCs w:val="22"/>
        </w:rPr>
        <w:t>$125/hour</w:t>
      </w:r>
      <w:r w:rsidRPr="0002350E">
        <w:rPr>
          <w:szCs w:val="22"/>
        </w:rPr>
        <w:t>) to sa</w:t>
      </w:r>
      <w:r w:rsidRPr="004460F4">
        <w:rPr>
          <w:szCs w:val="22"/>
        </w:rPr>
        <w:t xml:space="preserve">tisfy this certification requirement.  </w:t>
      </w:r>
      <w:r w:rsidRPr="003B1333" w:rsidR="003B1333">
        <w:rPr>
          <w:bCs/>
          <w:szCs w:val="22"/>
        </w:rPr>
        <w:t>We add a 30% overhead factor ($</w:t>
      </w:r>
      <w:r w:rsidR="00B1196D">
        <w:rPr>
          <w:bCs/>
          <w:szCs w:val="22"/>
        </w:rPr>
        <w:t>37.50</w:t>
      </w:r>
      <w:r w:rsidRPr="003B1333" w:rsidR="003B1333">
        <w:rPr>
          <w:bCs/>
          <w:szCs w:val="22"/>
        </w:rPr>
        <w:t> = 0.30 x $</w:t>
      </w:r>
      <w:r w:rsidR="00B71336">
        <w:rPr>
          <w:bCs/>
          <w:szCs w:val="22"/>
        </w:rPr>
        <w:t>125</w:t>
      </w:r>
      <w:r w:rsidRPr="003B1333" w:rsidR="003B1333">
        <w:rPr>
          <w:bCs/>
          <w:szCs w:val="22"/>
        </w:rPr>
        <w:t xml:space="preserve">) to this amount to capture the full range of costs providers will incur in complying with this information collection requirement.  </w:t>
      </w:r>
      <w:r w:rsidRPr="005C0852">
        <w:rPr>
          <w:bCs/>
          <w:szCs w:val="22"/>
        </w:rPr>
        <w:t>We use the sum of $125 and $37.50 ($162.50) to estimate respondents’ fully loaded per hour in-house costs.</w:t>
      </w:r>
    </w:p>
    <w:p w:rsidR="002365C0" w:rsidP="002365C0" w14:paraId="6DA47C0D" w14:textId="2A2B5F10">
      <w:pPr>
        <w:tabs>
          <w:tab w:val="left" w:pos="-720"/>
        </w:tabs>
        <w:suppressAutoHyphens/>
        <w:ind w:left="1440"/>
        <w:rPr>
          <w:szCs w:val="22"/>
        </w:rPr>
      </w:pPr>
    </w:p>
    <w:p w:rsidR="002365C0" w:rsidP="002365C0" w14:paraId="2CEBCD82" w14:textId="3C6F1405">
      <w:pPr>
        <w:tabs>
          <w:tab w:val="left" w:pos="-720"/>
        </w:tabs>
        <w:suppressAutoHyphens/>
        <w:ind w:left="1440"/>
        <w:rPr>
          <w:szCs w:val="22"/>
        </w:rPr>
      </w:pPr>
      <w:r>
        <w:rPr>
          <w:szCs w:val="22"/>
        </w:rPr>
        <w:t>Thus, approximately 1</w:t>
      </w:r>
      <w:r w:rsidR="004149A9">
        <w:rPr>
          <w:szCs w:val="22"/>
        </w:rPr>
        <w:t>75</w:t>
      </w:r>
      <w:r>
        <w:rPr>
          <w:szCs w:val="22"/>
        </w:rPr>
        <w:t xml:space="preserve"> hours per year x $1</w:t>
      </w:r>
      <w:r w:rsidR="003D590A">
        <w:rPr>
          <w:szCs w:val="22"/>
        </w:rPr>
        <w:t>6</w:t>
      </w:r>
      <w:r w:rsidR="0077744C">
        <w:rPr>
          <w:szCs w:val="22"/>
        </w:rPr>
        <w:t>2</w:t>
      </w:r>
      <w:r w:rsidR="001C4411">
        <w:rPr>
          <w:szCs w:val="22"/>
        </w:rPr>
        <w:t>.</w:t>
      </w:r>
      <w:r w:rsidR="0077744C">
        <w:rPr>
          <w:szCs w:val="22"/>
        </w:rPr>
        <w:t>5</w:t>
      </w:r>
      <w:r w:rsidR="001C4411">
        <w:rPr>
          <w:szCs w:val="22"/>
        </w:rPr>
        <w:t>0</w:t>
      </w:r>
      <w:r>
        <w:rPr>
          <w:szCs w:val="22"/>
        </w:rPr>
        <w:t xml:space="preserve"> = $</w:t>
      </w:r>
      <w:r w:rsidR="002B6D83">
        <w:rPr>
          <w:szCs w:val="22"/>
        </w:rPr>
        <w:t>2</w:t>
      </w:r>
      <w:r w:rsidR="000B186B">
        <w:rPr>
          <w:szCs w:val="22"/>
        </w:rPr>
        <w:t>8</w:t>
      </w:r>
      <w:r w:rsidR="002B6D83">
        <w:rPr>
          <w:szCs w:val="22"/>
        </w:rPr>
        <w:t>,</w:t>
      </w:r>
      <w:r w:rsidR="00130640">
        <w:rPr>
          <w:szCs w:val="22"/>
        </w:rPr>
        <w:t>437.50</w:t>
      </w:r>
      <w:r>
        <w:rPr>
          <w:szCs w:val="22"/>
        </w:rPr>
        <w:t>.</w:t>
      </w:r>
    </w:p>
    <w:p w:rsidR="007E7BB6" w:rsidRPr="00C67C7C" w:rsidP="00C67C7C" w14:paraId="7FDD8C88" w14:textId="438DFCB5">
      <w:pPr>
        <w:rPr>
          <w:b/>
          <w:spacing w:val="-3"/>
          <w:u w:val="single"/>
        </w:rPr>
      </w:pPr>
    </w:p>
    <w:p w:rsidR="000F7E27" w:rsidRPr="00A0186C" w:rsidP="00C67C7C" w14:paraId="010B823D" w14:textId="316CC316">
      <w:pPr>
        <w:pStyle w:val="Numberedparagraphs"/>
        <w:widowControl/>
        <w:numPr>
          <w:ilvl w:val="0"/>
          <w:numId w:val="46"/>
        </w:numPr>
        <w:tabs>
          <w:tab w:val="left" w:pos="720"/>
          <w:tab w:val="clear" w:pos="1440"/>
        </w:tabs>
        <w:rPr>
          <w:b/>
          <w:spacing w:val="-3"/>
          <w:szCs w:val="22"/>
        </w:rPr>
      </w:pPr>
      <w:bookmarkStart w:id="6" w:name="_Hlk76650929"/>
      <w:r w:rsidRPr="00C67C7C">
        <w:rPr>
          <w:b/>
          <w:u w:val="single"/>
        </w:rPr>
        <w:t>Section</w:t>
      </w:r>
      <w:r w:rsidRPr="00A0186C">
        <w:rPr>
          <w:b/>
          <w:spacing w:val="-3"/>
          <w:szCs w:val="22"/>
          <w:u w:val="single"/>
        </w:rPr>
        <w:t xml:space="preserve"> 64.6040(c) Requirements</w:t>
      </w:r>
      <w:r w:rsidRPr="00A0186C">
        <w:rPr>
          <w:b/>
          <w:spacing w:val="-3"/>
          <w:szCs w:val="22"/>
        </w:rPr>
        <w:t>:</w:t>
      </w:r>
    </w:p>
    <w:p w:rsidR="000F7E27" w:rsidRPr="004460F4" w:rsidP="000F7E27" w14:paraId="31901BFA" w14:textId="77777777">
      <w:pPr>
        <w:keepLines/>
        <w:tabs>
          <w:tab w:val="left" w:pos="-720"/>
        </w:tabs>
        <w:suppressAutoHyphens/>
        <w:rPr>
          <w:spacing w:val="-3"/>
          <w:szCs w:val="22"/>
        </w:rPr>
      </w:pPr>
    </w:p>
    <w:p w:rsidR="000F7E27" w:rsidRPr="003F0249" w:rsidP="000F7E27" w14:paraId="008E1A0C" w14:textId="4CDC540A">
      <w:pPr>
        <w:pStyle w:val="ListParagraph"/>
        <w:keepLines/>
        <w:numPr>
          <w:ilvl w:val="0"/>
          <w:numId w:val="11"/>
        </w:numPr>
        <w:tabs>
          <w:tab w:val="left" w:pos="-720"/>
        </w:tabs>
        <w:suppressAutoHyphens/>
        <w:rPr>
          <w:spacing w:val="-3"/>
          <w:szCs w:val="22"/>
        </w:rPr>
      </w:pPr>
      <w:r w:rsidRPr="003F0249">
        <w:rPr>
          <w:spacing w:val="-3"/>
          <w:szCs w:val="22"/>
          <w:u w:val="single"/>
        </w:rPr>
        <w:t>Number of respondents</w:t>
      </w:r>
      <w:r w:rsidRPr="003F0249">
        <w:rPr>
          <w:spacing w:val="-3"/>
          <w:szCs w:val="22"/>
        </w:rPr>
        <w:t>:  Approximately 3</w:t>
      </w:r>
      <w:r w:rsidR="00F813FC">
        <w:rPr>
          <w:spacing w:val="-3"/>
          <w:szCs w:val="22"/>
        </w:rPr>
        <w:t>5</w:t>
      </w:r>
      <w:r w:rsidRPr="003F0249">
        <w:rPr>
          <w:spacing w:val="-3"/>
          <w:szCs w:val="22"/>
        </w:rPr>
        <w:t xml:space="preserve">. </w:t>
      </w:r>
    </w:p>
    <w:p w:rsidR="000F7E27" w:rsidRPr="003F0249" w:rsidP="000F7E27" w14:paraId="6689DD44" w14:textId="77777777">
      <w:pPr>
        <w:pStyle w:val="ListParagraph"/>
        <w:keepLines/>
        <w:tabs>
          <w:tab w:val="left" w:pos="-720"/>
        </w:tabs>
        <w:suppressAutoHyphens/>
        <w:ind w:left="1080"/>
        <w:rPr>
          <w:spacing w:val="-3"/>
          <w:szCs w:val="22"/>
        </w:rPr>
      </w:pPr>
    </w:p>
    <w:p w:rsidR="000F7E27" w:rsidRPr="004460F4" w:rsidP="000F7E27" w14:paraId="51FA63EA" w14:textId="77777777">
      <w:pPr>
        <w:keepLines/>
        <w:tabs>
          <w:tab w:val="left" w:pos="-720"/>
        </w:tabs>
        <w:suppressAutoHyphens/>
        <w:rPr>
          <w:spacing w:val="-3"/>
          <w:szCs w:val="22"/>
        </w:rPr>
      </w:pPr>
      <w:r w:rsidRPr="004460F4">
        <w:rPr>
          <w:spacing w:val="-3"/>
          <w:szCs w:val="22"/>
        </w:rPr>
        <w:tab/>
        <w:t xml:space="preserve">(2)  </w:t>
      </w:r>
      <w:r w:rsidRPr="004460F4">
        <w:rPr>
          <w:spacing w:val="-3"/>
          <w:szCs w:val="22"/>
          <w:u w:val="single"/>
        </w:rPr>
        <w:t>Frequency of response</w:t>
      </w:r>
      <w:r w:rsidRPr="004460F4">
        <w:rPr>
          <w:spacing w:val="-3"/>
          <w:szCs w:val="22"/>
        </w:rPr>
        <w:t xml:space="preserve">:  Annual.  </w:t>
      </w:r>
    </w:p>
    <w:p w:rsidR="000F7E27" w:rsidRPr="004460F4" w:rsidP="000F7E27" w14:paraId="0DD7EC6A" w14:textId="77777777">
      <w:pPr>
        <w:tabs>
          <w:tab w:val="left" w:pos="-720"/>
        </w:tabs>
        <w:suppressAutoHyphens/>
        <w:rPr>
          <w:spacing w:val="-3"/>
          <w:szCs w:val="22"/>
        </w:rPr>
      </w:pPr>
    </w:p>
    <w:p w:rsidR="000F7E27" w:rsidRPr="004460F4" w:rsidP="000F7E27" w14:paraId="2F956145" w14:textId="5D81BC10">
      <w:pPr>
        <w:tabs>
          <w:tab w:val="left" w:pos="-720"/>
        </w:tabs>
        <w:suppressAutoHyphens/>
        <w:rPr>
          <w:spacing w:val="-3"/>
          <w:szCs w:val="22"/>
        </w:rPr>
      </w:pPr>
      <w:r w:rsidRPr="004460F4">
        <w:rPr>
          <w:spacing w:val="-3"/>
          <w:szCs w:val="22"/>
        </w:rPr>
        <w:tab/>
        <w:t xml:space="preserve">(3)  </w:t>
      </w:r>
      <w:r w:rsidRPr="004460F4">
        <w:rPr>
          <w:spacing w:val="-3"/>
          <w:szCs w:val="22"/>
          <w:u w:val="single"/>
        </w:rPr>
        <w:t>Total number of responses annually</w:t>
      </w:r>
      <w:r w:rsidRPr="004460F4">
        <w:rPr>
          <w:spacing w:val="-3"/>
          <w:szCs w:val="22"/>
        </w:rPr>
        <w:t xml:space="preserve">:  Approximately </w:t>
      </w:r>
      <w:r>
        <w:rPr>
          <w:spacing w:val="-3"/>
          <w:szCs w:val="22"/>
        </w:rPr>
        <w:t>3</w:t>
      </w:r>
      <w:r w:rsidR="004E3350">
        <w:rPr>
          <w:spacing w:val="-3"/>
          <w:szCs w:val="22"/>
        </w:rPr>
        <w:t>5</w:t>
      </w:r>
      <w:r w:rsidRPr="004460F4">
        <w:rPr>
          <w:spacing w:val="-3"/>
          <w:szCs w:val="22"/>
        </w:rPr>
        <w:t>.</w:t>
      </w:r>
    </w:p>
    <w:p w:rsidR="000F7E27" w:rsidRPr="004460F4" w:rsidP="000F7E27" w14:paraId="10C167D7" w14:textId="77777777">
      <w:pPr>
        <w:tabs>
          <w:tab w:val="left" w:pos="-720"/>
        </w:tabs>
        <w:suppressAutoHyphens/>
        <w:rPr>
          <w:spacing w:val="-3"/>
          <w:szCs w:val="22"/>
        </w:rPr>
      </w:pPr>
    </w:p>
    <w:p w:rsidR="000F7E27" w:rsidRPr="004460F4" w:rsidP="000F7E27" w14:paraId="66B9596D" w14:textId="77777777">
      <w:pPr>
        <w:tabs>
          <w:tab w:val="left" w:pos="-720"/>
        </w:tabs>
        <w:suppressAutoHyphens/>
        <w:rPr>
          <w:spacing w:val="-3"/>
          <w:szCs w:val="22"/>
        </w:rPr>
      </w:pPr>
      <w:r w:rsidRPr="004460F4">
        <w:rPr>
          <w:spacing w:val="-3"/>
          <w:szCs w:val="22"/>
        </w:rPr>
        <w:tab/>
        <w:t xml:space="preserve">(4)  </w:t>
      </w:r>
      <w:r w:rsidRPr="004460F4">
        <w:rPr>
          <w:spacing w:val="-3"/>
          <w:szCs w:val="22"/>
          <w:u w:val="single"/>
        </w:rPr>
        <w:t>Estimated Time per Response</w:t>
      </w:r>
      <w:r w:rsidRPr="004460F4">
        <w:rPr>
          <w:spacing w:val="-3"/>
          <w:szCs w:val="22"/>
        </w:rPr>
        <w:t xml:space="preserve">:  </w:t>
      </w:r>
      <w:r w:rsidRPr="003C19B4">
        <w:rPr>
          <w:b/>
          <w:spacing w:val="-3"/>
          <w:szCs w:val="22"/>
        </w:rPr>
        <w:t>40 hours</w:t>
      </w:r>
      <w:r>
        <w:rPr>
          <w:spacing w:val="-3"/>
          <w:szCs w:val="22"/>
        </w:rPr>
        <w:t>.</w:t>
      </w:r>
    </w:p>
    <w:p w:rsidR="000F7E27" w:rsidRPr="004460F4" w:rsidP="000F7E27" w14:paraId="6FA89EE2" w14:textId="77777777">
      <w:pPr>
        <w:tabs>
          <w:tab w:val="left" w:pos="-720"/>
        </w:tabs>
        <w:suppressAutoHyphens/>
        <w:rPr>
          <w:spacing w:val="-3"/>
          <w:szCs w:val="22"/>
        </w:rPr>
      </w:pPr>
    </w:p>
    <w:p w:rsidR="000F7E27" w:rsidRPr="004460F4" w:rsidP="000F7E27" w14:paraId="32E440B5" w14:textId="218B0018">
      <w:pPr>
        <w:tabs>
          <w:tab w:val="left" w:pos="-720"/>
        </w:tabs>
        <w:suppressAutoHyphens/>
        <w:rPr>
          <w:spacing w:val="-3"/>
          <w:szCs w:val="22"/>
        </w:rPr>
      </w:pPr>
      <w:r w:rsidRPr="004460F4">
        <w:rPr>
          <w:spacing w:val="-3"/>
          <w:szCs w:val="22"/>
        </w:rPr>
        <w:tab/>
      </w:r>
      <w:r w:rsidRPr="004460F4">
        <w:rPr>
          <w:spacing w:val="-3"/>
          <w:szCs w:val="22"/>
        </w:rPr>
        <w:tab/>
      </w:r>
      <w:r>
        <w:rPr>
          <w:spacing w:val="-3"/>
          <w:szCs w:val="22"/>
        </w:rPr>
        <w:t>3</w:t>
      </w:r>
      <w:r w:rsidR="002B6D83">
        <w:rPr>
          <w:spacing w:val="-3"/>
          <w:szCs w:val="22"/>
        </w:rPr>
        <w:t>5</w:t>
      </w:r>
      <w:r w:rsidRPr="004460F4">
        <w:rPr>
          <w:spacing w:val="-3"/>
          <w:szCs w:val="22"/>
        </w:rPr>
        <w:t xml:space="preserve"> </w:t>
      </w:r>
      <w:r>
        <w:rPr>
          <w:spacing w:val="-3"/>
          <w:szCs w:val="22"/>
        </w:rPr>
        <w:t xml:space="preserve">respondents </w:t>
      </w:r>
      <w:r w:rsidRPr="004460F4">
        <w:rPr>
          <w:spacing w:val="-3"/>
          <w:szCs w:val="22"/>
        </w:rPr>
        <w:t xml:space="preserve">x </w:t>
      </w:r>
      <w:r>
        <w:rPr>
          <w:spacing w:val="-3"/>
          <w:szCs w:val="22"/>
        </w:rPr>
        <w:t>40</w:t>
      </w:r>
      <w:r w:rsidRPr="004460F4">
        <w:rPr>
          <w:spacing w:val="-3"/>
          <w:szCs w:val="22"/>
        </w:rPr>
        <w:t xml:space="preserve"> hours per response x 1 response per year per respondent = </w:t>
      </w:r>
      <w:r>
        <w:rPr>
          <w:spacing w:val="-3"/>
          <w:szCs w:val="22"/>
        </w:rPr>
        <w:t xml:space="preserve"> </w:t>
      </w:r>
      <w:r w:rsidR="004906D7">
        <w:rPr>
          <w:spacing w:val="-3"/>
          <w:szCs w:val="22"/>
        </w:rPr>
        <w:t xml:space="preserve">1,400 </w:t>
      </w:r>
      <w:r>
        <w:rPr>
          <w:spacing w:val="-3"/>
          <w:szCs w:val="22"/>
        </w:rPr>
        <w:t>hours.</w:t>
      </w:r>
    </w:p>
    <w:p w:rsidR="000F7E27" w:rsidP="000F7E27" w14:paraId="79933C4A" w14:textId="77777777">
      <w:pPr>
        <w:tabs>
          <w:tab w:val="left" w:pos="-720"/>
        </w:tabs>
        <w:suppressAutoHyphens/>
        <w:rPr>
          <w:spacing w:val="-3"/>
          <w:szCs w:val="22"/>
        </w:rPr>
      </w:pPr>
    </w:p>
    <w:p w:rsidR="000F7E27" w:rsidRPr="004460F4" w:rsidP="000F7E27" w14:paraId="207CC93D" w14:textId="6FC8F71D">
      <w:pPr>
        <w:tabs>
          <w:tab w:val="left" w:pos="-720"/>
        </w:tabs>
        <w:suppressAutoHyphens/>
        <w:rPr>
          <w:spacing w:val="-3"/>
          <w:szCs w:val="22"/>
        </w:rPr>
      </w:pPr>
      <w:r w:rsidRPr="004460F4">
        <w:rPr>
          <w:spacing w:val="-3"/>
          <w:szCs w:val="22"/>
        </w:rPr>
        <w:tab/>
        <w:t xml:space="preserve">(5)  </w:t>
      </w:r>
      <w:r w:rsidRPr="004460F4">
        <w:rPr>
          <w:spacing w:val="-3"/>
          <w:szCs w:val="22"/>
          <w:u w:val="single"/>
        </w:rPr>
        <w:t>Total annual burden</w:t>
      </w:r>
      <w:r w:rsidRPr="004460F4">
        <w:rPr>
          <w:spacing w:val="-3"/>
          <w:szCs w:val="22"/>
        </w:rPr>
        <w:t xml:space="preserve">:  </w:t>
      </w:r>
      <w:r>
        <w:rPr>
          <w:spacing w:val="-3"/>
          <w:szCs w:val="22"/>
        </w:rPr>
        <w:t xml:space="preserve">Approximately </w:t>
      </w:r>
      <w:r>
        <w:rPr>
          <w:b/>
          <w:spacing w:val="-3"/>
          <w:szCs w:val="22"/>
        </w:rPr>
        <w:t>1</w:t>
      </w:r>
      <w:r w:rsidR="00852FDD">
        <w:rPr>
          <w:b/>
          <w:spacing w:val="-3"/>
          <w:szCs w:val="22"/>
        </w:rPr>
        <w:t>,4</w:t>
      </w:r>
      <w:r>
        <w:rPr>
          <w:b/>
          <w:spacing w:val="-3"/>
          <w:szCs w:val="22"/>
        </w:rPr>
        <w:t xml:space="preserve">00 </w:t>
      </w:r>
      <w:r w:rsidRPr="004460F4">
        <w:rPr>
          <w:b/>
          <w:spacing w:val="-3"/>
          <w:szCs w:val="22"/>
        </w:rPr>
        <w:t>hours</w:t>
      </w:r>
      <w:r w:rsidRPr="004460F4">
        <w:rPr>
          <w:spacing w:val="-3"/>
          <w:szCs w:val="22"/>
        </w:rPr>
        <w:t>.</w:t>
      </w:r>
    </w:p>
    <w:p w:rsidR="000F7E27" w:rsidRPr="004460F4" w:rsidP="000F7E27" w14:paraId="6E40E16E" w14:textId="77777777">
      <w:pPr>
        <w:tabs>
          <w:tab w:val="left" w:pos="-720"/>
        </w:tabs>
        <w:suppressAutoHyphens/>
        <w:rPr>
          <w:spacing w:val="-3"/>
          <w:szCs w:val="22"/>
        </w:rPr>
      </w:pPr>
    </w:p>
    <w:p w:rsidR="000F7E27" w:rsidRPr="004460F4" w:rsidP="000F7E27" w14:paraId="4A15229C" w14:textId="738E5DAA">
      <w:pPr>
        <w:tabs>
          <w:tab w:val="left" w:pos="-720"/>
        </w:tabs>
        <w:suppressAutoHyphens/>
        <w:ind w:left="1440"/>
        <w:rPr>
          <w:spacing w:val="-3"/>
          <w:szCs w:val="22"/>
        </w:rPr>
      </w:pPr>
      <w:r w:rsidRPr="004460F4">
        <w:rPr>
          <w:spacing w:val="-3"/>
          <w:szCs w:val="22"/>
        </w:rPr>
        <w:t xml:space="preserve">The Commission estimates that approximately </w:t>
      </w:r>
      <w:r>
        <w:rPr>
          <w:spacing w:val="-3"/>
          <w:szCs w:val="22"/>
        </w:rPr>
        <w:t>3</w:t>
      </w:r>
      <w:r w:rsidR="002B6D83">
        <w:rPr>
          <w:spacing w:val="-3"/>
          <w:szCs w:val="22"/>
        </w:rPr>
        <w:t>5</w:t>
      </w:r>
      <w:r w:rsidRPr="004460F4">
        <w:rPr>
          <w:spacing w:val="-3"/>
          <w:szCs w:val="22"/>
        </w:rPr>
        <w:t xml:space="preserve"> providers will require </w:t>
      </w:r>
      <w:r w:rsidR="005C51D9">
        <w:rPr>
          <w:spacing w:val="-3"/>
          <w:szCs w:val="22"/>
        </w:rPr>
        <w:t xml:space="preserve">on average </w:t>
      </w:r>
      <w:r>
        <w:rPr>
          <w:spacing w:val="-3"/>
          <w:szCs w:val="22"/>
        </w:rPr>
        <w:t xml:space="preserve">approximately 40 hours of time to comply with the requirements of section </w:t>
      </w:r>
      <w:r w:rsidRPr="003C6578">
        <w:rPr>
          <w:spacing w:val="-3"/>
          <w:szCs w:val="22"/>
        </w:rPr>
        <w:t>64.6040(c)</w:t>
      </w:r>
      <w:r>
        <w:rPr>
          <w:spacing w:val="-3"/>
          <w:szCs w:val="22"/>
        </w:rPr>
        <w:t>.</w:t>
      </w:r>
    </w:p>
    <w:p w:rsidR="000F7E27" w:rsidRPr="004460F4" w:rsidP="000F7E27" w14:paraId="27DD9902" w14:textId="77777777">
      <w:pPr>
        <w:tabs>
          <w:tab w:val="left" w:pos="-720"/>
        </w:tabs>
        <w:suppressAutoHyphens/>
        <w:ind w:left="1440"/>
        <w:rPr>
          <w:spacing w:val="-3"/>
          <w:szCs w:val="22"/>
        </w:rPr>
      </w:pPr>
    </w:p>
    <w:p w:rsidR="000F7E27" w:rsidRPr="004460F4" w:rsidP="000F7E27" w14:paraId="7B43AF80" w14:textId="4E162B7D">
      <w:pPr>
        <w:tabs>
          <w:tab w:val="left" w:pos="-720"/>
        </w:tabs>
        <w:suppressAutoHyphens/>
        <w:ind w:left="1440"/>
        <w:rPr>
          <w:spacing w:val="-3"/>
          <w:szCs w:val="22"/>
        </w:rPr>
      </w:pPr>
      <w:r w:rsidRPr="004460F4">
        <w:rPr>
          <w:spacing w:val="-3"/>
          <w:szCs w:val="22"/>
        </w:rPr>
        <w:t xml:space="preserve">Approximately </w:t>
      </w:r>
      <w:r>
        <w:rPr>
          <w:spacing w:val="-3"/>
          <w:szCs w:val="22"/>
        </w:rPr>
        <w:t>3</w:t>
      </w:r>
      <w:r w:rsidR="004906D7">
        <w:rPr>
          <w:spacing w:val="-3"/>
          <w:szCs w:val="22"/>
        </w:rPr>
        <w:t>5</w:t>
      </w:r>
      <w:r w:rsidRPr="004460F4">
        <w:rPr>
          <w:spacing w:val="-3"/>
          <w:szCs w:val="22"/>
        </w:rPr>
        <w:t xml:space="preserve"> respondents annually x 1 response annually x </w:t>
      </w:r>
      <w:r>
        <w:rPr>
          <w:spacing w:val="-3"/>
          <w:szCs w:val="22"/>
        </w:rPr>
        <w:t xml:space="preserve">40 </w:t>
      </w:r>
      <w:r w:rsidRPr="004460F4">
        <w:rPr>
          <w:spacing w:val="-3"/>
          <w:szCs w:val="22"/>
        </w:rPr>
        <w:t xml:space="preserve">hours per response = </w:t>
      </w:r>
      <w:r>
        <w:rPr>
          <w:spacing w:val="-3"/>
          <w:szCs w:val="22"/>
        </w:rPr>
        <w:t>1,</w:t>
      </w:r>
      <w:r w:rsidR="004906D7">
        <w:rPr>
          <w:spacing w:val="-3"/>
          <w:szCs w:val="22"/>
        </w:rPr>
        <w:t>4</w:t>
      </w:r>
      <w:r>
        <w:rPr>
          <w:spacing w:val="-3"/>
          <w:szCs w:val="22"/>
        </w:rPr>
        <w:t>00 hours.</w:t>
      </w:r>
    </w:p>
    <w:p w:rsidR="000F7E27" w:rsidRPr="004460F4" w:rsidP="000F7E27" w14:paraId="6EB0B02B" w14:textId="77777777">
      <w:pPr>
        <w:tabs>
          <w:tab w:val="left" w:pos="-720"/>
        </w:tabs>
        <w:suppressAutoHyphens/>
        <w:rPr>
          <w:spacing w:val="-3"/>
          <w:szCs w:val="22"/>
        </w:rPr>
      </w:pPr>
    </w:p>
    <w:p w:rsidR="000F7E27" w:rsidRPr="00725F6F" w:rsidP="000F7E27" w14:paraId="0B634667" w14:textId="0F1CCC32">
      <w:pPr>
        <w:tabs>
          <w:tab w:val="left" w:pos="-720"/>
        </w:tabs>
        <w:suppressAutoHyphens/>
        <w:rPr>
          <w:szCs w:val="22"/>
        </w:rPr>
      </w:pPr>
      <w:r w:rsidRPr="004460F4">
        <w:rPr>
          <w:spacing w:val="-3"/>
          <w:szCs w:val="22"/>
        </w:rPr>
        <w:tab/>
        <w:t xml:space="preserve">(6)  </w:t>
      </w:r>
      <w:r w:rsidRPr="004460F4">
        <w:rPr>
          <w:spacing w:val="-3"/>
          <w:szCs w:val="22"/>
          <w:u w:val="single"/>
        </w:rPr>
        <w:t>Total estimate of “in-house” cost to respondents</w:t>
      </w:r>
      <w:r w:rsidRPr="00CC3072">
        <w:rPr>
          <w:b/>
          <w:bCs/>
          <w:spacing w:val="-3"/>
          <w:szCs w:val="22"/>
          <w:u w:val="single"/>
        </w:rPr>
        <w:t>:</w:t>
      </w:r>
      <w:r w:rsidRPr="00CC3072">
        <w:rPr>
          <w:b/>
          <w:bCs/>
          <w:spacing w:val="-3"/>
          <w:szCs w:val="22"/>
        </w:rPr>
        <w:t xml:space="preserve">  </w:t>
      </w:r>
      <w:r w:rsidRPr="00CC3072">
        <w:rPr>
          <w:b/>
          <w:bCs/>
          <w:szCs w:val="22"/>
        </w:rPr>
        <w:t>$</w:t>
      </w:r>
      <w:r w:rsidR="00382468">
        <w:rPr>
          <w:b/>
          <w:bCs/>
          <w:szCs w:val="22"/>
        </w:rPr>
        <w:t>148,974</w:t>
      </w:r>
      <w:r w:rsidR="00725F6F">
        <w:rPr>
          <w:szCs w:val="22"/>
        </w:rPr>
        <w:t>.</w:t>
      </w:r>
    </w:p>
    <w:p w:rsidR="000F7E27" w:rsidRPr="004460F4" w:rsidP="000F7E27" w14:paraId="7A909CBB" w14:textId="77777777">
      <w:pPr>
        <w:tabs>
          <w:tab w:val="left" w:pos="-720"/>
        </w:tabs>
        <w:suppressAutoHyphens/>
        <w:rPr>
          <w:spacing w:val="-3"/>
          <w:szCs w:val="22"/>
        </w:rPr>
      </w:pPr>
    </w:p>
    <w:p w:rsidR="000F7E27" w:rsidRPr="004460F4" w:rsidP="000F7E27" w14:paraId="18D99E6F" w14:textId="77777777">
      <w:pPr>
        <w:tabs>
          <w:tab w:val="left" w:pos="-720"/>
        </w:tabs>
        <w:suppressAutoHyphens/>
        <w:rPr>
          <w:szCs w:val="22"/>
        </w:rPr>
      </w:pPr>
      <w:r w:rsidRPr="004460F4">
        <w:rPr>
          <w:szCs w:val="22"/>
        </w:rPr>
        <w:tab/>
        <w:t xml:space="preserve">(7)  </w:t>
      </w:r>
      <w:r w:rsidRPr="004460F4">
        <w:rPr>
          <w:szCs w:val="22"/>
          <w:u w:val="single"/>
        </w:rPr>
        <w:t>Explanation of the calculation</w:t>
      </w:r>
      <w:r w:rsidRPr="004460F4">
        <w:rPr>
          <w:szCs w:val="22"/>
        </w:rPr>
        <w:t xml:space="preserve">:  </w:t>
      </w:r>
    </w:p>
    <w:p w:rsidR="000F7E27" w:rsidRPr="004460F4" w:rsidP="000F7E27" w14:paraId="6F9FBC66" w14:textId="77777777">
      <w:pPr>
        <w:tabs>
          <w:tab w:val="left" w:pos="-720"/>
        </w:tabs>
        <w:suppressAutoHyphens/>
        <w:rPr>
          <w:szCs w:val="22"/>
        </w:rPr>
      </w:pPr>
    </w:p>
    <w:p w:rsidR="00F65287" w:rsidRPr="00ED4887" w:rsidP="00F65287" w14:paraId="4C36986F" w14:textId="77777777">
      <w:pPr>
        <w:pStyle w:val="Numberedparagraphs"/>
        <w:numPr>
          <w:ilvl w:val="0"/>
          <w:numId w:val="0"/>
        </w:numPr>
        <w:tabs>
          <w:tab w:val="left" w:pos="720"/>
        </w:tabs>
        <w:ind w:left="1440"/>
        <w:rPr>
          <w:bCs/>
          <w:szCs w:val="22"/>
        </w:rPr>
      </w:pPr>
      <w:r>
        <w:rPr>
          <w:bCs/>
          <w:szCs w:val="22"/>
        </w:rPr>
        <w:t>We</w:t>
      </w:r>
      <w:r w:rsidRPr="00ED4887">
        <w:rPr>
          <w:bCs/>
          <w:szCs w:val="22"/>
        </w:rPr>
        <w:t xml:space="preserve"> estimate that respondents will use a variety of in-house personnel whose pay is comparable to </w:t>
      </w:r>
      <w:r>
        <w:rPr>
          <w:bCs/>
          <w:szCs w:val="22"/>
        </w:rPr>
        <w:t xml:space="preserve">that of </w:t>
      </w:r>
      <w:r w:rsidRPr="00ED4887">
        <w:rPr>
          <w:bCs/>
          <w:szCs w:val="22"/>
        </w:rPr>
        <w:t xml:space="preserve">mid-level to senior-level federal employees.  For mid-level employees, </w:t>
      </w:r>
      <w:r>
        <w:rPr>
          <w:bCs/>
          <w:szCs w:val="22"/>
        </w:rPr>
        <w:t xml:space="preserve">we </w:t>
      </w:r>
      <w:r w:rsidRPr="00ED4887">
        <w:rPr>
          <w:bCs/>
          <w:szCs w:val="22"/>
        </w:rPr>
        <w:t>estimate that respondents will use personnel comparable in pay to a GS 13/Step 5 employee earning $65.48 per hour.  For some specialized functions, we estimate that respondents will use personnel comparable in pay to a GS 14/5 employee earning $77.38 per hour.  For regulatory attorneys, we estimate that respondents will use personnel comparable in pay to a GS 15/Step 5 employee earning $91.02 per hour.  For upper management to supervise and review the work performed by the foregoing employees, we estimate that respondents will use personnel comparable in pay to a GS 15/Step 10 employee earning $93.53 per hour.</w:t>
      </w:r>
      <w:r>
        <w:rPr>
          <w:bCs/>
          <w:szCs w:val="22"/>
        </w:rPr>
        <w:t xml:space="preserve">  </w:t>
      </w:r>
    </w:p>
    <w:p w:rsidR="00F65287" w:rsidRPr="0022685D" w:rsidP="00F65287" w14:paraId="6582B1B0" w14:textId="77777777">
      <w:pPr>
        <w:pStyle w:val="Numberedparagraphs"/>
        <w:numPr>
          <w:ilvl w:val="0"/>
          <w:numId w:val="0"/>
        </w:numPr>
        <w:tabs>
          <w:tab w:val="left" w:pos="720"/>
          <w:tab w:val="clear" w:pos="1440"/>
        </w:tabs>
        <w:ind w:left="1440"/>
      </w:pPr>
      <w:r w:rsidRPr="00ED4887">
        <w:rPr>
          <w:bCs/>
          <w:szCs w:val="22"/>
        </w:rPr>
        <w:t xml:space="preserve">The simple average of these hourly wages is $81.85.  </w:t>
      </w:r>
      <w:r>
        <w:rPr>
          <w:bCs/>
          <w:szCs w:val="22"/>
        </w:rPr>
        <w:t xml:space="preserve">We add a 30% overhead factor ($24.66 = 0.30 x $81.85) to this amount to capture the full range of costs providers will incur in complying with this information collection requirement.  </w:t>
      </w:r>
      <w:r w:rsidRPr="00ED4887">
        <w:rPr>
          <w:bCs/>
          <w:szCs w:val="22"/>
        </w:rPr>
        <w:t xml:space="preserve">Because we lack the information that would allow us to quantify the extent to which providers will use employees in each of these hourly wage groups to comply with </w:t>
      </w:r>
      <w:r>
        <w:rPr>
          <w:bCs/>
          <w:szCs w:val="22"/>
        </w:rPr>
        <w:t>the s</w:t>
      </w:r>
      <w:r w:rsidRPr="009F4EF0">
        <w:rPr>
          <w:bCs/>
          <w:szCs w:val="22"/>
        </w:rPr>
        <w:t xml:space="preserve">ection 64.6040(f) </w:t>
      </w:r>
      <w:r w:rsidRPr="00ED4887">
        <w:rPr>
          <w:bCs/>
          <w:szCs w:val="22"/>
        </w:rPr>
        <w:t xml:space="preserve">recordkeeping and disclosure requirements, we use </w:t>
      </w:r>
      <w:r>
        <w:rPr>
          <w:bCs/>
          <w:szCs w:val="22"/>
        </w:rPr>
        <w:t xml:space="preserve">the sum of these figures, $106.41 ($81.85 + $24.66), </w:t>
      </w:r>
      <w:r w:rsidRPr="00ED4887">
        <w:rPr>
          <w:bCs/>
          <w:szCs w:val="22"/>
        </w:rPr>
        <w:t xml:space="preserve">to estimate respondents’ </w:t>
      </w:r>
      <w:r>
        <w:rPr>
          <w:bCs/>
          <w:szCs w:val="22"/>
        </w:rPr>
        <w:t xml:space="preserve">fully loaded per hour </w:t>
      </w:r>
      <w:r w:rsidRPr="00ED4887">
        <w:rPr>
          <w:bCs/>
          <w:szCs w:val="22"/>
        </w:rPr>
        <w:t>in-house costs.</w:t>
      </w:r>
    </w:p>
    <w:p w:rsidR="00F65287" w:rsidP="00F65287" w14:paraId="61E7A532" w14:textId="44946D8C">
      <w:pPr>
        <w:tabs>
          <w:tab w:val="left" w:pos="-720"/>
        </w:tabs>
        <w:suppressAutoHyphens/>
        <w:ind w:left="1440"/>
        <w:rPr>
          <w:szCs w:val="22"/>
        </w:rPr>
      </w:pPr>
      <w:r>
        <w:rPr>
          <w:szCs w:val="22"/>
        </w:rPr>
        <w:t>Thus, approximately 1,400 hours per year x $106.41 per hour = $</w:t>
      </w:r>
      <w:r w:rsidR="00382468">
        <w:rPr>
          <w:szCs w:val="22"/>
        </w:rPr>
        <w:t>148,974</w:t>
      </w:r>
      <w:r>
        <w:rPr>
          <w:szCs w:val="22"/>
        </w:rPr>
        <w:t xml:space="preserve"> per year.</w:t>
      </w:r>
    </w:p>
    <w:p w:rsidR="00A0186C" w:rsidP="00A0186C" w14:paraId="49709A14" w14:textId="77777777">
      <w:pPr>
        <w:tabs>
          <w:tab w:val="left" w:pos="-720"/>
        </w:tabs>
        <w:suppressAutoHyphens/>
        <w:ind w:left="1440"/>
        <w:rPr>
          <w:szCs w:val="22"/>
        </w:rPr>
      </w:pPr>
    </w:p>
    <w:p w:rsidR="00592B04" w:rsidRPr="008A282F" w:rsidP="00C67C7C" w14:paraId="5C90C150" w14:textId="54DACDBF">
      <w:pPr>
        <w:pStyle w:val="Numberedparagraphs"/>
        <w:widowControl/>
        <w:numPr>
          <w:ilvl w:val="0"/>
          <w:numId w:val="46"/>
        </w:numPr>
        <w:tabs>
          <w:tab w:val="left" w:pos="720"/>
          <w:tab w:val="clear" w:pos="1440"/>
        </w:tabs>
        <w:rPr>
          <w:szCs w:val="22"/>
        </w:rPr>
      </w:pPr>
      <w:r w:rsidRPr="009033F2">
        <w:rPr>
          <w:b/>
          <w:szCs w:val="22"/>
          <w:u w:val="single"/>
        </w:rPr>
        <w:t>Waiver</w:t>
      </w:r>
      <w:r w:rsidRPr="008A282F">
        <w:rPr>
          <w:b/>
          <w:bCs/>
          <w:szCs w:val="22"/>
          <w:u w:val="single"/>
        </w:rPr>
        <w:t xml:space="preserve"> Request Reporting Requirement</w:t>
      </w:r>
      <w:r w:rsidR="003832FF">
        <w:rPr>
          <w:b/>
          <w:bCs/>
          <w:szCs w:val="22"/>
          <w:u w:val="single"/>
        </w:rPr>
        <w:t xml:space="preserve"> </w:t>
      </w:r>
      <w:r w:rsidRPr="003832FF" w:rsidR="003832FF">
        <w:rPr>
          <w:b/>
          <w:bCs/>
          <w:szCs w:val="22"/>
          <w:u w:val="single"/>
        </w:rPr>
        <w:t>(Section 64.6</w:t>
      </w:r>
      <w:r w:rsidR="003832FF">
        <w:rPr>
          <w:b/>
          <w:bCs/>
          <w:szCs w:val="22"/>
          <w:u w:val="single"/>
        </w:rPr>
        <w:t>12</w:t>
      </w:r>
      <w:r w:rsidRPr="003832FF" w:rsidR="003832FF">
        <w:rPr>
          <w:b/>
          <w:bCs/>
          <w:szCs w:val="22"/>
          <w:u w:val="single"/>
        </w:rPr>
        <w:t>0)</w:t>
      </w:r>
      <w:r w:rsidRPr="008A282F">
        <w:rPr>
          <w:szCs w:val="22"/>
        </w:rPr>
        <w:t>:</w:t>
      </w:r>
      <w:r w:rsidR="00800B42">
        <w:rPr>
          <w:szCs w:val="22"/>
        </w:rPr>
        <w:t xml:space="preserve"> </w:t>
      </w:r>
    </w:p>
    <w:p w:rsidR="00A0186C" w:rsidP="00A0186C" w14:paraId="7C17F17C" w14:textId="77777777">
      <w:pPr>
        <w:tabs>
          <w:tab w:val="left" w:pos="-720"/>
        </w:tabs>
        <w:suppressAutoHyphens/>
        <w:rPr>
          <w:szCs w:val="22"/>
        </w:rPr>
      </w:pPr>
    </w:p>
    <w:p w:rsidR="00592B04" w:rsidP="00592B04" w14:paraId="3855036A" w14:textId="77777777">
      <w:pPr>
        <w:pStyle w:val="Numberedparagraphs"/>
        <w:numPr>
          <w:ilvl w:val="0"/>
          <w:numId w:val="7"/>
        </w:numPr>
        <w:tabs>
          <w:tab w:val="left" w:pos="720"/>
          <w:tab w:val="clear" w:pos="1440"/>
        </w:tabs>
        <w:rPr>
          <w:szCs w:val="22"/>
        </w:rPr>
      </w:pPr>
      <w:r>
        <w:rPr>
          <w:szCs w:val="22"/>
        </w:rPr>
        <w:t>Number of respondents:  Approximately 3.</w:t>
      </w:r>
    </w:p>
    <w:p w:rsidR="00592B04" w:rsidP="00592B04" w14:paraId="3070BBD2" w14:textId="77777777">
      <w:pPr>
        <w:pStyle w:val="Numberedparagraphs"/>
        <w:numPr>
          <w:ilvl w:val="0"/>
          <w:numId w:val="7"/>
        </w:numPr>
        <w:tabs>
          <w:tab w:val="left" w:pos="720"/>
          <w:tab w:val="clear" w:pos="1440"/>
        </w:tabs>
        <w:rPr>
          <w:szCs w:val="22"/>
        </w:rPr>
      </w:pPr>
      <w:r>
        <w:rPr>
          <w:szCs w:val="22"/>
        </w:rPr>
        <w:t>Frequency of response:  On occasion reporting requirement as requested by filer.</w:t>
      </w:r>
    </w:p>
    <w:p w:rsidR="00592B04" w:rsidP="00592B04" w14:paraId="6FE2379C" w14:textId="77777777">
      <w:pPr>
        <w:pStyle w:val="Numberedparagraphs"/>
        <w:numPr>
          <w:ilvl w:val="0"/>
          <w:numId w:val="7"/>
        </w:numPr>
        <w:tabs>
          <w:tab w:val="left" w:pos="720"/>
          <w:tab w:val="clear" w:pos="1440"/>
        </w:tabs>
        <w:rPr>
          <w:szCs w:val="22"/>
        </w:rPr>
      </w:pPr>
      <w:r>
        <w:rPr>
          <w:szCs w:val="22"/>
        </w:rPr>
        <w:t>Total number or responses annually:  Approximately 3.</w:t>
      </w:r>
    </w:p>
    <w:p w:rsidR="00592B04" w:rsidRPr="00EE4000" w:rsidP="00592B04" w14:paraId="547C5115" w14:textId="77777777">
      <w:pPr>
        <w:pStyle w:val="Numberedparagraphs"/>
        <w:numPr>
          <w:ilvl w:val="0"/>
          <w:numId w:val="7"/>
        </w:numPr>
        <w:tabs>
          <w:tab w:val="left" w:pos="720"/>
          <w:tab w:val="clear" w:pos="1440"/>
        </w:tabs>
        <w:rPr>
          <w:szCs w:val="22"/>
        </w:rPr>
      </w:pPr>
      <w:r>
        <w:rPr>
          <w:szCs w:val="22"/>
        </w:rPr>
        <w:t xml:space="preserve">Estimated Time per Response:  </w:t>
      </w:r>
      <w:r w:rsidRPr="00EE4000">
        <w:rPr>
          <w:szCs w:val="22"/>
        </w:rPr>
        <w:t xml:space="preserve">Approximately </w:t>
      </w:r>
      <w:r w:rsidRPr="00742755">
        <w:rPr>
          <w:b/>
          <w:bCs/>
          <w:szCs w:val="22"/>
        </w:rPr>
        <w:t>80 hours</w:t>
      </w:r>
      <w:r w:rsidRPr="00EE4000">
        <w:rPr>
          <w:szCs w:val="22"/>
        </w:rPr>
        <w:t xml:space="preserve"> per provider.</w:t>
      </w:r>
    </w:p>
    <w:p w:rsidR="00592B04" w:rsidRPr="0022685D" w:rsidP="00592B04" w14:paraId="403F84BF" w14:textId="77777777">
      <w:pPr>
        <w:pStyle w:val="Numberedparagraphs"/>
        <w:numPr>
          <w:ilvl w:val="0"/>
          <w:numId w:val="7"/>
        </w:numPr>
        <w:tabs>
          <w:tab w:val="left" w:pos="720"/>
          <w:tab w:val="clear" w:pos="1440"/>
        </w:tabs>
        <w:rPr>
          <w:b/>
          <w:bCs/>
          <w:szCs w:val="22"/>
        </w:rPr>
      </w:pPr>
      <w:r>
        <w:rPr>
          <w:szCs w:val="22"/>
        </w:rPr>
        <w:t xml:space="preserve">Total annual burden:  Approximately </w:t>
      </w:r>
      <w:r w:rsidRPr="0022685D">
        <w:rPr>
          <w:b/>
          <w:bCs/>
          <w:szCs w:val="22"/>
        </w:rPr>
        <w:t>240 hours.</w:t>
      </w:r>
    </w:p>
    <w:p w:rsidR="00592B04" w:rsidP="00592B04" w14:paraId="5FD45F5D" w14:textId="2972A23D">
      <w:pPr>
        <w:pStyle w:val="Numberedparagraphs"/>
        <w:numPr>
          <w:ilvl w:val="0"/>
          <w:numId w:val="0"/>
        </w:numPr>
        <w:tabs>
          <w:tab w:val="left" w:pos="720"/>
          <w:tab w:val="clear" w:pos="1440"/>
        </w:tabs>
        <w:ind w:left="1080"/>
        <w:rPr>
          <w:szCs w:val="22"/>
        </w:rPr>
      </w:pPr>
      <w:r>
        <w:rPr>
          <w:szCs w:val="22"/>
        </w:rPr>
        <w:t xml:space="preserve">The Commission estimates that approximately three providers will require approximately 80 hours </w:t>
      </w:r>
      <w:r w:rsidR="009031E2">
        <w:rPr>
          <w:szCs w:val="22"/>
        </w:rPr>
        <w:t xml:space="preserve">on average </w:t>
      </w:r>
      <w:r>
        <w:rPr>
          <w:szCs w:val="22"/>
        </w:rPr>
        <w:t>to comply with this requirement annually.</w:t>
      </w:r>
    </w:p>
    <w:p w:rsidR="00592B04" w:rsidP="00592B04" w14:paraId="715B53AA" w14:textId="77777777">
      <w:pPr>
        <w:pStyle w:val="Numberedparagraphs"/>
        <w:numPr>
          <w:ilvl w:val="0"/>
          <w:numId w:val="0"/>
        </w:numPr>
        <w:tabs>
          <w:tab w:val="left" w:pos="720"/>
          <w:tab w:val="clear" w:pos="1440"/>
        </w:tabs>
        <w:ind w:left="1080"/>
        <w:rPr>
          <w:szCs w:val="22"/>
        </w:rPr>
      </w:pPr>
      <w:r>
        <w:rPr>
          <w:szCs w:val="22"/>
        </w:rPr>
        <w:t>Approximately 3 respondents x approximately 1 response annually x approximately 80 hours per response = approximately 240 hours.</w:t>
      </w:r>
    </w:p>
    <w:p w:rsidR="00592B04" w:rsidP="00592B04" w14:paraId="57A59BA4" w14:textId="0C5FE201">
      <w:pPr>
        <w:pStyle w:val="Numberedparagraphs"/>
        <w:numPr>
          <w:ilvl w:val="0"/>
          <w:numId w:val="7"/>
        </w:numPr>
        <w:tabs>
          <w:tab w:val="left" w:pos="720"/>
          <w:tab w:val="clear" w:pos="1440"/>
        </w:tabs>
        <w:rPr>
          <w:szCs w:val="22"/>
        </w:rPr>
      </w:pPr>
      <w:r>
        <w:rPr>
          <w:szCs w:val="22"/>
        </w:rPr>
        <w:t xml:space="preserve">Total estimate of “in-house” cost to respondents:  </w:t>
      </w:r>
      <w:r w:rsidRPr="00C93A47">
        <w:rPr>
          <w:b/>
          <w:bCs/>
          <w:szCs w:val="22"/>
        </w:rPr>
        <w:t>$3</w:t>
      </w:r>
      <w:r w:rsidR="00392DB2">
        <w:rPr>
          <w:b/>
          <w:bCs/>
          <w:szCs w:val="22"/>
        </w:rPr>
        <w:t>9</w:t>
      </w:r>
      <w:r w:rsidRPr="00C93A47">
        <w:rPr>
          <w:b/>
          <w:bCs/>
          <w:szCs w:val="22"/>
        </w:rPr>
        <w:t>,000</w:t>
      </w:r>
      <w:r>
        <w:rPr>
          <w:szCs w:val="22"/>
        </w:rPr>
        <w:t>.</w:t>
      </w:r>
    </w:p>
    <w:p w:rsidR="00592B04" w:rsidP="00592B04" w14:paraId="0750B83A" w14:textId="77777777">
      <w:pPr>
        <w:pStyle w:val="Numberedparagraphs"/>
        <w:numPr>
          <w:ilvl w:val="0"/>
          <w:numId w:val="7"/>
        </w:numPr>
        <w:tabs>
          <w:tab w:val="left" w:pos="720"/>
          <w:tab w:val="clear" w:pos="1440"/>
        </w:tabs>
        <w:rPr>
          <w:szCs w:val="22"/>
        </w:rPr>
      </w:pPr>
      <w:r>
        <w:rPr>
          <w:szCs w:val="22"/>
        </w:rPr>
        <w:t>Explanation of the calculation:</w:t>
      </w:r>
    </w:p>
    <w:p w:rsidR="00592B04" w:rsidP="00592B04" w14:paraId="3EB82DC9" w14:textId="6D69DA5C">
      <w:pPr>
        <w:pStyle w:val="Numberedparagraphs"/>
        <w:numPr>
          <w:ilvl w:val="0"/>
          <w:numId w:val="0"/>
        </w:numPr>
        <w:tabs>
          <w:tab w:val="left" w:pos="720"/>
          <w:tab w:val="clear" w:pos="1440"/>
        </w:tabs>
        <w:ind w:left="1080"/>
        <w:rPr>
          <w:szCs w:val="22"/>
        </w:rPr>
      </w:pPr>
      <w:r>
        <w:rPr>
          <w:szCs w:val="22"/>
        </w:rPr>
        <w:t>We estimate that respondents will use approximately 80 hours of professional personnel (rate of approximately $125 per hour) to satisfy this waiver request requirement.</w:t>
      </w:r>
      <w:r w:rsidR="003F6EA5">
        <w:rPr>
          <w:szCs w:val="22"/>
        </w:rPr>
        <w:t xml:space="preserve">  </w:t>
      </w:r>
      <w:r w:rsidRPr="003F6EA5" w:rsidR="003F6EA5">
        <w:rPr>
          <w:bCs/>
          <w:szCs w:val="22"/>
        </w:rPr>
        <w:t>We add a 30% overhead factor ($</w:t>
      </w:r>
      <w:r w:rsidR="00C15254">
        <w:rPr>
          <w:bCs/>
          <w:szCs w:val="22"/>
        </w:rPr>
        <w:t>37.50</w:t>
      </w:r>
      <w:r w:rsidRPr="003F6EA5" w:rsidR="003F6EA5">
        <w:rPr>
          <w:bCs/>
          <w:szCs w:val="22"/>
        </w:rPr>
        <w:t xml:space="preserve"> = 0.30 x $125) to this amount to capture the full range of costs providers will incur in complying with this information collection requirement.  </w:t>
      </w:r>
      <w:r w:rsidR="00727C41">
        <w:rPr>
          <w:bCs/>
          <w:szCs w:val="22"/>
        </w:rPr>
        <w:t xml:space="preserve">We use </w:t>
      </w:r>
      <w:r w:rsidR="007D5B44">
        <w:rPr>
          <w:bCs/>
          <w:szCs w:val="22"/>
        </w:rPr>
        <w:t xml:space="preserve">the sum of $125 and $37.50 </w:t>
      </w:r>
      <w:r w:rsidR="009600C6">
        <w:rPr>
          <w:bCs/>
          <w:szCs w:val="22"/>
        </w:rPr>
        <w:t>(</w:t>
      </w:r>
      <w:r w:rsidR="004E754E">
        <w:rPr>
          <w:bCs/>
          <w:szCs w:val="22"/>
        </w:rPr>
        <w:t>$162.50)</w:t>
      </w:r>
      <w:r w:rsidR="00727C41">
        <w:rPr>
          <w:bCs/>
          <w:szCs w:val="22"/>
        </w:rPr>
        <w:t xml:space="preserve"> </w:t>
      </w:r>
      <w:r w:rsidRPr="00C15254" w:rsidR="00C15254">
        <w:rPr>
          <w:bCs/>
          <w:szCs w:val="22"/>
        </w:rPr>
        <w:t>to estimate respondents’ fully loaded per hour in-house costs.</w:t>
      </w:r>
    </w:p>
    <w:p w:rsidR="00592B04" w:rsidP="00592B04" w14:paraId="3AC15202" w14:textId="556E0034">
      <w:pPr>
        <w:pStyle w:val="Numberedparagraphs"/>
        <w:numPr>
          <w:ilvl w:val="0"/>
          <w:numId w:val="0"/>
        </w:numPr>
        <w:tabs>
          <w:tab w:val="left" w:pos="720"/>
          <w:tab w:val="clear" w:pos="1440"/>
        </w:tabs>
        <w:rPr>
          <w:b/>
          <w:bCs/>
          <w:szCs w:val="22"/>
          <w:u w:val="single"/>
        </w:rPr>
      </w:pPr>
      <w:r>
        <w:rPr>
          <w:szCs w:val="22"/>
        </w:rPr>
        <w:tab/>
        <w:t>Thus, 240 hours per year x $1</w:t>
      </w:r>
      <w:r w:rsidR="00980680">
        <w:rPr>
          <w:szCs w:val="22"/>
        </w:rPr>
        <w:t>6</w:t>
      </w:r>
      <w:r>
        <w:rPr>
          <w:szCs w:val="22"/>
        </w:rPr>
        <w:t>2</w:t>
      </w:r>
      <w:r w:rsidR="00980680">
        <w:rPr>
          <w:szCs w:val="22"/>
        </w:rPr>
        <w:t>.</w:t>
      </w:r>
      <w:r>
        <w:rPr>
          <w:szCs w:val="22"/>
        </w:rPr>
        <w:t>5</w:t>
      </w:r>
      <w:r w:rsidR="00980680">
        <w:rPr>
          <w:szCs w:val="22"/>
        </w:rPr>
        <w:t>0</w:t>
      </w:r>
      <w:r>
        <w:rPr>
          <w:szCs w:val="22"/>
        </w:rPr>
        <w:t xml:space="preserve"> </w:t>
      </w:r>
      <w:r w:rsidRPr="000305D6">
        <w:rPr>
          <w:szCs w:val="22"/>
        </w:rPr>
        <w:t>= $3</w:t>
      </w:r>
      <w:r w:rsidRPr="00C8066B" w:rsidR="00FB24BE">
        <w:rPr>
          <w:szCs w:val="22"/>
        </w:rPr>
        <w:t>9</w:t>
      </w:r>
      <w:r>
        <w:rPr>
          <w:szCs w:val="22"/>
        </w:rPr>
        <w:t>,000.</w:t>
      </w:r>
    </w:p>
    <w:p w:rsidR="004512B6" w:rsidP="00C67C7C" w14:paraId="2EDEBE28" w14:textId="52F71F3D">
      <w:pPr>
        <w:pStyle w:val="Numberedparagraphs"/>
        <w:widowControl/>
        <w:numPr>
          <w:ilvl w:val="0"/>
          <w:numId w:val="46"/>
        </w:numPr>
        <w:tabs>
          <w:tab w:val="left" w:pos="720"/>
          <w:tab w:val="clear" w:pos="1440"/>
        </w:tabs>
        <w:rPr>
          <w:szCs w:val="22"/>
        </w:rPr>
      </w:pPr>
      <w:r w:rsidRPr="00751AE4">
        <w:rPr>
          <w:b/>
          <w:bCs/>
          <w:szCs w:val="22"/>
          <w:u w:val="single"/>
        </w:rPr>
        <w:t>Consumer Disclosure Requirement</w:t>
      </w:r>
      <w:r w:rsidR="003832FF">
        <w:rPr>
          <w:b/>
          <w:bCs/>
          <w:szCs w:val="22"/>
          <w:u w:val="single"/>
        </w:rPr>
        <w:t xml:space="preserve"> </w:t>
      </w:r>
      <w:r w:rsidRPr="003832FF" w:rsidR="003832FF">
        <w:rPr>
          <w:b/>
          <w:bCs/>
          <w:szCs w:val="22"/>
          <w:u w:val="single"/>
        </w:rPr>
        <w:t>(Section 64.6</w:t>
      </w:r>
      <w:r w:rsidR="003832FF">
        <w:rPr>
          <w:b/>
          <w:bCs/>
          <w:szCs w:val="22"/>
          <w:u w:val="single"/>
        </w:rPr>
        <w:t>11</w:t>
      </w:r>
      <w:r w:rsidRPr="003832FF" w:rsidR="003832FF">
        <w:rPr>
          <w:b/>
          <w:bCs/>
          <w:szCs w:val="22"/>
          <w:u w:val="single"/>
        </w:rPr>
        <w:t>0)</w:t>
      </w:r>
      <w:r>
        <w:rPr>
          <w:szCs w:val="22"/>
        </w:rPr>
        <w:t>:</w:t>
      </w:r>
      <w:r w:rsidR="00800B42">
        <w:rPr>
          <w:szCs w:val="22"/>
        </w:rPr>
        <w:t xml:space="preserve"> </w:t>
      </w:r>
    </w:p>
    <w:p w:rsidR="004512B6" w:rsidP="004512B6" w14:paraId="3231DD19" w14:textId="77777777">
      <w:pPr>
        <w:pStyle w:val="Numberedparagraphs"/>
        <w:numPr>
          <w:ilvl w:val="0"/>
          <w:numId w:val="4"/>
        </w:numPr>
        <w:tabs>
          <w:tab w:val="left" w:pos="720"/>
        </w:tabs>
        <w:rPr>
          <w:szCs w:val="22"/>
        </w:rPr>
      </w:pPr>
      <w:r w:rsidRPr="0055282B">
        <w:rPr>
          <w:szCs w:val="22"/>
          <w:u w:val="single"/>
        </w:rPr>
        <w:t>Consumer Disclosure of Rates and Ancillary Service Charges</w:t>
      </w:r>
      <w:r>
        <w:rPr>
          <w:szCs w:val="22"/>
        </w:rPr>
        <w:t>:</w:t>
      </w:r>
    </w:p>
    <w:p w:rsidR="004512B6" w:rsidP="004512B6" w14:paraId="3DFBD662" w14:textId="5BA9AAA5">
      <w:pPr>
        <w:pStyle w:val="Numberedparagraphs"/>
        <w:numPr>
          <w:ilvl w:val="0"/>
          <w:numId w:val="5"/>
        </w:numPr>
        <w:tabs>
          <w:tab w:val="left" w:pos="720"/>
        </w:tabs>
        <w:rPr>
          <w:szCs w:val="22"/>
        </w:rPr>
      </w:pPr>
      <w:r w:rsidRPr="000C304B">
        <w:rPr>
          <w:szCs w:val="22"/>
          <w:u w:val="single"/>
        </w:rPr>
        <w:t>Number of respondents</w:t>
      </w:r>
      <w:r>
        <w:rPr>
          <w:szCs w:val="22"/>
        </w:rPr>
        <w:t xml:space="preserve">:  Approximately </w:t>
      </w:r>
      <w:r w:rsidRPr="000251A5">
        <w:rPr>
          <w:szCs w:val="22"/>
        </w:rPr>
        <w:t>3</w:t>
      </w:r>
      <w:r w:rsidR="00026AE7">
        <w:rPr>
          <w:szCs w:val="22"/>
        </w:rPr>
        <w:t>5</w:t>
      </w:r>
      <w:r>
        <w:rPr>
          <w:szCs w:val="22"/>
        </w:rPr>
        <w:t>.</w:t>
      </w:r>
    </w:p>
    <w:p w:rsidR="004512B6" w:rsidP="004512B6" w14:paraId="015C4054" w14:textId="77777777">
      <w:pPr>
        <w:pStyle w:val="Numberedparagraphs"/>
        <w:numPr>
          <w:ilvl w:val="0"/>
          <w:numId w:val="5"/>
        </w:numPr>
        <w:tabs>
          <w:tab w:val="left" w:pos="720"/>
        </w:tabs>
        <w:rPr>
          <w:szCs w:val="22"/>
        </w:rPr>
      </w:pPr>
      <w:r w:rsidRPr="000C304B">
        <w:rPr>
          <w:szCs w:val="22"/>
          <w:u w:val="single"/>
        </w:rPr>
        <w:t>Frequency of response</w:t>
      </w:r>
      <w:r>
        <w:rPr>
          <w:szCs w:val="22"/>
        </w:rPr>
        <w:t>:  Ongoing third-party disclosure requirement.</w:t>
      </w:r>
    </w:p>
    <w:p w:rsidR="004512B6" w:rsidP="004512B6" w14:paraId="4B1C7802" w14:textId="1C58CB76">
      <w:pPr>
        <w:pStyle w:val="Numberedparagraphs"/>
        <w:numPr>
          <w:ilvl w:val="0"/>
          <w:numId w:val="5"/>
        </w:numPr>
        <w:tabs>
          <w:tab w:val="left" w:pos="720"/>
        </w:tabs>
        <w:rPr>
          <w:szCs w:val="22"/>
        </w:rPr>
      </w:pPr>
      <w:r w:rsidRPr="000C304B">
        <w:rPr>
          <w:szCs w:val="22"/>
          <w:u w:val="single"/>
        </w:rPr>
        <w:t>Total number of responses annually</w:t>
      </w:r>
      <w:r>
        <w:rPr>
          <w:szCs w:val="22"/>
        </w:rPr>
        <w:t>:  Approximately 3</w:t>
      </w:r>
      <w:r w:rsidR="00026AE7">
        <w:rPr>
          <w:szCs w:val="22"/>
        </w:rPr>
        <w:t>5</w:t>
      </w:r>
      <w:r>
        <w:rPr>
          <w:szCs w:val="22"/>
        </w:rPr>
        <w:t>.</w:t>
      </w:r>
    </w:p>
    <w:p w:rsidR="004512B6" w:rsidRPr="000251A5" w:rsidP="004512B6" w14:paraId="1E34C5FD" w14:textId="77777777">
      <w:pPr>
        <w:pStyle w:val="Numberedparagraphs"/>
        <w:numPr>
          <w:ilvl w:val="0"/>
          <w:numId w:val="5"/>
        </w:numPr>
        <w:tabs>
          <w:tab w:val="left" w:pos="720"/>
        </w:tabs>
        <w:rPr>
          <w:szCs w:val="22"/>
        </w:rPr>
      </w:pPr>
      <w:r w:rsidRPr="000C304B">
        <w:rPr>
          <w:szCs w:val="22"/>
          <w:u w:val="single"/>
        </w:rPr>
        <w:t>Estimated Time per Response</w:t>
      </w:r>
      <w:r>
        <w:rPr>
          <w:szCs w:val="22"/>
        </w:rPr>
        <w:t xml:space="preserve">:  </w:t>
      </w:r>
      <w:r w:rsidRPr="000251A5">
        <w:rPr>
          <w:szCs w:val="22"/>
        </w:rPr>
        <w:t xml:space="preserve">Approximately </w:t>
      </w:r>
      <w:r w:rsidRPr="00742755">
        <w:rPr>
          <w:b/>
          <w:bCs/>
          <w:szCs w:val="22"/>
        </w:rPr>
        <w:t>20 hours</w:t>
      </w:r>
      <w:r w:rsidRPr="000251A5">
        <w:rPr>
          <w:szCs w:val="22"/>
        </w:rPr>
        <w:t>.</w:t>
      </w:r>
    </w:p>
    <w:p w:rsidR="004512B6" w:rsidP="000A61AF" w14:paraId="699C3102" w14:textId="77777777">
      <w:pPr>
        <w:pStyle w:val="Numberedparagraphs"/>
        <w:numPr>
          <w:ilvl w:val="0"/>
          <w:numId w:val="0"/>
        </w:numPr>
        <w:tabs>
          <w:tab w:val="left" w:pos="720"/>
        </w:tabs>
        <w:ind w:left="1440"/>
        <w:rPr>
          <w:szCs w:val="22"/>
        </w:rPr>
      </w:pPr>
      <w:r>
        <w:rPr>
          <w:szCs w:val="22"/>
        </w:rPr>
        <w:t>We estimate that compliance will require approximately 20 hours per provider annually.</w:t>
      </w:r>
    </w:p>
    <w:p w:rsidR="004512B6" w:rsidP="004512B6" w14:paraId="2810F91D" w14:textId="19191D04">
      <w:pPr>
        <w:pStyle w:val="Numberedparagraphs"/>
        <w:numPr>
          <w:ilvl w:val="0"/>
          <w:numId w:val="0"/>
        </w:numPr>
        <w:tabs>
          <w:tab w:val="left" w:pos="720"/>
        </w:tabs>
        <w:ind w:left="1080"/>
        <w:rPr>
          <w:szCs w:val="22"/>
        </w:rPr>
      </w:pPr>
      <w:r>
        <w:rPr>
          <w:szCs w:val="22"/>
        </w:rPr>
        <w:t xml:space="preserve">(5)  </w:t>
      </w:r>
      <w:r w:rsidRPr="000C304B">
        <w:rPr>
          <w:szCs w:val="22"/>
          <w:u w:val="single"/>
        </w:rPr>
        <w:t>Total annual burden</w:t>
      </w:r>
      <w:r>
        <w:rPr>
          <w:szCs w:val="22"/>
        </w:rPr>
        <w:t xml:space="preserve">:  </w:t>
      </w:r>
      <w:r w:rsidRPr="000C304B">
        <w:rPr>
          <w:b/>
          <w:bCs/>
          <w:szCs w:val="22"/>
        </w:rPr>
        <w:t xml:space="preserve">Approximately </w:t>
      </w:r>
      <w:r w:rsidR="00360AFB">
        <w:rPr>
          <w:b/>
          <w:bCs/>
          <w:szCs w:val="22"/>
        </w:rPr>
        <w:t>7</w:t>
      </w:r>
      <w:r>
        <w:rPr>
          <w:b/>
          <w:bCs/>
          <w:szCs w:val="22"/>
        </w:rPr>
        <w:t xml:space="preserve">00 </w:t>
      </w:r>
      <w:r w:rsidRPr="000C304B">
        <w:rPr>
          <w:b/>
          <w:bCs/>
          <w:szCs w:val="22"/>
        </w:rPr>
        <w:t>hours</w:t>
      </w:r>
      <w:r>
        <w:rPr>
          <w:szCs w:val="22"/>
        </w:rPr>
        <w:t>.</w:t>
      </w:r>
    </w:p>
    <w:p w:rsidR="004512B6" w:rsidP="000A61AF" w14:paraId="2E3189C7" w14:textId="44A60200">
      <w:pPr>
        <w:pStyle w:val="Numberedparagraphs"/>
        <w:numPr>
          <w:ilvl w:val="0"/>
          <w:numId w:val="0"/>
        </w:numPr>
        <w:tabs>
          <w:tab w:val="left" w:pos="720"/>
        </w:tabs>
        <w:ind w:left="1440"/>
        <w:rPr>
          <w:szCs w:val="22"/>
        </w:rPr>
      </w:pPr>
      <w:r>
        <w:rPr>
          <w:szCs w:val="22"/>
        </w:rPr>
        <w:t>We estimate that approximately 3</w:t>
      </w:r>
      <w:r w:rsidR="00B977E4">
        <w:rPr>
          <w:szCs w:val="22"/>
        </w:rPr>
        <w:t>5</w:t>
      </w:r>
      <w:r>
        <w:rPr>
          <w:szCs w:val="22"/>
        </w:rPr>
        <w:t xml:space="preserve"> providers will require approximately 20 hours each to comply with this requirement.</w:t>
      </w:r>
    </w:p>
    <w:p w:rsidR="004512B6" w:rsidP="004512B6" w14:paraId="3D7F72A2" w14:textId="674753B5">
      <w:pPr>
        <w:pStyle w:val="Numberedparagraphs"/>
        <w:numPr>
          <w:ilvl w:val="0"/>
          <w:numId w:val="0"/>
        </w:numPr>
        <w:tabs>
          <w:tab w:val="left" w:pos="720"/>
        </w:tabs>
        <w:ind w:left="1440"/>
        <w:rPr>
          <w:szCs w:val="22"/>
        </w:rPr>
      </w:pPr>
      <w:r>
        <w:rPr>
          <w:szCs w:val="22"/>
        </w:rPr>
        <w:t>Approximately 3</w:t>
      </w:r>
      <w:r w:rsidR="00B977E4">
        <w:rPr>
          <w:szCs w:val="22"/>
        </w:rPr>
        <w:t>5</w:t>
      </w:r>
      <w:r>
        <w:rPr>
          <w:szCs w:val="22"/>
        </w:rPr>
        <w:t xml:space="preserve"> respondents x approximately 1 response per year per respondent x approximately 20 hours per response = Approximately </w:t>
      </w:r>
      <w:r w:rsidR="00360AFB">
        <w:rPr>
          <w:szCs w:val="22"/>
        </w:rPr>
        <w:t>700</w:t>
      </w:r>
      <w:r>
        <w:rPr>
          <w:szCs w:val="22"/>
        </w:rPr>
        <w:t xml:space="preserve"> hours.</w:t>
      </w:r>
    </w:p>
    <w:p w:rsidR="004512B6" w:rsidP="004512B6" w14:paraId="5D5D746F" w14:textId="2FA797D0">
      <w:pPr>
        <w:pStyle w:val="Numberedparagraphs"/>
        <w:numPr>
          <w:ilvl w:val="0"/>
          <w:numId w:val="5"/>
        </w:numPr>
        <w:tabs>
          <w:tab w:val="left" w:pos="720"/>
        </w:tabs>
        <w:rPr>
          <w:szCs w:val="22"/>
        </w:rPr>
      </w:pPr>
      <w:r w:rsidRPr="00206F15">
        <w:rPr>
          <w:szCs w:val="22"/>
          <w:u w:val="single"/>
        </w:rPr>
        <w:t>Total estimate of “in-house”</w:t>
      </w:r>
      <w:r>
        <w:rPr>
          <w:szCs w:val="22"/>
          <w:u w:val="single"/>
        </w:rPr>
        <w:t xml:space="preserve"> </w:t>
      </w:r>
      <w:r w:rsidRPr="00206F15">
        <w:rPr>
          <w:szCs w:val="22"/>
          <w:u w:val="single"/>
        </w:rPr>
        <w:t>cost to responden</w:t>
      </w:r>
      <w:r>
        <w:rPr>
          <w:szCs w:val="22"/>
        </w:rPr>
        <w:t xml:space="preserve">ts:  </w:t>
      </w:r>
      <w:r w:rsidRPr="00501942">
        <w:rPr>
          <w:b/>
          <w:bCs/>
          <w:szCs w:val="22"/>
        </w:rPr>
        <w:t>$</w:t>
      </w:r>
      <w:r w:rsidR="009E50DB">
        <w:rPr>
          <w:b/>
          <w:bCs/>
          <w:szCs w:val="22"/>
        </w:rPr>
        <w:t>74,487</w:t>
      </w:r>
      <w:r>
        <w:rPr>
          <w:b/>
          <w:bCs/>
          <w:szCs w:val="22"/>
        </w:rPr>
        <w:t>.</w:t>
      </w:r>
    </w:p>
    <w:p w:rsidR="004512B6" w:rsidP="004512B6" w14:paraId="6548C061" w14:textId="77777777">
      <w:pPr>
        <w:pStyle w:val="Numberedparagraphs"/>
        <w:numPr>
          <w:ilvl w:val="0"/>
          <w:numId w:val="5"/>
        </w:numPr>
        <w:tabs>
          <w:tab w:val="left" w:pos="720"/>
        </w:tabs>
        <w:rPr>
          <w:szCs w:val="22"/>
        </w:rPr>
      </w:pPr>
      <w:r w:rsidRPr="00206F15">
        <w:rPr>
          <w:szCs w:val="22"/>
          <w:u w:val="single"/>
        </w:rPr>
        <w:t>Explanation of the calculation</w:t>
      </w:r>
      <w:r>
        <w:rPr>
          <w:szCs w:val="22"/>
        </w:rPr>
        <w:t xml:space="preserve">:  </w:t>
      </w:r>
    </w:p>
    <w:p w:rsidR="00F65287" w:rsidRPr="00ED4887" w:rsidP="00F65287" w14:paraId="75A6AA3B" w14:textId="77777777">
      <w:pPr>
        <w:pStyle w:val="Numberedparagraphs"/>
        <w:numPr>
          <w:ilvl w:val="0"/>
          <w:numId w:val="0"/>
        </w:numPr>
        <w:tabs>
          <w:tab w:val="left" w:pos="720"/>
        </w:tabs>
        <w:ind w:left="1440"/>
        <w:rPr>
          <w:bCs/>
          <w:szCs w:val="22"/>
        </w:rPr>
      </w:pPr>
      <w:r>
        <w:rPr>
          <w:bCs/>
          <w:szCs w:val="22"/>
        </w:rPr>
        <w:t>We</w:t>
      </w:r>
      <w:r w:rsidRPr="00ED4887">
        <w:rPr>
          <w:bCs/>
          <w:szCs w:val="22"/>
        </w:rPr>
        <w:t xml:space="preserve"> estimate that respondents will use a variety of in-house personnel whose pay is comparable to </w:t>
      </w:r>
      <w:r>
        <w:rPr>
          <w:bCs/>
          <w:szCs w:val="22"/>
        </w:rPr>
        <w:t xml:space="preserve">that of </w:t>
      </w:r>
      <w:r w:rsidRPr="00ED4887">
        <w:rPr>
          <w:bCs/>
          <w:szCs w:val="22"/>
        </w:rPr>
        <w:t xml:space="preserve">mid-level to senior-level federal employees.  For mid-level employees, </w:t>
      </w:r>
      <w:r>
        <w:rPr>
          <w:bCs/>
          <w:szCs w:val="22"/>
        </w:rPr>
        <w:t xml:space="preserve">we </w:t>
      </w:r>
      <w:r w:rsidRPr="00ED4887">
        <w:rPr>
          <w:bCs/>
          <w:szCs w:val="22"/>
        </w:rPr>
        <w:t xml:space="preserve">estimate that respondents will use personnel comparable in pay to a GS 13/Step 5 employee earning $65.48 per hour.  For some specialized functions, we estimate that respondents will use personnel comparable in pay to a GS 14/5 employee earning $77.38 per hour.  For regulatory attorneys, we estimate that respondents will use personnel comparable in pay to a GS 15/Step 5 employee earning $91.02 per hour.  For upper management to supervise and review the work performed by the foregoing </w:t>
      </w:r>
      <w:r w:rsidRPr="00ED4887">
        <w:rPr>
          <w:bCs/>
          <w:szCs w:val="22"/>
        </w:rPr>
        <w:t>employees, we estimate that respondents will use personnel comparable in pay to a GS 15/Step 10 employee earning $93.53 per hour.</w:t>
      </w:r>
      <w:r>
        <w:rPr>
          <w:bCs/>
          <w:szCs w:val="22"/>
        </w:rPr>
        <w:t xml:space="preserve">  </w:t>
      </w:r>
    </w:p>
    <w:p w:rsidR="00F65287" w:rsidRPr="0022685D" w:rsidP="00F65287" w14:paraId="15DDA208" w14:textId="5C22F7EE">
      <w:pPr>
        <w:pStyle w:val="Numberedparagraphs"/>
        <w:numPr>
          <w:ilvl w:val="0"/>
          <w:numId w:val="0"/>
        </w:numPr>
        <w:tabs>
          <w:tab w:val="left" w:pos="720"/>
          <w:tab w:val="clear" w:pos="1440"/>
        </w:tabs>
        <w:ind w:left="1440"/>
      </w:pPr>
      <w:r w:rsidRPr="00ED4887">
        <w:rPr>
          <w:bCs/>
          <w:szCs w:val="22"/>
        </w:rPr>
        <w:t xml:space="preserve">The simple average of these hourly wages is $81.85.  </w:t>
      </w:r>
      <w:r>
        <w:rPr>
          <w:bCs/>
          <w:szCs w:val="22"/>
        </w:rPr>
        <w:t xml:space="preserve">We add a 30% overhead factor ($24.66 = 0.30 x $81.85) to this amount to capture the full range of costs providers will incur in complying with this information collection requirement.  </w:t>
      </w:r>
      <w:r w:rsidRPr="00ED4887">
        <w:rPr>
          <w:bCs/>
          <w:szCs w:val="22"/>
        </w:rPr>
        <w:t xml:space="preserve">Because we lack the information that would allow us to quantify the extent to which providers will use employees in each of these hourly wage groups to comply with </w:t>
      </w:r>
      <w:r>
        <w:rPr>
          <w:bCs/>
          <w:szCs w:val="22"/>
        </w:rPr>
        <w:t>the s</w:t>
      </w:r>
      <w:r w:rsidRPr="009F4EF0">
        <w:rPr>
          <w:bCs/>
          <w:szCs w:val="22"/>
        </w:rPr>
        <w:t xml:space="preserve">ection 64.6040(f) </w:t>
      </w:r>
      <w:r w:rsidRPr="00ED4887">
        <w:rPr>
          <w:bCs/>
          <w:szCs w:val="22"/>
        </w:rPr>
        <w:t xml:space="preserve">recordkeeping and disclosure requirements, we use </w:t>
      </w:r>
      <w:r>
        <w:rPr>
          <w:bCs/>
          <w:szCs w:val="22"/>
        </w:rPr>
        <w:t xml:space="preserve">the sum of these figures, $106.41 ($81.85 + $24.66), </w:t>
      </w:r>
      <w:r w:rsidRPr="00ED4887">
        <w:rPr>
          <w:bCs/>
          <w:szCs w:val="22"/>
        </w:rPr>
        <w:t xml:space="preserve">to estimate respondents’ </w:t>
      </w:r>
      <w:r>
        <w:rPr>
          <w:bCs/>
          <w:szCs w:val="22"/>
        </w:rPr>
        <w:t xml:space="preserve">fully loaded per hour </w:t>
      </w:r>
      <w:r w:rsidRPr="00ED4887">
        <w:rPr>
          <w:bCs/>
          <w:szCs w:val="22"/>
        </w:rPr>
        <w:t>in-house costs.</w:t>
      </w:r>
    </w:p>
    <w:p w:rsidR="00F65287" w:rsidP="00F65287" w14:paraId="729DC579" w14:textId="6701022D">
      <w:pPr>
        <w:tabs>
          <w:tab w:val="left" w:pos="-720"/>
        </w:tabs>
        <w:suppressAutoHyphens/>
        <w:ind w:left="1440"/>
        <w:rPr>
          <w:szCs w:val="22"/>
        </w:rPr>
      </w:pPr>
      <w:r>
        <w:rPr>
          <w:szCs w:val="22"/>
        </w:rPr>
        <w:t xml:space="preserve">Thus, approximately </w:t>
      </w:r>
      <w:r w:rsidR="007375EE">
        <w:rPr>
          <w:szCs w:val="22"/>
        </w:rPr>
        <w:t>700</w:t>
      </w:r>
      <w:r>
        <w:rPr>
          <w:szCs w:val="22"/>
        </w:rPr>
        <w:t xml:space="preserve"> hours per year x $106.41 per hour = $</w:t>
      </w:r>
      <w:r w:rsidR="009E50DB">
        <w:rPr>
          <w:szCs w:val="22"/>
        </w:rPr>
        <w:t>74,487</w:t>
      </w:r>
      <w:r>
        <w:rPr>
          <w:szCs w:val="22"/>
        </w:rPr>
        <w:t xml:space="preserve"> per year.</w:t>
      </w:r>
    </w:p>
    <w:p w:rsidR="00343723" w:rsidP="00F65287" w14:paraId="10D8EB83" w14:textId="77777777">
      <w:pPr>
        <w:tabs>
          <w:tab w:val="left" w:pos="-720"/>
        </w:tabs>
        <w:suppressAutoHyphens/>
        <w:ind w:left="1440"/>
        <w:rPr>
          <w:szCs w:val="22"/>
        </w:rPr>
      </w:pPr>
    </w:p>
    <w:p w:rsidR="004512B6" w:rsidRPr="00F57AFA" w:rsidP="004512B6" w14:paraId="3579B7A8" w14:textId="77777777">
      <w:pPr>
        <w:pStyle w:val="Numberedparagraphs"/>
        <w:numPr>
          <w:ilvl w:val="0"/>
          <w:numId w:val="4"/>
        </w:numPr>
        <w:tabs>
          <w:tab w:val="left" w:pos="720"/>
        </w:tabs>
        <w:rPr>
          <w:szCs w:val="22"/>
        </w:rPr>
      </w:pPr>
      <w:r w:rsidRPr="00F57AFA">
        <w:rPr>
          <w:szCs w:val="22"/>
          <w:u w:val="single"/>
        </w:rPr>
        <w:t>Consumer Disclosure Billing Requirement</w:t>
      </w:r>
      <w:r w:rsidRPr="00F57AFA">
        <w:rPr>
          <w:szCs w:val="22"/>
        </w:rPr>
        <w:t>:</w:t>
      </w:r>
    </w:p>
    <w:p w:rsidR="004512B6" w:rsidRPr="0055282B" w:rsidP="004512B6" w14:paraId="198775A9" w14:textId="5175F8F7">
      <w:pPr>
        <w:pStyle w:val="Numberedparagraphs"/>
        <w:numPr>
          <w:ilvl w:val="0"/>
          <w:numId w:val="6"/>
        </w:numPr>
        <w:tabs>
          <w:tab w:val="left" w:pos="720"/>
        </w:tabs>
        <w:rPr>
          <w:b/>
          <w:bCs/>
          <w:szCs w:val="22"/>
          <w:u w:val="single"/>
        </w:rPr>
      </w:pPr>
      <w:r w:rsidRPr="00206F15">
        <w:rPr>
          <w:szCs w:val="22"/>
          <w:u w:val="single"/>
        </w:rPr>
        <w:t>Number of respondents</w:t>
      </w:r>
      <w:r>
        <w:rPr>
          <w:szCs w:val="22"/>
        </w:rPr>
        <w:t>:  Approximately 3</w:t>
      </w:r>
      <w:r w:rsidR="00A11E94">
        <w:rPr>
          <w:szCs w:val="22"/>
        </w:rPr>
        <w:t>5</w:t>
      </w:r>
      <w:r>
        <w:rPr>
          <w:szCs w:val="22"/>
        </w:rPr>
        <w:t>.</w:t>
      </w:r>
    </w:p>
    <w:p w:rsidR="004512B6" w:rsidRPr="0055282B" w:rsidP="004512B6" w14:paraId="7CB98EC3" w14:textId="77777777">
      <w:pPr>
        <w:pStyle w:val="Numberedparagraphs"/>
        <w:numPr>
          <w:ilvl w:val="0"/>
          <w:numId w:val="6"/>
        </w:numPr>
        <w:tabs>
          <w:tab w:val="left" w:pos="720"/>
        </w:tabs>
        <w:rPr>
          <w:b/>
          <w:bCs/>
          <w:szCs w:val="22"/>
          <w:u w:val="single"/>
        </w:rPr>
      </w:pPr>
      <w:r w:rsidRPr="00206F15">
        <w:rPr>
          <w:szCs w:val="22"/>
          <w:u w:val="single"/>
        </w:rPr>
        <w:t>Frequency of response</w:t>
      </w:r>
      <w:r>
        <w:rPr>
          <w:szCs w:val="22"/>
        </w:rPr>
        <w:t>:  Third-party-disclosure requirement.</w:t>
      </w:r>
    </w:p>
    <w:p w:rsidR="004512B6" w:rsidRPr="0055282B" w:rsidP="004512B6" w14:paraId="75A6BBC8" w14:textId="791ECFB3">
      <w:pPr>
        <w:pStyle w:val="Numberedparagraphs"/>
        <w:numPr>
          <w:ilvl w:val="0"/>
          <w:numId w:val="6"/>
        </w:numPr>
        <w:tabs>
          <w:tab w:val="left" w:pos="720"/>
        </w:tabs>
        <w:rPr>
          <w:b/>
          <w:bCs/>
          <w:szCs w:val="22"/>
          <w:u w:val="single"/>
        </w:rPr>
      </w:pPr>
      <w:r w:rsidRPr="00206F15">
        <w:rPr>
          <w:szCs w:val="22"/>
          <w:u w:val="single"/>
        </w:rPr>
        <w:t>Total number of responses annually</w:t>
      </w:r>
      <w:r>
        <w:rPr>
          <w:szCs w:val="22"/>
        </w:rPr>
        <w:t>:  Approximately 3</w:t>
      </w:r>
      <w:r w:rsidR="00A11E94">
        <w:rPr>
          <w:szCs w:val="22"/>
        </w:rPr>
        <w:t>5</w:t>
      </w:r>
      <w:r>
        <w:rPr>
          <w:szCs w:val="22"/>
        </w:rPr>
        <w:t>.</w:t>
      </w:r>
    </w:p>
    <w:p w:rsidR="004512B6" w:rsidP="004512B6" w14:paraId="187EEC0F" w14:textId="77777777">
      <w:pPr>
        <w:pStyle w:val="Numberedparagraphs"/>
        <w:numPr>
          <w:ilvl w:val="0"/>
          <w:numId w:val="6"/>
        </w:numPr>
        <w:tabs>
          <w:tab w:val="left" w:pos="720"/>
        </w:tabs>
        <w:rPr>
          <w:b/>
          <w:bCs/>
          <w:szCs w:val="22"/>
          <w:u w:val="single"/>
        </w:rPr>
      </w:pPr>
      <w:r w:rsidRPr="00206F15">
        <w:rPr>
          <w:szCs w:val="22"/>
          <w:u w:val="single"/>
        </w:rPr>
        <w:t>Estimated time per response</w:t>
      </w:r>
      <w:r>
        <w:rPr>
          <w:szCs w:val="22"/>
        </w:rPr>
        <w:t xml:space="preserve">:  </w:t>
      </w:r>
      <w:r w:rsidRPr="000251A5">
        <w:rPr>
          <w:szCs w:val="22"/>
        </w:rPr>
        <w:t xml:space="preserve">Approximately </w:t>
      </w:r>
      <w:r w:rsidRPr="00742755">
        <w:rPr>
          <w:b/>
          <w:bCs/>
          <w:szCs w:val="22"/>
        </w:rPr>
        <w:t>30 hours</w:t>
      </w:r>
      <w:r>
        <w:rPr>
          <w:szCs w:val="22"/>
        </w:rPr>
        <w:t>.</w:t>
      </w:r>
    </w:p>
    <w:p w:rsidR="004512B6" w:rsidP="004512B6" w14:paraId="5832AD6D" w14:textId="77777777">
      <w:pPr>
        <w:pStyle w:val="Numberedparagraphs"/>
        <w:widowControl/>
        <w:numPr>
          <w:ilvl w:val="0"/>
          <w:numId w:val="0"/>
        </w:numPr>
        <w:tabs>
          <w:tab w:val="left" w:pos="720"/>
        </w:tabs>
        <w:ind w:left="1800"/>
        <w:rPr>
          <w:szCs w:val="22"/>
        </w:rPr>
      </w:pPr>
      <w:r w:rsidRPr="00242C65">
        <w:rPr>
          <w:szCs w:val="22"/>
        </w:rPr>
        <w:t>We estimate that</w:t>
      </w:r>
      <w:r>
        <w:rPr>
          <w:szCs w:val="22"/>
        </w:rPr>
        <w:t xml:space="preserve"> compliance will require approximately 30 hours per provider per year</w:t>
      </w:r>
      <w:r w:rsidRPr="00AB4149">
        <w:rPr>
          <w:szCs w:val="22"/>
        </w:rPr>
        <w:t>.</w:t>
      </w:r>
    </w:p>
    <w:p w:rsidR="004512B6" w:rsidP="004512B6" w14:paraId="2B340E5C" w14:textId="7FDB02EE">
      <w:pPr>
        <w:pStyle w:val="Numberedparagraphs"/>
        <w:numPr>
          <w:ilvl w:val="0"/>
          <w:numId w:val="6"/>
        </w:numPr>
        <w:tabs>
          <w:tab w:val="left" w:pos="720"/>
        </w:tabs>
        <w:rPr>
          <w:szCs w:val="22"/>
        </w:rPr>
      </w:pPr>
      <w:r w:rsidRPr="005074ED">
        <w:rPr>
          <w:szCs w:val="22"/>
          <w:u w:val="single"/>
        </w:rPr>
        <w:t>Total annual burden</w:t>
      </w:r>
      <w:r>
        <w:rPr>
          <w:szCs w:val="22"/>
        </w:rPr>
        <w:t xml:space="preserve">:  </w:t>
      </w:r>
      <w:r w:rsidRPr="00501942">
        <w:rPr>
          <w:b/>
          <w:bCs/>
          <w:szCs w:val="22"/>
        </w:rPr>
        <w:t xml:space="preserve">Approximately </w:t>
      </w:r>
      <w:r w:rsidR="00B9622A">
        <w:rPr>
          <w:b/>
          <w:bCs/>
          <w:szCs w:val="22"/>
        </w:rPr>
        <w:t>1,050</w:t>
      </w:r>
      <w:r>
        <w:rPr>
          <w:b/>
          <w:bCs/>
          <w:szCs w:val="22"/>
        </w:rPr>
        <w:t xml:space="preserve"> </w:t>
      </w:r>
      <w:r w:rsidRPr="00501942">
        <w:rPr>
          <w:b/>
          <w:bCs/>
          <w:szCs w:val="22"/>
        </w:rPr>
        <w:t>hours</w:t>
      </w:r>
      <w:r>
        <w:rPr>
          <w:szCs w:val="22"/>
        </w:rPr>
        <w:t>.</w:t>
      </w:r>
    </w:p>
    <w:p w:rsidR="004512B6" w:rsidP="004512B6" w14:paraId="07179825" w14:textId="28EBCDBD">
      <w:pPr>
        <w:pStyle w:val="Numberedparagraphs"/>
        <w:numPr>
          <w:ilvl w:val="0"/>
          <w:numId w:val="0"/>
        </w:numPr>
        <w:tabs>
          <w:tab w:val="left" w:pos="720"/>
        </w:tabs>
        <w:ind w:left="1800"/>
        <w:rPr>
          <w:szCs w:val="22"/>
        </w:rPr>
      </w:pPr>
      <w:r>
        <w:rPr>
          <w:szCs w:val="22"/>
        </w:rPr>
        <w:t>The Commission estimates that approximately 3</w:t>
      </w:r>
      <w:r w:rsidR="00A11E94">
        <w:rPr>
          <w:szCs w:val="22"/>
        </w:rPr>
        <w:t>5</w:t>
      </w:r>
      <w:r>
        <w:rPr>
          <w:szCs w:val="22"/>
        </w:rPr>
        <w:t xml:space="preserve"> providers will require approximately 30 hours each to comply with this requirement.</w:t>
      </w:r>
    </w:p>
    <w:p w:rsidR="004512B6" w:rsidP="004512B6" w14:paraId="2F348A2D" w14:textId="33F3E30E">
      <w:pPr>
        <w:pStyle w:val="Numberedparagraphs"/>
        <w:numPr>
          <w:ilvl w:val="0"/>
          <w:numId w:val="0"/>
        </w:numPr>
        <w:tabs>
          <w:tab w:val="left" w:pos="720"/>
        </w:tabs>
        <w:ind w:left="1800"/>
        <w:rPr>
          <w:szCs w:val="22"/>
        </w:rPr>
      </w:pPr>
      <w:r>
        <w:rPr>
          <w:szCs w:val="22"/>
        </w:rPr>
        <w:t>Approximately 3</w:t>
      </w:r>
      <w:r w:rsidR="004E3350">
        <w:rPr>
          <w:szCs w:val="22"/>
        </w:rPr>
        <w:t>5</w:t>
      </w:r>
      <w:r>
        <w:rPr>
          <w:szCs w:val="22"/>
        </w:rPr>
        <w:t xml:space="preserve"> respondents x approximately 1 response per year per respondent x approximately 30 hours per response = approximately </w:t>
      </w:r>
      <w:r w:rsidR="00B9622A">
        <w:rPr>
          <w:szCs w:val="22"/>
        </w:rPr>
        <w:t>1,050</w:t>
      </w:r>
      <w:r>
        <w:rPr>
          <w:szCs w:val="22"/>
        </w:rPr>
        <w:t xml:space="preserve"> hours.</w:t>
      </w:r>
    </w:p>
    <w:p w:rsidR="004512B6" w:rsidRPr="00501942" w:rsidP="004512B6" w14:paraId="0DA5A5CF" w14:textId="4B77C9EC">
      <w:pPr>
        <w:pStyle w:val="Numberedparagraphs"/>
        <w:numPr>
          <w:ilvl w:val="0"/>
          <w:numId w:val="6"/>
        </w:numPr>
        <w:tabs>
          <w:tab w:val="left" w:pos="720"/>
        </w:tabs>
        <w:rPr>
          <w:b/>
          <w:bCs/>
          <w:szCs w:val="22"/>
        </w:rPr>
      </w:pPr>
      <w:r w:rsidRPr="005074ED">
        <w:rPr>
          <w:szCs w:val="22"/>
          <w:u w:val="single"/>
        </w:rPr>
        <w:t>Total estimate of “in-house” cost to respondents</w:t>
      </w:r>
      <w:r>
        <w:rPr>
          <w:szCs w:val="22"/>
        </w:rPr>
        <w:t xml:space="preserve"> = </w:t>
      </w:r>
      <w:r w:rsidRPr="00501942">
        <w:rPr>
          <w:b/>
          <w:bCs/>
          <w:szCs w:val="22"/>
        </w:rPr>
        <w:t>$</w:t>
      </w:r>
      <w:r w:rsidR="006C1D7D">
        <w:rPr>
          <w:b/>
          <w:bCs/>
          <w:szCs w:val="22"/>
        </w:rPr>
        <w:t>111,730.50</w:t>
      </w:r>
      <w:r>
        <w:rPr>
          <w:b/>
          <w:bCs/>
          <w:szCs w:val="22"/>
        </w:rPr>
        <w:t>.</w:t>
      </w:r>
    </w:p>
    <w:p w:rsidR="004512B6" w:rsidP="004512B6" w14:paraId="26D6B84A" w14:textId="77777777">
      <w:pPr>
        <w:pStyle w:val="Numberedparagraphs"/>
        <w:numPr>
          <w:ilvl w:val="0"/>
          <w:numId w:val="6"/>
        </w:numPr>
        <w:tabs>
          <w:tab w:val="left" w:pos="720"/>
        </w:tabs>
        <w:rPr>
          <w:szCs w:val="22"/>
        </w:rPr>
      </w:pPr>
      <w:r w:rsidRPr="005074ED">
        <w:rPr>
          <w:szCs w:val="22"/>
          <w:u w:val="single"/>
        </w:rPr>
        <w:t>Explanation of this calculation</w:t>
      </w:r>
      <w:r>
        <w:rPr>
          <w:szCs w:val="22"/>
        </w:rPr>
        <w:t>:</w:t>
      </w:r>
    </w:p>
    <w:p w:rsidR="00F65287" w:rsidRPr="00ED4887" w:rsidP="00F65287" w14:paraId="47816D1C" w14:textId="0259B1C0">
      <w:pPr>
        <w:pStyle w:val="Numberedparagraphs"/>
        <w:numPr>
          <w:ilvl w:val="0"/>
          <w:numId w:val="0"/>
        </w:numPr>
        <w:tabs>
          <w:tab w:val="left" w:pos="720"/>
        </w:tabs>
        <w:ind w:left="1440"/>
        <w:rPr>
          <w:bCs/>
          <w:szCs w:val="22"/>
        </w:rPr>
      </w:pPr>
      <w:r>
        <w:rPr>
          <w:bCs/>
          <w:szCs w:val="22"/>
        </w:rPr>
        <w:t>We</w:t>
      </w:r>
      <w:r w:rsidRPr="00ED4887">
        <w:rPr>
          <w:bCs/>
          <w:szCs w:val="22"/>
        </w:rPr>
        <w:t xml:space="preserve"> estimate that respondents will use a variety of in-house personnel whose pay is comparable to </w:t>
      </w:r>
      <w:r>
        <w:rPr>
          <w:bCs/>
          <w:szCs w:val="22"/>
        </w:rPr>
        <w:t xml:space="preserve">that of </w:t>
      </w:r>
      <w:r w:rsidRPr="00ED4887">
        <w:rPr>
          <w:bCs/>
          <w:szCs w:val="22"/>
        </w:rPr>
        <w:t xml:space="preserve">mid-level to senior-level federal employees.  For mid-level employees, </w:t>
      </w:r>
      <w:r>
        <w:rPr>
          <w:bCs/>
          <w:szCs w:val="22"/>
        </w:rPr>
        <w:t xml:space="preserve">we </w:t>
      </w:r>
      <w:r w:rsidRPr="00ED4887">
        <w:rPr>
          <w:bCs/>
          <w:szCs w:val="22"/>
        </w:rPr>
        <w:t>estimate that respondents will use personnel comparable in pay to a GS 13/Step 5 employee earning $65.48 per hour.  For some specialized functions, we estimate that respondents will use personnel comparable in pay to a GS 14/5 employee earning $77.38 per hour.  For regulatory attorneys, we estimate that respondents will use personnel comparable in pay to a GS 15/Step 5 employee earning $91.02 per hour.  For upper management to supervise and review the work performed by the foregoing employees, we estimate that respondents will use personnel comparable in pay to a GS 15/Step 10 employee earning $93.53 per hour.</w:t>
      </w:r>
      <w:r>
        <w:rPr>
          <w:bCs/>
          <w:szCs w:val="22"/>
        </w:rPr>
        <w:t xml:space="preserve">  </w:t>
      </w:r>
    </w:p>
    <w:p w:rsidR="00F65287" w:rsidRPr="0022685D" w:rsidP="00F65287" w14:paraId="4B43AFBA" w14:textId="77777777">
      <w:pPr>
        <w:pStyle w:val="Numberedparagraphs"/>
        <w:numPr>
          <w:ilvl w:val="0"/>
          <w:numId w:val="0"/>
        </w:numPr>
        <w:tabs>
          <w:tab w:val="left" w:pos="720"/>
          <w:tab w:val="clear" w:pos="1440"/>
        </w:tabs>
        <w:ind w:left="1440"/>
      </w:pPr>
      <w:r w:rsidRPr="00ED4887">
        <w:rPr>
          <w:bCs/>
          <w:szCs w:val="22"/>
        </w:rPr>
        <w:t xml:space="preserve">The simple average of these hourly wages is $81.85.  </w:t>
      </w:r>
      <w:r>
        <w:rPr>
          <w:bCs/>
          <w:szCs w:val="22"/>
        </w:rPr>
        <w:t xml:space="preserve">We add a 30% overhead factor ($24.66 = 0.30 x $81.85) to this amount to capture the full range of costs providers will incur in complying with this information collection requirement.  </w:t>
      </w:r>
      <w:r w:rsidRPr="00ED4887">
        <w:rPr>
          <w:bCs/>
          <w:szCs w:val="22"/>
        </w:rPr>
        <w:t xml:space="preserve">Because we lack the </w:t>
      </w:r>
      <w:r w:rsidRPr="00ED4887">
        <w:rPr>
          <w:bCs/>
          <w:szCs w:val="22"/>
        </w:rPr>
        <w:t xml:space="preserve">information that would allow us to quantify the extent to which providers will use employees in each of these hourly wage groups to comply with </w:t>
      </w:r>
      <w:r>
        <w:rPr>
          <w:bCs/>
          <w:szCs w:val="22"/>
        </w:rPr>
        <w:t>the s</w:t>
      </w:r>
      <w:r w:rsidRPr="009F4EF0">
        <w:rPr>
          <w:bCs/>
          <w:szCs w:val="22"/>
        </w:rPr>
        <w:t xml:space="preserve">ection 64.6040(f) </w:t>
      </w:r>
      <w:r w:rsidRPr="00ED4887">
        <w:rPr>
          <w:bCs/>
          <w:szCs w:val="22"/>
        </w:rPr>
        <w:t xml:space="preserve">recordkeeping and disclosure requirements, we use </w:t>
      </w:r>
      <w:r>
        <w:rPr>
          <w:bCs/>
          <w:szCs w:val="22"/>
        </w:rPr>
        <w:t xml:space="preserve">the sum of these figures, $106.41 ($81.85 + $24.66), </w:t>
      </w:r>
      <w:r w:rsidRPr="00ED4887">
        <w:rPr>
          <w:bCs/>
          <w:szCs w:val="22"/>
        </w:rPr>
        <w:t xml:space="preserve">to estimate respondents’ </w:t>
      </w:r>
      <w:r>
        <w:rPr>
          <w:bCs/>
          <w:szCs w:val="22"/>
        </w:rPr>
        <w:t xml:space="preserve">fully loaded per hour </w:t>
      </w:r>
      <w:r w:rsidRPr="00ED4887">
        <w:rPr>
          <w:bCs/>
          <w:szCs w:val="22"/>
        </w:rPr>
        <w:t>in-house costs.</w:t>
      </w:r>
    </w:p>
    <w:p w:rsidR="00F65287" w:rsidP="00F65287" w14:paraId="7EB94344" w14:textId="780A9B6F">
      <w:pPr>
        <w:tabs>
          <w:tab w:val="left" w:pos="-720"/>
        </w:tabs>
        <w:suppressAutoHyphens/>
        <w:ind w:left="1440"/>
        <w:rPr>
          <w:szCs w:val="22"/>
        </w:rPr>
      </w:pPr>
      <w:r>
        <w:rPr>
          <w:szCs w:val="22"/>
        </w:rPr>
        <w:t>Thus, approximately 1,</w:t>
      </w:r>
      <w:r w:rsidR="00FC1DEF">
        <w:rPr>
          <w:szCs w:val="22"/>
        </w:rPr>
        <w:t>050</w:t>
      </w:r>
      <w:r>
        <w:rPr>
          <w:szCs w:val="22"/>
        </w:rPr>
        <w:t xml:space="preserve"> hours per year x $106.41 per hour = $</w:t>
      </w:r>
      <w:r w:rsidR="00590B23">
        <w:rPr>
          <w:szCs w:val="22"/>
        </w:rPr>
        <w:t>11</w:t>
      </w:r>
      <w:r w:rsidR="00593CBC">
        <w:rPr>
          <w:szCs w:val="22"/>
        </w:rPr>
        <w:t>,</w:t>
      </w:r>
      <w:r w:rsidR="00590B23">
        <w:rPr>
          <w:szCs w:val="22"/>
        </w:rPr>
        <w:t>730.50</w:t>
      </w:r>
      <w:r>
        <w:rPr>
          <w:szCs w:val="22"/>
        </w:rPr>
        <w:t xml:space="preserve"> per year.</w:t>
      </w:r>
    </w:p>
    <w:p w:rsidR="00EF46D0" w:rsidP="00EF46D0" w14:paraId="49A1A8E8" w14:textId="77777777">
      <w:pPr>
        <w:tabs>
          <w:tab w:val="left" w:pos="-720"/>
        </w:tabs>
        <w:suppressAutoHyphens/>
        <w:rPr>
          <w:szCs w:val="22"/>
        </w:rPr>
      </w:pPr>
    </w:p>
    <w:bookmarkEnd w:id="5"/>
    <w:bookmarkEnd w:id="6"/>
    <w:p w:rsidR="007E0735" w:rsidRPr="006E6E53" w:rsidP="00FE7051" w14:paraId="7D7AB5B5" w14:textId="2CB6ED68">
      <w:pPr>
        <w:keepLines/>
        <w:widowControl/>
        <w:tabs>
          <w:tab w:val="left" w:pos="-720"/>
        </w:tabs>
        <w:suppressAutoHyphens/>
        <w:rPr>
          <w:szCs w:val="22"/>
        </w:rPr>
      </w:pPr>
      <w:r w:rsidRPr="004460F4">
        <w:rPr>
          <w:b/>
          <w:spacing w:val="-3"/>
          <w:szCs w:val="22"/>
          <w:u w:val="single"/>
        </w:rPr>
        <w:t>Total Annual Burden Hours</w:t>
      </w:r>
      <w:r w:rsidRPr="000A61AF">
        <w:rPr>
          <w:b/>
          <w:spacing w:val="-3"/>
          <w:szCs w:val="22"/>
        </w:rPr>
        <w:t>:</w:t>
      </w:r>
    </w:p>
    <w:p w:rsidR="007E0735" w:rsidRPr="004460F4" w:rsidP="007E0735" w14:paraId="6799D783" w14:textId="77777777">
      <w:pPr>
        <w:tabs>
          <w:tab w:val="left" w:pos="-720"/>
        </w:tabs>
        <w:suppressAutoHyphens/>
        <w:rPr>
          <w:b/>
          <w:spacing w:val="-3"/>
          <w:szCs w:val="22"/>
        </w:rPr>
      </w:pPr>
    </w:p>
    <w:p w:rsidR="00F75B5C" w:rsidRPr="00C8066B" w:rsidP="00C8066B" w14:paraId="2F58526B" w14:textId="60F3646E">
      <w:pPr>
        <w:pStyle w:val="ListParagraph"/>
        <w:numPr>
          <w:ilvl w:val="0"/>
          <w:numId w:val="40"/>
        </w:numPr>
        <w:tabs>
          <w:tab w:val="left" w:pos="-720"/>
        </w:tabs>
        <w:suppressAutoHyphens/>
        <w:rPr>
          <w:spacing w:val="-3"/>
          <w:szCs w:val="22"/>
        </w:rPr>
      </w:pPr>
      <w:r>
        <w:rPr>
          <w:spacing w:val="-3"/>
          <w:szCs w:val="22"/>
        </w:rPr>
        <w:t>Alternate Pricing Plans</w:t>
      </w:r>
      <w:r>
        <w:rPr>
          <w:spacing w:val="-3"/>
          <w:szCs w:val="22"/>
        </w:rPr>
        <w:tab/>
      </w:r>
      <w:r>
        <w:rPr>
          <w:spacing w:val="-3"/>
          <w:szCs w:val="22"/>
        </w:rPr>
        <w:tab/>
      </w:r>
      <w:r>
        <w:rPr>
          <w:spacing w:val="-3"/>
          <w:szCs w:val="22"/>
        </w:rPr>
        <w:tab/>
      </w:r>
      <w:r>
        <w:rPr>
          <w:spacing w:val="-3"/>
          <w:szCs w:val="22"/>
        </w:rPr>
        <w:tab/>
      </w:r>
      <w:r>
        <w:rPr>
          <w:spacing w:val="-3"/>
          <w:szCs w:val="22"/>
        </w:rPr>
        <w:tab/>
      </w:r>
      <w:r w:rsidR="00913889">
        <w:rPr>
          <w:spacing w:val="-3"/>
          <w:szCs w:val="22"/>
        </w:rPr>
        <w:tab/>
      </w:r>
      <w:r w:rsidR="00913889">
        <w:rPr>
          <w:spacing w:val="-3"/>
          <w:szCs w:val="22"/>
        </w:rPr>
        <w:tab/>
      </w:r>
      <w:r>
        <w:rPr>
          <w:spacing w:val="-3"/>
          <w:szCs w:val="22"/>
        </w:rPr>
        <w:tab/>
      </w:r>
      <w:r w:rsidR="00947293">
        <w:rPr>
          <w:spacing w:val="-3"/>
          <w:szCs w:val="22"/>
        </w:rPr>
        <w:t>1,</w:t>
      </w:r>
      <w:r>
        <w:rPr>
          <w:spacing w:val="-3"/>
          <w:szCs w:val="22"/>
        </w:rPr>
        <w:t xml:space="preserve">400 </w:t>
      </w:r>
      <w:r>
        <w:rPr>
          <w:spacing w:val="-3"/>
          <w:szCs w:val="22"/>
        </w:rPr>
        <w:tab/>
      </w:r>
    </w:p>
    <w:p w:rsidR="00FD731C" w:rsidP="00C8066B" w14:paraId="26F299CC" w14:textId="77777777">
      <w:pPr>
        <w:pStyle w:val="ListParagraph"/>
        <w:tabs>
          <w:tab w:val="left" w:pos="-720"/>
        </w:tabs>
        <w:suppressAutoHyphens/>
        <w:rPr>
          <w:spacing w:val="-3"/>
          <w:szCs w:val="22"/>
        </w:rPr>
      </w:pPr>
    </w:p>
    <w:p w:rsidR="007E0735" w:rsidRPr="00DD7EDF" w:rsidP="00C67C7C" w14:paraId="13EDB90C" w14:textId="73A8D74B">
      <w:pPr>
        <w:pStyle w:val="ListParagraph"/>
        <w:numPr>
          <w:ilvl w:val="0"/>
          <w:numId w:val="40"/>
        </w:numPr>
        <w:tabs>
          <w:tab w:val="left" w:pos="-720"/>
        </w:tabs>
        <w:suppressAutoHyphens/>
        <w:rPr>
          <w:spacing w:val="-3"/>
          <w:szCs w:val="22"/>
        </w:rPr>
      </w:pPr>
      <w:r w:rsidRPr="00DD7EDF">
        <w:rPr>
          <w:spacing w:val="-3"/>
          <w:szCs w:val="22"/>
        </w:rPr>
        <w:t>Re</w:t>
      </w:r>
      <w:r w:rsidRPr="00DD7EDF" w:rsidR="003B712A">
        <w:rPr>
          <w:spacing w:val="-3"/>
          <w:szCs w:val="22"/>
        </w:rPr>
        <w:t>porting</w:t>
      </w:r>
      <w:r w:rsidRPr="00DD7EDF">
        <w:rPr>
          <w:spacing w:val="-3"/>
          <w:szCs w:val="22"/>
        </w:rPr>
        <w:t xml:space="preserve"> Requirement</w:t>
      </w:r>
      <w:r w:rsidRPr="00DD7EDF" w:rsidR="00C47AAF">
        <w:rPr>
          <w:spacing w:val="-3"/>
          <w:szCs w:val="22"/>
        </w:rPr>
        <w:t xml:space="preserve"> (Annual Reports)</w:t>
      </w:r>
      <w:r w:rsidRPr="00DD7EDF" w:rsidR="0070245F">
        <w:rPr>
          <w:spacing w:val="-3"/>
          <w:szCs w:val="22"/>
        </w:rPr>
        <w:t>:</w:t>
      </w:r>
      <w:r w:rsidRPr="00DD7EDF" w:rsidR="00FE7051">
        <w:rPr>
          <w:spacing w:val="-3"/>
          <w:szCs w:val="22"/>
        </w:rPr>
        <w:tab/>
      </w:r>
      <w:r w:rsidRPr="00DD7EDF" w:rsidR="00FE7051">
        <w:rPr>
          <w:spacing w:val="-3"/>
          <w:szCs w:val="22"/>
        </w:rPr>
        <w:tab/>
      </w:r>
      <w:r w:rsidRPr="00DD7EDF" w:rsidR="00FE7051">
        <w:rPr>
          <w:spacing w:val="-3"/>
          <w:szCs w:val="22"/>
        </w:rPr>
        <w:tab/>
      </w:r>
      <w:r w:rsidRPr="00DD7EDF" w:rsidR="00FE7051">
        <w:rPr>
          <w:spacing w:val="-3"/>
          <w:szCs w:val="22"/>
        </w:rPr>
        <w:tab/>
      </w:r>
      <w:r w:rsidRPr="00DD7EDF" w:rsidR="00FE7051">
        <w:rPr>
          <w:spacing w:val="-3"/>
          <w:szCs w:val="22"/>
        </w:rPr>
        <w:tab/>
        <w:t>5,600</w:t>
      </w:r>
      <w:r w:rsidRPr="00DD7EDF" w:rsidR="00C64D05">
        <w:rPr>
          <w:spacing w:val="-3"/>
          <w:szCs w:val="22"/>
        </w:rPr>
        <w:tab/>
      </w:r>
      <w:r w:rsidRPr="00DD7EDF" w:rsidR="00C64D05">
        <w:rPr>
          <w:spacing w:val="-3"/>
          <w:szCs w:val="22"/>
        </w:rPr>
        <w:tab/>
      </w:r>
      <w:r w:rsidRPr="00DD7EDF" w:rsidR="003D2931">
        <w:rPr>
          <w:spacing w:val="-3"/>
          <w:szCs w:val="22"/>
        </w:rPr>
        <w:tab/>
      </w:r>
      <w:r w:rsidRPr="00DD7EDF" w:rsidR="004A0A24">
        <w:rPr>
          <w:spacing w:val="-3"/>
          <w:szCs w:val="22"/>
        </w:rPr>
        <w:t xml:space="preserve">  </w:t>
      </w:r>
      <w:r w:rsidRPr="00DD7EDF" w:rsidR="00CF71C4">
        <w:rPr>
          <w:spacing w:val="-3"/>
          <w:szCs w:val="22"/>
        </w:rPr>
        <w:tab/>
      </w:r>
    </w:p>
    <w:p w:rsidR="0090799B" w:rsidP="00C67C7C" w14:paraId="5EC2C817" w14:textId="3D3EF98C">
      <w:pPr>
        <w:pStyle w:val="ListParagraph"/>
        <w:numPr>
          <w:ilvl w:val="0"/>
          <w:numId w:val="40"/>
        </w:numPr>
        <w:tabs>
          <w:tab w:val="left" w:pos="-720"/>
        </w:tabs>
        <w:suppressAutoHyphens/>
        <w:rPr>
          <w:spacing w:val="-3"/>
          <w:szCs w:val="22"/>
        </w:rPr>
      </w:pPr>
      <w:r>
        <w:rPr>
          <w:spacing w:val="-3"/>
          <w:szCs w:val="22"/>
        </w:rPr>
        <w:t>C</w:t>
      </w:r>
      <w:r w:rsidRPr="004460F4" w:rsidR="003B712A">
        <w:rPr>
          <w:spacing w:val="-3"/>
          <w:szCs w:val="22"/>
        </w:rPr>
        <w:t xml:space="preserve">ertification </w:t>
      </w:r>
      <w:r w:rsidRPr="004460F4" w:rsidR="004A0A24">
        <w:rPr>
          <w:spacing w:val="-3"/>
          <w:szCs w:val="22"/>
        </w:rPr>
        <w:t>Requirement:</w:t>
      </w:r>
      <w:r w:rsidR="00795EEF">
        <w:rPr>
          <w:spacing w:val="-3"/>
          <w:szCs w:val="22"/>
        </w:rPr>
        <w:tab/>
      </w:r>
      <w:r w:rsidR="00795EEF">
        <w:rPr>
          <w:spacing w:val="-3"/>
          <w:szCs w:val="22"/>
        </w:rPr>
        <w:tab/>
      </w:r>
      <w:r w:rsidR="0069062B">
        <w:rPr>
          <w:spacing w:val="-3"/>
          <w:szCs w:val="22"/>
        </w:rPr>
        <w:tab/>
      </w:r>
      <w:r w:rsidR="0069062B">
        <w:rPr>
          <w:spacing w:val="-3"/>
          <w:szCs w:val="22"/>
        </w:rPr>
        <w:tab/>
      </w:r>
      <w:r w:rsidR="0069062B">
        <w:rPr>
          <w:spacing w:val="-3"/>
          <w:szCs w:val="22"/>
        </w:rPr>
        <w:tab/>
      </w:r>
      <w:r w:rsidR="0069062B">
        <w:rPr>
          <w:spacing w:val="-3"/>
          <w:szCs w:val="22"/>
        </w:rPr>
        <w:tab/>
      </w:r>
      <w:r w:rsidR="0069062B">
        <w:rPr>
          <w:spacing w:val="-3"/>
          <w:szCs w:val="22"/>
        </w:rPr>
        <w:tab/>
      </w:r>
      <w:r w:rsidR="00F27C49">
        <w:rPr>
          <w:spacing w:val="-3"/>
          <w:szCs w:val="22"/>
        </w:rPr>
        <w:t xml:space="preserve">   </w:t>
      </w:r>
      <w:r w:rsidRPr="0069062B" w:rsidR="0069062B">
        <w:rPr>
          <w:spacing w:val="-3"/>
          <w:szCs w:val="22"/>
        </w:rPr>
        <w:t>1</w:t>
      </w:r>
      <w:r w:rsidR="009E43A9">
        <w:rPr>
          <w:spacing w:val="-3"/>
          <w:szCs w:val="22"/>
        </w:rPr>
        <w:t>75</w:t>
      </w:r>
      <w:r w:rsidR="0022685D">
        <w:rPr>
          <w:spacing w:val="-3"/>
          <w:szCs w:val="22"/>
        </w:rPr>
        <w:tab/>
      </w:r>
    </w:p>
    <w:p w:rsidR="00126AB9" w:rsidP="000A61AF" w14:paraId="7D83C35B" w14:textId="33F84BA6">
      <w:pPr>
        <w:tabs>
          <w:tab w:val="left" w:pos="-720"/>
        </w:tabs>
        <w:suppressAutoHyphens/>
        <w:rPr>
          <w:spacing w:val="-3"/>
          <w:szCs w:val="22"/>
        </w:rPr>
      </w:pPr>
    </w:p>
    <w:p w:rsidR="00AD1BF2" w:rsidRPr="000A61AF" w:rsidP="00C67C7C" w14:paraId="5FB572C1" w14:textId="2D02C39D">
      <w:pPr>
        <w:pStyle w:val="ListParagraph"/>
        <w:numPr>
          <w:ilvl w:val="0"/>
          <w:numId w:val="40"/>
        </w:numPr>
        <w:tabs>
          <w:tab w:val="left" w:pos="-720"/>
        </w:tabs>
        <w:suppressAutoHyphens/>
        <w:rPr>
          <w:spacing w:val="-3"/>
          <w:szCs w:val="22"/>
        </w:rPr>
      </w:pPr>
      <w:r>
        <w:rPr>
          <w:spacing w:val="-3"/>
          <w:szCs w:val="22"/>
        </w:rPr>
        <w:t>S</w:t>
      </w:r>
      <w:r w:rsidR="00740942">
        <w:rPr>
          <w:spacing w:val="-3"/>
          <w:szCs w:val="22"/>
        </w:rPr>
        <w:t>ection 64.6040(c) Requirements:</w:t>
      </w:r>
      <w:r w:rsidR="00740942">
        <w:rPr>
          <w:spacing w:val="-3"/>
          <w:szCs w:val="22"/>
        </w:rPr>
        <w:tab/>
      </w:r>
      <w:r w:rsidR="00740942">
        <w:rPr>
          <w:spacing w:val="-3"/>
          <w:szCs w:val="22"/>
        </w:rPr>
        <w:tab/>
        <w:t xml:space="preserve"> </w:t>
      </w:r>
      <w:r w:rsidR="00740942">
        <w:rPr>
          <w:spacing w:val="-3"/>
          <w:szCs w:val="22"/>
        </w:rPr>
        <w:tab/>
      </w:r>
      <w:r w:rsidR="00740942">
        <w:rPr>
          <w:spacing w:val="-3"/>
          <w:szCs w:val="22"/>
        </w:rPr>
        <w:tab/>
      </w:r>
      <w:r w:rsidR="00740942">
        <w:rPr>
          <w:spacing w:val="-3"/>
          <w:szCs w:val="22"/>
        </w:rPr>
        <w:tab/>
      </w:r>
      <w:r w:rsidR="00740942">
        <w:rPr>
          <w:spacing w:val="-3"/>
          <w:szCs w:val="22"/>
        </w:rPr>
        <w:tab/>
      </w:r>
      <w:r w:rsidRPr="000A61AF" w:rsidR="00740942">
        <w:rPr>
          <w:spacing w:val="-3"/>
          <w:szCs w:val="22"/>
        </w:rPr>
        <w:t>1,400</w:t>
      </w:r>
    </w:p>
    <w:p w:rsidR="002646EF" w:rsidP="00126AB9" w14:paraId="678BF786" w14:textId="577AE656">
      <w:pPr>
        <w:tabs>
          <w:tab w:val="left" w:pos="-720"/>
        </w:tabs>
        <w:suppressAutoHyphens/>
        <w:rPr>
          <w:spacing w:val="-3"/>
          <w:szCs w:val="22"/>
        </w:rPr>
      </w:pPr>
      <w:r>
        <w:rPr>
          <w:spacing w:val="-3"/>
          <w:szCs w:val="22"/>
        </w:rPr>
        <w:tab/>
      </w:r>
    </w:p>
    <w:p w:rsidR="00126AB9" w:rsidP="00C67C7C" w14:paraId="113DEA5B" w14:textId="71F21AFA">
      <w:pPr>
        <w:pStyle w:val="ListParagraph"/>
        <w:numPr>
          <w:ilvl w:val="0"/>
          <w:numId w:val="40"/>
        </w:numPr>
        <w:tabs>
          <w:tab w:val="left" w:pos="-720"/>
        </w:tabs>
        <w:suppressAutoHyphens/>
        <w:rPr>
          <w:spacing w:val="-3"/>
          <w:szCs w:val="22"/>
        </w:rPr>
      </w:pPr>
      <w:r>
        <w:rPr>
          <w:spacing w:val="-3"/>
          <w:szCs w:val="22"/>
        </w:rPr>
        <w:t>Waiver Request Reporting Requirement:</w:t>
      </w:r>
      <w:r w:rsidR="00C64D05">
        <w:rPr>
          <w:spacing w:val="-3"/>
          <w:szCs w:val="22"/>
        </w:rPr>
        <w:tab/>
      </w:r>
      <w:r w:rsidR="00C64D05">
        <w:rPr>
          <w:spacing w:val="-3"/>
          <w:szCs w:val="22"/>
        </w:rPr>
        <w:tab/>
      </w:r>
      <w:r w:rsidR="00C64D05">
        <w:rPr>
          <w:spacing w:val="-3"/>
          <w:szCs w:val="22"/>
        </w:rPr>
        <w:tab/>
      </w:r>
      <w:r w:rsidRPr="000D71DD" w:rsidR="00AC0351">
        <w:rPr>
          <w:spacing w:val="-3"/>
          <w:szCs w:val="22"/>
        </w:rPr>
        <w:t xml:space="preserve">   </w:t>
      </w:r>
      <w:r w:rsidR="0022685D">
        <w:rPr>
          <w:spacing w:val="-3"/>
          <w:szCs w:val="22"/>
        </w:rPr>
        <w:tab/>
      </w:r>
      <w:r w:rsidR="00795EEF">
        <w:rPr>
          <w:spacing w:val="-3"/>
          <w:szCs w:val="22"/>
        </w:rPr>
        <w:tab/>
      </w:r>
      <w:r w:rsidR="00795EEF">
        <w:rPr>
          <w:spacing w:val="-3"/>
          <w:szCs w:val="22"/>
        </w:rPr>
        <w:tab/>
      </w:r>
      <w:r w:rsidR="009F322A">
        <w:rPr>
          <w:spacing w:val="-3"/>
          <w:szCs w:val="22"/>
        </w:rPr>
        <w:t xml:space="preserve">  </w:t>
      </w:r>
      <w:r w:rsidR="009F322A">
        <w:rPr>
          <w:spacing w:val="-3"/>
          <w:szCs w:val="22"/>
        </w:rPr>
        <w:t xml:space="preserve"> </w:t>
      </w:r>
      <w:r w:rsidR="0022685D">
        <w:rPr>
          <w:spacing w:val="-3"/>
          <w:szCs w:val="22"/>
        </w:rPr>
        <w:t>240</w:t>
      </w:r>
    </w:p>
    <w:p w:rsidR="00C55EA1" w:rsidP="00AD1BF2" w14:paraId="7383DB1D" w14:textId="42161723">
      <w:pPr>
        <w:tabs>
          <w:tab w:val="left" w:pos="-720"/>
        </w:tabs>
        <w:suppressAutoHyphens/>
        <w:rPr>
          <w:spacing w:val="-3"/>
          <w:szCs w:val="22"/>
        </w:rPr>
      </w:pPr>
    </w:p>
    <w:p w:rsidR="00AD1BF2" w:rsidP="00C67C7C" w14:paraId="1AEA7A5D" w14:textId="20E35294">
      <w:pPr>
        <w:pStyle w:val="ListParagraph"/>
        <w:numPr>
          <w:ilvl w:val="0"/>
          <w:numId w:val="40"/>
        </w:numPr>
        <w:tabs>
          <w:tab w:val="left" w:pos="-720"/>
        </w:tabs>
        <w:suppressAutoHyphens/>
        <w:rPr>
          <w:spacing w:val="-3"/>
          <w:szCs w:val="22"/>
        </w:rPr>
      </w:pPr>
      <w:r>
        <w:rPr>
          <w:spacing w:val="-3"/>
          <w:szCs w:val="22"/>
        </w:rPr>
        <w:t>Consumer Disclosure Requirements:</w:t>
      </w:r>
      <w:r>
        <w:rPr>
          <w:spacing w:val="-3"/>
          <w:szCs w:val="22"/>
        </w:rPr>
        <w:tab/>
      </w:r>
      <w:r>
        <w:rPr>
          <w:spacing w:val="-3"/>
          <w:szCs w:val="22"/>
        </w:rPr>
        <w:tab/>
      </w:r>
      <w:r>
        <w:rPr>
          <w:spacing w:val="-3"/>
          <w:szCs w:val="22"/>
        </w:rPr>
        <w:tab/>
      </w:r>
    </w:p>
    <w:p w:rsidR="00AD1BF2" w:rsidP="000A61AF" w14:paraId="2EBF9EE1" w14:textId="77777777">
      <w:pPr>
        <w:pStyle w:val="ListParagraph"/>
        <w:numPr>
          <w:ilvl w:val="0"/>
          <w:numId w:val="8"/>
        </w:numPr>
        <w:tabs>
          <w:tab w:val="left" w:pos="-720"/>
        </w:tabs>
        <w:suppressAutoHyphens/>
        <w:ind w:left="1080"/>
        <w:rPr>
          <w:spacing w:val="-3"/>
          <w:szCs w:val="22"/>
        </w:rPr>
      </w:pPr>
      <w:r>
        <w:rPr>
          <w:spacing w:val="-3"/>
          <w:szCs w:val="22"/>
        </w:rPr>
        <w:t>Disclosure of Interstate, Intrastate, and</w:t>
      </w:r>
    </w:p>
    <w:p w:rsidR="00AD1BF2" w:rsidP="000A61AF" w14:paraId="083EF602" w14:textId="4989AA2A">
      <w:pPr>
        <w:pStyle w:val="ListParagraph"/>
        <w:tabs>
          <w:tab w:val="left" w:pos="-720"/>
        </w:tabs>
        <w:suppressAutoHyphens/>
        <w:ind w:left="1080"/>
        <w:rPr>
          <w:spacing w:val="-3"/>
          <w:szCs w:val="22"/>
        </w:rPr>
      </w:pPr>
      <w:r>
        <w:rPr>
          <w:spacing w:val="-3"/>
          <w:szCs w:val="22"/>
        </w:rPr>
        <w:t>International Rates and Ancillary Service Charges:</w:t>
      </w:r>
      <w:r>
        <w:rPr>
          <w:spacing w:val="-3"/>
          <w:szCs w:val="22"/>
        </w:rPr>
        <w:tab/>
      </w:r>
      <w:r w:rsidR="00515B85">
        <w:rPr>
          <w:spacing w:val="-3"/>
          <w:szCs w:val="22"/>
        </w:rPr>
        <w:tab/>
      </w:r>
      <w:r w:rsidR="00515B85">
        <w:rPr>
          <w:spacing w:val="-3"/>
          <w:szCs w:val="22"/>
        </w:rPr>
        <w:tab/>
      </w:r>
      <w:r>
        <w:rPr>
          <w:spacing w:val="-3"/>
          <w:szCs w:val="22"/>
        </w:rPr>
        <w:tab/>
      </w:r>
      <w:r>
        <w:rPr>
          <w:spacing w:val="-3"/>
          <w:szCs w:val="22"/>
        </w:rPr>
        <w:t xml:space="preserve">  </w:t>
      </w:r>
      <w:r w:rsidR="009F2D15">
        <w:rPr>
          <w:spacing w:val="-3"/>
          <w:szCs w:val="22"/>
        </w:rPr>
        <w:t xml:space="preserve"> </w:t>
      </w:r>
      <w:r>
        <w:rPr>
          <w:spacing w:val="-3"/>
          <w:szCs w:val="22"/>
        </w:rPr>
        <w:t>700</w:t>
      </w:r>
    </w:p>
    <w:p w:rsidR="00AD1BF2" w:rsidP="000A61AF" w14:paraId="5BB2845F" w14:textId="066C26EF">
      <w:pPr>
        <w:pStyle w:val="ListParagraph"/>
        <w:numPr>
          <w:ilvl w:val="0"/>
          <w:numId w:val="8"/>
        </w:numPr>
        <w:tabs>
          <w:tab w:val="left" w:pos="-720"/>
        </w:tabs>
        <w:suppressAutoHyphens/>
        <w:ind w:left="1080"/>
        <w:rPr>
          <w:spacing w:val="-3"/>
          <w:szCs w:val="22"/>
        </w:rPr>
      </w:pPr>
      <w:r>
        <w:rPr>
          <w:spacing w:val="-3"/>
          <w:szCs w:val="22"/>
        </w:rPr>
        <w:t>Consumer Disclosure Billing Requirement:</w:t>
      </w:r>
      <w:r>
        <w:rPr>
          <w:spacing w:val="-3"/>
          <w:szCs w:val="22"/>
        </w:rPr>
        <w:tab/>
      </w:r>
      <w:r>
        <w:rPr>
          <w:spacing w:val="-3"/>
          <w:szCs w:val="22"/>
        </w:rPr>
        <w:tab/>
        <w:t xml:space="preserve">   </w:t>
      </w:r>
      <w:r>
        <w:rPr>
          <w:spacing w:val="-3"/>
          <w:szCs w:val="22"/>
        </w:rPr>
        <w:tab/>
      </w:r>
      <w:r w:rsidR="00515B85">
        <w:rPr>
          <w:spacing w:val="-3"/>
          <w:szCs w:val="22"/>
        </w:rPr>
        <w:tab/>
      </w:r>
      <w:r w:rsidR="00515B85">
        <w:rPr>
          <w:spacing w:val="-3"/>
          <w:szCs w:val="22"/>
        </w:rPr>
        <w:tab/>
      </w:r>
      <w:r w:rsidRPr="000A61AF">
        <w:rPr>
          <w:spacing w:val="-3"/>
          <w:szCs w:val="22"/>
          <w:u w:val="single"/>
        </w:rPr>
        <w:t>1,050</w:t>
      </w:r>
    </w:p>
    <w:p w:rsidR="000D71DD" w:rsidP="00C035EB" w14:paraId="57693D88" w14:textId="1A1BE209">
      <w:pPr>
        <w:tabs>
          <w:tab w:val="left" w:pos="-720"/>
        </w:tabs>
        <w:suppressAutoHyphens/>
        <w:rPr>
          <w:spacing w:val="-3"/>
          <w:szCs w:val="22"/>
          <w:u w:val="single"/>
        </w:rPr>
      </w:pPr>
    </w:p>
    <w:p w:rsidR="00FE7051" w:rsidRPr="004A6C14" w:rsidP="00126AB9" w14:paraId="4948EE08" w14:textId="77777777">
      <w:pPr>
        <w:tabs>
          <w:tab w:val="left" w:pos="-720"/>
        </w:tabs>
        <w:suppressAutoHyphens/>
        <w:rPr>
          <w:spacing w:val="-3"/>
          <w:szCs w:val="22"/>
          <w:u w:val="single"/>
        </w:rPr>
      </w:pPr>
    </w:p>
    <w:p w:rsidR="0022685D" w:rsidRPr="00FE7051" w:rsidP="00126AB9" w14:paraId="0F458319" w14:textId="4BE3A95E">
      <w:pPr>
        <w:tabs>
          <w:tab w:val="left" w:pos="-720"/>
        </w:tabs>
        <w:suppressAutoHyphens/>
        <w:rPr>
          <w:b/>
          <w:bCs/>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FE7051" w:rsidR="004A6C14">
        <w:rPr>
          <w:b/>
          <w:bCs/>
          <w:spacing w:val="-3"/>
          <w:szCs w:val="22"/>
        </w:rPr>
        <w:t>Total Hours:</w:t>
      </w:r>
      <w:r w:rsidRPr="00FE7051" w:rsidR="00FE7051">
        <w:rPr>
          <w:b/>
          <w:bCs/>
          <w:spacing w:val="-3"/>
          <w:szCs w:val="22"/>
        </w:rPr>
        <w:tab/>
      </w:r>
      <w:r w:rsidR="00C52A50">
        <w:rPr>
          <w:b/>
          <w:bCs/>
          <w:spacing w:val="-3"/>
          <w:szCs w:val="22"/>
        </w:rPr>
        <w:t>1</w:t>
      </w:r>
      <w:r w:rsidR="00C44D24">
        <w:rPr>
          <w:b/>
          <w:bCs/>
          <w:spacing w:val="-3"/>
          <w:szCs w:val="22"/>
        </w:rPr>
        <w:t>0</w:t>
      </w:r>
      <w:r w:rsidRPr="00FE7051" w:rsidR="00FE7051">
        <w:rPr>
          <w:b/>
          <w:bCs/>
          <w:spacing w:val="-3"/>
          <w:szCs w:val="22"/>
        </w:rPr>
        <w:t>,</w:t>
      </w:r>
      <w:r w:rsidR="00BB4707">
        <w:rPr>
          <w:b/>
          <w:bCs/>
          <w:spacing w:val="-3"/>
          <w:szCs w:val="22"/>
        </w:rPr>
        <w:t>5</w:t>
      </w:r>
      <w:r w:rsidRPr="00FE7051" w:rsidR="00FE7051">
        <w:rPr>
          <w:b/>
          <w:bCs/>
          <w:spacing w:val="-3"/>
          <w:szCs w:val="22"/>
        </w:rPr>
        <w:t>65.</w:t>
      </w:r>
      <w:r w:rsidRPr="00FE7051">
        <w:rPr>
          <w:b/>
          <w:bCs/>
          <w:spacing w:val="-3"/>
          <w:szCs w:val="22"/>
        </w:rPr>
        <w:tab/>
      </w:r>
    </w:p>
    <w:p w:rsidR="000D71DD" w:rsidRPr="00FE7051" w:rsidP="00126AB9" w14:paraId="3C103100" w14:textId="34739B9E">
      <w:pPr>
        <w:tabs>
          <w:tab w:val="left" w:pos="-720"/>
        </w:tabs>
        <w:suppressAutoHyphens/>
        <w:rPr>
          <w:b/>
          <w:bCs/>
          <w:spacing w:val="-3"/>
          <w:szCs w:val="22"/>
          <w:u w:val="single"/>
        </w:rPr>
      </w:pPr>
    </w:p>
    <w:p w:rsidR="00126AB9" w:rsidRPr="009869AE" w:rsidP="009869AE" w14:paraId="3DFA6994" w14:textId="44B9C501">
      <w:pPr>
        <w:pStyle w:val="ListParagraph"/>
        <w:tabs>
          <w:tab w:val="left" w:pos="-720"/>
        </w:tabs>
        <w:suppressAutoHyphens/>
        <w:ind w:left="2520"/>
        <w:rPr>
          <w:b/>
          <w:bCs/>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p>
    <w:p w:rsidR="001946D2" w:rsidRPr="00AB1E80" w:rsidP="007E0735" w14:paraId="2019BFB2" w14:textId="072EC310">
      <w:pPr>
        <w:tabs>
          <w:tab w:val="left" w:pos="-720"/>
        </w:tabs>
        <w:suppressAutoHyphens/>
        <w:ind w:left="720"/>
        <w:rPr>
          <w:b/>
          <w:spacing w:val="-3"/>
          <w:szCs w:val="22"/>
        </w:rPr>
      </w:pPr>
      <w:r w:rsidRPr="004460F4">
        <w:rPr>
          <w:b/>
          <w:spacing w:val="-3"/>
          <w:szCs w:val="22"/>
        </w:rPr>
        <w:t xml:space="preserve">Total Respondents:  </w:t>
      </w:r>
      <w:r w:rsidR="00356B66">
        <w:rPr>
          <w:b/>
          <w:spacing w:val="-3"/>
          <w:szCs w:val="22"/>
        </w:rPr>
        <w:t>3</w:t>
      </w:r>
      <w:r w:rsidR="00C26F48">
        <w:rPr>
          <w:b/>
          <w:spacing w:val="-3"/>
          <w:szCs w:val="22"/>
        </w:rPr>
        <w:t>5</w:t>
      </w:r>
      <w:r w:rsidR="00715D7E">
        <w:rPr>
          <w:b/>
          <w:spacing w:val="-3"/>
          <w:szCs w:val="22"/>
        </w:rPr>
        <w:t>.</w:t>
      </w:r>
    </w:p>
    <w:p w:rsidR="00E34679" w:rsidP="007E0735" w14:paraId="387F1BE6" w14:textId="479A23CF">
      <w:pPr>
        <w:tabs>
          <w:tab w:val="left" w:pos="-720"/>
        </w:tabs>
        <w:suppressAutoHyphens/>
        <w:ind w:left="720"/>
        <w:rPr>
          <w:b/>
          <w:spacing w:val="-3"/>
          <w:szCs w:val="22"/>
        </w:rPr>
      </w:pPr>
      <w:r w:rsidRPr="00AB1E80">
        <w:rPr>
          <w:b/>
          <w:spacing w:val="-3"/>
          <w:szCs w:val="22"/>
        </w:rPr>
        <w:t>Total Responses</w:t>
      </w:r>
      <w:r w:rsidR="00B13E33">
        <w:rPr>
          <w:b/>
          <w:spacing w:val="-3"/>
          <w:szCs w:val="22"/>
        </w:rPr>
        <w:t xml:space="preserve">: </w:t>
      </w:r>
      <w:r w:rsidR="002C4EF3">
        <w:rPr>
          <w:b/>
          <w:spacing w:val="-3"/>
          <w:szCs w:val="22"/>
        </w:rPr>
        <w:t xml:space="preserve"> </w:t>
      </w:r>
      <w:r w:rsidR="00356B66">
        <w:rPr>
          <w:b/>
          <w:spacing w:val="-3"/>
          <w:szCs w:val="22"/>
        </w:rPr>
        <w:t>3</w:t>
      </w:r>
      <w:r w:rsidR="00C26F48">
        <w:rPr>
          <w:b/>
          <w:spacing w:val="-3"/>
          <w:szCs w:val="22"/>
        </w:rPr>
        <w:t>5</w:t>
      </w:r>
      <w:r w:rsidR="00CC17DB">
        <w:rPr>
          <w:b/>
          <w:spacing w:val="-3"/>
          <w:szCs w:val="22"/>
        </w:rPr>
        <w:t xml:space="preserve"> +</w:t>
      </w:r>
      <w:r w:rsidR="006768D0">
        <w:rPr>
          <w:b/>
          <w:spacing w:val="-3"/>
          <w:szCs w:val="22"/>
        </w:rPr>
        <w:t xml:space="preserve"> </w:t>
      </w:r>
      <w:r w:rsidR="002F1F79">
        <w:rPr>
          <w:b/>
          <w:spacing w:val="-3"/>
          <w:szCs w:val="22"/>
        </w:rPr>
        <w:t xml:space="preserve">5 + </w:t>
      </w:r>
      <w:r w:rsidR="00CC17DB">
        <w:rPr>
          <w:b/>
          <w:spacing w:val="-3"/>
          <w:szCs w:val="22"/>
        </w:rPr>
        <w:t>3</w:t>
      </w:r>
      <w:r w:rsidR="001227B4">
        <w:rPr>
          <w:b/>
          <w:spacing w:val="-3"/>
          <w:szCs w:val="22"/>
        </w:rPr>
        <w:t xml:space="preserve"> </w:t>
      </w:r>
      <w:r w:rsidR="00CC17DB">
        <w:rPr>
          <w:b/>
          <w:spacing w:val="-3"/>
          <w:szCs w:val="22"/>
        </w:rPr>
        <w:t xml:space="preserve">= </w:t>
      </w:r>
      <w:r w:rsidR="002F1F79">
        <w:rPr>
          <w:b/>
          <w:spacing w:val="-3"/>
          <w:szCs w:val="22"/>
        </w:rPr>
        <w:t>43</w:t>
      </w:r>
      <w:r w:rsidR="00715D7E">
        <w:rPr>
          <w:b/>
          <w:spacing w:val="-3"/>
          <w:szCs w:val="22"/>
        </w:rPr>
        <w:t>.</w:t>
      </w:r>
    </w:p>
    <w:p w:rsidR="001946D2" w:rsidRPr="000A61AF" w:rsidP="000A61AF" w14:paraId="0769F2CC" w14:textId="6D765381">
      <w:pPr>
        <w:tabs>
          <w:tab w:val="left" w:pos="-720"/>
        </w:tabs>
        <w:suppressAutoHyphens/>
        <w:ind w:left="720"/>
        <w:rPr>
          <w:b/>
          <w:spacing w:val="-3"/>
          <w:szCs w:val="22"/>
        </w:rPr>
      </w:pPr>
      <w:r w:rsidRPr="00AB1E80">
        <w:rPr>
          <w:b/>
          <w:spacing w:val="-3"/>
          <w:szCs w:val="22"/>
        </w:rPr>
        <w:t xml:space="preserve">Total In-House Costs:  </w:t>
      </w:r>
      <w:r w:rsidRPr="0013238B" w:rsidR="00415A3E">
        <w:rPr>
          <w:b/>
          <w:spacing w:val="-3"/>
          <w:szCs w:val="22"/>
        </w:rPr>
        <w:t>$148,974</w:t>
      </w:r>
      <w:r w:rsidR="00415A3E">
        <w:rPr>
          <w:b/>
          <w:spacing w:val="-3"/>
          <w:szCs w:val="22"/>
        </w:rPr>
        <w:t xml:space="preserve"> + </w:t>
      </w:r>
      <w:r w:rsidR="00EC7512">
        <w:rPr>
          <w:b/>
          <w:spacing w:val="-3"/>
          <w:szCs w:val="22"/>
        </w:rPr>
        <w:t>$</w:t>
      </w:r>
      <w:r w:rsidR="00A241E1">
        <w:rPr>
          <w:b/>
          <w:spacing w:val="-3"/>
          <w:szCs w:val="22"/>
        </w:rPr>
        <w:t>595,896</w:t>
      </w:r>
      <w:r w:rsidR="00EC7512">
        <w:rPr>
          <w:b/>
          <w:spacing w:val="-3"/>
          <w:szCs w:val="22"/>
        </w:rPr>
        <w:t xml:space="preserve"> + </w:t>
      </w:r>
      <w:r w:rsidRPr="0013238B" w:rsidR="00EC7512">
        <w:rPr>
          <w:b/>
          <w:spacing w:val="-3"/>
          <w:szCs w:val="22"/>
        </w:rPr>
        <w:t>$</w:t>
      </w:r>
      <w:r w:rsidRPr="00FF277B" w:rsidR="00817777">
        <w:rPr>
          <w:b/>
          <w:spacing w:val="-3"/>
          <w:szCs w:val="22"/>
        </w:rPr>
        <w:t>2</w:t>
      </w:r>
      <w:r w:rsidR="000B186B">
        <w:rPr>
          <w:b/>
          <w:spacing w:val="-3"/>
          <w:szCs w:val="22"/>
        </w:rPr>
        <w:t>8</w:t>
      </w:r>
      <w:r w:rsidRPr="00FF277B" w:rsidR="00817777">
        <w:rPr>
          <w:b/>
          <w:spacing w:val="-3"/>
          <w:szCs w:val="22"/>
        </w:rPr>
        <w:t>,</w:t>
      </w:r>
      <w:r w:rsidR="00A0175D">
        <w:rPr>
          <w:b/>
          <w:spacing w:val="-3"/>
          <w:szCs w:val="22"/>
        </w:rPr>
        <w:t>437.50</w:t>
      </w:r>
      <w:r w:rsidRPr="00FF277B" w:rsidR="009E5C37">
        <w:rPr>
          <w:b/>
          <w:spacing w:val="-3"/>
          <w:szCs w:val="22"/>
        </w:rPr>
        <w:t xml:space="preserve"> </w:t>
      </w:r>
      <w:r w:rsidRPr="0013238B" w:rsidR="00EC7512">
        <w:rPr>
          <w:b/>
          <w:spacing w:val="-3"/>
          <w:szCs w:val="22"/>
        </w:rPr>
        <w:t xml:space="preserve"> + </w:t>
      </w:r>
      <w:r w:rsidR="00B22F42">
        <w:rPr>
          <w:b/>
          <w:spacing w:val="-3"/>
          <w:szCs w:val="22"/>
        </w:rPr>
        <w:t>148</w:t>
      </w:r>
      <w:r w:rsidR="00A53D77">
        <w:rPr>
          <w:b/>
          <w:spacing w:val="-3"/>
          <w:szCs w:val="22"/>
        </w:rPr>
        <w:t>,</w:t>
      </w:r>
      <w:r w:rsidR="00B22F42">
        <w:rPr>
          <w:b/>
          <w:spacing w:val="-3"/>
          <w:szCs w:val="22"/>
        </w:rPr>
        <w:t xml:space="preserve">974 + </w:t>
      </w:r>
      <w:r w:rsidRPr="0013238B" w:rsidR="00EC7512">
        <w:rPr>
          <w:b/>
          <w:spacing w:val="-3"/>
          <w:szCs w:val="22"/>
        </w:rPr>
        <w:t>$</w:t>
      </w:r>
      <w:r w:rsidRPr="000A61AF" w:rsidR="00817777">
        <w:rPr>
          <w:b/>
          <w:spacing w:val="-3"/>
          <w:szCs w:val="22"/>
        </w:rPr>
        <w:t>3</w:t>
      </w:r>
      <w:r w:rsidR="00FB24BE">
        <w:rPr>
          <w:b/>
          <w:spacing w:val="-3"/>
          <w:szCs w:val="22"/>
        </w:rPr>
        <w:t>9</w:t>
      </w:r>
      <w:r w:rsidRPr="000A61AF" w:rsidR="00817777">
        <w:rPr>
          <w:b/>
          <w:spacing w:val="-3"/>
          <w:szCs w:val="22"/>
        </w:rPr>
        <w:t>,000</w:t>
      </w:r>
      <w:r w:rsidRPr="00FF277B" w:rsidR="00E905BA">
        <w:rPr>
          <w:b/>
          <w:spacing w:val="-3"/>
          <w:szCs w:val="22"/>
        </w:rPr>
        <w:t xml:space="preserve"> </w:t>
      </w:r>
      <w:r w:rsidRPr="0013238B" w:rsidR="00B96C2B">
        <w:rPr>
          <w:b/>
          <w:spacing w:val="-3"/>
          <w:szCs w:val="22"/>
        </w:rPr>
        <w:t>+ $</w:t>
      </w:r>
      <w:r w:rsidRPr="0013238B" w:rsidR="00E2687D">
        <w:rPr>
          <w:b/>
          <w:spacing w:val="-3"/>
          <w:szCs w:val="22"/>
        </w:rPr>
        <w:t>7</w:t>
      </w:r>
      <w:r w:rsidR="00E2687D">
        <w:rPr>
          <w:b/>
          <w:spacing w:val="-3"/>
          <w:szCs w:val="22"/>
        </w:rPr>
        <w:t>4,487</w:t>
      </w:r>
      <w:r w:rsidR="00F022AC">
        <w:rPr>
          <w:b/>
          <w:spacing w:val="-3"/>
          <w:szCs w:val="22"/>
        </w:rPr>
        <w:t xml:space="preserve"> + $</w:t>
      </w:r>
      <w:r w:rsidR="005D2ACD">
        <w:rPr>
          <w:b/>
          <w:spacing w:val="-3"/>
          <w:szCs w:val="22"/>
        </w:rPr>
        <w:t>111,730</w:t>
      </w:r>
      <w:r w:rsidR="00770CDE">
        <w:rPr>
          <w:b/>
          <w:spacing w:val="-3"/>
          <w:szCs w:val="22"/>
        </w:rPr>
        <w:t>.50</w:t>
      </w:r>
      <w:r w:rsidR="00953963">
        <w:rPr>
          <w:b/>
          <w:spacing w:val="-3"/>
          <w:szCs w:val="22"/>
        </w:rPr>
        <w:t xml:space="preserve"> =</w:t>
      </w:r>
      <w:r w:rsidR="0009276B">
        <w:rPr>
          <w:b/>
          <w:spacing w:val="-3"/>
          <w:szCs w:val="22"/>
        </w:rPr>
        <w:t xml:space="preserve"> </w:t>
      </w:r>
      <w:r w:rsidR="009F0E2E">
        <w:rPr>
          <w:b/>
          <w:spacing w:val="-3"/>
          <w:szCs w:val="22"/>
        </w:rPr>
        <w:t>$</w:t>
      </w:r>
      <w:r w:rsidR="00763175">
        <w:rPr>
          <w:b/>
          <w:spacing w:val="-3"/>
          <w:szCs w:val="22"/>
        </w:rPr>
        <w:t>1,147,499</w:t>
      </w:r>
      <w:r w:rsidR="007A6A62">
        <w:rPr>
          <w:b/>
          <w:spacing w:val="-3"/>
          <w:szCs w:val="22"/>
        </w:rPr>
        <w:t>.</w:t>
      </w:r>
      <w:r w:rsidR="00FD0C05">
        <w:rPr>
          <w:b/>
          <w:spacing w:val="-3"/>
          <w:szCs w:val="22"/>
        </w:rPr>
        <w:t xml:space="preserve"> </w:t>
      </w:r>
    </w:p>
    <w:p w:rsidR="007E0735" w:rsidP="004D3ABC" w14:paraId="7EF7F364" w14:textId="435CB01D">
      <w:pPr>
        <w:tabs>
          <w:tab w:val="left" w:pos="-720"/>
        </w:tabs>
        <w:suppressAutoHyphens/>
        <w:ind w:left="720"/>
        <w:rPr>
          <w:b/>
          <w:spacing w:val="-3"/>
          <w:szCs w:val="22"/>
        </w:rPr>
      </w:pPr>
      <w:r w:rsidRPr="00AB1E80">
        <w:rPr>
          <w:b/>
          <w:spacing w:val="-3"/>
          <w:szCs w:val="22"/>
        </w:rPr>
        <w:t>Total Annual Burden Hours</w:t>
      </w:r>
      <w:r w:rsidR="00C47AAF">
        <w:rPr>
          <w:b/>
          <w:spacing w:val="-3"/>
          <w:szCs w:val="22"/>
        </w:rPr>
        <w:t xml:space="preserve">: </w:t>
      </w:r>
      <w:r w:rsidR="006E0E8C">
        <w:rPr>
          <w:b/>
          <w:spacing w:val="-3"/>
          <w:szCs w:val="22"/>
        </w:rPr>
        <w:t xml:space="preserve"> </w:t>
      </w:r>
      <w:r w:rsidR="00801453">
        <w:rPr>
          <w:b/>
          <w:spacing w:val="-3"/>
          <w:szCs w:val="22"/>
        </w:rPr>
        <w:t xml:space="preserve">1,400 + </w:t>
      </w:r>
      <w:r w:rsidR="00455381">
        <w:rPr>
          <w:b/>
          <w:spacing w:val="-3"/>
          <w:szCs w:val="22"/>
        </w:rPr>
        <w:t>5</w:t>
      </w:r>
      <w:r w:rsidR="001B45EA">
        <w:rPr>
          <w:b/>
          <w:spacing w:val="-3"/>
          <w:szCs w:val="22"/>
        </w:rPr>
        <w:t>,</w:t>
      </w:r>
      <w:r w:rsidR="00455381">
        <w:rPr>
          <w:b/>
          <w:spacing w:val="-3"/>
          <w:szCs w:val="22"/>
        </w:rPr>
        <w:t xml:space="preserve">600 + </w:t>
      </w:r>
      <w:r w:rsidR="0012330E">
        <w:rPr>
          <w:b/>
          <w:spacing w:val="-3"/>
          <w:szCs w:val="22"/>
        </w:rPr>
        <w:t>175 + 700 + 1,050 +240 +</w:t>
      </w:r>
      <w:r w:rsidR="001B45EA">
        <w:rPr>
          <w:b/>
          <w:spacing w:val="-3"/>
          <w:szCs w:val="22"/>
        </w:rPr>
        <w:t xml:space="preserve">1,400 = </w:t>
      </w:r>
      <w:r w:rsidR="00C44D24">
        <w:rPr>
          <w:b/>
          <w:spacing w:val="-3"/>
          <w:szCs w:val="22"/>
        </w:rPr>
        <w:t>10</w:t>
      </w:r>
      <w:r w:rsidRPr="00BD66F8" w:rsidR="00FE7051">
        <w:rPr>
          <w:b/>
          <w:spacing w:val="-3"/>
          <w:szCs w:val="22"/>
        </w:rPr>
        <w:t>,</w:t>
      </w:r>
      <w:r w:rsidR="00C44D24">
        <w:rPr>
          <w:b/>
          <w:spacing w:val="-3"/>
          <w:szCs w:val="22"/>
        </w:rPr>
        <w:t>5</w:t>
      </w:r>
      <w:r w:rsidRPr="00BD66F8" w:rsidR="00FE7051">
        <w:rPr>
          <w:b/>
          <w:spacing w:val="-3"/>
          <w:szCs w:val="22"/>
        </w:rPr>
        <w:t>65</w:t>
      </w:r>
      <w:r w:rsidR="0099110B">
        <w:rPr>
          <w:b/>
          <w:spacing w:val="-3"/>
          <w:szCs w:val="22"/>
        </w:rPr>
        <w:t>.</w:t>
      </w:r>
    </w:p>
    <w:p w:rsidR="004D3ABC" w:rsidRPr="004460F4" w:rsidP="004D3ABC" w14:paraId="4900F5D1" w14:textId="77777777">
      <w:pPr>
        <w:tabs>
          <w:tab w:val="left" w:pos="-720"/>
        </w:tabs>
        <w:suppressAutoHyphens/>
        <w:ind w:left="720"/>
        <w:rPr>
          <w:b/>
          <w:spacing w:val="-3"/>
          <w:szCs w:val="22"/>
        </w:rPr>
      </w:pPr>
    </w:p>
    <w:p w:rsidR="00D11695" w:rsidRPr="004460F4" w:rsidP="00C67C7C" w14:paraId="7E093057" w14:textId="55DD1C61">
      <w:pPr>
        <w:pStyle w:val="ParaNum"/>
        <w:rPr>
          <w:szCs w:val="22"/>
        </w:rPr>
      </w:pPr>
      <w:r w:rsidRPr="004460F4">
        <w:rPr>
          <w:spacing w:val="-3"/>
          <w:szCs w:val="22"/>
        </w:rPr>
        <w:t>E</w:t>
      </w:r>
      <w:r w:rsidRPr="004460F4">
        <w:rPr>
          <w:szCs w:val="22"/>
        </w:rPr>
        <w:t>stimated operations and maintenance (O&amp;M) costs of respondents resulting from the collection of information:</w:t>
      </w:r>
    </w:p>
    <w:p w:rsidR="00D11695" w:rsidRPr="004460F4" w:rsidP="00D11695" w14:paraId="41907E01" w14:textId="77777777">
      <w:pPr>
        <w:pStyle w:val="Numberedparagraphs"/>
        <w:numPr>
          <w:ilvl w:val="0"/>
          <w:numId w:val="0"/>
        </w:numPr>
        <w:tabs>
          <w:tab w:val="left" w:pos="720"/>
          <w:tab w:val="clear" w:pos="1440"/>
        </w:tabs>
        <w:rPr>
          <w:szCs w:val="22"/>
        </w:rPr>
      </w:pPr>
      <w:r w:rsidRPr="004460F4">
        <w:rPr>
          <w:szCs w:val="22"/>
        </w:rPr>
        <w:tab/>
        <w:t>(a)</w:t>
      </w:r>
      <w:r w:rsidRPr="004460F4">
        <w:rPr>
          <w:szCs w:val="22"/>
        </w:rPr>
        <w:tab/>
      </w:r>
      <w:r w:rsidRPr="004460F4">
        <w:rPr>
          <w:szCs w:val="22"/>
          <w:u w:val="single"/>
        </w:rPr>
        <w:t>Total capital start-up costs component annualized over its expected useful life:</w:t>
      </w:r>
      <w:r w:rsidRPr="004460F4">
        <w:rPr>
          <w:szCs w:val="22"/>
        </w:rPr>
        <w:t xml:space="preserve"> </w:t>
      </w:r>
      <w:r w:rsidRPr="00E63ED6">
        <w:rPr>
          <w:b/>
          <w:bCs/>
          <w:szCs w:val="22"/>
        </w:rPr>
        <w:t>$0</w:t>
      </w:r>
      <w:r w:rsidRPr="004460F4">
        <w:rPr>
          <w:szCs w:val="22"/>
        </w:rPr>
        <w:t xml:space="preserve">.  </w:t>
      </w:r>
    </w:p>
    <w:p w:rsidR="00D11695" w:rsidRPr="004460F4" w:rsidP="00D11695" w14:paraId="5F3EC4B4" w14:textId="2F9DC2E0">
      <w:pPr>
        <w:pStyle w:val="Numberedparagraphs"/>
        <w:numPr>
          <w:ilvl w:val="0"/>
          <w:numId w:val="0"/>
        </w:numPr>
        <w:tabs>
          <w:tab w:val="left" w:pos="720"/>
          <w:tab w:val="clear" w:pos="1440"/>
        </w:tabs>
        <w:rPr>
          <w:szCs w:val="22"/>
        </w:rPr>
      </w:pPr>
      <w:r w:rsidRPr="004460F4">
        <w:rPr>
          <w:szCs w:val="22"/>
        </w:rPr>
        <w:tab/>
        <w:t>The collection will not result in additional capital expenditures such as computers or software</w:t>
      </w:r>
      <w:r>
        <w:rPr>
          <w:szCs w:val="22"/>
        </w:rPr>
        <w:t>.</w:t>
      </w:r>
    </w:p>
    <w:p w:rsidR="00D11695" w:rsidRPr="004460F4" w:rsidP="00D11695" w14:paraId="060D0D27" w14:textId="21482D0F">
      <w:pPr>
        <w:pStyle w:val="Numberedparagraphs"/>
        <w:numPr>
          <w:ilvl w:val="0"/>
          <w:numId w:val="0"/>
        </w:numPr>
        <w:tabs>
          <w:tab w:val="left" w:pos="720"/>
          <w:tab w:val="clear" w:pos="1440"/>
        </w:tabs>
        <w:rPr>
          <w:szCs w:val="22"/>
        </w:rPr>
      </w:pPr>
      <w:r w:rsidRPr="004460F4">
        <w:rPr>
          <w:szCs w:val="22"/>
        </w:rPr>
        <w:tab/>
        <w:t>(b)</w:t>
      </w:r>
      <w:r w:rsidRPr="004460F4">
        <w:rPr>
          <w:szCs w:val="22"/>
        </w:rPr>
        <w:tab/>
      </w:r>
      <w:r w:rsidRPr="004460F4">
        <w:rPr>
          <w:szCs w:val="22"/>
          <w:u w:val="single"/>
        </w:rPr>
        <w:t>Total operation and maintenance and purchase of services component:</w:t>
      </w:r>
      <w:r w:rsidRPr="004460F4">
        <w:rPr>
          <w:szCs w:val="22"/>
        </w:rPr>
        <w:t xml:space="preserve">  </w:t>
      </w:r>
      <w:r w:rsidRPr="00E63ED6">
        <w:rPr>
          <w:b/>
          <w:bCs/>
          <w:szCs w:val="22"/>
        </w:rPr>
        <w:t>$0</w:t>
      </w:r>
      <w:r w:rsidRPr="004460F4">
        <w:rPr>
          <w:szCs w:val="22"/>
        </w:rPr>
        <w:t>.</w:t>
      </w:r>
      <w:r w:rsidR="00764077">
        <w:rPr>
          <w:szCs w:val="22"/>
        </w:rPr>
        <w:t xml:space="preserve">  </w:t>
      </w:r>
      <w:r w:rsidRPr="00764077" w:rsidR="00764077">
        <w:rPr>
          <w:szCs w:val="22"/>
        </w:rPr>
        <w:t>All respondents will file reports and certifications</w:t>
      </w:r>
      <w:r w:rsidR="00764077">
        <w:rPr>
          <w:szCs w:val="22"/>
        </w:rPr>
        <w:t xml:space="preserve"> annually</w:t>
      </w:r>
      <w:r w:rsidR="00D87EBA">
        <w:rPr>
          <w:szCs w:val="22"/>
        </w:rPr>
        <w:t xml:space="preserve"> </w:t>
      </w:r>
      <w:r w:rsidR="00C018BF">
        <w:rPr>
          <w:szCs w:val="22"/>
        </w:rPr>
        <w:t>via t</w:t>
      </w:r>
      <w:r w:rsidR="00D87EBA">
        <w:rPr>
          <w:szCs w:val="22"/>
        </w:rPr>
        <w:t xml:space="preserve">he </w:t>
      </w:r>
      <w:r w:rsidRPr="00D87EBA" w:rsidR="00D87EBA">
        <w:rPr>
          <w:szCs w:val="22"/>
        </w:rPr>
        <w:t>Commission’s Electronic Comment Filing System</w:t>
      </w:r>
      <w:r w:rsidRPr="00764077" w:rsidR="00764077">
        <w:rPr>
          <w:szCs w:val="22"/>
        </w:rPr>
        <w:t>, so operation and maintenance costs will be limited to costs incurred in the normal course of doing business</w:t>
      </w:r>
      <w:r w:rsidR="00D87EBA">
        <w:rPr>
          <w:szCs w:val="22"/>
        </w:rPr>
        <w:t>, such as internet access.</w:t>
      </w:r>
    </w:p>
    <w:p w:rsidR="00D11695" w:rsidRPr="004460F4" w:rsidP="00D11695" w14:paraId="3DBE49E4" w14:textId="77777777">
      <w:pPr>
        <w:pStyle w:val="Numberedparagraphs"/>
        <w:numPr>
          <w:ilvl w:val="0"/>
          <w:numId w:val="0"/>
        </w:numPr>
        <w:tabs>
          <w:tab w:val="left" w:pos="720"/>
          <w:tab w:val="clear" w:pos="1440"/>
        </w:tabs>
        <w:rPr>
          <w:szCs w:val="22"/>
        </w:rPr>
      </w:pPr>
      <w:r w:rsidRPr="004460F4">
        <w:rPr>
          <w:szCs w:val="22"/>
        </w:rPr>
        <w:tab/>
        <w:t>(c)</w:t>
      </w:r>
      <w:r w:rsidRPr="004460F4">
        <w:rPr>
          <w:szCs w:val="22"/>
        </w:rPr>
        <w:tab/>
      </w:r>
      <w:r w:rsidRPr="004460F4">
        <w:rPr>
          <w:szCs w:val="22"/>
          <w:u w:val="single"/>
        </w:rPr>
        <w:t>Total annualized cost requested</w:t>
      </w:r>
      <w:r w:rsidRPr="004460F4">
        <w:rPr>
          <w:szCs w:val="22"/>
        </w:rPr>
        <w:t xml:space="preserve">:  </w:t>
      </w:r>
      <w:r w:rsidRPr="004460F4">
        <w:rPr>
          <w:b/>
          <w:szCs w:val="22"/>
        </w:rPr>
        <w:t>$0</w:t>
      </w:r>
      <w:r w:rsidRPr="004460F4">
        <w:rPr>
          <w:szCs w:val="22"/>
        </w:rPr>
        <w:t>.</w:t>
      </w:r>
    </w:p>
    <w:p w:rsidR="007E0735" w:rsidP="00C67C7C" w14:paraId="1E59D6B7" w14:textId="1E96A45C">
      <w:pPr>
        <w:pStyle w:val="ParaNum"/>
        <w:rPr>
          <w:szCs w:val="22"/>
        </w:rPr>
      </w:pPr>
      <w:r w:rsidRPr="004460F4">
        <w:rPr>
          <w:szCs w:val="22"/>
        </w:rPr>
        <w:t xml:space="preserve">There are unlikely </w:t>
      </w:r>
      <w:r w:rsidRPr="00C67C7C">
        <w:rPr>
          <w:spacing w:val="-3"/>
        </w:rPr>
        <w:t>to</w:t>
      </w:r>
      <w:r w:rsidRPr="004460F4">
        <w:rPr>
          <w:szCs w:val="22"/>
        </w:rPr>
        <w:t xml:space="preserve"> be any additional costs to the Commission because the data will be submitted by I</w:t>
      </w:r>
      <w:r w:rsidR="008034DA">
        <w:rPr>
          <w:szCs w:val="22"/>
        </w:rPr>
        <w:t>PCS</w:t>
      </w:r>
      <w:r w:rsidRPr="004460F4">
        <w:rPr>
          <w:szCs w:val="22"/>
        </w:rPr>
        <w:t xml:space="preserve"> providers in WC Docket No</w:t>
      </w:r>
      <w:r w:rsidR="00F92A26">
        <w:rPr>
          <w:szCs w:val="22"/>
        </w:rPr>
        <w:t>s</w:t>
      </w:r>
      <w:r w:rsidRPr="004460F4">
        <w:rPr>
          <w:szCs w:val="22"/>
        </w:rPr>
        <w:t xml:space="preserve">. </w:t>
      </w:r>
      <w:r w:rsidR="00F92A26">
        <w:rPr>
          <w:szCs w:val="22"/>
        </w:rPr>
        <w:t xml:space="preserve">23-62 and </w:t>
      </w:r>
      <w:r w:rsidRPr="004460F4">
        <w:rPr>
          <w:szCs w:val="22"/>
        </w:rPr>
        <w:t>12-375 via the Commission’s Electronic Comment Filing System, requiring no additional Commission resources to process or publish.</w:t>
      </w:r>
    </w:p>
    <w:p w:rsidR="001C5657" w:rsidRPr="001C5657" w:rsidP="00C67C7C" w14:paraId="76B4E1CF" w14:textId="7F5CA791">
      <w:pPr>
        <w:pStyle w:val="ParaNum"/>
        <w:rPr>
          <w:szCs w:val="22"/>
        </w:rPr>
      </w:pPr>
      <w:r>
        <w:rPr>
          <w:szCs w:val="22"/>
        </w:rPr>
        <w:t xml:space="preserve">The Commission is </w:t>
      </w:r>
      <w:r w:rsidRPr="001C5657">
        <w:rPr>
          <w:szCs w:val="22"/>
        </w:rPr>
        <w:t>reporting program changes/increases to this collection given the expansion of the Commission’s jurisdiction under the Martha Wright-Reed Act</w:t>
      </w:r>
      <w:r w:rsidR="00A74D59">
        <w:rPr>
          <w:szCs w:val="22"/>
        </w:rPr>
        <w:t xml:space="preserve"> </w:t>
      </w:r>
      <w:r w:rsidR="006C4323">
        <w:rPr>
          <w:szCs w:val="22"/>
        </w:rPr>
        <w:t>to include advanced services</w:t>
      </w:r>
      <w:r w:rsidRPr="001C5657">
        <w:rPr>
          <w:szCs w:val="22"/>
        </w:rPr>
        <w:t xml:space="preserve">, </w:t>
      </w:r>
      <w:r w:rsidR="00B13CA3">
        <w:rPr>
          <w:szCs w:val="22"/>
        </w:rPr>
        <w:t>such as vi</w:t>
      </w:r>
      <w:r w:rsidR="00C9177D">
        <w:rPr>
          <w:szCs w:val="22"/>
        </w:rPr>
        <w:t xml:space="preserve">deo </w:t>
      </w:r>
      <w:r w:rsidR="00D0706C">
        <w:rPr>
          <w:szCs w:val="22"/>
        </w:rPr>
        <w:t xml:space="preserve">IPCS.  </w:t>
      </w:r>
      <w:r w:rsidR="00634C20">
        <w:rPr>
          <w:szCs w:val="22"/>
        </w:rPr>
        <w:t xml:space="preserve">Consistent with this </w:t>
      </w:r>
      <w:r w:rsidR="00D0706C">
        <w:rPr>
          <w:szCs w:val="22"/>
        </w:rPr>
        <w:t xml:space="preserve">expanded jurisdiction, the </w:t>
      </w:r>
      <w:r w:rsidR="00DB6F85">
        <w:rPr>
          <w:szCs w:val="22"/>
        </w:rPr>
        <w:t>Commission</w:t>
      </w:r>
      <w:r w:rsidR="002B38B3">
        <w:rPr>
          <w:szCs w:val="22"/>
        </w:rPr>
        <w:t xml:space="preserve"> </w:t>
      </w:r>
      <w:r w:rsidR="00443968">
        <w:rPr>
          <w:szCs w:val="22"/>
        </w:rPr>
        <w:t xml:space="preserve">applied its alternate pricing plan rules to </w:t>
      </w:r>
      <w:r w:rsidR="00A91C0E">
        <w:rPr>
          <w:szCs w:val="22"/>
        </w:rPr>
        <w:t>all IPCS pr</w:t>
      </w:r>
      <w:r w:rsidR="008165E0">
        <w:rPr>
          <w:szCs w:val="22"/>
        </w:rPr>
        <w:t>ovide</w:t>
      </w:r>
      <w:r w:rsidR="004A0AF7">
        <w:rPr>
          <w:szCs w:val="22"/>
        </w:rPr>
        <w:t xml:space="preserve">rs, including providers </w:t>
      </w:r>
      <w:r w:rsidR="009114DE">
        <w:rPr>
          <w:szCs w:val="22"/>
        </w:rPr>
        <w:t xml:space="preserve">of </w:t>
      </w:r>
      <w:r w:rsidRPr="00873B60" w:rsidR="00873B60">
        <w:rPr>
          <w:szCs w:val="22"/>
        </w:rPr>
        <w:t>video IPCS and advanced communications services not previously</w:t>
      </w:r>
      <w:r w:rsidR="00640311">
        <w:rPr>
          <w:szCs w:val="22"/>
        </w:rPr>
        <w:t xml:space="preserve"> subject to the Commission’s</w:t>
      </w:r>
      <w:r w:rsidR="00BD5C21">
        <w:rPr>
          <w:szCs w:val="22"/>
        </w:rPr>
        <w:t xml:space="preserve"> jurisdiction</w:t>
      </w:r>
      <w:r w:rsidR="00EB742E">
        <w:rPr>
          <w:szCs w:val="22"/>
        </w:rPr>
        <w:t>.</w:t>
      </w:r>
      <w:r w:rsidR="008165E0">
        <w:rPr>
          <w:szCs w:val="22"/>
        </w:rPr>
        <w:t xml:space="preserve"> </w:t>
      </w:r>
      <w:r w:rsidR="008A4E5A">
        <w:rPr>
          <w:szCs w:val="22"/>
        </w:rPr>
        <w:t xml:space="preserve">As a result of the new alternate pricing plan information collection requirements contained in FCC 24-75, </w:t>
      </w:r>
      <w:r w:rsidR="002F2F70">
        <w:rPr>
          <w:szCs w:val="22"/>
        </w:rPr>
        <w:t xml:space="preserve">the total annual responses increased from 38 to 43 (+5) and </w:t>
      </w:r>
      <w:r w:rsidR="008A4E5A">
        <w:rPr>
          <w:szCs w:val="22"/>
        </w:rPr>
        <w:t xml:space="preserve">the total annual burden hours increased from 9,165 to 10,565 (+1,400).  The total number of respondents remain the same. </w:t>
      </w:r>
    </w:p>
    <w:p w:rsidR="001C5657" w:rsidP="001C5657" w14:paraId="1447C57A" w14:textId="5ED4D4AE">
      <w:pPr>
        <w:pStyle w:val="Numberedparagraphs"/>
        <w:numPr>
          <w:ilvl w:val="0"/>
          <w:numId w:val="0"/>
        </w:numPr>
        <w:rPr>
          <w:szCs w:val="22"/>
        </w:rPr>
      </w:pPr>
      <w:r w:rsidRPr="001C5657">
        <w:rPr>
          <w:szCs w:val="22"/>
        </w:rPr>
        <w:t xml:space="preserve"> No adjustments are being reported in this submission to OMB.</w:t>
      </w:r>
    </w:p>
    <w:p w:rsidR="007E0735" w:rsidRPr="00AB1E80" w:rsidP="00C67C7C" w14:paraId="41CE502E" w14:textId="2D8CC46B">
      <w:pPr>
        <w:pStyle w:val="ParaNum"/>
        <w:rPr>
          <w:szCs w:val="22"/>
        </w:rPr>
      </w:pPr>
      <w:r w:rsidRPr="004460F4">
        <w:rPr>
          <w:szCs w:val="22"/>
        </w:rPr>
        <w:t xml:space="preserve">The Commission does not anticipate publishing any of the information collected.  Rather, </w:t>
      </w:r>
      <w:r w:rsidR="00F62B14">
        <w:rPr>
          <w:szCs w:val="22"/>
        </w:rPr>
        <w:t>non-confidential portions of</w:t>
      </w:r>
      <w:r w:rsidRPr="004460F4">
        <w:rPr>
          <w:szCs w:val="22"/>
        </w:rPr>
        <w:t xml:space="preserve"> the provider</w:t>
      </w:r>
      <w:r w:rsidR="00AB1E80">
        <w:rPr>
          <w:szCs w:val="22"/>
        </w:rPr>
        <w:t xml:space="preserve">s’ </w:t>
      </w:r>
      <w:r w:rsidR="00B87E06">
        <w:rPr>
          <w:szCs w:val="22"/>
        </w:rPr>
        <w:t>A</w:t>
      </w:r>
      <w:r w:rsidR="00AB1E80">
        <w:rPr>
          <w:szCs w:val="22"/>
        </w:rPr>
        <w:t xml:space="preserve">nnual </w:t>
      </w:r>
      <w:r w:rsidR="00B87E06">
        <w:rPr>
          <w:szCs w:val="22"/>
        </w:rPr>
        <w:t>R</w:t>
      </w:r>
      <w:r w:rsidR="00AB1E80">
        <w:rPr>
          <w:szCs w:val="22"/>
        </w:rPr>
        <w:t>eports and</w:t>
      </w:r>
      <w:r w:rsidRPr="00AB1E80">
        <w:rPr>
          <w:szCs w:val="22"/>
        </w:rPr>
        <w:t xml:space="preserve"> </w:t>
      </w:r>
      <w:r w:rsidR="00351B49">
        <w:rPr>
          <w:szCs w:val="22"/>
        </w:rPr>
        <w:t>certification</w:t>
      </w:r>
      <w:r w:rsidRPr="00AB1E80">
        <w:rPr>
          <w:szCs w:val="22"/>
        </w:rPr>
        <w:t>s will be available for public review via the Commission’s ECFS.</w:t>
      </w:r>
    </w:p>
    <w:p w:rsidR="003B3F82" w:rsidP="003B3F82" w14:paraId="0A3EB204" w14:textId="6579844B">
      <w:pPr>
        <w:pStyle w:val="ParaNum"/>
        <w:rPr>
          <w:szCs w:val="22"/>
        </w:rPr>
      </w:pPr>
      <w:r w:rsidRPr="004460F4">
        <w:rPr>
          <w:szCs w:val="22"/>
        </w:rPr>
        <w:t>The Commission is not seeking approval not to display an OMB expiration date.</w:t>
      </w:r>
    </w:p>
    <w:p w:rsidR="00423C6C" w:rsidRPr="004366CE" w:rsidP="00423C6C" w14:paraId="6A8834DB" w14:textId="4E33493E">
      <w:pPr>
        <w:pStyle w:val="ParaNum"/>
        <w:rPr>
          <w:snapToGrid/>
          <w:kern w:val="0"/>
          <w:szCs w:val="22"/>
        </w:rPr>
      </w:pPr>
      <w:r>
        <w:t xml:space="preserve">The Commission is reporting an exception to the Certification Statement. When the </w:t>
      </w:r>
      <w:r w:rsidR="002F1F79">
        <w:t>60-</w:t>
      </w:r>
      <w:r>
        <w:t>day notice w</w:t>
      </w:r>
      <w:r w:rsidR="002F1F79">
        <w:t>as</w:t>
      </w:r>
      <w:r>
        <w:t xml:space="preserve"> published in the Federal Register on October 25, 2024 (89 FR 85209)</w:t>
      </w:r>
      <w:r w:rsidR="006D5E8C">
        <w:t>,</w:t>
      </w:r>
      <w:r w:rsidR="00BA0345">
        <w:t xml:space="preserve"> </w:t>
      </w:r>
      <w:r w:rsidR="006D5E8C">
        <w:t>i</w:t>
      </w:r>
      <w:r w:rsidR="00BA0345">
        <w:t>t</w:t>
      </w:r>
      <w:r>
        <w:t xml:space="preserve"> </w:t>
      </w:r>
      <w:r w:rsidRPr="00423C6C">
        <w:rPr>
          <w:szCs w:val="22"/>
        </w:rPr>
        <w:t>stated the total annual responses as 47 responses rather than 43 responses</w:t>
      </w:r>
      <w:r w:rsidR="00BA0345">
        <w:rPr>
          <w:szCs w:val="22"/>
        </w:rPr>
        <w:t xml:space="preserve"> since it sought comment on different rule sections with different information collection burdens</w:t>
      </w:r>
      <w:r w:rsidRPr="00423C6C">
        <w:rPr>
          <w:szCs w:val="22"/>
        </w:rPr>
        <w:t>. The correct total annual responses are 43 responses a</w:t>
      </w:r>
      <w:r w:rsidR="00BA0345">
        <w:rPr>
          <w:szCs w:val="22"/>
        </w:rPr>
        <w:t>s</w:t>
      </w:r>
      <w:r w:rsidRPr="00423C6C">
        <w:rPr>
          <w:szCs w:val="22"/>
        </w:rPr>
        <w:t xml:space="preserve"> reflected in this submission to OMB.</w:t>
      </w:r>
    </w:p>
    <w:p w:rsidR="00564311" w:rsidRPr="003B3F82" w:rsidP="007A6A62" w14:paraId="5D05201C" w14:textId="1DB23370">
      <w:pPr>
        <w:pStyle w:val="ParaNum"/>
        <w:numPr>
          <w:ilvl w:val="0"/>
          <w:numId w:val="0"/>
        </w:numPr>
        <w:ind w:left="720"/>
      </w:pPr>
      <w:r w:rsidRPr="003B3F82">
        <w:rPr>
          <w:szCs w:val="22"/>
        </w:rPr>
        <w:t xml:space="preserve">There are no </w:t>
      </w:r>
      <w:r w:rsidRPr="003B3F82" w:rsidR="003B3F82">
        <w:rPr>
          <w:szCs w:val="22"/>
        </w:rPr>
        <w:t xml:space="preserve">other </w:t>
      </w:r>
      <w:r w:rsidRPr="003B3F82">
        <w:rPr>
          <w:szCs w:val="22"/>
        </w:rPr>
        <w:t xml:space="preserve">exceptions to the </w:t>
      </w:r>
      <w:r w:rsidRPr="003B3F82" w:rsidR="003B3F82">
        <w:rPr>
          <w:szCs w:val="22"/>
        </w:rPr>
        <w:t>C</w:t>
      </w:r>
      <w:r w:rsidRPr="003B3F82">
        <w:rPr>
          <w:szCs w:val="22"/>
        </w:rPr>
        <w:t xml:space="preserve">ertification </w:t>
      </w:r>
      <w:r w:rsidRPr="003B3F82" w:rsidR="003B3F82">
        <w:rPr>
          <w:szCs w:val="22"/>
        </w:rPr>
        <w:t>S</w:t>
      </w:r>
      <w:r w:rsidRPr="003B3F82">
        <w:rPr>
          <w:szCs w:val="22"/>
        </w:rPr>
        <w:t>tatement.</w:t>
      </w:r>
    </w:p>
    <w:p w:rsidR="007E0735" w:rsidRPr="004460F4" w:rsidP="007E0735" w14:paraId="0B65652E" w14:textId="77777777">
      <w:pPr>
        <w:rPr>
          <w:b/>
          <w:szCs w:val="22"/>
        </w:rPr>
      </w:pPr>
      <w:r w:rsidRPr="004460F4">
        <w:rPr>
          <w:b/>
          <w:szCs w:val="22"/>
        </w:rPr>
        <w:t xml:space="preserve">B.  </w:t>
      </w:r>
      <w:r w:rsidRPr="004460F4">
        <w:rPr>
          <w:b/>
          <w:szCs w:val="22"/>
        </w:rPr>
        <w:tab/>
      </w:r>
      <w:r w:rsidRPr="004460F4">
        <w:rPr>
          <w:b/>
          <w:szCs w:val="22"/>
          <w:u w:val="single"/>
        </w:rPr>
        <w:t>Collections of Information Employing Statistical Methods:</w:t>
      </w:r>
    </w:p>
    <w:p w:rsidR="007E0735" w:rsidRPr="004460F4" w:rsidP="007E0735" w14:paraId="4BE75DCB" w14:textId="77777777">
      <w:pPr>
        <w:rPr>
          <w:szCs w:val="22"/>
        </w:rPr>
      </w:pPr>
    </w:p>
    <w:p w:rsidR="007E0735" w:rsidP="00B136F6" w14:paraId="0606048C" w14:textId="2F89A13A">
      <w:pPr>
        <w:pStyle w:val="Numberedparagraphs"/>
        <w:numPr>
          <w:ilvl w:val="0"/>
          <w:numId w:val="0"/>
        </w:numPr>
        <w:tabs>
          <w:tab w:val="clear" w:pos="1440"/>
        </w:tabs>
        <w:ind w:firstLine="720"/>
        <w:rPr>
          <w:szCs w:val="22"/>
        </w:rPr>
      </w:pPr>
      <w:r w:rsidRPr="004460F4">
        <w:rPr>
          <w:szCs w:val="22"/>
        </w:rPr>
        <w:t>The Commission does not anticipate that the proposed collection of information will employ statistical methods.</w:t>
      </w:r>
    </w:p>
    <w:p w:rsidR="00211FC2" w:rsidRPr="004460F4" w:rsidP="00E64073" w14:paraId="041485A9" w14:textId="12E33276">
      <w:pPr>
        <w:pStyle w:val="Numberedparagraphs"/>
        <w:numPr>
          <w:ilvl w:val="0"/>
          <w:numId w:val="0"/>
        </w:numPr>
        <w:tabs>
          <w:tab w:val="clear" w:pos="1440"/>
        </w:tabs>
        <w:ind w:firstLine="720"/>
        <w:rPr>
          <w:szCs w:val="22"/>
        </w:rPr>
      </w:pPr>
      <w:r>
        <w:rPr>
          <w:szCs w:val="22"/>
        </w:rPr>
        <w:t xml:space="preserve">  </w:t>
      </w:r>
    </w:p>
    <w:sectPr w:rsidSect="00306CA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
    <w:altName w:val="MS Mincho"/>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C17" w:rsidP="00432BAA" w14:paraId="5E5E2D40" w14:textId="7777777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46C17" w:rsidP="001F7620" w14:paraId="5DFADBE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615363962"/>
      <w:docPartObj>
        <w:docPartGallery w:val="Page Numbers (Bottom of Page)"/>
        <w:docPartUnique/>
      </w:docPartObj>
    </w:sdtPr>
    <w:sdtEndPr>
      <w:rPr>
        <w:rStyle w:val="PageNumber"/>
      </w:rPr>
    </w:sdtEndPr>
    <w:sdtContent>
      <w:p w:rsidR="00646C17" w:rsidP="00432BAA" w14:paraId="068FA5EA" w14:textId="43B786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646C17" w:rsidRPr="00CA240C" w:rsidP="001F7620" w14:paraId="4FDCB662" w14:textId="77777777">
    <w:pPr>
      <w:pStyle w:val="Footer"/>
      <w:ind w:right="360"/>
      <w:jc w:val="center"/>
      <w:rPr>
        <w:szCs w:val="22"/>
      </w:rPr>
    </w:pPr>
  </w:p>
  <w:p w:rsidR="00646C17" w:rsidRPr="00CA240C" w14:paraId="614DA62A" w14:textId="77777777">
    <w:pPr>
      <w:pStyle w:val="Foo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1E3" w14:paraId="76D2B37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C66B9" w:rsidP="00C72C3F" w14:paraId="053779ED" w14:textId="77777777">
      <w:r>
        <w:separator/>
      </w:r>
    </w:p>
  </w:footnote>
  <w:footnote w:type="continuationSeparator" w:id="1">
    <w:p w:rsidR="001C66B9" w:rsidP="00C72C3F" w14:paraId="79FE3AB0" w14:textId="77777777">
      <w:r>
        <w:continuationSeparator/>
      </w:r>
    </w:p>
  </w:footnote>
  <w:footnote w:type="continuationNotice" w:id="2">
    <w:p w:rsidR="001C66B9" w14:paraId="107ADBEA" w14:textId="77777777"/>
  </w:footnote>
  <w:footnote w:id="3">
    <w:p w:rsidR="00153A69" w:rsidRPr="00F80DEE" w:rsidP="00153A69" w14:paraId="3D3A18E6" w14:textId="54CB2B59">
      <w:pPr>
        <w:pStyle w:val="FootnoteText"/>
      </w:pPr>
      <w:r w:rsidRPr="00F80DEE">
        <w:rPr>
          <w:rStyle w:val="FootnoteReference"/>
        </w:rPr>
        <w:footnoteRef/>
      </w:r>
      <w:r w:rsidRPr="00F80DEE">
        <w:t xml:space="preserve"> </w:t>
      </w:r>
      <w:r w:rsidRPr="00506B6D">
        <w:t>Martha Wright-Reed Just and Reasonable Communications Act of 2022, Pub. L. No. 117-338, 136 Stat. 6156</w:t>
      </w:r>
      <w:r>
        <w:t xml:space="preserve">, </w:t>
      </w:r>
      <w:r w:rsidRPr="00F80DEE">
        <w:t>§</w:t>
      </w:r>
      <w:r>
        <w:t> </w:t>
      </w:r>
      <w:r w:rsidRPr="00F80DEE">
        <w:t>2(a)(2), (b)</w:t>
      </w:r>
      <w:r w:rsidRPr="00506B6D">
        <w:t xml:space="preserve"> (Martha Wright-Reed Act or Act)</w:t>
      </w:r>
      <w:r>
        <w:t>.</w:t>
      </w:r>
    </w:p>
  </w:footnote>
  <w:footnote w:id="4">
    <w:p w:rsidR="00FF010F" w:rsidRPr="00F80DEE" w:rsidP="00FF010F" w14:paraId="2A22C447" w14:textId="77777777">
      <w:pPr>
        <w:pStyle w:val="FootnoteText"/>
      </w:pPr>
      <w:r w:rsidRPr="00F80DEE">
        <w:rPr>
          <w:rStyle w:val="FootnoteReference"/>
        </w:rPr>
        <w:footnoteRef/>
      </w:r>
      <w:r w:rsidRPr="00F80DEE">
        <w:t xml:space="preserve"> </w:t>
      </w:r>
      <w:bookmarkStart w:id="0" w:name="_Hlk187053354"/>
      <w:r w:rsidRPr="00F80DEE">
        <w:rPr>
          <w:i/>
          <w:iCs/>
        </w:rPr>
        <w:t>Id</w:t>
      </w:r>
      <w:r w:rsidRPr="00F80DEE">
        <w:t>.</w:t>
      </w:r>
      <w:bookmarkEnd w:id="0"/>
      <w:r w:rsidRPr="00F80DEE">
        <w:t xml:space="preserve"> § 2(c). </w:t>
      </w:r>
    </w:p>
  </w:footnote>
  <w:footnote w:id="5">
    <w:p w:rsidR="00FF010F" w:rsidRPr="00620A54" w:rsidP="00FF010F" w14:paraId="12D09A8F" w14:textId="77777777">
      <w:pPr>
        <w:pStyle w:val="FootnoteText"/>
      </w:pPr>
      <w:r w:rsidRPr="0049397B">
        <w:rPr>
          <w:rStyle w:val="FootnoteReference"/>
        </w:rPr>
        <w:footnoteRef/>
      </w:r>
      <w:r w:rsidRPr="00620A54">
        <w:t xml:space="preserve"> </w:t>
      </w:r>
      <w:r>
        <w:rPr>
          <w:i/>
          <w:iCs/>
        </w:rPr>
        <w:t>Id</w:t>
      </w:r>
      <w:r w:rsidRPr="00C67C7C">
        <w:rPr>
          <w:i/>
        </w:rPr>
        <w:t>.</w:t>
      </w:r>
      <w:r w:rsidRPr="00F80DEE">
        <w:t xml:space="preserve"> </w:t>
      </w:r>
      <w:r w:rsidRPr="00620A54">
        <w:t>§</w:t>
      </w:r>
      <w:r>
        <w:t>§ 2,</w:t>
      </w:r>
      <w:r w:rsidRPr="00620A54">
        <w:t> 3(a)</w:t>
      </w:r>
      <w:r>
        <w:t xml:space="preserve">; 47 U.S.C. </w:t>
      </w:r>
      <w:r w:rsidRPr="00620A54">
        <w:t>§ </w:t>
      </w:r>
      <w:r>
        <w:t>276(b)(1)(A).</w:t>
      </w:r>
    </w:p>
  </w:footnote>
  <w:footnote w:id="6">
    <w:p w:rsidR="00FF010F" w:rsidP="00FF010F" w14:paraId="67C60D5B" w14:textId="77777777">
      <w:pPr>
        <w:pStyle w:val="FootnoteText"/>
      </w:pPr>
      <w:r>
        <w:rPr>
          <w:rStyle w:val="FootnoteReference"/>
        </w:rPr>
        <w:footnoteRef/>
      </w:r>
      <w:r>
        <w:t xml:space="preserve"> </w:t>
      </w:r>
      <w:r w:rsidRPr="005E30DB">
        <w:rPr>
          <w:i/>
          <w:iCs/>
        </w:rPr>
        <w:t>Incarcerated People’s Communications Services; Implementation of the Martha Wright-Reed Act; Rates for Interstate Inmate Calling Services</w:t>
      </w:r>
      <w:r w:rsidRPr="003264BA">
        <w:t>, WC Docket Nos. 23-62, 12-375,</w:t>
      </w:r>
      <w:r>
        <w:t xml:space="preserve"> Report and Order, Order on Reconsideration, Clarification and Waiver, and Further Notice of Proposed Rulemaking, 39 FCC </w:t>
      </w:r>
      <w:r>
        <w:t>Rcd</w:t>
      </w:r>
      <w:r>
        <w:t xml:space="preserve"> 7647 (2024) (</w:t>
      </w:r>
      <w:r w:rsidRPr="005E30DB">
        <w:rPr>
          <w:i/>
          <w:iCs/>
        </w:rPr>
        <w:t>2024 IPCS Order</w:t>
      </w:r>
      <w:r>
        <w:t>).</w:t>
      </w:r>
    </w:p>
  </w:footnote>
  <w:footnote w:id="7">
    <w:p w:rsidR="00A73E96" w:rsidRPr="00616318" w14:paraId="72A7BD46" w14:textId="5AB08C5B">
      <w:pPr>
        <w:pStyle w:val="FootnoteText"/>
      </w:pPr>
      <w:r>
        <w:rPr>
          <w:rStyle w:val="FootnoteReference"/>
        </w:rPr>
        <w:footnoteRef/>
      </w:r>
      <w:r>
        <w:t xml:space="preserve"> </w:t>
      </w:r>
      <w:r w:rsidR="00C06E51">
        <w:t>T</w:t>
      </w:r>
      <w:r w:rsidR="00367201">
        <w:t xml:space="preserve">he Commission previously </w:t>
      </w:r>
      <w:r w:rsidR="008B76A6">
        <w:t xml:space="preserve">sought </w:t>
      </w:r>
      <w:r w:rsidR="00367201">
        <w:t xml:space="preserve">OMB approval of </w:t>
      </w:r>
      <w:r>
        <w:t>th</w:t>
      </w:r>
      <w:r w:rsidR="00B42795">
        <w:t>es</w:t>
      </w:r>
      <w:r>
        <w:t>e</w:t>
      </w:r>
      <w:r w:rsidR="00B42795">
        <w:t xml:space="preserve"> paperwork burdens, along with the burdens associated </w:t>
      </w:r>
      <w:r w:rsidR="00742BAC">
        <w:t>with</w:t>
      </w:r>
      <w:r w:rsidRPr="00742BAC">
        <w:t xml:space="preserve"> the </w:t>
      </w:r>
      <w:r w:rsidR="00195855">
        <w:t xml:space="preserve">revised </w:t>
      </w:r>
      <w:r w:rsidRPr="00742BAC">
        <w:t>disability access, inactive account, consumer discl</w:t>
      </w:r>
      <w:r w:rsidRPr="00C8066B">
        <w:rPr>
          <w:snapToGrid w:val="0"/>
        </w:rPr>
        <w:t xml:space="preserve">osure, and waiver rules adopted in the </w:t>
      </w:r>
      <w:r w:rsidRPr="00C8066B">
        <w:rPr>
          <w:i/>
          <w:iCs/>
          <w:snapToGrid w:val="0"/>
        </w:rPr>
        <w:t>202</w:t>
      </w:r>
      <w:r w:rsidR="005267AE">
        <w:rPr>
          <w:i/>
          <w:iCs/>
          <w:snapToGrid w:val="0"/>
        </w:rPr>
        <w:t>4</w:t>
      </w:r>
      <w:r w:rsidRPr="00C8066B">
        <w:rPr>
          <w:i/>
          <w:iCs/>
          <w:snapToGrid w:val="0"/>
        </w:rPr>
        <w:t xml:space="preserve"> </w:t>
      </w:r>
      <w:r w:rsidRPr="00C8066B" w:rsidR="00742BAC">
        <w:rPr>
          <w:i/>
          <w:iCs/>
          <w:snapToGrid w:val="0"/>
        </w:rPr>
        <w:t xml:space="preserve">IPCS </w:t>
      </w:r>
      <w:r w:rsidRPr="00C8066B">
        <w:rPr>
          <w:i/>
          <w:iCs/>
          <w:snapToGrid w:val="0"/>
        </w:rPr>
        <w:t>Order</w:t>
      </w:r>
      <w:r w:rsidR="0036093A">
        <w:rPr>
          <w:snapToGrid w:val="0"/>
        </w:rPr>
        <w:t xml:space="preserve">.  On </w:t>
      </w:r>
      <w:r w:rsidR="0018044B">
        <w:rPr>
          <w:snapToGrid w:val="0"/>
        </w:rPr>
        <w:t>J</w:t>
      </w:r>
      <w:r w:rsidR="00C06E51">
        <w:rPr>
          <w:snapToGrid w:val="0"/>
        </w:rPr>
        <w:t>uly 7, 2025, OMB granted the Commission’s request to</w:t>
      </w:r>
      <w:r w:rsidR="008B76A6">
        <w:rPr>
          <w:snapToGrid w:val="0"/>
        </w:rPr>
        <w:t xml:space="preserve"> withdraw that prior request for </w:t>
      </w:r>
      <w:r w:rsidR="004602A6">
        <w:rPr>
          <w:snapToGrid w:val="0"/>
        </w:rPr>
        <w:t>OMB approval</w:t>
      </w:r>
      <w:r w:rsidR="00E306B4">
        <w:rPr>
          <w:snapToGrid w:val="0"/>
        </w:rPr>
        <w:t xml:space="preserve">, </w:t>
      </w:r>
      <w:r w:rsidR="00E306B4">
        <w:rPr>
          <w:i/>
          <w:iCs/>
        </w:rPr>
        <w:t>s</w:t>
      </w:r>
      <w:r w:rsidR="004602A6">
        <w:rPr>
          <w:i/>
          <w:iCs/>
        </w:rPr>
        <w:t xml:space="preserve">ee </w:t>
      </w:r>
      <w:r w:rsidR="004602A6">
        <w:t xml:space="preserve">OMB, </w:t>
      </w:r>
      <w:r w:rsidRPr="001B34FD" w:rsidR="004602A6">
        <w:rPr>
          <w:i/>
          <w:iCs/>
        </w:rPr>
        <w:t xml:space="preserve">Incarcerated People’s Communications Services (IPCS) Provider Annual Reporting, Certification, and Other Requirements, </w:t>
      </w:r>
      <w:r w:rsidR="004602A6">
        <w:t>Notice of Office of Management Budget Action (</w:t>
      </w:r>
      <w:r w:rsidR="00C81C5F">
        <w:t xml:space="preserve">July 8, </w:t>
      </w:r>
      <w:r w:rsidR="004602A6">
        <w:t xml:space="preserve">2025), available at </w:t>
      </w:r>
      <w:hyperlink r:id="rId1" w:history="1">
        <w:r w:rsidRPr="008D056F" w:rsidR="004602A6">
          <w:rPr>
            <w:rStyle w:val="Hyperlink"/>
          </w:rPr>
          <w:t>https://www.reginfo.gov/public/do/PRAOMBHistory?ombControlNumber=3060-1222#</w:t>
        </w:r>
      </w:hyperlink>
      <w:r w:rsidR="00E24E4A">
        <w:t xml:space="preserve">.  </w:t>
      </w:r>
      <w:r w:rsidR="00877958">
        <w:t xml:space="preserve">While we </w:t>
      </w:r>
      <w:r w:rsidR="001C247D">
        <w:t xml:space="preserve">are not at this time </w:t>
      </w:r>
      <w:r w:rsidR="00B52694">
        <w:t xml:space="preserve">renewing our request </w:t>
      </w:r>
      <w:r w:rsidR="001F4EF6">
        <w:t xml:space="preserve">regarding </w:t>
      </w:r>
      <w:r w:rsidR="00453E82">
        <w:t xml:space="preserve">the </w:t>
      </w:r>
      <w:r w:rsidR="008F3A8F">
        <w:t xml:space="preserve">revised </w:t>
      </w:r>
      <w:r w:rsidR="00453E82">
        <w:t>di</w:t>
      </w:r>
      <w:r w:rsidRPr="00742BAC" w:rsidR="00453E82">
        <w:t>sability access, inactive account, consumer discl</w:t>
      </w:r>
      <w:r w:rsidRPr="001B34FD" w:rsidR="00453E82">
        <w:rPr>
          <w:snapToGrid w:val="0"/>
        </w:rPr>
        <w:t>osure, and waiver request rules</w:t>
      </w:r>
      <w:r w:rsidR="004E7551">
        <w:rPr>
          <w:snapToGrid w:val="0"/>
        </w:rPr>
        <w:t xml:space="preserve">, </w:t>
      </w:r>
      <w:r w:rsidR="00AA42F4">
        <w:rPr>
          <w:snapToGrid w:val="0"/>
        </w:rPr>
        <w:t xml:space="preserve">we </w:t>
      </w:r>
      <w:r w:rsidR="00243108">
        <w:rPr>
          <w:snapToGrid w:val="0"/>
        </w:rPr>
        <w:t xml:space="preserve">do seek renewal for </w:t>
      </w:r>
      <w:r w:rsidR="00222808">
        <w:rPr>
          <w:snapToGrid w:val="0"/>
        </w:rPr>
        <w:t xml:space="preserve">a full three-year </w:t>
      </w:r>
      <w:r w:rsidR="0076139E">
        <w:rPr>
          <w:snapToGrid w:val="0"/>
        </w:rPr>
        <w:t xml:space="preserve">term </w:t>
      </w:r>
      <w:r w:rsidR="006E620E">
        <w:t>of the</w:t>
      </w:r>
      <w:r w:rsidR="00154325">
        <w:t xml:space="preserve"> IPCS-related </w:t>
      </w:r>
      <w:r w:rsidR="006B2FBE">
        <w:t>information collections that</w:t>
      </w:r>
      <w:r w:rsidR="006E620E">
        <w:t xml:space="preserve"> OMB approved on </w:t>
      </w:r>
      <w:r w:rsidR="00A8796F">
        <w:t>July</w:t>
      </w:r>
      <w:r w:rsidR="006E620E">
        <w:t xml:space="preserve"> 25, 2025</w:t>
      </w:r>
      <w:r w:rsidR="0051556C">
        <w:t xml:space="preserve">.  </w:t>
      </w:r>
      <w:r>
        <w:rPr>
          <w:i/>
          <w:iCs/>
        </w:rPr>
        <w:t xml:space="preserve">See </w:t>
      </w:r>
      <w:r>
        <w:t xml:space="preserve">OMB, </w:t>
      </w:r>
      <w:r w:rsidRPr="00C8066B">
        <w:rPr>
          <w:i/>
          <w:iCs/>
        </w:rPr>
        <w:t xml:space="preserve">Incarcerated People’s Communications Services (IPCS) Provider Annual Reporting, Certification, and Other Requirements, </w:t>
      </w:r>
      <w:r>
        <w:t xml:space="preserve">Notice of Office of Management Budget Action (Sept. 8, 2025), available at </w:t>
      </w:r>
      <w:hyperlink r:id="rId1" w:history="1">
        <w:r w:rsidRPr="008D056F">
          <w:rPr>
            <w:rStyle w:val="Hyperlink"/>
          </w:rPr>
          <w:t>https://www.reginfo.gov/public/do/PRAOMBHistory?ombControlNumber=3060-1222#</w:t>
        </w:r>
      </w:hyperlink>
      <w:r>
        <w:t xml:space="preserve">.  </w:t>
      </w:r>
    </w:p>
  </w:footnote>
  <w:footnote w:id="8">
    <w:p w:rsidR="0065729E" w:rsidRPr="001C0AB8" w:rsidP="0065729E" w14:paraId="578E0800" w14:textId="575E2414">
      <w:pPr>
        <w:pStyle w:val="FootnoteText"/>
      </w:pPr>
      <w:r w:rsidRPr="005D24E0">
        <w:rPr>
          <w:rStyle w:val="FootnoteReference"/>
        </w:rPr>
        <w:footnoteRef/>
      </w:r>
      <w:r w:rsidRPr="005D24E0">
        <w:t xml:space="preserve"> </w:t>
      </w:r>
      <w:r w:rsidRPr="005D24E0">
        <w:rPr>
          <w:i/>
        </w:rPr>
        <w:t>2024 IPCS Order</w:t>
      </w:r>
      <w:r w:rsidRPr="005D24E0">
        <w:t xml:space="preserve">, 39 FCC </w:t>
      </w:r>
      <w:r w:rsidRPr="005D24E0">
        <w:t>Rcd</w:t>
      </w:r>
      <w:r w:rsidRPr="005D24E0">
        <w:t xml:space="preserve"> at 7875-76, para. 427; </w:t>
      </w:r>
      <w:r w:rsidRPr="005D24E0">
        <w:rPr>
          <w:i/>
        </w:rPr>
        <w:t xml:space="preserve">see </w:t>
      </w:r>
      <w:r w:rsidRPr="005D24E0">
        <w:t xml:space="preserve">47 CFR </w:t>
      </w:r>
      <w:r w:rsidRPr="005D24E0">
        <w:rPr>
          <w:szCs w:val="22"/>
        </w:rPr>
        <w:t>§§</w:t>
      </w:r>
      <w:r w:rsidRPr="005D24E0">
        <w:t> 64.</w:t>
      </w:r>
      <w:r w:rsidRPr="005D24E0" w:rsidR="00662B8F">
        <w:t xml:space="preserve">6010(a), </w:t>
      </w:r>
      <w:r w:rsidRPr="005D24E0">
        <w:t>64.6080, 64.6090 (2023).</w:t>
      </w:r>
      <w:r w:rsidRPr="001C0AB8">
        <w:t xml:space="preserve"> </w:t>
      </w:r>
    </w:p>
  </w:footnote>
  <w:footnote w:id="9">
    <w:p w:rsidR="0065729E" w:rsidRPr="001C0AB8" w:rsidP="0065729E" w14:paraId="7ED5BE88" w14:textId="77777777">
      <w:pPr>
        <w:pStyle w:val="FootnoteText"/>
        <w:rPr>
          <w:iCs/>
        </w:rPr>
      </w:pPr>
      <w:r w:rsidRPr="005D24E0">
        <w:rPr>
          <w:rStyle w:val="FootnoteReference"/>
        </w:rPr>
        <w:footnoteRef/>
      </w:r>
      <w:r w:rsidRPr="005D24E0">
        <w:t xml:space="preserve"> </w:t>
      </w:r>
      <w:r w:rsidRPr="005D24E0">
        <w:rPr>
          <w:i/>
        </w:rPr>
        <w:t>Rates for Interstate Inmate Calling Services</w:t>
      </w:r>
      <w:r w:rsidRPr="005D24E0">
        <w:t xml:space="preserve">, WC Docket No. 12-375, Report and Order on Remand and Fourth Further Notice of Proposed Rulemaking, 35 FCC </w:t>
      </w:r>
      <w:r w:rsidRPr="005D24E0">
        <w:t>Rcd</w:t>
      </w:r>
      <w:r w:rsidRPr="005D24E0">
        <w:t xml:space="preserve"> 8485, 8533, para. 134 (2020) (</w:t>
      </w:r>
      <w:r w:rsidRPr="005D24E0">
        <w:rPr>
          <w:i/>
        </w:rPr>
        <w:t>2020 ICS Notice</w:t>
      </w:r>
      <w:r w:rsidRPr="005D24E0">
        <w:t xml:space="preserve">); </w:t>
      </w:r>
      <w:r w:rsidRPr="005D24E0">
        <w:rPr>
          <w:i/>
        </w:rPr>
        <w:t>see also 2024 IPCS Order</w:t>
      </w:r>
      <w:r w:rsidRPr="005D24E0">
        <w:t xml:space="preserve">, 39 FCC </w:t>
      </w:r>
      <w:r w:rsidRPr="005D24E0">
        <w:t>Rcd</w:t>
      </w:r>
      <w:r w:rsidRPr="005D24E0">
        <w:t xml:space="preserve"> at 7666-67, para. 31.</w:t>
      </w:r>
    </w:p>
  </w:footnote>
  <w:footnote w:id="10">
    <w:p w:rsidR="0065729E" w:rsidRPr="001C0AB8" w:rsidP="0065729E" w14:paraId="68FB5074" w14:textId="77777777">
      <w:pPr>
        <w:pStyle w:val="FootnoteText"/>
      </w:pPr>
      <w:r w:rsidRPr="005D24E0">
        <w:rPr>
          <w:rStyle w:val="FootnoteReference"/>
        </w:rPr>
        <w:footnoteRef/>
      </w:r>
      <w:r w:rsidRPr="005D24E0">
        <w:t xml:space="preserve"> </w:t>
      </w:r>
      <w:r w:rsidRPr="005D24E0">
        <w:rPr>
          <w:i/>
        </w:rPr>
        <w:t>Rates for Interstate Inmate Calling Services</w:t>
      </w:r>
      <w:r w:rsidRPr="005D24E0">
        <w:t xml:space="preserve">, WC Docket No. 12-375, Third Report and Order, Order on Reconsideration, and Fifth Further Notice of Proposed Rulemaking, 36 FCC </w:t>
      </w:r>
      <w:r w:rsidRPr="005D24E0">
        <w:t>Rcd</w:t>
      </w:r>
      <w:r w:rsidRPr="005D24E0">
        <w:t xml:space="preserve"> 9519, 9657, para. 305 (2021) (</w:t>
      </w:r>
      <w:r w:rsidRPr="005D24E0">
        <w:rPr>
          <w:i/>
        </w:rPr>
        <w:t xml:space="preserve">2021 ICS Order </w:t>
      </w:r>
      <w:r w:rsidRPr="005D24E0">
        <w:t xml:space="preserve">or </w:t>
      </w:r>
      <w:r w:rsidRPr="005D24E0">
        <w:rPr>
          <w:i/>
        </w:rPr>
        <w:t>2021 ICS Notice</w:t>
      </w:r>
      <w:r w:rsidRPr="005D24E0">
        <w:t>).</w:t>
      </w:r>
    </w:p>
  </w:footnote>
  <w:footnote w:id="11">
    <w:p w:rsidR="0065729E" w:rsidRPr="001C0AB8" w:rsidP="00B523CC" w14:paraId="0C4A6575" w14:textId="32C8B59F">
      <w:pPr>
        <w:pStyle w:val="FootnoteText"/>
      </w:pPr>
      <w:r w:rsidRPr="005D24E0">
        <w:rPr>
          <w:rStyle w:val="FootnoteReference"/>
        </w:rPr>
        <w:footnoteRef/>
      </w:r>
      <w:r w:rsidRPr="005D24E0">
        <w:t xml:space="preserve"> </w:t>
      </w:r>
      <w:r w:rsidRPr="001C0AB8" w:rsidR="00A848DB">
        <w:rPr>
          <w:i/>
        </w:rPr>
        <w:t>Rates for Interstate Inmate Calling Services</w:t>
      </w:r>
      <w:r w:rsidRPr="001C0AB8" w:rsidR="00A848DB">
        <w:rPr>
          <w:iCs/>
        </w:rPr>
        <w:t>, WC Docket No. 12-375, Fourth Report and Order and Sixth Further</w:t>
      </w:r>
      <w:r w:rsidRPr="001C0AB8" w:rsidR="00EF24EB">
        <w:rPr>
          <w:iCs/>
        </w:rPr>
        <w:t xml:space="preserve"> </w:t>
      </w:r>
      <w:r w:rsidRPr="001C0AB8" w:rsidR="00A848DB">
        <w:rPr>
          <w:iCs/>
        </w:rPr>
        <w:t xml:space="preserve">Notice of Proposed Rulemaking, 37 FCC </w:t>
      </w:r>
      <w:r w:rsidRPr="001C0AB8" w:rsidR="00A848DB">
        <w:rPr>
          <w:iCs/>
        </w:rPr>
        <w:t>Rcd</w:t>
      </w:r>
      <w:r w:rsidRPr="001C0AB8" w:rsidR="00A848DB">
        <w:rPr>
          <w:iCs/>
        </w:rPr>
        <w:t xml:space="preserve"> 11900, 1</w:t>
      </w:r>
      <w:r w:rsidRPr="005D24E0" w:rsidR="00A848DB">
        <w:t>1959-63, paras. 148-60</w:t>
      </w:r>
      <w:r w:rsidRPr="001C0AB8" w:rsidR="00EF24EB">
        <w:t xml:space="preserve"> </w:t>
      </w:r>
      <w:r w:rsidRPr="001C0AB8" w:rsidR="00A848DB">
        <w:rPr>
          <w:iCs/>
        </w:rPr>
        <w:t>(2022) (</w:t>
      </w:r>
      <w:r w:rsidRPr="001C0AB8" w:rsidR="00A848DB">
        <w:rPr>
          <w:i/>
        </w:rPr>
        <w:t>2022 ICS Order</w:t>
      </w:r>
      <w:r w:rsidRPr="005D24E0" w:rsidR="00A848DB">
        <w:rPr>
          <w:iCs/>
        </w:rPr>
        <w:t xml:space="preserve"> </w:t>
      </w:r>
      <w:r w:rsidRPr="001C0AB8" w:rsidR="00A848DB">
        <w:rPr>
          <w:iCs/>
        </w:rPr>
        <w:t xml:space="preserve">or </w:t>
      </w:r>
      <w:r w:rsidRPr="005D24E0" w:rsidR="00A848DB">
        <w:rPr>
          <w:iCs/>
        </w:rPr>
        <w:t>2022 ICS</w:t>
      </w:r>
      <w:r w:rsidRPr="001C0AB8" w:rsidR="00EF24EB">
        <w:rPr>
          <w:iCs/>
        </w:rPr>
        <w:t xml:space="preserve"> </w:t>
      </w:r>
      <w:r w:rsidRPr="005D24E0" w:rsidR="00A848DB">
        <w:rPr>
          <w:iCs/>
        </w:rPr>
        <w:t>Notice</w:t>
      </w:r>
      <w:r w:rsidRPr="001C0AB8" w:rsidR="00A848DB">
        <w:rPr>
          <w:iCs/>
        </w:rPr>
        <w:t>)</w:t>
      </w:r>
      <w:r w:rsidRPr="001C0AB8" w:rsidR="00EF24EB">
        <w:rPr>
          <w:iCs/>
        </w:rPr>
        <w:t xml:space="preserve">; </w:t>
      </w:r>
      <w:r w:rsidRPr="005D24E0" w:rsidR="00B523CC">
        <w:rPr>
          <w:iCs/>
        </w:rPr>
        <w:t>Incarcerated People’s Communications Services</w:t>
      </w:r>
      <w:r w:rsidRPr="001C0AB8" w:rsidR="00B523CC">
        <w:rPr>
          <w:iCs/>
        </w:rPr>
        <w:t>;</w:t>
      </w:r>
      <w:r w:rsidRPr="001C0AB8" w:rsidR="00675BB0">
        <w:rPr>
          <w:iCs/>
        </w:rPr>
        <w:t xml:space="preserve"> </w:t>
      </w:r>
      <w:r w:rsidRPr="005D24E0" w:rsidR="00B523CC">
        <w:rPr>
          <w:iCs/>
        </w:rPr>
        <w:t>Implementation of the Martha Wright-Reed Act</w:t>
      </w:r>
      <w:r w:rsidRPr="001C0AB8" w:rsidR="00B523CC">
        <w:rPr>
          <w:iCs/>
        </w:rPr>
        <w:t xml:space="preserve">; </w:t>
      </w:r>
      <w:r w:rsidRPr="005D24E0" w:rsidR="00B523CC">
        <w:rPr>
          <w:iCs/>
        </w:rPr>
        <w:t>Rates for Interstate Inmate Calling Services</w:t>
      </w:r>
      <w:r w:rsidRPr="001C0AB8" w:rsidR="00B523CC">
        <w:rPr>
          <w:iCs/>
        </w:rPr>
        <w:t>, WC Docket Nos. 23-62</w:t>
      </w:r>
      <w:r w:rsidRPr="001C0AB8" w:rsidR="00675BB0">
        <w:rPr>
          <w:iCs/>
        </w:rPr>
        <w:t xml:space="preserve"> </w:t>
      </w:r>
      <w:r w:rsidRPr="001C0AB8" w:rsidR="00B523CC">
        <w:rPr>
          <w:iCs/>
        </w:rPr>
        <w:t xml:space="preserve">and 12-375, Notice of Proposed Rulemaking and Order, 38 FCC </w:t>
      </w:r>
      <w:r w:rsidRPr="001C0AB8" w:rsidR="00B523CC">
        <w:rPr>
          <w:iCs/>
        </w:rPr>
        <w:t>Rcd</w:t>
      </w:r>
      <w:r w:rsidRPr="001C0AB8" w:rsidR="00B523CC">
        <w:rPr>
          <w:iCs/>
        </w:rPr>
        <w:t xml:space="preserve"> 2669, </w:t>
      </w:r>
      <w:r w:rsidRPr="005D24E0" w:rsidR="00675BB0">
        <w:t>2687-88, paras. 45-46.</w:t>
      </w:r>
      <w:r w:rsidRPr="001C0AB8" w:rsidR="00675BB0">
        <w:rPr>
          <w:iCs/>
        </w:rPr>
        <w:t xml:space="preserve"> </w:t>
      </w:r>
      <w:r w:rsidRPr="001C0AB8" w:rsidR="00B523CC">
        <w:rPr>
          <w:iCs/>
        </w:rPr>
        <w:t>(2023) (</w:t>
      </w:r>
      <w:r w:rsidRPr="005D24E0" w:rsidR="00B523CC">
        <w:rPr>
          <w:iCs/>
        </w:rPr>
        <w:t>2</w:t>
      </w:r>
      <w:r w:rsidRPr="001C0AB8" w:rsidR="00B523CC">
        <w:rPr>
          <w:i/>
        </w:rPr>
        <w:t>023 IPCS Order</w:t>
      </w:r>
      <w:r w:rsidRPr="001C0AB8" w:rsidR="00675BB0">
        <w:rPr>
          <w:iCs/>
        </w:rPr>
        <w:t xml:space="preserve"> </w:t>
      </w:r>
      <w:r w:rsidRPr="001C0AB8" w:rsidR="00B523CC">
        <w:rPr>
          <w:iCs/>
        </w:rPr>
        <w:t xml:space="preserve">or </w:t>
      </w:r>
      <w:r w:rsidRPr="001C0AB8" w:rsidR="00B523CC">
        <w:rPr>
          <w:i/>
        </w:rPr>
        <w:t>2023 IPCS Notice</w:t>
      </w:r>
      <w:r w:rsidRPr="001C0AB8" w:rsidR="00B523CC">
        <w:rPr>
          <w:iCs/>
        </w:rPr>
        <w:t>).</w:t>
      </w:r>
    </w:p>
  </w:footnote>
  <w:footnote w:id="12">
    <w:p w:rsidR="0065729E" w:rsidRPr="001C0AB8" w:rsidP="0065729E" w14:paraId="1D2301E3" w14:textId="77777777">
      <w:pPr>
        <w:pStyle w:val="FootnoteText"/>
      </w:pPr>
      <w:r w:rsidRPr="005D24E0">
        <w:rPr>
          <w:rStyle w:val="FootnoteReference"/>
        </w:rPr>
        <w:footnoteRef/>
      </w:r>
      <w:r w:rsidRPr="005D24E0">
        <w:t xml:space="preserve"> </w:t>
      </w:r>
      <w:r w:rsidRPr="005D24E0">
        <w:rPr>
          <w:i/>
        </w:rPr>
        <w:t>2024 IPCS Order</w:t>
      </w:r>
      <w:r w:rsidRPr="005D24E0">
        <w:t xml:space="preserve">, 39 FCC </w:t>
      </w:r>
      <w:r w:rsidRPr="005D24E0">
        <w:t>Rcd</w:t>
      </w:r>
      <w:r w:rsidRPr="005D24E0">
        <w:t xml:space="preserve"> at 7876, para. 428.</w:t>
      </w:r>
    </w:p>
  </w:footnote>
  <w:footnote w:id="13">
    <w:p w:rsidR="0065729E" w:rsidRPr="001C0AB8" w:rsidP="0065729E" w14:paraId="630C26C6" w14:textId="77777777">
      <w:pPr>
        <w:pStyle w:val="FootnoteText"/>
      </w:pPr>
      <w:r w:rsidRPr="001C0AB8">
        <w:rPr>
          <w:rStyle w:val="FootnoteReference"/>
        </w:rPr>
        <w:footnoteRef/>
      </w:r>
      <w:r w:rsidRPr="001C0AB8">
        <w:t xml:space="preserve"> </w:t>
      </w:r>
      <w:r w:rsidRPr="001C0AB8">
        <w:rPr>
          <w:i/>
          <w:iCs/>
        </w:rPr>
        <w:t xml:space="preserve">Id. </w:t>
      </w:r>
      <w:r w:rsidRPr="001C0AB8">
        <w:t>at 7649-50, 7875-95, paras. 2, 3, 427-71.</w:t>
      </w:r>
    </w:p>
  </w:footnote>
  <w:footnote w:id="14">
    <w:p w:rsidR="0065729E" w:rsidP="0065729E" w14:paraId="64385471" w14:textId="58EC5559">
      <w:pPr>
        <w:pStyle w:val="FootnoteText"/>
      </w:pPr>
      <w:r w:rsidRPr="001C0AB8">
        <w:rPr>
          <w:rStyle w:val="FootnoteReference"/>
        </w:rPr>
        <w:footnoteRef/>
      </w:r>
      <w:r w:rsidRPr="001C0AB8">
        <w:t xml:space="preserve"> </w:t>
      </w:r>
      <w:r w:rsidRPr="001C0AB8">
        <w:rPr>
          <w:i/>
          <w:iCs/>
        </w:rPr>
        <w:t>See, e.g.</w:t>
      </w:r>
      <w:r w:rsidRPr="001C0AB8">
        <w:t xml:space="preserve">, </w:t>
      </w:r>
      <w:r w:rsidRPr="001C0AB8">
        <w:rPr>
          <w:i/>
          <w:iCs/>
        </w:rPr>
        <w:t>id.</w:t>
      </w:r>
      <w:r w:rsidRPr="001C0AB8">
        <w:t xml:space="preserve"> at 7649-50, 7887-91, 7895, 7917-23, pa</w:t>
      </w:r>
      <w:r w:rsidRPr="00AD64F5">
        <w:t>ras. 2, 3,</w:t>
      </w:r>
      <w:r>
        <w:t xml:space="preserve"> 452, 455, 460, 471, 518-29 (detailing consumer disclosure rules for alternate pricing plans).</w:t>
      </w:r>
    </w:p>
  </w:footnote>
  <w:footnote w:id="15">
    <w:p w:rsidR="00BD3C4F" w:rsidRPr="001C0AB8" w:rsidP="00BD3C4F" w14:paraId="7A341B11" w14:textId="7D932732">
      <w:pPr>
        <w:pStyle w:val="FootnoteText"/>
      </w:pPr>
      <w:r>
        <w:rPr>
          <w:rStyle w:val="FootnoteReference"/>
        </w:rPr>
        <w:footnoteRef/>
      </w:r>
      <w:r>
        <w:t xml:space="preserve"> </w:t>
      </w:r>
      <w:r w:rsidRPr="005D24E0">
        <w:rPr>
          <w:i/>
        </w:rPr>
        <w:t xml:space="preserve">See </w:t>
      </w:r>
      <w:r w:rsidRPr="005D24E0">
        <w:t>Federal Communications Commission, Information Collection Being Reviewed by the Federal Communications Commission, 89 Fed. Reg. 85209 (Oct. 25, 2024) (</w:t>
      </w:r>
      <w:r w:rsidRPr="005D24E0">
        <w:rPr>
          <w:iCs/>
        </w:rPr>
        <w:t>60-Day Notice</w:t>
      </w:r>
      <w:r w:rsidRPr="005D24E0">
        <w:t>).</w:t>
      </w:r>
    </w:p>
  </w:footnote>
  <w:footnote w:id="16">
    <w:p w:rsidR="00BD3C4F" w:rsidP="00BD3C4F" w14:paraId="3BFF5130" w14:textId="56AFC6E1">
      <w:pPr>
        <w:pStyle w:val="FootnoteText"/>
      </w:pPr>
      <w:r w:rsidRPr="001C0AB8">
        <w:rPr>
          <w:rStyle w:val="FootnoteReference"/>
        </w:rPr>
        <w:footnoteRef/>
      </w:r>
      <w:r w:rsidRPr="001C0AB8">
        <w:t xml:space="preserve"> </w:t>
      </w:r>
      <w:r w:rsidRPr="005D24E0">
        <w:t xml:space="preserve">Federal Communications Commission, Information Collections Being Submitted for Review and Approval to Office of Management and Budget, </w:t>
      </w:r>
      <w:r w:rsidRPr="005D24E0">
        <w:rPr>
          <w:szCs w:val="22"/>
        </w:rPr>
        <w:t>90 F</w:t>
      </w:r>
      <w:r w:rsidRPr="005D24E0" w:rsidR="0097508E">
        <w:rPr>
          <w:szCs w:val="22"/>
        </w:rPr>
        <w:t xml:space="preserve">ed. </w:t>
      </w:r>
      <w:r w:rsidRPr="005D24E0">
        <w:rPr>
          <w:szCs w:val="22"/>
        </w:rPr>
        <w:t>R</w:t>
      </w:r>
      <w:r w:rsidRPr="005D24E0" w:rsidR="0097508E">
        <w:rPr>
          <w:szCs w:val="22"/>
        </w:rPr>
        <w:t>eg.</w:t>
      </w:r>
      <w:r w:rsidRPr="005D24E0">
        <w:rPr>
          <w:szCs w:val="22"/>
        </w:rPr>
        <w:t xml:space="preserve"> 14370 (Apr. 1, 2025)</w:t>
      </w:r>
      <w:r w:rsidRPr="005D24E0">
        <w:t xml:space="preserve"> (30-Day Notice).</w:t>
      </w:r>
    </w:p>
  </w:footnote>
  <w:footnote w:id="17">
    <w:p w:rsidR="00BD3C4F" w:rsidP="00BD3C4F" w14:paraId="4CDA7B93" w14:textId="77777777">
      <w:pPr>
        <w:pStyle w:val="FootnoteText"/>
      </w:pPr>
      <w:r>
        <w:rPr>
          <w:rStyle w:val="FootnoteReference"/>
        </w:rPr>
        <w:footnoteRef/>
      </w:r>
      <w:r>
        <w:t xml:space="preserve"> Securus Technologies, LLC Comments, WC Docket Nos. 23-62 and 12-375 (rec. Apr. 30, 2025) (Securus April 30, 2025 Comments).</w:t>
      </w:r>
    </w:p>
  </w:footnote>
  <w:footnote w:id="18">
    <w:p w:rsidR="004B1A18" w:rsidP="004B1A18" w14:paraId="7EAAFE2A" w14:textId="2E03D4C6">
      <w:pPr>
        <w:pStyle w:val="FootnoteText"/>
      </w:pPr>
      <w:r>
        <w:rPr>
          <w:rStyle w:val="FootnoteReference"/>
        </w:rPr>
        <w:footnoteRef/>
      </w:r>
      <w:r>
        <w:t xml:space="preserve"> Global Tel*Link Corporation d/b/a </w:t>
      </w:r>
      <w:r>
        <w:t>ViaPath</w:t>
      </w:r>
      <w:r>
        <w:t xml:space="preserve"> Technologies Paperwork Reduction Act Comments, WC Docket Nos. 23-62 and 12-375, at 3 (rec. Jan. 7, 2025) (</w:t>
      </w:r>
      <w:r>
        <w:t>ViaPath</w:t>
      </w:r>
      <w:r>
        <w:t xml:space="preserve"> January 7, 2025 Comments). </w:t>
      </w:r>
    </w:p>
  </w:footnote>
  <w:footnote w:id="19">
    <w:p w:rsidR="004B1A18" w:rsidP="004B1A18" w14:paraId="00E57B36" w14:textId="77777777">
      <w:pPr>
        <w:pStyle w:val="FootnoteText"/>
      </w:pPr>
      <w:r>
        <w:rPr>
          <w:rStyle w:val="FootnoteReference"/>
        </w:rPr>
        <w:footnoteRef/>
      </w:r>
      <w:r>
        <w:t xml:space="preserve"> </w:t>
      </w:r>
      <w:r>
        <w:rPr>
          <w:i/>
          <w:iCs/>
        </w:rPr>
        <w:t>Id.</w:t>
      </w:r>
      <w:r>
        <w:t xml:space="preserve">  </w:t>
      </w:r>
    </w:p>
  </w:footnote>
  <w:footnote w:id="20">
    <w:p w:rsidR="004B1A18" w:rsidP="004B1A18" w14:paraId="7EB47418" w14:textId="77777777">
      <w:pPr>
        <w:pStyle w:val="FootnoteText"/>
      </w:pPr>
      <w:r>
        <w:rPr>
          <w:rStyle w:val="FootnoteReference"/>
        </w:rPr>
        <w:footnoteRef/>
      </w:r>
      <w:r>
        <w:t xml:space="preserve"> </w:t>
      </w:r>
      <w:r>
        <w:rPr>
          <w:i/>
          <w:iCs/>
        </w:rPr>
        <w:t>Id.</w:t>
      </w:r>
      <w:r>
        <w:t xml:space="preserve">  </w:t>
      </w:r>
    </w:p>
  </w:footnote>
  <w:footnote w:id="21">
    <w:p w:rsidR="004B1A18" w:rsidP="004B1A18" w14:paraId="6BD6C6BC" w14:textId="77777777">
      <w:pPr>
        <w:pStyle w:val="FootnoteText"/>
      </w:pPr>
      <w:r>
        <w:rPr>
          <w:rStyle w:val="FootnoteReference"/>
        </w:rPr>
        <w:footnoteRef/>
      </w:r>
      <w:r>
        <w:t xml:space="preserve"> </w:t>
      </w:r>
      <w:r>
        <w:rPr>
          <w:i/>
          <w:iCs/>
        </w:rPr>
        <w:t>Id.</w:t>
      </w:r>
    </w:p>
  </w:footnote>
  <w:footnote w:id="22">
    <w:p w:rsidR="004B1A18" w:rsidP="004B1A18" w14:paraId="29931601" w14:textId="77777777">
      <w:pPr>
        <w:pStyle w:val="FootnoteText"/>
      </w:pPr>
      <w:r>
        <w:rPr>
          <w:rStyle w:val="FootnoteReference"/>
        </w:rPr>
        <w:footnoteRef/>
      </w:r>
      <w:r>
        <w:t xml:space="preserve"> </w:t>
      </w:r>
      <w:r>
        <w:rPr>
          <w:i/>
          <w:iCs/>
        </w:rPr>
        <w:t>Id.</w:t>
      </w:r>
      <w:r>
        <w:t xml:space="preserve"> at 4.  </w:t>
      </w:r>
    </w:p>
  </w:footnote>
  <w:footnote w:id="23">
    <w:p w:rsidR="004B1A18" w:rsidP="004B1A18" w14:paraId="01E6E9CF" w14:textId="3B89A7CF">
      <w:pPr>
        <w:pStyle w:val="FootnoteText"/>
      </w:pPr>
      <w:r>
        <w:rPr>
          <w:rStyle w:val="FootnoteReference"/>
        </w:rPr>
        <w:footnoteRef/>
      </w:r>
      <w:r>
        <w:t xml:space="preserve"> Securus April 30, 2025 Comments at 3-4.</w:t>
      </w:r>
    </w:p>
  </w:footnote>
  <w:footnote w:id="24">
    <w:p w:rsidR="00945925" w:rsidP="00945925" w14:paraId="5D07D1EA" w14:textId="49855E1B">
      <w:pPr>
        <w:pStyle w:val="FootnoteText"/>
      </w:pPr>
      <w:r>
        <w:rPr>
          <w:rStyle w:val="FootnoteReference"/>
        </w:rPr>
        <w:footnoteRef/>
      </w:r>
      <w:r>
        <w:t xml:space="preserve"> </w:t>
      </w:r>
      <w:r>
        <w:rPr>
          <w:i/>
          <w:iCs/>
        </w:rPr>
        <w:t>See</w:t>
      </w:r>
      <w:r w:rsidR="00A7030D">
        <w:rPr>
          <w:i/>
          <w:iCs/>
        </w:rPr>
        <w:t xml:space="preserve"> </w:t>
      </w:r>
      <w:r w:rsidRPr="001B34FD" w:rsidR="001033A4">
        <w:rPr>
          <w:i/>
          <w:iCs/>
        </w:rPr>
        <w:t xml:space="preserve">Incarcerated People’s Communications Services (IPCS) Provider Annual Reporting, Certification, and Other Requirements, </w:t>
      </w:r>
      <w:r w:rsidR="00A7030D">
        <w:t>Supporting Statement</w:t>
      </w:r>
      <w:r w:rsidR="0065046C">
        <w:t xml:space="preserve"> at </w:t>
      </w:r>
      <w:r w:rsidR="00183F21">
        <w:t>16 n.</w:t>
      </w:r>
      <w:r w:rsidR="00B27B8E">
        <w:t>16</w:t>
      </w:r>
      <w:r w:rsidR="00A7030D">
        <w:t xml:space="preserve"> </w:t>
      </w:r>
      <w:r w:rsidR="001033A4">
        <w:t xml:space="preserve">(July 2025), available at </w:t>
      </w:r>
      <w:hyperlink r:id="rId1" w:history="1">
        <w:r w:rsidRPr="008D056F" w:rsidR="001033A4">
          <w:rPr>
            <w:rStyle w:val="Hyperlink"/>
          </w:rPr>
          <w:t>https://www.reginfo.gov/public/do/PRAOMBHistory?ombControlNumber=3060-1222#</w:t>
        </w:r>
      </w:hyperlink>
      <w:r w:rsidR="001F0C64">
        <w:t xml:space="preserve">; </w:t>
      </w:r>
      <w:r>
        <w:t>Federal Communications Commission, Information Collection Being Submitted for Review and Approval to Office of Management and Budget, 88 Fed. Reg. 77315, 77316 (Nov. 9, 2023).</w:t>
      </w:r>
    </w:p>
  </w:footnote>
  <w:footnote w:id="25">
    <w:p w:rsidR="006D6C91" w:rsidP="006D6C91" w14:paraId="432F462B" w14:textId="77777777">
      <w:pPr>
        <w:pStyle w:val="FootnoteText"/>
      </w:pPr>
      <w:r>
        <w:rPr>
          <w:rStyle w:val="FootnoteReference"/>
        </w:rPr>
        <w:footnoteRef/>
      </w:r>
      <w:r>
        <w:t xml:space="preserve"> We note that our burden hour estimates are industry-wide averages.  We would expect that the total response times of the two largest providers, Securus and </w:t>
      </w:r>
      <w:r>
        <w:t>ViaPath</w:t>
      </w:r>
      <w:r>
        <w:t xml:space="preserve">, would exceed any industry-wide average, regardless of the number of estimated hours. </w:t>
      </w:r>
    </w:p>
  </w:footnote>
  <w:footnote w:id="26">
    <w:p w:rsidR="006D6C91" w:rsidRPr="00AC7815" w:rsidP="006D6C91" w14:paraId="07A3CA2C" w14:textId="3775A707">
      <w:pPr>
        <w:pStyle w:val="FootnoteText"/>
      </w:pPr>
      <w:r>
        <w:rPr>
          <w:rStyle w:val="FootnoteReference"/>
        </w:rPr>
        <w:footnoteRef/>
      </w:r>
      <w:r>
        <w:t xml:space="preserve"> </w:t>
      </w:r>
      <w:r>
        <w:rPr>
          <w:i/>
          <w:iCs/>
        </w:rPr>
        <w:t xml:space="preserve">See </w:t>
      </w:r>
      <w:r>
        <w:t>Securus April 30, 2025 Comments at 3-</w:t>
      </w:r>
      <w:r w:rsidRPr="007352B4">
        <w:t>4.</w:t>
      </w:r>
      <w:r w:rsidRPr="007352B4">
        <w:rPr>
          <w:szCs w:val="22"/>
        </w:rPr>
        <w:t xml:space="preserve">  </w:t>
      </w:r>
    </w:p>
  </w:footnote>
  <w:footnote w:id="27">
    <w:p w:rsidR="002C5261" w:rsidP="002C5261" w14:paraId="74FCE911" w14:textId="50CF1180">
      <w:pPr>
        <w:pStyle w:val="FootnoteText"/>
      </w:pPr>
      <w:r>
        <w:rPr>
          <w:rStyle w:val="FootnoteReference"/>
        </w:rPr>
        <w:footnoteRef/>
      </w:r>
      <w:r>
        <w:t xml:space="preserve"> </w:t>
      </w:r>
      <w:r w:rsidR="00CB3962">
        <w:t>Securus Technologies, LLC Comments, WC Docket Nos. 23-62 and 12-375</w:t>
      </w:r>
      <w:r w:rsidR="000C7211">
        <w:t>, at 16</w:t>
      </w:r>
      <w:r w:rsidR="00CB3962">
        <w:t xml:space="preserve"> (rec. </w:t>
      </w:r>
      <w:r w:rsidR="004A1E91">
        <w:t>Jan. 7</w:t>
      </w:r>
      <w:r w:rsidR="00CB3962">
        <w:t>, 2025) (Securus</w:t>
      </w:r>
      <w:r w:rsidR="004A1E91">
        <w:t xml:space="preserve"> </w:t>
      </w:r>
      <w:r>
        <w:t>January 7, 2025 Comments</w:t>
      </w:r>
      <w:r w:rsidR="004A1E91">
        <w:t>)</w:t>
      </w:r>
      <w:r>
        <w:t xml:space="preserve">; </w:t>
      </w:r>
      <w:r>
        <w:rPr>
          <w:i/>
          <w:iCs/>
        </w:rPr>
        <w:t xml:space="preserve">see also </w:t>
      </w:r>
      <w:r>
        <w:t xml:space="preserve">Securus April 30, 2025 Comments at 7-9.  </w:t>
      </w:r>
    </w:p>
  </w:footnote>
  <w:footnote w:id="28">
    <w:p w:rsidR="002C5261" w:rsidP="002C5261" w14:paraId="25863833" w14:textId="77777777">
      <w:pPr>
        <w:pStyle w:val="FootnoteText"/>
      </w:pPr>
      <w:r>
        <w:rPr>
          <w:rStyle w:val="FootnoteReference"/>
        </w:rPr>
        <w:footnoteRef/>
      </w:r>
      <w:r>
        <w:t xml:space="preserve"> </w:t>
      </w:r>
      <w:r>
        <w:rPr>
          <w:i/>
          <w:iCs/>
        </w:rPr>
        <w:t xml:space="preserve">See generally </w:t>
      </w:r>
      <w:r>
        <w:t>Securus January 7, 2025 Comments</w:t>
      </w:r>
      <w:r>
        <w:rPr>
          <w:i/>
          <w:iCs/>
        </w:rPr>
        <w:t xml:space="preserve"> </w:t>
      </w:r>
      <w:r>
        <w:t xml:space="preserve">at 16-20.  </w:t>
      </w:r>
    </w:p>
  </w:footnote>
  <w:footnote w:id="29">
    <w:p w:rsidR="002C5261" w:rsidP="002C5261" w14:paraId="2926BC4B" w14:textId="77777777">
      <w:pPr>
        <w:pStyle w:val="FootnoteText"/>
      </w:pPr>
      <w:r>
        <w:rPr>
          <w:rStyle w:val="FootnoteReference"/>
        </w:rPr>
        <w:footnoteRef/>
      </w:r>
      <w:r>
        <w:t xml:space="preserve"> </w:t>
      </w:r>
      <w:r>
        <w:rPr>
          <w:i/>
          <w:iCs/>
        </w:rPr>
        <w:t>Id.</w:t>
      </w:r>
      <w:r>
        <w:t xml:space="preserve"> at 18.  </w:t>
      </w:r>
    </w:p>
  </w:footnote>
  <w:footnote w:id="30">
    <w:p w:rsidR="002C5261" w:rsidP="002C5261" w14:paraId="4E1252D3" w14:textId="77777777">
      <w:pPr>
        <w:pStyle w:val="FootnoteText"/>
      </w:pPr>
      <w:r>
        <w:rPr>
          <w:rStyle w:val="FootnoteReference"/>
        </w:rPr>
        <w:footnoteRef/>
      </w:r>
      <w:r>
        <w:t xml:space="preserve"> </w:t>
      </w:r>
      <w:r>
        <w:rPr>
          <w:i/>
          <w:iCs/>
        </w:rPr>
        <w:t>Id.</w:t>
      </w:r>
      <w:r>
        <w:t xml:space="preserve"> at 22.  </w:t>
      </w:r>
    </w:p>
  </w:footnote>
  <w:footnote w:id="31">
    <w:p w:rsidR="002C5261" w:rsidP="002C5261" w14:paraId="300050BB" w14:textId="77777777">
      <w:pPr>
        <w:pStyle w:val="FootnoteText"/>
      </w:pPr>
      <w:r>
        <w:rPr>
          <w:rStyle w:val="FootnoteReference"/>
        </w:rPr>
        <w:footnoteRef/>
      </w:r>
      <w:r>
        <w:t xml:space="preserve"> We note that Securus did not present its current arguments regarding the Commission’s alternate pricing plan rules in response to the public draft version of the </w:t>
      </w:r>
      <w:r w:rsidRPr="00BA275F">
        <w:rPr>
          <w:i/>
          <w:iCs/>
        </w:rPr>
        <w:t>2024 IPCS Order</w:t>
      </w:r>
      <w:r>
        <w:t xml:space="preserve"> released three weeks prior to the Commission’s vote, seek reconsideration of Commission’s disclosure rules for alternate pricing plans, or otherwise request that the Commission revisit those rules.</w:t>
      </w:r>
    </w:p>
  </w:footnote>
  <w:footnote w:id="32">
    <w:p w:rsidR="002C5261" w:rsidP="002C5261" w14:paraId="1725D4E0" w14:textId="77777777">
      <w:pPr>
        <w:pStyle w:val="FootnoteText"/>
      </w:pPr>
      <w:r>
        <w:rPr>
          <w:rStyle w:val="FootnoteReference"/>
        </w:rPr>
        <w:footnoteRef/>
      </w:r>
      <w:r>
        <w:t xml:space="preserve"> </w:t>
      </w:r>
      <w:r>
        <w:rPr>
          <w:i/>
          <w:iCs/>
        </w:rPr>
        <w:t>2024 IPCS Order</w:t>
      </w:r>
      <w:r>
        <w:t xml:space="preserve">, 39 FCC </w:t>
      </w:r>
      <w:r>
        <w:t>Rcd</w:t>
      </w:r>
      <w:r>
        <w:t xml:space="preserve"> at 7876, para. 428.</w:t>
      </w:r>
    </w:p>
  </w:footnote>
  <w:footnote w:id="33">
    <w:p w:rsidR="002C5261" w:rsidP="002C5261" w14:paraId="21645F08" w14:textId="77777777">
      <w:pPr>
        <w:pStyle w:val="FootnoteText"/>
      </w:pPr>
      <w:r>
        <w:rPr>
          <w:rStyle w:val="FootnoteReference"/>
        </w:rPr>
        <w:footnoteRef/>
      </w:r>
      <w:r>
        <w:t xml:space="preserve"> </w:t>
      </w:r>
      <w:r>
        <w:rPr>
          <w:i/>
          <w:iCs/>
        </w:rPr>
        <w:t>Id</w:t>
      </w:r>
      <w:r>
        <w:t>.</w:t>
      </w:r>
    </w:p>
  </w:footnote>
  <w:footnote w:id="34">
    <w:p w:rsidR="002C5261" w:rsidP="002C5261" w14:paraId="229E7E97" w14:textId="77777777">
      <w:pPr>
        <w:pStyle w:val="FootnoteText"/>
      </w:pPr>
      <w:r>
        <w:rPr>
          <w:rStyle w:val="FootnoteReference"/>
        </w:rPr>
        <w:footnoteRef/>
      </w:r>
      <w:r>
        <w:t xml:space="preserve"> </w:t>
      </w:r>
      <w:r>
        <w:rPr>
          <w:i/>
          <w:iCs/>
        </w:rPr>
        <w:t>See, e.g.</w:t>
      </w:r>
      <w:r>
        <w:t xml:space="preserve">, </w:t>
      </w:r>
      <w:r>
        <w:rPr>
          <w:i/>
          <w:iCs/>
        </w:rPr>
        <w:t xml:space="preserve">id. </w:t>
      </w:r>
      <w:r>
        <w:t xml:space="preserve">at 7914, para. 512.  </w:t>
      </w:r>
    </w:p>
  </w:footnote>
  <w:footnote w:id="35">
    <w:p w:rsidR="002C5261" w:rsidP="002C5261" w14:paraId="356B21AD" w14:textId="77777777">
      <w:pPr>
        <w:pStyle w:val="FootnoteText"/>
      </w:pPr>
      <w:r>
        <w:rPr>
          <w:rStyle w:val="FootnoteReference"/>
        </w:rPr>
        <w:footnoteRef/>
      </w:r>
      <w:r>
        <w:t xml:space="preserve"> </w:t>
      </w:r>
      <w:r>
        <w:rPr>
          <w:i/>
          <w:iCs/>
        </w:rPr>
        <w:t>Id.</w:t>
      </w:r>
      <w:r>
        <w:t xml:space="preserve"> at 7876, para. 428.</w:t>
      </w:r>
    </w:p>
  </w:footnote>
  <w:footnote w:id="36">
    <w:p w:rsidR="002C5261" w:rsidP="002C5261" w14:paraId="69F7B3E0" w14:textId="77777777">
      <w:pPr>
        <w:pStyle w:val="FootnoteText"/>
      </w:pPr>
      <w:r>
        <w:rPr>
          <w:rStyle w:val="FootnoteReference"/>
        </w:rPr>
        <w:footnoteRef/>
      </w:r>
      <w:r>
        <w:t xml:space="preserve"> Securus’s suggestion that the required disclosures must be tailored to each individual participant in an alternate pricing plan, </w:t>
      </w:r>
      <w:r>
        <w:rPr>
          <w:i/>
          <w:iCs/>
        </w:rPr>
        <w:t xml:space="preserve">see </w:t>
      </w:r>
      <w:r>
        <w:t xml:space="preserve">Securus April 30, 2025 Comments at 4, ignores the fact that many of the required disclosures (e.g., the rates, taxes, and fees) will be identical for all participants in any particular alternate pricing plan.  Therefore, providers may, for example, use phone trees and website links in making these disclosures in some circumstances.  </w:t>
      </w:r>
      <w:r>
        <w:rPr>
          <w:i/>
          <w:iCs/>
        </w:rPr>
        <w:t xml:space="preserve">See id. </w:t>
      </w:r>
      <w:r>
        <w:t xml:space="preserve">at 4-5 (listing the information that providers need to disclose to alternate pricing plan participants).  We expect that, as telecom providers commonly do in non-carceral settings, IPCS providers can make use of these and other operational efficiencies to facilitate the required disclosures, which should help mitigate the ostensible burdens Securus identifies. </w:t>
      </w:r>
    </w:p>
  </w:footnote>
  <w:footnote w:id="37">
    <w:p w:rsidR="002C5261" w:rsidP="002C5261" w14:paraId="5EBC83E5" w14:textId="77777777">
      <w:pPr>
        <w:pStyle w:val="FootnoteText"/>
      </w:pPr>
      <w:r>
        <w:rPr>
          <w:rStyle w:val="FootnoteReference"/>
        </w:rPr>
        <w:footnoteRef/>
      </w:r>
      <w:r>
        <w:t xml:space="preserve"> Securus April 30, 2025 Comments at 7.  </w:t>
      </w:r>
    </w:p>
  </w:footnote>
  <w:footnote w:id="38">
    <w:p w:rsidR="002C5261" w:rsidP="002C5261" w14:paraId="011CDB23" w14:textId="77777777">
      <w:pPr>
        <w:pStyle w:val="FootnoteText"/>
      </w:pPr>
      <w:r>
        <w:rPr>
          <w:rStyle w:val="FootnoteReference"/>
        </w:rPr>
        <w:footnoteRef/>
      </w:r>
      <w:r>
        <w:t xml:space="preserve"> </w:t>
      </w:r>
      <w:r w:rsidRPr="008321FA">
        <w:rPr>
          <w:i/>
          <w:iCs/>
        </w:rPr>
        <w:t>See</w:t>
      </w:r>
      <w:r>
        <w:t xml:space="preserve"> April 2025 Supporting Statement, Incarcerated People’s Communications Services (IPCS) Provider Annual Reporting, Certification, and Other Requirements, WC Docket Nos. 23-62, 12-375 at 20-21 (addressing the </w:t>
      </w:r>
      <w:r w:rsidRPr="007A42FB">
        <w:t>disclosure framework for alternate pricing plans</w:t>
      </w:r>
      <w:r>
        <w:t xml:space="preserve">). </w:t>
      </w:r>
    </w:p>
  </w:footnote>
  <w:footnote w:id="39">
    <w:p w:rsidR="008A1716" w:rsidP="008A1716" w14:paraId="2C74C844" w14:textId="77777777">
      <w:pPr>
        <w:pStyle w:val="FootnoteText"/>
      </w:pPr>
      <w:r>
        <w:rPr>
          <w:rStyle w:val="FootnoteReference"/>
        </w:rPr>
        <w:footnoteRef/>
      </w:r>
      <w:r>
        <w:t xml:space="preserve"> Securus April 30, 2025 Comments at 2-3.</w:t>
      </w:r>
    </w:p>
  </w:footnote>
  <w:footnote w:id="40">
    <w:p w:rsidR="008A1716" w:rsidP="008A1716" w14:paraId="346F5A84" w14:textId="77777777">
      <w:pPr>
        <w:pStyle w:val="FootnoteText"/>
      </w:pPr>
      <w:r>
        <w:rPr>
          <w:rStyle w:val="FootnoteReference"/>
        </w:rPr>
        <w:footnoteRef/>
      </w:r>
      <w:r>
        <w:t xml:space="preserve"> </w:t>
      </w:r>
      <w:r>
        <w:rPr>
          <w:i/>
          <w:iCs/>
        </w:rPr>
        <w:t>Id.</w:t>
      </w:r>
      <w:r>
        <w:t xml:space="preserve"> at 4-6.</w:t>
      </w:r>
    </w:p>
  </w:footnote>
  <w:footnote w:id="41">
    <w:p w:rsidR="008A1716" w:rsidRPr="00143A5A" w:rsidP="008A1716" w14:paraId="2EF043C2" w14:textId="77777777">
      <w:pPr>
        <w:pStyle w:val="FootnoteText"/>
      </w:pPr>
      <w:r>
        <w:rPr>
          <w:rStyle w:val="FootnoteReference"/>
        </w:rPr>
        <w:footnoteRef/>
      </w:r>
      <w:r>
        <w:t xml:space="preserve"> </w:t>
      </w:r>
      <w:r>
        <w:rPr>
          <w:i/>
          <w:iCs/>
        </w:rPr>
        <w:t xml:space="preserve">See id. </w:t>
      </w:r>
      <w:r>
        <w:t>at 2-6.</w:t>
      </w:r>
    </w:p>
  </w:footnote>
  <w:footnote w:id="42">
    <w:p w:rsidR="008A1716" w:rsidP="008A1716" w14:paraId="52644018" w14:textId="77777777">
      <w:pPr>
        <w:pStyle w:val="FootnoteText"/>
      </w:pPr>
      <w:r>
        <w:rPr>
          <w:rStyle w:val="FootnoteReference"/>
        </w:rPr>
        <w:footnoteRef/>
      </w:r>
      <w:r>
        <w:t xml:space="preserve"> United States Office of Personnel Management, Paperwork Reduction Act (PRA) Guide, Version 2.0, at 33 (available at </w:t>
      </w:r>
      <w:hyperlink r:id="rId2" w:history="1">
        <w:r w:rsidRPr="001A0128">
          <w:rPr>
            <w:rStyle w:val="Hyperlink"/>
          </w:rPr>
          <w:t>https://www.opm.gov/about-us/open-government/digital-government-strategy/fitara/paperwork-reduction-act-guide.pdf</w:t>
        </w:r>
      </w:hyperlink>
      <w:r>
        <w:t xml:space="preserve">).  Those guidelines define (1) recordkeeping as information collections that “explicitly require[] a person to maintain records that will not subsequently be submitted to the Federal Government” and (2) third party disclosure as information collections that “require[] a person to obtain or compile information for the purpose of disclosure to members of the public or the public at large, through posting, notification, labeling, or similar requirements.”  </w:t>
      </w:r>
      <w:r>
        <w:rPr>
          <w:i/>
          <w:iCs/>
        </w:rPr>
        <w:t>Id.</w:t>
      </w:r>
      <w:r>
        <w:t xml:space="preserve"> </w:t>
      </w:r>
    </w:p>
  </w:footnote>
  <w:footnote w:id="43">
    <w:p w:rsidR="008A1716" w:rsidP="008A1716" w14:paraId="6AFBB1A8" w14:textId="77777777">
      <w:pPr>
        <w:pStyle w:val="FootnoteText"/>
      </w:pPr>
      <w:r>
        <w:rPr>
          <w:rStyle w:val="FootnoteReference"/>
        </w:rPr>
        <w:footnoteRef/>
      </w:r>
      <w:r>
        <w:t xml:space="preserve"> Instructions for Requesting OMB Review Under the Paperwork Reduction Act,” para. 13.b (available at </w:t>
      </w:r>
      <w:hyperlink r:id="rId3" w:history="1">
        <w:r w:rsidRPr="00236BFB">
          <w:rPr>
            <w:rStyle w:val="Hyperlink"/>
          </w:rPr>
          <w:t>https://www.opm.gov/forms/pdfimage/omb83ins.pdf</w:t>
        </w:r>
      </w:hyperlink>
      <w:r>
        <w:t xml:space="preserve">). </w:t>
      </w:r>
    </w:p>
  </w:footnote>
  <w:footnote w:id="44">
    <w:p w:rsidR="008A1716" w:rsidP="008A1716" w14:paraId="54DB6B2C" w14:textId="77777777">
      <w:pPr>
        <w:pStyle w:val="FootnoteText"/>
      </w:pPr>
      <w:r>
        <w:rPr>
          <w:rStyle w:val="FootnoteReference"/>
        </w:rPr>
        <w:footnoteRef/>
      </w:r>
      <w:r>
        <w:t xml:space="preserve"> Securus April 30, 2025 Comments at 2.</w:t>
      </w:r>
    </w:p>
  </w:footnote>
  <w:footnote w:id="45">
    <w:p w:rsidR="00AC18F8" w:rsidP="004F5F84" w14:paraId="6A197B90" w14:textId="7D083B00">
      <w:pPr>
        <w:pStyle w:val="FootnoteText"/>
        <w:rPr>
          <w:i/>
          <w:iCs/>
        </w:rPr>
      </w:pPr>
      <w:r>
        <w:rPr>
          <w:rStyle w:val="FootnoteReference"/>
        </w:rPr>
        <w:footnoteRef/>
      </w:r>
      <w:r>
        <w:t xml:space="preserve"> </w:t>
      </w:r>
      <w:r w:rsidRPr="00043E28" w:rsidR="00BF03B0">
        <w:t>6</w:t>
      </w:r>
      <w:r w:rsidRPr="00C8066B" w:rsidR="00C57314">
        <w:t xml:space="preserve">0-Day Notice, 89 Fed. Reg. at 85210. </w:t>
      </w:r>
    </w:p>
  </w:footnote>
  <w:footnote w:id="46">
    <w:p w:rsidR="00D2352B" w:rsidP="00D2352B" w14:paraId="7F4F70B0" w14:textId="3FCC6576">
      <w:pPr>
        <w:pStyle w:val="FootnoteText"/>
      </w:pPr>
      <w:r>
        <w:rPr>
          <w:rStyle w:val="FootnoteReference"/>
        </w:rPr>
        <w:footnoteRef/>
      </w:r>
      <w:r>
        <w:t xml:space="preserve"> </w:t>
      </w:r>
      <w:r>
        <w:t>ViaPath</w:t>
      </w:r>
      <w:r>
        <w:t xml:space="preserve"> January 7, 2025 Comments at 4.  </w:t>
      </w:r>
    </w:p>
  </w:footnote>
  <w:footnote w:id="47">
    <w:p w:rsidR="00D2352B" w:rsidP="00D2352B" w14:paraId="25A31623" w14:textId="77777777">
      <w:pPr>
        <w:pStyle w:val="FootnoteText"/>
      </w:pPr>
      <w:r>
        <w:rPr>
          <w:rStyle w:val="FootnoteReference"/>
        </w:rPr>
        <w:footnoteRef/>
      </w:r>
      <w:r>
        <w:t xml:space="preserve"> </w:t>
      </w:r>
      <w:r>
        <w:rPr>
          <w:i/>
          <w:iCs/>
        </w:rPr>
        <w:t>Id.</w:t>
      </w:r>
      <w:r>
        <w:t xml:space="preserve">  </w:t>
      </w:r>
    </w:p>
  </w:footnote>
  <w:footnote w:id="48">
    <w:p w:rsidR="004F5F84" w:rsidP="004F5F84" w14:paraId="49E3C637" w14:textId="77777777">
      <w:pPr>
        <w:pStyle w:val="FootnoteText"/>
      </w:pPr>
      <w:r>
        <w:rPr>
          <w:rStyle w:val="FootnoteReference"/>
        </w:rPr>
        <w:footnoteRef/>
      </w:r>
      <w:r>
        <w:t xml:space="preserve"> This total includes the work hours associated with any non-recurring activities needed to initially comply with the Commission’s information collection requirements, as well as the work hours associated with any recurring activities needed to comply with those requirements on an ongoing basis. </w:t>
      </w:r>
    </w:p>
  </w:footnote>
  <w:footnote w:id="49">
    <w:p w:rsidR="00EB7BB9" w:rsidP="00EB7BB9" w14:paraId="3E168CE5" w14:textId="7CA07151">
      <w:pPr>
        <w:pStyle w:val="FootnoteText"/>
      </w:pPr>
      <w:r>
        <w:rPr>
          <w:rStyle w:val="FootnoteReference"/>
        </w:rPr>
        <w:footnoteRef/>
      </w:r>
      <w:r>
        <w:t xml:space="preserve"> </w:t>
      </w:r>
      <w:r>
        <w:t>ViaPath</w:t>
      </w:r>
      <w:r>
        <w:t xml:space="preserve"> January 7, 2025 Comments at 4 (noting the need to update existing systems); </w:t>
      </w:r>
      <w:r w:rsidR="00A47BE5">
        <w:t xml:space="preserve">Securus January 7, 2025 Comments </w:t>
      </w:r>
      <w:r>
        <w:t xml:space="preserve">at 2 (asserting that IPCS providers will have “to substantially revamp internal systems” to comply with the rules adopted in the </w:t>
      </w:r>
      <w:r>
        <w:rPr>
          <w:i/>
          <w:iCs/>
        </w:rPr>
        <w:t>2024 IPCS Order</w:t>
      </w:r>
      <w:r>
        <w:t>).</w:t>
      </w:r>
    </w:p>
  </w:footnote>
  <w:footnote w:id="50">
    <w:p w:rsidR="00EB7BB9" w:rsidRPr="00C8066B" w:rsidP="00EB7BB9" w14:paraId="0227FF18" w14:textId="509B396F">
      <w:pPr>
        <w:pStyle w:val="FootnoteText"/>
        <w:rPr>
          <w:i/>
          <w:iCs/>
        </w:rPr>
      </w:pPr>
      <w:r>
        <w:rPr>
          <w:rStyle w:val="FootnoteReference"/>
        </w:rPr>
        <w:footnoteRef/>
      </w:r>
      <w:r>
        <w:t xml:space="preserve"> </w:t>
      </w:r>
      <w:r>
        <w:t>ViaPath</w:t>
      </w:r>
      <w:r>
        <w:t xml:space="preserve"> January 7, 2025 Comments at 4.  </w:t>
      </w:r>
      <w:r w:rsidR="00C22585">
        <w:t xml:space="preserve">We have </w:t>
      </w:r>
      <w:r w:rsidR="00C86602">
        <w:t xml:space="preserve">increased </w:t>
      </w:r>
      <w:r w:rsidR="00C22585">
        <w:t xml:space="preserve">the </w:t>
      </w:r>
      <w:r w:rsidR="00E628EC">
        <w:t>labor cost estimate</w:t>
      </w:r>
      <w:r w:rsidR="004B0493">
        <w:t>s</w:t>
      </w:r>
      <w:r w:rsidR="00E628EC">
        <w:t xml:space="preserve"> for compliance with our alternate </w:t>
      </w:r>
      <w:r w:rsidR="00251A35">
        <w:t>pricing plan rules</w:t>
      </w:r>
      <w:r w:rsidR="00EC7306">
        <w:t xml:space="preserve">, </w:t>
      </w:r>
      <w:r w:rsidR="00E1016A">
        <w:t>certification</w:t>
      </w:r>
      <w:r w:rsidR="00EC7306">
        <w:t xml:space="preserve">, and </w:t>
      </w:r>
      <w:r w:rsidR="00E1016A">
        <w:t>waiver</w:t>
      </w:r>
      <w:r w:rsidR="00F37E57">
        <w:t xml:space="preserve"> </w:t>
      </w:r>
      <w:r w:rsidR="00592439">
        <w:t xml:space="preserve">requirements </w:t>
      </w:r>
      <w:r w:rsidR="004B0493">
        <w:t xml:space="preserve">and </w:t>
      </w:r>
      <w:r w:rsidR="00DA7FBA">
        <w:t xml:space="preserve">factored the </w:t>
      </w:r>
      <w:r w:rsidR="00292F0F">
        <w:t xml:space="preserve">result </w:t>
      </w:r>
      <w:r w:rsidR="00095A94">
        <w:t xml:space="preserve">upward by 30% </w:t>
      </w:r>
      <w:r w:rsidR="00534D24">
        <w:t>to account for overhead costs,</w:t>
      </w:r>
      <w:r w:rsidR="00251A35">
        <w:t xml:space="preserve"> in response to </w:t>
      </w:r>
      <w:r w:rsidR="00C7485B">
        <w:t xml:space="preserve">Securus’s suggestion </w:t>
      </w:r>
      <w:r w:rsidR="00D43FCC">
        <w:t xml:space="preserve">that we should </w:t>
      </w:r>
      <w:r w:rsidR="006D0CA1">
        <w:t xml:space="preserve">revise the parallel estimate for </w:t>
      </w:r>
      <w:r w:rsidR="007B2650">
        <w:t xml:space="preserve">compliance with </w:t>
      </w:r>
      <w:r w:rsidR="006D0CA1">
        <w:t xml:space="preserve">our </w:t>
      </w:r>
      <w:r w:rsidR="007B2650">
        <w:t xml:space="preserve">inactive account rules.  </w:t>
      </w:r>
      <w:r w:rsidR="0021139A">
        <w:rPr>
          <w:i/>
          <w:iCs/>
        </w:rPr>
        <w:t xml:space="preserve">See </w:t>
      </w:r>
      <w:r w:rsidR="0048621A">
        <w:t>Securus April 30, 2025 Comments at 3.</w:t>
      </w:r>
      <w:r w:rsidR="00DF74E8">
        <w:t xml:space="preserve">  </w:t>
      </w:r>
    </w:p>
  </w:footnote>
  <w:footnote w:id="51">
    <w:p w:rsidR="00646C17" w:rsidP="00D7761B" w14:paraId="05F6E9E4" w14:textId="77777777">
      <w:pPr>
        <w:pStyle w:val="FootnoteText"/>
      </w:pPr>
      <w:r w:rsidRPr="004B1A9A">
        <w:rPr>
          <w:rStyle w:val="FootnoteReference"/>
        </w:rPr>
        <w:footnoteRef/>
      </w:r>
      <w:r w:rsidRPr="004B1A9A">
        <w:t xml:space="preserve"> </w:t>
      </w:r>
      <w:r w:rsidRPr="002B1C05" w:rsidR="00555485">
        <w:rPr>
          <w:i/>
          <w:iCs/>
        </w:rPr>
        <w:t>Incarcerated People’s Communications Services; Implementation of the Martha Wright-Reed Act; Rates for Inmate Calling Services</w:t>
      </w:r>
      <w:r w:rsidR="00555485">
        <w:t>, WC Docket Nos. 23-62, 12-375, Protective Order, DA 23-298 (WCB Apr. 5, 2023).</w:t>
      </w:r>
      <w:r w:rsidRPr="00917CE6" w:rsidR="00555485">
        <w:t xml:space="preserve"> </w:t>
      </w:r>
      <w:r w:rsidR="00555485">
        <w:t xml:space="preserve"> Filings that contain confidential information should be appropriately redacted and filed pursuant to the procedure described in that Order.  </w:t>
      </w:r>
      <w:r w:rsidRPr="00926709" w:rsidR="00555485">
        <w:rPr>
          <w:i/>
          <w:iCs/>
        </w:rPr>
        <w:t>See also Rates for Interstate Inmate Calling Services</w:t>
      </w:r>
      <w:r w:rsidR="00555485">
        <w:t xml:space="preserve">, WC Docket No. 12-375, Order, 35 FCC </w:t>
      </w:r>
      <w:r w:rsidR="00555485">
        <w:t>Rcd</w:t>
      </w:r>
      <w:r w:rsidR="00555485">
        <w:t xml:space="preserve"> 9267 (WCB 2020) (clarifying non-confidential treatment for certain information)</w:t>
      </w:r>
      <w:r w:rsidR="00985DF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1E3" w14:paraId="70AB258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1E3" w14:paraId="2D73B37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1E3" w14:paraId="3E4FC5D7" w14:textId="3F338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096AE5"/>
    <w:multiLevelType w:val="hybridMultilevel"/>
    <w:tmpl w:val="F4B6749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16D2AB9"/>
    <w:multiLevelType w:val="hybridMultilevel"/>
    <w:tmpl w:val="2690A87E"/>
    <w:lvl w:ilvl="0">
      <w:start w:val="1"/>
      <w:numFmt w:val="lowerLetter"/>
      <w:lvlText w:val="%1."/>
      <w:lvlJc w:val="left"/>
      <w:pPr>
        <w:ind w:left="360" w:hanging="360"/>
      </w:pPr>
      <w:rPr>
        <w:rFonts w:hint="default"/>
        <w:b/>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36F3D69"/>
    <w:multiLevelType w:val="hybridMultilevel"/>
    <w:tmpl w:val="8B28EAEC"/>
    <w:lvl w:ilvl="0">
      <w:start w:val="3"/>
      <w:numFmt w:val="bullet"/>
      <w:lvlText w:val="-"/>
      <w:lvlJc w:val="left"/>
      <w:pPr>
        <w:ind w:left="2520" w:hanging="360"/>
      </w:pPr>
      <w:rPr>
        <w:rFonts w:ascii="Times New Roman" w:eastAsia="Times New Roman" w:hAnsi="Times New Roman" w:cs="Times New Roman"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
    <w:nsid w:val="1D4B6E9F"/>
    <w:multiLevelType w:val="hybridMultilevel"/>
    <w:tmpl w:val="CB8A073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18810EC"/>
    <w:multiLevelType w:val="hybridMultilevel"/>
    <w:tmpl w:val="A14672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617612"/>
    <w:multiLevelType w:val="hybridMultilevel"/>
    <w:tmpl w:val="F4B6749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287C59AB"/>
    <w:multiLevelType w:val="hybridMultilevel"/>
    <w:tmpl w:val="22602170"/>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B5805D8"/>
    <w:multiLevelType w:val="hybridMultilevel"/>
    <w:tmpl w:val="712AD9F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DDB67FB"/>
    <w:multiLevelType w:val="hybridMultilevel"/>
    <w:tmpl w:val="88E89A7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6D83D08"/>
    <w:multiLevelType w:val="multilevel"/>
    <w:tmpl w:val="781C6A32"/>
    <w:lvl w:ilvl="0">
      <w:start w:val="1"/>
      <w:numFmt w:val="upperRoman"/>
      <w:suff w:val="nothing"/>
      <w:lvlText w:val="%1.  "/>
      <w:lvlJc w:val="left"/>
      <w:pPr>
        <w:ind w:left="0" w:firstLine="0"/>
      </w:pPr>
      <w:rPr>
        <w:rFonts w:ascii="Times New Roman" w:hAnsi="Times New Roman" w:hint="default"/>
        <w:b/>
        <w:i w:val="0"/>
        <w:sz w:val="22"/>
      </w:rPr>
    </w:lvl>
    <w:lvl w:ilvl="1">
      <w:start w:val="1"/>
      <w:numFmt w:val="upperLetter"/>
      <w:lvlText w:val="%2."/>
      <w:lvlJc w:val="left"/>
      <w:pPr>
        <w:tabs>
          <w:tab w:val="num" w:pos="1080"/>
        </w:tabs>
        <w:ind w:left="720" w:firstLine="0"/>
      </w:pPr>
    </w:lvl>
    <w:lvl w:ilvl="2">
      <w:start w:val="1"/>
      <w:numFmt w:val="lowerLetter"/>
      <w:lvlRestart w:val="0"/>
      <w:pStyle w:val="Numberedparagraphs"/>
      <w:lvlText w:val="%3."/>
      <w:lvlJc w:val="left"/>
      <w:pPr>
        <w:tabs>
          <w:tab w:val="num" w:pos="1260"/>
        </w:tabs>
        <w:ind w:left="180" w:firstLine="720"/>
      </w:pPr>
      <w:rPr>
        <w:rFonts w:ascii="Times New Roman" w:eastAsia="Times New Roman" w:hAnsi="Times New Roman" w:cs="Times New Roman"/>
        <w:b w:val="0"/>
        <w:i w:val="0"/>
        <w:sz w:val="22"/>
      </w:r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nsid w:val="3732290D"/>
    <w:multiLevelType w:val="hybridMultilevel"/>
    <w:tmpl w:val="2708B7BC"/>
    <w:lvl w:ilvl="0">
      <w:start w:val="2"/>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EDE5382"/>
    <w:multiLevelType w:val="hybridMultilevel"/>
    <w:tmpl w:val="5798ECE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FB22719"/>
    <w:multiLevelType w:val="hybridMultilevel"/>
    <w:tmpl w:val="3ED26C4C"/>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51B02597"/>
    <w:multiLevelType w:val="hybridMultilevel"/>
    <w:tmpl w:val="03089C92"/>
    <w:lvl w:ilvl="0">
      <w:start w:val="1"/>
      <w:numFmt w:val="decimal"/>
      <w:lvlText w:val="(%1)"/>
      <w:lvlJc w:val="left"/>
      <w:pPr>
        <w:ind w:left="1800" w:hanging="360"/>
      </w:pPr>
      <w:rPr>
        <w:rFonts w:hint="default"/>
        <w:b w:val="0"/>
        <w:u w:val="no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61182925"/>
    <w:multiLevelType w:val="singleLevel"/>
    <w:tmpl w:val="3FAAB83A"/>
    <w:lvl w:ilvl="0">
      <w:start w:val="1"/>
      <w:numFmt w:val="decimal"/>
      <w:pStyle w:val="ParaNum"/>
      <w:lvlText w:val="%1."/>
      <w:lvlJc w:val="left"/>
      <w:pPr>
        <w:tabs>
          <w:tab w:val="num" w:pos="1080"/>
        </w:tabs>
        <w:ind w:left="0" w:firstLine="720"/>
      </w:pPr>
      <w:rPr>
        <w:b w:val="0"/>
        <w:bCs w:val="0"/>
      </w:rPr>
    </w:lvl>
  </w:abstractNum>
  <w:abstractNum w:abstractNumId="16">
    <w:nsid w:val="72D10030"/>
    <w:multiLevelType w:val="hybridMultilevel"/>
    <w:tmpl w:val="1038B100"/>
    <w:lvl w:ilvl="0">
      <w:start w:val="1"/>
      <w:numFmt w:val="lowerLetter"/>
      <w:lvlText w:val="(%1)"/>
      <w:lvlJc w:val="left"/>
      <w:pPr>
        <w:ind w:left="720" w:hanging="675"/>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7">
    <w:nsid w:val="73863A5B"/>
    <w:multiLevelType w:val="hybridMultilevel"/>
    <w:tmpl w:val="D58E3D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3E7321A"/>
    <w:multiLevelType w:val="hybridMultilevel"/>
    <w:tmpl w:val="AE3A517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3EF7652"/>
    <w:multiLevelType w:val="hybridMultilevel"/>
    <w:tmpl w:val="0AFCCE7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97011BE"/>
    <w:multiLevelType w:val="hybridMultilevel"/>
    <w:tmpl w:val="699602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A8E5BD5"/>
    <w:multiLevelType w:val="hybridMultilevel"/>
    <w:tmpl w:val="833656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92751469">
    <w:abstractNumId w:val="10"/>
  </w:num>
  <w:num w:numId="2" w16cid:durableId="1512794961">
    <w:abstractNumId w:val="0"/>
  </w:num>
  <w:num w:numId="3" w16cid:durableId="1595474923">
    <w:abstractNumId w:val="9"/>
  </w:num>
  <w:num w:numId="4" w16cid:durableId="1983802738">
    <w:abstractNumId w:val="8"/>
  </w:num>
  <w:num w:numId="5" w16cid:durableId="1152798274">
    <w:abstractNumId w:val="7"/>
  </w:num>
  <w:num w:numId="6" w16cid:durableId="440809010">
    <w:abstractNumId w:val="14"/>
  </w:num>
  <w:num w:numId="7" w16cid:durableId="448283022">
    <w:abstractNumId w:val="13"/>
  </w:num>
  <w:num w:numId="8" w16cid:durableId="1665159017">
    <w:abstractNumId w:val="2"/>
  </w:num>
  <w:num w:numId="9" w16cid:durableId="667904123">
    <w:abstractNumId w:val="6"/>
  </w:num>
  <w:num w:numId="10" w16cid:durableId="294920366">
    <w:abstractNumId w:val="15"/>
  </w:num>
  <w:num w:numId="11" w16cid:durableId="1648784585">
    <w:abstractNumId w:val="5"/>
  </w:num>
  <w:num w:numId="12" w16cid:durableId="1058940701">
    <w:abstractNumId w:val="19"/>
  </w:num>
  <w:num w:numId="13" w16cid:durableId="1003052801">
    <w:abstractNumId w:val="11"/>
  </w:num>
  <w:num w:numId="14" w16cid:durableId="198511573">
    <w:abstractNumId w:val="15"/>
  </w:num>
  <w:num w:numId="15" w16cid:durableId="1598906817">
    <w:abstractNumId w:val="15"/>
  </w:num>
  <w:num w:numId="16" w16cid:durableId="907110265">
    <w:abstractNumId w:val="18"/>
  </w:num>
  <w:num w:numId="17" w16cid:durableId="493378144">
    <w:abstractNumId w:val="3"/>
  </w:num>
  <w:num w:numId="18" w16cid:durableId="2127506742">
    <w:abstractNumId w:val="20"/>
  </w:num>
  <w:num w:numId="19" w16cid:durableId="1344430996">
    <w:abstractNumId w:val="17"/>
  </w:num>
  <w:num w:numId="20" w16cid:durableId="737435480">
    <w:abstractNumId w:val="21"/>
  </w:num>
  <w:num w:numId="21" w16cid:durableId="1665432682">
    <w:abstractNumId w:val="10"/>
  </w:num>
  <w:num w:numId="22" w16cid:durableId="1900243383">
    <w:abstractNumId w:val="10"/>
  </w:num>
  <w:num w:numId="23" w16cid:durableId="559903526">
    <w:abstractNumId w:val="10"/>
  </w:num>
  <w:num w:numId="24" w16cid:durableId="440877480">
    <w:abstractNumId w:val="10"/>
  </w:num>
  <w:num w:numId="25" w16cid:durableId="918367962">
    <w:abstractNumId w:val="10"/>
  </w:num>
  <w:num w:numId="26" w16cid:durableId="2131624808">
    <w:abstractNumId w:val="12"/>
  </w:num>
  <w:num w:numId="27" w16cid:durableId="1817145168">
    <w:abstractNumId w:val="15"/>
  </w:num>
  <w:num w:numId="28" w16cid:durableId="1105003578">
    <w:abstractNumId w:val="15"/>
  </w:num>
  <w:num w:numId="29" w16cid:durableId="698434475">
    <w:abstractNumId w:val="15"/>
  </w:num>
  <w:num w:numId="30" w16cid:durableId="1798523981">
    <w:abstractNumId w:val="15"/>
  </w:num>
  <w:num w:numId="31" w16cid:durableId="1593736313">
    <w:abstractNumId w:val="15"/>
  </w:num>
  <w:num w:numId="32" w16cid:durableId="480079317">
    <w:abstractNumId w:val="4"/>
  </w:num>
  <w:num w:numId="33" w16cid:durableId="787428359">
    <w:abstractNumId w:val="10"/>
  </w:num>
  <w:num w:numId="34" w16cid:durableId="1668629905">
    <w:abstractNumId w:val="10"/>
  </w:num>
  <w:num w:numId="35" w16cid:durableId="459766736">
    <w:abstractNumId w:val="10"/>
  </w:num>
  <w:num w:numId="36" w16cid:durableId="1939823883">
    <w:abstractNumId w:val="15"/>
  </w:num>
  <w:num w:numId="37" w16cid:durableId="755783186">
    <w:abstractNumId w:val="15"/>
  </w:num>
  <w:num w:numId="38" w16cid:durableId="525796710">
    <w:abstractNumId w:val="15"/>
  </w:num>
  <w:num w:numId="39" w16cid:durableId="1140880397">
    <w:abstractNumId w:val="15"/>
  </w:num>
  <w:num w:numId="40" w16cid:durableId="1813987879">
    <w:abstractNumId w:val="16"/>
  </w:num>
  <w:num w:numId="41" w16cid:durableId="221867376">
    <w:abstractNumId w:val="15"/>
  </w:num>
  <w:num w:numId="42" w16cid:durableId="1230579582">
    <w:abstractNumId w:val="15"/>
  </w:num>
  <w:num w:numId="43" w16cid:durableId="2002614949">
    <w:abstractNumId w:val="15"/>
  </w:num>
  <w:num w:numId="44" w16cid:durableId="1637560428">
    <w:abstractNumId w:val="15"/>
  </w:num>
  <w:num w:numId="45" w16cid:durableId="1376542266">
    <w:abstractNumId w:val="10"/>
  </w:num>
  <w:num w:numId="46" w16cid:durableId="253517384">
    <w:abstractNumId w:val="1"/>
  </w:num>
  <w:num w:numId="47" w16cid:durableId="688071771">
    <w:abstractNumId w:val="10"/>
  </w:num>
  <w:num w:numId="48" w16cid:durableId="843396269">
    <w:abstractNumId w:val="10"/>
  </w:num>
  <w:num w:numId="49" w16cid:durableId="602107879">
    <w:abstractNumId w:val="10"/>
  </w:num>
  <w:num w:numId="50" w16cid:durableId="615524575">
    <w:abstractNumId w:val="10"/>
  </w:num>
  <w:num w:numId="51" w16cid:durableId="2062173370">
    <w:abstractNumId w:val="10"/>
  </w:num>
  <w:num w:numId="52" w16cid:durableId="280191009">
    <w:abstractNumId w:val="10"/>
  </w:num>
  <w:num w:numId="53" w16cid:durableId="561450096">
    <w:abstractNumId w:val="10"/>
  </w:num>
  <w:num w:numId="54" w16cid:durableId="1062869235">
    <w:abstractNumId w:val="10"/>
  </w:num>
  <w:num w:numId="55" w16cid:durableId="214246722">
    <w:abstractNumId w:val="15"/>
  </w:num>
  <w:num w:numId="56" w16cid:durableId="2122988005">
    <w:abstractNumId w:val="15"/>
  </w:num>
  <w:num w:numId="57" w16cid:durableId="1205141921">
    <w:abstractNumId w:val="15"/>
  </w:num>
  <w:num w:numId="58" w16cid:durableId="818305391">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35"/>
    <w:rsid w:val="00000287"/>
    <w:rsid w:val="00000589"/>
    <w:rsid w:val="00000927"/>
    <w:rsid w:val="00000A2A"/>
    <w:rsid w:val="00001DBD"/>
    <w:rsid w:val="000021D7"/>
    <w:rsid w:val="000023F2"/>
    <w:rsid w:val="00002461"/>
    <w:rsid w:val="000026FD"/>
    <w:rsid w:val="00002C4C"/>
    <w:rsid w:val="00002E9B"/>
    <w:rsid w:val="00003469"/>
    <w:rsid w:val="00003BB0"/>
    <w:rsid w:val="00003C05"/>
    <w:rsid w:val="0000456E"/>
    <w:rsid w:val="0000460F"/>
    <w:rsid w:val="000046C0"/>
    <w:rsid w:val="00004E1E"/>
    <w:rsid w:val="0000525E"/>
    <w:rsid w:val="000052FF"/>
    <w:rsid w:val="0000544B"/>
    <w:rsid w:val="00005697"/>
    <w:rsid w:val="000056D2"/>
    <w:rsid w:val="00005A3F"/>
    <w:rsid w:val="00005B15"/>
    <w:rsid w:val="00005BEC"/>
    <w:rsid w:val="0000619C"/>
    <w:rsid w:val="000065DE"/>
    <w:rsid w:val="00006D6C"/>
    <w:rsid w:val="00006DE5"/>
    <w:rsid w:val="00006F71"/>
    <w:rsid w:val="00007155"/>
    <w:rsid w:val="0000733E"/>
    <w:rsid w:val="00007370"/>
    <w:rsid w:val="00007936"/>
    <w:rsid w:val="00007C7A"/>
    <w:rsid w:val="0001007F"/>
    <w:rsid w:val="000103DF"/>
    <w:rsid w:val="00010860"/>
    <w:rsid w:val="00010AF4"/>
    <w:rsid w:val="00010CDF"/>
    <w:rsid w:val="00011617"/>
    <w:rsid w:val="00011F23"/>
    <w:rsid w:val="00011F59"/>
    <w:rsid w:val="0001226E"/>
    <w:rsid w:val="00012D3C"/>
    <w:rsid w:val="00013041"/>
    <w:rsid w:val="0001349F"/>
    <w:rsid w:val="00013EB4"/>
    <w:rsid w:val="0001401B"/>
    <w:rsid w:val="00014186"/>
    <w:rsid w:val="000141FD"/>
    <w:rsid w:val="00014872"/>
    <w:rsid w:val="00014B68"/>
    <w:rsid w:val="00014F8F"/>
    <w:rsid w:val="00015695"/>
    <w:rsid w:val="00015BEB"/>
    <w:rsid w:val="00015CBF"/>
    <w:rsid w:val="0001604C"/>
    <w:rsid w:val="00016746"/>
    <w:rsid w:val="000169EC"/>
    <w:rsid w:val="00016B39"/>
    <w:rsid w:val="00017009"/>
    <w:rsid w:val="000172CC"/>
    <w:rsid w:val="0001749A"/>
    <w:rsid w:val="0001755F"/>
    <w:rsid w:val="0001772A"/>
    <w:rsid w:val="00017734"/>
    <w:rsid w:val="00017BD7"/>
    <w:rsid w:val="00017F47"/>
    <w:rsid w:val="00020345"/>
    <w:rsid w:val="000203C5"/>
    <w:rsid w:val="00020514"/>
    <w:rsid w:val="00020877"/>
    <w:rsid w:val="00020AEC"/>
    <w:rsid w:val="00020CE8"/>
    <w:rsid w:val="0002125D"/>
    <w:rsid w:val="00021767"/>
    <w:rsid w:val="0002186C"/>
    <w:rsid w:val="000219B7"/>
    <w:rsid w:val="00022385"/>
    <w:rsid w:val="00022705"/>
    <w:rsid w:val="00022864"/>
    <w:rsid w:val="00022CC3"/>
    <w:rsid w:val="00022ECD"/>
    <w:rsid w:val="0002350E"/>
    <w:rsid w:val="00023A56"/>
    <w:rsid w:val="00023B07"/>
    <w:rsid w:val="00023C04"/>
    <w:rsid w:val="00023FA5"/>
    <w:rsid w:val="000244DC"/>
    <w:rsid w:val="000247DE"/>
    <w:rsid w:val="0002501F"/>
    <w:rsid w:val="000251A5"/>
    <w:rsid w:val="000256E9"/>
    <w:rsid w:val="00025B0D"/>
    <w:rsid w:val="00025B60"/>
    <w:rsid w:val="00025C91"/>
    <w:rsid w:val="00025DA7"/>
    <w:rsid w:val="00025F61"/>
    <w:rsid w:val="00025F7F"/>
    <w:rsid w:val="0002641C"/>
    <w:rsid w:val="00026AE7"/>
    <w:rsid w:val="00026C7D"/>
    <w:rsid w:val="000270C4"/>
    <w:rsid w:val="0002737D"/>
    <w:rsid w:val="000274F4"/>
    <w:rsid w:val="000278B1"/>
    <w:rsid w:val="00027BC1"/>
    <w:rsid w:val="00027C0F"/>
    <w:rsid w:val="00027CAD"/>
    <w:rsid w:val="0003021D"/>
    <w:rsid w:val="0003039E"/>
    <w:rsid w:val="0003048D"/>
    <w:rsid w:val="00030522"/>
    <w:rsid w:val="000305D6"/>
    <w:rsid w:val="00030A44"/>
    <w:rsid w:val="00030AC2"/>
    <w:rsid w:val="00030C81"/>
    <w:rsid w:val="00031030"/>
    <w:rsid w:val="00031A49"/>
    <w:rsid w:val="00031E1D"/>
    <w:rsid w:val="000321BA"/>
    <w:rsid w:val="000322F1"/>
    <w:rsid w:val="0003265A"/>
    <w:rsid w:val="0003273B"/>
    <w:rsid w:val="00032CBE"/>
    <w:rsid w:val="00032FBD"/>
    <w:rsid w:val="00033109"/>
    <w:rsid w:val="000332AE"/>
    <w:rsid w:val="00033340"/>
    <w:rsid w:val="00033827"/>
    <w:rsid w:val="00034031"/>
    <w:rsid w:val="0003428C"/>
    <w:rsid w:val="00034406"/>
    <w:rsid w:val="000346A4"/>
    <w:rsid w:val="00034BE0"/>
    <w:rsid w:val="00035B66"/>
    <w:rsid w:val="00035D86"/>
    <w:rsid w:val="00036433"/>
    <w:rsid w:val="00036708"/>
    <w:rsid w:val="0003674F"/>
    <w:rsid w:val="00036C3E"/>
    <w:rsid w:val="000370BC"/>
    <w:rsid w:val="00037B6C"/>
    <w:rsid w:val="00040515"/>
    <w:rsid w:val="000409F8"/>
    <w:rsid w:val="00040D88"/>
    <w:rsid w:val="00040EFD"/>
    <w:rsid w:val="00040F26"/>
    <w:rsid w:val="000410FE"/>
    <w:rsid w:val="0004162F"/>
    <w:rsid w:val="00041912"/>
    <w:rsid w:val="00041A3C"/>
    <w:rsid w:val="00041D5C"/>
    <w:rsid w:val="00041DF9"/>
    <w:rsid w:val="00041F55"/>
    <w:rsid w:val="00042D43"/>
    <w:rsid w:val="00042F95"/>
    <w:rsid w:val="00042FBE"/>
    <w:rsid w:val="00042FD5"/>
    <w:rsid w:val="0004322E"/>
    <w:rsid w:val="000433ED"/>
    <w:rsid w:val="000439C3"/>
    <w:rsid w:val="00043D1C"/>
    <w:rsid w:val="00043E28"/>
    <w:rsid w:val="00044D32"/>
    <w:rsid w:val="00044FA7"/>
    <w:rsid w:val="00045055"/>
    <w:rsid w:val="0004511E"/>
    <w:rsid w:val="0004515D"/>
    <w:rsid w:val="00045936"/>
    <w:rsid w:val="00045EA6"/>
    <w:rsid w:val="0004610E"/>
    <w:rsid w:val="00046307"/>
    <w:rsid w:val="000465A8"/>
    <w:rsid w:val="00046600"/>
    <w:rsid w:val="00046723"/>
    <w:rsid w:val="00046A39"/>
    <w:rsid w:val="000473D1"/>
    <w:rsid w:val="000476AD"/>
    <w:rsid w:val="00047DEF"/>
    <w:rsid w:val="00050097"/>
    <w:rsid w:val="0005048C"/>
    <w:rsid w:val="0005146E"/>
    <w:rsid w:val="0005170F"/>
    <w:rsid w:val="00051A30"/>
    <w:rsid w:val="00051A46"/>
    <w:rsid w:val="00051A9C"/>
    <w:rsid w:val="00051AB7"/>
    <w:rsid w:val="00051E08"/>
    <w:rsid w:val="00051E74"/>
    <w:rsid w:val="00051F11"/>
    <w:rsid w:val="000521C1"/>
    <w:rsid w:val="000522A3"/>
    <w:rsid w:val="0005258A"/>
    <w:rsid w:val="000531CD"/>
    <w:rsid w:val="000534FD"/>
    <w:rsid w:val="000535B8"/>
    <w:rsid w:val="000537D2"/>
    <w:rsid w:val="0005392B"/>
    <w:rsid w:val="00053CCB"/>
    <w:rsid w:val="00053DC8"/>
    <w:rsid w:val="000542A7"/>
    <w:rsid w:val="000543CE"/>
    <w:rsid w:val="0005468A"/>
    <w:rsid w:val="0005493C"/>
    <w:rsid w:val="00054D90"/>
    <w:rsid w:val="000558A8"/>
    <w:rsid w:val="00055DBC"/>
    <w:rsid w:val="00055E2D"/>
    <w:rsid w:val="00055E4A"/>
    <w:rsid w:val="000562CD"/>
    <w:rsid w:val="00056B3D"/>
    <w:rsid w:val="00056B3F"/>
    <w:rsid w:val="000571A2"/>
    <w:rsid w:val="00057589"/>
    <w:rsid w:val="0005764D"/>
    <w:rsid w:val="00057923"/>
    <w:rsid w:val="0005798C"/>
    <w:rsid w:val="000600B6"/>
    <w:rsid w:val="000602C3"/>
    <w:rsid w:val="00060A89"/>
    <w:rsid w:val="00061283"/>
    <w:rsid w:val="00061546"/>
    <w:rsid w:val="00061E3D"/>
    <w:rsid w:val="00061F48"/>
    <w:rsid w:val="00062010"/>
    <w:rsid w:val="0006218A"/>
    <w:rsid w:val="00062562"/>
    <w:rsid w:val="00062944"/>
    <w:rsid w:val="00062BCA"/>
    <w:rsid w:val="00062BF3"/>
    <w:rsid w:val="00062C31"/>
    <w:rsid w:val="000636C6"/>
    <w:rsid w:val="00063A4F"/>
    <w:rsid w:val="00063BBA"/>
    <w:rsid w:val="00063CF1"/>
    <w:rsid w:val="0006415C"/>
    <w:rsid w:val="000653B9"/>
    <w:rsid w:val="00065434"/>
    <w:rsid w:val="00065AAD"/>
    <w:rsid w:val="00065F04"/>
    <w:rsid w:val="00066016"/>
    <w:rsid w:val="000661AE"/>
    <w:rsid w:val="000667DE"/>
    <w:rsid w:val="00066BD3"/>
    <w:rsid w:val="00066CCB"/>
    <w:rsid w:val="00066F83"/>
    <w:rsid w:val="000676FB"/>
    <w:rsid w:val="00067718"/>
    <w:rsid w:val="000677BD"/>
    <w:rsid w:val="00067F15"/>
    <w:rsid w:val="00070531"/>
    <w:rsid w:val="0007061B"/>
    <w:rsid w:val="00070841"/>
    <w:rsid w:val="000710CD"/>
    <w:rsid w:val="00071504"/>
    <w:rsid w:val="00071945"/>
    <w:rsid w:val="00071B2A"/>
    <w:rsid w:val="00071D0B"/>
    <w:rsid w:val="00071F58"/>
    <w:rsid w:val="00072138"/>
    <w:rsid w:val="00072480"/>
    <w:rsid w:val="00072E34"/>
    <w:rsid w:val="00072EA1"/>
    <w:rsid w:val="00072FE6"/>
    <w:rsid w:val="00073309"/>
    <w:rsid w:val="00073351"/>
    <w:rsid w:val="00073508"/>
    <w:rsid w:val="00073702"/>
    <w:rsid w:val="000740E9"/>
    <w:rsid w:val="000747A9"/>
    <w:rsid w:val="00075061"/>
    <w:rsid w:val="000759E2"/>
    <w:rsid w:val="00075D2E"/>
    <w:rsid w:val="00076120"/>
    <w:rsid w:val="0007708C"/>
    <w:rsid w:val="00077520"/>
    <w:rsid w:val="00077780"/>
    <w:rsid w:val="00077FC7"/>
    <w:rsid w:val="000802DD"/>
    <w:rsid w:val="00080428"/>
    <w:rsid w:val="00080B98"/>
    <w:rsid w:val="00080CC4"/>
    <w:rsid w:val="00080E8D"/>
    <w:rsid w:val="00081631"/>
    <w:rsid w:val="000816E0"/>
    <w:rsid w:val="0008170A"/>
    <w:rsid w:val="000819EF"/>
    <w:rsid w:val="00081A45"/>
    <w:rsid w:val="00081B8D"/>
    <w:rsid w:val="000823AA"/>
    <w:rsid w:val="000823FB"/>
    <w:rsid w:val="0008261C"/>
    <w:rsid w:val="00083445"/>
    <w:rsid w:val="000835A7"/>
    <w:rsid w:val="00083CE7"/>
    <w:rsid w:val="0008425E"/>
    <w:rsid w:val="00084DE5"/>
    <w:rsid w:val="00084F2C"/>
    <w:rsid w:val="000858BC"/>
    <w:rsid w:val="00085CCC"/>
    <w:rsid w:val="00085F84"/>
    <w:rsid w:val="000865F5"/>
    <w:rsid w:val="00086ADF"/>
    <w:rsid w:val="00087015"/>
    <w:rsid w:val="000870AE"/>
    <w:rsid w:val="000870BE"/>
    <w:rsid w:val="00087B72"/>
    <w:rsid w:val="00087C30"/>
    <w:rsid w:val="00087E84"/>
    <w:rsid w:val="00087ED2"/>
    <w:rsid w:val="000902A8"/>
    <w:rsid w:val="00090669"/>
    <w:rsid w:val="00090708"/>
    <w:rsid w:val="000909D3"/>
    <w:rsid w:val="000913E4"/>
    <w:rsid w:val="0009154E"/>
    <w:rsid w:val="000919BE"/>
    <w:rsid w:val="00091D87"/>
    <w:rsid w:val="0009223E"/>
    <w:rsid w:val="0009276B"/>
    <w:rsid w:val="0009284F"/>
    <w:rsid w:val="00092EC3"/>
    <w:rsid w:val="00093223"/>
    <w:rsid w:val="0009335C"/>
    <w:rsid w:val="00094398"/>
    <w:rsid w:val="00094472"/>
    <w:rsid w:val="00094A8E"/>
    <w:rsid w:val="00095666"/>
    <w:rsid w:val="000959C2"/>
    <w:rsid w:val="000959D4"/>
    <w:rsid w:val="00095A94"/>
    <w:rsid w:val="00095C2D"/>
    <w:rsid w:val="00095F19"/>
    <w:rsid w:val="0009635F"/>
    <w:rsid w:val="0009677C"/>
    <w:rsid w:val="00096821"/>
    <w:rsid w:val="00096A8A"/>
    <w:rsid w:val="00096B50"/>
    <w:rsid w:val="000977FC"/>
    <w:rsid w:val="00097A83"/>
    <w:rsid w:val="00097D39"/>
    <w:rsid w:val="000A079C"/>
    <w:rsid w:val="000A0ABE"/>
    <w:rsid w:val="000A0B76"/>
    <w:rsid w:val="000A0F1C"/>
    <w:rsid w:val="000A1853"/>
    <w:rsid w:val="000A1882"/>
    <w:rsid w:val="000A1CE4"/>
    <w:rsid w:val="000A1D7E"/>
    <w:rsid w:val="000A1E21"/>
    <w:rsid w:val="000A2324"/>
    <w:rsid w:val="000A2B7C"/>
    <w:rsid w:val="000A2D49"/>
    <w:rsid w:val="000A3A43"/>
    <w:rsid w:val="000A3E3E"/>
    <w:rsid w:val="000A43FB"/>
    <w:rsid w:val="000A4A57"/>
    <w:rsid w:val="000A4D0C"/>
    <w:rsid w:val="000A4E1B"/>
    <w:rsid w:val="000A50AC"/>
    <w:rsid w:val="000A562B"/>
    <w:rsid w:val="000A56A0"/>
    <w:rsid w:val="000A56A3"/>
    <w:rsid w:val="000A5A22"/>
    <w:rsid w:val="000A6045"/>
    <w:rsid w:val="000A6111"/>
    <w:rsid w:val="000A61AF"/>
    <w:rsid w:val="000A63C1"/>
    <w:rsid w:val="000A73AF"/>
    <w:rsid w:val="000A7603"/>
    <w:rsid w:val="000A7661"/>
    <w:rsid w:val="000A7AC1"/>
    <w:rsid w:val="000A7B6C"/>
    <w:rsid w:val="000B0018"/>
    <w:rsid w:val="000B0385"/>
    <w:rsid w:val="000B0603"/>
    <w:rsid w:val="000B06F8"/>
    <w:rsid w:val="000B0F32"/>
    <w:rsid w:val="000B1073"/>
    <w:rsid w:val="000B114D"/>
    <w:rsid w:val="000B186B"/>
    <w:rsid w:val="000B228F"/>
    <w:rsid w:val="000B22DF"/>
    <w:rsid w:val="000B2C23"/>
    <w:rsid w:val="000B2D17"/>
    <w:rsid w:val="000B2F76"/>
    <w:rsid w:val="000B3134"/>
    <w:rsid w:val="000B3178"/>
    <w:rsid w:val="000B37B5"/>
    <w:rsid w:val="000B3B30"/>
    <w:rsid w:val="000B3F74"/>
    <w:rsid w:val="000B4DC0"/>
    <w:rsid w:val="000B51F4"/>
    <w:rsid w:val="000B55ED"/>
    <w:rsid w:val="000B5DAE"/>
    <w:rsid w:val="000B696B"/>
    <w:rsid w:val="000B71A9"/>
    <w:rsid w:val="000B75FF"/>
    <w:rsid w:val="000C0094"/>
    <w:rsid w:val="000C0E75"/>
    <w:rsid w:val="000C1163"/>
    <w:rsid w:val="000C167B"/>
    <w:rsid w:val="000C1B62"/>
    <w:rsid w:val="000C1C8F"/>
    <w:rsid w:val="000C1F87"/>
    <w:rsid w:val="000C1FE3"/>
    <w:rsid w:val="000C2091"/>
    <w:rsid w:val="000C2392"/>
    <w:rsid w:val="000C28F8"/>
    <w:rsid w:val="000C2921"/>
    <w:rsid w:val="000C304B"/>
    <w:rsid w:val="000C3256"/>
    <w:rsid w:val="000C3657"/>
    <w:rsid w:val="000C3793"/>
    <w:rsid w:val="000C3AB5"/>
    <w:rsid w:val="000C4056"/>
    <w:rsid w:val="000C414E"/>
    <w:rsid w:val="000C43C9"/>
    <w:rsid w:val="000C472A"/>
    <w:rsid w:val="000C480E"/>
    <w:rsid w:val="000C5522"/>
    <w:rsid w:val="000C5651"/>
    <w:rsid w:val="000C5AE1"/>
    <w:rsid w:val="000C6181"/>
    <w:rsid w:val="000C6CF1"/>
    <w:rsid w:val="000C6E5D"/>
    <w:rsid w:val="000C718B"/>
    <w:rsid w:val="000C7211"/>
    <w:rsid w:val="000C7781"/>
    <w:rsid w:val="000C7B92"/>
    <w:rsid w:val="000C7FD5"/>
    <w:rsid w:val="000C7FE5"/>
    <w:rsid w:val="000D04A4"/>
    <w:rsid w:val="000D08F4"/>
    <w:rsid w:val="000D0972"/>
    <w:rsid w:val="000D14D8"/>
    <w:rsid w:val="000D14FC"/>
    <w:rsid w:val="000D16A2"/>
    <w:rsid w:val="000D1C0E"/>
    <w:rsid w:val="000D22C1"/>
    <w:rsid w:val="000D2BAD"/>
    <w:rsid w:val="000D39D1"/>
    <w:rsid w:val="000D4304"/>
    <w:rsid w:val="000D4B69"/>
    <w:rsid w:val="000D4BE6"/>
    <w:rsid w:val="000D4E51"/>
    <w:rsid w:val="000D557D"/>
    <w:rsid w:val="000D55EA"/>
    <w:rsid w:val="000D5903"/>
    <w:rsid w:val="000D5D1A"/>
    <w:rsid w:val="000D671F"/>
    <w:rsid w:val="000D675B"/>
    <w:rsid w:val="000D6E50"/>
    <w:rsid w:val="000D71DD"/>
    <w:rsid w:val="000D765F"/>
    <w:rsid w:val="000E06D4"/>
    <w:rsid w:val="000E08C1"/>
    <w:rsid w:val="000E120E"/>
    <w:rsid w:val="000E1554"/>
    <w:rsid w:val="000E18BD"/>
    <w:rsid w:val="000E1E08"/>
    <w:rsid w:val="000E2777"/>
    <w:rsid w:val="000E2E98"/>
    <w:rsid w:val="000E2FCD"/>
    <w:rsid w:val="000E2FDB"/>
    <w:rsid w:val="000E3070"/>
    <w:rsid w:val="000E3225"/>
    <w:rsid w:val="000E3290"/>
    <w:rsid w:val="000E35CE"/>
    <w:rsid w:val="000E36B6"/>
    <w:rsid w:val="000E3701"/>
    <w:rsid w:val="000E37EE"/>
    <w:rsid w:val="000E3C95"/>
    <w:rsid w:val="000E3CEA"/>
    <w:rsid w:val="000E47AE"/>
    <w:rsid w:val="000E50CE"/>
    <w:rsid w:val="000E535D"/>
    <w:rsid w:val="000E5959"/>
    <w:rsid w:val="000E5E5A"/>
    <w:rsid w:val="000E6484"/>
    <w:rsid w:val="000E65EF"/>
    <w:rsid w:val="000E6A49"/>
    <w:rsid w:val="000E6BE5"/>
    <w:rsid w:val="000E7079"/>
    <w:rsid w:val="000E7185"/>
    <w:rsid w:val="000E728B"/>
    <w:rsid w:val="000E7400"/>
    <w:rsid w:val="000E7967"/>
    <w:rsid w:val="000E7F9A"/>
    <w:rsid w:val="000F0652"/>
    <w:rsid w:val="000F0C41"/>
    <w:rsid w:val="000F0E1C"/>
    <w:rsid w:val="000F12A7"/>
    <w:rsid w:val="000F1303"/>
    <w:rsid w:val="000F15C0"/>
    <w:rsid w:val="000F1A3D"/>
    <w:rsid w:val="000F1D0A"/>
    <w:rsid w:val="000F1F10"/>
    <w:rsid w:val="000F2188"/>
    <w:rsid w:val="000F223A"/>
    <w:rsid w:val="000F26DC"/>
    <w:rsid w:val="000F2994"/>
    <w:rsid w:val="000F2F62"/>
    <w:rsid w:val="000F3915"/>
    <w:rsid w:val="000F3F51"/>
    <w:rsid w:val="000F4213"/>
    <w:rsid w:val="000F425B"/>
    <w:rsid w:val="000F4EBF"/>
    <w:rsid w:val="000F50AA"/>
    <w:rsid w:val="000F57ED"/>
    <w:rsid w:val="000F59CC"/>
    <w:rsid w:val="000F64B8"/>
    <w:rsid w:val="000F6908"/>
    <w:rsid w:val="000F75DE"/>
    <w:rsid w:val="000F7912"/>
    <w:rsid w:val="000F7DEC"/>
    <w:rsid w:val="000F7E27"/>
    <w:rsid w:val="0010000F"/>
    <w:rsid w:val="001000E3"/>
    <w:rsid w:val="00100154"/>
    <w:rsid w:val="001001FA"/>
    <w:rsid w:val="00100279"/>
    <w:rsid w:val="001002DA"/>
    <w:rsid w:val="00100344"/>
    <w:rsid w:val="00100B36"/>
    <w:rsid w:val="00100D3A"/>
    <w:rsid w:val="001010B8"/>
    <w:rsid w:val="00101BE9"/>
    <w:rsid w:val="00101C6B"/>
    <w:rsid w:val="00101DEC"/>
    <w:rsid w:val="00101EE9"/>
    <w:rsid w:val="00102037"/>
    <w:rsid w:val="001026CB"/>
    <w:rsid w:val="00102D2D"/>
    <w:rsid w:val="001033A4"/>
    <w:rsid w:val="001033A6"/>
    <w:rsid w:val="00103ACD"/>
    <w:rsid w:val="00103F8D"/>
    <w:rsid w:val="001052B8"/>
    <w:rsid w:val="00105D51"/>
    <w:rsid w:val="00106291"/>
    <w:rsid w:val="0010660A"/>
    <w:rsid w:val="0010673F"/>
    <w:rsid w:val="00106CAF"/>
    <w:rsid w:val="00107296"/>
    <w:rsid w:val="001072C5"/>
    <w:rsid w:val="0010760F"/>
    <w:rsid w:val="001076F9"/>
    <w:rsid w:val="0010798D"/>
    <w:rsid w:val="001106D4"/>
    <w:rsid w:val="001107A4"/>
    <w:rsid w:val="001110D7"/>
    <w:rsid w:val="0011141D"/>
    <w:rsid w:val="00111422"/>
    <w:rsid w:val="00111D62"/>
    <w:rsid w:val="00111FB2"/>
    <w:rsid w:val="0011249F"/>
    <w:rsid w:val="001125FD"/>
    <w:rsid w:val="001130FC"/>
    <w:rsid w:val="00113178"/>
    <w:rsid w:val="00113419"/>
    <w:rsid w:val="00113C0C"/>
    <w:rsid w:val="00113DD9"/>
    <w:rsid w:val="00113E31"/>
    <w:rsid w:val="0011402E"/>
    <w:rsid w:val="00114AE9"/>
    <w:rsid w:val="0011508A"/>
    <w:rsid w:val="001153CA"/>
    <w:rsid w:val="0011553F"/>
    <w:rsid w:val="001159F8"/>
    <w:rsid w:val="00115A63"/>
    <w:rsid w:val="00115AC4"/>
    <w:rsid w:val="00115D06"/>
    <w:rsid w:val="00115EDD"/>
    <w:rsid w:val="0011641A"/>
    <w:rsid w:val="001164F9"/>
    <w:rsid w:val="00116F53"/>
    <w:rsid w:val="00116F9F"/>
    <w:rsid w:val="0011727C"/>
    <w:rsid w:val="001172FA"/>
    <w:rsid w:val="001173ED"/>
    <w:rsid w:val="00117FDC"/>
    <w:rsid w:val="001203EF"/>
    <w:rsid w:val="00120860"/>
    <w:rsid w:val="00121081"/>
    <w:rsid w:val="001212F3"/>
    <w:rsid w:val="00121367"/>
    <w:rsid w:val="00121811"/>
    <w:rsid w:val="001218C1"/>
    <w:rsid w:val="001218D6"/>
    <w:rsid w:val="00121942"/>
    <w:rsid w:val="001227B4"/>
    <w:rsid w:val="00122F87"/>
    <w:rsid w:val="00122FA4"/>
    <w:rsid w:val="0012318A"/>
    <w:rsid w:val="0012330E"/>
    <w:rsid w:val="001238E0"/>
    <w:rsid w:val="0012479D"/>
    <w:rsid w:val="00125429"/>
    <w:rsid w:val="0012584C"/>
    <w:rsid w:val="00125B7E"/>
    <w:rsid w:val="00125CD7"/>
    <w:rsid w:val="00125F8F"/>
    <w:rsid w:val="001263DB"/>
    <w:rsid w:val="00126861"/>
    <w:rsid w:val="0012690D"/>
    <w:rsid w:val="00126AB9"/>
    <w:rsid w:val="00126F3E"/>
    <w:rsid w:val="0012712E"/>
    <w:rsid w:val="00127C6E"/>
    <w:rsid w:val="00127EBB"/>
    <w:rsid w:val="00130318"/>
    <w:rsid w:val="00130322"/>
    <w:rsid w:val="001303B3"/>
    <w:rsid w:val="0013048B"/>
    <w:rsid w:val="00130640"/>
    <w:rsid w:val="00130951"/>
    <w:rsid w:val="00130AB7"/>
    <w:rsid w:val="00130CEA"/>
    <w:rsid w:val="00131FA8"/>
    <w:rsid w:val="0013238B"/>
    <w:rsid w:val="001327A8"/>
    <w:rsid w:val="0013295D"/>
    <w:rsid w:val="00132DD6"/>
    <w:rsid w:val="00133028"/>
    <w:rsid w:val="0013357A"/>
    <w:rsid w:val="001341F6"/>
    <w:rsid w:val="0013430A"/>
    <w:rsid w:val="001346E7"/>
    <w:rsid w:val="00134AD9"/>
    <w:rsid w:val="00135102"/>
    <w:rsid w:val="00135381"/>
    <w:rsid w:val="001358FA"/>
    <w:rsid w:val="00135A53"/>
    <w:rsid w:val="00135C2F"/>
    <w:rsid w:val="00135D18"/>
    <w:rsid w:val="00135F44"/>
    <w:rsid w:val="001362E7"/>
    <w:rsid w:val="00136C4E"/>
    <w:rsid w:val="00137377"/>
    <w:rsid w:val="00137B4B"/>
    <w:rsid w:val="00137D84"/>
    <w:rsid w:val="00137F8C"/>
    <w:rsid w:val="0014014F"/>
    <w:rsid w:val="0014049D"/>
    <w:rsid w:val="001404D6"/>
    <w:rsid w:val="001406E4"/>
    <w:rsid w:val="00140DD4"/>
    <w:rsid w:val="00140FFB"/>
    <w:rsid w:val="00141125"/>
    <w:rsid w:val="001414A9"/>
    <w:rsid w:val="00141824"/>
    <w:rsid w:val="0014307E"/>
    <w:rsid w:val="0014347C"/>
    <w:rsid w:val="0014369E"/>
    <w:rsid w:val="001436C9"/>
    <w:rsid w:val="001438B8"/>
    <w:rsid w:val="00143A5A"/>
    <w:rsid w:val="00144A0D"/>
    <w:rsid w:val="001450A4"/>
    <w:rsid w:val="001451BD"/>
    <w:rsid w:val="001451E0"/>
    <w:rsid w:val="00145585"/>
    <w:rsid w:val="0014586D"/>
    <w:rsid w:val="001458D5"/>
    <w:rsid w:val="00145999"/>
    <w:rsid w:val="00145C48"/>
    <w:rsid w:val="00145EDF"/>
    <w:rsid w:val="00145F7B"/>
    <w:rsid w:val="0014606F"/>
    <w:rsid w:val="001466B6"/>
    <w:rsid w:val="0014675A"/>
    <w:rsid w:val="001467D9"/>
    <w:rsid w:val="00146B94"/>
    <w:rsid w:val="00146BB8"/>
    <w:rsid w:val="00146BD4"/>
    <w:rsid w:val="00146C4B"/>
    <w:rsid w:val="00147195"/>
    <w:rsid w:val="001476BC"/>
    <w:rsid w:val="00147883"/>
    <w:rsid w:val="001478D7"/>
    <w:rsid w:val="00147FF0"/>
    <w:rsid w:val="00150C3B"/>
    <w:rsid w:val="00150D56"/>
    <w:rsid w:val="001511A4"/>
    <w:rsid w:val="00151308"/>
    <w:rsid w:val="00151538"/>
    <w:rsid w:val="00151825"/>
    <w:rsid w:val="001519B1"/>
    <w:rsid w:val="00151A90"/>
    <w:rsid w:val="00151BD2"/>
    <w:rsid w:val="00152147"/>
    <w:rsid w:val="001523D8"/>
    <w:rsid w:val="00152796"/>
    <w:rsid w:val="00152831"/>
    <w:rsid w:val="00152ABD"/>
    <w:rsid w:val="00152BFD"/>
    <w:rsid w:val="00152EC3"/>
    <w:rsid w:val="00152FA5"/>
    <w:rsid w:val="001534C7"/>
    <w:rsid w:val="0015371B"/>
    <w:rsid w:val="00153A08"/>
    <w:rsid w:val="00153A69"/>
    <w:rsid w:val="00153A78"/>
    <w:rsid w:val="00153C31"/>
    <w:rsid w:val="00153F32"/>
    <w:rsid w:val="00153F38"/>
    <w:rsid w:val="00154025"/>
    <w:rsid w:val="001542A5"/>
    <w:rsid w:val="00154325"/>
    <w:rsid w:val="00154433"/>
    <w:rsid w:val="001544BD"/>
    <w:rsid w:val="00154C4F"/>
    <w:rsid w:val="00154CB0"/>
    <w:rsid w:val="00154F0B"/>
    <w:rsid w:val="001550DF"/>
    <w:rsid w:val="001551FB"/>
    <w:rsid w:val="0015564E"/>
    <w:rsid w:val="00155DAC"/>
    <w:rsid w:val="001562B6"/>
    <w:rsid w:val="001563B1"/>
    <w:rsid w:val="001565D2"/>
    <w:rsid w:val="001579BD"/>
    <w:rsid w:val="001601F3"/>
    <w:rsid w:val="00160A05"/>
    <w:rsid w:val="00160E77"/>
    <w:rsid w:val="00160F7A"/>
    <w:rsid w:val="001613F9"/>
    <w:rsid w:val="0016241F"/>
    <w:rsid w:val="00162C19"/>
    <w:rsid w:val="00162CC6"/>
    <w:rsid w:val="00162D0B"/>
    <w:rsid w:val="00162F46"/>
    <w:rsid w:val="001632D8"/>
    <w:rsid w:val="001635AB"/>
    <w:rsid w:val="00163FBF"/>
    <w:rsid w:val="0016449D"/>
    <w:rsid w:val="001645DE"/>
    <w:rsid w:val="00164A3E"/>
    <w:rsid w:val="00164A8B"/>
    <w:rsid w:val="00164B8F"/>
    <w:rsid w:val="00164C7C"/>
    <w:rsid w:val="001653A2"/>
    <w:rsid w:val="001655D8"/>
    <w:rsid w:val="00165996"/>
    <w:rsid w:val="00165A51"/>
    <w:rsid w:val="00165CA6"/>
    <w:rsid w:val="001665A3"/>
    <w:rsid w:val="0016668B"/>
    <w:rsid w:val="00166879"/>
    <w:rsid w:val="00166DFE"/>
    <w:rsid w:val="001670C5"/>
    <w:rsid w:val="001677DA"/>
    <w:rsid w:val="00167944"/>
    <w:rsid w:val="00167ACD"/>
    <w:rsid w:val="00167BC1"/>
    <w:rsid w:val="001702C0"/>
    <w:rsid w:val="00170424"/>
    <w:rsid w:val="00170511"/>
    <w:rsid w:val="001706C2"/>
    <w:rsid w:val="00170ABE"/>
    <w:rsid w:val="001712A9"/>
    <w:rsid w:val="00172085"/>
    <w:rsid w:val="0017244C"/>
    <w:rsid w:val="001724FD"/>
    <w:rsid w:val="00172A56"/>
    <w:rsid w:val="00172F76"/>
    <w:rsid w:val="001737FE"/>
    <w:rsid w:val="001738C5"/>
    <w:rsid w:val="00173E63"/>
    <w:rsid w:val="00174255"/>
    <w:rsid w:val="0017496E"/>
    <w:rsid w:val="00174F81"/>
    <w:rsid w:val="00175166"/>
    <w:rsid w:val="001753C9"/>
    <w:rsid w:val="001755DC"/>
    <w:rsid w:val="001756BB"/>
    <w:rsid w:val="00175C38"/>
    <w:rsid w:val="00175C9B"/>
    <w:rsid w:val="00175F92"/>
    <w:rsid w:val="001766E6"/>
    <w:rsid w:val="00176DDA"/>
    <w:rsid w:val="001770F8"/>
    <w:rsid w:val="00177BBE"/>
    <w:rsid w:val="00177DD7"/>
    <w:rsid w:val="00177F33"/>
    <w:rsid w:val="00177F91"/>
    <w:rsid w:val="0018044B"/>
    <w:rsid w:val="001804D0"/>
    <w:rsid w:val="00180A4C"/>
    <w:rsid w:val="00180AFD"/>
    <w:rsid w:val="001810F8"/>
    <w:rsid w:val="001814EE"/>
    <w:rsid w:val="001815AD"/>
    <w:rsid w:val="001816C1"/>
    <w:rsid w:val="00181D64"/>
    <w:rsid w:val="00182113"/>
    <w:rsid w:val="00182782"/>
    <w:rsid w:val="00182A23"/>
    <w:rsid w:val="00182B75"/>
    <w:rsid w:val="00182C29"/>
    <w:rsid w:val="00182CF5"/>
    <w:rsid w:val="00182F43"/>
    <w:rsid w:val="0018344A"/>
    <w:rsid w:val="00183BF5"/>
    <w:rsid w:val="00183EDD"/>
    <w:rsid w:val="00183F21"/>
    <w:rsid w:val="00184190"/>
    <w:rsid w:val="00184ACB"/>
    <w:rsid w:val="00184E0F"/>
    <w:rsid w:val="001851FA"/>
    <w:rsid w:val="00185D03"/>
    <w:rsid w:val="00185E13"/>
    <w:rsid w:val="001865E2"/>
    <w:rsid w:val="00186617"/>
    <w:rsid w:val="00186BB8"/>
    <w:rsid w:val="00186CAC"/>
    <w:rsid w:val="001870FA"/>
    <w:rsid w:val="001872B4"/>
    <w:rsid w:val="0018790C"/>
    <w:rsid w:val="00187C7F"/>
    <w:rsid w:val="00190396"/>
    <w:rsid w:val="00191042"/>
    <w:rsid w:val="00191290"/>
    <w:rsid w:val="001913BA"/>
    <w:rsid w:val="001914B9"/>
    <w:rsid w:val="00191583"/>
    <w:rsid w:val="00191A36"/>
    <w:rsid w:val="00191AB8"/>
    <w:rsid w:val="00191C29"/>
    <w:rsid w:val="00191D5F"/>
    <w:rsid w:val="00192854"/>
    <w:rsid w:val="00192A49"/>
    <w:rsid w:val="00193222"/>
    <w:rsid w:val="001936A4"/>
    <w:rsid w:val="0019431C"/>
    <w:rsid w:val="001946D2"/>
    <w:rsid w:val="0019473C"/>
    <w:rsid w:val="001948F2"/>
    <w:rsid w:val="0019498D"/>
    <w:rsid w:val="00194AFC"/>
    <w:rsid w:val="00194C59"/>
    <w:rsid w:val="00194D7B"/>
    <w:rsid w:val="00194DBD"/>
    <w:rsid w:val="00194E5E"/>
    <w:rsid w:val="0019506B"/>
    <w:rsid w:val="00195855"/>
    <w:rsid w:val="00195B4B"/>
    <w:rsid w:val="00195FD3"/>
    <w:rsid w:val="001960CD"/>
    <w:rsid w:val="001963D3"/>
    <w:rsid w:val="0019655F"/>
    <w:rsid w:val="0019669A"/>
    <w:rsid w:val="00196B7D"/>
    <w:rsid w:val="00196CB7"/>
    <w:rsid w:val="00196CF0"/>
    <w:rsid w:val="00196D75"/>
    <w:rsid w:val="00196EED"/>
    <w:rsid w:val="001970F2"/>
    <w:rsid w:val="00197A0E"/>
    <w:rsid w:val="00197AC8"/>
    <w:rsid w:val="001A0065"/>
    <w:rsid w:val="001A0128"/>
    <w:rsid w:val="001A0350"/>
    <w:rsid w:val="001A0815"/>
    <w:rsid w:val="001A0CAF"/>
    <w:rsid w:val="001A0E21"/>
    <w:rsid w:val="001A0F5F"/>
    <w:rsid w:val="001A1758"/>
    <w:rsid w:val="001A1946"/>
    <w:rsid w:val="001A1A75"/>
    <w:rsid w:val="001A1C16"/>
    <w:rsid w:val="001A2055"/>
    <w:rsid w:val="001A28C2"/>
    <w:rsid w:val="001A2D3B"/>
    <w:rsid w:val="001A2E10"/>
    <w:rsid w:val="001A2F36"/>
    <w:rsid w:val="001A3135"/>
    <w:rsid w:val="001A3239"/>
    <w:rsid w:val="001A35FE"/>
    <w:rsid w:val="001A394E"/>
    <w:rsid w:val="001A398B"/>
    <w:rsid w:val="001A4524"/>
    <w:rsid w:val="001A4AB1"/>
    <w:rsid w:val="001A4CFC"/>
    <w:rsid w:val="001A4D70"/>
    <w:rsid w:val="001A5362"/>
    <w:rsid w:val="001A5942"/>
    <w:rsid w:val="001A5DAE"/>
    <w:rsid w:val="001A60C3"/>
    <w:rsid w:val="001A61F5"/>
    <w:rsid w:val="001A6464"/>
    <w:rsid w:val="001A6516"/>
    <w:rsid w:val="001A6B02"/>
    <w:rsid w:val="001A7026"/>
    <w:rsid w:val="001A7740"/>
    <w:rsid w:val="001B02A9"/>
    <w:rsid w:val="001B03B0"/>
    <w:rsid w:val="001B0DCC"/>
    <w:rsid w:val="001B1D60"/>
    <w:rsid w:val="001B24C4"/>
    <w:rsid w:val="001B288D"/>
    <w:rsid w:val="001B2BA0"/>
    <w:rsid w:val="001B3157"/>
    <w:rsid w:val="001B31C0"/>
    <w:rsid w:val="001B34A4"/>
    <w:rsid w:val="001B34FD"/>
    <w:rsid w:val="001B3558"/>
    <w:rsid w:val="001B395D"/>
    <w:rsid w:val="001B3A99"/>
    <w:rsid w:val="001B3D42"/>
    <w:rsid w:val="001B40C1"/>
    <w:rsid w:val="001B45EA"/>
    <w:rsid w:val="001B493D"/>
    <w:rsid w:val="001B4C5C"/>
    <w:rsid w:val="001B4CBF"/>
    <w:rsid w:val="001B54EF"/>
    <w:rsid w:val="001B567D"/>
    <w:rsid w:val="001B56E5"/>
    <w:rsid w:val="001B6000"/>
    <w:rsid w:val="001B657B"/>
    <w:rsid w:val="001B6B5A"/>
    <w:rsid w:val="001B6C79"/>
    <w:rsid w:val="001B7B01"/>
    <w:rsid w:val="001B7ECF"/>
    <w:rsid w:val="001B7FB1"/>
    <w:rsid w:val="001C012A"/>
    <w:rsid w:val="001C0822"/>
    <w:rsid w:val="001C0AB8"/>
    <w:rsid w:val="001C1BF3"/>
    <w:rsid w:val="001C2215"/>
    <w:rsid w:val="001C2467"/>
    <w:rsid w:val="001C247D"/>
    <w:rsid w:val="001C2FB8"/>
    <w:rsid w:val="001C3563"/>
    <w:rsid w:val="001C38DC"/>
    <w:rsid w:val="001C3F85"/>
    <w:rsid w:val="001C41CA"/>
    <w:rsid w:val="001C4411"/>
    <w:rsid w:val="001C44C2"/>
    <w:rsid w:val="001C4554"/>
    <w:rsid w:val="001C485F"/>
    <w:rsid w:val="001C4F67"/>
    <w:rsid w:val="001C5406"/>
    <w:rsid w:val="001C54B7"/>
    <w:rsid w:val="001C5657"/>
    <w:rsid w:val="001C6027"/>
    <w:rsid w:val="001C61C7"/>
    <w:rsid w:val="001C64C2"/>
    <w:rsid w:val="001C66B9"/>
    <w:rsid w:val="001C6A7F"/>
    <w:rsid w:val="001C6D03"/>
    <w:rsid w:val="001C72BA"/>
    <w:rsid w:val="001C78B5"/>
    <w:rsid w:val="001C7BE9"/>
    <w:rsid w:val="001C7E36"/>
    <w:rsid w:val="001C7F2C"/>
    <w:rsid w:val="001D015E"/>
    <w:rsid w:val="001D09E8"/>
    <w:rsid w:val="001D0B91"/>
    <w:rsid w:val="001D0E87"/>
    <w:rsid w:val="001D0EFA"/>
    <w:rsid w:val="001D0F20"/>
    <w:rsid w:val="001D126D"/>
    <w:rsid w:val="001D1904"/>
    <w:rsid w:val="001D190E"/>
    <w:rsid w:val="001D21E7"/>
    <w:rsid w:val="001D22C1"/>
    <w:rsid w:val="001D2825"/>
    <w:rsid w:val="001D2E89"/>
    <w:rsid w:val="001D30FB"/>
    <w:rsid w:val="001D3176"/>
    <w:rsid w:val="001D31DE"/>
    <w:rsid w:val="001D33C2"/>
    <w:rsid w:val="001D35D8"/>
    <w:rsid w:val="001D39BB"/>
    <w:rsid w:val="001D3AC7"/>
    <w:rsid w:val="001D40BF"/>
    <w:rsid w:val="001D413F"/>
    <w:rsid w:val="001D4AD7"/>
    <w:rsid w:val="001D4CA2"/>
    <w:rsid w:val="001D4CFC"/>
    <w:rsid w:val="001D5555"/>
    <w:rsid w:val="001D560D"/>
    <w:rsid w:val="001D5677"/>
    <w:rsid w:val="001D5C33"/>
    <w:rsid w:val="001D5F99"/>
    <w:rsid w:val="001D6593"/>
    <w:rsid w:val="001D66B0"/>
    <w:rsid w:val="001D697D"/>
    <w:rsid w:val="001D6AA4"/>
    <w:rsid w:val="001D6C17"/>
    <w:rsid w:val="001D6CD5"/>
    <w:rsid w:val="001D706B"/>
    <w:rsid w:val="001D74DF"/>
    <w:rsid w:val="001D75AB"/>
    <w:rsid w:val="001D79C8"/>
    <w:rsid w:val="001D7DAC"/>
    <w:rsid w:val="001E0039"/>
    <w:rsid w:val="001E0561"/>
    <w:rsid w:val="001E057F"/>
    <w:rsid w:val="001E0801"/>
    <w:rsid w:val="001E0CB4"/>
    <w:rsid w:val="001E1339"/>
    <w:rsid w:val="001E1728"/>
    <w:rsid w:val="001E1E0C"/>
    <w:rsid w:val="001E1FC0"/>
    <w:rsid w:val="001E24E4"/>
    <w:rsid w:val="001E27A2"/>
    <w:rsid w:val="001E2BD7"/>
    <w:rsid w:val="001E31F4"/>
    <w:rsid w:val="001E3885"/>
    <w:rsid w:val="001E3B4F"/>
    <w:rsid w:val="001E3B70"/>
    <w:rsid w:val="001E4440"/>
    <w:rsid w:val="001E486B"/>
    <w:rsid w:val="001E4963"/>
    <w:rsid w:val="001E4EC5"/>
    <w:rsid w:val="001E50D4"/>
    <w:rsid w:val="001E542F"/>
    <w:rsid w:val="001E56DC"/>
    <w:rsid w:val="001E5811"/>
    <w:rsid w:val="001E589B"/>
    <w:rsid w:val="001E609E"/>
    <w:rsid w:val="001E60F3"/>
    <w:rsid w:val="001E66B0"/>
    <w:rsid w:val="001E742E"/>
    <w:rsid w:val="001E7D29"/>
    <w:rsid w:val="001E7D75"/>
    <w:rsid w:val="001F0341"/>
    <w:rsid w:val="001F0801"/>
    <w:rsid w:val="001F0C64"/>
    <w:rsid w:val="001F0C91"/>
    <w:rsid w:val="001F11B1"/>
    <w:rsid w:val="001F17D0"/>
    <w:rsid w:val="001F1A4C"/>
    <w:rsid w:val="001F1DBF"/>
    <w:rsid w:val="001F21CC"/>
    <w:rsid w:val="001F23C8"/>
    <w:rsid w:val="001F2D7E"/>
    <w:rsid w:val="001F33AC"/>
    <w:rsid w:val="001F350D"/>
    <w:rsid w:val="001F3B64"/>
    <w:rsid w:val="001F3C2B"/>
    <w:rsid w:val="001F41DF"/>
    <w:rsid w:val="001F4246"/>
    <w:rsid w:val="001F42E7"/>
    <w:rsid w:val="001F464A"/>
    <w:rsid w:val="001F4768"/>
    <w:rsid w:val="001F4D14"/>
    <w:rsid w:val="001F4EF6"/>
    <w:rsid w:val="001F50AF"/>
    <w:rsid w:val="001F52CD"/>
    <w:rsid w:val="001F5803"/>
    <w:rsid w:val="001F5A81"/>
    <w:rsid w:val="001F5A9B"/>
    <w:rsid w:val="001F617B"/>
    <w:rsid w:val="001F7620"/>
    <w:rsid w:val="001F7E3E"/>
    <w:rsid w:val="001F7F98"/>
    <w:rsid w:val="0020008A"/>
    <w:rsid w:val="00200177"/>
    <w:rsid w:val="002001B6"/>
    <w:rsid w:val="0020021D"/>
    <w:rsid w:val="00200224"/>
    <w:rsid w:val="00200589"/>
    <w:rsid w:val="0020092D"/>
    <w:rsid w:val="00200F93"/>
    <w:rsid w:val="002018A2"/>
    <w:rsid w:val="00201FA0"/>
    <w:rsid w:val="0020252F"/>
    <w:rsid w:val="002025BA"/>
    <w:rsid w:val="0020283D"/>
    <w:rsid w:val="00203425"/>
    <w:rsid w:val="00203843"/>
    <w:rsid w:val="00203A8F"/>
    <w:rsid w:val="00203D29"/>
    <w:rsid w:val="00204475"/>
    <w:rsid w:val="00204510"/>
    <w:rsid w:val="00204668"/>
    <w:rsid w:val="002047E7"/>
    <w:rsid w:val="00205709"/>
    <w:rsid w:val="00205B0E"/>
    <w:rsid w:val="00205F92"/>
    <w:rsid w:val="002063AC"/>
    <w:rsid w:val="00206947"/>
    <w:rsid w:val="00206A99"/>
    <w:rsid w:val="00206ACD"/>
    <w:rsid w:val="00206F15"/>
    <w:rsid w:val="0020725C"/>
    <w:rsid w:val="00210422"/>
    <w:rsid w:val="002104D7"/>
    <w:rsid w:val="0021050B"/>
    <w:rsid w:val="00210FBD"/>
    <w:rsid w:val="00211000"/>
    <w:rsid w:val="002111D0"/>
    <w:rsid w:val="0021139A"/>
    <w:rsid w:val="00211649"/>
    <w:rsid w:val="00211C4F"/>
    <w:rsid w:val="00211E8D"/>
    <w:rsid w:val="00211FC2"/>
    <w:rsid w:val="00212275"/>
    <w:rsid w:val="002125C9"/>
    <w:rsid w:val="00212C7D"/>
    <w:rsid w:val="00213195"/>
    <w:rsid w:val="0021328F"/>
    <w:rsid w:val="00213406"/>
    <w:rsid w:val="0021396C"/>
    <w:rsid w:val="00213BFE"/>
    <w:rsid w:val="00213EBE"/>
    <w:rsid w:val="0021411B"/>
    <w:rsid w:val="002141B2"/>
    <w:rsid w:val="002142FE"/>
    <w:rsid w:val="0021436A"/>
    <w:rsid w:val="00214455"/>
    <w:rsid w:val="00214506"/>
    <w:rsid w:val="00214667"/>
    <w:rsid w:val="00214833"/>
    <w:rsid w:val="00214896"/>
    <w:rsid w:val="0021492C"/>
    <w:rsid w:val="00215CCB"/>
    <w:rsid w:val="00216700"/>
    <w:rsid w:val="002178B4"/>
    <w:rsid w:val="00217D83"/>
    <w:rsid w:val="00220477"/>
    <w:rsid w:val="00220CED"/>
    <w:rsid w:val="00220E0D"/>
    <w:rsid w:val="00220F5A"/>
    <w:rsid w:val="00220F9B"/>
    <w:rsid w:val="002217B9"/>
    <w:rsid w:val="00221A66"/>
    <w:rsid w:val="00221E38"/>
    <w:rsid w:val="00222385"/>
    <w:rsid w:val="002224E0"/>
    <w:rsid w:val="00222676"/>
    <w:rsid w:val="0022274B"/>
    <w:rsid w:val="00222808"/>
    <w:rsid w:val="002228F9"/>
    <w:rsid w:val="002229C4"/>
    <w:rsid w:val="00222AC9"/>
    <w:rsid w:val="00222CB6"/>
    <w:rsid w:val="0022325C"/>
    <w:rsid w:val="002232DE"/>
    <w:rsid w:val="00223C57"/>
    <w:rsid w:val="0022480A"/>
    <w:rsid w:val="00224987"/>
    <w:rsid w:val="00224C73"/>
    <w:rsid w:val="00224EDC"/>
    <w:rsid w:val="00225529"/>
    <w:rsid w:val="0022577A"/>
    <w:rsid w:val="00225BC3"/>
    <w:rsid w:val="00226254"/>
    <w:rsid w:val="0022640A"/>
    <w:rsid w:val="00226534"/>
    <w:rsid w:val="0022685D"/>
    <w:rsid w:val="00226C84"/>
    <w:rsid w:val="00227391"/>
    <w:rsid w:val="00227847"/>
    <w:rsid w:val="00227C48"/>
    <w:rsid w:val="00227D4A"/>
    <w:rsid w:val="0023096A"/>
    <w:rsid w:val="00230BEC"/>
    <w:rsid w:val="00231416"/>
    <w:rsid w:val="00231475"/>
    <w:rsid w:val="002319A8"/>
    <w:rsid w:val="00231EBE"/>
    <w:rsid w:val="00232230"/>
    <w:rsid w:val="00232240"/>
    <w:rsid w:val="002327DA"/>
    <w:rsid w:val="002329CB"/>
    <w:rsid w:val="00232FCF"/>
    <w:rsid w:val="002330F9"/>
    <w:rsid w:val="002331D6"/>
    <w:rsid w:val="00233659"/>
    <w:rsid w:val="00233B12"/>
    <w:rsid w:val="002349BD"/>
    <w:rsid w:val="0023508C"/>
    <w:rsid w:val="00235977"/>
    <w:rsid w:val="00235A47"/>
    <w:rsid w:val="0023640F"/>
    <w:rsid w:val="002365C0"/>
    <w:rsid w:val="0023668C"/>
    <w:rsid w:val="00236BFB"/>
    <w:rsid w:val="00236CDA"/>
    <w:rsid w:val="00236F4E"/>
    <w:rsid w:val="00237475"/>
    <w:rsid w:val="002375C3"/>
    <w:rsid w:val="002375FE"/>
    <w:rsid w:val="002379CD"/>
    <w:rsid w:val="00237CED"/>
    <w:rsid w:val="00237F18"/>
    <w:rsid w:val="0024038E"/>
    <w:rsid w:val="00240B54"/>
    <w:rsid w:val="00240EA1"/>
    <w:rsid w:val="0024109F"/>
    <w:rsid w:val="002411AD"/>
    <w:rsid w:val="0024125D"/>
    <w:rsid w:val="0024198A"/>
    <w:rsid w:val="00241D9F"/>
    <w:rsid w:val="00241DC3"/>
    <w:rsid w:val="00241FD0"/>
    <w:rsid w:val="002420CC"/>
    <w:rsid w:val="002422DE"/>
    <w:rsid w:val="00242C07"/>
    <w:rsid w:val="00242C65"/>
    <w:rsid w:val="00243108"/>
    <w:rsid w:val="0024326A"/>
    <w:rsid w:val="00243544"/>
    <w:rsid w:val="00243FA7"/>
    <w:rsid w:val="0024426B"/>
    <w:rsid w:val="00244952"/>
    <w:rsid w:val="00245B50"/>
    <w:rsid w:val="00245B94"/>
    <w:rsid w:val="00245DC6"/>
    <w:rsid w:val="00245FB7"/>
    <w:rsid w:val="002461DD"/>
    <w:rsid w:val="0024681E"/>
    <w:rsid w:val="00246B04"/>
    <w:rsid w:val="00246DA9"/>
    <w:rsid w:val="002470D7"/>
    <w:rsid w:val="002473D6"/>
    <w:rsid w:val="0025002F"/>
    <w:rsid w:val="002503FE"/>
    <w:rsid w:val="002504E2"/>
    <w:rsid w:val="00250507"/>
    <w:rsid w:val="002506C4"/>
    <w:rsid w:val="002507CA"/>
    <w:rsid w:val="002514F3"/>
    <w:rsid w:val="002515CE"/>
    <w:rsid w:val="002516B5"/>
    <w:rsid w:val="00251A35"/>
    <w:rsid w:val="00252964"/>
    <w:rsid w:val="00252A42"/>
    <w:rsid w:val="00252BBD"/>
    <w:rsid w:val="0025308F"/>
    <w:rsid w:val="002532FE"/>
    <w:rsid w:val="00253701"/>
    <w:rsid w:val="00253E0D"/>
    <w:rsid w:val="00254139"/>
    <w:rsid w:val="002545CA"/>
    <w:rsid w:val="00255597"/>
    <w:rsid w:val="002556A8"/>
    <w:rsid w:val="00255BDE"/>
    <w:rsid w:val="00255CC9"/>
    <w:rsid w:val="00255ECD"/>
    <w:rsid w:val="002566ED"/>
    <w:rsid w:val="00256CE5"/>
    <w:rsid w:val="0025760D"/>
    <w:rsid w:val="0025778A"/>
    <w:rsid w:val="00257F0A"/>
    <w:rsid w:val="00257F3A"/>
    <w:rsid w:val="00260140"/>
    <w:rsid w:val="002603E1"/>
    <w:rsid w:val="00260560"/>
    <w:rsid w:val="00260DE4"/>
    <w:rsid w:val="002611D6"/>
    <w:rsid w:val="00261279"/>
    <w:rsid w:val="0026132B"/>
    <w:rsid w:val="00261E89"/>
    <w:rsid w:val="00261F1D"/>
    <w:rsid w:val="00262CC3"/>
    <w:rsid w:val="00262E6D"/>
    <w:rsid w:val="00262EFF"/>
    <w:rsid w:val="002636E7"/>
    <w:rsid w:val="00263CC7"/>
    <w:rsid w:val="002644BA"/>
    <w:rsid w:val="002646EF"/>
    <w:rsid w:val="00264AE7"/>
    <w:rsid w:val="00265689"/>
    <w:rsid w:val="00265DC2"/>
    <w:rsid w:val="00265E21"/>
    <w:rsid w:val="002661C4"/>
    <w:rsid w:val="002663CE"/>
    <w:rsid w:val="00267983"/>
    <w:rsid w:val="002704ED"/>
    <w:rsid w:val="0027069A"/>
    <w:rsid w:val="002706B4"/>
    <w:rsid w:val="00270D88"/>
    <w:rsid w:val="00271340"/>
    <w:rsid w:val="0027164B"/>
    <w:rsid w:val="00271721"/>
    <w:rsid w:val="00271EB4"/>
    <w:rsid w:val="00271F4B"/>
    <w:rsid w:val="002728B9"/>
    <w:rsid w:val="00272D08"/>
    <w:rsid w:val="00272F5E"/>
    <w:rsid w:val="0027323A"/>
    <w:rsid w:val="002735A3"/>
    <w:rsid w:val="00273613"/>
    <w:rsid w:val="002736C5"/>
    <w:rsid w:val="00273820"/>
    <w:rsid w:val="00273B9F"/>
    <w:rsid w:val="002742A6"/>
    <w:rsid w:val="002749FD"/>
    <w:rsid w:val="0027562C"/>
    <w:rsid w:val="00276033"/>
    <w:rsid w:val="00276586"/>
    <w:rsid w:val="00276AED"/>
    <w:rsid w:val="00276EB4"/>
    <w:rsid w:val="002774A2"/>
    <w:rsid w:val="002776AA"/>
    <w:rsid w:val="00277C1B"/>
    <w:rsid w:val="00280689"/>
    <w:rsid w:val="002808B3"/>
    <w:rsid w:val="00280DFE"/>
    <w:rsid w:val="00281529"/>
    <w:rsid w:val="00281732"/>
    <w:rsid w:val="0028192B"/>
    <w:rsid w:val="00281C59"/>
    <w:rsid w:val="00281E19"/>
    <w:rsid w:val="002820B6"/>
    <w:rsid w:val="0028277C"/>
    <w:rsid w:val="00282E4D"/>
    <w:rsid w:val="002831D7"/>
    <w:rsid w:val="00283BCF"/>
    <w:rsid w:val="00284012"/>
    <w:rsid w:val="00284058"/>
    <w:rsid w:val="00284122"/>
    <w:rsid w:val="002841A3"/>
    <w:rsid w:val="002843B2"/>
    <w:rsid w:val="0028443B"/>
    <w:rsid w:val="002847F3"/>
    <w:rsid w:val="00284A55"/>
    <w:rsid w:val="00284B0B"/>
    <w:rsid w:val="00284E18"/>
    <w:rsid w:val="00284F42"/>
    <w:rsid w:val="0028550E"/>
    <w:rsid w:val="0028571D"/>
    <w:rsid w:val="00285A72"/>
    <w:rsid w:val="00285AC9"/>
    <w:rsid w:val="00285EC5"/>
    <w:rsid w:val="0028625C"/>
    <w:rsid w:val="00286812"/>
    <w:rsid w:val="00286DCC"/>
    <w:rsid w:val="00286E70"/>
    <w:rsid w:val="00286F11"/>
    <w:rsid w:val="00287012"/>
    <w:rsid w:val="00287809"/>
    <w:rsid w:val="00287813"/>
    <w:rsid w:val="00287AFF"/>
    <w:rsid w:val="00287FAB"/>
    <w:rsid w:val="0029063B"/>
    <w:rsid w:val="00290793"/>
    <w:rsid w:val="002909A5"/>
    <w:rsid w:val="00290CB9"/>
    <w:rsid w:val="00291967"/>
    <w:rsid w:val="00292054"/>
    <w:rsid w:val="00292578"/>
    <w:rsid w:val="0029259B"/>
    <w:rsid w:val="00292F0F"/>
    <w:rsid w:val="0029304C"/>
    <w:rsid w:val="00293421"/>
    <w:rsid w:val="002938E4"/>
    <w:rsid w:val="00294439"/>
    <w:rsid w:val="002944C6"/>
    <w:rsid w:val="00294734"/>
    <w:rsid w:val="002950C2"/>
    <w:rsid w:val="002959F6"/>
    <w:rsid w:val="002961AA"/>
    <w:rsid w:val="0029625E"/>
    <w:rsid w:val="00296594"/>
    <w:rsid w:val="00297313"/>
    <w:rsid w:val="0029774E"/>
    <w:rsid w:val="002979F9"/>
    <w:rsid w:val="00297D8E"/>
    <w:rsid w:val="00297D9D"/>
    <w:rsid w:val="002A0B93"/>
    <w:rsid w:val="002A0CB1"/>
    <w:rsid w:val="002A1005"/>
    <w:rsid w:val="002A1372"/>
    <w:rsid w:val="002A1695"/>
    <w:rsid w:val="002A1710"/>
    <w:rsid w:val="002A1793"/>
    <w:rsid w:val="002A1F61"/>
    <w:rsid w:val="002A2404"/>
    <w:rsid w:val="002A2C53"/>
    <w:rsid w:val="002A2E1C"/>
    <w:rsid w:val="002A366E"/>
    <w:rsid w:val="002A3EC4"/>
    <w:rsid w:val="002A4082"/>
    <w:rsid w:val="002A40B6"/>
    <w:rsid w:val="002A4CEB"/>
    <w:rsid w:val="002A4DD3"/>
    <w:rsid w:val="002A51B1"/>
    <w:rsid w:val="002A591A"/>
    <w:rsid w:val="002A5CC3"/>
    <w:rsid w:val="002A5F08"/>
    <w:rsid w:val="002A616E"/>
    <w:rsid w:val="002A6510"/>
    <w:rsid w:val="002A66E6"/>
    <w:rsid w:val="002A69B7"/>
    <w:rsid w:val="002A7108"/>
    <w:rsid w:val="002A727D"/>
    <w:rsid w:val="002A74D8"/>
    <w:rsid w:val="002A74E2"/>
    <w:rsid w:val="002A78BC"/>
    <w:rsid w:val="002B001C"/>
    <w:rsid w:val="002B0723"/>
    <w:rsid w:val="002B08B2"/>
    <w:rsid w:val="002B0A13"/>
    <w:rsid w:val="002B1958"/>
    <w:rsid w:val="002B1C05"/>
    <w:rsid w:val="002B1C61"/>
    <w:rsid w:val="002B1E45"/>
    <w:rsid w:val="002B2013"/>
    <w:rsid w:val="002B2055"/>
    <w:rsid w:val="002B24C8"/>
    <w:rsid w:val="002B2809"/>
    <w:rsid w:val="002B2B32"/>
    <w:rsid w:val="002B2C9F"/>
    <w:rsid w:val="002B38B3"/>
    <w:rsid w:val="002B3BF7"/>
    <w:rsid w:val="002B3F36"/>
    <w:rsid w:val="002B455F"/>
    <w:rsid w:val="002B4627"/>
    <w:rsid w:val="002B4A07"/>
    <w:rsid w:val="002B4FAB"/>
    <w:rsid w:val="002B5376"/>
    <w:rsid w:val="002B5381"/>
    <w:rsid w:val="002B53C6"/>
    <w:rsid w:val="002B55C1"/>
    <w:rsid w:val="002B5912"/>
    <w:rsid w:val="002B5DEE"/>
    <w:rsid w:val="002B65EC"/>
    <w:rsid w:val="002B678C"/>
    <w:rsid w:val="002B6D83"/>
    <w:rsid w:val="002B6F3A"/>
    <w:rsid w:val="002C03EC"/>
    <w:rsid w:val="002C0455"/>
    <w:rsid w:val="002C09DB"/>
    <w:rsid w:val="002C0DBD"/>
    <w:rsid w:val="002C1448"/>
    <w:rsid w:val="002C1861"/>
    <w:rsid w:val="002C25D2"/>
    <w:rsid w:val="002C2757"/>
    <w:rsid w:val="002C2ACE"/>
    <w:rsid w:val="002C2C06"/>
    <w:rsid w:val="002C2D52"/>
    <w:rsid w:val="002C300E"/>
    <w:rsid w:val="002C30B9"/>
    <w:rsid w:val="002C32E3"/>
    <w:rsid w:val="002C3886"/>
    <w:rsid w:val="002C3D23"/>
    <w:rsid w:val="002C4302"/>
    <w:rsid w:val="002C4311"/>
    <w:rsid w:val="002C43D1"/>
    <w:rsid w:val="002C4900"/>
    <w:rsid w:val="002C491E"/>
    <w:rsid w:val="002C4E28"/>
    <w:rsid w:val="002C4EF3"/>
    <w:rsid w:val="002C5261"/>
    <w:rsid w:val="002C5560"/>
    <w:rsid w:val="002C5590"/>
    <w:rsid w:val="002C64C8"/>
    <w:rsid w:val="002C6649"/>
    <w:rsid w:val="002C6772"/>
    <w:rsid w:val="002C6D41"/>
    <w:rsid w:val="002C6F64"/>
    <w:rsid w:val="002C71F1"/>
    <w:rsid w:val="002C75AF"/>
    <w:rsid w:val="002C768F"/>
    <w:rsid w:val="002C76D9"/>
    <w:rsid w:val="002C7A09"/>
    <w:rsid w:val="002C7B9A"/>
    <w:rsid w:val="002C7E3E"/>
    <w:rsid w:val="002D0DD0"/>
    <w:rsid w:val="002D136D"/>
    <w:rsid w:val="002D1912"/>
    <w:rsid w:val="002D1BF2"/>
    <w:rsid w:val="002D1FEB"/>
    <w:rsid w:val="002D1FF3"/>
    <w:rsid w:val="002D2049"/>
    <w:rsid w:val="002D28A9"/>
    <w:rsid w:val="002D30F8"/>
    <w:rsid w:val="002D3381"/>
    <w:rsid w:val="002D3890"/>
    <w:rsid w:val="002D3B3D"/>
    <w:rsid w:val="002D41C8"/>
    <w:rsid w:val="002D44E9"/>
    <w:rsid w:val="002D45BF"/>
    <w:rsid w:val="002D4961"/>
    <w:rsid w:val="002D4A0B"/>
    <w:rsid w:val="002D4BB7"/>
    <w:rsid w:val="002D4DC4"/>
    <w:rsid w:val="002D5C42"/>
    <w:rsid w:val="002D5CD3"/>
    <w:rsid w:val="002D62D6"/>
    <w:rsid w:val="002D630A"/>
    <w:rsid w:val="002D632F"/>
    <w:rsid w:val="002D67EF"/>
    <w:rsid w:val="002D701D"/>
    <w:rsid w:val="002D71AF"/>
    <w:rsid w:val="002D777C"/>
    <w:rsid w:val="002D7A2D"/>
    <w:rsid w:val="002D7A35"/>
    <w:rsid w:val="002E04F2"/>
    <w:rsid w:val="002E078A"/>
    <w:rsid w:val="002E0A2A"/>
    <w:rsid w:val="002E1048"/>
    <w:rsid w:val="002E14B6"/>
    <w:rsid w:val="002E1AA3"/>
    <w:rsid w:val="002E1AB3"/>
    <w:rsid w:val="002E1B8D"/>
    <w:rsid w:val="002E1DA5"/>
    <w:rsid w:val="002E27AA"/>
    <w:rsid w:val="002E2CB0"/>
    <w:rsid w:val="002E35F3"/>
    <w:rsid w:val="002E3EEE"/>
    <w:rsid w:val="002E49C3"/>
    <w:rsid w:val="002E4B70"/>
    <w:rsid w:val="002E664F"/>
    <w:rsid w:val="002E66BA"/>
    <w:rsid w:val="002E67C1"/>
    <w:rsid w:val="002E6FE6"/>
    <w:rsid w:val="002E7183"/>
    <w:rsid w:val="002E781D"/>
    <w:rsid w:val="002E7907"/>
    <w:rsid w:val="002F0502"/>
    <w:rsid w:val="002F09A7"/>
    <w:rsid w:val="002F0A5E"/>
    <w:rsid w:val="002F0F9B"/>
    <w:rsid w:val="002F10FE"/>
    <w:rsid w:val="002F1D6F"/>
    <w:rsid w:val="002F1F79"/>
    <w:rsid w:val="002F1FEF"/>
    <w:rsid w:val="002F23A4"/>
    <w:rsid w:val="002F2BAF"/>
    <w:rsid w:val="002F2F70"/>
    <w:rsid w:val="002F312B"/>
    <w:rsid w:val="002F3135"/>
    <w:rsid w:val="002F38E0"/>
    <w:rsid w:val="002F3DFC"/>
    <w:rsid w:val="002F43BA"/>
    <w:rsid w:val="002F459A"/>
    <w:rsid w:val="002F474E"/>
    <w:rsid w:val="002F4932"/>
    <w:rsid w:val="002F4F13"/>
    <w:rsid w:val="002F5A50"/>
    <w:rsid w:val="002F69FE"/>
    <w:rsid w:val="002F7087"/>
    <w:rsid w:val="002F717D"/>
    <w:rsid w:val="002F71B0"/>
    <w:rsid w:val="002F78AA"/>
    <w:rsid w:val="003000F4"/>
    <w:rsid w:val="0030016C"/>
    <w:rsid w:val="0030045E"/>
    <w:rsid w:val="00300D44"/>
    <w:rsid w:val="0030102E"/>
    <w:rsid w:val="003013C9"/>
    <w:rsid w:val="00301603"/>
    <w:rsid w:val="003018AE"/>
    <w:rsid w:val="00301AE5"/>
    <w:rsid w:val="00301CA6"/>
    <w:rsid w:val="00301D02"/>
    <w:rsid w:val="003023B5"/>
    <w:rsid w:val="00303836"/>
    <w:rsid w:val="0030417E"/>
    <w:rsid w:val="0030464F"/>
    <w:rsid w:val="003047BF"/>
    <w:rsid w:val="00304D80"/>
    <w:rsid w:val="003063CA"/>
    <w:rsid w:val="0030650C"/>
    <w:rsid w:val="00306565"/>
    <w:rsid w:val="003068B6"/>
    <w:rsid w:val="00306942"/>
    <w:rsid w:val="00306CAB"/>
    <w:rsid w:val="003078A8"/>
    <w:rsid w:val="00307E5D"/>
    <w:rsid w:val="00310023"/>
    <w:rsid w:val="003102A5"/>
    <w:rsid w:val="00310587"/>
    <w:rsid w:val="00310A4E"/>
    <w:rsid w:val="003110AD"/>
    <w:rsid w:val="00311175"/>
    <w:rsid w:val="00311987"/>
    <w:rsid w:val="00311B8F"/>
    <w:rsid w:val="00312450"/>
    <w:rsid w:val="0031320C"/>
    <w:rsid w:val="00313403"/>
    <w:rsid w:val="003136BF"/>
    <w:rsid w:val="00313D68"/>
    <w:rsid w:val="00313D76"/>
    <w:rsid w:val="00314562"/>
    <w:rsid w:val="00314C4E"/>
    <w:rsid w:val="00314C80"/>
    <w:rsid w:val="00314F38"/>
    <w:rsid w:val="00315030"/>
    <w:rsid w:val="0031531A"/>
    <w:rsid w:val="00315AF7"/>
    <w:rsid w:val="00316292"/>
    <w:rsid w:val="00317379"/>
    <w:rsid w:val="003173BF"/>
    <w:rsid w:val="00317483"/>
    <w:rsid w:val="00317654"/>
    <w:rsid w:val="0031779B"/>
    <w:rsid w:val="00317C34"/>
    <w:rsid w:val="003201B3"/>
    <w:rsid w:val="003202D6"/>
    <w:rsid w:val="003204A1"/>
    <w:rsid w:val="0032055C"/>
    <w:rsid w:val="00320800"/>
    <w:rsid w:val="003209BA"/>
    <w:rsid w:val="00320CBC"/>
    <w:rsid w:val="00320D77"/>
    <w:rsid w:val="00321493"/>
    <w:rsid w:val="00322228"/>
    <w:rsid w:val="0032253F"/>
    <w:rsid w:val="00323A83"/>
    <w:rsid w:val="00323B9D"/>
    <w:rsid w:val="0032418C"/>
    <w:rsid w:val="003243DC"/>
    <w:rsid w:val="00324BE6"/>
    <w:rsid w:val="00324D93"/>
    <w:rsid w:val="00324EED"/>
    <w:rsid w:val="003264BA"/>
    <w:rsid w:val="00326533"/>
    <w:rsid w:val="0032658D"/>
    <w:rsid w:val="00326C66"/>
    <w:rsid w:val="00326E1C"/>
    <w:rsid w:val="00326FEB"/>
    <w:rsid w:val="00330377"/>
    <w:rsid w:val="00330556"/>
    <w:rsid w:val="0033063D"/>
    <w:rsid w:val="00330693"/>
    <w:rsid w:val="003306B2"/>
    <w:rsid w:val="003309B1"/>
    <w:rsid w:val="00330CD0"/>
    <w:rsid w:val="0033100D"/>
    <w:rsid w:val="00331AC9"/>
    <w:rsid w:val="00332008"/>
    <w:rsid w:val="003322C2"/>
    <w:rsid w:val="003323D3"/>
    <w:rsid w:val="003327C2"/>
    <w:rsid w:val="00332D41"/>
    <w:rsid w:val="003330C7"/>
    <w:rsid w:val="003331EE"/>
    <w:rsid w:val="00333705"/>
    <w:rsid w:val="00333C25"/>
    <w:rsid w:val="003345D4"/>
    <w:rsid w:val="003348B9"/>
    <w:rsid w:val="00334EB7"/>
    <w:rsid w:val="00334EFE"/>
    <w:rsid w:val="00334F66"/>
    <w:rsid w:val="0033564A"/>
    <w:rsid w:val="00335744"/>
    <w:rsid w:val="0033578E"/>
    <w:rsid w:val="003357DD"/>
    <w:rsid w:val="00335D3D"/>
    <w:rsid w:val="00336959"/>
    <w:rsid w:val="00336972"/>
    <w:rsid w:val="00336E9D"/>
    <w:rsid w:val="00337264"/>
    <w:rsid w:val="0033787A"/>
    <w:rsid w:val="00337A48"/>
    <w:rsid w:val="00340371"/>
    <w:rsid w:val="003407DC"/>
    <w:rsid w:val="00340BB2"/>
    <w:rsid w:val="00341160"/>
    <w:rsid w:val="00341B43"/>
    <w:rsid w:val="00341BEA"/>
    <w:rsid w:val="00341D17"/>
    <w:rsid w:val="00342099"/>
    <w:rsid w:val="00342300"/>
    <w:rsid w:val="00342B33"/>
    <w:rsid w:val="00343277"/>
    <w:rsid w:val="00343281"/>
    <w:rsid w:val="00343285"/>
    <w:rsid w:val="00343723"/>
    <w:rsid w:val="003439EC"/>
    <w:rsid w:val="00343A80"/>
    <w:rsid w:val="00343D4C"/>
    <w:rsid w:val="00344389"/>
    <w:rsid w:val="0034443A"/>
    <w:rsid w:val="0034494A"/>
    <w:rsid w:val="00344AA7"/>
    <w:rsid w:val="00346220"/>
    <w:rsid w:val="00346388"/>
    <w:rsid w:val="00346911"/>
    <w:rsid w:val="00346CCA"/>
    <w:rsid w:val="0034705B"/>
    <w:rsid w:val="00347147"/>
    <w:rsid w:val="0034731A"/>
    <w:rsid w:val="00347810"/>
    <w:rsid w:val="0035005D"/>
    <w:rsid w:val="00350171"/>
    <w:rsid w:val="003504E3"/>
    <w:rsid w:val="00350ACB"/>
    <w:rsid w:val="00350D0F"/>
    <w:rsid w:val="00350E98"/>
    <w:rsid w:val="0035151D"/>
    <w:rsid w:val="003515E5"/>
    <w:rsid w:val="0035163D"/>
    <w:rsid w:val="0035180E"/>
    <w:rsid w:val="00351B49"/>
    <w:rsid w:val="00351EF9"/>
    <w:rsid w:val="003521BF"/>
    <w:rsid w:val="00352282"/>
    <w:rsid w:val="00352F56"/>
    <w:rsid w:val="003532AB"/>
    <w:rsid w:val="003533AC"/>
    <w:rsid w:val="00353522"/>
    <w:rsid w:val="00353D8C"/>
    <w:rsid w:val="003541D6"/>
    <w:rsid w:val="003541DB"/>
    <w:rsid w:val="00354239"/>
    <w:rsid w:val="00354951"/>
    <w:rsid w:val="0035586D"/>
    <w:rsid w:val="00355B5A"/>
    <w:rsid w:val="00355F44"/>
    <w:rsid w:val="00355F5A"/>
    <w:rsid w:val="00356317"/>
    <w:rsid w:val="003569D6"/>
    <w:rsid w:val="00356A2D"/>
    <w:rsid w:val="00356B66"/>
    <w:rsid w:val="00356BC9"/>
    <w:rsid w:val="00356D15"/>
    <w:rsid w:val="00356D8E"/>
    <w:rsid w:val="00357A72"/>
    <w:rsid w:val="00357CEA"/>
    <w:rsid w:val="00357D52"/>
    <w:rsid w:val="003603C4"/>
    <w:rsid w:val="0036093A"/>
    <w:rsid w:val="00360AFB"/>
    <w:rsid w:val="003612C9"/>
    <w:rsid w:val="00361355"/>
    <w:rsid w:val="00361502"/>
    <w:rsid w:val="0036180E"/>
    <w:rsid w:val="00361BB0"/>
    <w:rsid w:val="00361DB2"/>
    <w:rsid w:val="00362151"/>
    <w:rsid w:val="003622C6"/>
    <w:rsid w:val="00362437"/>
    <w:rsid w:val="003628DA"/>
    <w:rsid w:val="00363591"/>
    <w:rsid w:val="00363F4C"/>
    <w:rsid w:val="0036407B"/>
    <w:rsid w:val="003641B2"/>
    <w:rsid w:val="0036426D"/>
    <w:rsid w:val="0036430C"/>
    <w:rsid w:val="00364339"/>
    <w:rsid w:val="00364670"/>
    <w:rsid w:val="003648F1"/>
    <w:rsid w:val="00364F41"/>
    <w:rsid w:val="003650B1"/>
    <w:rsid w:val="00365171"/>
    <w:rsid w:val="00365DEF"/>
    <w:rsid w:val="00366145"/>
    <w:rsid w:val="00366166"/>
    <w:rsid w:val="00366CBA"/>
    <w:rsid w:val="00366F06"/>
    <w:rsid w:val="00367201"/>
    <w:rsid w:val="00367243"/>
    <w:rsid w:val="003676E2"/>
    <w:rsid w:val="003677A5"/>
    <w:rsid w:val="00367D57"/>
    <w:rsid w:val="00370080"/>
    <w:rsid w:val="00370110"/>
    <w:rsid w:val="00370ABC"/>
    <w:rsid w:val="00370B30"/>
    <w:rsid w:val="0037145F"/>
    <w:rsid w:val="0037183B"/>
    <w:rsid w:val="00371ADD"/>
    <w:rsid w:val="00371C49"/>
    <w:rsid w:val="00371DD0"/>
    <w:rsid w:val="00372237"/>
    <w:rsid w:val="0037256F"/>
    <w:rsid w:val="00372C9D"/>
    <w:rsid w:val="00372EFA"/>
    <w:rsid w:val="003737F1"/>
    <w:rsid w:val="00373B4B"/>
    <w:rsid w:val="00373C59"/>
    <w:rsid w:val="00373E7F"/>
    <w:rsid w:val="00373E8F"/>
    <w:rsid w:val="00373FD2"/>
    <w:rsid w:val="00374D32"/>
    <w:rsid w:val="00374FDA"/>
    <w:rsid w:val="00375168"/>
    <w:rsid w:val="00375840"/>
    <w:rsid w:val="003759E7"/>
    <w:rsid w:val="00375B34"/>
    <w:rsid w:val="00375E4F"/>
    <w:rsid w:val="003760F0"/>
    <w:rsid w:val="0037685F"/>
    <w:rsid w:val="00376E8C"/>
    <w:rsid w:val="00377037"/>
    <w:rsid w:val="0037793B"/>
    <w:rsid w:val="00377C35"/>
    <w:rsid w:val="00377CBC"/>
    <w:rsid w:val="00377FC3"/>
    <w:rsid w:val="003808BD"/>
    <w:rsid w:val="003808E5"/>
    <w:rsid w:val="003809BF"/>
    <w:rsid w:val="00381099"/>
    <w:rsid w:val="00381519"/>
    <w:rsid w:val="00381826"/>
    <w:rsid w:val="003818BB"/>
    <w:rsid w:val="00381902"/>
    <w:rsid w:val="003819E2"/>
    <w:rsid w:val="00381A66"/>
    <w:rsid w:val="00381CBD"/>
    <w:rsid w:val="00382468"/>
    <w:rsid w:val="0038259D"/>
    <w:rsid w:val="0038286E"/>
    <w:rsid w:val="00382BA5"/>
    <w:rsid w:val="003832FF"/>
    <w:rsid w:val="003835FC"/>
    <w:rsid w:val="003836EE"/>
    <w:rsid w:val="003838B3"/>
    <w:rsid w:val="00383A21"/>
    <w:rsid w:val="00383A33"/>
    <w:rsid w:val="00383D50"/>
    <w:rsid w:val="00384034"/>
    <w:rsid w:val="0038469F"/>
    <w:rsid w:val="003847BE"/>
    <w:rsid w:val="003852C8"/>
    <w:rsid w:val="00385684"/>
    <w:rsid w:val="00385762"/>
    <w:rsid w:val="003858F7"/>
    <w:rsid w:val="00385A09"/>
    <w:rsid w:val="00385BDD"/>
    <w:rsid w:val="00385C0F"/>
    <w:rsid w:val="00386AFE"/>
    <w:rsid w:val="00387192"/>
    <w:rsid w:val="0038741D"/>
    <w:rsid w:val="003877F7"/>
    <w:rsid w:val="00387916"/>
    <w:rsid w:val="00390644"/>
    <w:rsid w:val="00390760"/>
    <w:rsid w:val="00390E1F"/>
    <w:rsid w:val="00390EB1"/>
    <w:rsid w:val="00390ED2"/>
    <w:rsid w:val="003919FD"/>
    <w:rsid w:val="00391E2B"/>
    <w:rsid w:val="0039267C"/>
    <w:rsid w:val="0039281E"/>
    <w:rsid w:val="00392DB2"/>
    <w:rsid w:val="00393297"/>
    <w:rsid w:val="00393370"/>
    <w:rsid w:val="00393C74"/>
    <w:rsid w:val="00393E78"/>
    <w:rsid w:val="00394157"/>
    <w:rsid w:val="00394627"/>
    <w:rsid w:val="0039462A"/>
    <w:rsid w:val="00394880"/>
    <w:rsid w:val="00394A7C"/>
    <w:rsid w:val="00394BBF"/>
    <w:rsid w:val="003952F8"/>
    <w:rsid w:val="00396CB1"/>
    <w:rsid w:val="00396E34"/>
    <w:rsid w:val="00397499"/>
    <w:rsid w:val="003975DD"/>
    <w:rsid w:val="003978EC"/>
    <w:rsid w:val="003A029E"/>
    <w:rsid w:val="003A04C6"/>
    <w:rsid w:val="003A05A5"/>
    <w:rsid w:val="003A0972"/>
    <w:rsid w:val="003A0B4D"/>
    <w:rsid w:val="003A10F5"/>
    <w:rsid w:val="003A1541"/>
    <w:rsid w:val="003A17AA"/>
    <w:rsid w:val="003A17BC"/>
    <w:rsid w:val="003A1813"/>
    <w:rsid w:val="003A189C"/>
    <w:rsid w:val="003A1D2C"/>
    <w:rsid w:val="003A2166"/>
    <w:rsid w:val="003A22BD"/>
    <w:rsid w:val="003A2403"/>
    <w:rsid w:val="003A2431"/>
    <w:rsid w:val="003A25C6"/>
    <w:rsid w:val="003A2724"/>
    <w:rsid w:val="003A279A"/>
    <w:rsid w:val="003A2A76"/>
    <w:rsid w:val="003A33FC"/>
    <w:rsid w:val="003A3444"/>
    <w:rsid w:val="003A379A"/>
    <w:rsid w:val="003A3F36"/>
    <w:rsid w:val="003A4029"/>
    <w:rsid w:val="003A48E4"/>
    <w:rsid w:val="003A491E"/>
    <w:rsid w:val="003A4CE2"/>
    <w:rsid w:val="003A4E92"/>
    <w:rsid w:val="003A56D4"/>
    <w:rsid w:val="003A5AAF"/>
    <w:rsid w:val="003A5F11"/>
    <w:rsid w:val="003A63DA"/>
    <w:rsid w:val="003A6944"/>
    <w:rsid w:val="003A723C"/>
    <w:rsid w:val="003A7429"/>
    <w:rsid w:val="003A7A7A"/>
    <w:rsid w:val="003A7DEF"/>
    <w:rsid w:val="003B0470"/>
    <w:rsid w:val="003B07DA"/>
    <w:rsid w:val="003B0ED9"/>
    <w:rsid w:val="003B0F05"/>
    <w:rsid w:val="003B0F9F"/>
    <w:rsid w:val="003B11C6"/>
    <w:rsid w:val="003B1333"/>
    <w:rsid w:val="003B168F"/>
    <w:rsid w:val="003B18EA"/>
    <w:rsid w:val="003B190C"/>
    <w:rsid w:val="003B1F05"/>
    <w:rsid w:val="003B22C6"/>
    <w:rsid w:val="003B241E"/>
    <w:rsid w:val="003B2498"/>
    <w:rsid w:val="003B28C6"/>
    <w:rsid w:val="003B29A9"/>
    <w:rsid w:val="003B2A53"/>
    <w:rsid w:val="003B2CFC"/>
    <w:rsid w:val="003B2F5E"/>
    <w:rsid w:val="003B30BE"/>
    <w:rsid w:val="003B345D"/>
    <w:rsid w:val="003B375E"/>
    <w:rsid w:val="003B3EB1"/>
    <w:rsid w:val="003B3F82"/>
    <w:rsid w:val="003B46B8"/>
    <w:rsid w:val="003B475A"/>
    <w:rsid w:val="003B4800"/>
    <w:rsid w:val="003B56D1"/>
    <w:rsid w:val="003B5DBD"/>
    <w:rsid w:val="003B712A"/>
    <w:rsid w:val="003B73DD"/>
    <w:rsid w:val="003B76AF"/>
    <w:rsid w:val="003B7CCD"/>
    <w:rsid w:val="003B7D4A"/>
    <w:rsid w:val="003C05C2"/>
    <w:rsid w:val="003C0D73"/>
    <w:rsid w:val="003C10E8"/>
    <w:rsid w:val="003C128C"/>
    <w:rsid w:val="003C15DC"/>
    <w:rsid w:val="003C19B4"/>
    <w:rsid w:val="003C1BF8"/>
    <w:rsid w:val="003C21A1"/>
    <w:rsid w:val="003C2C08"/>
    <w:rsid w:val="003C2C3C"/>
    <w:rsid w:val="003C3861"/>
    <w:rsid w:val="003C3DE1"/>
    <w:rsid w:val="003C3FA8"/>
    <w:rsid w:val="003C42B3"/>
    <w:rsid w:val="003C4A89"/>
    <w:rsid w:val="003C4BE8"/>
    <w:rsid w:val="003C4F41"/>
    <w:rsid w:val="003C4FF5"/>
    <w:rsid w:val="003C5151"/>
    <w:rsid w:val="003C5419"/>
    <w:rsid w:val="003C5950"/>
    <w:rsid w:val="003C5D1D"/>
    <w:rsid w:val="003C5FED"/>
    <w:rsid w:val="003C6578"/>
    <w:rsid w:val="003C660C"/>
    <w:rsid w:val="003C6852"/>
    <w:rsid w:val="003C6D9C"/>
    <w:rsid w:val="003C7385"/>
    <w:rsid w:val="003C79C2"/>
    <w:rsid w:val="003C7C87"/>
    <w:rsid w:val="003C7E0A"/>
    <w:rsid w:val="003C7F7D"/>
    <w:rsid w:val="003D017E"/>
    <w:rsid w:val="003D053D"/>
    <w:rsid w:val="003D09EC"/>
    <w:rsid w:val="003D0DB9"/>
    <w:rsid w:val="003D1823"/>
    <w:rsid w:val="003D1B69"/>
    <w:rsid w:val="003D2297"/>
    <w:rsid w:val="003D239C"/>
    <w:rsid w:val="003D25A5"/>
    <w:rsid w:val="003D2782"/>
    <w:rsid w:val="003D2931"/>
    <w:rsid w:val="003D2BAD"/>
    <w:rsid w:val="003D2E01"/>
    <w:rsid w:val="003D31C3"/>
    <w:rsid w:val="003D33C5"/>
    <w:rsid w:val="003D3B9C"/>
    <w:rsid w:val="003D3C8F"/>
    <w:rsid w:val="003D3F58"/>
    <w:rsid w:val="003D49B2"/>
    <w:rsid w:val="003D4B90"/>
    <w:rsid w:val="003D4BC9"/>
    <w:rsid w:val="003D4CB7"/>
    <w:rsid w:val="003D58D3"/>
    <w:rsid w:val="003D590A"/>
    <w:rsid w:val="003D6299"/>
    <w:rsid w:val="003D6301"/>
    <w:rsid w:val="003D6B91"/>
    <w:rsid w:val="003D6CB8"/>
    <w:rsid w:val="003D6D05"/>
    <w:rsid w:val="003D771E"/>
    <w:rsid w:val="003E09E6"/>
    <w:rsid w:val="003E09FD"/>
    <w:rsid w:val="003E13A2"/>
    <w:rsid w:val="003E16C1"/>
    <w:rsid w:val="003E19F6"/>
    <w:rsid w:val="003E1B10"/>
    <w:rsid w:val="003E1BF5"/>
    <w:rsid w:val="003E2220"/>
    <w:rsid w:val="003E23FB"/>
    <w:rsid w:val="003E24F0"/>
    <w:rsid w:val="003E2671"/>
    <w:rsid w:val="003E2A2E"/>
    <w:rsid w:val="003E2AF3"/>
    <w:rsid w:val="003E3002"/>
    <w:rsid w:val="003E3145"/>
    <w:rsid w:val="003E31BD"/>
    <w:rsid w:val="003E3674"/>
    <w:rsid w:val="003E38F8"/>
    <w:rsid w:val="003E3CAF"/>
    <w:rsid w:val="003E4A3E"/>
    <w:rsid w:val="003E4C95"/>
    <w:rsid w:val="003E4D0A"/>
    <w:rsid w:val="003E4F6C"/>
    <w:rsid w:val="003E55D7"/>
    <w:rsid w:val="003E59F8"/>
    <w:rsid w:val="003E6880"/>
    <w:rsid w:val="003E6891"/>
    <w:rsid w:val="003E6BC7"/>
    <w:rsid w:val="003E6CA2"/>
    <w:rsid w:val="003E7396"/>
    <w:rsid w:val="003E7579"/>
    <w:rsid w:val="003E7735"/>
    <w:rsid w:val="003E79A6"/>
    <w:rsid w:val="003E7D3A"/>
    <w:rsid w:val="003E7E8E"/>
    <w:rsid w:val="003F0107"/>
    <w:rsid w:val="003F012B"/>
    <w:rsid w:val="003F0249"/>
    <w:rsid w:val="003F027E"/>
    <w:rsid w:val="003F0561"/>
    <w:rsid w:val="003F069B"/>
    <w:rsid w:val="003F0792"/>
    <w:rsid w:val="003F098C"/>
    <w:rsid w:val="003F0E12"/>
    <w:rsid w:val="003F10C2"/>
    <w:rsid w:val="003F11DB"/>
    <w:rsid w:val="003F1223"/>
    <w:rsid w:val="003F140B"/>
    <w:rsid w:val="003F143D"/>
    <w:rsid w:val="003F1688"/>
    <w:rsid w:val="003F1726"/>
    <w:rsid w:val="003F1977"/>
    <w:rsid w:val="003F19F0"/>
    <w:rsid w:val="003F1A23"/>
    <w:rsid w:val="003F1A5A"/>
    <w:rsid w:val="003F202F"/>
    <w:rsid w:val="003F2362"/>
    <w:rsid w:val="003F2AAF"/>
    <w:rsid w:val="003F33F1"/>
    <w:rsid w:val="003F43BD"/>
    <w:rsid w:val="003F448E"/>
    <w:rsid w:val="003F4793"/>
    <w:rsid w:val="003F4911"/>
    <w:rsid w:val="003F4DAB"/>
    <w:rsid w:val="003F4F49"/>
    <w:rsid w:val="003F52B1"/>
    <w:rsid w:val="003F5485"/>
    <w:rsid w:val="003F5600"/>
    <w:rsid w:val="003F5D0F"/>
    <w:rsid w:val="003F5F43"/>
    <w:rsid w:val="003F635B"/>
    <w:rsid w:val="003F63AF"/>
    <w:rsid w:val="003F6EA5"/>
    <w:rsid w:val="003F701F"/>
    <w:rsid w:val="003F7029"/>
    <w:rsid w:val="003F72FB"/>
    <w:rsid w:val="003F7DA0"/>
    <w:rsid w:val="003F7F1C"/>
    <w:rsid w:val="004002BB"/>
    <w:rsid w:val="004005E9"/>
    <w:rsid w:val="00400915"/>
    <w:rsid w:val="004018F1"/>
    <w:rsid w:val="004020BA"/>
    <w:rsid w:val="00402382"/>
    <w:rsid w:val="00402416"/>
    <w:rsid w:val="0040259F"/>
    <w:rsid w:val="00402A00"/>
    <w:rsid w:val="00402A52"/>
    <w:rsid w:val="00402A53"/>
    <w:rsid w:val="00402C72"/>
    <w:rsid w:val="00403041"/>
    <w:rsid w:val="004031E6"/>
    <w:rsid w:val="0040349A"/>
    <w:rsid w:val="004036B3"/>
    <w:rsid w:val="004036D6"/>
    <w:rsid w:val="00403878"/>
    <w:rsid w:val="00403D23"/>
    <w:rsid w:val="0040403C"/>
    <w:rsid w:val="00404225"/>
    <w:rsid w:val="00404B60"/>
    <w:rsid w:val="00404BA3"/>
    <w:rsid w:val="0040501A"/>
    <w:rsid w:val="00405121"/>
    <w:rsid w:val="0040521E"/>
    <w:rsid w:val="004053DA"/>
    <w:rsid w:val="0040545C"/>
    <w:rsid w:val="00405518"/>
    <w:rsid w:val="00405810"/>
    <w:rsid w:val="0040597C"/>
    <w:rsid w:val="00406144"/>
    <w:rsid w:val="0040648A"/>
    <w:rsid w:val="00406599"/>
    <w:rsid w:val="004067EE"/>
    <w:rsid w:val="0040706F"/>
    <w:rsid w:val="004070FD"/>
    <w:rsid w:val="00407668"/>
    <w:rsid w:val="00407CD8"/>
    <w:rsid w:val="004105EE"/>
    <w:rsid w:val="00410655"/>
    <w:rsid w:val="00410DFB"/>
    <w:rsid w:val="00410F35"/>
    <w:rsid w:val="004111EF"/>
    <w:rsid w:val="00411221"/>
    <w:rsid w:val="00411E1C"/>
    <w:rsid w:val="00412155"/>
    <w:rsid w:val="004123F4"/>
    <w:rsid w:val="004124C9"/>
    <w:rsid w:val="00412635"/>
    <w:rsid w:val="00412687"/>
    <w:rsid w:val="004127AC"/>
    <w:rsid w:val="004127CB"/>
    <w:rsid w:val="00412E8B"/>
    <w:rsid w:val="00413312"/>
    <w:rsid w:val="004134EC"/>
    <w:rsid w:val="004136D7"/>
    <w:rsid w:val="004138B8"/>
    <w:rsid w:val="0041395C"/>
    <w:rsid w:val="0041415F"/>
    <w:rsid w:val="00414295"/>
    <w:rsid w:val="00414451"/>
    <w:rsid w:val="0041464B"/>
    <w:rsid w:val="0041478A"/>
    <w:rsid w:val="0041496C"/>
    <w:rsid w:val="004149A9"/>
    <w:rsid w:val="004151E8"/>
    <w:rsid w:val="004152E6"/>
    <w:rsid w:val="004153C5"/>
    <w:rsid w:val="00415A3E"/>
    <w:rsid w:val="00415A86"/>
    <w:rsid w:val="00415EA2"/>
    <w:rsid w:val="004162C9"/>
    <w:rsid w:val="004166ED"/>
    <w:rsid w:val="00417325"/>
    <w:rsid w:val="00417752"/>
    <w:rsid w:val="00420479"/>
    <w:rsid w:val="00420ACA"/>
    <w:rsid w:val="00420EA9"/>
    <w:rsid w:val="00420EDD"/>
    <w:rsid w:val="00421736"/>
    <w:rsid w:val="00421AD3"/>
    <w:rsid w:val="00421C40"/>
    <w:rsid w:val="004220D5"/>
    <w:rsid w:val="004228DD"/>
    <w:rsid w:val="00422B67"/>
    <w:rsid w:val="00422D8B"/>
    <w:rsid w:val="00422DE4"/>
    <w:rsid w:val="00423B3E"/>
    <w:rsid w:val="00423C6C"/>
    <w:rsid w:val="00423F09"/>
    <w:rsid w:val="004246D8"/>
    <w:rsid w:val="00424E50"/>
    <w:rsid w:val="004259BB"/>
    <w:rsid w:val="0042624D"/>
    <w:rsid w:val="00426369"/>
    <w:rsid w:val="004263EB"/>
    <w:rsid w:val="004264CA"/>
    <w:rsid w:val="004267F3"/>
    <w:rsid w:val="00426ED9"/>
    <w:rsid w:val="00426EDF"/>
    <w:rsid w:val="004274D5"/>
    <w:rsid w:val="00427A1A"/>
    <w:rsid w:val="00430353"/>
    <w:rsid w:val="0043053F"/>
    <w:rsid w:val="0043063C"/>
    <w:rsid w:val="0043071A"/>
    <w:rsid w:val="00430ACD"/>
    <w:rsid w:val="00430D37"/>
    <w:rsid w:val="00430F0F"/>
    <w:rsid w:val="00430FF3"/>
    <w:rsid w:val="0043125F"/>
    <w:rsid w:val="0043215D"/>
    <w:rsid w:val="0043259B"/>
    <w:rsid w:val="004325B6"/>
    <w:rsid w:val="004326E7"/>
    <w:rsid w:val="00432BAA"/>
    <w:rsid w:val="004330DF"/>
    <w:rsid w:val="0043319F"/>
    <w:rsid w:val="00433863"/>
    <w:rsid w:val="004342D8"/>
    <w:rsid w:val="00434CA9"/>
    <w:rsid w:val="00434D94"/>
    <w:rsid w:val="00434E44"/>
    <w:rsid w:val="004358F7"/>
    <w:rsid w:val="00435B87"/>
    <w:rsid w:val="00435C14"/>
    <w:rsid w:val="00435F63"/>
    <w:rsid w:val="00435FB3"/>
    <w:rsid w:val="004366CE"/>
    <w:rsid w:val="004367FD"/>
    <w:rsid w:val="004369C7"/>
    <w:rsid w:val="004369E8"/>
    <w:rsid w:val="00436F39"/>
    <w:rsid w:val="00437085"/>
    <w:rsid w:val="0043766E"/>
    <w:rsid w:val="004378C2"/>
    <w:rsid w:val="00437ADC"/>
    <w:rsid w:val="004400D5"/>
    <w:rsid w:val="004403D3"/>
    <w:rsid w:val="00440DEB"/>
    <w:rsid w:val="004412A3"/>
    <w:rsid w:val="00441467"/>
    <w:rsid w:val="00441524"/>
    <w:rsid w:val="004416B1"/>
    <w:rsid w:val="0044188B"/>
    <w:rsid w:val="00441954"/>
    <w:rsid w:val="004423C2"/>
    <w:rsid w:val="00442973"/>
    <w:rsid w:val="00442C2D"/>
    <w:rsid w:val="00442E32"/>
    <w:rsid w:val="0044303E"/>
    <w:rsid w:val="00443086"/>
    <w:rsid w:val="004433A4"/>
    <w:rsid w:val="0044340B"/>
    <w:rsid w:val="0044364F"/>
    <w:rsid w:val="0044382D"/>
    <w:rsid w:val="00443968"/>
    <w:rsid w:val="00443B0C"/>
    <w:rsid w:val="00443BEF"/>
    <w:rsid w:val="00443F5E"/>
    <w:rsid w:val="00443F78"/>
    <w:rsid w:val="004441EC"/>
    <w:rsid w:val="00444229"/>
    <w:rsid w:val="00444714"/>
    <w:rsid w:val="00444732"/>
    <w:rsid w:val="00444860"/>
    <w:rsid w:val="00444942"/>
    <w:rsid w:val="004449F4"/>
    <w:rsid w:val="004453A1"/>
    <w:rsid w:val="00445A6D"/>
    <w:rsid w:val="00445B30"/>
    <w:rsid w:val="00445DA0"/>
    <w:rsid w:val="00445DE8"/>
    <w:rsid w:val="004460F4"/>
    <w:rsid w:val="0044646F"/>
    <w:rsid w:val="00446781"/>
    <w:rsid w:val="004467B7"/>
    <w:rsid w:val="0044694F"/>
    <w:rsid w:val="00446B10"/>
    <w:rsid w:val="00446D33"/>
    <w:rsid w:val="00447230"/>
    <w:rsid w:val="004475AC"/>
    <w:rsid w:val="00447638"/>
    <w:rsid w:val="00447925"/>
    <w:rsid w:val="00447C5B"/>
    <w:rsid w:val="00447E7B"/>
    <w:rsid w:val="00450063"/>
    <w:rsid w:val="004502BE"/>
    <w:rsid w:val="004503E9"/>
    <w:rsid w:val="004505BF"/>
    <w:rsid w:val="004506A3"/>
    <w:rsid w:val="0045078B"/>
    <w:rsid w:val="00450C62"/>
    <w:rsid w:val="00450F02"/>
    <w:rsid w:val="00450F0A"/>
    <w:rsid w:val="00450F88"/>
    <w:rsid w:val="00450FAE"/>
    <w:rsid w:val="004512B6"/>
    <w:rsid w:val="00451AF1"/>
    <w:rsid w:val="00451BCD"/>
    <w:rsid w:val="00451EEA"/>
    <w:rsid w:val="00451FFC"/>
    <w:rsid w:val="0045218F"/>
    <w:rsid w:val="00452D14"/>
    <w:rsid w:val="00452E1B"/>
    <w:rsid w:val="004532BE"/>
    <w:rsid w:val="004535E8"/>
    <w:rsid w:val="00453E82"/>
    <w:rsid w:val="00453E91"/>
    <w:rsid w:val="00453EE4"/>
    <w:rsid w:val="00454112"/>
    <w:rsid w:val="00454676"/>
    <w:rsid w:val="004546A5"/>
    <w:rsid w:val="00454BAD"/>
    <w:rsid w:val="004550E0"/>
    <w:rsid w:val="00455381"/>
    <w:rsid w:val="00455662"/>
    <w:rsid w:val="00455DEF"/>
    <w:rsid w:val="00455DF7"/>
    <w:rsid w:val="00455FD1"/>
    <w:rsid w:val="0045608A"/>
    <w:rsid w:val="0045722D"/>
    <w:rsid w:val="0045729E"/>
    <w:rsid w:val="004602A6"/>
    <w:rsid w:val="0046043E"/>
    <w:rsid w:val="00460660"/>
    <w:rsid w:val="0046085B"/>
    <w:rsid w:val="00460E64"/>
    <w:rsid w:val="004610DC"/>
    <w:rsid w:val="00461969"/>
    <w:rsid w:val="00461FB6"/>
    <w:rsid w:val="00462057"/>
    <w:rsid w:val="0046233C"/>
    <w:rsid w:val="0046265D"/>
    <w:rsid w:val="00462A71"/>
    <w:rsid w:val="00462DD5"/>
    <w:rsid w:val="00462E09"/>
    <w:rsid w:val="004633B9"/>
    <w:rsid w:val="0046403C"/>
    <w:rsid w:val="0046484D"/>
    <w:rsid w:val="0046497C"/>
    <w:rsid w:val="004649CC"/>
    <w:rsid w:val="00464E40"/>
    <w:rsid w:val="004650FD"/>
    <w:rsid w:val="00465987"/>
    <w:rsid w:val="00465A27"/>
    <w:rsid w:val="00465D32"/>
    <w:rsid w:val="0046616A"/>
    <w:rsid w:val="0046618B"/>
    <w:rsid w:val="00466382"/>
    <w:rsid w:val="0046651B"/>
    <w:rsid w:val="00466899"/>
    <w:rsid w:val="00466B72"/>
    <w:rsid w:val="00467062"/>
    <w:rsid w:val="004670AE"/>
    <w:rsid w:val="004671A1"/>
    <w:rsid w:val="00467235"/>
    <w:rsid w:val="004674AB"/>
    <w:rsid w:val="0046755C"/>
    <w:rsid w:val="0046762C"/>
    <w:rsid w:val="00467F0A"/>
    <w:rsid w:val="00467F55"/>
    <w:rsid w:val="00470809"/>
    <w:rsid w:val="00470B45"/>
    <w:rsid w:val="00471416"/>
    <w:rsid w:val="0047185C"/>
    <w:rsid w:val="0047220F"/>
    <w:rsid w:val="004722B8"/>
    <w:rsid w:val="00472A28"/>
    <w:rsid w:val="00472C22"/>
    <w:rsid w:val="00472E3E"/>
    <w:rsid w:val="00473340"/>
    <w:rsid w:val="00473716"/>
    <w:rsid w:val="00473B5E"/>
    <w:rsid w:val="00473BBD"/>
    <w:rsid w:val="00473CC7"/>
    <w:rsid w:val="00474266"/>
    <w:rsid w:val="00474BF3"/>
    <w:rsid w:val="00474DC0"/>
    <w:rsid w:val="0047516C"/>
    <w:rsid w:val="0047517B"/>
    <w:rsid w:val="004757CB"/>
    <w:rsid w:val="0047588F"/>
    <w:rsid w:val="004764B5"/>
    <w:rsid w:val="004777EB"/>
    <w:rsid w:val="00477C21"/>
    <w:rsid w:val="00480842"/>
    <w:rsid w:val="0048089D"/>
    <w:rsid w:val="00480DB7"/>
    <w:rsid w:val="004812CA"/>
    <w:rsid w:val="00481518"/>
    <w:rsid w:val="004817AC"/>
    <w:rsid w:val="00481878"/>
    <w:rsid w:val="004819DA"/>
    <w:rsid w:val="00481E92"/>
    <w:rsid w:val="00481EAB"/>
    <w:rsid w:val="00482302"/>
    <w:rsid w:val="00482698"/>
    <w:rsid w:val="0048271E"/>
    <w:rsid w:val="00482878"/>
    <w:rsid w:val="004835CF"/>
    <w:rsid w:val="004842B9"/>
    <w:rsid w:val="004844A3"/>
    <w:rsid w:val="00484D68"/>
    <w:rsid w:val="00484ED9"/>
    <w:rsid w:val="00485029"/>
    <w:rsid w:val="00485157"/>
    <w:rsid w:val="0048570E"/>
    <w:rsid w:val="0048610C"/>
    <w:rsid w:val="0048621A"/>
    <w:rsid w:val="00486409"/>
    <w:rsid w:val="004864B3"/>
    <w:rsid w:val="004864C9"/>
    <w:rsid w:val="004866FE"/>
    <w:rsid w:val="0048679F"/>
    <w:rsid w:val="0048721D"/>
    <w:rsid w:val="00487425"/>
    <w:rsid w:val="0048776F"/>
    <w:rsid w:val="0049030F"/>
    <w:rsid w:val="0049045A"/>
    <w:rsid w:val="00490463"/>
    <w:rsid w:val="00490624"/>
    <w:rsid w:val="004906D7"/>
    <w:rsid w:val="0049071F"/>
    <w:rsid w:val="00490A96"/>
    <w:rsid w:val="00490C04"/>
    <w:rsid w:val="0049104B"/>
    <w:rsid w:val="004914F0"/>
    <w:rsid w:val="0049182B"/>
    <w:rsid w:val="004918F0"/>
    <w:rsid w:val="00491DA2"/>
    <w:rsid w:val="0049240C"/>
    <w:rsid w:val="00492713"/>
    <w:rsid w:val="00492BF5"/>
    <w:rsid w:val="00492C7E"/>
    <w:rsid w:val="00492D38"/>
    <w:rsid w:val="00492D5A"/>
    <w:rsid w:val="00492E3D"/>
    <w:rsid w:val="00492F37"/>
    <w:rsid w:val="0049305B"/>
    <w:rsid w:val="0049317E"/>
    <w:rsid w:val="004932BA"/>
    <w:rsid w:val="0049335B"/>
    <w:rsid w:val="004939E3"/>
    <w:rsid w:val="00493A89"/>
    <w:rsid w:val="00494BAF"/>
    <w:rsid w:val="00495386"/>
    <w:rsid w:val="00495DF3"/>
    <w:rsid w:val="00495F18"/>
    <w:rsid w:val="00496008"/>
    <w:rsid w:val="0049608E"/>
    <w:rsid w:val="0049646B"/>
    <w:rsid w:val="004969E0"/>
    <w:rsid w:val="004974DF"/>
    <w:rsid w:val="004974E5"/>
    <w:rsid w:val="004974FE"/>
    <w:rsid w:val="00497504"/>
    <w:rsid w:val="00497727"/>
    <w:rsid w:val="00497841"/>
    <w:rsid w:val="00497B04"/>
    <w:rsid w:val="004A00BB"/>
    <w:rsid w:val="004A049E"/>
    <w:rsid w:val="004A069A"/>
    <w:rsid w:val="004A0A24"/>
    <w:rsid w:val="004A0AF7"/>
    <w:rsid w:val="004A0C0A"/>
    <w:rsid w:val="004A0CDA"/>
    <w:rsid w:val="004A1384"/>
    <w:rsid w:val="004A198C"/>
    <w:rsid w:val="004A1E91"/>
    <w:rsid w:val="004A2213"/>
    <w:rsid w:val="004A2418"/>
    <w:rsid w:val="004A30B0"/>
    <w:rsid w:val="004A3194"/>
    <w:rsid w:val="004A33D8"/>
    <w:rsid w:val="004A35F6"/>
    <w:rsid w:val="004A3CC0"/>
    <w:rsid w:val="004A3D20"/>
    <w:rsid w:val="004A3F31"/>
    <w:rsid w:val="004A40C9"/>
    <w:rsid w:val="004A4656"/>
    <w:rsid w:val="004A46EF"/>
    <w:rsid w:val="004A470C"/>
    <w:rsid w:val="004A4DCE"/>
    <w:rsid w:val="004A4E60"/>
    <w:rsid w:val="004A4EB6"/>
    <w:rsid w:val="004A5223"/>
    <w:rsid w:val="004A5356"/>
    <w:rsid w:val="004A540C"/>
    <w:rsid w:val="004A6764"/>
    <w:rsid w:val="004A6A8E"/>
    <w:rsid w:val="004A6C14"/>
    <w:rsid w:val="004A7D01"/>
    <w:rsid w:val="004B0434"/>
    <w:rsid w:val="004B0493"/>
    <w:rsid w:val="004B0546"/>
    <w:rsid w:val="004B0E41"/>
    <w:rsid w:val="004B131C"/>
    <w:rsid w:val="004B132E"/>
    <w:rsid w:val="004B1A18"/>
    <w:rsid w:val="004B1A9A"/>
    <w:rsid w:val="004B1E0F"/>
    <w:rsid w:val="004B25AD"/>
    <w:rsid w:val="004B2786"/>
    <w:rsid w:val="004B2C0A"/>
    <w:rsid w:val="004B2DF9"/>
    <w:rsid w:val="004B3558"/>
    <w:rsid w:val="004B35EB"/>
    <w:rsid w:val="004B3967"/>
    <w:rsid w:val="004B3D63"/>
    <w:rsid w:val="004B3DF9"/>
    <w:rsid w:val="004B3FDA"/>
    <w:rsid w:val="004B4904"/>
    <w:rsid w:val="004B5386"/>
    <w:rsid w:val="004B5D86"/>
    <w:rsid w:val="004B6A11"/>
    <w:rsid w:val="004B71D1"/>
    <w:rsid w:val="004B72D6"/>
    <w:rsid w:val="004B7714"/>
    <w:rsid w:val="004B78D6"/>
    <w:rsid w:val="004B7D01"/>
    <w:rsid w:val="004B7F61"/>
    <w:rsid w:val="004C011B"/>
    <w:rsid w:val="004C01E3"/>
    <w:rsid w:val="004C035A"/>
    <w:rsid w:val="004C04D2"/>
    <w:rsid w:val="004C0521"/>
    <w:rsid w:val="004C0565"/>
    <w:rsid w:val="004C05B8"/>
    <w:rsid w:val="004C0C38"/>
    <w:rsid w:val="004C0CEF"/>
    <w:rsid w:val="004C0DF9"/>
    <w:rsid w:val="004C0F61"/>
    <w:rsid w:val="004C1270"/>
    <w:rsid w:val="004C1382"/>
    <w:rsid w:val="004C16F9"/>
    <w:rsid w:val="004C175F"/>
    <w:rsid w:val="004C1CBF"/>
    <w:rsid w:val="004C1E05"/>
    <w:rsid w:val="004C221E"/>
    <w:rsid w:val="004C2414"/>
    <w:rsid w:val="004C25E2"/>
    <w:rsid w:val="004C3FDD"/>
    <w:rsid w:val="004C403B"/>
    <w:rsid w:val="004C414E"/>
    <w:rsid w:val="004C41D8"/>
    <w:rsid w:val="004C4593"/>
    <w:rsid w:val="004C4797"/>
    <w:rsid w:val="004C4BF1"/>
    <w:rsid w:val="004C4DBC"/>
    <w:rsid w:val="004C511B"/>
    <w:rsid w:val="004C5223"/>
    <w:rsid w:val="004C5FF1"/>
    <w:rsid w:val="004C6DE4"/>
    <w:rsid w:val="004C707A"/>
    <w:rsid w:val="004C711A"/>
    <w:rsid w:val="004C720C"/>
    <w:rsid w:val="004C7EAF"/>
    <w:rsid w:val="004D033A"/>
    <w:rsid w:val="004D0D1F"/>
    <w:rsid w:val="004D1570"/>
    <w:rsid w:val="004D22FA"/>
    <w:rsid w:val="004D2369"/>
    <w:rsid w:val="004D2D30"/>
    <w:rsid w:val="004D2E1F"/>
    <w:rsid w:val="004D3532"/>
    <w:rsid w:val="004D37DE"/>
    <w:rsid w:val="004D3A27"/>
    <w:rsid w:val="004D3ABC"/>
    <w:rsid w:val="004D44CF"/>
    <w:rsid w:val="004D4C3E"/>
    <w:rsid w:val="004D4CB4"/>
    <w:rsid w:val="004D4D1D"/>
    <w:rsid w:val="004D4F59"/>
    <w:rsid w:val="004D5494"/>
    <w:rsid w:val="004D590D"/>
    <w:rsid w:val="004D5BCE"/>
    <w:rsid w:val="004D6095"/>
    <w:rsid w:val="004D63E7"/>
    <w:rsid w:val="004D6E2D"/>
    <w:rsid w:val="004D6E7C"/>
    <w:rsid w:val="004D6FAB"/>
    <w:rsid w:val="004D7581"/>
    <w:rsid w:val="004D7C4F"/>
    <w:rsid w:val="004D7F95"/>
    <w:rsid w:val="004E09B6"/>
    <w:rsid w:val="004E1024"/>
    <w:rsid w:val="004E11F4"/>
    <w:rsid w:val="004E15E8"/>
    <w:rsid w:val="004E1B0A"/>
    <w:rsid w:val="004E1E5C"/>
    <w:rsid w:val="004E1FD7"/>
    <w:rsid w:val="004E1FE5"/>
    <w:rsid w:val="004E2404"/>
    <w:rsid w:val="004E2BD4"/>
    <w:rsid w:val="004E2C46"/>
    <w:rsid w:val="004E2FD7"/>
    <w:rsid w:val="004E3350"/>
    <w:rsid w:val="004E35C0"/>
    <w:rsid w:val="004E37E6"/>
    <w:rsid w:val="004E3BDF"/>
    <w:rsid w:val="004E464B"/>
    <w:rsid w:val="004E4CCF"/>
    <w:rsid w:val="004E4D76"/>
    <w:rsid w:val="004E4FAA"/>
    <w:rsid w:val="004E5362"/>
    <w:rsid w:val="004E556A"/>
    <w:rsid w:val="004E5771"/>
    <w:rsid w:val="004E5C7F"/>
    <w:rsid w:val="004E5CBB"/>
    <w:rsid w:val="004E5EF4"/>
    <w:rsid w:val="004E600F"/>
    <w:rsid w:val="004E6787"/>
    <w:rsid w:val="004E68B1"/>
    <w:rsid w:val="004E6998"/>
    <w:rsid w:val="004E6AB9"/>
    <w:rsid w:val="004E72C1"/>
    <w:rsid w:val="004E754E"/>
    <w:rsid w:val="004E7551"/>
    <w:rsid w:val="004E7DBA"/>
    <w:rsid w:val="004E7DFD"/>
    <w:rsid w:val="004F06C4"/>
    <w:rsid w:val="004F112E"/>
    <w:rsid w:val="004F126E"/>
    <w:rsid w:val="004F12F8"/>
    <w:rsid w:val="004F1937"/>
    <w:rsid w:val="004F1C95"/>
    <w:rsid w:val="004F2410"/>
    <w:rsid w:val="004F3418"/>
    <w:rsid w:val="004F3846"/>
    <w:rsid w:val="004F3DAA"/>
    <w:rsid w:val="004F433D"/>
    <w:rsid w:val="004F4E11"/>
    <w:rsid w:val="004F4EE0"/>
    <w:rsid w:val="004F4FE0"/>
    <w:rsid w:val="004F5575"/>
    <w:rsid w:val="004F589C"/>
    <w:rsid w:val="004F597F"/>
    <w:rsid w:val="004F5A0C"/>
    <w:rsid w:val="004F5BA8"/>
    <w:rsid w:val="004F5E30"/>
    <w:rsid w:val="004F5F84"/>
    <w:rsid w:val="004F6878"/>
    <w:rsid w:val="004F69EA"/>
    <w:rsid w:val="004F73C4"/>
    <w:rsid w:val="004F756C"/>
    <w:rsid w:val="004F7667"/>
    <w:rsid w:val="004F7834"/>
    <w:rsid w:val="004F7A28"/>
    <w:rsid w:val="004F7DEA"/>
    <w:rsid w:val="0050022B"/>
    <w:rsid w:val="00500512"/>
    <w:rsid w:val="005005EB"/>
    <w:rsid w:val="00500677"/>
    <w:rsid w:val="005008B4"/>
    <w:rsid w:val="00500C20"/>
    <w:rsid w:val="00500D40"/>
    <w:rsid w:val="005011EB"/>
    <w:rsid w:val="00501241"/>
    <w:rsid w:val="005016D7"/>
    <w:rsid w:val="00501942"/>
    <w:rsid w:val="00501D65"/>
    <w:rsid w:val="0050284B"/>
    <w:rsid w:val="00502FCF"/>
    <w:rsid w:val="00503092"/>
    <w:rsid w:val="005030B5"/>
    <w:rsid w:val="005036E7"/>
    <w:rsid w:val="005046C1"/>
    <w:rsid w:val="005047CE"/>
    <w:rsid w:val="005050BB"/>
    <w:rsid w:val="00505C1A"/>
    <w:rsid w:val="00505F2C"/>
    <w:rsid w:val="00506612"/>
    <w:rsid w:val="005066D3"/>
    <w:rsid w:val="0050689B"/>
    <w:rsid w:val="00506B6D"/>
    <w:rsid w:val="00506E9C"/>
    <w:rsid w:val="005070CD"/>
    <w:rsid w:val="0050725B"/>
    <w:rsid w:val="005074ED"/>
    <w:rsid w:val="00507BF4"/>
    <w:rsid w:val="00507DED"/>
    <w:rsid w:val="005104CC"/>
    <w:rsid w:val="0051080B"/>
    <w:rsid w:val="00510A8F"/>
    <w:rsid w:val="00510E02"/>
    <w:rsid w:val="005110A5"/>
    <w:rsid w:val="005112CE"/>
    <w:rsid w:val="00511697"/>
    <w:rsid w:val="00511DE3"/>
    <w:rsid w:val="00511E44"/>
    <w:rsid w:val="00512143"/>
    <w:rsid w:val="00512B86"/>
    <w:rsid w:val="005131B0"/>
    <w:rsid w:val="005133F4"/>
    <w:rsid w:val="00514093"/>
    <w:rsid w:val="00514173"/>
    <w:rsid w:val="005145B1"/>
    <w:rsid w:val="005147EC"/>
    <w:rsid w:val="00514C29"/>
    <w:rsid w:val="00514C47"/>
    <w:rsid w:val="00514EDE"/>
    <w:rsid w:val="00514F2B"/>
    <w:rsid w:val="0051513D"/>
    <w:rsid w:val="0051556C"/>
    <w:rsid w:val="005155DF"/>
    <w:rsid w:val="00515737"/>
    <w:rsid w:val="00515B85"/>
    <w:rsid w:val="00515E42"/>
    <w:rsid w:val="00516328"/>
    <w:rsid w:val="00516395"/>
    <w:rsid w:val="0051641F"/>
    <w:rsid w:val="005171B4"/>
    <w:rsid w:val="005174B1"/>
    <w:rsid w:val="00517612"/>
    <w:rsid w:val="00517670"/>
    <w:rsid w:val="0052005A"/>
    <w:rsid w:val="0052014F"/>
    <w:rsid w:val="005205EC"/>
    <w:rsid w:val="00520648"/>
    <w:rsid w:val="005216FE"/>
    <w:rsid w:val="00521908"/>
    <w:rsid w:val="00521A23"/>
    <w:rsid w:val="00521B88"/>
    <w:rsid w:val="00521EA5"/>
    <w:rsid w:val="00522820"/>
    <w:rsid w:val="00522920"/>
    <w:rsid w:val="00522AC4"/>
    <w:rsid w:val="00522B9F"/>
    <w:rsid w:val="00522BC9"/>
    <w:rsid w:val="00522FC3"/>
    <w:rsid w:val="00523190"/>
    <w:rsid w:val="005232FD"/>
    <w:rsid w:val="0052356C"/>
    <w:rsid w:val="00523CFB"/>
    <w:rsid w:val="005244B6"/>
    <w:rsid w:val="005247F5"/>
    <w:rsid w:val="00524C0A"/>
    <w:rsid w:val="00524DE0"/>
    <w:rsid w:val="0052502B"/>
    <w:rsid w:val="00525622"/>
    <w:rsid w:val="005257C1"/>
    <w:rsid w:val="00525C31"/>
    <w:rsid w:val="005261D0"/>
    <w:rsid w:val="005267AE"/>
    <w:rsid w:val="00526EBF"/>
    <w:rsid w:val="00527902"/>
    <w:rsid w:val="00527AD1"/>
    <w:rsid w:val="005301BF"/>
    <w:rsid w:val="00530A9F"/>
    <w:rsid w:val="00530EC5"/>
    <w:rsid w:val="005324BA"/>
    <w:rsid w:val="00532C4A"/>
    <w:rsid w:val="00532C97"/>
    <w:rsid w:val="005333BE"/>
    <w:rsid w:val="00533861"/>
    <w:rsid w:val="00533EB5"/>
    <w:rsid w:val="0053403D"/>
    <w:rsid w:val="0053422E"/>
    <w:rsid w:val="00534238"/>
    <w:rsid w:val="005342CC"/>
    <w:rsid w:val="0053435B"/>
    <w:rsid w:val="00534696"/>
    <w:rsid w:val="005347DB"/>
    <w:rsid w:val="00534D24"/>
    <w:rsid w:val="005351EE"/>
    <w:rsid w:val="00535847"/>
    <w:rsid w:val="00535959"/>
    <w:rsid w:val="00535A53"/>
    <w:rsid w:val="00535D27"/>
    <w:rsid w:val="00536036"/>
    <w:rsid w:val="005369AC"/>
    <w:rsid w:val="00536DDC"/>
    <w:rsid w:val="00537732"/>
    <w:rsid w:val="00537A53"/>
    <w:rsid w:val="00540872"/>
    <w:rsid w:val="005408B2"/>
    <w:rsid w:val="00540D36"/>
    <w:rsid w:val="00541065"/>
    <w:rsid w:val="0054114F"/>
    <w:rsid w:val="005411F7"/>
    <w:rsid w:val="0054179D"/>
    <w:rsid w:val="005417E2"/>
    <w:rsid w:val="0054180C"/>
    <w:rsid w:val="005419B2"/>
    <w:rsid w:val="00541D4F"/>
    <w:rsid w:val="00541F5D"/>
    <w:rsid w:val="005424F2"/>
    <w:rsid w:val="0054259E"/>
    <w:rsid w:val="00542E01"/>
    <w:rsid w:val="00542E05"/>
    <w:rsid w:val="00542EFE"/>
    <w:rsid w:val="00543391"/>
    <w:rsid w:val="005435C7"/>
    <w:rsid w:val="005437C5"/>
    <w:rsid w:val="00543A69"/>
    <w:rsid w:val="00543E4F"/>
    <w:rsid w:val="00544193"/>
    <w:rsid w:val="00544441"/>
    <w:rsid w:val="00544463"/>
    <w:rsid w:val="0054449B"/>
    <w:rsid w:val="0054468E"/>
    <w:rsid w:val="00544A46"/>
    <w:rsid w:val="00544AC4"/>
    <w:rsid w:val="00544E9C"/>
    <w:rsid w:val="00545957"/>
    <w:rsid w:val="005459F3"/>
    <w:rsid w:val="00545DAD"/>
    <w:rsid w:val="00546896"/>
    <w:rsid w:val="005468D9"/>
    <w:rsid w:val="00546BE9"/>
    <w:rsid w:val="0054729C"/>
    <w:rsid w:val="00547328"/>
    <w:rsid w:val="00547366"/>
    <w:rsid w:val="00547393"/>
    <w:rsid w:val="005473E0"/>
    <w:rsid w:val="005478C3"/>
    <w:rsid w:val="00550DF3"/>
    <w:rsid w:val="00550FD3"/>
    <w:rsid w:val="00551511"/>
    <w:rsid w:val="00551651"/>
    <w:rsid w:val="00551930"/>
    <w:rsid w:val="00551F5A"/>
    <w:rsid w:val="00552305"/>
    <w:rsid w:val="0055240E"/>
    <w:rsid w:val="005524BA"/>
    <w:rsid w:val="0055282B"/>
    <w:rsid w:val="00552BED"/>
    <w:rsid w:val="00552C6F"/>
    <w:rsid w:val="005535E0"/>
    <w:rsid w:val="005539D3"/>
    <w:rsid w:val="0055474E"/>
    <w:rsid w:val="00554C6F"/>
    <w:rsid w:val="0055532E"/>
    <w:rsid w:val="00555485"/>
    <w:rsid w:val="00556219"/>
    <w:rsid w:val="0055650A"/>
    <w:rsid w:val="0055669A"/>
    <w:rsid w:val="005568F4"/>
    <w:rsid w:val="00556A98"/>
    <w:rsid w:val="00557834"/>
    <w:rsid w:val="0056023B"/>
    <w:rsid w:val="005607BB"/>
    <w:rsid w:val="00560957"/>
    <w:rsid w:val="00560D1E"/>
    <w:rsid w:val="00561293"/>
    <w:rsid w:val="005613D9"/>
    <w:rsid w:val="00561CA3"/>
    <w:rsid w:val="00561E54"/>
    <w:rsid w:val="00562134"/>
    <w:rsid w:val="00562938"/>
    <w:rsid w:val="00562A4A"/>
    <w:rsid w:val="00562E68"/>
    <w:rsid w:val="0056302F"/>
    <w:rsid w:val="005632BD"/>
    <w:rsid w:val="00563436"/>
    <w:rsid w:val="0056350C"/>
    <w:rsid w:val="00563A4C"/>
    <w:rsid w:val="00563E2B"/>
    <w:rsid w:val="0056402B"/>
    <w:rsid w:val="00564311"/>
    <w:rsid w:val="005644C1"/>
    <w:rsid w:val="005644F1"/>
    <w:rsid w:val="00564806"/>
    <w:rsid w:val="00564BFD"/>
    <w:rsid w:val="00564CF1"/>
    <w:rsid w:val="00565190"/>
    <w:rsid w:val="0056538F"/>
    <w:rsid w:val="0056587B"/>
    <w:rsid w:val="0056600B"/>
    <w:rsid w:val="00566AF3"/>
    <w:rsid w:val="00566B91"/>
    <w:rsid w:val="005670C1"/>
    <w:rsid w:val="005674C0"/>
    <w:rsid w:val="00567EEE"/>
    <w:rsid w:val="00567FFD"/>
    <w:rsid w:val="005700AA"/>
    <w:rsid w:val="0057069C"/>
    <w:rsid w:val="00570B34"/>
    <w:rsid w:val="00570C88"/>
    <w:rsid w:val="00571068"/>
    <w:rsid w:val="00571492"/>
    <w:rsid w:val="00571E5B"/>
    <w:rsid w:val="0057275D"/>
    <w:rsid w:val="00572825"/>
    <w:rsid w:val="00572BA5"/>
    <w:rsid w:val="00572D41"/>
    <w:rsid w:val="00572E5D"/>
    <w:rsid w:val="00572E7B"/>
    <w:rsid w:val="00572EB5"/>
    <w:rsid w:val="00573664"/>
    <w:rsid w:val="005736D0"/>
    <w:rsid w:val="00573747"/>
    <w:rsid w:val="00573CE8"/>
    <w:rsid w:val="0057467E"/>
    <w:rsid w:val="00574811"/>
    <w:rsid w:val="005748C0"/>
    <w:rsid w:val="00574DC5"/>
    <w:rsid w:val="00574E64"/>
    <w:rsid w:val="00574E97"/>
    <w:rsid w:val="00574FD5"/>
    <w:rsid w:val="005751F0"/>
    <w:rsid w:val="00575533"/>
    <w:rsid w:val="00575570"/>
    <w:rsid w:val="00575A7B"/>
    <w:rsid w:val="00575F3E"/>
    <w:rsid w:val="0057626D"/>
    <w:rsid w:val="00576795"/>
    <w:rsid w:val="00576C47"/>
    <w:rsid w:val="00576CD1"/>
    <w:rsid w:val="00576FFE"/>
    <w:rsid w:val="0057724D"/>
    <w:rsid w:val="0057730B"/>
    <w:rsid w:val="00577580"/>
    <w:rsid w:val="00577724"/>
    <w:rsid w:val="0057776A"/>
    <w:rsid w:val="00577F39"/>
    <w:rsid w:val="0058004B"/>
    <w:rsid w:val="005802B9"/>
    <w:rsid w:val="00580698"/>
    <w:rsid w:val="00581178"/>
    <w:rsid w:val="0058150C"/>
    <w:rsid w:val="00581906"/>
    <w:rsid w:val="00582385"/>
    <w:rsid w:val="005825A4"/>
    <w:rsid w:val="00582838"/>
    <w:rsid w:val="0058342B"/>
    <w:rsid w:val="005839CE"/>
    <w:rsid w:val="00583C23"/>
    <w:rsid w:val="00583FCD"/>
    <w:rsid w:val="0058415F"/>
    <w:rsid w:val="0058429C"/>
    <w:rsid w:val="005844D9"/>
    <w:rsid w:val="005849AB"/>
    <w:rsid w:val="00584C93"/>
    <w:rsid w:val="005851DA"/>
    <w:rsid w:val="00585311"/>
    <w:rsid w:val="00585747"/>
    <w:rsid w:val="00586772"/>
    <w:rsid w:val="00586D6A"/>
    <w:rsid w:val="00586F20"/>
    <w:rsid w:val="0058708E"/>
    <w:rsid w:val="0058710E"/>
    <w:rsid w:val="00587253"/>
    <w:rsid w:val="00587D66"/>
    <w:rsid w:val="00587D97"/>
    <w:rsid w:val="00587DFB"/>
    <w:rsid w:val="00590057"/>
    <w:rsid w:val="005903C7"/>
    <w:rsid w:val="005904D2"/>
    <w:rsid w:val="00590803"/>
    <w:rsid w:val="00590B23"/>
    <w:rsid w:val="00590CA1"/>
    <w:rsid w:val="00590D3A"/>
    <w:rsid w:val="00590DA9"/>
    <w:rsid w:val="00590EE8"/>
    <w:rsid w:val="00591169"/>
    <w:rsid w:val="00591B94"/>
    <w:rsid w:val="00591BAB"/>
    <w:rsid w:val="00591CAC"/>
    <w:rsid w:val="00592439"/>
    <w:rsid w:val="00592815"/>
    <w:rsid w:val="00592B04"/>
    <w:rsid w:val="00592B89"/>
    <w:rsid w:val="00592D03"/>
    <w:rsid w:val="00593039"/>
    <w:rsid w:val="005930B5"/>
    <w:rsid w:val="005930E4"/>
    <w:rsid w:val="0059336B"/>
    <w:rsid w:val="005939FC"/>
    <w:rsid w:val="00593CBC"/>
    <w:rsid w:val="00594068"/>
    <w:rsid w:val="00594078"/>
    <w:rsid w:val="00594319"/>
    <w:rsid w:val="005943F7"/>
    <w:rsid w:val="00594400"/>
    <w:rsid w:val="0059469D"/>
    <w:rsid w:val="00594758"/>
    <w:rsid w:val="00594AFB"/>
    <w:rsid w:val="00594BEE"/>
    <w:rsid w:val="00594CEE"/>
    <w:rsid w:val="00594F93"/>
    <w:rsid w:val="00595088"/>
    <w:rsid w:val="005953A0"/>
    <w:rsid w:val="005957F7"/>
    <w:rsid w:val="005958B5"/>
    <w:rsid w:val="00595BB8"/>
    <w:rsid w:val="0059606F"/>
    <w:rsid w:val="0059607A"/>
    <w:rsid w:val="005963C4"/>
    <w:rsid w:val="00596794"/>
    <w:rsid w:val="00597437"/>
    <w:rsid w:val="00597805"/>
    <w:rsid w:val="00597A85"/>
    <w:rsid w:val="00597D4B"/>
    <w:rsid w:val="005A0129"/>
    <w:rsid w:val="005A0E1C"/>
    <w:rsid w:val="005A12B5"/>
    <w:rsid w:val="005A151D"/>
    <w:rsid w:val="005A1BDC"/>
    <w:rsid w:val="005A22D2"/>
    <w:rsid w:val="005A2A33"/>
    <w:rsid w:val="005A2BBD"/>
    <w:rsid w:val="005A2F44"/>
    <w:rsid w:val="005A30A9"/>
    <w:rsid w:val="005A3658"/>
    <w:rsid w:val="005A37B7"/>
    <w:rsid w:val="005A3E60"/>
    <w:rsid w:val="005A404E"/>
    <w:rsid w:val="005A4755"/>
    <w:rsid w:val="005A483B"/>
    <w:rsid w:val="005A48B3"/>
    <w:rsid w:val="005A57A2"/>
    <w:rsid w:val="005A59F7"/>
    <w:rsid w:val="005A5B15"/>
    <w:rsid w:val="005A67F3"/>
    <w:rsid w:val="005A7081"/>
    <w:rsid w:val="005A7153"/>
    <w:rsid w:val="005A7198"/>
    <w:rsid w:val="005A731A"/>
    <w:rsid w:val="005A739E"/>
    <w:rsid w:val="005A7A52"/>
    <w:rsid w:val="005A7A7B"/>
    <w:rsid w:val="005A7C31"/>
    <w:rsid w:val="005A7D5D"/>
    <w:rsid w:val="005A7E8A"/>
    <w:rsid w:val="005A7F71"/>
    <w:rsid w:val="005B0323"/>
    <w:rsid w:val="005B18A7"/>
    <w:rsid w:val="005B1C6B"/>
    <w:rsid w:val="005B1C88"/>
    <w:rsid w:val="005B1CF6"/>
    <w:rsid w:val="005B265E"/>
    <w:rsid w:val="005B2848"/>
    <w:rsid w:val="005B3B7B"/>
    <w:rsid w:val="005B48E6"/>
    <w:rsid w:val="005B4B9D"/>
    <w:rsid w:val="005B524E"/>
    <w:rsid w:val="005B5291"/>
    <w:rsid w:val="005B55D7"/>
    <w:rsid w:val="005B5BC0"/>
    <w:rsid w:val="005B5BDC"/>
    <w:rsid w:val="005B5C20"/>
    <w:rsid w:val="005B5EFC"/>
    <w:rsid w:val="005B619F"/>
    <w:rsid w:val="005B63CB"/>
    <w:rsid w:val="005B63F6"/>
    <w:rsid w:val="005B645F"/>
    <w:rsid w:val="005B646B"/>
    <w:rsid w:val="005B655C"/>
    <w:rsid w:val="005B657E"/>
    <w:rsid w:val="005B6642"/>
    <w:rsid w:val="005B6889"/>
    <w:rsid w:val="005B722B"/>
    <w:rsid w:val="005B76BF"/>
    <w:rsid w:val="005B7D95"/>
    <w:rsid w:val="005C06F2"/>
    <w:rsid w:val="005C0852"/>
    <w:rsid w:val="005C08F9"/>
    <w:rsid w:val="005C0BDE"/>
    <w:rsid w:val="005C0DFB"/>
    <w:rsid w:val="005C14BA"/>
    <w:rsid w:val="005C16C1"/>
    <w:rsid w:val="005C16CC"/>
    <w:rsid w:val="005C1D3C"/>
    <w:rsid w:val="005C1EA0"/>
    <w:rsid w:val="005C2470"/>
    <w:rsid w:val="005C2778"/>
    <w:rsid w:val="005C29AC"/>
    <w:rsid w:val="005C2C55"/>
    <w:rsid w:val="005C3175"/>
    <w:rsid w:val="005C34E8"/>
    <w:rsid w:val="005C3AAF"/>
    <w:rsid w:val="005C3AE3"/>
    <w:rsid w:val="005C3D8A"/>
    <w:rsid w:val="005C3DC9"/>
    <w:rsid w:val="005C3FFD"/>
    <w:rsid w:val="005C4331"/>
    <w:rsid w:val="005C49CD"/>
    <w:rsid w:val="005C4C4E"/>
    <w:rsid w:val="005C506C"/>
    <w:rsid w:val="005C51D9"/>
    <w:rsid w:val="005C5204"/>
    <w:rsid w:val="005C5A33"/>
    <w:rsid w:val="005C6510"/>
    <w:rsid w:val="005C6569"/>
    <w:rsid w:val="005C65C1"/>
    <w:rsid w:val="005C6833"/>
    <w:rsid w:val="005C6DA5"/>
    <w:rsid w:val="005C6F7D"/>
    <w:rsid w:val="005C779A"/>
    <w:rsid w:val="005C7BB8"/>
    <w:rsid w:val="005D0320"/>
    <w:rsid w:val="005D0586"/>
    <w:rsid w:val="005D0730"/>
    <w:rsid w:val="005D081B"/>
    <w:rsid w:val="005D0856"/>
    <w:rsid w:val="005D1BE2"/>
    <w:rsid w:val="005D1D8C"/>
    <w:rsid w:val="005D1E29"/>
    <w:rsid w:val="005D1E56"/>
    <w:rsid w:val="005D2027"/>
    <w:rsid w:val="005D24E0"/>
    <w:rsid w:val="005D275A"/>
    <w:rsid w:val="005D2917"/>
    <w:rsid w:val="005D2ACD"/>
    <w:rsid w:val="005D2DD5"/>
    <w:rsid w:val="005D335E"/>
    <w:rsid w:val="005D37F2"/>
    <w:rsid w:val="005D3AFA"/>
    <w:rsid w:val="005D3D2A"/>
    <w:rsid w:val="005D43BB"/>
    <w:rsid w:val="005D457E"/>
    <w:rsid w:val="005D48CC"/>
    <w:rsid w:val="005D4D38"/>
    <w:rsid w:val="005D52B2"/>
    <w:rsid w:val="005D592A"/>
    <w:rsid w:val="005D5D3C"/>
    <w:rsid w:val="005D5D9B"/>
    <w:rsid w:val="005D5E67"/>
    <w:rsid w:val="005D5EA3"/>
    <w:rsid w:val="005D673F"/>
    <w:rsid w:val="005D689B"/>
    <w:rsid w:val="005D689E"/>
    <w:rsid w:val="005D6C8C"/>
    <w:rsid w:val="005D72E8"/>
    <w:rsid w:val="005D7783"/>
    <w:rsid w:val="005D77C8"/>
    <w:rsid w:val="005D788E"/>
    <w:rsid w:val="005D78C7"/>
    <w:rsid w:val="005E0321"/>
    <w:rsid w:val="005E1051"/>
    <w:rsid w:val="005E162D"/>
    <w:rsid w:val="005E1B35"/>
    <w:rsid w:val="005E1DD4"/>
    <w:rsid w:val="005E282B"/>
    <w:rsid w:val="005E30DB"/>
    <w:rsid w:val="005E3428"/>
    <w:rsid w:val="005E42C3"/>
    <w:rsid w:val="005E492A"/>
    <w:rsid w:val="005E5E51"/>
    <w:rsid w:val="005E67C8"/>
    <w:rsid w:val="005E6FBE"/>
    <w:rsid w:val="005E71E7"/>
    <w:rsid w:val="005E7C14"/>
    <w:rsid w:val="005E7FAB"/>
    <w:rsid w:val="005F0AC1"/>
    <w:rsid w:val="005F0E41"/>
    <w:rsid w:val="005F0F13"/>
    <w:rsid w:val="005F1498"/>
    <w:rsid w:val="005F1761"/>
    <w:rsid w:val="005F197B"/>
    <w:rsid w:val="005F1AB5"/>
    <w:rsid w:val="005F257B"/>
    <w:rsid w:val="005F28EE"/>
    <w:rsid w:val="005F2DF4"/>
    <w:rsid w:val="005F2FF3"/>
    <w:rsid w:val="005F3316"/>
    <w:rsid w:val="005F39B4"/>
    <w:rsid w:val="005F3CA5"/>
    <w:rsid w:val="005F3D0C"/>
    <w:rsid w:val="005F46FF"/>
    <w:rsid w:val="005F4815"/>
    <w:rsid w:val="005F4CDF"/>
    <w:rsid w:val="005F510B"/>
    <w:rsid w:val="005F5146"/>
    <w:rsid w:val="005F5657"/>
    <w:rsid w:val="005F5AB2"/>
    <w:rsid w:val="005F5DD5"/>
    <w:rsid w:val="005F6162"/>
    <w:rsid w:val="005F65D2"/>
    <w:rsid w:val="005F671F"/>
    <w:rsid w:val="005F7197"/>
    <w:rsid w:val="005F7543"/>
    <w:rsid w:val="005F795A"/>
    <w:rsid w:val="005F7980"/>
    <w:rsid w:val="00600051"/>
    <w:rsid w:val="006000B0"/>
    <w:rsid w:val="0060036F"/>
    <w:rsid w:val="0060047B"/>
    <w:rsid w:val="0060073C"/>
    <w:rsid w:val="006008E8"/>
    <w:rsid w:val="006009B4"/>
    <w:rsid w:val="00600A9B"/>
    <w:rsid w:val="0060163E"/>
    <w:rsid w:val="006024B6"/>
    <w:rsid w:val="00602678"/>
    <w:rsid w:val="006027EA"/>
    <w:rsid w:val="006027F6"/>
    <w:rsid w:val="00602F17"/>
    <w:rsid w:val="006034AB"/>
    <w:rsid w:val="0060375F"/>
    <w:rsid w:val="0060378D"/>
    <w:rsid w:val="00603D2E"/>
    <w:rsid w:val="00603E78"/>
    <w:rsid w:val="0060433B"/>
    <w:rsid w:val="006046B5"/>
    <w:rsid w:val="00604865"/>
    <w:rsid w:val="00604BB4"/>
    <w:rsid w:val="00605439"/>
    <w:rsid w:val="006056E7"/>
    <w:rsid w:val="00605888"/>
    <w:rsid w:val="00605A4F"/>
    <w:rsid w:val="00605E6E"/>
    <w:rsid w:val="00605EFA"/>
    <w:rsid w:val="00605EFB"/>
    <w:rsid w:val="00606473"/>
    <w:rsid w:val="006064A3"/>
    <w:rsid w:val="00607096"/>
    <w:rsid w:val="006071D2"/>
    <w:rsid w:val="0060739A"/>
    <w:rsid w:val="006075C1"/>
    <w:rsid w:val="0060761F"/>
    <w:rsid w:val="0060775C"/>
    <w:rsid w:val="00607BDA"/>
    <w:rsid w:val="00607CB2"/>
    <w:rsid w:val="006108EE"/>
    <w:rsid w:val="0061092F"/>
    <w:rsid w:val="00610D84"/>
    <w:rsid w:val="00611063"/>
    <w:rsid w:val="00611254"/>
    <w:rsid w:val="006112AD"/>
    <w:rsid w:val="00611775"/>
    <w:rsid w:val="00611950"/>
    <w:rsid w:val="006119FB"/>
    <w:rsid w:val="00611B6B"/>
    <w:rsid w:val="00611D55"/>
    <w:rsid w:val="006123F4"/>
    <w:rsid w:val="0061274C"/>
    <w:rsid w:val="0061287C"/>
    <w:rsid w:val="006129A5"/>
    <w:rsid w:val="00612C56"/>
    <w:rsid w:val="00612CB9"/>
    <w:rsid w:val="0061352D"/>
    <w:rsid w:val="00613812"/>
    <w:rsid w:val="00613A35"/>
    <w:rsid w:val="00613DE9"/>
    <w:rsid w:val="00613EC3"/>
    <w:rsid w:val="00614D56"/>
    <w:rsid w:val="00614E14"/>
    <w:rsid w:val="00614F06"/>
    <w:rsid w:val="00615133"/>
    <w:rsid w:val="006153B6"/>
    <w:rsid w:val="0061544B"/>
    <w:rsid w:val="00615662"/>
    <w:rsid w:val="006158A3"/>
    <w:rsid w:val="00615BD1"/>
    <w:rsid w:val="00615D1B"/>
    <w:rsid w:val="00615E05"/>
    <w:rsid w:val="00615EB3"/>
    <w:rsid w:val="00616318"/>
    <w:rsid w:val="00616343"/>
    <w:rsid w:val="0061664D"/>
    <w:rsid w:val="00616653"/>
    <w:rsid w:val="006166E1"/>
    <w:rsid w:val="00616869"/>
    <w:rsid w:val="006169B9"/>
    <w:rsid w:val="00617992"/>
    <w:rsid w:val="00617C12"/>
    <w:rsid w:val="00617D39"/>
    <w:rsid w:val="006204D6"/>
    <w:rsid w:val="006205BF"/>
    <w:rsid w:val="006209D3"/>
    <w:rsid w:val="00620A54"/>
    <w:rsid w:val="006215A5"/>
    <w:rsid w:val="00621DAE"/>
    <w:rsid w:val="00621F0F"/>
    <w:rsid w:val="0062207F"/>
    <w:rsid w:val="0062210C"/>
    <w:rsid w:val="0062211D"/>
    <w:rsid w:val="00622383"/>
    <w:rsid w:val="006227C2"/>
    <w:rsid w:val="006229D2"/>
    <w:rsid w:val="00622A60"/>
    <w:rsid w:val="00622B7B"/>
    <w:rsid w:val="00622C11"/>
    <w:rsid w:val="006232B9"/>
    <w:rsid w:val="00623661"/>
    <w:rsid w:val="0062366E"/>
    <w:rsid w:val="0062367E"/>
    <w:rsid w:val="0062372B"/>
    <w:rsid w:val="006237FB"/>
    <w:rsid w:val="00623A44"/>
    <w:rsid w:val="0062422A"/>
    <w:rsid w:val="00624288"/>
    <w:rsid w:val="0062432F"/>
    <w:rsid w:val="006247C4"/>
    <w:rsid w:val="006247DB"/>
    <w:rsid w:val="00624FD2"/>
    <w:rsid w:val="00625225"/>
    <w:rsid w:val="006253AD"/>
    <w:rsid w:val="0062598E"/>
    <w:rsid w:val="00625B20"/>
    <w:rsid w:val="00625D6A"/>
    <w:rsid w:val="00625F87"/>
    <w:rsid w:val="00626581"/>
    <w:rsid w:val="006266BD"/>
    <w:rsid w:val="00626899"/>
    <w:rsid w:val="00626F8F"/>
    <w:rsid w:val="00627570"/>
    <w:rsid w:val="006276CB"/>
    <w:rsid w:val="00627ABE"/>
    <w:rsid w:val="00630349"/>
    <w:rsid w:val="006305F9"/>
    <w:rsid w:val="00630658"/>
    <w:rsid w:val="00630681"/>
    <w:rsid w:val="0063071F"/>
    <w:rsid w:val="00630BB3"/>
    <w:rsid w:val="00630C54"/>
    <w:rsid w:val="006310EF"/>
    <w:rsid w:val="00631184"/>
    <w:rsid w:val="00631775"/>
    <w:rsid w:val="0063177E"/>
    <w:rsid w:val="00631E6E"/>
    <w:rsid w:val="00632469"/>
    <w:rsid w:val="00632F76"/>
    <w:rsid w:val="00633D76"/>
    <w:rsid w:val="006348C3"/>
    <w:rsid w:val="00634AB9"/>
    <w:rsid w:val="00634C20"/>
    <w:rsid w:val="00635268"/>
    <w:rsid w:val="00635610"/>
    <w:rsid w:val="0063588A"/>
    <w:rsid w:val="006358BC"/>
    <w:rsid w:val="0063599B"/>
    <w:rsid w:val="00635EFD"/>
    <w:rsid w:val="006362B7"/>
    <w:rsid w:val="00636522"/>
    <w:rsid w:val="00636570"/>
    <w:rsid w:val="00637086"/>
    <w:rsid w:val="006375BF"/>
    <w:rsid w:val="00637874"/>
    <w:rsid w:val="00640311"/>
    <w:rsid w:val="00640821"/>
    <w:rsid w:val="00640B4E"/>
    <w:rsid w:val="00640FC9"/>
    <w:rsid w:val="0064104C"/>
    <w:rsid w:val="00641208"/>
    <w:rsid w:val="00641CE4"/>
    <w:rsid w:val="0064247A"/>
    <w:rsid w:val="00642872"/>
    <w:rsid w:val="006433E7"/>
    <w:rsid w:val="006437B7"/>
    <w:rsid w:val="00644926"/>
    <w:rsid w:val="00645190"/>
    <w:rsid w:val="00645326"/>
    <w:rsid w:val="00645465"/>
    <w:rsid w:val="00645657"/>
    <w:rsid w:val="00645B9D"/>
    <w:rsid w:val="00646648"/>
    <w:rsid w:val="006466B2"/>
    <w:rsid w:val="00646895"/>
    <w:rsid w:val="00646C17"/>
    <w:rsid w:val="0064772E"/>
    <w:rsid w:val="0065028E"/>
    <w:rsid w:val="0065046C"/>
    <w:rsid w:val="0065091B"/>
    <w:rsid w:val="006509C7"/>
    <w:rsid w:val="00650F0C"/>
    <w:rsid w:val="006516AB"/>
    <w:rsid w:val="0065188D"/>
    <w:rsid w:val="006518C0"/>
    <w:rsid w:val="006519CE"/>
    <w:rsid w:val="00651C58"/>
    <w:rsid w:val="00651F35"/>
    <w:rsid w:val="0065225C"/>
    <w:rsid w:val="006523D1"/>
    <w:rsid w:val="00652524"/>
    <w:rsid w:val="00652822"/>
    <w:rsid w:val="00652C97"/>
    <w:rsid w:val="00652D18"/>
    <w:rsid w:val="00652E88"/>
    <w:rsid w:val="006530FE"/>
    <w:rsid w:val="00653157"/>
    <w:rsid w:val="0065353D"/>
    <w:rsid w:val="00653809"/>
    <w:rsid w:val="00653F0B"/>
    <w:rsid w:val="0065457F"/>
    <w:rsid w:val="00654BBB"/>
    <w:rsid w:val="00654ECA"/>
    <w:rsid w:val="0065525A"/>
    <w:rsid w:val="00655358"/>
    <w:rsid w:val="006554C6"/>
    <w:rsid w:val="00655887"/>
    <w:rsid w:val="0065635E"/>
    <w:rsid w:val="00656587"/>
    <w:rsid w:val="00656DA1"/>
    <w:rsid w:val="00657011"/>
    <w:rsid w:val="0065729E"/>
    <w:rsid w:val="00657393"/>
    <w:rsid w:val="0065747C"/>
    <w:rsid w:val="00657557"/>
    <w:rsid w:val="006578FB"/>
    <w:rsid w:val="00657D30"/>
    <w:rsid w:val="00657DB4"/>
    <w:rsid w:val="00660AA1"/>
    <w:rsid w:val="00661192"/>
    <w:rsid w:val="006611E5"/>
    <w:rsid w:val="006613AC"/>
    <w:rsid w:val="00661785"/>
    <w:rsid w:val="00661954"/>
    <w:rsid w:val="00661EC1"/>
    <w:rsid w:val="00662397"/>
    <w:rsid w:val="00662505"/>
    <w:rsid w:val="00662A40"/>
    <w:rsid w:val="00662B8F"/>
    <w:rsid w:val="00662BF2"/>
    <w:rsid w:val="00662D75"/>
    <w:rsid w:val="00662F94"/>
    <w:rsid w:val="00663127"/>
    <w:rsid w:val="006633FA"/>
    <w:rsid w:val="006635E4"/>
    <w:rsid w:val="0066428F"/>
    <w:rsid w:val="00664CBC"/>
    <w:rsid w:val="00665426"/>
    <w:rsid w:val="006654E7"/>
    <w:rsid w:val="0066577A"/>
    <w:rsid w:val="00665964"/>
    <w:rsid w:val="00665F4B"/>
    <w:rsid w:val="00666285"/>
    <w:rsid w:val="0066669B"/>
    <w:rsid w:val="00666A55"/>
    <w:rsid w:val="00666C03"/>
    <w:rsid w:val="00666E5F"/>
    <w:rsid w:val="0066727F"/>
    <w:rsid w:val="00667923"/>
    <w:rsid w:val="006702BD"/>
    <w:rsid w:val="006706FC"/>
    <w:rsid w:val="006707E2"/>
    <w:rsid w:val="0067121D"/>
    <w:rsid w:val="006718D7"/>
    <w:rsid w:val="00671C13"/>
    <w:rsid w:val="00671C72"/>
    <w:rsid w:val="00671E70"/>
    <w:rsid w:val="00671F91"/>
    <w:rsid w:val="00672210"/>
    <w:rsid w:val="006724C0"/>
    <w:rsid w:val="00672AFB"/>
    <w:rsid w:val="00673056"/>
    <w:rsid w:val="00673FD4"/>
    <w:rsid w:val="006741B6"/>
    <w:rsid w:val="0067458D"/>
    <w:rsid w:val="0067485F"/>
    <w:rsid w:val="00674C5F"/>
    <w:rsid w:val="00674E55"/>
    <w:rsid w:val="006756AC"/>
    <w:rsid w:val="00675816"/>
    <w:rsid w:val="006758D9"/>
    <w:rsid w:val="00675BAE"/>
    <w:rsid w:val="00675BB0"/>
    <w:rsid w:val="00675C4D"/>
    <w:rsid w:val="00675D51"/>
    <w:rsid w:val="006761D8"/>
    <w:rsid w:val="00676371"/>
    <w:rsid w:val="006768D0"/>
    <w:rsid w:val="006770D4"/>
    <w:rsid w:val="006773A2"/>
    <w:rsid w:val="0067765F"/>
    <w:rsid w:val="006777F7"/>
    <w:rsid w:val="006779F8"/>
    <w:rsid w:val="00677CC2"/>
    <w:rsid w:val="00680B40"/>
    <w:rsid w:val="00680C52"/>
    <w:rsid w:val="00681155"/>
    <w:rsid w:val="00681BDF"/>
    <w:rsid w:val="0068277F"/>
    <w:rsid w:val="0068283D"/>
    <w:rsid w:val="00682BD0"/>
    <w:rsid w:val="00682F68"/>
    <w:rsid w:val="0068301C"/>
    <w:rsid w:val="00683CEC"/>
    <w:rsid w:val="00684577"/>
    <w:rsid w:val="0068538A"/>
    <w:rsid w:val="00685A16"/>
    <w:rsid w:val="00685CB0"/>
    <w:rsid w:val="00685E31"/>
    <w:rsid w:val="006862B6"/>
    <w:rsid w:val="006862BA"/>
    <w:rsid w:val="0068630E"/>
    <w:rsid w:val="00686640"/>
    <w:rsid w:val="00687115"/>
    <w:rsid w:val="00687F9F"/>
    <w:rsid w:val="006901B0"/>
    <w:rsid w:val="0069043D"/>
    <w:rsid w:val="0069062B"/>
    <w:rsid w:val="00690AD2"/>
    <w:rsid w:val="00691231"/>
    <w:rsid w:val="00691E53"/>
    <w:rsid w:val="00692004"/>
    <w:rsid w:val="006920B2"/>
    <w:rsid w:val="00692146"/>
    <w:rsid w:val="006921E8"/>
    <w:rsid w:val="0069257D"/>
    <w:rsid w:val="006926C7"/>
    <w:rsid w:val="006939CE"/>
    <w:rsid w:val="00693A4B"/>
    <w:rsid w:val="00693ACE"/>
    <w:rsid w:val="00693B30"/>
    <w:rsid w:val="0069557A"/>
    <w:rsid w:val="00695CBC"/>
    <w:rsid w:val="00695DAB"/>
    <w:rsid w:val="00696283"/>
    <w:rsid w:val="00696474"/>
    <w:rsid w:val="006964B3"/>
    <w:rsid w:val="00696B34"/>
    <w:rsid w:val="00696D6E"/>
    <w:rsid w:val="00697815"/>
    <w:rsid w:val="00697A28"/>
    <w:rsid w:val="006A01A4"/>
    <w:rsid w:val="006A0270"/>
    <w:rsid w:val="006A0866"/>
    <w:rsid w:val="006A0AE1"/>
    <w:rsid w:val="006A0FD9"/>
    <w:rsid w:val="006A10B3"/>
    <w:rsid w:val="006A10FD"/>
    <w:rsid w:val="006A11A2"/>
    <w:rsid w:val="006A16E6"/>
    <w:rsid w:val="006A1757"/>
    <w:rsid w:val="006A1B89"/>
    <w:rsid w:val="006A1D73"/>
    <w:rsid w:val="006A1EF5"/>
    <w:rsid w:val="006A218C"/>
    <w:rsid w:val="006A21B1"/>
    <w:rsid w:val="006A28E8"/>
    <w:rsid w:val="006A2D0B"/>
    <w:rsid w:val="006A2D75"/>
    <w:rsid w:val="006A2E28"/>
    <w:rsid w:val="006A2EEF"/>
    <w:rsid w:val="006A2F07"/>
    <w:rsid w:val="006A2F15"/>
    <w:rsid w:val="006A3091"/>
    <w:rsid w:val="006A32C4"/>
    <w:rsid w:val="006A3388"/>
    <w:rsid w:val="006A3983"/>
    <w:rsid w:val="006A3CBB"/>
    <w:rsid w:val="006A3FB6"/>
    <w:rsid w:val="006A407F"/>
    <w:rsid w:val="006A4740"/>
    <w:rsid w:val="006A47AF"/>
    <w:rsid w:val="006A4A01"/>
    <w:rsid w:val="006A511A"/>
    <w:rsid w:val="006A513C"/>
    <w:rsid w:val="006A5151"/>
    <w:rsid w:val="006A5A12"/>
    <w:rsid w:val="006A5AC8"/>
    <w:rsid w:val="006A6AF6"/>
    <w:rsid w:val="006A6B9F"/>
    <w:rsid w:val="006A6BBB"/>
    <w:rsid w:val="006A6E50"/>
    <w:rsid w:val="006A70D1"/>
    <w:rsid w:val="006A736A"/>
    <w:rsid w:val="006A7F8B"/>
    <w:rsid w:val="006B06C2"/>
    <w:rsid w:val="006B0772"/>
    <w:rsid w:val="006B0B53"/>
    <w:rsid w:val="006B0EB7"/>
    <w:rsid w:val="006B110E"/>
    <w:rsid w:val="006B1746"/>
    <w:rsid w:val="006B1870"/>
    <w:rsid w:val="006B1D07"/>
    <w:rsid w:val="006B1DCC"/>
    <w:rsid w:val="006B1EF7"/>
    <w:rsid w:val="006B1F9E"/>
    <w:rsid w:val="006B266F"/>
    <w:rsid w:val="006B29E8"/>
    <w:rsid w:val="006B2AE3"/>
    <w:rsid w:val="006B2CED"/>
    <w:rsid w:val="006B2FBE"/>
    <w:rsid w:val="006B32C7"/>
    <w:rsid w:val="006B3373"/>
    <w:rsid w:val="006B399B"/>
    <w:rsid w:val="006B4019"/>
    <w:rsid w:val="006B4D57"/>
    <w:rsid w:val="006B54B4"/>
    <w:rsid w:val="006B6188"/>
    <w:rsid w:val="006B6AE4"/>
    <w:rsid w:val="006B7158"/>
    <w:rsid w:val="006B7205"/>
    <w:rsid w:val="006B75E4"/>
    <w:rsid w:val="006C085F"/>
    <w:rsid w:val="006C1385"/>
    <w:rsid w:val="006C1963"/>
    <w:rsid w:val="006C1D7D"/>
    <w:rsid w:val="006C1DD8"/>
    <w:rsid w:val="006C1E6B"/>
    <w:rsid w:val="006C1EC2"/>
    <w:rsid w:val="006C2228"/>
    <w:rsid w:val="006C223B"/>
    <w:rsid w:val="006C227A"/>
    <w:rsid w:val="006C22D2"/>
    <w:rsid w:val="006C235E"/>
    <w:rsid w:val="006C2ABB"/>
    <w:rsid w:val="006C2D9A"/>
    <w:rsid w:val="006C31C1"/>
    <w:rsid w:val="006C3295"/>
    <w:rsid w:val="006C364F"/>
    <w:rsid w:val="006C395E"/>
    <w:rsid w:val="006C3A0E"/>
    <w:rsid w:val="006C4323"/>
    <w:rsid w:val="006C4481"/>
    <w:rsid w:val="006C478A"/>
    <w:rsid w:val="006C494F"/>
    <w:rsid w:val="006C4AEC"/>
    <w:rsid w:val="006C4DF8"/>
    <w:rsid w:val="006C4ED5"/>
    <w:rsid w:val="006C5490"/>
    <w:rsid w:val="006C558D"/>
    <w:rsid w:val="006C5BA5"/>
    <w:rsid w:val="006C5EF9"/>
    <w:rsid w:val="006C6049"/>
    <w:rsid w:val="006C6745"/>
    <w:rsid w:val="006C685C"/>
    <w:rsid w:val="006C6C66"/>
    <w:rsid w:val="006C6F76"/>
    <w:rsid w:val="006C7084"/>
    <w:rsid w:val="006C735F"/>
    <w:rsid w:val="006C79CB"/>
    <w:rsid w:val="006C7A62"/>
    <w:rsid w:val="006C7E28"/>
    <w:rsid w:val="006D0147"/>
    <w:rsid w:val="006D037F"/>
    <w:rsid w:val="006D065F"/>
    <w:rsid w:val="006D0CA1"/>
    <w:rsid w:val="006D0E19"/>
    <w:rsid w:val="006D1310"/>
    <w:rsid w:val="006D1332"/>
    <w:rsid w:val="006D182E"/>
    <w:rsid w:val="006D23BA"/>
    <w:rsid w:val="006D2FDC"/>
    <w:rsid w:val="006D3167"/>
    <w:rsid w:val="006D335A"/>
    <w:rsid w:val="006D359B"/>
    <w:rsid w:val="006D3F20"/>
    <w:rsid w:val="006D41CA"/>
    <w:rsid w:val="006D46FD"/>
    <w:rsid w:val="006D4C94"/>
    <w:rsid w:val="006D4EE4"/>
    <w:rsid w:val="006D53F3"/>
    <w:rsid w:val="006D54F0"/>
    <w:rsid w:val="006D587E"/>
    <w:rsid w:val="006D5B47"/>
    <w:rsid w:val="006D5E8C"/>
    <w:rsid w:val="006D637E"/>
    <w:rsid w:val="006D646C"/>
    <w:rsid w:val="006D6812"/>
    <w:rsid w:val="006D6924"/>
    <w:rsid w:val="006D6C05"/>
    <w:rsid w:val="006D6C91"/>
    <w:rsid w:val="006D6D13"/>
    <w:rsid w:val="006D6E14"/>
    <w:rsid w:val="006D6E24"/>
    <w:rsid w:val="006D6FC7"/>
    <w:rsid w:val="006D7336"/>
    <w:rsid w:val="006D7357"/>
    <w:rsid w:val="006D776C"/>
    <w:rsid w:val="006D782C"/>
    <w:rsid w:val="006D7866"/>
    <w:rsid w:val="006D7DAF"/>
    <w:rsid w:val="006E053B"/>
    <w:rsid w:val="006E07F9"/>
    <w:rsid w:val="006E0DF4"/>
    <w:rsid w:val="006E0E8C"/>
    <w:rsid w:val="006E0F7B"/>
    <w:rsid w:val="006E0F97"/>
    <w:rsid w:val="006E10A1"/>
    <w:rsid w:val="006E11A2"/>
    <w:rsid w:val="006E1241"/>
    <w:rsid w:val="006E153A"/>
    <w:rsid w:val="006E1675"/>
    <w:rsid w:val="006E1DCF"/>
    <w:rsid w:val="006E1EF0"/>
    <w:rsid w:val="006E2324"/>
    <w:rsid w:val="006E261D"/>
    <w:rsid w:val="006E27BC"/>
    <w:rsid w:val="006E32D1"/>
    <w:rsid w:val="006E35B4"/>
    <w:rsid w:val="006E380C"/>
    <w:rsid w:val="006E3DA3"/>
    <w:rsid w:val="006E3EC7"/>
    <w:rsid w:val="006E41FE"/>
    <w:rsid w:val="006E49E8"/>
    <w:rsid w:val="006E4F20"/>
    <w:rsid w:val="006E586F"/>
    <w:rsid w:val="006E620E"/>
    <w:rsid w:val="006E62BF"/>
    <w:rsid w:val="006E630B"/>
    <w:rsid w:val="006E65EE"/>
    <w:rsid w:val="006E6D2F"/>
    <w:rsid w:val="006E6E47"/>
    <w:rsid w:val="006E6E53"/>
    <w:rsid w:val="006E6ED5"/>
    <w:rsid w:val="006E6F12"/>
    <w:rsid w:val="006E6F6A"/>
    <w:rsid w:val="006E7299"/>
    <w:rsid w:val="006E735D"/>
    <w:rsid w:val="006E7733"/>
    <w:rsid w:val="006E78ED"/>
    <w:rsid w:val="006E7B40"/>
    <w:rsid w:val="006E7D7D"/>
    <w:rsid w:val="006F0097"/>
    <w:rsid w:val="006F020B"/>
    <w:rsid w:val="006F0279"/>
    <w:rsid w:val="006F0363"/>
    <w:rsid w:val="006F09E2"/>
    <w:rsid w:val="006F0F4E"/>
    <w:rsid w:val="006F1611"/>
    <w:rsid w:val="006F1786"/>
    <w:rsid w:val="006F183D"/>
    <w:rsid w:val="006F1A9B"/>
    <w:rsid w:val="006F26DB"/>
    <w:rsid w:val="006F2C6F"/>
    <w:rsid w:val="006F2C99"/>
    <w:rsid w:val="006F307E"/>
    <w:rsid w:val="006F3166"/>
    <w:rsid w:val="006F3A99"/>
    <w:rsid w:val="006F3C31"/>
    <w:rsid w:val="006F4078"/>
    <w:rsid w:val="006F4287"/>
    <w:rsid w:val="006F46B8"/>
    <w:rsid w:val="006F4B58"/>
    <w:rsid w:val="006F4B64"/>
    <w:rsid w:val="006F52EA"/>
    <w:rsid w:val="006F545D"/>
    <w:rsid w:val="006F5586"/>
    <w:rsid w:val="006F5886"/>
    <w:rsid w:val="006F5A32"/>
    <w:rsid w:val="006F5F18"/>
    <w:rsid w:val="006F621E"/>
    <w:rsid w:val="006F66FB"/>
    <w:rsid w:val="006F78BE"/>
    <w:rsid w:val="006F7C73"/>
    <w:rsid w:val="006F7E53"/>
    <w:rsid w:val="00700254"/>
    <w:rsid w:val="0070041E"/>
    <w:rsid w:val="00700AEA"/>
    <w:rsid w:val="00700D8C"/>
    <w:rsid w:val="007013E6"/>
    <w:rsid w:val="007017A4"/>
    <w:rsid w:val="0070245F"/>
    <w:rsid w:val="00702605"/>
    <w:rsid w:val="00702C0E"/>
    <w:rsid w:val="00702CE5"/>
    <w:rsid w:val="00702F6E"/>
    <w:rsid w:val="00702FC6"/>
    <w:rsid w:val="00703F9F"/>
    <w:rsid w:val="00704688"/>
    <w:rsid w:val="00704B82"/>
    <w:rsid w:val="00704BA0"/>
    <w:rsid w:val="00704BF0"/>
    <w:rsid w:val="007050AA"/>
    <w:rsid w:val="00705190"/>
    <w:rsid w:val="00705614"/>
    <w:rsid w:val="00705A7B"/>
    <w:rsid w:val="00705BC0"/>
    <w:rsid w:val="00706093"/>
    <w:rsid w:val="0070626B"/>
    <w:rsid w:val="00706523"/>
    <w:rsid w:val="00706577"/>
    <w:rsid w:val="00706BCC"/>
    <w:rsid w:val="00706F27"/>
    <w:rsid w:val="007070BA"/>
    <w:rsid w:val="00707CD1"/>
    <w:rsid w:val="00707D55"/>
    <w:rsid w:val="00707DD8"/>
    <w:rsid w:val="00710160"/>
    <w:rsid w:val="00710176"/>
    <w:rsid w:val="007103AF"/>
    <w:rsid w:val="007105F3"/>
    <w:rsid w:val="007108BA"/>
    <w:rsid w:val="00710EED"/>
    <w:rsid w:val="00710FAE"/>
    <w:rsid w:val="00711094"/>
    <w:rsid w:val="007114AF"/>
    <w:rsid w:val="007117E9"/>
    <w:rsid w:val="00711BB9"/>
    <w:rsid w:val="00711C37"/>
    <w:rsid w:val="00711D3A"/>
    <w:rsid w:val="00711FDE"/>
    <w:rsid w:val="00712F9F"/>
    <w:rsid w:val="00713040"/>
    <w:rsid w:val="00713333"/>
    <w:rsid w:val="00713380"/>
    <w:rsid w:val="007134B7"/>
    <w:rsid w:val="00713519"/>
    <w:rsid w:val="00714162"/>
    <w:rsid w:val="0071462F"/>
    <w:rsid w:val="00714720"/>
    <w:rsid w:val="007148FF"/>
    <w:rsid w:val="00714AA2"/>
    <w:rsid w:val="00715D7E"/>
    <w:rsid w:val="00717714"/>
    <w:rsid w:val="007179D9"/>
    <w:rsid w:val="00717B14"/>
    <w:rsid w:val="007207E4"/>
    <w:rsid w:val="00721191"/>
    <w:rsid w:val="007213C8"/>
    <w:rsid w:val="00721E69"/>
    <w:rsid w:val="00722107"/>
    <w:rsid w:val="007221FA"/>
    <w:rsid w:val="00722332"/>
    <w:rsid w:val="00723170"/>
    <w:rsid w:val="0072321F"/>
    <w:rsid w:val="0072342F"/>
    <w:rsid w:val="00723A84"/>
    <w:rsid w:val="0072446B"/>
    <w:rsid w:val="007247E5"/>
    <w:rsid w:val="00724932"/>
    <w:rsid w:val="007250A6"/>
    <w:rsid w:val="00725176"/>
    <w:rsid w:val="0072532F"/>
    <w:rsid w:val="007253E1"/>
    <w:rsid w:val="007259E6"/>
    <w:rsid w:val="00725F6F"/>
    <w:rsid w:val="00726491"/>
    <w:rsid w:val="00726519"/>
    <w:rsid w:val="007268D5"/>
    <w:rsid w:val="00726C9F"/>
    <w:rsid w:val="007271DA"/>
    <w:rsid w:val="00727712"/>
    <w:rsid w:val="00727748"/>
    <w:rsid w:val="00727861"/>
    <w:rsid w:val="00727BE5"/>
    <w:rsid w:val="00727C41"/>
    <w:rsid w:val="00727C7C"/>
    <w:rsid w:val="00730349"/>
    <w:rsid w:val="0073064E"/>
    <w:rsid w:val="007307D2"/>
    <w:rsid w:val="007309DD"/>
    <w:rsid w:val="00730BB9"/>
    <w:rsid w:val="00730E82"/>
    <w:rsid w:val="00731097"/>
    <w:rsid w:val="0073142B"/>
    <w:rsid w:val="007318D0"/>
    <w:rsid w:val="007322AE"/>
    <w:rsid w:val="00732C90"/>
    <w:rsid w:val="00732D9C"/>
    <w:rsid w:val="00733428"/>
    <w:rsid w:val="00733934"/>
    <w:rsid w:val="00733CC6"/>
    <w:rsid w:val="00734885"/>
    <w:rsid w:val="007348AB"/>
    <w:rsid w:val="00734B9C"/>
    <w:rsid w:val="00734BF6"/>
    <w:rsid w:val="0073502D"/>
    <w:rsid w:val="007350ED"/>
    <w:rsid w:val="007352B4"/>
    <w:rsid w:val="007353E7"/>
    <w:rsid w:val="007359D2"/>
    <w:rsid w:val="0073650C"/>
    <w:rsid w:val="007365F4"/>
    <w:rsid w:val="007368A6"/>
    <w:rsid w:val="00736D03"/>
    <w:rsid w:val="007372A4"/>
    <w:rsid w:val="007375EE"/>
    <w:rsid w:val="00737777"/>
    <w:rsid w:val="00737BC2"/>
    <w:rsid w:val="00737E0B"/>
    <w:rsid w:val="00737E83"/>
    <w:rsid w:val="00737EB6"/>
    <w:rsid w:val="007407CF"/>
    <w:rsid w:val="0074089D"/>
    <w:rsid w:val="00740942"/>
    <w:rsid w:val="00741A88"/>
    <w:rsid w:val="0074211D"/>
    <w:rsid w:val="00742755"/>
    <w:rsid w:val="00742BAC"/>
    <w:rsid w:val="00742F62"/>
    <w:rsid w:val="0074314E"/>
    <w:rsid w:val="007437AA"/>
    <w:rsid w:val="00743AAA"/>
    <w:rsid w:val="00743C7D"/>
    <w:rsid w:val="00743F06"/>
    <w:rsid w:val="007442E8"/>
    <w:rsid w:val="00744337"/>
    <w:rsid w:val="007446F6"/>
    <w:rsid w:val="00744844"/>
    <w:rsid w:val="00745136"/>
    <w:rsid w:val="00745159"/>
    <w:rsid w:val="007454ED"/>
    <w:rsid w:val="007457D5"/>
    <w:rsid w:val="00745A63"/>
    <w:rsid w:val="0074636C"/>
    <w:rsid w:val="007463E2"/>
    <w:rsid w:val="007468E2"/>
    <w:rsid w:val="00746DDF"/>
    <w:rsid w:val="00747F46"/>
    <w:rsid w:val="00750AA5"/>
    <w:rsid w:val="00751022"/>
    <w:rsid w:val="007514A1"/>
    <w:rsid w:val="00751AE4"/>
    <w:rsid w:val="00751BAD"/>
    <w:rsid w:val="00752022"/>
    <w:rsid w:val="00752192"/>
    <w:rsid w:val="0075244E"/>
    <w:rsid w:val="007528B1"/>
    <w:rsid w:val="00752A11"/>
    <w:rsid w:val="00752BC4"/>
    <w:rsid w:val="00753067"/>
    <w:rsid w:val="007534D3"/>
    <w:rsid w:val="00753632"/>
    <w:rsid w:val="0075369C"/>
    <w:rsid w:val="00755176"/>
    <w:rsid w:val="007555BC"/>
    <w:rsid w:val="0075593D"/>
    <w:rsid w:val="00755F9F"/>
    <w:rsid w:val="007560CF"/>
    <w:rsid w:val="00756140"/>
    <w:rsid w:val="00756286"/>
    <w:rsid w:val="007579D8"/>
    <w:rsid w:val="00757A00"/>
    <w:rsid w:val="00757D89"/>
    <w:rsid w:val="00760034"/>
    <w:rsid w:val="00760101"/>
    <w:rsid w:val="00760A62"/>
    <w:rsid w:val="0076139E"/>
    <w:rsid w:val="007615C6"/>
    <w:rsid w:val="00761884"/>
    <w:rsid w:val="007618C9"/>
    <w:rsid w:val="00762486"/>
    <w:rsid w:val="007624E1"/>
    <w:rsid w:val="00762DEB"/>
    <w:rsid w:val="0076313E"/>
    <w:rsid w:val="00763175"/>
    <w:rsid w:val="00763224"/>
    <w:rsid w:val="00763250"/>
    <w:rsid w:val="00763527"/>
    <w:rsid w:val="00763612"/>
    <w:rsid w:val="007639D3"/>
    <w:rsid w:val="00764077"/>
    <w:rsid w:val="007640DA"/>
    <w:rsid w:val="00764457"/>
    <w:rsid w:val="00764951"/>
    <w:rsid w:val="00764E57"/>
    <w:rsid w:val="00764F40"/>
    <w:rsid w:val="007659EE"/>
    <w:rsid w:val="00766425"/>
    <w:rsid w:val="0076649C"/>
    <w:rsid w:val="00766733"/>
    <w:rsid w:val="00766B60"/>
    <w:rsid w:val="00766E84"/>
    <w:rsid w:val="0076718C"/>
    <w:rsid w:val="007672C9"/>
    <w:rsid w:val="007672EF"/>
    <w:rsid w:val="00767AE0"/>
    <w:rsid w:val="00767BB0"/>
    <w:rsid w:val="00770383"/>
    <w:rsid w:val="00770458"/>
    <w:rsid w:val="00770470"/>
    <w:rsid w:val="00770706"/>
    <w:rsid w:val="00770CDE"/>
    <w:rsid w:val="00770E2D"/>
    <w:rsid w:val="00771493"/>
    <w:rsid w:val="007718CB"/>
    <w:rsid w:val="007718EE"/>
    <w:rsid w:val="00771CAD"/>
    <w:rsid w:val="00771E4F"/>
    <w:rsid w:val="00771EA9"/>
    <w:rsid w:val="0077264C"/>
    <w:rsid w:val="007726CC"/>
    <w:rsid w:val="00772932"/>
    <w:rsid w:val="00772A30"/>
    <w:rsid w:val="00772A72"/>
    <w:rsid w:val="00772B02"/>
    <w:rsid w:val="00772ECB"/>
    <w:rsid w:val="0077301C"/>
    <w:rsid w:val="0077321B"/>
    <w:rsid w:val="00773363"/>
    <w:rsid w:val="007735FE"/>
    <w:rsid w:val="00773F7A"/>
    <w:rsid w:val="00774458"/>
    <w:rsid w:val="00774964"/>
    <w:rsid w:val="00775145"/>
    <w:rsid w:val="007754B4"/>
    <w:rsid w:val="007754E6"/>
    <w:rsid w:val="007758F2"/>
    <w:rsid w:val="0077620F"/>
    <w:rsid w:val="007762DD"/>
    <w:rsid w:val="0077664D"/>
    <w:rsid w:val="00776B4C"/>
    <w:rsid w:val="00776D93"/>
    <w:rsid w:val="007770F0"/>
    <w:rsid w:val="0077744C"/>
    <w:rsid w:val="00777535"/>
    <w:rsid w:val="007776B4"/>
    <w:rsid w:val="00777AD2"/>
    <w:rsid w:val="00777B62"/>
    <w:rsid w:val="00777DC3"/>
    <w:rsid w:val="00777E36"/>
    <w:rsid w:val="0078013F"/>
    <w:rsid w:val="00780BF8"/>
    <w:rsid w:val="00781A36"/>
    <w:rsid w:val="00781DEA"/>
    <w:rsid w:val="00782AC3"/>
    <w:rsid w:val="00782C8C"/>
    <w:rsid w:val="0078344E"/>
    <w:rsid w:val="007834B7"/>
    <w:rsid w:val="007838A0"/>
    <w:rsid w:val="00783AD3"/>
    <w:rsid w:val="007851A5"/>
    <w:rsid w:val="007854CE"/>
    <w:rsid w:val="00785847"/>
    <w:rsid w:val="007860E4"/>
    <w:rsid w:val="00787377"/>
    <w:rsid w:val="0078739D"/>
    <w:rsid w:val="007873B2"/>
    <w:rsid w:val="00787F33"/>
    <w:rsid w:val="007901CB"/>
    <w:rsid w:val="0079069E"/>
    <w:rsid w:val="00790B3A"/>
    <w:rsid w:val="00790FE4"/>
    <w:rsid w:val="007912EB"/>
    <w:rsid w:val="0079140A"/>
    <w:rsid w:val="0079163B"/>
    <w:rsid w:val="007919EC"/>
    <w:rsid w:val="00791B03"/>
    <w:rsid w:val="00792500"/>
    <w:rsid w:val="00792E84"/>
    <w:rsid w:val="0079341B"/>
    <w:rsid w:val="00793ABE"/>
    <w:rsid w:val="00793CC7"/>
    <w:rsid w:val="007940A9"/>
    <w:rsid w:val="00794725"/>
    <w:rsid w:val="0079488E"/>
    <w:rsid w:val="007948A6"/>
    <w:rsid w:val="007950D5"/>
    <w:rsid w:val="007954BC"/>
    <w:rsid w:val="00795568"/>
    <w:rsid w:val="007955A3"/>
    <w:rsid w:val="00795B17"/>
    <w:rsid w:val="00795CC6"/>
    <w:rsid w:val="00795EEF"/>
    <w:rsid w:val="00795F22"/>
    <w:rsid w:val="007961FB"/>
    <w:rsid w:val="007966BF"/>
    <w:rsid w:val="0079686A"/>
    <w:rsid w:val="00796D26"/>
    <w:rsid w:val="007972B2"/>
    <w:rsid w:val="007973F5"/>
    <w:rsid w:val="007978BF"/>
    <w:rsid w:val="00797EBC"/>
    <w:rsid w:val="007A005D"/>
    <w:rsid w:val="007A083A"/>
    <w:rsid w:val="007A1345"/>
    <w:rsid w:val="007A1491"/>
    <w:rsid w:val="007A1693"/>
    <w:rsid w:val="007A180D"/>
    <w:rsid w:val="007A18BE"/>
    <w:rsid w:val="007A1B14"/>
    <w:rsid w:val="007A1DEA"/>
    <w:rsid w:val="007A1EAE"/>
    <w:rsid w:val="007A2277"/>
    <w:rsid w:val="007A2349"/>
    <w:rsid w:val="007A23D4"/>
    <w:rsid w:val="007A25FF"/>
    <w:rsid w:val="007A2FF4"/>
    <w:rsid w:val="007A3567"/>
    <w:rsid w:val="007A3727"/>
    <w:rsid w:val="007A3B65"/>
    <w:rsid w:val="007A3D97"/>
    <w:rsid w:val="007A3E01"/>
    <w:rsid w:val="007A417C"/>
    <w:rsid w:val="007A421E"/>
    <w:rsid w:val="007A42FB"/>
    <w:rsid w:val="007A44C4"/>
    <w:rsid w:val="007A49BC"/>
    <w:rsid w:val="007A4A45"/>
    <w:rsid w:val="007A4E99"/>
    <w:rsid w:val="007A537B"/>
    <w:rsid w:val="007A5795"/>
    <w:rsid w:val="007A57A8"/>
    <w:rsid w:val="007A64AC"/>
    <w:rsid w:val="007A6683"/>
    <w:rsid w:val="007A6808"/>
    <w:rsid w:val="007A688A"/>
    <w:rsid w:val="007A6A62"/>
    <w:rsid w:val="007A6BA7"/>
    <w:rsid w:val="007A76A5"/>
    <w:rsid w:val="007A7A22"/>
    <w:rsid w:val="007A7F8C"/>
    <w:rsid w:val="007B02D8"/>
    <w:rsid w:val="007B0514"/>
    <w:rsid w:val="007B0817"/>
    <w:rsid w:val="007B0852"/>
    <w:rsid w:val="007B0A5A"/>
    <w:rsid w:val="007B0EC8"/>
    <w:rsid w:val="007B0EE9"/>
    <w:rsid w:val="007B1209"/>
    <w:rsid w:val="007B1466"/>
    <w:rsid w:val="007B1AFB"/>
    <w:rsid w:val="007B2175"/>
    <w:rsid w:val="007B2650"/>
    <w:rsid w:val="007B2C55"/>
    <w:rsid w:val="007B2C98"/>
    <w:rsid w:val="007B3247"/>
    <w:rsid w:val="007B33B9"/>
    <w:rsid w:val="007B39AD"/>
    <w:rsid w:val="007B4093"/>
    <w:rsid w:val="007B427F"/>
    <w:rsid w:val="007B4B53"/>
    <w:rsid w:val="007B4B95"/>
    <w:rsid w:val="007B4DD0"/>
    <w:rsid w:val="007B520F"/>
    <w:rsid w:val="007B5725"/>
    <w:rsid w:val="007B5F3A"/>
    <w:rsid w:val="007B67DC"/>
    <w:rsid w:val="007B6B52"/>
    <w:rsid w:val="007B7051"/>
    <w:rsid w:val="007B7093"/>
    <w:rsid w:val="007B7192"/>
    <w:rsid w:val="007B72CA"/>
    <w:rsid w:val="007B74C2"/>
    <w:rsid w:val="007B78AF"/>
    <w:rsid w:val="007C04DE"/>
    <w:rsid w:val="007C07B4"/>
    <w:rsid w:val="007C0C34"/>
    <w:rsid w:val="007C0E8E"/>
    <w:rsid w:val="007C13F8"/>
    <w:rsid w:val="007C2001"/>
    <w:rsid w:val="007C2577"/>
    <w:rsid w:val="007C289E"/>
    <w:rsid w:val="007C2E34"/>
    <w:rsid w:val="007C2EB5"/>
    <w:rsid w:val="007C3B27"/>
    <w:rsid w:val="007C425F"/>
    <w:rsid w:val="007C44F1"/>
    <w:rsid w:val="007C4600"/>
    <w:rsid w:val="007C468B"/>
    <w:rsid w:val="007C47EC"/>
    <w:rsid w:val="007C4950"/>
    <w:rsid w:val="007C5201"/>
    <w:rsid w:val="007C5296"/>
    <w:rsid w:val="007C5460"/>
    <w:rsid w:val="007C5703"/>
    <w:rsid w:val="007C58AC"/>
    <w:rsid w:val="007C5947"/>
    <w:rsid w:val="007C5C5A"/>
    <w:rsid w:val="007C5C81"/>
    <w:rsid w:val="007C5DD6"/>
    <w:rsid w:val="007C6468"/>
    <w:rsid w:val="007C661E"/>
    <w:rsid w:val="007C69EC"/>
    <w:rsid w:val="007C7251"/>
    <w:rsid w:val="007D0624"/>
    <w:rsid w:val="007D0738"/>
    <w:rsid w:val="007D0ABE"/>
    <w:rsid w:val="007D0C17"/>
    <w:rsid w:val="007D145C"/>
    <w:rsid w:val="007D1B88"/>
    <w:rsid w:val="007D1DE8"/>
    <w:rsid w:val="007D1E7D"/>
    <w:rsid w:val="007D1FAA"/>
    <w:rsid w:val="007D2405"/>
    <w:rsid w:val="007D2758"/>
    <w:rsid w:val="007D37BE"/>
    <w:rsid w:val="007D37C6"/>
    <w:rsid w:val="007D37CD"/>
    <w:rsid w:val="007D3C1E"/>
    <w:rsid w:val="007D47F3"/>
    <w:rsid w:val="007D494D"/>
    <w:rsid w:val="007D4A5E"/>
    <w:rsid w:val="007D4D8D"/>
    <w:rsid w:val="007D4E7C"/>
    <w:rsid w:val="007D5317"/>
    <w:rsid w:val="007D5857"/>
    <w:rsid w:val="007D58BD"/>
    <w:rsid w:val="007D5B44"/>
    <w:rsid w:val="007D651E"/>
    <w:rsid w:val="007D68BF"/>
    <w:rsid w:val="007D6D0B"/>
    <w:rsid w:val="007D6E9D"/>
    <w:rsid w:val="007D7054"/>
    <w:rsid w:val="007D72A9"/>
    <w:rsid w:val="007D73E2"/>
    <w:rsid w:val="007D7BAA"/>
    <w:rsid w:val="007D7DDC"/>
    <w:rsid w:val="007D7ECA"/>
    <w:rsid w:val="007E01FC"/>
    <w:rsid w:val="007E048E"/>
    <w:rsid w:val="007E058C"/>
    <w:rsid w:val="007E0735"/>
    <w:rsid w:val="007E07E9"/>
    <w:rsid w:val="007E0CC4"/>
    <w:rsid w:val="007E0DF7"/>
    <w:rsid w:val="007E1B9D"/>
    <w:rsid w:val="007E1F48"/>
    <w:rsid w:val="007E2525"/>
    <w:rsid w:val="007E2579"/>
    <w:rsid w:val="007E26F6"/>
    <w:rsid w:val="007E2859"/>
    <w:rsid w:val="007E2951"/>
    <w:rsid w:val="007E37A9"/>
    <w:rsid w:val="007E3BE4"/>
    <w:rsid w:val="007E3C85"/>
    <w:rsid w:val="007E430F"/>
    <w:rsid w:val="007E43F8"/>
    <w:rsid w:val="007E4683"/>
    <w:rsid w:val="007E4A94"/>
    <w:rsid w:val="007E4C0B"/>
    <w:rsid w:val="007E52A5"/>
    <w:rsid w:val="007E5855"/>
    <w:rsid w:val="007E5C81"/>
    <w:rsid w:val="007E620F"/>
    <w:rsid w:val="007E6313"/>
    <w:rsid w:val="007E63C2"/>
    <w:rsid w:val="007E6614"/>
    <w:rsid w:val="007E69E0"/>
    <w:rsid w:val="007E6BFD"/>
    <w:rsid w:val="007E6F38"/>
    <w:rsid w:val="007E73AB"/>
    <w:rsid w:val="007E7582"/>
    <w:rsid w:val="007E7BB6"/>
    <w:rsid w:val="007E7F80"/>
    <w:rsid w:val="007F0148"/>
    <w:rsid w:val="007F05B9"/>
    <w:rsid w:val="007F077C"/>
    <w:rsid w:val="007F11E5"/>
    <w:rsid w:val="007F17ED"/>
    <w:rsid w:val="007F1E71"/>
    <w:rsid w:val="007F1E7A"/>
    <w:rsid w:val="007F1F15"/>
    <w:rsid w:val="007F2213"/>
    <w:rsid w:val="007F23C4"/>
    <w:rsid w:val="007F26A6"/>
    <w:rsid w:val="007F2843"/>
    <w:rsid w:val="007F2F2F"/>
    <w:rsid w:val="007F347C"/>
    <w:rsid w:val="007F3991"/>
    <w:rsid w:val="007F3D19"/>
    <w:rsid w:val="007F44FD"/>
    <w:rsid w:val="007F4869"/>
    <w:rsid w:val="007F49F9"/>
    <w:rsid w:val="007F5109"/>
    <w:rsid w:val="007F5613"/>
    <w:rsid w:val="007F58F3"/>
    <w:rsid w:val="007F5B9F"/>
    <w:rsid w:val="007F5DE4"/>
    <w:rsid w:val="007F5E65"/>
    <w:rsid w:val="007F6195"/>
    <w:rsid w:val="007F6D6F"/>
    <w:rsid w:val="007F7478"/>
    <w:rsid w:val="007F7976"/>
    <w:rsid w:val="007F7C87"/>
    <w:rsid w:val="00800527"/>
    <w:rsid w:val="008007DB"/>
    <w:rsid w:val="00800B42"/>
    <w:rsid w:val="008012F4"/>
    <w:rsid w:val="00801453"/>
    <w:rsid w:val="008016D2"/>
    <w:rsid w:val="00801B34"/>
    <w:rsid w:val="00801C63"/>
    <w:rsid w:val="00801DB2"/>
    <w:rsid w:val="00801EBB"/>
    <w:rsid w:val="00801FAE"/>
    <w:rsid w:val="0080228B"/>
    <w:rsid w:val="00802336"/>
    <w:rsid w:val="008025AF"/>
    <w:rsid w:val="00802E3E"/>
    <w:rsid w:val="00803223"/>
    <w:rsid w:val="008034DA"/>
    <w:rsid w:val="0080354C"/>
    <w:rsid w:val="008035D4"/>
    <w:rsid w:val="008036CD"/>
    <w:rsid w:val="00803BA9"/>
    <w:rsid w:val="00803CCF"/>
    <w:rsid w:val="00803DD9"/>
    <w:rsid w:val="00803E18"/>
    <w:rsid w:val="0080479D"/>
    <w:rsid w:val="00805033"/>
    <w:rsid w:val="008050F7"/>
    <w:rsid w:val="008053C1"/>
    <w:rsid w:val="008058D3"/>
    <w:rsid w:val="00805CBC"/>
    <w:rsid w:val="008060A0"/>
    <w:rsid w:val="008064F3"/>
    <w:rsid w:val="00806ABB"/>
    <w:rsid w:val="00807250"/>
    <w:rsid w:val="0080745E"/>
    <w:rsid w:val="0080764F"/>
    <w:rsid w:val="00807694"/>
    <w:rsid w:val="00807703"/>
    <w:rsid w:val="00807898"/>
    <w:rsid w:val="00807B1C"/>
    <w:rsid w:val="00810818"/>
    <w:rsid w:val="0081092F"/>
    <w:rsid w:val="00810E9A"/>
    <w:rsid w:val="00810F27"/>
    <w:rsid w:val="008110C2"/>
    <w:rsid w:val="0081123A"/>
    <w:rsid w:val="0081137B"/>
    <w:rsid w:val="00811381"/>
    <w:rsid w:val="00811E8B"/>
    <w:rsid w:val="0081336D"/>
    <w:rsid w:val="0081348F"/>
    <w:rsid w:val="008137F0"/>
    <w:rsid w:val="00813D40"/>
    <w:rsid w:val="00813EFA"/>
    <w:rsid w:val="00813FCD"/>
    <w:rsid w:val="00814758"/>
    <w:rsid w:val="0081479A"/>
    <w:rsid w:val="00814D1F"/>
    <w:rsid w:val="0081559B"/>
    <w:rsid w:val="0081571A"/>
    <w:rsid w:val="00815FD5"/>
    <w:rsid w:val="008160FF"/>
    <w:rsid w:val="0081629A"/>
    <w:rsid w:val="0081640F"/>
    <w:rsid w:val="008165E0"/>
    <w:rsid w:val="008168DE"/>
    <w:rsid w:val="00817063"/>
    <w:rsid w:val="0081708C"/>
    <w:rsid w:val="0081720F"/>
    <w:rsid w:val="00817461"/>
    <w:rsid w:val="00817777"/>
    <w:rsid w:val="008179B4"/>
    <w:rsid w:val="00817B06"/>
    <w:rsid w:val="00820664"/>
    <w:rsid w:val="00820DED"/>
    <w:rsid w:val="008210A6"/>
    <w:rsid w:val="00821220"/>
    <w:rsid w:val="008212EB"/>
    <w:rsid w:val="008216A8"/>
    <w:rsid w:val="008219B5"/>
    <w:rsid w:val="00821A5C"/>
    <w:rsid w:val="008220FF"/>
    <w:rsid w:val="008221B2"/>
    <w:rsid w:val="00822F23"/>
    <w:rsid w:val="00823AA0"/>
    <w:rsid w:val="00824234"/>
    <w:rsid w:val="00824470"/>
    <w:rsid w:val="008246B3"/>
    <w:rsid w:val="00824D29"/>
    <w:rsid w:val="00824E5E"/>
    <w:rsid w:val="00824F62"/>
    <w:rsid w:val="0082531D"/>
    <w:rsid w:val="0082606B"/>
    <w:rsid w:val="00826139"/>
    <w:rsid w:val="00826319"/>
    <w:rsid w:val="0082643C"/>
    <w:rsid w:val="0082647E"/>
    <w:rsid w:val="0082699B"/>
    <w:rsid w:val="00827218"/>
    <w:rsid w:val="00827C37"/>
    <w:rsid w:val="00827F28"/>
    <w:rsid w:val="00830057"/>
    <w:rsid w:val="008303EB"/>
    <w:rsid w:val="00830484"/>
    <w:rsid w:val="00830C29"/>
    <w:rsid w:val="00830DDF"/>
    <w:rsid w:val="00831067"/>
    <w:rsid w:val="008310D5"/>
    <w:rsid w:val="00831590"/>
    <w:rsid w:val="008318FA"/>
    <w:rsid w:val="00831982"/>
    <w:rsid w:val="00831E96"/>
    <w:rsid w:val="00832178"/>
    <w:rsid w:val="008321FA"/>
    <w:rsid w:val="00832348"/>
    <w:rsid w:val="00832507"/>
    <w:rsid w:val="00832587"/>
    <w:rsid w:val="0083259B"/>
    <w:rsid w:val="00833341"/>
    <w:rsid w:val="00833442"/>
    <w:rsid w:val="008339B9"/>
    <w:rsid w:val="00833C71"/>
    <w:rsid w:val="00833CC2"/>
    <w:rsid w:val="008345A4"/>
    <w:rsid w:val="00834AE9"/>
    <w:rsid w:val="00834BAA"/>
    <w:rsid w:val="00834D64"/>
    <w:rsid w:val="00834F87"/>
    <w:rsid w:val="008359D3"/>
    <w:rsid w:val="00835C81"/>
    <w:rsid w:val="00835CE0"/>
    <w:rsid w:val="008360A3"/>
    <w:rsid w:val="008360E2"/>
    <w:rsid w:val="00836218"/>
    <w:rsid w:val="008369A9"/>
    <w:rsid w:val="0083701F"/>
    <w:rsid w:val="0083716F"/>
    <w:rsid w:val="008371B5"/>
    <w:rsid w:val="00837CF9"/>
    <w:rsid w:val="00837F7E"/>
    <w:rsid w:val="0084074D"/>
    <w:rsid w:val="0084132C"/>
    <w:rsid w:val="00841FBB"/>
    <w:rsid w:val="00842328"/>
    <w:rsid w:val="008427B9"/>
    <w:rsid w:val="00842B9B"/>
    <w:rsid w:val="00842DB3"/>
    <w:rsid w:val="00842EEF"/>
    <w:rsid w:val="008430D2"/>
    <w:rsid w:val="008438B2"/>
    <w:rsid w:val="00843F5D"/>
    <w:rsid w:val="00844216"/>
    <w:rsid w:val="00844508"/>
    <w:rsid w:val="00844A55"/>
    <w:rsid w:val="00844E13"/>
    <w:rsid w:val="00845400"/>
    <w:rsid w:val="008455B5"/>
    <w:rsid w:val="00845B23"/>
    <w:rsid w:val="00845BC8"/>
    <w:rsid w:val="00845CB9"/>
    <w:rsid w:val="00845E1B"/>
    <w:rsid w:val="008462E0"/>
    <w:rsid w:val="00846419"/>
    <w:rsid w:val="00846455"/>
    <w:rsid w:val="0084688E"/>
    <w:rsid w:val="00846C7B"/>
    <w:rsid w:val="0084708B"/>
    <w:rsid w:val="0084769C"/>
    <w:rsid w:val="00850051"/>
    <w:rsid w:val="0085011E"/>
    <w:rsid w:val="00850215"/>
    <w:rsid w:val="008502B1"/>
    <w:rsid w:val="00850A67"/>
    <w:rsid w:val="00850BC3"/>
    <w:rsid w:val="00850DB7"/>
    <w:rsid w:val="00851058"/>
    <w:rsid w:val="00851095"/>
    <w:rsid w:val="008513A1"/>
    <w:rsid w:val="00851AA0"/>
    <w:rsid w:val="00851CE0"/>
    <w:rsid w:val="00851DB0"/>
    <w:rsid w:val="008522DB"/>
    <w:rsid w:val="008524DE"/>
    <w:rsid w:val="008524E1"/>
    <w:rsid w:val="0085271E"/>
    <w:rsid w:val="008529A5"/>
    <w:rsid w:val="008529D6"/>
    <w:rsid w:val="00852AC0"/>
    <w:rsid w:val="00852D58"/>
    <w:rsid w:val="00852D68"/>
    <w:rsid w:val="00852EC0"/>
    <w:rsid w:val="00852FDD"/>
    <w:rsid w:val="00853AC6"/>
    <w:rsid w:val="00853CE7"/>
    <w:rsid w:val="008547BC"/>
    <w:rsid w:val="00854819"/>
    <w:rsid w:val="00854A67"/>
    <w:rsid w:val="00854AB6"/>
    <w:rsid w:val="00854EF8"/>
    <w:rsid w:val="008552C5"/>
    <w:rsid w:val="008557D8"/>
    <w:rsid w:val="00856815"/>
    <w:rsid w:val="0085682B"/>
    <w:rsid w:val="00856A41"/>
    <w:rsid w:val="0085703A"/>
    <w:rsid w:val="00857391"/>
    <w:rsid w:val="008575E3"/>
    <w:rsid w:val="00857FBB"/>
    <w:rsid w:val="0086027E"/>
    <w:rsid w:val="00860A21"/>
    <w:rsid w:val="00860F55"/>
    <w:rsid w:val="008615EA"/>
    <w:rsid w:val="00861BDE"/>
    <w:rsid w:val="00862575"/>
    <w:rsid w:val="0086266C"/>
    <w:rsid w:val="00862918"/>
    <w:rsid w:val="00862A56"/>
    <w:rsid w:val="00863478"/>
    <w:rsid w:val="0086386C"/>
    <w:rsid w:val="00863BA7"/>
    <w:rsid w:val="00863CC8"/>
    <w:rsid w:val="0086424C"/>
    <w:rsid w:val="0086432D"/>
    <w:rsid w:val="008643EF"/>
    <w:rsid w:val="00864742"/>
    <w:rsid w:val="00864877"/>
    <w:rsid w:val="00864A30"/>
    <w:rsid w:val="008650C1"/>
    <w:rsid w:val="008652FD"/>
    <w:rsid w:val="0086577C"/>
    <w:rsid w:val="008660F8"/>
    <w:rsid w:val="0086620C"/>
    <w:rsid w:val="00866745"/>
    <w:rsid w:val="0086687F"/>
    <w:rsid w:val="00866CF3"/>
    <w:rsid w:val="00866FA7"/>
    <w:rsid w:val="008672EB"/>
    <w:rsid w:val="0086781C"/>
    <w:rsid w:val="008679D2"/>
    <w:rsid w:val="00867CEE"/>
    <w:rsid w:val="00867D85"/>
    <w:rsid w:val="00867F11"/>
    <w:rsid w:val="0087007F"/>
    <w:rsid w:val="008706EA"/>
    <w:rsid w:val="00870B60"/>
    <w:rsid w:val="008711E3"/>
    <w:rsid w:val="00871385"/>
    <w:rsid w:val="00871E2C"/>
    <w:rsid w:val="00872185"/>
    <w:rsid w:val="00872802"/>
    <w:rsid w:val="0087290B"/>
    <w:rsid w:val="00872CC8"/>
    <w:rsid w:val="00872F5D"/>
    <w:rsid w:val="00873901"/>
    <w:rsid w:val="00873B60"/>
    <w:rsid w:val="00873CD8"/>
    <w:rsid w:val="00874770"/>
    <w:rsid w:val="008747F1"/>
    <w:rsid w:val="008748E0"/>
    <w:rsid w:val="00874CBF"/>
    <w:rsid w:val="00874D41"/>
    <w:rsid w:val="00875138"/>
    <w:rsid w:val="0087549B"/>
    <w:rsid w:val="00875599"/>
    <w:rsid w:val="008759E9"/>
    <w:rsid w:val="00875E6A"/>
    <w:rsid w:val="008761C4"/>
    <w:rsid w:val="0087655F"/>
    <w:rsid w:val="00876FD8"/>
    <w:rsid w:val="00877958"/>
    <w:rsid w:val="0088001D"/>
    <w:rsid w:val="00880557"/>
    <w:rsid w:val="00880B73"/>
    <w:rsid w:val="00880FE0"/>
    <w:rsid w:val="0088102D"/>
    <w:rsid w:val="0088153C"/>
    <w:rsid w:val="00881843"/>
    <w:rsid w:val="00881E43"/>
    <w:rsid w:val="008825A6"/>
    <w:rsid w:val="008826DA"/>
    <w:rsid w:val="00882D1D"/>
    <w:rsid w:val="00883075"/>
    <w:rsid w:val="00883222"/>
    <w:rsid w:val="00883272"/>
    <w:rsid w:val="00883348"/>
    <w:rsid w:val="00883912"/>
    <w:rsid w:val="00883A88"/>
    <w:rsid w:val="00883D9C"/>
    <w:rsid w:val="008841F4"/>
    <w:rsid w:val="008846C3"/>
    <w:rsid w:val="00884782"/>
    <w:rsid w:val="00884930"/>
    <w:rsid w:val="00884966"/>
    <w:rsid w:val="00884B20"/>
    <w:rsid w:val="00884B53"/>
    <w:rsid w:val="00884BE9"/>
    <w:rsid w:val="008851D0"/>
    <w:rsid w:val="008852A0"/>
    <w:rsid w:val="008852AE"/>
    <w:rsid w:val="00885702"/>
    <w:rsid w:val="00885982"/>
    <w:rsid w:val="0088598E"/>
    <w:rsid w:val="0088630D"/>
    <w:rsid w:val="008865EA"/>
    <w:rsid w:val="00886B5A"/>
    <w:rsid w:val="00886BBD"/>
    <w:rsid w:val="00886EC2"/>
    <w:rsid w:val="00886FFE"/>
    <w:rsid w:val="00887BA5"/>
    <w:rsid w:val="00887D03"/>
    <w:rsid w:val="0089018D"/>
    <w:rsid w:val="0089054A"/>
    <w:rsid w:val="00890556"/>
    <w:rsid w:val="0089112D"/>
    <w:rsid w:val="00891169"/>
    <w:rsid w:val="00891482"/>
    <w:rsid w:val="00891BA4"/>
    <w:rsid w:val="00892464"/>
    <w:rsid w:val="00892B6C"/>
    <w:rsid w:val="00892BFF"/>
    <w:rsid w:val="008930E3"/>
    <w:rsid w:val="00893149"/>
    <w:rsid w:val="00893303"/>
    <w:rsid w:val="00893BC8"/>
    <w:rsid w:val="00893C87"/>
    <w:rsid w:val="00893DC9"/>
    <w:rsid w:val="00893E51"/>
    <w:rsid w:val="0089429C"/>
    <w:rsid w:val="00894BF9"/>
    <w:rsid w:val="0089544A"/>
    <w:rsid w:val="00895C98"/>
    <w:rsid w:val="0089617D"/>
    <w:rsid w:val="00896E56"/>
    <w:rsid w:val="00897451"/>
    <w:rsid w:val="00897484"/>
    <w:rsid w:val="008976A2"/>
    <w:rsid w:val="00897ACE"/>
    <w:rsid w:val="00897B87"/>
    <w:rsid w:val="008A05F4"/>
    <w:rsid w:val="008A06EB"/>
    <w:rsid w:val="008A0CC8"/>
    <w:rsid w:val="008A0DD0"/>
    <w:rsid w:val="008A0DFC"/>
    <w:rsid w:val="008A0E00"/>
    <w:rsid w:val="008A0E22"/>
    <w:rsid w:val="008A15D4"/>
    <w:rsid w:val="008A164B"/>
    <w:rsid w:val="008A1716"/>
    <w:rsid w:val="008A23F0"/>
    <w:rsid w:val="008A269B"/>
    <w:rsid w:val="008A282F"/>
    <w:rsid w:val="008A2D8B"/>
    <w:rsid w:val="008A2D8D"/>
    <w:rsid w:val="008A2E4D"/>
    <w:rsid w:val="008A2F17"/>
    <w:rsid w:val="008A3079"/>
    <w:rsid w:val="008A309A"/>
    <w:rsid w:val="008A3464"/>
    <w:rsid w:val="008A3652"/>
    <w:rsid w:val="008A3FA3"/>
    <w:rsid w:val="008A402C"/>
    <w:rsid w:val="008A450D"/>
    <w:rsid w:val="008A4749"/>
    <w:rsid w:val="008A48B6"/>
    <w:rsid w:val="008A4C4A"/>
    <w:rsid w:val="008A4E5A"/>
    <w:rsid w:val="008A5248"/>
    <w:rsid w:val="008A5273"/>
    <w:rsid w:val="008A53A5"/>
    <w:rsid w:val="008A5801"/>
    <w:rsid w:val="008A5921"/>
    <w:rsid w:val="008A5AB1"/>
    <w:rsid w:val="008A5D63"/>
    <w:rsid w:val="008A5EA2"/>
    <w:rsid w:val="008A603C"/>
    <w:rsid w:val="008A67FE"/>
    <w:rsid w:val="008A687C"/>
    <w:rsid w:val="008A691E"/>
    <w:rsid w:val="008A6DD7"/>
    <w:rsid w:val="008A732D"/>
    <w:rsid w:val="008A7527"/>
    <w:rsid w:val="008A7650"/>
    <w:rsid w:val="008A7AA3"/>
    <w:rsid w:val="008A7E08"/>
    <w:rsid w:val="008B0542"/>
    <w:rsid w:val="008B0765"/>
    <w:rsid w:val="008B0766"/>
    <w:rsid w:val="008B0876"/>
    <w:rsid w:val="008B08E4"/>
    <w:rsid w:val="008B10BC"/>
    <w:rsid w:val="008B1AD3"/>
    <w:rsid w:val="008B1BE8"/>
    <w:rsid w:val="008B20F5"/>
    <w:rsid w:val="008B2142"/>
    <w:rsid w:val="008B2753"/>
    <w:rsid w:val="008B29F3"/>
    <w:rsid w:val="008B2CF2"/>
    <w:rsid w:val="008B3278"/>
    <w:rsid w:val="008B3F37"/>
    <w:rsid w:val="008B4243"/>
    <w:rsid w:val="008B4B47"/>
    <w:rsid w:val="008B4E66"/>
    <w:rsid w:val="008B5118"/>
    <w:rsid w:val="008B530B"/>
    <w:rsid w:val="008B59D5"/>
    <w:rsid w:val="008B5B7B"/>
    <w:rsid w:val="008B5C36"/>
    <w:rsid w:val="008B60CA"/>
    <w:rsid w:val="008B60FC"/>
    <w:rsid w:val="008B623C"/>
    <w:rsid w:val="008B6272"/>
    <w:rsid w:val="008B6490"/>
    <w:rsid w:val="008B6597"/>
    <w:rsid w:val="008B65B9"/>
    <w:rsid w:val="008B6A52"/>
    <w:rsid w:val="008B6A62"/>
    <w:rsid w:val="008B6C42"/>
    <w:rsid w:val="008B701B"/>
    <w:rsid w:val="008B711B"/>
    <w:rsid w:val="008B715E"/>
    <w:rsid w:val="008B7301"/>
    <w:rsid w:val="008B762F"/>
    <w:rsid w:val="008B76A6"/>
    <w:rsid w:val="008B7A18"/>
    <w:rsid w:val="008B7C72"/>
    <w:rsid w:val="008C0279"/>
    <w:rsid w:val="008C046C"/>
    <w:rsid w:val="008C076F"/>
    <w:rsid w:val="008C122C"/>
    <w:rsid w:val="008C24A1"/>
    <w:rsid w:val="008C26BE"/>
    <w:rsid w:val="008C2814"/>
    <w:rsid w:val="008C2B0B"/>
    <w:rsid w:val="008C30C7"/>
    <w:rsid w:val="008C3604"/>
    <w:rsid w:val="008C36F3"/>
    <w:rsid w:val="008C3BC6"/>
    <w:rsid w:val="008C3F9F"/>
    <w:rsid w:val="008C4430"/>
    <w:rsid w:val="008C503C"/>
    <w:rsid w:val="008C5949"/>
    <w:rsid w:val="008C5ADD"/>
    <w:rsid w:val="008C5C30"/>
    <w:rsid w:val="008C5FA3"/>
    <w:rsid w:val="008C5FD1"/>
    <w:rsid w:val="008C60A1"/>
    <w:rsid w:val="008C6921"/>
    <w:rsid w:val="008C7156"/>
    <w:rsid w:val="008C75CD"/>
    <w:rsid w:val="008C7867"/>
    <w:rsid w:val="008C7F21"/>
    <w:rsid w:val="008D0306"/>
    <w:rsid w:val="008D056F"/>
    <w:rsid w:val="008D05D3"/>
    <w:rsid w:val="008D08AF"/>
    <w:rsid w:val="008D112B"/>
    <w:rsid w:val="008D15BF"/>
    <w:rsid w:val="008D15D2"/>
    <w:rsid w:val="008D1BD4"/>
    <w:rsid w:val="008D1D2A"/>
    <w:rsid w:val="008D1D63"/>
    <w:rsid w:val="008D2715"/>
    <w:rsid w:val="008D2AA5"/>
    <w:rsid w:val="008D39EE"/>
    <w:rsid w:val="008D3CC2"/>
    <w:rsid w:val="008D3F1E"/>
    <w:rsid w:val="008D485D"/>
    <w:rsid w:val="008D4889"/>
    <w:rsid w:val="008D49FC"/>
    <w:rsid w:val="008D4DD7"/>
    <w:rsid w:val="008D4F9A"/>
    <w:rsid w:val="008D4FC0"/>
    <w:rsid w:val="008D5374"/>
    <w:rsid w:val="008D5865"/>
    <w:rsid w:val="008D5E3F"/>
    <w:rsid w:val="008D6033"/>
    <w:rsid w:val="008D60E4"/>
    <w:rsid w:val="008D6100"/>
    <w:rsid w:val="008D61C4"/>
    <w:rsid w:val="008D6884"/>
    <w:rsid w:val="008D688F"/>
    <w:rsid w:val="008D6DB6"/>
    <w:rsid w:val="008D6F08"/>
    <w:rsid w:val="008D6F4B"/>
    <w:rsid w:val="008D6F59"/>
    <w:rsid w:val="008D7164"/>
    <w:rsid w:val="008D71E9"/>
    <w:rsid w:val="008D7656"/>
    <w:rsid w:val="008D77A5"/>
    <w:rsid w:val="008D7821"/>
    <w:rsid w:val="008D7E46"/>
    <w:rsid w:val="008D7FF9"/>
    <w:rsid w:val="008E063E"/>
    <w:rsid w:val="008E0649"/>
    <w:rsid w:val="008E1069"/>
    <w:rsid w:val="008E12B2"/>
    <w:rsid w:val="008E1448"/>
    <w:rsid w:val="008E16F4"/>
    <w:rsid w:val="008E17DD"/>
    <w:rsid w:val="008E1B23"/>
    <w:rsid w:val="008E2225"/>
    <w:rsid w:val="008E24AF"/>
    <w:rsid w:val="008E252E"/>
    <w:rsid w:val="008E256D"/>
    <w:rsid w:val="008E28A5"/>
    <w:rsid w:val="008E2D14"/>
    <w:rsid w:val="008E3671"/>
    <w:rsid w:val="008E3843"/>
    <w:rsid w:val="008E3C00"/>
    <w:rsid w:val="008E409A"/>
    <w:rsid w:val="008E47DD"/>
    <w:rsid w:val="008E48A9"/>
    <w:rsid w:val="008E4932"/>
    <w:rsid w:val="008E548F"/>
    <w:rsid w:val="008E558A"/>
    <w:rsid w:val="008E5618"/>
    <w:rsid w:val="008E5BA5"/>
    <w:rsid w:val="008E5BAF"/>
    <w:rsid w:val="008E5D74"/>
    <w:rsid w:val="008E5ED5"/>
    <w:rsid w:val="008E64AE"/>
    <w:rsid w:val="008E6504"/>
    <w:rsid w:val="008E688F"/>
    <w:rsid w:val="008E6B04"/>
    <w:rsid w:val="008E701E"/>
    <w:rsid w:val="008E7113"/>
    <w:rsid w:val="008E72A0"/>
    <w:rsid w:val="008E7303"/>
    <w:rsid w:val="008E73DB"/>
    <w:rsid w:val="008E744A"/>
    <w:rsid w:val="008E7877"/>
    <w:rsid w:val="008E7E98"/>
    <w:rsid w:val="008E7FCE"/>
    <w:rsid w:val="008F012C"/>
    <w:rsid w:val="008F03B2"/>
    <w:rsid w:val="008F072B"/>
    <w:rsid w:val="008F09A3"/>
    <w:rsid w:val="008F0DB6"/>
    <w:rsid w:val="008F0DD4"/>
    <w:rsid w:val="008F0DF2"/>
    <w:rsid w:val="008F0F57"/>
    <w:rsid w:val="008F1390"/>
    <w:rsid w:val="008F14A2"/>
    <w:rsid w:val="008F1A10"/>
    <w:rsid w:val="008F1BFA"/>
    <w:rsid w:val="008F1E6A"/>
    <w:rsid w:val="008F2036"/>
    <w:rsid w:val="008F248D"/>
    <w:rsid w:val="008F2677"/>
    <w:rsid w:val="008F2D04"/>
    <w:rsid w:val="008F2DDF"/>
    <w:rsid w:val="008F3993"/>
    <w:rsid w:val="008F3A8F"/>
    <w:rsid w:val="008F3EA5"/>
    <w:rsid w:val="008F40F4"/>
    <w:rsid w:val="008F46E3"/>
    <w:rsid w:val="008F4E19"/>
    <w:rsid w:val="008F554E"/>
    <w:rsid w:val="008F598D"/>
    <w:rsid w:val="008F5A9E"/>
    <w:rsid w:val="008F5BFE"/>
    <w:rsid w:val="008F6982"/>
    <w:rsid w:val="008F6B4A"/>
    <w:rsid w:val="008F71AD"/>
    <w:rsid w:val="008F749C"/>
    <w:rsid w:val="008F754F"/>
    <w:rsid w:val="008F7652"/>
    <w:rsid w:val="008F7822"/>
    <w:rsid w:val="008F7AFE"/>
    <w:rsid w:val="008F7CA1"/>
    <w:rsid w:val="00900369"/>
    <w:rsid w:val="009003D8"/>
    <w:rsid w:val="009006D2"/>
    <w:rsid w:val="00900D9D"/>
    <w:rsid w:val="009010A3"/>
    <w:rsid w:val="00901353"/>
    <w:rsid w:val="0090173C"/>
    <w:rsid w:val="00901901"/>
    <w:rsid w:val="00901AED"/>
    <w:rsid w:val="00902414"/>
    <w:rsid w:val="00902639"/>
    <w:rsid w:val="009026FC"/>
    <w:rsid w:val="00902747"/>
    <w:rsid w:val="009028D3"/>
    <w:rsid w:val="00902992"/>
    <w:rsid w:val="00902ACA"/>
    <w:rsid w:val="00902B58"/>
    <w:rsid w:val="00902BDA"/>
    <w:rsid w:val="009031E2"/>
    <w:rsid w:val="00903274"/>
    <w:rsid w:val="009033F2"/>
    <w:rsid w:val="00904581"/>
    <w:rsid w:val="0090473F"/>
    <w:rsid w:val="00904793"/>
    <w:rsid w:val="00904A32"/>
    <w:rsid w:val="00904DCA"/>
    <w:rsid w:val="00905014"/>
    <w:rsid w:val="009050F1"/>
    <w:rsid w:val="009052CC"/>
    <w:rsid w:val="00905497"/>
    <w:rsid w:val="00905510"/>
    <w:rsid w:val="009063AF"/>
    <w:rsid w:val="0090652D"/>
    <w:rsid w:val="009068D9"/>
    <w:rsid w:val="00906B0E"/>
    <w:rsid w:val="009071D4"/>
    <w:rsid w:val="0090799B"/>
    <w:rsid w:val="0091007F"/>
    <w:rsid w:val="0091029E"/>
    <w:rsid w:val="00910698"/>
    <w:rsid w:val="0091075F"/>
    <w:rsid w:val="00910798"/>
    <w:rsid w:val="0091106A"/>
    <w:rsid w:val="0091113A"/>
    <w:rsid w:val="00911377"/>
    <w:rsid w:val="009114DE"/>
    <w:rsid w:val="00911609"/>
    <w:rsid w:val="00911973"/>
    <w:rsid w:val="009119AC"/>
    <w:rsid w:val="00911B11"/>
    <w:rsid w:val="00911DA8"/>
    <w:rsid w:val="00911ED0"/>
    <w:rsid w:val="009120C3"/>
    <w:rsid w:val="009121A2"/>
    <w:rsid w:val="00912B4A"/>
    <w:rsid w:val="0091339D"/>
    <w:rsid w:val="0091356E"/>
    <w:rsid w:val="00913889"/>
    <w:rsid w:val="00913AFB"/>
    <w:rsid w:val="00913CE8"/>
    <w:rsid w:val="00913E29"/>
    <w:rsid w:val="009146C2"/>
    <w:rsid w:val="0091499A"/>
    <w:rsid w:val="00914AFC"/>
    <w:rsid w:val="00914CD5"/>
    <w:rsid w:val="00915CB7"/>
    <w:rsid w:val="0091626F"/>
    <w:rsid w:val="009166BD"/>
    <w:rsid w:val="00916E29"/>
    <w:rsid w:val="00917756"/>
    <w:rsid w:val="00917CE6"/>
    <w:rsid w:val="00917EBA"/>
    <w:rsid w:val="009202FD"/>
    <w:rsid w:val="0092034C"/>
    <w:rsid w:val="009209B0"/>
    <w:rsid w:val="009213AE"/>
    <w:rsid w:val="00921849"/>
    <w:rsid w:val="00921BBC"/>
    <w:rsid w:val="009221D6"/>
    <w:rsid w:val="0092227E"/>
    <w:rsid w:val="009222CA"/>
    <w:rsid w:val="009224A0"/>
    <w:rsid w:val="00922A86"/>
    <w:rsid w:val="00922EF3"/>
    <w:rsid w:val="00923039"/>
    <w:rsid w:val="00923478"/>
    <w:rsid w:val="00923B52"/>
    <w:rsid w:val="00924287"/>
    <w:rsid w:val="00924315"/>
    <w:rsid w:val="009247B2"/>
    <w:rsid w:val="00924E4B"/>
    <w:rsid w:val="009256BF"/>
    <w:rsid w:val="00925E6F"/>
    <w:rsid w:val="00926709"/>
    <w:rsid w:val="0092671C"/>
    <w:rsid w:val="0092671E"/>
    <w:rsid w:val="00926D2E"/>
    <w:rsid w:val="00926D6C"/>
    <w:rsid w:val="009270BB"/>
    <w:rsid w:val="00927783"/>
    <w:rsid w:val="00927BB4"/>
    <w:rsid w:val="00927FE5"/>
    <w:rsid w:val="00930605"/>
    <w:rsid w:val="009306E3"/>
    <w:rsid w:val="00930F73"/>
    <w:rsid w:val="00930F9B"/>
    <w:rsid w:val="009316AA"/>
    <w:rsid w:val="00931DB2"/>
    <w:rsid w:val="009322E6"/>
    <w:rsid w:val="00932583"/>
    <w:rsid w:val="00932896"/>
    <w:rsid w:val="009328FE"/>
    <w:rsid w:val="0093373E"/>
    <w:rsid w:val="00933F03"/>
    <w:rsid w:val="00933FAF"/>
    <w:rsid w:val="00934268"/>
    <w:rsid w:val="00934B4D"/>
    <w:rsid w:val="00934F62"/>
    <w:rsid w:val="00935187"/>
    <w:rsid w:val="009354D8"/>
    <w:rsid w:val="00935631"/>
    <w:rsid w:val="009358CE"/>
    <w:rsid w:val="00935E3E"/>
    <w:rsid w:val="00935F0A"/>
    <w:rsid w:val="0093644F"/>
    <w:rsid w:val="00936536"/>
    <w:rsid w:val="00936568"/>
    <w:rsid w:val="0093682A"/>
    <w:rsid w:val="00936A35"/>
    <w:rsid w:val="00936EEA"/>
    <w:rsid w:val="00936F81"/>
    <w:rsid w:val="00936FC6"/>
    <w:rsid w:val="00937004"/>
    <w:rsid w:val="0093712D"/>
    <w:rsid w:val="009375E2"/>
    <w:rsid w:val="0093767E"/>
    <w:rsid w:val="009377F8"/>
    <w:rsid w:val="00937BF9"/>
    <w:rsid w:val="00937D88"/>
    <w:rsid w:val="009404EC"/>
    <w:rsid w:val="00940ED7"/>
    <w:rsid w:val="0094100F"/>
    <w:rsid w:val="00941140"/>
    <w:rsid w:val="0094129D"/>
    <w:rsid w:val="009413B0"/>
    <w:rsid w:val="009413B2"/>
    <w:rsid w:val="00941498"/>
    <w:rsid w:val="009421B0"/>
    <w:rsid w:val="009426F4"/>
    <w:rsid w:val="00942801"/>
    <w:rsid w:val="009432C2"/>
    <w:rsid w:val="00944114"/>
    <w:rsid w:val="0094430D"/>
    <w:rsid w:val="009445B7"/>
    <w:rsid w:val="009448B8"/>
    <w:rsid w:val="00944A05"/>
    <w:rsid w:val="00945925"/>
    <w:rsid w:val="00945B12"/>
    <w:rsid w:val="00945CFE"/>
    <w:rsid w:val="00945ED2"/>
    <w:rsid w:val="009465CB"/>
    <w:rsid w:val="009465EC"/>
    <w:rsid w:val="00946667"/>
    <w:rsid w:val="009466FE"/>
    <w:rsid w:val="00946BAD"/>
    <w:rsid w:val="00946D1C"/>
    <w:rsid w:val="00946E43"/>
    <w:rsid w:val="00947293"/>
    <w:rsid w:val="009476F0"/>
    <w:rsid w:val="00947C4C"/>
    <w:rsid w:val="00947D11"/>
    <w:rsid w:val="00947DAB"/>
    <w:rsid w:val="009503DA"/>
    <w:rsid w:val="00950892"/>
    <w:rsid w:val="00950B13"/>
    <w:rsid w:val="0095112D"/>
    <w:rsid w:val="0095150B"/>
    <w:rsid w:val="009520AB"/>
    <w:rsid w:val="0095244E"/>
    <w:rsid w:val="00952AC4"/>
    <w:rsid w:val="00952B63"/>
    <w:rsid w:val="00952F66"/>
    <w:rsid w:val="0095344F"/>
    <w:rsid w:val="0095352B"/>
    <w:rsid w:val="00953698"/>
    <w:rsid w:val="0095375A"/>
    <w:rsid w:val="00953963"/>
    <w:rsid w:val="009546D0"/>
    <w:rsid w:val="009552BA"/>
    <w:rsid w:val="0095578E"/>
    <w:rsid w:val="00955806"/>
    <w:rsid w:val="009558CD"/>
    <w:rsid w:val="00955D57"/>
    <w:rsid w:val="00955DB2"/>
    <w:rsid w:val="00955E57"/>
    <w:rsid w:val="009563BE"/>
    <w:rsid w:val="009565A7"/>
    <w:rsid w:val="0095669B"/>
    <w:rsid w:val="009568F8"/>
    <w:rsid w:val="00956BD5"/>
    <w:rsid w:val="00956E34"/>
    <w:rsid w:val="00956F76"/>
    <w:rsid w:val="00957192"/>
    <w:rsid w:val="00957846"/>
    <w:rsid w:val="00957E72"/>
    <w:rsid w:val="00957EFC"/>
    <w:rsid w:val="00957F4B"/>
    <w:rsid w:val="009600C6"/>
    <w:rsid w:val="00960A39"/>
    <w:rsid w:val="00960AE9"/>
    <w:rsid w:val="00961428"/>
    <w:rsid w:val="00961856"/>
    <w:rsid w:val="009618FB"/>
    <w:rsid w:val="00961AD3"/>
    <w:rsid w:val="00961CFD"/>
    <w:rsid w:val="00961EAD"/>
    <w:rsid w:val="009621B2"/>
    <w:rsid w:val="00962543"/>
    <w:rsid w:val="009628A4"/>
    <w:rsid w:val="00962D13"/>
    <w:rsid w:val="00963140"/>
    <w:rsid w:val="0096352D"/>
    <w:rsid w:val="00963AC1"/>
    <w:rsid w:val="00963B2E"/>
    <w:rsid w:val="00963B60"/>
    <w:rsid w:val="00963F31"/>
    <w:rsid w:val="00964474"/>
    <w:rsid w:val="0096450A"/>
    <w:rsid w:val="0096476B"/>
    <w:rsid w:val="00964EC2"/>
    <w:rsid w:val="00965287"/>
    <w:rsid w:val="00965693"/>
    <w:rsid w:val="00965934"/>
    <w:rsid w:val="00965D63"/>
    <w:rsid w:val="009663F8"/>
    <w:rsid w:val="00966E4B"/>
    <w:rsid w:val="00967017"/>
    <w:rsid w:val="00967253"/>
    <w:rsid w:val="00967583"/>
    <w:rsid w:val="00970247"/>
    <w:rsid w:val="009704EE"/>
    <w:rsid w:val="0097077A"/>
    <w:rsid w:val="0097092C"/>
    <w:rsid w:val="00970D03"/>
    <w:rsid w:val="00970F72"/>
    <w:rsid w:val="0097127B"/>
    <w:rsid w:val="00971611"/>
    <w:rsid w:val="00971881"/>
    <w:rsid w:val="00971D58"/>
    <w:rsid w:val="00971D81"/>
    <w:rsid w:val="0097361A"/>
    <w:rsid w:val="0097364D"/>
    <w:rsid w:val="00973778"/>
    <w:rsid w:val="00973A9A"/>
    <w:rsid w:val="00973B0A"/>
    <w:rsid w:val="00973B29"/>
    <w:rsid w:val="00973C62"/>
    <w:rsid w:val="00973E3D"/>
    <w:rsid w:val="00974538"/>
    <w:rsid w:val="009746B3"/>
    <w:rsid w:val="00974C06"/>
    <w:rsid w:val="0097508E"/>
    <w:rsid w:val="00975625"/>
    <w:rsid w:val="0097585C"/>
    <w:rsid w:val="00975CA2"/>
    <w:rsid w:val="00975EC4"/>
    <w:rsid w:val="00976314"/>
    <w:rsid w:val="0097676F"/>
    <w:rsid w:val="00976957"/>
    <w:rsid w:val="0097700F"/>
    <w:rsid w:val="00980057"/>
    <w:rsid w:val="00980680"/>
    <w:rsid w:val="00980F7F"/>
    <w:rsid w:val="009812DC"/>
    <w:rsid w:val="009813A5"/>
    <w:rsid w:val="00981ACB"/>
    <w:rsid w:val="00981DA8"/>
    <w:rsid w:val="00981E5D"/>
    <w:rsid w:val="0098247C"/>
    <w:rsid w:val="00982579"/>
    <w:rsid w:val="00982927"/>
    <w:rsid w:val="00982BB6"/>
    <w:rsid w:val="00983065"/>
    <w:rsid w:val="00983102"/>
    <w:rsid w:val="0098370C"/>
    <w:rsid w:val="009839F6"/>
    <w:rsid w:val="00983B91"/>
    <w:rsid w:val="00983EDF"/>
    <w:rsid w:val="009842A2"/>
    <w:rsid w:val="009842E5"/>
    <w:rsid w:val="00984989"/>
    <w:rsid w:val="00984C5E"/>
    <w:rsid w:val="00984F66"/>
    <w:rsid w:val="0098596E"/>
    <w:rsid w:val="00985D0D"/>
    <w:rsid w:val="00985DF6"/>
    <w:rsid w:val="00985F5C"/>
    <w:rsid w:val="0098615E"/>
    <w:rsid w:val="009864C5"/>
    <w:rsid w:val="00986617"/>
    <w:rsid w:val="00986680"/>
    <w:rsid w:val="00986840"/>
    <w:rsid w:val="009869AE"/>
    <w:rsid w:val="009869EF"/>
    <w:rsid w:val="00987390"/>
    <w:rsid w:val="009875EA"/>
    <w:rsid w:val="009878B3"/>
    <w:rsid w:val="00987989"/>
    <w:rsid w:val="009903FA"/>
    <w:rsid w:val="00990713"/>
    <w:rsid w:val="009909DE"/>
    <w:rsid w:val="00990E94"/>
    <w:rsid w:val="00990EBB"/>
    <w:rsid w:val="00990FAC"/>
    <w:rsid w:val="0099110B"/>
    <w:rsid w:val="009913B1"/>
    <w:rsid w:val="00991D9E"/>
    <w:rsid w:val="00992065"/>
    <w:rsid w:val="009922B2"/>
    <w:rsid w:val="00992387"/>
    <w:rsid w:val="00992695"/>
    <w:rsid w:val="00992734"/>
    <w:rsid w:val="00992B8D"/>
    <w:rsid w:val="009933F5"/>
    <w:rsid w:val="00993512"/>
    <w:rsid w:val="009935BD"/>
    <w:rsid w:val="00993BA3"/>
    <w:rsid w:val="00993C1E"/>
    <w:rsid w:val="00993D66"/>
    <w:rsid w:val="00993F29"/>
    <w:rsid w:val="00994A41"/>
    <w:rsid w:val="00994C1E"/>
    <w:rsid w:val="00994D20"/>
    <w:rsid w:val="00995590"/>
    <w:rsid w:val="0099582E"/>
    <w:rsid w:val="0099587A"/>
    <w:rsid w:val="00995F4C"/>
    <w:rsid w:val="0099601B"/>
    <w:rsid w:val="009960EB"/>
    <w:rsid w:val="009962D8"/>
    <w:rsid w:val="009964CF"/>
    <w:rsid w:val="009966B0"/>
    <w:rsid w:val="009968EE"/>
    <w:rsid w:val="00996A3C"/>
    <w:rsid w:val="00996A94"/>
    <w:rsid w:val="00997377"/>
    <w:rsid w:val="00997666"/>
    <w:rsid w:val="009979A3"/>
    <w:rsid w:val="00997B91"/>
    <w:rsid w:val="00997E04"/>
    <w:rsid w:val="009A100A"/>
    <w:rsid w:val="009A176D"/>
    <w:rsid w:val="009A1B10"/>
    <w:rsid w:val="009A1B8F"/>
    <w:rsid w:val="009A1CA3"/>
    <w:rsid w:val="009A210D"/>
    <w:rsid w:val="009A2310"/>
    <w:rsid w:val="009A3394"/>
    <w:rsid w:val="009A3611"/>
    <w:rsid w:val="009A3735"/>
    <w:rsid w:val="009A415F"/>
    <w:rsid w:val="009A43C8"/>
    <w:rsid w:val="009A49AE"/>
    <w:rsid w:val="009A49C4"/>
    <w:rsid w:val="009A4A23"/>
    <w:rsid w:val="009A513E"/>
    <w:rsid w:val="009A52ED"/>
    <w:rsid w:val="009A60B7"/>
    <w:rsid w:val="009A6500"/>
    <w:rsid w:val="009A6538"/>
    <w:rsid w:val="009A6D77"/>
    <w:rsid w:val="009A6E30"/>
    <w:rsid w:val="009A6EEA"/>
    <w:rsid w:val="009A72D3"/>
    <w:rsid w:val="009B00D8"/>
    <w:rsid w:val="009B04C9"/>
    <w:rsid w:val="009B04F0"/>
    <w:rsid w:val="009B0753"/>
    <w:rsid w:val="009B0C7F"/>
    <w:rsid w:val="009B0CB1"/>
    <w:rsid w:val="009B1A63"/>
    <w:rsid w:val="009B1D00"/>
    <w:rsid w:val="009B2069"/>
    <w:rsid w:val="009B22E6"/>
    <w:rsid w:val="009B23EA"/>
    <w:rsid w:val="009B2693"/>
    <w:rsid w:val="009B26C3"/>
    <w:rsid w:val="009B26D4"/>
    <w:rsid w:val="009B2AE3"/>
    <w:rsid w:val="009B3139"/>
    <w:rsid w:val="009B3189"/>
    <w:rsid w:val="009B3C71"/>
    <w:rsid w:val="009B3D09"/>
    <w:rsid w:val="009B3DA1"/>
    <w:rsid w:val="009B46D8"/>
    <w:rsid w:val="009B480B"/>
    <w:rsid w:val="009B50A3"/>
    <w:rsid w:val="009B54AD"/>
    <w:rsid w:val="009B5614"/>
    <w:rsid w:val="009B5927"/>
    <w:rsid w:val="009B5939"/>
    <w:rsid w:val="009B6A56"/>
    <w:rsid w:val="009B6DD8"/>
    <w:rsid w:val="009B7551"/>
    <w:rsid w:val="009B759C"/>
    <w:rsid w:val="009B75B1"/>
    <w:rsid w:val="009B7900"/>
    <w:rsid w:val="009C0056"/>
    <w:rsid w:val="009C064F"/>
    <w:rsid w:val="009C0658"/>
    <w:rsid w:val="009C09C3"/>
    <w:rsid w:val="009C0A68"/>
    <w:rsid w:val="009C0C94"/>
    <w:rsid w:val="009C10A4"/>
    <w:rsid w:val="009C1234"/>
    <w:rsid w:val="009C159C"/>
    <w:rsid w:val="009C1768"/>
    <w:rsid w:val="009C1E70"/>
    <w:rsid w:val="009C1E8D"/>
    <w:rsid w:val="009C1F15"/>
    <w:rsid w:val="009C21C2"/>
    <w:rsid w:val="009C31F9"/>
    <w:rsid w:val="009C34B3"/>
    <w:rsid w:val="009C3C4C"/>
    <w:rsid w:val="009C4229"/>
    <w:rsid w:val="009C43E7"/>
    <w:rsid w:val="009C4E71"/>
    <w:rsid w:val="009C5339"/>
    <w:rsid w:val="009C5C3E"/>
    <w:rsid w:val="009C5F3A"/>
    <w:rsid w:val="009C6331"/>
    <w:rsid w:val="009C6772"/>
    <w:rsid w:val="009C6AC2"/>
    <w:rsid w:val="009C6C93"/>
    <w:rsid w:val="009C73F6"/>
    <w:rsid w:val="009C76E8"/>
    <w:rsid w:val="009C7891"/>
    <w:rsid w:val="009C7983"/>
    <w:rsid w:val="009C7AF2"/>
    <w:rsid w:val="009D013D"/>
    <w:rsid w:val="009D03C8"/>
    <w:rsid w:val="009D0A94"/>
    <w:rsid w:val="009D0CAF"/>
    <w:rsid w:val="009D1B8F"/>
    <w:rsid w:val="009D1E3E"/>
    <w:rsid w:val="009D2301"/>
    <w:rsid w:val="009D23B1"/>
    <w:rsid w:val="009D24A6"/>
    <w:rsid w:val="009D2639"/>
    <w:rsid w:val="009D27D7"/>
    <w:rsid w:val="009D297A"/>
    <w:rsid w:val="009D38CA"/>
    <w:rsid w:val="009D38D4"/>
    <w:rsid w:val="009D3B7A"/>
    <w:rsid w:val="009D4B76"/>
    <w:rsid w:val="009D5514"/>
    <w:rsid w:val="009D5858"/>
    <w:rsid w:val="009D5DDB"/>
    <w:rsid w:val="009D630B"/>
    <w:rsid w:val="009D6591"/>
    <w:rsid w:val="009D6856"/>
    <w:rsid w:val="009D6B8B"/>
    <w:rsid w:val="009D70F2"/>
    <w:rsid w:val="009D7268"/>
    <w:rsid w:val="009D7391"/>
    <w:rsid w:val="009D73AA"/>
    <w:rsid w:val="009D73CF"/>
    <w:rsid w:val="009D756A"/>
    <w:rsid w:val="009D7612"/>
    <w:rsid w:val="009D7BF9"/>
    <w:rsid w:val="009D7F9D"/>
    <w:rsid w:val="009E06E8"/>
    <w:rsid w:val="009E076B"/>
    <w:rsid w:val="009E0AE9"/>
    <w:rsid w:val="009E0C0C"/>
    <w:rsid w:val="009E12C7"/>
    <w:rsid w:val="009E14F3"/>
    <w:rsid w:val="009E17F5"/>
    <w:rsid w:val="009E2684"/>
    <w:rsid w:val="009E2712"/>
    <w:rsid w:val="009E2DDE"/>
    <w:rsid w:val="009E306F"/>
    <w:rsid w:val="009E3550"/>
    <w:rsid w:val="009E3915"/>
    <w:rsid w:val="009E3D21"/>
    <w:rsid w:val="009E403F"/>
    <w:rsid w:val="009E4351"/>
    <w:rsid w:val="009E439C"/>
    <w:rsid w:val="009E43A9"/>
    <w:rsid w:val="009E4745"/>
    <w:rsid w:val="009E49B7"/>
    <w:rsid w:val="009E4A00"/>
    <w:rsid w:val="009E4A0A"/>
    <w:rsid w:val="009E4D3E"/>
    <w:rsid w:val="009E50DB"/>
    <w:rsid w:val="009E5606"/>
    <w:rsid w:val="009E5878"/>
    <w:rsid w:val="009E5AE8"/>
    <w:rsid w:val="009E5BAD"/>
    <w:rsid w:val="009E5C37"/>
    <w:rsid w:val="009E5E9C"/>
    <w:rsid w:val="009E616B"/>
    <w:rsid w:val="009E6325"/>
    <w:rsid w:val="009E6330"/>
    <w:rsid w:val="009E6A40"/>
    <w:rsid w:val="009E725E"/>
    <w:rsid w:val="009E79DB"/>
    <w:rsid w:val="009F0373"/>
    <w:rsid w:val="009F0E2E"/>
    <w:rsid w:val="009F1187"/>
    <w:rsid w:val="009F13BE"/>
    <w:rsid w:val="009F1753"/>
    <w:rsid w:val="009F1A3F"/>
    <w:rsid w:val="009F2399"/>
    <w:rsid w:val="009F23A4"/>
    <w:rsid w:val="009F2A3F"/>
    <w:rsid w:val="009F2D15"/>
    <w:rsid w:val="009F2EA5"/>
    <w:rsid w:val="009F322A"/>
    <w:rsid w:val="009F3235"/>
    <w:rsid w:val="009F37B3"/>
    <w:rsid w:val="009F38FA"/>
    <w:rsid w:val="009F3BD2"/>
    <w:rsid w:val="009F3C96"/>
    <w:rsid w:val="009F3CD0"/>
    <w:rsid w:val="009F3DF7"/>
    <w:rsid w:val="009F3E14"/>
    <w:rsid w:val="009F4232"/>
    <w:rsid w:val="009F43AF"/>
    <w:rsid w:val="009F46C7"/>
    <w:rsid w:val="009F4AE2"/>
    <w:rsid w:val="009F4D26"/>
    <w:rsid w:val="009F4EF0"/>
    <w:rsid w:val="009F4F62"/>
    <w:rsid w:val="009F50DF"/>
    <w:rsid w:val="009F5D65"/>
    <w:rsid w:val="009F5E31"/>
    <w:rsid w:val="009F61DD"/>
    <w:rsid w:val="009F61FB"/>
    <w:rsid w:val="009F6452"/>
    <w:rsid w:val="009F6549"/>
    <w:rsid w:val="009F6816"/>
    <w:rsid w:val="009F69F8"/>
    <w:rsid w:val="009F6A03"/>
    <w:rsid w:val="009F745F"/>
    <w:rsid w:val="009F785E"/>
    <w:rsid w:val="009F7C13"/>
    <w:rsid w:val="00A001FC"/>
    <w:rsid w:val="00A0065E"/>
    <w:rsid w:val="00A00EEE"/>
    <w:rsid w:val="00A00F7A"/>
    <w:rsid w:val="00A01057"/>
    <w:rsid w:val="00A01079"/>
    <w:rsid w:val="00A011CA"/>
    <w:rsid w:val="00A0128C"/>
    <w:rsid w:val="00A012D5"/>
    <w:rsid w:val="00A0162C"/>
    <w:rsid w:val="00A0175D"/>
    <w:rsid w:val="00A0186C"/>
    <w:rsid w:val="00A019AC"/>
    <w:rsid w:val="00A01B32"/>
    <w:rsid w:val="00A01B8E"/>
    <w:rsid w:val="00A01E6C"/>
    <w:rsid w:val="00A0226D"/>
    <w:rsid w:val="00A02472"/>
    <w:rsid w:val="00A0265B"/>
    <w:rsid w:val="00A02F1A"/>
    <w:rsid w:val="00A02F7D"/>
    <w:rsid w:val="00A031B7"/>
    <w:rsid w:val="00A0380D"/>
    <w:rsid w:val="00A03F5D"/>
    <w:rsid w:val="00A04028"/>
    <w:rsid w:val="00A042E6"/>
    <w:rsid w:val="00A04BB6"/>
    <w:rsid w:val="00A04CA1"/>
    <w:rsid w:val="00A04D82"/>
    <w:rsid w:val="00A04E38"/>
    <w:rsid w:val="00A058A4"/>
    <w:rsid w:val="00A058FB"/>
    <w:rsid w:val="00A05C48"/>
    <w:rsid w:val="00A0647C"/>
    <w:rsid w:val="00A0648A"/>
    <w:rsid w:val="00A066E7"/>
    <w:rsid w:val="00A068B9"/>
    <w:rsid w:val="00A06A46"/>
    <w:rsid w:val="00A06C41"/>
    <w:rsid w:val="00A0711C"/>
    <w:rsid w:val="00A07144"/>
    <w:rsid w:val="00A07D2D"/>
    <w:rsid w:val="00A102A0"/>
    <w:rsid w:val="00A10546"/>
    <w:rsid w:val="00A108F1"/>
    <w:rsid w:val="00A10A3B"/>
    <w:rsid w:val="00A10ECF"/>
    <w:rsid w:val="00A11161"/>
    <w:rsid w:val="00A11342"/>
    <w:rsid w:val="00A11417"/>
    <w:rsid w:val="00A11866"/>
    <w:rsid w:val="00A11A17"/>
    <w:rsid w:val="00A11CA7"/>
    <w:rsid w:val="00A11D77"/>
    <w:rsid w:val="00A11E94"/>
    <w:rsid w:val="00A125C6"/>
    <w:rsid w:val="00A1315B"/>
    <w:rsid w:val="00A132F7"/>
    <w:rsid w:val="00A13486"/>
    <w:rsid w:val="00A13721"/>
    <w:rsid w:val="00A13D8A"/>
    <w:rsid w:val="00A14504"/>
    <w:rsid w:val="00A14A03"/>
    <w:rsid w:val="00A14C44"/>
    <w:rsid w:val="00A14F43"/>
    <w:rsid w:val="00A1505B"/>
    <w:rsid w:val="00A15A51"/>
    <w:rsid w:val="00A15DA2"/>
    <w:rsid w:val="00A1616C"/>
    <w:rsid w:val="00A16349"/>
    <w:rsid w:val="00A16A89"/>
    <w:rsid w:val="00A16EA9"/>
    <w:rsid w:val="00A173B2"/>
    <w:rsid w:val="00A17574"/>
    <w:rsid w:val="00A176D6"/>
    <w:rsid w:val="00A17B3C"/>
    <w:rsid w:val="00A201D8"/>
    <w:rsid w:val="00A202D2"/>
    <w:rsid w:val="00A210A3"/>
    <w:rsid w:val="00A210C2"/>
    <w:rsid w:val="00A2134F"/>
    <w:rsid w:val="00A214A9"/>
    <w:rsid w:val="00A21C05"/>
    <w:rsid w:val="00A21CE8"/>
    <w:rsid w:val="00A21E7D"/>
    <w:rsid w:val="00A2247E"/>
    <w:rsid w:val="00A228D4"/>
    <w:rsid w:val="00A22E04"/>
    <w:rsid w:val="00A23058"/>
    <w:rsid w:val="00A23322"/>
    <w:rsid w:val="00A235FB"/>
    <w:rsid w:val="00A2370C"/>
    <w:rsid w:val="00A239A0"/>
    <w:rsid w:val="00A23A44"/>
    <w:rsid w:val="00A23BD1"/>
    <w:rsid w:val="00A23DFC"/>
    <w:rsid w:val="00A23E0C"/>
    <w:rsid w:val="00A2413C"/>
    <w:rsid w:val="00A241E1"/>
    <w:rsid w:val="00A244A1"/>
    <w:rsid w:val="00A25379"/>
    <w:rsid w:val="00A25460"/>
    <w:rsid w:val="00A255D4"/>
    <w:rsid w:val="00A2572B"/>
    <w:rsid w:val="00A25788"/>
    <w:rsid w:val="00A257DF"/>
    <w:rsid w:val="00A259B5"/>
    <w:rsid w:val="00A2646E"/>
    <w:rsid w:val="00A26555"/>
    <w:rsid w:val="00A26568"/>
    <w:rsid w:val="00A268C6"/>
    <w:rsid w:val="00A26C83"/>
    <w:rsid w:val="00A26E9A"/>
    <w:rsid w:val="00A26F28"/>
    <w:rsid w:val="00A2734B"/>
    <w:rsid w:val="00A27BF5"/>
    <w:rsid w:val="00A27C7C"/>
    <w:rsid w:val="00A27CBB"/>
    <w:rsid w:val="00A30B1A"/>
    <w:rsid w:val="00A31030"/>
    <w:rsid w:val="00A310D7"/>
    <w:rsid w:val="00A312B6"/>
    <w:rsid w:val="00A314E6"/>
    <w:rsid w:val="00A316CF"/>
    <w:rsid w:val="00A31B83"/>
    <w:rsid w:val="00A32208"/>
    <w:rsid w:val="00A327B4"/>
    <w:rsid w:val="00A32B5B"/>
    <w:rsid w:val="00A32FA8"/>
    <w:rsid w:val="00A33028"/>
    <w:rsid w:val="00A3312E"/>
    <w:rsid w:val="00A33A30"/>
    <w:rsid w:val="00A33BED"/>
    <w:rsid w:val="00A33D2A"/>
    <w:rsid w:val="00A33F0E"/>
    <w:rsid w:val="00A3424A"/>
    <w:rsid w:val="00A34695"/>
    <w:rsid w:val="00A34B71"/>
    <w:rsid w:val="00A34B9F"/>
    <w:rsid w:val="00A34D6C"/>
    <w:rsid w:val="00A35674"/>
    <w:rsid w:val="00A35C67"/>
    <w:rsid w:val="00A35D56"/>
    <w:rsid w:val="00A35E45"/>
    <w:rsid w:val="00A35F33"/>
    <w:rsid w:val="00A365E6"/>
    <w:rsid w:val="00A36615"/>
    <w:rsid w:val="00A366F7"/>
    <w:rsid w:val="00A36907"/>
    <w:rsid w:val="00A36925"/>
    <w:rsid w:val="00A3739D"/>
    <w:rsid w:val="00A37432"/>
    <w:rsid w:val="00A3762D"/>
    <w:rsid w:val="00A37784"/>
    <w:rsid w:val="00A37C63"/>
    <w:rsid w:val="00A37CD0"/>
    <w:rsid w:val="00A37FDF"/>
    <w:rsid w:val="00A40015"/>
    <w:rsid w:val="00A405CB"/>
    <w:rsid w:val="00A4078D"/>
    <w:rsid w:val="00A409CD"/>
    <w:rsid w:val="00A40CB5"/>
    <w:rsid w:val="00A415A7"/>
    <w:rsid w:val="00A41821"/>
    <w:rsid w:val="00A41F19"/>
    <w:rsid w:val="00A42907"/>
    <w:rsid w:val="00A42B05"/>
    <w:rsid w:val="00A42C21"/>
    <w:rsid w:val="00A42FC6"/>
    <w:rsid w:val="00A433E2"/>
    <w:rsid w:val="00A4343D"/>
    <w:rsid w:val="00A434C0"/>
    <w:rsid w:val="00A43721"/>
    <w:rsid w:val="00A438AA"/>
    <w:rsid w:val="00A44144"/>
    <w:rsid w:val="00A4433F"/>
    <w:rsid w:val="00A44460"/>
    <w:rsid w:val="00A44767"/>
    <w:rsid w:val="00A44C2D"/>
    <w:rsid w:val="00A44ED0"/>
    <w:rsid w:val="00A44FD9"/>
    <w:rsid w:val="00A45846"/>
    <w:rsid w:val="00A461A6"/>
    <w:rsid w:val="00A463DB"/>
    <w:rsid w:val="00A4663E"/>
    <w:rsid w:val="00A46742"/>
    <w:rsid w:val="00A46770"/>
    <w:rsid w:val="00A46898"/>
    <w:rsid w:val="00A46EF0"/>
    <w:rsid w:val="00A46F84"/>
    <w:rsid w:val="00A47701"/>
    <w:rsid w:val="00A47A50"/>
    <w:rsid w:val="00A47BE5"/>
    <w:rsid w:val="00A47C9D"/>
    <w:rsid w:val="00A5024E"/>
    <w:rsid w:val="00A502CC"/>
    <w:rsid w:val="00A5038C"/>
    <w:rsid w:val="00A5043B"/>
    <w:rsid w:val="00A50732"/>
    <w:rsid w:val="00A50876"/>
    <w:rsid w:val="00A50CB8"/>
    <w:rsid w:val="00A50FA8"/>
    <w:rsid w:val="00A510CA"/>
    <w:rsid w:val="00A51920"/>
    <w:rsid w:val="00A519D9"/>
    <w:rsid w:val="00A51B11"/>
    <w:rsid w:val="00A51B76"/>
    <w:rsid w:val="00A52CD5"/>
    <w:rsid w:val="00A52D6F"/>
    <w:rsid w:val="00A52DDD"/>
    <w:rsid w:val="00A52F06"/>
    <w:rsid w:val="00A52F8B"/>
    <w:rsid w:val="00A53375"/>
    <w:rsid w:val="00A53797"/>
    <w:rsid w:val="00A537D0"/>
    <w:rsid w:val="00A5386D"/>
    <w:rsid w:val="00A53D2E"/>
    <w:rsid w:val="00A53D77"/>
    <w:rsid w:val="00A53EDD"/>
    <w:rsid w:val="00A540A5"/>
    <w:rsid w:val="00A5479C"/>
    <w:rsid w:val="00A549A7"/>
    <w:rsid w:val="00A54C6F"/>
    <w:rsid w:val="00A54F78"/>
    <w:rsid w:val="00A5533F"/>
    <w:rsid w:val="00A55FDF"/>
    <w:rsid w:val="00A566D7"/>
    <w:rsid w:val="00A567FE"/>
    <w:rsid w:val="00A56B9A"/>
    <w:rsid w:val="00A56CA4"/>
    <w:rsid w:val="00A57000"/>
    <w:rsid w:val="00A57169"/>
    <w:rsid w:val="00A57247"/>
    <w:rsid w:val="00A5724B"/>
    <w:rsid w:val="00A5745A"/>
    <w:rsid w:val="00A5751D"/>
    <w:rsid w:val="00A5756D"/>
    <w:rsid w:val="00A578CA"/>
    <w:rsid w:val="00A60301"/>
    <w:rsid w:val="00A606CE"/>
    <w:rsid w:val="00A608C2"/>
    <w:rsid w:val="00A60E8A"/>
    <w:rsid w:val="00A60F59"/>
    <w:rsid w:val="00A611D4"/>
    <w:rsid w:val="00A613AA"/>
    <w:rsid w:val="00A618BA"/>
    <w:rsid w:val="00A61E9D"/>
    <w:rsid w:val="00A61F1E"/>
    <w:rsid w:val="00A629EA"/>
    <w:rsid w:val="00A62CEF"/>
    <w:rsid w:val="00A6330E"/>
    <w:rsid w:val="00A64064"/>
    <w:rsid w:val="00A640F9"/>
    <w:rsid w:val="00A64123"/>
    <w:rsid w:val="00A645CE"/>
    <w:rsid w:val="00A647A9"/>
    <w:rsid w:val="00A647EC"/>
    <w:rsid w:val="00A64DA9"/>
    <w:rsid w:val="00A653F1"/>
    <w:rsid w:val="00A65940"/>
    <w:rsid w:val="00A65E9B"/>
    <w:rsid w:val="00A6612C"/>
    <w:rsid w:val="00A6619B"/>
    <w:rsid w:val="00A66C67"/>
    <w:rsid w:val="00A6788B"/>
    <w:rsid w:val="00A67DFF"/>
    <w:rsid w:val="00A702C1"/>
    <w:rsid w:val="00A7030D"/>
    <w:rsid w:val="00A706C9"/>
    <w:rsid w:val="00A70BAF"/>
    <w:rsid w:val="00A7106C"/>
    <w:rsid w:val="00A711EA"/>
    <w:rsid w:val="00A712E0"/>
    <w:rsid w:val="00A71407"/>
    <w:rsid w:val="00A71505"/>
    <w:rsid w:val="00A717B1"/>
    <w:rsid w:val="00A71821"/>
    <w:rsid w:val="00A72056"/>
    <w:rsid w:val="00A7226F"/>
    <w:rsid w:val="00A722DA"/>
    <w:rsid w:val="00A723CE"/>
    <w:rsid w:val="00A72909"/>
    <w:rsid w:val="00A72A30"/>
    <w:rsid w:val="00A72B28"/>
    <w:rsid w:val="00A72E4C"/>
    <w:rsid w:val="00A73032"/>
    <w:rsid w:val="00A7310F"/>
    <w:rsid w:val="00A7380F"/>
    <w:rsid w:val="00A73D24"/>
    <w:rsid w:val="00A73E96"/>
    <w:rsid w:val="00A74181"/>
    <w:rsid w:val="00A743F3"/>
    <w:rsid w:val="00A7482B"/>
    <w:rsid w:val="00A74A4F"/>
    <w:rsid w:val="00A74AEB"/>
    <w:rsid w:val="00A74D59"/>
    <w:rsid w:val="00A74EFC"/>
    <w:rsid w:val="00A754F6"/>
    <w:rsid w:val="00A755D2"/>
    <w:rsid w:val="00A7570B"/>
    <w:rsid w:val="00A75989"/>
    <w:rsid w:val="00A75B62"/>
    <w:rsid w:val="00A7639E"/>
    <w:rsid w:val="00A767EB"/>
    <w:rsid w:val="00A769C1"/>
    <w:rsid w:val="00A76AF1"/>
    <w:rsid w:val="00A76F78"/>
    <w:rsid w:val="00A77D68"/>
    <w:rsid w:val="00A77DB6"/>
    <w:rsid w:val="00A80909"/>
    <w:rsid w:val="00A80DE7"/>
    <w:rsid w:val="00A81914"/>
    <w:rsid w:val="00A81FA4"/>
    <w:rsid w:val="00A82195"/>
    <w:rsid w:val="00A82656"/>
    <w:rsid w:val="00A827F7"/>
    <w:rsid w:val="00A82B74"/>
    <w:rsid w:val="00A838B3"/>
    <w:rsid w:val="00A8391D"/>
    <w:rsid w:val="00A83A75"/>
    <w:rsid w:val="00A83D40"/>
    <w:rsid w:val="00A844B1"/>
    <w:rsid w:val="00A846E6"/>
    <w:rsid w:val="00A848A7"/>
    <w:rsid w:val="00A848DB"/>
    <w:rsid w:val="00A84A6D"/>
    <w:rsid w:val="00A84AF9"/>
    <w:rsid w:val="00A84D6B"/>
    <w:rsid w:val="00A85268"/>
    <w:rsid w:val="00A857C1"/>
    <w:rsid w:val="00A85B6C"/>
    <w:rsid w:val="00A85C9D"/>
    <w:rsid w:val="00A86857"/>
    <w:rsid w:val="00A8687D"/>
    <w:rsid w:val="00A86A18"/>
    <w:rsid w:val="00A86C85"/>
    <w:rsid w:val="00A86CD6"/>
    <w:rsid w:val="00A8763A"/>
    <w:rsid w:val="00A8792A"/>
    <w:rsid w:val="00A8796F"/>
    <w:rsid w:val="00A87E8D"/>
    <w:rsid w:val="00A90038"/>
    <w:rsid w:val="00A9024A"/>
    <w:rsid w:val="00A9025A"/>
    <w:rsid w:val="00A91212"/>
    <w:rsid w:val="00A91B5E"/>
    <w:rsid w:val="00A91C0E"/>
    <w:rsid w:val="00A91F45"/>
    <w:rsid w:val="00A9293B"/>
    <w:rsid w:val="00A92A86"/>
    <w:rsid w:val="00A92FA6"/>
    <w:rsid w:val="00A93084"/>
    <w:rsid w:val="00A9398C"/>
    <w:rsid w:val="00A93AAF"/>
    <w:rsid w:val="00A9434D"/>
    <w:rsid w:val="00A94650"/>
    <w:rsid w:val="00A94771"/>
    <w:rsid w:val="00A94790"/>
    <w:rsid w:val="00A94885"/>
    <w:rsid w:val="00A94CD2"/>
    <w:rsid w:val="00A9544C"/>
    <w:rsid w:val="00A95D7A"/>
    <w:rsid w:val="00A95EF0"/>
    <w:rsid w:val="00A95F89"/>
    <w:rsid w:val="00A96005"/>
    <w:rsid w:val="00A964E1"/>
    <w:rsid w:val="00A96F58"/>
    <w:rsid w:val="00A97D3E"/>
    <w:rsid w:val="00AA01AD"/>
    <w:rsid w:val="00AA0205"/>
    <w:rsid w:val="00AA05C2"/>
    <w:rsid w:val="00AA07CF"/>
    <w:rsid w:val="00AA0889"/>
    <w:rsid w:val="00AA0988"/>
    <w:rsid w:val="00AA0DC6"/>
    <w:rsid w:val="00AA15C9"/>
    <w:rsid w:val="00AA1FC5"/>
    <w:rsid w:val="00AA25C4"/>
    <w:rsid w:val="00AA2EFD"/>
    <w:rsid w:val="00AA2F8D"/>
    <w:rsid w:val="00AA30D5"/>
    <w:rsid w:val="00AA3245"/>
    <w:rsid w:val="00AA3B46"/>
    <w:rsid w:val="00AA42F4"/>
    <w:rsid w:val="00AA4685"/>
    <w:rsid w:val="00AA4BC6"/>
    <w:rsid w:val="00AA52C5"/>
    <w:rsid w:val="00AA53C8"/>
    <w:rsid w:val="00AA59EA"/>
    <w:rsid w:val="00AA5D7D"/>
    <w:rsid w:val="00AA67BA"/>
    <w:rsid w:val="00AA6817"/>
    <w:rsid w:val="00AA6E8B"/>
    <w:rsid w:val="00AA6FF0"/>
    <w:rsid w:val="00AA7005"/>
    <w:rsid w:val="00AA76B4"/>
    <w:rsid w:val="00AA76FC"/>
    <w:rsid w:val="00AA76FE"/>
    <w:rsid w:val="00AA7716"/>
    <w:rsid w:val="00AA7D60"/>
    <w:rsid w:val="00AB01F2"/>
    <w:rsid w:val="00AB0859"/>
    <w:rsid w:val="00AB09FF"/>
    <w:rsid w:val="00AB0E43"/>
    <w:rsid w:val="00AB12FD"/>
    <w:rsid w:val="00AB163C"/>
    <w:rsid w:val="00AB1DEE"/>
    <w:rsid w:val="00AB1E80"/>
    <w:rsid w:val="00AB2C02"/>
    <w:rsid w:val="00AB2D7F"/>
    <w:rsid w:val="00AB2E21"/>
    <w:rsid w:val="00AB38BF"/>
    <w:rsid w:val="00AB3A8B"/>
    <w:rsid w:val="00AB3B01"/>
    <w:rsid w:val="00AB4149"/>
    <w:rsid w:val="00AB4BAF"/>
    <w:rsid w:val="00AB4EF2"/>
    <w:rsid w:val="00AB51EC"/>
    <w:rsid w:val="00AB5498"/>
    <w:rsid w:val="00AB5D28"/>
    <w:rsid w:val="00AB61E3"/>
    <w:rsid w:val="00AB6551"/>
    <w:rsid w:val="00AB65B2"/>
    <w:rsid w:val="00AB674F"/>
    <w:rsid w:val="00AB69F9"/>
    <w:rsid w:val="00AB6E6B"/>
    <w:rsid w:val="00AB6EB9"/>
    <w:rsid w:val="00AB6FF6"/>
    <w:rsid w:val="00AB7222"/>
    <w:rsid w:val="00AB737D"/>
    <w:rsid w:val="00AB75C7"/>
    <w:rsid w:val="00AB7E44"/>
    <w:rsid w:val="00AC0351"/>
    <w:rsid w:val="00AC082C"/>
    <w:rsid w:val="00AC1694"/>
    <w:rsid w:val="00AC17CC"/>
    <w:rsid w:val="00AC18F8"/>
    <w:rsid w:val="00AC19AC"/>
    <w:rsid w:val="00AC1B54"/>
    <w:rsid w:val="00AC229B"/>
    <w:rsid w:val="00AC23FD"/>
    <w:rsid w:val="00AC2853"/>
    <w:rsid w:val="00AC306D"/>
    <w:rsid w:val="00AC33C0"/>
    <w:rsid w:val="00AC3A6C"/>
    <w:rsid w:val="00AC3F82"/>
    <w:rsid w:val="00AC4057"/>
    <w:rsid w:val="00AC42ED"/>
    <w:rsid w:val="00AC43E2"/>
    <w:rsid w:val="00AC536F"/>
    <w:rsid w:val="00AC55FF"/>
    <w:rsid w:val="00AC68A8"/>
    <w:rsid w:val="00AC6B50"/>
    <w:rsid w:val="00AC6C90"/>
    <w:rsid w:val="00AC706C"/>
    <w:rsid w:val="00AC73EF"/>
    <w:rsid w:val="00AC76A2"/>
    <w:rsid w:val="00AC7815"/>
    <w:rsid w:val="00AC781E"/>
    <w:rsid w:val="00AC7A68"/>
    <w:rsid w:val="00AC7B37"/>
    <w:rsid w:val="00AD0376"/>
    <w:rsid w:val="00AD0413"/>
    <w:rsid w:val="00AD05A4"/>
    <w:rsid w:val="00AD0D71"/>
    <w:rsid w:val="00AD0EBF"/>
    <w:rsid w:val="00AD11FA"/>
    <w:rsid w:val="00AD1227"/>
    <w:rsid w:val="00AD132C"/>
    <w:rsid w:val="00AD1BF2"/>
    <w:rsid w:val="00AD1E31"/>
    <w:rsid w:val="00AD1FA2"/>
    <w:rsid w:val="00AD234A"/>
    <w:rsid w:val="00AD27F2"/>
    <w:rsid w:val="00AD2CEB"/>
    <w:rsid w:val="00AD2FAA"/>
    <w:rsid w:val="00AD3267"/>
    <w:rsid w:val="00AD376D"/>
    <w:rsid w:val="00AD3932"/>
    <w:rsid w:val="00AD39C1"/>
    <w:rsid w:val="00AD3BB2"/>
    <w:rsid w:val="00AD42DA"/>
    <w:rsid w:val="00AD42EA"/>
    <w:rsid w:val="00AD4371"/>
    <w:rsid w:val="00AD463F"/>
    <w:rsid w:val="00AD47CC"/>
    <w:rsid w:val="00AD48A9"/>
    <w:rsid w:val="00AD4D40"/>
    <w:rsid w:val="00AD4F58"/>
    <w:rsid w:val="00AD59B2"/>
    <w:rsid w:val="00AD5A9A"/>
    <w:rsid w:val="00AD5BC9"/>
    <w:rsid w:val="00AD5D22"/>
    <w:rsid w:val="00AD62CA"/>
    <w:rsid w:val="00AD644E"/>
    <w:rsid w:val="00AD64F5"/>
    <w:rsid w:val="00AD6920"/>
    <w:rsid w:val="00AD6A59"/>
    <w:rsid w:val="00AD7059"/>
    <w:rsid w:val="00AD75C6"/>
    <w:rsid w:val="00AD7608"/>
    <w:rsid w:val="00AD7A92"/>
    <w:rsid w:val="00AD7ADA"/>
    <w:rsid w:val="00AE0119"/>
    <w:rsid w:val="00AE034D"/>
    <w:rsid w:val="00AE08EA"/>
    <w:rsid w:val="00AE094E"/>
    <w:rsid w:val="00AE098B"/>
    <w:rsid w:val="00AE0C55"/>
    <w:rsid w:val="00AE0CDA"/>
    <w:rsid w:val="00AE10FB"/>
    <w:rsid w:val="00AE1BD5"/>
    <w:rsid w:val="00AE1EB1"/>
    <w:rsid w:val="00AE23D2"/>
    <w:rsid w:val="00AE24C8"/>
    <w:rsid w:val="00AE2773"/>
    <w:rsid w:val="00AE2A95"/>
    <w:rsid w:val="00AE2B08"/>
    <w:rsid w:val="00AE2B7B"/>
    <w:rsid w:val="00AE2F94"/>
    <w:rsid w:val="00AE3CBB"/>
    <w:rsid w:val="00AE41D5"/>
    <w:rsid w:val="00AE47E5"/>
    <w:rsid w:val="00AE4984"/>
    <w:rsid w:val="00AE4A4D"/>
    <w:rsid w:val="00AE52C3"/>
    <w:rsid w:val="00AE5789"/>
    <w:rsid w:val="00AE5F08"/>
    <w:rsid w:val="00AE6019"/>
    <w:rsid w:val="00AE6328"/>
    <w:rsid w:val="00AE6664"/>
    <w:rsid w:val="00AE69F1"/>
    <w:rsid w:val="00AE6C7B"/>
    <w:rsid w:val="00AE6DB4"/>
    <w:rsid w:val="00AE7050"/>
    <w:rsid w:val="00AE7321"/>
    <w:rsid w:val="00AE74A0"/>
    <w:rsid w:val="00AE7DCB"/>
    <w:rsid w:val="00AE7F8A"/>
    <w:rsid w:val="00AF0764"/>
    <w:rsid w:val="00AF0A3A"/>
    <w:rsid w:val="00AF0B53"/>
    <w:rsid w:val="00AF1A5D"/>
    <w:rsid w:val="00AF1F9B"/>
    <w:rsid w:val="00AF21B2"/>
    <w:rsid w:val="00AF22FD"/>
    <w:rsid w:val="00AF295E"/>
    <w:rsid w:val="00AF2CEF"/>
    <w:rsid w:val="00AF2D23"/>
    <w:rsid w:val="00AF2EE5"/>
    <w:rsid w:val="00AF2F1D"/>
    <w:rsid w:val="00AF2F3A"/>
    <w:rsid w:val="00AF2FAB"/>
    <w:rsid w:val="00AF32B9"/>
    <w:rsid w:val="00AF3351"/>
    <w:rsid w:val="00AF36B4"/>
    <w:rsid w:val="00AF3D41"/>
    <w:rsid w:val="00AF3EDF"/>
    <w:rsid w:val="00AF43F0"/>
    <w:rsid w:val="00AF5339"/>
    <w:rsid w:val="00AF5817"/>
    <w:rsid w:val="00AF5C11"/>
    <w:rsid w:val="00AF5E66"/>
    <w:rsid w:val="00AF62E6"/>
    <w:rsid w:val="00AF669B"/>
    <w:rsid w:val="00AF66AA"/>
    <w:rsid w:val="00AF6FFC"/>
    <w:rsid w:val="00AF70DB"/>
    <w:rsid w:val="00AF7E6F"/>
    <w:rsid w:val="00B00EDC"/>
    <w:rsid w:val="00B015A6"/>
    <w:rsid w:val="00B020F6"/>
    <w:rsid w:val="00B02BBF"/>
    <w:rsid w:val="00B02BE3"/>
    <w:rsid w:val="00B02C15"/>
    <w:rsid w:val="00B03177"/>
    <w:rsid w:val="00B031EF"/>
    <w:rsid w:val="00B03836"/>
    <w:rsid w:val="00B039F2"/>
    <w:rsid w:val="00B03FC3"/>
    <w:rsid w:val="00B04131"/>
    <w:rsid w:val="00B042AA"/>
    <w:rsid w:val="00B04393"/>
    <w:rsid w:val="00B0463C"/>
    <w:rsid w:val="00B04FB9"/>
    <w:rsid w:val="00B05037"/>
    <w:rsid w:val="00B05097"/>
    <w:rsid w:val="00B05353"/>
    <w:rsid w:val="00B057C8"/>
    <w:rsid w:val="00B0598A"/>
    <w:rsid w:val="00B05EC9"/>
    <w:rsid w:val="00B05F22"/>
    <w:rsid w:val="00B063E4"/>
    <w:rsid w:val="00B0643B"/>
    <w:rsid w:val="00B067C7"/>
    <w:rsid w:val="00B067DE"/>
    <w:rsid w:val="00B06BB6"/>
    <w:rsid w:val="00B0767D"/>
    <w:rsid w:val="00B07B23"/>
    <w:rsid w:val="00B07B2D"/>
    <w:rsid w:val="00B07E62"/>
    <w:rsid w:val="00B10929"/>
    <w:rsid w:val="00B109CC"/>
    <w:rsid w:val="00B10B6C"/>
    <w:rsid w:val="00B10F63"/>
    <w:rsid w:val="00B11338"/>
    <w:rsid w:val="00B114D8"/>
    <w:rsid w:val="00B1196D"/>
    <w:rsid w:val="00B11EF0"/>
    <w:rsid w:val="00B12100"/>
    <w:rsid w:val="00B12FC8"/>
    <w:rsid w:val="00B136F6"/>
    <w:rsid w:val="00B13CA3"/>
    <w:rsid w:val="00B13E33"/>
    <w:rsid w:val="00B143A8"/>
    <w:rsid w:val="00B14B38"/>
    <w:rsid w:val="00B14E49"/>
    <w:rsid w:val="00B15629"/>
    <w:rsid w:val="00B1567C"/>
    <w:rsid w:val="00B1569E"/>
    <w:rsid w:val="00B15A33"/>
    <w:rsid w:val="00B15E13"/>
    <w:rsid w:val="00B15E68"/>
    <w:rsid w:val="00B16078"/>
    <w:rsid w:val="00B1661A"/>
    <w:rsid w:val="00B16658"/>
    <w:rsid w:val="00B16A83"/>
    <w:rsid w:val="00B17096"/>
    <w:rsid w:val="00B17A19"/>
    <w:rsid w:val="00B17D74"/>
    <w:rsid w:val="00B17EE2"/>
    <w:rsid w:val="00B2057A"/>
    <w:rsid w:val="00B2067D"/>
    <w:rsid w:val="00B209BD"/>
    <w:rsid w:val="00B20FFE"/>
    <w:rsid w:val="00B2130F"/>
    <w:rsid w:val="00B21855"/>
    <w:rsid w:val="00B219B5"/>
    <w:rsid w:val="00B219CF"/>
    <w:rsid w:val="00B221A1"/>
    <w:rsid w:val="00B22590"/>
    <w:rsid w:val="00B22E2D"/>
    <w:rsid w:val="00B22F10"/>
    <w:rsid w:val="00B22F42"/>
    <w:rsid w:val="00B2323B"/>
    <w:rsid w:val="00B235D9"/>
    <w:rsid w:val="00B237C9"/>
    <w:rsid w:val="00B23994"/>
    <w:rsid w:val="00B23DA8"/>
    <w:rsid w:val="00B24A27"/>
    <w:rsid w:val="00B24D36"/>
    <w:rsid w:val="00B24D87"/>
    <w:rsid w:val="00B25453"/>
    <w:rsid w:val="00B254E2"/>
    <w:rsid w:val="00B25750"/>
    <w:rsid w:val="00B25AB1"/>
    <w:rsid w:val="00B262BF"/>
    <w:rsid w:val="00B26740"/>
    <w:rsid w:val="00B26F30"/>
    <w:rsid w:val="00B270D3"/>
    <w:rsid w:val="00B2772C"/>
    <w:rsid w:val="00B27B8E"/>
    <w:rsid w:val="00B27E58"/>
    <w:rsid w:val="00B30360"/>
    <w:rsid w:val="00B305EF"/>
    <w:rsid w:val="00B3138F"/>
    <w:rsid w:val="00B324F5"/>
    <w:rsid w:val="00B32969"/>
    <w:rsid w:val="00B32EAF"/>
    <w:rsid w:val="00B32F96"/>
    <w:rsid w:val="00B3300D"/>
    <w:rsid w:val="00B332EA"/>
    <w:rsid w:val="00B334CF"/>
    <w:rsid w:val="00B33729"/>
    <w:rsid w:val="00B33B87"/>
    <w:rsid w:val="00B33E42"/>
    <w:rsid w:val="00B342AF"/>
    <w:rsid w:val="00B3446B"/>
    <w:rsid w:val="00B3489F"/>
    <w:rsid w:val="00B34996"/>
    <w:rsid w:val="00B34B3E"/>
    <w:rsid w:val="00B34F0D"/>
    <w:rsid w:val="00B35B06"/>
    <w:rsid w:val="00B35BE6"/>
    <w:rsid w:val="00B35C92"/>
    <w:rsid w:val="00B363A7"/>
    <w:rsid w:val="00B36509"/>
    <w:rsid w:val="00B36BA2"/>
    <w:rsid w:val="00B36C36"/>
    <w:rsid w:val="00B37174"/>
    <w:rsid w:val="00B37ACE"/>
    <w:rsid w:val="00B37F6C"/>
    <w:rsid w:val="00B4023C"/>
    <w:rsid w:val="00B4080A"/>
    <w:rsid w:val="00B4097F"/>
    <w:rsid w:val="00B409A9"/>
    <w:rsid w:val="00B412A6"/>
    <w:rsid w:val="00B4182C"/>
    <w:rsid w:val="00B41F1A"/>
    <w:rsid w:val="00B42795"/>
    <w:rsid w:val="00B42CB3"/>
    <w:rsid w:val="00B42E85"/>
    <w:rsid w:val="00B438EE"/>
    <w:rsid w:val="00B439EB"/>
    <w:rsid w:val="00B43B05"/>
    <w:rsid w:val="00B43E1B"/>
    <w:rsid w:val="00B43FCF"/>
    <w:rsid w:val="00B44021"/>
    <w:rsid w:val="00B44D24"/>
    <w:rsid w:val="00B45373"/>
    <w:rsid w:val="00B45470"/>
    <w:rsid w:val="00B45569"/>
    <w:rsid w:val="00B45BAD"/>
    <w:rsid w:val="00B45CCA"/>
    <w:rsid w:val="00B45EA7"/>
    <w:rsid w:val="00B45F9C"/>
    <w:rsid w:val="00B4601F"/>
    <w:rsid w:val="00B463D1"/>
    <w:rsid w:val="00B46B43"/>
    <w:rsid w:val="00B46D2D"/>
    <w:rsid w:val="00B47021"/>
    <w:rsid w:val="00B4707B"/>
    <w:rsid w:val="00B476BD"/>
    <w:rsid w:val="00B47972"/>
    <w:rsid w:val="00B47C32"/>
    <w:rsid w:val="00B5000A"/>
    <w:rsid w:val="00B5032F"/>
    <w:rsid w:val="00B5163F"/>
    <w:rsid w:val="00B519E8"/>
    <w:rsid w:val="00B51CBA"/>
    <w:rsid w:val="00B520BD"/>
    <w:rsid w:val="00B523CC"/>
    <w:rsid w:val="00B52694"/>
    <w:rsid w:val="00B5287E"/>
    <w:rsid w:val="00B52D6C"/>
    <w:rsid w:val="00B53367"/>
    <w:rsid w:val="00B5342D"/>
    <w:rsid w:val="00B539B5"/>
    <w:rsid w:val="00B539B8"/>
    <w:rsid w:val="00B53D32"/>
    <w:rsid w:val="00B53E19"/>
    <w:rsid w:val="00B54043"/>
    <w:rsid w:val="00B54164"/>
    <w:rsid w:val="00B5499A"/>
    <w:rsid w:val="00B54A95"/>
    <w:rsid w:val="00B54D88"/>
    <w:rsid w:val="00B55865"/>
    <w:rsid w:val="00B5589D"/>
    <w:rsid w:val="00B559C0"/>
    <w:rsid w:val="00B5629D"/>
    <w:rsid w:val="00B566E7"/>
    <w:rsid w:val="00B568A7"/>
    <w:rsid w:val="00B56E73"/>
    <w:rsid w:val="00B56ED2"/>
    <w:rsid w:val="00B5700C"/>
    <w:rsid w:val="00B5740E"/>
    <w:rsid w:val="00B57B39"/>
    <w:rsid w:val="00B60195"/>
    <w:rsid w:val="00B60330"/>
    <w:rsid w:val="00B607EE"/>
    <w:rsid w:val="00B60941"/>
    <w:rsid w:val="00B60F12"/>
    <w:rsid w:val="00B60FC9"/>
    <w:rsid w:val="00B61578"/>
    <w:rsid w:val="00B61A14"/>
    <w:rsid w:val="00B62883"/>
    <w:rsid w:val="00B62CE6"/>
    <w:rsid w:val="00B630A5"/>
    <w:rsid w:val="00B631BD"/>
    <w:rsid w:val="00B63351"/>
    <w:rsid w:val="00B6376C"/>
    <w:rsid w:val="00B63A81"/>
    <w:rsid w:val="00B63C2C"/>
    <w:rsid w:val="00B63E4D"/>
    <w:rsid w:val="00B63FCE"/>
    <w:rsid w:val="00B64686"/>
    <w:rsid w:val="00B64F39"/>
    <w:rsid w:val="00B64FDD"/>
    <w:rsid w:val="00B65B50"/>
    <w:rsid w:val="00B65F87"/>
    <w:rsid w:val="00B65FCF"/>
    <w:rsid w:val="00B66098"/>
    <w:rsid w:val="00B6653E"/>
    <w:rsid w:val="00B66672"/>
    <w:rsid w:val="00B667D2"/>
    <w:rsid w:val="00B66A61"/>
    <w:rsid w:val="00B66AB8"/>
    <w:rsid w:val="00B66B71"/>
    <w:rsid w:val="00B66BD5"/>
    <w:rsid w:val="00B66ED0"/>
    <w:rsid w:val="00B66F0F"/>
    <w:rsid w:val="00B67B3A"/>
    <w:rsid w:val="00B67B55"/>
    <w:rsid w:val="00B67B7C"/>
    <w:rsid w:val="00B67D48"/>
    <w:rsid w:val="00B67EED"/>
    <w:rsid w:val="00B705B5"/>
    <w:rsid w:val="00B705D2"/>
    <w:rsid w:val="00B70846"/>
    <w:rsid w:val="00B709DF"/>
    <w:rsid w:val="00B70F61"/>
    <w:rsid w:val="00B70F78"/>
    <w:rsid w:val="00B710F8"/>
    <w:rsid w:val="00B71336"/>
    <w:rsid w:val="00B71ED6"/>
    <w:rsid w:val="00B72278"/>
    <w:rsid w:val="00B728CF"/>
    <w:rsid w:val="00B72FED"/>
    <w:rsid w:val="00B7333E"/>
    <w:rsid w:val="00B73921"/>
    <w:rsid w:val="00B73A68"/>
    <w:rsid w:val="00B73BD5"/>
    <w:rsid w:val="00B740AD"/>
    <w:rsid w:val="00B741AB"/>
    <w:rsid w:val="00B74B77"/>
    <w:rsid w:val="00B7509D"/>
    <w:rsid w:val="00B75280"/>
    <w:rsid w:val="00B753DE"/>
    <w:rsid w:val="00B76235"/>
    <w:rsid w:val="00B76F85"/>
    <w:rsid w:val="00B770CC"/>
    <w:rsid w:val="00B7713E"/>
    <w:rsid w:val="00B77285"/>
    <w:rsid w:val="00B772B9"/>
    <w:rsid w:val="00B77606"/>
    <w:rsid w:val="00B77975"/>
    <w:rsid w:val="00B80CB6"/>
    <w:rsid w:val="00B818D7"/>
    <w:rsid w:val="00B81D03"/>
    <w:rsid w:val="00B81D7A"/>
    <w:rsid w:val="00B8231B"/>
    <w:rsid w:val="00B82581"/>
    <w:rsid w:val="00B826D4"/>
    <w:rsid w:val="00B82DDD"/>
    <w:rsid w:val="00B82EFA"/>
    <w:rsid w:val="00B833AF"/>
    <w:rsid w:val="00B83741"/>
    <w:rsid w:val="00B83DE5"/>
    <w:rsid w:val="00B83F25"/>
    <w:rsid w:val="00B841DD"/>
    <w:rsid w:val="00B84493"/>
    <w:rsid w:val="00B84900"/>
    <w:rsid w:val="00B8498D"/>
    <w:rsid w:val="00B84A4F"/>
    <w:rsid w:val="00B84D20"/>
    <w:rsid w:val="00B8531A"/>
    <w:rsid w:val="00B8549B"/>
    <w:rsid w:val="00B8550A"/>
    <w:rsid w:val="00B85536"/>
    <w:rsid w:val="00B8583D"/>
    <w:rsid w:val="00B85B08"/>
    <w:rsid w:val="00B86059"/>
    <w:rsid w:val="00B86398"/>
    <w:rsid w:val="00B867C2"/>
    <w:rsid w:val="00B86D40"/>
    <w:rsid w:val="00B86FFD"/>
    <w:rsid w:val="00B871D6"/>
    <w:rsid w:val="00B871FD"/>
    <w:rsid w:val="00B878DF"/>
    <w:rsid w:val="00B87E06"/>
    <w:rsid w:val="00B87EDE"/>
    <w:rsid w:val="00B90205"/>
    <w:rsid w:val="00B904F2"/>
    <w:rsid w:val="00B90AB9"/>
    <w:rsid w:val="00B90B6C"/>
    <w:rsid w:val="00B90B7D"/>
    <w:rsid w:val="00B90CC5"/>
    <w:rsid w:val="00B9102C"/>
    <w:rsid w:val="00B91131"/>
    <w:rsid w:val="00B917C1"/>
    <w:rsid w:val="00B91C5E"/>
    <w:rsid w:val="00B91D1F"/>
    <w:rsid w:val="00B91F5B"/>
    <w:rsid w:val="00B91FFE"/>
    <w:rsid w:val="00B9212C"/>
    <w:rsid w:val="00B923FE"/>
    <w:rsid w:val="00B9292D"/>
    <w:rsid w:val="00B929E9"/>
    <w:rsid w:val="00B92C6A"/>
    <w:rsid w:val="00B92DE1"/>
    <w:rsid w:val="00B93508"/>
    <w:rsid w:val="00B93B40"/>
    <w:rsid w:val="00B93C7E"/>
    <w:rsid w:val="00B93F90"/>
    <w:rsid w:val="00B94204"/>
    <w:rsid w:val="00B9439A"/>
    <w:rsid w:val="00B94519"/>
    <w:rsid w:val="00B946E0"/>
    <w:rsid w:val="00B94732"/>
    <w:rsid w:val="00B95027"/>
    <w:rsid w:val="00B952C7"/>
    <w:rsid w:val="00B9534B"/>
    <w:rsid w:val="00B9563C"/>
    <w:rsid w:val="00B95727"/>
    <w:rsid w:val="00B95768"/>
    <w:rsid w:val="00B95856"/>
    <w:rsid w:val="00B95863"/>
    <w:rsid w:val="00B95A6D"/>
    <w:rsid w:val="00B9622A"/>
    <w:rsid w:val="00B964FC"/>
    <w:rsid w:val="00B969F0"/>
    <w:rsid w:val="00B96A9E"/>
    <w:rsid w:val="00B96B44"/>
    <w:rsid w:val="00B96C2B"/>
    <w:rsid w:val="00B96E45"/>
    <w:rsid w:val="00B971C0"/>
    <w:rsid w:val="00B977E4"/>
    <w:rsid w:val="00B978D7"/>
    <w:rsid w:val="00B97CBC"/>
    <w:rsid w:val="00B97D32"/>
    <w:rsid w:val="00B97F21"/>
    <w:rsid w:val="00B97F34"/>
    <w:rsid w:val="00BA0004"/>
    <w:rsid w:val="00BA000E"/>
    <w:rsid w:val="00BA005E"/>
    <w:rsid w:val="00BA010A"/>
    <w:rsid w:val="00BA0345"/>
    <w:rsid w:val="00BA0D12"/>
    <w:rsid w:val="00BA0EC0"/>
    <w:rsid w:val="00BA1488"/>
    <w:rsid w:val="00BA190F"/>
    <w:rsid w:val="00BA20CD"/>
    <w:rsid w:val="00BA20FF"/>
    <w:rsid w:val="00BA23C0"/>
    <w:rsid w:val="00BA250B"/>
    <w:rsid w:val="00BA26AF"/>
    <w:rsid w:val="00BA275F"/>
    <w:rsid w:val="00BA2DA2"/>
    <w:rsid w:val="00BA2F99"/>
    <w:rsid w:val="00BA30C6"/>
    <w:rsid w:val="00BA3139"/>
    <w:rsid w:val="00BA32FD"/>
    <w:rsid w:val="00BA3B6B"/>
    <w:rsid w:val="00BA3F37"/>
    <w:rsid w:val="00BA443F"/>
    <w:rsid w:val="00BA4ABE"/>
    <w:rsid w:val="00BA4AFF"/>
    <w:rsid w:val="00BA4CD1"/>
    <w:rsid w:val="00BA50D2"/>
    <w:rsid w:val="00BA50EC"/>
    <w:rsid w:val="00BA5271"/>
    <w:rsid w:val="00BA594A"/>
    <w:rsid w:val="00BA5B5E"/>
    <w:rsid w:val="00BA5E57"/>
    <w:rsid w:val="00BA61C0"/>
    <w:rsid w:val="00BA63E4"/>
    <w:rsid w:val="00BA6905"/>
    <w:rsid w:val="00BA69E2"/>
    <w:rsid w:val="00BA791D"/>
    <w:rsid w:val="00BA7D9B"/>
    <w:rsid w:val="00BA7DEE"/>
    <w:rsid w:val="00BB071C"/>
    <w:rsid w:val="00BB097D"/>
    <w:rsid w:val="00BB136F"/>
    <w:rsid w:val="00BB16C1"/>
    <w:rsid w:val="00BB1AB7"/>
    <w:rsid w:val="00BB2D21"/>
    <w:rsid w:val="00BB2F5F"/>
    <w:rsid w:val="00BB3028"/>
    <w:rsid w:val="00BB304C"/>
    <w:rsid w:val="00BB31CB"/>
    <w:rsid w:val="00BB3716"/>
    <w:rsid w:val="00BB3744"/>
    <w:rsid w:val="00BB4153"/>
    <w:rsid w:val="00BB46DB"/>
    <w:rsid w:val="00BB4707"/>
    <w:rsid w:val="00BB4AE5"/>
    <w:rsid w:val="00BB4B67"/>
    <w:rsid w:val="00BB4C23"/>
    <w:rsid w:val="00BB4D76"/>
    <w:rsid w:val="00BB51C2"/>
    <w:rsid w:val="00BB51D3"/>
    <w:rsid w:val="00BB5F7C"/>
    <w:rsid w:val="00BB5FBD"/>
    <w:rsid w:val="00BB6209"/>
    <w:rsid w:val="00BB66E1"/>
    <w:rsid w:val="00BB6D8B"/>
    <w:rsid w:val="00BB6E22"/>
    <w:rsid w:val="00BC09EA"/>
    <w:rsid w:val="00BC0CA9"/>
    <w:rsid w:val="00BC1E27"/>
    <w:rsid w:val="00BC2075"/>
    <w:rsid w:val="00BC240A"/>
    <w:rsid w:val="00BC243B"/>
    <w:rsid w:val="00BC26C2"/>
    <w:rsid w:val="00BC2ADB"/>
    <w:rsid w:val="00BC2D30"/>
    <w:rsid w:val="00BC2D3B"/>
    <w:rsid w:val="00BC310C"/>
    <w:rsid w:val="00BC31E4"/>
    <w:rsid w:val="00BC32CD"/>
    <w:rsid w:val="00BC3330"/>
    <w:rsid w:val="00BC352C"/>
    <w:rsid w:val="00BC36A6"/>
    <w:rsid w:val="00BC3717"/>
    <w:rsid w:val="00BC3808"/>
    <w:rsid w:val="00BC3AD5"/>
    <w:rsid w:val="00BC3E1B"/>
    <w:rsid w:val="00BC3ECB"/>
    <w:rsid w:val="00BC464A"/>
    <w:rsid w:val="00BC4942"/>
    <w:rsid w:val="00BC49E9"/>
    <w:rsid w:val="00BC4CD6"/>
    <w:rsid w:val="00BC5196"/>
    <w:rsid w:val="00BC55F4"/>
    <w:rsid w:val="00BC65C2"/>
    <w:rsid w:val="00BC68E2"/>
    <w:rsid w:val="00BC6AEC"/>
    <w:rsid w:val="00BC6E34"/>
    <w:rsid w:val="00BC764C"/>
    <w:rsid w:val="00BD0628"/>
    <w:rsid w:val="00BD1894"/>
    <w:rsid w:val="00BD23CF"/>
    <w:rsid w:val="00BD244E"/>
    <w:rsid w:val="00BD274E"/>
    <w:rsid w:val="00BD289E"/>
    <w:rsid w:val="00BD2AD6"/>
    <w:rsid w:val="00BD33A6"/>
    <w:rsid w:val="00BD36F9"/>
    <w:rsid w:val="00BD3C4F"/>
    <w:rsid w:val="00BD3F7D"/>
    <w:rsid w:val="00BD4289"/>
    <w:rsid w:val="00BD4992"/>
    <w:rsid w:val="00BD5457"/>
    <w:rsid w:val="00BD577C"/>
    <w:rsid w:val="00BD5864"/>
    <w:rsid w:val="00BD5C21"/>
    <w:rsid w:val="00BD628F"/>
    <w:rsid w:val="00BD66F8"/>
    <w:rsid w:val="00BD6DC4"/>
    <w:rsid w:val="00BD6E08"/>
    <w:rsid w:val="00BD71ED"/>
    <w:rsid w:val="00BD7235"/>
    <w:rsid w:val="00BD746E"/>
    <w:rsid w:val="00BD7551"/>
    <w:rsid w:val="00BD7554"/>
    <w:rsid w:val="00BD760C"/>
    <w:rsid w:val="00BD7670"/>
    <w:rsid w:val="00BD77CE"/>
    <w:rsid w:val="00BD7984"/>
    <w:rsid w:val="00BD7E9A"/>
    <w:rsid w:val="00BE0084"/>
    <w:rsid w:val="00BE0A25"/>
    <w:rsid w:val="00BE0CD3"/>
    <w:rsid w:val="00BE0E62"/>
    <w:rsid w:val="00BE1FC3"/>
    <w:rsid w:val="00BE2597"/>
    <w:rsid w:val="00BE2715"/>
    <w:rsid w:val="00BE28DA"/>
    <w:rsid w:val="00BE2A13"/>
    <w:rsid w:val="00BE2C2C"/>
    <w:rsid w:val="00BE2DB2"/>
    <w:rsid w:val="00BE2DF1"/>
    <w:rsid w:val="00BE2F81"/>
    <w:rsid w:val="00BE3105"/>
    <w:rsid w:val="00BE3A6F"/>
    <w:rsid w:val="00BE3BF3"/>
    <w:rsid w:val="00BE444C"/>
    <w:rsid w:val="00BE4997"/>
    <w:rsid w:val="00BE4E55"/>
    <w:rsid w:val="00BE509D"/>
    <w:rsid w:val="00BE5B38"/>
    <w:rsid w:val="00BE5DD1"/>
    <w:rsid w:val="00BE6085"/>
    <w:rsid w:val="00BE633A"/>
    <w:rsid w:val="00BE63E1"/>
    <w:rsid w:val="00BE6D2E"/>
    <w:rsid w:val="00BE7343"/>
    <w:rsid w:val="00BE799F"/>
    <w:rsid w:val="00BE7B6C"/>
    <w:rsid w:val="00BF03B0"/>
    <w:rsid w:val="00BF0486"/>
    <w:rsid w:val="00BF09A7"/>
    <w:rsid w:val="00BF0B98"/>
    <w:rsid w:val="00BF0C25"/>
    <w:rsid w:val="00BF0C5B"/>
    <w:rsid w:val="00BF0F3A"/>
    <w:rsid w:val="00BF1026"/>
    <w:rsid w:val="00BF1055"/>
    <w:rsid w:val="00BF185F"/>
    <w:rsid w:val="00BF1A99"/>
    <w:rsid w:val="00BF1D57"/>
    <w:rsid w:val="00BF236A"/>
    <w:rsid w:val="00BF2577"/>
    <w:rsid w:val="00BF27A0"/>
    <w:rsid w:val="00BF2B08"/>
    <w:rsid w:val="00BF2FC0"/>
    <w:rsid w:val="00BF34F0"/>
    <w:rsid w:val="00BF3C8B"/>
    <w:rsid w:val="00BF4956"/>
    <w:rsid w:val="00BF54A2"/>
    <w:rsid w:val="00BF56EC"/>
    <w:rsid w:val="00BF5D38"/>
    <w:rsid w:val="00BF62EE"/>
    <w:rsid w:val="00BF6AF9"/>
    <w:rsid w:val="00BF6D26"/>
    <w:rsid w:val="00BF6DB7"/>
    <w:rsid w:val="00BF7E6B"/>
    <w:rsid w:val="00C000AF"/>
    <w:rsid w:val="00C0034F"/>
    <w:rsid w:val="00C007D9"/>
    <w:rsid w:val="00C00893"/>
    <w:rsid w:val="00C00905"/>
    <w:rsid w:val="00C00CF0"/>
    <w:rsid w:val="00C00F7C"/>
    <w:rsid w:val="00C011B0"/>
    <w:rsid w:val="00C013E8"/>
    <w:rsid w:val="00C018BF"/>
    <w:rsid w:val="00C01C59"/>
    <w:rsid w:val="00C01D9A"/>
    <w:rsid w:val="00C02276"/>
    <w:rsid w:val="00C02639"/>
    <w:rsid w:val="00C027E4"/>
    <w:rsid w:val="00C02BD2"/>
    <w:rsid w:val="00C02E1F"/>
    <w:rsid w:val="00C02FB7"/>
    <w:rsid w:val="00C03465"/>
    <w:rsid w:val="00C035EB"/>
    <w:rsid w:val="00C03A8A"/>
    <w:rsid w:val="00C044CA"/>
    <w:rsid w:val="00C04B7C"/>
    <w:rsid w:val="00C05186"/>
    <w:rsid w:val="00C057B2"/>
    <w:rsid w:val="00C058FA"/>
    <w:rsid w:val="00C05D4B"/>
    <w:rsid w:val="00C06AEA"/>
    <w:rsid w:val="00C06CBE"/>
    <w:rsid w:val="00C06E51"/>
    <w:rsid w:val="00C07AB2"/>
    <w:rsid w:val="00C07C65"/>
    <w:rsid w:val="00C1012D"/>
    <w:rsid w:val="00C102A8"/>
    <w:rsid w:val="00C10416"/>
    <w:rsid w:val="00C108C1"/>
    <w:rsid w:val="00C10E96"/>
    <w:rsid w:val="00C1128E"/>
    <w:rsid w:val="00C115D3"/>
    <w:rsid w:val="00C11839"/>
    <w:rsid w:val="00C11D77"/>
    <w:rsid w:val="00C12038"/>
    <w:rsid w:val="00C12371"/>
    <w:rsid w:val="00C123CB"/>
    <w:rsid w:val="00C12C24"/>
    <w:rsid w:val="00C12D00"/>
    <w:rsid w:val="00C12D01"/>
    <w:rsid w:val="00C12D91"/>
    <w:rsid w:val="00C12DEC"/>
    <w:rsid w:val="00C13293"/>
    <w:rsid w:val="00C132A0"/>
    <w:rsid w:val="00C13ABA"/>
    <w:rsid w:val="00C14195"/>
    <w:rsid w:val="00C1426A"/>
    <w:rsid w:val="00C14529"/>
    <w:rsid w:val="00C14EDC"/>
    <w:rsid w:val="00C15220"/>
    <w:rsid w:val="00C15254"/>
    <w:rsid w:val="00C15351"/>
    <w:rsid w:val="00C1584B"/>
    <w:rsid w:val="00C15E09"/>
    <w:rsid w:val="00C15E53"/>
    <w:rsid w:val="00C165C5"/>
    <w:rsid w:val="00C1677A"/>
    <w:rsid w:val="00C16CDC"/>
    <w:rsid w:val="00C16EB1"/>
    <w:rsid w:val="00C16F9B"/>
    <w:rsid w:val="00C1727D"/>
    <w:rsid w:val="00C17614"/>
    <w:rsid w:val="00C17956"/>
    <w:rsid w:val="00C17A00"/>
    <w:rsid w:val="00C2010F"/>
    <w:rsid w:val="00C201B4"/>
    <w:rsid w:val="00C209DA"/>
    <w:rsid w:val="00C20C5E"/>
    <w:rsid w:val="00C2123A"/>
    <w:rsid w:val="00C2142B"/>
    <w:rsid w:val="00C214CD"/>
    <w:rsid w:val="00C21596"/>
    <w:rsid w:val="00C219B7"/>
    <w:rsid w:val="00C21DF7"/>
    <w:rsid w:val="00C2228A"/>
    <w:rsid w:val="00C223E0"/>
    <w:rsid w:val="00C22585"/>
    <w:rsid w:val="00C227B8"/>
    <w:rsid w:val="00C22963"/>
    <w:rsid w:val="00C22DFE"/>
    <w:rsid w:val="00C2303C"/>
    <w:rsid w:val="00C230BA"/>
    <w:rsid w:val="00C23CB1"/>
    <w:rsid w:val="00C23CB6"/>
    <w:rsid w:val="00C23EE4"/>
    <w:rsid w:val="00C244AF"/>
    <w:rsid w:val="00C24520"/>
    <w:rsid w:val="00C247B0"/>
    <w:rsid w:val="00C249E6"/>
    <w:rsid w:val="00C24A22"/>
    <w:rsid w:val="00C25041"/>
    <w:rsid w:val="00C25598"/>
    <w:rsid w:val="00C25956"/>
    <w:rsid w:val="00C25A5C"/>
    <w:rsid w:val="00C25AC4"/>
    <w:rsid w:val="00C25B1D"/>
    <w:rsid w:val="00C260A2"/>
    <w:rsid w:val="00C2637D"/>
    <w:rsid w:val="00C264A4"/>
    <w:rsid w:val="00C26705"/>
    <w:rsid w:val="00C26934"/>
    <w:rsid w:val="00C26AA5"/>
    <w:rsid w:val="00C26BF3"/>
    <w:rsid w:val="00C26F48"/>
    <w:rsid w:val="00C271F1"/>
    <w:rsid w:val="00C27202"/>
    <w:rsid w:val="00C27354"/>
    <w:rsid w:val="00C275B6"/>
    <w:rsid w:val="00C27D18"/>
    <w:rsid w:val="00C3069B"/>
    <w:rsid w:val="00C30CA8"/>
    <w:rsid w:val="00C31413"/>
    <w:rsid w:val="00C3153C"/>
    <w:rsid w:val="00C3161E"/>
    <w:rsid w:val="00C3190C"/>
    <w:rsid w:val="00C32330"/>
    <w:rsid w:val="00C32613"/>
    <w:rsid w:val="00C32C90"/>
    <w:rsid w:val="00C32D81"/>
    <w:rsid w:val="00C32FBB"/>
    <w:rsid w:val="00C34967"/>
    <w:rsid w:val="00C34C97"/>
    <w:rsid w:val="00C34DA9"/>
    <w:rsid w:val="00C34F88"/>
    <w:rsid w:val="00C351D7"/>
    <w:rsid w:val="00C35A23"/>
    <w:rsid w:val="00C35CD4"/>
    <w:rsid w:val="00C36081"/>
    <w:rsid w:val="00C36872"/>
    <w:rsid w:val="00C36927"/>
    <w:rsid w:val="00C36A4F"/>
    <w:rsid w:val="00C37218"/>
    <w:rsid w:val="00C37333"/>
    <w:rsid w:val="00C373B5"/>
    <w:rsid w:val="00C37EC3"/>
    <w:rsid w:val="00C37F79"/>
    <w:rsid w:val="00C402FB"/>
    <w:rsid w:val="00C404C0"/>
    <w:rsid w:val="00C406B4"/>
    <w:rsid w:val="00C40966"/>
    <w:rsid w:val="00C40D2B"/>
    <w:rsid w:val="00C41143"/>
    <w:rsid w:val="00C411A1"/>
    <w:rsid w:val="00C412CA"/>
    <w:rsid w:val="00C417EA"/>
    <w:rsid w:val="00C41879"/>
    <w:rsid w:val="00C41E9B"/>
    <w:rsid w:val="00C421DB"/>
    <w:rsid w:val="00C42275"/>
    <w:rsid w:val="00C42280"/>
    <w:rsid w:val="00C426EA"/>
    <w:rsid w:val="00C4347F"/>
    <w:rsid w:val="00C43E9C"/>
    <w:rsid w:val="00C43EFC"/>
    <w:rsid w:val="00C441B2"/>
    <w:rsid w:val="00C44D24"/>
    <w:rsid w:val="00C44FF8"/>
    <w:rsid w:val="00C45479"/>
    <w:rsid w:val="00C458FA"/>
    <w:rsid w:val="00C45B55"/>
    <w:rsid w:val="00C461B6"/>
    <w:rsid w:val="00C4637A"/>
    <w:rsid w:val="00C4678A"/>
    <w:rsid w:val="00C46CA7"/>
    <w:rsid w:val="00C46CF4"/>
    <w:rsid w:val="00C475DC"/>
    <w:rsid w:val="00C47967"/>
    <w:rsid w:val="00C47AAF"/>
    <w:rsid w:val="00C47E77"/>
    <w:rsid w:val="00C50530"/>
    <w:rsid w:val="00C50AE6"/>
    <w:rsid w:val="00C50E6E"/>
    <w:rsid w:val="00C51196"/>
    <w:rsid w:val="00C522B0"/>
    <w:rsid w:val="00C52A50"/>
    <w:rsid w:val="00C52F80"/>
    <w:rsid w:val="00C533A5"/>
    <w:rsid w:val="00C538AC"/>
    <w:rsid w:val="00C539EE"/>
    <w:rsid w:val="00C53A50"/>
    <w:rsid w:val="00C5474D"/>
    <w:rsid w:val="00C547AC"/>
    <w:rsid w:val="00C54991"/>
    <w:rsid w:val="00C54DD5"/>
    <w:rsid w:val="00C55CB0"/>
    <w:rsid w:val="00C55EA1"/>
    <w:rsid w:val="00C561BD"/>
    <w:rsid w:val="00C569B5"/>
    <w:rsid w:val="00C56DDA"/>
    <w:rsid w:val="00C571D6"/>
    <w:rsid w:val="00C57314"/>
    <w:rsid w:val="00C574C0"/>
    <w:rsid w:val="00C57654"/>
    <w:rsid w:val="00C57BE8"/>
    <w:rsid w:val="00C57D4F"/>
    <w:rsid w:val="00C6009E"/>
    <w:rsid w:val="00C60471"/>
    <w:rsid w:val="00C604BF"/>
    <w:rsid w:val="00C609FA"/>
    <w:rsid w:val="00C60D63"/>
    <w:rsid w:val="00C61370"/>
    <w:rsid w:val="00C614D3"/>
    <w:rsid w:val="00C61632"/>
    <w:rsid w:val="00C61ABC"/>
    <w:rsid w:val="00C627BF"/>
    <w:rsid w:val="00C62A51"/>
    <w:rsid w:val="00C62CAD"/>
    <w:rsid w:val="00C62D53"/>
    <w:rsid w:val="00C634BF"/>
    <w:rsid w:val="00C6358A"/>
    <w:rsid w:val="00C63BEC"/>
    <w:rsid w:val="00C641E4"/>
    <w:rsid w:val="00C642DB"/>
    <w:rsid w:val="00C645BB"/>
    <w:rsid w:val="00C646B6"/>
    <w:rsid w:val="00C6488E"/>
    <w:rsid w:val="00C64C49"/>
    <w:rsid w:val="00C64C56"/>
    <w:rsid w:val="00C64D05"/>
    <w:rsid w:val="00C65260"/>
    <w:rsid w:val="00C65A85"/>
    <w:rsid w:val="00C65C72"/>
    <w:rsid w:val="00C66140"/>
    <w:rsid w:val="00C669FB"/>
    <w:rsid w:val="00C6720C"/>
    <w:rsid w:val="00C672A8"/>
    <w:rsid w:val="00C675FD"/>
    <w:rsid w:val="00C678F4"/>
    <w:rsid w:val="00C67C7C"/>
    <w:rsid w:val="00C70662"/>
    <w:rsid w:val="00C70995"/>
    <w:rsid w:val="00C70BCC"/>
    <w:rsid w:val="00C7105A"/>
    <w:rsid w:val="00C71230"/>
    <w:rsid w:val="00C714EF"/>
    <w:rsid w:val="00C718F0"/>
    <w:rsid w:val="00C7206A"/>
    <w:rsid w:val="00C7219B"/>
    <w:rsid w:val="00C72338"/>
    <w:rsid w:val="00C723E7"/>
    <w:rsid w:val="00C72C3F"/>
    <w:rsid w:val="00C7318F"/>
    <w:rsid w:val="00C73A19"/>
    <w:rsid w:val="00C73C58"/>
    <w:rsid w:val="00C74315"/>
    <w:rsid w:val="00C7485B"/>
    <w:rsid w:val="00C74B4D"/>
    <w:rsid w:val="00C74FC3"/>
    <w:rsid w:val="00C754D1"/>
    <w:rsid w:val="00C75936"/>
    <w:rsid w:val="00C76118"/>
    <w:rsid w:val="00C764AA"/>
    <w:rsid w:val="00C77145"/>
    <w:rsid w:val="00C773EA"/>
    <w:rsid w:val="00C77796"/>
    <w:rsid w:val="00C77A4F"/>
    <w:rsid w:val="00C77BB8"/>
    <w:rsid w:val="00C77C8D"/>
    <w:rsid w:val="00C8032C"/>
    <w:rsid w:val="00C8052A"/>
    <w:rsid w:val="00C8066B"/>
    <w:rsid w:val="00C80D3D"/>
    <w:rsid w:val="00C80DDD"/>
    <w:rsid w:val="00C81473"/>
    <w:rsid w:val="00C81C5F"/>
    <w:rsid w:val="00C81D6F"/>
    <w:rsid w:val="00C81D78"/>
    <w:rsid w:val="00C81DC2"/>
    <w:rsid w:val="00C81E17"/>
    <w:rsid w:val="00C81FDA"/>
    <w:rsid w:val="00C824ED"/>
    <w:rsid w:val="00C8251A"/>
    <w:rsid w:val="00C82790"/>
    <w:rsid w:val="00C82A34"/>
    <w:rsid w:val="00C83191"/>
    <w:rsid w:val="00C8337A"/>
    <w:rsid w:val="00C83558"/>
    <w:rsid w:val="00C83993"/>
    <w:rsid w:val="00C83C8A"/>
    <w:rsid w:val="00C84048"/>
    <w:rsid w:val="00C841D3"/>
    <w:rsid w:val="00C843B4"/>
    <w:rsid w:val="00C848D0"/>
    <w:rsid w:val="00C84D19"/>
    <w:rsid w:val="00C8521C"/>
    <w:rsid w:val="00C856C9"/>
    <w:rsid w:val="00C857D4"/>
    <w:rsid w:val="00C85C54"/>
    <w:rsid w:val="00C86178"/>
    <w:rsid w:val="00C86602"/>
    <w:rsid w:val="00C86688"/>
    <w:rsid w:val="00C86CF4"/>
    <w:rsid w:val="00C86D97"/>
    <w:rsid w:val="00C86ED4"/>
    <w:rsid w:val="00C86F52"/>
    <w:rsid w:val="00C876B7"/>
    <w:rsid w:val="00C90A0A"/>
    <w:rsid w:val="00C90BC4"/>
    <w:rsid w:val="00C90D9E"/>
    <w:rsid w:val="00C90F3B"/>
    <w:rsid w:val="00C9121B"/>
    <w:rsid w:val="00C91283"/>
    <w:rsid w:val="00C915F3"/>
    <w:rsid w:val="00C9177D"/>
    <w:rsid w:val="00C9179E"/>
    <w:rsid w:val="00C919B6"/>
    <w:rsid w:val="00C91C89"/>
    <w:rsid w:val="00C92A96"/>
    <w:rsid w:val="00C93094"/>
    <w:rsid w:val="00C934E5"/>
    <w:rsid w:val="00C9352E"/>
    <w:rsid w:val="00C93795"/>
    <w:rsid w:val="00C93961"/>
    <w:rsid w:val="00C93A47"/>
    <w:rsid w:val="00C9452F"/>
    <w:rsid w:val="00C94C2E"/>
    <w:rsid w:val="00C950D2"/>
    <w:rsid w:val="00C95A03"/>
    <w:rsid w:val="00C960A8"/>
    <w:rsid w:val="00C9766C"/>
    <w:rsid w:val="00C9799D"/>
    <w:rsid w:val="00C97A34"/>
    <w:rsid w:val="00C97B76"/>
    <w:rsid w:val="00CA0954"/>
    <w:rsid w:val="00CA09AF"/>
    <w:rsid w:val="00CA0B8C"/>
    <w:rsid w:val="00CA10ED"/>
    <w:rsid w:val="00CA1A55"/>
    <w:rsid w:val="00CA1DE6"/>
    <w:rsid w:val="00CA1EC0"/>
    <w:rsid w:val="00CA240C"/>
    <w:rsid w:val="00CA252E"/>
    <w:rsid w:val="00CA2857"/>
    <w:rsid w:val="00CA293A"/>
    <w:rsid w:val="00CA30BC"/>
    <w:rsid w:val="00CA310F"/>
    <w:rsid w:val="00CA31CF"/>
    <w:rsid w:val="00CA331F"/>
    <w:rsid w:val="00CA3358"/>
    <w:rsid w:val="00CA393B"/>
    <w:rsid w:val="00CA42D3"/>
    <w:rsid w:val="00CA42D6"/>
    <w:rsid w:val="00CA439C"/>
    <w:rsid w:val="00CA443D"/>
    <w:rsid w:val="00CA44A1"/>
    <w:rsid w:val="00CA481D"/>
    <w:rsid w:val="00CA4943"/>
    <w:rsid w:val="00CA4DEE"/>
    <w:rsid w:val="00CA4DFF"/>
    <w:rsid w:val="00CA4F5D"/>
    <w:rsid w:val="00CA51F1"/>
    <w:rsid w:val="00CA5A96"/>
    <w:rsid w:val="00CA5B05"/>
    <w:rsid w:val="00CA5E15"/>
    <w:rsid w:val="00CA600D"/>
    <w:rsid w:val="00CA60A9"/>
    <w:rsid w:val="00CA696C"/>
    <w:rsid w:val="00CA6EB9"/>
    <w:rsid w:val="00CA721B"/>
    <w:rsid w:val="00CA7382"/>
    <w:rsid w:val="00CA75A0"/>
    <w:rsid w:val="00CA7977"/>
    <w:rsid w:val="00CB04C5"/>
    <w:rsid w:val="00CB05A0"/>
    <w:rsid w:val="00CB0A24"/>
    <w:rsid w:val="00CB0A73"/>
    <w:rsid w:val="00CB0A98"/>
    <w:rsid w:val="00CB0D3E"/>
    <w:rsid w:val="00CB0F98"/>
    <w:rsid w:val="00CB1222"/>
    <w:rsid w:val="00CB151A"/>
    <w:rsid w:val="00CB1712"/>
    <w:rsid w:val="00CB17FE"/>
    <w:rsid w:val="00CB21C8"/>
    <w:rsid w:val="00CB26C1"/>
    <w:rsid w:val="00CB2931"/>
    <w:rsid w:val="00CB2D99"/>
    <w:rsid w:val="00CB2DCE"/>
    <w:rsid w:val="00CB2E83"/>
    <w:rsid w:val="00CB2F7C"/>
    <w:rsid w:val="00CB31AD"/>
    <w:rsid w:val="00CB3962"/>
    <w:rsid w:val="00CB3CD4"/>
    <w:rsid w:val="00CB401F"/>
    <w:rsid w:val="00CB420E"/>
    <w:rsid w:val="00CB4BBA"/>
    <w:rsid w:val="00CB4F5A"/>
    <w:rsid w:val="00CB4FBF"/>
    <w:rsid w:val="00CB520C"/>
    <w:rsid w:val="00CB591B"/>
    <w:rsid w:val="00CB5B84"/>
    <w:rsid w:val="00CB6F1E"/>
    <w:rsid w:val="00CB6F37"/>
    <w:rsid w:val="00CB7291"/>
    <w:rsid w:val="00CB7506"/>
    <w:rsid w:val="00CB7646"/>
    <w:rsid w:val="00CB7654"/>
    <w:rsid w:val="00CB77F2"/>
    <w:rsid w:val="00CB7CA2"/>
    <w:rsid w:val="00CB7CC3"/>
    <w:rsid w:val="00CB7F4B"/>
    <w:rsid w:val="00CB7FC6"/>
    <w:rsid w:val="00CC052B"/>
    <w:rsid w:val="00CC0585"/>
    <w:rsid w:val="00CC06DD"/>
    <w:rsid w:val="00CC070C"/>
    <w:rsid w:val="00CC0841"/>
    <w:rsid w:val="00CC08A3"/>
    <w:rsid w:val="00CC0923"/>
    <w:rsid w:val="00CC1391"/>
    <w:rsid w:val="00CC163B"/>
    <w:rsid w:val="00CC16CE"/>
    <w:rsid w:val="00CC16EE"/>
    <w:rsid w:val="00CC17DB"/>
    <w:rsid w:val="00CC18FF"/>
    <w:rsid w:val="00CC1966"/>
    <w:rsid w:val="00CC1CBB"/>
    <w:rsid w:val="00CC1F1D"/>
    <w:rsid w:val="00CC2C5E"/>
    <w:rsid w:val="00CC2DE2"/>
    <w:rsid w:val="00CC3072"/>
    <w:rsid w:val="00CC3086"/>
    <w:rsid w:val="00CC3B4C"/>
    <w:rsid w:val="00CC3E29"/>
    <w:rsid w:val="00CC4CE3"/>
    <w:rsid w:val="00CC5387"/>
    <w:rsid w:val="00CC53D5"/>
    <w:rsid w:val="00CC5CA5"/>
    <w:rsid w:val="00CC5CC4"/>
    <w:rsid w:val="00CC5F9D"/>
    <w:rsid w:val="00CC6159"/>
    <w:rsid w:val="00CC66D5"/>
    <w:rsid w:val="00CC7A3E"/>
    <w:rsid w:val="00CC7BFD"/>
    <w:rsid w:val="00CC7D2C"/>
    <w:rsid w:val="00CD0066"/>
    <w:rsid w:val="00CD05A0"/>
    <w:rsid w:val="00CD0EA6"/>
    <w:rsid w:val="00CD0EAF"/>
    <w:rsid w:val="00CD0EF0"/>
    <w:rsid w:val="00CD117F"/>
    <w:rsid w:val="00CD125E"/>
    <w:rsid w:val="00CD15E5"/>
    <w:rsid w:val="00CD163A"/>
    <w:rsid w:val="00CD16CE"/>
    <w:rsid w:val="00CD1828"/>
    <w:rsid w:val="00CD1DDB"/>
    <w:rsid w:val="00CD25B7"/>
    <w:rsid w:val="00CD2DB2"/>
    <w:rsid w:val="00CD3139"/>
    <w:rsid w:val="00CD380F"/>
    <w:rsid w:val="00CD3ABF"/>
    <w:rsid w:val="00CD3B02"/>
    <w:rsid w:val="00CD3B3A"/>
    <w:rsid w:val="00CD3BB7"/>
    <w:rsid w:val="00CD3BD3"/>
    <w:rsid w:val="00CD3D44"/>
    <w:rsid w:val="00CD3EEA"/>
    <w:rsid w:val="00CD4643"/>
    <w:rsid w:val="00CD5050"/>
    <w:rsid w:val="00CD526A"/>
    <w:rsid w:val="00CD5E9B"/>
    <w:rsid w:val="00CD5EF5"/>
    <w:rsid w:val="00CD5F3B"/>
    <w:rsid w:val="00CD6333"/>
    <w:rsid w:val="00CD6BDD"/>
    <w:rsid w:val="00CD6E0E"/>
    <w:rsid w:val="00CD711F"/>
    <w:rsid w:val="00CD72C6"/>
    <w:rsid w:val="00CD72EB"/>
    <w:rsid w:val="00CD73E8"/>
    <w:rsid w:val="00CE042A"/>
    <w:rsid w:val="00CE063A"/>
    <w:rsid w:val="00CE08CA"/>
    <w:rsid w:val="00CE0C7E"/>
    <w:rsid w:val="00CE120F"/>
    <w:rsid w:val="00CE1236"/>
    <w:rsid w:val="00CE12D7"/>
    <w:rsid w:val="00CE12E8"/>
    <w:rsid w:val="00CE1692"/>
    <w:rsid w:val="00CE1B36"/>
    <w:rsid w:val="00CE1B7D"/>
    <w:rsid w:val="00CE25AB"/>
    <w:rsid w:val="00CE292D"/>
    <w:rsid w:val="00CE29D0"/>
    <w:rsid w:val="00CE2EB8"/>
    <w:rsid w:val="00CE3586"/>
    <w:rsid w:val="00CE3E44"/>
    <w:rsid w:val="00CE45BB"/>
    <w:rsid w:val="00CE4C90"/>
    <w:rsid w:val="00CE513C"/>
    <w:rsid w:val="00CE51F5"/>
    <w:rsid w:val="00CE5503"/>
    <w:rsid w:val="00CE56BA"/>
    <w:rsid w:val="00CE575D"/>
    <w:rsid w:val="00CE650F"/>
    <w:rsid w:val="00CE658F"/>
    <w:rsid w:val="00CE6722"/>
    <w:rsid w:val="00CE6FBA"/>
    <w:rsid w:val="00CE730A"/>
    <w:rsid w:val="00CE7604"/>
    <w:rsid w:val="00CE76AA"/>
    <w:rsid w:val="00CE7BBD"/>
    <w:rsid w:val="00CE7D9E"/>
    <w:rsid w:val="00CF0A79"/>
    <w:rsid w:val="00CF1037"/>
    <w:rsid w:val="00CF1858"/>
    <w:rsid w:val="00CF21D0"/>
    <w:rsid w:val="00CF262D"/>
    <w:rsid w:val="00CF2A19"/>
    <w:rsid w:val="00CF2CA0"/>
    <w:rsid w:val="00CF2CD0"/>
    <w:rsid w:val="00CF2EC2"/>
    <w:rsid w:val="00CF31EF"/>
    <w:rsid w:val="00CF3AA6"/>
    <w:rsid w:val="00CF3D52"/>
    <w:rsid w:val="00CF42C6"/>
    <w:rsid w:val="00CF44C1"/>
    <w:rsid w:val="00CF470B"/>
    <w:rsid w:val="00CF53AD"/>
    <w:rsid w:val="00CF569D"/>
    <w:rsid w:val="00CF56D1"/>
    <w:rsid w:val="00CF579A"/>
    <w:rsid w:val="00CF5B48"/>
    <w:rsid w:val="00CF5D72"/>
    <w:rsid w:val="00CF649B"/>
    <w:rsid w:val="00CF6747"/>
    <w:rsid w:val="00CF6825"/>
    <w:rsid w:val="00CF71C4"/>
    <w:rsid w:val="00CF76CF"/>
    <w:rsid w:val="00CF7D5A"/>
    <w:rsid w:val="00D00281"/>
    <w:rsid w:val="00D007EF"/>
    <w:rsid w:val="00D00AD1"/>
    <w:rsid w:val="00D00FEF"/>
    <w:rsid w:val="00D01027"/>
    <w:rsid w:val="00D016BD"/>
    <w:rsid w:val="00D027B0"/>
    <w:rsid w:val="00D029ED"/>
    <w:rsid w:val="00D0315C"/>
    <w:rsid w:val="00D0395F"/>
    <w:rsid w:val="00D039F8"/>
    <w:rsid w:val="00D04465"/>
    <w:rsid w:val="00D0488A"/>
    <w:rsid w:val="00D04A7A"/>
    <w:rsid w:val="00D04ADE"/>
    <w:rsid w:val="00D04B4C"/>
    <w:rsid w:val="00D04C85"/>
    <w:rsid w:val="00D05477"/>
    <w:rsid w:val="00D05A32"/>
    <w:rsid w:val="00D05E30"/>
    <w:rsid w:val="00D06092"/>
    <w:rsid w:val="00D060E7"/>
    <w:rsid w:val="00D06263"/>
    <w:rsid w:val="00D063F9"/>
    <w:rsid w:val="00D063FA"/>
    <w:rsid w:val="00D067D4"/>
    <w:rsid w:val="00D0682B"/>
    <w:rsid w:val="00D06A0F"/>
    <w:rsid w:val="00D06A2A"/>
    <w:rsid w:val="00D06CF8"/>
    <w:rsid w:val="00D06D7F"/>
    <w:rsid w:val="00D06E01"/>
    <w:rsid w:val="00D0706C"/>
    <w:rsid w:val="00D0746F"/>
    <w:rsid w:val="00D07A7E"/>
    <w:rsid w:val="00D07ACD"/>
    <w:rsid w:val="00D07D07"/>
    <w:rsid w:val="00D07E03"/>
    <w:rsid w:val="00D10120"/>
    <w:rsid w:val="00D10420"/>
    <w:rsid w:val="00D111C6"/>
    <w:rsid w:val="00D115C8"/>
    <w:rsid w:val="00D11695"/>
    <w:rsid w:val="00D11E54"/>
    <w:rsid w:val="00D12287"/>
    <w:rsid w:val="00D123F2"/>
    <w:rsid w:val="00D12A3E"/>
    <w:rsid w:val="00D12B62"/>
    <w:rsid w:val="00D13276"/>
    <w:rsid w:val="00D136C4"/>
    <w:rsid w:val="00D137E9"/>
    <w:rsid w:val="00D13BA5"/>
    <w:rsid w:val="00D13D96"/>
    <w:rsid w:val="00D13E06"/>
    <w:rsid w:val="00D13ECF"/>
    <w:rsid w:val="00D1462D"/>
    <w:rsid w:val="00D146AC"/>
    <w:rsid w:val="00D14BEB"/>
    <w:rsid w:val="00D14D23"/>
    <w:rsid w:val="00D154E9"/>
    <w:rsid w:val="00D15538"/>
    <w:rsid w:val="00D15C96"/>
    <w:rsid w:val="00D16107"/>
    <w:rsid w:val="00D165EF"/>
    <w:rsid w:val="00D16661"/>
    <w:rsid w:val="00D1683E"/>
    <w:rsid w:val="00D168C8"/>
    <w:rsid w:val="00D16C2F"/>
    <w:rsid w:val="00D174B9"/>
    <w:rsid w:val="00D17713"/>
    <w:rsid w:val="00D17D0B"/>
    <w:rsid w:val="00D17D63"/>
    <w:rsid w:val="00D17F49"/>
    <w:rsid w:val="00D20025"/>
    <w:rsid w:val="00D20787"/>
    <w:rsid w:val="00D208A2"/>
    <w:rsid w:val="00D20F4C"/>
    <w:rsid w:val="00D21498"/>
    <w:rsid w:val="00D217F5"/>
    <w:rsid w:val="00D218B7"/>
    <w:rsid w:val="00D21AA4"/>
    <w:rsid w:val="00D22517"/>
    <w:rsid w:val="00D22AC6"/>
    <w:rsid w:val="00D22E21"/>
    <w:rsid w:val="00D22FD4"/>
    <w:rsid w:val="00D23181"/>
    <w:rsid w:val="00D232F6"/>
    <w:rsid w:val="00D2345C"/>
    <w:rsid w:val="00D2352B"/>
    <w:rsid w:val="00D235A3"/>
    <w:rsid w:val="00D239A8"/>
    <w:rsid w:val="00D23BB5"/>
    <w:rsid w:val="00D23DE6"/>
    <w:rsid w:val="00D241F8"/>
    <w:rsid w:val="00D242CD"/>
    <w:rsid w:val="00D244BC"/>
    <w:rsid w:val="00D24853"/>
    <w:rsid w:val="00D24DF0"/>
    <w:rsid w:val="00D24F4E"/>
    <w:rsid w:val="00D25081"/>
    <w:rsid w:val="00D25261"/>
    <w:rsid w:val="00D2541B"/>
    <w:rsid w:val="00D254A9"/>
    <w:rsid w:val="00D25625"/>
    <w:rsid w:val="00D25E2E"/>
    <w:rsid w:val="00D26196"/>
    <w:rsid w:val="00D261CA"/>
    <w:rsid w:val="00D2714C"/>
    <w:rsid w:val="00D2779E"/>
    <w:rsid w:val="00D3043C"/>
    <w:rsid w:val="00D30B02"/>
    <w:rsid w:val="00D30F4B"/>
    <w:rsid w:val="00D314C9"/>
    <w:rsid w:val="00D3169C"/>
    <w:rsid w:val="00D318CF"/>
    <w:rsid w:val="00D323B3"/>
    <w:rsid w:val="00D325E7"/>
    <w:rsid w:val="00D326D4"/>
    <w:rsid w:val="00D32746"/>
    <w:rsid w:val="00D32A8A"/>
    <w:rsid w:val="00D339CA"/>
    <w:rsid w:val="00D33B1B"/>
    <w:rsid w:val="00D33BE6"/>
    <w:rsid w:val="00D34D19"/>
    <w:rsid w:val="00D34D4E"/>
    <w:rsid w:val="00D350BF"/>
    <w:rsid w:val="00D3513F"/>
    <w:rsid w:val="00D35157"/>
    <w:rsid w:val="00D3520E"/>
    <w:rsid w:val="00D3520F"/>
    <w:rsid w:val="00D35229"/>
    <w:rsid w:val="00D3571C"/>
    <w:rsid w:val="00D35D40"/>
    <w:rsid w:val="00D3604C"/>
    <w:rsid w:val="00D36D42"/>
    <w:rsid w:val="00D36D7B"/>
    <w:rsid w:val="00D372A8"/>
    <w:rsid w:val="00D3758E"/>
    <w:rsid w:val="00D376B7"/>
    <w:rsid w:val="00D37AD6"/>
    <w:rsid w:val="00D37EC6"/>
    <w:rsid w:val="00D4021E"/>
    <w:rsid w:val="00D40299"/>
    <w:rsid w:val="00D406D9"/>
    <w:rsid w:val="00D40ACB"/>
    <w:rsid w:val="00D40BFD"/>
    <w:rsid w:val="00D40E1F"/>
    <w:rsid w:val="00D416BB"/>
    <w:rsid w:val="00D4189B"/>
    <w:rsid w:val="00D41B3A"/>
    <w:rsid w:val="00D41C04"/>
    <w:rsid w:val="00D41CC8"/>
    <w:rsid w:val="00D42B68"/>
    <w:rsid w:val="00D42DC4"/>
    <w:rsid w:val="00D4358E"/>
    <w:rsid w:val="00D437CF"/>
    <w:rsid w:val="00D43B5A"/>
    <w:rsid w:val="00D43C24"/>
    <w:rsid w:val="00D43FCC"/>
    <w:rsid w:val="00D452BF"/>
    <w:rsid w:val="00D45A58"/>
    <w:rsid w:val="00D45D80"/>
    <w:rsid w:val="00D461DC"/>
    <w:rsid w:val="00D467B6"/>
    <w:rsid w:val="00D46A85"/>
    <w:rsid w:val="00D4700A"/>
    <w:rsid w:val="00D470A0"/>
    <w:rsid w:val="00D47234"/>
    <w:rsid w:val="00D47264"/>
    <w:rsid w:val="00D479F3"/>
    <w:rsid w:val="00D47AC8"/>
    <w:rsid w:val="00D47EF2"/>
    <w:rsid w:val="00D50157"/>
    <w:rsid w:val="00D5016C"/>
    <w:rsid w:val="00D5016D"/>
    <w:rsid w:val="00D501F9"/>
    <w:rsid w:val="00D50870"/>
    <w:rsid w:val="00D50B21"/>
    <w:rsid w:val="00D513E9"/>
    <w:rsid w:val="00D5146C"/>
    <w:rsid w:val="00D515B3"/>
    <w:rsid w:val="00D51B1E"/>
    <w:rsid w:val="00D51C54"/>
    <w:rsid w:val="00D52013"/>
    <w:rsid w:val="00D52BAB"/>
    <w:rsid w:val="00D52D9F"/>
    <w:rsid w:val="00D53157"/>
    <w:rsid w:val="00D53278"/>
    <w:rsid w:val="00D534A9"/>
    <w:rsid w:val="00D535C3"/>
    <w:rsid w:val="00D5388E"/>
    <w:rsid w:val="00D53B96"/>
    <w:rsid w:val="00D54341"/>
    <w:rsid w:val="00D54ADC"/>
    <w:rsid w:val="00D54B67"/>
    <w:rsid w:val="00D54D9A"/>
    <w:rsid w:val="00D54DB3"/>
    <w:rsid w:val="00D5552A"/>
    <w:rsid w:val="00D55A36"/>
    <w:rsid w:val="00D55B3F"/>
    <w:rsid w:val="00D55DA4"/>
    <w:rsid w:val="00D5608A"/>
    <w:rsid w:val="00D56500"/>
    <w:rsid w:val="00D569A5"/>
    <w:rsid w:val="00D56E08"/>
    <w:rsid w:val="00D56FD0"/>
    <w:rsid w:val="00D57102"/>
    <w:rsid w:val="00D5717B"/>
    <w:rsid w:val="00D57247"/>
    <w:rsid w:val="00D575B0"/>
    <w:rsid w:val="00D576DC"/>
    <w:rsid w:val="00D57D4C"/>
    <w:rsid w:val="00D57DC3"/>
    <w:rsid w:val="00D601EE"/>
    <w:rsid w:val="00D6061C"/>
    <w:rsid w:val="00D6088D"/>
    <w:rsid w:val="00D611ED"/>
    <w:rsid w:val="00D61933"/>
    <w:rsid w:val="00D61B38"/>
    <w:rsid w:val="00D61DE3"/>
    <w:rsid w:val="00D621D2"/>
    <w:rsid w:val="00D62E77"/>
    <w:rsid w:val="00D633B7"/>
    <w:rsid w:val="00D637A0"/>
    <w:rsid w:val="00D63B77"/>
    <w:rsid w:val="00D63B7F"/>
    <w:rsid w:val="00D63FEF"/>
    <w:rsid w:val="00D640D0"/>
    <w:rsid w:val="00D65905"/>
    <w:rsid w:val="00D65C27"/>
    <w:rsid w:val="00D65D7F"/>
    <w:rsid w:val="00D6603E"/>
    <w:rsid w:val="00D67BDF"/>
    <w:rsid w:val="00D67FC5"/>
    <w:rsid w:val="00D7015A"/>
    <w:rsid w:val="00D702B5"/>
    <w:rsid w:val="00D7086C"/>
    <w:rsid w:val="00D708AA"/>
    <w:rsid w:val="00D70AFB"/>
    <w:rsid w:val="00D70EA4"/>
    <w:rsid w:val="00D7100F"/>
    <w:rsid w:val="00D713AF"/>
    <w:rsid w:val="00D72258"/>
    <w:rsid w:val="00D726C5"/>
    <w:rsid w:val="00D72747"/>
    <w:rsid w:val="00D72D11"/>
    <w:rsid w:val="00D7324D"/>
    <w:rsid w:val="00D73399"/>
    <w:rsid w:val="00D73BBA"/>
    <w:rsid w:val="00D73C48"/>
    <w:rsid w:val="00D73DB6"/>
    <w:rsid w:val="00D74040"/>
    <w:rsid w:val="00D74259"/>
    <w:rsid w:val="00D7465E"/>
    <w:rsid w:val="00D747AF"/>
    <w:rsid w:val="00D748FC"/>
    <w:rsid w:val="00D74AD5"/>
    <w:rsid w:val="00D75338"/>
    <w:rsid w:val="00D755EA"/>
    <w:rsid w:val="00D75778"/>
    <w:rsid w:val="00D7579A"/>
    <w:rsid w:val="00D75AAC"/>
    <w:rsid w:val="00D75C36"/>
    <w:rsid w:val="00D75DDF"/>
    <w:rsid w:val="00D76571"/>
    <w:rsid w:val="00D770CD"/>
    <w:rsid w:val="00D7761B"/>
    <w:rsid w:val="00D7782F"/>
    <w:rsid w:val="00D778E5"/>
    <w:rsid w:val="00D77979"/>
    <w:rsid w:val="00D77AEC"/>
    <w:rsid w:val="00D77E7A"/>
    <w:rsid w:val="00D77FC4"/>
    <w:rsid w:val="00D809A8"/>
    <w:rsid w:val="00D80B79"/>
    <w:rsid w:val="00D80CCB"/>
    <w:rsid w:val="00D81012"/>
    <w:rsid w:val="00D810B2"/>
    <w:rsid w:val="00D8180D"/>
    <w:rsid w:val="00D8187A"/>
    <w:rsid w:val="00D81929"/>
    <w:rsid w:val="00D81F35"/>
    <w:rsid w:val="00D82691"/>
    <w:rsid w:val="00D82768"/>
    <w:rsid w:val="00D82D59"/>
    <w:rsid w:val="00D83403"/>
    <w:rsid w:val="00D83668"/>
    <w:rsid w:val="00D83716"/>
    <w:rsid w:val="00D837C5"/>
    <w:rsid w:val="00D83A25"/>
    <w:rsid w:val="00D83C48"/>
    <w:rsid w:val="00D8426E"/>
    <w:rsid w:val="00D843CC"/>
    <w:rsid w:val="00D8440A"/>
    <w:rsid w:val="00D8443A"/>
    <w:rsid w:val="00D844D1"/>
    <w:rsid w:val="00D856AA"/>
    <w:rsid w:val="00D85904"/>
    <w:rsid w:val="00D85A59"/>
    <w:rsid w:val="00D867A6"/>
    <w:rsid w:val="00D86B9E"/>
    <w:rsid w:val="00D86D4D"/>
    <w:rsid w:val="00D87896"/>
    <w:rsid w:val="00D87EBA"/>
    <w:rsid w:val="00D90236"/>
    <w:rsid w:val="00D90BA9"/>
    <w:rsid w:val="00D91935"/>
    <w:rsid w:val="00D91C71"/>
    <w:rsid w:val="00D91D56"/>
    <w:rsid w:val="00D91DF9"/>
    <w:rsid w:val="00D92F24"/>
    <w:rsid w:val="00D93CCA"/>
    <w:rsid w:val="00D93EB3"/>
    <w:rsid w:val="00D94296"/>
    <w:rsid w:val="00D94F0C"/>
    <w:rsid w:val="00D9503A"/>
    <w:rsid w:val="00D956F5"/>
    <w:rsid w:val="00D957BC"/>
    <w:rsid w:val="00D9618A"/>
    <w:rsid w:val="00D9618F"/>
    <w:rsid w:val="00D96342"/>
    <w:rsid w:val="00D96394"/>
    <w:rsid w:val="00D96682"/>
    <w:rsid w:val="00D966C5"/>
    <w:rsid w:val="00D972EB"/>
    <w:rsid w:val="00D97646"/>
    <w:rsid w:val="00D97674"/>
    <w:rsid w:val="00D97BD5"/>
    <w:rsid w:val="00D97BE7"/>
    <w:rsid w:val="00DA016E"/>
    <w:rsid w:val="00DA0811"/>
    <w:rsid w:val="00DA0D46"/>
    <w:rsid w:val="00DA0FC4"/>
    <w:rsid w:val="00DA11E6"/>
    <w:rsid w:val="00DA1C6E"/>
    <w:rsid w:val="00DA2198"/>
    <w:rsid w:val="00DA21D0"/>
    <w:rsid w:val="00DA246F"/>
    <w:rsid w:val="00DA2A5C"/>
    <w:rsid w:val="00DA2BE4"/>
    <w:rsid w:val="00DA2E06"/>
    <w:rsid w:val="00DA348D"/>
    <w:rsid w:val="00DA350D"/>
    <w:rsid w:val="00DA3536"/>
    <w:rsid w:val="00DA38CC"/>
    <w:rsid w:val="00DA3A07"/>
    <w:rsid w:val="00DA4667"/>
    <w:rsid w:val="00DA5888"/>
    <w:rsid w:val="00DA5C25"/>
    <w:rsid w:val="00DA5ECD"/>
    <w:rsid w:val="00DA617E"/>
    <w:rsid w:val="00DA70BF"/>
    <w:rsid w:val="00DA7841"/>
    <w:rsid w:val="00DA78E3"/>
    <w:rsid w:val="00DA79E3"/>
    <w:rsid w:val="00DA7ABD"/>
    <w:rsid w:val="00DA7B70"/>
    <w:rsid w:val="00DA7D48"/>
    <w:rsid w:val="00DA7FBA"/>
    <w:rsid w:val="00DB003C"/>
    <w:rsid w:val="00DB061B"/>
    <w:rsid w:val="00DB12EA"/>
    <w:rsid w:val="00DB1A0D"/>
    <w:rsid w:val="00DB1B35"/>
    <w:rsid w:val="00DB1B65"/>
    <w:rsid w:val="00DB1D92"/>
    <w:rsid w:val="00DB2171"/>
    <w:rsid w:val="00DB2226"/>
    <w:rsid w:val="00DB23FF"/>
    <w:rsid w:val="00DB2E88"/>
    <w:rsid w:val="00DB32DE"/>
    <w:rsid w:val="00DB32E2"/>
    <w:rsid w:val="00DB3658"/>
    <w:rsid w:val="00DB38F4"/>
    <w:rsid w:val="00DB391D"/>
    <w:rsid w:val="00DB3CAF"/>
    <w:rsid w:val="00DB3E37"/>
    <w:rsid w:val="00DB3EBE"/>
    <w:rsid w:val="00DB4614"/>
    <w:rsid w:val="00DB469B"/>
    <w:rsid w:val="00DB4AD1"/>
    <w:rsid w:val="00DB56B2"/>
    <w:rsid w:val="00DB5E45"/>
    <w:rsid w:val="00DB6143"/>
    <w:rsid w:val="00DB6330"/>
    <w:rsid w:val="00DB6DCC"/>
    <w:rsid w:val="00DB6F85"/>
    <w:rsid w:val="00DB73E4"/>
    <w:rsid w:val="00DB76C2"/>
    <w:rsid w:val="00DC00C8"/>
    <w:rsid w:val="00DC025F"/>
    <w:rsid w:val="00DC060E"/>
    <w:rsid w:val="00DC0A30"/>
    <w:rsid w:val="00DC0A42"/>
    <w:rsid w:val="00DC1491"/>
    <w:rsid w:val="00DC17D9"/>
    <w:rsid w:val="00DC1A4D"/>
    <w:rsid w:val="00DC20E5"/>
    <w:rsid w:val="00DC28AF"/>
    <w:rsid w:val="00DC2C1D"/>
    <w:rsid w:val="00DC2F9D"/>
    <w:rsid w:val="00DC3832"/>
    <w:rsid w:val="00DC3D08"/>
    <w:rsid w:val="00DC4561"/>
    <w:rsid w:val="00DC4B45"/>
    <w:rsid w:val="00DC4DBB"/>
    <w:rsid w:val="00DC4EDF"/>
    <w:rsid w:val="00DC511F"/>
    <w:rsid w:val="00DC51B7"/>
    <w:rsid w:val="00DC5275"/>
    <w:rsid w:val="00DC538F"/>
    <w:rsid w:val="00DC544A"/>
    <w:rsid w:val="00DC56EA"/>
    <w:rsid w:val="00DC5803"/>
    <w:rsid w:val="00DC5A96"/>
    <w:rsid w:val="00DC6961"/>
    <w:rsid w:val="00DC69E8"/>
    <w:rsid w:val="00DC6C58"/>
    <w:rsid w:val="00DC73CA"/>
    <w:rsid w:val="00DC7578"/>
    <w:rsid w:val="00DD00B0"/>
    <w:rsid w:val="00DD02BA"/>
    <w:rsid w:val="00DD042F"/>
    <w:rsid w:val="00DD04D9"/>
    <w:rsid w:val="00DD0622"/>
    <w:rsid w:val="00DD06EC"/>
    <w:rsid w:val="00DD074D"/>
    <w:rsid w:val="00DD09BB"/>
    <w:rsid w:val="00DD15C6"/>
    <w:rsid w:val="00DD1A83"/>
    <w:rsid w:val="00DD1EAB"/>
    <w:rsid w:val="00DD1EC0"/>
    <w:rsid w:val="00DD2210"/>
    <w:rsid w:val="00DD233B"/>
    <w:rsid w:val="00DD234F"/>
    <w:rsid w:val="00DD2B63"/>
    <w:rsid w:val="00DD2EDB"/>
    <w:rsid w:val="00DD3067"/>
    <w:rsid w:val="00DD3995"/>
    <w:rsid w:val="00DD3EC5"/>
    <w:rsid w:val="00DD41D0"/>
    <w:rsid w:val="00DD46F9"/>
    <w:rsid w:val="00DD4F07"/>
    <w:rsid w:val="00DD50B9"/>
    <w:rsid w:val="00DD51D6"/>
    <w:rsid w:val="00DD538D"/>
    <w:rsid w:val="00DD587E"/>
    <w:rsid w:val="00DD5BE1"/>
    <w:rsid w:val="00DD5FDC"/>
    <w:rsid w:val="00DD62CC"/>
    <w:rsid w:val="00DD6C3D"/>
    <w:rsid w:val="00DD6E51"/>
    <w:rsid w:val="00DD6EF0"/>
    <w:rsid w:val="00DD73B8"/>
    <w:rsid w:val="00DD740A"/>
    <w:rsid w:val="00DD757D"/>
    <w:rsid w:val="00DD7C9E"/>
    <w:rsid w:val="00DD7CDB"/>
    <w:rsid w:val="00DD7EDF"/>
    <w:rsid w:val="00DE0BFD"/>
    <w:rsid w:val="00DE138A"/>
    <w:rsid w:val="00DE182A"/>
    <w:rsid w:val="00DE196D"/>
    <w:rsid w:val="00DE1CE2"/>
    <w:rsid w:val="00DE1E78"/>
    <w:rsid w:val="00DE1F76"/>
    <w:rsid w:val="00DE2BC2"/>
    <w:rsid w:val="00DE2D16"/>
    <w:rsid w:val="00DE306B"/>
    <w:rsid w:val="00DE36AA"/>
    <w:rsid w:val="00DE3C0F"/>
    <w:rsid w:val="00DE4378"/>
    <w:rsid w:val="00DE440F"/>
    <w:rsid w:val="00DE5319"/>
    <w:rsid w:val="00DE54D9"/>
    <w:rsid w:val="00DE5563"/>
    <w:rsid w:val="00DE6083"/>
    <w:rsid w:val="00DE60AB"/>
    <w:rsid w:val="00DE6F37"/>
    <w:rsid w:val="00DE6FD8"/>
    <w:rsid w:val="00DE7666"/>
    <w:rsid w:val="00DE798E"/>
    <w:rsid w:val="00DF0844"/>
    <w:rsid w:val="00DF0A12"/>
    <w:rsid w:val="00DF0EDF"/>
    <w:rsid w:val="00DF1A36"/>
    <w:rsid w:val="00DF1E16"/>
    <w:rsid w:val="00DF1E56"/>
    <w:rsid w:val="00DF23CF"/>
    <w:rsid w:val="00DF2A3D"/>
    <w:rsid w:val="00DF2E23"/>
    <w:rsid w:val="00DF3261"/>
    <w:rsid w:val="00DF3443"/>
    <w:rsid w:val="00DF3669"/>
    <w:rsid w:val="00DF366D"/>
    <w:rsid w:val="00DF3777"/>
    <w:rsid w:val="00DF37B4"/>
    <w:rsid w:val="00DF39CE"/>
    <w:rsid w:val="00DF39EF"/>
    <w:rsid w:val="00DF3A5F"/>
    <w:rsid w:val="00DF3D38"/>
    <w:rsid w:val="00DF41E9"/>
    <w:rsid w:val="00DF46D7"/>
    <w:rsid w:val="00DF4EA6"/>
    <w:rsid w:val="00DF5230"/>
    <w:rsid w:val="00DF5DBE"/>
    <w:rsid w:val="00DF6A6F"/>
    <w:rsid w:val="00DF6B6B"/>
    <w:rsid w:val="00DF71E1"/>
    <w:rsid w:val="00DF71E3"/>
    <w:rsid w:val="00DF74E8"/>
    <w:rsid w:val="00DF7843"/>
    <w:rsid w:val="00DF7F69"/>
    <w:rsid w:val="00E00285"/>
    <w:rsid w:val="00E00800"/>
    <w:rsid w:val="00E01343"/>
    <w:rsid w:val="00E014CB"/>
    <w:rsid w:val="00E0157C"/>
    <w:rsid w:val="00E01793"/>
    <w:rsid w:val="00E01A83"/>
    <w:rsid w:val="00E01CC8"/>
    <w:rsid w:val="00E02200"/>
    <w:rsid w:val="00E0221F"/>
    <w:rsid w:val="00E02EEC"/>
    <w:rsid w:val="00E0353D"/>
    <w:rsid w:val="00E0402D"/>
    <w:rsid w:val="00E04243"/>
    <w:rsid w:val="00E04BA5"/>
    <w:rsid w:val="00E058F3"/>
    <w:rsid w:val="00E05CFD"/>
    <w:rsid w:val="00E06025"/>
    <w:rsid w:val="00E06788"/>
    <w:rsid w:val="00E067EC"/>
    <w:rsid w:val="00E068BA"/>
    <w:rsid w:val="00E06910"/>
    <w:rsid w:val="00E06DEF"/>
    <w:rsid w:val="00E06DF3"/>
    <w:rsid w:val="00E071EF"/>
    <w:rsid w:val="00E1016A"/>
    <w:rsid w:val="00E10254"/>
    <w:rsid w:val="00E10387"/>
    <w:rsid w:val="00E10717"/>
    <w:rsid w:val="00E10B52"/>
    <w:rsid w:val="00E10D3F"/>
    <w:rsid w:val="00E11457"/>
    <w:rsid w:val="00E1147C"/>
    <w:rsid w:val="00E11B0E"/>
    <w:rsid w:val="00E12157"/>
    <w:rsid w:val="00E12A79"/>
    <w:rsid w:val="00E12B76"/>
    <w:rsid w:val="00E12B92"/>
    <w:rsid w:val="00E12C91"/>
    <w:rsid w:val="00E12D2B"/>
    <w:rsid w:val="00E130EE"/>
    <w:rsid w:val="00E1335C"/>
    <w:rsid w:val="00E1338D"/>
    <w:rsid w:val="00E134C6"/>
    <w:rsid w:val="00E135BA"/>
    <w:rsid w:val="00E135BD"/>
    <w:rsid w:val="00E13625"/>
    <w:rsid w:val="00E13A9D"/>
    <w:rsid w:val="00E13BD6"/>
    <w:rsid w:val="00E13BD8"/>
    <w:rsid w:val="00E13C67"/>
    <w:rsid w:val="00E13C82"/>
    <w:rsid w:val="00E13CCF"/>
    <w:rsid w:val="00E142E5"/>
    <w:rsid w:val="00E1433B"/>
    <w:rsid w:val="00E146F4"/>
    <w:rsid w:val="00E14F50"/>
    <w:rsid w:val="00E14F54"/>
    <w:rsid w:val="00E1550D"/>
    <w:rsid w:val="00E159A8"/>
    <w:rsid w:val="00E15B79"/>
    <w:rsid w:val="00E15CE1"/>
    <w:rsid w:val="00E16166"/>
    <w:rsid w:val="00E1644B"/>
    <w:rsid w:val="00E16808"/>
    <w:rsid w:val="00E168B5"/>
    <w:rsid w:val="00E1693E"/>
    <w:rsid w:val="00E16DA5"/>
    <w:rsid w:val="00E170E4"/>
    <w:rsid w:val="00E17BF4"/>
    <w:rsid w:val="00E200A0"/>
    <w:rsid w:val="00E20184"/>
    <w:rsid w:val="00E204D1"/>
    <w:rsid w:val="00E205B8"/>
    <w:rsid w:val="00E20D13"/>
    <w:rsid w:val="00E2165E"/>
    <w:rsid w:val="00E2170D"/>
    <w:rsid w:val="00E2197D"/>
    <w:rsid w:val="00E21E22"/>
    <w:rsid w:val="00E21F4B"/>
    <w:rsid w:val="00E2213C"/>
    <w:rsid w:val="00E22241"/>
    <w:rsid w:val="00E22311"/>
    <w:rsid w:val="00E224E4"/>
    <w:rsid w:val="00E22564"/>
    <w:rsid w:val="00E227FC"/>
    <w:rsid w:val="00E229FB"/>
    <w:rsid w:val="00E23857"/>
    <w:rsid w:val="00E23C7E"/>
    <w:rsid w:val="00E24938"/>
    <w:rsid w:val="00E24E4A"/>
    <w:rsid w:val="00E24F45"/>
    <w:rsid w:val="00E250F4"/>
    <w:rsid w:val="00E254D3"/>
    <w:rsid w:val="00E25942"/>
    <w:rsid w:val="00E25E2A"/>
    <w:rsid w:val="00E25FE9"/>
    <w:rsid w:val="00E2687D"/>
    <w:rsid w:val="00E268AD"/>
    <w:rsid w:val="00E269AA"/>
    <w:rsid w:val="00E26BFF"/>
    <w:rsid w:val="00E27420"/>
    <w:rsid w:val="00E27F9C"/>
    <w:rsid w:val="00E3021A"/>
    <w:rsid w:val="00E306B4"/>
    <w:rsid w:val="00E307C0"/>
    <w:rsid w:val="00E30CE5"/>
    <w:rsid w:val="00E30F72"/>
    <w:rsid w:val="00E3107F"/>
    <w:rsid w:val="00E31147"/>
    <w:rsid w:val="00E3130F"/>
    <w:rsid w:val="00E316DD"/>
    <w:rsid w:val="00E31765"/>
    <w:rsid w:val="00E32A6C"/>
    <w:rsid w:val="00E335CC"/>
    <w:rsid w:val="00E33A8C"/>
    <w:rsid w:val="00E34407"/>
    <w:rsid w:val="00E34679"/>
    <w:rsid w:val="00E34EC9"/>
    <w:rsid w:val="00E3566D"/>
    <w:rsid w:val="00E35B5F"/>
    <w:rsid w:val="00E35D97"/>
    <w:rsid w:val="00E36357"/>
    <w:rsid w:val="00E36CF0"/>
    <w:rsid w:val="00E36EE1"/>
    <w:rsid w:val="00E37582"/>
    <w:rsid w:val="00E37999"/>
    <w:rsid w:val="00E37F80"/>
    <w:rsid w:val="00E40091"/>
    <w:rsid w:val="00E405A5"/>
    <w:rsid w:val="00E410A4"/>
    <w:rsid w:val="00E4112D"/>
    <w:rsid w:val="00E41374"/>
    <w:rsid w:val="00E41469"/>
    <w:rsid w:val="00E416A4"/>
    <w:rsid w:val="00E4178A"/>
    <w:rsid w:val="00E41AC3"/>
    <w:rsid w:val="00E41BB8"/>
    <w:rsid w:val="00E41CCA"/>
    <w:rsid w:val="00E41E10"/>
    <w:rsid w:val="00E41E36"/>
    <w:rsid w:val="00E42049"/>
    <w:rsid w:val="00E429FD"/>
    <w:rsid w:val="00E42DFC"/>
    <w:rsid w:val="00E42E31"/>
    <w:rsid w:val="00E431D2"/>
    <w:rsid w:val="00E43328"/>
    <w:rsid w:val="00E43D26"/>
    <w:rsid w:val="00E4428F"/>
    <w:rsid w:val="00E4429E"/>
    <w:rsid w:val="00E44588"/>
    <w:rsid w:val="00E451FB"/>
    <w:rsid w:val="00E4531D"/>
    <w:rsid w:val="00E45631"/>
    <w:rsid w:val="00E4569F"/>
    <w:rsid w:val="00E45F70"/>
    <w:rsid w:val="00E46057"/>
    <w:rsid w:val="00E464A6"/>
    <w:rsid w:val="00E467A9"/>
    <w:rsid w:val="00E46E5F"/>
    <w:rsid w:val="00E502B6"/>
    <w:rsid w:val="00E50783"/>
    <w:rsid w:val="00E5088D"/>
    <w:rsid w:val="00E509DE"/>
    <w:rsid w:val="00E50A50"/>
    <w:rsid w:val="00E510BA"/>
    <w:rsid w:val="00E51286"/>
    <w:rsid w:val="00E51DD7"/>
    <w:rsid w:val="00E5206A"/>
    <w:rsid w:val="00E52249"/>
    <w:rsid w:val="00E5288B"/>
    <w:rsid w:val="00E537C9"/>
    <w:rsid w:val="00E5386F"/>
    <w:rsid w:val="00E53954"/>
    <w:rsid w:val="00E53CFF"/>
    <w:rsid w:val="00E544DA"/>
    <w:rsid w:val="00E549ED"/>
    <w:rsid w:val="00E54C38"/>
    <w:rsid w:val="00E55765"/>
    <w:rsid w:val="00E55798"/>
    <w:rsid w:val="00E5583F"/>
    <w:rsid w:val="00E55CD2"/>
    <w:rsid w:val="00E560C6"/>
    <w:rsid w:val="00E565FB"/>
    <w:rsid w:val="00E56B46"/>
    <w:rsid w:val="00E5757A"/>
    <w:rsid w:val="00E57A6D"/>
    <w:rsid w:val="00E57BCD"/>
    <w:rsid w:val="00E57D1A"/>
    <w:rsid w:val="00E57E52"/>
    <w:rsid w:val="00E601FA"/>
    <w:rsid w:val="00E6055B"/>
    <w:rsid w:val="00E607E3"/>
    <w:rsid w:val="00E610C8"/>
    <w:rsid w:val="00E61235"/>
    <w:rsid w:val="00E6130E"/>
    <w:rsid w:val="00E6183D"/>
    <w:rsid w:val="00E6185D"/>
    <w:rsid w:val="00E619D7"/>
    <w:rsid w:val="00E61CDE"/>
    <w:rsid w:val="00E61FB2"/>
    <w:rsid w:val="00E620BC"/>
    <w:rsid w:val="00E621D9"/>
    <w:rsid w:val="00E626B0"/>
    <w:rsid w:val="00E628EC"/>
    <w:rsid w:val="00E62D8E"/>
    <w:rsid w:val="00E62E77"/>
    <w:rsid w:val="00E6330C"/>
    <w:rsid w:val="00E63764"/>
    <w:rsid w:val="00E63910"/>
    <w:rsid w:val="00E63DCE"/>
    <w:rsid w:val="00E63ED6"/>
    <w:rsid w:val="00E64073"/>
    <w:rsid w:val="00E6442E"/>
    <w:rsid w:val="00E651C7"/>
    <w:rsid w:val="00E652F4"/>
    <w:rsid w:val="00E65509"/>
    <w:rsid w:val="00E6555E"/>
    <w:rsid w:val="00E65C82"/>
    <w:rsid w:val="00E65DCD"/>
    <w:rsid w:val="00E6647D"/>
    <w:rsid w:val="00E66752"/>
    <w:rsid w:val="00E67A94"/>
    <w:rsid w:val="00E67CB9"/>
    <w:rsid w:val="00E7004A"/>
    <w:rsid w:val="00E7073E"/>
    <w:rsid w:val="00E70C96"/>
    <w:rsid w:val="00E71561"/>
    <w:rsid w:val="00E7168C"/>
    <w:rsid w:val="00E722EF"/>
    <w:rsid w:val="00E72579"/>
    <w:rsid w:val="00E72B9F"/>
    <w:rsid w:val="00E72F9C"/>
    <w:rsid w:val="00E73441"/>
    <w:rsid w:val="00E73550"/>
    <w:rsid w:val="00E7390B"/>
    <w:rsid w:val="00E73E51"/>
    <w:rsid w:val="00E74B31"/>
    <w:rsid w:val="00E74C5B"/>
    <w:rsid w:val="00E75544"/>
    <w:rsid w:val="00E759BF"/>
    <w:rsid w:val="00E759F9"/>
    <w:rsid w:val="00E75DD7"/>
    <w:rsid w:val="00E75F5D"/>
    <w:rsid w:val="00E76278"/>
    <w:rsid w:val="00E76346"/>
    <w:rsid w:val="00E764FE"/>
    <w:rsid w:val="00E76C92"/>
    <w:rsid w:val="00E76D9C"/>
    <w:rsid w:val="00E7770F"/>
    <w:rsid w:val="00E7788D"/>
    <w:rsid w:val="00E7789D"/>
    <w:rsid w:val="00E77CD2"/>
    <w:rsid w:val="00E80268"/>
    <w:rsid w:val="00E80818"/>
    <w:rsid w:val="00E808AD"/>
    <w:rsid w:val="00E80A4A"/>
    <w:rsid w:val="00E80D71"/>
    <w:rsid w:val="00E814BC"/>
    <w:rsid w:val="00E818CE"/>
    <w:rsid w:val="00E81BDC"/>
    <w:rsid w:val="00E81BE8"/>
    <w:rsid w:val="00E81D2E"/>
    <w:rsid w:val="00E82424"/>
    <w:rsid w:val="00E8259C"/>
    <w:rsid w:val="00E8287F"/>
    <w:rsid w:val="00E82DB5"/>
    <w:rsid w:val="00E8328B"/>
    <w:rsid w:val="00E83E3C"/>
    <w:rsid w:val="00E84EAB"/>
    <w:rsid w:val="00E84EB3"/>
    <w:rsid w:val="00E85100"/>
    <w:rsid w:val="00E852E5"/>
    <w:rsid w:val="00E85656"/>
    <w:rsid w:val="00E85857"/>
    <w:rsid w:val="00E85B4D"/>
    <w:rsid w:val="00E85C3E"/>
    <w:rsid w:val="00E86577"/>
    <w:rsid w:val="00E865F8"/>
    <w:rsid w:val="00E86974"/>
    <w:rsid w:val="00E86B6D"/>
    <w:rsid w:val="00E86D29"/>
    <w:rsid w:val="00E872AD"/>
    <w:rsid w:val="00E87619"/>
    <w:rsid w:val="00E8767E"/>
    <w:rsid w:val="00E87955"/>
    <w:rsid w:val="00E87A37"/>
    <w:rsid w:val="00E87BA4"/>
    <w:rsid w:val="00E87ED5"/>
    <w:rsid w:val="00E903F0"/>
    <w:rsid w:val="00E905BA"/>
    <w:rsid w:val="00E90EAA"/>
    <w:rsid w:val="00E9195C"/>
    <w:rsid w:val="00E91994"/>
    <w:rsid w:val="00E91FA5"/>
    <w:rsid w:val="00E9215D"/>
    <w:rsid w:val="00E92236"/>
    <w:rsid w:val="00E9227E"/>
    <w:rsid w:val="00E925C8"/>
    <w:rsid w:val="00E927F8"/>
    <w:rsid w:val="00E934A8"/>
    <w:rsid w:val="00E93B32"/>
    <w:rsid w:val="00E951E0"/>
    <w:rsid w:val="00E952CE"/>
    <w:rsid w:val="00E95526"/>
    <w:rsid w:val="00E95899"/>
    <w:rsid w:val="00E95F7D"/>
    <w:rsid w:val="00E95F95"/>
    <w:rsid w:val="00E960B4"/>
    <w:rsid w:val="00E96232"/>
    <w:rsid w:val="00E96614"/>
    <w:rsid w:val="00E97070"/>
    <w:rsid w:val="00E97543"/>
    <w:rsid w:val="00E97691"/>
    <w:rsid w:val="00E97BBD"/>
    <w:rsid w:val="00E97C7A"/>
    <w:rsid w:val="00EA00FA"/>
    <w:rsid w:val="00EA0158"/>
    <w:rsid w:val="00EA03C2"/>
    <w:rsid w:val="00EA0F98"/>
    <w:rsid w:val="00EA15F3"/>
    <w:rsid w:val="00EA165D"/>
    <w:rsid w:val="00EA169C"/>
    <w:rsid w:val="00EA1BA5"/>
    <w:rsid w:val="00EA2341"/>
    <w:rsid w:val="00EA2550"/>
    <w:rsid w:val="00EA260C"/>
    <w:rsid w:val="00EA29B1"/>
    <w:rsid w:val="00EA2BD1"/>
    <w:rsid w:val="00EA2C6A"/>
    <w:rsid w:val="00EA2D80"/>
    <w:rsid w:val="00EA2DDD"/>
    <w:rsid w:val="00EA3205"/>
    <w:rsid w:val="00EA3414"/>
    <w:rsid w:val="00EA3B61"/>
    <w:rsid w:val="00EA3F1C"/>
    <w:rsid w:val="00EA40C8"/>
    <w:rsid w:val="00EA43E9"/>
    <w:rsid w:val="00EA460E"/>
    <w:rsid w:val="00EA498A"/>
    <w:rsid w:val="00EA4B47"/>
    <w:rsid w:val="00EA55AF"/>
    <w:rsid w:val="00EA5922"/>
    <w:rsid w:val="00EA5B00"/>
    <w:rsid w:val="00EA5F2E"/>
    <w:rsid w:val="00EA6281"/>
    <w:rsid w:val="00EA69B7"/>
    <w:rsid w:val="00EA7773"/>
    <w:rsid w:val="00EB00DD"/>
    <w:rsid w:val="00EB04CF"/>
    <w:rsid w:val="00EB14BB"/>
    <w:rsid w:val="00EB1867"/>
    <w:rsid w:val="00EB1D14"/>
    <w:rsid w:val="00EB261E"/>
    <w:rsid w:val="00EB287A"/>
    <w:rsid w:val="00EB2A74"/>
    <w:rsid w:val="00EB2C24"/>
    <w:rsid w:val="00EB2CDF"/>
    <w:rsid w:val="00EB3034"/>
    <w:rsid w:val="00EB3336"/>
    <w:rsid w:val="00EB35D2"/>
    <w:rsid w:val="00EB361D"/>
    <w:rsid w:val="00EB3808"/>
    <w:rsid w:val="00EB3852"/>
    <w:rsid w:val="00EB3B33"/>
    <w:rsid w:val="00EB3DE0"/>
    <w:rsid w:val="00EB3DE2"/>
    <w:rsid w:val="00EB3FB2"/>
    <w:rsid w:val="00EB41C9"/>
    <w:rsid w:val="00EB4443"/>
    <w:rsid w:val="00EB4785"/>
    <w:rsid w:val="00EB4C0F"/>
    <w:rsid w:val="00EB536D"/>
    <w:rsid w:val="00EB5924"/>
    <w:rsid w:val="00EB603D"/>
    <w:rsid w:val="00EB6163"/>
    <w:rsid w:val="00EB62C8"/>
    <w:rsid w:val="00EB6545"/>
    <w:rsid w:val="00EB742E"/>
    <w:rsid w:val="00EB777C"/>
    <w:rsid w:val="00EB7B50"/>
    <w:rsid w:val="00EB7BB9"/>
    <w:rsid w:val="00EC014A"/>
    <w:rsid w:val="00EC01DD"/>
    <w:rsid w:val="00EC0277"/>
    <w:rsid w:val="00EC07BB"/>
    <w:rsid w:val="00EC0CE6"/>
    <w:rsid w:val="00EC0D6C"/>
    <w:rsid w:val="00EC10C6"/>
    <w:rsid w:val="00EC1A71"/>
    <w:rsid w:val="00EC2643"/>
    <w:rsid w:val="00EC271D"/>
    <w:rsid w:val="00EC2795"/>
    <w:rsid w:val="00EC29E5"/>
    <w:rsid w:val="00EC2D85"/>
    <w:rsid w:val="00EC2DFF"/>
    <w:rsid w:val="00EC2F8C"/>
    <w:rsid w:val="00EC2FA1"/>
    <w:rsid w:val="00EC3251"/>
    <w:rsid w:val="00EC3A4C"/>
    <w:rsid w:val="00EC47E6"/>
    <w:rsid w:val="00EC49F4"/>
    <w:rsid w:val="00EC4DB5"/>
    <w:rsid w:val="00EC4F00"/>
    <w:rsid w:val="00EC4F52"/>
    <w:rsid w:val="00EC5015"/>
    <w:rsid w:val="00EC51CF"/>
    <w:rsid w:val="00EC5298"/>
    <w:rsid w:val="00EC531E"/>
    <w:rsid w:val="00EC55E5"/>
    <w:rsid w:val="00EC560E"/>
    <w:rsid w:val="00EC5A25"/>
    <w:rsid w:val="00EC60F8"/>
    <w:rsid w:val="00EC6333"/>
    <w:rsid w:val="00EC6816"/>
    <w:rsid w:val="00EC6BFA"/>
    <w:rsid w:val="00EC7306"/>
    <w:rsid w:val="00EC7512"/>
    <w:rsid w:val="00ED04B3"/>
    <w:rsid w:val="00ED071A"/>
    <w:rsid w:val="00ED0B94"/>
    <w:rsid w:val="00ED1070"/>
    <w:rsid w:val="00ED1458"/>
    <w:rsid w:val="00ED165E"/>
    <w:rsid w:val="00ED17BA"/>
    <w:rsid w:val="00ED180D"/>
    <w:rsid w:val="00ED18B4"/>
    <w:rsid w:val="00ED2242"/>
    <w:rsid w:val="00ED224D"/>
    <w:rsid w:val="00ED2410"/>
    <w:rsid w:val="00ED2522"/>
    <w:rsid w:val="00ED2B54"/>
    <w:rsid w:val="00ED3067"/>
    <w:rsid w:val="00ED33C9"/>
    <w:rsid w:val="00ED3714"/>
    <w:rsid w:val="00ED371E"/>
    <w:rsid w:val="00ED38E5"/>
    <w:rsid w:val="00ED38FD"/>
    <w:rsid w:val="00ED3F75"/>
    <w:rsid w:val="00ED4363"/>
    <w:rsid w:val="00ED4470"/>
    <w:rsid w:val="00ED4887"/>
    <w:rsid w:val="00ED48CC"/>
    <w:rsid w:val="00ED4F3A"/>
    <w:rsid w:val="00ED50A8"/>
    <w:rsid w:val="00ED566D"/>
    <w:rsid w:val="00ED5A0F"/>
    <w:rsid w:val="00ED5A81"/>
    <w:rsid w:val="00ED5DEF"/>
    <w:rsid w:val="00ED5F04"/>
    <w:rsid w:val="00ED60EA"/>
    <w:rsid w:val="00ED6178"/>
    <w:rsid w:val="00ED6353"/>
    <w:rsid w:val="00ED63A5"/>
    <w:rsid w:val="00ED6465"/>
    <w:rsid w:val="00ED6564"/>
    <w:rsid w:val="00ED6752"/>
    <w:rsid w:val="00ED6CC9"/>
    <w:rsid w:val="00ED76E4"/>
    <w:rsid w:val="00ED791F"/>
    <w:rsid w:val="00ED7B25"/>
    <w:rsid w:val="00ED7E58"/>
    <w:rsid w:val="00EE07AC"/>
    <w:rsid w:val="00EE092F"/>
    <w:rsid w:val="00EE0D9C"/>
    <w:rsid w:val="00EE0E40"/>
    <w:rsid w:val="00EE0F92"/>
    <w:rsid w:val="00EE12D9"/>
    <w:rsid w:val="00EE18B8"/>
    <w:rsid w:val="00EE1A4C"/>
    <w:rsid w:val="00EE1B5F"/>
    <w:rsid w:val="00EE1C5B"/>
    <w:rsid w:val="00EE2182"/>
    <w:rsid w:val="00EE21C5"/>
    <w:rsid w:val="00EE2461"/>
    <w:rsid w:val="00EE2F43"/>
    <w:rsid w:val="00EE3220"/>
    <w:rsid w:val="00EE3385"/>
    <w:rsid w:val="00EE35A3"/>
    <w:rsid w:val="00EE3C60"/>
    <w:rsid w:val="00EE3E21"/>
    <w:rsid w:val="00EE3E2A"/>
    <w:rsid w:val="00EE4000"/>
    <w:rsid w:val="00EE4056"/>
    <w:rsid w:val="00EE5931"/>
    <w:rsid w:val="00EE595E"/>
    <w:rsid w:val="00EE59C4"/>
    <w:rsid w:val="00EE5DFD"/>
    <w:rsid w:val="00EE6319"/>
    <w:rsid w:val="00EE6453"/>
    <w:rsid w:val="00EE66D6"/>
    <w:rsid w:val="00EE6AEE"/>
    <w:rsid w:val="00EE6FAB"/>
    <w:rsid w:val="00EE74C6"/>
    <w:rsid w:val="00EE7BFC"/>
    <w:rsid w:val="00EE7D3D"/>
    <w:rsid w:val="00EF01D2"/>
    <w:rsid w:val="00EF0474"/>
    <w:rsid w:val="00EF0538"/>
    <w:rsid w:val="00EF05B2"/>
    <w:rsid w:val="00EF09B5"/>
    <w:rsid w:val="00EF0DB4"/>
    <w:rsid w:val="00EF0E91"/>
    <w:rsid w:val="00EF18D7"/>
    <w:rsid w:val="00EF19DE"/>
    <w:rsid w:val="00EF1AF4"/>
    <w:rsid w:val="00EF24EB"/>
    <w:rsid w:val="00EF25BD"/>
    <w:rsid w:val="00EF290B"/>
    <w:rsid w:val="00EF2BF2"/>
    <w:rsid w:val="00EF2F80"/>
    <w:rsid w:val="00EF3018"/>
    <w:rsid w:val="00EF3308"/>
    <w:rsid w:val="00EF4296"/>
    <w:rsid w:val="00EF42E3"/>
    <w:rsid w:val="00EF46D0"/>
    <w:rsid w:val="00EF4704"/>
    <w:rsid w:val="00EF479A"/>
    <w:rsid w:val="00EF4850"/>
    <w:rsid w:val="00EF490C"/>
    <w:rsid w:val="00EF49BB"/>
    <w:rsid w:val="00EF4DB5"/>
    <w:rsid w:val="00EF4F75"/>
    <w:rsid w:val="00EF5122"/>
    <w:rsid w:val="00EF56F2"/>
    <w:rsid w:val="00EF5BA4"/>
    <w:rsid w:val="00EF6FA9"/>
    <w:rsid w:val="00EF6FEC"/>
    <w:rsid w:val="00EF71FB"/>
    <w:rsid w:val="00EF74C9"/>
    <w:rsid w:val="00F00055"/>
    <w:rsid w:val="00F000C6"/>
    <w:rsid w:val="00F000CC"/>
    <w:rsid w:val="00F00295"/>
    <w:rsid w:val="00F003A1"/>
    <w:rsid w:val="00F00404"/>
    <w:rsid w:val="00F00560"/>
    <w:rsid w:val="00F0085C"/>
    <w:rsid w:val="00F00C86"/>
    <w:rsid w:val="00F00CB6"/>
    <w:rsid w:val="00F010AD"/>
    <w:rsid w:val="00F0163E"/>
    <w:rsid w:val="00F022AC"/>
    <w:rsid w:val="00F024FE"/>
    <w:rsid w:val="00F03437"/>
    <w:rsid w:val="00F034B8"/>
    <w:rsid w:val="00F035E1"/>
    <w:rsid w:val="00F037CD"/>
    <w:rsid w:val="00F03B22"/>
    <w:rsid w:val="00F03B4E"/>
    <w:rsid w:val="00F03B9A"/>
    <w:rsid w:val="00F03E00"/>
    <w:rsid w:val="00F0438D"/>
    <w:rsid w:val="00F047A1"/>
    <w:rsid w:val="00F04DD7"/>
    <w:rsid w:val="00F050B5"/>
    <w:rsid w:val="00F052E5"/>
    <w:rsid w:val="00F053E0"/>
    <w:rsid w:val="00F053F1"/>
    <w:rsid w:val="00F05B68"/>
    <w:rsid w:val="00F05C45"/>
    <w:rsid w:val="00F05ECD"/>
    <w:rsid w:val="00F05F07"/>
    <w:rsid w:val="00F05F30"/>
    <w:rsid w:val="00F06875"/>
    <w:rsid w:val="00F06C7D"/>
    <w:rsid w:val="00F06E3B"/>
    <w:rsid w:val="00F07025"/>
    <w:rsid w:val="00F07296"/>
    <w:rsid w:val="00F0742E"/>
    <w:rsid w:val="00F0750D"/>
    <w:rsid w:val="00F07519"/>
    <w:rsid w:val="00F078B6"/>
    <w:rsid w:val="00F0790F"/>
    <w:rsid w:val="00F07D34"/>
    <w:rsid w:val="00F1023C"/>
    <w:rsid w:val="00F1031F"/>
    <w:rsid w:val="00F105D9"/>
    <w:rsid w:val="00F10A29"/>
    <w:rsid w:val="00F10D9D"/>
    <w:rsid w:val="00F1129C"/>
    <w:rsid w:val="00F12073"/>
    <w:rsid w:val="00F121BE"/>
    <w:rsid w:val="00F12943"/>
    <w:rsid w:val="00F12995"/>
    <w:rsid w:val="00F12D20"/>
    <w:rsid w:val="00F13291"/>
    <w:rsid w:val="00F136F0"/>
    <w:rsid w:val="00F13848"/>
    <w:rsid w:val="00F13B5D"/>
    <w:rsid w:val="00F1417E"/>
    <w:rsid w:val="00F14731"/>
    <w:rsid w:val="00F155F2"/>
    <w:rsid w:val="00F15D65"/>
    <w:rsid w:val="00F16111"/>
    <w:rsid w:val="00F16820"/>
    <w:rsid w:val="00F16DC7"/>
    <w:rsid w:val="00F16DF8"/>
    <w:rsid w:val="00F16E9D"/>
    <w:rsid w:val="00F17A7C"/>
    <w:rsid w:val="00F17BE6"/>
    <w:rsid w:val="00F17C91"/>
    <w:rsid w:val="00F17DCB"/>
    <w:rsid w:val="00F20123"/>
    <w:rsid w:val="00F201A2"/>
    <w:rsid w:val="00F20AD7"/>
    <w:rsid w:val="00F210C2"/>
    <w:rsid w:val="00F21C15"/>
    <w:rsid w:val="00F21CEE"/>
    <w:rsid w:val="00F21D01"/>
    <w:rsid w:val="00F21FB1"/>
    <w:rsid w:val="00F221C3"/>
    <w:rsid w:val="00F2256F"/>
    <w:rsid w:val="00F225B5"/>
    <w:rsid w:val="00F22CF0"/>
    <w:rsid w:val="00F2381B"/>
    <w:rsid w:val="00F23AFA"/>
    <w:rsid w:val="00F23E37"/>
    <w:rsid w:val="00F24269"/>
    <w:rsid w:val="00F24439"/>
    <w:rsid w:val="00F24480"/>
    <w:rsid w:val="00F24796"/>
    <w:rsid w:val="00F25410"/>
    <w:rsid w:val="00F255AF"/>
    <w:rsid w:val="00F25F56"/>
    <w:rsid w:val="00F26176"/>
    <w:rsid w:val="00F2630E"/>
    <w:rsid w:val="00F2646B"/>
    <w:rsid w:val="00F269D7"/>
    <w:rsid w:val="00F26E03"/>
    <w:rsid w:val="00F2765B"/>
    <w:rsid w:val="00F27898"/>
    <w:rsid w:val="00F27B01"/>
    <w:rsid w:val="00F27C49"/>
    <w:rsid w:val="00F30A2B"/>
    <w:rsid w:val="00F3135B"/>
    <w:rsid w:val="00F32356"/>
    <w:rsid w:val="00F323F7"/>
    <w:rsid w:val="00F32ADD"/>
    <w:rsid w:val="00F32BC3"/>
    <w:rsid w:val="00F3310A"/>
    <w:rsid w:val="00F3346B"/>
    <w:rsid w:val="00F3482E"/>
    <w:rsid w:val="00F354C7"/>
    <w:rsid w:val="00F3551F"/>
    <w:rsid w:val="00F358ED"/>
    <w:rsid w:val="00F3613C"/>
    <w:rsid w:val="00F365FA"/>
    <w:rsid w:val="00F36686"/>
    <w:rsid w:val="00F36872"/>
    <w:rsid w:val="00F36CD8"/>
    <w:rsid w:val="00F36F1F"/>
    <w:rsid w:val="00F37097"/>
    <w:rsid w:val="00F37619"/>
    <w:rsid w:val="00F37655"/>
    <w:rsid w:val="00F37999"/>
    <w:rsid w:val="00F37E57"/>
    <w:rsid w:val="00F37E80"/>
    <w:rsid w:val="00F4018E"/>
    <w:rsid w:val="00F40746"/>
    <w:rsid w:val="00F407E2"/>
    <w:rsid w:val="00F409F5"/>
    <w:rsid w:val="00F40B33"/>
    <w:rsid w:val="00F414CB"/>
    <w:rsid w:val="00F41640"/>
    <w:rsid w:val="00F41C7D"/>
    <w:rsid w:val="00F41E80"/>
    <w:rsid w:val="00F41FCA"/>
    <w:rsid w:val="00F42024"/>
    <w:rsid w:val="00F42216"/>
    <w:rsid w:val="00F42A54"/>
    <w:rsid w:val="00F43A0D"/>
    <w:rsid w:val="00F44070"/>
    <w:rsid w:val="00F4436F"/>
    <w:rsid w:val="00F443F3"/>
    <w:rsid w:val="00F444F2"/>
    <w:rsid w:val="00F460C3"/>
    <w:rsid w:val="00F46AFF"/>
    <w:rsid w:val="00F46FB3"/>
    <w:rsid w:val="00F46FEE"/>
    <w:rsid w:val="00F4796F"/>
    <w:rsid w:val="00F47AE1"/>
    <w:rsid w:val="00F47BB8"/>
    <w:rsid w:val="00F47D1B"/>
    <w:rsid w:val="00F50556"/>
    <w:rsid w:val="00F50777"/>
    <w:rsid w:val="00F50799"/>
    <w:rsid w:val="00F50DC5"/>
    <w:rsid w:val="00F50FB2"/>
    <w:rsid w:val="00F511A8"/>
    <w:rsid w:val="00F51ABA"/>
    <w:rsid w:val="00F51BD0"/>
    <w:rsid w:val="00F526D9"/>
    <w:rsid w:val="00F531AA"/>
    <w:rsid w:val="00F5395F"/>
    <w:rsid w:val="00F53E75"/>
    <w:rsid w:val="00F541C7"/>
    <w:rsid w:val="00F54B58"/>
    <w:rsid w:val="00F55222"/>
    <w:rsid w:val="00F55302"/>
    <w:rsid w:val="00F557AA"/>
    <w:rsid w:val="00F55AA6"/>
    <w:rsid w:val="00F5624D"/>
    <w:rsid w:val="00F5668E"/>
    <w:rsid w:val="00F568F4"/>
    <w:rsid w:val="00F56AFE"/>
    <w:rsid w:val="00F57148"/>
    <w:rsid w:val="00F574B7"/>
    <w:rsid w:val="00F57738"/>
    <w:rsid w:val="00F57AFA"/>
    <w:rsid w:val="00F57B2F"/>
    <w:rsid w:val="00F603BE"/>
    <w:rsid w:val="00F6079C"/>
    <w:rsid w:val="00F60D57"/>
    <w:rsid w:val="00F61057"/>
    <w:rsid w:val="00F6212C"/>
    <w:rsid w:val="00F62B14"/>
    <w:rsid w:val="00F63F0C"/>
    <w:rsid w:val="00F64337"/>
    <w:rsid w:val="00F64404"/>
    <w:rsid w:val="00F64605"/>
    <w:rsid w:val="00F646C6"/>
    <w:rsid w:val="00F64817"/>
    <w:rsid w:val="00F65171"/>
    <w:rsid w:val="00F65287"/>
    <w:rsid w:val="00F65469"/>
    <w:rsid w:val="00F654EB"/>
    <w:rsid w:val="00F6560A"/>
    <w:rsid w:val="00F6595F"/>
    <w:rsid w:val="00F65E6D"/>
    <w:rsid w:val="00F65FF3"/>
    <w:rsid w:val="00F65FF5"/>
    <w:rsid w:val="00F66599"/>
    <w:rsid w:val="00F665C2"/>
    <w:rsid w:val="00F66810"/>
    <w:rsid w:val="00F66A3C"/>
    <w:rsid w:val="00F66BA4"/>
    <w:rsid w:val="00F66DCD"/>
    <w:rsid w:val="00F67388"/>
    <w:rsid w:val="00F70047"/>
    <w:rsid w:val="00F70084"/>
    <w:rsid w:val="00F7063C"/>
    <w:rsid w:val="00F70D56"/>
    <w:rsid w:val="00F71268"/>
    <w:rsid w:val="00F71506"/>
    <w:rsid w:val="00F71A79"/>
    <w:rsid w:val="00F71BB2"/>
    <w:rsid w:val="00F71D3F"/>
    <w:rsid w:val="00F71E18"/>
    <w:rsid w:val="00F71E98"/>
    <w:rsid w:val="00F71F97"/>
    <w:rsid w:val="00F7211F"/>
    <w:rsid w:val="00F72290"/>
    <w:rsid w:val="00F722E0"/>
    <w:rsid w:val="00F72F14"/>
    <w:rsid w:val="00F72F38"/>
    <w:rsid w:val="00F735F5"/>
    <w:rsid w:val="00F7364F"/>
    <w:rsid w:val="00F737BA"/>
    <w:rsid w:val="00F7390E"/>
    <w:rsid w:val="00F73A29"/>
    <w:rsid w:val="00F73C34"/>
    <w:rsid w:val="00F73D09"/>
    <w:rsid w:val="00F73DE3"/>
    <w:rsid w:val="00F73E48"/>
    <w:rsid w:val="00F73F03"/>
    <w:rsid w:val="00F73FEB"/>
    <w:rsid w:val="00F7439F"/>
    <w:rsid w:val="00F74A07"/>
    <w:rsid w:val="00F74C5A"/>
    <w:rsid w:val="00F74CC9"/>
    <w:rsid w:val="00F75B5C"/>
    <w:rsid w:val="00F75DDD"/>
    <w:rsid w:val="00F75EB7"/>
    <w:rsid w:val="00F761D0"/>
    <w:rsid w:val="00F767A6"/>
    <w:rsid w:val="00F7693C"/>
    <w:rsid w:val="00F77A34"/>
    <w:rsid w:val="00F77F60"/>
    <w:rsid w:val="00F802A5"/>
    <w:rsid w:val="00F802AF"/>
    <w:rsid w:val="00F804E0"/>
    <w:rsid w:val="00F80726"/>
    <w:rsid w:val="00F80CDE"/>
    <w:rsid w:val="00F80DC1"/>
    <w:rsid w:val="00F80DEE"/>
    <w:rsid w:val="00F80E9A"/>
    <w:rsid w:val="00F813FC"/>
    <w:rsid w:val="00F8148F"/>
    <w:rsid w:val="00F816E6"/>
    <w:rsid w:val="00F81919"/>
    <w:rsid w:val="00F81954"/>
    <w:rsid w:val="00F81F00"/>
    <w:rsid w:val="00F8215A"/>
    <w:rsid w:val="00F822B0"/>
    <w:rsid w:val="00F82A85"/>
    <w:rsid w:val="00F82B8C"/>
    <w:rsid w:val="00F82B9E"/>
    <w:rsid w:val="00F82CAB"/>
    <w:rsid w:val="00F82CCA"/>
    <w:rsid w:val="00F8333E"/>
    <w:rsid w:val="00F83630"/>
    <w:rsid w:val="00F83947"/>
    <w:rsid w:val="00F83AF1"/>
    <w:rsid w:val="00F83B75"/>
    <w:rsid w:val="00F83CCA"/>
    <w:rsid w:val="00F83EF1"/>
    <w:rsid w:val="00F84033"/>
    <w:rsid w:val="00F8414F"/>
    <w:rsid w:val="00F843B6"/>
    <w:rsid w:val="00F84C55"/>
    <w:rsid w:val="00F85901"/>
    <w:rsid w:val="00F85C11"/>
    <w:rsid w:val="00F85D73"/>
    <w:rsid w:val="00F85F90"/>
    <w:rsid w:val="00F85FEB"/>
    <w:rsid w:val="00F8698C"/>
    <w:rsid w:val="00F87760"/>
    <w:rsid w:val="00F87AEF"/>
    <w:rsid w:val="00F87EB2"/>
    <w:rsid w:val="00F9007C"/>
    <w:rsid w:val="00F901B1"/>
    <w:rsid w:val="00F90E12"/>
    <w:rsid w:val="00F916D9"/>
    <w:rsid w:val="00F91ED3"/>
    <w:rsid w:val="00F922AA"/>
    <w:rsid w:val="00F92A26"/>
    <w:rsid w:val="00F92AE0"/>
    <w:rsid w:val="00F92DC0"/>
    <w:rsid w:val="00F93018"/>
    <w:rsid w:val="00F930CB"/>
    <w:rsid w:val="00F93A48"/>
    <w:rsid w:val="00F93A5C"/>
    <w:rsid w:val="00F93B01"/>
    <w:rsid w:val="00F93D1F"/>
    <w:rsid w:val="00F93EE1"/>
    <w:rsid w:val="00F93FE7"/>
    <w:rsid w:val="00F9487B"/>
    <w:rsid w:val="00F9496D"/>
    <w:rsid w:val="00F94DF8"/>
    <w:rsid w:val="00F94ECD"/>
    <w:rsid w:val="00F95396"/>
    <w:rsid w:val="00F956CC"/>
    <w:rsid w:val="00F95985"/>
    <w:rsid w:val="00F95991"/>
    <w:rsid w:val="00F95FF3"/>
    <w:rsid w:val="00F961DF"/>
    <w:rsid w:val="00F965B3"/>
    <w:rsid w:val="00F966EE"/>
    <w:rsid w:val="00F96CD6"/>
    <w:rsid w:val="00F96EB8"/>
    <w:rsid w:val="00F96FEB"/>
    <w:rsid w:val="00F970BD"/>
    <w:rsid w:val="00F9715B"/>
    <w:rsid w:val="00F971D1"/>
    <w:rsid w:val="00F97647"/>
    <w:rsid w:val="00F97C1B"/>
    <w:rsid w:val="00FA0331"/>
    <w:rsid w:val="00FA0904"/>
    <w:rsid w:val="00FA095E"/>
    <w:rsid w:val="00FA15BE"/>
    <w:rsid w:val="00FA18CF"/>
    <w:rsid w:val="00FA1CB6"/>
    <w:rsid w:val="00FA232D"/>
    <w:rsid w:val="00FA24EC"/>
    <w:rsid w:val="00FA2923"/>
    <w:rsid w:val="00FA2980"/>
    <w:rsid w:val="00FA298A"/>
    <w:rsid w:val="00FA29C0"/>
    <w:rsid w:val="00FA2BE7"/>
    <w:rsid w:val="00FA3AB2"/>
    <w:rsid w:val="00FA3FC5"/>
    <w:rsid w:val="00FA4207"/>
    <w:rsid w:val="00FA4561"/>
    <w:rsid w:val="00FA4718"/>
    <w:rsid w:val="00FA4A15"/>
    <w:rsid w:val="00FA5A43"/>
    <w:rsid w:val="00FA5AE0"/>
    <w:rsid w:val="00FA5C25"/>
    <w:rsid w:val="00FA5DBF"/>
    <w:rsid w:val="00FA64A4"/>
    <w:rsid w:val="00FA6751"/>
    <w:rsid w:val="00FA6BB3"/>
    <w:rsid w:val="00FA7A33"/>
    <w:rsid w:val="00FB05B5"/>
    <w:rsid w:val="00FB0830"/>
    <w:rsid w:val="00FB0862"/>
    <w:rsid w:val="00FB0928"/>
    <w:rsid w:val="00FB0AA0"/>
    <w:rsid w:val="00FB0DCF"/>
    <w:rsid w:val="00FB14FE"/>
    <w:rsid w:val="00FB1A1E"/>
    <w:rsid w:val="00FB1E88"/>
    <w:rsid w:val="00FB2154"/>
    <w:rsid w:val="00FB238D"/>
    <w:rsid w:val="00FB24BE"/>
    <w:rsid w:val="00FB24EE"/>
    <w:rsid w:val="00FB2E4F"/>
    <w:rsid w:val="00FB302E"/>
    <w:rsid w:val="00FB334B"/>
    <w:rsid w:val="00FB362F"/>
    <w:rsid w:val="00FB3734"/>
    <w:rsid w:val="00FB37BC"/>
    <w:rsid w:val="00FB436C"/>
    <w:rsid w:val="00FB4B60"/>
    <w:rsid w:val="00FB4BD7"/>
    <w:rsid w:val="00FB4E4D"/>
    <w:rsid w:val="00FB59FD"/>
    <w:rsid w:val="00FB61FA"/>
    <w:rsid w:val="00FB63D2"/>
    <w:rsid w:val="00FB69BD"/>
    <w:rsid w:val="00FB6C4D"/>
    <w:rsid w:val="00FB7063"/>
    <w:rsid w:val="00FB70A4"/>
    <w:rsid w:val="00FB713D"/>
    <w:rsid w:val="00FB7562"/>
    <w:rsid w:val="00FB7753"/>
    <w:rsid w:val="00FB7A89"/>
    <w:rsid w:val="00FB7ADD"/>
    <w:rsid w:val="00FC0421"/>
    <w:rsid w:val="00FC0505"/>
    <w:rsid w:val="00FC0C87"/>
    <w:rsid w:val="00FC0EC3"/>
    <w:rsid w:val="00FC163B"/>
    <w:rsid w:val="00FC170F"/>
    <w:rsid w:val="00FC195C"/>
    <w:rsid w:val="00FC198A"/>
    <w:rsid w:val="00FC1CA1"/>
    <w:rsid w:val="00FC1CC1"/>
    <w:rsid w:val="00FC1DEF"/>
    <w:rsid w:val="00FC1FA0"/>
    <w:rsid w:val="00FC2033"/>
    <w:rsid w:val="00FC275B"/>
    <w:rsid w:val="00FC28D7"/>
    <w:rsid w:val="00FC2A54"/>
    <w:rsid w:val="00FC2B82"/>
    <w:rsid w:val="00FC311E"/>
    <w:rsid w:val="00FC32CC"/>
    <w:rsid w:val="00FC3866"/>
    <w:rsid w:val="00FC3EA3"/>
    <w:rsid w:val="00FC400A"/>
    <w:rsid w:val="00FC4043"/>
    <w:rsid w:val="00FC421B"/>
    <w:rsid w:val="00FC470A"/>
    <w:rsid w:val="00FC49E9"/>
    <w:rsid w:val="00FC4C00"/>
    <w:rsid w:val="00FC50CA"/>
    <w:rsid w:val="00FC5366"/>
    <w:rsid w:val="00FC542A"/>
    <w:rsid w:val="00FC5AFA"/>
    <w:rsid w:val="00FC5B27"/>
    <w:rsid w:val="00FC5BD2"/>
    <w:rsid w:val="00FC5DC1"/>
    <w:rsid w:val="00FC684B"/>
    <w:rsid w:val="00FC708D"/>
    <w:rsid w:val="00FC73B8"/>
    <w:rsid w:val="00FC7457"/>
    <w:rsid w:val="00FC7798"/>
    <w:rsid w:val="00FC7953"/>
    <w:rsid w:val="00FC796C"/>
    <w:rsid w:val="00FD00B8"/>
    <w:rsid w:val="00FD0207"/>
    <w:rsid w:val="00FD0C05"/>
    <w:rsid w:val="00FD0F52"/>
    <w:rsid w:val="00FD1187"/>
    <w:rsid w:val="00FD1A05"/>
    <w:rsid w:val="00FD206B"/>
    <w:rsid w:val="00FD22BE"/>
    <w:rsid w:val="00FD2315"/>
    <w:rsid w:val="00FD23ED"/>
    <w:rsid w:val="00FD273E"/>
    <w:rsid w:val="00FD2C91"/>
    <w:rsid w:val="00FD2E0D"/>
    <w:rsid w:val="00FD2E0E"/>
    <w:rsid w:val="00FD327B"/>
    <w:rsid w:val="00FD349F"/>
    <w:rsid w:val="00FD3AB4"/>
    <w:rsid w:val="00FD41C1"/>
    <w:rsid w:val="00FD4485"/>
    <w:rsid w:val="00FD4B67"/>
    <w:rsid w:val="00FD4BB9"/>
    <w:rsid w:val="00FD52FD"/>
    <w:rsid w:val="00FD5793"/>
    <w:rsid w:val="00FD5DE2"/>
    <w:rsid w:val="00FD6570"/>
    <w:rsid w:val="00FD6774"/>
    <w:rsid w:val="00FD6949"/>
    <w:rsid w:val="00FD6B3F"/>
    <w:rsid w:val="00FD6EB6"/>
    <w:rsid w:val="00FD71F0"/>
    <w:rsid w:val="00FD731C"/>
    <w:rsid w:val="00FD7412"/>
    <w:rsid w:val="00FD751E"/>
    <w:rsid w:val="00FD7F18"/>
    <w:rsid w:val="00FE0348"/>
    <w:rsid w:val="00FE0477"/>
    <w:rsid w:val="00FE04B1"/>
    <w:rsid w:val="00FE0864"/>
    <w:rsid w:val="00FE0B0F"/>
    <w:rsid w:val="00FE0C8E"/>
    <w:rsid w:val="00FE0E54"/>
    <w:rsid w:val="00FE16B4"/>
    <w:rsid w:val="00FE1BBB"/>
    <w:rsid w:val="00FE1D76"/>
    <w:rsid w:val="00FE283B"/>
    <w:rsid w:val="00FE291A"/>
    <w:rsid w:val="00FE2AA8"/>
    <w:rsid w:val="00FE2FD0"/>
    <w:rsid w:val="00FE3182"/>
    <w:rsid w:val="00FE3374"/>
    <w:rsid w:val="00FE395C"/>
    <w:rsid w:val="00FE3990"/>
    <w:rsid w:val="00FE39FC"/>
    <w:rsid w:val="00FE3EB5"/>
    <w:rsid w:val="00FE424A"/>
    <w:rsid w:val="00FE42C2"/>
    <w:rsid w:val="00FE42F6"/>
    <w:rsid w:val="00FE4485"/>
    <w:rsid w:val="00FE4E14"/>
    <w:rsid w:val="00FE68E8"/>
    <w:rsid w:val="00FE7051"/>
    <w:rsid w:val="00FE7A20"/>
    <w:rsid w:val="00FE7C78"/>
    <w:rsid w:val="00FE7DC4"/>
    <w:rsid w:val="00FE7E04"/>
    <w:rsid w:val="00FF010F"/>
    <w:rsid w:val="00FF0137"/>
    <w:rsid w:val="00FF0322"/>
    <w:rsid w:val="00FF033F"/>
    <w:rsid w:val="00FF03E5"/>
    <w:rsid w:val="00FF06CA"/>
    <w:rsid w:val="00FF0BCD"/>
    <w:rsid w:val="00FF0D58"/>
    <w:rsid w:val="00FF15BA"/>
    <w:rsid w:val="00FF161D"/>
    <w:rsid w:val="00FF1A2B"/>
    <w:rsid w:val="00FF1BCC"/>
    <w:rsid w:val="00FF1C51"/>
    <w:rsid w:val="00FF1E53"/>
    <w:rsid w:val="00FF1F5C"/>
    <w:rsid w:val="00FF209F"/>
    <w:rsid w:val="00FF26B6"/>
    <w:rsid w:val="00FF26EE"/>
    <w:rsid w:val="00FF277B"/>
    <w:rsid w:val="00FF28B4"/>
    <w:rsid w:val="00FF2976"/>
    <w:rsid w:val="00FF3566"/>
    <w:rsid w:val="00FF36F0"/>
    <w:rsid w:val="00FF3780"/>
    <w:rsid w:val="00FF3CCF"/>
    <w:rsid w:val="00FF3EDA"/>
    <w:rsid w:val="00FF444C"/>
    <w:rsid w:val="00FF55A9"/>
    <w:rsid w:val="00FF58D6"/>
    <w:rsid w:val="00FF5986"/>
    <w:rsid w:val="00FF5D02"/>
    <w:rsid w:val="00FF5FD4"/>
    <w:rsid w:val="00FF63F1"/>
    <w:rsid w:val="00FF646B"/>
    <w:rsid w:val="00FF686C"/>
    <w:rsid w:val="00FF6908"/>
    <w:rsid w:val="00FF70A8"/>
    <w:rsid w:val="00FF721E"/>
    <w:rsid w:val="00FF7281"/>
    <w:rsid w:val="00FF7702"/>
    <w:rsid w:val="00FF7B32"/>
    <w:rsid w:val="04DEEDA0"/>
    <w:rsid w:val="06C63A1D"/>
    <w:rsid w:val="179D11A9"/>
    <w:rsid w:val="1AF107D6"/>
    <w:rsid w:val="3591DA4D"/>
    <w:rsid w:val="39CF0B80"/>
    <w:rsid w:val="4443B2DE"/>
    <w:rsid w:val="64091AA5"/>
    <w:rsid w:val="6A662234"/>
    <w:rsid w:val="6F622FAD"/>
    <w:rsid w:val="700DCDCF"/>
    <w:rsid w:val="7C21403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40BB89AA"/>
  <w15:docId w15:val="{EB839886-D1F6-4D87-9BF3-3F46A113C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Batang"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13C"/>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A2413C"/>
    <w:pPr>
      <w:keepNext/>
      <w:numPr>
        <w:numId w:val="9"/>
      </w:numPr>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A2413C"/>
    <w:pPr>
      <w:keepNext/>
      <w:numPr>
        <w:ilvl w:val="1"/>
        <w:numId w:val="9"/>
      </w:numPr>
      <w:spacing w:after="120"/>
      <w:outlineLvl w:val="1"/>
    </w:pPr>
    <w:rPr>
      <w:b/>
    </w:rPr>
  </w:style>
  <w:style w:type="paragraph" w:styleId="Heading3">
    <w:name w:val="heading 3"/>
    <w:basedOn w:val="Normal"/>
    <w:next w:val="ParaNum"/>
    <w:link w:val="Heading3Char"/>
    <w:qFormat/>
    <w:rsid w:val="00A2413C"/>
    <w:pPr>
      <w:keepNext/>
      <w:numPr>
        <w:ilvl w:val="2"/>
        <w:numId w:val="9"/>
      </w:numPr>
      <w:tabs>
        <w:tab w:val="left" w:pos="2160"/>
      </w:tabs>
      <w:spacing w:after="120"/>
      <w:outlineLvl w:val="2"/>
    </w:pPr>
    <w:rPr>
      <w:b/>
    </w:rPr>
  </w:style>
  <w:style w:type="paragraph" w:styleId="Heading4">
    <w:name w:val="heading 4"/>
    <w:basedOn w:val="Normal"/>
    <w:next w:val="ParaNum"/>
    <w:link w:val="Heading4Char"/>
    <w:qFormat/>
    <w:rsid w:val="00A2413C"/>
    <w:pPr>
      <w:keepNext/>
      <w:numPr>
        <w:ilvl w:val="3"/>
        <w:numId w:val="9"/>
      </w:numPr>
      <w:tabs>
        <w:tab w:val="left" w:pos="2880"/>
      </w:tabs>
      <w:spacing w:after="120"/>
      <w:outlineLvl w:val="3"/>
    </w:pPr>
    <w:rPr>
      <w:b/>
    </w:rPr>
  </w:style>
  <w:style w:type="paragraph" w:styleId="Heading5">
    <w:name w:val="heading 5"/>
    <w:basedOn w:val="Normal"/>
    <w:next w:val="ParaNum"/>
    <w:link w:val="Heading5Char"/>
    <w:qFormat/>
    <w:rsid w:val="00A2413C"/>
    <w:pPr>
      <w:keepNext/>
      <w:numPr>
        <w:ilvl w:val="4"/>
        <w:numId w:val="9"/>
      </w:numPr>
      <w:tabs>
        <w:tab w:val="left" w:pos="3600"/>
      </w:tabs>
      <w:suppressAutoHyphens/>
      <w:spacing w:after="120"/>
      <w:outlineLvl w:val="4"/>
    </w:pPr>
    <w:rPr>
      <w:b/>
    </w:rPr>
  </w:style>
  <w:style w:type="paragraph" w:styleId="Heading6">
    <w:name w:val="heading 6"/>
    <w:basedOn w:val="Normal"/>
    <w:next w:val="ParaNum"/>
    <w:link w:val="Heading6Char"/>
    <w:qFormat/>
    <w:rsid w:val="00A2413C"/>
    <w:pPr>
      <w:numPr>
        <w:ilvl w:val="5"/>
        <w:numId w:val="9"/>
      </w:numPr>
      <w:tabs>
        <w:tab w:val="left" w:pos="4320"/>
      </w:tabs>
      <w:spacing w:after="120"/>
      <w:outlineLvl w:val="5"/>
    </w:pPr>
    <w:rPr>
      <w:b/>
    </w:rPr>
  </w:style>
  <w:style w:type="paragraph" w:styleId="Heading7">
    <w:name w:val="heading 7"/>
    <w:basedOn w:val="Normal"/>
    <w:next w:val="ParaNum"/>
    <w:link w:val="Heading7Char"/>
    <w:qFormat/>
    <w:rsid w:val="00A2413C"/>
    <w:pPr>
      <w:numPr>
        <w:ilvl w:val="6"/>
        <w:numId w:val="9"/>
      </w:numPr>
      <w:tabs>
        <w:tab w:val="left" w:pos="5040"/>
      </w:tabs>
      <w:spacing w:after="120"/>
      <w:outlineLvl w:val="6"/>
    </w:pPr>
    <w:rPr>
      <w:b/>
    </w:rPr>
  </w:style>
  <w:style w:type="paragraph" w:styleId="Heading8">
    <w:name w:val="heading 8"/>
    <w:basedOn w:val="Normal"/>
    <w:next w:val="ParaNum"/>
    <w:link w:val="Heading8Char"/>
    <w:qFormat/>
    <w:rsid w:val="00A2413C"/>
    <w:pPr>
      <w:numPr>
        <w:ilvl w:val="7"/>
        <w:numId w:val="9"/>
      </w:numPr>
      <w:tabs>
        <w:tab w:val="left" w:pos="5760"/>
      </w:tabs>
      <w:spacing w:after="120"/>
      <w:outlineLvl w:val="7"/>
    </w:pPr>
    <w:rPr>
      <w:b/>
    </w:rPr>
  </w:style>
  <w:style w:type="paragraph" w:styleId="Heading9">
    <w:name w:val="heading 9"/>
    <w:basedOn w:val="Normal"/>
    <w:next w:val="ParaNum"/>
    <w:link w:val="Heading9Char"/>
    <w:qFormat/>
    <w:rsid w:val="00A2413C"/>
    <w:pPr>
      <w:numPr>
        <w:ilvl w:val="8"/>
        <w:numId w:val="9"/>
      </w:numPr>
      <w:tabs>
        <w:tab w:val="clear" w:pos="6120"/>
        <w:tab w:val="left" w:pos="6480"/>
      </w:tabs>
      <w:spacing w:after="1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E0735"/>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7E0735"/>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7E0735"/>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7E0735"/>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7E0735"/>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7E0735"/>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7E0735"/>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7E0735"/>
    <w:rPr>
      <w:rFonts w:ascii="Times New Roman" w:eastAsia="Times New Roman" w:hAnsi="Times New Roman" w:cs="Times New Roman"/>
      <w:b/>
      <w:snapToGrid w:val="0"/>
      <w:kern w:val="28"/>
      <w:szCs w:val="20"/>
    </w:rPr>
  </w:style>
  <w:style w:type="paragraph" w:customStyle="1" w:styleId="Numberedparagraphs">
    <w:name w:val="Numbered paragraphs"/>
    <w:basedOn w:val="Normal"/>
    <w:rsid w:val="007E0735"/>
    <w:pPr>
      <w:numPr>
        <w:ilvl w:val="2"/>
        <w:numId w:val="1"/>
      </w:numPr>
      <w:tabs>
        <w:tab w:val="left" w:pos="1440"/>
      </w:tabs>
      <w:spacing w:after="220"/>
    </w:pPr>
  </w:style>
  <w:style w:type="paragraph" w:customStyle="1" w:styleId="ParaNum">
    <w:name w:val="ParaNum"/>
    <w:basedOn w:val="Normal"/>
    <w:link w:val="ParaNumChar"/>
    <w:qFormat/>
    <w:rsid w:val="00A2413C"/>
    <w:pPr>
      <w:numPr>
        <w:numId w:val="10"/>
      </w:numPr>
      <w:spacing w:after="120"/>
    </w:pPr>
  </w:style>
  <w:style w:type="paragraph" w:customStyle="1" w:styleId="ParaNumChar1">
    <w:name w:val="ParaNum Char1"/>
    <w:basedOn w:val="Normal"/>
    <w:link w:val="ParaNumChar1Char"/>
    <w:rsid w:val="007E0735"/>
    <w:pPr>
      <w:tabs>
        <w:tab w:val="num" w:pos="1080"/>
        <w:tab w:val="left" w:pos="1440"/>
      </w:tabs>
      <w:spacing w:after="220"/>
      <w:ind w:firstLine="720"/>
    </w:pPr>
  </w:style>
  <w:style w:type="character" w:customStyle="1" w:styleId="ParaNumChar1Char">
    <w:name w:val="ParaNum Char1 Char"/>
    <w:link w:val="ParaNumChar1"/>
    <w:rsid w:val="007E0735"/>
    <w:rPr>
      <w:rFonts w:ascii="Times New Roman" w:eastAsia="Times New Roman" w:hAnsi="Times New Roman" w:cs="Times New Roman"/>
      <w:szCs w:val="20"/>
    </w:rPr>
  </w:style>
  <w:style w:type="paragraph" w:styleId="Header">
    <w:name w:val="header"/>
    <w:basedOn w:val="Normal"/>
    <w:link w:val="HeaderChar"/>
    <w:autoRedefine/>
    <w:rsid w:val="00A2413C"/>
    <w:pPr>
      <w:tabs>
        <w:tab w:val="center" w:pos="4680"/>
        <w:tab w:val="right" w:pos="9360"/>
      </w:tabs>
    </w:pPr>
    <w:rPr>
      <w:b/>
    </w:rPr>
  </w:style>
  <w:style w:type="character" w:customStyle="1" w:styleId="HeaderChar">
    <w:name w:val="Header Char"/>
    <w:basedOn w:val="DefaultParagraphFont"/>
    <w:link w:val="Header"/>
    <w:rsid w:val="00C72C3F"/>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A2413C"/>
    <w:pPr>
      <w:tabs>
        <w:tab w:val="center" w:pos="4320"/>
        <w:tab w:val="right" w:pos="8640"/>
      </w:tabs>
    </w:pPr>
  </w:style>
  <w:style w:type="character" w:customStyle="1" w:styleId="FooterChar">
    <w:name w:val="Footer Char"/>
    <w:link w:val="Footer"/>
    <w:uiPriority w:val="99"/>
    <w:rsid w:val="00A2413C"/>
    <w:rPr>
      <w:rFonts w:ascii="Times New Roman" w:eastAsia="Times New Roman" w:hAnsi="Times New Roman" w:cs="Times New Roman"/>
      <w:snapToGrid w:val="0"/>
      <w:kern w:val="28"/>
      <w:szCs w:val="20"/>
    </w:rPr>
  </w:style>
  <w:style w:type="paragraph" w:styleId="FootnoteText">
    <w:name w:val="footnote text"/>
    <w:aliases w:val="ALTS FOOTNOTE,ALTS FOOTNOTE Char,Footnote Text Char Char Char,Footnote Text Char Char Char Char Char Char,Footnote Text Char1 Char,Footnote Text Char1 Char1 Char Char Char,Footnote Text Char2 Char Char Char,f,fn,fn ,fn Char,fn Char Char"/>
    <w:link w:val="FootnoteTextChar"/>
    <w:uiPriority w:val="99"/>
    <w:qFormat/>
    <w:rsid w:val="00A2413C"/>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ALTS FOOTNOTE Char Char1,ALTS FOOTNOTE Char2,Footnote Text Char Char Char Char Char Char Char1,Footnote Text Char Char Char Char1,Footnote Text Char1 Char Char1,Footnote Text Char1 Char1 Char Char Char Char1,f Char,fn  Char,fn Char1"/>
    <w:basedOn w:val="DefaultParagraphFont"/>
    <w:link w:val="FootnoteText"/>
    <w:uiPriority w:val="99"/>
    <w:rsid w:val="009520AB"/>
    <w:rPr>
      <w:rFonts w:ascii="Times New Roman" w:eastAsia="Times New Roman" w:hAnsi="Times New Roman" w:cs="Times New Roman"/>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uiPriority w:val="99"/>
    <w:qFormat/>
    <w:rsid w:val="00A2413C"/>
    <w:rPr>
      <w:rFonts w:ascii="Times New Roman" w:hAnsi="Times New Roman"/>
      <w:dstrike w:val="0"/>
      <w:color w:val="auto"/>
      <w:sz w:val="20"/>
      <w:vertAlign w:val="superscript"/>
    </w:rPr>
  </w:style>
  <w:style w:type="character" w:styleId="CommentReference">
    <w:name w:val="annotation reference"/>
    <w:basedOn w:val="DefaultParagraphFont"/>
    <w:uiPriority w:val="99"/>
    <w:semiHidden/>
    <w:unhideWhenUsed/>
    <w:rsid w:val="00BC2D3B"/>
    <w:rPr>
      <w:sz w:val="16"/>
      <w:szCs w:val="16"/>
    </w:rPr>
  </w:style>
  <w:style w:type="paragraph" w:styleId="CommentText">
    <w:name w:val="annotation text"/>
    <w:basedOn w:val="Normal"/>
    <w:link w:val="CommentTextChar"/>
    <w:uiPriority w:val="99"/>
    <w:unhideWhenUsed/>
    <w:rsid w:val="00BC2D3B"/>
    <w:rPr>
      <w:sz w:val="20"/>
    </w:rPr>
  </w:style>
  <w:style w:type="character" w:customStyle="1" w:styleId="CommentTextChar">
    <w:name w:val="Comment Text Char"/>
    <w:basedOn w:val="DefaultParagraphFont"/>
    <w:link w:val="CommentText"/>
    <w:uiPriority w:val="99"/>
    <w:rsid w:val="00BC2D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2D3B"/>
    <w:rPr>
      <w:b/>
      <w:bCs/>
    </w:rPr>
  </w:style>
  <w:style w:type="character" w:customStyle="1" w:styleId="CommentSubjectChar">
    <w:name w:val="Comment Subject Char"/>
    <w:basedOn w:val="CommentTextChar"/>
    <w:link w:val="CommentSubject"/>
    <w:uiPriority w:val="99"/>
    <w:semiHidden/>
    <w:rsid w:val="00BC2D3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C2D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D3B"/>
    <w:rPr>
      <w:rFonts w:ascii="Segoe UI" w:eastAsia="Times New Roman" w:hAnsi="Segoe UI" w:cs="Segoe UI"/>
      <w:sz w:val="18"/>
      <w:szCs w:val="18"/>
    </w:rPr>
  </w:style>
  <w:style w:type="character" w:customStyle="1" w:styleId="apple-converted-space">
    <w:name w:val="apple-converted-space"/>
    <w:basedOn w:val="DefaultParagraphFont"/>
    <w:rsid w:val="004864C9"/>
  </w:style>
  <w:style w:type="character" w:styleId="PageNumber">
    <w:name w:val="page number"/>
    <w:basedOn w:val="DefaultParagraphFont"/>
    <w:rsid w:val="00A2413C"/>
  </w:style>
  <w:style w:type="paragraph" w:styleId="Revision">
    <w:name w:val="Revision"/>
    <w:hidden/>
    <w:uiPriority w:val="99"/>
    <w:semiHidden/>
    <w:rsid w:val="00D17D63"/>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D17D63"/>
    <w:pPr>
      <w:ind w:left="720"/>
      <w:contextualSpacing/>
    </w:pPr>
  </w:style>
  <w:style w:type="character" w:customStyle="1" w:styleId="ParaNumChar">
    <w:name w:val="ParaNum Char"/>
    <w:link w:val="ParaNum"/>
    <w:locked/>
    <w:rsid w:val="00A8391D"/>
    <w:rPr>
      <w:rFonts w:ascii="Times New Roman" w:eastAsia="Times New Roman" w:hAnsi="Times New Roman" w:cs="Times New Roman"/>
      <w:snapToGrid w:val="0"/>
      <w:kern w:val="28"/>
      <w:szCs w:val="20"/>
    </w:rPr>
  </w:style>
  <w:style w:type="character" w:styleId="Hyperlink">
    <w:name w:val="Hyperlink"/>
    <w:rsid w:val="00A2413C"/>
    <w:rPr>
      <w:color w:val="0000FF"/>
      <w:u w:val="single"/>
    </w:rPr>
  </w:style>
  <w:style w:type="character" w:customStyle="1" w:styleId="UnresolvedMention1">
    <w:name w:val="Unresolved Mention1"/>
    <w:basedOn w:val="DefaultParagraphFont"/>
    <w:uiPriority w:val="99"/>
    <w:semiHidden/>
    <w:unhideWhenUsed/>
    <w:rsid w:val="00343277"/>
    <w:rPr>
      <w:color w:val="605E5C"/>
      <w:shd w:val="clear" w:color="auto" w:fill="E1DFDD"/>
    </w:rPr>
  </w:style>
  <w:style w:type="character" w:customStyle="1" w:styleId="FootnoteTextChar1">
    <w:name w:val="Footnote Text Char1"/>
    <w:aliases w:val="ALTS FOOTNOTE Char Char,ALTS FOOTNOTE Char1,Footnote Text Char Char Char Char,Footnote Text Char Char Char Char Char Char Char,Footnote Text Char Char1,Footnote Text Char1 Char Char,Footnote Text Char1 Char1 Char Char Char Char"/>
    <w:rsid w:val="00561293"/>
  </w:style>
  <w:style w:type="character" w:styleId="UnresolvedMention">
    <w:name w:val="Unresolved Mention"/>
    <w:basedOn w:val="DefaultParagraphFont"/>
    <w:uiPriority w:val="99"/>
    <w:semiHidden/>
    <w:unhideWhenUsed/>
    <w:rsid w:val="001438B8"/>
    <w:rPr>
      <w:color w:val="605E5C"/>
      <w:shd w:val="clear" w:color="auto" w:fill="E1DFDD"/>
    </w:rPr>
  </w:style>
  <w:style w:type="character" w:customStyle="1" w:styleId="EquationCaption">
    <w:name w:val="_Equation Caption"/>
    <w:rsid w:val="00A2413C"/>
  </w:style>
  <w:style w:type="paragraph" w:styleId="BlockText">
    <w:name w:val="Block Text"/>
    <w:basedOn w:val="Normal"/>
    <w:rsid w:val="00A2413C"/>
    <w:pPr>
      <w:spacing w:after="240"/>
      <w:ind w:left="1440" w:right="1440"/>
    </w:pPr>
  </w:style>
  <w:style w:type="paragraph" w:customStyle="1" w:styleId="Bullet">
    <w:name w:val="Bullet"/>
    <w:basedOn w:val="Normal"/>
    <w:rsid w:val="00A2413C"/>
    <w:pPr>
      <w:tabs>
        <w:tab w:val="left" w:pos="2160"/>
      </w:tabs>
      <w:spacing w:after="220"/>
      <w:ind w:left="2160" w:hanging="720"/>
    </w:pPr>
  </w:style>
  <w:style w:type="character" w:styleId="EndnoteReference">
    <w:name w:val="endnote reference"/>
    <w:semiHidden/>
    <w:rsid w:val="00A2413C"/>
    <w:rPr>
      <w:vertAlign w:val="superscript"/>
    </w:rPr>
  </w:style>
  <w:style w:type="paragraph" w:styleId="EndnoteText">
    <w:name w:val="endnote text"/>
    <w:basedOn w:val="Normal"/>
    <w:link w:val="EndnoteTextChar"/>
    <w:semiHidden/>
    <w:rsid w:val="00A2413C"/>
    <w:rPr>
      <w:sz w:val="20"/>
    </w:rPr>
  </w:style>
  <w:style w:type="character" w:customStyle="1" w:styleId="EndnoteTextChar">
    <w:name w:val="Endnote Text Char"/>
    <w:basedOn w:val="DefaultParagraphFont"/>
    <w:link w:val="EndnoteText"/>
    <w:semiHidden/>
    <w:rsid w:val="00A2413C"/>
    <w:rPr>
      <w:rFonts w:ascii="Times New Roman" w:eastAsia="Times New Roman" w:hAnsi="Times New Roman" w:cs="Times New Roman"/>
      <w:snapToGrid w:val="0"/>
      <w:kern w:val="28"/>
      <w:sz w:val="20"/>
      <w:szCs w:val="20"/>
    </w:rPr>
  </w:style>
  <w:style w:type="character" w:customStyle="1" w:styleId="Heading1Char">
    <w:name w:val="Heading 1 Char"/>
    <w:basedOn w:val="DefaultParagraphFont"/>
    <w:link w:val="Heading1"/>
    <w:rsid w:val="00A2413C"/>
    <w:rPr>
      <w:rFonts w:ascii="Times New Roman Bold" w:eastAsia="Times New Roman" w:hAnsi="Times New Roman Bold" w:cs="Times New Roman"/>
      <w:b/>
      <w:caps/>
      <w:snapToGrid w:val="0"/>
      <w:kern w:val="28"/>
      <w:szCs w:val="20"/>
    </w:rPr>
  </w:style>
  <w:style w:type="paragraph" w:customStyle="1" w:styleId="Paratitle">
    <w:name w:val="Para title"/>
    <w:basedOn w:val="Normal"/>
    <w:rsid w:val="00A2413C"/>
    <w:pPr>
      <w:tabs>
        <w:tab w:val="center" w:pos="9270"/>
      </w:tabs>
      <w:spacing w:after="240"/>
    </w:pPr>
    <w:rPr>
      <w:spacing w:val="-2"/>
    </w:rPr>
  </w:style>
  <w:style w:type="paragraph" w:customStyle="1" w:styleId="StyleBoldCentered">
    <w:name w:val="Style Bold Centered"/>
    <w:basedOn w:val="Normal"/>
    <w:rsid w:val="00A2413C"/>
    <w:pPr>
      <w:jc w:val="center"/>
    </w:pPr>
    <w:rPr>
      <w:rFonts w:ascii="Times New Roman Bold" w:hAnsi="Times New Roman Bold"/>
      <w:b/>
      <w:bCs/>
      <w:caps/>
      <w:szCs w:val="22"/>
    </w:rPr>
  </w:style>
  <w:style w:type="paragraph" w:customStyle="1" w:styleId="TableFormat">
    <w:name w:val="TableFormat"/>
    <w:basedOn w:val="Bullet"/>
    <w:rsid w:val="00A2413C"/>
    <w:pPr>
      <w:tabs>
        <w:tab w:val="clear" w:pos="2160"/>
        <w:tab w:val="left" w:pos="5040"/>
      </w:tabs>
      <w:ind w:left="5040" w:hanging="3600"/>
    </w:pPr>
  </w:style>
  <w:style w:type="paragraph" w:styleId="TOAHeading">
    <w:name w:val="toa heading"/>
    <w:basedOn w:val="Normal"/>
    <w:next w:val="Normal"/>
    <w:semiHidden/>
    <w:rsid w:val="00A2413C"/>
    <w:pPr>
      <w:tabs>
        <w:tab w:val="right" w:pos="9360"/>
      </w:tabs>
      <w:suppressAutoHyphens/>
    </w:pPr>
  </w:style>
  <w:style w:type="paragraph" w:styleId="TOC1">
    <w:name w:val="toc 1"/>
    <w:basedOn w:val="Normal"/>
    <w:next w:val="Normal"/>
    <w:semiHidden/>
    <w:rsid w:val="00A2413C"/>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A2413C"/>
    <w:pPr>
      <w:tabs>
        <w:tab w:val="left" w:pos="720"/>
        <w:tab w:val="right" w:leader="dot" w:pos="9360"/>
      </w:tabs>
      <w:suppressAutoHyphens/>
      <w:ind w:left="720" w:right="720" w:hanging="360"/>
    </w:pPr>
    <w:rPr>
      <w:noProof/>
    </w:rPr>
  </w:style>
  <w:style w:type="paragraph" w:styleId="TOC3">
    <w:name w:val="toc 3"/>
    <w:basedOn w:val="Normal"/>
    <w:next w:val="Normal"/>
    <w:semiHidden/>
    <w:rsid w:val="00A2413C"/>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A2413C"/>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A2413C"/>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A2413C"/>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A2413C"/>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A2413C"/>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A2413C"/>
    <w:pPr>
      <w:tabs>
        <w:tab w:val="left" w:pos="3240"/>
        <w:tab w:val="right" w:leader="dot" w:pos="9360"/>
      </w:tabs>
      <w:suppressAutoHyphens/>
      <w:ind w:left="3240" w:hanging="360"/>
    </w:pPr>
    <w:rPr>
      <w:noProof/>
    </w:rPr>
  </w:style>
  <w:style w:type="paragraph" w:customStyle="1" w:styleId="TOCTitle">
    <w:name w:val="TOC Title"/>
    <w:basedOn w:val="Normal"/>
    <w:rsid w:val="00A2413C"/>
    <w:pPr>
      <w:spacing w:before="240" w:after="240"/>
      <w:jc w:val="center"/>
    </w:pPr>
    <w:rPr>
      <w:rFonts w:ascii="Times New Roman Bold" w:hAnsi="Times New Roman Bold"/>
      <w:b/>
      <w:caps/>
      <w:spacing w:val="-2"/>
    </w:rPr>
  </w:style>
  <w:style w:type="character" w:customStyle="1" w:styleId="ParaNumCharChar1">
    <w:name w:val="ParaNum Char Char1"/>
    <w:locked/>
    <w:rsid w:val="00D57DC3"/>
    <w:rPr>
      <w:snapToGrid w:val="0"/>
      <w:kern w:val="28"/>
      <w:sz w:val="22"/>
    </w:rPr>
  </w:style>
  <w:style w:type="character" w:styleId="FollowedHyperlink">
    <w:name w:val="FollowedHyperlink"/>
    <w:basedOn w:val="DefaultParagraphFont"/>
    <w:uiPriority w:val="99"/>
    <w:semiHidden/>
    <w:unhideWhenUsed/>
    <w:rsid w:val="00B503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PRAOMBHistory?ombControlNumber=3060-1222" TargetMode="External" /><Relationship Id="rId2" Type="http://schemas.openxmlformats.org/officeDocument/2006/relationships/hyperlink" Target="https://www.opm.gov/about-us/open-government/digital-government-strategy/fitara/paperwork-reduction-act-guide.pdf" TargetMode="External" /><Relationship Id="rId3" Type="http://schemas.openxmlformats.org/officeDocument/2006/relationships/hyperlink" Target="https://www.opm.gov/forms/pdfimage/omb83in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5" ma:contentTypeDescription="Create a new document." ma:contentTypeScope="" ma:versionID="d3248bb1de370b191616365cae0900e4">
  <xsd:schema xmlns:xsd="http://www.w3.org/2001/XMLSchema" xmlns:xs="http://www.w3.org/2001/XMLSchema" xmlns:p="http://schemas.microsoft.com/office/2006/metadata/properties" xmlns:ns3="794fa9d4-8068-4c99-b108-795ab3339e93" xmlns:ns4="40be8c06-eb4c-4be5-b4ce-f259999f4503" targetNamespace="http://schemas.microsoft.com/office/2006/metadata/properties" ma:root="true" ma:fieldsID="2399872eba999e42d2c9826d95023c40" ns3:_="" ns4:_="">
    <xsd:import namespace="794fa9d4-8068-4c99-b108-795ab3339e93"/>
    <xsd:import namespace="40be8c06-eb4c-4be5-b4ce-f259999f45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45F279-D5C5-4B12-AD27-1BDF4CA6E4FE}">
  <ds:schemaRefs>
    <ds:schemaRef ds:uri="http://schemas.microsoft.com/sharepoint/v3/contenttype/forms"/>
  </ds:schemaRefs>
</ds:datastoreItem>
</file>

<file path=customXml/itemProps2.xml><?xml version="1.0" encoding="utf-8"?>
<ds:datastoreItem xmlns:ds="http://schemas.openxmlformats.org/officeDocument/2006/customXml" ds:itemID="{D1FAF2A9-E9BC-7548-A469-0A5E4BC05C84}">
  <ds:schemaRefs>
    <ds:schemaRef ds:uri="http://schemas.openxmlformats.org/officeDocument/2006/bibliography"/>
  </ds:schemaRefs>
</ds:datastoreItem>
</file>

<file path=customXml/itemProps3.xml><?xml version="1.0" encoding="utf-8"?>
<ds:datastoreItem xmlns:ds="http://schemas.openxmlformats.org/officeDocument/2006/customXml" ds:itemID="{7FF23722-84CD-4E40-A449-3B73139238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801D7A-12BF-4874-B8CD-64AF155D7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fa9d4-8068-4c99-b108-795ab3339e93"/>
    <ds:schemaRef ds:uri="40be8c06-eb4c-4be5-b4ce-f259999f4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6811</Words>
  <Characters>38823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Sanquist</dc:creator>
  <cp:lastModifiedBy>Nicole Ongele</cp:lastModifiedBy>
  <cp:revision>2</cp:revision>
  <cp:lastPrinted>2025-09-26T17:36:00Z</cp:lastPrinted>
  <dcterms:created xsi:type="dcterms:W3CDTF">2025-11-18T17:54:00Z</dcterms:created>
  <dcterms:modified xsi:type="dcterms:W3CDTF">2025-11-18T17:54:00Z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