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61B" w:rsidP="00D6261B" w14:paraId="4039EB1C" w14:textId="77777777">
      <w:pPr>
        <w:suppressAutoHyphens/>
        <w:jc w:val="center"/>
        <w:rPr>
          <w:b/>
          <w:spacing w:val="-3"/>
          <w:sz w:val="24"/>
        </w:rPr>
      </w:pPr>
      <w:r>
        <w:rPr>
          <w:b/>
          <w:spacing w:val="-3"/>
          <w:sz w:val="24"/>
        </w:rPr>
        <w:t>SUPPORTING STATEMENT</w:t>
      </w:r>
      <w:r>
        <w:rPr>
          <w:b/>
          <w:spacing w:val="-3"/>
          <w:sz w:val="24"/>
        </w:rPr>
        <w:tab/>
      </w:r>
      <w:r>
        <w:rPr>
          <w:b/>
          <w:spacing w:val="-3"/>
          <w:sz w:val="24"/>
        </w:rPr>
        <w:fldChar w:fldCharType="begin"/>
      </w:r>
      <w:r>
        <w:rPr>
          <w:b/>
          <w:spacing w:val="-3"/>
          <w:sz w:val="24"/>
        </w:rPr>
        <w:instrText xml:space="preserve">PRIVATE </w:instrText>
      </w:r>
      <w:r>
        <w:rPr>
          <w:b/>
          <w:spacing w:val="-3"/>
          <w:sz w:val="24"/>
        </w:rPr>
        <w:fldChar w:fldCharType="end"/>
      </w:r>
    </w:p>
    <w:p w:rsidR="00D6261B" w:rsidP="00D6261B" w14:paraId="08FD726F" w14:textId="77777777">
      <w:pPr>
        <w:suppressAutoHyphens/>
        <w:jc w:val="both"/>
        <w:rPr>
          <w:spacing w:val="-3"/>
          <w:sz w:val="24"/>
        </w:rPr>
      </w:pPr>
    </w:p>
    <w:p w:rsidR="00D6261B" w:rsidP="00D6261B" w14:paraId="7E1BB6F4" w14:textId="77777777">
      <w:pPr>
        <w:pStyle w:val="Heading1"/>
      </w:pPr>
      <w:r>
        <w:t>A.  Justification</w:t>
      </w:r>
    </w:p>
    <w:p w:rsidR="00D6261B" w:rsidP="00D6261B" w14:paraId="0846BC69" w14:textId="77777777">
      <w:pPr>
        <w:suppressAutoHyphens/>
        <w:rPr>
          <w:sz w:val="24"/>
        </w:rPr>
      </w:pPr>
    </w:p>
    <w:p w:rsidR="00D6261B" w:rsidRPr="00D6261B" w:rsidP="00D6261B" w14:paraId="1CB6AEBC" w14:textId="779CC7EB">
      <w:pPr>
        <w:suppressAutoHyphens/>
        <w:rPr>
          <w:sz w:val="24"/>
          <w:szCs w:val="24"/>
        </w:rPr>
      </w:pPr>
      <w:r w:rsidRPr="006252ED">
        <w:rPr>
          <w:sz w:val="24"/>
          <w:szCs w:val="24"/>
        </w:rPr>
        <w:t>1.</w:t>
      </w:r>
      <w:r w:rsidRPr="00D6261B">
        <w:rPr>
          <w:b/>
          <w:sz w:val="24"/>
          <w:szCs w:val="24"/>
        </w:rPr>
        <w:t xml:space="preserve">  </w:t>
      </w:r>
      <w:r w:rsidRPr="00D6261B">
        <w:rPr>
          <w:sz w:val="24"/>
          <w:szCs w:val="24"/>
        </w:rPr>
        <w:t xml:space="preserve">Cable television system operators and </w:t>
      </w:r>
      <w:bookmarkStart w:id="0" w:name="OLE_LINK1"/>
      <w:r w:rsidRPr="00D6261B">
        <w:rPr>
          <w:sz w:val="24"/>
          <w:szCs w:val="24"/>
        </w:rPr>
        <w:t xml:space="preserve">Multichannel Video Programming Distributors </w:t>
      </w:r>
      <w:bookmarkEnd w:id="0"/>
      <w:r w:rsidRPr="00D6261B">
        <w:rPr>
          <w:sz w:val="24"/>
          <w:szCs w:val="24"/>
        </w:rPr>
        <w:t>(MPVDs)</w:t>
      </w:r>
      <w:r>
        <w:rPr>
          <w:rStyle w:val="FootnoteReference"/>
          <w:sz w:val="24"/>
          <w:szCs w:val="24"/>
        </w:rPr>
        <w:footnoteReference w:id="2"/>
      </w:r>
      <w:r w:rsidRPr="00D6261B">
        <w:rPr>
          <w:sz w:val="24"/>
          <w:szCs w:val="24"/>
        </w:rPr>
        <w:t xml:space="preserve"> who use frequencies in </w:t>
      </w:r>
      <w:r w:rsidRPr="00A807FE">
        <w:rPr>
          <w:sz w:val="24"/>
          <w:szCs w:val="24"/>
        </w:rPr>
        <w:t>the bands 108-137 and 225</w:t>
      </w:r>
      <w:r w:rsidRPr="00A807FE">
        <w:rPr>
          <w:sz w:val="24"/>
          <w:szCs w:val="24"/>
        </w:rPr>
        <w:noBreakHyphen/>
        <w:t>400 MHz (aeronautical frequencies)</w:t>
      </w:r>
      <w:r>
        <w:rPr>
          <w:rStyle w:val="FootnoteReference"/>
          <w:sz w:val="24"/>
          <w:szCs w:val="24"/>
        </w:rPr>
        <w:footnoteReference w:id="3"/>
      </w:r>
      <w:r w:rsidRPr="00A807FE">
        <w:rPr>
          <w:sz w:val="24"/>
          <w:szCs w:val="24"/>
        </w:rPr>
        <w:t xml:space="preserve"> </w:t>
      </w:r>
      <w:r w:rsidR="006252ED">
        <w:rPr>
          <w:sz w:val="24"/>
          <w:szCs w:val="24"/>
        </w:rPr>
        <w:t xml:space="preserve"> </w:t>
      </w:r>
      <w:r w:rsidR="006F109B">
        <w:rPr>
          <w:sz w:val="24"/>
          <w:szCs w:val="24"/>
        </w:rPr>
        <w:t xml:space="preserve">over a particular power threshold </w:t>
      </w:r>
      <w:r w:rsidRPr="00D6261B">
        <w:rPr>
          <w:sz w:val="24"/>
          <w:szCs w:val="24"/>
        </w:rPr>
        <w:t xml:space="preserve">are required to file a </w:t>
      </w:r>
      <w:r w:rsidRPr="00A807FE" w:rsidR="006252ED">
        <w:rPr>
          <w:sz w:val="24"/>
          <w:szCs w:val="24"/>
        </w:rPr>
        <w:t>C</w:t>
      </w:r>
      <w:r w:rsidRPr="00A807FE">
        <w:rPr>
          <w:sz w:val="24"/>
          <w:szCs w:val="24"/>
        </w:rPr>
        <w:t xml:space="preserve">umulative </w:t>
      </w:r>
      <w:r w:rsidRPr="00A807FE" w:rsidR="006252ED">
        <w:rPr>
          <w:sz w:val="24"/>
          <w:szCs w:val="24"/>
        </w:rPr>
        <w:t>S</w:t>
      </w:r>
      <w:r w:rsidRPr="00A807FE">
        <w:rPr>
          <w:sz w:val="24"/>
          <w:szCs w:val="24"/>
        </w:rPr>
        <w:t xml:space="preserve">ignal </w:t>
      </w:r>
      <w:r w:rsidRPr="00A807FE" w:rsidR="006252ED">
        <w:rPr>
          <w:sz w:val="24"/>
          <w:szCs w:val="24"/>
        </w:rPr>
        <w:t>L</w:t>
      </w:r>
      <w:r w:rsidRPr="00A807FE">
        <w:rPr>
          <w:sz w:val="24"/>
          <w:szCs w:val="24"/>
        </w:rPr>
        <w:t xml:space="preserve">eakage </w:t>
      </w:r>
      <w:r w:rsidRPr="00A807FE" w:rsidR="006252ED">
        <w:rPr>
          <w:sz w:val="24"/>
          <w:szCs w:val="24"/>
        </w:rPr>
        <w:t>I</w:t>
      </w:r>
      <w:r w:rsidRPr="00A807FE">
        <w:rPr>
          <w:sz w:val="24"/>
          <w:szCs w:val="24"/>
        </w:rPr>
        <w:t>ndex (CLI)</w:t>
      </w:r>
      <w:r>
        <w:rPr>
          <w:rStyle w:val="FootnoteReference"/>
          <w:sz w:val="24"/>
          <w:szCs w:val="24"/>
        </w:rPr>
        <w:footnoteReference w:id="4"/>
      </w:r>
      <w:r w:rsidRPr="00D6261B">
        <w:rPr>
          <w:sz w:val="24"/>
          <w:szCs w:val="24"/>
        </w:rPr>
        <w:t xml:space="preserve"> </w:t>
      </w:r>
      <w:r w:rsidR="0080066E">
        <w:rPr>
          <w:sz w:val="24"/>
          <w:szCs w:val="24"/>
        </w:rPr>
        <w:t xml:space="preserve">report </w:t>
      </w:r>
      <w:r w:rsidR="007715F9">
        <w:rPr>
          <w:sz w:val="24"/>
          <w:szCs w:val="24"/>
        </w:rPr>
        <w:t xml:space="preserve">for ground-based measurements </w:t>
      </w:r>
      <w:r w:rsidRPr="00D6261B">
        <w:rPr>
          <w:sz w:val="24"/>
          <w:szCs w:val="24"/>
        </w:rPr>
        <w:t xml:space="preserve">derived under </w:t>
      </w:r>
      <w:r w:rsidR="006252ED">
        <w:rPr>
          <w:sz w:val="24"/>
          <w:szCs w:val="24"/>
        </w:rPr>
        <w:t xml:space="preserve">47 CFR </w:t>
      </w:r>
      <w:r w:rsidRPr="00D6261B">
        <w:rPr>
          <w:sz w:val="24"/>
          <w:szCs w:val="24"/>
        </w:rPr>
        <w:t xml:space="preserve">Section 76.611(a)(1) or the results of airspace measurements derived under </w:t>
      </w:r>
      <w:r w:rsidR="006252ED">
        <w:rPr>
          <w:sz w:val="24"/>
          <w:szCs w:val="24"/>
        </w:rPr>
        <w:t xml:space="preserve">47 CFR </w:t>
      </w:r>
      <w:r w:rsidRPr="00D6261B">
        <w:rPr>
          <w:sz w:val="24"/>
          <w:szCs w:val="24"/>
        </w:rPr>
        <w:t xml:space="preserve">Section 76.611(a)(2).  This filing must include a description of the method by which compliance with basic </w:t>
      </w:r>
      <w:r w:rsidRPr="006252ED">
        <w:rPr>
          <w:sz w:val="24"/>
          <w:szCs w:val="24"/>
        </w:rPr>
        <w:t>signal leakage</w:t>
      </w:r>
      <w:r w:rsidR="006252ED">
        <w:rPr>
          <w:sz w:val="24"/>
          <w:szCs w:val="24"/>
        </w:rPr>
        <w:t xml:space="preserve"> </w:t>
      </w:r>
      <w:r w:rsidRPr="00D6261B">
        <w:rPr>
          <w:sz w:val="24"/>
          <w:szCs w:val="24"/>
        </w:rPr>
        <w:t xml:space="preserve">criteria is achieved and the method of calibrating the measurement equipment.  This yearly filing is done in accordance with </w:t>
      </w:r>
      <w:r w:rsidR="008114DA">
        <w:rPr>
          <w:sz w:val="24"/>
          <w:szCs w:val="24"/>
        </w:rPr>
        <w:t xml:space="preserve">47 CFR </w:t>
      </w:r>
      <w:r w:rsidR="006252ED">
        <w:rPr>
          <w:sz w:val="24"/>
          <w:szCs w:val="24"/>
        </w:rPr>
        <w:t xml:space="preserve">Section </w:t>
      </w:r>
      <w:r w:rsidR="008114DA">
        <w:rPr>
          <w:sz w:val="24"/>
          <w:szCs w:val="24"/>
        </w:rPr>
        <w:t xml:space="preserve">76.1803 with </w:t>
      </w:r>
      <w:r w:rsidRPr="00D6261B">
        <w:rPr>
          <w:sz w:val="24"/>
          <w:szCs w:val="24"/>
        </w:rPr>
        <w:t xml:space="preserve">the use of FCC Form 320.   </w:t>
      </w:r>
      <w:r w:rsidR="00D610C7">
        <w:rPr>
          <w:sz w:val="24"/>
          <w:szCs w:val="24"/>
        </w:rPr>
        <w:t>Th</w:t>
      </w:r>
      <w:r w:rsidR="00234B43">
        <w:rPr>
          <w:sz w:val="24"/>
          <w:szCs w:val="24"/>
        </w:rPr>
        <w:t>e</w:t>
      </w:r>
      <w:r w:rsidR="00D610C7">
        <w:rPr>
          <w:sz w:val="24"/>
          <w:szCs w:val="24"/>
        </w:rPr>
        <w:t>s</w:t>
      </w:r>
      <w:r w:rsidR="00234B43">
        <w:rPr>
          <w:sz w:val="24"/>
          <w:szCs w:val="24"/>
        </w:rPr>
        <w:t>e</w:t>
      </w:r>
      <w:r w:rsidR="00D610C7">
        <w:rPr>
          <w:sz w:val="24"/>
          <w:szCs w:val="24"/>
        </w:rPr>
        <w:t xml:space="preserve"> records must be retained by cable operators.</w:t>
      </w:r>
    </w:p>
    <w:p w:rsidR="00D6261B" w:rsidP="00D6261B" w14:paraId="275A2AAE" w14:textId="77777777">
      <w:pPr>
        <w:pStyle w:val="EndnoteText"/>
        <w:suppressAutoHyphens/>
      </w:pPr>
    </w:p>
    <w:p w:rsidR="00065790" w:rsidRPr="00065790" w:rsidP="00D6261B" w14:paraId="49241A85" w14:textId="77777777">
      <w:pPr>
        <w:pStyle w:val="EndnoteText"/>
        <w:suppressAutoHyphens/>
        <w:rPr>
          <w:b/>
        </w:rPr>
      </w:pPr>
      <w:r w:rsidRPr="00A807FE">
        <w:rPr>
          <w:b/>
        </w:rPr>
        <w:t>History:</w:t>
      </w:r>
    </w:p>
    <w:p w:rsidR="00065790" w:rsidP="00D6261B" w14:paraId="091A3AD5" w14:textId="77777777">
      <w:pPr>
        <w:suppressAutoHyphens/>
        <w:rPr>
          <w:sz w:val="24"/>
        </w:rPr>
      </w:pPr>
    </w:p>
    <w:p w:rsidR="00D6261B" w:rsidP="00705A78" w14:paraId="4E4FC10A" w14:textId="251DB93C">
      <w:pPr>
        <w:suppressAutoHyphens/>
        <w:rPr>
          <w:sz w:val="24"/>
        </w:rPr>
      </w:pPr>
      <w:r>
        <w:rPr>
          <w:sz w:val="24"/>
        </w:rPr>
        <w:t xml:space="preserve">In July, 1985, the Commission recognized the potential </w:t>
      </w:r>
      <w:r w:rsidR="00F173BA">
        <w:rPr>
          <w:sz w:val="24"/>
        </w:rPr>
        <w:t xml:space="preserve">and actual </w:t>
      </w:r>
      <w:r>
        <w:rPr>
          <w:sz w:val="24"/>
        </w:rPr>
        <w:t xml:space="preserve">interference between cable systems and aircraft </w:t>
      </w:r>
      <w:r w:rsidR="00E54448">
        <w:rPr>
          <w:sz w:val="24"/>
        </w:rPr>
        <w:t xml:space="preserve">communication and navigation frequencies and instituted </w:t>
      </w:r>
      <w:r w:rsidR="00824C58">
        <w:rPr>
          <w:sz w:val="24"/>
        </w:rPr>
        <w:t xml:space="preserve">technical standards and a system of regular monitoring to ensure the safe operation of aeronautical services.  </w:t>
      </w:r>
      <w:r w:rsidR="005F07A4">
        <w:rPr>
          <w:i/>
          <w:iCs/>
          <w:sz w:val="24"/>
        </w:rPr>
        <w:t xml:space="preserve">See, </w:t>
      </w:r>
      <w:r w:rsidR="00C05BA9">
        <w:rPr>
          <w:sz w:val="24"/>
        </w:rPr>
        <w:t xml:space="preserve">Memorandum, Opinion, and Order in the matter of </w:t>
      </w:r>
      <w:r w:rsidR="00D6693F">
        <w:rPr>
          <w:sz w:val="24"/>
        </w:rPr>
        <w:t xml:space="preserve">Amendment of Part 76 of the Commission’s Rules to Add Frequency </w:t>
      </w:r>
      <w:r w:rsidR="0097203C">
        <w:rPr>
          <w:sz w:val="24"/>
        </w:rPr>
        <w:t>Channeling</w:t>
      </w:r>
      <w:r w:rsidR="00D6693F">
        <w:rPr>
          <w:sz w:val="24"/>
        </w:rPr>
        <w:t xml:space="preserve"> Requirement and Restrictions and to Require Monitoring for Signal Leakage from Cable Televisions Systems; Docket </w:t>
      </w:r>
      <w:r w:rsidR="005C0634">
        <w:rPr>
          <w:sz w:val="24"/>
        </w:rPr>
        <w:t xml:space="preserve">No. 21006.  </w:t>
      </w:r>
      <w:r w:rsidR="0097203C">
        <w:rPr>
          <w:sz w:val="24"/>
        </w:rPr>
        <w:t xml:space="preserve">50 F.R. 29394.  </w:t>
      </w:r>
      <w:r w:rsidR="00905555">
        <w:rPr>
          <w:sz w:val="24"/>
        </w:rPr>
        <w:t xml:space="preserve">In November 1998, the Commission released </w:t>
      </w:r>
      <w:r w:rsidR="00F64907">
        <w:rPr>
          <w:sz w:val="24"/>
        </w:rPr>
        <w:t xml:space="preserve">a </w:t>
      </w:r>
      <w:r w:rsidR="00905555">
        <w:rPr>
          <w:i/>
          <w:sz w:val="24"/>
        </w:rPr>
        <w:t>Report and Orde</w:t>
      </w:r>
      <w:r w:rsidR="00D9623B">
        <w:rPr>
          <w:i/>
          <w:sz w:val="24"/>
        </w:rPr>
        <w:t>r</w:t>
      </w:r>
      <w:r w:rsidR="00F64907">
        <w:rPr>
          <w:sz w:val="24"/>
        </w:rPr>
        <w:t>, applying Section 76.611, among other rules, to all non-cable MVPDs.</w:t>
      </w:r>
      <w:r w:rsidR="00905555">
        <w:rPr>
          <w:sz w:val="24"/>
        </w:rPr>
        <w:t xml:space="preserve"> </w:t>
      </w:r>
      <w:r w:rsidR="00312CE9">
        <w:rPr>
          <w:i/>
          <w:iCs/>
          <w:sz w:val="24"/>
        </w:rPr>
        <w:t xml:space="preserve">See, Report and Order, </w:t>
      </w:r>
      <w:r w:rsidRPr="006252ED" w:rsidR="00905555">
        <w:rPr>
          <w:sz w:val="24"/>
        </w:rPr>
        <w:t>Inside Wiring</w:t>
      </w:r>
      <w:r w:rsidR="00905555">
        <w:rPr>
          <w:i/>
          <w:sz w:val="24"/>
        </w:rPr>
        <w:t>,</w:t>
      </w:r>
      <w:r w:rsidR="00905555">
        <w:rPr>
          <w:sz w:val="24"/>
        </w:rPr>
        <w:t xml:space="preserve"> CS Docket No. 97-184, MM Docket No. 92-260, FCC 97-376.    Non-cable MVPD systems that </w:t>
      </w:r>
      <w:r w:rsidR="00065790">
        <w:rPr>
          <w:sz w:val="24"/>
        </w:rPr>
        <w:t>were</w:t>
      </w:r>
      <w:r w:rsidR="00905555">
        <w:rPr>
          <w:sz w:val="24"/>
        </w:rPr>
        <w:t xml:space="preserve"> built </w:t>
      </w:r>
      <w:r w:rsidR="00065790">
        <w:rPr>
          <w:sz w:val="24"/>
        </w:rPr>
        <w:t>by</w:t>
      </w:r>
      <w:r w:rsidR="00905555">
        <w:rPr>
          <w:sz w:val="24"/>
        </w:rPr>
        <w:t xml:space="preserve"> </w:t>
      </w:r>
      <w:smartTag w:uri="urn:schemas-microsoft-com:office:smarttags" w:element="date">
        <w:smartTagPr>
          <w:attr w:name="Day" w:val="1"/>
          <w:attr w:name="Month" w:val="1"/>
          <w:attr w:name="Year" w:val="1998"/>
        </w:smartTagPr>
        <w:r w:rsidR="00905555">
          <w:rPr>
            <w:sz w:val="24"/>
          </w:rPr>
          <w:t>January 1, 1998</w:t>
        </w:r>
      </w:smartTag>
      <w:r w:rsidR="00905555">
        <w:rPr>
          <w:sz w:val="24"/>
        </w:rPr>
        <w:t xml:space="preserve">, </w:t>
      </w:r>
      <w:r w:rsidR="00065790">
        <w:rPr>
          <w:sz w:val="24"/>
        </w:rPr>
        <w:t>were</w:t>
      </w:r>
      <w:r w:rsidR="00905555">
        <w:rPr>
          <w:sz w:val="24"/>
        </w:rPr>
        <w:t xml:space="preserve"> not subject to </w:t>
      </w:r>
      <w:r w:rsidR="006252ED">
        <w:rPr>
          <w:sz w:val="24"/>
        </w:rPr>
        <w:t>S</w:t>
      </w:r>
      <w:r w:rsidR="00905555">
        <w:rPr>
          <w:sz w:val="24"/>
        </w:rPr>
        <w:t xml:space="preserve">ection </w:t>
      </w:r>
      <w:r w:rsidR="006252ED">
        <w:rPr>
          <w:sz w:val="24"/>
        </w:rPr>
        <w:t xml:space="preserve">76.620 </w:t>
      </w:r>
      <w:r w:rsidR="00905555">
        <w:rPr>
          <w:sz w:val="24"/>
        </w:rPr>
        <w:t xml:space="preserve">until </w:t>
      </w:r>
      <w:smartTag w:uri="urn:schemas-microsoft-com:office:smarttags" w:element="date">
        <w:smartTagPr>
          <w:attr w:name="Day" w:val="1"/>
          <w:attr w:name="Month" w:val="1"/>
          <w:attr w:name="Year" w:val="2003"/>
        </w:smartTagPr>
        <w:r w:rsidR="00905555">
          <w:rPr>
            <w:sz w:val="24"/>
          </w:rPr>
          <w:t>January 1, 2003</w:t>
        </w:r>
      </w:smartTag>
      <w:r w:rsidR="00905555">
        <w:rPr>
          <w:sz w:val="24"/>
        </w:rPr>
        <w:t xml:space="preserve">.   </w:t>
      </w:r>
      <w:r w:rsidR="00705A78">
        <w:rPr>
          <w:sz w:val="24"/>
        </w:rPr>
        <w:t xml:space="preserve">Other requirements adopted as part of the </w:t>
      </w:r>
      <w:r w:rsidRPr="006252ED" w:rsidR="00705A78">
        <w:rPr>
          <w:i/>
          <w:sz w:val="24"/>
        </w:rPr>
        <w:t>R&amp;O</w:t>
      </w:r>
      <w:r w:rsidR="00705A78">
        <w:rPr>
          <w:sz w:val="24"/>
        </w:rPr>
        <w:t xml:space="preserve"> were approved under OMB control number 3060-0692.</w:t>
      </w:r>
    </w:p>
    <w:p w:rsidR="00D6261B" w14:paraId="64AD774B" w14:textId="77777777"/>
    <w:p w:rsidR="006252ED" w14:paraId="6DC67034" w14:textId="77777777">
      <w:pPr>
        <w:rPr>
          <w:sz w:val="24"/>
          <w:szCs w:val="24"/>
        </w:rPr>
      </w:pPr>
      <w:r w:rsidRPr="00A807FE">
        <w:rPr>
          <w:sz w:val="24"/>
          <w:szCs w:val="24"/>
        </w:rPr>
        <w:t>The Commission is requesting an extension of this submission in order to receive the full three</w:t>
      </w:r>
      <w:r w:rsidR="00D21530">
        <w:rPr>
          <w:sz w:val="24"/>
          <w:szCs w:val="24"/>
        </w:rPr>
        <w:t>-</w:t>
      </w:r>
      <w:r w:rsidRPr="00A807FE">
        <w:rPr>
          <w:sz w:val="24"/>
          <w:szCs w:val="24"/>
        </w:rPr>
        <w:t xml:space="preserve"> year approval/clearance from OMB.</w:t>
      </w:r>
      <w:r w:rsidRPr="006252ED">
        <w:rPr>
          <w:sz w:val="24"/>
          <w:szCs w:val="24"/>
        </w:rPr>
        <w:t xml:space="preserve"> </w:t>
      </w:r>
    </w:p>
    <w:p w:rsidR="006252ED" w:rsidRPr="006252ED" w14:paraId="70CB73AC" w14:textId="77777777">
      <w:pPr>
        <w:rPr>
          <w:sz w:val="24"/>
          <w:szCs w:val="24"/>
        </w:rPr>
      </w:pPr>
    </w:p>
    <w:p w:rsidR="00D6261B" w:rsidRPr="00D6261B" w14:paraId="48218632" w14:textId="77777777">
      <w:pPr>
        <w:rPr>
          <w:sz w:val="24"/>
          <w:szCs w:val="24"/>
        </w:rPr>
      </w:pPr>
      <w:r>
        <w:rPr>
          <w:sz w:val="24"/>
          <w:szCs w:val="24"/>
        </w:rPr>
        <w:t>T</w:t>
      </w:r>
      <w:r w:rsidRPr="00D6261B">
        <w:rPr>
          <w:sz w:val="24"/>
          <w:szCs w:val="24"/>
        </w:rPr>
        <w:t>his information collection does not affect individuals or households; thus, there are no impacts under the Privacy Act.</w:t>
      </w:r>
    </w:p>
    <w:p w:rsidR="00D6261B" w:rsidP="00D6261B" w14:paraId="4925F79E" w14:textId="77777777">
      <w:pPr>
        <w:suppressAutoHyphens/>
        <w:rPr>
          <w:sz w:val="24"/>
        </w:rPr>
      </w:pPr>
    </w:p>
    <w:p w:rsidR="00D6261B" w:rsidP="00D6261B" w14:paraId="50993EDD" w14:textId="77777777">
      <w:pPr>
        <w:suppressAutoHyphens/>
        <w:rPr>
          <w:sz w:val="24"/>
        </w:rPr>
      </w:pPr>
      <w:r>
        <w:rPr>
          <w:sz w:val="24"/>
        </w:rPr>
        <w:t>Statutory authority for this collection of information is contained in Sections 4(</w:t>
      </w:r>
      <w:r>
        <w:rPr>
          <w:sz w:val="24"/>
        </w:rPr>
        <w:t>i</w:t>
      </w:r>
      <w:r>
        <w:rPr>
          <w:sz w:val="24"/>
        </w:rPr>
        <w:t>), 302 and 303 of the Communications Act of 1934, as amended.</w:t>
      </w:r>
    </w:p>
    <w:p w:rsidR="00D6261B" w:rsidP="00D6261B" w14:paraId="220D95A7" w14:textId="77777777">
      <w:pPr>
        <w:suppressAutoHyphens/>
        <w:rPr>
          <w:b/>
          <w:sz w:val="24"/>
        </w:rPr>
      </w:pPr>
    </w:p>
    <w:p w:rsidR="00D6261B" w:rsidRPr="005447E6" w:rsidP="00D6261B" w14:paraId="7E32FAAF" w14:textId="77777777">
      <w:pPr>
        <w:suppressAutoHyphens/>
        <w:rPr>
          <w:sz w:val="24"/>
        </w:rPr>
      </w:pPr>
      <w:r w:rsidRPr="005447E6">
        <w:rPr>
          <w:sz w:val="24"/>
        </w:rPr>
        <w:t>2.  The data collected on the FCC Form 320 are used by Commission staff to ensure the safe operation of aeronautical and marine radio services, and to monitor for compliance of cable aeronautical usage in order to minimize future interference to these safety of life services.</w:t>
      </w:r>
    </w:p>
    <w:p w:rsidR="00D6261B" w:rsidRPr="005447E6" w:rsidP="00D6261B" w14:paraId="04C815AC" w14:textId="77777777">
      <w:pPr>
        <w:suppressAutoHyphens/>
        <w:rPr>
          <w:sz w:val="24"/>
        </w:rPr>
      </w:pPr>
    </w:p>
    <w:p w:rsidR="00D6261B" w:rsidP="00D6261B" w14:paraId="0AF411F9" w14:textId="77777777">
      <w:pPr>
        <w:suppressAutoHyphens/>
        <w:rPr>
          <w:sz w:val="24"/>
        </w:rPr>
      </w:pPr>
      <w:r w:rsidRPr="005447E6">
        <w:rPr>
          <w:sz w:val="24"/>
        </w:rPr>
        <w:t xml:space="preserve">3.  </w:t>
      </w:r>
      <w:r w:rsidR="001D4CD3">
        <w:rPr>
          <w:sz w:val="24"/>
        </w:rPr>
        <w:t xml:space="preserve">We have enabled the use of information technology for cable operators and non-cable MVPDs to file the Form 320 electronically via the COALS website. Electronic filing of the </w:t>
      </w:r>
      <w:r w:rsidR="00B44E07">
        <w:rPr>
          <w:sz w:val="24"/>
        </w:rPr>
        <w:t xml:space="preserve">FCC </w:t>
      </w:r>
      <w:r w:rsidR="001D4CD3">
        <w:rPr>
          <w:sz w:val="24"/>
        </w:rPr>
        <w:t>Form 320 will reduce the burden associated with this information collection requirement. In a Public Notice (DA-04-2117) dated July 14, 2004, the Commission informed MVPDs about the requirement that all Form 320 filings must be submitted electronically as of February 1, 2005.</w:t>
      </w:r>
    </w:p>
    <w:p w:rsidR="00D6261B" w:rsidP="00D6261B" w14:paraId="5062308F" w14:textId="77777777">
      <w:pPr>
        <w:suppressAutoHyphens/>
        <w:rPr>
          <w:b/>
          <w:sz w:val="24"/>
        </w:rPr>
      </w:pPr>
    </w:p>
    <w:p w:rsidR="00D6261B" w:rsidRPr="005447E6" w:rsidP="00D6261B" w14:paraId="61EDB324" w14:textId="77777777">
      <w:pPr>
        <w:suppressAutoHyphens/>
        <w:rPr>
          <w:sz w:val="24"/>
        </w:rPr>
      </w:pPr>
      <w:r w:rsidRPr="005447E6">
        <w:rPr>
          <w:sz w:val="24"/>
        </w:rPr>
        <w:t>4.  This agency does not impose a similar information collection on the respondents.</w:t>
      </w:r>
    </w:p>
    <w:p w:rsidR="00D6261B" w:rsidRPr="005447E6" w:rsidP="00D6261B" w14:paraId="76FE5A12" w14:textId="77777777">
      <w:pPr>
        <w:suppressAutoHyphens/>
        <w:rPr>
          <w:sz w:val="24"/>
        </w:rPr>
      </w:pPr>
    </w:p>
    <w:p w:rsidR="00D6261B" w:rsidP="00D6261B" w14:paraId="16D25742" w14:textId="77777777">
      <w:pPr>
        <w:suppressAutoHyphens/>
        <w:rPr>
          <w:sz w:val="24"/>
        </w:rPr>
      </w:pPr>
      <w:r w:rsidRPr="005447E6">
        <w:rPr>
          <w:sz w:val="24"/>
        </w:rPr>
        <w:t>5.</w:t>
      </w:r>
      <w:r>
        <w:rPr>
          <w:b/>
          <w:sz w:val="24"/>
        </w:rPr>
        <w:t xml:space="preserve">  </w:t>
      </w:r>
      <w:r>
        <w:rPr>
          <w:sz w:val="24"/>
        </w:rPr>
        <w:t>This information requirement has an impact on small entities.  However, to ensure the integrity of the nation's aircraft communications and navigation systems, it is imperative that all cable systems, regardless of system size, comply with this information collection requirement.</w:t>
      </w:r>
    </w:p>
    <w:p w:rsidR="00F4306A" w:rsidP="00D6261B" w14:paraId="1E6A360D" w14:textId="77777777">
      <w:pPr>
        <w:suppressAutoHyphens/>
        <w:rPr>
          <w:b/>
          <w:sz w:val="24"/>
        </w:rPr>
      </w:pPr>
    </w:p>
    <w:p w:rsidR="00D6261B" w:rsidRPr="00645BD5" w:rsidP="00D6261B" w14:paraId="6BA8579A" w14:textId="77777777">
      <w:pPr>
        <w:suppressAutoHyphens/>
        <w:rPr>
          <w:sz w:val="24"/>
        </w:rPr>
      </w:pPr>
      <w:r w:rsidRPr="00645BD5">
        <w:rPr>
          <w:sz w:val="24"/>
        </w:rPr>
        <w:t>6.  If this collection of information was not conducted, there would be a greater likelihood of harmful interference to aeronautical and marine radio services, leading to a greater risk to the safety of life and property.</w:t>
      </w:r>
    </w:p>
    <w:p w:rsidR="00D6261B" w:rsidRPr="00645BD5" w:rsidP="00D6261B" w14:paraId="3435A8B4" w14:textId="77777777">
      <w:pPr>
        <w:suppressAutoHyphens/>
        <w:rPr>
          <w:sz w:val="24"/>
        </w:rPr>
      </w:pPr>
    </w:p>
    <w:p w:rsidR="00D6261B" w:rsidRPr="00645BD5" w:rsidP="00D6261B" w14:paraId="0995E1AD" w14:textId="77777777">
      <w:pPr>
        <w:suppressAutoHyphens/>
        <w:rPr>
          <w:sz w:val="24"/>
        </w:rPr>
      </w:pPr>
      <w:r w:rsidRPr="00645BD5">
        <w:rPr>
          <w:sz w:val="24"/>
        </w:rPr>
        <w:t>7.  There are no special circumstances associated with this collection of information.</w:t>
      </w:r>
    </w:p>
    <w:p w:rsidR="00D6261B" w:rsidRPr="00645BD5" w:rsidP="00D6261B" w14:paraId="55FF6CFB" w14:textId="77777777">
      <w:pPr>
        <w:suppressAutoHyphens/>
        <w:rPr>
          <w:sz w:val="24"/>
        </w:rPr>
      </w:pPr>
    </w:p>
    <w:p w:rsidR="00D6261B" w:rsidRPr="00645BD5" w:rsidP="001C5453" w14:paraId="4304CFCC" w14:textId="4C6D8040">
      <w:pPr>
        <w:suppressAutoHyphens/>
        <w:rPr>
          <w:sz w:val="24"/>
        </w:rPr>
      </w:pPr>
      <w:r w:rsidRPr="00645BD5">
        <w:rPr>
          <w:sz w:val="24"/>
        </w:rPr>
        <w:t xml:space="preserve">8.  </w:t>
      </w:r>
      <w:r w:rsidRPr="00645BD5">
        <w:rPr>
          <w:spacing w:val="-3"/>
          <w:sz w:val="24"/>
        </w:rPr>
        <w:t xml:space="preserve">The </w:t>
      </w:r>
      <w:r w:rsidR="0011095F">
        <w:rPr>
          <w:spacing w:val="-3"/>
          <w:sz w:val="24"/>
        </w:rPr>
        <w:t>Commission published a Notice (</w:t>
      </w:r>
      <w:r w:rsidR="006A5F55">
        <w:rPr>
          <w:spacing w:val="-3"/>
          <w:sz w:val="24"/>
        </w:rPr>
        <w:t>90</w:t>
      </w:r>
      <w:r w:rsidR="00BA0EEE">
        <w:rPr>
          <w:spacing w:val="-3"/>
          <w:sz w:val="24"/>
        </w:rPr>
        <w:t xml:space="preserve"> </w:t>
      </w:r>
      <w:r w:rsidRPr="00645BD5">
        <w:rPr>
          <w:spacing w:val="-3"/>
          <w:sz w:val="24"/>
        </w:rPr>
        <w:t>FR</w:t>
      </w:r>
      <w:r w:rsidR="001C2D30">
        <w:rPr>
          <w:spacing w:val="-3"/>
          <w:sz w:val="24"/>
        </w:rPr>
        <w:t xml:space="preserve"> 44070</w:t>
      </w:r>
      <w:r w:rsidR="00884E79">
        <w:rPr>
          <w:spacing w:val="-3"/>
          <w:sz w:val="24"/>
        </w:rPr>
        <w:t>)</w:t>
      </w:r>
      <w:r w:rsidRPr="00645BD5">
        <w:rPr>
          <w:spacing w:val="-3"/>
          <w:sz w:val="24"/>
        </w:rPr>
        <w:t xml:space="preserve"> in the </w:t>
      </w:r>
      <w:r w:rsidRPr="00645BD5">
        <w:rPr>
          <w:i/>
          <w:spacing w:val="-3"/>
          <w:sz w:val="24"/>
        </w:rPr>
        <w:t>Federal Register</w:t>
      </w:r>
      <w:r w:rsidRPr="00645BD5">
        <w:rPr>
          <w:spacing w:val="-3"/>
          <w:sz w:val="24"/>
        </w:rPr>
        <w:t xml:space="preserve"> </w:t>
      </w:r>
      <w:r w:rsidRPr="00645BD5" w:rsidR="005447E6">
        <w:rPr>
          <w:spacing w:val="-3"/>
          <w:sz w:val="24"/>
        </w:rPr>
        <w:t>on</w:t>
      </w:r>
      <w:r w:rsidR="001C2D30">
        <w:rPr>
          <w:spacing w:val="-3"/>
          <w:sz w:val="24"/>
        </w:rPr>
        <w:t xml:space="preserve"> September 11,</w:t>
      </w:r>
      <w:r w:rsidR="00162D04">
        <w:rPr>
          <w:spacing w:val="-3"/>
          <w:sz w:val="24"/>
        </w:rPr>
        <w:t xml:space="preserve">         </w:t>
      </w:r>
      <w:r w:rsidR="00CC1050">
        <w:rPr>
          <w:spacing w:val="-3"/>
          <w:sz w:val="24"/>
        </w:rPr>
        <w:t>20</w:t>
      </w:r>
      <w:r w:rsidR="00884E79">
        <w:rPr>
          <w:spacing w:val="-3"/>
          <w:sz w:val="24"/>
        </w:rPr>
        <w:t>2</w:t>
      </w:r>
      <w:r w:rsidR="00162D04">
        <w:rPr>
          <w:spacing w:val="-3"/>
          <w:sz w:val="24"/>
        </w:rPr>
        <w:t>5</w:t>
      </w:r>
      <w:r w:rsidR="0046206B">
        <w:rPr>
          <w:spacing w:val="-3"/>
          <w:sz w:val="24"/>
        </w:rPr>
        <w:t xml:space="preserve"> seeking comments on the information collection requirements contained in this supporting statement</w:t>
      </w:r>
      <w:r w:rsidRPr="00645BD5">
        <w:rPr>
          <w:spacing w:val="-3"/>
          <w:sz w:val="24"/>
        </w:rPr>
        <w:t xml:space="preserve">.  No comments were </w:t>
      </w:r>
      <w:r w:rsidR="0046206B">
        <w:rPr>
          <w:spacing w:val="-3"/>
          <w:sz w:val="24"/>
        </w:rPr>
        <w:t>received from the public.</w:t>
      </w:r>
      <w:r w:rsidRPr="00645BD5">
        <w:rPr>
          <w:spacing w:val="-3"/>
          <w:sz w:val="24"/>
        </w:rPr>
        <w:t xml:space="preserve">  </w:t>
      </w:r>
    </w:p>
    <w:p w:rsidR="00D6261B" w:rsidRPr="00645BD5" w:rsidP="00D6261B" w14:paraId="2AA48D31" w14:textId="77777777">
      <w:pPr>
        <w:suppressAutoHyphens/>
        <w:rPr>
          <w:sz w:val="24"/>
        </w:rPr>
      </w:pPr>
    </w:p>
    <w:p w:rsidR="00D6261B" w:rsidRPr="00645BD5" w:rsidP="00D6261B" w14:paraId="05C9609A" w14:textId="77777777">
      <w:pPr>
        <w:suppressAutoHyphens/>
        <w:rPr>
          <w:sz w:val="24"/>
        </w:rPr>
      </w:pPr>
      <w:r w:rsidRPr="00645BD5">
        <w:rPr>
          <w:sz w:val="24"/>
        </w:rPr>
        <w:t>9.  There will be no payment or gifts given to respondents.</w:t>
      </w:r>
    </w:p>
    <w:p w:rsidR="00D6261B" w:rsidRPr="00645BD5" w:rsidP="00D6261B" w14:paraId="198BB895" w14:textId="77777777">
      <w:pPr>
        <w:suppressAutoHyphens/>
        <w:rPr>
          <w:sz w:val="24"/>
        </w:rPr>
      </w:pPr>
    </w:p>
    <w:p w:rsidR="00D6261B" w:rsidRPr="00645BD5" w:rsidP="00D6261B" w14:paraId="2034EE4B" w14:textId="77777777">
      <w:pPr>
        <w:suppressAutoHyphens/>
        <w:rPr>
          <w:sz w:val="24"/>
        </w:rPr>
      </w:pPr>
      <w:r w:rsidRPr="00645BD5">
        <w:rPr>
          <w:sz w:val="24"/>
        </w:rPr>
        <w:t>10.  There is no need for confidentiality</w:t>
      </w:r>
      <w:r w:rsidR="0046206B">
        <w:rPr>
          <w:sz w:val="24"/>
        </w:rPr>
        <w:t xml:space="preserve"> with this collection of information</w:t>
      </w:r>
      <w:r w:rsidRPr="00645BD5">
        <w:rPr>
          <w:sz w:val="24"/>
        </w:rPr>
        <w:t xml:space="preserve">. </w:t>
      </w:r>
    </w:p>
    <w:p w:rsidR="00D6261B" w:rsidRPr="00645BD5" w:rsidP="00D6261B" w14:paraId="29A675A2" w14:textId="77777777">
      <w:pPr>
        <w:suppressAutoHyphens/>
        <w:rPr>
          <w:sz w:val="24"/>
        </w:rPr>
      </w:pPr>
    </w:p>
    <w:p w:rsidR="00D6261B" w:rsidRPr="00645BD5" w:rsidP="00D6261B" w14:paraId="71FB9F24" w14:textId="77777777">
      <w:pPr>
        <w:suppressAutoHyphens/>
        <w:rPr>
          <w:sz w:val="24"/>
        </w:rPr>
      </w:pPr>
      <w:r w:rsidRPr="00645BD5">
        <w:rPr>
          <w:sz w:val="24"/>
        </w:rPr>
        <w:t xml:space="preserve">11.  </w:t>
      </w:r>
      <w:r w:rsidRPr="00A807FE">
        <w:rPr>
          <w:sz w:val="24"/>
        </w:rPr>
        <w:t xml:space="preserve">This </w:t>
      </w:r>
      <w:r w:rsidRPr="00A807FE" w:rsidR="00B44E07">
        <w:rPr>
          <w:sz w:val="24"/>
        </w:rPr>
        <w:t>collection of information d</w:t>
      </w:r>
      <w:r w:rsidRPr="00A807FE">
        <w:rPr>
          <w:sz w:val="24"/>
        </w:rPr>
        <w:t>oes not address</w:t>
      </w:r>
      <w:r w:rsidRPr="00645BD5">
        <w:rPr>
          <w:sz w:val="24"/>
        </w:rPr>
        <w:t xml:space="preserve"> any private matters of a sensitive nature. </w:t>
      </w:r>
    </w:p>
    <w:p w:rsidR="00D6261B" w:rsidRPr="00645BD5" w:rsidP="00D6261B" w14:paraId="5D15195E" w14:textId="77777777">
      <w:pPr>
        <w:suppressAutoHyphens/>
        <w:rPr>
          <w:sz w:val="24"/>
        </w:rPr>
      </w:pPr>
    </w:p>
    <w:p w:rsidR="00D6261B" w:rsidP="00D6261B" w14:paraId="0D7B1D91" w14:textId="6CC93FA7">
      <w:pPr>
        <w:suppressAutoHyphens/>
        <w:rPr>
          <w:sz w:val="24"/>
        </w:rPr>
      </w:pPr>
      <w:r w:rsidRPr="00645BD5">
        <w:rPr>
          <w:sz w:val="24"/>
        </w:rPr>
        <w:t>12. The</w:t>
      </w:r>
      <w:r>
        <w:rPr>
          <w:sz w:val="24"/>
        </w:rPr>
        <w:t xml:space="preserve"> </w:t>
      </w:r>
      <w:r w:rsidR="00B44E07">
        <w:rPr>
          <w:sz w:val="24"/>
        </w:rPr>
        <w:t xml:space="preserve">FCC </w:t>
      </w:r>
      <w:r>
        <w:rPr>
          <w:sz w:val="24"/>
        </w:rPr>
        <w:t>Form 320</w:t>
      </w:r>
      <w:r w:rsidR="00B44E07">
        <w:rPr>
          <w:sz w:val="24"/>
        </w:rPr>
        <w:t>,</w:t>
      </w:r>
      <w:r>
        <w:rPr>
          <w:sz w:val="24"/>
        </w:rPr>
        <w:t xml:space="preserve"> Basic Signal Leakage Performance Report is filed annually by cable operators at the </w:t>
      </w:r>
      <w:r w:rsidR="00054932">
        <w:rPr>
          <w:sz w:val="24"/>
        </w:rPr>
        <w:t>physical system</w:t>
      </w:r>
      <w:r>
        <w:rPr>
          <w:sz w:val="24"/>
        </w:rPr>
        <w:t xml:space="preserve"> </w:t>
      </w:r>
      <w:r w:rsidR="00054932">
        <w:rPr>
          <w:sz w:val="24"/>
        </w:rPr>
        <w:t>identifier</w:t>
      </w:r>
      <w:r w:rsidR="00B44E07">
        <w:rPr>
          <w:sz w:val="24"/>
        </w:rPr>
        <w:t xml:space="preserve"> </w:t>
      </w:r>
      <w:r>
        <w:rPr>
          <w:sz w:val="24"/>
        </w:rPr>
        <w:t>(</w:t>
      </w:r>
      <w:r w:rsidR="00054932">
        <w:rPr>
          <w:sz w:val="24"/>
        </w:rPr>
        <w:t>PSID</w:t>
      </w:r>
      <w:r>
        <w:rPr>
          <w:sz w:val="24"/>
        </w:rPr>
        <w:t xml:space="preserve">) level and by </w:t>
      </w:r>
      <w:r w:rsidR="009241F5">
        <w:rPr>
          <w:sz w:val="24"/>
        </w:rPr>
        <w:t xml:space="preserve">non-cable </w:t>
      </w:r>
      <w:r>
        <w:rPr>
          <w:sz w:val="24"/>
        </w:rPr>
        <w:t xml:space="preserve">MPVDs </w:t>
      </w:r>
      <w:r w:rsidR="00164270">
        <w:rPr>
          <w:sz w:val="24"/>
        </w:rPr>
        <w:t>with more than 1</w:t>
      </w:r>
      <w:r w:rsidR="00D21530">
        <w:rPr>
          <w:sz w:val="24"/>
        </w:rPr>
        <w:t>,</w:t>
      </w:r>
      <w:r w:rsidR="00164270">
        <w:rPr>
          <w:sz w:val="24"/>
        </w:rPr>
        <w:t xml:space="preserve">000 subscribers </w:t>
      </w:r>
      <w:r>
        <w:rPr>
          <w:sz w:val="24"/>
        </w:rPr>
        <w:t xml:space="preserve">at the system level. There are an estimated </w:t>
      </w:r>
      <w:r w:rsidR="003F07C4">
        <w:rPr>
          <w:sz w:val="24"/>
        </w:rPr>
        <w:t>4,000</w:t>
      </w:r>
      <w:r w:rsidR="00C75A8B">
        <w:rPr>
          <w:sz w:val="24"/>
        </w:rPr>
        <w:t xml:space="preserve"> </w:t>
      </w:r>
      <w:r>
        <w:rPr>
          <w:sz w:val="24"/>
        </w:rPr>
        <w:t xml:space="preserve"> active </w:t>
      </w:r>
      <w:r w:rsidR="007B7603">
        <w:rPr>
          <w:sz w:val="24"/>
        </w:rPr>
        <w:t>PSID</w:t>
      </w:r>
      <w:r>
        <w:rPr>
          <w:sz w:val="24"/>
        </w:rPr>
        <w:t xml:space="preserve">s and </w:t>
      </w:r>
      <w:r w:rsidR="00FC7A66">
        <w:rPr>
          <w:sz w:val="24"/>
        </w:rPr>
        <w:t xml:space="preserve">101 </w:t>
      </w:r>
      <w:r>
        <w:rPr>
          <w:sz w:val="24"/>
        </w:rPr>
        <w:t xml:space="preserve"> non-cable M</w:t>
      </w:r>
      <w:r w:rsidR="007805A1">
        <w:rPr>
          <w:sz w:val="24"/>
        </w:rPr>
        <w:t>VP</w:t>
      </w:r>
      <w:r>
        <w:rPr>
          <w:sz w:val="24"/>
        </w:rPr>
        <w:t>D systems</w:t>
      </w:r>
      <w:r w:rsidR="007B7603">
        <w:rPr>
          <w:sz w:val="24"/>
        </w:rPr>
        <w:t xml:space="preserve"> with more than 1</w:t>
      </w:r>
      <w:r w:rsidR="007A2800">
        <w:rPr>
          <w:sz w:val="24"/>
        </w:rPr>
        <w:t>,</w:t>
      </w:r>
      <w:r w:rsidR="007B7603">
        <w:rPr>
          <w:sz w:val="24"/>
        </w:rPr>
        <w:t>000 subscribers</w:t>
      </w:r>
      <w:r w:rsidR="00A50CDC">
        <w:rPr>
          <w:sz w:val="24"/>
        </w:rPr>
        <w:t xml:space="preserve"> operated by approximately 1,400 unique operators</w:t>
      </w:r>
      <w:r>
        <w:rPr>
          <w:sz w:val="24"/>
        </w:rPr>
        <w:t xml:space="preserve">.  </w:t>
      </w:r>
      <w:r w:rsidR="007805A1">
        <w:rPr>
          <w:sz w:val="24"/>
        </w:rPr>
        <w:t>Not every PSID is subject to CLI requirements</w:t>
      </w:r>
      <w:r w:rsidR="00890D28">
        <w:rPr>
          <w:sz w:val="24"/>
        </w:rPr>
        <w:t xml:space="preserve">, and due to advancements in </w:t>
      </w:r>
      <w:r w:rsidR="00890D28">
        <w:rPr>
          <w:sz w:val="24"/>
        </w:rPr>
        <w:t>technology, fewer systems are subject to this requirement each year</w:t>
      </w:r>
      <w:r w:rsidR="007805A1">
        <w:rPr>
          <w:sz w:val="24"/>
        </w:rPr>
        <w:t xml:space="preserve">. </w:t>
      </w:r>
      <w:r w:rsidR="00A50CDC">
        <w:rPr>
          <w:sz w:val="24"/>
        </w:rPr>
        <w:t xml:space="preserve">Based on current trends, we expect approximately 230 cable operators representing approximately 1,600 systems to file signal leakage reports.  </w:t>
      </w:r>
      <w:r>
        <w:rPr>
          <w:sz w:val="24"/>
        </w:rPr>
        <w:t>The average burden is estimated to be 20 hours per filing to perform ground</w:t>
      </w:r>
      <w:r>
        <w:rPr>
          <w:sz w:val="24"/>
        </w:rPr>
        <w:noBreakHyphen/>
        <w:t>based or airspace measurements as prescribed by 47 CFR Section 76.611</w:t>
      </w:r>
      <w:r w:rsidR="00D610C7">
        <w:rPr>
          <w:sz w:val="24"/>
        </w:rPr>
        <w:t>,</w:t>
      </w:r>
      <w:r>
        <w:rPr>
          <w:sz w:val="24"/>
        </w:rPr>
        <w:t xml:space="preserve"> </w:t>
      </w:r>
      <w:r w:rsidR="00D610C7">
        <w:rPr>
          <w:sz w:val="24"/>
        </w:rPr>
        <w:t xml:space="preserve">to </w:t>
      </w:r>
      <w:r>
        <w:rPr>
          <w:sz w:val="24"/>
        </w:rPr>
        <w:t xml:space="preserve">report the results of such measurements on </w:t>
      </w:r>
      <w:r w:rsidR="00B44E07">
        <w:rPr>
          <w:sz w:val="24"/>
        </w:rPr>
        <w:t xml:space="preserve">FCC </w:t>
      </w:r>
      <w:r>
        <w:rPr>
          <w:sz w:val="24"/>
        </w:rPr>
        <w:t>Form 320</w:t>
      </w:r>
      <w:r w:rsidR="00D610C7">
        <w:rPr>
          <w:sz w:val="24"/>
        </w:rPr>
        <w:t xml:space="preserve"> and for maintaining copies of the files</w:t>
      </w:r>
      <w:r>
        <w:rPr>
          <w:sz w:val="24"/>
        </w:rPr>
        <w:t xml:space="preserve">.  </w:t>
      </w:r>
    </w:p>
    <w:p w:rsidR="00636883" w:rsidP="00D6261B" w14:paraId="472A052A" w14:textId="77777777">
      <w:pPr>
        <w:suppressAutoHyphens/>
        <w:rPr>
          <w:sz w:val="24"/>
        </w:rPr>
      </w:pPr>
    </w:p>
    <w:p w:rsidR="00636883" w:rsidP="00D6261B" w14:paraId="13E5188B" w14:textId="77777777">
      <w:pPr>
        <w:suppressAutoHyphens/>
        <w:rPr>
          <w:b/>
          <w:sz w:val="24"/>
        </w:rPr>
      </w:pPr>
    </w:p>
    <w:p w:rsidR="00D6261B" w:rsidRPr="00A807FE" w:rsidP="00D6261B" w14:paraId="56EB47C3" w14:textId="1559A50C">
      <w:pPr>
        <w:suppressAutoHyphens/>
        <w:rPr>
          <w:b/>
          <w:sz w:val="24"/>
        </w:rPr>
      </w:pPr>
      <w:r w:rsidRPr="00A807FE">
        <w:rPr>
          <w:b/>
          <w:sz w:val="24"/>
        </w:rPr>
        <w:t xml:space="preserve">Total Number of Respondents:  </w:t>
      </w:r>
      <w:r w:rsidR="00FD3234">
        <w:rPr>
          <w:b/>
          <w:sz w:val="24"/>
        </w:rPr>
        <w:t>230</w:t>
      </w:r>
      <w:r w:rsidR="00F57607">
        <w:rPr>
          <w:b/>
          <w:sz w:val="24"/>
        </w:rPr>
        <w:t xml:space="preserve"> </w:t>
      </w:r>
      <w:r w:rsidR="000B1596">
        <w:rPr>
          <w:b/>
          <w:sz w:val="24"/>
        </w:rPr>
        <w:t xml:space="preserve"> </w:t>
      </w:r>
      <w:r w:rsidRPr="00A807FE">
        <w:rPr>
          <w:b/>
          <w:sz w:val="24"/>
        </w:rPr>
        <w:t xml:space="preserve">Cable </w:t>
      </w:r>
      <w:r w:rsidR="00673F1A">
        <w:rPr>
          <w:b/>
          <w:sz w:val="24"/>
        </w:rPr>
        <w:t>Operators</w:t>
      </w:r>
      <w:r w:rsidRPr="00A807FE" w:rsidR="00673F1A">
        <w:rPr>
          <w:b/>
          <w:sz w:val="24"/>
        </w:rPr>
        <w:t xml:space="preserve"> </w:t>
      </w:r>
      <w:r w:rsidRPr="00A807FE">
        <w:rPr>
          <w:b/>
          <w:sz w:val="24"/>
        </w:rPr>
        <w:t>&amp; Non-cable MPVDs</w:t>
      </w:r>
    </w:p>
    <w:p w:rsidR="00D6261B" w:rsidRPr="00A807FE" w:rsidP="00D6261B" w14:paraId="1B2CF7AE" w14:textId="5CEE5222">
      <w:pPr>
        <w:suppressAutoHyphens/>
        <w:rPr>
          <w:sz w:val="24"/>
        </w:rPr>
      </w:pPr>
      <w:r w:rsidRPr="00A807FE">
        <w:rPr>
          <w:b/>
          <w:sz w:val="24"/>
        </w:rPr>
        <w:tab/>
      </w:r>
      <w:r w:rsidRPr="00A807FE">
        <w:rPr>
          <w:b/>
          <w:sz w:val="24"/>
        </w:rPr>
        <w:tab/>
      </w:r>
      <w:r w:rsidRPr="00A807FE">
        <w:rPr>
          <w:b/>
          <w:sz w:val="24"/>
        </w:rPr>
        <w:tab/>
      </w:r>
      <w:r w:rsidRPr="00A807FE">
        <w:rPr>
          <w:b/>
          <w:sz w:val="24"/>
        </w:rPr>
        <w:tab/>
      </w:r>
      <w:r w:rsidRPr="00A807FE">
        <w:rPr>
          <w:sz w:val="24"/>
        </w:rPr>
        <w:t xml:space="preserve">      (</w:t>
      </w:r>
      <w:r w:rsidR="00673F1A">
        <w:rPr>
          <w:sz w:val="24"/>
        </w:rPr>
        <w:t>1,600</w:t>
      </w:r>
      <w:r w:rsidR="00F57607">
        <w:rPr>
          <w:sz w:val="24"/>
        </w:rPr>
        <w:t xml:space="preserve"> </w:t>
      </w:r>
      <w:r w:rsidRPr="00A807FE">
        <w:rPr>
          <w:sz w:val="24"/>
        </w:rPr>
        <w:t xml:space="preserve"> cable </w:t>
      </w:r>
      <w:r w:rsidR="00673F1A">
        <w:rPr>
          <w:sz w:val="24"/>
        </w:rPr>
        <w:t>and</w:t>
      </w:r>
      <w:r w:rsidR="00BF2FD0">
        <w:rPr>
          <w:sz w:val="24"/>
        </w:rPr>
        <w:t xml:space="preserve"> </w:t>
      </w:r>
      <w:r w:rsidR="00673F1A">
        <w:rPr>
          <w:sz w:val="24"/>
        </w:rPr>
        <w:t>n</w:t>
      </w:r>
      <w:r w:rsidRPr="00A807FE">
        <w:rPr>
          <w:sz w:val="24"/>
        </w:rPr>
        <w:t xml:space="preserve">on-cable </w:t>
      </w:r>
      <w:r w:rsidR="00673F1A">
        <w:rPr>
          <w:sz w:val="24"/>
        </w:rPr>
        <w:t>systems</w:t>
      </w:r>
      <w:r w:rsidRPr="00A807FE">
        <w:rPr>
          <w:sz w:val="24"/>
        </w:rPr>
        <w:t>)</w:t>
      </w:r>
    </w:p>
    <w:p w:rsidR="00B44E07" w:rsidRPr="00A807FE" w:rsidP="00D6261B" w14:paraId="2726A102" w14:textId="77777777">
      <w:pPr>
        <w:suppressAutoHyphens/>
        <w:rPr>
          <w:sz w:val="24"/>
        </w:rPr>
      </w:pPr>
    </w:p>
    <w:p w:rsidR="00D6261B" w:rsidRPr="00A807FE" w:rsidP="00D6261B" w14:paraId="0FFB988E" w14:textId="3DD1C974">
      <w:pPr>
        <w:suppressAutoHyphens/>
        <w:rPr>
          <w:b/>
          <w:sz w:val="24"/>
        </w:rPr>
      </w:pPr>
      <w:r w:rsidRPr="00A807FE">
        <w:rPr>
          <w:b/>
          <w:sz w:val="24"/>
        </w:rPr>
        <w:t xml:space="preserve">Number of responses:  </w:t>
      </w:r>
      <w:r w:rsidR="00F813E4">
        <w:rPr>
          <w:b/>
          <w:sz w:val="24"/>
        </w:rPr>
        <w:t>1,600</w:t>
      </w:r>
      <w:r w:rsidR="00F1551B">
        <w:rPr>
          <w:b/>
          <w:sz w:val="24"/>
        </w:rPr>
        <w:t xml:space="preserve"> </w:t>
      </w:r>
      <w:r w:rsidRPr="00A807FE" w:rsidR="00B44E07">
        <w:rPr>
          <w:b/>
          <w:sz w:val="24"/>
        </w:rPr>
        <w:t xml:space="preserve"> FCC Form</w:t>
      </w:r>
      <w:r w:rsidR="00A807FE">
        <w:rPr>
          <w:b/>
          <w:sz w:val="24"/>
        </w:rPr>
        <w:t xml:space="preserve"> 320 Filings</w:t>
      </w:r>
      <w:r w:rsidRPr="00A807FE" w:rsidR="00B44E07">
        <w:rPr>
          <w:b/>
          <w:sz w:val="24"/>
        </w:rPr>
        <w:t xml:space="preserve"> </w:t>
      </w:r>
    </w:p>
    <w:p w:rsidR="00B44E07" w:rsidRPr="004147BD" w:rsidP="00B44E07" w14:paraId="4218365C" w14:textId="77777777">
      <w:pPr>
        <w:suppressAutoHyphens/>
        <w:rPr>
          <w:b/>
          <w:sz w:val="24"/>
          <w:highlight w:val="yellow"/>
        </w:rPr>
      </w:pPr>
    </w:p>
    <w:p w:rsidR="00B44E07" w:rsidRPr="00A807FE" w:rsidP="00D6261B" w14:paraId="35EA38CC" w14:textId="77777777">
      <w:pPr>
        <w:pStyle w:val="BodyText"/>
        <w:widowControl w:val="0"/>
      </w:pPr>
      <w:r w:rsidRPr="00A807FE">
        <w:t xml:space="preserve">Annual </w:t>
      </w:r>
      <w:r w:rsidRPr="00A807FE" w:rsidR="00D6261B">
        <w:t xml:space="preserve">"In-house </w:t>
      </w:r>
      <w:r w:rsidRPr="00A807FE">
        <w:t>C</w:t>
      </w:r>
      <w:r w:rsidRPr="00A807FE" w:rsidR="00D6261B">
        <w:t>ost":</w:t>
      </w:r>
    </w:p>
    <w:p w:rsidR="002B4FD0" w:rsidRPr="00A807FE" w:rsidP="00D6261B" w14:paraId="7591A79F" w14:textId="77777777">
      <w:pPr>
        <w:pStyle w:val="BodyText"/>
        <w:widowControl w:val="0"/>
      </w:pPr>
    </w:p>
    <w:p w:rsidR="00D6261B" w:rsidRPr="00A807FE" w:rsidP="00D6261B" w14:paraId="6FD883D5" w14:textId="77777777">
      <w:pPr>
        <w:pStyle w:val="BodyText"/>
        <w:widowControl w:val="0"/>
        <w:rPr>
          <w:b w:val="0"/>
        </w:rPr>
      </w:pPr>
      <w:r w:rsidRPr="00A807FE">
        <w:rPr>
          <w:b w:val="0"/>
        </w:rPr>
        <w:t xml:space="preserve">Station engineers and administrative staff will review and prepare FCC Forms 320 before submitting them to the Commission. </w:t>
      </w:r>
    </w:p>
    <w:p w:rsidR="002B4FD0" w:rsidRPr="004147BD" w:rsidP="00D6261B" w14:paraId="604672FF" w14:textId="77777777">
      <w:pPr>
        <w:pStyle w:val="BodyText"/>
        <w:widowControl w:val="0"/>
        <w:rPr>
          <w:b w:val="0"/>
          <w:highlight w:val="yellow"/>
        </w:rPr>
      </w:pPr>
    </w:p>
    <w:p w:rsidR="00D6261B" w:rsidRPr="00A807FE" w:rsidP="00D6261B" w14:paraId="09B67AC7" w14:textId="77777777">
      <w:pPr>
        <w:suppressAutoHyphens/>
        <w:rPr>
          <w:b/>
          <w:sz w:val="24"/>
        </w:rPr>
      </w:pPr>
      <w:r w:rsidRPr="00A807FE">
        <w:rPr>
          <w:sz w:val="24"/>
        </w:rPr>
        <w:t xml:space="preserve">     </w:t>
      </w:r>
      <w:r w:rsidRPr="00A807FE">
        <w:rPr>
          <w:sz w:val="24"/>
        </w:rPr>
        <w:tab/>
      </w:r>
      <w:r w:rsidRPr="00A807FE">
        <w:rPr>
          <w:sz w:val="24"/>
        </w:rPr>
        <w:tab/>
      </w:r>
      <w:r w:rsidRPr="00A807FE">
        <w:rPr>
          <w:sz w:val="24"/>
        </w:rPr>
        <w:tab/>
      </w:r>
      <w:r w:rsidRPr="00A807FE">
        <w:rPr>
          <w:b/>
          <w:sz w:val="24"/>
        </w:rPr>
        <w:t xml:space="preserve">Total hours            </w:t>
      </w:r>
      <w:r w:rsidRPr="00A807FE">
        <w:rPr>
          <w:b/>
          <w:sz w:val="24"/>
        </w:rPr>
        <w:tab/>
      </w:r>
      <w:r w:rsidRPr="00A807FE">
        <w:rPr>
          <w:b/>
          <w:sz w:val="24"/>
        </w:rPr>
        <w:tab/>
      </w:r>
      <w:r w:rsidRPr="00A807FE">
        <w:rPr>
          <w:b/>
          <w:sz w:val="24"/>
        </w:rPr>
        <w:tab/>
      </w:r>
      <w:r w:rsidRPr="00A807FE">
        <w:rPr>
          <w:b/>
          <w:sz w:val="24"/>
        </w:rPr>
        <w:tab/>
        <w:t>Cost per</w:t>
      </w:r>
    </w:p>
    <w:p w:rsidR="00D6261B" w:rsidRPr="002B4FD0" w:rsidP="00D6261B" w14:paraId="3890EB7A" w14:textId="77777777">
      <w:pPr>
        <w:suppressAutoHyphens/>
        <w:rPr>
          <w:b/>
          <w:sz w:val="24"/>
          <w:u w:val="single"/>
        </w:rPr>
      </w:pPr>
      <w:r w:rsidRPr="00A807FE">
        <w:rPr>
          <w:b/>
          <w:sz w:val="24"/>
        </w:rPr>
        <w:t xml:space="preserve">    </w:t>
      </w:r>
      <w:r w:rsidRPr="00A807FE">
        <w:rPr>
          <w:b/>
          <w:sz w:val="24"/>
        </w:rPr>
        <w:tab/>
      </w:r>
      <w:r w:rsidRPr="00A807FE">
        <w:rPr>
          <w:b/>
          <w:sz w:val="24"/>
        </w:rPr>
        <w:tab/>
      </w:r>
      <w:r w:rsidRPr="00A807FE">
        <w:rPr>
          <w:b/>
          <w:sz w:val="24"/>
        </w:rPr>
        <w:tab/>
        <w:t xml:space="preserve"> </w:t>
      </w:r>
      <w:r w:rsidRPr="00A807FE">
        <w:rPr>
          <w:b/>
          <w:sz w:val="24"/>
          <w:u w:val="single"/>
        </w:rPr>
        <w:t>Per Filing</w:t>
      </w:r>
      <w:r w:rsidRPr="00A807FE">
        <w:rPr>
          <w:b/>
          <w:sz w:val="24"/>
        </w:rPr>
        <w:t xml:space="preserve"> </w:t>
      </w:r>
      <w:r w:rsidRPr="00A807FE">
        <w:rPr>
          <w:b/>
          <w:sz w:val="24"/>
        </w:rPr>
        <w:tab/>
      </w:r>
      <w:r w:rsidRPr="00A807FE">
        <w:rPr>
          <w:b/>
          <w:sz w:val="24"/>
        </w:rPr>
        <w:tab/>
      </w:r>
      <w:r w:rsidRPr="00A807FE">
        <w:rPr>
          <w:b/>
          <w:sz w:val="24"/>
          <w:u w:val="single"/>
        </w:rPr>
        <w:t>Cost per hour</w:t>
      </w:r>
      <w:r w:rsidRPr="00A807FE">
        <w:rPr>
          <w:b/>
          <w:sz w:val="24"/>
        </w:rPr>
        <w:tab/>
      </w:r>
      <w:r w:rsidRPr="00A807FE">
        <w:rPr>
          <w:b/>
          <w:sz w:val="24"/>
        </w:rPr>
        <w:tab/>
      </w:r>
      <w:r w:rsidRPr="00A807FE">
        <w:rPr>
          <w:b/>
          <w:sz w:val="24"/>
          <w:u w:val="single"/>
        </w:rPr>
        <w:t>Filing</w:t>
      </w:r>
    </w:p>
    <w:p w:rsidR="00D6261B" w:rsidP="00D6261B" w14:paraId="2AA6703A" w14:textId="77777777">
      <w:pPr>
        <w:suppressAutoHyphens/>
        <w:rPr>
          <w:sz w:val="24"/>
        </w:rPr>
      </w:pPr>
    </w:p>
    <w:p w:rsidR="00D6261B" w:rsidP="00D6261B" w14:paraId="4E2C30CB" w14:textId="77777777">
      <w:pPr>
        <w:suppressAutoHyphens/>
        <w:rPr>
          <w:sz w:val="24"/>
        </w:rPr>
      </w:pPr>
      <w:r>
        <w:rPr>
          <w:sz w:val="24"/>
        </w:rPr>
        <w:t xml:space="preserve">Engineers    </w:t>
      </w:r>
      <w:r>
        <w:rPr>
          <w:sz w:val="24"/>
        </w:rPr>
        <w:tab/>
      </w:r>
      <w:r>
        <w:rPr>
          <w:sz w:val="24"/>
        </w:rPr>
        <w:tab/>
        <w:t xml:space="preserve">18 hours       </w:t>
      </w:r>
      <w:r>
        <w:rPr>
          <w:sz w:val="24"/>
        </w:rPr>
        <w:tab/>
        <w:t xml:space="preserve"> </w:t>
      </w:r>
      <w:r>
        <w:rPr>
          <w:sz w:val="24"/>
        </w:rPr>
        <w:tab/>
        <w:t>$4</w:t>
      </w:r>
      <w:r w:rsidR="0046206B">
        <w:rPr>
          <w:sz w:val="24"/>
        </w:rPr>
        <w:t>8.</w:t>
      </w:r>
      <w:r w:rsidR="005525B1">
        <w:rPr>
          <w:sz w:val="24"/>
        </w:rPr>
        <w:t>0</w:t>
      </w:r>
      <w:r w:rsidR="0046206B">
        <w:rPr>
          <w:sz w:val="24"/>
        </w:rPr>
        <w:t>8</w:t>
      </w:r>
      <w:r>
        <w:rPr>
          <w:sz w:val="24"/>
        </w:rPr>
        <w:t xml:space="preserve">           </w:t>
      </w:r>
      <w:r>
        <w:rPr>
          <w:sz w:val="24"/>
        </w:rPr>
        <w:tab/>
      </w:r>
      <w:r>
        <w:rPr>
          <w:sz w:val="24"/>
        </w:rPr>
        <w:tab/>
        <w:t xml:space="preserve">$ </w:t>
      </w:r>
      <w:r w:rsidR="0046206B">
        <w:rPr>
          <w:sz w:val="24"/>
        </w:rPr>
        <w:t>865</w:t>
      </w:r>
    </w:p>
    <w:p w:rsidR="00D6261B" w:rsidP="00D6261B" w14:paraId="1058BFC7" w14:textId="77777777">
      <w:pPr>
        <w:suppressAutoHyphens/>
        <w:rPr>
          <w:sz w:val="24"/>
        </w:rPr>
      </w:pPr>
      <w:r>
        <w:rPr>
          <w:sz w:val="24"/>
        </w:rPr>
        <w:t>Administrative</w:t>
      </w:r>
      <w:r w:rsidRPr="009241F5">
        <w:rPr>
          <w:sz w:val="24"/>
        </w:rPr>
        <w:tab/>
        <w:t xml:space="preserve"> </w:t>
      </w:r>
      <w:r w:rsidRPr="009241F5">
        <w:rPr>
          <w:sz w:val="24"/>
        </w:rPr>
        <w:tab/>
      </w:r>
      <w:r>
        <w:rPr>
          <w:sz w:val="24"/>
          <w:u w:val="single"/>
        </w:rPr>
        <w:t xml:space="preserve"> </w:t>
      </w:r>
      <w:r w:rsidR="002B4FD0">
        <w:rPr>
          <w:sz w:val="24"/>
          <w:u w:val="single"/>
        </w:rPr>
        <w:t xml:space="preserve"> </w:t>
      </w:r>
      <w:r>
        <w:rPr>
          <w:sz w:val="24"/>
          <w:u w:val="single"/>
        </w:rPr>
        <w:t>2 hours</w:t>
      </w:r>
      <w:r>
        <w:rPr>
          <w:sz w:val="24"/>
        </w:rPr>
        <w:t xml:space="preserve">      </w:t>
      </w:r>
      <w:r>
        <w:rPr>
          <w:sz w:val="24"/>
        </w:rPr>
        <w:tab/>
        <w:t xml:space="preserve"> </w:t>
      </w:r>
      <w:r>
        <w:rPr>
          <w:sz w:val="24"/>
        </w:rPr>
        <w:tab/>
        <w:t xml:space="preserve">$20.00         </w:t>
      </w:r>
      <w:r>
        <w:rPr>
          <w:sz w:val="24"/>
        </w:rPr>
        <w:tab/>
      </w:r>
      <w:r>
        <w:rPr>
          <w:sz w:val="24"/>
        </w:rPr>
        <w:tab/>
      </w:r>
      <w:r>
        <w:rPr>
          <w:sz w:val="24"/>
          <w:u w:val="single"/>
        </w:rPr>
        <w:t>$   40</w:t>
      </w:r>
    </w:p>
    <w:p w:rsidR="00D6261B" w:rsidP="00D6261B" w14:paraId="37C1FB94" w14:textId="77777777">
      <w:pPr>
        <w:suppressAutoHyphens/>
        <w:rPr>
          <w:sz w:val="24"/>
        </w:rPr>
      </w:pPr>
      <w:r>
        <w:rPr>
          <w:sz w:val="24"/>
        </w:rPr>
        <w:tab/>
      </w:r>
      <w:r>
        <w:rPr>
          <w:sz w:val="24"/>
        </w:rPr>
        <w:tab/>
      </w:r>
      <w:r>
        <w:rPr>
          <w:sz w:val="24"/>
        </w:rPr>
        <w:tab/>
        <w:t>20 h</w:t>
      </w:r>
      <w:r w:rsidR="0046206B">
        <w:rPr>
          <w:sz w:val="24"/>
        </w:rPr>
        <w:t xml:space="preserve">ours                   </w:t>
      </w:r>
      <w:r w:rsidR="0046206B">
        <w:rPr>
          <w:sz w:val="24"/>
        </w:rPr>
        <w:tab/>
      </w:r>
      <w:r w:rsidR="0046206B">
        <w:rPr>
          <w:sz w:val="24"/>
        </w:rPr>
        <w:tab/>
      </w:r>
      <w:r w:rsidR="0046206B">
        <w:rPr>
          <w:sz w:val="24"/>
        </w:rPr>
        <w:tab/>
      </w:r>
      <w:r w:rsidR="0046206B">
        <w:rPr>
          <w:sz w:val="24"/>
        </w:rPr>
        <w:tab/>
        <w:t>$ 905</w:t>
      </w:r>
    </w:p>
    <w:p w:rsidR="006A5F55" w:rsidP="00D6261B" w14:paraId="0673FEC1" w14:textId="77777777">
      <w:pPr>
        <w:suppressAutoHyphens/>
        <w:rPr>
          <w:sz w:val="24"/>
        </w:rPr>
      </w:pPr>
    </w:p>
    <w:p w:rsidR="006A5F55" w:rsidP="00D6261B" w14:paraId="5A91B941" w14:textId="237CCDCE">
      <w:pPr>
        <w:suppressAutoHyphens/>
        <w:rPr>
          <w:sz w:val="24"/>
        </w:rPr>
      </w:pPr>
      <w:r w:rsidRPr="00A807FE">
        <w:rPr>
          <w:b/>
          <w:sz w:val="24"/>
        </w:rPr>
        <w:t>Total Annual Burden Hours:</w:t>
      </w:r>
      <w:r w:rsidRPr="00A807FE">
        <w:rPr>
          <w:sz w:val="24"/>
        </w:rPr>
        <w:t xml:space="preserve"> </w:t>
      </w:r>
      <w:r>
        <w:rPr>
          <w:sz w:val="24"/>
        </w:rPr>
        <w:t>1,600</w:t>
      </w:r>
      <w:r w:rsidRPr="00A807FE">
        <w:rPr>
          <w:sz w:val="24"/>
        </w:rPr>
        <w:t xml:space="preserve"> FCC Form 320 Filings x 20 hours/filing = </w:t>
      </w:r>
      <w:r>
        <w:rPr>
          <w:b/>
          <w:sz w:val="24"/>
        </w:rPr>
        <w:t xml:space="preserve">32,000 </w:t>
      </w:r>
      <w:r w:rsidRPr="00A807FE">
        <w:rPr>
          <w:b/>
          <w:sz w:val="24"/>
        </w:rPr>
        <w:t xml:space="preserve"> hours</w:t>
      </w:r>
    </w:p>
    <w:p w:rsidR="002B4FD0" w:rsidP="00D6261B" w14:paraId="27DD1EC7" w14:textId="77777777">
      <w:pPr>
        <w:suppressAutoHyphens/>
        <w:rPr>
          <w:sz w:val="24"/>
        </w:rPr>
      </w:pPr>
    </w:p>
    <w:p w:rsidR="00D6261B" w:rsidRPr="00A807FE" w:rsidP="00D6261B" w14:paraId="68F2931B" w14:textId="53AFB2FE">
      <w:pPr>
        <w:suppressAutoHyphens/>
        <w:rPr>
          <w:b/>
          <w:sz w:val="24"/>
        </w:rPr>
      </w:pPr>
      <w:r w:rsidRPr="00A807FE">
        <w:rPr>
          <w:b/>
          <w:sz w:val="24"/>
        </w:rPr>
        <w:t xml:space="preserve">Total </w:t>
      </w:r>
      <w:r w:rsidRPr="00A807FE" w:rsidR="002B4FD0">
        <w:rPr>
          <w:b/>
          <w:sz w:val="24"/>
        </w:rPr>
        <w:t xml:space="preserve">Annual </w:t>
      </w:r>
      <w:r w:rsidRPr="00A807FE" w:rsidR="00A12BBA">
        <w:rPr>
          <w:b/>
          <w:sz w:val="24"/>
        </w:rPr>
        <w:t>“</w:t>
      </w:r>
      <w:r w:rsidRPr="00A807FE" w:rsidR="002B4FD0">
        <w:rPr>
          <w:b/>
          <w:sz w:val="24"/>
        </w:rPr>
        <w:t>I</w:t>
      </w:r>
      <w:r w:rsidRPr="00A807FE" w:rsidR="00A12BBA">
        <w:rPr>
          <w:b/>
          <w:sz w:val="24"/>
        </w:rPr>
        <w:t>n-</w:t>
      </w:r>
      <w:r w:rsidRPr="00A807FE" w:rsidR="002B4FD0">
        <w:rPr>
          <w:b/>
          <w:sz w:val="24"/>
        </w:rPr>
        <w:t>H</w:t>
      </w:r>
      <w:r w:rsidRPr="00A807FE" w:rsidR="00A12BBA">
        <w:rPr>
          <w:b/>
          <w:sz w:val="24"/>
        </w:rPr>
        <w:t>ouse</w:t>
      </w:r>
      <w:r w:rsidRPr="00A807FE" w:rsidR="002B4FD0">
        <w:rPr>
          <w:b/>
          <w:sz w:val="24"/>
        </w:rPr>
        <w:t xml:space="preserve"> C</w:t>
      </w:r>
      <w:r w:rsidRPr="00A807FE">
        <w:rPr>
          <w:b/>
          <w:sz w:val="24"/>
        </w:rPr>
        <w:t>ost</w:t>
      </w:r>
      <w:r w:rsidRPr="00A807FE" w:rsidR="003E6C03">
        <w:rPr>
          <w:b/>
          <w:sz w:val="24"/>
        </w:rPr>
        <w:t>” =</w:t>
      </w:r>
      <w:r w:rsidRPr="00A807FE">
        <w:rPr>
          <w:b/>
          <w:sz w:val="24"/>
        </w:rPr>
        <w:t xml:space="preserve"> </w:t>
      </w:r>
      <w:r w:rsidR="000705B9">
        <w:rPr>
          <w:sz w:val="24"/>
        </w:rPr>
        <w:t>1,600</w:t>
      </w:r>
      <w:r w:rsidR="00BF2FD0">
        <w:rPr>
          <w:sz w:val="24"/>
        </w:rPr>
        <w:t xml:space="preserve"> </w:t>
      </w:r>
      <w:r w:rsidRPr="00A807FE">
        <w:rPr>
          <w:sz w:val="24"/>
        </w:rPr>
        <w:t xml:space="preserve"> </w:t>
      </w:r>
      <w:r w:rsidRPr="00A807FE" w:rsidR="002B4FD0">
        <w:rPr>
          <w:sz w:val="24"/>
        </w:rPr>
        <w:t>FCC Form 320 F</w:t>
      </w:r>
      <w:r w:rsidRPr="00A807FE">
        <w:rPr>
          <w:sz w:val="24"/>
        </w:rPr>
        <w:t>ilings x $</w:t>
      </w:r>
      <w:r w:rsidR="0046206B">
        <w:rPr>
          <w:sz w:val="24"/>
        </w:rPr>
        <w:t>905</w:t>
      </w:r>
      <w:r w:rsidR="00A807FE">
        <w:rPr>
          <w:sz w:val="24"/>
        </w:rPr>
        <w:t>/filing</w:t>
      </w:r>
      <w:r w:rsidRPr="00A807FE">
        <w:rPr>
          <w:b/>
          <w:sz w:val="24"/>
        </w:rPr>
        <w:t xml:space="preserve"> = $</w:t>
      </w:r>
      <w:r w:rsidR="001C1AD6">
        <w:rPr>
          <w:b/>
          <w:sz w:val="24"/>
        </w:rPr>
        <w:t>1,448,000</w:t>
      </w:r>
      <w:r w:rsidR="00F1551B">
        <w:rPr>
          <w:b/>
          <w:sz w:val="24"/>
        </w:rPr>
        <w:t xml:space="preserve"> </w:t>
      </w:r>
      <w:r w:rsidRPr="00A807FE">
        <w:rPr>
          <w:sz w:val="24"/>
        </w:rPr>
        <w:t xml:space="preserve"> </w:t>
      </w:r>
    </w:p>
    <w:p w:rsidR="002B4FD0" w:rsidP="002B4FD0" w14:paraId="42943A41" w14:textId="77777777">
      <w:pPr>
        <w:suppressAutoHyphens/>
        <w:rPr>
          <w:b/>
          <w:sz w:val="24"/>
        </w:rPr>
      </w:pPr>
    </w:p>
    <w:p w:rsidR="00D6261B" w:rsidRPr="00F4306A" w14:paraId="4B8B9C44" w14:textId="77777777">
      <w:pPr>
        <w:suppressAutoHyphens/>
        <w:jc w:val="both"/>
        <w:rPr>
          <w:spacing w:val="-3"/>
          <w:sz w:val="24"/>
          <w:szCs w:val="24"/>
        </w:rPr>
      </w:pPr>
      <w:r w:rsidRPr="002B4FD0">
        <w:rPr>
          <w:b/>
          <w:spacing w:val="-3"/>
          <w:sz w:val="24"/>
          <w:szCs w:val="24"/>
        </w:rPr>
        <w:t>13.</w:t>
      </w:r>
      <w:r w:rsidRPr="00F4306A">
        <w:rPr>
          <w:spacing w:val="-3"/>
          <w:sz w:val="24"/>
          <w:szCs w:val="24"/>
        </w:rPr>
        <w:t xml:space="preserve">  </w:t>
      </w:r>
      <w:r w:rsidRPr="00F4306A">
        <w:rPr>
          <w:b/>
          <w:spacing w:val="-3"/>
          <w:sz w:val="24"/>
          <w:szCs w:val="24"/>
        </w:rPr>
        <w:t>Annual Cost Burden</w:t>
      </w:r>
      <w:r w:rsidRPr="002B4FD0">
        <w:rPr>
          <w:b/>
          <w:spacing w:val="-3"/>
          <w:sz w:val="24"/>
          <w:szCs w:val="24"/>
        </w:rPr>
        <w:t>:</w:t>
      </w:r>
      <w:r w:rsidRPr="00F4306A">
        <w:rPr>
          <w:spacing w:val="-3"/>
          <w:sz w:val="24"/>
          <w:szCs w:val="24"/>
        </w:rPr>
        <w:t xml:space="preserve"> </w:t>
      </w:r>
    </w:p>
    <w:p w:rsidR="00D6261B" w:rsidRPr="00CC7ED2" w14:paraId="45F6AF93" w14:textId="77777777">
      <w:pPr>
        <w:suppressAutoHyphens/>
        <w:jc w:val="both"/>
        <w:rPr>
          <w:spacing w:val="-3"/>
          <w:szCs w:val="24"/>
        </w:rPr>
      </w:pPr>
    </w:p>
    <w:p w:rsidR="00D6261B" w:rsidP="00D6261B" w14:paraId="23BA7033" w14:textId="77777777">
      <w:pPr>
        <w:pStyle w:val="BodyText2"/>
      </w:pPr>
      <w:r>
        <w:rPr>
          <w:b/>
        </w:rPr>
        <w:t xml:space="preserve">a.  Total Annualized Capital or Start-up Costs: </w:t>
      </w:r>
      <w:r>
        <w:t xml:space="preserve">None. </w:t>
      </w:r>
    </w:p>
    <w:p w:rsidR="00D6261B" w:rsidP="00D6261B" w14:paraId="426F072E" w14:textId="77777777">
      <w:pPr>
        <w:suppressAutoHyphens/>
        <w:rPr>
          <w:sz w:val="24"/>
        </w:rPr>
      </w:pPr>
    </w:p>
    <w:p w:rsidR="00D6261B" w:rsidP="00D6261B" w14:paraId="38734175" w14:textId="77777777">
      <w:pPr>
        <w:suppressAutoHyphens/>
        <w:rPr>
          <w:sz w:val="24"/>
        </w:rPr>
      </w:pPr>
      <w:r>
        <w:rPr>
          <w:b/>
          <w:sz w:val="24"/>
        </w:rPr>
        <w:t>b.</w:t>
      </w:r>
      <w:r>
        <w:t xml:space="preserve">  </w:t>
      </w:r>
      <w:r>
        <w:rPr>
          <w:b/>
          <w:sz w:val="24"/>
        </w:rPr>
        <w:t xml:space="preserve">Total </w:t>
      </w:r>
      <w:r w:rsidR="002B4FD0">
        <w:rPr>
          <w:b/>
          <w:sz w:val="24"/>
        </w:rPr>
        <w:t>O</w:t>
      </w:r>
      <w:r>
        <w:rPr>
          <w:b/>
          <w:sz w:val="24"/>
        </w:rPr>
        <w:t xml:space="preserve">peration and </w:t>
      </w:r>
      <w:r w:rsidR="002B4FD0">
        <w:rPr>
          <w:b/>
          <w:sz w:val="24"/>
        </w:rPr>
        <w:t>M</w:t>
      </w:r>
      <w:r>
        <w:rPr>
          <w:b/>
          <w:sz w:val="24"/>
        </w:rPr>
        <w:t xml:space="preserve">aintenance </w:t>
      </w:r>
      <w:r w:rsidR="002B4FD0">
        <w:rPr>
          <w:b/>
          <w:sz w:val="24"/>
        </w:rPr>
        <w:t>C</w:t>
      </w:r>
      <w:r>
        <w:rPr>
          <w:b/>
          <w:sz w:val="24"/>
        </w:rPr>
        <w:t xml:space="preserve">osts: </w:t>
      </w:r>
      <w:r>
        <w:rPr>
          <w:sz w:val="24"/>
        </w:rPr>
        <w:t xml:space="preserve">None. </w:t>
      </w:r>
    </w:p>
    <w:p w:rsidR="00D6261B" w:rsidP="00D6261B" w14:paraId="38A305DD" w14:textId="77777777">
      <w:pPr>
        <w:suppressAutoHyphens/>
        <w:rPr>
          <w:sz w:val="24"/>
        </w:rPr>
      </w:pPr>
    </w:p>
    <w:p w:rsidR="002B4FD0" w:rsidRPr="002B4FD0" w:rsidP="00D6261B" w14:paraId="6124B963" w14:textId="77777777">
      <w:pPr>
        <w:suppressAutoHyphens/>
        <w:rPr>
          <w:b/>
          <w:sz w:val="24"/>
        </w:rPr>
      </w:pPr>
      <w:r w:rsidRPr="00A807FE">
        <w:rPr>
          <w:b/>
          <w:sz w:val="24"/>
        </w:rPr>
        <w:t xml:space="preserve">c.  Total Annualized Costs:  </w:t>
      </w:r>
      <w:r w:rsidRPr="00A807FE">
        <w:rPr>
          <w:sz w:val="24"/>
        </w:rPr>
        <w:t>None.</w:t>
      </w:r>
    </w:p>
    <w:p w:rsidR="002B4FD0" w:rsidP="00D6261B" w14:paraId="58E8FD74" w14:textId="77777777">
      <w:pPr>
        <w:suppressAutoHyphens/>
        <w:rPr>
          <w:sz w:val="24"/>
        </w:rPr>
      </w:pPr>
    </w:p>
    <w:p w:rsidR="00D6261B" w:rsidP="00D6261B" w14:paraId="7D5039F5" w14:textId="77777777">
      <w:pPr>
        <w:suppressAutoHyphens/>
        <w:rPr>
          <w:sz w:val="24"/>
        </w:rPr>
      </w:pPr>
      <w:r>
        <w:rPr>
          <w:b/>
          <w:sz w:val="24"/>
        </w:rPr>
        <w:t xml:space="preserve">14.  </w:t>
      </w:r>
      <w:r w:rsidR="00645BD5">
        <w:rPr>
          <w:b/>
          <w:sz w:val="24"/>
        </w:rPr>
        <w:t>C</w:t>
      </w:r>
      <w:r>
        <w:rPr>
          <w:b/>
          <w:sz w:val="24"/>
        </w:rPr>
        <w:t xml:space="preserve">osts to the </w:t>
      </w:r>
      <w:r w:rsidR="00645BD5">
        <w:rPr>
          <w:b/>
          <w:sz w:val="24"/>
        </w:rPr>
        <w:t>F</w:t>
      </w:r>
      <w:r>
        <w:rPr>
          <w:b/>
          <w:sz w:val="24"/>
        </w:rPr>
        <w:t xml:space="preserve">ederal </w:t>
      </w:r>
      <w:r w:rsidR="00645BD5">
        <w:rPr>
          <w:b/>
          <w:sz w:val="24"/>
        </w:rPr>
        <w:t>G</w:t>
      </w:r>
      <w:r>
        <w:rPr>
          <w:b/>
          <w:sz w:val="24"/>
        </w:rPr>
        <w:t xml:space="preserve">overnment.  </w:t>
      </w:r>
    </w:p>
    <w:p w:rsidR="00D6261B" w:rsidP="00D6261B" w14:paraId="09CC5EA6" w14:textId="77777777">
      <w:pPr>
        <w:suppressAutoHyphens/>
        <w:rPr>
          <w:sz w:val="24"/>
        </w:rPr>
      </w:pPr>
    </w:p>
    <w:p w:rsidR="00D6261B" w:rsidP="00D6261B" w14:paraId="0057B67D" w14:textId="77777777">
      <w:pPr>
        <w:suppressAutoHyphens/>
        <w:rPr>
          <w:sz w:val="24"/>
        </w:rPr>
      </w:pPr>
      <w:r>
        <w:rPr>
          <w:sz w:val="24"/>
        </w:rPr>
        <w:t xml:space="preserve">FCC Form 320s estimated to be filed: </w:t>
      </w:r>
      <w:r w:rsidR="00F1551B">
        <w:rPr>
          <w:sz w:val="24"/>
        </w:rPr>
        <w:t xml:space="preserve">2,423 </w:t>
      </w:r>
      <w:r>
        <w:rPr>
          <w:sz w:val="24"/>
        </w:rPr>
        <w:t xml:space="preserve">.  Average processing time per filing:  </w:t>
      </w:r>
      <w:r w:rsidRPr="00277DF5">
        <w:rPr>
          <w:sz w:val="24"/>
        </w:rPr>
        <w:t>0.</w:t>
      </w:r>
      <w:r w:rsidRPr="00277DF5" w:rsidR="00277DF5">
        <w:rPr>
          <w:sz w:val="24"/>
        </w:rPr>
        <w:t>200</w:t>
      </w:r>
      <w:r w:rsidRPr="00277DF5">
        <w:rPr>
          <w:sz w:val="24"/>
        </w:rPr>
        <w:t xml:space="preserve"> hours.</w:t>
      </w:r>
    </w:p>
    <w:p w:rsidR="00D6261B" w:rsidP="00D6261B" w14:paraId="40008505" w14:textId="77777777">
      <w:pPr>
        <w:suppressAutoHyphens/>
        <w:rPr>
          <w:sz w:val="24"/>
        </w:rPr>
      </w:pPr>
    </w:p>
    <w:p w:rsidR="00A12BBA" w:rsidP="00D6261B" w14:paraId="6EFBDFB7" w14:textId="11259D23">
      <w:pPr>
        <w:suppressAutoHyphens/>
        <w:rPr>
          <w:sz w:val="24"/>
          <w:szCs w:val="24"/>
        </w:rPr>
      </w:pPr>
      <w:r>
        <w:rPr>
          <w:sz w:val="24"/>
          <w:szCs w:val="24"/>
        </w:rPr>
        <w:t>Engineer</w:t>
      </w:r>
      <w:r w:rsidRPr="00A12BBA">
        <w:rPr>
          <w:sz w:val="24"/>
          <w:szCs w:val="24"/>
        </w:rPr>
        <w:t xml:space="preserve"> review: </w:t>
      </w:r>
      <w:r w:rsidR="000455F6">
        <w:rPr>
          <w:sz w:val="24"/>
          <w:szCs w:val="24"/>
        </w:rPr>
        <w:t>$</w:t>
      </w:r>
      <w:r w:rsidR="00162D04">
        <w:rPr>
          <w:sz w:val="24"/>
          <w:szCs w:val="24"/>
        </w:rPr>
        <w:t>65.48</w:t>
      </w:r>
      <w:r>
        <w:rPr>
          <w:sz w:val="24"/>
          <w:szCs w:val="24"/>
        </w:rPr>
        <w:t xml:space="preserve"> per hour (GS-13, step 5)</w:t>
      </w:r>
    </w:p>
    <w:p w:rsidR="002B4FD0" w:rsidP="00A12BBA" w14:paraId="4FC261F8" w14:textId="77777777">
      <w:pPr>
        <w:suppressAutoHyphens/>
        <w:rPr>
          <w:sz w:val="24"/>
          <w:szCs w:val="24"/>
        </w:rPr>
      </w:pPr>
    </w:p>
    <w:p w:rsidR="00A12BBA" w:rsidP="00A12BBA" w14:paraId="6F3555E9" w14:textId="14937537">
      <w:pPr>
        <w:suppressAutoHyphens/>
        <w:rPr>
          <w:sz w:val="24"/>
          <w:szCs w:val="24"/>
        </w:rPr>
      </w:pPr>
      <w:r>
        <w:rPr>
          <w:sz w:val="24"/>
          <w:szCs w:val="24"/>
        </w:rPr>
        <w:t>Paraprofessional review: $</w:t>
      </w:r>
      <w:r w:rsidR="00162D04">
        <w:rPr>
          <w:sz w:val="24"/>
          <w:szCs w:val="24"/>
        </w:rPr>
        <w:t xml:space="preserve">45.94 </w:t>
      </w:r>
      <w:r>
        <w:rPr>
          <w:sz w:val="24"/>
          <w:szCs w:val="24"/>
        </w:rPr>
        <w:t>(GS-11, step 5)</w:t>
      </w:r>
    </w:p>
    <w:p w:rsidR="00A12BBA" w:rsidP="00D6261B" w14:paraId="6C2DBE48" w14:textId="05F00D7D">
      <w:pPr>
        <w:suppressAutoHyphens/>
        <w:rPr>
          <w:sz w:val="24"/>
          <w:szCs w:val="24"/>
          <w:u w:val="single"/>
        </w:rPr>
      </w:pPr>
      <w:r w:rsidRPr="00A12BBA">
        <w:rPr>
          <w:sz w:val="24"/>
          <w:szCs w:val="24"/>
          <w:u w:val="single"/>
        </w:rPr>
        <w:t xml:space="preserve"> </w:t>
      </w:r>
    </w:p>
    <w:p w:rsidR="00CC4E6C" w:rsidP="00D6261B" w14:paraId="33FA7551" w14:textId="77777777">
      <w:pPr>
        <w:suppressAutoHyphens/>
        <w:rPr>
          <w:sz w:val="24"/>
        </w:rPr>
      </w:pPr>
    </w:p>
    <w:p w:rsidR="00D6261B" w:rsidRPr="00CE0706" w:rsidP="00D6261B" w14:paraId="2A7367A3" w14:textId="77777777">
      <w:pPr>
        <w:suppressAutoHyphens/>
        <w:rPr>
          <w:b/>
          <w:sz w:val="24"/>
        </w:rPr>
      </w:pPr>
      <w:r w:rsidRPr="00277DF5">
        <w:rPr>
          <w:sz w:val="24"/>
        </w:rPr>
        <w:t xml:space="preserve">     </w:t>
      </w:r>
      <w:r w:rsidRPr="00277DF5">
        <w:rPr>
          <w:sz w:val="24"/>
        </w:rPr>
        <w:tab/>
      </w:r>
      <w:r w:rsidRPr="00277DF5">
        <w:rPr>
          <w:sz w:val="24"/>
        </w:rPr>
        <w:tab/>
      </w:r>
      <w:r w:rsidRPr="00277DF5">
        <w:rPr>
          <w:sz w:val="24"/>
        </w:rPr>
        <w:tab/>
      </w:r>
      <w:r w:rsidRPr="00CE0706">
        <w:rPr>
          <w:b/>
          <w:sz w:val="24"/>
        </w:rPr>
        <w:t xml:space="preserve">Total hours            </w:t>
      </w:r>
      <w:r w:rsidRPr="00CE0706">
        <w:rPr>
          <w:b/>
          <w:sz w:val="24"/>
        </w:rPr>
        <w:tab/>
      </w:r>
      <w:r w:rsidRPr="00CE0706">
        <w:rPr>
          <w:b/>
          <w:sz w:val="24"/>
        </w:rPr>
        <w:tab/>
      </w:r>
      <w:r w:rsidRPr="00CE0706">
        <w:rPr>
          <w:b/>
          <w:sz w:val="24"/>
        </w:rPr>
        <w:tab/>
      </w:r>
      <w:r w:rsidRPr="00CE0706">
        <w:rPr>
          <w:b/>
          <w:sz w:val="24"/>
        </w:rPr>
        <w:tab/>
        <w:t>Cost per</w:t>
      </w:r>
    </w:p>
    <w:p w:rsidR="00D6261B" w:rsidRPr="00CE0706" w:rsidP="00D6261B" w14:paraId="285BAF6F" w14:textId="77777777">
      <w:pPr>
        <w:suppressAutoHyphens/>
        <w:rPr>
          <w:b/>
          <w:sz w:val="24"/>
        </w:rPr>
      </w:pPr>
      <w:r w:rsidRPr="00CE0706">
        <w:rPr>
          <w:b/>
          <w:sz w:val="24"/>
        </w:rPr>
        <w:t xml:space="preserve">    </w:t>
      </w:r>
      <w:r w:rsidRPr="00CE0706">
        <w:rPr>
          <w:b/>
          <w:sz w:val="24"/>
        </w:rPr>
        <w:tab/>
      </w:r>
      <w:r w:rsidRPr="00CE0706">
        <w:rPr>
          <w:b/>
          <w:sz w:val="24"/>
        </w:rPr>
        <w:tab/>
      </w:r>
      <w:r w:rsidRPr="00CE0706">
        <w:rPr>
          <w:b/>
          <w:sz w:val="24"/>
        </w:rPr>
        <w:tab/>
      </w:r>
      <w:r w:rsidRPr="00CE0706">
        <w:rPr>
          <w:b/>
          <w:sz w:val="24"/>
          <w:u w:val="single"/>
        </w:rPr>
        <w:t xml:space="preserve">Per Application </w:t>
      </w:r>
      <w:r w:rsidRPr="00CE0706">
        <w:rPr>
          <w:b/>
          <w:sz w:val="24"/>
        </w:rPr>
        <w:t xml:space="preserve">  </w:t>
      </w:r>
      <w:r w:rsidRPr="00CE0706">
        <w:rPr>
          <w:b/>
          <w:sz w:val="24"/>
        </w:rPr>
        <w:tab/>
      </w:r>
      <w:r w:rsidRPr="00CE0706">
        <w:rPr>
          <w:b/>
          <w:sz w:val="24"/>
          <w:u w:val="single"/>
        </w:rPr>
        <w:t>Cost per hour</w:t>
      </w:r>
      <w:r w:rsidRPr="00CE0706">
        <w:rPr>
          <w:b/>
          <w:sz w:val="24"/>
        </w:rPr>
        <w:tab/>
      </w:r>
      <w:r w:rsidRPr="00CE0706">
        <w:rPr>
          <w:b/>
          <w:sz w:val="24"/>
        </w:rPr>
        <w:tab/>
      </w:r>
      <w:r w:rsidRPr="00CE0706">
        <w:rPr>
          <w:b/>
          <w:sz w:val="24"/>
          <w:u w:val="single"/>
        </w:rPr>
        <w:t>Application</w:t>
      </w:r>
    </w:p>
    <w:p w:rsidR="00D6261B" w:rsidRPr="00277DF5" w:rsidP="00D6261B" w14:paraId="6065F948" w14:textId="77777777">
      <w:pPr>
        <w:suppressAutoHyphens/>
        <w:rPr>
          <w:sz w:val="24"/>
        </w:rPr>
      </w:pPr>
    </w:p>
    <w:p w:rsidR="00D6261B" w:rsidRPr="00277DF5" w:rsidP="00D6261B" w14:paraId="431935B1" w14:textId="669E4899">
      <w:pPr>
        <w:suppressAutoHyphens/>
        <w:rPr>
          <w:sz w:val="24"/>
        </w:rPr>
      </w:pPr>
      <w:r w:rsidRPr="00277DF5">
        <w:rPr>
          <w:sz w:val="24"/>
        </w:rPr>
        <w:t xml:space="preserve">Engineers    </w:t>
      </w:r>
      <w:r w:rsidRPr="00277DF5">
        <w:rPr>
          <w:sz w:val="24"/>
        </w:rPr>
        <w:tab/>
      </w:r>
      <w:r w:rsidRPr="00277DF5">
        <w:rPr>
          <w:sz w:val="24"/>
        </w:rPr>
        <w:tab/>
        <w:t>.</w:t>
      </w:r>
      <w:r w:rsidR="00277DF5">
        <w:rPr>
          <w:sz w:val="24"/>
        </w:rPr>
        <w:t>080</w:t>
      </w:r>
      <w:r w:rsidRPr="00277DF5">
        <w:rPr>
          <w:sz w:val="24"/>
        </w:rPr>
        <w:t xml:space="preserve"> </w:t>
      </w:r>
      <w:r w:rsidRPr="00277DF5" w:rsidR="00A12BBA">
        <w:rPr>
          <w:sz w:val="24"/>
        </w:rPr>
        <w:t xml:space="preserve">hours     </w:t>
      </w:r>
      <w:r w:rsidR="00A12BBA">
        <w:rPr>
          <w:sz w:val="24"/>
        </w:rPr>
        <w:t>x</w:t>
      </w:r>
      <w:r w:rsidR="006B1172">
        <w:rPr>
          <w:sz w:val="24"/>
        </w:rPr>
        <w:tab/>
      </w:r>
      <w:r w:rsidR="006B1172">
        <w:rPr>
          <w:sz w:val="24"/>
        </w:rPr>
        <w:tab/>
        <w:t>$</w:t>
      </w:r>
      <w:r w:rsidR="00162D04">
        <w:rPr>
          <w:sz w:val="24"/>
        </w:rPr>
        <w:t>65.48</w:t>
      </w:r>
      <w:r w:rsidR="00162D04">
        <w:rPr>
          <w:sz w:val="24"/>
        </w:rPr>
        <w:tab/>
      </w:r>
      <w:r w:rsidRPr="00277DF5">
        <w:rPr>
          <w:sz w:val="24"/>
        </w:rPr>
        <w:t xml:space="preserve">         </w:t>
      </w:r>
      <w:r w:rsidR="00A12BBA">
        <w:rPr>
          <w:sz w:val="24"/>
        </w:rPr>
        <w:t>=</w:t>
      </w:r>
      <w:r w:rsidR="007A2800">
        <w:rPr>
          <w:sz w:val="24"/>
        </w:rPr>
        <w:t xml:space="preserve"> </w:t>
      </w:r>
      <w:r w:rsidR="007A2800">
        <w:rPr>
          <w:sz w:val="24"/>
        </w:rPr>
        <w:tab/>
        <w:t>$</w:t>
      </w:r>
      <w:r w:rsidR="00162D04">
        <w:rPr>
          <w:sz w:val="24"/>
        </w:rPr>
        <w:t>5.24</w:t>
      </w:r>
    </w:p>
    <w:p w:rsidR="00D6261B" w:rsidRPr="00277DF5" w:rsidP="00D6261B" w14:paraId="392DAEC7" w14:textId="263767C9">
      <w:pPr>
        <w:suppressAutoHyphens/>
        <w:rPr>
          <w:sz w:val="24"/>
        </w:rPr>
      </w:pPr>
      <w:r w:rsidRPr="00277DF5">
        <w:rPr>
          <w:sz w:val="24"/>
        </w:rPr>
        <w:t xml:space="preserve">Paraprofessionals   </w:t>
      </w:r>
      <w:r w:rsidRPr="00277DF5">
        <w:rPr>
          <w:sz w:val="24"/>
        </w:rPr>
        <w:tab/>
      </w:r>
      <w:r w:rsidRPr="00277DF5">
        <w:rPr>
          <w:sz w:val="24"/>
          <w:u w:val="single"/>
        </w:rPr>
        <w:t>.1</w:t>
      </w:r>
      <w:r w:rsidR="00277DF5">
        <w:rPr>
          <w:sz w:val="24"/>
          <w:u w:val="single"/>
        </w:rPr>
        <w:t>20</w:t>
      </w:r>
      <w:r w:rsidRPr="00277DF5">
        <w:rPr>
          <w:sz w:val="24"/>
          <w:u w:val="single"/>
        </w:rPr>
        <w:t xml:space="preserve"> hours</w:t>
      </w:r>
      <w:r w:rsidRPr="00277DF5">
        <w:rPr>
          <w:sz w:val="24"/>
        </w:rPr>
        <w:t xml:space="preserve">     </w:t>
      </w:r>
      <w:r w:rsidR="00A12BBA">
        <w:rPr>
          <w:sz w:val="24"/>
        </w:rPr>
        <w:t>x</w:t>
      </w:r>
      <w:r w:rsidRPr="00277DF5">
        <w:rPr>
          <w:sz w:val="24"/>
        </w:rPr>
        <w:tab/>
      </w:r>
      <w:r w:rsidRPr="00277DF5">
        <w:rPr>
          <w:sz w:val="24"/>
        </w:rPr>
        <w:tab/>
        <w:t>$</w:t>
      </w:r>
      <w:r w:rsidR="00162D04">
        <w:rPr>
          <w:sz w:val="24"/>
        </w:rPr>
        <w:t>45.94</w:t>
      </w:r>
      <w:r w:rsidRPr="00277DF5" w:rsidR="00A12BBA">
        <w:rPr>
          <w:sz w:val="24"/>
        </w:rPr>
        <w:t xml:space="preserve">        </w:t>
      </w:r>
      <w:r w:rsidR="00A12BBA">
        <w:rPr>
          <w:sz w:val="24"/>
        </w:rPr>
        <w:t xml:space="preserve"> =</w:t>
      </w:r>
      <w:r w:rsidRPr="00277DF5" w:rsidR="00A12BBA">
        <w:rPr>
          <w:sz w:val="24"/>
        </w:rPr>
        <w:t xml:space="preserve"> </w:t>
      </w:r>
      <w:r w:rsidRPr="00277DF5">
        <w:rPr>
          <w:sz w:val="24"/>
        </w:rPr>
        <w:tab/>
        <w:t xml:space="preserve">   </w:t>
      </w:r>
      <w:r w:rsidRPr="00277DF5">
        <w:rPr>
          <w:sz w:val="24"/>
        </w:rPr>
        <w:tab/>
        <w:t xml:space="preserve"> </w:t>
      </w:r>
      <w:r w:rsidRPr="00277DF5">
        <w:rPr>
          <w:sz w:val="24"/>
          <w:u w:val="single"/>
        </w:rPr>
        <w:t xml:space="preserve"> </w:t>
      </w:r>
      <w:r w:rsidR="00162D04">
        <w:rPr>
          <w:sz w:val="24"/>
          <w:u w:val="single"/>
        </w:rPr>
        <w:t>5.51</w:t>
      </w:r>
    </w:p>
    <w:p w:rsidR="00D6261B" w:rsidRPr="00277DF5" w:rsidP="00D6261B" w14:paraId="2896DC37" w14:textId="3ACA5E58">
      <w:pPr>
        <w:suppressAutoHyphens/>
        <w:rPr>
          <w:sz w:val="24"/>
        </w:rPr>
      </w:pPr>
      <w:r w:rsidRPr="00277DF5">
        <w:rPr>
          <w:sz w:val="24"/>
        </w:rPr>
        <w:tab/>
      </w:r>
      <w:r w:rsidRPr="00277DF5">
        <w:rPr>
          <w:sz w:val="24"/>
        </w:rPr>
        <w:tab/>
      </w:r>
      <w:r w:rsidRPr="00277DF5">
        <w:rPr>
          <w:sz w:val="24"/>
        </w:rPr>
        <w:tab/>
        <w:t>.</w:t>
      </w:r>
      <w:r w:rsidR="00277DF5">
        <w:rPr>
          <w:sz w:val="24"/>
        </w:rPr>
        <w:t xml:space="preserve">200 </w:t>
      </w:r>
      <w:r w:rsidRPr="00277DF5">
        <w:rPr>
          <w:sz w:val="24"/>
        </w:rPr>
        <w:t xml:space="preserve">hours                   </w:t>
      </w:r>
      <w:r w:rsidRPr="00277DF5">
        <w:rPr>
          <w:sz w:val="24"/>
        </w:rPr>
        <w:tab/>
      </w:r>
      <w:r w:rsidRPr="00277DF5">
        <w:rPr>
          <w:sz w:val="24"/>
        </w:rPr>
        <w:tab/>
      </w:r>
      <w:r w:rsidRPr="00277DF5">
        <w:rPr>
          <w:sz w:val="24"/>
        </w:rPr>
        <w:tab/>
      </w:r>
      <w:r w:rsidR="00162D04">
        <w:rPr>
          <w:sz w:val="24"/>
        </w:rPr>
        <w:t xml:space="preserve">          </w:t>
      </w:r>
      <w:r w:rsidRPr="00277DF5">
        <w:rPr>
          <w:sz w:val="24"/>
        </w:rPr>
        <w:t>$</w:t>
      </w:r>
      <w:r w:rsidR="00162D04">
        <w:rPr>
          <w:sz w:val="24"/>
        </w:rPr>
        <w:t>10.75</w:t>
      </w:r>
    </w:p>
    <w:p w:rsidR="00D6261B" w:rsidP="00D6261B" w14:paraId="3E8AEE3E" w14:textId="77777777">
      <w:pPr>
        <w:suppressAutoHyphens/>
        <w:rPr>
          <w:sz w:val="24"/>
        </w:rPr>
      </w:pPr>
    </w:p>
    <w:p w:rsidR="00CE0706" w:rsidP="00D6261B" w14:paraId="72E28634" w14:textId="77777777">
      <w:pPr>
        <w:suppressAutoHyphens/>
        <w:rPr>
          <w:sz w:val="24"/>
        </w:rPr>
      </w:pPr>
    </w:p>
    <w:p w:rsidR="00D6261B" w:rsidRPr="00277DF5" w:rsidP="00D6261B" w14:paraId="7743763E" w14:textId="7C8E4BD0">
      <w:pPr>
        <w:suppressAutoHyphens/>
        <w:rPr>
          <w:sz w:val="24"/>
        </w:rPr>
      </w:pPr>
      <w:r>
        <w:rPr>
          <w:sz w:val="24"/>
        </w:rPr>
        <w:tab/>
      </w:r>
      <w:r w:rsidR="00CC4E6C">
        <w:rPr>
          <w:sz w:val="24"/>
        </w:rPr>
        <w:tab/>
      </w:r>
      <w:r w:rsidR="0015520B">
        <w:rPr>
          <w:sz w:val="24"/>
        </w:rPr>
        <w:t>1,600</w:t>
      </w:r>
      <w:r w:rsidR="00593F35">
        <w:rPr>
          <w:sz w:val="24"/>
        </w:rPr>
        <w:t xml:space="preserve"> </w:t>
      </w:r>
      <w:r w:rsidRPr="00277DF5" w:rsidR="00403937">
        <w:rPr>
          <w:sz w:val="24"/>
        </w:rPr>
        <w:t xml:space="preserve"> FCC</w:t>
      </w:r>
      <w:r w:rsidR="00CE0706">
        <w:rPr>
          <w:sz w:val="24"/>
        </w:rPr>
        <w:t xml:space="preserve"> Form F</w:t>
      </w:r>
      <w:r w:rsidRPr="00277DF5">
        <w:rPr>
          <w:sz w:val="24"/>
        </w:rPr>
        <w:t xml:space="preserve">ilings </w:t>
      </w:r>
      <w:r w:rsidR="00CE0706">
        <w:rPr>
          <w:sz w:val="24"/>
        </w:rPr>
        <w:t xml:space="preserve">  </w:t>
      </w:r>
      <w:r w:rsidRPr="00277DF5">
        <w:rPr>
          <w:sz w:val="24"/>
        </w:rPr>
        <w:t xml:space="preserve">x  </w:t>
      </w:r>
      <w:r w:rsidR="00F578D3">
        <w:rPr>
          <w:sz w:val="24"/>
        </w:rPr>
        <w:t xml:space="preserve"> </w:t>
      </w:r>
      <w:r w:rsidRPr="00277DF5">
        <w:rPr>
          <w:sz w:val="24"/>
        </w:rPr>
        <w:t>$</w:t>
      </w:r>
      <w:r w:rsidR="00162D04">
        <w:rPr>
          <w:sz w:val="24"/>
        </w:rPr>
        <w:t>10.75</w:t>
      </w:r>
      <w:r w:rsidR="00F578D3">
        <w:rPr>
          <w:sz w:val="24"/>
        </w:rPr>
        <w:t>/</w:t>
      </w:r>
      <w:r w:rsidRPr="00A807FE" w:rsidR="00F578D3">
        <w:rPr>
          <w:sz w:val="24"/>
        </w:rPr>
        <w:t>filing</w:t>
      </w:r>
      <w:r w:rsidRPr="00277DF5">
        <w:rPr>
          <w:sz w:val="24"/>
        </w:rPr>
        <w:t xml:space="preserve"> </w:t>
      </w:r>
      <w:r w:rsidR="00F578D3">
        <w:rPr>
          <w:sz w:val="24"/>
        </w:rPr>
        <w:t xml:space="preserve">   </w:t>
      </w:r>
      <w:r>
        <w:rPr>
          <w:sz w:val="24"/>
        </w:rPr>
        <w:t xml:space="preserve">          </w:t>
      </w:r>
      <w:r w:rsidR="00CE0706">
        <w:rPr>
          <w:sz w:val="24"/>
        </w:rPr>
        <w:t xml:space="preserve">= </w:t>
      </w:r>
      <w:r w:rsidRPr="00277DF5">
        <w:rPr>
          <w:sz w:val="24"/>
        </w:rPr>
        <w:t>$</w:t>
      </w:r>
      <w:r w:rsidR="0015520B">
        <w:rPr>
          <w:sz w:val="24"/>
        </w:rPr>
        <w:t>17,200</w:t>
      </w:r>
      <w:r w:rsidR="00593F35">
        <w:rPr>
          <w:sz w:val="24"/>
        </w:rPr>
        <w:t xml:space="preserve"> </w:t>
      </w:r>
    </w:p>
    <w:p w:rsidR="00D6261B" w:rsidRPr="00E046CE" w:rsidP="00D6261B" w14:paraId="721C2461" w14:textId="77777777">
      <w:pPr>
        <w:suppressAutoHyphens/>
        <w:rPr>
          <w:sz w:val="24"/>
          <w:u w:val="single"/>
        </w:rPr>
      </w:pPr>
      <w:r>
        <w:rPr>
          <w:sz w:val="24"/>
        </w:rPr>
        <w:t xml:space="preserve">                                                                    </w:t>
      </w:r>
    </w:p>
    <w:p w:rsidR="00D6261B" w:rsidP="00E046CE" w14:paraId="3CAC80D2" w14:textId="79FF5974">
      <w:pPr>
        <w:suppressAutoHyphens/>
        <w:ind w:left="720" w:firstLine="720"/>
        <w:rPr>
          <w:b/>
          <w:sz w:val="24"/>
        </w:rPr>
      </w:pPr>
      <w:r>
        <w:rPr>
          <w:b/>
          <w:sz w:val="24"/>
        </w:rPr>
        <w:tab/>
      </w:r>
      <w:r w:rsidRPr="00277DF5">
        <w:rPr>
          <w:b/>
          <w:sz w:val="24"/>
        </w:rPr>
        <w:t>Total Cost</w:t>
      </w:r>
      <w:r w:rsidR="00E046CE">
        <w:rPr>
          <w:b/>
          <w:sz w:val="24"/>
        </w:rPr>
        <w:t xml:space="preserve"> to the Federal Government    </w:t>
      </w:r>
      <w:r w:rsidR="00CE0706">
        <w:rPr>
          <w:b/>
          <w:sz w:val="24"/>
        </w:rPr>
        <w:t xml:space="preserve"> =</w:t>
      </w:r>
      <w:r w:rsidRPr="00277DF5">
        <w:rPr>
          <w:b/>
          <w:sz w:val="24"/>
        </w:rPr>
        <w:t xml:space="preserve"> </w:t>
      </w:r>
      <w:r w:rsidRPr="00A807FE">
        <w:rPr>
          <w:b/>
          <w:sz w:val="24"/>
        </w:rPr>
        <w:t>$</w:t>
      </w:r>
      <w:r w:rsidR="0015520B">
        <w:rPr>
          <w:b/>
          <w:sz w:val="24"/>
        </w:rPr>
        <w:t>17,200</w:t>
      </w:r>
      <w:r w:rsidR="00593F35">
        <w:rPr>
          <w:b/>
          <w:sz w:val="24"/>
        </w:rPr>
        <w:t xml:space="preserve"> </w:t>
      </w:r>
    </w:p>
    <w:p w:rsidR="00D6261B" w:rsidP="00D6261B" w14:paraId="40D6BB33" w14:textId="77777777">
      <w:pPr>
        <w:suppressAutoHyphens/>
        <w:rPr>
          <w:b/>
          <w:sz w:val="24"/>
        </w:rPr>
      </w:pPr>
    </w:p>
    <w:p w:rsidR="00EC26DD" w:rsidP="00636883" w14:paraId="7EE80083" w14:textId="77777777">
      <w:pPr>
        <w:suppressAutoHyphens/>
        <w:rPr>
          <w:sz w:val="24"/>
        </w:rPr>
      </w:pPr>
      <w:r w:rsidRPr="008114DA">
        <w:rPr>
          <w:sz w:val="24"/>
        </w:rPr>
        <w:t>15.</w:t>
      </w:r>
      <w:r>
        <w:rPr>
          <w:b/>
          <w:sz w:val="24"/>
        </w:rPr>
        <w:t xml:space="preserve"> </w:t>
      </w:r>
      <w:r w:rsidR="009B76A8">
        <w:rPr>
          <w:sz w:val="24"/>
        </w:rPr>
        <w:t>There are no program changes</w:t>
      </w:r>
      <w:r w:rsidR="00162D04">
        <w:rPr>
          <w:sz w:val="24"/>
        </w:rPr>
        <w:t xml:space="preserve"> </w:t>
      </w:r>
      <w:r w:rsidR="0074195A">
        <w:rPr>
          <w:sz w:val="24"/>
        </w:rPr>
        <w:t xml:space="preserve">to this collection. </w:t>
      </w:r>
      <w:r w:rsidR="00E33DD8">
        <w:rPr>
          <w:sz w:val="24"/>
        </w:rPr>
        <w:t xml:space="preserve"> There are adjustments to this collection of </w:t>
      </w:r>
    </w:p>
    <w:p w:rsidR="00D6261B" w:rsidP="00636883" w14:paraId="08D8753D" w14:textId="45A0B016">
      <w:pPr>
        <w:suppressAutoHyphens/>
        <w:rPr>
          <w:sz w:val="24"/>
        </w:rPr>
      </w:pPr>
      <w:r>
        <w:rPr>
          <w:sz w:val="24"/>
        </w:rPr>
        <w:t xml:space="preserve">-3,808 to the number of respondents, </w:t>
      </w:r>
      <w:r w:rsidR="0074195A">
        <w:rPr>
          <w:sz w:val="24"/>
        </w:rPr>
        <w:t xml:space="preserve"> </w:t>
      </w:r>
      <w:r>
        <w:rPr>
          <w:sz w:val="24"/>
        </w:rPr>
        <w:t>-823 to the annual number of responses and -16,460 to the annual burden hours.</w:t>
      </w:r>
    </w:p>
    <w:p w:rsidR="00636883" w:rsidP="00636883" w14:paraId="7316533D" w14:textId="77777777">
      <w:pPr>
        <w:suppressAutoHyphens/>
      </w:pPr>
    </w:p>
    <w:p w:rsidR="00D6261B" w:rsidRPr="008114DA" w:rsidP="00D6261B" w14:paraId="3A844033" w14:textId="77777777">
      <w:pPr>
        <w:pStyle w:val="BodyText"/>
        <w:rPr>
          <w:b w:val="0"/>
        </w:rPr>
      </w:pPr>
      <w:r w:rsidRPr="008114DA">
        <w:rPr>
          <w:b w:val="0"/>
        </w:rPr>
        <w:t xml:space="preserve">16. The </w:t>
      </w:r>
      <w:r w:rsidRPr="008114DA" w:rsidR="008114DA">
        <w:rPr>
          <w:b w:val="0"/>
        </w:rPr>
        <w:t>data will not be published for statistical use.</w:t>
      </w:r>
    </w:p>
    <w:p w:rsidR="00D6261B" w:rsidP="00D6261B" w14:paraId="7E9FB3DF" w14:textId="77777777">
      <w:pPr>
        <w:suppressAutoHyphens/>
        <w:rPr>
          <w:b/>
          <w:sz w:val="24"/>
        </w:rPr>
      </w:pPr>
    </w:p>
    <w:p w:rsidR="00D6261B" w:rsidRPr="008114DA" w:rsidP="00D6261B" w14:paraId="4FC47FED" w14:textId="77777777">
      <w:pPr>
        <w:suppressAutoHyphens/>
        <w:rPr>
          <w:sz w:val="24"/>
        </w:rPr>
      </w:pPr>
      <w:r w:rsidRPr="008114DA">
        <w:rPr>
          <w:sz w:val="24"/>
        </w:rPr>
        <w:t xml:space="preserve">17.  The Commission is seeking approval to not display the expiration date for OMB approval of </w:t>
      </w:r>
    </w:p>
    <w:p w:rsidR="00D6261B" w:rsidRPr="008114DA" w:rsidP="00D6261B" w14:paraId="406C8223" w14:textId="17FF894E">
      <w:pPr>
        <w:suppressAutoHyphens/>
        <w:rPr>
          <w:sz w:val="24"/>
        </w:rPr>
      </w:pPr>
      <w:r w:rsidRPr="008114DA">
        <w:rPr>
          <w:sz w:val="24"/>
        </w:rPr>
        <w:t xml:space="preserve">this information collection. </w:t>
      </w:r>
      <w:r w:rsidRPr="008114DA" w:rsidR="00F33E30">
        <w:rPr>
          <w:sz w:val="24"/>
        </w:rPr>
        <w:t xml:space="preserve">This will ensure that the form on the website will remain up-to-date. </w:t>
      </w:r>
      <w:r w:rsidR="00F578D3">
        <w:rPr>
          <w:sz w:val="24"/>
        </w:rPr>
        <w:t xml:space="preserve">The expiration date of the form will be displayed </w:t>
      </w:r>
      <w:r w:rsidR="006A5F55">
        <w:rPr>
          <w:sz w:val="24"/>
        </w:rPr>
        <w:t>on OMB’s website.</w:t>
      </w:r>
      <w:r w:rsidRPr="008114DA">
        <w:rPr>
          <w:sz w:val="24"/>
        </w:rPr>
        <w:t xml:space="preserve"> </w:t>
      </w:r>
    </w:p>
    <w:p w:rsidR="00D6261B" w:rsidRPr="008114DA" w:rsidP="00D6261B" w14:paraId="1DC946CB" w14:textId="77777777">
      <w:pPr>
        <w:suppressAutoHyphens/>
        <w:rPr>
          <w:sz w:val="24"/>
        </w:rPr>
      </w:pPr>
    </w:p>
    <w:p w:rsidR="00D6261B" w:rsidP="00D6261B" w14:paraId="4DAD9790" w14:textId="77777777">
      <w:pPr>
        <w:suppressAutoHyphens/>
        <w:rPr>
          <w:sz w:val="24"/>
        </w:rPr>
      </w:pPr>
      <w:r w:rsidRPr="008114DA">
        <w:rPr>
          <w:sz w:val="24"/>
        </w:rPr>
        <w:t>18.</w:t>
      </w:r>
      <w:r>
        <w:rPr>
          <w:b/>
          <w:sz w:val="24"/>
        </w:rPr>
        <w:t xml:space="preserve">  </w:t>
      </w:r>
      <w:r>
        <w:rPr>
          <w:sz w:val="24"/>
        </w:rPr>
        <w:t>There are no exceptions to the certification statement</w:t>
      </w:r>
      <w:r w:rsidR="00115759">
        <w:rPr>
          <w:sz w:val="24"/>
        </w:rPr>
        <w:t>.</w:t>
      </w:r>
    </w:p>
    <w:p w:rsidR="00D6261B" w:rsidP="00D6261B" w14:paraId="179C4389" w14:textId="77777777">
      <w:pPr>
        <w:suppressAutoHyphens/>
        <w:rPr>
          <w:sz w:val="24"/>
        </w:rPr>
      </w:pPr>
    </w:p>
    <w:p w:rsidR="00D6261B" w:rsidP="00D6261B" w14:paraId="60D7988A" w14:textId="77777777">
      <w:pPr>
        <w:suppressAutoHyphens/>
        <w:rPr>
          <w:b/>
          <w:sz w:val="24"/>
        </w:rPr>
      </w:pPr>
      <w:r>
        <w:rPr>
          <w:b/>
          <w:sz w:val="24"/>
        </w:rPr>
        <w:t>B.  Collections of Information Employing Statistical Methods</w:t>
      </w:r>
    </w:p>
    <w:p w:rsidR="00D6261B" w:rsidP="00D6261B" w14:paraId="4A03C1B2" w14:textId="77777777">
      <w:pPr>
        <w:suppressAutoHyphens/>
        <w:rPr>
          <w:b/>
          <w:sz w:val="24"/>
        </w:rPr>
      </w:pPr>
    </w:p>
    <w:p w:rsidR="00D6261B" w:rsidP="00D6261B" w14:paraId="0D2AA228" w14:textId="77777777">
      <w:pPr>
        <w:suppressAutoHyphens/>
        <w:rPr>
          <w:sz w:val="24"/>
        </w:rPr>
      </w:pPr>
      <w:r>
        <w:rPr>
          <w:sz w:val="24"/>
        </w:rPr>
        <w:t>No statistical methods are employed.</w:t>
      </w:r>
    </w:p>
    <w:p w:rsidR="008E323E" w:rsidP="00D6261B" w14:paraId="379B9FDD" w14:textId="77777777">
      <w:pPr>
        <w:jc w:val="center"/>
      </w:pPr>
    </w:p>
    <w:sectPr>
      <w:headerReference w:type="default" r:id="rId6"/>
      <w:footerReference w:type="even" r:id="rId7"/>
      <w:footerReference w:type="default" r:id="rId8"/>
      <w:headerReference w:type="first" r:id="rId9"/>
      <w:endnotePr>
        <w:numFmt w:val="decimal"/>
      </w:endnotePr>
      <w:pgSz w:w="12240" w:h="15840"/>
      <w:pgMar w:top="1440" w:right="1440" w:bottom="1440"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005" w14:paraId="2A5D6D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5005" w14:paraId="5D50E0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005" w14:paraId="47F324A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781E">
      <w:rPr>
        <w:rStyle w:val="PageNumber"/>
        <w:noProof/>
      </w:rPr>
      <w:t>2</w:t>
    </w:r>
    <w:r>
      <w:rPr>
        <w:rStyle w:val="PageNumber"/>
      </w:rPr>
      <w:fldChar w:fldCharType="end"/>
    </w:r>
  </w:p>
  <w:p w:rsidR="00B35005" w14:paraId="55D33B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18DB" w14:paraId="3E92163D" w14:textId="77777777">
      <w:r>
        <w:separator/>
      </w:r>
    </w:p>
  </w:footnote>
  <w:footnote w:type="continuationSeparator" w:id="1">
    <w:p w:rsidR="00E218DB" w14:paraId="1B367799" w14:textId="77777777">
      <w:r>
        <w:continuationSeparator/>
      </w:r>
    </w:p>
  </w:footnote>
  <w:footnote w:id="2">
    <w:p w:rsidR="00B35005" w:rsidP="00A807FE" w14:paraId="35C742D6" w14:textId="77777777">
      <w:pPr>
        <w:pStyle w:val="NormalWeb"/>
      </w:pPr>
      <w:r>
        <w:rPr>
          <w:rStyle w:val="FootnoteReference"/>
        </w:rPr>
        <w:footnoteRef/>
      </w:r>
      <w:r>
        <w:t xml:space="preserve"> </w:t>
      </w:r>
      <w:r w:rsidRPr="00E253FE">
        <w:rPr>
          <w:sz w:val="20"/>
          <w:szCs w:val="20"/>
        </w:rPr>
        <w:t xml:space="preserve">The term “multichannel video programming distributor” means an entity engaged in the business of making available for purchase, by subscribers or customers, multiple channels of video programming. Such entities include, but are not limited to, a cable operator, </w:t>
      </w:r>
      <w:r>
        <w:rPr>
          <w:sz w:val="20"/>
          <w:szCs w:val="20"/>
        </w:rPr>
        <w:t>Broadband Radio Service (</w:t>
      </w:r>
      <w:r w:rsidRPr="00A807FE">
        <w:rPr>
          <w:sz w:val="20"/>
          <w:szCs w:val="20"/>
        </w:rPr>
        <w:t>BRS) and Educational Broadband Service (EBS)</w:t>
      </w:r>
      <w:r>
        <w:rPr>
          <w:sz w:val="20"/>
          <w:szCs w:val="20"/>
        </w:rPr>
        <w:t xml:space="preserve"> </w:t>
      </w:r>
      <w:r w:rsidRPr="00E253FE">
        <w:rPr>
          <w:sz w:val="20"/>
          <w:szCs w:val="20"/>
        </w:rPr>
        <w:t xml:space="preserve"> provider</w:t>
      </w:r>
      <w:r>
        <w:rPr>
          <w:sz w:val="20"/>
          <w:szCs w:val="20"/>
        </w:rPr>
        <w:t>s</w:t>
      </w:r>
      <w:r w:rsidRPr="00E253FE">
        <w:rPr>
          <w:sz w:val="20"/>
          <w:szCs w:val="20"/>
        </w:rPr>
        <w:t>, a direct broadcast satellite service, a television receive-only satellite program distributor, and a satellite master antenna television system operator, as well as buying groups or agents of all such entities.</w:t>
      </w:r>
      <w:r>
        <w:t xml:space="preserve"> </w:t>
      </w:r>
    </w:p>
  </w:footnote>
  <w:footnote w:id="3">
    <w:p w:rsidR="00B35005" w14:paraId="385BD519" w14:textId="77777777">
      <w:pPr>
        <w:pStyle w:val="FootnoteText"/>
      </w:pPr>
      <w:r>
        <w:rPr>
          <w:rStyle w:val="FootnoteReference"/>
        </w:rPr>
        <w:footnoteRef/>
      </w:r>
      <w:r>
        <w:t xml:space="preserve"> Per 47 CFR Section 76.610, MVPDs are authorized to use frequencies in the aeronautical bands provided that they comply with the signal leakage rules and frequency separation requirements set forth in 47 CFR Sections 76.611 and 76.612. </w:t>
      </w:r>
    </w:p>
    <w:p w:rsidR="00B35005" w14:paraId="360AF341" w14:textId="77777777">
      <w:pPr>
        <w:pStyle w:val="FootnoteText"/>
      </w:pPr>
    </w:p>
  </w:footnote>
  <w:footnote w:id="4">
    <w:p w:rsidR="00B35005" w14:paraId="5D22CFEA" w14:textId="77777777">
      <w:pPr>
        <w:pStyle w:val="FootnoteText"/>
      </w:pPr>
      <w:r>
        <w:rPr>
          <w:rStyle w:val="FootnoteReference"/>
        </w:rPr>
        <w:footnoteRef/>
      </w:r>
      <w:r>
        <w:t xml:space="preserve"> The Cumulative Leakage Index (CLI) set forth in 47 CFR Section 76.611 is a measure of the strength of signals “leaking” from the cable plant which could potentially cause interference with other services. All MVPDs are required to monitor and record signal leakage by performing the CLI test every quarter and submitting the results to the Commission annually.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005" w:rsidRPr="00584542" w:rsidP="003F4944" w14:paraId="0EB5CE9F" w14:textId="5417B0C0">
    <w:pPr>
      <w:pStyle w:val="Header"/>
      <w:rPr>
        <w:b/>
        <w:sz w:val="24"/>
        <w:szCs w:val="24"/>
      </w:rPr>
    </w:pPr>
    <w:r w:rsidRPr="00584542">
      <w:rPr>
        <w:b/>
        <w:sz w:val="24"/>
        <w:szCs w:val="24"/>
      </w:rPr>
      <w:t>OMB 3060-0</w:t>
    </w:r>
    <w:r>
      <w:rPr>
        <w:b/>
        <w:sz w:val="24"/>
        <w:szCs w:val="24"/>
      </w:rPr>
      <w:t>433</w:t>
    </w:r>
    <w:r w:rsidRPr="00584542">
      <w:rPr>
        <w:b/>
        <w:sz w:val="24"/>
        <w:szCs w:val="24"/>
      </w:rPr>
      <w:tab/>
    </w:r>
    <w:r w:rsidRPr="00584542">
      <w:rPr>
        <w:b/>
        <w:sz w:val="24"/>
        <w:szCs w:val="24"/>
      </w:rPr>
      <w:tab/>
    </w:r>
    <w:r w:rsidR="006A5F55">
      <w:rPr>
        <w:b/>
        <w:sz w:val="24"/>
        <w:szCs w:val="24"/>
      </w:rPr>
      <w:t>November</w:t>
    </w:r>
    <w:r w:rsidR="00B4129B">
      <w:rPr>
        <w:b/>
        <w:sz w:val="24"/>
        <w:szCs w:val="24"/>
      </w:rPr>
      <w:t xml:space="preserve"> 2025</w:t>
    </w:r>
  </w:p>
  <w:p w:rsidR="00B35005" w:rsidP="003F4944" w14:paraId="6FC4604F" w14:textId="77777777">
    <w:pPr>
      <w:pStyle w:val="Heading1"/>
    </w:pPr>
    <w:r>
      <w:t>Title: Basic Signal Leakage Performance Report, FCC Form 320</w:t>
    </w:r>
  </w:p>
  <w:p w:rsidR="00B35005" w14:paraId="5BAF99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005" w:rsidRPr="00584542" w:rsidP="00D6261B" w14:paraId="7A3D7DFC" w14:textId="2BE48819">
    <w:pPr>
      <w:pStyle w:val="Header"/>
      <w:rPr>
        <w:b/>
        <w:sz w:val="24"/>
        <w:szCs w:val="24"/>
      </w:rPr>
    </w:pPr>
    <w:r w:rsidRPr="00584542">
      <w:rPr>
        <w:b/>
        <w:sz w:val="24"/>
        <w:szCs w:val="24"/>
      </w:rPr>
      <w:t>OMB 3060-0</w:t>
    </w:r>
    <w:r>
      <w:rPr>
        <w:b/>
        <w:sz w:val="24"/>
        <w:szCs w:val="24"/>
      </w:rPr>
      <w:t>433</w:t>
    </w:r>
    <w:r w:rsidRPr="00584542">
      <w:rPr>
        <w:b/>
        <w:sz w:val="24"/>
        <w:szCs w:val="24"/>
      </w:rPr>
      <w:tab/>
    </w:r>
    <w:r w:rsidRPr="00584542">
      <w:rPr>
        <w:b/>
        <w:sz w:val="24"/>
        <w:szCs w:val="24"/>
      </w:rPr>
      <w:tab/>
    </w:r>
    <w:r w:rsidR="006A5F55">
      <w:rPr>
        <w:b/>
        <w:sz w:val="24"/>
        <w:szCs w:val="24"/>
      </w:rPr>
      <w:t>November</w:t>
    </w:r>
    <w:r w:rsidR="00162D04">
      <w:rPr>
        <w:b/>
        <w:sz w:val="24"/>
        <w:szCs w:val="24"/>
      </w:rPr>
      <w:t xml:space="preserve"> 2025</w:t>
    </w:r>
  </w:p>
  <w:p w:rsidR="00B35005" w:rsidP="00D6261B" w14:paraId="241713A6" w14:textId="77777777">
    <w:pPr>
      <w:pStyle w:val="Heading1"/>
    </w:pPr>
    <w:r>
      <w:t>Title: Basic Signal Leakage Performance Report, FCC Form 320</w:t>
    </w:r>
  </w:p>
  <w:p w:rsidR="00B35005" w14:paraId="24599E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9721209"/>
    <w:multiLevelType w:val="singleLevel"/>
    <w:tmpl w:val="47A868F8"/>
    <w:lvl w:ilvl="0">
      <w:start w:val="1"/>
      <w:numFmt w:val="lowerLetter"/>
      <w:lvlText w:val="%1."/>
      <w:lvlJc w:val="left"/>
      <w:pPr>
        <w:tabs>
          <w:tab w:val="num" w:pos="360"/>
        </w:tabs>
        <w:ind w:left="360" w:hanging="360"/>
      </w:pPr>
      <w:rPr>
        <w:rFonts w:hint="default"/>
        <w:b/>
      </w:rPr>
    </w:lvl>
  </w:abstractNum>
  <w:num w:numId="1" w16cid:durableId="1494759718">
    <w:abstractNumId w:val="1"/>
  </w:num>
  <w:num w:numId="2" w16cid:durableId="92295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1B"/>
    <w:rsid w:val="0000416A"/>
    <w:rsid w:val="00023723"/>
    <w:rsid w:val="0003265C"/>
    <w:rsid w:val="000451D9"/>
    <w:rsid w:val="000455F6"/>
    <w:rsid w:val="00045C63"/>
    <w:rsid w:val="00054932"/>
    <w:rsid w:val="00065790"/>
    <w:rsid w:val="000705B9"/>
    <w:rsid w:val="000B1596"/>
    <w:rsid w:val="000B3DE8"/>
    <w:rsid w:val="000E38C4"/>
    <w:rsid w:val="00101BA9"/>
    <w:rsid w:val="0011095F"/>
    <w:rsid w:val="00115759"/>
    <w:rsid w:val="001219E1"/>
    <w:rsid w:val="00127F0E"/>
    <w:rsid w:val="001315E9"/>
    <w:rsid w:val="001474AE"/>
    <w:rsid w:val="0015520B"/>
    <w:rsid w:val="0015678E"/>
    <w:rsid w:val="00162D04"/>
    <w:rsid w:val="00164270"/>
    <w:rsid w:val="00186A6D"/>
    <w:rsid w:val="001A499D"/>
    <w:rsid w:val="001B0B8B"/>
    <w:rsid w:val="001C17C0"/>
    <w:rsid w:val="001C1AD6"/>
    <w:rsid w:val="001C2453"/>
    <w:rsid w:val="001C2D30"/>
    <w:rsid w:val="001C5453"/>
    <w:rsid w:val="001D4CD3"/>
    <w:rsid w:val="00234B43"/>
    <w:rsid w:val="00251848"/>
    <w:rsid w:val="0025358D"/>
    <w:rsid w:val="00264F32"/>
    <w:rsid w:val="00276B25"/>
    <w:rsid w:val="00277DF5"/>
    <w:rsid w:val="00292386"/>
    <w:rsid w:val="00296360"/>
    <w:rsid w:val="002A7460"/>
    <w:rsid w:val="002B4FD0"/>
    <w:rsid w:val="002D20BE"/>
    <w:rsid w:val="002D7358"/>
    <w:rsid w:val="002F1BAB"/>
    <w:rsid w:val="002F2542"/>
    <w:rsid w:val="00304540"/>
    <w:rsid w:val="00310B94"/>
    <w:rsid w:val="00312CE9"/>
    <w:rsid w:val="0033001C"/>
    <w:rsid w:val="00366DFB"/>
    <w:rsid w:val="00367C2B"/>
    <w:rsid w:val="00393FC9"/>
    <w:rsid w:val="003A1675"/>
    <w:rsid w:val="003B77FB"/>
    <w:rsid w:val="003C1F4A"/>
    <w:rsid w:val="003E5163"/>
    <w:rsid w:val="003E693C"/>
    <w:rsid w:val="003E6C03"/>
    <w:rsid w:val="003F07C4"/>
    <w:rsid w:val="003F4944"/>
    <w:rsid w:val="00403937"/>
    <w:rsid w:val="004147BD"/>
    <w:rsid w:val="004301C0"/>
    <w:rsid w:val="00460CBA"/>
    <w:rsid w:val="0046206B"/>
    <w:rsid w:val="00462E48"/>
    <w:rsid w:val="00462F1F"/>
    <w:rsid w:val="00483AD9"/>
    <w:rsid w:val="00491687"/>
    <w:rsid w:val="004D33CE"/>
    <w:rsid w:val="004E45BF"/>
    <w:rsid w:val="004F4127"/>
    <w:rsid w:val="005016ED"/>
    <w:rsid w:val="005447E6"/>
    <w:rsid w:val="00544C98"/>
    <w:rsid w:val="00550020"/>
    <w:rsid w:val="005525B1"/>
    <w:rsid w:val="00584542"/>
    <w:rsid w:val="00593F35"/>
    <w:rsid w:val="005B4EF1"/>
    <w:rsid w:val="005C0634"/>
    <w:rsid w:val="005F07A4"/>
    <w:rsid w:val="00604AD0"/>
    <w:rsid w:val="006252ED"/>
    <w:rsid w:val="00636883"/>
    <w:rsid w:val="00645BD5"/>
    <w:rsid w:val="00667A3C"/>
    <w:rsid w:val="00673F1A"/>
    <w:rsid w:val="00681300"/>
    <w:rsid w:val="00682339"/>
    <w:rsid w:val="00687149"/>
    <w:rsid w:val="006A5F55"/>
    <w:rsid w:val="006B1172"/>
    <w:rsid w:val="006D546A"/>
    <w:rsid w:val="006F109B"/>
    <w:rsid w:val="006F5C99"/>
    <w:rsid w:val="00700DAB"/>
    <w:rsid w:val="00705A78"/>
    <w:rsid w:val="00710530"/>
    <w:rsid w:val="0072110A"/>
    <w:rsid w:val="00726963"/>
    <w:rsid w:val="0074195A"/>
    <w:rsid w:val="00751E82"/>
    <w:rsid w:val="00755EB2"/>
    <w:rsid w:val="007715F9"/>
    <w:rsid w:val="007750E4"/>
    <w:rsid w:val="007805A1"/>
    <w:rsid w:val="007A2800"/>
    <w:rsid w:val="007A7613"/>
    <w:rsid w:val="007B7603"/>
    <w:rsid w:val="0080066E"/>
    <w:rsid w:val="00806B88"/>
    <w:rsid w:val="008114DA"/>
    <w:rsid w:val="008141E5"/>
    <w:rsid w:val="0082467B"/>
    <w:rsid w:val="00824C58"/>
    <w:rsid w:val="0082522D"/>
    <w:rsid w:val="00841C56"/>
    <w:rsid w:val="00871A30"/>
    <w:rsid w:val="00884E79"/>
    <w:rsid w:val="00890D28"/>
    <w:rsid w:val="008940CD"/>
    <w:rsid w:val="008A27DC"/>
    <w:rsid w:val="008C1EC8"/>
    <w:rsid w:val="008D22FE"/>
    <w:rsid w:val="008E323E"/>
    <w:rsid w:val="008E68D8"/>
    <w:rsid w:val="00905555"/>
    <w:rsid w:val="00914CE1"/>
    <w:rsid w:val="009241F5"/>
    <w:rsid w:val="009366CF"/>
    <w:rsid w:val="00944CDF"/>
    <w:rsid w:val="00945485"/>
    <w:rsid w:val="0097203C"/>
    <w:rsid w:val="009A69B0"/>
    <w:rsid w:val="009A7346"/>
    <w:rsid w:val="009B76A8"/>
    <w:rsid w:val="009E23FC"/>
    <w:rsid w:val="009E7D16"/>
    <w:rsid w:val="00A12BBA"/>
    <w:rsid w:val="00A21511"/>
    <w:rsid w:val="00A2486E"/>
    <w:rsid w:val="00A50CDC"/>
    <w:rsid w:val="00A575A2"/>
    <w:rsid w:val="00A807FE"/>
    <w:rsid w:val="00A923CD"/>
    <w:rsid w:val="00AE2BC6"/>
    <w:rsid w:val="00AF5A86"/>
    <w:rsid w:val="00B051F6"/>
    <w:rsid w:val="00B35005"/>
    <w:rsid w:val="00B36375"/>
    <w:rsid w:val="00B4129B"/>
    <w:rsid w:val="00B44E07"/>
    <w:rsid w:val="00B617ED"/>
    <w:rsid w:val="00B85BF7"/>
    <w:rsid w:val="00BA0EEE"/>
    <w:rsid w:val="00BC5042"/>
    <w:rsid w:val="00BC5375"/>
    <w:rsid w:val="00BF2FD0"/>
    <w:rsid w:val="00BF694A"/>
    <w:rsid w:val="00C05BA9"/>
    <w:rsid w:val="00C16314"/>
    <w:rsid w:val="00C62851"/>
    <w:rsid w:val="00C75A8B"/>
    <w:rsid w:val="00C87D1F"/>
    <w:rsid w:val="00C93232"/>
    <w:rsid w:val="00C96CB0"/>
    <w:rsid w:val="00CA1AA1"/>
    <w:rsid w:val="00CA588C"/>
    <w:rsid w:val="00CC1050"/>
    <w:rsid w:val="00CC4E6C"/>
    <w:rsid w:val="00CC76BA"/>
    <w:rsid w:val="00CC7ED2"/>
    <w:rsid w:val="00CD3D08"/>
    <w:rsid w:val="00CD6B37"/>
    <w:rsid w:val="00CE0706"/>
    <w:rsid w:val="00CE199D"/>
    <w:rsid w:val="00CF44BE"/>
    <w:rsid w:val="00D178C4"/>
    <w:rsid w:val="00D21530"/>
    <w:rsid w:val="00D51CE9"/>
    <w:rsid w:val="00D610C7"/>
    <w:rsid w:val="00D6261B"/>
    <w:rsid w:val="00D6680B"/>
    <w:rsid w:val="00D6693F"/>
    <w:rsid w:val="00D72625"/>
    <w:rsid w:val="00D733FD"/>
    <w:rsid w:val="00D77325"/>
    <w:rsid w:val="00D9623B"/>
    <w:rsid w:val="00DB6846"/>
    <w:rsid w:val="00E046CE"/>
    <w:rsid w:val="00E05C41"/>
    <w:rsid w:val="00E168A2"/>
    <w:rsid w:val="00E218DB"/>
    <w:rsid w:val="00E253FE"/>
    <w:rsid w:val="00E33DD8"/>
    <w:rsid w:val="00E5198C"/>
    <w:rsid w:val="00E54183"/>
    <w:rsid w:val="00E54448"/>
    <w:rsid w:val="00E756FF"/>
    <w:rsid w:val="00E76C39"/>
    <w:rsid w:val="00E9674D"/>
    <w:rsid w:val="00EC26DD"/>
    <w:rsid w:val="00EE55E9"/>
    <w:rsid w:val="00EE781E"/>
    <w:rsid w:val="00F04775"/>
    <w:rsid w:val="00F06121"/>
    <w:rsid w:val="00F112BF"/>
    <w:rsid w:val="00F1551B"/>
    <w:rsid w:val="00F173BA"/>
    <w:rsid w:val="00F33E30"/>
    <w:rsid w:val="00F4306A"/>
    <w:rsid w:val="00F57607"/>
    <w:rsid w:val="00F578D3"/>
    <w:rsid w:val="00F64907"/>
    <w:rsid w:val="00F67CD3"/>
    <w:rsid w:val="00F73562"/>
    <w:rsid w:val="00F813E4"/>
    <w:rsid w:val="00FA1897"/>
    <w:rsid w:val="00FC3B64"/>
    <w:rsid w:val="00FC7A66"/>
    <w:rsid w:val="00FD3234"/>
    <w:rsid w:val="00FD40B6"/>
    <w:rsid w:val="00FF37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6D6C88"/>
  <w15:chartTrackingRefBased/>
  <w15:docId w15:val="{C714D199-1283-4F0B-825D-E93EF646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261B"/>
    <w:pPr>
      <w:widowControl w:val="0"/>
    </w:pPr>
  </w:style>
  <w:style w:type="paragraph" w:styleId="Heading1">
    <w:name w:val="heading 1"/>
    <w:basedOn w:val="Normal"/>
    <w:next w:val="Normal"/>
    <w:qFormat/>
    <w:rsid w:val="00D6261B"/>
    <w:pPr>
      <w:keepNext/>
      <w:suppressAutoHyphens/>
      <w:jc w:val="both"/>
      <w:outlineLvl w:val="0"/>
    </w:pPr>
    <w:rPr>
      <w:b/>
      <w:spacing w:val="-3"/>
      <w:sz w:val="24"/>
    </w:rPr>
  </w:style>
  <w:style w:type="paragraph" w:styleId="Heading2">
    <w:name w:val="heading 2"/>
    <w:basedOn w:val="Normal"/>
    <w:next w:val="Normal"/>
    <w:qFormat/>
    <w:rsid w:val="00D6261B"/>
    <w:pPr>
      <w:keepNext/>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6261B"/>
    <w:rPr>
      <w:sz w:val="24"/>
    </w:rPr>
  </w:style>
  <w:style w:type="paragraph" w:styleId="BodyText">
    <w:name w:val="Body Text"/>
    <w:basedOn w:val="Normal"/>
    <w:rsid w:val="00D6261B"/>
    <w:pPr>
      <w:widowControl/>
      <w:suppressAutoHyphens/>
    </w:pPr>
    <w:rPr>
      <w:b/>
      <w:sz w:val="24"/>
    </w:rPr>
  </w:style>
  <w:style w:type="paragraph" w:styleId="BodyText2">
    <w:name w:val="Body Text 2"/>
    <w:basedOn w:val="Normal"/>
    <w:rsid w:val="00D6261B"/>
    <w:pPr>
      <w:suppressAutoHyphens/>
    </w:pPr>
    <w:rPr>
      <w:sz w:val="24"/>
    </w:rPr>
  </w:style>
  <w:style w:type="paragraph" w:styleId="Footer">
    <w:name w:val="footer"/>
    <w:basedOn w:val="Normal"/>
    <w:rsid w:val="00D6261B"/>
    <w:pPr>
      <w:tabs>
        <w:tab w:val="center" w:pos="4320"/>
        <w:tab w:val="right" w:pos="8640"/>
      </w:tabs>
    </w:pPr>
  </w:style>
  <w:style w:type="character" w:styleId="PageNumber">
    <w:name w:val="page number"/>
    <w:basedOn w:val="DefaultParagraphFont"/>
    <w:rsid w:val="00D6261B"/>
  </w:style>
  <w:style w:type="paragraph" w:styleId="Header">
    <w:name w:val="header"/>
    <w:basedOn w:val="Normal"/>
    <w:rsid w:val="00D6261B"/>
    <w:pPr>
      <w:tabs>
        <w:tab w:val="center" w:pos="4320"/>
        <w:tab w:val="right" w:pos="8640"/>
      </w:tabs>
    </w:pPr>
  </w:style>
  <w:style w:type="paragraph" w:styleId="BalloonText">
    <w:name w:val="Balloon Text"/>
    <w:basedOn w:val="Normal"/>
    <w:semiHidden/>
    <w:rsid w:val="001D4CD3"/>
    <w:rPr>
      <w:rFonts w:ascii="Tahoma" w:hAnsi="Tahoma" w:cs="Tahoma"/>
      <w:sz w:val="16"/>
      <w:szCs w:val="16"/>
    </w:rPr>
  </w:style>
  <w:style w:type="character" w:styleId="CommentReference">
    <w:name w:val="annotation reference"/>
    <w:semiHidden/>
    <w:rsid w:val="001D4CD3"/>
    <w:rPr>
      <w:sz w:val="16"/>
      <w:szCs w:val="16"/>
    </w:rPr>
  </w:style>
  <w:style w:type="paragraph" w:styleId="CommentText">
    <w:name w:val="annotation text"/>
    <w:basedOn w:val="Normal"/>
    <w:semiHidden/>
    <w:rsid w:val="001D4CD3"/>
  </w:style>
  <w:style w:type="paragraph" w:styleId="CommentSubject">
    <w:name w:val="annotation subject"/>
    <w:basedOn w:val="CommentText"/>
    <w:next w:val="CommentText"/>
    <w:semiHidden/>
    <w:rsid w:val="001D4CD3"/>
    <w:rPr>
      <w:b/>
      <w:bCs/>
    </w:rPr>
  </w:style>
  <w:style w:type="paragraph" w:styleId="FootnoteText">
    <w:name w:val="footnote text"/>
    <w:basedOn w:val="Normal"/>
    <w:semiHidden/>
    <w:rsid w:val="00E253FE"/>
  </w:style>
  <w:style w:type="character" w:styleId="FootnoteReference">
    <w:name w:val="footnote reference"/>
    <w:semiHidden/>
    <w:rsid w:val="00E253FE"/>
    <w:rPr>
      <w:vertAlign w:val="superscript"/>
    </w:rPr>
  </w:style>
  <w:style w:type="paragraph" w:styleId="NormalWeb">
    <w:name w:val="Normal (Web)"/>
    <w:basedOn w:val="Normal"/>
    <w:rsid w:val="00E253FE"/>
    <w:pPr>
      <w:widowControl/>
      <w:spacing w:before="100" w:beforeAutospacing="1" w:after="100" w:afterAutospacing="1"/>
    </w:pPr>
    <w:rPr>
      <w:sz w:val="24"/>
      <w:szCs w:val="24"/>
    </w:rPr>
  </w:style>
  <w:style w:type="paragraph" w:styleId="Revision">
    <w:name w:val="Revision"/>
    <w:hidden/>
    <w:uiPriority w:val="99"/>
    <w:semiHidden/>
    <w:rsid w:val="00F5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2184-FFEF-4F24-AC87-6C2D794E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2014-02-27T21:03:00Z</cp:lastPrinted>
  <dcterms:created xsi:type="dcterms:W3CDTF">2025-09-05T11:44:00Z</dcterms:created>
  <dcterms:modified xsi:type="dcterms:W3CDTF">2025-11-19T13:01:00Z</dcterms:modified>
</cp:coreProperties>
</file>