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06199" w:rsidRPr="00031AEE" w:rsidP="00031AEE" w14:paraId="1925FBB4" w14:textId="77777777">
      <w:pPr>
        <w:pStyle w:val="Heading3"/>
        <w:rPr>
          <w:sz w:val="22"/>
          <w:szCs w:val="22"/>
        </w:rPr>
      </w:pPr>
    </w:p>
    <w:p w:rsidR="00B8320E" w:rsidRPr="00224ED7" w:rsidP="00031AEE" w14:paraId="6135E47B" w14:textId="77777777">
      <w:pPr>
        <w:pStyle w:val="Heading3"/>
        <w:jc w:val="center"/>
        <w:rPr>
          <w:b/>
          <w:sz w:val="22"/>
          <w:szCs w:val="22"/>
          <w:u w:val="none"/>
        </w:rPr>
      </w:pPr>
      <w:r w:rsidRPr="00224ED7">
        <w:rPr>
          <w:b/>
          <w:sz w:val="22"/>
          <w:szCs w:val="22"/>
          <w:u w:val="none"/>
        </w:rPr>
        <w:t>SUPPORTING STATEMENT</w:t>
      </w:r>
    </w:p>
    <w:p w:rsidR="0054337F" w:rsidRPr="00031AEE" w:rsidP="00031AEE" w14:paraId="6B8B3672" w14:textId="77777777">
      <w:pPr>
        <w:rPr>
          <w:sz w:val="22"/>
          <w:szCs w:val="22"/>
        </w:rPr>
      </w:pPr>
    </w:p>
    <w:p w:rsidR="00237B1E" w:rsidRPr="00031AEE" w:rsidP="00031AEE" w14:paraId="56B4A59B" w14:textId="77777777">
      <w:pPr>
        <w:pStyle w:val="Heading3"/>
        <w:rPr>
          <w:b/>
          <w:sz w:val="22"/>
          <w:szCs w:val="22"/>
        </w:rPr>
      </w:pPr>
      <w:r w:rsidRPr="00031AEE">
        <w:rPr>
          <w:b/>
          <w:sz w:val="22"/>
          <w:szCs w:val="22"/>
          <w:u w:val="none"/>
        </w:rPr>
        <w:t>A.</w:t>
      </w:r>
      <w:r w:rsidRPr="00031AEE">
        <w:rPr>
          <w:b/>
          <w:sz w:val="22"/>
          <w:szCs w:val="22"/>
          <w:u w:val="none"/>
        </w:rPr>
        <w:tab/>
      </w:r>
      <w:r w:rsidRPr="00031AEE">
        <w:rPr>
          <w:b/>
          <w:sz w:val="22"/>
          <w:szCs w:val="22"/>
        </w:rPr>
        <w:t>Justification:</w:t>
      </w:r>
    </w:p>
    <w:p w:rsidR="00237B1E" w:rsidRPr="00031AEE" w:rsidP="00031AEE" w14:paraId="6B41FE40" w14:textId="77777777">
      <w:pPr>
        <w:pStyle w:val="ParaNum"/>
        <w:numPr>
          <w:ilvl w:val="0"/>
          <w:numId w:val="0"/>
        </w:numPr>
        <w:tabs>
          <w:tab w:val="left" w:pos="1440"/>
        </w:tabs>
        <w:spacing w:after="0"/>
        <w:jc w:val="left"/>
        <w:rPr>
          <w:szCs w:val="22"/>
        </w:rPr>
      </w:pPr>
    </w:p>
    <w:p w:rsidR="00F87FC0" w:rsidP="004E2785" w14:paraId="5DC3E05F" w14:textId="77777777">
      <w:pPr>
        <w:ind w:firstLine="720"/>
        <w:rPr>
          <w:sz w:val="22"/>
          <w:szCs w:val="22"/>
        </w:rPr>
      </w:pPr>
      <w:r w:rsidRPr="00031AEE">
        <w:rPr>
          <w:sz w:val="22"/>
          <w:szCs w:val="22"/>
        </w:rPr>
        <w:t xml:space="preserve">1.  The Commission is requesting </w:t>
      </w:r>
      <w:r w:rsidR="003A788C">
        <w:rPr>
          <w:sz w:val="22"/>
          <w:szCs w:val="22"/>
        </w:rPr>
        <w:t xml:space="preserve">the Office of Management and Budget (OMB) </w:t>
      </w:r>
      <w:r w:rsidRPr="00031AEE">
        <w:rPr>
          <w:sz w:val="22"/>
          <w:szCs w:val="22"/>
        </w:rPr>
        <w:t xml:space="preserve">approval </w:t>
      </w:r>
      <w:r w:rsidR="003A788C">
        <w:rPr>
          <w:sz w:val="22"/>
          <w:szCs w:val="22"/>
        </w:rPr>
        <w:t xml:space="preserve">for </w:t>
      </w:r>
      <w:r w:rsidRPr="00031AEE" w:rsidR="00547E8D">
        <w:rPr>
          <w:sz w:val="22"/>
          <w:szCs w:val="22"/>
        </w:rPr>
        <w:t>a</w:t>
      </w:r>
      <w:r w:rsidR="00402B75">
        <w:rPr>
          <w:sz w:val="22"/>
          <w:szCs w:val="22"/>
        </w:rPr>
        <w:t xml:space="preserve">n extension of an </w:t>
      </w:r>
      <w:r w:rsidR="003A788C">
        <w:rPr>
          <w:sz w:val="22"/>
          <w:szCs w:val="22"/>
        </w:rPr>
        <w:t xml:space="preserve">existing </w:t>
      </w:r>
      <w:r>
        <w:rPr>
          <w:sz w:val="22"/>
          <w:szCs w:val="22"/>
        </w:rPr>
        <w:t>information collection</w:t>
      </w:r>
      <w:r w:rsidR="003A788C">
        <w:rPr>
          <w:sz w:val="22"/>
          <w:szCs w:val="22"/>
        </w:rPr>
        <w:t>. This collection</w:t>
      </w:r>
      <w:r>
        <w:rPr>
          <w:sz w:val="22"/>
          <w:szCs w:val="22"/>
        </w:rPr>
        <w:t xml:space="preserve"> requir</w:t>
      </w:r>
      <w:r w:rsidR="003A788C">
        <w:rPr>
          <w:sz w:val="22"/>
          <w:szCs w:val="22"/>
        </w:rPr>
        <w:t>e</w:t>
      </w:r>
      <w:r w:rsidR="00883F54">
        <w:rPr>
          <w:sz w:val="22"/>
          <w:szCs w:val="22"/>
        </w:rPr>
        <w:t>s</w:t>
      </w:r>
      <w:r>
        <w:rPr>
          <w:sz w:val="22"/>
          <w:szCs w:val="22"/>
        </w:rPr>
        <w:t xml:space="preserve"> all tariff filing entities to </w:t>
      </w:r>
      <w:r w:rsidR="00732000">
        <w:rPr>
          <w:sz w:val="22"/>
          <w:szCs w:val="22"/>
        </w:rPr>
        <w:t>use</w:t>
      </w:r>
      <w:r>
        <w:rPr>
          <w:sz w:val="22"/>
          <w:szCs w:val="22"/>
        </w:rPr>
        <w:t xml:space="preserve"> the Federal Communication</w:t>
      </w:r>
      <w:r w:rsidR="00E946D7">
        <w:rPr>
          <w:sz w:val="22"/>
          <w:szCs w:val="22"/>
        </w:rPr>
        <w:t>s</w:t>
      </w:r>
      <w:r>
        <w:rPr>
          <w:sz w:val="22"/>
          <w:szCs w:val="22"/>
        </w:rPr>
        <w:t xml:space="preserve"> Commission’s </w:t>
      </w:r>
      <w:r w:rsidR="002A348D">
        <w:rPr>
          <w:sz w:val="22"/>
          <w:szCs w:val="22"/>
        </w:rPr>
        <w:t>Electronic</w:t>
      </w:r>
      <w:r>
        <w:rPr>
          <w:sz w:val="22"/>
          <w:szCs w:val="22"/>
        </w:rPr>
        <w:t xml:space="preserve"> Tariff Filing System (ETFS) to file their tariffs and related documents.</w:t>
      </w:r>
      <w:r w:rsidRPr="00031AEE" w:rsidR="00547E8D">
        <w:rPr>
          <w:sz w:val="22"/>
          <w:szCs w:val="22"/>
        </w:rPr>
        <w:t xml:space="preserve"> </w:t>
      </w:r>
      <w:r w:rsidR="00273B4B">
        <w:rPr>
          <w:sz w:val="22"/>
          <w:szCs w:val="22"/>
        </w:rPr>
        <w:t xml:space="preserve"> </w:t>
      </w:r>
    </w:p>
    <w:p w:rsidR="00D95D9A" w:rsidP="004E2785" w14:paraId="3E8397EB" w14:textId="77777777">
      <w:pPr>
        <w:ind w:firstLine="720"/>
        <w:rPr>
          <w:sz w:val="22"/>
          <w:szCs w:val="22"/>
        </w:rPr>
      </w:pPr>
    </w:p>
    <w:p w:rsidR="00273B4B" w:rsidP="00F87FC0" w14:paraId="5967F26E" w14:textId="77777777">
      <w:pPr>
        <w:pStyle w:val="ParaNumChar1"/>
        <w:tabs>
          <w:tab w:val="left" w:pos="720"/>
          <w:tab w:val="clear" w:pos="1080"/>
          <w:tab w:val="clear" w:pos="1440"/>
        </w:tabs>
        <w:ind w:firstLine="0"/>
      </w:pPr>
      <w:r>
        <w:tab/>
      </w:r>
      <w:r w:rsidR="009C3242">
        <w:t>I</w:t>
      </w:r>
      <w:r>
        <w:t xml:space="preserve">ncumbent local exchange carriers (LECs) file their tariffs and associated documents electronically, using ETFS.  ETFS has improved the usefulness of tariff filings for both filers and the public and made the entire tariff filing process more transparent.  </w:t>
      </w:r>
      <w:r w:rsidR="004D59A6">
        <w:t>On July 15, 2010, i</w:t>
      </w:r>
      <w:r>
        <w:t xml:space="preserve">n the </w:t>
      </w:r>
      <w:r w:rsidRPr="00D0439A">
        <w:rPr>
          <w:i/>
        </w:rPr>
        <w:t>Notice of Proposed Rulemaking</w:t>
      </w:r>
      <w:r>
        <w:t xml:space="preserve"> (NPRM)</w:t>
      </w:r>
      <w:r w:rsidR="0056595D">
        <w:t>,</w:t>
      </w:r>
      <w:r>
        <w:t xml:space="preserve"> </w:t>
      </w:r>
      <w:r w:rsidR="004D59A6">
        <w:t xml:space="preserve">Electronic Tariff Filing System (ETFS), </w:t>
      </w:r>
      <w:r w:rsidR="0056595D">
        <w:t xml:space="preserve">in WC Docket No. 10-141, </w:t>
      </w:r>
      <w:r w:rsidR="00CB0481">
        <w:t xml:space="preserve">FCC 10-127, </w:t>
      </w:r>
      <w:r w:rsidR="009C3242">
        <w:t>the Commission</w:t>
      </w:r>
      <w:r>
        <w:t xml:space="preserve"> initiate</w:t>
      </w:r>
      <w:r w:rsidR="00402B75">
        <w:t>d</w:t>
      </w:r>
      <w:r>
        <w:t xml:space="preserve"> a rulemaking proceeding to consider extending the existing electronic filing requiremen</w:t>
      </w:r>
      <w:r w:rsidR="0056595D">
        <w:t>t to all tariff filing entities</w:t>
      </w:r>
      <w:r w:rsidR="008B2127">
        <w:t xml:space="preserve">. </w:t>
      </w:r>
      <w:r>
        <w:t xml:space="preserve">  </w:t>
      </w:r>
    </w:p>
    <w:p w:rsidR="00F87FC0" w:rsidP="00F87FC0" w14:paraId="03CC3A8F" w14:textId="77777777">
      <w:pPr>
        <w:pStyle w:val="ParaNumChar1"/>
        <w:tabs>
          <w:tab w:val="left" w:pos="720"/>
          <w:tab w:val="clear" w:pos="1080"/>
          <w:tab w:val="clear" w:pos="1440"/>
        </w:tabs>
        <w:ind w:firstLine="0"/>
        <w:rPr>
          <w:szCs w:val="22"/>
        </w:rPr>
      </w:pPr>
      <w:r>
        <w:tab/>
      </w:r>
      <w:r w:rsidR="004D59A6">
        <w:t>On June 9, 2011, t</w:t>
      </w:r>
      <w:r>
        <w:t xml:space="preserve">he Commission released </w:t>
      </w:r>
      <w:r w:rsidRPr="00DC0515">
        <w:t xml:space="preserve">a </w:t>
      </w:r>
      <w:r w:rsidRPr="00D0439A">
        <w:rPr>
          <w:i/>
        </w:rPr>
        <w:t>Report and Order</w:t>
      </w:r>
      <w:r w:rsidRPr="00DC0515">
        <w:t xml:space="preserve">, </w:t>
      </w:r>
      <w:r w:rsidR="004D59A6">
        <w:t xml:space="preserve">Electronic Tariff Filing System (ETFS), WC Docket No. 10-144, </w:t>
      </w:r>
      <w:r w:rsidRPr="00DC0515">
        <w:t>FCC 11-92,</w:t>
      </w:r>
      <w:r w:rsidR="00DC0515">
        <w:t xml:space="preserve"> creating</w:t>
      </w:r>
      <w:r>
        <w:t xml:space="preserve"> a more open, transparent and efficient flow of information to the public, </w:t>
      </w:r>
      <w:r w:rsidR="00DC0515">
        <w:t>and</w:t>
      </w:r>
      <w:r>
        <w:t xml:space="preserve"> </w:t>
      </w:r>
      <w:r w:rsidR="00E5494C">
        <w:t>determined that</w:t>
      </w:r>
      <w:r>
        <w:t xml:space="preserve"> the benefits of using ETFS for incumbent LEC tariff filings would also be obtained if all tariff filers filed electronically.  </w:t>
      </w:r>
      <w:r w:rsidR="009C3242">
        <w:t>S</w:t>
      </w:r>
      <w:r>
        <w:t xml:space="preserve">uch action will benefit the public and carriers by creating a central system providing online access to all carrier tariffs </w:t>
      </w:r>
      <w:r w:rsidR="0056595D">
        <w:t xml:space="preserve">and related documents </w:t>
      </w:r>
      <w:r>
        <w:t>filed with the Commission</w:t>
      </w:r>
      <w:r>
        <w:rPr>
          <w:szCs w:val="22"/>
        </w:rPr>
        <w:t xml:space="preserve">. </w:t>
      </w:r>
      <w:r w:rsidR="009C3242">
        <w:t xml:space="preserve"> As such</w:t>
      </w:r>
      <w:r w:rsidR="00402B75">
        <w:t xml:space="preserve">, competitive LECs (and other nondominant carriers) </w:t>
      </w:r>
      <w:r w:rsidR="009C3242">
        <w:t>must now</w:t>
      </w:r>
      <w:r w:rsidR="00402B75">
        <w:t xml:space="preserve"> file tariffs and associated documents electronically.  </w:t>
      </w:r>
    </w:p>
    <w:p w:rsidR="00F87FC0" w:rsidRPr="00F87FC0" w:rsidP="004E2785" w14:paraId="4CEF3632" w14:textId="77777777">
      <w:pPr>
        <w:ind w:firstLine="720"/>
        <w:rPr>
          <w:sz w:val="22"/>
          <w:szCs w:val="22"/>
        </w:rPr>
      </w:pPr>
      <w:r w:rsidRPr="00F87FC0">
        <w:rPr>
          <w:sz w:val="22"/>
          <w:szCs w:val="22"/>
        </w:rPr>
        <w:t>In adopting the Telecommunications Act of 1996 (1996 Act), Congress sought to establish “a pro-competitive, de-regulatory national policy framework” for the telecommunications industry.  Consistent with that goal, section 402(b)(1)(A)(iii) of the 1996 Act added section 204(a)(3) to the Communications Act of 1934, as amended, providing for streamlined tariff filings by local exchange carriers.</w:t>
      </w:r>
      <w:r w:rsidR="00D81AC9">
        <w:rPr>
          <w:sz w:val="22"/>
          <w:szCs w:val="22"/>
        </w:rPr>
        <w:t xml:space="preserve"> </w:t>
      </w:r>
      <w:r>
        <w:rPr>
          <w:sz w:val="22"/>
          <w:szCs w:val="22"/>
        </w:rPr>
        <w:t xml:space="preserve"> The </w:t>
      </w:r>
      <w:r w:rsidR="009C3242">
        <w:rPr>
          <w:sz w:val="22"/>
          <w:szCs w:val="22"/>
        </w:rPr>
        <w:t>action taken</w:t>
      </w:r>
      <w:r>
        <w:rPr>
          <w:sz w:val="22"/>
          <w:szCs w:val="22"/>
        </w:rPr>
        <w:t xml:space="preserve"> in this proceeding advance</w:t>
      </w:r>
      <w:r w:rsidR="009C3242">
        <w:rPr>
          <w:sz w:val="22"/>
          <w:szCs w:val="22"/>
        </w:rPr>
        <w:t>s</w:t>
      </w:r>
      <w:r>
        <w:rPr>
          <w:sz w:val="22"/>
          <w:szCs w:val="22"/>
        </w:rPr>
        <w:t xml:space="preserve"> the goals of the 1996 Act by allowing more efficient and better access to the tariffs and related documents of all telecommunications carriers.</w:t>
      </w:r>
      <w:r w:rsidRPr="00F87FC0">
        <w:rPr>
          <w:sz w:val="22"/>
          <w:szCs w:val="22"/>
        </w:rPr>
        <w:t xml:space="preserve"> </w:t>
      </w:r>
    </w:p>
    <w:p w:rsidR="0054337F" w:rsidRPr="00031AEE" w:rsidP="00F87FC0" w14:paraId="0FFF097D" w14:textId="77777777">
      <w:pPr>
        <w:rPr>
          <w:sz w:val="22"/>
          <w:szCs w:val="22"/>
        </w:rPr>
      </w:pPr>
    </w:p>
    <w:p w:rsidR="0054337F" w:rsidRPr="00031AEE" w:rsidP="004E2785" w14:paraId="461BB469" w14:textId="77777777">
      <w:pPr>
        <w:ind w:firstLine="720"/>
        <w:rPr>
          <w:sz w:val="22"/>
          <w:szCs w:val="22"/>
        </w:rPr>
      </w:pPr>
      <w:r w:rsidRPr="00031AEE">
        <w:rPr>
          <w:sz w:val="22"/>
          <w:szCs w:val="22"/>
        </w:rPr>
        <w:t>Statutory authority for this information collection is contained in Sections</w:t>
      </w:r>
      <w:r w:rsidRPr="00031AEE" w:rsidR="00BB66E5">
        <w:rPr>
          <w:sz w:val="22"/>
          <w:szCs w:val="22"/>
        </w:rPr>
        <w:t>:</w:t>
      </w:r>
      <w:r w:rsidRPr="00031AEE" w:rsidR="009666E0">
        <w:rPr>
          <w:sz w:val="22"/>
          <w:szCs w:val="22"/>
        </w:rPr>
        <w:t xml:space="preserve"> </w:t>
      </w:r>
      <w:r w:rsidR="00732000">
        <w:rPr>
          <w:sz w:val="22"/>
          <w:szCs w:val="22"/>
        </w:rPr>
        <w:t xml:space="preserve">1, 2, 4(i), 201-205 and 226 (h)(1)(A) </w:t>
      </w:r>
      <w:r w:rsidRPr="0056595D" w:rsidR="009666E0">
        <w:rPr>
          <w:sz w:val="22"/>
          <w:szCs w:val="22"/>
        </w:rPr>
        <w:t>of the Communications Act of 1934, as amended, 47 U</w:t>
      </w:r>
      <w:r w:rsidR="00732000">
        <w:rPr>
          <w:sz w:val="22"/>
          <w:szCs w:val="22"/>
        </w:rPr>
        <w:t xml:space="preserve">.S.C. §§ 151, 152, 154(i), 201- </w:t>
      </w:r>
      <w:r w:rsidRPr="0056595D" w:rsidR="009666E0">
        <w:rPr>
          <w:sz w:val="22"/>
          <w:szCs w:val="22"/>
        </w:rPr>
        <w:t>2</w:t>
      </w:r>
      <w:r w:rsidRPr="0056595D" w:rsidR="0056595D">
        <w:rPr>
          <w:sz w:val="22"/>
          <w:szCs w:val="22"/>
        </w:rPr>
        <w:t>0</w:t>
      </w:r>
      <w:r w:rsidR="00732000">
        <w:rPr>
          <w:sz w:val="22"/>
          <w:szCs w:val="22"/>
        </w:rPr>
        <w:t>5 and 226(h)(1)(A)</w:t>
      </w:r>
      <w:r w:rsidRPr="0056595D" w:rsidR="009666E0">
        <w:rPr>
          <w:sz w:val="22"/>
          <w:szCs w:val="22"/>
        </w:rPr>
        <w:t>.</w:t>
      </w:r>
      <w:r w:rsidRPr="0056595D" w:rsidR="00AC30F1">
        <w:rPr>
          <w:sz w:val="22"/>
          <w:szCs w:val="22"/>
        </w:rPr>
        <w:t xml:space="preserve"> </w:t>
      </w:r>
    </w:p>
    <w:p w:rsidR="003C2CAC" w:rsidRPr="00031AEE" w:rsidP="00031AEE" w14:paraId="2FE4FC3C" w14:textId="77777777">
      <w:pPr>
        <w:ind w:firstLine="720"/>
        <w:rPr>
          <w:sz w:val="22"/>
          <w:szCs w:val="22"/>
        </w:rPr>
      </w:pPr>
    </w:p>
    <w:p w:rsidR="003C2CAC" w:rsidRPr="00031AEE" w:rsidP="003A788C" w14:paraId="7EAD4656" w14:textId="77777777">
      <w:pPr>
        <w:ind w:firstLine="720"/>
        <w:rPr>
          <w:bCs/>
          <w:sz w:val="22"/>
          <w:szCs w:val="22"/>
        </w:rPr>
      </w:pPr>
      <w:r>
        <w:rPr>
          <w:bCs/>
          <w:sz w:val="22"/>
          <w:szCs w:val="22"/>
        </w:rPr>
        <w:t>T</w:t>
      </w:r>
      <w:r w:rsidRPr="00031AEE">
        <w:rPr>
          <w:bCs/>
          <w:sz w:val="22"/>
          <w:szCs w:val="22"/>
        </w:rPr>
        <w:t>his information collection does not affect individuals or households; thus, there are no impacts under the Privacy Act.</w:t>
      </w:r>
    </w:p>
    <w:p w:rsidR="0054337F" w:rsidRPr="00031AEE" w:rsidP="00031AEE" w14:paraId="58704874" w14:textId="77777777">
      <w:pPr>
        <w:ind w:firstLine="720"/>
        <w:rPr>
          <w:sz w:val="22"/>
          <w:szCs w:val="22"/>
        </w:rPr>
      </w:pPr>
    </w:p>
    <w:p w:rsidR="0054337F" w:rsidRPr="00883F54" w:rsidP="00500DAF" w14:paraId="669863AE" w14:textId="77777777">
      <w:pPr>
        <w:pStyle w:val="Heading2"/>
        <w:numPr>
          <w:ilvl w:val="0"/>
          <w:numId w:val="0"/>
        </w:numPr>
        <w:ind w:firstLine="720"/>
        <w:rPr>
          <w:rFonts w:ascii="Times New Roman" w:hAnsi="Times New Roman"/>
          <w:b w:val="0"/>
          <w:sz w:val="22"/>
          <w:szCs w:val="22"/>
          <w:highlight w:val="yellow"/>
        </w:rPr>
      </w:pPr>
      <w:r w:rsidRPr="00031AEE">
        <w:rPr>
          <w:rFonts w:ascii="Times New Roman" w:hAnsi="Times New Roman"/>
          <w:b w:val="0"/>
          <w:sz w:val="22"/>
          <w:szCs w:val="22"/>
        </w:rPr>
        <w:t xml:space="preserve">2. </w:t>
      </w:r>
      <w:r w:rsidRPr="00031AEE" w:rsidR="00A01795">
        <w:rPr>
          <w:rFonts w:ascii="Times New Roman" w:hAnsi="Times New Roman"/>
          <w:b w:val="0"/>
          <w:sz w:val="22"/>
          <w:szCs w:val="22"/>
        </w:rPr>
        <w:t xml:space="preserve"> </w:t>
      </w:r>
      <w:r w:rsidRPr="008D5D4A" w:rsidR="00500DAF">
        <w:rPr>
          <w:rFonts w:ascii="Times New Roman" w:hAnsi="Times New Roman"/>
          <w:b w:val="0"/>
          <w:sz w:val="22"/>
          <w:szCs w:val="22"/>
        </w:rPr>
        <w:t>The mandatory electronic filing of all tariffs and tariff-related documents by all carriers will allow for easier access to these documents by the public, other carriers and Commission staff</w:t>
      </w:r>
      <w:r w:rsidRPr="008D5D4A" w:rsidR="0035382C">
        <w:rPr>
          <w:rFonts w:ascii="Times New Roman" w:hAnsi="Times New Roman"/>
          <w:b w:val="0"/>
          <w:sz w:val="22"/>
          <w:szCs w:val="22"/>
        </w:rPr>
        <w:t>.  This will ensure</w:t>
      </w:r>
      <w:r w:rsidRPr="008D5D4A" w:rsidR="00500DAF">
        <w:rPr>
          <w:rFonts w:ascii="Times New Roman" w:hAnsi="Times New Roman"/>
          <w:sz w:val="22"/>
          <w:szCs w:val="22"/>
        </w:rPr>
        <w:t xml:space="preserve"> </w:t>
      </w:r>
      <w:r w:rsidRPr="008D5D4A" w:rsidR="00500DAF">
        <w:rPr>
          <w:rFonts w:ascii="Times New Roman" w:hAnsi="Times New Roman"/>
          <w:b w:val="0"/>
          <w:sz w:val="22"/>
          <w:szCs w:val="22"/>
        </w:rPr>
        <w:t>a more open, transparent and efficient flow of information</w:t>
      </w:r>
      <w:r w:rsidR="00483044">
        <w:rPr>
          <w:rFonts w:ascii="Times New Roman" w:hAnsi="Times New Roman"/>
          <w:b w:val="0"/>
          <w:sz w:val="22"/>
          <w:szCs w:val="22"/>
        </w:rPr>
        <w:t xml:space="preserve">.  </w:t>
      </w:r>
      <w:r w:rsidRPr="008D5D4A" w:rsidR="0035382C">
        <w:rPr>
          <w:rFonts w:ascii="Times New Roman" w:hAnsi="Times New Roman"/>
          <w:b w:val="0"/>
          <w:sz w:val="22"/>
          <w:szCs w:val="22"/>
        </w:rPr>
        <w:t xml:space="preserve">Mandatory electronic filing </w:t>
      </w:r>
      <w:r w:rsidRPr="008D5D4A" w:rsidR="000C71A2">
        <w:rPr>
          <w:rFonts w:ascii="Times New Roman" w:hAnsi="Times New Roman"/>
          <w:b w:val="0"/>
          <w:sz w:val="22"/>
          <w:szCs w:val="22"/>
        </w:rPr>
        <w:t xml:space="preserve">will benefit the public </w:t>
      </w:r>
      <w:r w:rsidRPr="008D5D4A" w:rsidR="00500DAF">
        <w:rPr>
          <w:rFonts w:ascii="Times New Roman" w:hAnsi="Times New Roman"/>
          <w:b w:val="0"/>
          <w:sz w:val="22"/>
          <w:szCs w:val="22"/>
        </w:rPr>
        <w:t>and carriers by creating a central system providing online access to all carrier tariffs and related docum</w:t>
      </w:r>
      <w:r w:rsidR="008D5D4A">
        <w:rPr>
          <w:rFonts w:ascii="Times New Roman" w:hAnsi="Times New Roman"/>
          <w:b w:val="0"/>
          <w:sz w:val="22"/>
          <w:szCs w:val="22"/>
        </w:rPr>
        <w:t>ents filed with the Commission.</w:t>
      </w:r>
      <w:r w:rsidRPr="00883F54" w:rsidR="0056595D">
        <w:rPr>
          <w:rFonts w:ascii="Times New Roman" w:hAnsi="Times New Roman"/>
          <w:b w:val="0"/>
          <w:sz w:val="22"/>
          <w:szCs w:val="22"/>
          <w:highlight w:val="yellow"/>
        </w:rPr>
        <w:t xml:space="preserve"> </w:t>
      </w:r>
    </w:p>
    <w:p w:rsidR="00483044" w:rsidP="00031AEE" w14:paraId="7F34E65F" w14:textId="77777777">
      <w:pPr>
        <w:pStyle w:val="Numberedparagraphs"/>
        <w:numPr>
          <w:ilvl w:val="0"/>
          <w:numId w:val="0"/>
        </w:numPr>
        <w:tabs>
          <w:tab w:val="left" w:pos="720"/>
          <w:tab w:val="clear" w:pos="1440"/>
        </w:tabs>
        <w:rPr>
          <w:sz w:val="22"/>
          <w:szCs w:val="22"/>
        </w:rPr>
      </w:pPr>
      <w:r w:rsidRPr="00483044">
        <w:rPr>
          <w:sz w:val="22"/>
          <w:szCs w:val="22"/>
        </w:rPr>
        <w:tab/>
      </w:r>
      <w:r w:rsidRPr="00483044">
        <w:rPr>
          <w:sz w:val="22"/>
          <w:szCs w:val="22"/>
        </w:rPr>
        <w:t xml:space="preserve">3.  </w:t>
      </w:r>
      <w:r w:rsidR="00A805C0">
        <w:rPr>
          <w:sz w:val="22"/>
          <w:szCs w:val="22"/>
        </w:rPr>
        <w:t>All tariff filers must</w:t>
      </w:r>
      <w:r w:rsidRPr="00483044" w:rsidR="00297031">
        <w:rPr>
          <w:sz w:val="22"/>
          <w:szCs w:val="22"/>
        </w:rPr>
        <w:t xml:space="preserve"> file tariffs and associated documents electronically because the Commission has determined that this method</w:t>
      </w:r>
      <w:r w:rsidRPr="00483044" w:rsidR="00386C21">
        <w:rPr>
          <w:sz w:val="22"/>
          <w:szCs w:val="22"/>
        </w:rPr>
        <w:t xml:space="preserve"> </w:t>
      </w:r>
      <w:r w:rsidRPr="00483044" w:rsidR="00297031">
        <w:rPr>
          <w:sz w:val="22"/>
          <w:szCs w:val="22"/>
        </w:rPr>
        <w:t>will benefit the public and carriers by creating a central system providing online access to all carrier tariffs and related documents filed with the Commission</w:t>
      </w:r>
      <w:r w:rsidRPr="00483044" w:rsidR="00386C21">
        <w:rPr>
          <w:sz w:val="22"/>
          <w:szCs w:val="22"/>
        </w:rPr>
        <w:t>.</w:t>
      </w:r>
      <w:r w:rsidRPr="00483044" w:rsidR="00563DA1">
        <w:rPr>
          <w:sz w:val="22"/>
          <w:szCs w:val="22"/>
        </w:rPr>
        <w:t xml:space="preserve">  The Commission will continue to consider new ways to reduce burdens on the public through the use of improved information technology.</w:t>
      </w:r>
      <w:r>
        <w:rPr>
          <w:sz w:val="22"/>
          <w:szCs w:val="22"/>
        </w:rPr>
        <w:tab/>
      </w:r>
    </w:p>
    <w:p w:rsidR="00237B1E" w:rsidRPr="00031AEE" w:rsidP="00031AEE" w14:paraId="2B76B463" w14:textId="77777777">
      <w:pPr>
        <w:pStyle w:val="Numberedparagraphs"/>
        <w:numPr>
          <w:ilvl w:val="0"/>
          <w:numId w:val="0"/>
        </w:numPr>
        <w:tabs>
          <w:tab w:val="left" w:pos="720"/>
          <w:tab w:val="clear" w:pos="1440"/>
        </w:tabs>
        <w:rPr>
          <w:sz w:val="22"/>
          <w:szCs w:val="22"/>
        </w:rPr>
      </w:pPr>
      <w:r>
        <w:rPr>
          <w:sz w:val="22"/>
          <w:szCs w:val="22"/>
        </w:rPr>
        <w:tab/>
      </w:r>
      <w:r w:rsidRPr="00031AEE" w:rsidR="003A34A0">
        <w:rPr>
          <w:sz w:val="22"/>
          <w:szCs w:val="22"/>
        </w:rPr>
        <w:t xml:space="preserve">4. </w:t>
      </w:r>
      <w:r w:rsidR="00B6691B">
        <w:rPr>
          <w:sz w:val="22"/>
          <w:szCs w:val="22"/>
        </w:rPr>
        <w:t xml:space="preserve"> </w:t>
      </w:r>
      <w:r w:rsidRPr="00031AEE">
        <w:rPr>
          <w:sz w:val="22"/>
          <w:szCs w:val="22"/>
        </w:rPr>
        <w:t xml:space="preserve">The Commission is not aware of any similar information already available that can be used or modified for the purposes described in Item 2 above.  </w:t>
      </w:r>
    </w:p>
    <w:p w:rsidR="00237B1E" w:rsidRPr="00031AEE" w:rsidP="00031AEE" w14:paraId="03F306C5" w14:textId="77777777">
      <w:pPr>
        <w:pStyle w:val="Numberedparagraphs"/>
        <w:numPr>
          <w:ilvl w:val="0"/>
          <w:numId w:val="0"/>
        </w:numPr>
        <w:tabs>
          <w:tab w:val="left" w:pos="720"/>
          <w:tab w:val="clear" w:pos="1440"/>
        </w:tabs>
        <w:rPr>
          <w:sz w:val="22"/>
          <w:szCs w:val="22"/>
        </w:rPr>
      </w:pPr>
      <w:r>
        <w:rPr>
          <w:sz w:val="22"/>
          <w:szCs w:val="22"/>
        </w:rPr>
        <w:tab/>
      </w:r>
      <w:r w:rsidRPr="00031AEE" w:rsidR="003A34A0">
        <w:rPr>
          <w:sz w:val="22"/>
          <w:szCs w:val="22"/>
        </w:rPr>
        <w:t xml:space="preserve">5.  </w:t>
      </w:r>
      <w:r w:rsidRPr="00031AEE" w:rsidR="00AC30F1">
        <w:rPr>
          <w:sz w:val="22"/>
          <w:szCs w:val="22"/>
        </w:rPr>
        <w:t>Because</w:t>
      </w:r>
      <w:r w:rsidRPr="00031AEE">
        <w:rPr>
          <w:sz w:val="22"/>
          <w:szCs w:val="22"/>
        </w:rPr>
        <w:t xml:space="preserve"> </w:t>
      </w:r>
      <w:r w:rsidRPr="00031AEE" w:rsidR="00402DEB">
        <w:rPr>
          <w:sz w:val="22"/>
          <w:szCs w:val="22"/>
        </w:rPr>
        <w:t>th</w:t>
      </w:r>
      <w:r w:rsidRPr="00031AEE" w:rsidR="007C76BF">
        <w:rPr>
          <w:sz w:val="22"/>
          <w:szCs w:val="22"/>
        </w:rPr>
        <w:t xml:space="preserve">e Commission </w:t>
      </w:r>
      <w:r w:rsidR="009C3242">
        <w:rPr>
          <w:sz w:val="22"/>
          <w:szCs w:val="22"/>
        </w:rPr>
        <w:t>requires</w:t>
      </w:r>
      <w:r w:rsidR="0056595D">
        <w:rPr>
          <w:sz w:val="22"/>
          <w:szCs w:val="22"/>
        </w:rPr>
        <w:t xml:space="preserve"> t</w:t>
      </w:r>
      <w:r w:rsidRPr="00031AEE">
        <w:rPr>
          <w:sz w:val="22"/>
          <w:szCs w:val="22"/>
        </w:rPr>
        <w:t xml:space="preserve">hat all </w:t>
      </w:r>
      <w:r w:rsidR="00F87FC0">
        <w:rPr>
          <w:sz w:val="22"/>
          <w:szCs w:val="22"/>
        </w:rPr>
        <w:t>local exchange carriers</w:t>
      </w:r>
      <w:r w:rsidRPr="00031AEE" w:rsidR="00402DEB">
        <w:rPr>
          <w:sz w:val="22"/>
          <w:szCs w:val="22"/>
        </w:rPr>
        <w:t xml:space="preserve"> </w:t>
      </w:r>
      <w:r w:rsidRPr="00031AEE" w:rsidR="00AC30F1">
        <w:rPr>
          <w:sz w:val="22"/>
          <w:szCs w:val="22"/>
        </w:rPr>
        <w:t>comply with</w:t>
      </w:r>
      <w:r w:rsidR="00F87FC0">
        <w:rPr>
          <w:sz w:val="22"/>
          <w:szCs w:val="22"/>
        </w:rPr>
        <w:t xml:space="preserve"> the </w:t>
      </w:r>
      <w:r w:rsidRPr="00031AEE" w:rsidR="00402DEB">
        <w:rPr>
          <w:sz w:val="22"/>
          <w:szCs w:val="22"/>
        </w:rPr>
        <w:t>requirements identified above</w:t>
      </w:r>
      <w:r w:rsidRPr="00031AEE" w:rsidR="00AC30F1">
        <w:rPr>
          <w:sz w:val="22"/>
          <w:szCs w:val="22"/>
        </w:rPr>
        <w:t>,</w:t>
      </w:r>
      <w:r w:rsidRPr="00031AEE" w:rsidR="00402DEB">
        <w:rPr>
          <w:sz w:val="22"/>
          <w:szCs w:val="22"/>
        </w:rPr>
        <w:t xml:space="preserve"> the</w:t>
      </w:r>
      <w:r w:rsidRPr="00031AEE">
        <w:rPr>
          <w:sz w:val="22"/>
          <w:szCs w:val="22"/>
        </w:rPr>
        <w:t xml:space="preserve"> collections may affect small entities, as well as large entities.  The Commission has taken steps to ensure that these mechani</w:t>
      </w:r>
      <w:r w:rsidRPr="00031AEE" w:rsidR="00402DEB">
        <w:rPr>
          <w:sz w:val="22"/>
          <w:szCs w:val="22"/>
        </w:rPr>
        <w:t xml:space="preserve">sms are competitively neutral </w:t>
      </w:r>
      <w:r w:rsidRPr="00031AEE" w:rsidR="00AC30F1">
        <w:rPr>
          <w:sz w:val="22"/>
          <w:szCs w:val="22"/>
        </w:rPr>
        <w:t>and therefore not unduly burdensome for any set of carriers.</w:t>
      </w:r>
      <w:r w:rsidRPr="00031AEE">
        <w:rPr>
          <w:sz w:val="22"/>
          <w:szCs w:val="22"/>
        </w:rPr>
        <w:t xml:space="preserve">  </w:t>
      </w:r>
    </w:p>
    <w:p w:rsidR="00237B1E" w:rsidRPr="00031AEE" w:rsidP="00031AEE" w14:paraId="1D576E03" w14:textId="77777777">
      <w:pPr>
        <w:pStyle w:val="Numberedparagraphs"/>
        <w:numPr>
          <w:ilvl w:val="0"/>
          <w:numId w:val="0"/>
        </w:numPr>
        <w:tabs>
          <w:tab w:val="left" w:pos="720"/>
          <w:tab w:val="clear" w:pos="1440"/>
        </w:tabs>
        <w:rPr>
          <w:sz w:val="22"/>
          <w:szCs w:val="22"/>
        </w:rPr>
      </w:pPr>
      <w:r>
        <w:rPr>
          <w:sz w:val="22"/>
          <w:szCs w:val="22"/>
        </w:rPr>
        <w:tab/>
      </w:r>
      <w:r w:rsidRPr="00031AEE" w:rsidR="003A34A0">
        <w:rPr>
          <w:sz w:val="22"/>
          <w:szCs w:val="22"/>
        </w:rPr>
        <w:t>6.</w:t>
      </w:r>
      <w:r w:rsidR="00B6691B">
        <w:rPr>
          <w:sz w:val="22"/>
          <w:szCs w:val="22"/>
        </w:rPr>
        <w:t xml:space="preserve"> </w:t>
      </w:r>
      <w:r w:rsidRPr="00031AEE" w:rsidR="003A34A0">
        <w:rPr>
          <w:sz w:val="22"/>
          <w:szCs w:val="22"/>
        </w:rPr>
        <w:t xml:space="preserve"> </w:t>
      </w:r>
      <w:r w:rsidR="0056595D">
        <w:rPr>
          <w:sz w:val="22"/>
          <w:szCs w:val="22"/>
        </w:rPr>
        <w:t xml:space="preserve">The 1996 Act requires the streamlining of the tariffing process.  This effort was started in 1998 with incumbent LECs filing tariffs via ETFS and this </w:t>
      </w:r>
      <w:r w:rsidR="009C3242">
        <w:rPr>
          <w:sz w:val="22"/>
          <w:szCs w:val="22"/>
        </w:rPr>
        <w:t>item</w:t>
      </w:r>
      <w:r w:rsidR="0056595D">
        <w:rPr>
          <w:sz w:val="22"/>
          <w:szCs w:val="22"/>
        </w:rPr>
        <w:t xml:space="preserve"> extend</w:t>
      </w:r>
      <w:r w:rsidR="009C3242">
        <w:rPr>
          <w:sz w:val="22"/>
          <w:szCs w:val="22"/>
        </w:rPr>
        <w:t>s</w:t>
      </w:r>
      <w:r w:rsidR="0056595D">
        <w:rPr>
          <w:sz w:val="22"/>
          <w:szCs w:val="22"/>
        </w:rPr>
        <w:t xml:space="preserve"> that requirement to all carriers.  This requirement provide</w:t>
      </w:r>
      <w:r w:rsidR="00E5494C">
        <w:rPr>
          <w:sz w:val="22"/>
          <w:szCs w:val="22"/>
        </w:rPr>
        <w:t>s</w:t>
      </w:r>
      <w:r w:rsidR="0056595D">
        <w:rPr>
          <w:sz w:val="22"/>
          <w:szCs w:val="22"/>
        </w:rPr>
        <w:t xml:space="preserve"> the Commission, and the public, with easier and more immediate access to tariff documents thus easing compliance with the 1996 Act</w:t>
      </w:r>
      <w:r w:rsidRPr="00031AEE">
        <w:rPr>
          <w:sz w:val="22"/>
          <w:szCs w:val="22"/>
        </w:rPr>
        <w:t>.</w:t>
      </w:r>
    </w:p>
    <w:p w:rsidR="00237B1E" w:rsidRPr="00031AEE" w:rsidP="00031AEE" w14:paraId="3E2436A4" w14:textId="77777777">
      <w:pPr>
        <w:pStyle w:val="Numberedparagraphs"/>
        <w:numPr>
          <w:ilvl w:val="0"/>
          <w:numId w:val="0"/>
        </w:numPr>
        <w:tabs>
          <w:tab w:val="left" w:pos="720"/>
          <w:tab w:val="clear" w:pos="1440"/>
        </w:tabs>
        <w:rPr>
          <w:sz w:val="22"/>
          <w:szCs w:val="22"/>
        </w:rPr>
      </w:pPr>
      <w:r>
        <w:rPr>
          <w:sz w:val="22"/>
          <w:szCs w:val="22"/>
        </w:rPr>
        <w:tab/>
      </w:r>
      <w:r w:rsidR="00B6691B">
        <w:rPr>
          <w:sz w:val="22"/>
          <w:szCs w:val="22"/>
        </w:rPr>
        <w:t xml:space="preserve">7.  </w:t>
      </w:r>
      <w:r w:rsidRPr="00031AEE">
        <w:rPr>
          <w:sz w:val="22"/>
          <w:szCs w:val="22"/>
        </w:rPr>
        <w:t xml:space="preserve">No other special circumstances will apply to this information collection. </w:t>
      </w:r>
    </w:p>
    <w:p w:rsidR="00237B1E" w:rsidRPr="00031AEE" w:rsidP="00031AEE" w14:paraId="0E510B58" w14:textId="62014B2F">
      <w:pPr>
        <w:pStyle w:val="Numberedparagraphs"/>
        <w:numPr>
          <w:ilvl w:val="0"/>
          <w:numId w:val="0"/>
        </w:numPr>
        <w:tabs>
          <w:tab w:val="left" w:pos="720"/>
          <w:tab w:val="clear" w:pos="1440"/>
        </w:tabs>
        <w:rPr>
          <w:sz w:val="22"/>
          <w:szCs w:val="22"/>
        </w:rPr>
      </w:pPr>
      <w:r>
        <w:rPr>
          <w:sz w:val="22"/>
          <w:szCs w:val="22"/>
        </w:rPr>
        <w:tab/>
      </w:r>
      <w:r w:rsidRPr="00031AEE" w:rsidR="003A34A0">
        <w:rPr>
          <w:sz w:val="22"/>
          <w:szCs w:val="22"/>
        </w:rPr>
        <w:t xml:space="preserve">8.  </w:t>
      </w:r>
      <w:r w:rsidRPr="00DC0515" w:rsidR="00273B4B">
        <w:rPr>
          <w:sz w:val="22"/>
          <w:szCs w:val="22"/>
        </w:rPr>
        <w:t>Pursuant to 5 CFR</w:t>
      </w:r>
      <w:r w:rsidRPr="00DC0515" w:rsidR="002B622D">
        <w:rPr>
          <w:sz w:val="22"/>
          <w:szCs w:val="22"/>
        </w:rPr>
        <w:t xml:space="preserve"> § 1320.8 (d)</w:t>
      </w:r>
      <w:r w:rsidRPr="00DC0515" w:rsidR="00273B4B">
        <w:rPr>
          <w:sz w:val="22"/>
          <w:szCs w:val="22"/>
        </w:rPr>
        <w:t>,</w:t>
      </w:r>
      <w:r w:rsidR="00E865EC">
        <w:rPr>
          <w:sz w:val="22"/>
          <w:szCs w:val="22"/>
        </w:rPr>
        <w:t xml:space="preserve"> the Commissi</w:t>
      </w:r>
      <w:r w:rsidR="00EC099C">
        <w:rPr>
          <w:sz w:val="22"/>
          <w:szCs w:val="22"/>
        </w:rPr>
        <w:t xml:space="preserve">on published a 60-Day </w:t>
      </w:r>
      <w:r w:rsidR="00AC77CC">
        <w:rPr>
          <w:sz w:val="22"/>
          <w:szCs w:val="22"/>
        </w:rPr>
        <w:t xml:space="preserve">on </w:t>
      </w:r>
      <w:r w:rsidR="00600612">
        <w:rPr>
          <w:sz w:val="22"/>
          <w:szCs w:val="22"/>
        </w:rPr>
        <w:t>September 30, 2025</w:t>
      </w:r>
      <w:r w:rsidR="00AC77CC">
        <w:rPr>
          <w:sz w:val="22"/>
          <w:szCs w:val="22"/>
        </w:rPr>
        <w:t xml:space="preserve"> (</w:t>
      </w:r>
      <w:r w:rsidR="00600612">
        <w:rPr>
          <w:sz w:val="22"/>
          <w:szCs w:val="22"/>
        </w:rPr>
        <w:t>90</w:t>
      </w:r>
      <w:r w:rsidR="00AC77CC">
        <w:rPr>
          <w:sz w:val="22"/>
          <w:szCs w:val="22"/>
        </w:rPr>
        <w:t xml:space="preserve"> </w:t>
      </w:r>
      <w:r w:rsidRPr="00DC0515" w:rsidR="00273B4B">
        <w:rPr>
          <w:sz w:val="22"/>
          <w:szCs w:val="22"/>
        </w:rPr>
        <w:t xml:space="preserve">FR </w:t>
      </w:r>
      <w:r w:rsidR="001B1323">
        <w:rPr>
          <w:sz w:val="22"/>
          <w:szCs w:val="22"/>
        </w:rPr>
        <w:t>46886</w:t>
      </w:r>
      <w:r w:rsidRPr="00DC0515" w:rsidR="00273B4B">
        <w:rPr>
          <w:sz w:val="22"/>
          <w:szCs w:val="22"/>
        </w:rPr>
        <w:t>).   No PRA comments were received</w:t>
      </w:r>
      <w:r w:rsidRPr="00DC0515" w:rsidR="002B622D">
        <w:rPr>
          <w:sz w:val="22"/>
          <w:szCs w:val="22"/>
        </w:rPr>
        <w:t>.</w:t>
      </w:r>
      <w:r w:rsidRPr="002B622D" w:rsidR="002B622D">
        <w:rPr>
          <w:sz w:val="22"/>
          <w:szCs w:val="22"/>
        </w:rPr>
        <w:t xml:space="preserve">  </w:t>
      </w:r>
      <w:r w:rsidR="00E5494C">
        <w:rPr>
          <w:sz w:val="22"/>
          <w:szCs w:val="22"/>
        </w:rPr>
        <w:t xml:space="preserve"> </w:t>
      </w:r>
    </w:p>
    <w:p w:rsidR="00237B1E" w:rsidRPr="00031AEE" w:rsidP="00031AEE" w14:paraId="562CF9AC" w14:textId="77777777">
      <w:pPr>
        <w:pStyle w:val="Numberedparagraphs"/>
        <w:numPr>
          <w:ilvl w:val="0"/>
          <w:numId w:val="0"/>
        </w:numPr>
        <w:tabs>
          <w:tab w:val="left" w:pos="720"/>
          <w:tab w:val="clear" w:pos="1440"/>
        </w:tabs>
        <w:rPr>
          <w:sz w:val="22"/>
          <w:szCs w:val="22"/>
        </w:rPr>
      </w:pPr>
      <w:r>
        <w:rPr>
          <w:sz w:val="22"/>
          <w:szCs w:val="22"/>
        </w:rPr>
        <w:tab/>
      </w:r>
      <w:r w:rsidRPr="00031AEE" w:rsidR="003A34A0">
        <w:rPr>
          <w:sz w:val="22"/>
          <w:szCs w:val="22"/>
        </w:rPr>
        <w:t xml:space="preserve">9.  </w:t>
      </w:r>
      <w:r w:rsidRPr="00031AEE">
        <w:rPr>
          <w:sz w:val="22"/>
          <w:szCs w:val="22"/>
        </w:rPr>
        <w:t>The Commission does not anticipate providing any payment or gift to respondents.</w:t>
      </w:r>
    </w:p>
    <w:p w:rsidR="00237B1E" w:rsidRPr="00031AEE" w:rsidP="00031AEE" w14:paraId="167318FF" w14:textId="77777777">
      <w:pPr>
        <w:pStyle w:val="Numberedparagraphs"/>
        <w:numPr>
          <w:ilvl w:val="0"/>
          <w:numId w:val="0"/>
        </w:numPr>
        <w:tabs>
          <w:tab w:val="left" w:pos="720"/>
          <w:tab w:val="clear" w:pos="1440"/>
        </w:tabs>
        <w:rPr>
          <w:sz w:val="22"/>
          <w:szCs w:val="22"/>
        </w:rPr>
      </w:pPr>
      <w:r>
        <w:rPr>
          <w:sz w:val="22"/>
          <w:szCs w:val="22"/>
        </w:rPr>
        <w:tab/>
      </w:r>
      <w:r w:rsidRPr="00031AEE" w:rsidR="003A34A0">
        <w:rPr>
          <w:sz w:val="22"/>
          <w:szCs w:val="22"/>
        </w:rPr>
        <w:t xml:space="preserve">10.  </w:t>
      </w:r>
      <w:r w:rsidRPr="00031AEE">
        <w:rPr>
          <w:sz w:val="22"/>
          <w:szCs w:val="22"/>
        </w:rPr>
        <w:t xml:space="preserve">The Commission </w:t>
      </w:r>
      <w:r w:rsidRPr="00031AEE" w:rsidR="001912C2">
        <w:rPr>
          <w:sz w:val="22"/>
          <w:szCs w:val="22"/>
        </w:rPr>
        <w:t xml:space="preserve">does not anticipate providing confidentiality of the information submitted by </w:t>
      </w:r>
      <w:r w:rsidR="00F87FC0">
        <w:rPr>
          <w:sz w:val="22"/>
          <w:szCs w:val="22"/>
        </w:rPr>
        <w:t>the local exchange carriers</w:t>
      </w:r>
      <w:r w:rsidRPr="00031AEE" w:rsidR="001912C2">
        <w:rPr>
          <w:sz w:val="22"/>
          <w:szCs w:val="22"/>
        </w:rPr>
        <w:t xml:space="preserve">.  Particularly, </w:t>
      </w:r>
      <w:r w:rsidR="00F87FC0">
        <w:rPr>
          <w:sz w:val="22"/>
          <w:szCs w:val="22"/>
        </w:rPr>
        <w:t>the tariffs and related documents</w:t>
      </w:r>
      <w:r w:rsidRPr="00031AEE" w:rsidR="001912C2">
        <w:rPr>
          <w:sz w:val="22"/>
          <w:szCs w:val="22"/>
        </w:rPr>
        <w:t xml:space="preserve"> sent to the Commission will be made p</w:t>
      </w:r>
      <w:r w:rsidR="00F87FC0">
        <w:rPr>
          <w:sz w:val="22"/>
          <w:szCs w:val="22"/>
        </w:rPr>
        <w:t>ublic through ETF</w:t>
      </w:r>
      <w:r w:rsidRPr="00031AEE" w:rsidR="001912C2">
        <w:rPr>
          <w:sz w:val="22"/>
          <w:szCs w:val="22"/>
        </w:rPr>
        <w:t xml:space="preserve">S.  </w:t>
      </w:r>
      <w:r w:rsidR="003A4A33">
        <w:rPr>
          <w:sz w:val="22"/>
          <w:szCs w:val="22"/>
        </w:rPr>
        <w:t xml:space="preserve">If the </w:t>
      </w:r>
      <w:r w:rsidR="00EA1162">
        <w:rPr>
          <w:sz w:val="22"/>
          <w:szCs w:val="22"/>
        </w:rPr>
        <w:t>respondents</w:t>
      </w:r>
      <w:r w:rsidR="003A4A33">
        <w:rPr>
          <w:sz w:val="22"/>
          <w:szCs w:val="22"/>
        </w:rPr>
        <w:t xml:space="preserve"> submit information they believe to be confidential, they may request confidential treatment of such information under section 0.459 of the Commission’s rules.</w:t>
      </w:r>
    </w:p>
    <w:p w:rsidR="00237B1E" w:rsidRPr="00031AEE" w:rsidP="00031AEE" w14:paraId="5892BC7C" w14:textId="77777777">
      <w:pPr>
        <w:pStyle w:val="Numberedparagraphs"/>
        <w:numPr>
          <w:ilvl w:val="0"/>
          <w:numId w:val="0"/>
        </w:numPr>
        <w:tabs>
          <w:tab w:val="left" w:pos="720"/>
          <w:tab w:val="clear" w:pos="1440"/>
        </w:tabs>
        <w:rPr>
          <w:sz w:val="22"/>
          <w:szCs w:val="22"/>
        </w:rPr>
      </w:pPr>
      <w:r>
        <w:rPr>
          <w:sz w:val="22"/>
          <w:szCs w:val="22"/>
        </w:rPr>
        <w:tab/>
      </w:r>
      <w:r w:rsidRPr="00031AEE" w:rsidR="00031AEE">
        <w:rPr>
          <w:sz w:val="22"/>
          <w:szCs w:val="22"/>
        </w:rPr>
        <w:t>11.</w:t>
      </w:r>
      <w:r w:rsidR="00B6691B">
        <w:rPr>
          <w:sz w:val="22"/>
          <w:szCs w:val="22"/>
        </w:rPr>
        <w:t xml:space="preserve"> </w:t>
      </w:r>
      <w:r w:rsidRPr="00031AEE" w:rsidR="003A34A0">
        <w:rPr>
          <w:sz w:val="22"/>
          <w:szCs w:val="22"/>
        </w:rPr>
        <w:t xml:space="preserve"> </w:t>
      </w:r>
      <w:r w:rsidRPr="00031AEE">
        <w:rPr>
          <w:sz w:val="22"/>
          <w:szCs w:val="22"/>
        </w:rPr>
        <w:t>The information collection does not address any matters of a sensitive nature.</w:t>
      </w:r>
    </w:p>
    <w:p w:rsidR="00B8320E" w:rsidRPr="00031AEE" w:rsidP="00031AEE" w14:paraId="1055D6B0" w14:textId="77777777">
      <w:pPr>
        <w:pStyle w:val="Numberedparagraphs"/>
        <w:numPr>
          <w:ilvl w:val="0"/>
          <w:numId w:val="0"/>
        </w:numPr>
        <w:tabs>
          <w:tab w:val="left" w:pos="720"/>
          <w:tab w:val="clear" w:pos="1440"/>
        </w:tabs>
        <w:rPr>
          <w:sz w:val="22"/>
          <w:szCs w:val="22"/>
        </w:rPr>
      </w:pPr>
      <w:r>
        <w:rPr>
          <w:sz w:val="22"/>
          <w:szCs w:val="22"/>
        </w:rPr>
        <w:tab/>
      </w:r>
      <w:r w:rsidRPr="00031AEE" w:rsidR="003A34A0">
        <w:rPr>
          <w:sz w:val="22"/>
          <w:szCs w:val="22"/>
        </w:rPr>
        <w:t xml:space="preserve">12. </w:t>
      </w:r>
      <w:r w:rsidR="00B6691B">
        <w:rPr>
          <w:sz w:val="22"/>
          <w:szCs w:val="22"/>
        </w:rPr>
        <w:t xml:space="preserve"> </w:t>
      </w:r>
      <w:r w:rsidRPr="00031AEE">
        <w:rPr>
          <w:sz w:val="22"/>
          <w:szCs w:val="22"/>
        </w:rPr>
        <w:t xml:space="preserve">The following represents the hour burden on the collection of information discussed herein.  </w:t>
      </w:r>
    </w:p>
    <w:p w:rsidR="009267F2" w:rsidRPr="003A4A33" w:rsidP="009267F2" w14:paraId="4819D828" w14:textId="77777777">
      <w:pPr>
        <w:keepLines/>
        <w:tabs>
          <w:tab w:val="left" w:pos="-720"/>
        </w:tabs>
        <w:suppressAutoHyphens/>
        <w:rPr>
          <w:spacing w:val="-3"/>
          <w:sz w:val="22"/>
          <w:szCs w:val="22"/>
        </w:rPr>
      </w:pPr>
      <w:r>
        <w:rPr>
          <w:b/>
          <w:spacing w:val="-3"/>
          <w:sz w:val="22"/>
          <w:szCs w:val="22"/>
          <w:u w:val="single"/>
        </w:rPr>
        <w:t>Reporting</w:t>
      </w:r>
      <w:r w:rsidRPr="003A4A33">
        <w:rPr>
          <w:b/>
          <w:spacing w:val="-3"/>
          <w:sz w:val="22"/>
          <w:szCs w:val="22"/>
          <w:u w:val="single"/>
        </w:rPr>
        <w:t xml:space="preserve"> Requirement</w:t>
      </w:r>
      <w:r>
        <w:rPr>
          <w:spacing w:val="-3"/>
          <w:sz w:val="22"/>
          <w:szCs w:val="22"/>
        </w:rPr>
        <w:t>:</w:t>
      </w:r>
    </w:p>
    <w:p w:rsidR="009267F2" w:rsidP="009267F2" w14:paraId="2286558B" w14:textId="77777777">
      <w:pPr>
        <w:keepLines/>
        <w:tabs>
          <w:tab w:val="left" w:pos="-720"/>
        </w:tabs>
        <w:suppressAutoHyphens/>
        <w:rPr>
          <w:spacing w:val="-3"/>
          <w:sz w:val="22"/>
          <w:szCs w:val="22"/>
        </w:rPr>
      </w:pPr>
    </w:p>
    <w:p w:rsidR="009267F2" w:rsidRPr="00031AEE" w:rsidP="009267F2" w14:paraId="168C7543" w14:textId="77777777">
      <w:pPr>
        <w:keepLines/>
        <w:tabs>
          <w:tab w:val="left" w:pos="-720"/>
        </w:tabs>
        <w:suppressAutoHyphens/>
        <w:rPr>
          <w:spacing w:val="-3"/>
          <w:sz w:val="22"/>
          <w:szCs w:val="22"/>
        </w:rPr>
      </w:pPr>
      <w:r>
        <w:rPr>
          <w:spacing w:val="-3"/>
          <w:sz w:val="22"/>
          <w:szCs w:val="22"/>
        </w:rPr>
        <w:tab/>
      </w:r>
      <w:r w:rsidRPr="00031AEE">
        <w:rPr>
          <w:spacing w:val="-3"/>
          <w:sz w:val="22"/>
          <w:szCs w:val="22"/>
        </w:rPr>
        <w:t xml:space="preserve">(1)  </w:t>
      </w:r>
      <w:r w:rsidRPr="00031AEE">
        <w:rPr>
          <w:spacing w:val="-3"/>
          <w:sz w:val="22"/>
          <w:szCs w:val="22"/>
          <w:u w:val="single"/>
        </w:rPr>
        <w:t>Number of respondents</w:t>
      </w:r>
      <w:r w:rsidR="00114BB0">
        <w:rPr>
          <w:spacing w:val="-3"/>
          <w:sz w:val="22"/>
          <w:szCs w:val="22"/>
        </w:rPr>
        <w:t xml:space="preserve">: </w:t>
      </w:r>
      <w:r w:rsidR="0056595D">
        <w:rPr>
          <w:spacing w:val="-3"/>
          <w:sz w:val="22"/>
          <w:szCs w:val="22"/>
        </w:rPr>
        <w:t>1,</w:t>
      </w:r>
      <w:r w:rsidR="00ED01C6">
        <w:rPr>
          <w:spacing w:val="-3"/>
          <w:sz w:val="22"/>
          <w:szCs w:val="22"/>
        </w:rPr>
        <w:t>307.</w:t>
      </w:r>
    </w:p>
    <w:p w:rsidR="009267F2" w:rsidRPr="00031AEE" w:rsidP="009267F2" w14:paraId="257B54EC" w14:textId="77777777">
      <w:pPr>
        <w:keepLines/>
        <w:tabs>
          <w:tab w:val="left" w:pos="-720"/>
        </w:tabs>
        <w:suppressAutoHyphens/>
        <w:rPr>
          <w:spacing w:val="-3"/>
          <w:sz w:val="22"/>
          <w:szCs w:val="22"/>
        </w:rPr>
      </w:pPr>
    </w:p>
    <w:p w:rsidR="009267F2" w:rsidRPr="00031AEE" w:rsidP="009267F2" w14:paraId="0775A373" w14:textId="02FB8394">
      <w:pPr>
        <w:keepLines/>
        <w:tabs>
          <w:tab w:val="left" w:pos="-720"/>
        </w:tabs>
        <w:suppressAutoHyphens/>
        <w:rPr>
          <w:spacing w:val="-3"/>
          <w:sz w:val="22"/>
          <w:szCs w:val="22"/>
        </w:rPr>
      </w:pPr>
      <w:r>
        <w:rPr>
          <w:spacing w:val="-3"/>
          <w:sz w:val="22"/>
          <w:szCs w:val="22"/>
        </w:rPr>
        <w:tab/>
      </w:r>
      <w:r w:rsidRPr="00031AEE">
        <w:rPr>
          <w:spacing w:val="-3"/>
          <w:sz w:val="22"/>
          <w:szCs w:val="22"/>
        </w:rPr>
        <w:t>(2)</w:t>
      </w:r>
      <w:r>
        <w:rPr>
          <w:spacing w:val="-3"/>
          <w:sz w:val="22"/>
          <w:szCs w:val="22"/>
        </w:rPr>
        <w:t xml:space="preserve">  </w:t>
      </w:r>
      <w:r w:rsidRPr="00031AEE">
        <w:rPr>
          <w:spacing w:val="-3"/>
          <w:sz w:val="22"/>
          <w:szCs w:val="22"/>
          <w:u w:val="single"/>
        </w:rPr>
        <w:t>Frequency of response</w:t>
      </w:r>
      <w:r w:rsidRPr="00031AEE">
        <w:rPr>
          <w:spacing w:val="-3"/>
          <w:sz w:val="22"/>
          <w:szCs w:val="22"/>
        </w:rPr>
        <w:t xml:space="preserve">:  </w:t>
      </w:r>
      <w:r w:rsidR="00F87FC0">
        <w:rPr>
          <w:spacing w:val="-3"/>
          <w:sz w:val="22"/>
          <w:szCs w:val="22"/>
        </w:rPr>
        <w:t>Annual and on-</w:t>
      </w:r>
      <w:r w:rsidR="002A348D">
        <w:rPr>
          <w:spacing w:val="-3"/>
          <w:sz w:val="22"/>
          <w:szCs w:val="22"/>
        </w:rPr>
        <w:t>occasion</w:t>
      </w:r>
      <w:r w:rsidR="00595698">
        <w:rPr>
          <w:spacing w:val="-3"/>
          <w:sz w:val="22"/>
          <w:szCs w:val="22"/>
        </w:rPr>
        <w:t xml:space="preserve"> reporting requirement</w:t>
      </w:r>
      <w:r w:rsidR="00E81623">
        <w:rPr>
          <w:spacing w:val="-3"/>
          <w:sz w:val="22"/>
          <w:szCs w:val="22"/>
        </w:rPr>
        <w:t>s</w:t>
      </w:r>
      <w:r w:rsidRPr="00031AEE">
        <w:rPr>
          <w:spacing w:val="-3"/>
          <w:sz w:val="22"/>
          <w:szCs w:val="22"/>
        </w:rPr>
        <w:t xml:space="preserve">.  </w:t>
      </w:r>
    </w:p>
    <w:p w:rsidR="009267F2" w:rsidP="009267F2" w14:paraId="470C31B8" w14:textId="77777777">
      <w:pPr>
        <w:tabs>
          <w:tab w:val="left" w:pos="-720"/>
        </w:tabs>
        <w:suppressAutoHyphens/>
        <w:rPr>
          <w:spacing w:val="-3"/>
          <w:sz w:val="22"/>
          <w:szCs w:val="22"/>
        </w:rPr>
      </w:pPr>
    </w:p>
    <w:p w:rsidR="009267F2" w:rsidRPr="003A4A33" w:rsidP="009267F2" w14:paraId="39DC2980" w14:textId="77777777">
      <w:pPr>
        <w:tabs>
          <w:tab w:val="left" w:pos="-720"/>
        </w:tabs>
        <w:suppressAutoHyphens/>
        <w:rPr>
          <w:spacing w:val="-3"/>
          <w:sz w:val="22"/>
          <w:szCs w:val="22"/>
        </w:rPr>
      </w:pPr>
      <w:r>
        <w:rPr>
          <w:spacing w:val="-3"/>
          <w:sz w:val="22"/>
          <w:szCs w:val="22"/>
        </w:rPr>
        <w:tab/>
        <w:t xml:space="preserve">(3)  </w:t>
      </w:r>
      <w:r>
        <w:rPr>
          <w:spacing w:val="-3"/>
          <w:sz w:val="22"/>
          <w:szCs w:val="22"/>
          <w:u w:val="single"/>
        </w:rPr>
        <w:t>Total number of responses annually</w:t>
      </w:r>
      <w:r>
        <w:rPr>
          <w:spacing w:val="-3"/>
          <w:sz w:val="22"/>
          <w:szCs w:val="22"/>
        </w:rPr>
        <w:t xml:space="preserve">: </w:t>
      </w:r>
      <w:r w:rsidR="0056595D">
        <w:rPr>
          <w:spacing w:val="-3"/>
          <w:sz w:val="22"/>
          <w:szCs w:val="22"/>
        </w:rPr>
        <w:t>1,</w:t>
      </w:r>
      <w:r w:rsidR="00ED01C6">
        <w:rPr>
          <w:spacing w:val="-3"/>
          <w:sz w:val="22"/>
          <w:szCs w:val="22"/>
        </w:rPr>
        <w:t>307</w:t>
      </w:r>
      <w:r>
        <w:rPr>
          <w:spacing w:val="-3"/>
          <w:sz w:val="22"/>
          <w:szCs w:val="22"/>
        </w:rPr>
        <w:t>.</w:t>
      </w:r>
    </w:p>
    <w:p w:rsidR="009267F2" w:rsidRPr="00031AEE" w:rsidP="009267F2" w14:paraId="4E30DC2E" w14:textId="77777777">
      <w:pPr>
        <w:tabs>
          <w:tab w:val="left" w:pos="-720"/>
        </w:tabs>
        <w:suppressAutoHyphens/>
        <w:rPr>
          <w:spacing w:val="-3"/>
          <w:sz w:val="22"/>
          <w:szCs w:val="22"/>
        </w:rPr>
      </w:pPr>
    </w:p>
    <w:p w:rsidR="009267F2" w:rsidP="009267F2" w14:paraId="437BB1E5" w14:textId="77777777">
      <w:pPr>
        <w:tabs>
          <w:tab w:val="left" w:pos="-720"/>
        </w:tabs>
        <w:suppressAutoHyphens/>
        <w:rPr>
          <w:spacing w:val="-3"/>
          <w:sz w:val="22"/>
          <w:szCs w:val="22"/>
        </w:rPr>
      </w:pPr>
      <w:r>
        <w:rPr>
          <w:spacing w:val="-3"/>
          <w:sz w:val="22"/>
          <w:szCs w:val="22"/>
        </w:rPr>
        <w:tab/>
      </w:r>
      <w:r w:rsidRPr="00031AEE">
        <w:rPr>
          <w:spacing w:val="-3"/>
          <w:sz w:val="22"/>
          <w:szCs w:val="22"/>
        </w:rPr>
        <w:t>(</w:t>
      </w:r>
      <w:r>
        <w:rPr>
          <w:spacing w:val="-3"/>
          <w:sz w:val="22"/>
          <w:szCs w:val="22"/>
        </w:rPr>
        <w:t>4</w:t>
      </w:r>
      <w:r w:rsidRPr="00031AEE">
        <w:rPr>
          <w:spacing w:val="-3"/>
          <w:sz w:val="22"/>
          <w:szCs w:val="22"/>
        </w:rPr>
        <w:t xml:space="preserve">) </w:t>
      </w:r>
      <w:r>
        <w:rPr>
          <w:spacing w:val="-3"/>
          <w:sz w:val="22"/>
          <w:szCs w:val="22"/>
        </w:rPr>
        <w:t xml:space="preserve"> </w:t>
      </w:r>
      <w:r w:rsidR="00595698">
        <w:rPr>
          <w:spacing w:val="-3"/>
          <w:sz w:val="22"/>
          <w:szCs w:val="22"/>
          <w:u w:val="single"/>
        </w:rPr>
        <w:t>Estimated Time Per Response</w:t>
      </w:r>
      <w:r w:rsidR="00114BB0">
        <w:rPr>
          <w:spacing w:val="-3"/>
          <w:sz w:val="22"/>
          <w:szCs w:val="22"/>
        </w:rPr>
        <w:t xml:space="preserve">:  </w:t>
      </w:r>
      <w:r w:rsidR="00F87FC0">
        <w:rPr>
          <w:spacing w:val="-3"/>
          <w:sz w:val="22"/>
          <w:szCs w:val="22"/>
        </w:rPr>
        <w:t>1 hour</w:t>
      </w:r>
      <w:r>
        <w:rPr>
          <w:spacing w:val="-3"/>
          <w:sz w:val="22"/>
          <w:szCs w:val="22"/>
        </w:rPr>
        <w:t>.</w:t>
      </w:r>
    </w:p>
    <w:p w:rsidR="009267F2" w:rsidP="009267F2" w14:paraId="7B646838" w14:textId="77777777">
      <w:pPr>
        <w:tabs>
          <w:tab w:val="left" w:pos="-720"/>
        </w:tabs>
        <w:suppressAutoHyphens/>
        <w:rPr>
          <w:spacing w:val="-3"/>
          <w:sz w:val="22"/>
          <w:szCs w:val="22"/>
        </w:rPr>
      </w:pPr>
    </w:p>
    <w:p w:rsidR="009267F2" w:rsidP="009267F2" w14:paraId="55FF17DD" w14:textId="77777777">
      <w:pPr>
        <w:tabs>
          <w:tab w:val="left" w:pos="-720"/>
        </w:tabs>
        <w:suppressAutoHyphens/>
        <w:rPr>
          <w:spacing w:val="-3"/>
          <w:sz w:val="22"/>
          <w:szCs w:val="22"/>
        </w:rPr>
      </w:pPr>
      <w:r>
        <w:rPr>
          <w:spacing w:val="-3"/>
          <w:sz w:val="22"/>
          <w:szCs w:val="22"/>
        </w:rPr>
        <w:tab/>
      </w:r>
      <w:r>
        <w:rPr>
          <w:spacing w:val="-3"/>
          <w:sz w:val="22"/>
          <w:szCs w:val="22"/>
        </w:rPr>
        <w:tab/>
      </w:r>
      <w:r w:rsidR="0056595D">
        <w:rPr>
          <w:spacing w:val="-3"/>
          <w:sz w:val="22"/>
          <w:szCs w:val="22"/>
        </w:rPr>
        <w:t>1,</w:t>
      </w:r>
      <w:r w:rsidR="00ED01C6">
        <w:rPr>
          <w:spacing w:val="-3"/>
          <w:sz w:val="22"/>
          <w:szCs w:val="22"/>
        </w:rPr>
        <w:t>307</w:t>
      </w:r>
      <w:r w:rsidR="0056595D">
        <w:rPr>
          <w:spacing w:val="-3"/>
          <w:sz w:val="22"/>
          <w:szCs w:val="22"/>
        </w:rPr>
        <w:t xml:space="preserve"> x 1 hour per response x 1 response</w:t>
      </w:r>
      <w:r>
        <w:rPr>
          <w:spacing w:val="-3"/>
          <w:sz w:val="22"/>
          <w:szCs w:val="22"/>
        </w:rPr>
        <w:t xml:space="preserve"> per year per respondent = </w:t>
      </w:r>
      <w:r w:rsidR="0056595D">
        <w:rPr>
          <w:spacing w:val="-3"/>
          <w:sz w:val="22"/>
          <w:szCs w:val="22"/>
        </w:rPr>
        <w:t>1,</w:t>
      </w:r>
      <w:r w:rsidR="00ED01C6">
        <w:rPr>
          <w:spacing w:val="-3"/>
          <w:sz w:val="22"/>
          <w:szCs w:val="22"/>
        </w:rPr>
        <w:t>307</w:t>
      </w:r>
      <w:r>
        <w:rPr>
          <w:spacing w:val="-3"/>
          <w:sz w:val="22"/>
          <w:szCs w:val="22"/>
        </w:rPr>
        <w:t xml:space="preserve"> hours</w:t>
      </w:r>
      <w:r w:rsidR="00595698">
        <w:rPr>
          <w:spacing w:val="-3"/>
          <w:sz w:val="22"/>
          <w:szCs w:val="22"/>
        </w:rPr>
        <w:t>.</w:t>
      </w:r>
    </w:p>
    <w:p w:rsidR="009267F2" w:rsidP="009267F2" w14:paraId="36436C4D" w14:textId="77777777">
      <w:pPr>
        <w:tabs>
          <w:tab w:val="left" w:pos="-720"/>
        </w:tabs>
        <w:suppressAutoHyphens/>
        <w:rPr>
          <w:spacing w:val="-3"/>
          <w:sz w:val="22"/>
          <w:szCs w:val="22"/>
        </w:rPr>
      </w:pPr>
    </w:p>
    <w:p w:rsidR="009267F2" w:rsidRPr="003A4A33" w:rsidP="009267F2" w14:paraId="539E98D8" w14:textId="77777777">
      <w:pPr>
        <w:tabs>
          <w:tab w:val="left" w:pos="-720"/>
        </w:tabs>
        <w:suppressAutoHyphens/>
        <w:rPr>
          <w:spacing w:val="-3"/>
          <w:sz w:val="22"/>
          <w:szCs w:val="22"/>
        </w:rPr>
      </w:pPr>
      <w:r>
        <w:rPr>
          <w:spacing w:val="-3"/>
          <w:sz w:val="22"/>
          <w:szCs w:val="22"/>
        </w:rPr>
        <w:tab/>
        <w:t xml:space="preserve">(5)  </w:t>
      </w:r>
      <w:r>
        <w:rPr>
          <w:spacing w:val="-3"/>
          <w:sz w:val="22"/>
          <w:szCs w:val="22"/>
          <w:u w:val="single"/>
        </w:rPr>
        <w:t>Total annual burden</w:t>
      </w:r>
      <w:r>
        <w:rPr>
          <w:spacing w:val="-3"/>
          <w:sz w:val="22"/>
          <w:szCs w:val="22"/>
        </w:rPr>
        <w:t xml:space="preserve">:  </w:t>
      </w:r>
      <w:r w:rsidR="00ED01C6">
        <w:rPr>
          <w:b/>
          <w:spacing w:val="-3"/>
          <w:sz w:val="22"/>
          <w:szCs w:val="22"/>
        </w:rPr>
        <w:t>1,307</w:t>
      </w:r>
      <w:r w:rsidRPr="003A4A33">
        <w:rPr>
          <w:b/>
          <w:spacing w:val="-3"/>
          <w:sz w:val="22"/>
          <w:szCs w:val="22"/>
        </w:rPr>
        <w:t xml:space="preserve"> hours</w:t>
      </w:r>
      <w:r>
        <w:rPr>
          <w:spacing w:val="-3"/>
          <w:sz w:val="22"/>
          <w:szCs w:val="22"/>
        </w:rPr>
        <w:t>.</w:t>
      </w:r>
    </w:p>
    <w:p w:rsidR="009267F2" w:rsidP="009267F2" w14:paraId="065A6C44" w14:textId="77777777">
      <w:pPr>
        <w:tabs>
          <w:tab w:val="left" w:pos="-720"/>
        </w:tabs>
        <w:suppressAutoHyphens/>
        <w:rPr>
          <w:spacing w:val="-3"/>
          <w:sz w:val="22"/>
          <w:szCs w:val="22"/>
        </w:rPr>
      </w:pPr>
    </w:p>
    <w:p w:rsidR="009267F2" w:rsidP="009267F2" w14:paraId="55F81F5B" w14:textId="77777777">
      <w:pPr>
        <w:tabs>
          <w:tab w:val="left" w:pos="-720"/>
        </w:tabs>
        <w:suppressAutoHyphens/>
        <w:ind w:left="1440"/>
        <w:rPr>
          <w:spacing w:val="-3"/>
          <w:sz w:val="22"/>
          <w:szCs w:val="22"/>
        </w:rPr>
      </w:pPr>
      <w:r>
        <w:rPr>
          <w:spacing w:val="-3"/>
          <w:sz w:val="22"/>
          <w:szCs w:val="22"/>
        </w:rPr>
        <w:t xml:space="preserve">The Commission estimates that </w:t>
      </w:r>
      <w:r w:rsidR="0056595D">
        <w:rPr>
          <w:spacing w:val="-3"/>
          <w:sz w:val="22"/>
          <w:szCs w:val="22"/>
        </w:rPr>
        <w:t>1,</w:t>
      </w:r>
      <w:r w:rsidR="00325869">
        <w:rPr>
          <w:spacing w:val="-3"/>
          <w:sz w:val="22"/>
          <w:szCs w:val="22"/>
        </w:rPr>
        <w:t>307</w:t>
      </w:r>
      <w:r>
        <w:rPr>
          <w:spacing w:val="-3"/>
          <w:sz w:val="22"/>
          <w:szCs w:val="22"/>
        </w:rPr>
        <w:t xml:space="preserve"> </w:t>
      </w:r>
      <w:r w:rsidR="001A499F">
        <w:rPr>
          <w:spacing w:val="-3"/>
          <w:sz w:val="22"/>
          <w:szCs w:val="22"/>
        </w:rPr>
        <w:t>carriers</w:t>
      </w:r>
      <w:r w:rsidR="0056595D">
        <w:rPr>
          <w:spacing w:val="-3"/>
          <w:sz w:val="22"/>
          <w:szCs w:val="22"/>
        </w:rPr>
        <w:t xml:space="preserve"> will require 1 hour</w:t>
      </w:r>
      <w:r>
        <w:rPr>
          <w:spacing w:val="-3"/>
          <w:sz w:val="22"/>
          <w:szCs w:val="22"/>
        </w:rPr>
        <w:t xml:space="preserve"> of reporting time per filing.  </w:t>
      </w:r>
    </w:p>
    <w:p w:rsidR="009267F2" w:rsidP="009267F2" w14:paraId="2AD7B7CF" w14:textId="77777777">
      <w:pPr>
        <w:tabs>
          <w:tab w:val="left" w:pos="-720"/>
        </w:tabs>
        <w:suppressAutoHyphens/>
        <w:ind w:left="1440"/>
        <w:rPr>
          <w:spacing w:val="-3"/>
          <w:sz w:val="22"/>
          <w:szCs w:val="22"/>
        </w:rPr>
      </w:pPr>
    </w:p>
    <w:p w:rsidR="009267F2" w:rsidRPr="00031AEE" w:rsidP="009267F2" w14:paraId="30B33A32" w14:textId="77777777">
      <w:pPr>
        <w:tabs>
          <w:tab w:val="left" w:pos="-720"/>
        </w:tabs>
        <w:suppressAutoHyphens/>
        <w:ind w:left="1440"/>
        <w:rPr>
          <w:spacing w:val="-3"/>
          <w:sz w:val="22"/>
          <w:szCs w:val="22"/>
        </w:rPr>
      </w:pPr>
      <w:r>
        <w:rPr>
          <w:spacing w:val="-3"/>
          <w:sz w:val="22"/>
          <w:szCs w:val="22"/>
        </w:rPr>
        <w:t>1,</w:t>
      </w:r>
      <w:r w:rsidR="00325869">
        <w:rPr>
          <w:spacing w:val="-3"/>
          <w:sz w:val="22"/>
          <w:szCs w:val="22"/>
        </w:rPr>
        <w:t>307</w:t>
      </w:r>
      <w:r>
        <w:rPr>
          <w:spacing w:val="-3"/>
          <w:sz w:val="22"/>
          <w:szCs w:val="22"/>
        </w:rPr>
        <w:t xml:space="preserve"> respondents annually </w:t>
      </w:r>
      <w:r w:rsidR="00172BCB">
        <w:rPr>
          <w:spacing w:val="-3"/>
          <w:sz w:val="22"/>
          <w:szCs w:val="22"/>
        </w:rPr>
        <w:t xml:space="preserve">x </w:t>
      </w:r>
      <w:r>
        <w:rPr>
          <w:spacing w:val="-3"/>
          <w:sz w:val="22"/>
          <w:szCs w:val="22"/>
        </w:rPr>
        <w:t>1</w:t>
      </w:r>
      <w:r w:rsidR="00EA1539">
        <w:rPr>
          <w:spacing w:val="-3"/>
          <w:sz w:val="22"/>
          <w:szCs w:val="22"/>
        </w:rPr>
        <w:t xml:space="preserve"> response</w:t>
      </w:r>
      <w:r w:rsidR="00172BCB">
        <w:rPr>
          <w:spacing w:val="-3"/>
          <w:sz w:val="22"/>
          <w:szCs w:val="22"/>
        </w:rPr>
        <w:t xml:space="preserve"> annually x </w:t>
      </w:r>
      <w:r>
        <w:rPr>
          <w:spacing w:val="-3"/>
          <w:sz w:val="22"/>
          <w:szCs w:val="22"/>
        </w:rPr>
        <w:t>1</w:t>
      </w:r>
      <w:r w:rsidR="00EA1539">
        <w:rPr>
          <w:spacing w:val="-3"/>
          <w:sz w:val="22"/>
          <w:szCs w:val="22"/>
        </w:rPr>
        <w:t xml:space="preserve"> hour</w:t>
      </w:r>
      <w:r w:rsidR="00172BCB">
        <w:rPr>
          <w:spacing w:val="-3"/>
          <w:sz w:val="22"/>
          <w:szCs w:val="22"/>
        </w:rPr>
        <w:t xml:space="preserve"> per response</w:t>
      </w:r>
      <w:r>
        <w:rPr>
          <w:spacing w:val="-3"/>
          <w:sz w:val="22"/>
          <w:szCs w:val="22"/>
        </w:rPr>
        <w:t xml:space="preserve"> = </w:t>
      </w:r>
      <w:r>
        <w:rPr>
          <w:spacing w:val="-3"/>
          <w:sz w:val="22"/>
          <w:szCs w:val="22"/>
        </w:rPr>
        <w:t>1,</w:t>
      </w:r>
      <w:r w:rsidR="00515BC1">
        <w:rPr>
          <w:spacing w:val="-3"/>
          <w:sz w:val="22"/>
          <w:szCs w:val="22"/>
        </w:rPr>
        <w:t>307</w:t>
      </w:r>
      <w:r>
        <w:rPr>
          <w:spacing w:val="-3"/>
          <w:sz w:val="22"/>
          <w:szCs w:val="22"/>
        </w:rPr>
        <w:t xml:space="preserve"> hours</w:t>
      </w:r>
      <w:r w:rsidR="00172BCB">
        <w:rPr>
          <w:spacing w:val="-3"/>
          <w:sz w:val="22"/>
          <w:szCs w:val="22"/>
        </w:rPr>
        <w:t>.</w:t>
      </w:r>
    </w:p>
    <w:p w:rsidR="009267F2" w:rsidRPr="00031AEE" w:rsidP="009267F2" w14:paraId="66CC5A44" w14:textId="77777777">
      <w:pPr>
        <w:tabs>
          <w:tab w:val="left" w:pos="-720"/>
        </w:tabs>
        <w:suppressAutoHyphens/>
        <w:rPr>
          <w:spacing w:val="-3"/>
          <w:sz w:val="22"/>
          <w:szCs w:val="22"/>
        </w:rPr>
      </w:pPr>
    </w:p>
    <w:p w:rsidR="009267F2" w:rsidRPr="00031AEE" w:rsidP="009267F2" w14:paraId="48AFD531" w14:textId="6CA882DF">
      <w:pPr>
        <w:tabs>
          <w:tab w:val="left" w:pos="-720"/>
        </w:tabs>
        <w:suppressAutoHyphens/>
        <w:rPr>
          <w:spacing w:val="-3"/>
          <w:sz w:val="22"/>
          <w:szCs w:val="22"/>
        </w:rPr>
      </w:pPr>
      <w:r>
        <w:rPr>
          <w:spacing w:val="-3"/>
          <w:sz w:val="22"/>
          <w:szCs w:val="22"/>
        </w:rPr>
        <w:tab/>
      </w:r>
      <w:r w:rsidRPr="00031AEE">
        <w:rPr>
          <w:spacing w:val="-3"/>
          <w:sz w:val="22"/>
          <w:szCs w:val="22"/>
        </w:rPr>
        <w:t>(</w:t>
      </w:r>
      <w:r>
        <w:rPr>
          <w:spacing w:val="-3"/>
          <w:sz w:val="22"/>
          <w:szCs w:val="22"/>
        </w:rPr>
        <w:t>6</w:t>
      </w:r>
      <w:r w:rsidRPr="00031AEE">
        <w:rPr>
          <w:spacing w:val="-3"/>
          <w:sz w:val="22"/>
          <w:szCs w:val="22"/>
        </w:rPr>
        <w:t xml:space="preserve">)  </w:t>
      </w:r>
      <w:r w:rsidRPr="00031AEE">
        <w:rPr>
          <w:spacing w:val="-3"/>
          <w:sz w:val="22"/>
          <w:szCs w:val="22"/>
          <w:u w:val="single"/>
        </w:rPr>
        <w:t xml:space="preserve">Total estimate of </w:t>
      </w:r>
      <w:r>
        <w:rPr>
          <w:spacing w:val="-3"/>
          <w:sz w:val="22"/>
          <w:szCs w:val="22"/>
          <w:u w:val="single"/>
        </w:rPr>
        <w:t>“in</w:t>
      </w:r>
      <w:r w:rsidR="003A788C">
        <w:rPr>
          <w:spacing w:val="-3"/>
          <w:sz w:val="22"/>
          <w:szCs w:val="22"/>
          <w:u w:val="single"/>
        </w:rPr>
        <w:t>-</w:t>
      </w:r>
      <w:r>
        <w:rPr>
          <w:spacing w:val="-3"/>
          <w:sz w:val="22"/>
          <w:szCs w:val="22"/>
          <w:u w:val="single"/>
        </w:rPr>
        <w:t>house” cost to respondents</w:t>
      </w:r>
      <w:r w:rsidRPr="00031AEE">
        <w:rPr>
          <w:spacing w:val="-3"/>
          <w:sz w:val="22"/>
          <w:szCs w:val="22"/>
          <w:u w:val="single"/>
        </w:rPr>
        <w:t>:</w:t>
      </w:r>
      <w:r>
        <w:rPr>
          <w:spacing w:val="-3"/>
          <w:sz w:val="22"/>
          <w:szCs w:val="22"/>
        </w:rPr>
        <w:t xml:space="preserve">  </w:t>
      </w:r>
      <w:r w:rsidRPr="001A263F">
        <w:rPr>
          <w:b/>
          <w:sz w:val="22"/>
          <w:szCs w:val="22"/>
        </w:rPr>
        <w:t>$</w:t>
      </w:r>
      <w:r w:rsidR="00864481">
        <w:rPr>
          <w:b/>
          <w:sz w:val="22"/>
          <w:szCs w:val="22"/>
        </w:rPr>
        <w:t>71,976.49</w:t>
      </w:r>
      <w:r w:rsidR="001A263F">
        <w:rPr>
          <w:sz w:val="22"/>
          <w:szCs w:val="22"/>
        </w:rPr>
        <w:t>.</w:t>
      </w:r>
    </w:p>
    <w:p w:rsidR="009267F2" w:rsidRPr="00031AEE" w:rsidP="009267F2" w14:paraId="1C92A79F" w14:textId="77777777">
      <w:pPr>
        <w:tabs>
          <w:tab w:val="left" w:pos="-720"/>
        </w:tabs>
        <w:suppressAutoHyphens/>
        <w:rPr>
          <w:spacing w:val="-3"/>
          <w:sz w:val="22"/>
          <w:szCs w:val="22"/>
        </w:rPr>
      </w:pPr>
    </w:p>
    <w:p w:rsidR="009267F2" w:rsidP="009267F2" w14:paraId="41354B0A" w14:textId="77777777">
      <w:pPr>
        <w:tabs>
          <w:tab w:val="left" w:pos="-720"/>
        </w:tabs>
        <w:suppressAutoHyphens/>
        <w:rPr>
          <w:sz w:val="22"/>
          <w:szCs w:val="22"/>
        </w:rPr>
      </w:pPr>
      <w:r>
        <w:rPr>
          <w:sz w:val="22"/>
          <w:szCs w:val="22"/>
        </w:rPr>
        <w:tab/>
      </w:r>
      <w:r w:rsidRPr="00031AEE">
        <w:rPr>
          <w:sz w:val="22"/>
          <w:szCs w:val="22"/>
        </w:rPr>
        <w:t>(</w:t>
      </w:r>
      <w:r w:rsidR="00595698">
        <w:rPr>
          <w:sz w:val="22"/>
          <w:szCs w:val="22"/>
        </w:rPr>
        <w:t>7</w:t>
      </w:r>
      <w:r w:rsidRPr="00031AEE">
        <w:rPr>
          <w:sz w:val="22"/>
          <w:szCs w:val="22"/>
        </w:rPr>
        <w:t xml:space="preserve">)  </w:t>
      </w:r>
      <w:r w:rsidRPr="00031AEE">
        <w:rPr>
          <w:sz w:val="22"/>
          <w:szCs w:val="22"/>
          <w:u w:val="single"/>
        </w:rPr>
        <w:t>Explanation of the calculation</w:t>
      </w:r>
      <w:r w:rsidRPr="00031AEE">
        <w:rPr>
          <w:sz w:val="22"/>
          <w:szCs w:val="22"/>
        </w:rPr>
        <w:t xml:space="preserve">:  </w:t>
      </w:r>
    </w:p>
    <w:p w:rsidR="009267F2" w:rsidP="009267F2" w14:paraId="348C9507" w14:textId="77777777">
      <w:pPr>
        <w:tabs>
          <w:tab w:val="left" w:pos="-720"/>
        </w:tabs>
        <w:suppressAutoHyphens/>
        <w:rPr>
          <w:sz w:val="22"/>
          <w:szCs w:val="22"/>
        </w:rPr>
      </w:pPr>
    </w:p>
    <w:p w:rsidR="009267F2" w:rsidP="009267F2" w14:paraId="103DF195" w14:textId="77777777">
      <w:pPr>
        <w:tabs>
          <w:tab w:val="left" w:pos="-720"/>
        </w:tabs>
        <w:suppressAutoHyphens/>
        <w:ind w:left="1440"/>
        <w:rPr>
          <w:sz w:val="22"/>
          <w:szCs w:val="22"/>
        </w:rPr>
      </w:pPr>
      <w:r>
        <w:rPr>
          <w:sz w:val="22"/>
          <w:szCs w:val="22"/>
        </w:rPr>
        <w:t>The Commission</w:t>
      </w:r>
      <w:r w:rsidRPr="00031AEE">
        <w:rPr>
          <w:sz w:val="22"/>
          <w:szCs w:val="22"/>
        </w:rPr>
        <w:t xml:space="preserve"> estimate</w:t>
      </w:r>
      <w:r>
        <w:rPr>
          <w:sz w:val="22"/>
          <w:szCs w:val="22"/>
        </w:rPr>
        <w:t>s</w:t>
      </w:r>
      <w:r w:rsidRPr="00031AEE">
        <w:rPr>
          <w:sz w:val="22"/>
          <w:szCs w:val="22"/>
        </w:rPr>
        <w:t xml:space="preserve"> that </w:t>
      </w:r>
      <w:r w:rsidR="0056595D">
        <w:rPr>
          <w:sz w:val="22"/>
          <w:szCs w:val="22"/>
        </w:rPr>
        <w:t>1,</w:t>
      </w:r>
      <w:r w:rsidR="0058152F">
        <w:rPr>
          <w:sz w:val="22"/>
          <w:szCs w:val="22"/>
        </w:rPr>
        <w:t xml:space="preserve">307 </w:t>
      </w:r>
      <w:r w:rsidR="001A499F">
        <w:rPr>
          <w:sz w:val="22"/>
          <w:szCs w:val="22"/>
        </w:rPr>
        <w:t>carriers</w:t>
      </w:r>
      <w:r w:rsidRPr="00031AEE">
        <w:rPr>
          <w:sz w:val="22"/>
          <w:szCs w:val="22"/>
        </w:rPr>
        <w:t xml:space="preserve"> will </w:t>
      </w:r>
      <w:r>
        <w:rPr>
          <w:sz w:val="22"/>
          <w:szCs w:val="22"/>
        </w:rPr>
        <w:t>be subject to this reporting requirement.</w:t>
      </w:r>
    </w:p>
    <w:p w:rsidR="009267F2" w:rsidP="009267F2" w14:paraId="336991E9" w14:textId="77777777">
      <w:pPr>
        <w:tabs>
          <w:tab w:val="left" w:pos="-720"/>
        </w:tabs>
        <w:suppressAutoHyphens/>
        <w:rPr>
          <w:sz w:val="22"/>
          <w:szCs w:val="22"/>
        </w:rPr>
      </w:pPr>
    </w:p>
    <w:p w:rsidR="00327F93" w:rsidP="009267F2" w14:paraId="740F54A2" w14:textId="14121CBB">
      <w:pPr>
        <w:tabs>
          <w:tab w:val="left" w:pos="-720"/>
        </w:tabs>
        <w:suppressAutoHyphens/>
        <w:ind w:left="1440"/>
        <w:rPr>
          <w:sz w:val="22"/>
          <w:szCs w:val="22"/>
        </w:rPr>
      </w:pPr>
      <w:r w:rsidRPr="00E865EC">
        <w:rPr>
          <w:sz w:val="22"/>
          <w:szCs w:val="22"/>
        </w:rPr>
        <w:t>Th</w:t>
      </w:r>
      <w:r>
        <w:rPr>
          <w:sz w:val="22"/>
          <w:szCs w:val="22"/>
        </w:rPr>
        <w:t xml:space="preserve">e Commission estimates that </w:t>
      </w:r>
      <w:r w:rsidRPr="00E865EC">
        <w:rPr>
          <w:sz w:val="22"/>
          <w:szCs w:val="22"/>
        </w:rPr>
        <w:t>respondents will use personnel comparable in pay to a GS</w:t>
      </w:r>
      <w:r w:rsidR="00A9305C">
        <w:rPr>
          <w:sz w:val="22"/>
          <w:szCs w:val="22"/>
        </w:rPr>
        <w:t>-</w:t>
      </w:r>
      <w:r w:rsidRPr="00E865EC">
        <w:rPr>
          <w:sz w:val="22"/>
          <w:szCs w:val="22"/>
        </w:rPr>
        <w:t>12/Step</w:t>
      </w:r>
      <w:r w:rsidRPr="00327F93">
        <w:rPr>
          <w:sz w:val="22"/>
          <w:szCs w:val="22"/>
        </w:rPr>
        <w:t xml:space="preserve"> 5 employee, earning $</w:t>
      </w:r>
      <w:r w:rsidRPr="00702660" w:rsidR="00702660">
        <w:rPr>
          <w:sz w:val="22"/>
          <w:szCs w:val="22"/>
        </w:rPr>
        <w:t>55.07</w:t>
      </w:r>
      <w:r w:rsidR="00702660">
        <w:rPr>
          <w:sz w:val="22"/>
          <w:szCs w:val="22"/>
        </w:rPr>
        <w:t xml:space="preserve"> </w:t>
      </w:r>
      <w:r w:rsidRPr="00E865EC">
        <w:rPr>
          <w:sz w:val="22"/>
          <w:szCs w:val="22"/>
        </w:rPr>
        <w:t>per hour.  Thus</w:t>
      </w:r>
      <w:r w:rsidR="00455217">
        <w:rPr>
          <w:sz w:val="22"/>
          <w:szCs w:val="22"/>
        </w:rPr>
        <w:t>:</w:t>
      </w:r>
      <w:r w:rsidRPr="00031AEE">
        <w:rPr>
          <w:sz w:val="22"/>
          <w:szCs w:val="22"/>
        </w:rPr>
        <w:t xml:space="preserve"> </w:t>
      </w:r>
    </w:p>
    <w:p w:rsidR="00327F93" w:rsidP="009267F2" w14:paraId="0B2EC583" w14:textId="77777777">
      <w:pPr>
        <w:tabs>
          <w:tab w:val="left" w:pos="-720"/>
        </w:tabs>
        <w:suppressAutoHyphens/>
        <w:ind w:left="1440"/>
        <w:rPr>
          <w:sz w:val="22"/>
          <w:szCs w:val="22"/>
        </w:rPr>
      </w:pPr>
    </w:p>
    <w:p w:rsidR="009267F2" w:rsidRPr="00031AEE" w:rsidP="009267F2" w14:paraId="1C5BF368" w14:textId="3C09F846">
      <w:pPr>
        <w:tabs>
          <w:tab w:val="left" w:pos="-720"/>
        </w:tabs>
        <w:suppressAutoHyphens/>
        <w:ind w:left="1440"/>
        <w:rPr>
          <w:sz w:val="22"/>
          <w:szCs w:val="22"/>
        </w:rPr>
      </w:pPr>
      <w:r>
        <w:rPr>
          <w:sz w:val="22"/>
          <w:szCs w:val="22"/>
        </w:rPr>
        <w:t>1,</w:t>
      </w:r>
      <w:r w:rsidR="00EF0882">
        <w:rPr>
          <w:sz w:val="22"/>
          <w:szCs w:val="22"/>
        </w:rPr>
        <w:t>307</w:t>
      </w:r>
      <w:r>
        <w:rPr>
          <w:sz w:val="22"/>
          <w:szCs w:val="22"/>
        </w:rPr>
        <w:t xml:space="preserve"> </w:t>
      </w:r>
      <w:r w:rsidR="00327F93">
        <w:rPr>
          <w:sz w:val="22"/>
          <w:szCs w:val="22"/>
        </w:rPr>
        <w:t xml:space="preserve">respondents </w:t>
      </w:r>
      <w:r>
        <w:rPr>
          <w:sz w:val="22"/>
          <w:szCs w:val="22"/>
        </w:rPr>
        <w:t xml:space="preserve">x </w:t>
      </w:r>
      <w:r w:rsidR="00455217">
        <w:rPr>
          <w:sz w:val="22"/>
          <w:szCs w:val="22"/>
        </w:rPr>
        <w:t xml:space="preserve">1 response annually x </w:t>
      </w:r>
      <w:r>
        <w:rPr>
          <w:sz w:val="22"/>
          <w:szCs w:val="22"/>
        </w:rPr>
        <w:t>$</w:t>
      </w:r>
      <w:r w:rsidRPr="00702660" w:rsidR="00702660">
        <w:rPr>
          <w:sz w:val="22"/>
          <w:szCs w:val="22"/>
        </w:rPr>
        <w:t>55.07</w:t>
      </w:r>
      <w:r w:rsidR="006B565D">
        <w:rPr>
          <w:sz w:val="22"/>
          <w:szCs w:val="22"/>
        </w:rPr>
        <w:t xml:space="preserve"> </w:t>
      </w:r>
      <w:r w:rsidRPr="00031AEE">
        <w:rPr>
          <w:sz w:val="22"/>
          <w:szCs w:val="22"/>
        </w:rPr>
        <w:t>= $</w:t>
      </w:r>
      <w:r w:rsidR="00706E39">
        <w:rPr>
          <w:sz w:val="22"/>
          <w:szCs w:val="22"/>
        </w:rPr>
        <w:t>71,976.49</w:t>
      </w:r>
      <w:r w:rsidR="001A263F">
        <w:rPr>
          <w:sz w:val="22"/>
          <w:szCs w:val="22"/>
        </w:rPr>
        <w:t>.</w:t>
      </w:r>
    </w:p>
    <w:p w:rsidR="0029103F" w:rsidP="00031AEE" w14:paraId="0E9594D5" w14:textId="77777777">
      <w:pPr>
        <w:tabs>
          <w:tab w:val="left" w:pos="-720"/>
        </w:tabs>
        <w:suppressAutoHyphens/>
        <w:rPr>
          <w:b/>
          <w:spacing w:val="-3"/>
          <w:sz w:val="22"/>
          <w:szCs w:val="22"/>
        </w:rPr>
      </w:pPr>
    </w:p>
    <w:p w:rsidR="00E5494C" w:rsidRPr="00031AEE" w:rsidP="00E5494C" w14:paraId="1B7B5DC3" w14:textId="77777777">
      <w:pPr>
        <w:pStyle w:val="Numberedparagraphs"/>
        <w:numPr>
          <w:ilvl w:val="0"/>
          <w:numId w:val="0"/>
        </w:numPr>
        <w:tabs>
          <w:tab w:val="clear" w:pos="1440"/>
        </w:tabs>
        <w:ind w:firstLine="720"/>
        <w:rPr>
          <w:sz w:val="22"/>
          <w:szCs w:val="22"/>
        </w:rPr>
      </w:pPr>
      <w:r w:rsidRPr="00031AEE">
        <w:rPr>
          <w:spacing w:val="-3"/>
          <w:sz w:val="22"/>
          <w:szCs w:val="22"/>
        </w:rPr>
        <w:t xml:space="preserve">13.  </w:t>
      </w:r>
      <w:r>
        <w:rPr>
          <w:spacing w:val="-3"/>
          <w:sz w:val="22"/>
          <w:szCs w:val="22"/>
        </w:rPr>
        <w:t>E</w:t>
      </w:r>
      <w:r w:rsidRPr="00031AEE">
        <w:rPr>
          <w:sz w:val="22"/>
          <w:szCs w:val="22"/>
        </w:rPr>
        <w:t>stimate</w:t>
      </w:r>
      <w:r>
        <w:rPr>
          <w:sz w:val="22"/>
          <w:szCs w:val="22"/>
        </w:rPr>
        <w:t>d</w:t>
      </w:r>
      <w:r w:rsidRPr="00031AEE">
        <w:rPr>
          <w:sz w:val="22"/>
          <w:szCs w:val="22"/>
        </w:rPr>
        <w:t xml:space="preserve"> </w:t>
      </w:r>
      <w:r>
        <w:rPr>
          <w:sz w:val="22"/>
          <w:szCs w:val="22"/>
        </w:rPr>
        <w:t xml:space="preserve">operations and maintenance (O&amp;M) costs of respondents </w:t>
      </w:r>
      <w:r w:rsidRPr="00031AEE">
        <w:rPr>
          <w:sz w:val="22"/>
          <w:szCs w:val="22"/>
        </w:rPr>
        <w:t>resulting fro</w:t>
      </w:r>
      <w:r>
        <w:rPr>
          <w:sz w:val="22"/>
          <w:szCs w:val="22"/>
        </w:rPr>
        <w:t>m the collection of information:</w:t>
      </w:r>
    </w:p>
    <w:p w:rsidR="00E5494C" w:rsidRPr="00031AEE" w:rsidP="00E5494C" w14:paraId="66C8C606" w14:textId="77777777">
      <w:pPr>
        <w:pStyle w:val="Numberedparagraphs"/>
        <w:numPr>
          <w:ilvl w:val="0"/>
          <w:numId w:val="0"/>
        </w:numPr>
        <w:tabs>
          <w:tab w:val="left" w:pos="720"/>
          <w:tab w:val="clear" w:pos="1440"/>
        </w:tabs>
        <w:rPr>
          <w:sz w:val="22"/>
          <w:szCs w:val="22"/>
        </w:rPr>
      </w:pPr>
      <w:r>
        <w:rPr>
          <w:sz w:val="22"/>
          <w:szCs w:val="22"/>
        </w:rPr>
        <w:tab/>
      </w:r>
      <w:r w:rsidRPr="00031AEE">
        <w:rPr>
          <w:sz w:val="22"/>
          <w:szCs w:val="22"/>
        </w:rPr>
        <w:t>(</w:t>
      </w:r>
      <w:r>
        <w:rPr>
          <w:sz w:val="22"/>
          <w:szCs w:val="22"/>
        </w:rPr>
        <w:t>a</w:t>
      </w:r>
      <w:r w:rsidRPr="00031AEE">
        <w:rPr>
          <w:sz w:val="22"/>
          <w:szCs w:val="22"/>
        </w:rPr>
        <w:t>)</w:t>
      </w:r>
      <w:r w:rsidRPr="00031AEE">
        <w:rPr>
          <w:sz w:val="22"/>
          <w:szCs w:val="22"/>
        </w:rPr>
        <w:tab/>
      </w:r>
      <w:r w:rsidRPr="00031AEE">
        <w:rPr>
          <w:sz w:val="22"/>
          <w:szCs w:val="22"/>
          <w:u w:val="single"/>
        </w:rPr>
        <w:t>Total capital start-up costs component annualized over its expected useful life:</w:t>
      </w:r>
      <w:r w:rsidRPr="00031AEE">
        <w:rPr>
          <w:sz w:val="22"/>
          <w:szCs w:val="22"/>
        </w:rPr>
        <w:t xml:space="preserve"> $0.  The collections will not result in additional capital expenditures such as computers or software.  </w:t>
      </w:r>
    </w:p>
    <w:p w:rsidR="00E5494C" w:rsidRPr="003D35B9" w:rsidP="00E5494C" w14:paraId="230CF417" w14:textId="65866321">
      <w:pPr>
        <w:pStyle w:val="Numberedparagraphs"/>
        <w:numPr>
          <w:ilvl w:val="0"/>
          <w:numId w:val="0"/>
        </w:numPr>
        <w:tabs>
          <w:tab w:val="left" w:pos="720"/>
          <w:tab w:val="clear" w:pos="1440"/>
        </w:tabs>
        <w:rPr>
          <w:bCs/>
          <w:sz w:val="22"/>
          <w:szCs w:val="22"/>
        </w:rPr>
      </w:pPr>
      <w:r w:rsidRPr="00031AEE">
        <w:rPr>
          <w:sz w:val="22"/>
          <w:szCs w:val="22"/>
        </w:rPr>
        <w:tab/>
        <w:t>(</w:t>
      </w:r>
      <w:r>
        <w:rPr>
          <w:sz w:val="22"/>
          <w:szCs w:val="22"/>
        </w:rPr>
        <w:t>b</w:t>
      </w:r>
      <w:r w:rsidRPr="00031AEE">
        <w:rPr>
          <w:sz w:val="22"/>
          <w:szCs w:val="22"/>
        </w:rPr>
        <w:t>)</w:t>
      </w:r>
      <w:r w:rsidRPr="00031AEE">
        <w:rPr>
          <w:sz w:val="22"/>
          <w:szCs w:val="22"/>
        </w:rPr>
        <w:tab/>
      </w:r>
      <w:r w:rsidRPr="00031AEE">
        <w:rPr>
          <w:sz w:val="22"/>
          <w:szCs w:val="22"/>
          <w:u w:val="single"/>
        </w:rPr>
        <w:t>Total operation and maintenance and purchase of services component:</w:t>
      </w:r>
      <w:r w:rsidR="00F02DEA">
        <w:rPr>
          <w:sz w:val="22"/>
          <w:szCs w:val="22"/>
        </w:rPr>
        <w:t xml:space="preserve">  </w:t>
      </w:r>
      <w:r w:rsidRPr="003C1CBC" w:rsidR="00B93B16">
        <w:rPr>
          <w:b/>
          <w:sz w:val="22"/>
          <w:szCs w:val="22"/>
        </w:rPr>
        <w:t>$</w:t>
      </w:r>
      <w:r w:rsidR="00512DEC">
        <w:rPr>
          <w:b/>
          <w:sz w:val="22"/>
          <w:szCs w:val="22"/>
        </w:rPr>
        <w:t>407,360</w:t>
      </w:r>
      <w:r w:rsidR="00262F26">
        <w:rPr>
          <w:b/>
          <w:sz w:val="22"/>
          <w:szCs w:val="22"/>
        </w:rPr>
        <w:t>.</w:t>
      </w:r>
    </w:p>
    <w:p w:rsidR="00D258F6" w:rsidP="002F6F7C" w14:paraId="5F00AEF7" w14:textId="0E68ADF2">
      <w:pPr>
        <w:pStyle w:val="Numberedparagraphs"/>
        <w:numPr>
          <w:ilvl w:val="0"/>
          <w:numId w:val="0"/>
        </w:numPr>
        <w:tabs>
          <w:tab w:val="left" w:pos="720"/>
          <w:tab w:val="clear" w:pos="1440"/>
        </w:tabs>
        <w:rPr>
          <w:sz w:val="22"/>
          <w:szCs w:val="22"/>
        </w:rPr>
      </w:pPr>
      <w:r>
        <w:rPr>
          <w:sz w:val="22"/>
          <w:szCs w:val="22"/>
        </w:rPr>
        <w:tab/>
      </w:r>
      <w:r w:rsidR="00697315">
        <w:rPr>
          <w:sz w:val="22"/>
          <w:szCs w:val="22"/>
        </w:rPr>
        <w:t xml:space="preserve">Respondents </w:t>
      </w:r>
      <w:r w:rsidR="00071771">
        <w:rPr>
          <w:sz w:val="22"/>
          <w:szCs w:val="22"/>
        </w:rPr>
        <w:t>are subject</w:t>
      </w:r>
      <w:r w:rsidR="009373C9">
        <w:rPr>
          <w:sz w:val="22"/>
          <w:szCs w:val="22"/>
        </w:rPr>
        <w:t xml:space="preserve"> to </w:t>
      </w:r>
      <w:r w:rsidR="00CC62CC">
        <w:rPr>
          <w:sz w:val="22"/>
          <w:szCs w:val="22"/>
        </w:rPr>
        <w:t>separate categories of fees</w:t>
      </w:r>
      <w:r w:rsidR="00702660">
        <w:rPr>
          <w:sz w:val="22"/>
          <w:szCs w:val="22"/>
        </w:rPr>
        <w:t xml:space="preserve"> reflected below</w:t>
      </w:r>
      <w:r w:rsidR="00667735">
        <w:rPr>
          <w:sz w:val="22"/>
          <w:szCs w:val="22"/>
        </w:rPr>
        <w:t xml:space="preserve"> but are not required to file fees for certain filings in ETFS</w:t>
      </w:r>
      <w:r w:rsidR="00CC62CC">
        <w:rPr>
          <w:sz w:val="22"/>
          <w:szCs w:val="22"/>
        </w:rPr>
        <w:t>.</w:t>
      </w:r>
      <w:r>
        <w:rPr>
          <w:rStyle w:val="FootnoteReference"/>
          <w:szCs w:val="22"/>
        </w:rPr>
        <w:footnoteReference w:id="2"/>
      </w:r>
      <w:r w:rsidR="00CC62CC">
        <w:rPr>
          <w:sz w:val="22"/>
          <w:szCs w:val="22"/>
        </w:rPr>
        <w:t xml:space="preserve">  </w:t>
      </w:r>
      <w:r w:rsidR="00294E6E">
        <w:rPr>
          <w:sz w:val="22"/>
          <w:szCs w:val="22"/>
        </w:rPr>
        <w:t>Thus:</w:t>
      </w:r>
    </w:p>
    <w:p w:rsidR="00783699" w:rsidP="002F6F7C" w14:paraId="6C7E63D7" w14:textId="4A631D9D">
      <w:pPr>
        <w:pStyle w:val="Numberedparagraphs"/>
        <w:numPr>
          <w:ilvl w:val="0"/>
          <w:numId w:val="0"/>
        </w:numPr>
        <w:tabs>
          <w:tab w:val="left" w:pos="720"/>
          <w:tab w:val="clear" w:pos="1440"/>
        </w:tabs>
        <w:rPr>
          <w:sz w:val="22"/>
          <w:szCs w:val="22"/>
        </w:rPr>
      </w:pPr>
      <w:r>
        <w:rPr>
          <w:sz w:val="22"/>
          <w:szCs w:val="22"/>
        </w:rPr>
        <w:tab/>
      </w:r>
      <w:r>
        <w:rPr>
          <w:sz w:val="22"/>
          <w:szCs w:val="22"/>
        </w:rPr>
        <w:tab/>
      </w:r>
      <w:r w:rsidR="00CB063F">
        <w:rPr>
          <w:sz w:val="22"/>
          <w:szCs w:val="22"/>
        </w:rPr>
        <w:t>169</w:t>
      </w:r>
      <w:r>
        <w:rPr>
          <w:sz w:val="22"/>
          <w:szCs w:val="22"/>
        </w:rPr>
        <w:t xml:space="preserve"> responses </w:t>
      </w:r>
      <w:r w:rsidR="00294E6E">
        <w:rPr>
          <w:sz w:val="22"/>
          <w:szCs w:val="22"/>
        </w:rPr>
        <w:t>x $1,040 (standard tariff filings) =</w:t>
      </w:r>
      <w:r w:rsidR="00B63485">
        <w:rPr>
          <w:sz w:val="22"/>
          <w:szCs w:val="22"/>
        </w:rPr>
        <w:t xml:space="preserve"> $</w:t>
      </w:r>
      <w:r w:rsidR="00CB063F">
        <w:rPr>
          <w:sz w:val="22"/>
          <w:szCs w:val="22"/>
        </w:rPr>
        <w:t>175,760</w:t>
      </w:r>
    </w:p>
    <w:p w:rsidR="00E5494C" w:rsidP="00E5494C" w14:paraId="42FCEB66" w14:textId="66711549">
      <w:pPr>
        <w:pStyle w:val="Numberedparagraphs"/>
        <w:numPr>
          <w:ilvl w:val="0"/>
          <w:numId w:val="0"/>
        </w:numPr>
        <w:tabs>
          <w:tab w:val="left" w:pos="720"/>
          <w:tab w:val="clear" w:pos="1440"/>
        </w:tabs>
        <w:rPr>
          <w:sz w:val="22"/>
          <w:szCs w:val="22"/>
        </w:rPr>
      </w:pPr>
      <w:r>
        <w:rPr>
          <w:sz w:val="22"/>
          <w:szCs w:val="22"/>
        </w:rPr>
        <w:tab/>
      </w:r>
      <w:r>
        <w:rPr>
          <w:sz w:val="22"/>
          <w:szCs w:val="22"/>
        </w:rPr>
        <w:tab/>
      </w:r>
      <w:r w:rsidR="00CB063F">
        <w:rPr>
          <w:sz w:val="22"/>
          <w:szCs w:val="22"/>
        </w:rPr>
        <w:t>21</w:t>
      </w:r>
      <w:r w:rsidR="00C144C3">
        <w:rPr>
          <w:sz w:val="22"/>
          <w:szCs w:val="22"/>
        </w:rPr>
        <w:t xml:space="preserve"> </w:t>
      </w:r>
      <w:r w:rsidR="00294E6E">
        <w:rPr>
          <w:sz w:val="22"/>
          <w:szCs w:val="22"/>
        </w:rPr>
        <w:t>responses x $</w:t>
      </w:r>
      <w:r w:rsidR="003E218E">
        <w:rPr>
          <w:sz w:val="22"/>
          <w:szCs w:val="22"/>
        </w:rPr>
        <w:t>7,680</w:t>
      </w:r>
      <w:r w:rsidR="00294E6E">
        <w:rPr>
          <w:sz w:val="22"/>
          <w:szCs w:val="22"/>
        </w:rPr>
        <w:t xml:space="preserve"> (complex (large) tariff filings) =</w:t>
      </w:r>
      <w:r w:rsidR="00B63485">
        <w:rPr>
          <w:sz w:val="22"/>
          <w:szCs w:val="22"/>
        </w:rPr>
        <w:t xml:space="preserve"> $</w:t>
      </w:r>
      <w:r w:rsidR="00CB063F">
        <w:rPr>
          <w:sz w:val="22"/>
          <w:szCs w:val="22"/>
        </w:rPr>
        <w:t>161,280</w:t>
      </w:r>
    </w:p>
    <w:p w:rsidR="00294E6E" w:rsidP="00E5494C" w14:paraId="43EC9E11" w14:textId="7E4BC5EF">
      <w:pPr>
        <w:pStyle w:val="Numberedparagraphs"/>
        <w:numPr>
          <w:ilvl w:val="0"/>
          <w:numId w:val="0"/>
        </w:numPr>
        <w:tabs>
          <w:tab w:val="left" w:pos="720"/>
          <w:tab w:val="clear" w:pos="1440"/>
        </w:tabs>
        <w:rPr>
          <w:sz w:val="22"/>
          <w:szCs w:val="22"/>
        </w:rPr>
      </w:pPr>
      <w:r>
        <w:rPr>
          <w:sz w:val="22"/>
          <w:szCs w:val="22"/>
        </w:rPr>
        <w:tab/>
      </w:r>
      <w:r>
        <w:rPr>
          <w:sz w:val="22"/>
          <w:szCs w:val="22"/>
        </w:rPr>
        <w:tab/>
      </w:r>
      <w:r w:rsidR="00CB063F">
        <w:rPr>
          <w:sz w:val="22"/>
          <w:szCs w:val="22"/>
        </w:rPr>
        <w:t>17</w:t>
      </w:r>
      <w:r w:rsidR="00C144C3">
        <w:rPr>
          <w:sz w:val="22"/>
          <w:szCs w:val="22"/>
        </w:rPr>
        <w:t xml:space="preserve"> </w:t>
      </w:r>
      <w:r>
        <w:rPr>
          <w:sz w:val="22"/>
          <w:szCs w:val="22"/>
        </w:rPr>
        <w:t>responses x $</w:t>
      </w:r>
      <w:r w:rsidR="003E218E">
        <w:rPr>
          <w:sz w:val="22"/>
          <w:szCs w:val="22"/>
        </w:rPr>
        <w:t>3,840</w:t>
      </w:r>
      <w:r>
        <w:rPr>
          <w:sz w:val="22"/>
          <w:szCs w:val="22"/>
        </w:rPr>
        <w:t xml:space="preserve"> (complex (small) tariff filings) =</w:t>
      </w:r>
      <w:r w:rsidR="00B63485">
        <w:rPr>
          <w:sz w:val="22"/>
          <w:szCs w:val="22"/>
        </w:rPr>
        <w:t xml:space="preserve"> $</w:t>
      </w:r>
      <w:r w:rsidR="00CB063F">
        <w:rPr>
          <w:sz w:val="22"/>
          <w:szCs w:val="22"/>
        </w:rPr>
        <w:t>65,280</w:t>
      </w:r>
    </w:p>
    <w:p w:rsidR="00B63485" w:rsidP="00E5494C" w14:paraId="1F1EA82C" w14:textId="47BD5074">
      <w:pPr>
        <w:pStyle w:val="Numberedparagraphs"/>
        <w:numPr>
          <w:ilvl w:val="0"/>
          <w:numId w:val="0"/>
        </w:numPr>
        <w:tabs>
          <w:tab w:val="left" w:pos="720"/>
          <w:tab w:val="clear" w:pos="1440"/>
        </w:tabs>
        <w:rPr>
          <w:sz w:val="22"/>
          <w:szCs w:val="22"/>
        </w:rPr>
      </w:pPr>
      <w:r>
        <w:rPr>
          <w:sz w:val="22"/>
          <w:szCs w:val="22"/>
        </w:rPr>
        <w:tab/>
      </w:r>
      <w:r>
        <w:rPr>
          <w:sz w:val="22"/>
          <w:szCs w:val="22"/>
        </w:rPr>
        <w:tab/>
      </w:r>
      <w:r w:rsidR="00C144C3">
        <w:rPr>
          <w:sz w:val="22"/>
          <w:szCs w:val="22"/>
        </w:rPr>
        <w:t>1</w:t>
      </w:r>
      <w:r w:rsidR="00CB063F">
        <w:rPr>
          <w:sz w:val="22"/>
          <w:szCs w:val="22"/>
        </w:rPr>
        <w:t>2</w:t>
      </w:r>
      <w:r w:rsidR="00C144C3">
        <w:rPr>
          <w:sz w:val="22"/>
          <w:szCs w:val="22"/>
        </w:rPr>
        <w:t xml:space="preserve"> </w:t>
      </w:r>
      <w:r>
        <w:rPr>
          <w:sz w:val="22"/>
          <w:szCs w:val="22"/>
        </w:rPr>
        <w:t>responses x $420 (application</w:t>
      </w:r>
      <w:r w:rsidR="00CC62CC">
        <w:rPr>
          <w:sz w:val="22"/>
          <w:szCs w:val="22"/>
        </w:rPr>
        <w:t>s</w:t>
      </w:r>
      <w:r>
        <w:rPr>
          <w:sz w:val="22"/>
          <w:szCs w:val="22"/>
        </w:rPr>
        <w:t xml:space="preserve"> for special permission) =</w:t>
      </w:r>
      <w:r w:rsidR="00F25666">
        <w:rPr>
          <w:sz w:val="22"/>
          <w:szCs w:val="22"/>
        </w:rPr>
        <w:t xml:space="preserve"> </w:t>
      </w:r>
      <w:r>
        <w:rPr>
          <w:sz w:val="22"/>
          <w:szCs w:val="22"/>
        </w:rPr>
        <w:t>$</w:t>
      </w:r>
      <w:r w:rsidR="00CB063F">
        <w:rPr>
          <w:sz w:val="22"/>
          <w:szCs w:val="22"/>
        </w:rPr>
        <w:t>5,040</w:t>
      </w:r>
    </w:p>
    <w:p w:rsidR="00294E6E" w:rsidP="00E5494C" w14:paraId="06B1A4E3" w14:textId="702BDAF8">
      <w:pPr>
        <w:pStyle w:val="Numberedparagraphs"/>
        <w:numPr>
          <w:ilvl w:val="0"/>
          <w:numId w:val="0"/>
        </w:numPr>
        <w:tabs>
          <w:tab w:val="left" w:pos="720"/>
          <w:tab w:val="clear" w:pos="1440"/>
        </w:tabs>
        <w:rPr>
          <w:sz w:val="22"/>
          <w:szCs w:val="22"/>
        </w:rPr>
      </w:pPr>
      <w:r>
        <w:rPr>
          <w:sz w:val="22"/>
          <w:szCs w:val="22"/>
        </w:rPr>
        <w:tab/>
      </w:r>
      <w:r>
        <w:rPr>
          <w:sz w:val="22"/>
          <w:szCs w:val="22"/>
        </w:rPr>
        <w:tab/>
      </w:r>
      <w:r w:rsidR="00CB063F">
        <w:rPr>
          <w:sz w:val="22"/>
          <w:szCs w:val="22"/>
        </w:rPr>
        <w:t>1,0</w:t>
      </w:r>
      <w:r w:rsidR="00175760">
        <w:rPr>
          <w:sz w:val="22"/>
          <w:szCs w:val="22"/>
        </w:rPr>
        <w:t>88</w:t>
      </w:r>
      <w:r w:rsidR="00CB063F">
        <w:rPr>
          <w:sz w:val="22"/>
          <w:szCs w:val="22"/>
        </w:rPr>
        <w:t xml:space="preserve"> responses x $0 (tariff filings that do not require a fee) = $0</w:t>
      </w:r>
    </w:p>
    <w:p w:rsidR="00E5494C" w:rsidRPr="001A263F" w:rsidP="00E5494C" w14:paraId="7BDF881C" w14:textId="5D7C4BA9">
      <w:pPr>
        <w:pStyle w:val="Numberedparagraphs"/>
        <w:numPr>
          <w:ilvl w:val="0"/>
          <w:numId w:val="0"/>
        </w:numPr>
        <w:tabs>
          <w:tab w:val="left" w:pos="720"/>
          <w:tab w:val="clear" w:pos="1440"/>
        </w:tabs>
        <w:rPr>
          <w:bCs/>
          <w:sz w:val="22"/>
          <w:szCs w:val="22"/>
        </w:rPr>
      </w:pPr>
      <w:r>
        <w:rPr>
          <w:sz w:val="22"/>
          <w:szCs w:val="22"/>
        </w:rPr>
        <w:tab/>
        <w:t>(c)</w:t>
      </w:r>
      <w:r>
        <w:rPr>
          <w:sz w:val="22"/>
          <w:szCs w:val="22"/>
        </w:rPr>
        <w:tab/>
      </w:r>
      <w:r>
        <w:rPr>
          <w:sz w:val="22"/>
          <w:szCs w:val="22"/>
          <w:u w:val="single"/>
        </w:rPr>
        <w:t>Total annualized cost requested</w:t>
      </w:r>
      <w:r>
        <w:rPr>
          <w:sz w:val="22"/>
          <w:szCs w:val="22"/>
        </w:rPr>
        <w:t xml:space="preserve">:  </w:t>
      </w:r>
      <w:r w:rsidRPr="003C1CBC" w:rsidR="00CB6879">
        <w:rPr>
          <w:b/>
          <w:sz w:val="22"/>
          <w:szCs w:val="22"/>
        </w:rPr>
        <w:t>$</w:t>
      </w:r>
      <w:r w:rsidR="00512DEC">
        <w:rPr>
          <w:b/>
          <w:sz w:val="22"/>
          <w:szCs w:val="22"/>
        </w:rPr>
        <w:t>407,360</w:t>
      </w:r>
      <w:r w:rsidR="00262F26">
        <w:rPr>
          <w:b/>
          <w:sz w:val="22"/>
          <w:szCs w:val="22"/>
        </w:rPr>
        <w:t>.</w:t>
      </w:r>
    </w:p>
    <w:p w:rsidR="00E5494C" w:rsidRPr="00031AEE" w:rsidP="00E5494C" w14:paraId="49759521" w14:textId="77777777">
      <w:pPr>
        <w:pStyle w:val="Numberedparagraphs"/>
        <w:numPr>
          <w:ilvl w:val="0"/>
          <w:numId w:val="0"/>
        </w:numPr>
        <w:tabs>
          <w:tab w:val="clear" w:pos="1440"/>
        </w:tabs>
        <w:ind w:firstLine="720"/>
        <w:rPr>
          <w:sz w:val="22"/>
          <w:szCs w:val="22"/>
        </w:rPr>
      </w:pPr>
      <w:r w:rsidRPr="00031AEE">
        <w:rPr>
          <w:sz w:val="22"/>
          <w:szCs w:val="22"/>
        </w:rPr>
        <w:t xml:space="preserve">14. </w:t>
      </w:r>
      <w:r w:rsidR="00D81AC9">
        <w:rPr>
          <w:sz w:val="22"/>
          <w:szCs w:val="22"/>
        </w:rPr>
        <w:t xml:space="preserve"> </w:t>
      </w:r>
      <w:r w:rsidRPr="00031AEE">
        <w:rPr>
          <w:sz w:val="22"/>
          <w:szCs w:val="22"/>
        </w:rPr>
        <w:t xml:space="preserve">There will be few, if any additional costs to the Commission because </w:t>
      </w:r>
      <w:r>
        <w:rPr>
          <w:sz w:val="22"/>
          <w:szCs w:val="22"/>
        </w:rPr>
        <w:t>tariff review responsibilities</w:t>
      </w:r>
      <w:r w:rsidRPr="00031AEE">
        <w:rPr>
          <w:sz w:val="22"/>
          <w:szCs w:val="22"/>
        </w:rPr>
        <w:t xml:space="preserve"> are already part of the Commission’s duties.</w:t>
      </w:r>
      <w:r>
        <w:rPr>
          <w:sz w:val="22"/>
          <w:szCs w:val="22"/>
        </w:rPr>
        <w:t xml:space="preserve">  </w:t>
      </w:r>
      <w:r w:rsidRPr="00031AEE">
        <w:rPr>
          <w:sz w:val="22"/>
          <w:szCs w:val="22"/>
        </w:rPr>
        <w:t xml:space="preserve"> </w:t>
      </w:r>
    </w:p>
    <w:p w:rsidR="00347EF9" w:rsidP="00347EF9" w14:paraId="3EE6EFAD" w14:textId="77777777">
      <w:pPr>
        <w:pStyle w:val="Numberedparagraphs"/>
        <w:numPr>
          <w:ilvl w:val="0"/>
          <w:numId w:val="0"/>
        </w:numPr>
        <w:tabs>
          <w:tab w:val="left" w:pos="720"/>
          <w:tab w:val="clear" w:pos="1440"/>
        </w:tabs>
        <w:rPr>
          <w:sz w:val="22"/>
          <w:szCs w:val="22"/>
        </w:rPr>
      </w:pPr>
      <w:r>
        <w:rPr>
          <w:sz w:val="22"/>
          <w:szCs w:val="22"/>
        </w:rPr>
        <w:tab/>
      </w:r>
      <w:r w:rsidRPr="00031AEE">
        <w:rPr>
          <w:sz w:val="22"/>
          <w:szCs w:val="22"/>
        </w:rPr>
        <w:t xml:space="preserve">15. </w:t>
      </w:r>
      <w:r>
        <w:rPr>
          <w:sz w:val="22"/>
          <w:szCs w:val="22"/>
        </w:rPr>
        <w:t xml:space="preserve"> </w:t>
      </w:r>
      <w:r>
        <w:rPr>
          <w:sz w:val="22"/>
          <w:szCs w:val="22"/>
        </w:rPr>
        <w:t>The Commission has ma</w:t>
      </w:r>
      <w:r w:rsidR="00870CCA">
        <w:rPr>
          <w:sz w:val="22"/>
          <w:szCs w:val="22"/>
        </w:rPr>
        <w:t xml:space="preserve">de </w:t>
      </w:r>
      <w:r>
        <w:rPr>
          <w:sz w:val="22"/>
          <w:szCs w:val="22"/>
        </w:rPr>
        <w:t>the following adjustment to this collection from the previous submission to OMB:</w:t>
      </w:r>
    </w:p>
    <w:p w:rsidR="00D85989" w:rsidP="00347EF9" w14:paraId="3C858DC6" w14:textId="4A0853D7">
      <w:pPr>
        <w:pStyle w:val="Numberedparagraphs"/>
        <w:numPr>
          <w:ilvl w:val="0"/>
          <w:numId w:val="0"/>
        </w:numPr>
        <w:tabs>
          <w:tab w:val="left" w:pos="720"/>
          <w:tab w:val="clear" w:pos="1440"/>
        </w:tabs>
        <w:rPr>
          <w:sz w:val="22"/>
          <w:szCs w:val="22"/>
        </w:rPr>
      </w:pPr>
      <w:r>
        <w:rPr>
          <w:sz w:val="22"/>
          <w:szCs w:val="22"/>
        </w:rPr>
        <w:tab/>
        <w:t>There are no changes in the total number of respondents, total annual responses, and total burden hours.  However</w:t>
      </w:r>
      <w:r w:rsidR="00F56A1A">
        <w:rPr>
          <w:sz w:val="22"/>
          <w:szCs w:val="22"/>
        </w:rPr>
        <w:t xml:space="preserve">, the total annual costs </w:t>
      </w:r>
      <w:r w:rsidR="00512DEC">
        <w:rPr>
          <w:sz w:val="22"/>
          <w:szCs w:val="22"/>
        </w:rPr>
        <w:t>decreased due to restructuring of the tariff fee payment system</w:t>
      </w:r>
      <w:r w:rsidR="00766953">
        <w:rPr>
          <w:sz w:val="22"/>
          <w:szCs w:val="22"/>
        </w:rPr>
        <w:t xml:space="preserve">.  </w:t>
      </w:r>
      <w:r w:rsidR="00F56A1A">
        <w:rPr>
          <w:sz w:val="22"/>
          <w:szCs w:val="22"/>
        </w:rPr>
        <w:t xml:space="preserve">As </w:t>
      </w:r>
      <w:r w:rsidR="00410E4C">
        <w:rPr>
          <w:sz w:val="22"/>
          <w:szCs w:val="22"/>
        </w:rPr>
        <w:t>such</w:t>
      </w:r>
      <w:r w:rsidR="00F56A1A">
        <w:rPr>
          <w:sz w:val="22"/>
          <w:szCs w:val="22"/>
        </w:rPr>
        <w:t xml:space="preserve">, the “Total operation and maintenance and purchase of services component” has </w:t>
      </w:r>
      <w:r w:rsidR="00D25C70">
        <w:rPr>
          <w:sz w:val="22"/>
          <w:szCs w:val="22"/>
        </w:rPr>
        <w:t xml:space="preserve">decreased </w:t>
      </w:r>
      <w:r w:rsidR="001A263F">
        <w:rPr>
          <w:sz w:val="22"/>
          <w:szCs w:val="22"/>
        </w:rPr>
        <w:t>from $</w:t>
      </w:r>
      <w:r w:rsidR="00B93B16">
        <w:rPr>
          <w:sz w:val="22"/>
          <w:szCs w:val="22"/>
        </w:rPr>
        <w:t>2,1</w:t>
      </w:r>
      <w:r w:rsidR="00262F26">
        <w:rPr>
          <w:sz w:val="22"/>
          <w:szCs w:val="22"/>
        </w:rPr>
        <w:t>70</w:t>
      </w:r>
      <w:r w:rsidR="00B93B16">
        <w:rPr>
          <w:sz w:val="22"/>
          <w:szCs w:val="22"/>
        </w:rPr>
        <w:t>,</w:t>
      </w:r>
      <w:r w:rsidR="00262F26">
        <w:rPr>
          <w:sz w:val="22"/>
          <w:szCs w:val="22"/>
        </w:rPr>
        <w:t xml:space="preserve">490 </w:t>
      </w:r>
      <w:r w:rsidR="00F90B05">
        <w:rPr>
          <w:sz w:val="22"/>
          <w:szCs w:val="22"/>
        </w:rPr>
        <w:t xml:space="preserve">to </w:t>
      </w:r>
      <w:r w:rsidR="00512DEC">
        <w:rPr>
          <w:sz w:val="22"/>
          <w:szCs w:val="22"/>
        </w:rPr>
        <w:t>$407,360</w:t>
      </w:r>
      <w:r w:rsidRPr="00512DEC" w:rsidR="00512DEC">
        <w:rPr>
          <w:sz w:val="22"/>
          <w:szCs w:val="22"/>
        </w:rPr>
        <w:t xml:space="preserve"> </w:t>
      </w:r>
      <w:r w:rsidR="005B3326">
        <w:rPr>
          <w:sz w:val="22"/>
          <w:szCs w:val="22"/>
        </w:rPr>
        <w:t>(-$1,763,130</w:t>
      </w:r>
      <w:r w:rsidR="00262F26">
        <w:rPr>
          <w:sz w:val="22"/>
          <w:szCs w:val="22"/>
        </w:rPr>
        <w:t>).</w:t>
      </w:r>
      <w:r w:rsidR="003B3A56">
        <w:rPr>
          <w:sz w:val="22"/>
          <w:szCs w:val="22"/>
        </w:rPr>
        <w:t xml:space="preserve">  </w:t>
      </w:r>
    </w:p>
    <w:p w:rsidR="00EF0882" w:rsidRPr="00EF0882" w:rsidP="00347EF9" w14:paraId="6A9CBB2B" w14:textId="77777777">
      <w:pPr>
        <w:pStyle w:val="Numberedparagraphs"/>
        <w:numPr>
          <w:ilvl w:val="0"/>
          <w:numId w:val="0"/>
        </w:numPr>
        <w:tabs>
          <w:tab w:val="left" w:pos="720"/>
          <w:tab w:val="clear" w:pos="1440"/>
        </w:tabs>
        <w:ind w:left="720"/>
        <w:rPr>
          <w:sz w:val="22"/>
          <w:szCs w:val="22"/>
        </w:rPr>
      </w:pPr>
      <w:r>
        <w:rPr>
          <w:sz w:val="22"/>
          <w:szCs w:val="22"/>
        </w:rPr>
        <w:t>There are no program changes.</w:t>
      </w:r>
    </w:p>
    <w:p w:rsidR="00E5494C" w:rsidRPr="00031AEE" w:rsidP="00E5494C" w14:paraId="19C56373" w14:textId="77777777">
      <w:pPr>
        <w:pStyle w:val="Numberedparagraphs"/>
        <w:numPr>
          <w:ilvl w:val="0"/>
          <w:numId w:val="0"/>
        </w:numPr>
        <w:tabs>
          <w:tab w:val="left" w:pos="720"/>
          <w:tab w:val="clear" w:pos="1440"/>
        </w:tabs>
        <w:rPr>
          <w:sz w:val="22"/>
          <w:szCs w:val="22"/>
        </w:rPr>
      </w:pPr>
      <w:r>
        <w:rPr>
          <w:sz w:val="22"/>
          <w:szCs w:val="22"/>
        </w:rPr>
        <w:tab/>
      </w:r>
      <w:r w:rsidRPr="00031AEE">
        <w:rPr>
          <w:sz w:val="22"/>
          <w:szCs w:val="22"/>
        </w:rPr>
        <w:t>16.</w:t>
      </w:r>
      <w:r>
        <w:rPr>
          <w:sz w:val="22"/>
          <w:szCs w:val="22"/>
        </w:rPr>
        <w:t xml:space="preserve"> </w:t>
      </w:r>
      <w:r w:rsidRPr="00031AEE">
        <w:rPr>
          <w:sz w:val="22"/>
          <w:szCs w:val="22"/>
        </w:rPr>
        <w:t xml:space="preserve"> The Commission does not anticipate publishing any of the information collected.  Rather, the </w:t>
      </w:r>
      <w:r>
        <w:rPr>
          <w:sz w:val="22"/>
          <w:szCs w:val="22"/>
        </w:rPr>
        <w:t>tariff documents</w:t>
      </w:r>
      <w:r w:rsidRPr="00031AEE">
        <w:rPr>
          <w:sz w:val="22"/>
          <w:szCs w:val="22"/>
        </w:rPr>
        <w:t xml:space="preserve"> will be available for publi</w:t>
      </w:r>
      <w:r>
        <w:rPr>
          <w:sz w:val="22"/>
          <w:szCs w:val="22"/>
        </w:rPr>
        <w:t>c review via the Commission’s ET</w:t>
      </w:r>
      <w:r w:rsidRPr="00031AEE">
        <w:rPr>
          <w:sz w:val="22"/>
          <w:szCs w:val="22"/>
        </w:rPr>
        <w:t>FS.</w:t>
      </w:r>
    </w:p>
    <w:p w:rsidR="00E5494C" w:rsidRPr="00031AEE" w:rsidP="00E5494C" w14:paraId="4484EBCC" w14:textId="77777777">
      <w:pPr>
        <w:pStyle w:val="Numberedparagraphs"/>
        <w:numPr>
          <w:ilvl w:val="0"/>
          <w:numId w:val="0"/>
        </w:numPr>
        <w:tabs>
          <w:tab w:val="left" w:pos="720"/>
          <w:tab w:val="clear" w:pos="1440"/>
        </w:tabs>
        <w:rPr>
          <w:sz w:val="22"/>
          <w:szCs w:val="22"/>
        </w:rPr>
      </w:pPr>
      <w:r>
        <w:rPr>
          <w:sz w:val="22"/>
          <w:szCs w:val="22"/>
        </w:rPr>
        <w:tab/>
      </w:r>
      <w:r w:rsidRPr="00031AEE">
        <w:rPr>
          <w:sz w:val="22"/>
          <w:szCs w:val="22"/>
        </w:rPr>
        <w:t>17.  The Commission is not seeking approval to not display an OMB expiration date.</w:t>
      </w:r>
    </w:p>
    <w:p w:rsidR="00E5494C" w:rsidRPr="00031AEE" w:rsidP="00E5494C" w14:paraId="3A56D3B7" w14:textId="77777777">
      <w:pPr>
        <w:pStyle w:val="Numberedparagraphs"/>
        <w:numPr>
          <w:ilvl w:val="0"/>
          <w:numId w:val="0"/>
        </w:numPr>
        <w:tabs>
          <w:tab w:val="left" w:pos="720"/>
          <w:tab w:val="clear" w:pos="1440"/>
        </w:tabs>
        <w:rPr>
          <w:sz w:val="22"/>
          <w:szCs w:val="22"/>
        </w:rPr>
      </w:pPr>
      <w:r>
        <w:rPr>
          <w:sz w:val="22"/>
          <w:szCs w:val="22"/>
        </w:rPr>
        <w:tab/>
      </w:r>
      <w:r w:rsidRPr="00031AEE">
        <w:rPr>
          <w:sz w:val="22"/>
          <w:szCs w:val="22"/>
        </w:rPr>
        <w:t xml:space="preserve">18.  There </w:t>
      </w:r>
      <w:r w:rsidR="00D85989">
        <w:rPr>
          <w:sz w:val="22"/>
          <w:szCs w:val="22"/>
        </w:rPr>
        <w:t>are no</w:t>
      </w:r>
      <w:r>
        <w:rPr>
          <w:sz w:val="22"/>
          <w:szCs w:val="22"/>
        </w:rPr>
        <w:t xml:space="preserve"> exception</w:t>
      </w:r>
      <w:r w:rsidR="00D85989">
        <w:rPr>
          <w:sz w:val="22"/>
          <w:szCs w:val="22"/>
        </w:rPr>
        <w:t>s</w:t>
      </w:r>
      <w:r w:rsidRPr="00031AEE">
        <w:rPr>
          <w:sz w:val="22"/>
          <w:szCs w:val="22"/>
        </w:rPr>
        <w:t xml:space="preserve"> to the </w:t>
      </w:r>
      <w:r w:rsidR="00D76549">
        <w:rPr>
          <w:sz w:val="22"/>
          <w:szCs w:val="22"/>
        </w:rPr>
        <w:t>C</w:t>
      </w:r>
      <w:r w:rsidRPr="00031AEE">
        <w:rPr>
          <w:sz w:val="22"/>
          <w:szCs w:val="22"/>
        </w:rPr>
        <w:t xml:space="preserve">ertification </w:t>
      </w:r>
      <w:r w:rsidR="00D76549">
        <w:rPr>
          <w:sz w:val="22"/>
          <w:szCs w:val="22"/>
        </w:rPr>
        <w:t>S</w:t>
      </w:r>
      <w:r w:rsidRPr="00031AEE">
        <w:rPr>
          <w:sz w:val="22"/>
          <w:szCs w:val="22"/>
        </w:rPr>
        <w:t>tatement.</w:t>
      </w:r>
      <w:r>
        <w:rPr>
          <w:sz w:val="22"/>
          <w:szCs w:val="22"/>
        </w:rPr>
        <w:t xml:space="preserve">   </w:t>
      </w:r>
    </w:p>
    <w:p w:rsidR="00E5494C" w:rsidRPr="00031AEE" w:rsidP="00E5494C" w14:paraId="3004EED2" w14:textId="77777777">
      <w:pPr>
        <w:rPr>
          <w:b/>
          <w:sz w:val="22"/>
          <w:szCs w:val="22"/>
        </w:rPr>
      </w:pPr>
      <w:r w:rsidRPr="00031AEE">
        <w:rPr>
          <w:b/>
          <w:sz w:val="22"/>
          <w:szCs w:val="22"/>
        </w:rPr>
        <w:t xml:space="preserve">B.  </w:t>
      </w:r>
      <w:r w:rsidRPr="00031AEE">
        <w:rPr>
          <w:b/>
          <w:sz w:val="22"/>
          <w:szCs w:val="22"/>
        </w:rPr>
        <w:tab/>
      </w:r>
      <w:r w:rsidRPr="00031AEE">
        <w:rPr>
          <w:b/>
          <w:sz w:val="22"/>
          <w:szCs w:val="22"/>
          <w:u w:val="single"/>
        </w:rPr>
        <w:t>Collections of Information Employing Statistical Methods:</w:t>
      </w:r>
    </w:p>
    <w:p w:rsidR="00E5494C" w:rsidRPr="00031AEE" w:rsidP="00E5494C" w14:paraId="484AB1E0" w14:textId="77777777">
      <w:pPr>
        <w:rPr>
          <w:sz w:val="22"/>
          <w:szCs w:val="22"/>
        </w:rPr>
      </w:pPr>
    </w:p>
    <w:p w:rsidR="00E5494C" w:rsidRPr="00031AEE" w:rsidP="00E5494C" w14:paraId="7496B211" w14:textId="77777777">
      <w:pPr>
        <w:pStyle w:val="Numberedparagraphs"/>
        <w:numPr>
          <w:ilvl w:val="0"/>
          <w:numId w:val="0"/>
        </w:numPr>
        <w:rPr>
          <w:sz w:val="22"/>
          <w:szCs w:val="22"/>
        </w:rPr>
      </w:pPr>
      <w:r w:rsidRPr="00031AEE">
        <w:rPr>
          <w:sz w:val="22"/>
          <w:szCs w:val="22"/>
        </w:rPr>
        <w:t>The Commission does not anticipate that the</w:t>
      </w:r>
      <w:r>
        <w:rPr>
          <w:sz w:val="22"/>
          <w:szCs w:val="22"/>
        </w:rPr>
        <w:t xml:space="preserve"> proposed</w:t>
      </w:r>
      <w:r w:rsidRPr="00031AEE">
        <w:rPr>
          <w:sz w:val="22"/>
          <w:szCs w:val="22"/>
        </w:rPr>
        <w:t xml:space="preserve"> collection of information will employ statistical methods.</w:t>
      </w:r>
    </w:p>
    <w:p w:rsidR="00701A97" w:rsidRPr="00031AEE" w:rsidP="00031AEE" w14:paraId="543A3242" w14:textId="77777777">
      <w:pPr>
        <w:rPr>
          <w:sz w:val="22"/>
          <w:szCs w:val="22"/>
        </w:rPr>
      </w:pPr>
    </w:p>
    <w:sectPr w:rsidSect="00031AEE">
      <w:headerReference w:type="default" r:id="rId6"/>
      <w:footerReference w:type="even" r:id="rId7"/>
      <w:footerReference w:type="default" r:id="rId8"/>
      <w:headerReference w:type="first" r:id="rId9"/>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0845" w:rsidP="00E63B07" w14:paraId="24C5DCD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70845" w14:paraId="55B57EB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0845" w:rsidP="00E63B07" w14:paraId="40B83F8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749DD">
      <w:rPr>
        <w:rStyle w:val="PageNumber"/>
        <w:noProof/>
      </w:rPr>
      <w:t>2</w:t>
    </w:r>
    <w:r>
      <w:rPr>
        <w:rStyle w:val="PageNumber"/>
      </w:rPr>
      <w:fldChar w:fldCharType="end"/>
    </w:r>
  </w:p>
  <w:p w:rsidR="00770845" w14:paraId="776A49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85196" w14:paraId="29B77B24" w14:textId="77777777">
      <w:r>
        <w:separator/>
      </w:r>
    </w:p>
  </w:footnote>
  <w:footnote w:type="continuationSeparator" w:id="1">
    <w:p w:rsidR="00185196" w14:paraId="1FDDB953" w14:textId="77777777">
      <w:r>
        <w:continuationSeparator/>
      </w:r>
    </w:p>
  </w:footnote>
  <w:footnote w:id="2">
    <w:p w:rsidR="00CC62CC" w14:paraId="0082E592" w14:textId="74611D25">
      <w:pPr>
        <w:pStyle w:val="FootnoteText"/>
      </w:pPr>
      <w:r>
        <w:rPr>
          <w:rStyle w:val="FootnoteReference"/>
        </w:rPr>
        <w:footnoteRef/>
      </w:r>
      <w:r>
        <w:t xml:space="preserve"> </w:t>
      </w:r>
      <w:r>
        <w:rPr>
          <w:sz w:val="22"/>
          <w:szCs w:val="22"/>
        </w:rPr>
        <w:t xml:space="preserve">In particular, the </w:t>
      </w:r>
      <w:r w:rsidR="00702660">
        <w:rPr>
          <w:sz w:val="22"/>
          <w:szCs w:val="22"/>
        </w:rPr>
        <w:t xml:space="preserve">current </w:t>
      </w:r>
      <w:r>
        <w:rPr>
          <w:sz w:val="22"/>
          <w:szCs w:val="22"/>
        </w:rPr>
        <w:t>standard tariff filing fee is $1,040; the complex (large) tariff filing fee is $</w:t>
      </w:r>
      <w:r w:rsidR="00702660">
        <w:rPr>
          <w:sz w:val="22"/>
          <w:szCs w:val="22"/>
        </w:rPr>
        <w:t>7,680</w:t>
      </w:r>
      <w:r>
        <w:rPr>
          <w:sz w:val="22"/>
          <w:szCs w:val="22"/>
        </w:rPr>
        <w:t>; the complex (small) tariff filing fee is $</w:t>
      </w:r>
      <w:r w:rsidR="00702660">
        <w:rPr>
          <w:sz w:val="22"/>
          <w:szCs w:val="22"/>
        </w:rPr>
        <w:t>3,840</w:t>
      </w:r>
      <w:r>
        <w:rPr>
          <w:sz w:val="22"/>
          <w:szCs w:val="22"/>
        </w:rPr>
        <w:t xml:space="preserve">; </w:t>
      </w:r>
      <w:r w:rsidR="00702660">
        <w:rPr>
          <w:sz w:val="22"/>
          <w:szCs w:val="22"/>
        </w:rPr>
        <w:t xml:space="preserve">and </w:t>
      </w:r>
      <w:r>
        <w:rPr>
          <w:sz w:val="22"/>
          <w:szCs w:val="22"/>
        </w:rPr>
        <w:t xml:space="preserve">the application for special permission of waiver of tariff rules filing fee is $420.  </w:t>
      </w:r>
      <w:r w:rsidRPr="00547119" w:rsidR="00702660">
        <w:rPr>
          <w:i/>
          <w:iCs/>
          <w:sz w:val="22"/>
          <w:szCs w:val="22"/>
        </w:rPr>
        <w:t>See</w:t>
      </w:r>
      <w:r w:rsidR="00702660">
        <w:rPr>
          <w:sz w:val="22"/>
          <w:szCs w:val="22"/>
        </w:rPr>
        <w:t xml:space="preserve"> 47 CFR § 1.1105.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0845" w:rsidRPr="00F94B9B" w:rsidP="002A348D" w14:paraId="65D2DC18" w14:textId="77777777">
    <w:pPr>
      <w:pStyle w:val="Header"/>
      <w:rPr>
        <w:b/>
      </w:rPr>
    </w:pPr>
    <w:r>
      <w:rPr>
        <w:b/>
      </w:rPr>
      <w:tab/>
    </w:r>
    <w:r>
      <w:rPr>
        <w:b/>
      </w:rPr>
      <w:tab/>
    </w:r>
    <w:r>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0845" w:rsidRPr="002A348D" w:rsidP="00455546" w14:paraId="3389FEFC" w14:textId="6B3A2465">
    <w:pPr>
      <w:pStyle w:val="Header"/>
      <w:rPr>
        <w:b/>
        <w:sz w:val="20"/>
      </w:rPr>
    </w:pPr>
    <w:r>
      <w:rPr>
        <w:b/>
        <w:sz w:val="20"/>
      </w:rPr>
      <w:t>Electronic Tariff Filing System (ETFS)</w:t>
    </w:r>
    <w:r>
      <w:rPr>
        <w:b/>
        <w:sz w:val="20"/>
      </w:rPr>
      <w:tab/>
    </w:r>
    <w:r>
      <w:rPr>
        <w:b/>
        <w:sz w:val="20"/>
      </w:rPr>
      <w:tab/>
      <w:t>3060-1142</w:t>
    </w:r>
    <w:r>
      <w:rPr>
        <w:b/>
        <w:sz w:val="20"/>
      </w:rPr>
      <w:tab/>
    </w:r>
    <w:r>
      <w:rPr>
        <w:b/>
        <w:sz w:val="20"/>
      </w:rPr>
      <w:tab/>
    </w:r>
    <w:r>
      <w:rPr>
        <w:b/>
        <w:sz w:val="20"/>
      </w:rPr>
      <w:tab/>
    </w:r>
    <w:r w:rsidR="00600612">
      <w:rPr>
        <w:b/>
        <w:sz w:val="20"/>
      </w:rPr>
      <w:t>December</w:t>
    </w:r>
    <w:r w:rsidR="007B1BC3">
      <w:rPr>
        <w:b/>
        <w:sz w:val="20"/>
      </w:rPr>
      <w:t xml:space="preserve"> </w:t>
    </w:r>
    <w:r w:rsidR="00674BAF">
      <w:rPr>
        <w:b/>
        <w:sz w:val="20"/>
      </w:rPr>
      <w:t>202</w:t>
    </w:r>
    <w:r w:rsidR="00E81623">
      <w:rPr>
        <w:b/>
        <w:sz w:val="20"/>
      </w:rPr>
      <w:t>5</w:t>
    </w:r>
    <w:r w:rsidR="00455546">
      <w:rPr>
        <w:b/>
        <w:sz w:val="20"/>
      </w:rPr>
      <w:tab/>
    </w:r>
    <w:r>
      <w:rPr>
        <w:b/>
        <w:sz w:val="20"/>
      </w:rPr>
      <w:tab/>
    </w:r>
    <w:r>
      <w:rPr>
        <w:b/>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915784"/>
    <w:multiLevelType w:val="hybridMultilevel"/>
    <w:tmpl w:val="557CD8DE"/>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
    <w:nsid w:val="29BB2E88"/>
    <w:multiLevelType w:val="hybridMultilevel"/>
    <w:tmpl w:val="673CCDCC"/>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352E658C"/>
    <w:multiLevelType w:val="hybridMultilevel"/>
    <w:tmpl w:val="83BA122A"/>
    <w:lvl w:ilvl="0">
      <w:start w:val="11"/>
      <w:numFmt w:val="decimal"/>
      <w:lvlText w:val="%1."/>
      <w:lvlJc w:val="left"/>
      <w:pPr>
        <w:tabs>
          <w:tab w:val="num" w:pos="630"/>
        </w:tabs>
        <w:ind w:left="630" w:hanging="360"/>
      </w:pPr>
      <w:rPr>
        <w:rFonts w:hint="default"/>
      </w:rPr>
    </w:lvl>
    <w:lvl w:ilvl="1" w:tentative="1">
      <w:start w:val="1"/>
      <w:numFmt w:val="lowerLetter"/>
      <w:lvlText w:val="%2."/>
      <w:lvlJc w:val="left"/>
      <w:pPr>
        <w:tabs>
          <w:tab w:val="num" w:pos="1350"/>
        </w:tabs>
        <w:ind w:left="1350" w:hanging="360"/>
      </w:pPr>
    </w:lvl>
    <w:lvl w:ilvl="2" w:tentative="1">
      <w:start w:val="1"/>
      <w:numFmt w:val="lowerRoman"/>
      <w:lvlText w:val="%3."/>
      <w:lvlJc w:val="right"/>
      <w:pPr>
        <w:tabs>
          <w:tab w:val="num" w:pos="2070"/>
        </w:tabs>
        <w:ind w:left="2070" w:hanging="180"/>
      </w:pPr>
    </w:lvl>
    <w:lvl w:ilvl="3" w:tentative="1">
      <w:start w:val="1"/>
      <w:numFmt w:val="decimal"/>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Roman"/>
      <w:lvlText w:val="%6."/>
      <w:lvlJc w:val="right"/>
      <w:pPr>
        <w:tabs>
          <w:tab w:val="num" w:pos="4230"/>
        </w:tabs>
        <w:ind w:left="4230" w:hanging="180"/>
      </w:pPr>
    </w:lvl>
    <w:lvl w:ilvl="6" w:tentative="1">
      <w:start w:val="1"/>
      <w:numFmt w:val="decimal"/>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Roman"/>
      <w:lvlText w:val="%9."/>
      <w:lvlJc w:val="right"/>
      <w:pPr>
        <w:tabs>
          <w:tab w:val="num" w:pos="6390"/>
        </w:tabs>
        <w:ind w:left="6390" w:hanging="180"/>
      </w:pPr>
    </w:lvl>
  </w:abstractNum>
  <w:abstractNum w:abstractNumId="3">
    <w:nsid w:val="36D83D08"/>
    <w:multiLevelType w:val="multilevel"/>
    <w:tmpl w:val="A0567AA2"/>
    <w:lvl w:ilvl="0">
      <w:start w:val="1"/>
      <w:numFmt w:val="upperRoman"/>
      <w:suff w:val="nothing"/>
      <w:lvlText w:val="%1.  "/>
      <w:lvlJc w:val="left"/>
      <w:pPr>
        <w:ind w:left="0" w:firstLine="0"/>
      </w:pPr>
      <w:rPr>
        <w:rFonts w:ascii="Times New Roman" w:hAnsi="Times New Roman" w:hint="default"/>
        <w:b/>
        <w:i w:val="0"/>
        <w:sz w:val="22"/>
      </w:rPr>
    </w:lvl>
    <w:lvl w:ilvl="1">
      <w:start w:val="1"/>
      <w:numFmt w:val="upperLetter"/>
      <w:pStyle w:val="Heading2"/>
      <w:lvlText w:val="%2."/>
      <w:lvlJc w:val="left"/>
      <w:pPr>
        <w:tabs>
          <w:tab w:val="num" w:pos="1080"/>
        </w:tabs>
        <w:ind w:left="720" w:firstLine="0"/>
      </w:pPr>
    </w:lvl>
    <w:lvl w:ilvl="2">
      <w:start w:val="2"/>
      <w:numFmt w:val="decimal"/>
      <w:lvlRestart w:val="0"/>
      <w:pStyle w:val="Numberedparagraphs"/>
      <w:lvlText w:val="%3."/>
      <w:lvlJc w:val="left"/>
      <w:pPr>
        <w:tabs>
          <w:tab w:val="num" w:pos="1260"/>
        </w:tabs>
        <w:ind w:left="180" w:firstLine="720"/>
      </w:pPr>
      <w:rPr>
        <w:rFonts w:ascii="Times New Roman" w:eastAsia="Times New Roman" w:hAnsi="Times New Roman" w:cs="Times New Roman"/>
        <w:b w:val="0"/>
        <w:i w:val="0"/>
        <w:sz w:val="22"/>
      </w:r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38A37AEA"/>
    <w:multiLevelType w:val="hybridMultilevel"/>
    <w:tmpl w:val="7F9E7200"/>
    <w:lvl w:ilvl="0">
      <w:start w:val="2"/>
      <w:numFmt w:val="decimal"/>
      <w:lvlText w:val="%1."/>
      <w:lvlJc w:val="left"/>
      <w:pPr>
        <w:tabs>
          <w:tab w:val="num" w:pos="1845"/>
        </w:tabs>
        <w:ind w:left="1845" w:hanging="112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38FF51F9"/>
    <w:multiLevelType w:val="hybridMultilevel"/>
    <w:tmpl w:val="1CE03FF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hint="default"/>
      </w:rPr>
    </w:lvl>
    <w:lvl w:ilvl="8" w:tentative="1">
      <w:start w:val="1"/>
      <w:numFmt w:val="bullet"/>
      <w:lvlText w:val=""/>
      <w:lvlJc w:val="left"/>
      <w:pPr>
        <w:ind w:left="7560" w:hanging="360"/>
      </w:pPr>
      <w:rPr>
        <w:rFonts w:ascii="Wingdings" w:hAnsi="Wingdings" w:hint="default"/>
      </w:rPr>
    </w:lvl>
  </w:abstractNum>
  <w:abstractNum w:abstractNumId="6">
    <w:nsid w:val="4F326943"/>
    <w:multiLevelType w:val="multilevel"/>
    <w:tmpl w:val="EBD87BFA"/>
    <w:lvl w:ilvl="0">
      <w:start w:val="1"/>
      <w:numFmt w:val="decimal"/>
      <w:pStyle w:val="ParaNu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54411046"/>
    <w:multiLevelType w:val="hybridMultilevel"/>
    <w:tmpl w:val="23EA5140"/>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
    <w:nsid w:val="73491195"/>
    <w:multiLevelType w:val="hybridMultilevel"/>
    <w:tmpl w:val="CA080A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80385832">
    <w:abstractNumId w:val="3"/>
  </w:num>
  <w:num w:numId="2" w16cid:durableId="372509524">
    <w:abstractNumId w:val="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9570442">
    <w:abstractNumId w:val="4"/>
  </w:num>
  <w:num w:numId="4" w16cid:durableId="823471922">
    <w:abstractNumId w:val="2"/>
  </w:num>
  <w:num w:numId="5" w16cid:durableId="396587733">
    <w:abstractNumId w:val="0"/>
  </w:num>
  <w:num w:numId="6" w16cid:durableId="1758087158">
    <w:abstractNumId w:val="6"/>
  </w:num>
  <w:num w:numId="7" w16cid:durableId="1955289558">
    <w:abstractNumId w:val="8"/>
  </w:num>
  <w:num w:numId="8" w16cid:durableId="1497191062">
    <w:abstractNumId w:val="7"/>
  </w:num>
  <w:num w:numId="9" w16cid:durableId="202792095">
    <w:abstractNumId w:val="1"/>
  </w:num>
  <w:num w:numId="10" w16cid:durableId="2547474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ED"/>
    <w:rsid w:val="00000569"/>
    <w:rsid w:val="00003387"/>
    <w:rsid w:val="000054C3"/>
    <w:rsid w:val="00006CEF"/>
    <w:rsid w:val="00014159"/>
    <w:rsid w:val="0002523A"/>
    <w:rsid w:val="00026FE5"/>
    <w:rsid w:val="00027AA1"/>
    <w:rsid w:val="000319E2"/>
    <w:rsid w:val="00031AEE"/>
    <w:rsid w:val="00031D6A"/>
    <w:rsid w:val="0005262A"/>
    <w:rsid w:val="00060E41"/>
    <w:rsid w:val="00064226"/>
    <w:rsid w:val="00066B67"/>
    <w:rsid w:val="00071771"/>
    <w:rsid w:val="00081296"/>
    <w:rsid w:val="00085B96"/>
    <w:rsid w:val="00090AB6"/>
    <w:rsid w:val="00096D8C"/>
    <w:rsid w:val="000A6B23"/>
    <w:rsid w:val="000C010E"/>
    <w:rsid w:val="000C1649"/>
    <w:rsid w:val="000C1765"/>
    <w:rsid w:val="000C71A2"/>
    <w:rsid w:val="000D75AB"/>
    <w:rsid w:val="000E0A36"/>
    <w:rsid w:val="000F32F9"/>
    <w:rsid w:val="0011262D"/>
    <w:rsid w:val="00114BB0"/>
    <w:rsid w:val="00115E55"/>
    <w:rsid w:val="001274C5"/>
    <w:rsid w:val="00131572"/>
    <w:rsid w:val="00133D79"/>
    <w:rsid w:val="001366E8"/>
    <w:rsid w:val="00140C28"/>
    <w:rsid w:val="00142636"/>
    <w:rsid w:val="00143B56"/>
    <w:rsid w:val="00145C2B"/>
    <w:rsid w:val="00150EAB"/>
    <w:rsid w:val="001522F8"/>
    <w:rsid w:val="00161034"/>
    <w:rsid w:val="001667E9"/>
    <w:rsid w:val="00172BCB"/>
    <w:rsid w:val="00175760"/>
    <w:rsid w:val="001825D4"/>
    <w:rsid w:val="00183302"/>
    <w:rsid w:val="00185196"/>
    <w:rsid w:val="00187984"/>
    <w:rsid w:val="001912C2"/>
    <w:rsid w:val="001A263F"/>
    <w:rsid w:val="001A499F"/>
    <w:rsid w:val="001A4FE8"/>
    <w:rsid w:val="001B0633"/>
    <w:rsid w:val="001B1323"/>
    <w:rsid w:val="001B24A6"/>
    <w:rsid w:val="001C5634"/>
    <w:rsid w:val="001D75D5"/>
    <w:rsid w:val="001F1F39"/>
    <w:rsid w:val="001F2CFD"/>
    <w:rsid w:val="00210882"/>
    <w:rsid w:val="00211F42"/>
    <w:rsid w:val="0021505E"/>
    <w:rsid w:val="00224ED7"/>
    <w:rsid w:val="00226A39"/>
    <w:rsid w:val="002369C4"/>
    <w:rsid w:val="00237B1E"/>
    <w:rsid w:val="00254628"/>
    <w:rsid w:val="00262F26"/>
    <w:rsid w:val="0026499F"/>
    <w:rsid w:val="002675FD"/>
    <w:rsid w:val="00273B4B"/>
    <w:rsid w:val="0029103F"/>
    <w:rsid w:val="00294B97"/>
    <w:rsid w:val="00294E6E"/>
    <w:rsid w:val="00297031"/>
    <w:rsid w:val="002A348D"/>
    <w:rsid w:val="002A79A1"/>
    <w:rsid w:val="002B2CB1"/>
    <w:rsid w:val="002B622D"/>
    <w:rsid w:val="002C7A4D"/>
    <w:rsid w:val="002D6906"/>
    <w:rsid w:val="002D6CE0"/>
    <w:rsid w:val="002E467B"/>
    <w:rsid w:val="002F6F7C"/>
    <w:rsid w:val="003007F4"/>
    <w:rsid w:val="00301FBA"/>
    <w:rsid w:val="00302A51"/>
    <w:rsid w:val="003036FE"/>
    <w:rsid w:val="003220FC"/>
    <w:rsid w:val="00325869"/>
    <w:rsid w:val="00327DED"/>
    <w:rsid w:val="00327F93"/>
    <w:rsid w:val="003357BA"/>
    <w:rsid w:val="003367E7"/>
    <w:rsid w:val="00347EF9"/>
    <w:rsid w:val="0035382C"/>
    <w:rsid w:val="00361622"/>
    <w:rsid w:val="003749DD"/>
    <w:rsid w:val="00386C21"/>
    <w:rsid w:val="00394C77"/>
    <w:rsid w:val="003A34A0"/>
    <w:rsid w:val="003A4A33"/>
    <w:rsid w:val="003A788C"/>
    <w:rsid w:val="003B3A56"/>
    <w:rsid w:val="003B4088"/>
    <w:rsid w:val="003C1CBC"/>
    <w:rsid w:val="003C2CAC"/>
    <w:rsid w:val="003D35B9"/>
    <w:rsid w:val="003E218E"/>
    <w:rsid w:val="003E45A1"/>
    <w:rsid w:val="003F1E75"/>
    <w:rsid w:val="00402B75"/>
    <w:rsid w:val="00402DEB"/>
    <w:rsid w:val="00405362"/>
    <w:rsid w:val="00406199"/>
    <w:rsid w:val="004065AB"/>
    <w:rsid w:val="00410E4C"/>
    <w:rsid w:val="00416939"/>
    <w:rsid w:val="004216FA"/>
    <w:rsid w:val="0042401F"/>
    <w:rsid w:val="00432114"/>
    <w:rsid w:val="004338BE"/>
    <w:rsid w:val="00455217"/>
    <w:rsid w:val="00455546"/>
    <w:rsid w:val="00473CE2"/>
    <w:rsid w:val="004826BC"/>
    <w:rsid w:val="00483044"/>
    <w:rsid w:val="00485994"/>
    <w:rsid w:val="00486A40"/>
    <w:rsid w:val="0049185D"/>
    <w:rsid w:val="0049706E"/>
    <w:rsid w:val="004C186C"/>
    <w:rsid w:val="004D151E"/>
    <w:rsid w:val="004D59A6"/>
    <w:rsid w:val="004D6CA3"/>
    <w:rsid w:val="004E2785"/>
    <w:rsid w:val="00500DAF"/>
    <w:rsid w:val="00502F8E"/>
    <w:rsid w:val="005129B5"/>
    <w:rsid w:val="00512DEC"/>
    <w:rsid w:val="00515BC1"/>
    <w:rsid w:val="00534333"/>
    <w:rsid w:val="00536D62"/>
    <w:rsid w:val="0054337F"/>
    <w:rsid w:val="00547119"/>
    <w:rsid w:val="00547E8D"/>
    <w:rsid w:val="00550664"/>
    <w:rsid w:val="00555089"/>
    <w:rsid w:val="00560FD0"/>
    <w:rsid w:val="0056381B"/>
    <w:rsid w:val="00563DA1"/>
    <w:rsid w:val="0056595D"/>
    <w:rsid w:val="005677DC"/>
    <w:rsid w:val="0057344F"/>
    <w:rsid w:val="00574875"/>
    <w:rsid w:val="0058152F"/>
    <w:rsid w:val="0058394F"/>
    <w:rsid w:val="00591EC3"/>
    <w:rsid w:val="005933FE"/>
    <w:rsid w:val="005951EC"/>
    <w:rsid w:val="00595698"/>
    <w:rsid w:val="005A3F34"/>
    <w:rsid w:val="005B2027"/>
    <w:rsid w:val="005B3326"/>
    <w:rsid w:val="005C455D"/>
    <w:rsid w:val="005D1F1E"/>
    <w:rsid w:val="005D4B90"/>
    <w:rsid w:val="005E65ED"/>
    <w:rsid w:val="00600612"/>
    <w:rsid w:val="00630529"/>
    <w:rsid w:val="00633BE4"/>
    <w:rsid w:val="00650192"/>
    <w:rsid w:val="006524D0"/>
    <w:rsid w:val="00662F6E"/>
    <w:rsid w:val="00667735"/>
    <w:rsid w:val="0067475D"/>
    <w:rsid w:val="00674BAF"/>
    <w:rsid w:val="006766AA"/>
    <w:rsid w:val="006920F0"/>
    <w:rsid w:val="00697315"/>
    <w:rsid w:val="006A0D70"/>
    <w:rsid w:val="006A7DB1"/>
    <w:rsid w:val="006B200F"/>
    <w:rsid w:val="006B2A07"/>
    <w:rsid w:val="006B3764"/>
    <w:rsid w:val="006B565D"/>
    <w:rsid w:val="006D6B0F"/>
    <w:rsid w:val="006E6E89"/>
    <w:rsid w:val="006F7D79"/>
    <w:rsid w:val="00701A97"/>
    <w:rsid w:val="00702660"/>
    <w:rsid w:val="00706E39"/>
    <w:rsid w:val="00725921"/>
    <w:rsid w:val="007276A7"/>
    <w:rsid w:val="00732000"/>
    <w:rsid w:val="007501DB"/>
    <w:rsid w:val="00755B92"/>
    <w:rsid w:val="007575DE"/>
    <w:rsid w:val="007632ED"/>
    <w:rsid w:val="007648B1"/>
    <w:rsid w:val="00766579"/>
    <w:rsid w:val="00766953"/>
    <w:rsid w:val="00770845"/>
    <w:rsid w:val="00773C92"/>
    <w:rsid w:val="007740D7"/>
    <w:rsid w:val="00783699"/>
    <w:rsid w:val="00786571"/>
    <w:rsid w:val="00795E6E"/>
    <w:rsid w:val="007B1BC3"/>
    <w:rsid w:val="007C2925"/>
    <w:rsid w:val="007C76BF"/>
    <w:rsid w:val="007D3B54"/>
    <w:rsid w:val="007D5F8B"/>
    <w:rsid w:val="007E7464"/>
    <w:rsid w:val="007F374F"/>
    <w:rsid w:val="007F3E18"/>
    <w:rsid w:val="00812B39"/>
    <w:rsid w:val="00814587"/>
    <w:rsid w:val="00814913"/>
    <w:rsid w:val="00821D93"/>
    <w:rsid w:val="00826182"/>
    <w:rsid w:val="00853C9F"/>
    <w:rsid w:val="00864481"/>
    <w:rsid w:val="00867271"/>
    <w:rsid w:val="0087033A"/>
    <w:rsid w:val="00870CCA"/>
    <w:rsid w:val="00872992"/>
    <w:rsid w:val="00873B62"/>
    <w:rsid w:val="00880081"/>
    <w:rsid w:val="00883F54"/>
    <w:rsid w:val="008937E8"/>
    <w:rsid w:val="008974EA"/>
    <w:rsid w:val="008B2127"/>
    <w:rsid w:val="008D01D8"/>
    <w:rsid w:val="008D0968"/>
    <w:rsid w:val="008D1DE5"/>
    <w:rsid w:val="008D5D4A"/>
    <w:rsid w:val="008F5D10"/>
    <w:rsid w:val="00906AD1"/>
    <w:rsid w:val="0091744A"/>
    <w:rsid w:val="0092160B"/>
    <w:rsid w:val="00925709"/>
    <w:rsid w:val="009267F2"/>
    <w:rsid w:val="0093288B"/>
    <w:rsid w:val="009373C9"/>
    <w:rsid w:val="00954148"/>
    <w:rsid w:val="00960541"/>
    <w:rsid w:val="00961C5A"/>
    <w:rsid w:val="00964498"/>
    <w:rsid w:val="009666E0"/>
    <w:rsid w:val="00967330"/>
    <w:rsid w:val="00976E42"/>
    <w:rsid w:val="0098380C"/>
    <w:rsid w:val="009B27DB"/>
    <w:rsid w:val="009C3242"/>
    <w:rsid w:val="009C69B0"/>
    <w:rsid w:val="009C7EFC"/>
    <w:rsid w:val="009D3379"/>
    <w:rsid w:val="009D3693"/>
    <w:rsid w:val="009D714C"/>
    <w:rsid w:val="00A01795"/>
    <w:rsid w:val="00A136CB"/>
    <w:rsid w:val="00A13C84"/>
    <w:rsid w:val="00A16720"/>
    <w:rsid w:val="00A37C73"/>
    <w:rsid w:val="00A43AA1"/>
    <w:rsid w:val="00A516C6"/>
    <w:rsid w:val="00A51E0D"/>
    <w:rsid w:val="00A75320"/>
    <w:rsid w:val="00A758A3"/>
    <w:rsid w:val="00A805C0"/>
    <w:rsid w:val="00A842AB"/>
    <w:rsid w:val="00A86EA8"/>
    <w:rsid w:val="00A9305C"/>
    <w:rsid w:val="00A9621C"/>
    <w:rsid w:val="00AA3732"/>
    <w:rsid w:val="00AC30F1"/>
    <w:rsid w:val="00AC77CC"/>
    <w:rsid w:val="00AF09D3"/>
    <w:rsid w:val="00AF12D7"/>
    <w:rsid w:val="00AF1D36"/>
    <w:rsid w:val="00B114B8"/>
    <w:rsid w:val="00B14B56"/>
    <w:rsid w:val="00B17C50"/>
    <w:rsid w:val="00B17DC7"/>
    <w:rsid w:val="00B22C8A"/>
    <w:rsid w:val="00B24CEF"/>
    <w:rsid w:val="00B34A9F"/>
    <w:rsid w:val="00B36011"/>
    <w:rsid w:val="00B5187F"/>
    <w:rsid w:val="00B538CB"/>
    <w:rsid w:val="00B5745B"/>
    <w:rsid w:val="00B63485"/>
    <w:rsid w:val="00B6369C"/>
    <w:rsid w:val="00B6691B"/>
    <w:rsid w:val="00B72729"/>
    <w:rsid w:val="00B816AA"/>
    <w:rsid w:val="00B81AE4"/>
    <w:rsid w:val="00B8320E"/>
    <w:rsid w:val="00B83DC0"/>
    <w:rsid w:val="00B93B16"/>
    <w:rsid w:val="00BB66E5"/>
    <w:rsid w:val="00BD5BA1"/>
    <w:rsid w:val="00BE2484"/>
    <w:rsid w:val="00C144C3"/>
    <w:rsid w:val="00C1481E"/>
    <w:rsid w:val="00C2251C"/>
    <w:rsid w:val="00C242F0"/>
    <w:rsid w:val="00C273A1"/>
    <w:rsid w:val="00C43403"/>
    <w:rsid w:val="00C45BEA"/>
    <w:rsid w:val="00C56D43"/>
    <w:rsid w:val="00C60AC9"/>
    <w:rsid w:val="00C73D6C"/>
    <w:rsid w:val="00C827C3"/>
    <w:rsid w:val="00C909BB"/>
    <w:rsid w:val="00CA2962"/>
    <w:rsid w:val="00CB028F"/>
    <w:rsid w:val="00CB0481"/>
    <w:rsid w:val="00CB063F"/>
    <w:rsid w:val="00CB6879"/>
    <w:rsid w:val="00CC2D56"/>
    <w:rsid w:val="00CC62CC"/>
    <w:rsid w:val="00CC7962"/>
    <w:rsid w:val="00CE552B"/>
    <w:rsid w:val="00CF423D"/>
    <w:rsid w:val="00D0024F"/>
    <w:rsid w:val="00D02AEC"/>
    <w:rsid w:val="00D0439A"/>
    <w:rsid w:val="00D0652D"/>
    <w:rsid w:val="00D258F6"/>
    <w:rsid w:val="00D25C70"/>
    <w:rsid w:val="00D3509B"/>
    <w:rsid w:val="00D42FF5"/>
    <w:rsid w:val="00D45FBC"/>
    <w:rsid w:val="00D5525A"/>
    <w:rsid w:val="00D76549"/>
    <w:rsid w:val="00D81AC9"/>
    <w:rsid w:val="00D85989"/>
    <w:rsid w:val="00D95D9A"/>
    <w:rsid w:val="00D976F9"/>
    <w:rsid w:val="00DC0515"/>
    <w:rsid w:val="00DC4FC1"/>
    <w:rsid w:val="00DC7CBC"/>
    <w:rsid w:val="00DF2AE3"/>
    <w:rsid w:val="00DF3EB1"/>
    <w:rsid w:val="00E0642C"/>
    <w:rsid w:val="00E15D06"/>
    <w:rsid w:val="00E41E8B"/>
    <w:rsid w:val="00E42735"/>
    <w:rsid w:val="00E5073B"/>
    <w:rsid w:val="00E5494C"/>
    <w:rsid w:val="00E63B07"/>
    <w:rsid w:val="00E64A97"/>
    <w:rsid w:val="00E66A1B"/>
    <w:rsid w:val="00E81623"/>
    <w:rsid w:val="00E81D41"/>
    <w:rsid w:val="00E865EC"/>
    <w:rsid w:val="00E946D7"/>
    <w:rsid w:val="00EA0FB5"/>
    <w:rsid w:val="00EA1162"/>
    <w:rsid w:val="00EA1539"/>
    <w:rsid w:val="00EA1A52"/>
    <w:rsid w:val="00EA27ED"/>
    <w:rsid w:val="00EA5E04"/>
    <w:rsid w:val="00EC099C"/>
    <w:rsid w:val="00EC1BD6"/>
    <w:rsid w:val="00EC1DDC"/>
    <w:rsid w:val="00EC698A"/>
    <w:rsid w:val="00ED01C6"/>
    <w:rsid w:val="00ED3D32"/>
    <w:rsid w:val="00ED7529"/>
    <w:rsid w:val="00EF0882"/>
    <w:rsid w:val="00EF72FB"/>
    <w:rsid w:val="00F02DEA"/>
    <w:rsid w:val="00F16C3D"/>
    <w:rsid w:val="00F25666"/>
    <w:rsid w:val="00F336E3"/>
    <w:rsid w:val="00F5416A"/>
    <w:rsid w:val="00F56A1A"/>
    <w:rsid w:val="00F56F88"/>
    <w:rsid w:val="00F67D83"/>
    <w:rsid w:val="00F87FC0"/>
    <w:rsid w:val="00F90B05"/>
    <w:rsid w:val="00F94B9B"/>
    <w:rsid w:val="00FC1D1F"/>
    <w:rsid w:val="00FC3713"/>
    <w:rsid w:val="00FD2207"/>
    <w:rsid w:val="00FD36C8"/>
    <w:rsid w:val="00FE63B6"/>
    <w:rsid w:val="00FF22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6679BF7"/>
  <w15:chartTrackingRefBased/>
  <w15:docId w15:val="{8947452C-2DFC-441B-891C-05419215A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37B1E"/>
    <w:rPr>
      <w:sz w:val="24"/>
    </w:rPr>
  </w:style>
  <w:style w:type="paragraph" w:styleId="Heading2">
    <w:name w:val="heading 2"/>
    <w:basedOn w:val="Normal"/>
    <w:next w:val="Normal"/>
    <w:qFormat/>
    <w:rsid w:val="00237B1E"/>
    <w:pPr>
      <w:keepNext/>
      <w:numPr>
        <w:ilvl w:val="1"/>
        <w:numId w:val="1"/>
      </w:numPr>
      <w:spacing w:after="220"/>
      <w:outlineLvl w:val="1"/>
    </w:pPr>
    <w:rPr>
      <w:rFonts w:ascii="Times New Roman Bold" w:hAnsi="Times New Roman Bold"/>
      <w:b/>
    </w:rPr>
  </w:style>
  <w:style w:type="paragraph" w:styleId="Heading3">
    <w:name w:val="heading 3"/>
    <w:basedOn w:val="Normal"/>
    <w:next w:val="Normal"/>
    <w:qFormat/>
    <w:rsid w:val="00237B1E"/>
    <w:pPr>
      <w:keepNext/>
      <w:outlineLvl w:val="2"/>
    </w:pPr>
    <w:rPr>
      <w:u w:val="single"/>
    </w:rPr>
  </w:style>
  <w:style w:type="paragraph" w:styleId="Heading4">
    <w:name w:val="heading 4"/>
    <w:basedOn w:val="Normal"/>
    <w:next w:val="Normal"/>
    <w:qFormat/>
    <w:rsid w:val="00237B1E"/>
    <w:pPr>
      <w:keepNext/>
      <w:numPr>
        <w:ilvl w:val="3"/>
        <w:numId w:val="1"/>
      </w:numPr>
      <w:spacing w:before="240" w:after="60"/>
      <w:outlineLvl w:val="3"/>
    </w:pPr>
    <w:rPr>
      <w:rFonts w:ascii="Arial" w:hAnsi="Arial"/>
      <w:b/>
    </w:rPr>
  </w:style>
  <w:style w:type="paragraph" w:styleId="Heading5">
    <w:name w:val="heading 5"/>
    <w:basedOn w:val="Normal"/>
    <w:next w:val="Normal"/>
    <w:qFormat/>
    <w:rsid w:val="00237B1E"/>
    <w:pPr>
      <w:numPr>
        <w:ilvl w:val="4"/>
        <w:numId w:val="1"/>
      </w:numPr>
      <w:spacing w:before="240" w:after="60"/>
      <w:outlineLvl w:val="4"/>
    </w:pPr>
    <w:rPr>
      <w:sz w:val="22"/>
    </w:rPr>
  </w:style>
  <w:style w:type="paragraph" w:styleId="Heading6">
    <w:name w:val="heading 6"/>
    <w:basedOn w:val="Normal"/>
    <w:next w:val="Normal"/>
    <w:qFormat/>
    <w:rsid w:val="00237B1E"/>
    <w:pPr>
      <w:numPr>
        <w:ilvl w:val="5"/>
        <w:numId w:val="1"/>
      </w:numPr>
      <w:spacing w:before="240" w:after="60"/>
      <w:outlineLvl w:val="5"/>
    </w:pPr>
    <w:rPr>
      <w:i/>
      <w:sz w:val="22"/>
    </w:rPr>
  </w:style>
  <w:style w:type="paragraph" w:styleId="Heading7">
    <w:name w:val="heading 7"/>
    <w:basedOn w:val="Normal"/>
    <w:next w:val="Normal"/>
    <w:qFormat/>
    <w:rsid w:val="00237B1E"/>
    <w:pPr>
      <w:numPr>
        <w:ilvl w:val="6"/>
        <w:numId w:val="1"/>
      </w:numPr>
      <w:spacing w:before="240" w:after="60"/>
      <w:outlineLvl w:val="6"/>
    </w:pPr>
    <w:rPr>
      <w:rFonts w:ascii="Arial" w:hAnsi="Arial"/>
    </w:rPr>
  </w:style>
  <w:style w:type="paragraph" w:styleId="Heading8">
    <w:name w:val="heading 8"/>
    <w:basedOn w:val="Normal"/>
    <w:next w:val="Normal"/>
    <w:qFormat/>
    <w:rsid w:val="00237B1E"/>
    <w:pPr>
      <w:numPr>
        <w:ilvl w:val="7"/>
        <w:numId w:val="1"/>
      </w:numPr>
      <w:spacing w:before="240" w:after="60"/>
      <w:outlineLvl w:val="7"/>
    </w:pPr>
    <w:rPr>
      <w:rFonts w:ascii="Arial" w:hAnsi="Arial"/>
      <w:i/>
    </w:rPr>
  </w:style>
  <w:style w:type="paragraph" w:styleId="Heading9">
    <w:name w:val="heading 9"/>
    <w:basedOn w:val="Normal"/>
    <w:next w:val="Normal"/>
    <w:qFormat/>
    <w:rsid w:val="00237B1E"/>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paragraphs">
    <w:name w:val="Numbered paragraphs"/>
    <w:basedOn w:val="Normal"/>
    <w:rsid w:val="00237B1E"/>
    <w:pPr>
      <w:numPr>
        <w:ilvl w:val="2"/>
        <w:numId w:val="1"/>
      </w:numPr>
      <w:tabs>
        <w:tab w:val="left" w:pos="1440"/>
      </w:tabs>
      <w:spacing w:after="220"/>
    </w:pPr>
  </w:style>
  <w:style w:type="paragraph" w:customStyle="1" w:styleId="ParaNum">
    <w:name w:val="ParaNum"/>
    <w:basedOn w:val="Normal"/>
    <w:rsid w:val="00237B1E"/>
    <w:pPr>
      <w:widowControl w:val="0"/>
      <w:numPr>
        <w:numId w:val="6"/>
      </w:numPr>
      <w:spacing w:after="220"/>
      <w:ind w:firstLine="720"/>
      <w:jc w:val="both"/>
    </w:pPr>
    <w:rPr>
      <w:snapToGrid w:val="0"/>
      <w:kern w:val="28"/>
      <w:sz w:val="22"/>
    </w:rPr>
  </w:style>
  <w:style w:type="character" w:customStyle="1" w:styleId="NumberedparagraphsChar">
    <w:name w:val="Numbered paragraphs Char"/>
    <w:rsid w:val="00237B1E"/>
    <w:rPr>
      <w:sz w:val="24"/>
      <w:lang w:val="en-US" w:eastAsia="en-US" w:bidi="ar-SA"/>
    </w:rPr>
  </w:style>
  <w:style w:type="paragraph" w:styleId="BodyTextIndent">
    <w:name w:val="Body Text Indent"/>
    <w:basedOn w:val="Normal"/>
    <w:rsid w:val="00237B1E"/>
    <w:pPr>
      <w:ind w:firstLine="720"/>
      <w:jc w:val="both"/>
    </w:pPr>
  </w:style>
  <w:style w:type="paragraph" w:styleId="Footer">
    <w:name w:val="footer"/>
    <w:basedOn w:val="Normal"/>
    <w:rsid w:val="0091744A"/>
    <w:pPr>
      <w:tabs>
        <w:tab w:val="center" w:pos="4320"/>
        <w:tab w:val="right" w:pos="8640"/>
      </w:tabs>
    </w:pPr>
  </w:style>
  <w:style w:type="character" w:styleId="PageNumber">
    <w:name w:val="page number"/>
    <w:basedOn w:val="DefaultParagraphFont"/>
    <w:rsid w:val="0091744A"/>
  </w:style>
  <w:style w:type="paragraph" w:styleId="Header">
    <w:name w:val="header"/>
    <w:basedOn w:val="Normal"/>
    <w:rsid w:val="00F94B9B"/>
    <w:pPr>
      <w:tabs>
        <w:tab w:val="center" w:pos="4320"/>
        <w:tab w:val="right" w:pos="8640"/>
      </w:tabs>
    </w:pPr>
  </w:style>
  <w:style w:type="paragraph" w:styleId="FootnoteText">
    <w:name w:val="footnote text"/>
    <w:aliases w:val="ALTS FOOTNOTE Char Char,ALTS FOOTNOTE Char Char Char Char,Footnote Text Char,Footnote Text Char Char,Footnote Text Char Char Char Char,Footnote Text Char1,Footnote Text Char1 Char Char,f,fn Char,fn Char Char,fn Char Char Char Char,fn Char1"/>
    <w:link w:val="FootnoteTextChar2"/>
    <w:semiHidden/>
    <w:rsid w:val="00473CE2"/>
    <w:pPr>
      <w:tabs>
        <w:tab w:val="left" w:pos="360"/>
      </w:tabs>
      <w:spacing w:after="200"/>
    </w:pPr>
  </w:style>
  <w:style w:type="character" w:styleId="FootnoteReference">
    <w:name w:val="footnote reference"/>
    <w:aliases w:val="Style 13"/>
    <w:semiHidden/>
    <w:rsid w:val="00473CE2"/>
    <w:rPr>
      <w:rFonts w:ascii="Times New Roman" w:hAnsi="Times New Roman"/>
      <w:dstrike w:val="0"/>
      <w:color w:val="auto"/>
      <w:sz w:val="20"/>
      <w:vertAlign w:val="superscript"/>
    </w:rPr>
  </w:style>
  <w:style w:type="character" w:customStyle="1" w:styleId="FootnoteTextChar2">
    <w:name w:val="Footnote Text Char2"/>
    <w:aliases w:val="ALTS FOOTNOTE Char Char Char,ALTS FOOTNOTE Char Char Char Char Char,Footnote Text Char Char Char,Footnote Text Char Char Char Char Char,Footnote Text Char1 Char,Footnote Text Char1 Char Char Char,fn Char Char Char,fn Char1 Char"/>
    <w:link w:val="FootnoteText"/>
    <w:rsid w:val="00F87FC0"/>
    <w:rPr>
      <w:lang w:val="en-US" w:eastAsia="en-US" w:bidi="ar-SA"/>
    </w:rPr>
  </w:style>
  <w:style w:type="paragraph" w:customStyle="1" w:styleId="ParaNumChar1">
    <w:name w:val="ParaNum Char1"/>
    <w:basedOn w:val="Normal"/>
    <w:link w:val="ParaNumChar1Char"/>
    <w:rsid w:val="00F87FC0"/>
    <w:pPr>
      <w:widowControl w:val="0"/>
      <w:tabs>
        <w:tab w:val="num" w:pos="1080"/>
        <w:tab w:val="left" w:pos="1440"/>
      </w:tabs>
      <w:spacing w:after="220"/>
      <w:ind w:firstLine="720"/>
    </w:pPr>
    <w:rPr>
      <w:sz w:val="22"/>
    </w:rPr>
  </w:style>
  <w:style w:type="character" w:customStyle="1" w:styleId="ParaNumChar1Char">
    <w:name w:val="ParaNum Char1 Char"/>
    <w:link w:val="ParaNumChar1"/>
    <w:rsid w:val="00F87FC0"/>
    <w:rPr>
      <w:sz w:val="22"/>
      <w:lang w:val="en-US" w:eastAsia="en-US" w:bidi="ar-SA"/>
    </w:rPr>
  </w:style>
  <w:style w:type="paragraph" w:styleId="BalloonText">
    <w:name w:val="Balloon Text"/>
    <w:basedOn w:val="Normal"/>
    <w:link w:val="BalloonTextChar"/>
    <w:rsid w:val="00D0439A"/>
    <w:rPr>
      <w:rFonts w:ascii="Tahoma" w:hAnsi="Tahoma" w:cs="Tahoma"/>
      <w:sz w:val="16"/>
      <w:szCs w:val="16"/>
    </w:rPr>
  </w:style>
  <w:style w:type="character" w:customStyle="1" w:styleId="BalloonTextChar">
    <w:name w:val="Balloon Text Char"/>
    <w:link w:val="BalloonText"/>
    <w:rsid w:val="00D0439A"/>
    <w:rPr>
      <w:rFonts w:ascii="Tahoma" w:hAnsi="Tahoma" w:cs="Tahoma"/>
      <w:sz w:val="16"/>
      <w:szCs w:val="16"/>
    </w:rPr>
  </w:style>
  <w:style w:type="character" w:styleId="CommentReference">
    <w:name w:val="annotation reference"/>
    <w:rsid w:val="002C7A4D"/>
    <w:rPr>
      <w:sz w:val="16"/>
      <w:szCs w:val="16"/>
    </w:rPr>
  </w:style>
  <w:style w:type="paragraph" w:styleId="CommentText">
    <w:name w:val="annotation text"/>
    <w:basedOn w:val="Normal"/>
    <w:link w:val="CommentTextChar"/>
    <w:rsid w:val="002C7A4D"/>
    <w:rPr>
      <w:sz w:val="20"/>
    </w:rPr>
  </w:style>
  <w:style w:type="character" w:customStyle="1" w:styleId="CommentTextChar">
    <w:name w:val="Comment Text Char"/>
    <w:basedOn w:val="DefaultParagraphFont"/>
    <w:link w:val="CommentText"/>
    <w:rsid w:val="002C7A4D"/>
  </w:style>
  <w:style w:type="paragraph" w:styleId="CommentSubject">
    <w:name w:val="annotation subject"/>
    <w:basedOn w:val="CommentText"/>
    <w:next w:val="CommentText"/>
    <w:link w:val="CommentSubjectChar"/>
    <w:rsid w:val="002C7A4D"/>
    <w:rPr>
      <w:b/>
      <w:bCs/>
    </w:rPr>
  </w:style>
  <w:style w:type="character" w:customStyle="1" w:styleId="CommentSubjectChar">
    <w:name w:val="Comment Subject Char"/>
    <w:link w:val="CommentSubject"/>
    <w:rsid w:val="002C7A4D"/>
    <w:rPr>
      <w:b/>
      <w:bCs/>
    </w:rPr>
  </w:style>
  <w:style w:type="paragraph" w:styleId="Revision">
    <w:name w:val="Revision"/>
    <w:hidden/>
    <w:uiPriority w:val="71"/>
    <w:rsid w:val="003E218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4E8FF-02A5-4A24-A5C5-031C38DDB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1222</Words>
  <Characters>6971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Justification:</vt:lpstr>
    </vt:vector>
  </TitlesOfParts>
  <Company>Federal Communications Commission</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creator>Vickie.Byrd</dc:creator>
  <cp:lastModifiedBy>Nicole Ongele</cp:lastModifiedBy>
  <cp:revision>2</cp:revision>
  <cp:lastPrinted>2025-09-08T18:02:00Z</cp:lastPrinted>
  <dcterms:created xsi:type="dcterms:W3CDTF">2025-12-02T14:14:00Z</dcterms:created>
  <dcterms:modified xsi:type="dcterms:W3CDTF">2025-12-02T14:14:00Z</dcterms:modified>
</cp:coreProperties>
</file>