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89" w14:paraId="59D970D7" w14:textId="77777777">
      <w:pPr>
        <w:tabs>
          <w:tab w:val="center" w:pos="4680"/>
        </w:tabs>
        <w:jc w:val="center"/>
        <w:rPr>
          <w:rFonts w:ascii="Times New Roman" w:hAnsi="Times New Roman"/>
        </w:rPr>
      </w:pPr>
      <w:r>
        <w:rPr>
          <w:rFonts w:ascii="Times New Roman" w:hAnsi="Times New Roman"/>
        </w:rPr>
        <w:t xml:space="preserve">SUPPORTING STATEMENT  </w:t>
      </w:r>
    </w:p>
    <w:p w:rsidR="00F65D89" w14:paraId="05CAD761" w14:textId="77777777">
      <w:pPr>
        <w:tabs>
          <w:tab w:val="center" w:pos="4680"/>
        </w:tabs>
        <w:jc w:val="center"/>
        <w:rPr>
          <w:rFonts w:ascii="Times New Roman" w:hAnsi="Times New Roman"/>
        </w:rPr>
      </w:pPr>
      <w:r>
        <w:rPr>
          <w:rFonts w:ascii="Times New Roman" w:hAnsi="Times New Roman"/>
        </w:rPr>
        <w:t>COVERED FINANCIAL COMPANY ASSET PURCHASER ELIGIBILITY</w:t>
      </w:r>
    </w:p>
    <w:p w:rsidR="00F65D89" w14:paraId="51B54D99" w14:textId="77777777">
      <w:pPr>
        <w:tabs>
          <w:tab w:val="center" w:pos="4680"/>
        </w:tabs>
        <w:jc w:val="center"/>
        <w:rPr>
          <w:rFonts w:ascii="Times New Roman" w:hAnsi="Times New Roman"/>
        </w:rPr>
      </w:pPr>
      <w:r>
        <w:rPr>
          <w:rFonts w:ascii="Times New Roman" w:hAnsi="Times New Roman"/>
        </w:rPr>
        <w:t xml:space="preserve">(OMB No. </w:t>
      </w:r>
      <w:r w:rsidR="006204DC">
        <w:rPr>
          <w:rFonts w:ascii="Times New Roman" w:hAnsi="Times New Roman"/>
        </w:rPr>
        <w:t>3064-</w:t>
      </w:r>
      <w:r w:rsidR="000B3FA4">
        <w:rPr>
          <w:rFonts w:ascii="Times New Roman" w:hAnsi="Times New Roman"/>
        </w:rPr>
        <w:t>0194</w:t>
      </w:r>
      <w:r>
        <w:rPr>
          <w:rFonts w:ascii="Times New Roman" w:hAnsi="Times New Roman"/>
        </w:rPr>
        <w:t>)</w:t>
      </w:r>
    </w:p>
    <w:p w:rsidR="00F65D89" w14:paraId="336ECA9D" w14:textId="77777777">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14:paraId="3C5FAF52" w14:textId="77777777">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14:paraId="3DD59ECD" w14:textId="77777777">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u w:val="single"/>
        </w:rPr>
        <w:t>INTRODUCTION</w:t>
      </w:r>
    </w:p>
    <w:p w:rsidR="00F65D89" w14:paraId="4739F949" w14:textId="77777777">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AA321A" w:rsidP="00A3281A" w14:paraId="7BEEF443" w14:textId="68FF9C4F">
      <w:pPr>
        <w:tabs>
          <w:tab w:val="left" w:pos="576"/>
          <w:tab w:val="left" w:pos="1152"/>
        </w:tabs>
        <w:rPr>
          <w:rFonts w:ascii="Times New Roman" w:hAnsi="Times New Roman"/>
          <w:spacing w:val="-3"/>
        </w:rPr>
      </w:pPr>
      <w:r>
        <w:rPr>
          <w:rFonts w:ascii="Times New Roman" w:hAnsi="Times New Roman"/>
          <w:spacing w:val="-3"/>
        </w:rPr>
        <w:t>The Federal Deposit Insurance Corporation (FDIC) is requesting a three-year renewal</w:t>
      </w:r>
      <w:r w:rsidR="008566F4">
        <w:rPr>
          <w:rFonts w:ascii="Times New Roman" w:hAnsi="Times New Roman"/>
          <w:spacing w:val="-3"/>
        </w:rPr>
        <w:t>, with revisions,</w:t>
      </w:r>
      <w:r>
        <w:rPr>
          <w:rFonts w:ascii="Times New Roman" w:hAnsi="Times New Roman"/>
          <w:spacing w:val="-3"/>
        </w:rPr>
        <w:t xml:space="preserve"> of the </w:t>
      </w:r>
      <w:r w:rsidR="0011239B">
        <w:rPr>
          <w:rFonts w:ascii="Times New Roman" w:hAnsi="Times New Roman"/>
          <w:spacing w:val="-3"/>
        </w:rPr>
        <w:t xml:space="preserve">information collection </w:t>
      </w:r>
      <w:r w:rsidR="003D24A3">
        <w:rPr>
          <w:rFonts w:ascii="Times New Roman" w:hAnsi="Times New Roman"/>
          <w:spacing w:val="-3"/>
        </w:rPr>
        <w:t xml:space="preserve">for </w:t>
      </w:r>
      <w:r>
        <w:rPr>
          <w:rFonts w:ascii="Times New Roman" w:hAnsi="Times New Roman"/>
          <w:spacing w:val="-3"/>
        </w:rPr>
        <w:t xml:space="preserve">Covered Financial Company Asset Purchaser </w:t>
      </w:r>
      <w:r w:rsidR="003D24A3">
        <w:rPr>
          <w:rFonts w:ascii="Times New Roman" w:hAnsi="Times New Roman"/>
          <w:spacing w:val="-3"/>
        </w:rPr>
        <w:t xml:space="preserve">Eligibility </w:t>
      </w:r>
      <w:r>
        <w:rPr>
          <w:rFonts w:ascii="Times New Roman" w:hAnsi="Times New Roman"/>
          <w:spacing w:val="-3"/>
        </w:rPr>
        <w:t xml:space="preserve">(OMB No. 3064-0194).  The current clearance for the collection expires on </w:t>
      </w:r>
      <w:r w:rsidR="00E35633">
        <w:rPr>
          <w:rFonts w:ascii="Times New Roman" w:hAnsi="Times New Roman"/>
          <w:spacing w:val="-3"/>
        </w:rPr>
        <w:t>April 30, 2027</w:t>
      </w:r>
      <w:r>
        <w:rPr>
          <w:rFonts w:ascii="Times New Roman" w:hAnsi="Times New Roman"/>
          <w:spacing w:val="-3"/>
        </w:rPr>
        <w:t xml:space="preserve">.  </w:t>
      </w:r>
      <w:r w:rsidR="00E35633">
        <w:rPr>
          <w:rFonts w:ascii="Times New Roman" w:hAnsi="Times New Roman"/>
          <w:spacing w:val="-3"/>
        </w:rPr>
        <w:t xml:space="preserve">The FDIC is updating </w:t>
      </w:r>
      <w:r w:rsidR="00A3281A">
        <w:rPr>
          <w:rFonts w:ascii="Times New Roman" w:hAnsi="Times New Roman"/>
          <w:spacing w:val="-3"/>
        </w:rPr>
        <w:t>Form 7300/10 in line with the FDIC rule titled “</w:t>
      </w:r>
      <w:r w:rsidRPr="00A3281A" w:rsidR="00A3281A">
        <w:rPr>
          <w:rFonts w:ascii="Times New Roman" w:hAnsi="Times New Roman"/>
          <w:spacing w:val="-3"/>
        </w:rPr>
        <w:t>Adjusting and Indexing Certain Regulatory Thresholds</w:t>
      </w:r>
      <w:r w:rsidR="00A3281A">
        <w:rPr>
          <w:rFonts w:ascii="Times New Roman" w:hAnsi="Times New Roman"/>
          <w:spacing w:val="-3"/>
        </w:rPr>
        <w:t xml:space="preserve">.” The rule updates the definition of “Substantial Loss” in part 340 from $50,000 to $100,000 to reflect inflation since the threshold was adopted. </w:t>
      </w:r>
    </w:p>
    <w:p w:rsidR="00A3281A" w:rsidP="00A3281A" w14:paraId="4F4B6593" w14:textId="77777777">
      <w:pPr>
        <w:tabs>
          <w:tab w:val="left" w:pos="576"/>
          <w:tab w:val="left" w:pos="1152"/>
        </w:tabs>
        <w:rPr>
          <w:rFonts w:ascii="Times New Roman" w:hAnsi="Times New Roman"/>
        </w:rPr>
      </w:pPr>
    </w:p>
    <w:p w:rsidR="00F65D89" w14:paraId="191DA7CD" w14:textId="77777777">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rPr>
        <w:t xml:space="preserve">The </w:t>
      </w:r>
      <w:r w:rsidR="00C768D5">
        <w:rPr>
          <w:rFonts w:ascii="Times New Roman" w:hAnsi="Times New Roman"/>
        </w:rPr>
        <w:t xml:space="preserve">Covered Financial Company </w:t>
      </w:r>
      <w:r w:rsidR="00A13E1B">
        <w:rPr>
          <w:rFonts w:ascii="Times New Roman" w:hAnsi="Times New Roman"/>
        </w:rPr>
        <w:t>Asset Pur</w:t>
      </w:r>
      <w:r>
        <w:rPr>
          <w:rFonts w:ascii="Times New Roman" w:hAnsi="Times New Roman"/>
        </w:rPr>
        <w:t xml:space="preserve">chaser Eligibility </w:t>
      </w:r>
      <w:r w:rsidR="00A13E1B">
        <w:rPr>
          <w:rFonts w:ascii="Times New Roman" w:hAnsi="Times New Roman"/>
        </w:rPr>
        <w:t xml:space="preserve">information collection </w:t>
      </w:r>
      <w:r>
        <w:rPr>
          <w:rFonts w:ascii="Times New Roman" w:hAnsi="Times New Roman"/>
        </w:rPr>
        <w:t xml:space="preserve">implements the statutory requirement that assets held by the FDIC </w:t>
      </w:r>
      <w:r>
        <w:rPr>
          <w:rFonts w:ascii="Times New Roman" w:hAnsi="Times New Roman"/>
        </w:rPr>
        <w:t>in the course of</w:t>
      </w:r>
      <w:r>
        <w:rPr>
          <w:rFonts w:ascii="Times New Roman" w:hAnsi="Times New Roman"/>
        </w:rPr>
        <w:t xml:space="preserve"> liquidating any </w:t>
      </w:r>
      <w:r w:rsidR="00C768D5">
        <w:rPr>
          <w:rFonts w:ascii="Times New Roman" w:hAnsi="Times New Roman"/>
        </w:rPr>
        <w:t>covered financial company</w:t>
      </w:r>
      <w:r>
        <w:rPr>
          <w:rFonts w:ascii="Times New Roman" w:hAnsi="Times New Roman"/>
        </w:rPr>
        <w:t xml:space="preserve"> not be sold to </w:t>
      </w:r>
      <w:r>
        <w:rPr>
          <w:rFonts w:ascii="Times New Roman" w:hAnsi="Times New Roman"/>
        </w:rPr>
        <w:t>persons</w:t>
      </w:r>
      <w:r>
        <w:rPr>
          <w:rFonts w:ascii="Times New Roman" w:hAnsi="Times New Roman"/>
        </w:rPr>
        <w:t xml:space="preserve"> who contributed to the demise of </w:t>
      </w:r>
      <w:r w:rsidR="00C768D5">
        <w:rPr>
          <w:rFonts w:ascii="Times New Roman" w:hAnsi="Times New Roman"/>
        </w:rPr>
        <w:t>a covered financial company</w:t>
      </w:r>
      <w:r>
        <w:rPr>
          <w:rFonts w:ascii="Times New Roman" w:hAnsi="Times New Roman"/>
        </w:rPr>
        <w:t xml:space="preserve"> in specified ways.  </w:t>
      </w:r>
    </w:p>
    <w:p w:rsidR="00F65D89" w14:paraId="21BB27E2" w14:textId="77777777">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Pr="00CF48F0" w:rsidP="00CF48F0" w14:paraId="23F5DCB9" w14:textId="77777777">
      <w:pPr>
        <w:rPr>
          <w:rFonts w:ascii="Times New Roman" w:hAnsi="Times New Roman"/>
        </w:rPr>
      </w:pPr>
      <w:r w:rsidRPr="00CF48F0">
        <w:rPr>
          <w:rFonts w:ascii="Times New Roman" w:hAnsi="Times New Roman"/>
        </w:rPr>
        <w:t>A.</w:t>
      </w:r>
      <w:r w:rsidRPr="00CF48F0">
        <w:rPr>
          <w:rFonts w:ascii="Times New Roman" w:hAnsi="Times New Roman"/>
        </w:rPr>
        <w:tab/>
      </w:r>
      <w:r w:rsidRPr="00CF48F0">
        <w:rPr>
          <w:rFonts w:ascii="Times New Roman" w:hAnsi="Times New Roman"/>
          <w:u w:val="single"/>
        </w:rPr>
        <w:t>JUSTIFICATION</w:t>
      </w:r>
    </w:p>
    <w:p w:rsidR="00F65D89" w14:paraId="2A2173F5" w14:textId="77777777">
      <w:pPr>
        <w:rPr>
          <w:rFonts w:ascii="Times New Roman" w:hAnsi="Times New Roman"/>
        </w:rPr>
      </w:pPr>
    </w:p>
    <w:p w:rsidR="00F65D89" w:rsidRPr="00990A1C" w:rsidP="00CF48F0" w14:paraId="606A542B" w14:textId="77777777">
      <w:pPr>
        <w:pStyle w:val="ListParagraph"/>
        <w:numPr>
          <w:ilvl w:val="0"/>
          <w:numId w:val="4"/>
        </w:numPr>
        <w:rPr>
          <w:rFonts w:ascii="Times New Roman" w:hAnsi="Times New Roman"/>
        </w:rPr>
      </w:pPr>
      <w:r w:rsidRPr="00990A1C">
        <w:rPr>
          <w:rFonts w:ascii="Times New Roman" w:hAnsi="Times New Roman"/>
          <w:u w:val="single"/>
        </w:rPr>
        <w:t>Circumstances and Need</w:t>
      </w:r>
    </w:p>
    <w:p w:rsidR="00F65D89" w14:paraId="6A2BF17A" w14:textId="77777777">
      <w:pPr>
        <w:rPr>
          <w:rFonts w:ascii="Times New Roman" w:hAnsi="Times New Roman"/>
        </w:rPr>
      </w:pPr>
    </w:p>
    <w:p w:rsidR="000D0E00" w:rsidP="000D0E00" w14:paraId="73A5DCB1" w14:textId="76129BD8">
      <w:pPr>
        <w:pStyle w:val="Default"/>
        <w:ind w:left="1440"/>
        <w:rPr>
          <w:rFonts w:ascii="Times New Roman" w:hAnsi="Times New Roman"/>
          <w:color w:val="auto"/>
        </w:rPr>
      </w:pPr>
      <w:r>
        <w:rPr>
          <w:rFonts w:ascii="Times New Roman" w:hAnsi="Times New Roman"/>
        </w:rPr>
        <w:t>The FDIC is statutorily required to promulgate a regulation prohibiting the sale of assets</w:t>
      </w:r>
      <w:r w:rsidRPr="002E1E24" w:rsidR="002E1E24">
        <w:rPr>
          <w:rFonts w:ascii="Times New Roman" w:hAnsi="Times New Roman"/>
        </w:rPr>
        <w:t xml:space="preserve"> </w:t>
      </w:r>
      <w:r w:rsidR="002E1E24">
        <w:rPr>
          <w:rFonts w:ascii="Times New Roman" w:hAnsi="Times New Roman"/>
        </w:rPr>
        <w:t>of a covered financial company</w:t>
      </w:r>
      <w:r>
        <w:rPr>
          <w:rFonts w:ascii="Times New Roman" w:hAnsi="Times New Roman"/>
        </w:rPr>
        <w:t xml:space="preserve"> to certain individuals or entities that profited or engaged in wrongdoing at the expense of those failed </w:t>
      </w:r>
      <w:r>
        <w:rPr>
          <w:rFonts w:ascii="Times New Roman" w:hAnsi="Times New Roman"/>
        </w:rPr>
        <w:t>institutions, or</w:t>
      </w:r>
      <w:r>
        <w:rPr>
          <w:rFonts w:ascii="Times New Roman" w:hAnsi="Times New Roman"/>
        </w:rPr>
        <w:t xml:space="preserve"> seriously mismanaged those failed institutions.  The statute specifies classes of </w:t>
      </w:r>
      <w:r>
        <w:rPr>
          <w:rFonts w:ascii="Times New Roman" w:hAnsi="Times New Roman"/>
        </w:rPr>
        <w:t>persons</w:t>
      </w:r>
      <w:r>
        <w:rPr>
          <w:rFonts w:ascii="Times New Roman" w:hAnsi="Times New Roman"/>
        </w:rPr>
        <w:t xml:space="preserve"> prohibited from purchasing assets of </w:t>
      </w:r>
      <w:r w:rsidR="002E1E24">
        <w:rPr>
          <w:rFonts w:ascii="Times New Roman" w:hAnsi="Times New Roman"/>
        </w:rPr>
        <w:t>covered financial companies</w:t>
      </w:r>
      <w:r>
        <w:rPr>
          <w:rFonts w:ascii="Times New Roman" w:hAnsi="Times New Roman"/>
        </w:rPr>
        <w:t xml:space="preserve"> </w:t>
      </w:r>
      <w:r w:rsidR="002E1E24">
        <w:rPr>
          <w:rFonts w:ascii="Times New Roman" w:hAnsi="Times New Roman"/>
        </w:rPr>
        <w:t xml:space="preserve">from the FDIC. </w:t>
      </w:r>
      <w:r>
        <w:rPr>
          <w:rFonts w:ascii="Times New Roman" w:hAnsi="Times New Roman"/>
        </w:rPr>
        <w:t>(</w:t>
      </w:r>
      <w:r w:rsidR="002E1E24">
        <w:rPr>
          <w:rFonts w:ascii="Times New Roman" w:hAnsi="Times New Roman"/>
        </w:rPr>
        <w:t>Section 210</w:t>
      </w:r>
      <w:r>
        <w:rPr>
          <w:rFonts w:ascii="Times New Roman" w:hAnsi="Times New Roman"/>
        </w:rPr>
        <w:t>(</w:t>
      </w:r>
      <w:r w:rsidR="002E1E24">
        <w:rPr>
          <w:rFonts w:ascii="Times New Roman" w:hAnsi="Times New Roman"/>
        </w:rPr>
        <w:t>r</w:t>
      </w:r>
      <w:r>
        <w:rPr>
          <w:rFonts w:ascii="Times New Roman" w:hAnsi="Times New Roman"/>
        </w:rPr>
        <w:t>)</w:t>
      </w:r>
      <w:r w:rsidR="002E1E24">
        <w:rPr>
          <w:rFonts w:ascii="Times New Roman" w:hAnsi="Times New Roman"/>
        </w:rPr>
        <w:t xml:space="preserve"> of the Dodd-Frank Act</w:t>
      </w:r>
      <w:r>
        <w:rPr>
          <w:rFonts w:ascii="Times New Roman" w:hAnsi="Times New Roman"/>
        </w:rPr>
        <w:t xml:space="preserve">, 12 U.S.C. </w:t>
      </w:r>
      <w:r w:rsidR="002E1E24">
        <w:rPr>
          <w:rFonts w:ascii="Times New Roman" w:hAnsi="Times New Roman"/>
        </w:rPr>
        <w:t>5390(r</w:t>
      </w:r>
      <w:r>
        <w:rPr>
          <w:rFonts w:ascii="Times New Roman" w:hAnsi="Times New Roman"/>
        </w:rPr>
        <w:t xml:space="preserve">)).  The statutory requirement </w:t>
      </w:r>
      <w:r w:rsidR="00266C0A">
        <w:rPr>
          <w:rFonts w:ascii="Times New Roman" w:hAnsi="Times New Roman"/>
        </w:rPr>
        <w:t>was</w:t>
      </w:r>
      <w:r>
        <w:rPr>
          <w:rFonts w:ascii="Times New Roman" w:hAnsi="Times New Roman"/>
        </w:rPr>
        <w:t xml:space="preserve"> implemented by a </w:t>
      </w:r>
      <w:r w:rsidR="00017FDA">
        <w:rPr>
          <w:rFonts w:ascii="Times New Roman" w:hAnsi="Times New Roman"/>
        </w:rPr>
        <w:t>final rule</w:t>
      </w:r>
      <w:r>
        <w:rPr>
          <w:rFonts w:ascii="Times New Roman" w:hAnsi="Times New Roman"/>
        </w:rPr>
        <w:t>, “</w:t>
      </w:r>
      <w:r w:rsidRPr="002E1E24" w:rsidR="002E1E24">
        <w:rPr>
          <w:rFonts w:ascii="Times New Roman" w:hAnsi="Times New Roman"/>
        </w:rPr>
        <w:t>Restrictions on sale of assets of a covered financial company by the Federa</w:t>
      </w:r>
      <w:r w:rsidR="002E1E24">
        <w:rPr>
          <w:rFonts w:ascii="Times New Roman" w:hAnsi="Times New Roman"/>
        </w:rPr>
        <w:t>l Deposit Insurance Corporation</w:t>
      </w:r>
      <w:r>
        <w:rPr>
          <w:rFonts w:ascii="Times New Roman" w:hAnsi="Times New Roman"/>
        </w:rPr>
        <w:t xml:space="preserve">,” </w:t>
      </w:r>
      <w:r w:rsidR="00E313A0">
        <w:rPr>
          <w:rFonts w:ascii="Times New Roman" w:hAnsi="Times New Roman"/>
        </w:rPr>
        <w:t>12 CFR Part 380</w:t>
      </w:r>
      <w:r w:rsidR="002E1E24">
        <w:rPr>
          <w:rFonts w:ascii="Times New Roman" w:hAnsi="Times New Roman"/>
        </w:rPr>
        <w:t xml:space="preserve">. The </w:t>
      </w:r>
      <w:r w:rsidR="00017FDA">
        <w:rPr>
          <w:rFonts w:ascii="Times New Roman" w:hAnsi="Times New Roman"/>
        </w:rPr>
        <w:t xml:space="preserve">final </w:t>
      </w:r>
      <w:r w:rsidR="002E1E24">
        <w:rPr>
          <w:rFonts w:ascii="Times New Roman" w:hAnsi="Times New Roman"/>
        </w:rPr>
        <w:t>rule require</w:t>
      </w:r>
      <w:r w:rsidR="00017FDA">
        <w:rPr>
          <w:rFonts w:ascii="Times New Roman" w:hAnsi="Times New Roman"/>
        </w:rPr>
        <w:t>s</w:t>
      </w:r>
      <w:r w:rsidR="002E1E24">
        <w:rPr>
          <w:rFonts w:ascii="Times New Roman" w:hAnsi="Times New Roman"/>
        </w:rPr>
        <w:t xml:space="preserve"> prospective purchasers to complete and submit </w:t>
      </w:r>
      <w:r>
        <w:rPr>
          <w:rFonts w:ascii="Times New Roman" w:hAnsi="Times New Roman"/>
        </w:rPr>
        <w:t xml:space="preserve">a Purchaser Eligibility Certification </w:t>
      </w:r>
      <w:r w:rsidR="00F7536C">
        <w:rPr>
          <w:rFonts w:ascii="Times New Roman" w:hAnsi="Times New Roman"/>
        </w:rPr>
        <w:t>(PEC)</w:t>
      </w:r>
      <w:r w:rsidR="002E1E24">
        <w:rPr>
          <w:rFonts w:ascii="Times New Roman" w:hAnsi="Times New Roman"/>
        </w:rPr>
        <w:t xml:space="preserve"> to the FDIC</w:t>
      </w:r>
      <w:r>
        <w:rPr>
          <w:rFonts w:ascii="Times New Roman" w:hAnsi="Times New Roman"/>
        </w:rPr>
        <w:t xml:space="preserve">. </w:t>
      </w:r>
      <w:r w:rsidR="00F7536C">
        <w:rPr>
          <w:rFonts w:ascii="Times New Roman" w:hAnsi="Times New Roman"/>
        </w:rPr>
        <w:t xml:space="preserve">The PEC </w:t>
      </w:r>
      <w:r w:rsidRPr="000807DA">
        <w:rPr>
          <w:rFonts w:ascii="Times New Roman" w:hAnsi="Times New Roman"/>
          <w:color w:val="auto"/>
        </w:rPr>
        <w:t xml:space="preserve">is a self-certification by </w:t>
      </w:r>
      <w:r w:rsidR="000E2CAB">
        <w:rPr>
          <w:rFonts w:ascii="Times New Roman" w:hAnsi="Times New Roman"/>
          <w:color w:val="auto"/>
        </w:rPr>
        <w:t xml:space="preserve">a </w:t>
      </w:r>
      <w:r w:rsidRPr="000807DA">
        <w:rPr>
          <w:rFonts w:ascii="Times New Roman" w:hAnsi="Times New Roman"/>
          <w:color w:val="auto"/>
        </w:rPr>
        <w:t xml:space="preserve">prospective </w:t>
      </w:r>
      <w:r w:rsidR="000E2CAB">
        <w:rPr>
          <w:rFonts w:ascii="Times New Roman" w:hAnsi="Times New Roman"/>
          <w:color w:val="auto"/>
        </w:rPr>
        <w:t>purchaser</w:t>
      </w:r>
      <w:r w:rsidRPr="000807DA">
        <w:rPr>
          <w:rFonts w:ascii="Times New Roman" w:hAnsi="Times New Roman"/>
          <w:color w:val="auto"/>
        </w:rPr>
        <w:t xml:space="preserve"> </w:t>
      </w:r>
      <w:r w:rsidRPr="000807DA">
        <w:rPr>
          <w:rFonts w:ascii="Times New Roman" w:hAnsi="Times New Roman"/>
          <w:color w:val="auto"/>
        </w:rPr>
        <w:t xml:space="preserve">that </w:t>
      </w:r>
      <w:r w:rsidR="000E2CAB">
        <w:rPr>
          <w:rFonts w:ascii="Times New Roman" w:hAnsi="Times New Roman"/>
          <w:color w:val="auto"/>
        </w:rPr>
        <w:t>it</w:t>
      </w:r>
      <w:r w:rsidRPr="000807DA">
        <w:rPr>
          <w:rFonts w:ascii="Times New Roman" w:hAnsi="Times New Roman"/>
          <w:color w:val="auto"/>
        </w:rPr>
        <w:t xml:space="preserve"> do</w:t>
      </w:r>
      <w:r w:rsidR="000E2CAB">
        <w:rPr>
          <w:rFonts w:ascii="Times New Roman" w:hAnsi="Times New Roman"/>
          <w:color w:val="auto"/>
        </w:rPr>
        <w:t>es</w:t>
      </w:r>
      <w:r w:rsidRPr="000807DA">
        <w:rPr>
          <w:rFonts w:ascii="Times New Roman" w:hAnsi="Times New Roman"/>
          <w:color w:val="auto"/>
        </w:rPr>
        <w:t xml:space="preserve"> not fall into any of the categories of</w:t>
      </w:r>
      <w:r w:rsidRPr="000E2CAB" w:rsidR="000E2CAB">
        <w:rPr>
          <w:rFonts w:ascii="Times New Roman" w:hAnsi="Times New Roman"/>
          <w:color w:val="auto"/>
        </w:rPr>
        <w:t xml:space="preserve"> </w:t>
      </w:r>
      <w:r w:rsidRPr="000807DA" w:rsidR="000E2CAB">
        <w:rPr>
          <w:rFonts w:ascii="Times New Roman" w:hAnsi="Times New Roman"/>
          <w:color w:val="auto"/>
        </w:rPr>
        <w:t>individuals</w:t>
      </w:r>
      <w:r w:rsidR="000E2CAB">
        <w:rPr>
          <w:rFonts w:ascii="Times New Roman" w:hAnsi="Times New Roman"/>
          <w:color w:val="auto"/>
        </w:rPr>
        <w:t xml:space="preserve"> or</w:t>
      </w:r>
      <w:r w:rsidRPr="000807DA">
        <w:rPr>
          <w:rFonts w:ascii="Times New Roman" w:hAnsi="Times New Roman"/>
          <w:color w:val="auto"/>
        </w:rPr>
        <w:t xml:space="preserve"> entities </w:t>
      </w:r>
      <w:r w:rsidR="000E2CAB">
        <w:rPr>
          <w:rFonts w:ascii="Times New Roman" w:hAnsi="Times New Roman"/>
          <w:color w:val="auto"/>
        </w:rPr>
        <w:t xml:space="preserve">that </w:t>
      </w:r>
      <w:r w:rsidRPr="000807DA">
        <w:rPr>
          <w:rFonts w:ascii="Times New Roman" w:hAnsi="Times New Roman"/>
          <w:color w:val="auto"/>
        </w:rPr>
        <w:t xml:space="preserve">are prohibited </w:t>
      </w:r>
      <w:r w:rsidR="000E2CAB">
        <w:rPr>
          <w:rFonts w:ascii="Times New Roman" w:hAnsi="Times New Roman"/>
          <w:color w:val="auto"/>
        </w:rPr>
        <w:t xml:space="preserve">by statute or regulation </w:t>
      </w:r>
      <w:r w:rsidRPr="000807DA">
        <w:rPr>
          <w:rFonts w:ascii="Times New Roman" w:hAnsi="Times New Roman"/>
          <w:color w:val="auto"/>
        </w:rPr>
        <w:t xml:space="preserve">from purchasing the assets of </w:t>
      </w:r>
      <w:r w:rsidR="002E1E24">
        <w:rPr>
          <w:rFonts w:ascii="Times New Roman" w:hAnsi="Times New Roman"/>
          <w:color w:val="auto"/>
        </w:rPr>
        <w:t>covered financial companies</w:t>
      </w:r>
      <w:r w:rsidRPr="000807DA">
        <w:rPr>
          <w:rFonts w:ascii="Times New Roman" w:hAnsi="Times New Roman"/>
          <w:color w:val="auto"/>
        </w:rPr>
        <w:t xml:space="preserve">.  The PEC </w:t>
      </w:r>
      <w:r w:rsidR="000E2CAB">
        <w:rPr>
          <w:rFonts w:ascii="Times New Roman" w:hAnsi="Times New Roman"/>
          <w:color w:val="auto"/>
        </w:rPr>
        <w:t>will be</w:t>
      </w:r>
      <w:r w:rsidRPr="000807DA">
        <w:rPr>
          <w:rFonts w:ascii="Times New Roman" w:hAnsi="Times New Roman"/>
          <w:color w:val="auto"/>
        </w:rPr>
        <w:t xml:space="preserve"> </w:t>
      </w:r>
      <w:r w:rsidR="008F67C4">
        <w:rPr>
          <w:rFonts w:ascii="Times New Roman" w:hAnsi="Times New Roman"/>
          <w:color w:val="auto"/>
        </w:rPr>
        <w:t>required in connection with the sale of assets by the FDIC as receiver for a covered financial company.</w:t>
      </w:r>
      <w:r>
        <w:rPr>
          <w:rFonts w:ascii="Times New Roman" w:hAnsi="Times New Roman"/>
          <w:color w:val="auto"/>
        </w:rPr>
        <w:t xml:space="preserve"> </w:t>
      </w:r>
    </w:p>
    <w:p w:rsidR="000D0E00" w:rsidP="000D0E00" w14:paraId="7030CDCB" w14:textId="77777777">
      <w:pPr>
        <w:pStyle w:val="Default"/>
        <w:ind w:left="1440"/>
        <w:rPr>
          <w:rFonts w:ascii="Times New Roman" w:hAnsi="Times New Roman"/>
          <w:color w:val="auto"/>
        </w:rPr>
      </w:pPr>
    </w:p>
    <w:p w:rsidR="000D0E00" w:rsidP="00AA321A" w14:paraId="2A1AFA02" w14:textId="7AD8B9A2">
      <w:pPr>
        <w:pStyle w:val="Default"/>
        <w:ind w:left="1440"/>
        <w:rPr>
          <w:rFonts w:ascii="Times New Roman" w:hAnsi="Times New Roman"/>
          <w:color w:val="auto"/>
        </w:rPr>
      </w:pPr>
      <w:r>
        <w:rPr>
          <w:rFonts w:ascii="Times New Roman" w:hAnsi="Times New Roman"/>
        </w:rPr>
        <w:t>Under 12 CFR</w:t>
      </w:r>
      <w:r w:rsidRPr="00F95A5F">
        <w:rPr>
          <w:rFonts w:ascii="Times New Roman" w:hAnsi="Times New Roman"/>
        </w:rPr>
        <w:t xml:space="preserve"> 3</w:t>
      </w:r>
      <w:r>
        <w:rPr>
          <w:rFonts w:ascii="Times New Roman" w:hAnsi="Times New Roman"/>
        </w:rPr>
        <w:t>8</w:t>
      </w:r>
      <w:r w:rsidRPr="00F95A5F">
        <w:rPr>
          <w:rFonts w:ascii="Times New Roman" w:hAnsi="Times New Roman"/>
        </w:rPr>
        <w:t>0</w:t>
      </w:r>
      <w:r>
        <w:rPr>
          <w:rFonts w:ascii="Times New Roman" w:hAnsi="Times New Roman"/>
        </w:rPr>
        <w:t xml:space="preserve">.13, </w:t>
      </w:r>
      <w:r w:rsidRPr="00F95A5F">
        <w:rPr>
          <w:rFonts w:ascii="Times New Roman" w:hAnsi="Times New Roman"/>
        </w:rPr>
        <w:t>the</w:t>
      </w:r>
      <w:r>
        <w:rPr>
          <w:rFonts w:ascii="Times New Roman" w:hAnsi="Times New Roman"/>
        </w:rPr>
        <w:t xml:space="preserve"> PEC requires a prospective purchaser to certify that they have not caused </w:t>
      </w:r>
      <w:r w:rsidRPr="00F95A5F">
        <w:rPr>
          <w:rFonts w:ascii="Times New Roman" w:hAnsi="Times New Roman"/>
        </w:rPr>
        <w:t xml:space="preserve">a substantial loss to </w:t>
      </w:r>
      <w:r>
        <w:rPr>
          <w:rFonts w:ascii="Times New Roman" w:hAnsi="Times New Roman"/>
        </w:rPr>
        <w:t>a covered financial company</w:t>
      </w:r>
      <w:r w:rsidRPr="00F95A5F">
        <w:rPr>
          <w:rFonts w:ascii="Times New Roman" w:hAnsi="Times New Roman"/>
        </w:rPr>
        <w:t xml:space="preserve"> or </w:t>
      </w:r>
      <w:r w:rsidRPr="00F95A5F">
        <w:rPr>
          <w:rFonts w:ascii="Times New Roman" w:hAnsi="Times New Roman"/>
        </w:rPr>
        <w:t>has</w:t>
      </w:r>
      <w:r w:rsidRPr="00F95A5F">
        <w:rPr>
          <w:rFonts w:ascii="Times New Roman" w:hAnsi="Times New Roman"/>
        </w:rPr>
        <w:t xml:space="preserve"> demonstrated a pattern or practice caus</w:t>
      </w:r>
      <w:r>
        <w:rPr>
          <w:rFonts w:ascii="Times New Roman" w:hAnsi="Times New Roman"/>
        </w:rPr>
        <w:t>ing</w:t>
      </w:r>
      <w:r w:rsidRPr="00F95A5F">
        <w:rPr>
          <w:rFonts w:ascii="Times New Roman" w:hAnsi="Times New Roman"/>
        </w:rPr>
        <w:t xml:space="preserve"> a substantial loss to one or more </w:t>
      </w:r>
      <w:r>
        <w:rPr>
          <w:rFonts w:ascii="Times New Roman" w:hAnsi="Times New Roman"/>
        </w:rPr>
        <w:t xml:space="preserve">covered financial companies. In the rulemaking titled </w:t>
      </w:r>
      <w:r>
        <w:rPr>
          <w:rFonts w:ascii="Times New Roman" w:hAnsi="Times New Roman"/>
          <w:spacing w:val="-3"/>
        </w:rPr>
        <w:t>“</w:t>
      </w:r>
      <w:r w:rsidRPr="00A3281A">
        <w:rPr>
          <w:rFonts w:ascii="Times New Roman" w:hAnsi="Times New Roman"/>
          <w:spacing w:val="-3"/>
        </w:rPr>
        <w:t xml:space="preserve">Adjusting </w:t>
      </w:r>
      <w:r w:rsidRPr="00A3281A">
        <w:rPr>
          <w:rFonts w:ascii="Times New Roman" w:hAnsi="Times New Roman"/>
          <w:spacing w:val="-3"/>
        </w:rPr>
        <w:t>and Indexing Certain Regulatory Thresholds</w:t>
      </w:r>
      <w:r>
        <w:rPr>
          <w:rFonts w:ascii="Times New Roman" w:hAnsi="Times New Roman"/>
          <w:spacing w:val="-3"/>
        </w:rPr>
        <w:t>”</w:t>
      </w:r>
      <w:r>
        <w:rPr>
          <w:rStyle w:val="FootnoteReference"/>
          <w:rFonts w:ascii="Times New Roman" w:hAnsi="Times New Roman"/>
          <w:spacing w:val="-3"/>
        </w:rPr>
        <w:footnoteReference w:id="2"/>
      </w:r>
      <w:r w:rsidR="00997DDF">
        <w:rPr>
          <w:rFonts w:ascii="Times New Roman" w:hAnsi="Times New Roman"/>
          <w:spacing w:val="-3"/>
        </w:rPr>
        <w:t xml:space="preserve"> </w:t>
      </w:r>
      <w:r>
        <w:rPr>
          <w:rFonts w:ascii="Times New Roman" w:hAnsi="Times New Roman"/>
          <w:spacing w:val="-3"/>
        </w:rPr>
        <w:t xml:space="preserve">the FDIC updated its definition of substantial loss to mean a loss of $100,000, opposed to $50,000. </w:t>
      </w:r>
    </w:p>
    <w:p w:rsidR="000807DA" w:rsidP="000807DA" w14:paraId="324E58E2" w14:textId="77777777">
      <w:pPr>
        <w:pStyle w:val="Default"/>
        <w:rPr>
          <w:rFonts w:ascii="Times New Roman" w:hAnsi="Times New Roman"/>
          <w:color w:val="auto"/>
        </w:rPr>
      </w:pPr>
    </w:p>
    <w:p w:rsidR="00F65D89" w:rsidRPr="00CF48F0" w:rsidP="00CF48F0" w14:paraId="02B4B4F7" w14:textId="77777777">
      <w:pPr>
        <w:pStyle w:val="ListParagraph"/>
        <w:numPr>
          <w:ilvl w:val="0"/>
          <w:numId w:val="4"/>
        </w:numPr>
        <w:rPr>
          <w:rFonts w:ascii="Times New Roman" w:hAnsi="Times New Roman"/>
        </w:rPr>
      </w:pPr>
      <w:r w:rsidRPr="00CF48F0">
        <w:rPr>
          <w:rFonts w:ascii="Times New Roman" w:hAnsi="Times New Roman"/>
          <w:u w:val="single"/>
        </w:rPr>
        <w:t>Use of Information Collected</w:t>
      </w:r>
    </w:p>
    <w:p w:rsidR="00F65D89" w14:paraId="698F198E" w14:textId="77777777">
      <w:pPr>
        <w:rPr>
          <w:rFonts w:ascii="Times New Roman" w:hAnsi="Times New Roman"/>
        </w:rPr>
      </w:pPr>
    </w:p>
    <w:p w:rsidR="00F65D89" w:rsidP="00AA321A" w14:paraId="31D454C6" w14:textId="77777777">
      <w:pPr>
        <w:pStyle w:val="BodyTextIndent"/>
        <w:ind w:left="1440"/>
      </w:pPr>
      <w:r>
        <w:t xml:space="preserve">The FDIC uses the </w:t>
      </w:r>
      <w:r w:rsidR="00C8341E">
        <w:t>information collected</w:t>
      </w:r>
      <w:r>
        <w:t xml:space="preserve"> to ensure compliance with the statutory requirements before each sale of assets.</w:t>
      </w:r>
    </w:p>
    <w:p w:rsidR="00F65D89" w14:paraId="39C507E5" w14:textId="77777777">
      <w:pPr>
        <w:rPr>
          <w:rFonts w:ascii="Times New Roman" w:hAnsi="Times New Roman"/>
        </w:rPr>
      </w:pPr>
    </w:p>
    <w:p w:rsidR="00F65D89" w:rsidRPr="00CF48F0" w:rsidP="00CF48F0" w14:paraId="56CCBF78" w14:textId="77777777">
      <w:pPr>
        <w:pStyle w:val="ListParagraph"/>
        <w:numPr>
          <w:ilvl w:val="0"/>
          <w:numId w:val="4"/>
        </w:numPr>
        <w:rPr>
          <w:rFonts w:ascii="Times New Roman" w:hAnsi="Times New Roman"/>
        </w:rPr>
      </w:pPr>
      <w:r w:rsidRPr="00CF48F0">
        <w:rPr>
          <w:rFonts w:ascii="Times New Roman" w:hAnsi="Times New Roman"/>
          <w:u w:val="single"/>
        </w:rPr>
        <w:t>Use of Technology to Reduce Burden</w:t>
      </w:r>
    </w:p>
    <w:p w:rsidR="00F65D89" w14:paraId="07DA5249" w14:textId="77777777">
      <w:pPr>
        <w:rPr>
          <w:rFonts w:ascii="Times New Roman" w:hAnsi="Times New Roman"/>
        </w:rPr>
      </w:pPr>
    </w:p>
    <w:p w:rsidR="00F65D89" w:rsidP="00AA321A" w14:paraId="5D937F61" w14:textId="77777777">
      <w:pPr>
        <w:ind w:left="1440"/>
        <w:rPr>
          <w:rFonts w:ascii="Times New Roman" w:hAnsi="Times New Roman"/>
        </w:rPr>
      </w:pPr>
      <w:r>
        <w:rPr>
          <w:rFonts w:ascii="Times New Roman" w:hAnsi="Times New Roman"/>
        </w:rPr>
        <w:t>This</w:t>
      </w:r>
      <w:r w:rsidR="008F67C4">
        <w:rPr>
          <w:rFonts w:ascii="Times New Roman" w:hAnsi="Times New Roman"/>
        </w:rPr>
        <w:t xml:space="preserve"> form may be submitted </w:t>
      </w:r>
      <w:r w:rsidR="00495852">
        <w:rPr>
          <w:rFonts w:ascii="Times New Roman" w:hAnsi="Times New Roman"/>
        </w:rPr>
        <w:t>via hard copy</w:t>
      </w:r>
      <w:r w:rsidR="008F67C4">
        <w:rPr>
          <w:rFonts w:ascii="Times New Roman" w:hAnsi="Times New Roman"/>
        </w:rPr>
        <w:t xml:space="preserve"> or electronic media</w:t>
      </w:r>
      <w:r w:rsidR="00495852">
        <w:rPr>
          <w:rFonts w:ascii="Times New Roman" w:hAnsi="Times New Roman"/>
        </w:rPr>
        <w:t>.</w:t>
      </w:r>
      <w:r>
        <w:rPr>
          <w:rFonts w:ascii="Times New Roman" w:hAnsi="Times New Roman"/>
        </w:rPr>
        <w:t xml:space="preserve">  </w:t>
      </w:r>
    </w:p>
    <w:p w:rsidR="00F65D89" w:rsidP="00AA321A" w14:paraId="7E8A834D" w14:textId="77777777">
      <w:pPr>
        <w:ind w:left="1800"/>
        <w:rPr>
          <w:rFonts w:ascii="Times New Roman" w:hAnsi="Times New Roman"/>
        </w:rPr>
      </w:pPr>
    </w:p>
    <w:p w:rsidR="00F65D89" w:rsidRPr="00CF48F0" w:rsidP="00CF48F0" w14:paraId="22DC23BA" w14:textId="77777777">
      <w:pPr>
        <w:pStyle w:val="ListParagraph"/>
        <w:numPr>
          <w:ilvl w:val="0"/>
          <w:numId w:val="4"/>
        </w:numPr>
        <w:rPr>
          <w:rFonts w:ascii="Times New Roman" w:hAnsi="Times New Roman"/>
        </w:rPr>
      </w:pPr>
      <w:r w:rsidRPr="00CF48F0">
        <w:rPr>
          <w:rFonts w:ascii="Times New Roman" w:hAnsi="Times New Roman"/>
          <w:u w:val="single"/>
        </w:rPr>
        <w:t>Efforts to Identify Duplication</w:t>
      </w:r>
    </w:p>
    <w:p w:rsidR="00F65D89" w14:paraId="725348B2" w14:textId="77777777">
      <w:pPr>
        <w:rPr>
          <w:rFonts w:ascii="Times New Roman" w:hAnsi="Times New Roman"/>
        </w:rPr>
      </w:pPr>
    </w:p>
    <w:p w:rsidR="00F65D89" w:rsidP="00AA321A" w14:paraId="0018C25D" w14:textId="77777777">
      <w:pPr>
        <w:pStyle w:val="BodyTextIndent"/>
        <w:ind w:left="1440"/>
      </w:pPr>
      <w:r>
        <w:t xml:space="preserve">There is no duplication.  The information is not available elsewhere.  </w:t>
      </w:r>
    </w:p>
    <w:p w:rsidR="00F65D89" w14:paraId="50E51A43" w14:textId="77777777">
      <w:pPr>
        <w:ind w:left="180" w:firstLine="540"/>
        <w:rPr>
          <w:rFonts w:ascii="Times New Roman" w:hAnsi="Times New Roman"/>
        </w:rPr>
      </w:pPr>
    </w:p>
    <w:p w:rsidR="00F65D89" w:rsidRPr="00CF48F0" w:rsidP="00CF48F0" w14:paraId="002D6A31" w14:textId="77777777">
      <w:pPr>
        <w:pStyle w:val="ListParagraph"/>
        <w:numPr>
          <w:ilvl w:val="0"/>
          <w:numId w:val="4"/>
        </w:numPr>
        <w:rPr>
          <w:rFonts w:ascii="Times New Roman" w:hAnsi="Times New Roman"/>
        </w:rPr>
      </w:pPr>
      <w:r w:rsidRPr="00CF48F0">
        <w:rPr>
          <w:rFonts w:ascii="Times New Roman" w:hAnsi="Times New Roman"/>
          <w:u w:val="single"/>
        </w:rPr>
        <w:t>Minimizing the Burden on Small Banks</w:t>
      </w:r>
    </w:p>
    <w:p w:rsidR="00F65D89" w14:paraId="694F7F7D" w14:textId="77777777">
      <w:pPr>
        <w:rPr>
          <w:rFonts w:ascii="Times New Roman" w:hAnsi="Times New Roman"/>
        </w:rPr>
      </w:pPr>
    </w:p>
    <w:p w:rsidR="00F65D89" w:rsidP="00AA321A" w14:paraId="29DAC644" w14:textId="77777777">
      <w:pPr>
        <w:pStyle w:val="BodyTextIndent"/>
        <w:ind w:left="1440"/>
      </w:pPr>
      <w:r>
        <w:t xml:space="preserve">There is no </w:t>
      </w:r>
      <w:r w:rsidRPr="0026619C" w:rsidR="0026619C">
        <w:t>significant economic impact on a substantial number of small entities because a covered financial company is, in general, likely to be a large entity with m</w:t>
      </w:r>
      <w:r w:rsidR="0026619C">
        <w:t>ore than $50 billion in assets.</w:t>
      </w:r>
      <w:r w:rsidRPr="0026619C" w:rsidR="0026619C">
        <w:t xml:space="preserve">  </w:t>
      </w:r>
      <w:r>
        <w:t>In particular, a</w:t>
      </w:r>
      <w:r w:rsidRPr="0026619C" w:rsidR="0026619C">
        <w:t xml:space="preserve"> covered financial company </w:t>
      </w:r>
      <w:r w:rsidR="0026619C">
        <w:t>is</w:t>
      </w:r>
      <w:r w:rsidRPr="0026619C" w:rsidR="0026619C">
        <w:t xml:space="preserve"> likely to be </w:t>
      </w:r>
      <w:r w:rsidR="0026619C">
        <w:t>sold in major components</w:t>
      </w:r>
      <w:r w:rsidRPr="0026619C" w:rsidR="0026619C">
        <w:t xml:space="preserve">, such as subsidiaries or business lines.  It is therefore unlikely that small entities will be prospective purchasers of covered </w:t>
      </w:r>
      <w:r w:rsidRPr="0026619C" w:rsidR="0026619C">
        <w:t>financial company</w:t>
      </w:r>
      <w:r w:rsidRPr="0026619C" w:rsidR="0026619C">
        <w:t xml:space="preserve"> assets in an orderly liquidation under Title II of the Dodd-Frank Act.</w:t>
      </w:r>
      <w:r>
        <w:tab/>
      </w:r>
    </w:p>
    <w:p w:rsidR="00F65D89" w14:paraId="48F4D720" w14:textId="77777777">
      <w:pPr>
        <w:ind w:left="840" w:hanging="600"/>
        <w:rPr>
          <w:rFonts w:ascii="Times New Roman" w:hAnsi="Times New Roman"/>
        </w:rPr>
      </w:pPr>
    </w:p>
    <w:p w:rsidR="00F65D89" w:rsidRPr="00CF48F0" w:rsidP="00CF48F0" w14:paraId="73EDB7D8" w14:textId="77777777">
      <w:pPr>
        <w:pStyle w:val="ListParagraph"/>
        <w:numPr>
          <w:ilvl w:val="0"/>
          <w:numId w:val="4"/>
        </w:numPr>
        <w:rPr>
          <w:rFonts w:ascii="Times New Roman" w:hAnsi="Times New Roman"/>
        </w:rPr>
      </w:pPr>
      <w:r w:rsidRPr="00CF48F0">
        <w:rPr>
          <w:rFonts w:ascii="Times New Roman" w:hAnsi="Times New Roman"/>
          <w:u w:val="single"/>
        </w:rPr>
        <w:t>Consequences of Less Frequent Collection</w:t>
      </w:r>
    </w:p>
    <w:p w:rsidR="00F65D89" w14:paraId="01B2D5C7" w14:textId="77777777">
      <w:pPr>
        <w:rPr>
          <w:rFonts w:ascii="Times New Roman" w:hAnsi="Times New Roman"/>
        </w:rPr>
      </w:pPr>
    </w:p>
    <w:p w:rsidR="00F65D89" w:rsidP="00AA321A" w14:paraId="44BFF3F5" w14:textId="77777777">
      <w:pPr>
        <w:pStyle w:val="BodyTextIndent"/>
        <w:ind w:left="1440"/>
      </w:pPr>
      <w:r>
        <w:t xml:space="preserve">As a result of the statute’s prohibition, each purchase of assets </w:t>
      </w:r>
      <w:r w:rsidR="000E2CAB">
        <w:t xml:space="preserve">of a covered financial company </w:t>
      </w:r>
      <w:r>
        <w:t>from the FDIC requires a</w:t>
      </w:r>
      <w:r w:rsidR="00627804">
        <w:t xml:space="preserve"> determination that the prospective </w:t>
      </w:r>
      <w:r w:rsidR="000E2CAB">
        <w:t>purchaser</w:t>
      </w:r>
      <w:r w:rsidR="00627804">
        <w:t xml:space="preserve"> is </w:t>
      </w:r>
      <w:r w:rsidR="00CF059D">
        <w:t>not prohibited from purchasing</w:t>
      </w:r>
      <w:r>
        <w:t xml:space="preserve">.  </w:t>
      </w:r>
    </w:p>
    <w:p w:rsidR="00F65D89" w14:paraId="12FECE7B" w14:textId="77777777">
      <w:pPr>
        <w:rPr>
          <w:rFonts w:ascii="Times New Roman" w:hAnsi="Times New Roman"/>
        </w:rPr>
      </w:pPr>
    </w:p>
    <w:p w:rsidR="00F65D89" w:rsidRPr="00CF48F0" w:rsidP="00CF48F0" w14:paraId="5444124F" w14:textId="77777777">
      <w:pPr>
        <w:pStyle w:val="ListParagraph"/>
        <w:numPr>
          <w:ilvl w:val="0"/>
          <w:numId w:val="4"/>
        </w:numPr>
        <w:rPr>
          <w:rFonts w:ascii="Times New Roman" w:hAnsi="Times New Roman"/>
        </w:rPr>
      </w:pPr>
      <w:r w:rsidRPr="00CF48F0">
        <w:rPr>
          <w:rFonts w:ascii="Times New Roman" w:hAnsi="Times New Roman"/>
          <w:u w:val="single"/>
        </w:rPr>
        <w:t>Special Circumstances</w:t>
      </w:r>
    </w:p>
    <w:p w:rsidR="00F65D89" w14:paraId="527F416E" w14:textId="77777777">
      <w:pPr>
        <w:rPr>
          <w:rFonts w:ascii="Times New Roman" w:hAnsi="Times New Roman"/>
        </w:rPr>
      </w:pPr>
    </w:p>
    <w:p w:rsidR="00F65D89" w:rsidP="00AA321A" w14:paraId="76FE05E7" w14:textId="77777777">
      <w:pPr>
        <w:ind w:left="1440"/>
        <w:rPr>
          <w:rFonts w:ascii="Times New Roman" w:hAnsi="Times New Roman"/>
        </w:rPr>
      </w:pPr>
      <w:r>
        <w:rPr>
          <w:rFonts w:ascii="Times New Roman" w:hAnsi="Times New Roman"/>
        </w:rPr>
        <w:t>There are no special circumstances.</w:t>
      </w:r>
    </w:p>
    <w:p w:rsidR="00B2673F" w14:paraId="0A35732C" w14:textId="77777777">
      <w:pPr>
        <w:rPr>
          <w:rFonts w:ascii="Times New Roman" w:hAnsi="Times New Roman"/>
        </w:rPr>
      </w:pPr>
    </w:p>
    <w:p w:rsidR="00F65D89" w:rsidRPr="00CF48F0" w:rsidP="00CF48F0" w14:paraId="3F900306" w14:textId="77777777">
      <w:pPr>
        <w:pStyle w:val="ListParagraph"/>
        <w:numPr>
          <w:ilvl w:val="0"/>
          <w:numId w:val="4"/>
        </w:numPr>
        <w:rPr>
          <w:rFonts w:ascii="Times New Roman" w:hAnsi="Times New Roman"/>
        </w:rPr>
      </w:pPr>
      <w:r w:rsidRPr="00CF48F0">
        <w:rPr>
          <w:rFonts w:ascii="Times New Roman" w:hAnsi="Times New Roman"/>
          <w:u w:val="single"/>
        </w:rPr>
        <w:t>Consultation with Persons Outside the FDIC</w:t>
      </w:r>
    </w:p>
    <w:p w:rsidR="00F65D89" w14:paraId="12D0E52F" w14:textId="77777777">
      <w:pPr>
        <w:rPr>
          <w:rFonts w:ascii="Times New Roman" w:hAnsi="Times New Roman"/>
        </w:rPr>
      </w:pPr>
    </w:p>
    <w:p w:rsidR="001177ED" w:rsidP="001177ED" w14:paraId="7144DA7C" w14:textId="5059626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szCs w:val="24"/>
        </w:rPr>
      </w:pPr>
      <w:r w:rsidRPr="00FF66B0">
        <w:rPr>
          <w:rFonts w:ascii="Times New Roman" w:hAnsi="Times New Roman"/>
          <w:szCs w:val="24"/>
        </w:rPr>
        <w:t xml:space="preserve">The </w:t>
      </w:r>
      <w:r>
        <w:rPr>
          <w:rFonts w:ascii="Times New Roman" w:hAnsi="Times New Roman"/>
          <w:szCs w:val="24"/>
        </w:rPr>
        <w:t>FDIC</w:t>
      </w:r>
      <w:r w:rsidRPr="00FF66B0">
        <w:rPr>
          <w:rFonts w:ascii="Times New Roman" w:hAnsi="Times New Roman"/>
          <w:szCs w:val="24"/>
        </w:rPr>
        <w:t xml:space="preserve"> published the </w:t>
      </w:r>
      <w:r>
        <w:rPr>
          <w:rFonts w:ascii="Times New Roman" w:hAnsi="Times New Roman"/>
          <w:szCs w:val="24"/>
        </w:rPr>
        <w:t>NPR</w:t>
      </w:r>
      <w:r w:rsidRPr="00FF66B0">
        <w:rPr>
          <w:rFonts w:ascii="Times New Roman" w:hAnsi="Times New Roman"/>
          <w:szCs w:val="24"/>
        </w:rPr>
        <w:t xml:space="preserve"> in the </w:t>
      </w:r>
      <w:r w:rsidRPr="007A0E1E">
        <w:rPr>
          <w:rFonts w:ascii="Times New Roman" w:hAnsi="Times New Roman"/>
          <w:i/>
          <w:szCs w:val="24"/>
        </w:rPr>
        <w:t>Federal Register</w:t>
      </w:r>
      <w:r w:rsidRPr="00FF66B0">
        <w:rPr>
          <w:rFonts w:ascii="Times New Roman" w:hAnsi="Times New Roman"/>
          <w:szCs w:val="24"/>
        </w:rPr>
        <w:t xml:space="preserve"> (</w:t>
      </w:r>
      <w:r w:rsidRPr="00F0748C">
        <w:rPr>
          <w:rFonts w:ascii="Times New Roman" w:hAnsi="Times New Roman"/>
          <w:szCs w:val="24"/>
        </w:rPr>
        <w:t>90</w:t>
      </w:r>
      <w:r w:rsidRPr="00FF66B0">
        <w:rPr>
          <w:rFonts w:ascii="Times New Roman" w:hAnsi="Times New Roman"/>
          <w:szCs w:val="24"/>
        </w:rPr>
        <w:t xml:space="preserve"> FR </w:t>
      </w:r>
      <w:r w:rsidRPr="00F0748C">
        <w:rPr>
          <w:rFonts w:ascii="Times New Roman" w:hAnsi="Times New Roman"/>
          <w:szCs w:val="24"/>
        </w:rPr>
        <w:t>35449</w:t>
      </w:r>
      <w:r w:rsidRPr="00FF66B0">
        <w:rPr>
          <w:rFonts w:ascii="Times New Roman" w:hAnsi="Times New Roman"/>
          <w:szCs w:val="24"/>
        </w:rPr>
        <w:t>,</w:t>
      </w:r>
      <w:r>
        <w:rPr>
          <w:rFonts w:ascii="Times New Roman" w:hAnsi="Times New Roman"/>
          <w:szCs w:val="24"/>
        </w:rPr>
        <w:t xml:space="preserve"> </w:t>
      </w:r>
      <w:r w:rsidRPr="000715DD">
        <w:rPr>
          <w:rFonts w:ascii="Times New Roman" w:hAnsi="Times New Roman"/>
          <w:szCs w:val="24"/>
        </w:rPr>
        <w:t>July 28, 2025</w:t>
      </w:r>
      <w:r w:rsidRPr="00FF66B0">
        <w:rPr>
          <w:rFonts w:ascii="Times New Roman" w:hAnsi="Times New Roman"/>
          <w:szCs w:val="24"/>
        </w:rPr>
        <w:t>).  The comment period on the NPR close</w:t>
      </w:r>
      <w:r>
        <w:rPr>
          <w:rFonts w:ascii="Times New Roman" w:hAnsi="Times New Roman"/>
          <w:szCs w:val="24"/>
        </w:rPr>
        <w:t>d</w:t>
      </w:r>
      <w:r w:rsidRPr="00FF66B0">
        <w:rPr>
          <w:rFonts w:ascii="Times New Roman" w:hAnsi="Times New Roman"/>
          <w:szCs w:val="24"/>
        </w:rPr>
        <w:t xml:space="preserve"> on </w:t>
      </w:r>
      <w:r w:rsidRPr="00743018">
        <w:rPr>
          <w:rFonts w:ascii="Times New Roman" w:hAnsi="Times New Roman"/>
          <w:szCs w:val="24"/>
        </w:rPr>
        <w:t>September 26, 2025</w:t>
      </w:r>
      <w:r w:rsidRPr="00FF66B0">
        <w:rPr>
          <w:rFonts w:ascii="Times New Roman" w:hAnsi="Times New Roman"/>
          <w:szCs w:val="24"/>
        </w:rPr>
        <w:t>.</w:t>
      </w:r>
      <w:r>
        <w:rPr>
          <w:rFonts w:ascii="Times New Roman" w:hAnsi="Times New Roman"/>
          <w:szCs w:val="24"/>
        </w:rPr>
        <w:t xml:space="preserve">  </w:t>
      </w:r>
    </w:p>
    <w:p w:rsidR="001177ED" w:rsidP="001177ED" w14:paraId="1CFB56FD"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p>
    <w:p w:rsidR="001177ED" w:rsidRPr="00C9024E" w:rsidP="001177ED" w14:paraId="35CB43F0" w14:textId="0AAFFFF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szCs w:val="24"/>
        </w:rPr>
      </w:pPr>
      <w:r>
        <w:rPr>
          <w:rFonts w:ascii="Times New Roman" w:hAnsi="Times New Roman"/>
        </w:rPr>
        <w:t xml:space="preserve">The FDIC received one comment </w:t>
      </w:r>
      <w:r>
        <w:rPr>
          <w:rFonts w:ascii="Times New Roman" w:hAnsi="Times New Roman"/>
          <w:szCs w:val="24"/>
        </w:rPr>
        <w:t>acknowledged the update to the thresholds in part 380 as part of a broader comment on the general deregulatory effects of the rule. The FDIC did not receive any comments on the associated information collections or burden.</w:t>
      </w:r>
    </w:p>
    <w:p w:rsidR="00F65D89" w14:paraId="3A433E23" w14:textId="51FA257A">
      <w:pPr>
        <w:ind w:left="1440"/>
        <w:rPr>
          <w:rFonts w:ascii="Times New Roman" w:hAnsi="Times New Roman"/>
        </w:rPr>
      </w:pPr>
    </w:p>
    <w:p w:rsidR="00A3281A" w14:paraId="0572C40B" w14:textId="77777777">
      <w:pPr>
        <w:ind w:left="1440"/>
        <w:rPr>
          <w:rFonts w:ascii="Times New Roman" w:hAnsi="Times New Roman"/>
        </w:rPr>
      </w:pPr>
    </w:p>
    <w:p w:rsidR="00F65D89" w:rsidRPr="00CF48F0" w:rsidP="00CF48F0" w14:paraId="40B38D2C" w14:textId="77777777">
      <w:pPr>
        <w:pStyle w:val="ListParagraph"/>
        <w:numPr>
          <w:ilvl w:val="0"/>
          <w:numId w:val="4"/>
        </w:numPr>
        <w:rPr>
          <w:rFonts w:ascii="Times New Roman" w:hAnsi="Times New Roman"/>
        </w:rPr>
      </w:pPr>
      <w:r w:rsidRPr="00CF48F0">
        <w:rPr>
          <w:rFonts w:ascii="Times New Roman" w:hAnsi="Times New Roman"/>
          <w:u w:val="single"/>
        </w:rPr>
        <w:t>Payment or Gift to Respondents</w:t>
      </w:r>
    </w:p>
    <w:p w:rsidR="00F65D89" w14:paraId="433B9D43" w14:textId="77777777">
      <w:pPr>
        <w:rPr>
          <w:rFonts w:ascii="Times New Roman" w:hAnsi="Times New Roman"/>
        </w:rPr>
      </w:pPr>
    </w:p>
    <w:p w:rsidR="00F65D89" w:rsidP="00AA321A" w14:paraId="610CE9BB" w14:textId="77777777">
      <w:pPr>
        <w:ind w:left="1440"/>
        <w:rPr>
          <w:rFonts w:ascii="Times New Roman" w:hAnsi="Times New Roman"/>
        </w:rPr>
      </w:pPr>
      <w:r>
        <w:rPr>
          <w:rFonts w:ascii="Times New Roman" w:hAnsi="Times New Roman"/>
        </w:rPr>
        <w:t>None.</w:t>
      </w:r>
    </w:p>
    <w:p w:rsidR="00CF48F0" w:rsidP="00CF48F0" w14:paraId="476F9555" w14:textId="77777777">
      <w:pPr>
        <w:ind w:left="720"/>
        <w:rPr>
          <w:rFonts w:ascii="Times New Roman" w:hAnsi="Times New Roman"/>
          <w:u w:val="single"/>
        </w:rPr>
      </w:pPr>
    </w:p>
    <w:p w:rsidR="00F65D89" w:rsidRPr="00CF48F0" w:rsidP="00CF48F0" w14:paraId="1EC0B506" w14:textId="77777777">
      <w:pPr>
        <w:pStyle w:val="ListParagraph"/>
        <w:numPr>
          <w:ilvl w:val="0"/>
          <w:numId w:val="4"/>
        </w:numPr>
        <w:rPr>
          <w:rFonts w:ascii="Times New Roman" w:hAnsi="Times New Roman"/>
        </w:rPr>
      </w:pPr>
      <w:r w:rsidRPr="00CF48F0">
        <w:rPr>
          <w:rFonts w:ascii="Times New Roman" w:hAnsi="Times New Roman"/>
          <w:u w:val="single"/>
        </w:rPr>
        <w:t>Confidentiality</w:t>
      </w:r>
    </w:p>
    <w:p w:rsidR="00F65D89" w14:paraId="61ED642B" w14:textId="77777777">
      <w:pPr>
        <w:rPr>
          <w:rFonts w:ascii="Times New Roman" w:hAnsi="Times New Roman"/>
        </w:rPr>
      </w:pPr>
    </w:p>
    <w:p w:rsidR="002D176E" w:rsidRPr="002D176E" w:rsidP="002D176E" w14:paraId="6B28C047" w14:textId="77777777">
      <w:pPr>
        <w:tabs>
          <w:tab w:val="left" w:pos="240"/>
          <w:tab w:val="left" w:pos="840"/>
          <w:tab w:val="left" w:pos="1440"/>
          <w:tab w:val="left" w:pos="2040"/>
          <w:tab w:val="left" w:pos="2640"/>
          <w:tab w:val="left" w:pos="3240"/>
          <w:tab w:val="left" w:pos="3840"/>
          <w:tab w:val="left" w:pos="4440"/>
        </w:tabs>
        <w:ind w:left="1440"/>
        <w:rPr>
          <w:rFonts w:ascii="Times New Roman" w:hAnsi="Times New Roman"/>
          <w:szCs w:val="24"/>
        </w:rPr>
      </w:pPr>
      <w:r w:rsidRPr="002D176E">
        <w:rPr>
          <w:rFonts w:ascii="Times New Roman" w:hAnsi="Times New Roman"/>
          <w:szCs w:val="24"/>
        </w:rPr>
        <w:t xml:space="preserve">Assets held by the FDIC </w:t>
      </w:r>
      <w:r w:rsidRPr="002D176E">
        <w:rPr>
          <w:rFonts w:ascii="Times New Roman" w:hAnsi="Times New Roman"/>
          <w:szCs w:val="24"/>
        </w:rPr>
        <w:t>in the course of</w:t>
      </w:r>
      <w:r w:rsidRPr="002D176E">
        <w:rPr>
          <w:rFonts w:ascii="Times New Roman" w:hAnsi="Times New Roman"/>
          <w:szCs w:val="24"/>
        </w:rPr>
        <w:t xml:space="preserve"> liquidating any covered financial company must not be sold to </w:t>
      </w:r>
      <w:r w:rsidRPr="002D176E">
        <w:rPr>
          <w:rFonts w:ascii="Times New Roman" w:hAnsi="Times New Roman"/>
          <w:szCs w:val="24"/>
        </w:rPr>
        <w:t>persons</w:t>
      </w:r>
      <w:r w:rsidRPr="002D176E">
        <w:rPr>
          <w:rFonts w:ascii="Times New Roman" w:hAnsi="Times New Roman"/>
          <w:szCs w:val="24"/>
        </w:rPr>
        <w:t xml:space="preserve"> who contributed to the demise of a covered financial company in specified ways (e.g., individuals who profited or engaged in wrongdoing at the expense of the failed </w:t>
      </w:r>
      <w:r w:rsidRPr="002D176E">
        <w:rPr>
          <w:rFonts w:ascii="Times New Roman" w:hAnsi="Times New Roman"/>
          <w:szCs w:val="24"/>
        </w:rPr>
        <w:t>institution, or</w:t>
      </w:r>
      <w:r w:rsidRPr="002D176E">
        <w:rPr>
          <w:rFonts w:ascii="Times New Roman" w:hAnsi="Times New Roman"/>
          <w:szCs w:val="24"/>
        </w:rPr>
        <w:t xml:space="preserve"> seriously mismanaged the failed institution).  12 CFR Part 380 requires prospective purchasers to complete and submit a </w:t>
      </w:r>
      <w:r w:rsidR="009121C3">
        <w:rPr>
          <w:rFonts w:ascii="Times New Roman" w:hAnsi="Times New Roman"/>
          <w:szCs w:val="24"/>
        </w:rPr>
        <w:t xml:space="preserve">PEC </w:t>
      </w:r>
      <w:r w:rsidRPr="002D176E">
        <w:rPr>
          <w:rFonts w:ascii="Times New Roman" w:hAnsi="Times New Roman"/>
          <w:szCs w:val="24"/>
        </w:rPr>
        <w:t xml:space="preserve">to the FDIC. The PEC is a self-certification by a prospective purchaser </w:t>
      </w:r>
      <w:r w:rsidRPr="002D176E">
        <w:rPr>
          <w:rFonts w:ascii="Times New Roman" w:hAnsi="Times New Roman"/>
          <w:szCs w:val="24"/>
        </w:rPr>
        <w:t>that it</w:t>
      </w:r>
      <w:r w:rsidRPr="002D176E">
        <w:rPr>
          <w:rFonts w:ascii="Times New Roman" w:hAnsi="Times New Roman"/>
          <w:szCs w:val="24"/>
        </w:rPr>
        <w:t xml:space="preserve"> does not fall into any of the categories of individuals or entities that are prohibited by statute or regulation from purchasing the assets of covered financial companies.  The PEC will be required in connection with the sale of assets by the FDIC, as receiver for a CFC, or the sale of assets by a BFC which requires the approval of the FDIC, as receiver for the predecessor CFC and as the sole shareholder of the BFC.</w:t>
      </w:r>
      <w:r>
        <w:rPr>
          <w:rFonts w:ascii="Times New Roman" w:hAnsi="Times New Roman"/>
          <w:szCs w:val="24"/>
        </w:rPr>
        <w:t xml:space="preserve">  The PEC indicates that </w:t>
      </w:r>
      <w:r w:rsidRPr="002D176E">
        <w:rPr>
          <w:rFonts w:ascii="Times New Roman" w:hAnsi="Times New Roman"/>
          <w:snapToGrid/>
          <w:color w:val="000000"/>
          <w:szCs w:val="24"/>
        </w:rPr>
        <w:t>information may be furnished to third parties as authorized by law and in accordance with any of the other routine uses described in the FDIC Potential Bidders List (</w:t>
      </w:r>
      <w:r w:rsidR="005141C3">
        <w:rPr>
          <w:rFonts w:ascii="Times New Roman" w:hAnsi="Times New Roman"/>
          <w:color w:val="000000"/>
          <w:szCs w:val="24"/>
        </w:rPr>
        <w:t>FDIC 30–64–0019</w:t>
      </w:r>
      <w:r w:rsidRPr="002D176E">
        <w:rPr>
          <w:rFonts w:ascii="Times New Roman" w:hAnsi="Times New Roman"/>
          <w:snapToGrid/>
          <w:color w:val="000000"/>
          <w:szCs w:val="24"/>
        </w:rPr>
        <w:t xml:space="preserve">) System of Records. </w:t>
      </w:r>
    </w:p>
    <w:p w:rsidR="002D176E" w:rsidP="002D176E" w14:paraId="15654AE6" w14:textId="77777777">
      <w:pPr>
        <w:widowControl/>
        <w:rPr>
          <w:rFonts w:ascii="Times New Roman" w:hAnsi="Times New Roman"/>
        </w:rPr>
      </w:pPr>
    </w:p>
    <w:p w:rsidR="002D176E" w:rsidRPr="002D176E" w:rsidP="002D176E" w14:paraId="69F70AA1" w14:textId="77777777">
      <w:pPr>
        <w:pStyle w:val="ListParagraph"/>
        <w:widowControl/>
        <w:numPr>
          <w:ilvl w:val="0"/>
          <w:numId w:val="4"/>
        </w:numPr>
        <w:rPr>
          <w:rFonts w:ascii="Times New Roman" w:hAnsi="Times New Roman"/>
        </w:rPr>
      </w:pPr>
      <w:r w:rsidRPr="002D176E">
        <w:rPr>
          <w:rFonts w:ascii="Times New Roman" w:hAnsi="Times New Roman"/>
          <w:u w:val="single"/>
        </w:rPr>
        <w:t xml:space="preserve">Information </w:t>
      </w:r>
      <w:r w:rsidRPr="002D176E">
        <w:rPr>
          <w:rFonts w:ascii="Times New Roman" w:hAnsi="Times New Roman"/>
          <w:u w:val="single"/>
        </w:rPr>
        <w:t>of</w:t>
      </w:r>
      <w:r w:rsidRPr="002D176E">
        <w:rPr>
          <w:rFonts w:ascii="Times New Roman" w:hAnsi="Times New Roman"/>
          <w:u w:val="single"/>
        </w:rPr>
        <w:t xml:space="preserve"> </w:t>
      </w:r>
      <w:r w:rsidRPr="002D176E">
        <w:rPr>
          <w:rFonts w:ascii="Times New Roman" w:hAnsi="Times New Roman"/>
          <w:u w:val="single"/>
        </w:rPr>
        <w:t>a Sensitive</w:t>
      </w:r>
      <w:r w:rsidRPr="002D176E">
        <w:rPr>
          <w:rFonts w:ascii="Times New Roman" w:hAnsi="Times New Roman"/>
          <w:u w:val="single"/>
        </w:rPr>
        <w:t xml:space="preserve"> Nature</w:t>
      </w:r>
    </w:p>
    <w:p w:rsidR="002D176E" w:rsidP="002D176E" w14:paraId="455FC1B7" w14:textId="77777777">
      <w:pPr>
        <w:widowControl/>
        <w:rPr>
          <w:rFonts w:ascii="Times New Roman" w:hAnsi="Times New Roman"/>
        </w:rPr>
      </w:pPr>
    </w:p>
    <w:p w:rsidR="002D176E" w:rsidRPr="009121C3" w:rsidP="002D176E" w14:paraId="059773A8" w14:textId="77777777">
      <w:pPr>
        <w:pStyle w:val="Default"/>
        <w:ind w:left="1440"/>
        <w:rPr>
          <w:rFonts w:ascii="Times New Roman" w:hAnsi="Times New Roman"/>
        </w:rPr>
      </w:pPr>
      <w:r w:rsidRPr="002D176E">
        <w:rPr>
          <w:rFonts w:ascii="Times New Roman" w:hAnsi="Times New Roman"/>
        </w:rPr>
        <w:t>The application requires sensitive information pertaining to a prospective purchaser.  This information includes Personally Identifiable Information (“PII”)</w:t>
      </w:r>
      <w:bookmarkStart w:id="0" w:name="_DV_M1"/>
      <w:bookmarkStart w:id="1" w:name="_DV_M2"/>
      <w:bookmarkEnd w:id="0"/>
      <w:bookmarkEnd w:id="1"/>
      <w:r>
        <w:rPr>
          <w:rFonts w:ascii="Times New Roman" w:hAnsi="Times New Roman"/>
          <w:vertAlign w:val="superscript"/>
        </w:rPr>
        <w:footnoteReference w:id="3"/>
      </w:r>
      <w:r w:rsidRPr="002D176E">
        <w:rPr>
          <w:rFonts w:ascii="Times New Roman" w:hAnsi="Times New Roman"/>
        </w:rPr>
        <w:t xml:space="preserve">, including name, address, telephone number and social security </w:t>
      </w:r>
      <w:r w:rsidRPr="009121C3">
        <w:rPr>
          <w:rFonts w:ascii="Times New Roman" w:hAnsi="Times New Roman"/>
        </w:rPr>
        <w:t xml:space="preserve">number. This information is necessary to assist the FDIC in identifying qualified potential purchasers and to solicit bids for assets.  </w:t>
      </w:r>
    </w:p>
    <w:p w:rsidR="002D176E" w:rsidRPr="009121C3" w:rsidP="002D176E" w14:paraId="1E3CB645" w14:textId="77777777">
      <w:pPr>
        <w:pStyle w:val="Default"/>
        <w:ind w:left="1440"/>
        <w:rPr>
          <w:rFonts w:ascii="Times New Roman" w:eastAsia="Times New Roman" w:hAnsi="Times New Roman"/>
        </w:rPr>
      </w:pPr>
    </w:p>
    <w:p w:rsidR="002D176E" w:rsidP="00E96B78" w14:paraId="1A293E6D" w14:textId="77777777">
      <w:pPr>
        <w:widowControl/>
        <w:ind w:left="1440"/>
        <w:rPr>
          <w:rFonts w:ascii="Times New Roman" w:hAnsi="Times New Roman"/>
          <w:szCs w:val="24"/>
        </w:rPr>
      </w:pPr>
      <w:r w:rsidRPr="004D060D">
        <w:rPr>
          <w:rFonts w:ascii="Times New Roman" w:eastAsia="Calibri" w:hAnsi="Times New Roman"/>
          <w:szCs w:val="24"/>
        </w:rPr>
        <w:t xml:space="preserve">The Systems of Records Notice associated with this collection </w:t>
      </w:r>
      <w:r w:rsidRPr="004D060D" w:rsidR="004D060D">
        <w:rPr>
          <w:rFonts w:ascii="Times New Roman" w:eastAsia="Calibri" w:hAnsi="Times New Roman"/>
          <w:szCs w:val="24"/>
        </w:rPr>
        <w:t>(</w:t>
      </w:r>
      <w:r w:rsidRPr="004D060D" w:rsidR="004D060D">
        <w:rPr>
          <w:rFonts w:ascii="Times New Roman" w:hAnsi="Times New Roman"/>
          <w:color w:val="000000"/>
          <w:szCs w:val="24"/>
        </w:rPr>
        <w:t>FDIC 30–64–0019 Potential Bidders List</w:t>
      </w:r>
      <w:r w:rsidRPr="004D060D" w:rsidR="004D060D">
        <w:rPr>
          <w:rFonts w:ascii="Times New Roman" w:eastAsia="Calibri" w:hAnsi="Times New Roman"/>
          <w:szCs w:val="24"/>
        </w:rPr>
        <w:t xml:space="preserve">) </w:t>
      </w:r>
      <w:r w:rsidRPr="004D060D">
        <w:rPr>
          <w:rFonts w:ascii="Times New Roman" w:eastAsia="Calibri" w:hAnsi="Times New Roman"/>
          <w:szCs w:val="24"/>
        </w:rPr>
        <w:t xml:space="preserve">may be viewed at the following link: </w:t>
      </w:r>
      <w:hyperlink r:id="rId6" w:history="1">
        <w:r w:rsidRPr="00814C3E" w:rsidR="002D4647">
          <w:rPr>
            <w:rStyle w:val="Hyperlink"/>
            <w:rFonts w:ascii="Times New Roman" w:hAnsi="Times New Roman"/>
            <w:szCs w:val="24"/>
          </w:rPr>
          <w:t>https://www.fdic.gov/policies/privacy/sorns.html</w:t>
        </w:r>
      </w:hyperlink>
      <w:r w:rsidR="002D4647">
        <w:rPr>
          <w:rFonts w:ascii="Times New Roman" w:hAnsi="Times New Roman"/>
          <w:szCs w:val="24"/>
        </w:rPr>
        <w:t xml:space="preserve"> </w:t>
      </w:r>
      <w:r w:rsidRPr="004D060D">
        <w:rPr>
          <w:rFonts w:ascii="Times New Roman" w:hAnsi="Times New Roman"/>
          <w:szCs w:val="24"/>
        </w:rPr>
        <w:t xml:space="preserve">applicable </w:t>
      </w:r>
      <w:r w:rsidRPr="004D060D">
        <w:rPr>
          <w:rFonts w:ascii="Times New Roman" w:eastAsia="Calibri" w:hAnsi="Times New Roman"/>
          <w:szCs w:val="24"/>
        </w:rPr>
        <w:t xml:space="preserve">Privacy Impact Assessment is </w:t>
      </w:r>
      <w:r w:rsidRPr="004D060D" w:rsidR="004D060D">
        <w:rPr>
          <w:rFonts w:ascii="Times New Roman" w:eastAsia="Calibri" w:hAnsi="Times New Roman"/>
          <w:szCs w:val="24"/>
        </w:rPr>
        <w:t xml:space="preserve">also </w:t>
      </w:r>
      <w:r w:rsidRPr="004D060D">
        <w:rPr>
          <w:rFonts w:ascii="Times New Roman" w:eastAsia="Calibri" w:hAnsi="Times New Roman"/>
          <w:szCs w:val="24"/>
        </w:rPr>
        <w:t xml:space="preserve">available at </w:t>
      </w:r>
      <w:hyperlink r:id="rId7" w:history="1">
        <w:r w:rsidRPr="005556AC" w:rsidR="00E96B78">
          <w:rPr>
            <w:rStyle w:val="Hyperlink"/>
            <w:rFonts w:ascii="Times New Roman" w:hAnsi="Times New Roman"/>
            <w:szCs w:val="24"/>
          </w:rPr>
          <w:t>https://www.fdic.gov/about/privacy/assessments.html</w:t>
        </w:r>
      </w:hyperlink>
      <w:r w:rsidRPr="004D060D" w:rsidR="004D060D">
        <w:rPr>
          <w:rFonts w:ascii="Times New Roman" w:hAnsi="Times New Roman"/>
          <w:szCs w:val="24"/>
        </w:rPr>
        <w:t>.</w:t>
      </w:r>
      <w:r w:rsidR="00E96B78">
        <w:rPr>
          <w:rFonts w:ascii="Times New Roman" w:hAnsi="Times New Roman"/>
          <w:szCs w:val="24"/>
        </w:rPr>
        <w:t xml:space="preserve"> </w:t>
      </w:r>
    </w:p>
    <w:p w:rsidR="004D060D" w:rsidP="009121C3" w14:paraId="3B4C8868" w14:textId="77777777">
      <w:pPr>
        <w:widowControl/>
        <w:ind w:left="1440"/>
        <w:rPr>
          <w:rFonts w:ascii="Times New Roman" w:hAnsi="Times New Roman"/>
          <w:szCs w:val="24"/>
        </w:rPr>
      </w:pPr>
    </w:p>
    <w:p w:rsidR="004D060D" w:rsidRPr="004D060D" w:rsidP="009121C3" w14:paraId="0219C917" w14:textId="77777777">
      <w:pPr>
        <w:widowControl/>
        <w:ind w:left="1440"/>
        <w:rPr>
          <w:rFonts w:ascii="Times New Roman" w:hAnsi="Times New Roman"/>
          <w:szCs w:val="24"/>
        </w:rPr>
      </w:pPr>
    </w:p>
    <w:p w:rsidR="00F65D89" w:rsidRPr="00AA321A" w:rsidP="00AA321A" w14:paraId="32441986" w14:textId="77777777">
      <w:pPr>
        <w:pStyle w:val="ListParagraph"/>
        <w:numPr>
          <w:ilvl w:val="0"/>
          <w:numId w:val="4"/>
        </w:numPr>
        <w:rPr>
          <w:rFonts w:ascii="Times New Roman" w:hAnsi="Times New Roman"/>
        </w:rPr>
      </w:pPr>
      <w:r w:rsidRPr="00AA321A">
        <w:rPr>
          <w:rFonts w:ascii="Times New Roman" w:hAnsi="Times New Roman"/>
          <w:u w:val="single"/>
        </w:rPr>
        <w:t>Estimate of Hour Burden and Annual Costs</w:t>
      </w:r>
      <w:r w:rsidRPr="00AA321A">
        <w:rPr>
          <w:rFonts w:ascii="Times New Roman" w:hAnsi="Times New Roman"/>
        </w:rPr>
        <w:tab/>
      </w:r>
    </w:p>
    <w:p w:rsidR="00F65D89" w14:paraId="7993FCED" w14:textId="77777777">
      <w:pPr>
        <w:rPr>
          <w:rFonts w:ascii="Times New Roman" w:hAnsi="Times New Roman"/>
        </w:rPr>
      </w:pPr>
      <w:r>
        <w:rPr>
          <w:rFonts w:ascii="Times New Roman" w:hAnsi="Times New Roman"/>
        </w:rPr>
        <w:tab/>
      </w:r>
    </w:p>
    <w:p w:rsidR="002746A7" w:rsidP="00AA321A" w14:paraId="3D5AF95F" w14:textId="77777777">
      <w:pPr>
        <w:rPr>
          <w:rFonts w:ascii="Times New Roman" w:hAnsi="Times New Roman"/>
        </w:rPr>
      </w:pPr>
      <w:r>
        <w:rPr>
          <w:rFonts w:ascii="Times New Roman" w:hAnsi="Times New Roman"/>
        </w:rPr>
        <w:tab/>
      </w:r>
      <w:r>
        <w:rPr>
          <w:rFonts w:ascii="Times New Roman" w:hAnsi="Times New Roman"/>
        </w:rPr>
        <w:tab/>
        <w:t>Number of respondents</w:t>
      </w:r>
      <w:r>
        <w:rPr>
          <w:rFonts w:ascii="Times New Roman" w:hAnsi="Times New Roman"/>
        </w:rPr>
        <w:t xml:space="preserve">:  </w:t>
      </w:r>
      <w:r w:rsidR="00F47717">
        <w:rPr>
          <w:rFonts w:ascii="Times New Roman" w:hAnsi="Times New Roman"/>
        </w:rPr>
        <w:t>66</w:t>
      </w:r>
    </w:p>
    <w:p w:rsidR="002746A7" w:rsidP="00AA321A" w14:paraId="661D934B" w14:textId="77777777">
      <w:pPr>
        <w:ind w:left="1440"/>
        <w:rPr>
          <w:rFonts w:ascii="Times New Roman" w:hAnsi="Times New Roman"/>
        </w:rPr>
      </w:pPr>
    </w:p>
    <w:p w:rsidR="002746A7" w:rsidP="00AA321A" w14:paraId="17A87FA9" w14:textId="77777777">
      <w:pPr>
        <w:ind w:left="1440"/>
        <w:rPr>
          <w:rFonts w:ascii="Times New Roman" w:hAnsi="Times New Roman"/>
        </w:rPr>
      </w:pPr>
      <w:r>
        <w:rPr>
          <w:rFonts w:ascii="Times New Roman" w:hAnsi="Times New Roman"/>
        </w:rPr>
        <w:t xml:space="preserve">Time per response: </w:t>
      </w:r>
      <w:r w:rsidR="00F47717">
        <w:rPr>
          <w:rFonts w:ascii="Times New Roman" w:hAnsi="Times New Roman"/>
        </w:rPr>
        <w:t xml:space="preserve">2 hours and 30 </w:t>
      </w:r>
      <w:r>
        <w:rPr>
          <w:rFonts w:ascii="Times New Roman" w:hAnsi="Times New Roman"/>
        </w:rPr>
        <w:t>minutes</w:t>
      </w:r>
      <w:r w:rsidR="00D56E75">
        <w:rPr>
          <w:rFonts w:ascii="Times New Roman" w:hAnsi="Times New Roman"/>
        </w:rPr>
        <w:t>.</w:t>
      </w:r>
    </w:p>
    <w:p w:rsidR="002746A7" w:rsidP="00AA321A" w14:paraId="363640F3" w14:textId="77777777">
      <w:pPr>
        <w:ind w:left="1440"/>
        <w:rPr>
          <w:rFonts w:ascii="Times New Roman" w:hAnsi="Times New Roman"/>
        </w:rPr>
      </w:pPr>
    </w:p>
    <w:p w:rsidR="002746A7" w:rsidP="00AA321A" w14:paraId="5A6679DA" w14:textId="77777777">
      <w:pPr>
        <w:ind w:left="1440"/>
        <w:rPr>
          <w:rFonts w:ascii="Times New Roman" w:hAnsi="Times New Roman"/>
        </w:rPr>
      </w:pPr>
      <w:r>
        <w:rPr>
          <w:rFonts w:ascii="Times New Roman" w:hAnsi="Times New Roman"/>
        </w:rPr>
        <w:t>Total annual burden</w:t>
      </w:r>
      <w:r>
        <w:rPr>
          <w:rFonts w:ascii="Times New Roman" w:hAnsi="Times New Roman"/>
        </w:rPr>
        <w:t xml:space="preserve">:  </w:t>
      </w:r>
      <w:r w:rsidR="00F47717">
        <w:rPr>
          <w:rFonts w:ascii="Times New Roman" w:hAnsi="Times New Roman"/>
        </w:rPr>
        <w:t>165</w:t>
      </w:r>
      <w:r w:rsidR="006204DC">
        <w:rPr>
          <w:rFonts w:ascii="Times New Roman" w:hAnsi="Times New Roman"/>
        </w:rPr>
        <w:t xml:space="preserve"> hours</w:t>
      </w:r>
      <w:r>
        <w:rPr>
          <w:rFonts w:ascii="Times New Roman" w:hAnsi="Times New Roman"/>
        </w:rPr>
        <w:t>.</w:t>
      </w:r>
    </w:p>
    <w:p w:rsidR="002746A7" w:rsidP="00AA321A" w14:paraId="285D764A" w14:textId="77777777">
      <w:pPr>
        <w:ind w:left="1440"/>
        <w:rPr>
          <w:rFonts w:ascii="Times New Roman" w:hAnsi="Times New Roman"/>
        </w:rPr>
      </w:pPr>
    </w:p>
    <w:p w:rsidR="00F65D89" w:rsidP="00AA321A" w14:paraId="248FC369" w14:textId="102148A3">
      <w:pPr>
        <w:ind w:left="1440"/>
        <w:rPr>
          <w:rFonts w:ascii="Times New Roman" w:hAnsi="Times New Roman"/>
        </w:rPr>
      </w:pPr>
      <w:r>
        <w:rPr>
          <w:rFonts w:ascii="Times New Roman" w:hAnsi="Times New Roman"/>
        </w:rPr>
        <w:t xml:space="preserve">Estimate of annualized cost: </w:t>
      </w:r>
      <w:r w:rsidR="00F47717">
        <w:rPr>
          <w:rFonts w:ascii="Times New Roman" w:hAnsi="Times New Roman"/>
        </w:rPr>
        <w:t>66</w:t>
      </w:r>
      <w:r>
        <w:rPr>
          <w:rFonts w:ascii="Times New Roman" w:hAnsi="Times New Roman"/>
        </w:rPr>
        <w:t xml:space="preserve"> response</w:t>
      </w:r>
      <w:r w:rsidR="00F36E69">
        <w:rPr>
          <w:rFonts w:ascii="Times New Roman" w:hAnsi="Times New Roman"/>
        </w:rPr>
        <w:t>s</w:t>
      </w:r>
      <w:r>
        <w:rPr>
          <w:rFonts w:ascii="Times New Roman" w:hAnsi="Times New Roman"/>
        </w:rPr>
        <w:t xml:space="preserve"> x </w:t>
      </w:r>
      <w:r w:rsidR="00F47717">
        <w:rPr>
          <w:rFonts w:ascii="Times New Roman" w:hAnsi="Times New Roman"/>
        </w:rPr>
        <w:t>2</w:t>
      </w:r>
      <w:r w:rsidR="000E2CAB">
        <w:rPr>
          <w:rFonts w:ascii="Times New Roman" w:hAnsi="Times New Roman"/>
        </w:rPr>
        <w:t>.5</w:t>
      </w:r>
      <w:r>
        <w:rPr>
          <w:rFonts w:ascii="Times New Roman" w:hAnsi="Times New Roman"/>
        </w:rPr>
        <w:t xml:space="preserve"> hour</w:t>
      </w:r>
      <w:r>
        <w:rPr>
          <w:rFonts w:ascii="Times New Roman" w:hAnsi="Times New Roman"/>
        </w:rPr>
        <w:t xml:space="preserve"> x $</w:t>
      </w:r>
      <w:r w:rsidR="00F36E69">
        <w:rPr>
          <w:rFonts w:ascii="Times New Roman" w:hAnsi="Times New Roman"/>
        </w:rPr>
        <w:t>8</w:t>
      </w:r>
      <w:r>
        <w:rPr>
          <w:rFonts w:ascii="Times New Roman" w:hAnsi="Times New Roman"/>
        </w:rPr>
        <w:t>0/hour = $</w:t>
      </w:r>
      <w:r w:rsidR="00F36E69">
        <w:rPr>
          <w:rFonts w:ascii="Times New Roman" w:hAnsi="Times New Roman"/>
        </w:rPr>
        <w:t>40</w:t>
      </w:r>
      <w:r w:rsidR="000E2CAB">
        <w:rPr>
          <w:rFonts w:ascii="Times New Roman" w:hAnsi="Times New Roman"/>
        </w:rPr>
        <w:t>0</w:t>
      </w:r>
      <w:r>
        <w:rPr>
          <w:rFonts w:ascii="Times New Roman" w:hAnsi="Times New Roman"/>
        </w:rPr>
        <w:t>.</w:t>
      </w:r>
      <w:r>
        <w:rPr>
          <w:rFonts w:ascii="Times New Roman" w:hAnsi="Times New Roman"/>
        </w:rPr>
        <w:tab/>
      </w:r>
    </w:p>
    <w:p w:rsidR="00535E22" w:rsidP="00AA321A" w14:paraId="3A485468" w14:textId="77777777">
      <w:pPr>
        <w:ind w:left="1440"/>
        <w:rPr>
          <w:rFonts w:ascii="Times New Roman" w:hAnsi="Times New Roman"/>
        </w:rPr>
      </w:pPr>
    </w:p>
    <w:tbl>
      <w:tblPr>
        <w:tblW w:w="9210" w:type="dxa"/>
        <w:jc w:val="center"/>
        <w:tblLook w:val="04A0"/>
      </w:tblPr>
      <w:tblGrid>
        <w:gridCol w:w="2310"/>
        <w:gridCol w:w="1280"/>
        <w:gridCol w:w="1180"/>
        <w:gridCol w:w="1100"/>
        <w:gridCol w:w="1060"/>
        <w:gridCol w:w="1060"/>
        <w:gridCol w:w="1220"/>
      </w:tblGrid>
      <w:tr w14:paraId="02F47E9A" w14:textId="77777777" w:rsidTr="00535E22">
        <w:tblPrEx>
          <w:tblW w:w="9210" w:type="dxa"/>
          <w:jc w:val="center"/>
          <w:tblLook w:val="04A0"/>
        </w:tblPrEx>
        <w:trPr>
          <w:trHeight w:val="300"/>
          <w:jc w:val="center"/>
        </w:trPr>
        <w:tc>
          <w:tcPr>
            <w:tcW w:w="9210" w:type="dxa"/>
            <w:gridSpan w:val="7"/>
            <w:tcBorders>
              <w:top w:val="single" w:sz="8" w:space="0" w:color="auto"/>
              <w:left w:val="single" w:sz="8" w:space="0" w:color="auto"/>
              <w:bottom w:val="single" w:sz="8" w:space="0" w:color="auto"/>
              <w:right w:val="single" w:sz="8" w:space="0" w:color="000000"/>
            </w:tcBorders>
            <w:noWrap/>
            <w:vAlign w:val="bottom"/>
            <w:hideMark/>
          </w:tcPr>
          <w:p w:rsidR="00535E22" w:rsidRPr="00535E22" w:rsidP="004A623D" w14:paraId="03DAFBA4" w14:textId="2978CAB9">
            <w:pPr>
              <w:widowControl/>
              <w:jc w:val="center"/>
              <w:rPr>
                <w:rFonts w:ascii="Times New Roman" w:hAnsi="Times New Roman"/>
                <w:b/>
                <w:bCs/>
                <w:snapToGrid/>
                <w:color w:val="000000"/>
                <w:sz w:val="16"/>
                <w:szCs w:val="16"/>
              </w:rPr>
            </w:pPr>
            <w:r w:rsidRPr="00535E22">
              <w:rPr>
                <w:rFonts w:ascii="Times New Roman" w:hAnsi="Times New Roman"/>
                <w:b/>
                <w:bCs/>
                <w:snapToGrid/>
                <w:color w:val="000000"/>
                <w:sz w:val="16"/>
                <w:szCs w:val="16"/>
              </w:rPr>
              <w:t>20</w:t>
            </w:r>
            <w:r w:rsidR="004A623D">
              <w:rPr>
                <w:rFonts w:ascii="Times New Roman" w:hAnsi="Times New Roman"/>
                <w:b/>
                <w:bCs/>
                <w:snapToGrid/>
                <w:color w:val="000000"/>
                <w:sz w:val="16"/>
                <w:szCs w:val="16"/>
              </w:rPr>
              <w:t>2</w:t>
            </w:r>
            <w:r w:rsidR="00DD0D50">
              <w:rPr>
                <w:rFonts w:ascii="Times New Roman" w:hAnsi="Times New Roman"/>
                <w:b/>
                <w:bCs/>
                <w:snapToGrid/>
                <w:color w:val="000000"/>
                <w:sz w:val="16"/>
                <w:szCs w:val="16"/>
              </w:rPr>
              <w:t>5</w:t>
            </w:r>
            <w:r w:rsidRPr="00535E22">
              <w:rPr>
                <w:rFonts w:ascii="Times New Roman" w:hAnsi="Times New Roman"/>
                <w:b/>
                <w:bCs/>
                <w:snapToGrid/>
                <w:color w:val="000000"/>
                <w:sz w:val="16"/>
                <w:szCs w:val="16"/>
              </w:rPr>
              <w:t xml:space="preserve"> Summary of Annual Burden and Internal Cost (3064-0194)</w:t>
            </w:r>
          </w:p>
        </w:tc>
      </w:tr>
      <w:tr w14:paraId="6489CE59" w14:textId="77777777" w:rsidTr="00535E22">
        <w:tblPrEx>
          <w:tblW w:w="9210" w:type="dxa"/>
          <w:jc w:val="center"/>
          <w:tblLook w:val="04A0"/>
        </w:tblPrEx>
        <w:trPr>
          <w:trHeight w:val="612"/>
          <w:jc w:val="center"/>
        </w:trPr>
        <w:tc>
          <w:tcPr>
            <w:tcW w:w="2310" w:type="dxa"/>
            <w:tcBorders>
              <w:top w:val="single" w:sz="4" w:space="0" w:color="auto"/>
              <w:left w:val="single" w:sz="4" w:space="0" w:color="auto"/>
              <w:bottom w:val="single" w:sz="4" w:space="0" w:color="auto"/>
              <w:right w:val="single" w:sz="4" w:space="0" w:color="auto"/>
            </w:tcBorders>
            <w:noWrap/>
            <w:vAlign w:val="bottom"/>
            <w:hideMark/>
          </w:tcPr>
          <w:p w:rsidR="00535E22" w:rsidRPr="00535E22" w:rsidP="00535E22" w14:paraId="78A97A03" w14:textId="77777777">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80" w:type="dxa"/>
            <w:tcBorders>
              <w:top w:val="single" w:sz="4" w:space="0" w:color="auto"/>
              <w:left w:val="nil"/>
              <w:bottom w:val="single" w:sz="4" w:space="0" w:color="auto"/>
              <w:right w:val="single" w:sz="4" w:space="0" w:color="auto"/>
            </w:tcBorders>
            <w:vAlign w:val="center"/>
            <w:hideMark/>
          </w:tcPr>
          <w:p w:rsidR="00535E22" w:rsidRPr="00535E22" w:rsidP="00535E22" w14:paraId="18BABB68"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Type of Burden</w:t>
            </w:r>
          </w:p>
        </w:tc>
        <w:tc>
          <w:tcPr>
            <w:tcW w:w="1180" w:type="dxa"/>
            <w:tcBorders>
              <w:top w:val="single" w:sz="4" w:space="0" w:color="auto"/>
              <w:left w:val="nil"/>
              <w:bottom w:val="single" w:sz="4" w:space="0" w:color="auto"/>
              <w:right w:val="single" w:sz="4" w:space="0" w:color="auto"/>
            </w:tcBorders>
            <w:vAlign w:val="center"/>
            <w:hideMark/>
          </w:tcPr>
          <w:p w:rsidR="00535E22" w:rsidRPr="00535E22" w:rsidP="00535E22" w14:paraId="4EB447FE"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Number of Respondents</w:t>
            </w:r>
          </w:p>
        </w:tc>
        <w:tc>
          <w:tcPr>
            <w:tcW w:w="1100" w:type="dxa"/>
            <w:tcBorders>
              <w:top w:val="single" w:sz="4" w:space="0" w:color="auto"/>
              <w:left w:val="nil"/>
              <w:bottom w:val="single" w:sz="4" w:space="0" w:color="auto"/>
              <w:right w:val="single" w:sz="4" w:space="0" w:color="auto"/>
            </w:tcBorders>
            <w:vAlign w:val="center"/>
            <w:hideMark/>
          </w:tcPr>
          <w:p w:rsidR="00535E22" w:rsidRPr="00535E22" w:rsidP="00535E22" w14:paraId="753AB27D"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Number of Responses</w:t>
            </w:r>
          </w:p>
        </w:tc>
        <w:tc>
          <w:tcPr>
            <w:tcW w:w="1060" w:type="dxa"/>
            <w:tcBorders>
              <w:top w:val="single" w:sz="4" w:space="0" w:color="auto"/>
              <w:left w:val="nil"/>
              <w:bottom w:val="single" w:sz="4" w:space="0" w:color="auto"/>
              <w:right w:val="single" w:sz="4" w:space="0" w:color="auto"/>
            </w:tcBorders>
            <w:vAlign w:val="center"/>
            <w:hideMark/>
          </w:tcPr>
          <w:p w:rsidR="00535E22" w:rsidRPr="00535E22" w:rsidP="00535E22" w14:paraId="67DE4FBB"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Time per Response</w:t>
            </w:r>
          </w:p>
        </w:tc>
        <w:tc>
          <w:tcPr>
            <w:tcW w:w="1060" w:type="dxa"/>
            <w:tcBorders>
              <w:top w:val="single" w:sz="4" w:space="0" w:color="auto"/>
              <w:left w:val="nil"/>
              <w:bottom w:val="single" w:sz="4" w:space="0" w:color="auto"/>
              <w:right w:val="single" w:sz="4" w:space="0" w:color="auto"/>
            </w:tcBorders>
            <w:vAlign w:val="center"/>
            <w:hideMark/>
          </w:tcPr>
          <w:p w:rsidR="00535E22" w:rsidRPr="00535E22" w:rsidP="00535E22" w14:paraId="56A5AF8B"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Frequency of Response</w:t>
            </w:r>
          </w:p>
        </w:tc>
        <w:tc>
          <w:tcPr>
            <w:tcW w:w="1220" w:type="dxa"/>
            <w:tcBorders>
              <w:top w:val="single" w:sz="4" w:space="0" w:color="auto"/>
              <w:left w:val="nil"/>
              <w:bottom w:val="single" w:sz="4" w:space="0" w:color="auto"/>
              <w:right w:val="single" w:sz="4" w:space="0" w:color="auto"/>
            </w:tcBorders>
            <w:vAlign w:val="center"/>
            <w:hideMark/>
          </w:tcPr>
          <w:p w:rsidR="00535E22" w:rsidRPr="00535E22" w:rsidP="00535E22" w14:paraId="2D4C55F1"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Total Annual Estimated Burden</w:t>
            </w:r>
          </w:p>
        </w:tc>
      </w:tr>
      <w:tr w14:paraId="0D73F269" w14:textId="77777777" w:rsidTr="00535E22">
        <w:tblPrEx>
          <w:tblW w:w="9210" w:type="dxa"/>
          <w:jc w:val="center"/>
          <w:tblLook w:val="04A0"/>
        </w:tblPrEx>
        <w:trPr>
          <w:trHeight w:val="408"/>
          <w:jc w:val="center"/>
        </w:trPr>
        <w:tc>
          <w:tcPr>
            <w:tcW w:w="2310" w:type="dxa"/>
            <w:tcBorders>
              <w:top w:val="nil"/>
              <w:left w:val="single" w:sz="4" w:space="0" w:color="auto"/>
              <w:bottom w:val="single" w:sz="4" w:space="0" w:color="auto"/>
              <w:right w:val="single" w:sz="4" w:space="0" w:color="auto"/>
            </w:tcBorders>
            <w:vAlign w:val="center"/>
            <w:hideMark/>
          </w:tcPr>
          <w:p w:rsidR="00535E22" w:rsidRPr="00535E22" w:rsidP="00535E22" w14:paraId="15BE1755" w14:textId="77777777">
            <w:pPr>
              <w:widowControl/>
              <w:rPr>
                <w:rFonts w:ascii="Times New Roman" w:hAnsi="Times New Roman"/>
                <w:b/>
                <w:bCs/>
                <w:snapToGrid/>
                <w:color w:val="000000"/>
                <w:sz w:val="16"/>
                <w:szCs w:val="16"/>
              </w:rPr>
            </w:pPr>
            <w:r w:rsidRPr="00535E22">
              <w:rPr>
                <w:rFonts w:ascii="Times New Roman" w:hAnsi="Times New Roman"/>
                <w:b/>
                <w:bCs/>
                <w:snapToGrid/>
                <w:color w:val="000000"/>
                <w:sz w:val="16"/>
                <w:szCs w:val="16"/>
              </w:rPr>
              <w:t>Covered Financial Company Asset Sales Purchaser Eligibility Certification</w:t>
            </w:r>
          </w:p>
        </w:tc>
        <w:tc>
          <w:tcPr>
            <w:tcW w:w="1280" w:type="dxa"/>
            <w:tcBorders>
              <w:top w:val="nil"/>
              <w:left w:val="nil"/>
              <w:bottom w:val="single" w:sz="4" w:space="0" w:color="auto"/>
              <w:right w:val="single" w:sz="4" w:space="0" w:color="auto"/>
            </w:tcBorders>
            <w:vAlign w:val="center"/>
            <w:hideMark/>
          </w:tcPr>
          <w:p w:rsidR="00535E22" w:rsidRPr="00535E22" w:rsidP="00535E22" w14:paraId="3891DA0B"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Reporting</w:t>
            </w:r>
          </w:p>
        </w:tc>
        <w:tc>
          <w:tcPr>
            <w:tcW w:w="1180" w:type="dxa"/>
            <w:tcBorders>
              <w:top w:val="nil"/>
              <w:left w:val="nil"/>
              <w:bottom w:val="single" w:sz="4" w:space="0" w:color="auto"/>
              <w:right w:val="single" w:sz="4" w:space="0" w:color="auto"/>
            </w:tcBorders>
            <w:vAlign w:val="center"/>
            <w:hideMark/>
          </w:tcPr>
          <w:p w:rsidR="00535E22" w:rsidRPr="00535E22" w:rsidP="00535E22" w14:paraId="4E669A62" w14:textId="77777777">
            <w:pPr>
              <w:widowControl/>
              <w:jc w:val="center"/>
              <w:rPr>
                <w:rFonts w:ascii="Times New Roman" w:hAnsi="Times New Roman"/>
                <w:snapToGrid/>
                <w:color w:val="000000"/>
                <w:sz w:val="16"/>
                <w:szCs w:val="16"/>
              </w:rPr>
            </w:pPr>
            <w:r>
              <w:rPr>
                <w:rFonts w:ascii="Times New Roman" w:hAnsi="Times New Roman"/>
                <w:snapToGrid/>
                <w:color w:val="000000"/>
                <w:sz w:val="16"/>
                <w:szCs w:val="16"/>
              </w:rPr>
              <w:t>66</w:t>
            </w:r>
          </w:p>
        </w:tc>
        <w:tc>
          <w:tcPr>
            <w:tcW w:w="1100" w:type="dxa"/>
            <w:tcBorders>
              <w:top w:val="nil"/>
              <w:left w:val="nil"/>
              <w:bottom w:val="single" w:sz="4" w:space="0" w:color="auto"/>
              <w:right w:val="single" w:sz="4" w:space="0" w:color="auto"/>
            </w:tcBorders>
            <w:vAlign w:val="center"/>
            <w:hideMark/>
          </w:tcPr>
          <w:p w:rsidR="00535E22" w:rsidRPr="00535E22" w:rsidP="00535E22" w14:paraId="513D78E4"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1</w:t>
            </w:r>
          </w:p>
        </w:tc>
        <w:tc>
          <w:tcPr>
            <w:tcW w:w="1060" w:type="dxa"/>
            <w:tcBorders>
              <w:top w:val="nil"/>
              <w:left w:val="nil"/>
              <w:bottom w:val="single" w:sz="4" w:space="0" w:color="auto"/>
              <w:right w:val="single" w:sz="4" w:space="0" w:color="auto"/>
            </w:tcBorders>
            <w:vAlign w:val="center"/>
            <w:hideMark/>
          </w:tcPr>
          <w:p w:rsidR="00535E22" w:rsidRPr="00535E22" w:rsidP="00535E22" w14:paraId="3E53B41F" w14:textId="77777777">
            <w:pPr>
              <w:widowControl/>
              <w:jc w:val="center"/>
              <w:rPr>
                <w:rFonts w:ascii="Times New Roman" w:hAnsi="Times New Roman"/>
                <w:snapToGrid/>
                <w:color w:val="000000"/>
                <w:sz w:val="16"/>
                <w:szCs w:val="16"/>
              </w:rPr>
            </w:pPr>
            <w:r>
              <w:rPr>
                <w:rFonts w:ascii="Times New Roman" w:hAnsi="Times New Roman"/>
                <w:snapToGrid/>
                <w:color w:val="000000"/>
                <w:sz w:val="16"/>
                <w:szCs w:val="16"/>
              </w:rPr>
              <w:t>2.5 hours</w:t>
            </w:r>
          </w:p>
        </w:tc>
        <w:tc>
          <w:tcPr>
            <w:tcW w:w="1060" w:type="dxa"/>
            <w:tcBorders>
              <w:top w:val="nil"/>
              <w:left w:val="nil"/>
              <w:bottom w:val="single" w:sz="4" w:space="0" w:color="auto"/>
              <w:right w:val="single" w:sz="4" w:space="0" w:color="auto"/>
            </w:tcBorders>
            <w:vAlign w:val="center"/>
            <w:hideMark/>
          </w:tcPr>
          <w:p w:rsidR="00535E22" w:rsidRPr="00535E22" w:rsidP="00535E22" w14:paraId="2C31D551"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Annual</w:t>
            </w:r>
          </w:p>
        </w:tc>
        <w:tc>
          <w:tcPr>
            <w:tcW w:w="1220" w:type="dxa"/>
            <w:tcBorders>
              <w:top w:val="nil"/>
              <w:left w:val="nil"/>
              <w:bottom w:val="single" w:sz="4" w:space="0" w:color="auto"/>
              <w:right w:val="single" w:sz="4" w:space="0" w:color="auto"/>
            </w:tcBorders>
            <w:vAlign w:val="center"/>
            <w:hideMark/>
          </w:tcPr>
          <w:p w:rsidR="00535E22" w:rsidRPr="00535E22" w:rsidP="00535E22" w14:paraId="0ED145EB" w14:textId="77777777">
            <w:pPr>
              <w:widowControl/>
              <w:jc w:val="center"/>
              <w:rPr>
                <w:rFonts w:ascii="Times New Roman" w:hAnsi="Times New Roman"/>
                <w:snapToGrid/>
                <w:color w:val="000000"/>
                <w:sz w:val="16"/>
                <w:szCs w:val="16"/>
              </w:rPr>
            </w:pPr>
            <w:r>
              <w:rPr>
                <w:rFonts w:ascii="Times New Roman" w:hAnsi="Times New Roman"/>
                <w:snapToGrid/>
                <w:color w:val="000000"/>
                <w:sz w:val="16"/>
                <w:szCs w:val="16"/>
              </w:rPr>
              <w:t>16</w:t>
            </w:r>
            <w:r w:rsidRPr="00535E22">
              <w:rPr>
                <w:rFonts w:ascii="Times New Roman" w:hAnsi="Times New Roman"/>
                <w:snapToGrid/>
                <w:color w:val="000000"/>
                <w:sz w:val="16"/>
                <w:szCs w:val="16"/>
              </w:rPr>
              <w:t>5</w:t>
            </w:r>
            <w:r w:rsidR="009121C3">
              <w:rPr>
                <w:rFonts w:ascii="Times New Roman" w:hAnsi="Times New Roman"/>
                <w:snapToGrid/>
                <w:color w:val="000000"/>
                <w:sz w:val="16"/>
                <w:szCs w:val="16"/>
              </w:rPr>
              <w:t xml:space="preserve"> hours</w:t>
            </w:r>
          </w:p>
        </w:tc>
      </w:tr>
      <w:tr w14:paraId="18332560" w14:textId="77777777" w:rsidTr="00535E22">
        <w:tblPrEx>
          <w:tblW w:w="9210" w:type="dxa"/>
          <w:jc w:val="center"/>
          <w:tblLook w:val="04A0"/>
        </w:tblPrEx>
        <w:trPr>
          <w:trHeight w:val="204"/>
          <w:jc w:val="center"/>
        </w:trPr>
        <w:tc>
          <w:tcPr>
            <w:tcW w:w="2310" w:type="dxa"/>
            <w:tcBorders>
              <w:top w:val="nil"/>
              <w:left w:val="single" w:sz="4" w:space="0" w:color="auto"/>
              <w:bottom w:val="single" w:sz="4" w:space="0" w:color="auto"/>
              <w:right w:val="single" w:sz="4" w:space="0" w:color="auto"/>
            </w:tcBorders>
            <w:vAlign w:val="bottom"/>
            <w:hideMark/>
          </w:tcPr>
          <w:p w:rsidR="00535E22" w:rsidRPr="00535E22" w:rsidP="00535E22" w14:paraId="342755CD" w14:textId="77777777">
            <w:pPr>
              <w:widowControl/>
              <w:jc w:val="right"/>
              <w:rPr>
                <w:rFonts w:ascii="Times New Roman" w:hAnsi="Times New Roman"/>
                <w:b/>
                <w:bCs/>
                <w:snapToGrid/>
                <w:color w:val="000000"/>
                <w:sz w:val="16"/>
                <w:szCs w:val="16"/>
              </w:rPr>
            </w:pPr>
            <w:r w:rsidRPr="00535E22">
              <w:rPr>
                <w:rFonts w:ascii="Times New Roman" w:hAnsi="Times New Roman"/>
                <w:b/>
                <w:bCs/>
                <w:snapToGrid/>
                <w:color w:val="000000"/>
                <w:sz w:val="16"/>
                <w:szCs w:val="16"/>
              </w:rPr>
              <w:t>TOTAL HOURLY BURDEN</w:t>
            </w:r>
          </w:p>
        </w:tc>
        <w:tc>
          <w:tcPr>
            <w:tcW w:w="1280" w:type="dxa"/>
            <w:tcBorders>
              <w:top w:val="nil"/>
              <w:left w:val="nil"/>
              <w:bottom w:val="single" w:sz="4" w:space="0" w:color="auto"/>
              <w:right w:val="single" w:sz="4" w:space="0" w:color="auto"/>
            </w:tcBorders>
            <w:vAlign w:val="bottom"/>
            <w:hideMark/>
          </w:tcPr>
          <w:p w:rsidR="00535E22" w:rsidRPr="00535E22" w:rsidP="00535E22" w14:paraId="64136107" w14:textId="77777777">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noWrap/>
            <w:vAlign w:val="bottom"/>
            <w:hideMark/>
          </w:tcPr>
          <w:p w:rsidR="00535E22" w:rsidRPr="00535E22" w:rsidP="00535E22" w14:paraId="567E354A"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100" w:type="dxa"/>
            <w:tcBorders>
              <w:top w:val="nil"/>
              <w:left w:val="nil"/>
              <w:bottom w:val="single" w:sz="4" w:space="0" w:color="auto"/>
              <w:right w:val="single" w:sz="4" w:space="0" w:color="auto"/>
            </w:tcBorders>
            <w:noWrap/>
            <w:vAlign w:val="bottom"/>
            <w:hideMark/>
          </w:tcPr>
          <w:p w:rsidR="00535E22" w:rsidRPr="00535E22" w:rsidP="00535E22" w14:paraId="42CF395D"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noWrap/>
            <w:vAlign w:val="bottom"/>
            <w:hideMark/>
          </w:tcPr>
          <w:p w:rsidR="00535E22" w:rsidRPr="00535E22" w:rsidP="00535E22" w14:paraId="22D88AB1"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noWrap/>
            <w:vAlign w:val="bottom"/>
            <w:hideMark/>
          </w:tcPr>
          <w:p w:rsidR="00535E22" w:rsidRPr="00535E22" w:rsidP="00535E22" w14:paraId="684D5CF9" w14:textId="77777777">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20" w:type="dxa"/>
            <w:tcBorders>
              <w:top w:val="nil"/>
              <w:left w:val="nil"/>
              <w:bottom w:val="single" w:sz="4" w:space="0" w:color="auto"/>
              <w:right w:val="single" w:sz="4" w:space="0" w:color="auto"/>
            </w:tcBorders>
            <w:noWrap/>
            <w:vAlign w:val="bottom"/>
            <w:hideMark/>
          </w:tcPr>
          <w:p w:rsidR="00535E22" w:rsidRPr="00535E22" w:rsidP="00535E22" w14:paraId="7AF4B0E4" w14:textId="77777777">
            <w:pPr>
              <w:widowControl/>
              <w:jc w:val="center"/>
              <w:rPr>
                <w:rFonts w:ascii="Times New Roman" w:hAnsi="Times New Roman"/>
                <w:snapToGrid/>
                <w:color w:val="000000"/>
                <w:sz w:val="16"/>
                <w:szCs w:val="16"/>
              </w:rPr>
            </w:pPr>
            <w:r>
              <w:rPr>
                <w:rFonts w:ascii="Times New Roman" w:hAnsi="Times New Roman"/>
                <w:snapToGrid/>
                <w:color w:val="000000"/>
                <w:sz w:val="16"/>
                <w:szCs w:val="16"/>
              </w:rPr>
              <w:t>16</w:t>
            </w:r>
            <w:r w:rsidRPr="00535E22">
              <w:rPr>
                <w:rFonts w:ascii="Times New Roman" w:hAnsi="Times New Roman"/>
                <w:snapToGrid/>
                <w:color w:val="000000"/>
                <w:sz w:val="16"/>
                <w:szCs w:val="16"/>
              </w:rPr>
              <w:t>5</w:t>
            </w:r>
          </w:p>
        </w:tc>
      </w:tr>
      <w:tr w14:paraId="0FE9117B" w14:textId="77777777" w:rsidTr="00535E22">
        <w:tblPrEx>
          <w:tblW w:w="9210" w:type="dxa"/>
          <w:jc w:val="center"/>
          <w:tblLook w:val="04A0"/>
        </w:tblPrEx>
        <w:trPr>
          <w:trHeight w:val="204"/>
          <w:jc w:val="center"/>
        </w:trPr>
        <w:tc>
          <w:tcPr>
            <w:tcW w:w="2310" w:type="dxa"/>
            <w:tcBorders>
              <w:top w:val="nil"/>
              <w:left w:val="single" w:sz="8" w:space="0" w:color="auto"/>
              <w:bottom w:val="single" w:sz="4" w:space="0" w:color="auto"/>
              <w:right w:val="single" w:sz="4" w:space="0" w:color="auto"/>
            </w:tcBorders>
            <w:vAlign w:val="bottom"/>
            <w:hideMark/>
          </w:tcPr>
          <w:p w:rsidR="00535E22" w:rsidRPr="00535E22" w:rsidP="00535E22" w14:paraId="7D2D81CD" w14:textId="77777777">
            <w:pPr>
              <w:widowControl/>
              <w:jc w:val="right"/>
              <w:rPr>
                <w:rFonts w:ascii="Times New Roman" w:hAnsi="Times New Roman"/>
                <w:b/>
                <w:bCs/>
                <w:snapToGrid/>
                <w:color w:val="000000"/>
                <w:sz w:val="16"/>
                <w:szCs w:val="16"/>
              </w:rPr>
            </w:pPr>
            <w:r w:rsidRPr="00535E22">
              <w:rPr>
                <w:rFonts w:ascii="Times New Roman" w:hAnsi="Times New Roman"/>
                <w:b/>
                <w:bCs/>
                <w:snapToGrid/>
                <w:color w:val="000000"/>
                <w:sz w:val="16"/>
                <w:szCs w:val="16"/>
              </w:rPr>
              <w:t>TOTAL INTERNAL COST*</w:t>
            </w:r>
          </w:p>
        </w:tc>
        <w:tc>
          <w:tcPr>
            <w:tcW w:w="1280" w:type="dxa"/>
            <w:tcBorders>
              <w:top w:val="nil"/>
              <w:left w:val="nil"/>
              <w:bottom w:val="single" w:sz="4" w:space="0" w:color="auto"/>
              <w:right w:val="single" w:sz="4" w:space="0" w:color="auto"/>
            </w:tcBorders>
            <w:vAlign w:val="bottom"/>
            <w:hideMark/>
          </w:tcPr>
          <w:p w:rsidR="00535E22" w:rsidRPr="00535E22" w:rsidP="00535E22" w14:paraId="55D9A2F0" w14:textId="77777777">
            <w:pPr>
              <w:widowControl/>
              <w:jc w:val="right"/>
              <w:rPr>
                <w:rFonts w:ascii="Times New Roman" w:hAnsi="Times New Roman"/>
                <w:snapToGrid/>
                <w:color w:val="000000"/>
                <w:sz w:val="16"/>
                <w:szCs w:val="16"/>
              </w:rPr>
            </w:pPr>
            <w:r>
              <w:rPr>
                <w:rFonts w:ascii="Times New Roman" w:hAnsi="Times New Roman"/>
                <w:snapToGrid/>
                <w:color w:val="000000"/>
                <w:sz w:val="16"/>
                <w:szCs w:val="16"/>
              </w:rPr>
              <w:t>$104.61</w:t>
            </w:r>
          </w:p>
        </w:tc>
        <w:tc>
          <w:tcPr>
            <w:tcW w:w="1180" w:type="dxa"/>
            <w:tcBorders>
              <w:top w:val="nil"/>
              <w:left w:val="nil"/>
              <w:bottom w:val="single" w:sz="4" w:space="0" w:color="auto"/>
              <w:right w:val="single" w:sz="4" w:space="0" w:color="auto"/>
            </w:tcBorders>
            <w:noWrap/>
            <w:vAlign w:val="bottom"/>
            <w:hideMark/>
          </w:tcPr>
          <w:p w:rsidR="00535E22" w:rsidRPr="00535E22" w:rsidP="00535E22" w14:paraId="194CA8A2" w14:textId="77777777">
            <w:pPr>
              <w:widowControl/>
              <w:rPr>
                <w:rFonts w:ascii="Times New Roman" w:hAnsi="Times New Roman"/>
                <w:snapToGrid/>
                <w:color w:val="000000"/>
                <w:sz w:val="16"/>
                <w:szCs w:val="16"/>
              </w:rPr>
            </w:pPr>
            <w:r w:rsidRPr="00535E22">
              <w:rPr>
                <w:rFonts w:ascii="Times New Roman" w:hAnsi="Times New Roman"/>
                <w:snapToGrid/>
                <w:color w:val="000000"/>
                <w:sz w:val="16"/>
                <w:szCs w:val="16"/>
              </w:rPr>
              <w:t>/HR</w:t>
            </w:r>
          </w:p>
        </w:tc>
        <w:tc>
          <w:tcPr>
            <w:tcW w:w="1100" w:type="dxa"/>
            <w:tcBorders>
              <w:top w:val="nil"/>
              <w:left w:val="nil"/>
              <w:bottom w:val="single" w:sz="4" w:space="0" w:color="auto"/>
              <w:right w:val="single" w:sz="4" w:space="0" w:color="auto"/>
            </w:tcBorders>
            <w:noWrap/>
            <w:vAlign w:val="bottom"/>
            <w:hideMark/>
          </w:tcPr>
          <w:p w:rsidR="00535E22" w:rsidRPr="00535E22" w:rsidP="00535E22" w14:paraId="2CEE015B" w14:textId="77777777">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noWrap/>
            <w:vAlign w:val="bottom"/>
            <w:hideMark/>
          </w:tcPr>
          <w:p w:rsidR="00535E22" w:rsidRPr="00535E22" w:rsidP="00535E22" w14:paraId="41B6C3DE" w14:textId="77777777">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sz="4" w:space="0" w:color="auto"/>
              <w:right w:val="single" w:sz="4" w:space="0" w:color="auto"/>
            </w:tcBorders>
            <w:noWrap/>
            <w:vAlign w:val="bottom"/>
            <w:hideMark/>
          </w:tcPr>
          <w:p w:rsidR="00535E22" w:rsidRPr="00535E22" w:rsidP="00535E22" w14:paraId="1B850440" w14:textId="77777777">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20" w:type="dxa"/>
            <w:tcBorders>
              <w:top w:val="nil"/>
              <w:left w:val="nil"/>
              <w:bottom w:val="single" w:sz="4" w:space="0" w:color="auto"/>
              <w:right w:val="single" w:sz="8" w:space="0" w:color="auto"/>
            </w:tcBorders>
            <w:noWrap/>
            <w:vAlign w:val="bottom"/>
            <w:hideMark/>
          </w:tcPr>
          <w:p w:rsidR="00535E22" w:rsidRPr="00535E22" w:rsidP="00535E22" w14:paraId="5900D49B" w14:textId="77777777">
            <w:pPr>
              <w:widowControl/>
              <w:jc w:val="center"/>
              <w:rPr>
                <w:rFonts w:ascii="Times New Roman" w:hAnsi="Times New Roman"/>
                <w:snapToGrid/>
                <w:color w:val="000000"/>
                <w:sz w:val="16"/>
                <w:szCs w:val="16"/>
              </w:rPr>
            </w:pPr>
            <w:r>
              <w:rPr>
                <w:rFonts w:ascii="Times New Roman" w:hAnsi="Times New Roman"/>
                <w:snapToGrid/>
                <w:color w:val="000000"/>
                <w:sz w:val="16"/>
                <w:szCs w:val="16"/>
              </w:rPr>
              <w:t>$17,261</w:t>
            </w:r>
          </w:p>
        </w:tc>
      </w:tr>
    </w:tbl>
    <w:p w:rsidR="00535E22" w:rsidRPr="00535E22" w:rsidP="00AA321A" w14:paraId="7B5066FC" w14:textId="77777777">
      <w:pPr>
        <w:ind w:left="1440"/>
        <w:rPr>
          <w:rFonts w:ascii="Times New Roman" w:hAnsi="Times New Roman"/>
          <w:b/>
        </w:rPr>
      </w:pPr>
    </w:p>
    <w:p w:rsidR="00F47717" w:rsidP="007008E6" w14:paraId="568BC071" w14:textId="4974FE32">
      <w:pPr>
        <w:ind w:left="720"/>
        <w:rPr>
          <w:rFonts w:ascii="Times New Roman" w:hAnsi="Times New Roman"/>
        </w:rPr>
      </w:pPr>
      <w:r w:rsidRPr="00F47717">
        <w:rPr>
          <w:rFonts w:ascii="Times New Roman" w:hAnsi="Times New Roman"/>
        </w:rPr>
        <w:t xml:space="preserve">This ICR covers </w:t>
      </w:r>
      <w:r w:rsidRPr="00F47717">
        <w:rPr>
          <w:rFonts w:ascii="Times New Roman" w:hAnsi="Times New Roman"/>
        </w:rPr>
        <w:t>persons</w:t>
      </w:r>
      <w:r w:rsidRPr="00F47717">
        <w:rPr>
          <w:rFonts w:ascii="Times New Roman" w:hAnsi="Times New Roman"/>
        </w:rPr>
        <w:t xml:space="preserve"> that bid on the assets of a failed institution that is liquidated under the orderly liquidation authority that Title II of the Dodd-Frank Wall Street Reform and Consumer Protection Act (Title II) grants to the FDIC. Another ICR covers </w:t>
      </w:r>
      <w:r w:rsidRPr="00F47717">
        <w:rPr>
          <w:rFonts w:ascii="Times New Roman" w:hAnsi="Times New Roman"/>
        </w:rPr>
        <w:t>persons</w:t>
      </w:r>
      <w:r w:rsidRPr="00F47717">
        <w:rPr>
          <w:rFonts w:ascii="Times New Roman" w:hAnsi="Times New Roman"/>
        </w:rPr>
        <w:t xml:space="preserve"> or entities that bid on the assets of other failed institutions.</w:t>
      </w:r>
      <w:r>
        <w:rPr>
          <w:rFonts w:ascii="Times New Roman" w:hAnsi="Times New Roman"/>
          <w:vertAlign w:val="superscript"/>
        </w:rPr>
        <w:footnoteReference w:id="4"/>
      </w:r>
      <w:r w:rsidRPr="00F47717">
        <w:rPr>
          <w:rFonts w:ascii="Times New Roman" w:hAnsi="Times New Roman"/>
        </w:rPr>
        <w:t xml:space="preserve"> To date, the FDIC has never exercised its Title II resolution authority. Thus, for purposes</w:t>
      </w:r>
      <w:r>
        <w:rPr>
          <w:rFonts w:ascii="Times New Roman" w:hAnsi="Times New Roman"/>
        </w:rPr>
        <w:t xml:space="preserve"> of this estimate FDIC </w:t>
      </w:r>
      <w:r w:rsidRPr="00F47717">
        <w:rPr>
          <w:rFonts w:ascii="Times New Roman" w:hAnsi="Times New Roman"/>
        </w:rPr>
        <w:t>assume</w:t>
      </w:r>
      <w:r>
        <w:rPr>
          <w:rFonts w:ascii="Times New Roman" w:hAnsi="Times New Roman"/>
        </w:rPr>
        <w:t>s</w:t>
      </w:r>
      <w:r w:rsidRPr="00F47717">
        <w:rPr>
          <w:rFonts w:ascii="Times New Roman" w:hAnsi="Times New Roman"/>
        </w:rPr>
        <w:t xml:space="preserve"> that one institution is subject to a Title II resolution annually as a placeholder to account for the possibility of a Title II resolution occurring over the three-year renewal cycle for this ICR. In the event of a Title II resolution, </w:t>
      </w:r>
      <w:r>
        <w:rPr>
          <w:rFonts w:ascii="Times New Roman" w:hAnsi="Times New Roman"/>
        </w:rPr>
        <w:t>FDIC</w:t>
      </w:r>
      <w:r w:rsidRPr="00F47717">
        <w:rPr>
          <w:rFonts w:ascii="Times New Roman" w:hAnsi="Times New Roman"/>
        </w:rPr>
        <w:t xml:space="preserve"> estimate</w:t>
      </w:r>
      <w:r>
        <w:rPr>
          <w:rFonts w:ascii="Times New Roman" w:hAnsi="Times New Roman"/>
        </w:rPr>
        <w:t>s</w:t>
      </w:r>
      <w:r w:rsidRPr="00F47717">
        <w:rPr>
          <w:rFonts w:ascii="Times New Roman" w:hAnsi="Times New Roman"/>
        </w:rPr>
        <w:t xml:space="preserve"> two types of sales: sales of </w:t>
      </w:r>
      <w:r>
        <w:rPr>
          <w:rFonts w:ascii="Times New Roman" w:hAnsi="Times New Roman"/>
        </w:rPr>
        <w:t>Covered Financial Company (“</w:t>
      </w:r>
      <w:r w:rsidRPr="00F47717">
        <w:rPr>
          <w:rFonts w:ascii="Times New Roman" w:hAnsi="Times New Roman"/>
        </w:rPr>
        <w:t>CFC</w:t>
      </w:r>
      <w:r>
        <w:rPr>
          <w:rFonts w:ascii="Times New Roman" w:hAnsi="Times New Roman"/>
        </w:rPr>
        <w:t xml:space="preserve">”) </w:t>
      </w:r>
      <w:r w:rsidRPr="00F47717">
        <w:rPr>
          <w:rFonts w:ascii="Times New Roman" w:hAnsi="Times New Roman"/>
        </w:rPr>
        <w:t xml:space="preserve">assets retained by the receivership (Asset Sales) and sales of subsidiaries, business lines </w:t>
      </w:r>
      <w:r>
        <w:rPr>
          <w:rFonts w:ascii="Times New Roman" w:hAnsi="Times New Roman"/>
        </w:rPr>
        <w:t>and other objects of sale by a B</w:t>
      </w:r>
      <w:r w:rsidRPr="00F47717">
        <w:rPr>
          <w:rFonts w:ascii="Times New Roman" w:hAnsi="Times New Roman"/>
        </w:rPr>
        <w:t xml:space="preserve">ridge Financial Company (BFC) (Entity Sales).  For </w:t>
      </w:r>
      <w:r w:rsidRPr="00F47717">
        <w:rPr>
          <w:rFonts w:ascii="Times New Roman" w:hAnsi="Times New Roman"/>
        </w:rPr>
        <w:t>the Asset</w:t>
      </w:r>
      <w:r w:rsidRPr="00F47717">
        <w:rPr>
          <w:rFonts w:ascii="Times New Roman" w:hAnsi="Times New Roman"/>
        </w:rPr>
        <w:t xml:space="preserve"> Sales, the </w:t>
      </w:r>
      <w:r>
        <w:rPr>
          <w:rFonts w:ascii="Times New Roman" w:hAnsi="Times New Roman"/>
        </w:rPr>
        <w:t>FDIC</w:t>
      </w:r>
      <w:r w:rsidRPr="00F47717">
        <w:rPr>
          <w:rFonts w:ascii="Times New Roman" w:hAnsi="Times New Roman"/>
        </w:rPr>
        <w:t xml:space="preserve"> estimate</w:t>
      </w:r>
      <w:r>
        <w:rPr>
          <w:rFonts w:ascii="Times New Roman" w:hAnsi="Times New Roman"/>
        </w:rPr>
        <w:t>s</w:t>
      </w:r>
      <w:r w:rsidRPr="00F47717">
        <w:rPr>
          <w:rFonts w:ascii="Times New Roman" w:hAnsi="Times New Roman"/>
        </w:rPr>
        <w:t xml:space="preserve"> that two distinct asset sales for the CFC will occur post-failure and that </w:t>
      </w:r>
      <w:r w:rsidRPr="00F47717">
        <w:rPr>
          <w:rFonts w:ascii="Times New Roman" w:hAnsi="Times New Roman"/>
        </w:rPr>
        <w:t>both of these</w:t>
      </w:r>
      <w:r w:rsidRPr="00F47717">
        <w:rPr>
          <w:rFonts w:ascii="Times New Roman" w:hAnsi="Times New Roman"/>
        </w:rPr>
        <w:t xml:space="preserve"> sales will receive </w:t>
      </w:r>
      <w:r>
        <w:rPr>
          <w:rFonts w:ascii="Times New Roman" w:hAnsi="Times New Roman"/>
        </w:rPr>
        <w:t>six</w:t>
      </w:r>
      <w:r w:rsidRPr="00F47717">
        <w:rPr>
          <w:rFonts w:ascii="Times New Roman" w:hAnsi="Times New Roman"/>
        </w:rPr>
        <w:t xml:space="preserve"> bids. </w:t>
      </w:r>
      <w:r>
        <w:rPr>
          <w:rFonts w:ascii="Times New Roman" w:hAnsi="Times New Roman"/>
        </w:rPr>
        <w:t>The FDIC</w:t>
      </w:r>
      <w:r w:rsidRPr="00F47717">
        <w:rPr>
          <w:rFonts w:ascii="Times New Roman" w:hAnsi="Times New Roman"/>
        </w:rPr>
        <w:t xml:space="preserve"> estimate</w:t>
      </w:r>
      <w:r>
        <w:rPr>
          <w:rFonts w:ascii="Times New Roman" w:hAnsi="Times New Roman"/>
        </w:rPr>
        <w:t>s</w:t>
      </w:r>
      <w:r w:rsidRPr="00F47717">
        <w:rPr>
          <w:rFonts w:ascii="Times New Roman" w:hAnsi="Times New Roman"/>
        </w:rPr>
        <w:t xml:space="preserve"> that three distinct Entity Sales for the BFC will occur and that each of these sales will receive 1</w:t>
      </w:r>
      <w:r w:rsidR="007008E6">
        <w:rPr>
          <w:rFonts w:ascii="Times New Roman" w:hAnsi="Times New Roman"/>
        </w:rPr>
        <w:t xml:space="preserve">8 </w:t>
      </w:r>
      <w:r w:rsidRPr="00F47717">
        <w:rPr>
          <w:rFonts w:ascii="Times New Roman" w:hAnsi="Times New Roman"/>
        </w:rPr>
        <w:t xml:space="preserve">bids. Although some bidders may </w:t>
      </w:r>
      <w:r w:rsidR="007008E6">
        <w:rPr>
          <w:rFonts w:ascii="Times New Roman" w:hAnsi="Times New Roman"/>
        </w:rPr>
        <w:t>submit bids in multiple sales, because the information in the Purchaser Eligibility Certification is identical for the bidder in each case, FDIC assumes</w:t>
      </w:r>
      <w:r w:rsidRPr="00F47717">
        <w:rPr>
          <w:rFonts w:ascii="Times New Roman" w:hAnsi="Times New Roman"/>
        </w:rPr>
        <w:t xml:space="preserve"> that each bid represents a unique respondent. Therefore, </w:t>
      </w:r>
      <w:r w:rsidR="007008E6">
        <w:rPr>
          <w:rFonts w:ascii="Times New Roman" w:hAnsi="Times New Roman"/>
        </w:rPr>
        <w:t>FDIC’s</w:t>
      </w:r>
      <w:r w:rsidRPr="00F47717">
        <w:rPr>
          <w:rFonts w:ascii="Times New Roman" w:hAnsi="Times New Roman"/>
        </w:rPr>
        <w:t xml:space="preserve"> estimate for annual number of respondents is 66.</w:t>
      </w:r>
      <w:r>
        <w:rPr>
          <w:rFonts w:ascii="Times New Roman" w:hAnsi="Times New Roman"/>
          <w:vertAlign w:val="superscript"/>
        </w:rPr>
        <w:footnoteReference w:id="5"/>
      </w:r>
      <w:r w:rsidRPr="00F47717">
        <w:rPr>
          <w:rFonts w:ascii="Times New Roman" w:hAnsi="Times New Roman"/>
        </w:rPr>
        <w:t xml:space="preserve"> </w:t>
      </w:r>
    </w:p>
    <w:p w:rsidR="007008E6" w:rsidP="007008E6" w14:paraId="4A62824C" w14:textId="77777777">
      <w:pPr>
        <w:ind w:left="720"/>
        <w:rPr>
          <w:rFonts w:ascii="Times New Roman" w:hAnsi="Times New Roman"/>
        </w:rPr>
      </w:pPr>
    </w:p>
    <w:p w:rsidR="007008E6" w:rsidRPr="007008E6" w:rsidP="007008E6" w14:paraId="402D6FE2" w14:textId="77777777">
      <w:pPr>
        <w:ind w:left="720"/>
        <w:rPr>
          <w:rFonts w:ascii="Times New Roman" w:hAnsi="Times New Roman"/>
          <w:b/>
        </w:rPr>
      </w:pPr>
      <w:r w:rsidRPr="007008E6">
        <w:rPr>
          <w:rFonts w:ascii="Times New Roman" w:hAnsi="Times New Roman"/>
          <w:b/>
        </w:rPr>
        <w:t>Hourly Burden Cost Estimate</w:t>
      </w:r>
    </w:p>
    <w:p w:rsidR="007008E6" w:rsidRPr="007008E6" w:rsidP="007008E6" w14:paraId="2A29F583" w14:textId="77777777">
      <w:pPr>
        <w:ind w:left="720"/>
        <w:rPr>
          <w:rFonts w:ascii="Times New Roman" w:hAnsi="Times New Roman"/>
        </w:rPr>
      </w:pPr>
    </w:p>
    <w:p w:rsidR="007008E6" w:rsidP="007008E6" w14:paraId="26BC7636" w14:textId="77777777">
      <w:pPr>
        <w:ind w:left="720"/>
        <w:rPr>
          <w:rFonts w:ascii="Times New Roman" w:hAnsi="Times New Roman"/>
        </w:rPr>
      </w:pPr>
      <w:r w:rsidRPr="007008E6">
        <w:rPr>
          <w:rFonts w:ascii="Times New Roman" w:hAnsi="Times New Roman"/>
        </w:rPr>
        <w:t xml:space="preserve">To estimate the average hourly compliance </w:t>
      </w:r>
      <w:r>
        <w:rPr>
          <w:rFonts w:ascii="Times New Roman" w:hAnsi="Times New Roman"/>
        </w:rPr>
        <w:t>cost, FDIC</w:t>
      </w:r>
      <w:r w:rsidRPr="007008E6">
        <w:rPr>
          <w:rFonts w:ascii="Times New Roman" w:hAnsi="Times New Roman"/>
        </w:rPr>
        <w:t xml:space="preserve"> use</w:t>
      </w:r>
      <w:r>
        <w:rPr>
          <w:rFonts w:ascii="Times New Roman" w:hAnsi="Times New Roman"/>
        </w:rPr>
        <w:t>s</w:t>
      </w:r>
      <w:r w:rsidRPr="007008E6">
        <w:rPr>
          <w:rFonts w:ascii="Times New Roman" w:hAnsi="Times New Roman"/>
        </w:rPr>
        <w:t xml:space="preserve"> the 75th percentile hourly wages reported by the Bureau of Labor Statistics (BLS) National Industry-Specific Occupational Employment and Wage Estimates (OEWS) for the relevant occupations in the Depository Credit Intermediation sector. However, the latest </w:t>
      </w:r>
      <w:r w:rsidRPr="007008E6">
        <w:rPr>
          <w:rFonts w:ascii="Times New Roman" w:hAnsi="Times New Roman"/>
        </w:rPr>
        <w:t xml:space="preserve">OEWS wage data are as of May 2022 and do not include non-wage compensation. To adjust these wages for use in the memo, </w:t>
      </w:r>
      <w:r>
        <w:rPr>
          <w:rFonts w:ascii="Times New Roman" w:hAnsi="Times New Roman"/>
        </w:rPr>
        <w:t>FDCI multiplies</w:t>
      </w:r>
      <w:r w:rsidRPr="007008E6">
        <w:rPr>
          <w:rFonts w:ascii="Times New Roman" w:hAnsi="Times New Roman"/>
        </w:rPr>
        <w:t xml:space="preserve"> the OEWS hourly wages by approximately 1.51 to account for non-wage compensation, using the BLS Employer Cost of Employee Compensation (ECEC) data as of March 2022 (the latest published release prior to the OEWS wage data). I</w:t>
      </w:r>
      <w:r>
        <w:rPr>
          <w:rFonts w:ascii="Times New Roman" w:hAnsi="Times New Roman"/>
        </w:rPr>
        <w:t>t then multiplies</w:t>
      </w:r>
      <w:r w:rsidRPr="007008E6">
        <w:rPr>
          <w:rFonts w:ascii="Times New Roman" w:hAnsi="Times New Roman"/>
        </w:rPr>
        <w:t xml:space="preserve"> the resulting compensation rates by approximately 1.05 to account for the change in the seasonally adjusted Employment Cost Index for the Credit Intermediation and Related Activities sector (NAICS Code 522) between March 2022 and March 2023. The estimated weighted average hourly compensation rate increased by $22.99 per hour to $104.61 per hour, relative to the 2021 submission, due to changes to the labor distribution relative to the 2021 submission. The percentage share for financial analysts declined by 10 percent to a 70 percent share and the percentage share for lawyers increased by 10 percent to a 10 percent share. Net growth in estimated compensation rates for the relevant occupations also contributed to the increase in the weighted average hourly compliance cost.</w:t>
      </w:r>
    </w:p>
    <w:p w:rsidR="00B973A4" w:rsidRPr="007008E6" w:rsidP="007008E6" w14:paraId="270FC45E" w14:textId="77777777">
      <w:pPr>
        <w:ind w:left="720"/>
        <w:rPr>
          <w:rFonts w:ascii="Times New Roman" w:hAnsi="Times New Roman"/>
        </w:rPr>
      </w:pPr>
    </w:p>
    <w:tbl>
      <w:tblPr>
        <w:tblW w:w="10180" w:type="dxa"/>
        <w:tblLook w:val="04A0"/>
      </w:tblPr>
      <w:tblGrid>
        <w:gridCol w:w="2122"/>
        <w:gridCol w:w="862"/>
        <w:gridCol w:w="1000"/>
        <w:gridCol w:w="1000"/>
        <w:gridCol w:w="920"/>
        <w:gridCol w:w="1000"/>
        <w:gridCol w:w="957"/>
        <w:gridCol w:w="900"/>
        <w:gridCol w:w="1420"/>
      </w:tblGrid>
      <w:tr w14:paraId="7DFD98EA" w14:textId="77777777" w:rsidTr="00467BD7">
        <w:tblPrEx>
          <w:tblW w:w="10180" w:type="dxa"/>
          <w:tblLook w:val="04A0"/>
        </w:tblPrEx>
        <w:trPr>
          <w:trHeight w:val="360"/>
        </w:trPr>
        <w:tc>
          <w:tcPr>
            <w:tcW w:w="10180" w:type="dxa"/>
            <w:gridSpan w:val="9"/>
            <w:tcBorders>
              <w:top w:val="single" w:sz="8" w:space="0" w:color="auto"/>
              <w:left w:val="single" w:sz="8" w:space="0" w:color="auto"/>
              <w:bottom w:val="single" w:sz="8" w:space="0" w:color="auto"/>
              <w:right w:val="single" w:sz="8" w:space="0" w:color="auto"/>
            </w:tcBorders>
            <w:noWrap/>
            <w:vAlign w:val="bottom"/>
            <w:hideMark/>
          </w:tcPr>
          <w:p w:rsidR="00B973A4" w:rsidRPr="00B973A4" w:rsidP="00B973A4" w14:paraId="22ED2051" w14:textId="77777777">
            <w:pPr>
              <w:widowControl/>
              <w:jc w:val="center"/>
              <w:rPr>
                <w:rFonts w:ascii="Times New Roman" w:hAnsi="Times New Roman"/>
                <w:snapToGrid/>
                <w:color w:val="000000"/>
                <w:szCs w:val="24"/>
              </w:rPr>
            </w:pPr>
            <w:r w:rsidRPr="00B973A4">
              <w:rPr>
                <w:rFonts w:ascii="Times New Roman" w:hAnsi="Times New Roman"/>
                <w:snapToGrid/>
                <w:color w:val="000000"/>
                <w:szCs w:val="24"/>
              </w:rPr>
              <w:t>Table 2. Summary of Hourly Burden Cost Estimate (OMB No. 3064-0194)</w:t>
            </w:r>
          </w:p>
        </w:tc>
      </w:tr>
      <w:tr w14:paraId="01B15477" w14:textId="77777777" w:rsidTr="00467BD7">
        <w:tblPrEx>
          <w:tblW w:w="10180" w:type="dxa"/>
          <w:tblLook w:val="04A0"/>
        </w:tblPrEx>
        <w:trPr>
          <w:trHeight w:val="600"/>
        </w:trPr>
        <w:tc>
          <w:tcPr>
            <w:tcW w:w="2582"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04E052E1" w14:textId="77777777">
            <w:pPr>
              <w:widowControl/>
              <w:rPr>
                <w:rFonts w:ascii="Times New Roman" w:hAnsi="Times New Roman"/>
                <w:snapToGrid/>
                <w:color w:val="000000"/>
                <w:sz w:val="20"/>
              </w:rPr>
            </w:pPr>
            <w:r w:rsidRPr="00B973A4">
              <w:rPr>
                <w:rFonts w:ascii="Times New Roman" w:hAnsi="Times New Roman"/>
                <w:snapToGrid/>
                <w:color w:val="000000"/>
                <w:sz w:val="20"/>
              </w:rPr>
              <w:t xml:space="preserve">Information Collection (Obligation to Respond) </w:t>
            </w:r>
          </w:p>
        </w:tc>
        <w:tc>
          <w:tcPr>
            <w:tcW w:w="880"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2CD83D9C"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 xml:space="preserve">Hourly Weight </w:t>
            </w:r>
            <w:r w:rsidRPr="00B973A4">
              <w:rPr>
                <w:rFonts w:ascii="Times New Roman" w:hAnsi="Times New Roman"/>
                <w:snapToGrid/>
                <w:color w:val="000000"/>
                <w:sz w:val="20"/>
              </w:rPr>
              <w:br/>
              <w:t>(%)</w:t>
            </w:r>
          </w:p>
        </w:tc>
        <w:tc>
          <w:tcPr>
            <w:tcW w:w="5298"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B973A4" w:rsidRPr="00B973A4" w:rsidP="00B973A4" w14:paraId="7EC0422A"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 xml:space="preserve">Percentage Shares of Hours Spent by and </w:t>
            </w:r>
            <w:r w:rsidRPr="00B973A4">
              <w:rPr>
                <w:rFonts w:ascii="Times New Roman" w:hAnsi="Times New Roman"/>
                <w:snapToGrid/>
                <w:color w:val="000000"/>
                <w:sz w:val="20"/>
              </w:rPr>
              <w:br/>
              <w:t xml:space="preserve">Hourly Compensation Rates for each Occupation Group </w:t>
            </w:r>
            <w:r w:rsidRPr="00B973A4">
              <w:rPr>
                <w:rFonts w:ascii="Times New Roman" w:hAnsi="Times New Roman"/>
                <w:snapToGrid/>
                <w:color w:val="000000"/>
                <w:sz w:val="20"/>
              </w:rPr>
              <w:br/>
              <w:t>(by Collection)</w:t>
            </w:r>
          </w:p>
        </w:tc>
        <w:tc>
          <w:tcPr>
            <w:tcW w:w="1420"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30B743D0"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Estimated Hourly Compensation Rate</w:t>
            </w:r>
          </w:p>
        </w:tc>
      </w:tr>
      <w:tr w14:paraId="59BB8B86" w14:textId="77777777" w:rsidTr="00467BD7">
        <w:tblPrEx>
          <w:tblW w:w="10180" w:type="dxa"/>
          <w:tblLook w:val="04A0"/>
        </w:tblPrEx>
        <w:trPr>
          <w:trHeight w:val="865"/>
        </w:trPr>
        <w:tc>
          <w:tcPr>
            <w:tcW w:w="2582" w:type="dxa"/>
            <w:vMerge/>
            <w:tcBorders>
              <w:top w:val="nil"/>
              <w:left w:val="single" w:sz="8" w:space="0" w:color="auto"/>
              <w:bottom w:val="single" w:sz="8" w:space="0" w:color="auto"/>
              <w:right w:val="single" w:sz="8" w:space="0" w:color="auto"/>
            </w:tcBorders>
            <w:vAlign w:val="center"/>
            <w:hideMark/>
          </w:tcPr>
          <w:p w:rsidR="00B973A4" w:rsidRPr="00B973A4" w:rsidP="00B973A4" w14:paraId="0B01FACD" w14:textId="77777777">
            <w:pPr>
              <w:widowControl/>
              <w:rPr>
                <w:rFonts w:ascii="Times New Roman" w:hAnsi="Times New Roman"/>
                <w:snapToGrid/>
                <w:color w:val="000000"/>
                <w:sz w:val="20"/>
              </w:rPr>
            </w:pPr>
          </w:p>
        </w:tc>
        <w:tc>
          <w:tcPr>
            <w:tcW w:w="880" w:type="dxa"/>
            <w:vMerge/>
            <w:tcBorders>
              <w:top w:val="nil"/>
              <w:left w:val="single" w:sz="8" w:space="0" w:color="auto"/>
              <w:bottom w:val="single" w:sz="8" w:space="0" w:color="auto"/>
              <w:right w:val="single" w:sz="8" w:space="0" w:color="auto"/>
            </w:tcBorders>
            <w:vAlign w:val="center"/>
            <w:hideMark/>
          </w:tcPr>
          <w:p w:rsidR="00B973A4" w:rsidRPr="00B973A4" w:rsidP="00B973A4" w14:paraId="65FF4C56" w14:textId="77777777">
            <w:pPr>
              <w:widowControl/>
              <w:rPr>
                <w:rFonts w:ascii="Times New Roman" w:hAnsi="Times New Roman"/>
                <w:snapToGrid/>
                <w:color w:val="000000"/>
                <w:sz w:val="20"/>
              </w:rPr>
            </w:pPr>
          </w:p>
        </w:tc>
        <w:tc>
          <w:tcPr>
            <w:tcW w:w="5298" w:type="dxa"/>
            <w:gridSpan w:val="6"/>
            <w:vMerge/>
            <w:tcBorders>
              <w:top w:val="single" w:sz="8" w:space="0" w:color="auto"/>
              <w:left w:val="single" w:sz="8" w:space="0" w:color="auto"/>
              <w:bottom w:val="single" w:sz="8" w:space="0" w:color="auto"/>
              <w:right w:val="single" w:sz="8" w:space="0" w:color="auto"/>
            </w:tcBorders>
            <w:vAlign w:val="center"/>
            <w:hideMark/>
          </w:tcPr>
          <w:p w:rsidR="00B973A4" w:rsidRPr="00B973A4" w:rsidP="00B973A4" w14:paraId="0E20631E" w14:textId="77777777">
            <w:pPr>
              <w:widowControl/>
              <w:rPr>
                <w:rFonts w:ascii="Times New Roman" w:hAnsi="Times New Roman"/>
                <w:snapToGrid/>
                <w:color w:val="000000"/>
                <w:sz w:val="20"/>
              </w:rPr>
            </w:pPr>
          </w:p>
        </w:tc>
        <w:tc>
          <w:tcPr>
            <w:tcW w:w="1420" w:type="dxa"/>
            <w:vMerge/>
            <w:tcBorders>
              <w:top w:val="nil"/>
              <w:left w:val="single" w:sz="8" w:space="0" w:color="auto"/>
              <w:bottom w:val="single" w:sz="8" w:space="0" w:color="auto"/>
              <w:right w:val="single" w:sz="8" w:space="0" w:color="auto"/>
            </w:tcBorders>
            <w:vAlign w:val="center"/>
            <w:hideMark/>
          </w:tcPr>
          <w:p w:rsidR="00B973A4" w:rsidRPr="00B973A4" w:rsidP="00B973A4" w14:paraId="0B871EF6" w14:textId="77777777">
            <w:pPr>
              <w:widowControl/>
              <w:rPr>
                <w:rFonts w:ascii="Times New Roman" w:hAnsi="Times New Roman"/>
                <w:snapToGrid/>
                <w:color w:val="000000"/>
                <w:sz w:val="20"/>
              </w:rPr>
            </w:pPr>
          </w:p>
        </w:tc>
      </w:tr>
      <w:tr w14:paraId="6533C15D" w14:textId="77777777" w:rsidTr="00467BD7">
        <w:tblPrEx>
          <w:tblW w:w="10180" w:type="dxa"/>
          <w:tblLook w:val="04A0"/>
        </w:tblPrEx>
        <w:trPr>
          <w:trHeight w:val="458"/>
        </w:trPr>
        <w:tc>
          <w:tcPr>
            <w:tcW w:w="2582" w:type="dxa"/>
            <w:vMerge/>
            <w:tcBorders>
              <w:top w:val="nil"/>
              <w:left w:val="single" w:sz="8" w:space="0" w:color="auto"/>
              <w:bottom w:val="single" w:sz="8" w:space="0" w:color="auto"/>
              <w:right w:val="single" w:sz="8" w:space="0" w:color="auto"/>
            </w:tcBorders>
            <w:vAlign w:val="center"/>
            <w:hideMark/>
          </w:tcPr>
          <w:p w:rsidR="00B973A4" w:rsidRPr="00B973A4" w:rsidP="00B973A4" w14:paraId="0AE46A73" w14:textId="77777777">
            <w:pPr>
              <w:widowControl/>
              <w:rPr>
                <w:rFonts w:ascii="Times New Roman" w:hAnsi="Times New Roman"/>
                <w:snapToGrid/>
                <w:color w:val="000000"/>
                <w:sz w:val="20"/>
              </w:rPr>
            </w:pPr>
          </w:p>
        </w:tc>
        <w:tc>
          <w:tcPr>
            <w:tcW w:w="880" w:type="dxa"/>
            <w:vMerge/>
            <w:tcBorders>
              <w:top w:val="nil"/>
              <w:left w:val="single" w:sz="8" w:space="0" w:color="auto"/>
              <w:bottom w:val="single" w:sz="8" w:space="0" w:color="auto"/>
              <w:right w:val="single" w:sz="8" w:space="0" w:color="auto"/>
            </w:tcBorders>
            <w:vAlign w:val="center"/>
            <w:hideMark/>
          </w:tcPr>
          <w:p w:rsidR="00B973A4" w:rsidRPr="00B973A4" w:rsidP="00B973A4" w14:paraId="77D47E4A" w14:textId="77777777">
            <w:pPr>
              <w:widowControl/>
              <w:rPr>
                <w:rFonts w:ascii="Times New Roman" w:hAnsi="Times New Roman"/>
                <w:snapToGrid/>
                <w:color w:val="000000"/>
                <w:sz w:val="20"/>
              </w:rPr>
            </w:pPr>
          </w:p>
        </w:tc>
        <w:tc>
          <w:tcPr>
            <w:tcW w:w="940"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2DFDC5C9"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Exec. &amp; Mgr.      ($132.34)</w:t>
            </w:r>
          </w:p>
        </w:tc>
        <w:tc>
          <w:tcPr>
            <w:tcW w:w="840" w:type="dxa"/>
            <w:vMerge w:val="restart"/>
            <w:tcBorders>
              <w:top w:val="nil"/>
              <w:left w:val="single" w:sz="8" w:space="0" w:color="auto"/>
              <w:bottom w:val="single" w:sz="8" w:space="0" w:color="000000"/>
              <w:right w:val="single" w:sz="8" w:space="0" w:color="auto"/>
            </w:tcBorders>
            <w:vAlign w:val="center"/>
            <w:hideMark/>
          </w:tcPr>
          <w:p w:rsidR="00B973A4" w:rsidRPr="00B973A4" w:rsidP="00B973A4" w14:paraId="7B996EE2"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Lawyer</w:t>
            </w:r>
            <w:r w:rsidRPr="00B973A4">
              <w:rPr>
                <w:rFonts w:ascii="Times New Roman" w:hAnsi="Times New Roman"/>
                <w:snapToGrid/>
                <w:color w:val="000000"/>
                <w:sz w:val="20"/>
              </w:rPr>
              <w:t xml:space="preserve">   (</w:t>
            </w:r>
            <w:r w:rsidRPr="00B973A4">
              <w:rPr>
                <w:rFonts w:ascii="Times New Roman" w:hAnsi="Times New Roman"/>
                <w:snapToGrid/>
                <w:color w:val="000000"/>
                <w:sz w:val="20"/>
              </w:rPr>
              <w:t>$170.71)</w:t>
            </w:r>
          </w:p>
        </w:tc>
        <w:tc>
          <w:tcPr>
            <w:tcW w:w="920"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483FBD27"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Compl. Ofc.   ($65.60)</w:t>
            </w:r>
          </w:p>
        </w:tc>
        <w:tc>
          <w:tcPr>
            <w:tcW w:w="798"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50484E1E"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 xml:space="preserve">IT </w:t>
            </w:r>
            <w:r w:rsidRPr="00B973A4">
              <w:rPr>
                <w:rFonts w:ascii="Times New Roman" w:hAnsi="Times New Roman"/>
                <w:snapToGrid/>
                <w:color w:val="000000"/>
                <w:sz w:val="20"/>
              </w:rPr>
              <w:t xml:space="preserve">   (</w:t>
            </w:r>
            <w:r w:rsidRPr="00B973A4">
              <w:rPr>
                <w:rFonts w:ascii="Times New Roman" w:hAnsi="Times New Roman"/>
                <w:snapToGrid/>
                <w:color w:val="000000"/>
                <w:sz w:val="20"/>
              </w:rPr>
              <w:t>$104.27)</w:t>
            </w:r>
          </w:p>
        </w:tc>
        <w:tc>
          <w:tcPr>
            <w:tcW w:w="980"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00E9C3A6"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Fin. Anlst.    ($96.78)</w:t>
            </w:r>
          </w:p>
        </w:tc>
        <w:tc>
          <w:tcPr>
            <w:tcW w:w="820" w:type="dxa"/>
            <w:vMerge w:val="restart"/>
            <w:tcBorders>
              <w:top w:val="nil"/>
              <w:left w:val="single" w:sz="8" w:space="0" w:color="auto"/>
              <w:bottom w:val="single" w:sz="8" w:space="0" w:color="auto"/>
              <w:right w:val="single" w:sz="8" w:space="0" w:color="auto"/>
            </w:tcBorders>
            <w:vAlign w:val="center"/>
            <w:hideMark/>
          </w:tcPr>
          <w:p w:rsidR="00B973A4" w:rsidRPr="00B973A4" w:rsidP="00B973A4" w14:paraId="23035641"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 xml:space="preserve">Clerical </w:t>
            </w:r>
            <w:r w:rsidRPr="00B973A4">
              <w:rPr>
                <w:rFonts w:ascii="Times New Roman" w:hAnsi="Times New Roman"/>
                <w:snapToGrid/>
                <w:color w:val="000000"/>
                <w:sz w:val="20"/>
              </w:rPr>
              <w:t xml:space="preserve">   (</w:t>
            </w:r>
            <w:r w:rsidRPr="00B973A4">
              <w:rPr>
                <w:rFonts w:ascii="Times New Roman" w:hAnsi="Times New Roman"/>
                <w:snapToGrid/>
                <w:color w:val="000000"/>
                <w:sz w:val="20"/>
              </w:rPr>
              <w:t>$37.28)</w:t>
            </w:r>
          </w:p>
        </w:tc>
        <w:tc>
          <w:tcPr>
            <w:tcW w:w="1420" w:type="dxa"/>
            <w:vMerge/>
            <w:tcBorders>
              <w:top w:val="nil"/>
              <w:left w:val="single" w:sz="8" w:space="0" w:color="auto"/>
              <w:bottom w:val="single" w:sz="8" w:space="0" w:color="auto"/>
              <w:right w:val="single" w:sz="8" w:space="0" w:color="auto"/>
            </w:tcBorders>
            <w:vAlign w:val="center"/>
            <w:hideMark/>
          </w:tcPr>
          <w:p w:rsidR="00B973A4" w:rsidRPr="00B973A4" w:rsidP="00B973A4" w14:paraId="5210AFC4" w14:textId="77777777">
            <w:pPr>
              <w:widowControl/>
              <w:rPr>
                <w:rFonts w:ascii="Times New Roman" w:hAnsi="Times New Roman"/>
                <w:snapToGrid/>
                <w:color w:val="000000"/>
                <w:sz w:val="20"/>
              </w:rPr>
            </w:pPr>
          </w:p>
        </w:tc>
      </w:tr>
      <w:tr w14:paraId="0CF14737" w14:textId="77777777" w:rsidTr="00467BD7">
        <w:tblPrEx>
          <w:tblW w:w="10180" w:type="dxa"/>
          <w:tblLook w:val="04A0"/>
        </w:tblPrEx>
        <w:trPr>
          <w:trHeight w:val="840"/>
        </w:trPr>
        <w:tc>
          <w:tcPr>
            <w:tcW w:w="2582" w:type="dxa"/>
            <w:vMerge/>
            <w:tcBorders>
              <w:top w:val="nil"/>
              <w:left w:val="single" w:sz="8" w:space="0" w:color="auto"/>
              <w:bottom w:val="single" w:sz="8" w:space="0" w:color="auto"/>
              <w:right w:val="single" w:sz="8" w:space="0" w:color="auto"/>
            </w:tcBorders>
            <w:vAlign w:val="center"/>
            <w:hideMark/>
          </w:tcPr>
          <w:p w:rsidR="00B973A4" w:rsidRPr="00B973A4" w:rsidP="00B973A4" w14:paraId="0D8DF623" w14:textId="77777777">
            <w:pPr>
              <w:widowControl/>
              <w:rPr>
                <w:rFonts w:ascii="Times New Roman" w:hAnsi="Times New Roman"/>
                <w:snapToGrid/>
                <w:color w:val="000000"/>
                <w:sz w:val="20"/>
              </w:rPr>
            </w:pPr>
          </w:p>
        </w:tc>
        <w:tc>
          <w:tcPr>
            <w:tcW w:w="880" w:type="dxa"/>
            <w:vMerge/>
            <w:tcBorders>
              <w:top w:val="nil"/>
              <w:left w:val="single" w:sz="8" w:space="0" w:color="auto"/>
              <w:bottom w:val="single" w:sz="8" w:space="0" w:color="auto"/>
              <w:right w:val="single" w:sz="8" w:space="0" w:color="auto"/>
            </w:tcBorders>
            <w:vAlign w:val="center"/>
            <w:hideMark/>
          </w:tcPr>
          <w:p w:rsidR="00B973A4" w:rsidRPr="00B973A4" w:rsidP="00B973A4" w14:paraId="1A285F07" w14:textId="77777777">
            <w:pPr>
              <w:widowControl/>
              <w:rPr>
                <w:rFonts w:ascii="Times New Roman" w:hAnsi="Times New Roman"/>
                <w:snapToGrid/>
                <w:color w:val="000000"/>
                <w:sz w:val="20"/>
              </w:rPr>
            </w:pPr>
          </w:p>
        </w:tc>
        <w:tc>
          <w:tcPr>
            <w:tcW w:w="940" w:type="dxa"/>
            <w:vMerge/>
            <w:tcBorders>
              <w:top w:val="nil"/>
              <w:left w:val="single" w:sz="8" w:space="0" w:color="auto"/>
              <w:bottom w:val="single" w:sz="8" w:space="0" w:color="auto"/>
              <w:right w:val="single" w:sz="8" w:space="0" w:color="auto"/>
            </w:tcBorders>
            <w:vAlign w:val="center"/>
            <w:hideMark/>
          </w:tcPr>
          <w:p w:rsidR="00B973A4" w:rsidRPr="00B973A4" w:rsidP="00B973A4" w14:paraId="19D25FDE" w14:textId="77777777">
            <w:pPr>
              <w:widowControl/>
              <w:rPr>
                <w:rFonts w:ascii="Times New Roman" w:hAnsi="Times New Roman"/>
                <w:snapToGrid/>
                <w:color w:val="000000"/>
                <w:sz w:val="20"/>
              </w:rPr>
            </w:pPr>
          </w:p>
        </w:tc>
        <w:tc>
          <w:tcPr>
            <w:tcW w:w="840" w:type="dxa"/>
            <w:vMerge/>
            <w:tcBorders>
              <w:top w:val="nil"/>
              <w:left w:val="single" w:sz="8" w:space="0" w:color="auto"/>
              <w:bottom w:val="single" w:sz="8" w:space="0" w:color="000000"/>
              <w:right w:val="single" w:sz="8" w:space="0" w:color="auto"/>
            </w:tcBorders>
            <w:vAlign w:val="center"/>
            <w:hideMark/>
          </w:tcPr>
          <w:p w:rsidR="00B973A4" w:rsidRPr="00B973A4" w:rsidP="00B973A4" w14:paraId="36B496B3" w14:textId="77777777">
            <w:pPr>
              <w:widowControl/>
              <w:rPr>
                <w:rFonts w:ascii="Times New Roman" w:hAnsi="Times New Roman"/>
                <w:snapToGrid/>
                <w:color w:val="000000"/>
                <w:sz w:val="20"/>
              </w:rPr>
            </w:pPr>
          </w:p>
        </w:tc>
        <w:tc>
          <w:tcPr>
            <w:tcW w:w="920" w:type="dxa"/>
            <w:vMerge/>
            <w:tcBorders>
              <w:top w:val="nil"/>
              <w:left w:val="single" w:sz="8" w:space="0" w:color="auto"/>
              <w:bottom w:val="single" w:sz="8" w:space="0" w:color="auto"/>
              <w:right w:val="single" w:sz="8" w:space="0" w:color="auto"/>
            </w:tcBorders>
            <w:vAlign w:val="center"/>
            <w:hideMark/>
          </w:tcPr>
          <w:p w:rsidR="00B973A4" w:rsidRPr="00B973A4" w:rsidP="00B973A4" w14:paraId="49061CB4" w14:textId="77777777">
            <w:pPr>
              <w:widowControl/>
              <w:rPr>
                <w:rFonts w:ascii="Times New Roman" w:hAnsi="Times New Roman"/>
                <w:snapToGrid/>
                <w:color w:val="000000"/>
                <w:sz w:val="20"/>
              </w:rPr>
            </w:pPr>
          </w:p>
        </w:tc>
        <w:tc>
          <w:tcPr>
            <w:tcW w:w="798" w:type="dxa"/>
            <w:vMerge/>
            <w:tcBorders>
              <w:top w:val="nil"/>
              <w:left w:val="single" w:sz="8" w:space="0" w:color="auto"/>
              <w:bottom w:val="single" w:sz="8" w:space="0" w:color="auto"/>
              <w:right w:val="single" w:sz="8" w:space="0" w:color="auto"/>
            </w:tcBorders>
            <w:vAlign w:val="center"/>
            <w:hideMark/>
          </w:tcPr>
          <w:p w:rsidR="00B973A4" w:rsidRPr="00B973A4" w:rsidP="00B973A4" w14:paraId="0A8810C4" w14:textId="77777777">
            <w:pPr>
              <w:widowControl/>
              <w:rPr>
                <w:rFonts w:ascii="Times New Roman" w:hAnsi="Times New Roman"/>
                <w:snapToGrid/>
                <w:color w:val="000000"/>
                <w:sz w:val="20"/>
              </w:rPr>
            </w:pPr>
          </w:p>
        </w:tc>
        <w:tc>
          <w:tcPr>
            <w:tcW w:w="980" w:type="dxa"/>
            <w:vMerge/>
            <w:tcBorders>
              <w:top w:val="nil"/>
              <w:left w:val="single" w:sz="8" w:space="0" w:color="auto"/>
              <w:bottom w:val="single" w:sz="8" w:space="0" w:color="auto"/>
              <w:right w:val="single" w:sz="8" w:space="0" w:color="auto"/>
            </w:tcBorders>
            <w:vAlign w:val="center"/>
            <w:hideMark/>
          </w:tcPr>
          <w:p w:rsidR="00B973A4" w:rsidRPr="00B973A4" w:rsidP="00B973A4" w14:paraId="20F7EDD8" w14:textId="77777777">
            <w:pPr>
              <w:widowControl/>
              <w:rPr>
                <w:rFonts w:ascii="Times New Roman" w:hAnsi="Times New Roman"/>
                <w:snapToGrid/>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B973A4" w:rsidRPr="00B973A4" w:rsidP="00B973A4" w14:paraId="626C4B9D" w14:textId="77777777">
            <w:pPr>
              <w:widowControl/>
              <w:rPr>
                <w:rFonts w:ascii="Times New Roman" w:hAnsi="Times New Roman"/>
                <w:snapToGrid/>
                <w:color w:val="000000"/>
                <w:sz w:val="20"/>
              </w:rPr>
            </w:pPr>
          </w:p>
        </w:tc>
        <w:tc>
          <w:tcPr>
            <w:tcW w:w="1420" w:type="dxa"/>
            <w:vMerge/>
            <w:tcBorders>
              <w:top w:val="nil"/>
              <w:left w:val="single" w:sz="8" w:space="0" w:color="auto"/>
              <w:bottom w:val="single" w:sz="8" w:space="0" w:color="auto"/>
              <w:right w:val="single" w:sz="8" w:space="0" w:color="auto"/>
            </w:tcBorders>
            <w:vAlign w:val="center"/>
            <w:hideMark/>
          </w:tcPr>
          <w:p w:rsidR="00B973A4" w:rsidRPr="00B973A4" w:rsidP="00B973A4" w14:paraId="6F9D9F32" w14:textId="77777777">
            <w:pPr>
              <w:widowControl/>
              <w:rPr>
                <w:rFonts w:ascii="Times New Roman" w:hAnsi="Times New Roman"/>
                <w:snapToGrid/>
                <w:color w:val="000000"/>
                <w:sz w:val="20"/>
              </w:rPr>
            </w:pPr>
          </w:p>
        </w:tc>
      </w:tr>
      <w:tr w14:paraId="4A97F696" w14:textId="77777777" w:rsidTr="00467BD7">
        <w:tblPrEx>
          <w:tblW w:w="10180" w:type="dxa"/>
          <w:tblLook w:val="04A0"/>
        </w:tblPrEx>
        <w:trPr>
          <w:trHeight w:val="1050"/>
        </w:trPr>
        <w:tc>
          <w:tcPr>
            <w:tcW w:w="2582" w:type="dxa"/>
            <w:tcBorders>
              <w:top w:val="nil"/>
              <w:left w:val="single" w:sz="8" w:space="0" w:color="auto"/>
              <w:bottom w:val="single" w:sz="8" w:space="0" w:color="auto"/>
              <w:right w:val="single" w:sz="8" w:space="0" w:color="auto"/>
            </w:tcBorders>
            <w:vAlign w:val="center"/>
            <w:hideMark/>
          </w:tcPr>
          <w:p w:rsidR="00B973A4" w:rsidRPr="00B973A4" w:rsidP="00B973A4" w14:paraId="1F45BACF" w14:textId="77777777">
            <w:pPr>
              <w:widowControl/>
              <w:rPr>
                <w:rFonts w:ascii="Times New Roman" w:hAnsi="Times New Roman"/>
                <w:snapToGrid/>
                <w:color w:val="000000"/>
                <w:sz w:val="20"/>
              </w:rPr>
            </w:pPr>
            <w:r w:rsidRPr="00B973A4">
              <w:rPr>
                <w:rFonts w:ascii="Times New Roman" w:hAnsi="Times New Roman"/>
                <w:snapToGrid/>
                <w:color w:val="000000"/>
                <w:sz w:val="20"/>
              </w:rPr>
              <w:t>Covered Financial Company Asset Sales Purchaser Eligibility Certification</w:t>
            </w:r>
          </w:p>
        </w:tc>
        <w:tc>
          <w:tcPr>
            <w:tcW w:w="880" w:type="dxa"/>
            <w:tcBorders>
              <w:top w:val="nil"/>
              <w:left w:val="nil"/>
              <w:bottom w:val="single" w:sz="8" w:space="0" w:color="auto"/>
              <w:right w:val="single" w:sz="8" w:space="0" w:color="auto"/>
            </w:tcBorders>
            <w:vAlign w:val="center"/>
            <w:hideMark/>
          </w:tcPr>
          <w:p w:rsidR="00B973A4" w:rsidRPr="00B973A4" w:rsidP="00B973A4" w14:paraId="511C6905"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100.00</w:t>
            </w:r>
          </w:p>
        </w:tc>
        <w:tc>
          <w:tcPr>
            <w:tcW w:w="940" w:type="dxa"/>
            <w:tcBorders>
              <w:top w:val="nil"/>
              <w:left w:val="nil"/>
              <w:bottom w:val="single" w:sz="8" w:space="0" w:color="auto"/>
              <w:right w:val="single" w:sz="8" w:space="0" w:color="auto"/>
            </w:tcBorders>
            <w:vAlign w:val="center"/>
            <w:hideMark/>
          </w:tcPr>
          <w:p w:rsidR="00B973A4" w:rsidRPr="00B973A4" w:rsidP="00B973A4" w14:paraId="49F5CC24"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10</w:t>
            </w:r>
          </w:p>
        </w:tc>
        <w:tc>
          <w:tcPr>
            <w:tcW w:w="840" w:type="dxa"/>
            <w:tcBorders>
              <w:top w:val="nil"/>
              <w:left w:val="nil"/>
              <w:bottom w:val="single" w:sz="8" w:space="0" w:color="auto"/>
              <w:right w:val="single" w:sz="8" w:space="0" w:color="auto"/>
            </w:tcBorders>
            <w:vAlign w:val="center"/>
            <w:hideMark/>
          </w:tcPr>
          <w:p w:rsidR="00B973A4" w:rsidRPr="00B973A4" w:rsidP="00B973A4" w14:paraId="75A56D6C"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10</w:t>
            </w:r>
          </w:p>
        </w:tc>
        <w:tc>
          <w:tcPr>
            <w:tcW w:w="920" w:type="dxa"/>
            <w:tcBorders>
              <w:top w:val="nil"/>
              <w:left w:val="nil"/>
              <w:bottom w:val="single" w:sz="8" w:space="0" w:color="auto"/>
              <w:right w:val="single" w:sz="8" w:space="0" w:color="auto"/>
            </w:tcBorders>
            <w:vAlign w:val="center"/>
            <w:hideMark/>
          </w:tcPr>
          <w:p w:rsidR="00B973A4" w:rsidRPr="00B973A4" w:rsidP="00B973A4" w14:paraId="6663BB19"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10</w:t>
            </w:r>
          </w:p>
        </w:tc>
        <w:tc>
          <w:tcPr>
            <w:tcW w:w="798" w:type="dxa"/>
            <w:tcBorders>
              <w:top w:val="nil"/>
              <w:left w:val="nil"/>
              <w:bottom w:val="single" w:sz="8" w:space="0" w:color="auto"/>
              <w:right w:val="single" w:sz="8" w:space="0" w:color="auto"/>
            </w:tcBorders>
            <w:vAlign w:val="center"/>
            <w:hideMark/>
          </w:tcPr>
          <w:p w:rsidR="00B973A4" w:rsidRPr="00B973A4" w:rsidP="00B973A4" w14:paraId="1B0D9975"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0</w:t>
            </w:r>
          </w:p>
        </w:tc>
        <w:tc>
          <w:tcPr>
            <w:tcW w:w="980" w:type="dxa"/>
            <w:tcBorders>
              <w:top w:val="nil"/>
              <w:left w:val="nil"/>
              <w:bottom w:val="single" w:sz="8" w:space="0" w:color="auto"/>
              <w:right w:val="single" w:sz="8" w:space="0" w:color="auto"/>
            </w:tcBorders>
            <w:vAlign w:val="center"/>
            <w:hideMark/>
          </w:tcPr>
          <w:p w:rsidR="00B973A4" w:rsidRPr="00B973A4" w:rsidP="00B973A4" w14:paraId="73C4DC24"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70</w:t>
            </w:r>
          </w:p>
        </w:tc>
        <w:tc>
          <w:tcPr>
            <w:tcW w:w="820" w:type="dxa"/>
            <w:tcBorders>
              <w:top w:val="nil"/>
              <w:left w:val="nil"/>
              <w:bottom w:val="single" w:sz="8" w:space="0" w:color="auto"/>
              <w:right w:val="single" w:sz="8" w:space="0" w:color="auto"/>
            </w:tcBorders>
            <w:vAlign w:val="center"/>
            <w:hideMark/>
          </w:tcPr>
          <w:p w:rsidR="00B973A4" w:rsidRPr="00B973A4" w:rsidP="00B973A4" w14:paraId="623E4B96" w14:textId="77777777">
            <w:pPr>
              <w:widowControl/>
              <w:jc w:val="center"/>
              <w:rPr>
                <w:rFonts w:ascii="Times New Roman" w:hAnsi="Times New Roman"/>
                <w:snapToGrid/>
                <w:color w:val="000000"/>
                <w:sz w:val="20"/>
              </w:rPr>
            </w:pPr>
            <w:r w:rsidRPr="00B973A4">
              <w:rPr>
                <w:rFonts w:ascii="Times New Roman" w:hAnsi="Times New Roman"/>
                <w:snapToGrid/>
                <w:color w:val="000000"/>
                <w:sz w:val="20"/>
              </w:rPr>
              <w:t>0</w:t>
            </w:r>
          </w:p>
        </w:tc>
        <w:tc>
          <w:tcPr>
            <w:tcW w:w="1420" w:type="dxa"/>
            <w:tcBorders>
              <w:top w:val="nil"/>
              <w:left w:val="nil"/>
              <w:bottom w:val="single" w:sz="8" w:space="0" w:color="auto"/>
              <w:right w:val="single" w:sz="8" w:space="0" w:color="auto"/>
            </w:tcBorders>
            <w:vAlign w:val="center"/>
            <w:hideMark/>
          </w:tcPr>
          <w:p w:rsidR="00B973A4" w:rsidRPr="00B973A4" w:rsidP="00B973A4" w14:paraId="0AE692BC" w14:textId="77777777">
            <w:pPr>
              <w:widowControl/>
              <w:ind w:firstLine="200" w:firstLineChars="100"/>
              <w:jc w:val="right"/>
              <w:rPr>
                <w:rFonts w:ascii="Times New Roman" w:hAnsi="Times New Roman"/>
                <w:snapToGrid/>
                <w:color w:val="000000"/>
                <w:sz w:val="20"/>
              </w:rPr>
            </w:pPr>
            <w:r w:rsidRPr="00B973A4">
              <w:rPr>
                <w:rFonts w:ascii="Times New Roman" w:hAnsi="Times New Roman"/>
                <w:snapToGrid/>
                <w:color w:val="000000"/>
                <w:sz w:val="20"/>
              </w:rPr>
              <w:t xml:space="preserve">$104.61 </w:t>
            </w:r>
          </w:p>
        </w:tc>
      </w:tr>
      <w:tr w14:paraId="23F30F24" w14:textId="77777777" w:rsidTr="00467BD7">
        <w:tblPrEx>
          <w:tblW w:w="10180" w:type="dxa"/>
          <w:tblLook w:val="04A0"/>
        </w:tblPrEx>
        <w:trPr>
          <w:trHeight w:val="300"/>
        </w:trPr>
        <w:tc>
          <w:tcPr>
            <w:tcW w:w="8760" w:type="dxa"/>
            <w:gridSpan w:val="8"/>
            <w:tcBorders>
              <w:top w:val="single" w:sz="8" w:space="0" w:color="auto"/>
              <w:left w:val="single" w:sz="8" w:space="0" w:color="auto"/>
              <w:bottom w:val="single" w:sz="8" w:space="0" w:color="auto"/>
              <w:right w:val="single" w:sz="8" w:space="0" w:color="000000"/>
            </w:tcBorders>
            <w:vAlign w:val="center"/>
            <w:hideMark/>
          </w:tcPr>
          <w:p w:rsidR="00B973A4" w:rsidRPr="00B973A4" w:rsidP="00B973A4" w14:paraId="42DBAC7D" w14:textId="77777777">
            <w:pPr>
              <w:widowControl/>
              <w:jc w:val="right"/>
              <w:rPr>
                <w:rFonts w:ascii="Times New Roman" w:hAnsi="Times New Roman"/>
                <w:b/>
                <w:bCs/>
                <w:i/>
                <w:iCs/>
                <w:snapToGrid/>
                <w:color w:val="000000"/>
                <w:sz w:val="22"/>
                <w:szCs w:val="22"/>
              </w:rPr>
            </w:pPr>
            <w:r w:rsidRPr="00B973A4">
              <w:rPr>
                <w:rFonts w:ascii="Times New Roman" w:hAnsi="Times New Roman"/>
                <w:b/>
                <w:bCs/>
                <w:i/>
                <w:iCs/>
                <w:snapToGrid/>
                <w:color w:val="000000"/>
                <w:sz w:val="22"/>
                <w:szCs w:val="22"/>
              </w:rPr>
              <w:t>Weighted Average Hourly Compensation Rate:</w:t>
            </w:r>
          </w:p>
        </w:tc>
        <w:tc>
          <w:tcPr>
            <w:tcW w:w="1420" w:type="dxa"/>
            <w:tcBorders>
              <w:top w:val="nil"/>
              <w:left w:val="nil"/>
              <w:bottom w:val="nil"/>
              <w:right w:val="single" w:sz="8" w:space="0" w:color="auto"/>
            </w:tcBorders>
            <w:vAlign w:val="center"/>
            <w:hideMark/>
          </w:tcPr>
          <w:p w:rsidR="00B973A4" w:rsidRPr="00B973A4" w:rsidP="00B973A4" w14:paraId="007502A4" w14:textId="77777777">
            <w:pPr>
              <w:widowControl/>
              <w:ind w:firstLine="220" w:firstLineChars="100"/>
              <w:jc w:val="right"/>
              <w:rPr>
                <w:rFonts w:ascii="Times New Roman" w:hAnsi="Times New Roman"/>
                <w:b/>
                <w:bCs/>
                <w:i/>
                <w:iCs/>
                <w:snapToGrid/>
                <w:color w:val="000000"/>
                <w:sz w:val="22"/>
                <w:szCs w:val="22"/>
              </w:rPr>
            </w:pPr>
            <w:r w:rsidRPr="00B973A4">
              <w:rPr>
                <w:rFonts w:ascii="Times New Roman" w:hAnsi="Times New Roman"/>
                <w:b/>
                <w:bCs/>
                <w:i/>
                <w:iCs/>
                <w:snapToGrid/>
                <w:color w:val="000000"/>
                <w:sz w:val="22"/>
                <w:szCs w:val="22"/>
              </w:rPr>
              <w:t xml:space="preserve">$104.61 </w:t>
            </w:r>
          </w:p>
        </w:tc>
      </w:tr>
      <w:tr w14:paraId="028F85D1" w14:textId="77777777" w:rsidTr="00467BD7">
        <w:tblPrEx>
          <w:tblW w:w="10180" w:type="dxa"/>
          <w:tblLook w:val="04A0"/>
        </w:tblPrEx>
        <w:trPr>
          <w:trHeight w:val="960"/>
        </w:trPr>
        <w:tc>
          <w:tcPr>
            <w:tcW w:w="10180" w:type="dxa"/>
            <w:gridSpan w:val="9"/>
            <w:vMerge w:val="restart"/>
            <w:tcBorders>
              <w:top w:val="single" w:sz="8" w:space="0" w:color="auto"/>
              <w:left w:val="single" w:sz="8" w:space="0" w:color="auto"/>
              <w:bottom w:val="nil"/>
              <w:right w:val="single" w:sz="8" w:space="0" w:color="000000"/>
            </w:tcBorders>
            <w:vAlign w:val="center"/>
            <w:hideMark/>
          </w:tcPr>
          <w:p w:rsidR="00B973A4" w:rsidRPr="00B973A4" w:rsidP="00B973A4" w14:paraId="3E98AF72" w14:textId="77777777">
            <w:pPr>
              <w:widowControl/>
              <w:rPr>
                <w:rFonts w:ascii="Times New Roman" w:hAnsi="Times New Roman"/>
                <w:snapToGrid/>
                <w:color w:val="000000"/>
                <w:sz w:val="18"/>
                <w:szCs w:val="18"/>
              </w:rPr>
            </w:pPr>
            <w:r w:rsidRPr="00B973A4">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2022), Employer Cost of Employee Compensation (March 2022), and Employment Cost Index (March 2022 and March 2023).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353CE4A7" w14:textId="77777777" w:rsidTr="00467BD7">
        <w:tblPrEx>
          <w:tblW w:w="10180" w:type="dxa"/>
          <w:tblLook w:val="04A0"/>
        </w:tblPrEx>
        <w:trPr>
          <w:trHeight w:val="458"/>
        </w:trPr>
        <w:tc>
          <w:tcPr>
            <w:tcW w:w="10180" w:type="dxa"/>
            <w:gridSpan w:val="9"/>
            <w:vMerge/>
            <w:tcBorders>
              <w:top w:val="single" w:sz="8" w:space="0" w:color="auto"/>
              <w:left w:val="single" w:sz="8" w:space="0" w:color="auto"/>
              <w:bottom w:val="nil"/>
              <w:right w:val="single" w:sz="8" w:space="0" w:color="000000"/>
            </w:tcBorders>
            <w:vAlign w:val="center"/>
            <w:hideMark/>
          </w:tcPr>
          <w:p w:rsidR="00B973A4" w:rsidRPr="00B973A4" w:rsidP="00B973A4" w14:paraId="570D532E" w14:textId="77777777">
            <w:pPr>
              <w:widowControl/>
              <w:rPr>
                <w:rFonts w:ascii="Source Sans Pro" w:hAnsi="Source Sans Pro" w:cs="Calibri"/>
                <w:snapToGrid/>
                <w:color w:val="000000"/>
                <w:sz w:val="18"/>
                <w:szCs w:val="18"/>
              </w:rPr>
            </w:pPr>
          </w:p>
        </w:tc>
      </w:tr>
      <w:tr w14:paraId="75766330" w14:textId="77777777" w:rsidTr="00467BD7">
        <w:tblPrEx>
          <w:tblW w:w="10180" w:type="dxa"/>
          <w:tblLook w:val="04A0"/>
        </w:tblPrEx>
        <w:trPr>
          <w:trHeight w:val="458"/>
        </w:trPr>
        <w:tc>
          <w:tcPr>
            <w:tcW w:w="10180" w:type="dxa"/>
            <w:gridSpan w:val="9"/>
            <w:vMerge/>
            <w:tcBorders>
              <w:top w:val="single" w:sz="8" w:space="0" w:color="auto"/>
              <w:left w:val="single" w:sz="8" w:space="0" w:color="auto"/>
              <w:bottom w:val="nil"/>
              <w:right w:val="single" w:sz="8" w:space="0" w:color="000000"/>
            </w:tcBorders>
            <w:vAlign w:val="center"/>
            <w:hideMark/>
          </w:tcPr>
          <w:p w:rsidR="00B973A4" w:rsidRPr="00B973A4" w:rsidP="00B973A4" w14:paraId="7C1CBC72" w14:textId="77777777">
            <w:pPr>
              <w:widowControl/>
              <w:rPr>
                <w:rFonts w:ascii="Source Sans Pro" w:hAnsi="Source Sans Pro" w:cs="Calibri"/>
                <w:snapToGrid/>
                <w:color w:val="000000"/>
                <w:sz w:val="18"/>
                <w:szCs w:val="18"/>
              </w:rPr>
            </w:pPr>
          </w:p>
        </w:tc>
      </w:tr>
      <w:tr w14:paraId="6C8187B4" w14:textId="77777777" w:rsidTr="00467BD7">
        <w:tblPrEx>
          <w:tblW w:w="10180" w:type="dxa"/>
          <w:tblLook w:val="04A0"/>
        </w:tblPrEx>
        <w:trPr>
          <w:trHeight w:val="458"/>
        </w:trPr>
        <w:tc>
          <w:tcPr>
            <w:tcW w:w="10180" w:type="dxa"/>
            <w:gridSpan w:val="9"/>
            <w:vMerge/>
            <w:tcBorders>
              <w:top w:val="single" w:sz="8" w:space="0" w:color="auto"/>
              <w:left w:val="single" w:sz="8" w:space="0" w:color="auto"/>
              <w:bottom w:val="nil"/>
              <w:right w:val="single" w:sz="8" w:space="0" w:color="000000"/>
            </w:tcBorders>
            <w:vAlign w:val="center"/>
            <w:hideMark/>
          </w:tcPr>
          <w:p w:rsidR="00B973A4" w:rsidRPr="00B973A4" w:rsidP="00B973A4" w14:paraId="59C8195A" w14:textId="77777777">
            <w:pPr>
              <w:widowControl/>
              <w:rPr>
                <w:rFonts w:ascii="Source Sans Pro" w:hAnsi="Source Sans Pro" w:cs="Calibri"/>
                <w:snapToGrid/>
                <w:color w:val="000000"/>
                <w:sz w:val="18"/>
                <w:szCs w:val="18"/>
              </w:rPr>
            </w:pPr>
          </w:p>
        </w:tc>
      </w:tr>
      <w:tr w14:paraId="7378A77A" w14:textId="77777777" w:rsidTr="00467BD7">
        <w:tblPrEx>
          <w:tblW w:w="10180" w:type="dxa"/>
          <w:tblLook w:val="04A0"/>
        </w:tblPrEx>
        <w:trPr>
          <w:trHeight w:val="300"/>
        </w:trPr>
        <w:tc>
          <w:tcPr>
            <w:tcW w:w="10180" w:type="dxa"/>
            <w:gridSpan w:val="9"/>
            <w:vMerge w:val="restart"/>
            <w:tcBorders>
              <w:top w:val="nil"/>
              <w:left w:val="single" w:sz="8" w:space="0" w:color="auto"/>
              <w:bottom w:val="single" w:sz="8" w:space="0" w:color="000000"/>
              <w:right w:val="single" w:sz="8" w:space="0" w:color="000000"/>
            </w:tcBorders>
            <w:vAlign w:val="center"/>
            <w:hideMark/>
          </w:tcPr>
          <w:p w:rsidR="00B973A4" w:rsidRPr="00B973A4" w:rsidP="00B973A4" w14:paraId="404007D1" w14:textId="77777777">
            <w:pPr>
              <w:widowControl/>
              <w:rPr>
                <w:rFonts w:ascii="Source Sans Pro" w:hAnsi="Source Sans Pro" w:cs="Calibri"/>
                <w:snapToGrid/>
                <w:color w:val="000000"/>
                <w:sz w:val="18"/>
                <w:szCs w:val="18"/>
              </w:rPr>
            </w:pPr>
            <w:r w:rsidRPr="00B973A4">
              <w:rPr>
                <w:rFonts w:ascii="Source Sans Pro" w:hAnsi="Source Sans Pro" w:cs="Calibri"/>
                <w:snapToGrid/>
                <w:color w:val="000000"/>
                <w:sz w:val="18"/>
                <w:szCs w:val="18"/>
              </w:rPr>
              <w:t xml:space="preserve">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w:t>
            </w:r>
            <w:r w:rsidRPr="00B973A4">
              <w:rPr>
                <w:rFonts w:ascii="Source Sans Pro" w:hAnsi="Source Sans Pro" w:cs="Calibri"/>
                <w:snapToGrid/>
                <w:color w:val="000000"/>
                <w:sz w:val="18"/>
                <w:szCs w:val="18"/>
              </w:rPr>
              <w:t xml:space="preserve">in a </w:t>
            </w:r>
            <w:r w:rsidRPr="00B973A4">
              <w:rPr>
                <w:rFonts w:ascii="Source Sans Pro" w:hAnsi="Source Sans Pro" w:cs="Calibri"/>
                <w:snapToGrid/>
                <w:color w:val="000000"/>
                <w:sz w:val="18"/>
                <w:szCs w:val="18"/>
              </w:rPr>
              <w:t>given</w:t>
            </w:r>
            <w:r w:rsidRPr="00B973A4">
              <w:rPr>
                <w:rFonts w:ascii="Source Sans Pro" w:hAnsi="Source Sans Pro" w:cs="Calibri"/>
                <w:snapToGrid/>
                <w:color w:val="000000"/>
                <w:sz w:val="18"/>
                <w:szCs w:val="18"/>
              </w:rPr>
              <w:t xml:space="preserve"> collection over the total estimated number of annual burden hours across all collections, are shown in the “Hourly Weight” column of this table.</w:t>
            </w:r>
          </w:p>
        </w:tc>
      </w:tr>
      <w:tr w14:paraId="6EAA5F37" w14:textId="77777777" w:rsidTr="00467BD7">
        <w:tblPrEx>
          <w:tblW w:w="10180" w:type="dxa"/>
          <w:tblLook w:val="04A0"/>
        </w:tblPrEx>
        <w:trPr>
          <w:trHeight w:val="458"/>
        </w:trPr>
        <w:tc>
          <w:tcPr>
            <w:tcW w:w="10180" w:type="dxa"/>
            <w:gridSpan w:val="9"/>
            <w:vMerge/>
            <w:tcBorders>
              <w:top w:val="nil"/>
              <w:left w:val="single" w:sz="8" w:space="0" w:color="auto"/>
              <w:bottom w:val="single" w:sz="8" w:space="0" w:color="000000"/>
              <w:right w:val="single" w:sz="8" w:space="0" w:color="000000"/>
            </w:tcBorders>
            <w:vAlign w:val="center"/>
            <w:hideMark/>
          </w:tcPr>
          <w:p w:rsidR="00B973A4" w:rsidRPr="00B973A4" w:rsidP="00B973A4" w14:paraId="76BDE941" w14:textId="77777777">
            <w:pPr>
              <w:widowControl/>
              <w:rPr>
                <w:rFonts w:ascii="Source Sans Pro" w:hAnsi="Source Sans Pro" w:cs="Calibri"/>
                <w:snapToGrid/>
                <w:color w:val="000000"/>
                <w:sz w:val="18"/>
                <w:szCs w:val="18"/>
              </w:rPr>
            </w:pPr>
          </w:p>
        </w:tc>
      </w:tr>
      <w:tr w14:paraId="264E752B" w14:textId="77777777" w:rsidTr="00467BD7">
        <w:tblPrEx>
          <w:tblW w:w="10180" w:type="dxa"/>
          <w:tblLook w:val="04A0"/>
        </w:tblPrEx>
        <w:trPr>
          <w:trHeight w:val="458"/>
        </w:trPr>
        <w:tc>
          <w:tcPr>
            <w:tcW w:w="10180" w:type="dxa"/>
            <w:gridSpan w:val="9"/>
            <w:vMerge/>
            <w:tcBorders>
              <w:top w:val="nil"/>
              <w:left w:val="single" w:sz="8" w:space="0" w:color="auto"/>
              <w:bottom w:val="single" w:sz="8" w:space="0" w:color="000000"/>
              <w:right w:val="single" w:sz="8" w:space="0" w:color="000000"/>
            </w:tcBorders>
            <w:vAlign w:val="center"/>
            <w:hideMark/>
          </w:tcPr>
          <w:p w:rsidR="00B973A4" w:rsidRPr="00B973A4" w:rsidP="00B973A4" w14:paraId="1913C3E2" w14:textId="77777777">
            <w:pPr>
              <w:widowControl/>
              <w:rPr>
                <w:rFonts w:ascii="Source Sans Pro" w:hAnsi="Source Sans Pro" w:cs="Calibri"/>
                <w:snapToGrid/>
                <w:color w:val="000000"/>
                <w:sz w:val="18"/>
                <w:szCs w:val="18"/>
              </w:rPr>
            </w:pPr>
          </w:p>
        </w:tc>
      </w:tr>
      <w:tr w14:paraId="153B6AB6" w14:textId="77777777" w:rsidTr="00467BD7">
        <w:tblPrEx>
          <w:tblW w:w="10180" w:type="dxa"/>
          <w:tblLook w:val="04A0"/>
        </w:tblPrEx>
        <w:trPr>
          <w:trHeight w:val="458"/>
        </w:trPr>
        <w:tc>
          <w:tcPr>
            <w:tcW w:w="10180" w:type="dxa"/>
            <w:gridSpan w:val="9"/>
            <w:vMerge/>
            <w:tcBorders>
              <w:top w:val="nil"/>
              <w:left w:val="single" w:sz="8" w:space="0" w:color="auto"/>
              <w:bottom w:val="single" w:sz="8" w:space="0" w:color="000000"/>
              <w:right w:val="single" w:sz="8" w:space="0" w:color="000000"/>
            </w:tcBorders>
            <w:vAlign w:val="center"/>
            <w:hideMark/>
          </w:tcPr>
          <w:p w:rsidR="00B973A4" w:rsidRPr="00B973A4" w:rsidP="00B973A4" w14:paraId="2AF1B1B6" w14:textId="77777777">
            <w:pPr>
              <w:widowControl/>
              <w:rPr>
                <w:rFonts w:ascii="Source Sans Pro" w:hAnsi="Source Sans Pro" w:cs="Calibri"/>
                <w:snapToGrid/>
                <w:color w:val="000000"/>
                <w:sz w:val="18"/>
                <w:szCs w:val="18"/>
              </w:rPr>
            </w:pPr>
          </w:p>
        </w:tc>
      </w:tr>
    </w:tbl>
    <w:p w:rsidR="007008E6" w:rsidRPr="007008E6" w:rsidP="007008E6" w14:paraId="2379888F" w14:textId="77777777">
      <w:pPr>
        <w:ind w:left="720"/>
        <w:rPr>
          <w:rFonts w:ascii="Times New Roman" w:hAnsi="Times New Roman"/>
        </w:rPr>
      </w:pPr>
    </w:p>
    <w:p w:rsidR="007008E6" w:rsidRPr="007008E6" w:rsidP="007008E6" w14:paraId="08789185" w14:textId="77777777">
      <w:pPr>
        <w:ind w:left="720"/>
        <w:rPr>
          <w:rFonts w:ascii="Times New Roman" w:hAnsi="Times New Roman"/>
        </w:rPr>
      </w:pPr>
    </w:p>
    <w:p w:rsidR="007008E6" w:rsidRPr="007008E6" w:rsidP="007008E6" w14:paraId="14735E4E" w14:textId="77777777">
      <w:pPr>
        <w:ind w:left="720"/>
        <w:rPr>
          <w:rFonts w:ascii="Times New Roman" w:hAnsi="Times New Roman"/>
          <w:b/>
        </w:rPr>
      </w:pPr>
      <w:r w:rsidRPr="007008E6">
        <w:rPr>
          <w:rFonts w:ascii="Times New Roman" w:hAnsi="Times New Roman"/>
          <w:b/>
        </w:rPr>
        <w:t>Total Estimated Cost Burden</w:t>
      </w:r>
    </w:p>
    <w:p w:rsidR="007008E6" w:rsidRPr="007008E6" w:rsidP="007008E6" w14:paraId="28F598A6" w14:textId="77777777">
      <w:pPr>
        <w:ind w:left="720"/>
        <w:rPr>
          <w:rFonts w:ascii="Times New Roman" w:hAnsi="Times New Roman"/>
          <w:b/>
        </w:rPr>
      </w:pPr>
    </w:p>
    <w:p w:rsidR="007008E6" w:rsidRPr="007008E6" w:rsidP="007008E6" w14:paraId="70EDE8A0" w14:textId="77777777">
      <w:pPr>
        <w:ind w:left="720"/>
        <w:rPr>
          <w:rFonts w:ascii="Times New Roman" w:hAnsi="Times New Roman"/>
        </w:rPr>
      </w:pPr>
      <w:r>
        <w:rPr>
          <w:rFonts w:ascii="Times New Roman" w:hAnsi="Times New Roman"/>
        </w:rPr>
        <w:t>FDIC</w:t>
      </w:r>
      <w:r w:rsidRPr="007008E6">
        <w:rPr>
          <w:rFonts w:ascii="Times New Roman" w:hAnsi="Times New Roman"/>
        </w:rPr>
        <w:t xml:space="preserve"> estimate</w:t>
      </w:r>
      <w:r>
        <w:rPr>
          <w:rFonts w:ascii="Times New Roman" w:hAnsi="Times New Roman"/>
        </w:rPr>
        <w:t>s</w:t>
      </w:r>
      <w:r w:rsidRPr="007008E6">
        <w:rPr>
          <w:rFonts w:ascii="Times New Roman" w:hAnsi="Times New Roman"/>
        </w:rPr>
        <w:t xml:space="preserve"> the total annual compliance cost for this ICR by multiplying the total annual estimated burden hours reported in Table 1 by the weighted average hourly compliance cost estimate reported in Table 2. The total annual compliance cost is estimated as: 165 hours/ year * $104.61 / hour = $17,261. This estimated cost burden constitutes an increase of $16,853 from the estimated annual compliance cost reported in the 2021 submission. The increase in the total annual estimated cost is due to increases in both the total estimated annual burden hours and the estimated weighted average hourly compliance cost.</w:t>
      </w:r>
    </w:p>
    <w:p w:rsidR="007008E6" w:rsidP="007008E6" w14:paraId="72023789" w14:textId="77777777">
      <w:pPr>
        <w:ind w:left="720"/>
        <w:rPr>
          <w:rFonts w:ascii="Times New Roman" w:hAnsi="Times New Roman"/>
        </w:rPr>
      </w:pPr>
    </w:p>
    <w:p w:rsidR="00F47717" w14:paraId="5A1974E2" w14:textId="77777777">
      <w:pPr>
        <w:ind w:left="720"/>
        <w:rPr>
          <w:rFonts w:ascii="Times New Roman" w:hAnsi="Times New Roman"/>
        </w:rPr>
      </w:pPr>
    </w:p>
    <w:p w:rsidR="00F65D89" w:rsidRPr="00AA321A" w:rsidP="00AA321A" w14:paraId="1DA5F485" w14:textId="77777777">
      <w:pPr>
        <w:pStyle w:val="ListParagraph"/>
        <w:numPr>
          <w:ilvl w:val="0"/>
          <w:numId w:val="4"/>
        </w:numPr>
        <w:outlineLvl w:val="0"/>
        <w:rPr>
          <w:rFonts w:ascii="Times New Roman" w:hAnsi="Times New Roman"/>
          <w:u w:val="single"/>
        </w:rPr>
      </w:pPr>
      <w:r w:rsidRPr="00AA321A">
        <w:rPr>
          <w:rFonts w:ascii="Times New Roman" w:hAnsi="Times New Roman"/>
          <w:u w:val="single"/>
        </w:rPr>
        <w:t>Capital, Start-Up and Maintenance Costs</w:t>
      </w:r>
    </w:p>
    <w:p w:rsidR="00F65D89" w14:paraId="02A253CF" w14:textId="77777777">
      <w:pPr>
        <w:rPr>
          <w:rFonts w:ascii="Times New Roman" w:hAnsi="Times New Roman"/>
          <w:u w:val="single"/>
        </w:rPr>
      </w:pPr>
    </w:p>
    <w:p w:rsidR="00F65D89" w:rsidP="00AA321A" w14:paraId="2875D63C" w14:textId="77777777">
      <w:pPr>
        <w:ind w:left="1440"/>
        <w:outlineLvl w:val="0"/>
        <w:rPr>
          <w:rFonts w:ascii="Times New Roman" w:hAnsi="Times New Roman"/>
        </w:rPr>
      </w:pPr>
      <w:r>
        <w:rPr>
          <w:rFonts w:ascii="Times New Roman" w:hAnsi="Times New Roman"/>
        </w:rPr>
        <w:t>None.</w:t>
      </w:r>
    </w:p>
    <w:p w:rsidR="00F65D89" w14:paraId="4BA891D1" w14:textId="77777777">
      <w:pPr>
        <w:rPr>
          <w:rFonts w:ascii="Times New Roman" w:hAnsi="Times New Roman"/>
        </w:rPr>
      </w:pPr>
    </w:p>
    <w:p w:rsidR="00F65D89" w:rsidRPr="00AA321A" w:rsidP="00AA321A" w14:paraId="1CEEDD7D" w14:textId="77777777">
      <w:pPr>
        <w:pStyle w:val="ListParagraph"/>
        <w:numPr>
          <w:ilvl w:val="0"/>
          <w:numId w:val="4"/>
        </w:numPr>
        <w:outlineLvl w:val="0"/>
        <w:rPr>
          <w:rFonts w:ascii="Times New Roman" w:hAnsi="Times New Roman"/>
        </w:rPr>
      </w:pPr>
      <w:r w:rsidRPr="00AA321A">
        <w:rPr>
          <w:rFonts w:ascii="Times New Roman" w:hAnsi="Times New Roman"/>
          <w:u w:val="single"/>
        </w:rPr>
        <w:t>Estimated Annual Cost to the Federal Government</w:t>
      </w:r>
    </w:p>
    <w:p w:rsidR="00F65D89" w14:paraId="12B3C0BB" w14:textId="77777777">
      <w:pPr>
        <w:rPr>
          <w:rFonts w:ascii="Times New Roman" w:hAnsi="Times New Roman"/>
        </w:rPr>
      </w:pPr>
    </w:p>
    <w:p w:rsidR="001D6A7A" w:rsidRPr="001D6A7A" w:rsidP="00AA321A" w14:paraId="14F581E1" w14:textId="77777777">
      <w:pPr>
        <w:snapToGrid w:val="0"/>
        <w:ind w:left="1440"/>
        <w:rPr>
          <w:rFonts w:ascii="Times New Roman" w:hAnsi="Times New Roman"/>
          <w:snapToGrid/>
        </w:rPr>
      </w:pPr>
      <w:r>
        <w:rPr>
          <w:rFonts w:ascii="Times New Roman" w:hAnsi="Times New Roman"/>
          <w:snapToGrid/>
        </w:rPr>
        <w:t>None.</w:t>
      </w:r>
    </w:p>
    <w:p w:rsidR="001D6A7A" w:rsidP="001D6A7A" w14:paraId="29845434" w14:textId="77777777">
      <w:pPr>
        <w:outlineLvl w:val="0"/>
        <w:rPr>
          <w:rFonts w:ascii="Times New Roman" w:hAnsi="Times New Roman"/>
        </w:rPr>
      </w:pPr>
    </w:p>
    <w:p w:rsidR="00F65D89" w:rsidRPr="00AA321A" w:rsidP="00AA321A" w14:paraId="549F22F6" w14:textId="77777777">
      <w:pPr>
        <w:pStyle w:val="ListParagraph"/>
        <w:numPr>
          <w:ilvl w:val="0"/>
          <w:numId w:val="4"/>
        </w:numPr>
        <w:outlineLvl w:val="0"/>
        <w:rPr>
          <w:rFonts w:ascii="Times New Roman" w:hAnsi="Times New Roman"/>
        </w:rPr>
      </w:pPr>
      <w:r w:rsidRPr="00AA321A">
        <w:rPr>
          <w:rFonts w:ascii="Times New Roman" w:hAnsi="Times New Roman"/>
          <w:u w:val="single"/>
        </w:rPr>
        <w:t>Reason for Change in Burden</w:t>
      </w:r>
    </w:p>
    <w:p w:rsidR="00F65D89" w14:paraId="780D098F" w14:textId="77777777">
      <w:pPr>
        <w:rPr>
          <w:rFonts w:ascii="Times New Roman" w:hAnsi="Times New Roman"/>
        </w:rPr>
      </w:pPr>
      <w:r>
        <w:rPr>
          <w:rFonts w:ascii="Times New Roman" w:hAnsi="Times New Roman"/>
        </w:rPr>
        <w:tab/>
      </w:r>
      <w:r>
        <w:rPr>
          <w:rFonts w:ascii="Times New Roman" w:hAnsi="Times New Roman"/>
        </w:rPr>
        <w:tab/>
      </w:r>
    </w:p>
    <w:p w:rsidR="00AA321A" w:rsidRPr="007E560D" w:rsidP="00AA321A" w14:paraId="2734BD1E" w14:textId="137C8655">
      <w:pPr>
        <w:ind w:left="1440"/>
        <w:jc w:val="both"/>
        <w:rPr>
          <w:rFonts w:ascii="Times New Roman" w:hAnsi="Times New Roman"/>
          <w:szCs w:val="24"/>
        </w:rPr>
      </w:pPr>
      <w:r w:rsidRPr="007E560D">
        <w:rPr>
          <w:rFonts w:ascii="Times New Roman" w:hAnsi="Times New Roman"/>
          <w:szCs w:val="24"/>
        </w:rPr>
        <w:t xml:space="preserve">There is no change in the </w:t>
      </w:r>
      <w:r w:rsidR="00A3281A">
        <w:rPr>
          <w:rFonts w:ascii="Times New Roman" w:hAnsi="Times New Roman"/>
          <w:szCs w:val="24"/>
        </w:rPr>
        <w:t xml:space="preserve">burden. </w:t>
      </w:r>
    </w:p>
    <w:p w:rsidR="00F65D89" w14:paraId="2D47FFA4" w14:textId="77777777">
      <w:pPr>
        <w:rPr>
          <w:rFonts w:ascii="Times New Roman" w:hAnsi="Times New Roman"/>
        </w:rPr>
      </w:pPr>
    </w:p>
    <w:p w:rsidR="00F65D89" w:rsidRPr="00AA321A" w:rsidP="00AA321A" w14:paraId="3E2704F4" w14:textId="77777777">
      <w:pPr>
        <w:pStyle w:val="ListParagraph"/>
        <w:numPr>
          <w:ilvl w:val="0"/>
          <w:numId w:val="4"/>
        </w:numPr>
        <w:outlineLvl w:val="0"/>
        <w:rPr>
          <w:rFonts w:ascii="Times New Roman" w:hAnsi="Times New Roman"/>
        </w:rPr>
      </w:pPr>
      <w:r w:rsidRPr="00AA321A">
        <w:rPr>
          <w:rFonts w:ascii="Times New Roman" w:hAnsi="Times New Roman"/>
          <w:u w:val="single"/>
        </w:rPr>
        <w:t>Publication.</w:t>
      </w:r>
    </w:p>
    <w:p w:rsidR="00F65D89" w14:paraId="79F5DE54" w14:textId="77777777">
      <w:pPr>
        <w:ind w:left="240"/>
        <w:rPr>
          <w:rFonts w:ascii="Times New Roman" w:hAnsi="Times New Roman"/>
        </w:rPr>
      </w:pPr>
    </w:p>
    <w:p w:rsidR="00F65D89" w:rsidP="00AA321A" w14:paraId="685F269D" w14:textId="77777777">
      <w:pPr>
        <w:ind w:left="720" w:firstLine="720"/>
        <w:outlineLvl w:val="0"/>
        <w:rPr>
          <w:rFonts w:ascii="Times New Roman" w:hAnsi="Times New Roman"/>
        </w:rPr>
      </w:pPr>
      <w:r>
        <w:rPr>
          <w:rFonts w:ascii="Times New Roman" w:hAnsi="Times New Roman"/>
        </w:rPr>
        <w:t>Not applicable.</w:t>
      </w:r>
    </w:p>
    <w:p w:rsidR="00F65D89" w14:paraId="255936AB" w14:textId="77777777">
      <w:pPr>
        <w:rPr>
          <w:rFonts w:ascii="Times New Roman" w:hAnsi="Times New Roman"/>
        </w:rPr>
      </w:pPr>
    </w:p>
    <w:p w:rsidR="00F65D89" w:rsidRPr="00AA321A" w:rsidP="00AA321A" w14:paraId="6A930B98" w14:textId="77777777">
      <w:pPr>
        <w:pStyle w:val="ListParagraph"/>
        <w:numPr>
          <w:ilvl w:val="0"/>
          <w:numId w:val="4"/>
        </w:numPr>
        <w:outlineLvl w:val="0"/>
        <w:rPr>
          <w:rFonts w:ascii="Times New Roman" w:hAnsi="Times New Roman"/>
        </w:rPr>
      </w:pPr>
      <w:r w:rsidRPr="00AA321A">
        <w:rPr>
          <w:rFonts w:ascii="Times New Roman" w:hAnsi="Times New Roman"/>
          <w:u w:val="single"/>
        </w:rPr>
        <w:t>Display of Expiration Date</w:t>
      </w:r>
    </w:p>
    <w:p w:rsidR="00F65D89" w14:paraId="2630BF61" w14:textId="77777777">
      <w:pPr>
        <w:rPr>
          <w:rFonts w:ascii="Times New Roman" w:hAnsi="Times New Roman"/>
        </w:rPr>
      </w:pPr>
    </w:p>
    <w:p w:rsidR="00F65D89" w:rsidP="00AA321A" w14:paraId="372ABB10" w14:textId="77777777">
      <w:pPr>
        <w:ind w:left="720" w:firstLine="720"/>
        <w:rPr>
          <w:rFonts w:ascii="Times New Roman" w:hAnsi="Times New Roman"/>
        </w:rPr>
      </w:pPr>
      <w:r>
        <w:rPr>
          <w:rFonts w:ascii="Times New Roman" w:hAnsi="Times New Roman"/>
        </w:rPr>
        <w:t xml:space="preserve">Not applicable. </w:t>
      </w:r>
    </w:p>
    <w:p w:rsidR="00F65D89" w14:paraId="7D5731F2" w14:textId="77777777">
      <w:pPr>
        <w:rPr>
          <w:rFonts w:ascii="Times New Roman" w:hAnsi="Times New Roman"/>
        </w:rPr>
      </w:pPr>
    </w:p>
    <w:p w:rsidR="00F65D89" w:rsidRPr="00AA321A" w:rsidP="00AA321A" w14:paraId="152408A7" w14:textId="77777777">
      <w:pPr>
        <w:pStyle w:val="ListParagraph"/>
        <w:numPr>
          <w:ilvl w:val="0"/>
          <w:numId w:val="4"/>
        </w:numPr>
        <w:outlineLvl w:val="0"/>
        <w:rPr>
          <w:rFonts w:ascii="Times New Roman" w:hAnsi="Times New Roman"/>
        </w:rPr>
      </w:pPr>
      <w:r w:rsidRPr="00AA321A">
        <w:rPr>
          <w:rFonts w:ascii="Times New Roman" w:hAnsi="Times New Roman"/>
          <w:u w:val="single"/>
        </w:rPr>
        <w:t>Exceptions to Certification</w:t>
      </w:r>
    </w:p>
    <w:p w:rsidR="00F65D89" w14:paraId="226CAC56" w14:textId="77777777">
      <w:pPr>
        <w:ind w:left="600" w:firstLine="120"/>
        <w:rPr>
          <w:rFonts w:ascii="Times New Roman" w:hAnsi="Times New Roman"/>
        </w:rPr>
      </w:pPr>
    </w:p>
    <w:p w:rsidR="00F65D89" w:rsidP="00AA321A" w14:paraId="3E1C2586" w14:textId="77777777">
      <w:pPr>
        <w:ind w:left="720" w:firstLine="720"/>
        <w:rPr>
          <w:rFonts w:ascii="Times New Roman" w:hAnsi="Times New Roman"/>
        </w:rPr>
      </w:pPr>
      <w:r>
        <w:rPr>
          <w:rFonts w:ascii="Times New Roman" w:hAnsi="Times New Roman"/>
        </w:rPr>
        <w:t>None.</w:t>
      </w:r>
    </w:p>
    <w:p w:rsidR="00F65D89" w14:paraId="58D86E0E" w14:textId="77777777">
      <w:pPr>
        <w:ind w:left="600" w:firstLine="840"/>
        <w:rPr>
          <w:rFonts w:ascii="Times New Roman" w:hAnsi="Times New Roman"/>
        </w:rPr>
      </w:pPr>
    </w:p>
    <w:p w:rsidR="00F65D89" w14:paraId="0202E9E7" w14:textId="77777777">
      <w:pPr>
        <w:rPr>
          <w:rFonts w:ascii="Times New Roman" w:hAnsi="Times New Roman"/>
        </w:rPr>
      </w:pPr>
      <w:r>
        <w:rPr>
          <w:rFonts w:ascii="Times New Roman" w:hAnsi="Times New Roman"/>
        </w:rPr>
        <w:t>B.</w:t>
      </w:r>
      <w:r>
        <w:rPr>
          <w:rFonts w:ascii="Times New Roman" w:hAnsi="Times New Roman"/>
        </w:rPr>
        <w:tab/>
      </w:r>
      <w:r w:rsidR="00850245">
        <w:rPr>
          <w:rFonts w:ascii="Times New Roman" w:hAnsi="Times New Roman"/>
          <w:u w:val="single"/>
        </w:rPr>
        <w:t>STATISTICAL METHODS</w:t>
      </w:r>
    </w:p>
    <w:p w:rsidR="00F65D89" w14:paraId="44D3FC17" w14:textId="77777777">
      <w:pPr>
        <w:rPr>
          <w:rFonts w:ascii="Times New Roman" w:hAnsi="Times New Roman"/>
        </w:rPr>
      </w:pPr>
    </w:p>
    <w:p w:rsidR="00F65D89" w:rsidP="00AA321A" w14:paraId="137AC88A" w14:textId="77777777">
      <w:pPr>
        <w:ind w:firstLine="720"/>
      </w:pPr>
      <w:r>
        <w:rPr>
          <w:rFonts w:ascii="Times New Roman" w:hAnsi="Times New Roman"/>
        </w:rPr>
        <w:t>Not applicable.</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CE3" w14:paraId="2CD9E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0C6" w:rsidRPr="00285CE3" w:rsidP="00285CE3" w14:paraId="34490F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CE3" w14:paraId="1B4A9B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0DEE" w14:paraId="21696146" w14:textId="77777777">
      <w:r>
        <w:separator/>
      </w:r>
    </w:p>
  </w:footnote>
  <w:footnote w:type="continuationSeparator" w:id="1">
    <w:p w:rsidR="00AC0DEE" w14:paraId="4F54BE11" w14:textId="77777777">
      <w:r>
        <w:continuationSeparator/>
      </w:r>
    </w:p>
  </w:footnote>
  <w:footnote w:id="2">
    <w:p w:rsidR="00997DDF" w14:paraId="67567B9A" w14:textId="72E3788F">
      <w:pPr>
        <w:pStyle w:val="FootnoteText"/>
      </w:pPr>
      <w:r>
        <w:rPr>
          <w:rStyle w:val="FootnoteReference"/>
        </w:rPr>
        <w:footnoteRef/>
      </w:r>
      <w:r>
        <w:t xml:space="preserve"> </w:t>
      </w:r>
      <w:r w:rsidRPr="00997DDF">
        <w:t>90 FR 55789, 55811 (December 4, 2025)</w:t>
      </w:r>
    </w:p>
  </w:footnote>
  <w:footnote w:id="3">
    <w:p w:rsidR="002D176E" w:rsidP="002D176E" w14:paraId="4D3D8CF2" w14:textId="77777777">
      <w:pPr>
        <w:pStyle w:val="FootnoteText"/>
      </w:pPr>
      <w:r>
        <w:rPr>
          <w:rStyle w:val="FootnoteReference"/>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2D176E" w:rsidP="002D176E" w14:paraId="4D54F063" w14:textId="77777777">
      <w:pPr>
        <w:pStyle w:val="FootnoteText"/>
      </w:pPr>
    </w:p>
  </w:footnote>
  <w:footnote w:id="4">
    <w:p w:rsidR="00F47717" w:rsidRPr="00F47717" w:rsidP="00F47717" w14:paraId="4E96E2F3" w14:textId="77777777">
      <w:pPr>
        <w:pStyle w:val="FootnoteText"/>
        <w:rPr>
          <w:sz w:val="18"/>
          <w:szCs w:val="18"/>
        </w:rPr>
      </w:pPr>
      <w:r w:rsidRPr="00F47717">
        <w:rPr>
          <w:rStyle w:val="FootnoteReference"/>
          <w:sz w:val="18"/>
          <w:szCs w:val="18"/>
        </w:rPr>
        <w:footnoteRef/>
      </w:r>
      <w:r w:rsidRPr="00F47717">
        <w:rPr>
          <w:sz w:val="18"/>
          <w:szCs w:val="18"/>
        </w:rPr>
        <w:t xml:space="preserve"> See OMB No. 3064-0135 at </w:t>
      </w:r>
      <w:hyperlink r:id="rId1" w:history="1">
        <w:r w:rsidRPr="00F47717">
          <w:rPr>
            <w:rStyle w:val="Hyperlink"/>
            <w:sz w:val="18"/>
            <w:szCs w:val="18"/>
          </w:rPr>
          <w:t>https://www.reginfo.gov/public/Forward?SearchTarget=PRA&amp;textfield=3064-0135&amp;Image61.x=0&amp;Image61.y=0</w:t>
        </w:r>
      </w:hyperlink>
      <w:r w:rsidRPr="00F47717">
        <w:rPr>
          <w:sz w:val="18"/>
          <w:szCs w:val="18"/>
        </w:rPr>
        <w:t>.</w:t>
      </w:r>
    </w:p>
  </w:footnote>
  <w:footnote w:id="5">
    <w:p w:rsidR="00F47717" w:rsidRPr="00F47717" w:rsidP="00F47717" w14:paraId="0D8D6E14" w14:textId="77777777">
      <w:pPr>
        <w:pStyle w:val="FootnoteText"/>
        <w:rPr>
          <w:sz w:val="18"/>
          <w:szCs w:val="18"/>
        </w:rPr>
      </w:pPr>
      <w:r w:rsidRPr="00F47717">
        <w:rPr>
          <w:rStyle w:val="FootnoteReference"/>
          <w:sz w:val="18"/>
          <w:szCs w:val="18"/>
        </w:rPr>
        <w:footnoteRef/>
      </w:r>
      <w:r w:rsidRPr="00F47717">
        <w:rPr>
          <w:sz w:val="18"/>
          <w:szCs w:val="18"/>
        </w:rPr>
        <w:t xml:space="preserve"> 2*6+3*18 =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CE3" w14:paraId="1097F9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BB7" w14:paraId="697D38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CE3" w14:paraId="5D9F8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9F2753"/>
    <w:multiLevelType w:val="singleLevel"/>
    <w:tmpl w:val="8A8CB01E"/>
    <w:lvl w:ilvl="0">
      <w:start w:val="2"/>
      <w:numFmt w:val="upperLetter"/>
      <w:lvlText w:val="%1."/>
      <w:lvlJc w:val="left"/>
      <w:pPr>
        <w:tabs>
          <w:tab w:val="num" w:pos="1440"/>
        </w:tabs>
        <w:ind w:left="1440" w:hanging="840"/>
      </w:pPr>
      <w:rPr>
        <w:rFonts w:hint="default"/>
      </w:rPr>
    </w:lvl>
  </w:abstractNum>
  <w:abstractNum w:abstractNumId="1">
    <w:nsid w:val="5EF535CE"/>
    <w:multiLevelType w:val="hybridMultilevel"/>
    <w:tmpl w:val="9A4A7C1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3C3EC4"/>
    <w:multiLevelType w:val="hybridMultilevel"/>
    <w:tmpl w:val="054C80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7C71106"/>
    <w:multiLevelType w:val="hybridMultilevel"/>
    <w:tmpl w:val="5CBACF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6745859">
    <w:abstractNumId w:val="0"/>
  </w:num>
  <w:num w:numId="2" w16cid:durableId="1084839242">
    <w:abstractNumId w:val="3"/>
  </w:num>
  <w:num w:numId="3" w16cid:durableId="1899389564">
    <w:abstractNumId w:val="2"/>
  </w:num>
  <w:num w:numId="4" w16cid:durableId="850221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20"/>
    <w:rsid w:val="00017FDA"/>
    <w:rsid w:val="0002185B"/>
    <w:rsid w:val="000715DD"/>
    <w:rsid w:val="000807DA"/>
    <w:rsid w:val="00097D65"/>
    <w:rsid w:val="000B3FA4"/>
    <w:rsid w:val="000D0E00"/>
    <w:rsid w:val="000D69A4"/>
    <w:rsid w:val="000E2CAB"/>
    <w:rsid w:val="0011239B"/>
    <w:rsid w:val="001177ED"/>
    <w:rsid w:val="00173C46"/>
    <w:rsid w:val="00184BB7"/>
    <w:rsid w:val="0019755C"/>
    <w:rsid w:val="001B5899"/>
    <w:rsid w:val="001D5696"/>
    <w:rsid w:val="001D6A7A"/>
    <w:rsid w:val="00245420"/>
    <w:rsid w:val="0026619C"/>
    <w:rsid w:val="00266C0A"/>
    <w:rsid w:val="002746A7"/>
    <w:rsid w:val="00285CE3"/>
    <w:rsid w:val="002C47B9"/>
    <w:rsid w:val="002D176E"/>
    <w:rsid w:val="002D4647"/>
    <w:rsid w:val="002E1E24"/>
    <w:rsid w:val="0034178C"/>
    <w:rsid w:val="003778C7"/>
    <w:rsid w:val="00383CFA"/>
    <w:rsid w:val="00386574"/>
    <w:rsid w:val="003D24A3"/>
    <w:rsid w:val="003D4673"/>
    <w:rsid w:val="004103C1"/>
    <w:rsid w:val="004524D1"/>
    <w:rsid w:val="00457EE8"/>
    <w:rsid w:val="004918D2"/>
    <w:rsid w:val="00495852"/>
    <w:rsid w:val="004A623D"/>
    <w:rsid w:val="004D060D"/>
    <w:rsid w:val="005141C3"/>
    <w:rsid w:val="005243EF"/>
    <w:rsid w:val="00535E22"/>
    <w:rsid w:val="005556AC"/>
    <w:rsid w:val="005924F4"/>
    <w:rsid w:val="006204DC"/>
    <w:rsid w:val="00627804"/>
    <w:rsid w:val="006A0929"/>
    <w:rsid w:val="007008E6"/>
    <w:rsid w:val="00730E6A"/>
    <w:rsid w:val="00743018"/>
    <w:rsid w:val="007430B4"/>
    <w:rsid w:val="00775C36"/>
    <w:rsid w:val="007A0A16"/>
    <w:rsid w:val="007A0E1E"/>
    <w:rsid w:val="007E560D"/>
    <w:rsid w:val="00814C3E"/>
    <w:rsid w:val="008215A8"/>
    <w:rsid w:val="00842FDB"/>
    <w:rsid w:val="00843D7B"/>
    <w:rsid w:val="00850245"/>
    <w:rsid w:val="008566F4"/>
    <w:rsid w:val="008F67C4"/>
    <w:rsid w:val="009121C3"/>
    <w:rsid w:val="0094063D"/>
    <w:rsid w:val="00990A1C"/>
    <w:rsid w:val="00997DDF"/>
    <w:rsid w:val="009D24C8"/>
    <w:rsid w:val="00A11BF4"/>
    <w:rsid w:val="00A13E1B"/>
    <w:rsid w:val="00A31A7F"/>
    <w:rsid w:val="00A3281A"/>
    <w:rsid w:val="00A55684"/>
    <w:rsid w:val="00A60AA8"/>
    <w:rsid w:val="00AA321A"/>
    <w:rsid w:val="00AC0DEE"/>
    <w:rsid w:val="00B2673F"/>
    <w:rsid w:val="00B973A4"/>
    <w:rsid w:val="00BC2754"/>
    <w:rsid w:val="00C00F4C"/>
    <w:rsid w:val="00C15D08"/>
    <w:rsid w:val="00C57B7B"/>
    <w:rsid w:val="00C609C7"/>
    <w:rsid w:val="00C768D5"/>
    <w:rsid w:val="00C8341E"/>
    <w:rsid w:val="00C9024E"/>
    <w:rsid w:val="00CB0A2D"/>
    <w:rsid w:val="00CF059D"/>
    <w:rsid w:val="00CF48F0"/>
    <w:rsid w:val="00D1141A"/>
    <w:rsid w:val="00D56E75"/>
    <w:rsid w:val="00D92169"/>
    <w:rsid w:val="00DA46A3"/>
    <w:rsid w:val="00DD0D50"/>
    <w:rsid w:val="00E313A0"/>
    <w:rsid w:val="00E35633"/>
    <w:rsid w:val="00E96B78"/>
    <w:rsid w:val="00EB40D1"/>
    <w:rsid w:val="00EB71BF"/>
    <w:rsid w:val="00F050D3"/>
    <w:rsid w:val="00F0748C"/>
    <w:rsid w:val="00F07EEC"/>
    <w:rsid w:val="00F12213"/>
    <w:rsid w:val="00F24138"/>
    <w:rsid w:val="00F31A91"/>
    <w:rsid w:val="00F36E69"/>
    <w:rsid w:val="00F47717"/>
    <w:rsid w:val="00F65D89"/>
    <w:rsid w:val="00F720C6"/>
    <w:rsid w:val="00F7536C"/>
    <w:rsid w:val="00F80116"/>
    <w:rsid w:val="00F95A5F"/>
    <w:rsid w:val="00FF66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B03D60"/>
  <w15:docId w15:val="{EA232630-E76E-4E74-9738-52520988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basedOn w:val="Normal"/>
    <w:rsid w:val="000807DA"/>
    <w:pPr>
      <w:widowControl/>
      <w:autoSpaceDE w:val="0"/>
      <w:autoSpaceDN w:val="0"/>
    </w:pPr>
    <w:rPr>
      <w:rFonts w:ascii="Times New Roman PS MT" w:eastAsia="Calibri" w:hAnsi="Times New Roman PS MT"/>
      <w:snapToGrid/>
      <w:color w:val="000000"/>
      <w:szCs w:val="24"/>
    </w:rPr>
  </w:style>
  <w:style w:type="character" w:styleId="CommentReference">
    <w:name w:val="annotation reference"/>
    <w:basedOn w:val="DefaultParagraphFont"/>
    <w:rsid w:val="00B2673F"/>
    <w:rPr>
      <w:sz w:val="16"/>
      <w:szCs w:val="16"/>
    </w:rPr>
  </w:style>
  <w:style w:type="paragraph" w:styleId="CommentText">
    <w:name w:val="annotation text"/>
    <w:basedOn w:val="Normal"/>
    <w:link w:val="CommentTextChar"/>
    <w:rsid w:val="00B2673F"/>
    <w:rPr>
      <w:sz w:val="20"/>
    </w:rPr>
  </w:style>
  <w:style w:type="character" w:customStyle="1" w:styleId="CommentTextChar">
    <w:name w:val="Comment Text Char"/>
    <w:basedOn w:val="DefaultParagraphFont"/>
    <w:link w:val="CommentText"/>
    <w:rsid w:val="00B2673F"/>
    <w:rPr>
      <w:rFonts w:ascii="Courier" w:hAnsi="Courier"/>
      <w:snapToGrid w:val="0"/>
    </w:rPr>
  </w:style>
  <w:style w:type="paragraph" w:styleId="CommentSubject">
    <w:name w:val="annotation subject"/>
    <w:basedOn w:val="CommentText"/>
    <w:next w:val="CommentText"/>
    <w:link w:val="CommentSubjectChar"/>
    <w:rsid w:val="00B2673F"/>
    <w:rPr>
      <w:b/>
      <w:bCs/>
    </w:rPr>
  </w:style>
  <w:style w:type="character" w:customStyle="1" w:styleId="CommentSubjectChar">
    <w:name w:val="Comment Subject Char"/>
    <w:basedOn w:val="CommentTextChar"/>
    <w:link w:val="CommentSubject"/>
    <w:rsid w:val="00B2673F"/>
    <w:rPr>
      <w:rFonts w:ascii="Courier" w:hAnsi="Courier"/>
      <w:b/>
      <w:bCs/>
      <w:snapToGrid w:val="0"/>
    </w:rPr>
  </w:style>
  <w:style w:type="paragraph" w:styleId="BalloonText">
    <w:name w:val="Balloon Text"/>
    <w:basedOn w:val="Normal"/>
    <w:link w:val="BalloonTextChar"/>
    <w:rsid w:val="00B2673F"/>
    <w:rPr>
      <w:rFonts w:ascii="Tahoma" w:hAnsi="Tahoma" w:cs="Tahoma"/>
      <w:sz w:val="16"/>
      <w:szCs w:val="16"/>
    </w:rPr>
  </w:style>
  <w:style w:type="character" w:customStyle="1" w:styleId="BalloonTextChar">
    <w:name w:val="Balloon Text Char"/>
    <w:basedOn w:val="DefaultParagraphFont"/>
    <w:link w:val="BalloonText"/>
    <w:rsid w:val="00B2673F"/>
    <w:rPr>
      <w:rFonts w:ascii="Tahoma" w:hAnsi="Tahoma" w:cs="Tahoma"/>
      <w:snapToGrid w:val="0"/>
      <w:sz w:val="16"/>
      <w:szCs w:val="16"/>
    </w:rPr>
  </w:style>
  <w:style w:type="paragraph" w:styleId="ListParagraph">
    <w:name w:val="List Paragraph"/>
    <w:basedOn w:val="Normal"/>
    <w:uiPriority w:val="34"/>
    <w:qFormat/>
    <w:rsid w:val="00990A1C"/>
    <w:pPr>
      <w:ind w:left="720"/>
      <w:contextualSpacing/>
    </w:pPr>
  </w:style>
  <w:style w:type="character" w:styleId="Hyperlink">
    <w:name w:val="Hyperlink"/>
    <w:uiPriority w:val="99"/>
    <w:unhideWhenUsed/>
    <w:rsid w:val="002D176E"/>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2D176E"/>
  </w:style>
  <w:style w:type="paragraph" w:styleId="FootnoteText">
    <w:name w:val="footnote text"/>
    <w:aliases w:val="ALTS FOOTNOTE,Car,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2D176E"/>
    <w:pPr>
      <w:widowControl/>
    </w:pPr>
    <w:rPr>
      <w:rFonts w:ascii="Times New Roman" w:hAnsi="Times New Roman"/>
      <w:snapToGrid/>
      <w:sz w:val="20"/>
    </w:rPr>
  </w:style>
  <w:style w:type="character" w:customStyle="1" w:styleId="FootnoteTextChar1">
    <w:name w:val="Footnote Text Char1"/>
    <w:basedOn w:val="DefaultParagraphFont"/>
    <w:rsid w:val="002D176E"/>
    <w:rPr>
      <w:rFonts w:ascii="Courier" w:hAnsi="Courier"/>
      <w:snapToGrid w:val="0"/>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2D176E"/>
    <w:rPr>
      <w:vertAlign w:val="superscript"/>
    </w:rPr>
  </w:style>
  <w:style w:type="character" w:styleId="FollowedHyperlink">
    <w:name w:val="FollowedHyperlink"/>
    <w:basedOn w:val="DefaultParagraphFont"/>
    <w:rsid w:val="009121C3"/>
    <w:rPr>
      <w:color w:val="800080" w:themeColor="followedHyperlink"/>
      <w:u w:val="single"/>
    </w:rPr>
  </w:style>
  <w:style w:type="character" w:customStyle="1" w:styleId="FooterChar">
    <w:name w:val="Footer Char"/>
    <w:basedOn w:val="DefaultParagraphFont"/>
    <w:link w:val="Footer"/>
    <w:uiPriority w:val="99"/>
    <w:rsid w:val="00F720C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ic.gov/policies/privacy/sorns.html" TargetMode="External" /><Relationship Id="rId7" Type="http://schemas.openxmlformats.org/officeDocument/2006/relationships/hyperlink" Target="https://www.fdic.gov/about/privacy/assessments.html"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Forward?SearchTarget=PRA&amp;textfield=3064-0135&amp;Image61.x=0&amp;Image61.y=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B8A6-FB6F-4E71-B2DC-0DE596C69C7E}">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Meiers, Robert M.</dc:creator>
  <cp:lastModifiedBy>Meiers, Robert M.</cp:lastModifiedBy>
  <cp:revision>4</cp:revision>
  <dcterms:created xsi:type="dcterms:W3CDTF">2025-11-17T21:54:00Z</dcterms:created>
  <dcterms:modified xsi:type="dcterms:W3CDTF">2025-12-09T15:12:00Z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5c95e83d-2b88-4312-914a-367b1d23fad9</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2024-01-12T16:57:11Z</vt:lpwstr>
  </property>
  <property fmtid="{D5CDD505-2E9C-101B-9397-08002B2CF9AE}" pid="8" name="MSIP_Label_3be8ab8c-433c-4394-a4fb-cd2d5c4d0a5e_SiteId">
    <vt:lpwstr>26c83bc9-31c1-4d77-a523-0816095aba31</vt:lpwstr>
  </property>
</Properties>
</file>