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47C3" w:rsidRPr="00EA5F97" w:rsidP="003D47C3" w14:paraId="19CC6BE9" w14:textId="77777777">
      <w:pPr>
        <w:pStyle w:val="Heading1"/>
        <w:rPr>
          <w:rFonts w:asciiTheme="minorHAnsi" w:hAnsiTheme="minorHAnsi" w:cstheme="minorBidi"/>
        </w:rPr>
      </w:pPr>
      <w:r w:rsidRPr="1615AE4C">
        <w:rPr>
          <w:rFonts w:asciiTheme="minorHAnsi" w:hAnsiTheme="minorHAnsi" w:cstheme="minorBidi"/>
        </w:rPr>
        <w:t>Appendix C – Criteria for the Review and Disposition of Applications</w:t>
      </w:r>
    </w:p>
    <w:p w:rsidR="003D47C3" w:rsidRPr="00EA5F97" w:rsidP="003D47C3" w14:paraId="525493D3" w14:textId="77777777">
      <w:pPr>
        <w:rPr>
          <w:rFonts w:asciiTheme="minorHAnsi" w:hAnsiTheme="minorHAnsi" w:cstheme="minorHAnsi"/>
        </w:rPr>
      </w:pPr>
    </w:p>
    <w:p w:rsidR="003D47C3" w:rsidRPr="00EA5F97" w:rsidP="003D47C3" w14:paraId="11B7D8C0" w14:textId="77777777">
      <w:pPr>
        <w:rPr>
          <w:rFonts w:asciiTheme="minorHAnsi" w:hAnsiTheme="minorHAnsi"/>
          <w:sz w:val="22"/>
          <w:szCs w:val="22"/>
        </w:rPr>
      </w:pPr>
      <w:r w:rsidRPr="1615AE4C">
        <w:rPr>
          <w:rFonts w:asciiTheme="minorHAnsi" w:hAnsiTheme="minorHAnsi"/>
          <w:sz w:val="22"/>
          <w:szCs w:val="22"/>
        </w:rPr>
        <w:t xml:space="preserve">Review Criteria for Project Proposal Review </w:t>
      </w:r>
    </w:p>
    <w:tbl>
      <w:tblPr>
        <w:tblW w:w="4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tblPr>
      <w:tblGrid>
        <w:gridCol w:w="2694"/>
        <w:gridCol w:w="9541"/>
      </w:tblGrid>
      <w:tr w14:paraId="4964D6D0" w14:textId="77777777" w:rsidTr="00723EC8">
        <w:tblPrEx>
          <w:tblW w:w="4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tblPrEx>
        <w:trPr>
          <w:trHeight w:val="269"/>
          <w:tblHeader/>
        </w:trPr>
        <w:tc>
          <w:tcPr>
            <w:tcW w:w="1101" w:type="pct"/>
            <w:vMerge w:val="restart"/>
            <w:shd w:val="clear" w:color="auto" w:fill="D9D9D9" w:themeFill="background1" w:themeFillShade="D9"/>
            <w:vAlign w:val="center"/>
          </w:tcPr>
          <w:p w:rsidR="003D47C3" w:rsidRPr="00051F38" w:rsidP="00723EC8" w14:paraId="55030215" w14:textId="77777777">
            <w:pPr>
              <w:jc w:val="center"/>
              <w:rPr>
                <w:rFonts w:asciiTheme="minorHAnsi" w:hAnsiTheme="minorHAnsi"/>
                <w:b/>
                <w:bCs/>
                <w:sz w:val="22"/>
                <w:szCs w:val="22"/>
              </w:rPr>
            </w:pPr>
            <w:r w:rsidRPr="1615AE4C">
              <w:rPr>
                <w:rFonts w:asciiTheme="minorHAnsi" w:hAnsiTheme="minorHAnsi"/>
                <w:b/>
                <w:bCs/>
                <w:sz w:val="22"/>
                <w:szCs w:val="22"/>
              </w:rPr>
              <w:t>Criteria</w:t>
            </w:r>
          </w:p>
        </w:tc>
        <w:tc>
          <w:tcPr>
            <w:tcW w:w="3899" w:type="pct"/>
            <w:vMerge w:val="restart"/>
            <w:shd w:val="clear" w:color="auto" w:fill="D9D9D9" w:themeFill="background1" w:themeFillShade="D9"/>
            <w:vAlign w:val="center"/>
          </w:tcPr>
          <w:p w:rsidR="003D47C3" w:rsidRPr="00051F38" w:rsidP="00723EC8" w14:paraId="6F73D2A4" w14:textId="77777777">
            <w:pPr>
              <w:jc w:val="center"/>
              <w:rPr>
                <w:rFonts w:asciiTheme="minorHAnsi" w:hAnsiTheme="minorHAnsi"/>
                <w:b/>
                <w:bCs/>
                <w:sz w:val="22"/>
                <w:szCs w:val="22"/>
              </w:rPr>
            </w:pPr>
            <w:r w:rsidRPr="1615AE4C">
              <w:rPr>
                <w:rFonts w:asciiTheme="minorHAnsi" w:hAnsiTheme="minorHAnsi"/>
                <w:b/>
                <w:bCs/>
                <w:sz w:val="22"/>
                <w:szCs w:val="22"/>
              </w:rPr>
              <w:t>Description</w:t>
            </w:r>
          </w:p>
        </w:tc>
      </w:tr>
      <w:tr w14:paraId="6815816E" w14:textId="77777777" w:rsidTr="00723EC8">
        <w:tblPrEx>
          <w:tblW w:w="4724" w:type="pct"/>
          <w:tblCellMar>
            <w:left w:w="115" w:type="dxa"/>
            <w:right w:w="115" w:type="dxa"/>
          </w:tblCellMar>
          <w:tblLook w:val="0400"/>
        </w:tblPrEx>
        <w:trPr>
          <w:trHeight w:val="309"/>
        </w:trPr>
        <w:tc>
          <w:tcPr>
            <w:tcW w:w="1101" w:type="pct"/>
            <w:vMerge/>
            <w:shd w:val="clear" w:color="auto" w:fill="D9D9D9"/>
            <w:vAlign w:val="bottom"/>
          </w:tcPr>
          <w:p w:rsidR="003D47C3" w:rsidRPr="00EA5F97" w:rsidP="00723EC8" w14:paraId="3C91BF81" w14:textId="77777777">
            <w:pPr>
              <w:widowControl w:val="0"/>
              <w:pBdr>
                <w:top w:val="nil"/>
                <w:left w:val="nil"/>
                <w:bottom w:val="nil"/>
                <w:right w:val="nil"/>
                <w:between w:val="nil"/>
              </w:pBdr>
              <w:spacing w:line="276" w:lineRule="auto"/>
              <w:rPr>
                <w:rFonts w:asciiTheme="minorHAnsi" w:hAnsiTheme="minorHAnsi" w:cstheme="minorHAnsi"/>
                <w:sz w:val="22"/>
                <w:szCs w:val="22"/>
              </w:rPr>
            </w:pPr>
          </w:p>
        </w:tc>
        <w:tc>
          <w:tcPr>
            <w:tcW w:w="3899" w:type="pct"/>
            <w:vMerge/>
            <w:shd w:val="clear" w:color="auto" w:fill="D9D9D9"/>
            <w:vAlign w:val="bottom"/>
          </w:tcPr>
          <w:p w:rsidR="003D47C3" w:rsidRPr="00EA5F97" w:rsidP="00723EC8" w14:paraId="3E6C9ED1" w14:textId="77777777">
            <w:pPr>
              <w:widowControl w:val="0"/>
              <w:pBdr>
                <w:top w:val="nil"/>
                <w:left w:val="nil"/>
                <w:bottom w:val="nil"/>
                <w:right w:val="nil"/>
                <w:between w:val="nil"/>
              </w:pBdr>
              <w:spacing w:line="276" w:lineRule="auto"/>
              <w:rPr>
                <w:rFonts w:asciiTheme="minorHAnsi" w:hAnsiTheme="minorHAnsi" w:cstheme="minorHAnsi"/>
                <w:sz w:val="22"/>
                <w:szCs w:val="22"/>
              </w:rPr>
            </w:pPr>
          </w:p>
        </w:tc>
      </w:tr>
      <w:tr w14:paraId="3E09E83A" w14:textId="77777777" w:rsidTr="00723EC8">
        <w:tblPrEx>
          <w:tblW w:w="4724" w:type="pct"/>
          <w:tblCellMar>
            <w:left w:w="115" w:type="dxa"/>
            <w:right w:w="115" w:type="dxa"/>
          </w:tblCellMar>
          <w:tblLook w:val="0400"/>
        </w:tblPrEx>
        <w:tc>
          <w:tcPr>
            <w:tcW w:w="1101" w:type="pct"/>
          </w:tcPr>
          <w:p w:rsidR="003D47C3" w:rsidRPr="00EA5F97" w:rsidP="00723EC8" w14:paraId="1C133A12" w14:textId="77777777">
            <w:pPr>
              <w:rPr>
                <w:rFonts w:asciiTheme="minorHAnsi" w:hAnsiTheme="minorHAnsi"/>
                <w:sz w:val="20"/>
                <w:szCs w:val="20"/>
              </w:rPr>
            </w:pPr>
            <w:r w:rsidRPr="1615AE4C">
              <w:rPr>
                <w:rFonts w:asciiTheme="minorHAnsi" w:hAnsiTheme="minorHAnsi"/>
                <w:sz w:val="20"/>
                <w:szCs w:val="20"/>
              </w:rPr>
              <w:t>Statistical Purpose</w:t>
            </w:r>
          </w:p>
        </w:tc>
        <w:tc>
          <w:tcPr>
            <w:tcW w:w="3899" w:type="pct"/>
          </w:tcPr>
          <w:p w:rsidR="003D47C3" w:rsidRPr="00EA5F97" w:rsidP="00723EC8" w14:paraId="28A7879A" w14:textId="77777777">
            <w:pPr>
              <w:rPr>
                <w:rFonts w:asciiTheme="minorHAnsi" w:hAnsiTheme="minorHAnsi"/>
                <w:sz w:val="20"/>
                <w:szCs w:val="20"/>
              </w:rPr>
            </w:pPr>
            <w:r w:rsidRPr="1615AE4C">
              <w:rPr>
                <w:rFonts w:asciiTheme="minorHAnsi" w:hAnsiTheme="minorHAnsi"/>
                <w:sz w:val="20"/>
                <w:szCs w:val="20"/>
              </w:rPr>
              <w:t xml:space="preserve">Project proposals must have a statistical purpose(s) (as opposed to a nonstatistical purpose).  </w:t>
            </w:r>
          </w:p>
        </w:tc>
      </w:tr>
      <w:tr w14:paraId="7785E2B6" w14:textId="77777777" w:rsidTr="00723EC8">
        <w:tblPrEx>
          <w:tblW w:w="4724" w:type="pct"/>
          <w:tblCellMar>
            <w:left w:w="115" w:type="dxa"/>
            <w:right w:w="115" w:type="dxa"/>
          </w:tblCellMar>
          <w:tblLook w:val="0400"/>
        </w:tblPrEx>
        <w:tc>
          <w:tcPr>
            <w:tcW w:w="1101" w:type="pct"/>
          </w:tcPr>
          <w:p w:rsidR="003D47C3" w:rsidRPr="00EA5F97" w:rsidP="00723EC8" w14:paraId="1D1EC546" w14:textId="77777777">
            <w:pPr>
              <w:rPr>
                <w:rFonts w:asciiTheme="minorHAnsi" w:hAnsiTheme="minorHAnsi"/>
                <w:sz w:val="20"/>
                <w:szCs w:val="20"/>
              </w:rPr>
            </w:pPr>
            <w:r w:rsidRPr="1615AE4C">
              <w:rPr>
                <w:rFonts w:asciiTheme="minorHAnsi" w:hAnsiTheme="minorHAnsi"/>
                <w:sz w:val="20"/>
                <w:szCs w:val="20"/>
              </w:rPr>
              <w:t>Allowed Use</w:t>
            </w:r>
          </w:p>
        </w:tc>
        <w:tc>
          <w:tcPr>
            <w:tcW w:w="3899" w:type="pct"/>
          </w:tcPr>
          <w:p w:rsidR="003D47C3" w:rsidRPr="00EA5F97" w:rsidP="00723EC8" w14:paraId="4082DDDB" w14:textId="77777777">
            <w:pPr>
              <w:rPr>
                <w:rFonts w:asciiTheme="minorHAnsi" w:hAnsiTheme="minorHAnsi"/>
                <w:sz w:val="20"/>
                <w:szCs w:val="20"/>
              </w:rPr>
            </w:pPr>
            <w:r w:rsidRPr="1615AE4C">
              <w:rPr>
                <w:rFonts w:asciiTheme="minorHAnsi" w:hAnsiTheme="minorHAnsi"/>
                <w:sz w:val="20"/>
                <w:szCs w:val="20"/>
              </w:rPr>
              <w:t>The data use described in the project proposal must be consistent with the privacy notices and/or informed consent statements used when the data were collected from respondents (i.e., individuals, companies, or establishments) or when acquired (e.g., administrative and proprietary data). The use must also align with allowed use as governed by statute, outlined in the Memorandum of Understanding, data use agreements, Privacy Act, and/or PRA statements or other documentation (e.g., Institutional Review Board (IRB) requirements) that govern data use.</w:t>
            </w:r>
          </w:p>
        </w:tc>
      </w:tr>
      <w:tr w14:paraId="0078817C" w14:textId="77777777" w:rsidTr="00723EC8">
        <w:tblPrEx>
          <w:tblW w:w="4724" w:type="pct"/>
          <w:tblCellMar>
            <w:left w:w="115" w:type="dxa"/>
            <w:right w:w="115" w:type="dxa"/>
          </w:tblCellMar>
          <w:tblLook w:val="0400"/>
        </w:tblPrEx>
        <w:tc>
          <w:tcPr>
            <w:tcW w:w="1101" w:type="pct"/>
          </w:tcPr>
          <w:p w:rsidR="003D47C3" w:rsidRPr="00EA5F97" w:rsidP="00723EC8" w14:paraId="66575D3F" w14:textId="77777777">
            <w:pPr>
              <w:rPr>
                <w:rFonts w:asciiTheme="minorHAnsi" w:hAnsiTheme="minorHAnsi"/>
                <w:sz w:val="20"/>
                <w:szCs w:val="20"/>
              </w:rPr>
            </w:pPr>
            <w:r w:rsidRPr="1615AE4C">
              <w:rPr>
                <w:rFonts w:asciiTheme="minorHAnsi" w:hAnsiTheme="minorHAnsi"/>
                <w:sz w:val="20"/>
                <w:szCs w:val="20"/>
              </w:rPr>
              <w:t>Statistical Disclosure Limitation (SDL)</w:t>
            </w:r>
          </w:p>
        </w:tc>
        <w:tc>
          <w:tcPr>
            <w:tcW w:w="3899" w:type="pct"/>
          </w:tcPr>
          <w:p w:rsidR="003D47C3" w:rsidRPr="00EA5F97" w:rsidP="00723EC8" w14:paraId="40A120EA" w14:textId="77777777">
            <w:pPr>
              <w:rPr>
                <w:rFonts w:asciiTheme="minorHAnsi" w:hAnsiTheme="minorHAnsi"/>
                <w:sz w:val="20"/>
                <w:szCs w:val="20"/>
              </w:rPr>
            </w:pPr>
            <w:r w:rsidRPr="1615AE4C">
              <w:rPr>
                <w:rFonts w:asciiTheme="minorHAnsi" w:hAnsiTheme="minorHAnsi"/>
                <w:sz w:val="20"/>
                <w:szCs w:val="20"/>
              </w:rPr>
              <w:t>Consistent with the implementing regulation for U.S.C 44, Section 3582, and adhering to standard federal SDL methods (</w:t>
            </w:r>
            <w:r w:rsidRPr="1615AE4C">
              <w:rPr>
                <w:rFonts w:asciiTheme="minorHAnsi" w:hAnsiTheme="minorHAnsi"/>
                <w:i/>
                <w:iCs/>
                <w:sz w:val="20"/>
                <w:szCs w:val="20"/>
              </w:rPr>
              <w:t>79 FR 71609 - 71616</w:t>
            </w:r>
            <w:r w:rsidRPr="1615AE4C">
              <w:rPr>
                <w:rFonts w:asciiTheme="minorHAnsi" w:hAnsiTheme="minorHAnsi"/>
                <w:sz w:val="20"/>
                <w:szCs w:val="20"/>
              </w:rPr>
              <w:t>), project proposals must be able to apply sound, scientific SDL approaches, and techniques to the satisfaction of the agency or unit that minimize the risk of re-identification (i.e., of individuals, organizations, or establishments) to proposed statistical data information products (e.g., results, intermediate or final outputs). In addition to CIPSEA, additional legal or regulatory requirements for maintaining the confidentiality of responses may apply to agency-specific data collections.</w:t>
            </w:r>
          </w:p>
        </w:tc>
      </w:tr>
      <w:tr w14:paraId="05995BFF" w14:textId="77777777" w:rsidTr="00723EC8">
        <w:tblPrEx>
          <w:tblW w:w="4724" w:type="pct"/>
          <w:tblCellMar>
            <w:left w:w="115" w:type="dxa"/>
            <w:right w:w="115" w:type="dxa"/>
          </w:tblCellMar>
          <w:tblLook w:val="0400"/>
        </w:tblPrEx>
        <w:tc>
          <w:tcPr>
            <w:tcW w:w="1101" w:type="pct"/>
          </w:tcPr>
          <w:p w:rsidR="003D47C3" w:rsidRPr="00EA5F97" w:rsidP="00723EC8" w14:paraId="2A0C28AC" w14:textId="77777777">
            <w:pPr>
              <w:rPr>
                <w:rFonts w:asciiTheme="minorHAnsi" w:hAnsiTheme="minorHAnsi"/>
                <w:sz w:val="20"/>
                <w:szCs w:val="20"/>
              </w:rPr>
            </w:pPr>
            <w:r w:rsidRPr="1615AE4C">
              <w:rPr>
                <w:rFonts w:asciiTheme="minorHAnsi" w:hAnsiTheme="minorHAnsi"/>
                <w:sz w:val="20"/>
                <w:szCs w:val="20"/>
              </w:rPr>
              <w:t>Demonstrated Need</w:t>
            </w:r>
          </w:p>
        </w:tc>
        <w:tc>
          <w:tcPr>
            <w:tcW w:w="3899" w:type="pct"/>
          </w:tcPr>
          <w:p w:rsidR="003D47C3" w:rsidRPr="00EA5F97" w:rsidP="00723EC8" w14:paraId="2F8111EC" w14:textId="77777777">
            <w:pPr>
              <w:rPr>
                <w:rFonts w:asciiTheme="minorHAnsi" w:hAnsiTheme="minorHAnsi"/>
                <w:sz w:val="20"/>
                <w:szCs w:val="20"/>
              </w:rPr>
            </w:pPr>
            <w:r w:rsidRPr="1615AE4C">
              <w:rPr>
                <w:rFonts w:asciiTheme="minorHAnsi" w:hAnsiTheme="minorHAnsi"/>
                <w:sz w:val="20"/>
                <w:szCs w:val="20"/>
              </w:rPr>
              <w:t>To justify the disclosure risk associated with access, project proposals must demonstrate that goals and objectives can only be met using confidential data assets, and that public data assets (where available) are insufficient to accomplish the project’s goals and objectives.</w:t>
            </w:r>
          </w:p>
        </w:tc>
      </w:tr>
      <w:tr w14:paraId="6D082418" w14:textId="77777777" w:rsidTr="00723EC8">
        <w:tblPrEx>
          <w:tblW w:w="4724" w:type="pct"/>
          <w:tblCellMar>
            <w:left w:w="115" w:type="dxa"/>
            <w:right w:w="115" w:type="dxa"/>
          </w:tblCellMar>
          <w:tblLook w:val="0400"/>
        </w:tblPrEx>
        <w:tc>
          <w:tcPr>
            <w:tcW w:w="1101" w:type="pct"/>
          </w:tcPr>
          <w:p w:rsidR="003D47C3" w:rsidRPr="00EA5F97" w:rsidP="00723EC8" w14:paraId="676B0BE1" w14:textId="77777777">
            <w:pPr>
              <w:rPr>
                <w:rFonts w:asciiTheme="minorHAnsi" w:hAnsiTheme="minorHAnsi"/>
                <w:sz w:val="20"/>
                <w:szCs w:val="20"/>
              </w:rPr>
            </w:pPr>
            <w:r w:rsidRPr="1615AE4C">
              <w:rPr>
                <w:rFonts w:asciiTheme="minorHAnsi" w:hAnsiTheme="minorHAnsi"/>
                <w:sz w:val="20"/>
                <w:szCs w:val="20"/>
              </w:rPr>
              <w:t>Feasibility</w:t>
            </w:r>
          </w:p>
        </w:tc>
        <w:tc>
          <w:tcPr>
            <w:tcW w:w="3899" w:type="pct"/>
          </w:tcPr>
          <w:p w:rsidR="003D47C3" w:rsidP="00723EC8" w14:paraId="10B3AED0" w14:textId="77777777">
            <w:pPr>
              <w:rPr>
                <w:rFonts w:asciiTheme="minorHAnsi" w:hAnsiTheme="minorHAnsi"/>
                <w:sz w:val="20"/>
                <w:szCs w:val="20"/>
              </w:rPr>
            </w:pPr>
            <w:r w:rsidRPr="1615AE4C">
              <w:rPr>
                <w:rFonts w:asciiTheme="minorHAnsi" w:hAnsiTheme="minorHAnsi"/>
                <w:sz w:val="20"/>
                <w:szCs w:val="20"/>
              </w:rPr>
              <w:t xml:space="preserve">To justify the disclosure risk associated with access and ensure the project’s statistical purpose can be realized, a project proposal’s goals and objectives must be achievable with the confidential data assets requested, considering the breadth of relevant constraints. Feasibility shall be considered with respect to the project design, the extent to which an agency or unit is resourced to support the project, and the ability of the applicant to execute the project. </w:t>
            </w:r>
          </w:p>
          <w:p w:rsidR="003D47C3" w:rsidP="00723EC8" w14:paraId="58462B4A" w14:textId="77777777">
            <w:pPr>
              <w:rPr>
                <w:rFonts w:asciiTheme="minorHAnsi" w:hAnsiTheme="minorHAnsi" w:cstheme="minorHAnsi"/>
                <w:sz w:val="20"/>
                <w:szCs w:val="20"/>
              </w:rPr>
            </w:pPr>
          </w:p>
          <w:p w:rsidR="003D47C3" w:rsidRPr="00232CF1" w:rsidP="00723EC8" w14:paraId="16F7ABE6" w14:textId="77777777">
            <w:pPr>
              <w:rPr>
                <w:rFonts w:asciiTheme="minorHAnsi" w:hAnsiTheme="minorHAnsi"/>
                <w:sz w:val="20"/>
                <w:szCs w:val="20"/>
              </w:rPr>
            </w:pPr>
            <w:r w:rsidRPr="1615AE4C">
              <w:rPr>
                <w:rFonts w:asciiTheme="minorHAnsi" w:hAnsiTheme="minorHAnsi"/>
                <w:sz w:val="20"/>
                <w:szCs w:val="20"/>
              </w:rPr>
              <w:t xml:space="preserve">Feasibility shall include consideration of: </w:t>
            </w:r>
          </w:p>
          <w:p w:rsidR="003D47C3" w:rsidRPr="00232CF1" w:rsidP="00723EC8" w14:paraId="368A4D41" w14:textId="77777777">
            <w:pPr>
              <w:rPr>
                <w:rFonts w:asciiTheme="minorHAnsi" w:hAnsiTheme="minorHAnsi" w:cstheme="minorHAnsi"/>
                <w:sz w:val="20"/>
                <w:szCs w:val="20"/>
              </w:rPr>
            </w:pPr>
          </w:p>
          <w:p w:rsidR="003D47C3" w:rsidRPr="00051F38" w:rsidP="003D47C3" w14:paraId="72C28104" w14:textId="77777777">
            <w:pPr>
              <w:pStyle w:val="ListParagraph"/>
              <w:widowControl w:val="0"/>
              <w:numPr>
                <w:ilvl w:val="0"/>
                <w:numId w:val="2"/>
              </w:numPr>
              <w:spacing w:after="160"/>
              <w:rPr>
                <w:rFonts w:asciiTheme="minorHAnsi" w:hAnsiTheme="minorHAnsi"/>
                <w:sz w:val="20"/>
                <w:szCs w:val="20"/>
              </w:rPr>
            </w:pPr>
            <w:r w:rsidRPr="1615AE4C">
              <w:rPr>
                <w:rFonts w:asciiTheme="minorHAnsi" w:hAnsiTheme="minorHAnsi"/>
                <w:sz w:val="20"/>
                <w:szCs w:val="20"/>
                <w:bdr w:val="none" w:sz="0" w:space="0" w:color="auto" w:frame="1"/>
              </w:rPr>
              <w:t>Project Design</w:t>
            </w:r>
            <w:r w:rsidRPr="1615AE4C">
              <w:rPr>
                <w:rFonts w:asciiTheme="minorHAnsi" w:hAnsiTheme="minorHAnsi"/>
                <w:sz w:val="20"/>
                <w:szCs w:val="20"/>
              </w:rPr>
              <w:t xml:space="preserve"> – </w:t>
            </w:r>
            <w:r w:rsidRPr="1615AE4C">
              <w:rPr>
                <w:rFonts w:asciiTheme="minorHAnsi" w:hAnsiTheme="minorHAnsi"/>
                <w:sz w:val="20"/>
                <w:szCs w:val="20"/>
                <w:bdr w:val="none" w:sz="0" w:space="0" w:color="auto" w:frame="1"/>
              </w:rPr>
              <w:t xml:space="preserve">Evaluating the feasibility of a project shall include consideration of the methodology, technical </w:t>
            </w:r>
            <w:r w:rsidRPr="1615AE4C">
              <w:rPr>
                <w:rFonts w:asciiTheme="minorHAnsi" w:hAnsiTheme="minorHAnsi"/>
                <w:sz w:val="20"/>
                <w:szCs w:val="20"/>
                <w:bdr w:val="none" w:sz="0" w:space="0" w:color="auto" w:frame="1"/>
                <w:shd w:val="clear" w:color="auto" w:fill="FFFFFF"/>
              </w:rPr>
              <w:t>aspects, physical requirements (e.g., can the researcher's computing environment handle the purposed volume of data), practicality (e.g., is computing space in a data enclave available),</w:t>
            </w:r>
            <w:r w:rsidRPr="1615AE4C">
              <w:rPr>
                <w:rFonts w:asciiTheme="minorHAnsi" w:hAnsiTheme="minorHAnsi"/>
                <w:i/>
                <w:iCs/>
                <w:sz w:val="20"/>
                <w:szCs w:val="20"/>
                <w:bdr w:val="none" w:sz="0" w:space="0" w:color="auto" w:frame="1"/>
                <w:shd w:val="clear" w:color="auto" w:fill="FFFFFF"/>
              </w:rPr>
              <w:t> </w:t>
            </w:r>
            <w:r w:rsidRPr="1615AE4C">
              <w:rPr>
                <w:rFonts w:asciiTheme="minorHAnsi" w:hAnsiTheme="minorHAnsi"/>
                <w:sz w:val="20"/>
                <w:szCs w:val="20"/>
                <w:bdr w:val="none" w:sz="0" w:space="0" w:color="auto" w:frame="1"/>
                <w:shd w:val="clear" w:color="auto" w:fill="FFFFFF"/>
              </w:rPr>
              <w:t>logistical requirements</w:t>
            </w:r>
            <w:r w:rsidRPr="1615AE4C">
              <w:rPr>
                <w:rFonts w:asciiTheme="minorHAnsi" w:hAnsiTheme="minorHAnsi"/>
                <w:i/>
                <w:iCs/>
                <w:sz w:val="20"/>
                <w:szCs w:val="20"/>
                <w:bdr w:val="none" w:sz="0" w:space="0" w:color="auto" w:frame="1"/>
                <w:shd w:val="clear" w:color="auto" w:fill="FFFFFF"/>
              </w:rPr>
              <w:t> </w:t>
            </w:r>
            <w:r w:rsidRPr="1615AE4C">
              <w:rPr>
                <w:rFonts w:asciiTheme="minorHAnsi" w:hAnsiTheme="minorHAnsi"/>
                <w:sz w:val="20"/>
                <w:szCs w:val="20"/>
                <w:bdr w:val="none" w:sz="0" w:space="0" w:color="auto" w:frame="1"/>
                <w:shd w:val="clear" w:color="auto" w:fill="FFFFFF"/>
              </w:rPr>
              <w:t>(e.g., can the data assets be physically co-located for analysis), and timeliness (e.g., the project can be executed within the available timeframe). Applicants must provide adequate background information on the proposed methodology to enable evaluation.</w:t>
            </w:r>
          </w:p>
          <w:p w:rsidR="003D47C3" w:rsidRPr="00051F38" w:rsidP="003D47C3" w14:paraId="2ADC5E75" w14:textId="77777777">
            <w:pPr>
              <w:pStyle w:val="ListParagraph"/>
              <w:numPr>
                <w:ilvl w:val="0"/>
                <w:numId w:val="2"/>
              </w:numPr>
              <w:spacing w:after="160"/>
              <w:rPr>
                <w:rFonts w:asciiTheme="minorHAnsi" w:hAnsiTheme="minorHAnsi"/>
                <w:sz w:val="20"/>
                <w:szCs w:val="20"/>
              </w:rPr>
            </w:pPr>
            <w:r w:rsidRPr="1615AE4C">
              <w:rPr>
                <w:rFonts w:asciiTheme="minorHAnsi" w:hAnsiTheme="minorHAnsi"/>
                <w:sz w:val="20"/>
                <w:szCs w:val="20"/>
                <w:bdr w:val="none" w:sz="0" w:space="0" w:color="auto" w:frame="1"/>
              </w:rPr>
              <w:t>Agency/Unit Support – Evaluating the feasibility of a project shall include consideration of whether the statistical agency or unit is able to adequately support the project. This shall include consideration of the physical requirements</w:t>
            </w:r>
            <w:r w:rsidRPr="1615AE4C">
              <w:rPr>
                <w:rFonts w:asciiTheme="minorHAnsi" w:hAnsiTheme="minorHAnsi"/>
                <w:i/>
                <w:iCs/>
                <w:sz w:val="20"/>
                <w:szCs w:val="20"/>
                <w:bdr w:val="none" w:sz="0" w:space="0" w:color="auto" w:frame="1"/>
              </w:rPr>
              <w:t> </w:t>
            </w:r>
            <w:r w:rsidRPr="1615AE4C">
              <w:rPr>
                <w:rFonts w:asciiTheme="minorHAnsi" w:hAnsiTheme="minorHAnsi"/>
                <w:sz w:val="20"/>
                <w:szCs w:val="20"/>
                <w:bdr w:val="none" w:sz="0" w:space="0" w:color="auto" w:frame="1"/>
              </w:rPr>
              <w:t>(e.g., can the research be hosted at the agency/unit), practicality (e.g., is adequate technical or programming support available), logistical requirements</w:t>
            </w:r>
            <w:r w:rsidRPr="1615AE4C">
              <w:rPr>
                <w:rFonts w:asciiTheme="minorHAnsi" w:hAnsiTheme="minorHAnsi"/>
                <w:sz w:val="20"/>
                <w:szCs w:val="20"/>
              </w:rPr>
              <w:t>, </w:t>
            </w:r>
            <w:r w:rsidRPr="1615AE4C">
              <w:rPr>
                <w:rFonts w:asciiTheme="minorHAnsi" w:hAnsiTheme="minorHAnsi"/>
                <w:sz w:val="20"/>
                <w:szCs w:val="20"/>
                <w:bdr w:val="none" w:sz="0" w:space="0" w:color="auto" w:frame="1"/>
              </w:rPr>
              <w:t>timeliness (e.g., can the requested data/extract/series be prepared in time for the researcher), and other resources limitations</w:t>
            </w:r>
            <w:r w:rsidRPr="1615AE4C">
              <w:rPr>
                <w:rFonts w:asciiTheme="minorHAnsi" w:hAnsiTheme="minorHAnsi"/>
                <w:sz w:val="20"/>
                <w:szCs w:val="20"/>
              </w:rPr>
              <w:t>.</w:t>
            </w:r>
          </w:p>
          <w:p w:rsidR="003D47C3" w:rsidRPr="00EA5F97" w:rsidP="003D47C3" w14:paraId="63206679" w14:textId="77777777">
            <w:pPr>
              <w:pStyle w:val="ListParagraph"/>
              <w:numPr>
                <w:ilvl w:val="0"/>
                <w:numId w:val="1"/>
              </w:numPr>
              <w:spacing w:after="160"/>
              <w:rPr>
                <w:rFonts w:asciiTheme="minorHAnsi" w:hAnsiTheme="minorHAnsi"/>
                <w:sz w:val="20"/>
                <w:szCs w:val="20"/>
              </w:rPr>
            </w:pPr>
            <w:r w:rsidRPr="1615AE4C">
              <w:rPr>
                <w:rFonts w:asciiTheme="minorHAnsi" w:hAnsiTheme="minorHAnsi"/>
                <w:sz w:val="20"/>
                <w:szCs w:val="20"/>
              </w:rPr>
              <w:t xml:space="preserve">Applicant’s Ability – </w:t>
            </w:r>
            <w:r w:rsidRPr="1615AE4C">
              <w:rPr>
                <w:rFonts w:asciiTheme="minorHAnsi" w:hAnsiTheme="minorHAnsi"/>
                <w:sz w:val="20"/>
                <w:szCs w:val="20"/>
                <w:bdr w:val="none" w:sz="0" w:space="0" w:color="auto" w:frame="1"/>
              </w:rPr>
              <w:t>Evaluating the feasibility of a project shall include consideration of whether the applicant has the ability to execute the proposed project. This shall include a consideration of the applicant’s knowledge, skills, and abilities.  A</w:t>
            </w:r>
            <w:r w:rsidRPr="1615AE4C">
              <w:rPr>
                <w:rFonts w:asciiTheme="minorHAnsi" w:hAnsiTheme="minorHAnsi"/>
                <w:sz w:val="20"/>
                <w:szCs w:val="20"/>
              </w:rPr>
              <w:t xml:space="preserve">pplicants must provide adequate background information to enable evaluation. </w:t>
            </w:r>
            <w:r w:rsidRPr="1615AE4C">
              <w:rPr>
                <w:rFonts w:asciiTheme="minorHAnsi" w:hAnsiTheme="minorHAnsi"/>
                <w:sz w:val="20"/>
                <w:szCs w:val="20"/>
                <w:bdr w:val="none" w:sz="0" w:space="0" w:color="auto" w:frame="1"/>
              </w:rPr>
              <w:t xml:space="preserve"> </w:t>
            </w:r>
            <w:r w:rsidRPr="1615AE4C">
              <w:rPr>
                <w:rFonts w:asciiTheme="minorHAnsi" w:hAnsiTheme="minorHAnsi"/>
                <w:sz w:val="20"/>
                <w:szCs w:val="20"/>
              </w:rPr>
              <w:t xml:space="preserve"> </w:t>
            </w:r>
          </w:p>
        </w:tc>
      </w:tr>
      <w:tr w14:paraId="2425F687" w14:textId="77777777" w:rsidTr="00723EC8">
        <w:tblPrEx>
          <w:tblW w:w="4724" w:type="pct"/>
          <w:tblCellMar>
            <w:left w:w="115" w:type="dxa"/>
            <w:right w:w="115" w:type="dxa"/>
          </w:tblCellMar>
          <w:tblLook w:val="0400"/>
        </w:tblPrEx>
        <w:tc>
          <w:tcPr>
            <w:tcW w:w="1101" w:type="pct"/>
          </w:tcPr>
          <w:p w:rsidR="003D47C3" w:rsidRPr="00EA5F97" w:rsidP="00723EC8" w14:paraId="6C5D9B63" w14:textId="77777777">
            <w:pPr>
              <w:rPr>
                <w:rFonts w:asciiTheme="minorHAnsi" w:hAnsiTheme="minorHAnsi"/>
                <w:sz w:val="20"/>
                <w:szCs w:val="20"/>
              </w:rPr>
            </w:pPr>
            <w:r w:rsidRPr="1615AE4C">
              <w:rPr>
                <w:rFonts w:asciiTheme="minorHAnsi" w:hAnsiTheme="minorHAnsi"/>
                <w:sz w:val="20"/>
                <w:szCs w:val="20"/>
              </w:rPr>
              <w:t>Maintaining Public Trust</w:t>
            </w:r>
          </w:p>
        </w:tc>
        <w:tc>
          <w:tcPr>
            <w:tcW w:w="3899" w:type="pct"/>
          </w:tcPr>
          <w:p w:rsidR="003D47C3" w:rsidRPr="00051F38" w:rsidP="00723EC8" w14:paraId="5E1F09BE" w14:textId="77777777">
            <w:pPr>
              <w:rPr>
                <w:rFonts w:asciiTheme="minorHAnsi" w:hAnsiTheme="minorHAnsi"/>
                <w:sz w:val="20"/>
                <w:szCs w:val="20"/>
              </w:rPr>
            </w:pPr>
            <w:r w:rsidRPr="1615AE4C">
              <w:rPr>
                <w:rFonts w:asciiTheme="minorHAnsi" w:hAnsiTheme="minorHAnsi"/>
                <w:sz w:val="20"/>
                <w:szCs w:val="20"/>
              </w:rPr>
              <w:t xml:space="preserve">As is consistent with the practices and principles for statistical agencies and units, agencies must evaluate whether a project proposal supports their ability to maintain trust and credibility among data users and providers as well as to ensure public confidence is maintained. Grounds for a project proposal to be denied access to confidential data include an appraisal by the statistical agency or unit that the proposed project may </w:t>
            </w:r>
            <w:r w:rsidRPr="1615AE4C">
              <w:rPr>
                <w:rFonts w:eastAsia="Calibri" w:asciiTheme="minorHAnsi" w:hAnsiTheme="minorHAnsi"/>
                <w:sz w:val="20"/>
                <w:szCs w:val="20"/>
              </w:rPr>
              <w:t xml:space="preserve">diminish or put at risk the agency’s ability to carry out its mission and/or collect data from the public and other data providers (e.g., state and local governments or firms). </w:t>
            </w:r>
          </w:p>
          <w:p w:rsidR="003D47C3" w:rsidRPr="00232CF1" w:rsidP="00723EC8" w14:paraId="67C5A3B3" w14:textId="77777777">
            <w:pPr>
              <w:rPr>
                <w:rFonts w:asciiTheme="minorHAnsi" w:hAnsiTheme="minorHAnsi" w:cstheme="minorHAnsi"/>
                <w:sz w:val="20"/>
                <w:szCs w:val="20"/>
              </w:rPr>
            </w:pPr>
          </w:p>
        </w:tc>
      </w:tr>
      <w:tr w14:paraId="1224216E" w14:textId="77777777" w:rsidTr="00723EC8">
        <w:tblPrEx>
          <w:tblW w:w="4724" w:type="pct"/>
          <w:tblCellMar>
            <w:left w:w="115" w:type="dxa"/>
            <w:right w:w="115" w:type="dxa"/>
          </w:tblCellMar>
          <w:tblLook w:val="0400"/>
        </w:tblPrEx>
        <w:tc>
          <w:tcPr>
            <w:tcW w:w="1101" w:type="pct"/>
          </w:tcPr>
          <w:p w:rsidR="003D47C3" w:rsidRPr="00EA5F97" w:rsidP="00723EC8" w14:paraId="5F6F4D1E" w14:textId="77777777">
            <w:pPr>
              <w:rPr>
                <w:rFonts w:asciiTheme="minorHAnsi" w:hAnsiTheme="minorHAnsi"/>
                <w:sz w:val="20"/>
                <w:szCs w:val="20"/>
              </w:rPr>
            </w:pPr>
            <w:r w:rsidRPr="1615AE4C">
              <w:rPr>
                <w:rFonts w:asciiTheme="minorHAnsi" w:hAnsiTheme="minorHAnsi"/>
                <w:sz w:val="20"/>
                <w:szCs w:val="20"/>
              </w:rPr>
              <w:t>Programmatic Benefit</w:t>
            </w:r>
            <w:r w:rsidRPr="1615AE4C">
              <w:rPr>
                <w:rFonts w:asciiTheme="minorHAnsi" w:hAnsiTheme="minorHAnsi"/>
                <w:sz w:val="20"/>
                <w:szCs w:val="20"/>
                <w:vertAlign w:val="superscript"/>
              </w:rPr>
              <w:t>1</w:t>
            </w:r>
          </w:p>
        </w:tc>
        <w:tc>
          <w:tcPr>
            <w:tcW w:w="3899" w:type="pct"/>
          </w:tcPr>
          <w:p w:rsidR="003D47C3" w:rsidRPr="00EA5F97" w:rsidP="00723EC8" w14:paraId="4BEE5AF4" w14:textId="77777777">
            <w:pPr>
              <w:rPr>
                <w:rFonts w:asciiTheme="minorHAnsi" w:hAnsiTheme="minorHAnsi"/>
                <w:sz w:val="20"/>
                <w:szCs w:val="20"/>
              </w:rPr>
            </w:pPr>
            <w:r w:rsidRPr="1615AE4C">
              <w:rPr>
                <w:rFonts w:asciiTheme="minorHAnsi" w:hAnsiTheme="minorHAnsi"/>
                <w:sz w:val="20"/>
                <w:szCs w:val="20"/>
              </w:rPr>
              <w:t xml:space="preserve">Project proposals must define a contribution(s) to the program under which the confidential data asset was collected, where the law requires. </w:t>
            </w:r>
          </w:p>
        </w:tc>
      </w:tr>
      <w:tr w14:paraId="7E2F8F62" w14:textId="77777777" w:rsidTr="00723EC8">
        <w:tblPrEx>
          <w:tblW w:w="4724" w:type="pct"/>
          <w:tblCellMar>
            <w:left w:w="115" w:type="dxa"/>
            <w:right w:w="115" w:type="dxa"/>
          </w:tblCellMar>
          <w:tblLook w:val="0400"/>
        </w:tblPrEx>
        <w:tc>
          <w:tcPr>
            <w:tcW w:w="1101" w:type="pct"/>
          </w:tcPr>
          <w:p w:rsidR="003D47C3" w:rsidRPr="00EA5F97" w:rsidP="00723EC8" w14:paraId="0F2323D3" w14:textId="77777777">
            <w:pPr>
              <w:rPr>
                <w:rFonts w:asciiTheme="minorHAnsi" w:hAnsiTheme="minorHAnsi"/>
                <w:sz w:val="20"/>
                <w:szCs w:val="20"/>
                <w:vertAlign w:val="superscript"/>
              </w:rPr>
            </w:pPr>
            <w:r w:rsidRPr="1615AE4C">
              <w:rPr>
                <w:rFonts w:asciiTheme="minorHAnsi" w:hAnsiTheme="minorHAnsi"/>
                <w:sz w:val="20"/>
                <w:szCs w:val="20"/>
              </w:rPr>
              <w:t>Other legislative requirements</w:t>
            </w:r>
            <w:r w:rsidRPr="1615AE4C">
              <w:rPr>
                <w:rFonts w:asciiTheme="minorHAnsi" w:hAnsiTheme="minorHAnsi"/>
                <w:sz w:val="20"/>
                <w:szCs w:val="20"/>
                <w:vertAlign w:val="superscript"/>
              </w:rPr>
              <w:t>1</w:t>
            </w:r>
          </w:p>
        </w:tc>
        <w:tc>
          <w:tcPr>
            <w:tcW w:w="3899" w:type="pct"/>
          </w:tcPr>
          <w:p w:rsidR="003D47C3" w:rsidRPr="00EA5F97" w:rsidP="00723EC8" w14:paraId="5222053B" w14:textId="77777777">
            <w:pPr>
              <w:rPr>
                <w:rFonts w:asciiTheme="minorHAnsi" w:hAnsiTheme="minorHAnsi"/>
                <w:sz w:val="20"/>
                <w:szCs w:val="20"/>
              </w:rPr>
            </w:pPr>
            <w:r w:rsidRPr="1615AE4C">
              <w:rPr>
                <w:rFonts w:asciiTheme="minorHAnsi" w:hAnsiTheme="minorHAnsi"/>
                <w:sz w:val="20"/>
                <w:szCs w:val="20"/>
              </w:rPr>
              <w:t>Requests for confidential data assets may be evaluated under additional criteria if those criteria are deemed necessary based on a reasonable interpretation of the statutory authority or regulatory requirements applicable to the data collection or the statistical agency or unit.</w:t>
            </w:r>
          </w:p>
        </w:tc>
      </w:tr>
    </w:tbl>
    <w:p w:rsidR="003D47C3" w:rsidRPr="00EA5F97" w:rsidP="003D47C3" w14:paraId="019C9279" w14:textId="77777777">
      <w:pPr>
        <w:rPr>
          <w:rFonts w:asciiTheme="minorHAnsi" w:hAnsiTheme="minorHAnsi" w:cstheme="minorHAnsi"/>
          <w:sz w:val="22"/>
          <w:szCs w:val="22"/>
        </w:rPr>
      </w:pPr>
      <w:r w:rsidRPr="00EA5F97">
        <w:rPr>
          <w:rFonts w:asciiTheme="minorHAnsi" w:hAnsiTheme="minorHAnsi" w:cstheme="minorHAnsi"/>
          <w:sz w:val="22"/>
          <w:szCs w:val="22"/>
          <w:vertAlign w:val="superscript"/>
        </w:rPr>
        <w:t>1</w:t>
      </w:r>
      <w:r w:rsidRPr="00EA5F97">
        <w:rPr>
          <w:rFonts w:asciiTheme="minorHAnsi" w:hAnsiTheme="minorHAnsi" w:cstheme="minorHAnsi"/>
          <w:sz w:val="22"/>
          <w:szCs w:val="22"/>
        </w:rPr>
        <w:t xml:space="preserve"> These criteria only apply to certain </w:t>
      </w:r>
      <w:r>
        <w:rPr>
          <w:rFonts w:asciiTheme="minorHAnsi" w:hAnsiTheme="minorHAnsi" w:cstheme="minorHAnsi"/>
          <w:sz w:val="22"/>
          <w:szCs w:val="22"/>
        </w:rPr>
        <w:t xml:space="preserve">data collections or certain </w:t>
      </w:r>
      <w:r w:rsidRPr="00EA5F97">
        <w:rPr>
          <w:rFonts w:asciiTheme="minorHAnsi" w:hAnsiTheme="minorHAnsi" w:cstheme="minorHAnsi"/>
          <w:sz w:val="22"/>
          <w:szCs w:val="22"/>
        </w:rPr>
        <w:t>agencies.</w:t>
      </w:r>
    </w:p>
    <w:p w:rsidR="003D47C3" w:rsidRPr="00EA5F97" w:rsidP="003D47C3" w14:paraId="6EABE6C6" w14:textId="77777777">
      <w:pPr>
        <w:rPr>
          <w:rFonts w:asciiTheme="minorHAnsi" w:hAnsiTheme="minorHAnsi" w:cstheme="minorHAnsi"/>
          <w:sz w:val="22"/>
          <w:szCs w:val="22"/>
        </w:rPr>
      </w:pPr>
    </w:p>
    <w:p w:rsidR="003D47C3" w:rsidRPr="00EA5F97" w:rsidP="003D47C3" w14:paraId="53C12A53" w14:textId="77777777">
      <w:pPr>
        <w:rPr>
          <w:rFonts w:asciiTheme="minorHAnsi" w:hAnsiTheme="minorHAnsi" w:cstheme="minorHAnsi"/>
          <w:sz w:val="22"/>
          <w:szCs w:val="22"/>
        </w:rPr>
      </w:pPr>
    </w:p>
    <w:p w:rsidR="003D47C3" w:rsidRPr="00EA5F97" w:rsidP="003D47C3" w14:paraId="348182DA" w14:textId="77777777">
      <w:pPr>
        <w:rPr>
          <w:rFonts w:asciiTheme="minorHAnsi" w:hAnsiTheme="minorHAnsi" w:cstheme="minorHAnsi"/>
          <w:sz w:val="22"/>
          <w:szCs w:val="22"/>
        </w:rPr>
      </w:pPr>
    </w:p>
    <w:p w:rsidR="003D47C3" w:rsidRPr="00051F38" w:rsidP="003D47C3" w14:paraId="6785B0B9" w14:textId="77777777">
      <w:pPr>
        <w:rPr>
          <w:rFonts w:asciiTheme="minorHAnsi" w:hAnsiTheme="minorHAnsi"/>
          <w:sz w:val="22"/>
          <w:szCs w:val="22"/>
        </w:rPr>
      </w:pPr>
      <w:r w:rsidRPr="1615AE4C">
        <w:rPr>
          <w:rFonts w:asciiTheme="minorHAnsi" w:hAnsiTheme="minorHAnsi"/>
          <w:sz w:val="22"/>
          <w:szCs w:val="22"/>
        </w:rPr>
        <w:t xml:space="preserve">Review Criteria for Applicant Review </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tblPr>
      <w:tblGrid>
        <w:gridCol w:w="2055"/>
        <w:gridCol w:w="10180"/>
      </w:tblGrid>
      <w:tr w14:paraId="4384280C" w14:textId="77777777" w:rsidTr="00723EC8">
        <w:tblPrEx>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tblPrEx>
        <w:trPr>
          <w:trHeight w:val="269"/>
          <w:tblHeader/>
        </w:trPr>
        <w:tc>
          <w:tcPr>
            <w:tcW w:w="840" w:type="pct"/>
            <w:vMerge w:val="restart"/>
            <w:shd w:val="clear" w:color="auto" w:fill="D9D9D9" w:themeFill="background1" w:themeFillShade="D9"/>
            <w:vAlign w:val="center"/>
          </w:tcPr>
          <w:p w:rsidR="003D47C3" w:rsidRPr="00051F38" w:rsidP="00723EC8" w14:paraId="0ED986A5" w14:textId="77777777">
            <w:pPr>
              <w:jc w:val="center"/>
              <w:rPr>
                <w:rFonts w:asciiTheme="minorHAnsi" w:hAnsiTheme="minorHAnsi"/>
                <w:b/>
                <w:bCs/>
                <w:sz w:val="22"/>
                <w:szCs w:val="22"/>
              </w:rPr>
            </w:pPr>
            <w:r w:rsidRPr="1615AE4C">
              <w:rPr>
                <w:rFonts w:asciiTheme="minorHAnsi" w:hAnsiTheme="minorHAnsi"/>
                <w:b/>
                <w:bCs/>
                <w:sz w:val="22"/>
                <w:szCs w:val="22"/>
              </w:rPr>
              <w:t>Criteria</w:t>
            </w:r>
          </w:p>
        </w:tc>
        <w:tc>
          <w:tcPr>
            <w:tcW w:w="4160" w:type="pct"/>
            <w:vMerge w:val="restart"/>
            <w:shd w:val="clear" w:color="auto" w:fill="D9D9D9" w:themeFill="background1" w:themeFillShade="D9"/>
            <w:vAlign w:val="center"/>
          </w:tcPr>
          <w:p w:rsidR="003D47C3" w:rsidRPr="00051F38" w:rsidP="00723EC8" w14:paraId="4A0F2ED3" w14:textId="77777777">
            <w:pPr>
              <w:jc w:val="center"/>
              <w:rPr>
                <w:rFonts w:asciiTheme="minorHAnsi" w:hAnsiTheme="minorHAnsi"/>
                <w:b/>
                <w:bCs/>
                <w:sz w:val="22"/>
                <w:szCs w:val="22"/>
              </w:rPr>
            </w:pPr>
            <w:r w:rsidRPr="1615AE4C">
              <w:rPr>
                <w:rFonts w:asciiTheme="minorHAnsi" w:hAnsiTheme="minorHAnsi"/>
                <w:b/>
                <w:bCs/>
                <w:sz w:val="22"/>
                <w:szCs w:val="22"/>
              </w:rPr>
              <w:t>Description</w:t>
            </w:r>
          </w:p>
        </w:tc>
      </w:tr>
      <w:tr w14:paraId="0A4BA2A0" w14:textId="77777777" w:rsidTr="00723EC8">
        <w:tblPrEx>
          <w:tblW w:w="4724" w:type="pct"/>
          <w:tblCellMar>
            <w:left w:w="115" w:type="dxa"/>
            <w:right w:w="115" w:type="dxa"/>
          </w:tblCellMar>
          <w:tblLook w:val="0400"/>
        </w:tblPrEx>
        <w:trPr>
          <w:trHeight w:val="309"/>
        </w:trPr>
        <w:tc>
          <w:tcPr>
            <w:tcW w:w="840" w:type="pct"/>
            <w:vMerge/>
            <w:shd w:val="clear" w:color="auto" w:fill="D9D9D9"/>
            <w:vAlign w:val="center"/>
          </w:tcPr>
          <w:p w:rsidR="003D47C3" w:rsidRPr="00EA5F97" w:rsidP="00723EC8" w14:paraId="40013491" w14:textId="77777777">
            <w:pPr>
              <w:widowControl w:val="0"/>
              <w:pBdr>
                <w:top w:val="nil"/>
                <w:left w:val="nil"/>
                <w:bottom w:val="nil"/>
                <w:right w:val="nil"/>
                <w:between w:val="nil"/>
              </w:pBdr>
              <w:spacing w:line="276" w:lineRule="auto"/>
              <w:jc w:val="center"/>
              <w:rPr>
                <w:rFonts w:asciiTheme="minorHAnsi" w:hAnsiTheme="minorHAnsi" w:cstheme="minorHAnsi"/>
                <w:sz w:val="22"/>
                <w:szCs w:val="22"/>
              </w:rPr>
            </w:pPr>
          </w:p>
        </w:tc>
        <w:tc>
          <w:tcPr>
            <w:tcW w:w="4160" w:type="pct"/>
            <w:vMerge/>
            <w:shd w:val="clear" w:color="auto" w:fill="D9D9D9"/>
            <w:vAlign w:val="center"/>
          </w:tcPr>
          <w:p w:rsidR="003D47C3" w:rsidRPr="00EA5F97" w:rsidP="00723EC8" w14:paraId="094A8136" w14:textId="77777777">
            <w:pPr>
              <w:widowControl w:val="0"/>
              <w:pBdr>
                <w:top w:val="nil"/>
                <w:left w:val="nil"/>
                <w:bottom w:val="nil"/>
                <w:right w:val="nil"/>
                <w:between w:val="nil"/>
              </w:pBdr>
              <w:spacing w:line="276" w:lineRule="auto"/>
              <w:jc w:val="center"/>
              <w:rPr>
                <w:rFonts w:asciiTheme="minorHAnsi" w:hAnsiTheme="minorHAnsi" w:cstheme="minorHAnsi"/>
                <w:sz w:val="22"/>
                <w:szCs w:val="22"/>
              </w:rPr>
            </w:pPr>
          </w:p>
        </w:tc>
      </w:tr>
      <w:tr w14:paraId="5FFF6544" w14:textId="77777777" w:rsidTr="00723EC8">
        <w:tblPrEx>
          <w:tblW w:w="4724" w:type="pct"/>
          <w:tblCellMar>
            <w:left w:w="115" w:type="dxa"/>
            <w:right w:w="115" w:type="dxa"/>
          </w:tblCellMar>
          <w:tblLook w:val="0400"/>
        </w:tblPrEx>
        <w:tc>
          <w:tcPr>
            <w:tcW w:w="840" w:type="pct"/>
          </w:tcPr>
          <w:p w:rsidR="003D47C3" w:rsidRPr="00EA5F97" w:rsidP="00723EC8" w14:paraId="12AA9BD6" w14:textId="77777777">
            <w:pPr>
              <w:rPr>
                <w:rFonts w:asciiTheme="minorHAnsi" w:hAnsiTheme="minorHAnsi"/>
                <w:sz w:val="20"/>
                <w:szCs w:val="20"/>
              </w:rPr>
            </w:pPr>
            <w:r w:rsidRPr="1615AE4C">
              <w:rPr>
                <w:rFonts w:asciiTheme="minorHAnsi" w:hAnsiTheme="minorHAnsi"/>
                <w:sz w:val="20"/>
                <w:szCs w:val="20"/>
              </w:rPr>
              <w:t>Identification</w:t>
            </w:r>
          </w:p>
        </w:tc>
        <w:tc>
          <w:tcPr>
            <w:tcW w:w="4160" w:type="pct"/>
          </w:tcPr>
          <w:p w:rsidR="003D47C3" w:rsidRPr="00EA5F97" w:rsidP="00723EC8" w14:paraId="36290DB3" w14:textId="77777777">
            <w:pPr>
              <w:rPr>
                <w:rFonts w:asciiTheme="minorHAnsi" w:hAnsiTheme="minorHAnsi"/>
                <w:sz w:val="20"/>
                <w:szCs w:val="20"/>
              </w:rPr>
            </w:pPr>
            <w:r w:rsidRPr="1615AE4C">
              <w:rPr>
                <w:rFonts w:asciiTheme="minorHAnsi" w:hAnsiTheme="minorHAnsi"/>
                <w:sz w:val="20"/>
                <w:szCs w:val="20"/>
              </w:rPr>
              <w:t xml:space="preserve">Verification that the identity, position, institutional affiliation, and skill level of each applicant are consistent with the legal requirements for accessing the requested confidential data asset and the feasibility criteria evaluation (in project proposal criteria). </w:t>
            </w:r>
          </w:p>
        </w:tc>
      </w:tr>
      <w:tr w14:paraId="01572751" w14:textId="77777777" w:rsidTr="00723EC8">
        <w:tblPrEx>
          <w:tblW w:w="4724" w:type="pct"/>
          <w:tblCellMar>
            <w:left w:w="115" w:type="dxa"/>
            <w:right w:w="115" w:type="dxa"/>
          </w:tblCellMar>
          <w:tblLook w:val="0400"/>
        </w:tblPrEx>
        <w:tc>
          <w:tcPr>
            <w:tcW w:w="840" w:type="pct"/>
          </w:tcPr>
          <w:p w:rsidR="003D47C3" w:rsidRPr="00EA5F97" w:rsidP="00723EC8" w14:paraId="63DCC85A" w14:textId="77777777">
            <w:pPr>
              <w:rPr>
                <w:rFonts w:asciiTheme="minorHAnsi" w:hAnsiTheme="minorHAnsi"/>
                <w:sz w:val="20"/>
                <w:szCs w:val="20"/>
              </w:rPr>
            </w:pPr>
            <w:r w:rsidRPr="1615AE4C">
              <w:rPr>
                <w:rFonts w:asciiTheme="minorHAnsi" w:hAnsiTheme="minorHAnsi"/>
                <w:sz w:val="20"/>
                <w:szCs w:val="20"/>
              </w:rPr>
              <w:t>Training</w:t>
            </w:r>
          </w:p>
        </w:tc>
        <w:tc>
          <w:tcPr>
            <w:tcW w:w="4160" w:type="pct"/>
          </w:tcPr>
          <w:p w:rsidR="003D47C3" w:rsidRPr="00EA5F97" w:rsidP="00723EC8" w14:paraId="27FF1F0E" w14:textId="77777777">
            <w:pPr>
              <w:rPr>
                <w:rFonts w:asciiTheme="minorHAnsi" w:hAnsiTheme="minorHAnsi"/>
                <w:sz w:val="20"/>
                <w:szCs w:val="20"/>
              </w:rPr>
            </w:pPr>
            <w:r w:rsidRPr="1615AE4C">
              <w:rPr>
                <w:rFonts w:asciiTheme="minorHAnsi" w:hAnsiTheme="minorHAnsi"/>
                <w:sz w:val="20"/>
                <w:szCs w:val="20"/>
              </w:rPr>
              <w:t>Active (versus expired) completion of data use, data stewardship, and confidentiality training by each applicant (i.e., both general training and specialized training required by certain agencies)</w:t>
            </w:r>
          </w:p>
        </w:tc>
      </w:tr>
      <w:tr w14:paraId="0A386532" w14:textId="77777777" w:rsidTr="00723EC8">
        <w:tblPrEx>
          <w:tblW w:w="4724" w:type="pct"/>
          <w:tblCellMar>
            <w:left w:w="115" w:type="dxa"/>
            <w:right w:w="115" w:type="dxa"/>
          </w:tblCellMar>
          <w:tblLook w:val="0400"/>
        </w:tblPrEx>
        <w:tc>
          <w:tcPr>
            <w:tcW w:w="840" w:type="pct"/>
          </w:tcPr>
          <w:p w:rsidR="003D47C3" w:rsidRPr="00EA5F97" w:rsidP="00723EC8" w14:paraId="078C0FFE" w14:textId="77777777">
            <w:pPr>
              <w:rPr>
                <w:rFonts w:asciiTheme="minorHAnsi" w:hAnsiTheme="minorHAnsi"/>
                <w:sz w:val="20"/>
                <w:szCs w:val="20"/>
              </w:rPr>
            </w:pPr>
            <w:r w:rsidRPr="1615AE4C">
              <w:rPr>
                <w:rFonts w:asciiTheme="minorHAnsi" w:hAnsiTheme="minorHAnsi"/>
                <w:sz w:val="20"/>
                <w:szCs w:val="20"/>
              </w:rPr>
              <w:t>Agreements</w:t>
            </w:r>
          </w:p>
        </w:tc>
        <w:tc>
          <w:tcPr>
            <w:tcW w:w="4160" w:type="pct"/>
          </w:tcPr>
          <w:p w:rsidR="003D47C3" w:rsidRPr="00EA5F97" w:rsidP="00723EC8" w14:paraId="234E3448" w14:textId="77777777">
            <w:pPr>
              <w:rPr>
                <w:rFonts w:asciiTheme="minorHAnsi" w:hAnsiTheme="minorHAnsi"/>
                <w:sz w:val="20"/>
                <w:szCs w:val="20"/>
              </w:rPr>
            </w:pPr>
            <w:r w:rsidRPr="1615AE4C">
              <w:rPr>
                <w:rFonts w:asciiTheme="minorHAnsi" w:hAnsiTheme="minorHAnsi"/>
                <w:sz w:val="20"/>
                <w:szCs w:val="20"/>
              </w:rPr>
              <w:t xml:space="preserve">Active (versus expired) nondisclosure and/or institutional/cooperative data use agreement(s) with requisite signatures. </w:t>
            </w:r>
          </w:p>
        </w:tc>
      </w:tr>
      <w:tr w14:paraId="02BC9566" w14:textId="77777777" w:rsidTr="00723EC8">
        <w:tblPrEx>
          <w:tblW w:w="4724" w:type="pct"/>
          <w:tblCellMar>
            <w:left w:w="115" w:type="dxa"/>
            <w:right w:w="115" w:type="dxa"/>
          </w:tblCellMar>
          <w:tblLook w:val="0400"/>
        </w:tblPrEx>
        <w:tc>
          <w:tcPr>
            <w:tcW w:w="840" w:type="pct"/>
          </w:tcPr>
          <w:p w:rsidR="003D47C3" w:rsidRPr="00EA5F97" w:rsidP="00723EC8" w14:paraId="308EDF62" w14:textId="77777777">
            <w:pPr>
              <w:rPr>
                <w:rFonts w:asciiTheme="minorHAnsi" w:hAnsiTheme="minorHAnsi"/>
                <w:sz w:val="20"/>
                <w:szCs w:val="20"/>
              </w:rPr>
            </w:pPr>
            <w:r w:rsidRPr="1615AE4C">
              <w:rPr>
                <w:rFonts w:asciiTheme="minorHAnsi" w:hAnsiTheme="minorHAnsi"/>
                <w:sz w:val="20"/>
                <w:szCs w:val="20"/>
              </w:rPr>
              <w:t>Investigation</w:t>
            </w:r>
          </w:p>
        </w:tc>
        <w:tc>
          <w:tcPr>
            <w:tcW w:w="4160" w:type="pct"/>
          </w:tcPr>
          <w:p w:rsidR="003D47C3" w:rsidRPr="00EA5F97" w:rsidP="00723EC8" w14:paraId="741C74DF" w14:textId="77777777">
            <w:pPr>
              <w:rPr>
                <w:rFonts w:asciiTheme="minorHAnsi" w:hAnsiTheme="minorHAnsi"/>
                <w:sz w:val="20"/>
                <w:szCs w:val="20"/>
              </w:rPr>
            </w:pPr>
            <w:r w:rsidRPr="1615AE4C">
              <w:rPr>
                <w:rFonts w:asciiTheme="minorHAnsi" w:hAnsiTheme="minorHAnsi"/>
                <w:sz w:val="20"/>
                <w:szCs w:val="20"/>
              </w:rPr>
              <w:t xml:space="preserve">If required, active (versus expired) clearance of a background investigation (i.e., National Agency Check with Inquiries (NACI) clearance or moderate background investigation (MBI) clearance).      </w:t>
            </w:r>
          </w:p>
        </w:tc>
      </w:tr>
    </w:tbl>
    <w:p w:rsidR="003D47C3" w:rsidRPr="006D4738" w:rsidP="003D47C3" w14:paraId="17BC2806" w14:textId="77777777">
      <w:pPr>
        <w:rPr>
          <w:rFonts w:asciiTheme="minorHAnsi" w:hAnsiTheme="minorHAnsi" w:cstheme="minorHAnsi"/>
          <w:sz w:val="22"/>
          <w:szCs w:val="22"/>
        </w:rPr>
      </w:pPr>
    </w:p>
    <w:p w:rsidR="002D4B07" w14:paraId="550F3FAA" w14:textId="77777777"/>
    <w:sectPr w:rsidSect="00740111">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313F1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7C3" w:rsidP="003D47C3" w14:paraId="59970C72" w14:textId="36FDDE2E">
    <w:pPr>
      <w:pStyle w:val="Footer"/>
      <w:rPr>
        <w:color w:val="000000" w:themeColor="text1"/>
        <w:sz w:val="17"/>
        <w:szCs w:val="17"/>
      </w:rPr>
    </w:pPr>
    <w:bookmarkStart w:id="0" w:name="TITUS1FooterPrimary"/>
    <w:bookmarkStart w:id="1" w:name="TITUS2FooterPrimary"/>
    <w:r w:rsidRPr="003D47C3">
      <w:rPr>
        <w:color w:val="000000"/>
        <w:sz w:val="17"/>
        <w:szCs w:val="17"/>
      </w:rPr>
      <w:t>  </w:t>
    </w:r>
    <w:bookmarkEnd w:id="0"/>
  </w:p>
  <w:p w:rsidR="00DB5606" w:rsidP="00DB5606" w14:paraId="44B05F13" w14:textId="566E1E8E">
    <w:pPr>
      <w:pStyle w:val="Footer"/>
    </w:pPr>
    <w:r w:rsidRPr="1615AE4C">
      <w:rPr>
        <w:color w:val="000000" w:themeColor="text1"/>
        <w:sz w:val="17"/>
        <w:szCs w:val="17"/>
      </w:rPr>
      <w:t>  </w:t>
    </w:r>
    <w:bookmarkEnd w:id="1"/>
  </w:p>
  <w:p w:rsidR="00DB5606" w14:paraId="3D3C3212" w14:textId="77777777">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4959B20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7C3" w:rsidP="003D47C3" w14:paraId="6E417771" w14:textId="402D4EA0">
    <w:pPr>
      <w:pStyle w:val="Footer"/>
      <w:rPr>
        <w:color w:val="000000" w:themeColor="text1"/>
        <w:sz w:val="17"/>
        <w:szCs w:val="17"/>
      </w:rPr>
    </w:pPr>
    <w:bookmarkStart w:id="2" w:name="TITUS1FooterFirstPage"/>
    <w:bookmarkStart w:id="3" w:name="TITUS2FooterFirstPage"/>
    <w:r w:rsidRPr="003D47C3">
      <w:rPr>
        <w:color w:val="000000"/>
        <w:sz w:val="17"/>
        <w:szCs w:val="17"/>
      </w:rPr>
      <w:t>  </w:t>
    </w:r>
    <w:bookmarkEnd w:id="2"/>
  </w:p>
  <w:p w:rsidR="00DB5606" w:rsidP="00DB5606" w14:paraId="2F226F7D" w14:textId="04B9FD92">
    <w:pPr>
      <w:pStyle w:val="Footer"/>
    </w:pPr>
    <w:r w:rsidRPr="1615AE4C">
      <w:rPr>
        <w:color w:val="000000" w:themeColor="text1"/>
        <w:sz w:val="17"/>
        <w:szCs w:val="17"/>
      </w:rPr>
      <w:t>  </w:t>
    </w:r>
    <w:bookmarkEnd w:id="3"/>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85829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3D47C3" w14:paraId="4C3263F1" w14:textId="087A9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3D47C3" w14:paraId="24555E61" w14:textId="1A966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68821964">
    <w:abstractNumId w:val="1"/>
  </w:num>
  <w:num w:numId="2" w16cid:durableId="171654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C3"/>
    <w:rsid w:val="00051F38"/>
    <w:rsid w:val="00232CF1"/>
    <w:rsid w:val="002D4B07"/>
    <w:rsid w:val="003D47C3"/>
    <w:rsid w:val="00431868"/>
    <w:rsid w:val="006D4738"/>
    <w:rsid w:val="00723EC8"/>
    <w:rsid w:val="00A95411"/>
    <w:rsid w:val="00DB5606"/>
    <w:rsid w:val="00EA5F97"/>
    <w:rsid w:val="1615A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25400"/>
  <w15:chartTrackingRefBased/>
  <w15:docId w15:val="{407045AA-61E8-4FF9-9890-A74347CC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7C3"/>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3D47C3"/>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7C3"/>
    <w:rPr>
      <w:rFonts w:ascii="Times New Roman" w:hAnsi="Times New Roman" w:eastAsiaTheme="majorEastAsia" w:cstheme="majorBidi"/>
      <w:b/>
      <w:sz w:val="24"/>
      <w:szCs w:val="32"/>
    </w:rPr>
  </w:style>
  <w:style w:type="paragraph" w:styleId="ListParagraph">
    <w:name w:val="List Paragraph"/>
    <w:basedOn w:val="Normal"/>
    <w:uiPriority w:val="34"/>
    <w:qFormat/>
    <w:rsid w:val="003D47C3"/>
    <w:pPr>
      <w:ind w:left="720"/>
      <w:contextualSpacing/>
    </w:pPr>
  </w:style>
  <w:style w:type="paragraph" w:styleId="Header">
    <w:name w:val="header"/>
    <w:basedOn w:val="Normal"/>
    <w:link w:val="HeaderChar"/>
    <w:uiPriority w:val="99"/>
    <w:unhideWhenUsed/>
    <w:rsid w:val="003D47C3"/>
    <w:pPr>
      <w:tabs>
        <w:tab w:val="center" w:pos="4680"/>
        <w:tab w:val="right" w:pos="9360"/>
      </w:tabs>
    </w:pPr>
  </w:style>
  <w:style w:type="character" w:customStyle="1" w:styleId="HeaderChar">
    <w:name w:val="Header Char"/>
    <w:basedOn w:val="DefaultParagraphFont"/>
    <w:link w:val="Header"/>
    <w:uiPriority w:val="99"/>
    <w:rsid w:val="003D47C3"/>
    <w:rPr>
      <w:rFonts w:ascii="Times New Roman" w:hAnsi="Times New Roman"/>
      <w:sz w:val="24"/>
      <w:szCs w:val="24"/>
    </w:rPr>
  </w:style>
  <w:style w:type="paragraph" w:styleId="Footer">
    <w:name w:val="footer"/>
    <w:basedOn w:val="Normal"/>
    <w:link w:val="FooterChar"/>
    <w:uiPriority w:val="99"/>
    <w:unhideWhenUsed/>
    <w:rsid w:val="003D47C3"/>
    <w:pPr>
      <w:tabs>
        <w:tab w:val="center" w:pos="4680"/>
        <w:tab w:val="right" w:pos="9360"/>
      </w:tabs>
    </w:pPr>
  </w:style>
  <w:style w:type="character" w:customStyle="1" w:styleId="FooterChar">
    <w:name w:val="Footer Char"/>
    <w:basedOn w:val="DefaultParagraphFont"/>
    <w:link w:val="Footer"/>
    <w:uiPriority w:val="99"/>
    <w:rsid w:val="003D47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Jessica (Contractor)</dc:creator>
  <cp:lastModifiedBy>Finamore, John M.</cp:lastModifiedBy>
  <cp:revision>2</cp:revision>
  <dcterms:created xsi:type="dcterms:W3CDTF">2022-11-01T14:02:00Z</dcterms:created>
  <dcterms:modified xsi:type="dcterms:W3CDTF">2022-11-01T15:59:00Z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04722ff3-6dda-4d93-bf84-3022ab36f5e3</vt:lpwstr>
  </property>
</Properties>
</file>