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3EFA" w:rsidRPr="006A7557" w:rsidP="00222BE2" w14:paraId="534CC6B6" w14:textId="77777777">
      <w:pPr>
        <w:pStyle w:val="BodyText"/>
        <w:jc w:val="center"/>
      </w:pPr>
      <w:r w:rsidRPr="006A7557">
        <w:t>FINAL SUPPORTING STATEMENT FOR</w:t>
      </w:r>
    </w:p>
    <w:p w:rsidR="00EE3EFA" w:rsidRPr="006A7557" w:rsidP="00EE3EFA" w14:paraId="43701D9E" w14:textId="77777777">
      <w:pPr>
        <w:pStyle w:val="BodyText"/>
        <w:jc w:val="center"/>
      </w:pPr>
      <w:r w:rsidRPr="006A7557">
        <w:t>NRC FORM 664, “GENERAL LICENSEE REGISTRATION”</w:t>
      </w:r>
    </w:p>
    <w:p w:rsidR="000412D4" w:rsidRPr="006A7557" w:rsidP="00EE3EFA" w14:paraId="3F2D06A6" w14:textId="77777777">
      <w:pPr>
        <w:pStyle w:val="BodyText"/>
        <w:jc w:val="center"/>
      </w:pPr>
    </w:p>
    <w:p w:rsidR="00785D77" w:rsidRPr="006A7557" w:rsidP="00EE3EFA" w14:paraId="3D64D663" w14:textId="77777777">
      <w:pPr>
        <w:pStyle w:val="BodyText"/>
        <w:jc w:val="center"/>
      </w:pPr>
      <w:r w:rsidRPr="006A7557">
        <w:t>(3150</w:t>
      </w:r>
      <w:r w:rsidR="003C5A28">
        <w:rPr>
          <w:rFonts w:ascii="Cambria Math" w:hAnsi="Cambria Math" w:cs="Cambria Math"/>
        </w:rPr>
        <w:t>‑</w:t>
      </w:r>
      <w:r w:rsidR="003C5A28">
        <w:t>0198</w:t>
      </w:r>
      <w:r w:rsidRPr="006A7557">
        <w:t>)</w:t>
      </w:r>
    </w:p>
    <w:p w:rsidR="000412D4" w:rsidRPr="006A7557" w:rsidP="00222BE2" w14:paraId="608163C3" w14:textId="77777777">
      <w:pPr>
        <w:pStyle w:val="BodyText"/>
        <w:jc w:val="center"/>
      </w:pPr>
    </w:p>
    <w:p w:rsidR="00785D77" w:rsidRPr="006A7557" w14:paraId="5EDD1AD6" w14:textId="77777777">
      <w:pPr>
        <w:pStyle w:val="BodyText"/>
        <w:ind w:left="2752" w:right="2731"/>
        <w:jc w:val="center"/>
      </w:pPr>
      <w:r w:rsidRPr="006A7557">
        <w:t>EXTENSION</w:t>
      </w:r>
    </w:p>
    <w:p w:rsidR="00785D77" w:rsidRPr="006A7557" w14:paraId="635B6C44" w14:textId="77777777">
      <w:pPr>
        <w:pStyle w:val="BodyText"/>
        <w:spacing w:before="11"/>
      </w:pPr>
    </w:p>
    <w:p w:rsidR="005C65D9" w:rsidRPr="006A7557" w14:paraId="45555574" w14:textId="77777777">
      <w:pPr>
        <w:pStyle w:val="BodyText"/>
        <w:spacing w:before="11"/>
      </w:pPr>
    </w:p>
    <w:p w:rsidR="00DD2B95" w:rsidRPr="006A7557" w14:paraId="75BC1A6E" w14:textId="77777777">
      <w:pPr>
        <w:pStyle w:val="BodyText"/>
        <w:ind w:left="120"/>
        <w:rPr>
          <w:u w:val="single"/>
        </w:rPr>
      </w:pPr>
      <w:r w:rsidRPr="006A7557">
        <w:rPr>
          <w:u w:val="single"/>
        </w:rPr>
        <w:t>Description of the Information Collection</w:t>
      </w:r>
    </w:p>
    <w:p w:rsidR="00E62B8F" w:rsidRPr="006A7557" w14:paraId="4C4EDF41" w14:textId="77777777">
      <w:pPr>
        <w:pStyle w:val="BodyText"/>
        <w:spacing w:before="9"/>
      </w:pPr>
    </w:p>
    <w:p w:rsidR="00785D77" w:rsidRPr="0081558E" w:rsidP="00792422" w14:paraId="08D78CAB" w14:textId="77777777">
      <w:pPr>
        <w:pStyle w:val="BodyText"/>
        <w:spacing w:before="93"/>
        <w:ind w:left="119" w:right="235"/>
      </w:pPr>
      <w:r w:rsidRPr="006A7557">
        <w:t>The U.S. Nuclear Regulatory Commission (NRC) requires annual registration of certain radioactive devices issued under Title 10</w:t>
      </w:r>
      <w:r w:rsidRPr="006A7557" w:rsidR="00946BDD">
        <w:t xml:space="preserve"> of the</w:t>
      </w:r>
      <w:r w:rsidRPr="006A7557">
        <w:t xml:space="preserve"> </w:t>
      </w:r>
      <w:r w:rsidRPr="006A7557">
        <w:rPr>
          <w:i/>
        </w:rPr>
        <w:t xml:space="preserve">Code of Federal Regulations </w:t>
      </w:r>
      <w:r w:rsidRPr="006A7557">
        <w:t>(</w:t>
      </w:r>
      <w:r w:rsidRPr="006A7557" w:rsidR="00946BDD">
        <w:t xml:space="preserve">10 </w:t>
      </w:r>
      <w:r w:rsidRPr="006A7557">
        <w:t>CFR).</w:t>
      </w:r>
      <w:r w:rsidRPr="006A7557" w:rsidR="00EE3EFA">
        <w:t xml:space="preserve"> </w:t>
      </w:r>
      <w:r w:rsidRPr="006A7557">
        <w:t>The NRC Form 664, “General Licensee Registration,” is used for the collection of information pertaining to generally licensed devices that are subject to registration under 10 CFR Section</w:t>
      </w:r>
      <w:r w:rsidR="003C5A28">
        <w:t> 3</w:t>
      </w:r>
      <w:r w:rsidRPr="006A7557">
        <w:t>1.5.</w:t>
      </w:r>
      <w:r w:rsidRPr="006A7557" w:rsidR="00EE3EFA">
        <w:t xml:space="preserve"> </w:t>
      </w:r>
      <w:r w:rsidRPr="006A7557">
        <w:t>The annual registration criteria are based on radionuclide and the amount of byproduct material contained in the device at the time of purchase.</w:t>
      </w:r>
      <w:r w:rsidRPr="006A7557" w:rsidR="00EE3EFA">
        <w:t xml:space="preserve"> </w:t>
      </w:r>
      <w:r w:rsidRPr="006A7557">
        <w:t>If a generally licensed device contains one or more of the following isotopes</w:t>
      </w:r>
      <w:r w:rsidRPr="006A7557" w:rsidR="003F088C">
        <w:t xml:space="preserve"> with indicated </w:t>
      </w:r>
      <w:r w:rsidRPr="006A7557" w:rsidR="007119B3">
        <w:t>minimum radioactivity thresholds</w:t>
      </w:r>
      <w:r w:rsidRPr="006A7557">
        <w:t xml:space="preserve">, </w:t>
      </w:r>
      <w:r w:rsidRPr="006A7557" w:rsidR="00F40C6B">
        <w:t>the device</w:t>
      </w:r>
      <w:r w:rsidRPr="006A7557">
        <w:t xml:space="preserve"> is subject to an annual registration:</w:t>
      </w:r>
      <w:r w:rsidRPr="006A7557" w:rsidR="00EE3EFA">
        <w:t xml:space="preserve"> </w:t>
      </w:r>
      <w:r w:rsidR="003A4D84">
        <w:t>(</w:t>
      </w:r>
      <w:r w:rsidRPr="006A7557">
        <w:t xml:space="preserve">1) 370 megabecquerel (10 millicurie) cesium-137; </w:t>
      </w:r>
      <w:r w:rsidR="003A4D84">
        <w:t>(</w:t>
      </w:r>
      <w:r w:rsidRPr="006A7557">
        <w:t xml:space="preserve">2) 37 megabecquerel (1 millicurie) cobalt-60; </w:t>
      </w:r>
      <w:r w:rsidR="003A4D84">
        <w:t>(</w:t>
      </w:r>
      <w:r w:rsidRPr="006A7557">
        <w:t>3) 37 megabecquere</w:t>
      </w:r>
      <w:r w:rsidRPr="006A7557" w:rsidR="00CC2D40">
        <w:t>l</w:t>
      </w:r>
      <w:r w:rsidRPr="006A7557" w:rsidR="00792422">
        <w:t xml:space="preserve"> </w:t>
      </w:r>
      <w:r w:rsidRPr="006A7557">
        <w:t xml:space="preserve">(1 millicurie) americium-241, or any other transuranic; </w:t>
      </w:r>
      <w:r w:rsidR="003A4D84">
        <w:t>(</w:t>
      </w:r>
      <w:r w:rsidRPr="006A7557">
        <w:t>4) 3.7 megabecquerel</w:t>
      </w:r>
      <w:r w:rsidRPr="0081558E">
        <w:t xml:space="preserve"> (0.1 millicurie)</w:t>
      </w:r>
      <w:r w:rsidRPr="0081558E" w:rsidR="00792422">
        <w:t xml:space="preserve"> </w:t>
      </w:r>
      <w:r w:rsidRPr="0081558E">
        <w:t xml:space="preserve">strontium-90; or </w:t>
      </w:r>
      <w:r w:rsidR="003A4D84">
        <w:t>(</w:t>
      </w:r>
      <w:r w:rsidRPr="0081558E">
        <w:t>5) 3.7 megabecquerel (0.1 millicurie) radium-226.</w:t>
      </w:r>
    </w:p>
    <w:p w:rsidR="00785D77" w:rsidRPr="0081558E" w14:paraId="503C3D9C" w14:textId="77777777">
      <w:pPr>
        <w:pStyle w:val="BodyText"/>
      </w:pPr>
    </w:p>
    <w:p w:rsidR="00785D77" w:rsidRPr="0081558E" w14:paraId="32145A12" w14:textId="77777777">
      <w:pPr>
        <w:pStyle w:val="BodyText"/>
        <w:ind w:left="119" w:right="112"/>
      </w:pPr>
      <w:r w:rsidRPr="0081558E">
        <w:t>The NRC has developed a standard format, NRC Form 664, “General Licensee Registration,” for general licensees to provide the required information.</w:t>
      </w:r>
      <w:r w:rsidRPr="0081558E" w:rsidR="00EE3EFA">
        <w:t xml:space="preserve"> </w:t>
      </w:r>
      <w:r w:rsidRPr="0081558E">
        <w:t>When sent to the general licensee by the NRC, the form will provide available information to the general licensee and requires the general licensee to verify and update the information as necessary.</w:t>
      </w:r>
      <w:r w:rsidRPr="0081558E" w:rsidR="00EE3EFA">
        <w:t xml:space="preserve"> </w:t>
      </w:r>
      <w:r w:rsidRPr="0081558E">
        <w:t>Essential information to be verified/updated on the form include</w:t>
      </w:r>
      <w:r w:rsidRPr="0081558E" w:rsidR="00DE4776">
        <w:t>s</w:t>
      </w:r>
      <w:r w:rsidRPr="0081558E">
        <w:t xml:space="preserve"> </w:t>
      </w:r>
      <w:r w:rsidR="003A4D84">
        <w:t>(</w:t>
      </w:r>
      <w:r w:rsidRPr="0081558E">
        <w:t xml:space="preserve">1) the name, title, </w:t>
      </w:r>
      <w:r w:rsidRPr="0081558E" w:rsidR="00010476">
        <w:t xml:space="preserve">email address, </w:t>
      </w:r>
      <w:r w:rsidRPr="0081558E">
        <w:t xml:space="preserve">and telephone number of the individual responsible for the device; </w:t>
      </w:r>
      <w:r w:rsidR="003A4D84">
        <w:t>(</w:t>
      </w:r>
      <w:r w:rsidRPr="0081558E">
        <w:t xml:space="preserve">2) a mailing address and an address of use or storage for the device; and </w:t>
      </w:r>
      <w:r w:rsidR="003A4D84">
        <w:t>(</w:t>
      </w:r>
      <w:r w:rsidRPr="0081558E">
        <w:t>3) information pertaining to the device such as manufacturer’s name</w:t>
      </w:r>
      <w:r w:rsidRPr="0081558E">
        <w:t>, device serial number, device model number, and the isotope and activity contained within the device.</w:t>
      </w:r>
      <w:r w:rsidRPr="0081558E" w:rsidR="00EE3EFA">
        <w:t xml:space="preserve"> </w:t>
      </w:r>
      <w:r w:rsidRPr="0081558E">
        <w:t>The registration Form 664 and instructions will be provided by the NRC to all affected general</w:t>
      </w:r>
      <w:r w:rsidRPr="0081558E">
        <w:rPr>
          <w:spacing w:val="-21"/>
        </w:rPr>
        <w:t xml:space="preserve"> </w:t>
      </w:r>
      <w:r w:rsidRPr="0081558E">
        <w:t>licensees.</w:t>
      </w:r>
    </w:p>
    <w:p w:rsidR="00785D77" w:rsidRPr="00222BE2" w14:paraId="51D03A8E" w14:textId="77777777">
      <w:pPr>
        <w:pStyle w:val="BodyText"/>
        <w:spacing w:before="10"/>
      </w:pPr>
    </w:p>
    <w:p w:rsidR="00785D77" w:rsidRPr="0081558E" w14:paraId="3C634782" w14:textId="77777777">
      <w:pPr>
        <w:pStyle w:val="ListParagraph"/>
        <w:numPr>
          <w:ilvl w:val="0"/>
          <w:numId w:val="1"/>
        </w:numPr>
        <w:tabs>
          <w:tab w:val="left" w:pos="840"/>
          <w:tab w:val="left" w:pos="841"/>
        </w:tabs>
        <w:ind w:hanging="720"/>
      </w:pPr>
      <w:r w:rsidRPr="0081558E">
        <w:rPr>
          <w:u w:val="single"/>
        </w:rPr>
        <w:t>JUSTIFICATION</w:t>
      </w:r>
    </w:p>
    <w:p w:rsidR="00785D77" w:rsidRPr="00222BE2" w:rsidP="00E62B8F" w14:paraId="47BB0B9C" w14:textId="77777777">
      <w:pPr>
        <w:pStyle w:val="BodyText"/>
        <w:spacing w:before="11"/>
      </w:pPr>
    </w:p>
    <w:p w:rsidR="00DD2B95" w:rsidRPr="0081558E" w:rsidP="00DD2B95" w14:paraId="6DB94127" w14:textId="77777777">
      <w:pPr>
        <w:pStyle w:val="ListParagraph"/>
        <w:numPr>
          <w:ilvl w:val="1"/>
          <w:numId w:val="1"/>
        </w:numPr>
        <w:tabs>
          <w:tab w:val="left" w:pos="1560"/>
          <w:tab w:val="left" w:pos="1561"/>
        </w:tabs>
        <w:spacing w:before="92"/>
        <w:ind w:hanging="320"/>
        <w:jc w:val="left"/>
      </w:pPr>
      <w:r w:rsidRPr="0081558E">
        <w:rPr>
          <w:u w:val="single"/>
        </w:rPr>
        <w:t>Need for and Practical Utility of the Information</w:t>
      </w:r>
      <w:r w:rsidRPr="0081558E">
        <w:rPr>
          <w:spacing w:val="-12"/>
          <w:u w:val="single"/>
        </w:rPr>
        <w:t xml:space="preserve"> </w:t>
      </w:r>
      <w:r w:rsidRPr="0081558E">
        <w:rPr>
          <w:u w:val="single"/>
        </w:rPr>
        <w:t>Collection</w:t>
      </w:r>
    </w:p>
    <w:p w:rsidR="00785D77" w:rsidRPr="00222BE2" w:rsidP="00DD2B95" w14:paraId="77055B11" w14:textId="77777777">
      <w:pPr>
        <w:pStyle w:val="BodyText"/>
        <w:spacing w:before="10"/>
      </w:pPr>
    </w:p>
    <w:p w:rsidR="00785D77" w:rsidRPr="0081558E" w:rsidP="00C44E6A" w14:paraId="23839C94" w14:textId="77777777">
      <w:pPr>
        <w:pStyle w:val="BodyText"/>
        <w:spacing w:before="93"/>
        <w:ind w:left="1160" w:right="112"/>
      </w:pPr>
      <w:r w:rsidRPr="0081558E">
        <w:t>In the past, general licensees were not contacted by the NRC on a regular basis for information on devices possessed, because of the relatively small radiation risk posed by these devices.</w:t>
      </w:r>
      <w:r w:rsidRPr="0081558E" w:rsidR="00EE3EFA">
        <w:t xml:space="preserve"> </w:t>
      </w:r>
      <w:r w:rsidRPr="0081558E">
        <w:t>However, a number of occurrences involving generally licensed devices suggest better accounting for such devices may be beneficial.</w:t>
      </w:r>
      <w:r w:rsidRPr="0081558E" w:rsidR="00EE3EFA">
        <w:t xml:space="preserve"> </w:t>
      </w:r>
      <w:r w:rsidRPr="0081558E">
        <w:t>For example, one or more cesium gauges were mixed in with scrap metal that was smelted to form steel, and the entire batch of steel was contaminated.</w:t>
      </w:r>
      <w:r w:rsidRPr="0081558E" w:rsidR="00EE3EFA">
        <w:t xml:space="preserve"> </w:t>
      </w:r>
      <w:r w:rsidRPr="0081558E">
        <w:t>There have been other types of incidents involving NRC generally licensed devices; however, lack of accountability remains the most common problem and the predominant concern.</w:t>
      </w:r>
    </w:p>
    <w:p w:rsidR="00785D77" w:rsidRPr="0081558E" w14:paraId="0B1AA7EB" w14:textId="77777777">
      <w:pPr>
        <w:pStyle w:val="BodyText"/>
      </w:pPr>
    </w:p>
    <w:p w:rsidR="00785D77" w:rsidRPr="0081558E" w:rsidP="00B274B4" w14:paraId="18A8A728" w14:textId="77777777">
      <w:pPr>
        <w:pStyle w:val="BodyText"/>
        <w:spacing w:after="240"/>
        <w:ind w:left="1160" w:right="128"/>
      </w:pPr>
      <w:r w:rsidRPr="0081558E">
        <w:t>The NRC has concluded that there is a lack of adequate awareness of applicable regulations on the part of the device user and inadequate handling and accounting for these devices.</w:t>
      </w:r>
      <w:r w:rsidRPr="0081558E" w:rsidR="00EE3EFA">
        <w:t xml:space="preserve"> </w:t>
      </w:r>
      <w:r w:rsidRPr="0081558E">
        <w:t>The NRC further concluded that these two problems can be addressed by more frequent and timely contact between the general licensee and NRC in the form of a registration program for the higher risk devices.</w:t>
      </w:r>
      <w:r w:rsidRPr="0081558E" w:rsidR="00EE3EFA">
        <w:t xml:space="preserve"> </w:t>
      </w:r>
      <w:r w:rsidRPr="0081558E">
        <w:t>The NRC Form 664 is used for the collection of information pertaining to the annual registration of certain generally licensed</w:t>
      </w:r>
      <w:r w:rsidRPr="0081558E">
        <w:rPr>
          <w:spacing w:val="-17"/>
        </w:rPr>
        <w:t xml:space="preserve"> </w:t>
      </w:r>
      <w:r w:rsidRPr="0081558E">
        <w:t>devices.</w:t>
      </w:r>
    </w:p>
    <w:p w:rsidR="00785D77" w:rsidRPr="0081558E" w14:paraId="192179A2" w14:textId="77777777">
      <w:pPr>
        <w:pStyle w:val="ListParagraph"/>
        <w:numPr>
          <w:ilvl w:val="1"/>
          <w:numId w:val="1"/>
        </w:numPr>
        <w:tabs>
          <w:tab w:val="left" w:pos="1159"/>
          <w:tab w:val="left" w:pos="1161"/>
        </w:tabs>
        <w:spacing w:before="77"/>
        <w:ind w:hanging="720"/>
        <w:jc w:val="left"/>
      </w:pPr>
      <w:r w:rsidRPr="0081558E">
        <w:rPr>
          <w:u w:val="single"/>
        </w:rPr>
        <w:t>Agency Use of the</w:t>
      </w:r>
      <w:r w:rsidRPr="0081558E">
        <w:rPr>
          <w:spacing w:val="-10"/>
          <w:u w:val="single"/>
        </w:rPr>
        <w:t xml:space="preserve"> </w:t>
      </w:r>
      <w:r w:rsidRPr="0081558E">
        <w:rPr>
          <w:u w:val="single"/>
        </w:rPr>
        <w:t>Information</w:t>
      </w:r>
    </w:p>
    <w:p w:rsidR="00785D77" w:rsidRPr="00222BE2" w14:paraId="3443F5FF" w14:textId="77777777">
      <w:pPr>
        <w:pStyle w:val="BodyText"/>
        <w:spacing w:before="10"/>
      </w:pPr>
    </w:p>
    <w:p w:rsidR="00785D77" w:rsidRPr="0081558E" w14:paraId="2E410FAE" w14:textId="77777777">
      <w:pPr>
        <w:pStyle w:val="BodyText"/>
        <w:spacing w:before="93"/>
        <w:ind w:left="1159" w:right="112"/>
      </w:pPr>
      <w:r w:rsidRPr="0081558E">
        <w:t xml:space="preserve">General licensees </w:t>
      </w:r>
      <w:r w:rsidRPr="0081558E" w:rsidR="00BD6636">
        <w:t xml:space="preserve">subject to the registration criteria under NRC jurisdiction </w:t>
      </w:r>
      <w:r w:rsidRPr="0081558E">
        <w:t xml:space="preserve">are required to submit information </w:t>
      </w:r>
      <w:r w:rsidRPr="0081558E" w:rsidR="00BD6636">
        <w:t xml:space="preserve">annually </w:t>
      </w:r>
      <w:r w:rsidRPr="0081558E">
        <w:t>to allow the Agency to better track general</w:t>
      </w:r>
      <w:r w:rsidRPr="0081558E" w:rsidR="00B207A8">
        <w:t>ly</w:t>
      </w:r>
      <w:r w:rsidRPr="0081558E">
        <w:t xml:space="preserve"> licensed devices</w:t>
      </w:r>
      <w:r w:rsidR="00FF77D9">
        <w:t>,</w:t>
      </w:r>
      <w:r w:rsidRPr="0081558E">
        <w:t xml:space="preserve"> and so that licensees can be contacted or inspected to ensure that the devices can be identified or tracked even if lost or damaged.</w:t>
      </w:r>
    </w:p>
    <w:p w:rsidR="00785D77" w:rsidRPr="0081558E" w14:paraId="11034A19" w14:textId="77777777">
      <w:pPr>
        <w:pStyle w:val="BodyText"/>
      </w:pPr>
    </w:p>
    <w:p w:rsidR="00785D77" w:rsidRPr="00222BE2" w:rsidP="001C1744" w14:paraId="463E6A49" w14:textId="77777777">
      <w:pPr>
        <w:pStyle w:val="ListParagraph"/>
        <w:numPr>
          <w:ilvl w:val="1"/>
          <w:numId w:val="1"/>
        </w:numPr>
        <w:tabs>
          <w:tab w:val="left" w:pos="1159"/>
          <w:tab w:val="left" w:pos="1160"/>
        </w:tabs>
        <w:spacing w:before="10"/>
        <w:ind w:hanging="720"/>
        <w:jc w:val="left"/>
      </w:pPr>
      <w:r w:rsidRPr="0081558E">
        <w:rPr>
          <w:u w:val="single"/>
        </w:rPr>
        <w:t>Reduction of Burden Through Information</w:t>
      </w:r>
      <w:r w:rsidRPr="0081558E">
        <w:rPr>
          <w:spacing w:val="-13"/>
          <w:u w:val="single"/>
        </w:rPr>
        <w:t xml:space="preserve"> </w:t>
      </w:r>
      <w:r w:rsidRPr="0081558E">
        <w:rPr>
          <w:u w:val="single"/>
        </w:rPr>
        <w:t>Technology</w:t>
      </w:r>
      <w:bookmarkStart w:id="0" w:name="_Hlk83228389"/>
    </w:p>
    <w:p w:rsidR="0081558E" w:rsidRPr="00222BE2" w:rsidP="00222BE2" w14:paraId="63805E1D" w14:textId="77777777">
      <w:pPr>
        <w:pStyle w:val="ListParagraph"/>
        <w:tabs>
          <w:tab w:val="left" w:pos="1159"/>
          <w:tab w:val="left" w:pos="1160"/>
        </w:tabs>
        <w:spacing w:before="10"/>
        <w:ind w:left="1160" w:firstLine="0"/>
      </w:pPr>
    </w:p>
    <w:bookmarkEnd w:id="0"/>
    <w:p w:rsidR="00785D77" w:rsidRPr="006A7557" w14:paraId="4EA77871" w14:textId="77777777">
      <w:pPr>
        <w:pStyle w:val="BodyText"/>
        <w:spacing w:before="92"/>
        <w:ind w:left="1160" w:right="157"/>
      </w:pPr>
      <w:r w:rsidRPr="0081558E">
        <w:t>The NRC has issued</w:t>
      </w:r>
      <w:r w:rsidRPr="0081558E" w:rsidR="00491586">
        <w:rPr>
          <w:i/>
          <w:u w:val="single"/>
        </w:rPr>
        <w:t xml:space="preserve"> </w:t>
      </w:r>
      <w:r>
        <w:fldChar w:fldCharType="begin"/>
      </w:r>
      <w:r w:rsidRPr="0081558E" w:rsidR="00491586">
        <w:rPr>
          <w:rStyle w:val="normaltextrun"/>
          <w:i/>
          <w:iCs/>
          <w:color w:val="0000FF"/>
          <w:u w:val="single"/>
          <w:shd w:val="clear" w:color="auto" w:fill="FFFFFF"/>
        </w:rPr>
        <w:instrText xml:space="preserve"> HYPERLINK "http://www.nrc.gov/site-help/electronic-sub-ref-mat.html" \t "_blank" </w:instrText>
      </w:r>
      <w:r>
        <w:fldChar w:fldCharType="separate"/>
      </w:r>
      <w:r w:rsidRPr="0081558E" w:rsidR="00491586">
        <w:rPr>
          <w:rStyle w:val="normaltextrun"/>
          <w:i/>
          <w:iCs/>
          <w:color w:val="0000FF"/>
          <w:u w:val="single"/>
          <w:shd w:val="clear" w:color="auto" w:fill="FFFFFF"/>
        </w:rPr>
        <w:t>Guidance for Electronic Submissions to the NRC</w:t>
      </w:r>
      <w:r>
        <w:fldChar w:fldCharType="end"/>
      </w:r>
      <w:r>
        <w:rPr>
          <w:rStyle w:val="FootnoteReference"/>
        </w:rPr>
        <w:footnoteReference w:id="2"/>
      </w:r>
      <w:r w:rsidRPr="0081558E" w:rsidR="00491586">
        <w:t xml:space="preserve"> </w:t>
      </w:r>
      <w:r w:rsidRPr="0081558E">
        <w:t>which provides direction for the electronic transmission and submittal of documents to the NRC.</w:t>
      </w:r>
      <w:r w:rsidRPr="0081558E" w:rsidR="00EE3EFA">
        <w:t xml:space="preserve"> </w:t>
      </w:r>
      <w:r w:rsidRPr="0081558E">
        <w:t>Electronic transmission and submittal of documents can be accomplished via the following avenues:</w:t>
      </w:r>
      <w:r w:rsidRPr="0081558E" w:rsidR="00EE3EFA">
        <w:t xml:space="preserve"> </w:t>
      </w:r>
      <w:r w:rsidRPr="0081558E">
        <w:t xml:space="preserve">the Electronic Information Exchange process, which is available from the NRC's “Electronic Submittals” Web page, by Optical Storage </w:t>
      </w:r>
      <w:r w:rsidRPr="006A7557">
        <w:t>Media (e.g. CD-ROM, DVD), by facsimile</w:t>
      </w:r>
      <w:r w:rsidRPr="006A7557" w:rsidR="00DC42C8">
        <w:t>,</w:t>
      </w:r>
      <w:r w:rsidRPr="006A7557">
        <w:t xml:space="preserve"> or by e-mail.</w:t>
      </w:r>
      <w:r w:rsidRPr="006A7557" w:rsidR="00EE3EFA">
        <w:t xml:space="preserve"> </w:t>
      </w:r>
      <w:r w:rsidRPr="006A7557" w:rsidR="0010521F">
        <w:t xml:space="preserve">Since NRC has moved </w:t>
      </w:r>
      <w:r w:rsidR="003C5A28">
        <w:t>toward</w:t>
      </w:r>
      <w:r w:rsidRPr="006A7557" w:rsidR="0010521F">
        <w:t xml:space="preserve"> e-mailing registration forms</w:t>
      </w:r>
      <w:r w:rsidRPr="006A7557" w:rsidR="00283D2C">
        <w:t xml:space="preserve"> in 2025</w:t>
      </w:r>
      <w:r w:rsidRPr="006A7557" w:rsidR="0010521F">
        <w:t xml:space="preserve">, </w:t>
      </w:r>
      <w:r w:rsidRPr="006A7557" w:rsidR="00CF6709">
        <w:t xml:space="preserve">it </w:t>
      </w:r>
      <w:r w:rsidRPr="006A7557">
        <w:t>is estimated that approximately</w:t>
      </w:r>
      <w:r w:rsidRPr="006A7557" w:rsidR="00E60728">
        <w:t xml:space="preserve"> </w:t>
      </w:r>
      <w:r w:rsidRPr="006A7557" w:rsidR="0010521F">
        <w:t>60</w:t>
      </w:r>
      <w:r w:rsidRPr="006A7557" w:rsidR="00E43797">
        <w:t xml:space="preserve"> percent</w:t>
      </w:r>
      <w:r w:rsidRPr="006A7557">
        <w:t xml:space="preserve"> of the responses </w:t>
      </w:r>
      <w:r w:rsidR="00A07C84">
        <w:t xml:space="preserve">will be </w:t>
      </w:r>
      <w:r w:rsidRPr="006A7557">
        <w:t>filed electronically.</w:t>
      </w:r>
    </w:p>
    <w:p w:rsidR="00785D77" w:rsidRPr="006A7557" w14:paraId="09C47533" w14:textId="77777777">
      <w:pPr>
        <w:pStyle w:val="BodyText"/>
        <w:spacing w:before="11"/>
      </w:pPr>
    </w:p>
    <w:p w:rsidR="00785D77" w14:paraId="50D0D974" w14:textId="77777777">
      <w:pPr>
        <w:pStyle w:val="BodyText"/>
        <w:ind w:left="1160" w:right="565"/>
      </w:pPr>
      <w:r w:rsidRPr="006A7557">
        <w:t xml:space="preserve">Currently NRC scans </w:t>
      </w:r>
      <w:r w:rsidRPr="006A7557" w:rsidR="00283D2C">
        <w:t xml:space="preserve">any </w:t>
      </w:r>
      <w:r w:rsidRPr="006A7557" w:rsidR="00790652">
        <w:t xml:space="preserve">paper-based </w:t>
      </w:r>
      <w:r w:rsidRPr="006A7557">
        <w:t>form</w:t>
      </w:r>
      <w:r w:rsidRPr="006A7557" w:rsidR="00283D2C">
        <w:t>s</w:t>
      </w:r>
      <w:r w:rsidRPr="006A7557">
        <w:t xml:space="preserve"> manually</w:t>
      </w:r>
      <w:r w:rsidRPr="006A7557" w:rsidR="00E71431">
        <w:t xml:space="preserve"> and staff </w:t>
      </w:r>
      <w:r w:rsidRPr="006A7557" w:rsidR="00283D2C">
        <w:t>enter</w:t>
      </w:r>
      <w:r w:rsidRPr="006A7557" w:rsidR="00E71431">
        <w:t xml:space="preserve"> updated information </w:t>
      </w:r>
      <w:r w:rsidRPr="006A7557">
        <w:t>into the general licensing tracking database.</w:t>
      </w:r>
      <w:r w:rsidRPr="006A7557" w:rsidR="00283D2C">
        <w:t xml:space="preserve"> Forms that are received via</w:t>
      </w:r>
      <w:r w:rsidR="00D841A2">
        <w:t xml:space="preserve"> e-</w:t>
      </w:r>
      <w:r w:rsidRPr="006A7557" w:rsidR="00283D2C">
        <w:t xml:space="preserve">mail are </w:t>
      </w:r>
      <w:r w:rsidRPr="006A7557" w:rsidR="00A0255C">
        <w:t xml:space="preserve">uploaded and manually </w:t>
      </w:r>
      <w:r w:rsidRPr="006A7557" w:rsidR="00275E27">
        <w:t>entered</w:t>
      </w:r>
      <w:r w:rsidRPr="006A7557" w:rsidR="00B059C5">
        <w:t xml:space="preserve"> </w:t>
      </w:r>
      <w:r w:rsidRPr="006A7557" w:rsidR="00275E27">
        <w:t xml:space="preserve">in </w:t>
      </w:r>
      <w:r w:rsidRPr="006A7557" w:rsidR="00A0255C">
        <w:t>the database.</w:t>
      </w:r>
      <w:r w:rsidRPr="006A7557" w:rsidR="00B92D86">
        <w:t xml:space="preserve"> Additional </w:t>
      </w:r>
      <w:r w:rsidRPr="006A7557" w:rsidR="006460CC">
        <w:t>IT-based</w:t>
      </w:r>
      <w:r w:rsidRPr="006A7557" w:rsidR="00EF2447">
        <w:t xml:space="preserve"> </w:t>
      </w:r>
      <w:r w:rsidRPr="006A7557" w:rsidR="00B92D86">
        <w:t xml:space="preserve">solutions will be </w:t>
      </w:r>
      <w:r w:rsidRPr="006A7557" w:rsidR="00EF2447">
        <w:t xml:space="preserve">considered in the future </w:t>
      </w:r>
      <w:r w:rsidRPr="006A7557" w:rsidR="006460CC">
        <w:t xml:space="preserve">to further reduce </w:t>
      </w:r>
      <w:r w:rsidRPr="006A7557" w:rsidR="009C769B">
        <w:t>the burden</w:t>
      </w:r>
      <w:r w:rsidRPr="006A7557" w:rsidR="006460CC">
        <w:t>.</w:t>
      </w:r>
      <w:r w:rsidR="00EF2447">
        <w:t xml:space="preserve"> </w:t>
      </w:r>
    </w:p>
    <w:p w:rsidR="00785D77" w:rsidRPr="00222BE2" w14:paraId="77330C42" w14:textId="77777777">
      <w:pPr>
        <w:pStyle w:val="BodyText"/>
        <w:spacing w:before="10"/>
      </w:pPr>
    </w:p>
    <w:p w:rsidR="00785D77" w:rsidRPr="0081558E" w14:paraId="7C6A2700" w14:textId="77777777">
      <w:pPr>
        <w:pStyle w:val="ListParagraph"/>
        <w:numPr>
          <w:ilvl w:val="1"/>
          <w:numId w:val="1"/>
        </w:numPr>
        <w:tabs>
          <w:tab w:val="left" w:pos="1159"/>
          <w:tab w:val="left" w:pos="1160"/>
        </w:tabs>
        <w:ind w:left="1159" w:hanging="719"/>
        <w:jc w:val="left"/>
      </w:pPr>
      <w:r w:rsidRPr="0081558E">
        <w:rPr>
          <w:u w:val="single"/>
        </w:rPr>
        <w:t>Effort to Identify Duplication and Use Similar</w:t>
      </w:r>
      <w:r w:rsidRPr="0081558E">
        <w:rPr>
          <w:spacing w:val="-11"/>
          <w:u w:val="single"/>
        </w:rPr>
        <w:t xml:space="preserve"> </w:t>
      </w:r>
      <w:r w:rsidRPr="0081558E">
        <w:rPr>
          <w:u w:val="single"/>
        </w:rPr>
        <w:t>Information</w:t>
      </w:r>
    </w:p>
    <w:p w:rsidR="00785D77" w:rsidRPr="00222BE2" w14:paraId="0F6721EA" w14:textId="77777777">
      <w:pPr>
        <w:pStyle w:val="BodyText"/>
        <w:spacing w:before="11"/>
      </w:pPr>
    </w:p>
    <w:p w:rsidR="00785D77" w:rsidRPr="0081558E" w14:paraId="028CCBAE" w14:textId="77777777">
      <w:pPr>
        <w:pStyle w:val="BodyText"/>
        <w:spacing w:before="92"/>
        <w:ind w:left="1160" w:right="112"/>
      </w:pPr>
      <w:r w:rsidRPr="0081558E">
        <w:t>No sources of similar information are available.</w:t>
      </w:r>
      <w:r w:rsidRPr="0081558E" w:rsidR="00EE3EFA">
        <w:t xml:space="preserve"> </w:t>
      </w:r>
      <w:r w:rsidRPr="0081558E">
        <w:t>There is no duplication of requirements.</w:t>
      </w:r>
    </w:p>
    <w:p w:rsidR="00785D77" w:rsidRPr="00222BE2" w14:paraId="6E6E7221" w14:textId="77777777">
      <w:pPr>
        <w:pStyle w:val="BodyText"/>
        <w:spacing w:before="10"/>
      </w:pPr>
    </w:p>
    <w:p w:rsidR="00785D77" w:rsidRPr="0081558E" w14:paraId="1E1D445E" w14:textId="77777777">
      <w:pPr>
        <w:pStyle w:val="ListParagraph"/>
        <w:numPr>
          <w:ilvl w:val="1"/>
          <w:numId w:val="1"/>
        </w:numPr>
        <w:tabs>
          <w:tab w:val="left" w:pos="1159"/>
          <w:tab w:val="left" w:pos="1161"/>
        </w:tabs>
        <w:ind w:hanging="720"/>
        <w:jc w:val="left"/>
      </w:pPr>
      <w:r w:rsidRPr="0081558E">
        <w:rPr>
          <w:u w:val="single"/>
        </w:rPr>
        <w:t>Effort to Reduce Small Business</w:t>
      </w:r>
      <w:r w:rsidRPr="0081558E">
        <w:rPr>
          <w:spacing w:val="-10"/>
          <w:u w:val="single"/>
        </w:rPr>
        <w:t xml:space="preserve"> </w:t>
      </w:r>
      <w:r w:rsidRPr="0081558E">
        <w:rPr>
          <w:u w:val="single"/>
        </w:rPr>
        <w:t>Burden</w:t>
      </w:r>
    </w:p>
    <w:p w:rsidR="00785D77" w:rsidRPr="00222BE2" w14:paraId="63D49599" w14:textId="77777777">
      <w:pPr>
        <w:pStyle w:val="BodyText"/>
        <w:spacing w:before="11"/>
      </w:pPr>
    </w:p>
    <w:p w:rsidR="00785D77" w:rsidRPr="0081558E" w14:paraId="6D7C0B69" w14:textId="77777777">
      <w:pPr>
        <w:pStyle w:val="BodyText"/>
        <w:spacing w:before="92"/>
        <w:ind w:left="1160" w:right="128"/>
      </w:pPr>
      <w:r w:rsidRPr="0081558E">
        <w:t xml:space="preserve">Because </w:t>
      </w:r>
      <w:r w:rsidRPr="0081558E" w:rsidR="009C769B">
        <w:t>most of</w:t>
      </w:r>
      <w:r w:rsidRPr="0081558E">
        <w:t xml:space="preserve"> the general licensees are small businesses, care was taken to require only the minimum amount of information needed </w:t>
      </w:r>
      <w:r w:rsidRPr="0081558E" w:rsidR="009C769B">
        <w:t>to</w:t>
      </w:r>
      <w:r w:rsidRPr="0081558E">
        <w:t xml:space="preserve"> assure that the health and safety of the public is protected.</w:t>
      </w:r>
      <w:r w:rsidRPr="0081558E" w:rsidR="00EE3EFA">
        <w:t xml:space="preserve"> </w:t>
      </w:r>
      <w:r w:rsidRPr="0081558E" w:rsidR="009C769B">
        <w:t>To</w:t>
      </w:r>
      <w:r w:rsidRPr="0081558E">
        <w:t xml:space="preserve"> simplify the process, licensees will be provided with information from the NRC database for verification and correction, rather than being required to provide all information on a blank form.</w:t>
      </w:r>
      <w:r w:rsidRPr="0081558E" w:rsidR="00EE3EFA">
        <w:t xml:space="preserve"> </w:t>
      </w:r>
      <w:r w:rsidRPr="0081558E">
        <w:t xml:space="preserve">It is not possible to further reduce </w:t>
      </w:r>
      <w:r w:rsidRPr="0081558E" w:rsidR="009C769B">
        <w:t>the burden</w:t>
      </w:r>
      <w:r w:rsidRPr="0081558E">
        <w:t xml:space="preserve"> on small businesses by reducing the information collection and still adequately track o</w:t>
      </w:r>
      <w:r w:rsidRPr="0081558E">
        <w:t>wnership and disposition of the</w:t>
      </w:r>
      <w:r w:rsidRPr="0081558E">
        <w:rPr>
          <w:spacing w:val="-9"/>
        </w:rPr>
        <w:t xml:space="preserve"> </w:t>
      </w:r>
      <w:r w:rsidRPr="0081558E">
        <w:t>devices.</w:t>
      </w:r>
      <w:r w:rsidRPr="0081558E" w:rsidR="00EE3EFA">
        <w:t xml:space="preserve"> </w:t>
      </w:r>
      <w:r w:rsidR="00E43797">
        <w:t>Approximately</w:t>
      </w:r>
      <w:r w:rsidR="00135B4E">
        <w:t xml:space="preserve"> 30 percent</w:t>
      </w:r>
      <w:r w:rsidRPr="0081558E" w:rsidR="009F2964">
        <w:t xml:space="preserve"> of respondents are estimated to be small businesses.</w:t>
      </w:r>
    </w:p>
    <w:p w:rsidR="00785D77" w:rsidRPr="00222BE2" w14:paraId="4ACEAC83" w14:textId="77777777">
      <w:pPr>
        <w:pStyle w:val="BodyText"/>
        <w:spacing w:before="9"/>
      </w:pPr>
    </w:p>
    <w:p w:rsidR="00785D77" w:rsidRPr="0081558E" w14:paraId="75BCF0AF" w14:textId="77777777">
      <w:pPr>
        <w:pStyle w:val="ListParagraph"/>
        <w:numPr>
          <w:ilvl w:val="1"/>
          <w:numId w:val="1"/>
        </w:numPr>
        <w:tabs>
          <w:tab w:val="left" w:pos="1159"/>
          <w:tab w:val="left" w:pos="1161"/>
        </w:tabs>
        <w:spacing w:before="1"/>
        <w:ind w:right="607" w:hanging="720"/>
        <w:jc w:val="left"/>
      </w:pPr>
      <w:r w:rsidRPr="0081558E">
        <w:rPr>
          <w:u w:val="single"/>
        </w:rPr>
        <w:t>Consequences to Federal Program or Policy Activities if the Collection is not Conducted or is Conducted Less</w:t>
      </w:r>
      <w:r w:rsidRPr="0081558E">
        <w:rPr>
          <w:spacing w:val="-11"/>
          <w:u w:val="single"/>
        </w:rPr>
        <w:t xml:space="preserve"> </w:t>
      </w:r>
      <w:r w:rsidRPr="0081558E">
        <w:rPr>
          <w:u w:val="single"/>
        </w:rPr>
        <w:t>Frequently</w:t>
      </w:r>
    </w:p>
    <w:p w:rsidR="00785D77" w:rsidRPr="00222BE2" w14:paraId="6C6A5445" w14:textId="77777777">
      <w:pPr>
        <w:pStyle w:val="BodyText"/>
      </w:pPr>
    </w:p>
    <w:p w:rsidR="00785D77" w:rsidRPr="0081558E" w:rsidP="00CE7B67" w14:paraId="462FCE15" w14:textId="77777777">
      <w:pPr>
        <w:pStyle w:val="BodyText"/>
        <w:spacing w:before="92"/>
        <w:ind w:left="1160" w:right="112"/>
      </w:pPr>
      <w:r w:rsidRPr="0081558E">
        <w:t xml:space="preserve">Annual </w:t>
      </w:r>
      <w:r w:rsidRPr="0081558E" w:rsidR="00BD1A7C">
        <w:t xml:space="preserve">reporting is </w:t>
      </w:r>
      <w:r w:rsidRPr="0081558E">
        <w:t xml:space="preserve">required and </w:t>
      </w:r>
      <w:r w:rsidRPr="0081558E" w:rsidR="00BD1A7C">
        <w:t xml:space="preserve">essential to </w:t>
      </w:r>
      <w:r w:rsidRPr="00C405AB" w:rsidR="00C405AB">
        <w:t>as</w:t>
      </w:r>
      <w:r w:rsidRPr="00C405AB" w:rsidR="00C54602">
        <w:t>sure</w:t>
      </w:r>
      <w:r w:rsidRPr="0081558E" w:rsidR="00BD1A7C">
        <w:t xml:space="preserve"> that devices containing byproduct material are maintained and transferred properly.</w:t>
      </w:r>
      <w:r w:rsidRPr="0081558E" w:rsidR="00EE3EFA">
        <w:t xml:space="preserve"> </w:t>
      </w:r>
      <w:r w:rsidRPr="0081558E" w:rsidR="00BD1A7C">
        <w:t>No reporting would result in a higher probability of devices being inadvertently discarded and could lead to a diminished level of protection for the health and safety of the public and the environment.</w:t>
      </w:r>
    </w:p>
    <w:p w:rsidR="005963F5" w14:paraId="3301CE93" w14:textId="77777777"/>
    <w:p w:rsidR="00785D77" w:rsidRPr="0081558E" w14:paraId="675EBA29" w14:textId="77777777">
      <w:pPr>
        <w:pStyle w:val="ListParagraph"/>
        <w:numPr>
          <w:ilvl w:val="1"/>
          <w:numId w:val="1"/>
        </w:numPr>
        <w:tabs>
          <w:tab w:val="left" w:pos="1159"/>
          <w:tab w:val="left" w:pos="1161"/>
        </w:tabs>
        <w:ind w:hanging="720"/>
        <w:jc w:val="left"/>
      </w:pPr>
      <w:r w:rsidRPr="0081558E">
        <w:rPr>
          <w:u w:val="single"/>
        </w:rPr>
        <w:t xml:space="preserve">Circumstances Which Justify Variation From </w:t>
      </w:r>
      <w:r w:rsidR="003C5A28">
        <w:rPr>
          <w:u w:val="single"/>
        </w:rPr>
        <w:t>Office of Management and Budget</w:t>
      </w:r>
      <w:r w:rsidRPr="00924014" w:rsidR="003C5A28">
        <w:rPr>
          <w:u w:val="single"/>
        </w:rPr>
        <w:t xml:space="preserve"> </w:t>
      </w:r>
      <w:r w:rsidRPr="0081558E">
        <w:rPr>
          <w:u w:val="single"/>
        </w:rPr>
        <w:t>Guidelines</w:t>
      </w:r>
    </w:p>
    <w:p w:rsidR="00785D77" w:rsidRPr="00222BE2" w14:paraId="3818B227" w14:textId="77777777">
      <w:pPr>
        <w:pStyle w:val="BodyText"/>
        <w:spacing w:before="9"/>
      </w:pPr>
    </w:p>
    <w:p w:rsidR="00785D77" w:rsidP="00775737" w14:paraId="2677544B" w14:textId="77777777">
      <w:pPr>
        <w:pStyle w:val="BodyText"/>
        <w:spacing w:before="93"/>
        <w:ind w:left="1160"/>
      </w:pPr>
      <w:r w:rsidRPr="0081558E">
        <w:t>There is no variation from OMB guidelines.</w:t>
      </w:r>
    </w:p>
    <w:p w:rsidR="005963F5" w:rsidRPr="0081558E" w:rsidP="00775737" w14:paraId="4AE977B8" w14:textId="77777777">
      <w:pPr>
        <w:pStyle w:val="BodyText"/>
        <w:spacing w:before="93"/>
        <w:ind w:left="1160"/>
      </w:pPr>
    </w:p>
    <w:p w:rsidR="00785D77" w:rsidRPr="0081558E" w14:paraId="79A2A9B4" w14:textId="77777777">
      <w:pPr>
        <w:pStyle w:val="ListParagraph"/>
        <w:numPr>
          <w:ilvl w:val="1"/>
          <w:numId w:val="1"/>
        </w:numPr>
        <w:tabs>
          <w:tab w:val="left" w:pos="1160"/>
          <w:tab w:val="left" w:pos="1161"/>
        </w:tabs>
        <w:spacing w:before="77"/>
        <w:ind w:hanging="720"/>
        <w:jc w:val="left"/>
      </w:pPr>
      <w:r w:rsidRPr="0081558E">
        <w:rPr>
          <w:u w:val="single"/>
        </w:rPr>
        <w:t>Consultation Outside the</w:t>
      </w:r>
      <w:r w:rsidRPr="0081558E">
        <w:rPr>
          <w:spacing w:val="-8"/>
          <w:u w:val="single"/>
        </w:rPr>
        <w:t xml:space="preserve"> </w:t>
      </w:r>
      <w:r w:rsidRPr="0081558E">
        <w:rPr>
          <w:u w:val="single"/>
        </w:rPr>
        <w:t>NRC</w:t>
      </w:r>
    </w:p>
    <w:p w:rsidR="00785D77" w:rsidRPr="00222BE2" w14:paraId="705552C0" w14:textId="77777777">
      <w:pPr>
        <w:pStyle w:val="BodyText"/>
        <w:spacing w:before="10"/>
      </w:pPr>
    </w:p>
    <w:p w:rsidR="00DD2CD1" w:rsidP="008A06B4" w14:paraId="14549367" w14:textId="77777777">
      <w:pPr>
        <w:pStyle w:val="BodyText"/>
        <w:spacing w:before="1"/>
        <w:ind w:left="1170"/>
      </w:pPr>
      <w:r w:rsidRPr="006A7557">
        <w:t>Opportunity</w:t>
      </w:r>
      <w:r w:rsidRPr="006A7557" w:rsidR="00BB42C6">
        <w:t xml:space="preserve"> for public comment on the information collection requirements for this clearance package </w:t>
      </w:r>
      <w:r w:rsidRPr="006A7557" w:rsidR="00491586">
        <w:t>has been</w:t>
      </w:r>
      <w:r w:rsidRPr="006A7557" w:rsidR="00EE3EFA">
        <w:t xml:space="preserve"> </w:t>
      </w:r>
      <w:r w:rsidRPr="006A7557" w:rsidR="00BB42C6">
        <w:t xml:space="preserve">published in the </w:t>
      </w:r>
      <w:r w:rsidRPr="006A7557" w:rsidR="00BB42C6">
        <w:rPr>
          <w:i/>
          <w:iCs/>
        </w:rPr>
        <w:t>Federal Register</w:t>
      </w:r>
      <w:r w:rsidRPr="006A7557" w:rsidR="0068179B">
        <w:rPr>
          <w:i/>
          <w:iCs/>
        </w:rPr>
        <w:t xml:space="preserve"> </w:t>
      </w:r>
      <w:r w:rsidRPr="006A7557" w:rsidR="0068179B">
        <w:t>on June</w:t>
      </w:r>
      <w:r w:rsidR="003C5A28">
        <w:t> </w:t>
      </w:r>
      <w:r w:rsidRPr="006A7557" w:rsidR="0068179B">
        <w:t>13, 2025</w:t>
      </w:r>
      <w:r w:rsidRPr="006A7557" w:rsidR="00AB1D28">
        <w:t xml:space="preserve"> (</w:t>
      </w:r>
      <w:r w:rsidRPr="006A7557" w:rsidR="005F26D6">
        <w:t>90 FR</w:t>
      </w:r>
      <w:r w:rsidRPr="006A7557" w:rsidR="00AA2522">
        <w:t xml:space="preserve"> 25088)</w:t>
      </w:r>
      <w:r w:rsidRPr="006A7557" w:rsidR="00491586">
        <w:rPr>
          <w:i/>
          <w:iCs/>
        </w:rPr>
        <w:t>.</w:t>
      </w:r>
      <w:r w:rsidRPr="006A7557" w:rsidR="00BB42C6">
        <w:t xml:space="preserve"> </w:t>
      </w:r>
      <w:r w:rsidRPr="006A7557">
        <w:t xml:space="preserve">As part of the consultation process, </w:t>
      </w:r>
      <w:r w:rsidRPr="006A7557" w:rsidR="00836CF1">
        <w:t xml:space="preserve">a total of eight </w:t>
      </w:r>
      <w:r w:rsidRPr="006A7557" w:rsidR="00D047B1">
        <w:t xml:space="preserve">individual general licensees and </w:t>
      </w:r>
      <w:r w:rsidRPr="006A7557" w:rsidR="00D45A3E">
        <w:t xml:space="preserve">Agreement State officials were selected and contacted </w:t>
      </w:r>
      <w:r w:rsidRPr="006A7557" w:rsidR="002C7523">
        <w:t>directly</w:t>
      </w:r>
      <w:r w:rsidRPr="006A7557" w:rsidR="00D45A3E">
        <w:t>.</w:t>
      </w:r>
      <w:r w:rsidRPr="006A7557" w:rsidR="000C57EE">
        <w:t xml:space="preserve"> </w:t>
      </w:r>
      <w:r w:rsidRPr="006A7557" w:rsidR="003C55BA">
        <w:t xml:space="preserve">As a result, </w:t>
      </w:r>
      <w:r w:rsidRPr="006A7557" w:rsidR="000C57EE">
        <w:t xml:space="preserve">two </w:t>
      </w:r>
      <w:r w:rsidRPr="006A7557" w:rsidR="00732B8B">
        <w:t xml:space="preserve">anonymous </w:t>
      </w:r>
      <w:r w:rsidRPr="006A7557" w:rsidR="00EA6BDD">
        <w:t>source</w:t>
      </w:r>
      <w:r w:rsidRPr="006A7557" w:rsidR="00ED28C8">
        <w:t>s</w:t>
      </w:r>
      <w:r w:rsidRPr="006A7557" w:rsidR="00EA6BDD">
        <w:t xml:space="preserve"> </w:t>
      </w:r>
      <w:r w:rsidRPr="006A7557" w:rsidR="00180196">
        <w:t>provided public comments</w:t>
      </w:r>
      <w:r w:rsidRPr="006A7557" w:rsidR="00486B4A">
        <w:t xml:space="preserve"> (Agencywide Documents Access Management System No.</w:t>
      </w:r>
      <w:r w:rsidR="003C5A28">
        <w:t> ML2</w:t>
      </w:r>
      <w:r w:rsidRPr="006A7557" w:rsidR="00C46F49">
        <w:t>52</w:t>
      </w:r>
      <w:r w:rsidRPr="006A7557" w:rsidR="00946DA7">
        <w:t>33A031</w:t>
      </w:r>
      <w:r w:rsidRPr="006A7557" w:rsidR="001F2E1D">
        <w:t xml:space="preserve"> and </w:t>
      </w:r>
      <w:r w:rsidRPr="006A7557" w:rsidR="00946DA7">
        <w:t>ML25233A032</w:t>
      </w:r>
      <w:r w:rsidRPr="006A7557" w:rsidR="00587032">
        <w:t xml:space="preserve"> respectively</w:t>
      </w:r>
      <w:r w:rsidRPr="006A7557" w:rsidR="00486B4A">
        <w:t>)</w:t>
      </w:r>
      <w:r w:rsidRPr="006A7557" w:rsidR="00D65E57">
        <w:t>:</w:t>
      </w:r>
      <w:r w:rsidRPr="006A7557" w:rsidR="00550A9D">
        <w:t xml:space="preserve"> </w:t>
      </w:r>
    </w:p>
    <w:p w:rsidR="003A4D84" w:rsidRPr="006A7557" w:rsidP="008A06B4" w14:paraId="0BA78F71" w14:textId="77777777">
      <w:pPr>
        <w:pStyle w:val="BodyText"/>
        <w:spacing w:before="1"/>
        <w:ind w:left="1170"/>
      </w:pPr>
    </w:p>
    <w:p w:rsidR="00DD2CD1" w:rsidRPr="006A7557" w:rsidP="00DD2CD1" w14:paraId="36369E4B" w14:textId="77777777">
      <w:pPr>
        <w:pStyle w:val="BodyText"/>
        <w:numPr>
          <w:ilvl w:val="0"/>
          <w:numId w:val="2"/>
        </w:numPr>
        <w:spacing w:before="1"/>
      </w:pPr>
      <w:r w:rsidRPr="006A7557">
        <w:t xml:space="preserve">The </w:t>
      </w:r>
      <w:r w:rsidRPr="006A7557" w:rsidR="008F223A">
        <w:t xml:space="preserve">first </w:t>
      </w:r>
      <w:r w:rsidRPr="006A7557">
        <w:t xml:space="preserve">commenter </w:t>
      </w:r>
      <w:r w:rsidRPr="006A7557" w:rsidR="00660983">
        <w:t>noted that the NRC and Agreement States should get</w:t>
      </w:r>
      <w:r w:rsidR="003C5A28">
        <w:t xml:space="preserve"> </w:t>
      </w:r>
      <w:r w:rsidRPr="006A7557" w:rsidR="00660983">
        <w:t xml:space="preserve">together and require more from the manufacturers </w:t>
      </w:r>
      <w:r w:rsidRPr="006A7557" w:rsidR="00236B00">
        <w:t>for</w:t>
      </w:r>
      <w:r w:rsidRPr="006A7557" w:rsidR="00660983">
        <w:t xml:space="preserve"> the initial training and documentation</w:t>
      </w:r>
      <w:r w:rsidRPr="006A7557" w:rsidR="002D205B">
        <w:t xml:space="preserve"> on the general license documentation and necessary information collection</w:t>
      </w:r>
      <w:r w:rsidRPr="006A7557" w:rsidR="00051A62">
        <w:t xml:space="preserve"> due to </w:t>
      </w:r>
      <w:r w:rsidRPr="006A7557" w:rsidR="00DA3E69">
        <w:t>changes</w:t>
      </w:r>
      <w:r w:rsidRPr="006A7557" w:rsidR="00051A62">
        <w:t xml:space="preserve"> or loss of knowledgeable </w:t>
      </w:r>
      <w:r w:rsidRPr="006A7557" w:rsidR="00236B00">
        <w:t>staff.</w:t>
      </w:r>
      <w:r w:rsidRPr="006A7557" w:rsidR="002D205B">
        <w:t xml:space="preserve"> </w:t>
      </w:r>
      <w:r w:rsidRPr="006A7557" w:rsidR="00E34585">
        <w:t xml:space="preserve">In addition, the </w:t>
      </w:r>
      <w:r w:rsidRPr="006A7557" w:rsidR="00BA7427">
        <w:t>individual requested</w:t>
      </w:r>
      <w:r w:rsidRPr="006A7557" w:rsidR="00987D90">
        <w:t xml:space="preserve"> that </w:t>
      </w:r>
      <w:r w:rsidRPr="006A7557" w:rsidR="00C2643B">
        <w:t xml:space="preserve">NRC </w:t>
      </w:r>
      <w:r w:rsidRPr="006A7557" w:rsidR="00DA3E69">
        <w:t>keep</w:t>
      </w:r>
      <w:r w:rsidRPr="006A7557" w:rsidR="00C2643B">
        <w:t xml:space="preserve"> a database of existing </w:t>
      </w:r>
      <w:r w:rsidR="00730FBA">
        <w:t>General License (</w:t>
      </w:r>
      <w:r w:rsidRPr="006A7557" w:rsidR="00C2643B">
        <w:t>GL</w:t>
      </w:r>
      <w:r w:rsidR="00730FBA">
        <w:t>)</w:t>
      </w:r>
      <w:r w:rsidRPr="006A7557" w:rsidR="00C2643B">
        <w:t xml:space="preserve"> </w:t>
      </w:r>
      <w:r w:rsidRPr="006A7557" w:rsidR="00236B00">
        <w:t>licensees</w:t>
      </w:r>
      <w:r w:rsidRPr="006A7557" w:rsidR="00047AA1">
        <w:t xml:space="preserve"> </w:t>
      </w:r>
      <w:r w:rsidRPr="006A7557" w:rsidR="007A3F4A">
        <w:t xml:space="preserve">who </w:t>
      </w:r>
      <w:r w:rsidRPr="006A7557" w:rsidR="00236B00">
        <w:t>may</w:t>
      </w:r>
      <w:r w:rsidRPr="006A7557" w:rsidR="00886A2F">
        <w:t xml:space="preserve"> check the box if </w:t>
      </w:r>
      <w:r w:rsidRPr="006A7557" w:rsidR="007A3F4A">
        <w:t xml:space="preserve">devices are </w:t>
      </w:r>
      <w:r w:rsidRPr="006A7557" w:rsidR="00886A2F">
        <w:t xml:space="preserve">at the same location </w:t>
      </w:r>
      <w:r w:rsidRPr="006A7557" w:rsidR="008E269D">
        <w:t xml:space="preserve">or not. </w:t>
      </w:r>
      <w:r w:rsidRPr="006A7557" w:rsidR="007A3F4A">
        <w:t>Moreover, m</w:t>
      </w:r>
      <w:r w:rsidRPr="006A7557" w:rsidR="002B4D3D">
        <w:t xml:space="preserve">anufacturers </w:t>
      </w:r>
      <w:r w:rsidRPr="006A7557" w:rsidR="00B339F2">
        <w:t xml:space="preserve">may </w:t>
      </w:r>
      <w:r w:rsidRPr="006A7557" w:rsidR="00DA673C">
        <w:t>be able to enter</w:t>
      </w:r>
      <w:r w:rsidRPr="006A7557" w:rsidR="00990932">
        <w:t xml:space="preserve"> information of quarterly GL distributed equipment </w:t>
      </w:r>
      <w:r w:rsidRPr="006A7557" w:rsidR="00DA673C">
        <w:t xml:space="preserve">in a </w:t>
      </w:r>
      <w:r w:rsidRPr="006A7557" w:rsidR="00EC43AD">
        <w:t>web-based NRC database of G</w:t>
      </w:r>
      <w:r w:rsidRPr="006A7557" w:rsidR="0086557C">
        <w:t>Ls</w:t>
      </w:r>
      <w:r w:rsidRPr="006A7557" w:rsidR="00FA6A31">
        <w:t xml:space="preserve"> instead of what is done now</w:t>
      </w:r>
      <w:r w:rsidRPr="006A7557" w:rsidR="0086557C">
        <w:t>.</w:t>
      </w:r>
      <w:r w:rsidRPr="006A7557" w:rsidR="006B02ED">
        <w:t xml:space="preserve"> </w:t>
      </w:r>
    </w:p>
    <w:p w:rsidR="003A4D84" w:rsidP="00B224A2" w14:paraId="68637E95" w14:textId="77777777">
      <w:pPr>
        <w:pStyle w:val="BodyText"/>
        <w:spacing w:before="1"/>
        <w:ind w:left="1890"/>
        <w:rPr>
          <w:u w:val="single"/>
        </w:rPr>
      </w:pPr>
    </w:p>
    <w:p w:rsidR="00DD2CD1" w:rsidRPr="006A7557" w:rsidP="00FE154F" w14:paraId="4BFC0414" w14:textId="77777777">
      <w:pPr>
        <w:pStyle w:val="BodyText"/>
        <w:spacing w:before="1"/>
        <w:ind w:left="1530"/>
      </w:pPr>
      <w:r w:rsidRPr="006A7557">
        <w:rPr>
          <w:u w:val="single"/>
        </w:rPr>
        <w:t>NRC Response:</w:t>
      </w:r>
      <w:r w:rsidRPr="006A7557" w:rsidR="007858A4">
        <w:t xml:space="preserve"> </w:t>
      </w:r>
      <w:r w:rsidRPr="006A7557" w:rsidR="0018163C">
        <w:t>The GL Program does routinely correspond</w:t>
      </w:r>
      <w:r w:rsidRPr="006A7557" w:rsidR="00C51BA9">
        <w:t xml:space="preserve"> </w:t>
      </w:r>
      <w:r w:rsidRPr="006A7557" w:rsidR="0018163C">
        <w:t xml:space="preserve">and </w:t>
      </w:r>
      <w:r w:rsidRPr="006A7557" w:rsidR="00DE6440">
        <w:t xml:space="preserve">conducts phone calls to address manufacturer and </w:t>
      </w:r>
      <w:r w:rsidRPr="006A7557" w:rsidR="00DE7984">
        <w:t xml:space="preserve">general licensee </w:t>
      </w:r>
      <w:r w:rsidRPr="006A7557" w:rsidR="00C51BA9">
        <w:t>questions</w:t>
      </w:r>
      <w:r w:rsidRPr="006A7557" w:rsidR="00DE7984">
        <w:t xml:space="preserve"> or issues. </w:t>
      </w:r>
      <w:r w:rsidRPr="006A7557" w:rsidR="009F236E">
        <w:t xml:space="preserve">NRC staff routinely interacts with Agreement States </w:t>
      </w:r>
      <w:r w:rsidRPr="006A7557" w:rsidR="006F0DE2">
        <w:t>to exchange information and coordinate on matters inclusive of general licenses.</w:t>
      </w:r>
      <w:r w:rsidRPr="006A7557" w:rsidR="00DE7984">
        <w:t xml:space="preserve"> </w:t>
      </w:r>
      <w:r w:rsidRPr="006A7557" w:rsidR="00732516">
        <w:t xml:space="preserve">NRC does have a </w:t>
      </w:r>
      <w:r w:rsidRPr="006A7557" w:rsidR="008265A8">
        <w:t xml:space="preserve">database of existing GL licensees that is web-based </w:t>
      </w:r>
      <w:r w:rsidRPr="006A7557" w:rsidR="00451069">
        <w:t>and called the General License Tracking System (GLTS)</w:t>
      </w:r>
      <w:r w:rsidRPr="006A7557" w:rsidR="00403BF8">
        <w:t xml:space="preserve">. The system is available to only NRC staff and </w:t>
      </w:r>
      <w:r w:rsidRPr="006A7557" w:rsidR="00C05BD3">
        <w:t xml:space="preserve">portions are available to Agreement State regulators. While </w:t>
      </w:r>
      <w:r w:rsidRPr="006A7557" w:rsidR="00700CBB">
        <w:t xml:space="preserve">general licensees and manufacturers cannot access the system yet, consideration of </w:t>
      </w:r>
      <w:r w:rsidRPr="006A7557" w:rsidR="002E6ADA">
        <w:t xml:space="preserve">updating forms and information via the web-based system may </w:t>
      </w:r>
      <w:r w:rsidRPr="006A7557" w:rsidR="00B77194">
        <w:t>be planned and budgeted in the future</w:t>
      </w:r>
      <w:r w:rsidRPr="006A7557" w:rsidR="00A37E35">
        <w:t xml:space="preserve"> to </w:t>
      </w:r>
      <w:r w:rsidRPr="006A7557" w:rsidR="00936664">
        <w:t xml:space="preserve">ensure </w:t>
      </w:r>
      <w:r w:rsidRPr="006A7557" w:rsidR="00F77D7F">
        <w:t xml:space="preserve">responsible </w:t>
      </w:r>
      <w:r w:rsidRPr="006A7557" w:rsidR="00881313">
        <w:t>points of contact</w:t>
      </w:r>
      <w:r w:rsidRPr="006A7557" w:rsidR="00936664">
        <w:t xml:space="preserve"> and</w:t>
      </w:r>
      <w:r w:rsidRPr="006A7557" w:rsidR="00881313">
        <w:t xml:space="preserve"> </w:t>
      </w:r>
      <w:r w:rsidRPr="006A7557" w:rsidR="00936664">
        <w:t xml:space="preserve">information </w:t>
      </w:r>
      <w:r w:rsidRPr="006A7557" w:rsidR="00807375">
        <w:t xml:space="preserve">are </w:t>
      </w:r>
      <w:r w:rsidRPr="006A7557" w:rsidR="00F77D7F">
        <w:t>up</w:t>
      </w:r>
      <w:r w:rsidR="003C5A28">
        <w:t>-</w:t>
      </w:r>
      <w:r w:rsidRPr="006A7557" w:rsidR="00F77D7F">
        <w:t>to</w:t>
      </w:r>
      <w:r w:rsidR="003C5A28">
        <w:t>-</w:t>
      </w:r>
      <w:r w:rsidRPr="006A7557" w:rsidR="00F77D7F">
        <w:t>date</w:t>
      </w:r>
      <w:r w:rsidRPr="006A7557" w:rsidR="00B77194">
        <w:t xml:space="preserve">. </w:t>
      </w:r>
      <w:r w:rsidRPr="006A7557" w:rsidR="007858A4">
        <w:t xml:space="preserve">Efforts have been underway </w:t>
      </w:r>
      <w:r w:rsidRPr="006A7557" w:rsidR="00042B32">
        <w:t xml:space="preserve">at the NRC to increase electronic means of communication with General Licensees and manufacturers. </w:t>
      </w:r>
      <w:r w:rsidRPr="006A7557" w:rsidR="00774F9F">
        <w:t>Currently, the NRC GL Program is s</w:t>
      </w:r>
      <w:r w:rsidRPr="006A7557" w:rsidR="0008574E">
        <w:t>ending and rece</w:t>
      </w:r>
      <w:r w:rsidRPr="006A7557" w:rsidR="002C07BE">
        <w:t xml:space="preserve">iving correspondence </w:t>
      </w:r>
      <w:r w:rsidRPr="006A7557" w:rsidR="0008574E">
        <w:t xml:space="preserve">and Form 664 via </w:t>
      </w:r>
      <w:r w:rsidRPr="006A7557" w:rsidR="002D60B0">
        <w:t xml:space="preserve">the </w:t>
      </w:r>
      <w:hyperlink r:id="rId10" w:history="1">
        <w:r w:rsidRPr="006A7557" w:rsidR="002D60B0">
          <w:rPr>
            <w:rStyle w:val="Hyperlink"/>
          </w:rPr>
          <w:t>GLTS.Resource@nrc.gov</w:t>
        </w:r>
      </w:hyperlink>
      <w:r w:rsidRPr="006A7557" w:rsidR="002D60B0">
        <w:t xml:space="preserve"> inbox </w:t>
      </w:r>
      <w:r w:rsidRPr="006A7557" w:rsidR="00774F9F">
        <w:t xml:space="preserve">to </w:t>
      </w:r>
      <w:r w:rsidRPr="006A7557" w:rsidR="00C6386F">
        <w:t>enhance more timely</w:t>
      </w:r>
      <w:r w:rsidRPr="006A7557" w:rsidR="00413BF9">
        <w:t xml:space="preserve"> communication</w:t>
      </w:r>
      <w:r w:rsidRPr="006A7557" w:rsidR="00E42C9F">
        <w:t>s</w:t>
      </w:r>
      <w:r w:rsidRPr="006A7557" w:rsidR="00DD1A04">
        <w:t xml:space="preserve">. </w:t>
      </w:r>
      <w:r w:rsidRPr="006A7557" w:rsidR="00B67520">
        <w:t xml:space="preserve">The form is </w:t>
      </w:r>
      <w:r w:rsidRPr="006A7557" w:rsidR="00D42503">
        <w:t xml:space="preserve">being slightly revised </w:t>
      </w:r>
      <w:r w:rsidRPr="006A7557" w:rsidR="006534D1">
        <w:t>in Section</w:t>
      </w:r>
      <w:r w:rsidR="003C5A28">
        <w:t> 4</w:t>
      </w:r>
      <w:r w:rsidRPr="006A7557" w:rsidR="006534D1">
        <w:t xml:space="preserve"> </w:t>
      </w:r>
      <w:r w:rsidRPr="006A7557" w:rsidR="00D42503">
        <w:t xml:space="preserve">to include the email address of the </w:t>
      </w:r>
      <w:r w:rsidRPr="006A7557" w:rsidR="00941094">
        <w:t>transferee</w:t>
      </w:r>
      <w:r w:rsidRPr="006A7557" w:rsidR="006534D1">
        <w:t xml:space="preserve"> to further facilitate</w:t>
      </w:r>
      <w:r w:rsidRPr="006A7557" w:rsidR="00210336">
        <w:t xml:space="preserve"> electronic means of communication efficiently</w:t>
      </w:r>
      <w:r w:rsidRPr="006A7557" w:rsidR="00941094">
        <w:t>.</w:t>
      </w:r>
      <w:r w:rsidRPr="006A7557" w:rsidR="00DD1A04">
        <w:t xml:space="preserve"> </w:t>
      </w:r>
    </w:p>
    <w:p w:rsidR="00B224A2" w:rsidP="00B224A2" w14:paraId="1E3546F7" w14:textId="77777777">
      <w:pPr>
        <w:pStyle w:val="BodyText"/>
        <w:spacing w:before="1"/>
        <w:ind w:left="1890"/>
      </w:pPr>
    </w:p>
    <w:p w:rsidR="003A4D84" w:rsidP="00B224A2" w14:paraId="7CF02115" w14:textId="77777777">
      <w:pPr>
        <w:pStyle w:val="BodyText"/>
        <w:spacing w:before="1"/>
        <w:ind w:left="1890"/>
      </w:pPr>
    </w:p>
    <w:p w:rsidR="003A4D84" w:rsidRPr="006A7557" w:rsidP="00B224A2" w14:paraId="23321B0A" w14:textId="77777777">
      <w:pPr>
        <w:pStyle w:val="BodyText"/>
        <w:spacing w:before="1"/>
        <w:ind w:left="1890"/>
      </w:pPr>
    </w:p>
    <w:p w:rsidR="00B339F2" w:rsidP="00DD2CD1" w14:paraId="54442493" w14:textId="77777777">
      <w:pPr>
        <w:pStyle w:val="BodyText"/>
        <w:numPr>
          <w:ilvl w:val="0"/>
          <w:numId w:val="2"/>
        </w:numPr>
        <w:spacing w:before="1"/>
      </w:pPr>
      <w:r w:rsidRPr="006A7557">
        <w:t xml:space="preserve">The second commenter </w:t>
      </w:r>
      <w:r w:rsidRPr="006A7557" w:rsidR="00A669D2">
        <w:t xml:space="preserve">indicated that information collection should </w:t>
      </w:r>
      <w:r w:rsidRPr="006A7557" w:rsidR="002377B4">
        <w:t>be updated</w:t>
      </w:r>
      <w:r w:rsidRPr="006A7557" w:rsidR="00A669D2">
        <w:t xml:space="preserve"> to automated electronic forms for small business registrations and </w:t>
      </w:r>
      <w:r w:rsidRPr="006A7557" w:rsidR="001F2E1D">
        <w:t>report</w:t>
      </w:r>
      <w:r w:rsidRPr="006A7557" w:rsidR="00A669D2">
        <w:t xml:space="preserve"> to the Commission for </w:t>
      </w:r>
      <w:r w:rsidRPr="006A7557" w:rsidR="008F6502">
        <w:t xml:space="preserve">compliance purposes. </w:t>
      </w:r>
    </w:p>
    <w:p w:rsidR="003A4D84" w:rsidRPr="006A7557" w:rsidP="00FE154F" w14:paraId="553C025A" w14:textId="77777777">
      <w:pPr>
        <w:pStyle w:val="BodyText"/>
        <w:spacing w:before="1"/>
        <w:ind w:left="1530"/>
      </w:pPr>
    </w:p>
    <w:p w:rsidR="00785D77" w:rsidRPr="006A7557" w:rsidP="00924014" w14:paraId="7A33268F" w14:textId="77777777">
      <w:pPr>
        <w:pStyle w:val="BodyText"/>
        <w:spacing w:before="1"/>
        <w:ind w:left="1530"/>
      </w:pPr>
      <w:r w:rsidRPr="006A7557">
        <w:rPr>
          <w:u w:val="single"/>
        </w:rPr>
        <w:t>NRC Response:</w:t>
      </w:r>
      <w:r w:rsidRPr="006A7557">
        <w:t xml:space="preserve"> </w:t>
      </w:r>
      <w:r w:rsidRPr="006A7557" w:rsidR="00912074">
        <w:t xml:space="preserve">The current </w:t>
      </w:r>
      <w:r w:rsidR="003C5A28">
        <w:t>F</w:t>
      </w:r>
      <w:r w:rsidRPr="006A7557" w:rsidR="00912074">
        <w:t xml:space="preserve">orm 664 does not </w:t>
      </w:r>
      <w:r w:rsidRPr="006A7557" w:rsidR="0020333D">
        <w:t xml:space="preserve">ask if the GL registrant is a </w:t>
      </w:r>
      <w:r w:rsidRPr="006A7557" w:rsidR="00C67796">
        <w:t>small business</w:t>
      </w:r>
      <w:r w:rsidRPr="006A7557" w:rsidR="00583DE0">
        <w:t xml:space="preserve">. The annual fee is a flat fee and does not change if the entity is small or large. </w:t>
      </w:r>
      <w:r w:rsidRPr="006A7557" w:rsidR="008779B9">
        <w:t xml:space="preserve">Therefore, NRC does not consider the need to collect information </w:t>
      </w:r>
      <w:r w:rsidRPr="006A7557" w:rsidR="00980B58">
        <w:t xml:space="preserve">from the registrant whether it is a small business </w:t>
      </w:r>
      <w:r w:rsidRPr="006A7557" w:rsidR="009651A1">
        <w:t>if there is no change in the fee</w:t>
      </w:r>
      <w:r w:rsidRPr="006A7557" w:rsidR="00387C25">
        <w:t xml:space="preserve"> or other </w:t>
      </w:r>
      <w:r w:rsidRPr="006A7557" w:rsidR="00E82925">
        <w:t xml:space="preserve">valid </w:t>
      </w:r>
      <w:r w:rsidRPr="006A7557" w:rsidR="00387C25">
        <w:t>reasons</w:t>
      </w:r>
      <w:r w:rsidRPr="006A7557" w:rsidR="0066371C">
        <w:t xml:space="preserve"> in the effort to reduce burden to small businesses per item 5</w:t>
      </w:r>
      <w:r w:rsidRPr="006A7557" w:rsidR="00387C25">
        <w:t xml:space="preserve">. </w:t>
      </w:r>
    </w:p>
    <w:p w:rsidR="00C67796" w:rsidRPr="006A7557" w:rsidP="00924014" w14:paraId="175B436C" w14:textId="77777777">
      <w:pPr>
        <w:pStyle w:val="BodyText"/>
        <w:spacing w:before="1"/>
        <w:ind w:left="1890"/>
      </w:pPr>
    </w:p>
    <w:p w:rsidR="00785D77" w:rsidRPr="006A7557" w14:paraId="2336494C" w14:textId="77777777">
      <w:pPr>
        <w:pStyle w:val="ListParagraph"/>
        <w:numPr>
          <w:ilvl w:val="1"/>
          <w:numId w:val="1"/>
        </w:numPr>
        <w:tabs>
          <w:tab w:val="left" w:pos="1159"/>
          <w:tab w:val="left" w:pos="1160"/>
        </w:tabs>
        <w:spacing w:before="1"/>
        <w:ind w:left="1159" w:hanging="719"/>
        <w:jc w:val="left"/>
      </w:pPr>
      <w:r w:rsidRPr="006A7557">
        <w:rPr>
          <w:u w:val="single"/>
        </w:rPr>
        <w:t>Payment or Gift to</w:t>
      </w:r>
      <w:r w:rsidRPr="006A7557">
        <w:rPr>
          <w:spacing w:val="-7"/>
          <w:u w:val="single"/>
        </w:rPr>
        <w:t xml:space="preserve"> </w:t>
      </w:r>
      <w:r w:rsidRPr="006A7557">
        <w:rPr>
          <w:u w:val="single"/>
        </w:rPr>
        <w:t>Respondents</w:t>
      </w:r>
    </w:p>
    <w:p w:rsidR="00785D77" w:rsidRPr="006A7557" w14:paraId="74A6B1E3" w14:textId="77777777">
      <w:pPr>
        <w:pStyle w:val="BodyText"/>
        <w:spacing w:before="10"/>
      </w:pPr>
    </w:p>
    <w:p w:rsidR="00785D77" w:rsidRPr="006A7557" w14:paraId="3A034408" w14:textId="77777777">
      <w:pPr>
        <w:pStyle w:val="BodyText"/>
        <w:spacing w:before="93"/>
        <w:ind w:left="1160"/>
      </w:pPr>
      <w:r w:rsidRPr="006A7557">
        <w:t>Not applicable.</w:t>
      </w:r>
    </w:p>
    <w:p w:rsidR="00785D77" w:rsidRPr="006A7557" w14:paraId="2A55B668" w14:textId="77777777">
      <w:pPr>
        <w:pStyle w:val="BodyText"/>
      </w:pPr>
    </w:p>
    <w:p w:rsidR="00785D77" w:rsidRPr="006A7557" w14:paraId="354382E8" w14:textId="77777777">
      <w:pPr>
        <w:pStyle w:val="ListParagraph"/>
        <w:numPr>
          <w:ilvl w:val="1"/>
          <w:numId w:val="1"/>
        </w:numPr>
        <w:tabs>
          <w:tab w:val="left" w:pos="1159"/>
          <w:tab w:val="left" w:pos="1160"/>
        </w:tabs>
        <w:ind w:left="1159" w:hanging="719"/>
        <w:jc w:val="left"/>
      </w:pPr>
      <w:r w:rsidRPr="006A7557">
        <w:rPr>
          <w:u w:val="single"/>
        </w:rPr>
        <w:t>Confidentiality of</w:t>
      </w:r>
      <w:r w:rsidRPr="006A7557">
        <w:rPr>
          <w:spacing w:val="-6"/>
          <w:u w:val="single"/>
        </w:rPr>
        <w:t xml:space="preserve"> </w:t>
      </w:r>
      <w:r w:rsidRPr="006A7557">
        <w:rPr>
          <w:u w:val="single"/>
        </w:rPr>
        <w:t>Information</w:t>
      </w:r>
    </w:p>
    <w:p w:rsidR="00785D77" w:rsidRPr="006A7557" w14:paraId="7A01D0ED" w14:textId="77777777">
      <w:pPr>
        <w:pStyle w:val="BodyText"/>
        <w:spacing w:before="9"/>
      </w:pPr>
    </w:p>
    <w:p w:rsidR="00785D77" w:rsidRPr="006A7557" w14:paraId="32B8FB5A" w14:textId="77777777">
      <w:pPr>
        <w:pStyle w:val="BodyText"/>
        <w:spacing w:before="93"/>
        <w:ind w:left="1160" w:right="240"/>
      </w:pPr>
      <w:r w:rsidRPr="006A7557">
        <w:t xml:space="preserve">Confidential and proprietary information is protected in accordance with NRC regulations </w:t>
      </w:r>
      <w:r w:rsidRPr="006A7557" w:rsidR="00946BDD">
        <w:t xml:space="preserve">in Paragraphs </w:t>
      </w:r>
      <w:r w:rsidRPr="006A7557">
        <w:t>10 CFR 9.17(a) and 10 CFR 2.390(b).</w:t>
      </w:r>
      <w:r w:rsidRPr="006A7557" w:rsidR="00EE3EFA">
        <w:t xml:space="preserve"> </w:t>
      </w:r>
      <w:r w:rsidRPr="006A7557">
        <w:t>However, no information normally considered confidential or proprietary is requested.</w:t>
      </w:r>
    </w:p>
    <w:p w:rsidR="00785D77" w:rsidRPr="006A7557" w14:paraId="7D8F6ADB" w14:textId="77777777">
      <w:pPr>
        <w:pStyle w:val="BodyText"/>
      </w:pPr>
    </w:p>
    <w:p w:rsidR="00785D77" w:rsidRPr="006A7557" w14:paraId="0203587C" w14:textId="77777777">
      <w:pPr>
        <w:pStyle w:val="ListParagraph"/>
        <w:numPr>
          <w:ilvl w:val="1"/>
          <w:numId w:val="1"/>
        </w:numPr>
        <w:tabs>
          <w:tab w:val="left" w:pos="1159"/>
          <w:tab w:val="left" w:pos="1160"/>
        </w:tabs>
        <w:ind w:left="1159" w:hanging="719"/>
        <w:jc w:val="left"/>
      </w:pPr>
      <w:r w:rsidRPr="006A7557">
        <w:rPr>
          <w:u w:val="single"/>
        </w:rPr>
        <w:t>Justification for Sensitive</w:t>
      </w:r>
      <w:r w:rsidRPr="006A7557">
        <w:rPr>
          <w:spacing w:val="-8"/>
          <w:u w:val="single"/>
        </w:rPr>
        <w:t xml:space="preserve"> </w:t>
      </w:r>
      <w:r w:rsidRPr="006A7557">
        <w:rPr>
          <w:u w:val="single"/>
        </w:rPr>
        <w:t>Questions</w:t>
      </w:r>
    </w:p>
    <w:p w:rsidR="00785D77" w:rsidRPr="006A7557" w14:paraId="55664983" w14:textId="77777777">
      <w:pPr>
        <w:pStyle w:val="BodyText"/>
        <w:spacing w:before="10"/>
      </w:pPr>
    </w:p>
    <w:p w:rsidR="00785D77" w:rsidRPr="006A7557" w14:paraId="501F16D6" w14:textId="77777777">
      <w:pPr>
        <w:pStyle w:val="BodyText"/>
        <w:spacing w:before="92"/>
        <w:ind w:left="1160"/>
      </w:pPr>
      <w:r w:rsidRPr="006A7557">
        <w:t>This information collection does not request sensitive information.</w:t>
      </w:r>
    </w:p>
    <w:p w:rsidR="002D283E" w:rsidRPr="006A7557" w:rsidP="00F633C4" w14:paraId="53BBDDF7" w14:textId="77777777">
      <w:pPr>
        <w:pStyle w:val="BodyText"/>
        <w:spacing w:before="92"/>
        <w:ind w:left="1159"/>
      </w:pPr>
    </w:p>
    <w:p w:rsidR="00785D77" w:rsidRPr="006A7557" w14:paraId="693F3ED8" w14:textId="77777777">
      <w:pPr>
        <w:pStyle w:val="ListParagraph"/>
        <w:numPr>
          <w:ilvl w:val="1"/>
          <w:numId w:val="1"/>
        </w:numPr>
        <w:tabs>
          <w:tab w:val="left" w:pos="1159"/>
          <w:tab w:val="left" w:pos="1160"/>
        </w:tabs>
        <w:spacing w:before="77"/>
        <w:ind w:left="1159" w:hanging="719"/>
        <w:jc w:val="left"/>
      </w:pPr>
      <w:r w:rsidRPr="006A7557">
        <w:rPr>
          <w:u w:val="single"/>
        </w:rPr>
        <w:t>Estimated Burden and Burden Hour</w:t>
      </w:r>
      <w:r w:rsidRPr="006A7557">
        <w:rPr>
          <w:spacing w:val="-9"/>
          <w:u w:val="single"/>
        </w:rPr>
        <w:t xml:space="preserve"> </w:t>
      </w:r>
      <w:r w:rsidRPr="006A7557">
        <w:rPr>
          <w:u w:val="single"/>
        </w:rPr>
        <w:t>Cost</w:t>
      </w:r>
    </w:p>
    <w:p w:rsidR="00785D77" w:rsidRPr="006A7557" w14:paraId="3A5AD6CF" w14:textId="77777777">
      <w:pPr>
        <w:pStyle w:val="BodyText"/>
        <w:spacing w:before="10"/>
      </w:pPr>
    </w:p>
    <w:p w:rsidR="00785D77" w:rsidRPr="006A7557" w:rsidP="001C1744" w14:paraId="49EFA415" w14:textId="77777777">
      <w:pPr>
        <w:pStyle w:val="BodyText"/>
        <w:spacing w:before="93"/>
        <w:ind w:left="1160" w:right="165"/>
      </w:pPr>
      <w:r w:rsidRPr="006A7557">
        <w:t xml:space="preserve">Out of </w:t>
      </w:r>
      <w:r w:rsidRPr="006A7557" w:rsidR="002A61BA">
        <w:t xml:space="preserve">approximately </w:t>
      </w:r>
      <w:r w:rsidRPr="006A7557">
        <w:t>4</w:t>
      </w:r>
      <w:r w:rsidRPr="006A7557" w:rsidR="007F6F75">
        <w:t>25</w:t>
      </w:r>
      <w:r w:rsidRPr="006A7557">
        <w:t xml:space="preserve"> r</w:t>
      </w:r>
      <w:r w:rsidRPr="006A7557" w:rsidR="002A61BA">
        <w:t>egistr</w:t>
      </w:r>
      <w:r w:rsidRPr="006A7557" w:rsidR="00C501FF">
        <w:t>ants</w:t>
      </w:r>
      <w:r w:rsidRPr="006A7557">
        <w:t xml:space="preserve">, </w:t>
      </w:r>
      <w:r w:rsidRPr="006A7557" w:rsidR="00C501FF">
        <w:t>all</w:t>
      </w:r>
      <w:r w:rsidRPr="006A7557" w:rsidR="00BD1A7C">
        <w:t xml:space="preserve"> are expected to respond to written registration requests from the NRC annually.</w:t>
      </w:r>
      <w:r w:rsidRPr="006A7557" w:rsidR="00EE3EFA">
        <w:t xml:space="preserve"> </w:t>
      </w:r>
      <w:r w:rsidRPr="006A7557" w:rsidR="00BD1A7C">
        <w:t>The average burden per response to these written requests is 20 minutes</w:t>
      </w:r>
      <w:r w:rsidRPr="006A7557" w:rsidR="00F7692E">
        <w:t xml:space="preserve"> (or </w:t>
      </w:r>
      <w:r w:rsidR="003A4D84">
        <w:t>one-third of an</w:t>
      </w:r>
      <w:r w:rsidRPr="006A7557" w:rsidR="00F7692E">
        <w:t xml:space="preserve"> hour)</w:t>
      </w:r>
      <w:r w:rsidRPr="006A7557" w:rsidR="00BD1A7C">
        <w:t xml:space="preserve"> for an overall estimated annual burden</w:t>
      </w:r>
      <w:r w:rsidRPr="006A7557" w:rsidR="00297D32">
        <w:t>, assuming all 4</w:t>
      </w:r>
      <w:r w:rsidRPr="006A7557" w:rsidR="005E48E7">
        <w:t>25</w:t>
      </w:r>
      <w:r w:rsidRPr="006A7557" w:rsidR="00297D32">
        <w:t xml:space="preserve"> provide a response,</w:t>
      </w:r>
      <w:r w:rsidRPr="006A7557" w:rsidR="00BD1A7C">
        <w:t xml:space="preserve"> of </w:t>
      </w:r>
      <w:r w:rsidRPr="006A7557" w:rsidR="00297D32">
        <w:t>1</w:t>
      </w:r>
      <w:r w:rsidRPr="006A7557" w:rsidR="001B30EB">
        <w:t>4</w:t>
      </w:r>
      <w:r w:rsidRPr="006A7557" w:rsidR="00B91983">
        <w:t>2</w:t>
      </w:r>
      <w:r w:rsidRPr="006A7557" w:rsidR="00297D32">
        <w:t xml:space="preserve"> </w:t>
      </w:r>
      <w:r w:rsidRPr="006A7557" w:rsidR="00BD1A7C">
        <w:t>hours</w:t>
      </w:r>
      <w:r w:rsidRPr="006A7557" w:rsidR="00AC49EC">
        <w:t xml:space="preserve"> </w:t>
      </w:r>
      <w:r w:rsidRPr="006A7557" w:rsidR="00BD1A7C">
        <w:t>(</w:t>
      </w:r>
      <w:r w:rsidRPr="006A7557" w:rsidR="00297D32">
        <w:t>4</w:t>
      </w:r>
      <w:r w:rsidRPr="006A7557" w:rsidR="00D92B61">
        <w:t>25</w:t>
      </w:r>
      <w:r w:rsidR="003A4D84">
        <w:t xml:space="preserve"> </w:t>
      </w:r>
      <w:r w:rsidR="003C5A28">
        <w:t>×</w:t>
      </w:r>
      <w:r w:rsidR="003A4D84">
        <w:t xml:space="preserve"> one-third of an</w:t>
      </w:r>
      <w:r w:rsidRPr="006A7557" w:rsidR="00BD1A7C">
        <w:t xml:space="preserve"> hour), and a cost of approximately $</w:t>
      </w:r>
      <w:r w:rsidRPr="006A7557" w:rsidR="00EB3406">
        <w:t>4</w:t>
      </w:r>
      <w:r w:rsidRPr="006A7557" w:rsidR="00EF71BA">
        <w:t>5,</w:t>
      </w:r>
      <w:r w:rsidRPr="006A7557" w:rsidR="0069400F">
        <w:t>014</w:t>
      </w:r>
      <w:r w:rsidRPr="006A7557" w:rsidR="00BD1A7C">
        <w:t xml:space="preserve"> (</w:t>
      </w:r>
      <w:r w:rsidRPr="006A7557" w:rsidR="00B91983">
        <w:t>142</w:t>
      </w:r>
      <w:r w:rsidRPr="006A7557" w:rsidR="00297D32">
        <w:t xml:space="preserve"> </w:t>
      </w:r>
      <w:r w:rsidRPr="006A7557" w:rsidR="00707B90">
        <w:t>hours</w:t>
      </w:r>
      <w:r w:rsidRPr="006A7557" w:rsidR="00BD1A7C">
        <w:t xml:space="preserve"> x</w:t>
      </w:r>
      <w:r w:rsidRPr="006A7557" w:rsidR="00AC49EC">
        <w:t xml:space="preserve"> </w:t>
      </w:r>
      <w:r w:rsidRPr="006A7557" w:rsidR="00BD1A7C">
        <w:t>$</w:t>
      </w:r>
      <w:r w:rsidRPr="006A7557" w:rsidR="00440568">
        <w:t>31</w:t>
      </w:r>
      <w:r w:rsidRPr="006A7557" w:rsidR="00EF71BA">
        <w:t>7</w:t>
      </w:r>
      <w:r w:rsidR="003C5A28">
        <w:t xml:space="preserve"> per </w:t>
      </w:r>
      <w:r w:rsidRPr="006A7557" w:rsidR="00BD1A7C">
        <w:t>hour).</w:t>
      </w:r>
    </w:p>
    <w:p w:rsidR="00491586" w:rsidRPr="006A7557" w:rsidP="00440568" w14:paraId="09768E27" w14:textId="77777777">
      <w:pPr>
        <w:tabs>
          <w:tab w:val="left" w:pos="1260"/>
        </w:tabs>
      </w:pPr>
    </w:p>
    <w:p w:rsidR="00491586" w:rsidRPr="0081558E" w:rsidP="00491586" w14:paraId="24381D73" w14:textId="77777777">
      <w:pPr>
        <w:tabs>
          <w:tab w:val="left" w:pos="1260"/>
        </w:tabs>
        <w:ind w:left="1200"/>
      </w:pPr>
      <w:r w:rsidRPr="006A7557">
        <w:t>The $31</w:t>
      </w:r>
      <w:r w:rsidRPr="006A7557" w:rsidR="0069400F">
        <w:t>7</w:t>
      </w:r>
      <w:r w:rsidRPr="006A7557">
        <w:t xml:space="preserve"> hourly rate used in the burden estimates is based on the NRC’s fee for hourly rates as noted in 10 CFR 170.20 “Average cost per professional staff-hour.” For more information on the hourly rate, see the “Revision of Fee Schedules, Fee Recovery for Fiscal Year 202</w:t>
      </w:r>
      <w:r w:rsidRPr="006A7557" w:rsidR="00B2657E">
        <w:t>4</w:t>
      </w:r>
      <w:r w:rsidRPr="006A7557">
        <w:t>” final rule (</w:t>
      </w:r>
      <w:r w:rsidRPr="006A7557" w:rsidR="00A4326B">
        <w:t>89</w:t>
      </w:r>
      <w:r w:rsidRPr="006A7557">
        <w:t xml:space="preserve"> FR </w:t>
      </w:r>
      <w:r w:rsidRPr="006A7557" w:rsidR="00A4326B">
        <w:t>51</w:t>
      </w:r>
      <w:r w:rsidRPr="006A7557" w:rsidR="00B454B1">
        <w:t>789</w:t>
      </w:r>
      <w:r w:rsidR="003A4D84">
        <w:t>;</w:t>
      </w:r>
      <w:r w:rsidRPr="006A7557">
        <w:t xml:space="preserve"> June</w:t>
      </w:r>
      <w:r w:rsidR="003C5A28">
        <w:t> </w:t>
      </w:r>
      <w:r w:rsidRPr="006A7557" w:rsidR="00B454B1">
        <w:t>20</w:t>
      </w:r>
      <w:r w:rsidRPr="006A7557">
        <w:t>, 202</w:t>
      </w:r>
      <w:r w:rsidRPr="006A7557" w:rsidR="00B454B1">
        <w:t>4</w:t>
      </w:r>
      <w:r w:rsidRPr="006A7557">
        <w:t>).</w:t>
      </w:r>
      <w:r w:rsidRPr="0081558E">
        <w:t> </w:t>
      </w:r>
    </w:p>
    <w:p w:rsidR="0009629C" w:rsidRPr="0081558E" w:rsidP="00F515C2" w14:paraId="17CE8FDC" w14:textId="77777777">
      <w:pPr>
        <w:tabs>
          <w:tab w:val="left" w:pos="1260"/>
        </w:tabs>
        <w:ind w:left="1200"/>
      </w:pPr>
    </w:p>
    <w:p w:rsidR="00785D77" w:rsidRPr="0081558E" w14:paraId="6A719E8C" w14:textId="77777777">
      <w:pPr>
        <w:pStyle w:val="ListParagraph"/>
        <w:numPr>
          <w:ilvl w:val="1"/>
          <w:numId w:val="1"/>
        </w:numPr>
        <w:tabs>
          <w:tab w:val="left" w:pos="1159"/>
          <w:tab w:val="left" w:pos="1160"/>
        </w:tabs>
        <w:ind w:left="1159" w:hanging="719"/>
        <w:jc w:val="left"/>
      </w:pPr>
      <w:r w:rsidRPr="0081558E">
        <w:rPr>
          <w:u w:val="single"/>
        </w:rPr>
        <w:t>Estimate of Other Additional</w:t>
      </w:r>
      <w:r w:rsidRPr="0081558E">
        <w:rPr>
          <w:spacing w:val="-7"/>
          <w:u w:val="single"/>
        </w:rPr>
        <w:t xml:space="preserve"> </w:t>
      </w:r>
      <w:r w:rsidRPr="0081558E">
        <w:rPr>
          <w:u w:val="single"/>
        </w:rPr>
        <w:t>Costs</w:t>
      </w:r>
    </w:p>
    <w:p w:rsidR="00785D77" w:rsidRPr="00222BE2" w14:paraId="23DC4078" w14:textId="77777777">
      <w:pPr>
        <w:pStyle w:val="BodyText"/>
        <w:spacing w:before="9"/>
      </w:pPr>
    </w:p>
    <w:p w:rsidR="00785D77" w:rsidRPr="0081558E" w14:paraId="53A20CBD" w14:textId="77777777">
      <w:pPr>
        <w:pStyle w:val="BodyText"/>
        <w:spacing w:before="93"/>
        <w:ind w:left="1160"/>
      </w:pPr>
      <w:r w:rsidRPr="0081558E">
        <w:t>There are no additional costs.</w:t>
      </w:r>
    </w:p>
    <w:p w:rsidR="00785D77" w:rsidRPr="0081558E" w14:paraId="0ACFA400" w14:textId="77777777">
      <w:pPr>
        <w:pStyle w:val="BodyText"/>
      </w:pPr>
    </w:p>
    <w:p w:rsidR="00785D77" w:rsidRPr="0081558E" w14:paraId="5AD358B5" w14:textId="77777777">
      <w:pPr>
        <w:pStyle w:val="ListParagraph"/>
        <w:numPr>
          <w:ilvl w:val="1"/>
          <w:numId w:val="1"/>
        </w:numPr>
        <w:tabs>
          <w:tab w:val="left" w:pos="1159"/>
          <w:tab w:val="left" w:pos="1160"/>
        </w:tabs>
        <w:ind w:left="1159" w:hanging="719"/>
        <w:jc w:val="left"/>
      </w:pPr>
      <w:r w:rsidRPr="0081558E">
        <w:rPr>
          <w:u w:val="single"/>
        </w:rPr>
        <w:t>Estimated Annualized Cost to the Federal</w:t>
      </w:r>
      <w:r w:rsidRPr="0081558E">
        <w:rPr>
          <w:spacing w:val="-14"/>
          <w:u w:val="single"/>
        </w:rPr>
        <w:t xml:space="preserve"> </w:t>
      </w:r>
      <w:r w:rsidRPr="0081558E">
        <w:rPr>
          <w:u w:val="single"/>
        </w:rPr>
        <w:t>Government</w:t>
      </w:r>
    </w:p>
    <w:p w:rsidR="00785D77" w:rsidRPr="00222BE2" w14:paraId="78FF073E" w14:textId="77777777">
      <w:pPr>
        <w:pStyle w:val="BodyText"/>
        <w:spacing w:before="10"/>
      </w:pPr>
    </w:p>
    <w:p w:rsidR="005C65D9" w:rsidP="00B274B4" w14:paraId="6AC5E083" w14:textId="77777777">
      <w:pPr>
        <w:pStyle w:val="BodyText"/>
        <w:spacing w:before="92"/>
        <w:ind w:left="1160" w:right="202"/>
      </w:pPr>
      <w:r w:rsidRPr="0081558E">
        <w:t>The staff has developed estimates of annualized costs to the Federal Government related to the conduct of this collection of information.</w:t>
      </w:r>
      <w:r w:rsidRPr="0081558E" w:rsidR="00EE3EFA">
        <w:t xml:space="preserve"> </w:t>
      </w:r>
      <w:r w:rsidRPr="0081558E">
        <w:t xml:space="preserve">These estimates are based on staff experience and subject matter expertise and include the burden needed to </w:t>
      </w:r>
    </w:p>
    <w:p w:rsidR="00785D77" w:rsidRPr="0081558E" w:rsidP="00B274B4" w14:paraId="4442FFB2" w14:textId="77777777">
      <w:pPr>
        <w:pStyle w:val="BodyText"/>
        <w:ind w:left="1160" w:right="202"/>
      </w:pPr>
      <w:r w:rsidRPr="0081558E">
        <w:t>review, analyze, and process the collected information and any relevant operational expenses.</w:t>
      </w:r>
    </w:p>
    <w:p w:rsidR="00785D77" w:rsidRPr="00222BE2" w14:paraId="59581E1D" w14:textId="77777777">
      <w:pPr>
        <w:pStyle w:val="BodyText"/>
        <w:spacing w:before="10"/>
      </w:pPr>
    </w:p>
    <w:p w:rsidR="00785D77" w:rsidRPr="0081558E" w14:paraId="24881F32" w14:textId="77777777">
      <w:pPr>
        <w:pStyle w:val="BodyText"/>
        <w:ind w:left="1160" w:right="202"/>
      </w:pPr>
      <w:r w:rsidRPr="0081558E">
        <w:t>Based on the current estimate of affected licensees, the estimated annualized cost to the Federal Government for registration is as follows:</w:t>
      </w:r>
    </w:p>
    <w:p w:rsidR="00785D77" w:rsidRPr="0081558E" w14:paraId="152180C8" w14:textId="77777777">
      <w:pPr>
        <w:pStyle w:val="BodyText"/>
      </w:pPr>
    </w:p>
    <w:p w:rsidR="00785D77" w:rsidRPr="006A7557" w:rsidP="003A1EC4" w14:paraId="4156344D" w14:textId="77777777">
      <w:pPr>
        <w:pStyle w:val="BodyText"/>
        <w:spacing w:before="11"/>
        <w:ind w:left="1160"/>
      </w:pPr>
      <w:r w:rsidRPr="006A7557">
        <w:t xml:space="preserve">Mailing </w:t>
      </w:r>
      <w:r w:rsidRPr="006A7557" w:rsidR="004E4BAF">
        <w:t xml:space="preserve">and/or emailing </w:t>
      </w:r>
      <w:r w:rsidRPr="006A7557">
        <w:t xml:space="preserve">a request for verification of devices possessed by general licensees and logging the response into the computerized directory or recording that verification has been received, will take approximately </w:t>
      </w:r>
      <w:r w:rsidRPr="006A7557" w:rsidR="00FE4D4D">
        <w:t>71</w:t>
      </w:r>
      <w:r w:rsidRPr="006A7557" w:rsidR="00E947D0">
        <w:t xml:space="preserve"> </w:t>
      </w:r>
      <w:r w:rsidRPr="006A7557">
        <w:t>hours</w:t>
      </w:r>
      <w:r w:rsidRPr="006A7557" w:rsidR="006F63A6">
        <w:t xml:space="preserve"> </w:t>
      </w:r>
      <w:r w:rsidRPr="006A7557">
        <w:t>(</w:t>
      </w:r>
      <w:r w:rsidRPr="006A7557" w:rsidR="00577B68">
        <w:t>4</w:t>
      </w:r>
      <w:r w:rsidRPr="006A7557" w:rsidR="002A3210">
        <w:t>25</w:t>
      </w:r>
      <w:r w:rsidRPr="006A7557">
        <w:t xml:space="preserve"> requests </w:t>
      </w:r>
      <w:r w:rsidRPr="006A7557" w:rsidR="00F4117D">
        <w:t>at</w:t>
      </w:r>
      <w:r w:rsidRPr="006A7557" w:rsidR="003F5E66">
        <w:t xml:space="preserve"> </w:t>
      </w:r>
      <w:r w:rsidRPr="006A7557" w:rsidR="002602F1">
        <w:t>10</w:t>
      </w:r>
      <w:r w:rsidRPr="006A7557" w:rsidR="00390130">
        <w:t xml:space="preserve"> </w:t>
      </w:r>
      <w:r w:rsidRPr="006A7557">
        <w:t>minutes per request)</w:t>
      </w:r>
      <w:r w:rsidRPr="006A7557" w:rsidR="008A48CF">
        <w:t xml:space="preserve"> at a cost of $</w:t>
      </w:r>
      <w:r w:rsidRPr="006A7557" w:rsidR="00ED3980">
        <w:t>22</w:t>
      </w:r>
      <w:r w:rsidRPr="006A7557" w:rsidR="00D45B88">
        <w:t>,507</w:t>
      </w:r>
      <w:r w:rsidRPr="006A7557" w:rsidR="008A48CF">
        <w:t xml:space="preserve"> (</w:t>
      </w:r>
      <w:r w:rsidRPr="006A7557" w:rsidR="00FE4D4D">
        <w:t>71</w:t>
      </w:r>
      <w:r w:rsidRPr="006A7557" w:rsidR="00D94E19">
        <w:t xml:space="preserve"> hours x $31</w:t>
      </w:r>
      <w:r w:rsidRPr="006A7557" w:rsidR="00ED3980">
        <w:t>7</w:t>
      </w:r>
      <w:r w:rsidRPr="006A7557" w:rsidR="00D94E19">
        <w:t xml:space="preserve"> per hour).</w:t>
      </w:r>
      <w:r w:rsidRPr="006A7557" w:rsidR="00EE3EFA">
        <w:t xml:space="preserve"> </w:t>
      </w:r>
      <w:r w:rsidRPr="006A7557">
        <w:t>The annual cost</w:t>
      </w:r>
      <w:r w:rsidRPr="006A7557" w:rsidR="00E43797">
        <w:t xml:space="preserve"> </w:t>
      </w:r>
      <w:r w:rsidRPr="006A7557" w:rsidR="00D94E19">
        <w:t xml:space="preserve">of </w:t>
      </w:r>
      <w:r w:rsidRPr="006A7557" w:rsidR="00193AE0">
        <w:t xml:space="preserve">postage for </w:t>
      </w:r>
      <w:r w:rsidRPr="006A7557" w:rsidR="00C20E41">
        <w:t xml:space="preserve">certified </w:t>
      </w:r>
      <w:r w:rsidRPr="006A7557" w:rsidR="00193AE0">
        <w:t xml:space="preserve">return receipt </w:t>
      </w:r>
      <w:r w:rsidRPr="006A7557" w:rsidR="00D94E19">
        <w:t>is</w:t>
      </w:r>
      <w:r w:rsidRPr="006A7557">
        <w:t xml:space="preserve"> approximately $</w:t>
      </w:r>
      <w:r w:rsidRPr="006A7557" w:rsidR="00D45B88">
        <w:t>5,100</w:t>
      </w:r>
      <w:r w:rsidRPr="006A7557" w:rsidR="00193AE0">
        <w:t xml:space="preserve"> ($1</w:t>
      </w:r>
      <w:r w:rsidRPr="006A7557" w:rsidR="007E6F1F">
        <w:t>2</w:t>
      </w:r>
      <w:r w:rsidR="003A4D84">
        <w:t xml:space="preserve"> per </w:t>
      </w:r>
      <w:r w:rsidRPr="006A7557" w:rsidR="00193AE0">
        <w:t>package x 4</w:t>
      </w:r>
      <w:r w:rsidRPr="006A7557" w:rsidR="00D45B88">
        <w:t>25</w:t>
      </w:r>
      <w:r w:rsidRPr="006A7557" w:rsidR="00E61DF2">
        <w:t xml:space="preserve"> packages</w:t>
      </w:r>
      <w:r w:rsidRPr="006A7557" w:rsidR="00193AE0">
        <w:t>)</w:t>
      </w:r>
      <w:r w:rsidRPr="006A7557">
        <w:t>.</w:t>
      </w:r>
      <w:r w:rsidRPr="006A7557" w:rsidR="00E61DF2">
        <w:t xml:space="preserve"> The total average cost </w:t>
      </w:r>
      <w:r w:rsidRPr="006A7557" w:rsidR="00DF5DA7">
        <w:t>ranges between $</w:t>
      </w:r>
      <w:r w:rsidRPr="006A7557" w:rsidR="007C210D">
        <w:t>22,507</w:t>
      </w:r>
      <w:r w:rsidRPr="006A7557" w:rsidR="00DF5DA7">
        <w:t xml:space="preserve"> if all packages are emailed to </w:t>
      </w:r>
      <w:r w:rsidRPr="006A7557" w:rsidR="004C15B7">
        <w:t>$</w:t>
      </w:r>
      <w:r w:rsidRPr="006A7557" w:rsidR="00D734BD">
        <w:t>27,607</w:t>
      </w:r>
      <w:r w:rsidRPr="006A7557" w:rsidR="004C15B7">
        <w:t xml:space="preserve"> ($</w:t>
      </w:r>
      <w:r w:rsidRPr="006A7557" w:rsidR="00D734BD">
        <w:t>22,507</w:t>
      </w:r>
      <w:r w:rsidRPr="006A7557" w:rsidR="004C15B7">
        <w:t xml:space="preserve"> + $</w:t>
      </w:r>
      <w:r w:rsidRPr="006A7557" w:rsidR="000C24CC">
        <w:t>5,100</w:t>
      </w:r>
      <w:r w:rsidRPr="006A7557" w:rsidR="004C15B7">
        <w:t>)</w:t>
      </w:r>
      <w:r w:rsidRPr="006A7557" w:rsidR="001D4024">
        <w:t xml:space="preserve"> if all packages are mailed</w:t>
      </w:r>
      <w:r w:rsidRPr="006A7557" w:rsidR="00DF5DA7">
        <w:t xml:space="preserve"> depending on whether valid email addresses have been obtained and successfully </w:t>
      </w:r>
      <w:r w:rsidRPr="006A7557" w:rsidR="00C20E41">
        <w:t>transmitted</w:t>
      </w:r>
      <w:r w:rsidRPr="006A7557" w:rsidR="00DF5DA7">
        <w:t xml:space="preserve">. </w:t>
      </w:r>
    </w:p>
    <w:p w:rsidR="0081608F" w:rsidRPr="006A7557" w:rsidP="0081608F" w14:paraId="232137EE" w14:textId="77777777">
      <w:pPr>
        <w:pStyle w:val="BodyText"/>
        <w:ind w:left="1166" w:right="230"/>
      </w:pPr>
    </w:p>
    <w:p w:rsidR="00953CFC" w:rsidRPr="006A7557" w:rsidP="00DC2762" w14:paraId="4C6B63A7" w14:textId="77777777">
      <w:pPr>
        <w:pStyle w:val="BodyText"/>
        <w:numPr>
          <w:ilvl w:val="1"/>
          <w:numId w:val="1"/>
        </w:numPr>
        <w:ind w:left="1152" w:hanging="720"/>
        <w:jc w:val="left"/>
      </w:pPr>
      <w:r w:rsidRPr="006A7557">
        <w:rPr>
          <w:u w:val="single"/>
        </w:rPr>
        <w:t>Re</w:t>
      </w:r>
      <w:r w:rsidRPr="006A7557" w:rsidR="00BD1A7C">
        <w:rPr>
          <w:u w:val="single"/>
        </w:rPr>
        <w:t>asons for Changes in Burd</w:t>
      </w:r>
      <w:r w:rsidRPr="006A7557" w:rsidR="0081608F">
        <w:rPr>
          <w:u w:val="single"/>
        </w:rPr>
        <w:t>en or Cost</w:t>
      </w:r>
    </w:p>
    <w:p w:rsidR="00953CFC" w:rsidRPr="006A7557" w:rsidP="009C0755" w14:paraId="4EDACE5D" w14:textId="77777777">
      <w:pPr>
        <w:pStyle w:val="BodyText"/>
        <w:ind w:left="1160"/>
        <w:jc w:val="right"/>
      </w:pPr>
    </w:p>
    <w:p w:rsidR="009C0755" w:rsidP="00A30F1A" w14:paraId="17324549" w14:textId="04CFA782">
      <w:pPr>
        <w:pStyle w:val="BodyText"/>
        <w:ind w:left="1160"/>
      </w:pPr>
      <w:r w:rsidRPr="006A7557">
        <w:t>T</w:t>
      </w:r>
      <w:r w:rsidRPr="006A7557" w:rsidR="00BD1A7C">
        <w:t xml:space="preserve">he overall burden </w:t>
      </w:r>
      <w:r w:rsidRPr="006A7557" w:rsidR="00C20E41">
        <w:t>estimates</w:t>
      </w:r>
      <w:r w:rsidRPr="006A7557" w:rsidR="00BD1A7C">
        <w:t xml:space="preserve"> for licensees to register general</w:t>
      </w:r>
      <w:r w:rsidRPr="006A7557" w:rsidR="00FF1126">
        <w:t>ly</w:t>
      </w:r>
      <w:r w:rsidRPr="006A7557" w:rsidR="00BD1A7C">
        <w:t xml:space="preserve"> licensed devices containing radioisotopes on NRC Form 664 </w:t>
      </w:r>
      <w:r w:rsidR="00A30F1A">
        <w:t>has increased from 136 hours to 142 hours.  The increase in the burden is due to an increase in t</w:t>
      </w:r>
      <w:r w:rsidRPr="006A7557" w:rsidR="00BD1A7C">
        <w:t>he number of</w:t>
      </w:r>
      <w:r w:rsidRPr="006A7557" w:rsidR="0093107D">
        <w:t xml:space="preserve"> general </w:t>
      </w:r>
      <w:r w:rsidRPr="006A7557" w:rsidR="0093107D">
        <w:t>licensees</w:t>
      </w:r>
      <w:r w:rsidRPr="006A7557" w:rsidR="00BD1A7C">
        <w:t xml:space="preserve"> from </w:t>
      </w:r>
      <w:r w:rsidR="00A30F1A">
        <w:t>409</w:t>
      </w:r>
      <w:r w:rsidRPr="006A7557" w:rsidR="00A30F1A">
        <w:t xml:space="preserve"> </w:t>
      </w:r>
      <w:r w:rsidRPr="006A7557" w:rsidR="00EE0E46">
        <w:t>to 4</w:t>
      </w:r>
      <w:r w:rsidRPr="006A7557" w:rsidR="00D71E71">
        <w:t>25</w:t>
      </w:r>
      <w:r w:rsidRPr="006A7557" w:rsidR="000F62E8">
        <w:t xml:space="preserve">. </w:t>
      </w:r>
    </w:p>
    <w:p w:rsidR="00A30F1A" w:rsidRPr="006A7557" w:rsidP="00596BC4" w14:paraId="2947FA53" w14:textId="77777777">
      <w:pPr>
        <w:pStyle w:val="BodyText"/>
        <w:ind w:left="1160"/>
      </w:pPr>
    </w:p>
    <w:p w:rsidR="009C0755" w:rsidRPr="0081558E" w:rsidP="009C0755" w14:paraId="7E98C866" w14:textId="77777777">
      <w:pPr>
        <w:pStyle w:val="BodyText"/>
        <w:ind w:left="1160"/>
      </w:pPr>
      <w:r w:rsidRPr="006A7557">
        <w:t xml:space="preserve">The rate has </w:t>
      </w:r>
      <w:r w:rsidRPr="006A7557" w:rsidR="00F1695D">
        <w:t xml:space="preserve">increased </w:t>
      </w:r>
      <w:r w:rsidRPr="006A7557">
        <w:t>from $</w:t>
      </w:r>
      <w:r w:rsidRPr="006A7557" w:rsidR="000277E8">
        <w:t>288</w:t>
      </w:r>
      <w:r w:rsidRPr="006A7557">
        <w:t xml:space="preserve"> per hour to $</w:t>
      </w:r>
      <w:r w:rsidRPr="006A7557" w:rsidR="0057429D">
        <w:t>31</w:t>
      </w:r>
      <w:r w:rsidRPr="006A7557" w:rsidR="000277E8">
        <w:t>7</w:t>
      </w:r>
      <w:r w:rsidRPr="006A7557">
        <w:t xml:space="preserve"> per hour in accordance with 10 CFR Part 170.</w:t>
      </w:r>
    </w:p>
    <w:p w:rsidR="001A1CC4" w:rsidRPr="0081558E" w:rsidP="001A1CC4" w14:paraId="464CEAD0" w14:textId="77777777">
      <w:pPr>
        <w:pStyle w:val="BodyText"/>
        <w:ind w:left="1160"/>
      </w:pPr>
    </w:p>
    <w:p w:rsidR="00737BE1" w:rsidRPr="0081558E" w:rsidP="00DC2762" w14:paraId="0FD90DD9" w14:textId="77777777">
      <w:pPr>
        <w:pStyle w:val="BodyText"/>
        <w:ind w:left="432"/>
      </w:pPr>
      <w:r w:rsidRPr="0081558E">
        <w:t>16.</w:t>
      </w:r>
      <w:r w:rsidR="00E43797">
        <w:t xml:space="preserve"> </w:t>
      </w:r>
      <w:r w:rsidRPr="0081558E" w:rsidR="00BD1A7C">
        <w:rPr>
          <w:u w:val="single"/>
        </w:rPr>
        <w:t>Publication for Statistical</w:t>
      </w:r>
      <w:r w:rsidRPr="0081558E" w:rsidR="00BD1A7C">
        <w:rPr>
          <w:spacing w:val="-9"/>
          <w:u w:val="single"/>
        </w:rPr>
        <w:t xml:space="preserve"> </w:t>
      </w:r>
      <w:r w:rsidRPr="0081558E" w:rsidR="00BD1A7C">
        <w:rPr>
          <w:u w:val="single"/>
        </w:rPr>
        <w:t>Us</w:t>
      </w:r>
      <w:r w:rsidRPr="0081558E">
        <w:rPr>
          <w:u w:val="single"/>
        </w:rPr>
        <w:t>e</w:t>
      </w:r>
    </w:p>
    <w:p w:rsidR="00737BE1" w:rsidRPr="0081558E" w:rsidP="00737BE1" w14:paraId="14F500F9" w14:textId="77777777">
      <w:pPr>
        <w:pStyle w:val="BodyText"/>
        <w:ind w:left="1160"/>
        <w:rPr>
          <w:u w:val="single"/>
        </w:rPr>
      </w:pPr>
    </w:p>
    <w:p w:rsidR="00785D77" w:rsidRPr="0081558E" w:rsidP="00737BE1" w14:paraId="1632FA58" w14:textId="77777777">
      <w:pPr>
        <w:pStyle w:val="BodyText"/>
        <w:ind w:left="1160"/>
      </w:pPr>
      <w:r w:rsidRPr="0081558E">
        <w:t>None.</w:t>
      </w:r>
    </w:p>
    <w:p w:rsidR="00785D77" w:rsidRPr="0081558E" w14:paraId="3CBACA0D" w14:textId="77777777">
      <w:pPr>
        <w:pStyle w:val="BodyText"/>
      </w:pPr>
    </w:p>
    <w:p w:rsidR="0044327B" w:rsidRPr="0081558E" w:rsidP="00753869" w14:paraId="64E62485" w14:textId="77777777">
      <w:pPr>
        <w:pStyle w:val="ListParagraph"/>
        <w:tabs>
          <w:tab w:val="left" w:pos="1539"/>
          <w:tab w:val="left" w:pos="1540"/>
        </w:tabs>
        <w:ind w:left="432" w:firstLine="0"/>
        <w:rPr>
          <w:u w:val="single"/>
        </w:rPr>
      </w:pPr>
      <w:r w:rsidRPr="0081558E">
        <w:t>17.</w:t>
      </w:r>
      <w:r w:rsidR="00E43797">
        <w:t xml:space="preserve"> </w:t>
      </w:r>
      <w:r w:rsidRPr="0081558E" w:rsidR="00BD1A7C">
        <w:rPr>
          <w:u w:val="single"/>
        </w:rPr>
        <w:t>Reason for Not Displaying the Expiration</w:t>
      </w:r>
      <w:r w:rsidRPr="0081558E" w:rsidR="00BD1A7C">
        <w:rPr>
          <w:spacing w:val="-10"/>
          <w:u w:val="single"/>
        </w:rPr>
        <w:t xml:space="preserve"> </w:t>
      </w:r>
      <w:r w:rsidRPr="0081558E" w:rsidR="00BD1A7C">
        <w:rPr>
          <w:u w:val="single"/>
        </w:rPr>
        <w:t>Date</w:t>
      </w:r>
    </w:p>
    <w:p w:rsidR="0044327B" w:rsidRPr="0081558E" w:rsidP="0044327B" w14:paraId="6C13ED50" w14:textId="77777777">
      <w:pPr>
        <w:pStyle w:val="ListParagraph"/>
        <w:tabs>
          <w:tab w:val="left" w:pos="1539"/>
          <w:tab w:val="left" w:pos="1540"/>
        </w:tabs>
        <w:ind w:left="1160" w:firstLine="0"/>
        <w:rPr>
          <w:u w:val="single"/>
        </w:rPr>
      </w:pPr>
    </w:p>
    <w:p w:rsidR="00785D77" w:rsidRPr="0081558E" w:rsidP="0044327B" w14:paraId="5383FE96" w14:textId="77777777">
      <w:pPr>
        <w:pStyle w:val="ListParagraph"/>
        <w:tabs>
          <w:tab w:val="left" w:pos="1539"/>
          <w:tab w:val="left" w:pos="1540"/>
        </w:tabs>
        <w:ind w:left="1160" w:firstLine="0"/>
      </w:pPr>
      <w:r w:rsidRPr="0081558E">
        <w:t>The expiration date will be displayed on the form.</w:t>
      </w:r>
    </w:p>
    <w:p w:rsidR="00785D77" w:rsidRPr="00222BE2" w14:paraId="09CAA952" w14:textId="77777777">
      <w:pPr>
        <w:pStyle w:val="BodyText"/>
        <w:spacing w:before="10"/>
      </w:pPr>
    </w:p>
    <w:p w:rsidR="0080196B" w:rsidRPr="0081558E" w:rsidP="00275A0B" w14:paraId="3ECE66B0" w14:textId="77777777">
      <w:pPr>
        <w:tabs>
          <w:tab w:val="left" w:pos="1539"/>
          <w:tab w:val="left" w:pos="1540"/>
        </w:tabs>
        <w:spacing w:before="1"/>
        <w:ind w:left="439"/>
        <w:rPr>
          <w:u w:val="single"/>
        </w:rPr>
      </w:pPr>
      <w:r w:rsidRPr="0081558E">
        <w:t>18.</w:t>
      </w:r>
      <w:r w:rsidR="00E43797">
        <w:t xml:space="preserve"> </w:t>
      </w:r>
      <w:r w:rsidRPr="0081558E" w:rsidR="00BD1A7C">
        <w:rPr>
          <w:u w:val="single"/>
        </w:rPr>
        <w:t>Exceptions to the Certification</w:t>
      </w:r>
      <w:r w:rsidRPr="0081558E" w:rsidR="00BD1A7C">
        <w:rPr>
          <w:spacing w:val="-11"/>
          <w:u w:val="single"/>
        </w:rPr>
        <w:t xml:space="preserve"> </w:t>
      </w:r>
      <w:r w:rsidRPr="0081558E" w:rsidR="00BD1A7C">
        <w:rPr>
          <w:u w:val="single"/>
        </w:rPr>
        <w:t>Statement</w:t>
      </w:r>
    </w:p>
    <w:p w:rsidR="0080196B" w:rsidRPr="0081558E" w:rsidP="00275A0B" w14:paraId="0F4634BF" w14:textId="77777777">
      <w:pPr>
        <w:tabs>
          <w:tab w:val="left" w:pos="1539"/>
          <w:tab w:val="left" w:pos="1540"/>
        </w:tabs>
        <w:spacing w:before="1"/>
        <w:ind w:left="439"/>
        <w:rPr>
          <w:u w:val="single"/>
        </w:rPr>
      </w:pPr>
    </w:p>
    <w:p w:rsidR="00785D77" w:rsidRPr="0081558E" w:rsidP="00924014" w14:paraId="13624FD1" w14:textId="77777777">
      <w:pPr>
        <w:tabs>
          <w:tab w:val="left" w:pos="1539"/>
          <w:tab w:val="left" w:pos="1540"/>
        </w:tabs>
        <w:spacing w:before="1"/>
        <w:ind w:left="439" w:firstLine="641"/>
      </w:pPr>
      <w:r>
        <w:t xml:space="preserve">  </w:t>
      </w:r>
      <w:r w:rsidRPr="0081558E" w:rsidR="00BD1A7C">
        <w:t>None.</w:t>
      </w:r>
    </w:p>
    <w:p w:rsidR="00785D77" w:rsidRPr="00222BE2" w14:paraId="3D9CC2E4" w14:textId="77777777">
      <w:pPr>
        <w:pStyle w:val="BodyText"/>
      </w:pPr>
    </w:p>
    <w:p w:rsidR="00785D77" w:rsidRPr="0081558E" w14:paraId="41ED86FC" w14:textId="77777777">
      <w:pPr>
        <w:pStyle w:val="ListParagraph"/>
        <w:numPr>
          <w:ilvl w:val="0"/>
          <w:numId w:val="1"/>
        </w:numPr>
        <w:tabs>
          <w:tab w:val="left" w:pos="820"/>
          <w:tab w:val="left" w:pos="821"/>
        </w:tabs>
        <w:ind w:left="820" w:hanging="720"/>
      </w:pPr>
      <w:r w:rsidRPr="0081558E">
        <w:rPr>
          <w:u w:val="single"/>
        </w:rPr>
        <w:t>COLLECTIONS OF INFORMATION EMPLOYING STATISTICAL</w:t>
      </w:r>
      <w:r w:rsidRPr="0081558E">
        <w:rPr>
          <w:spacing w:val="-12"/>
          <w:u w:val="single"/>
        </w:rPr>
        <w:t xml:space="preserve"> </w:t>
      </w:r>
      <w:r w:rsidRPr="0081558E">
        <w:rPr>
          <w:u w:val="single"/>
        </w:rPr>
        <w:t>METHODS</w:t>
      </w:r>
    </w:p>
    <w:p w:rsidR="00785D77" w:rsidRPr="00222BE2" w14:paraId="50604970" w14:textId="77777777">
      <w:pPr>
        <w:pStyle w:val="BodyText"/>
        <w:spacing w:before="11"/>
      </w:pPr>
    </w:p>
    <w:p w:rsidR="00785D77" w:rsidRPr="0081558E" w:rsidP="00924014" w14:paraId="18EE2A00" w14:textId="77777777">
      <w:pPr>
        <w:pStyle w:val="BodyText"/>
        <w:spacing w:before="92"/>
        <w:ind w:left="820" w:firstLine="350"/>
      </w:pPr>
      <w:r w:rsidRPr="0081558E">
        <w:t>Statistical methods are not used in this collection of information.</w:t>
      </w:r>
    </w:p>
    <w:sectPr>
      <w:headerReference w:type="default" r:id="rId11"/>
      <w:footerReference w:type="default" r:id="rId12"/>
      <w:pgSz w:w="12240" w:h="15840"/>
      <w:pgMar w:top="1360" w:right="1380" w:bottom="1240" w:left="1340" w:header="0" w:footer="10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5D77" w14:paraId="5B26CAE4"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3822065</wp:posOffset>
              </wp:positionH>
              <wp:positionV relativeFrom="page">
                <wp:posOffset>9255760</wp:posOffset>
              </wp:positionV>
              <wp:extent cx="128905" cy="181610"/>
              <wp:effectExtent l="2540" t="0" r="1905" b="190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905"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5D77" w14:textId="77777777">
                          <w:pPr>
                            <w:pStyle w:val="BodyText"/>
                            <w:spacing w:before="12"/>
                            <w:ind w:left="40"/>
                          </w:pPr>
                          <w:r>
                            <w:fldChar w:fldCharType="begin"/>
                          </w:r>
                          <w:r>
                            <w:rPr>
                              <w:w w:val="99"/>
                            </w:rPr>
                            <w:instrText xml:space="preserve"> PAGE </w:instrText>
                          </w:r>
                          <w:r>
                            <w:fldChar w:fldCharType="separate"/>
                          </w:r>
                          <w:r w:rsidR="005F5A54">
                            <w:rPr>
                              <w:noProof/>
                              <w:w w:val="99"/>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15pt;height:14.3pt;margin-top:728.8pt;margin-left:30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85D77" w14:paraId="5E14CE2B" w14:textId="77777777">
                    <w:pPr>
                      <w:pStyle w:val="BodyText"/>
                      <w:spacing w:before="12"/>
                      <w:ind w:left="40"/>
                    </w:pPr>
                    <w:r>
                      <w:fldChar w:fldCharType="begin"/>
                    </w:r>
                    <w:r>
                      <w:rPr>
                        <w:w w:val="99"/>
                      </w:rPr>
                      <w:instrText xml:space="preserve"> PAGE </w:instrText>
                    </w:r>
                    <w:r>
                      <w:fldChar w:fldCharType="separate"/>
                    </w:r>
                    <w:r w:rsidR="005F5A54">
                      <w:rPr>
                        <w:noProof/>
                        <w:w w:val="99"/>
                      </w:rPr>
                      <w:t>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3672" w14:paraId="766A67D8" w14:textId="77777777">
      <w:r>
        <w:separator/>
      </w:r>
    </w:p>
  </w:footnote>
  <w:footnote w:type="continuationSeparator" w:id="1">
    <w:p w:rsidR="00D03672" w14:paraId="17035F0B" w14:textId="77777777">
      <w:r>
        <w:continuationSeparator/>
      </w:r>
    </w:p>
  </w:footnote>
  <w:footnote w:id="2">
    <w:p w:rsidR="000C2CC2" w14:paraId="70DD4F6A" w14:textId="77777777">
      <w:pPr>
        <w:pStyle w:val="FootnoteText"/>
      </w:pPr>
      <w:r>
        <w:rPr>
          <w:rStyle w:val="FootnoteReference"/>
        </w:rPr>
        <w:footnoteRef/>
      </w:r>
      <w:r>
        <w:t xml:space="preserve"> </w:t>
      </w:r>
      <w:hyperlink r:id="rId1" w:history="1">
        <w:r w:rsidRPr="000C2CC2">
          <w:rPr>
            <w:rStyle w:val="Hyperlink"/>
          </w:rPr>
          <w:t>Reference Materials For Electronic Submissions | NRC.gov</w:t>
        </w:r>
      </w:hyperlink>
    </w:p>
    <w:p w:rsidR="00B274B4" w14:paraId="753C871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6A88" w14:paraId="2C9D1F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668F9"/>
    <w:multiLevelType w:val="hybridMultilevel"/>
    <w:tmpl w:val="2C32FCEE"/>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
    <w:nsid w:val="3BA90EDF"/>
    <w:multiLevelType w:val="hybridMultilevel"/>
    <w:tmpl w:val="61521D2E"/>
    <w:lvl w:ilvl="0">
      <w:start w:val="1"/>
      <w:numFmt w:val="upperLetter"/>
      <w:lvlText w:val="%1."/>
      <w:lvlJc w:val="left"/>
      <w:pPr>
        <w:ind w:left="840" w:hanging="721"/>
      </w:pPr>
      <w:rPr>
        <w:rFonts w:ascii="Arial" w:eastAsia="Arial" w:hAnsi="Arial" w:cs="Arial" w:hint="default"/>
        <w:w w:val="99"/>
        <w:sz w:val="22"/>
        <w:szCs w:val="22"/>
      </w:rPr>
    </w:lvl>
    <w:lvl w:ilvl="1">
      <w:start w:val="1"/>
      <w:numFmt w:val="decimal"/>
      <w:lvlText w:val="%2."/>
      <w:lvlJc w:val="left"/>
      <w:pPr>
        <w:ind w:left="1160" w:hanging="721"/>
        <w:jc w:val="right"/>
      </w:pPr>
      <w:rPr>
        <w:rFonts w:ascii="Arial" w:eastAsia="Arial" w:hAnsi="Arial" w:cs="Arial" w:hint="default"/>
        <w:w w:val="99"/>
        <w:sz w:val="22"/>
        <w:szCs w:val="22"/>
      </w:rPr>
    </w:lvl>
    <w:lvl w:ilvl="2">
      <w:start w:val="0"/>
      <w:numFmt w:val="bullet"/>
      <w:lvlText w:val="•"/>
      <w:lvlJc w:val="left"/>
      <w:pPr>
        <w:ind w:left="2042" w:hanging="721"/>
      </w:pPr>
      <w:rPr>
        <w:rFonts w:hint="default"/>
      </w:rPr>
    </w:lvl>
    <w:lvl w:ilvl="3">
      <w:start w:val="0"/>
      <w:numFmt w:val="bullet"/>
      <w:lvlText w:val="•"/>
      <w:lvlJc w:val="left"/>
      <w:pPr>
        <w:ind w:left="2924" w:hanging="721"/>
      </w:pPr>
      <w:rPr>
        <w:rFonts w:hint="default"/>
      </w:rPr>
    </w:lvl>
    <w:lvl w:ilvl="4">
      <w:start w:val="0"/>
      <w:numFmt w:val="bullet"/>
      <w:lvlText w:val="•"/>
      <w:lvlJc w:val="left"/>
      <w:pPr>
        <w:ind w:left="3806" w:hanging="721"/>
      </w:pPr>
      <w:rPr>
        <w:rFonts w:hint="default"/>
      </w:rPr>
    </w:lvl>
    <w:lvl w:ilvl="5">
      <w:start w:val="0"/>
      <w:numFmt w:val="bullet"/>
      <w:lvlText w:val="•"/>
      <w:lvlJc w:val="left"/>
      <w:pPr>
        <w:ind w:left="4688" w:hanging="721"/>
      </w:pPr>
      <w:rPr>
        <w:rFonts w:hint="default"/>
      </w:rPr>
    </w:lvl>
    <w:lvl w:ilvl="6">
      <w:start w:val="0"/>
      <w:numFmt w:val="bullet"/>
      <w:lvlText w:val="•"/>
      <w:lvlJc w:val="left"/>
      <w:pPr>
        <w:ind w:left="5571" w:hanging="721"/>
      </w:pPr>
      <w:rPr>
        <w:rFonts w:hint="default"/>
      </w:rPr>
    </w:lvl>
    <w:lvl w:ilvl="7">
      <w:start w:val="0"/>
      <w:numFmt w:val="bullet"/>
      <w:lvlText w:val="•"/>
      <w:lvlJc w:val="left"/>
      <w:pPr>
        <w:ind w:left="6453" w:hanging="721"/>
      </w:pPr>
      <w:rPr>
        <w:rFonts w:hint="default"/>
      </w:rPr>
    </w:lvl>
    <w:lvl w:ilvl="8">
      <w:start w:val="0"/>
      <w:numFmt w:val="bullet"/>
      <w:lvlText w:val="•"/>
      <w:lvlJc w:val="left"/>
      <w:pPr>
        <w:ind w:left="7335" w:hanging="721"/>
      </w:pPr>
      <w:rPr>
        <w:rFonts w:hint="default"/>
      </w:rPr>
    </w:lvl>
  </w:abstractNum>
  <w:num w:numId="1" w16cid:durableId="1950621593">
    <w:abstractNumId w:val="1"/>
  </w:num>
  <w:num w:numId="2" w16cid:durableId="42697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77"/>
    <w:rsid w:val="00004A81"/>
    <w:rsid w:val="00004BDD"/>
    <w:rsid w:val="00007777"/>
    <w:rsid w:val="00010476"/>
    <w:rsid w:val="0001504A"/>
    <w:rsid w:val="000277E8"/>
    <w:rsid w:val="000323E0"/>
    <w:rsid w:val="00032C5D"/>
    <w:rsid w:val="00034418"/>
    <w:rsid w:val="00040860"/>
    <w:rsid w:val="000412D4"/>
    <w:rsid w:val="00042B32"/>
    <w:rsid w:val="000434C2"/>
    <w:rsid w:val="000437D4"/>
    <w:rsid w:val="0004603F"/>
    <w:rsid w:val="00047AA1"/>
    <w:rsid w:val="00051A62"/>
    <w:rsid w:val="0006451C"/>
    <w:rsid w:val="000654EF"/>
    <w:rsid w:val="00066128"/>
    <w:rsid w:val="00071975"/>
    <w:rsid w:val="00075C47"/>
    <w:rsid w:val="00081ADC"/>
    <w:rsid w:val="00083785"/>
    <w:rsid w:val="000845F3"/>
    <w:rsid w:val="00084F63"/>
    <w:rsid w:val="00085140"/>
    <w:rsid w:val="0008574E"/>
    <w:rsid w:val="000943F0"/>
    <w:rsid w:val="00094FBF"/>
    <w:rsid w:val="0009629C"/>
    <w:rsid w:val="00096FBA"/>
    <w:rsid w:val="000B7BC3"/>
    <w:rsid w:val="000C0905"/>
    <w:rsid w:val="000C1F89"/>
    <w:rsid w:val="000C24CC"/>
    <w:rsid w:val="000C2CC2"/>
    <w:rsid w:val="000C57EE"/>
    <w:rsid w:val="000C710A"/>
    <w:rsid w:val="000C7B06"/>
    <w:rsid w:val="000D096C"/>
    <w:rsid w:val="000D57C0"/>
    <w:rsid w:val="000D5F51"/>
    <w:rsid w:val="000D65B9"/>
    <w:rsid w:val="000D69C8"/>
    <w:rsid w:val="000D7917"/>
    <w:rsid w:val="000E5869"/>
    <w:rsid w:val="000F62E8"/>
    <w:rsid w:val="000F6E66"/>
    <w:rsid w:val="000F7B44"/>
    <w:rsid w:val="0010521F"/>
    <w:rsid w:val="001148E0"/>
    <w:rsid w:val="0012305D"/>
    <w:rsid w:val="00124224"/>
    <w:rsid w:val="0013319A"/>
    <w:rsid w:val="00135B4E"/>
    <w:rsid w:val="001408F4"/>
    <w:rsid w:val="00142938"/>
    <w:rsid w:val="001460CB"/>
    <w:rsid w:val="00153017"/>
    <w:rsid w:val="00163BE2"/>
    <w:rsid w:val="0017024B"/>
    <w:rsid w:val="00170577"/>
    <w:rsid w:val="00170A22"/>
    <w:rsid w:val="00177C89"/>
    <w:rsid w:val="00180196"/>
    <w:rsid w:val="0018163C"/>
    <w:rsid w:val="00182A11"/>
    <w:rsid w:val="0019076D"/>
    <w:rsid w:val="00193AE0"/>
    <w:rsid w:val="00196828"/>
    <w:rsid w:val="001A1BFC"/>
    <w:rsid w:val="001A1CC4"/>
    <w:rsid w:val="001B14B3"/>
    <w:rsid w:val="001B1574"/>
    <w:rsid w:val="001B2B2C"/>
    <w:rsid w:val="001B30EB"/>
    <w:rsid w:val="001B64B5"/>
    <w:rsid w:val="001B77DA"/>
    <w:rsid w:val="001C1744"/>
    <w:rsid w:val="001C3D2E"/>
    <w:rsid w:val="001D4024"/>
    <w:rsid w:val="001D4133"/>
    <w:rsid w:val="001E251B"/>
    <w:rsid w:val="001E3BBB"/>
    <w:rsid w:val="001F2E1D"/>
    <w:rsid w:val="001F43B7"/>
    <w:rsid w:val="0020333D"/>
    <w:rsid w:val="00210336"/>
    <w:rsid w:val="0021416D"/>
    <w:rsid w:val="00220679"/>
    <w:rsid w:val="00222BE2"/>
    <w:rsid w:val="00224B67"/>
    <w:rsid w:val="002314A8"/>
    <w:rsid w:val="002327D4"/>
    <w:rsid w:val="00236B00"/>
    <w:rsid w:val="002377B4"/>
    <w:rsid w:val="002409AE"/>
    <w:rsid w:val="00250F7D"/>
    <w:rsid w:val="002602F1"/>
    <w:rsid w:val="00262544"/>
    <w:rsid w:val="00265633"/>
    <w:rsid w:val="0027455E"/>
    <w:rsid w:val="00275A0B"/>
    <w:rsid w:val="00275E27"/>
    <w:rsid w:val="00283D2C"/>
    <w:rsid w:val="0028679D"/>
    <w:rsid w:val="00287831"/>
    <w:rsid w:val="00292B8D"/>
    <w:rsid w:val="00294B94"/>
    <w:rsid w:val="00294BD7"/>
    <w:rsid w:val="00295B0B"/>
    <w:rsid w:val="00297D32"/>
    <w:rsid w:val="002A1D17"/>
    <w:rsid w:val="002A3210"/>
    <w:rsid w:val="002A5D9E"/>
    <w:rsid w:val="002A61BA"/>
    <w:rsid w:val="002A6837"/>
    <w:rsid w:val="002A753F"/>
    <w:rsid w:val="002B29A1"/>
    <w:rsid w:val="002B2C9A"/>
    <w:rsid w:val="002B4D3D"/>
    <w:rsid w:val="002C07BE"/>
    <w:rsid w:val="002C36CF"/>
    <w:rsid w:val="002C5A29"/>
    <w:rsid w:val="002C7523"/>
    <w:rsid w:val="002D205B"/>
    <w:rsid w:val="002D283E"/>
    <w:rsid w:val="002D3F63"/>
    <w:rsid w:val="002D60B0"/>
    <w:rsid w:val="002D62F1"/>
    <w:rsid w:val="002E6ADA"/>
    <w:rsid w:val="002E725F"/>
    <w:rsid w:val="002F719A"/>
    <w:rsid w:val="00301797"/>
    <w:rsid w:val="00313DD0"/>
    <w:rsid w:val="00336D34"/>
    <w:rsid w:val="0034229F"/>
    <w:rsid w:val="00351043"/>
    <w:rsid w:val="00380A39"/>
    <w:rsid w:val="00382A01"/>
    <w:rsid w:val="00387C25"/>
    <w:rsid w:val="00390130"/>
    <w:rsid w:val="003A0DA6"/>
    <w:rsid w:val="003A1C1C"/>
    <w:rsid w:val="003A1EC4"/>
    <w:rsid w:val="003A2D49"/>
    <w:rsid w:val="003A4D84"/>
    <w:rsid w:val="003B165C"/>
    <w:rsid w:val="003B7A2E"/>
    <w:rsid w:val="003C549F"/>
    <w:rsid w:val="003C55BA"/>
    <w:rsid w:val="003C5A28"/>
    <w:rsid w:val="003E6E97"/>
    <w:rsid w:val="003F088C"/>
    <w:rsid w:val="003F55FB"/>
    <w:rsid w:val="003F5E66"/>
    <w:rsid w:val="00400B1D"/>
    <w:rsid w:val="00403BF8"/>
    <w:rsid w:val="00403FA4"/>
    <w:rsid w:val="00404258"/>
    <w:rsid w:val="00405866"/>
    <w:rsid w:val="00413BF9"/>
    <w:rsid w:val="00416A01"/>
    <w:rsid w:val="00420E4A"/>
    <w:rsid w:val="004319C4"/>
    <w:rsid w:val="004355C8"/>
    <w:rsid w:val="00436895"/>
    <w:rsid w:val="00440568"/>
    <w:rsid w:val="00441900"/>
    <w:rsid w:val="0044327B"/>
    <w:rsid w:val="00451069"/>
    <w:rsid w:val="00451FC7"/>
    <w:rsid w:val="00460EEE"/>
    <w:rsid w:val="00461E48"/>
    <w:rsid w:val="00465D50"/>
    <w:rsid w:val="00471863"/>
    <w:rsid w:val="00472F67"/>
    <w:rsid w:val="00480229"/>
    <w:rsid w:val="0048681D"/>
    <w:rsid w:val="00486B4A"/>
    <w:rsid w:val="00491586"/>
    <w:rsid w:val="004A1901"/>
    <w:rsid w:val="004B0798"/>
    <w:rsid w:val="004C15B7"/>
    <w:rsid w:val="004C488B"/>
    <w:rsid w:val="004C6436"/>
    <w:rsid w:val="004C79A7"/>
    <w:rsid w:val="004D108B"/>
    <w:rsid w:val="004D1152"/>
    <w:rsid w:val="004E4BAF"/>
    <w:rsid w:val="004F76EF"/>
    <w:rsid w:val="00502FB6"/>
    <w:rsid w:val="00511111"/>
    <w:rsid w:val="005123F3"/>
    <w:rsid w:val="00512FF1"/>
    <w:rsid w:val="0051685A"/>
    <w:rsid w:val="00516F47"/>
    <w:rsid w:val="005233BF"/>
    <w:rsid w:val="00531EB3"/>
    <w:rsid w:val="00537C9D"/>
    <w:rsid w:val="00541009"/>
    <w:rsid w:val="005430F6"/>
    <w:rsid w:val="00543CC1"/>
    <w:rsid w:val="00550A9D"/>
    <w:rsid w:val="00555198"/>
    <w:rsid w:val="005570CD"/>
    <w:rsid w:val="0056196B"/>
    <w:rsid w:val="005642F6"/>
    <w:rsid w:val="00573CE5"/>
    <w:rsid w:val="0057429D"/>
    <w:rsid w:val="00577B68"/>
    <w:rsid w:val="00583DE0"/>
    <w:rsid w:val="00587032"/>
    <w:rsid w:val="00587BC4"/>
    <w:rsid w:val="00591085"/>
    <w:rsid w:val="005963F5"/>
    <w:rsid w:val="00596BC4"/>
    <w:rsid w:val="005B1234"/>
    <w:rsid w:val="005B28E0"/>
    <w:rsid w:val="005B3C74"/>
    <w:rsid w:val="005C65D9"/>
    <w:rsid w:val="005C7A5A"/>
    <w:rsid w:val="005D4E32"/>
    <w:rsid w:val="005E48E7"/>
    <w:rsid w:val="005E502E"/>
    <w:rsid w:val="005F26D6"/>
    <w:rsid w:val="005F5A54"/>
    <w:rsid w:val="00610CD0"/>
    <w:rsid w:val="0062037C"/>
    <w:rsid w:val="00620807"/>
    <w:rsid w:val="006238B0"/>
    <w:rsid w:val="0063548C"/>
    <w:rsid w:val="006369EA"/>
    <w:rsid w:val="00637987"/>
    <w:rsid w:val="006432D7"/>
    <w:rsid w:val="006460CC"/>
    <w:rsid w:val="006500EB"/>
    <w:rsid w:val="006534D1"/>
    <w:rsid w:val="00660983"/>
    <w:rsid w:val="0066371C"/>
    <w:rsid w:val="00664547"/>
    <w:rsid w:val="00664D65"/>
    <w:rsid w:val="00671758"/>
    <w:rsid w:val="00672863"/>
    <w:rsid w:val="0068034E"/>
    <w:rsid w:val="0068179B"/>
    <w:rsid w:val="00687FAC"/>
    <w:rsid w:val="006930B1"/>
    <w:rsid w:val="006933D5"/>
    <w:rsid w:val="0069400F"/>
    <w:rsid w:val="006A1E3E"/>
    <w:rsid w:val="006A7557"/>
    <w:rsid w:val="006B02ED"/>
    <w:rsid w:val="006C0D4B"/>
    <w:rsid w:val="006C0F61"/>
    <w:rsid w:val="006C720C"/>
    <w:rsid w:val="006D4C74"/>
    <w:rsid w:val="006D5C8C"/>
    <w:rsid w:val="006D664A"/>
    <w:rsid w:val="006E098A"/>
    <w:rsid w:val="006F0DE2"/>
    <w:rsid w:val="006F3191"/>
    <w:rsid w:val="006F63A6"/>
    <w:rsid w:val="00700CBB"/>
    <w:rsid w:val="00703225"/>
    <w:rsid w:val="0070335F"/>
    <w:rsid w:val="0070652D"/>
    <w:rsid w:val="00707B90"/>
    <w:rsid w:val="0071045F"/>
    <w:rsid w:val="007119B3"/>
    <w:rsid w:val="007247A6"/>
    <w:rsid w:val="00730FBA"/>
    <w:rsid w:val="00732516"/>
    <w:rsid w:val="00732B8B"/>
    <w:rsid w:val="007341BE"/>
    <w:rsid w:val="007351DD"/>
    <w:rsid w:val="00737BE1"/>
    <w:rsid w:val="00741479"/>
    <w:rsid w:val="00753869"/>
    <w:rsid w:val="00774F9F"/>
    <w:rsid w:val="00775526"/>
    <w:rsid w:val="007756DA"/>
    <w:rsid w:val="00775737"/>
    <w:rsid w:val="007812AB"/>
    <w:rsid w:val="00781C92"/>
    <w:rsid w:val="007858A4"/>
    <w:rsid w:val="00785D77"/>
    <w:rsid w:val="00790652"/>
    <w:rsid w:val="00791C20"/>
    <w:rsid w:val="00792422"/>
    <w:rsid w:val="007938B5"/>
    <w:rsid w:val="00794B27"/>
    <w:rsid w:val="007A1AD4"/>
    <w:rsid w:val="007A2BE3"/>
    <w:rsid w:val="007A3F4A"/>
    <w:rsid w:val="007B1852"/>
    <w:rsid w:val="007C210D"/>
    <w:rsid w:val="007C7E5A"/>
    <w:rsid w:val="007D7513"/>
    <w:rsid w:val="007E6F1F"/>
    <w:rsid w:val="007F0311"/>
    <w:rsid w:val="007F44F0"/>
    <w:rsid w:val="007F6F75"/>
    <w:rsid w:val="0080196B"/>
    <w:rsid w:val="0080443B"/>
    <w:rsid w:val="00807375"/>
    <w:rsid w:val="0081367B"/>
    <w:rsid w:val="0081558E"/>
    <w:rsid w:val="0081608F"/>
    <w:rsid w:val="008170CE"/>
    <w:rsid w:val="008265A8"/>
    <w:rsid w:val="00826E51"/>
    <w:rsid w:val="00835C2B"/>
    <w:rsid w:val="00836CF1"/>
    <w:rsid w:val="008510A6"/>
    <w:rsid w:val="00853959"/>
    <w:rsid w:val="008546CD"/>
    <w:rsid w:val="00854967"/>
    <w:rsid w:val="00855F2A"/>
    <w:rsid w:val="008576B5"/>
    <w:rsid w:val="0086557C"/>
    <w:rsid w:val="008779B9"/>
    <w:rsid w:val="00881313"/>
    <w:rsid w:val="008821DE"/>
    <w:rsid w:val="00882E55"/>
    <w:rsid w:val="00883F3A"/>
    <w:rsid w:val="00884320"/>
    <w:rsid w:val="00885EA9"/>
    <w:rsid w:val="00886A2F"/>
    <w:rsid w:val="00896C6A"/>
    <w:rsid w:val="008A06B4"/>
    <w:rsid w:val="008A2D9B"/>
    <w:rsid w:val="008A48CF"/>
    <w:rsid w:val="008B49FC"/>
    <w:rsid w:val="008B5781"/>
    <w:rsid w:val="008C110D"/>
    <w:rsid w:val="008D7A40"/>
    <w:rsid w:val="008E269D"/>
    <w:rsid w:val="008E5A9B"/>
    <w:rsid w:val="008F223A"/>
    <w:rsid w:val="008F5B9E"/>
    <w:rsid w:val="008F5D09"/>
    <w:rsid w:val="008F627D"/>
    <w:rsid w:val="008F6502"/>
    <w:rsid w:val="00903BF4"/>
    <w:rsid w:val="00906809"/>
    <w:rsid w:val="00912074"/>
    <w:rsid w:val="009127F2"/>
    <w:rsid w:val="009158B1"/>
    <w:rsid w:val="00916CE4"/>
    <w:rsid w:val="00924014"/>
    <w:rsid w:val="0093107D"/>
    <w:rsid w:val="00936664"/>
    <w:rsid w:val="009367B5"/>
    <w:rsid w:val="0093703C"/>
    <w:rsid w:val="00941094"/>
    <w:rsid w:val="0094135B"/>
    <w:rsid w:val="00946BDD"/>
    <w:rsid w:val="00946DA7"/>
    <w:rsid w:val="00953CFC"/>
    <w:rsid w:val="009651A1"/>
    <w:rsid w:val="00971EEF"/>
    <w:rsid w:val="00977A93"/>
    <w:rsid w:val="00980B58"/>
    <w:rsid w:val="0098659F"/>
    <w:rsid w:val="00987D90"/>
    <w:rsid w:val="00990932"/>
    <w:rsid w:val="009A19E6"/>
    <w:rsid w:val="009B0304"/>
    <w:rsid w:val="009B3D89"/>
    <w:rsid w:val="009C0755"/>
    <w:rsid w:val="009C3AC5"/>
    <w:rsid w:val="009C5404"/>
    <w:rsid w:val="009C769B"/>
    <w:rsid w:val="009C7CD2"/>
    <w:rsid w:val="009D1CBD"/>
    <w:rsid w:val="009D4494"/>
    <w:rsid w:val="009E058B"/>
    <w:rsid w:val="009E0EBD"/>
    <w:rsid w:val="009F236E"/>
    <w:rsid w:val="009F2964"/>
    <w:rsid w:val="009F5E57"/>
    <w:rsid w:val="00A0255C"/>
    <w:rsid w:val="00A04980"/>
    <w:rsid w:val="00A07C84"/>
    <w:rsid w:val="00A12F6A"/>
    <w:rsid w:val="00A300DF"/>
    <w:rsid w:val="00A30F1A"/>
    <w:rsid w:val="00A33EAB"/>
    <w:rsid w:val="00A3483C"/>
    <w:rsid w:val="00A37734"/>
    <w:rsid w:val="00A37E35"/>
    <w:rsid w:val="00A37F1A"/>
    <w:rsid w:val="00A4326B"/>
    <w:rsid w:val="00A52AB3"/>
    <w:rsid w:val="00A53D4F"/>
    <w:rsid w:val="00A669D2"/>
    <w:rsid w:val="00A72084"/>
    <w:rsid w:val="00A72ACC"/>
    <w:rsid w:val="00AA013A"/>
    <w:rsid w:val="00AA2522"/>
    <w:rsid w:val="00AB1D28"/>
    <w:rsid w:val="00AB34C1"/>
    <w:rsid w:val="00AB65E6"/>
    <w:rsid w:val="00AB7E87"/>
    <w:rsid w:val="00AC49EC"/>
    <w:rsid w:val="00AD0DD3"/>
    <w:rsid w:val="00AF0E42"/>
    <w:rsid w:val="00AF5F6A"/>
    <w:rsid w:val="00B03E08"/>
    <w:rsid w:val="00B059C5"/>
    <w:rsid w:val="00B075C3"/>
    <w:rsid w:val="00B1797F"/>
    <w:rsid w:val="00B207A8"/>
    <w:rsid w:val="00B224A2"/>
    <w:rsid w:val="00B251F5"/>
    <w:rsid w:val="00B26282"/>
    <w:rsid w:val="00B2657E"/>
    <w:rsid w:val="00B274B4"/>
    <w:rsid w:val="00B339F2"/>
    <w:rsid w:val="00B40365"/>
    <w:rsid w:val="00B42D21"/>
    <w:rsid w:val="00B44F52"/>
    <w:rsid w:val="00B454B1"/>
    <w:rsid w:val="00B5133E"/>
    <w:rsid w:val="00B53F3D"/>
    <w:rsid w:val="00B54016"/>
    <w:rsid w:val="00B54A31"/>
    <w:rsid w:val="00B63ADD"/>
    <w:rsid w:val="00B67520"/>
    <w:rsid w:val="00B67EC6"/>
    <w:rsid w:val="00B7072C"/>
    <w:rsid w:val="00B71382"/>
    <w:rsid w:val="00B72EF7"/>
    <w:rsid w:val="00B734DB"/>
    <w:rsid w:val="00B77194"/>
    <w:rsid w:val="00B77E6E"/>
    <w:rsid w:val="00B77EA7"/>
    <w:rsid w:val="00B80034"/>
    <w:rsid w:val="00B805BC"/>
    <w:rsid w:val="00B81AB7"/>
    <w:rsid w:val="00B86A10"/>
    <w:rsid w:val="00B904D7"/>
    <w:rsid w:val="00B91983"/>
    <w:rsid w:val="00B92D86"/>
    <w:rsid w:val="00B95829"/>
    <w:rsid w:val="00BA7427"/>
    <w:rsid w:val="00BB260E"/>
    <w:rsid w:val="00BB42C6"/>
    <w:rsid w:val="00BB6A88"/>
    <w:rsid w:val="00BC2066"/>
    <w:rsid w:val="00BC402F"/>
    <w:rsid w:val="00BC76A4"/>
    <w:rsid w:val="00BD1A7C"/>
    <w:rsid w:val="00BD365C"/>
    <w:rsid w:val="00BD6636"/>
    <w:rsid w:val="00BF01FD"/>
    <w:rsid w:val="00BF243B"/>
    <w:rsid w:val="00C00361"/>
    <w:rsid w:val="00C047D7"/>
    <w:rsid w:val="00C05BD3"/>
    <w:rsid w:val="00C16996"/>
    <w:rsid w:val="00C1747E"/>
    <w:rsid w:val="00C20E41"/>
    <w:rsid w:val="00C2643B"/>
    <w:rsid w:val="00C405AB"/>
    <w:rsid w:val="00C44E6A"/>
    <w:rsid w:val="00C465E5"/>
    <w:rsid w:val="00C46F49"/>
    <w:rsid w:val="00C501FF"/>
    <w:rsid w:val="00C50D1D"/>
    <w:rsid w:val="00C51BA9"/>
    <w:rsid w:val="00C52EEA"/>
    <w:rsid w:val="00C54602"/>
    <w:rsid w:val="00C6386F"/>
    <w:rsid w:val="00C67796"/>
    <w:rsid w:val="00C75088"/>
    <w:rsid w:val="00C823B8"/>
    <w:rsid w:val="00C85CC9"/>
    <w:rsid w:val="00CA0555"/>
    <w:rsid w:val="00CA1D06"/>
    <w:rsid w:val="00CA4767"/>
    <w:rsid w:val="00CB1DA7"/>
    <w:rsid w:val="00CB54CF"/>
    <w:rsid w:val="00CC2D40"/>
    <w:rsid w:val="00CD171F"/>
    <w:rsid w:val="00CD2927"/>
    <w:rsid w:val="00CD598E"/>
    <w:rsid w:val="00CE7B67"/>
    <w:rsid w:val="00CF3299"/>
    <w:rsid w:val="00CF6709"/>
    <w:rsid w:val="00D03672"/>
    <w:rsid w:val="00D03C13"/>
    <w:rsid w:val="00D047B1"/>
    <w:rsid w:val="00D1443F"/>
    <w:rsid w:val="00D17F7E"/>
    <w:rsid w:val="00D34CCF"/>
    <w:rsid w:val="00D361C6"/>
    <w:rsid w:val="00D42503"/>
    <w:rsid w:val="00D45A3E"/>
    <w:rsid w:val="00D45B88"/>
    <w:rsid w:val="00D51692"/>
    <w:rsid w:val="00D52CA1"/>
    <w:rsid w:val="00D64664"/>
    <w:rsid w:val="00D64F82"/>
    <w:rsid w:val="00D65E57"/>
    <w:rsid w:val="00D71B67"/>
    <w:rsid w:val="00D71E71"/>
    <w:rsid w:val="00D72299"/>
    <w:rsid w:val="00D72483"/>
    <w:rsid w:val="00D734BD"/>
    <w:rsid w:val="00D841A2"/>
    <w:rsid w:val="00D92173"/>
    <w:rsid w:val="00D92B61"/>
    <w:rsid w:val="00D93D1C"/>
    <w:rsid w:val="00D94E19"/>
    <w:rsid w:val="00D96D51"/>
    <w:rsid w:val="00DA3E69"/>
    <w:rsid w:val="00DA673C"/>
    <w:rsid w:val="00DB4229"/>
    <w:rsid w:val="00DB4649"/>
    <w:rsid w:val="00DC2762"/>
    <w:rsid w:val="00DC42C8"/>
    <w:rsid w:val="00DD1A04"/>
    <w:rsid w:val="00DD2B95"/>
    <w:rsid w:val="00DD2CD1"/>
    <w:rsid w:val="00DE2933"/>
    <w:rsid w:val="00DE4776"/>
    <w:rsid w:val="00DE6440"/>
    <w:rsid w:val="00DE669E"/>
    <w:rsid w:val="00DE7984"/>
    <w:rsid w:val="00DF5DA7"/>
    <w:rsid w:val="00E0249A"/>
    <w:rsid w:val="00E0692C"/>
    <w:rsid w:val="00E06BF5"/>
    <w:rsid w:val="00E156B6"/>
    <w:rsid w:val="00E20339"/>
    <w:rsid w:val="00E343C1"/>
    <w:rsid w:val="00E34585"/>
    <w:rsid w:val="00E350AC"/>
    <w:rsid w:val="00E370DD"/>
    <w:rsid w:val="00E42C9F"/>
    <w:rsid w:val="00E43797"/>
    <w:rsid w:val="00E53EF0"/>
    <w:rsid w:val="00E53F4D"/>
    <w:rsid w:val="00E54516"/>
    <w:rsid w:val="00E5461B"/>
    <w:rsid w:val="00E60728"/>
    <w:rsid w:val="00E61DF2"/>
    <w:rsid w:val="00E62B8F"/>
    <w:rsid w:val="00E70056"/>
    <w:rsid w:val="00E71431"/>
    <w:rsid w:val="00E73745"/>
    <w:rsid w:val="00E76FDE"/>
    <w:rsid w:val="00E7779B"/>
    <w:rsid w:val="00E81887"/>
    <w:rsid w:val="00E82925"/>
    <w:rsid w:val="00E853D9"/>
    <w:rsid w:val="00E87656"/>
    <w:rsid w:val="00E947D0"/>
    <w:rsid w:val="00EA3AAB"/>
    <w:rsid w:val="00EA50FB"/>
    <w:rsid w:val="00EA5649"/>
    <w:rsid w:val="00EA6BDD"/>
    <w:rsid w:val="00EB01D9"/>
    <w:rsid w:val="00EB0B92"/>
    <w:rsid w:val="00EB3406"/>
    <w:rsid w:val="00EB6AC2"/>
    <w:rsid w:val="00EB6B8A"/>
    <w:rsid w:val="00EC0991"/>
    <w:rsid w:val="00EC43AD"/>
    <w:rsid w:val="00EC4D7B"/>
    <w:rsid w:val="00EC54DB"/>
    <w:rsid w:val="00ED28C8"/>
    <w:rsid w:val="00ED3980"/>
    <w:rsid w:val="00ED3FE2"/>
    <w:rsid w:val="00ED7305"/>
    <w:rsid w:val="00EE0E46"/>
    <w:rsid w:val="00EE3779"/>
    <w:rsid w:val="00EE3EFA"/>
    <w:rsid w:val="00EE592C"/>
    <w:rsid w:val="00EF2447"/>
    <w:rsid w:val="00EF71BA"/>
    <w:rsid w:val="00F01FBB"/>
    <w:rsid w:val="00F1695D"/>
    <w:rsid w:val="00F2082A"/>
    <w:rsid w:val="00F20B2A"/>
    <w:rsid w:val="00F24F3C"/>
    <w:rsid w:val="00F27B0C"/>
    <w:rsid w:val="00F34B54"/>
    <w:rsid w:val="00F40C6B"/>
    <w:rsid w:val="00F4117D"/>
    <w:rsid w:val="00F41630"/>
    <w:rsid w:val="00F4465C"/>
    <w:rsid w:val="00F5148B"/>
    <w:rsid w:val="00F515C2"/>
    <w:rsid w:val="00F55151"/>
    <w:rsid w:val="00F633C4"/>
    <w:rsid w:val="00F71979"/>
    <w:rsid w:val="00F7692E"/>
    <w:rsid w:val="00F77D7F"/>
    <w:rsid w:val="00F854C8"/>
    <w:rsid w:val="00F87FC5"/>
    <w:rsid w:val="00F932CB"/>
    <w:rsid w:val="00FA08CD"/>
    <w:rsid w:val="00FA6A31"/>
    <w:rsid w:val="00FC0234"/>
    <w:rsid w:val="00FC1ECA"/>
    <w:rsid w:val="00FC52BC"/>
    <w:rsid w:val="00FD32CD"/>
    <w:rsid w:val="00FD6861"/>
    <w:rsid w:val="00FE154F"/>
    <w:rsid w:val="00FE4D4D"/>
    <w:rsid w:val="00FF1126"/>
    <w:rsid w:val="00FF33A3"/>
    <w:rsid w:val="00FF49BB"/>
    <w:rsid w:val="00FF53A5"/>
    <w:rsid w:val="00FF77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20044"/>
  <w15:docId w15:val="{099A07EE-2B48-4990-854C-82DAC892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62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B8F"/>
    <w:rPr>
      <w:rFonts w:ascii="Segoe UI" w:eastAsia="Arial" w:hAnsi="Segoe UI" w:cs="Segoe UI"/>
      <w:sz w:val="18"/>
      <w:szCs w:val="18"/>
    </w:rPr>
  </w:style>
  <w:style w:type="character" w:styleId="CommentReference">
    <w:name w:val="annotation reference"/>
    <w:basedOn w:val="DefaultParagraphFont"/>
    <w:uiPriority w:val="99"/>
    <w:semiHidden/>
    <w:unhideWhenUsed/>
    <w:rsid w:val="00946BDD"/>
    <w:rPr>
      <w:sz w:val="16"/>
      <w:szCs w:val="16"/>
    </w:rPr>
  </w:style>
  <w:style w:type="paragraph" w:styleId="CommentText">
    <w:name w:val="annotation text"/>
    <w:basedOn w:val="Normal"/>
    <w:link w:val="CommentTextChar"/>
    <w:uiPriority w:val="99"/>
    <w:unhideWhenUsed/>
    <w:rsid w:val="00946BDD"/>
    <w:rPr>
      <w:sz w:val="20"/>
      <w:szCs w:val="20"/>
    </w:rPr>
  </w:style>
  <w:style w:type="character" w:customStyle="1" w:styleId="CommentTextChar">
    <w:name w:val="Comment Text Char"/>
    <w:basedOn w:val="DefaultParagraphFont"/>
    <w:link w:val="CommentText"/>
    <w:uiPriority w:val="99"/>
    <w:rsid w:val="00946BD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46BDD"/>
    <w:rPr>
      <w:b/>
      <w:bCs/>
    </w:rPr>
  </w:style>
  <w:style w:type="character" w:customStyle="1" w:styleId="CommentSubjectChar">
    <w:name w:val="Comment Subject Char"/>
    <w:basedOn w:val="CommentTextChar"/>
    <w:link w:val="CommentSubject"/>
    <w:uiPriority w:val="99"/>
    <w:semiHidden/>
    <w:rsid w:val="00946BDD"/>
    <w:rPr>
      <w:rFonts w:ascii="Arial" w:eastAsia="Arial" w:hAnsi="Arial" w:cs="Arial"/>
      <w:b/>
      <w:bCs/>
      <w:sz w:val="20"/>
      <w:szCs w:val="20"/>
    </w:rPr>
  </w:style>
  <w:style w:type="paragraph" w:styleId="Header">
    <w:name w:val="header"/>
    <w:basedOn w:val="Normal"/>
    <w:link w:val="HeaderChar"/>
    <w:uiPriority w:val="99"/>
    <w:unhideWhenUsed/>
    <w:rsid w:val="000D5F51"/>
    <w:pPr>
      <w:tabs>
        <w:tab w:val="center" w:pos="4680"/>
        <w:tab w:val="right" w:pos="9360"/>
      </w:tabs>
    </w:pPr>
  </w:style>
  <w:style w:type="character" w:customStyle="1" w:styleId="HeaderChar">
    <w:name w:val="Header Char"/>
    <w:basedOn w:val="DefaultParagraphFont"/>
    <w:link w:val="Header"/>
    <w:uiPriority w:val="99"/>
    <w:rsid w:val="000D5F51"/>
    <w:rPr>
      <w:rFonts w:ascii="Arial" w:eastAsia="Arial" w:hAnsi="Arial" w:cs="Arial"/>
    </w:rPr>
  </w:style>
  <w:style w:type="paragraph" w:styleId="Footer">
    <w:name w:val="footer"/>
    <w:basedOn w:val="Normal"/>
    <w:link w:val="FooterChar"/>
    <w:uiPriority w:val="99"/>
    <w:unhideWhenUsed/>
    <w:rsid w:val="000D5F51"/>
    <w:pPr>
      <w:tabs>
        <w:tab w:val="center" w:pos="4680"/>
        <w:tab w:val="right" w:pos="9360"/>
      </w:tabs>
    </w:pPr>
  </w:style>
  <w:style w:type="character" w:customStyle="1" w:styleId="FooterChar">
    <w:name w:val="Footer Char"/>
    <w:basedOn w:val="DefaultParagraphFont"/>
    <w:link w:val="Footer"/>
    <w:uiPriority w:val="99"/>
    <w:rsid w:val="000D5F51"/>
    <w:rPr>
      <w:rFonts w:ascii="Arial" w:eastAsia="Arial" w:hAnsi="Arial" w:cs="Arial"/>
    </w:rPr>
  </w:style>
  <w:style w:type="paragraph" w:styleId="Revision">
    <w:name w:val="Revision"/>
    <w:hidden/>
    <w:uiPriority w:val="99"/>
    <w:semiHidden/>
    <w:rsid w:val="00DD2B95"/>
    <w:pPr>
      <w:widowControl/>
      <w:autoSpaceDE/>
      <w:autoSpaceDN/>
    </w:pPr>
    <w:rPr>
      <w:rFonts w:ascii="Arial" w:eastAsia="Arial" w:hAnsi="Arial" w:cs="Arial"/>
    </w:rPr>
  </w:style>
  <w:style w:type="character" w:customStyle="1" w:styleId="normaltextrun">
    <w:name w:val="normaltextrun"/>
    <w:basedOn w:val="DefaultParagraphFont"/>
    <w:rsid w:val="00491586"/>
  </w:style>
  <w:style w:type="paragraph" w:styleId="FootnoteText">
    <w:name w:val="footnote text"/>
    <w:basedOn w:val="Normal"/>
    <w:link w:val="FootnoteTextChar"/>
    <w:uiPriority w:val="99"/>
    <w:semiHidden/>
    <w:unhideWhenUsed/>
    <w:rsid w:val="000C2CC2"/>
    <w:rPr>
      <w:sz w:val="20"/>
      <w:szCs w:val="20"/>
    </w:rPr>
  </w:style>
  <w:style w:type="character" w:customStyle="1" w:styleId="FootnoteTextChar">
    <w:name w:val="Footnote Text Char"/>
    <w:basedOn w:val="DefaultParagraphFont"/>
    <w:link w:val="FootnoteText"/>
    <w:uiPriority w:val="99"/>
    <w:semiHidden/>
    <w:rsid w:val="000C2CC2"/>
    <w:rPr>
      <w:rFonts w:ascii="Arial" w:eastAsia="Arial" w:hAnsi="Arial" w:cs="Arial"/>
      <w:sz w:val="20"/>
      <w:szCs w:val="20"/>
    </w:rPr>
  </w:style>
  <w:style w:type="character" w:styleId="FootnoteReference">
    <w:name w:val="footnote reference"/>
    <w:basedOn w:val="DefaultParagraphFont"/>
    <w:uiPriority w:val="99"/>
    <w:semiHidden/>
    <w:unhideWhenUsed/>
    <w:rsid w:val="000C2CC2"/>
    <w:rPr>
      <w:vertAlign w:val="superscript"/>
    </w:rPr>
  </w:style>
  <w:style w:type="character" w:styleId="Hyperlink">
    <w:name w:val="Hyperlink"/>
    <w:basedOn w:val="DefaultParagraphFont"/>
    <w:uiPriority w:val="99"/>
    <w:unhideWhenUsed/>
    <w:rsid w:val="000C2CC2"/>
    <w:rPr>
      <w:color w:val="0000FF" w:themeColor="hyperlink"/>
      <w:u w:val="single"/>
    </w:rPr>
  </w:style>
  <w:style w:type="character" w:styleId="UnresolvedMention">
    <w:name w:val="Unresolved Mention"/>
    <w:basedOn w:val="DefaultParagraphFont"/>
    <w:uiPriority w:val="99"/>
    <w:semiHidden/>
    <w:unhideWhenUsed/>
    <w:rsid w:val="000C2CC2"/>
    <w:rPr>
      <w:color w:val="605E5C"/>
      <w:shd w:val="clear" w:color="auto" w:fill="E1DFDD"/>
    </w:rPr>
  </w:style>
  <w:style w:type="character" w:styleId="FollowedHyperlink">
    <w:name w:val="FollowedHyperlink"/>
    <w:basedOn w:val="DefaultParagraphFont"/>
    <w:uiPriority w:val="99"/>
    <w:semiHidden/>
    <w:unhideWhenUsed/>
    <w:rsid w:val="003A4D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GLTS.Resource@nr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DJXZ7D336C7E-259460999-4333</_dlc_DocId>
    <_dlc_DocIdUrl xmlns="b3a34a53-9a19-47a4-8acc-4e423288e9ad">
      <Url>https://usnrc.sharepoint.com/teams/OCIO-Information-Collections-Site/_layouts/15/DocIdRedir.aspx?ID=DJXZ7D336C7E-259460999-4333</Url>
      <Description>DJXZ7D336C7E-259460999-4333</Description>
    </_dlc_DocIdUrl>
  </documentManagement>
</p:properties>
</file>

<file path=customXml/itemProps1.xml><?xml version="1.0" encoding="utf-8"?>
<ds:datastoreItem xmlns:ds="http://schemas.openxmlformats.org/officeDocument/2006/customXml" ds:itemID="{B26FE1B0-6AE8-4AE4-988C-F09043C38647}">
  <ds:schemaRefs>
    <ds:schemaRef ds:uri="http://schemas.microsoft.com/sharepoint/events"/>
  </ds:schemaRefs>
</ds:datastoreItem>
</file>

<file path=customXml/itemProps2.xml><?xml version="1.0" encoding="utf-8"?>
<ds:datastoreItem xmlns:ds="http://schemas.openxmlformats.org/officeDocument/2006/customXml" ds:itemID="{3B3DFAF5-6C38-4EA2-9B7F-666BB83470DA}">
  <ds:schemaRefs>
    <ds:schemaRef ds:uri="http://schemas.openxmlformats.org/officeDocument/2006/bibliography"/>
  </ds:schemaRefs>
</ds:datastoreItem>
</file>

<file path=customXml/itemProps3.xml><?xml version="1.0" encoding="utf-8"?>
<ds:datastoreItem xmlns:ds="http://schemas.openxmlformats.org/officeDocument/2006/customXml" ds:itemID="{B99377AD-35AC-4782-82A0-AA356D0D0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A5FCC-85B3-4C16-8987-E04188CE5D8A}">
  <ds:schemaRefs>
    <ds:schemaRef ds:uri="http://schemas.microsoft.com/sharepoint/v3/contenttype/forms"/>
  </ds:schemaRefs>
</ds:datastoreItem>
</file>

<file path=customXml/itemProps5.xml><?xml version="1.0" encoding="utf-8"?>
<ds:datastoreItem xmlns:ds="http://schemas.openxmlformats.org/officeDocument/2006/customXml" ds:itemID="{F85E11FB-AB14-41B5-B37A-1BA15BB1DBED}">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Brockington, Tamyra</dc:creator>
  <cp:lastModifiedBy>David Cullison</cp:lastModifiedBy>
  <cp:revision>3</cp:revision>
  <dcterms:created xsi:type="dcterms:W3CDTF">2025-11-26T14:07:00Z</dcterms:created>
  <dcterms:modified xsi:type="dcterms:W3CDTF">2025-11-26T14:08:00Z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Created">
    <vt:filetime>2019-02-06T00:00:00Z</vt:filetime>
  </property>
  <property fmtid="{D5CDD505-2E9C-101B-9397-08002B2CF9AE}" pid="4" name="Creator">
    <vt:lpwstr>PScript5.dll Version 5.2.2</vt:lpwstr>
  </property>
  <property fmtid="{D5CDD505-2E9C-101B-9397-08002B2CF9AE}" pid="5" name="LastSaved">
    <vt:filetime>2019-02-15T00:00:00Z</vt:filetime>
  </property>
  <property fmtid="{D5CDD505-2E9C-101B-9397-08002B2CF9AE}" pid="6" name="MediaServiceImageTags">
    <vt:lpwstr/>
  </property>
  <property fmtid="{D5CDD505-2E9C-101B-9397-08002B2CF9AE}" pid="7" name="_dlc_DocIdItemGuid">
    <vt:lpwstr>d8563004-9f96-4b3f-bee8-40eb0d38189e</vt:lpwstr>
  </property>
</Properties>
</file>