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53CD" w:rsidP="00BC5298" w14:paraId="1B76B9A5" w14:textId="77777777">
      <w:pPr>
        <w:jc w:val="center"/>
      </w:pPr>
    </w:p>
    <w:p w:rsidR="006B679F" w:rsidRPr="00B43425" w:rsidP="006B679F" w14:paraId="07DA4220" w14:textId="77777777">
      <w:pPr>
        <w:pStyle w:val="Title"/>
        <w:rPr>
          <w:rStyle w:val="Hyperlink"/>
          <w:sz w:val="32"/>
          <w:szCs w:val="32"/>
        </w:rPr>
      </w:pPr>
      <w:r w:rsidRPr="00B43425">
        <w:rPr>
          <w:sz w:val="32"/>
          <w:szCs w:val="32"/>
        </w:rPr>
        <w:fldChar w:fldCharType="begin"/>
      </w:r>
      <w:r w:rsidRPr="00B43425">
        <w:rPr>
          <w:sz w:val="32"/>
          <w:szCs w:val="32"/>
        </w:rPr>
        <w:instrText>HYPERLINK "https://pra.digital.gov/uploads/supporting-statement-a-instructions.pdf"</w:instrText>
      </w:r>
      <w:r w:rsidRPr="00B43425">
        <w:rPr>
          <w:sz w:val="32"/>
          <w:szCs w:val="32"/>
        </w:rPr>
        <w:fldChar w:fldCharType="separate"/>
      </w:r>
      <w:r w:rsidRPr="00B43425">
        <w:rPr>
          <w:rStyle w:val="Hyperlink"/>
          <w:sz w:val="32"/>
          <w:szCs w:val="32"/>
        </w:rPr>
        <w:t>SUPPORTING STATEMENT</w:t>
      </w:r>
    </w:p>
    <w:p w:rsidR="006B679F" w:rsidP="006B679F" w14:paraId="5B27786D" w14:textId="77777777">
      <w:pPr>
        <w:jc w:val="center"/>
      </w:pPr>
      <w:r w:rsidRPr="00B43425">
        <w:rPr>
          <w:rStyle w:val="Hyperlink"/>
          <w:sz w:val="32"/>
          <w:szCs w:val="32"/>
        </w:rPr>
        <w:t>FOR PAPERWORK REDUCTION ACT SUBMISSION</w:t>
      </w:r>
      <w:r w:rsidRPr="00B43425">
        <w:rPr>
          <w:b/>
          <w:bCs/>
          <w:sz w:val="32"/>
          <w:szCs w:val="32"/>
        </w:rPr>
        <w:fldChar w:fldCharType="end"/>
      </w:r>
      <w:r>
        <w:rPr>
          <w:b/>
          <w:bCs/>
          <w:sz w:val="32"/>
          <w:szCs w:val="32"/>
        </w:rPr>
        <w:br/>
      </w:r>
    </w:p>
    <w:p w:rsidR="00BC5298" w14:paraId="48475FA6" w14:textId="77777777"/>
    <w:p w:rsidR="0028370D" w:rsidRPr="006B679F" w:rsidP="008972BA" w14:paraId="35860B0C" w14:textId="4B8F61D1">
      <w:pPr>
        <w:rPr>
          <w:i/>
          <w:iCs/>
        </w:rPr>
      </w:pPr>
      <w:r w:rsidRPr="006B679F">
        <w:rPr>
          <w:i/>
          <w:iCs/>
        </w:rPr>
        <w:t xml:space="preserve">RI </w:t>
      </w:r>
      <w:r w:rsidRPr="006B679F" w:rsidR="007D7380">
        <w:rPr>
          <w:i/>
          <w:iCs/>
        </w:rPr>
        <w:t>20</w:t>
      </w:r>
      <w:r w:rsidRPr="006B679F">
        <w:rPr>
          <w:i/>
          <w:iCs/>
        </w:rPr>
        <w:t>-</w:t>
      </w:r>
      <w:r w:rsidRPr="006B679F" w:rsidR="007D7380">
        <w:rPr>
          <w:i/>
          <w:iCs/>
        </w:rPr>
        <w:t>126</w:t>
      </w:r>
      <w:r w:rsidRPr="006B679F">
        <w:rPr>
          <w:i/>
          <w:iCs/>
        </w:rPr>
        <w:t xml:space="preserve"> </w:t>
      </w:r>
      <w:r w:rsidRPr="006B679F" w:rsidR="003D03B5">
        <w:rPr>
          <w:i/>
          <w:iCs/>
        </w:rPr>
        <w:t>–</w:t>
      </w:r>
      <w:r w:rsidRPr="006B679F">
        <w:rPr>
          <w:i/>
          <w:iCs/>
        </w:rPr>
        <w:t xml:space="preserve"> </w:t>
      </w:r>
      <w:r w:rsidRPr="006B679F" w:rsidR="00596417">
        <w:rPr>
          <w:i/>
          <w:iCs/>
        </w:rPr>
        <w:t>Certification of Qualifying District of Columbia Service Under Section 1905 of Public Law 111-84</w:t>
      </w:r>
    </w:p>
    <w:p w:rsidR="003D03B5" w:rsidP="008972BA" w14:paraId="627EC1DA" w14:textId="33DFBC43"/>
    <w:p w:rsidR="00BC5298" w:rsidP="00811930" w14:paraId="4E3A3DC2" w14:textId="77777777">
      <w:pPr>
        <w:numPr>
          <w:ilvl w:val="0"/>
          <w:numId w:val="2"/>
        </w:numPr>
        <w:rPr>
          <w:u w:val="single"/>
        </w:rPr>
      </w:pPr>
      <w:r w:rsidRPr="00BC5298">
        <w:rPr>
          <w:u w:val="single"/>
        </w:rPr>
        <w:t>Justification</w:t>
      </w:r>
    </w:p>
    <w:p w:rsidR="00811930" w:rsidP="00811930" w14:paraId="2B601B03" w14:textId="77777777">
      <w:pPr>
        <w:ind w:left="720"/>
        <w:rPr>
          <w:u w:val="single"/>
        </w:rPr>
      </w:pPr>
    </w:p>
    <w:p w:rsidR="006B679F" w:rsidP="006D73D3" w14:paraId="496382B3" w14:textId="77777777">
      <w:pPr>
        <w:pStyle w:val="ListParagraph"/>
        <w:numPr>
          <w:ilvl w:val="0"/>
          <w:numId w:val="10"/>
        </w:numPr>
        <w:shd w:val="clear" w:color="auto" w:fill="D9D9D9" w:themeFill="background1" w:themeFillShade="D9"/>
        <w:tabs>
          <w:tab w:val="left" w:pos="-720"/>
        </w:tabs>
        <w:suppressAutoHyphens/>
        <w:contextualSpacing/>
      </w:pPr>
      <w:r>
        <w:t xml:space="preserve">Explain the circumstances of this collection, why this collection is necessary, and the legal statues that allow it.  </w:t>
      </w:r>
    </w:p>
    <w:p w:rsidR="00BC5298" w14:paraId="0D58862A" w14:textId="77777777"/>
    <w:p w:rsidR="006B679F" w:rsidP="00FF2C26" w14:paraId="6200980E" w14:textId="77777777">
      <w:pPr>
        <w:ind w:left="720"/>
      </w:pPr>
      <w:r>
        <w:t xml:space="preserve">Section 1905 of Public Law 111-84 pertains to Retirement Credit for Service of Certain Employees Transferred from District of Columbia Service to Federal Service.  In general, any individual who is treated as an employee of the Federal Government for purposes of chapter 83 or chapter 84 of title 5, U. S. Code, on or after October 28, 2009, or who performed qualifying District of Columbia service shall be entitled to have such service included in calculating creditable service under section 8332 or 8411 of title 5, United States Code, but only for purposes of meeting retirement eligibility. </w:t>
      </w:r>
    </w:p>
    <w:p w:rsidR="006B679F" w:rsidP="00FF2C26" w14:paraId="7707E06A" w14:textId="77777777">
      <w:pPr>
        <w:ind w:left="720"/>
      </w:pPr>
    </w:p>
    <w:p w:rsidR="006B679F" w:rsidP="006D73D3" w14:paraId="23D25117" w14:textId="77777777">
      <w:pPr>
        <w:pStyle w:val="ListParagraph"/>
        <w:numPr>
          <w:ilvl w:val="0"/>
          <w:numId w:val="10"/>
        </w:numPr>
        <w:shd w:val="clear" w:color="auto" w:fill="D9D9D9" w:themeFill="background1" w:themeFillShade="D9"/>
        <w:tabs>
          <w:tab w:val="left" w:pos="-720"/>
        </w:tabs>
        <w:suppressAutoHyphens/>
        <w:contextualSpacing/>
      </w:pPr>
      <w:r>
        <w:t xml:space="preserve">Describe how, by whom, and for what purpose the information is to be used.  Except for a new collection, describe how the agency has made use of the information received from the current collection. </w:t>
      </w:r>
    </w:p>
    <w:p w:rsidR="00BC5298" w:rsidP="00BC5298" w14:paraId="22C4F8E6" w14:textId="77777777">
      <w:pPr>
        <w:ind w:left="720" w:hanging="420"/>
      </w:pPr>
    </w:p>
    <w:p w:rsidR="006B679F" w:rsidP="00AC590D" w14:paraId="5AC23003" w14:textId="77777777">
      <w:pPr>
        <w:ind w:left="720"/>
      </w:pPr>
      <w:r>
        <w:t xml:space="preserve">RI 20-126 is available to employees covered under the Civil Service Retirement System (CSRS) or the Federal Employees Retirement System on or after October 28, 2009. Those eligible to apply include an applicant employed with the District of Columbia Courts; or an employee who performed service in an entity of the DC government whose functions were transferred to the Pretrial Services, Parole, Adult Supervision, and Offender Supervision Trustee; an employee of the Public Defender Service for the District of Columbia; and an employee of the DC Department of Corrections who was separated from service as a result of the closing of the Lorton Correctional Complex. </w:t>
      </w:r>
    </w:p>
    <w:p w:rsidR="006B679F" w:rsidP="00AC590D" w14:paraId="58D2E105" w14:textId="77777777">
      <w:pPr>
        <w:ind w:left="720"/>
      </w:pPr>
    </w:p>
    <w:p w:rsidR="00BC5298" w:rsidP="00AC590D" w14:paraId="798D4234" w14:textId="66B8C10C">
      <w:pPr>
        <w:ind w:left="720"/>
      </w:pPr>
      <w:r>
        <w:t xml:space="preserve">When responses are received, an agency official must certify that certain service performed qualifies to meet retirement eligibility. However, the service cannot be used in the computation of annuity. </w:t>
      </w:r>
    </w:p>
    <w:p w:rsidR="00F56859" w:rsidP="00BC5298" w14:paraId="3B31BD00" w14:textId="77777777">
      <w:pPr>
        <w:ind w:left="720" w:hanging="420"/>
      </w:pPr>
    </w:p>
    <w:p w:rsidR="006B679F" w:rsidP="006D73D3" w14:paraId="1B83C99A" w14:textId="77777777">
      <w:pPr>
        <w:pStyle w:val="ListParagraph"/>
        <w:numPr>
          <w:ilvl w:val="0"/>
          <w:numId w:val="10"/>
        </w:numPr>
        <w:shd w:val="clear" w:color="auto" w:fill="D9D9D9" w:themeFill="background1" w:themeFillShade="D9"/>
        <w:tabs>
          <w:tab w:val="left" w:pos="-720"/>
        </w:tabs>
        <w:suppressAutoHyphens/>
        <w:contextualSpacing/>
      </w:pPr>
      <w:r>
        <w:t xml:space="preserve">How are the respondents expected to complete the collection?  Can this collection be completed electronically. </w:t>
      </w:r>
    </w:p>
    <w:p w:rsidR="00F56859" w:rsidP="00BC5298" w14:paraId="0DA13866" w14:textId="77777777">
      <w:pPr>
        <w:ind w:left="720" w:hanging="420"/>
      </w:pPr>
    </w:p>
    <w:p w:rsidR="00783A70" w:rsidP="00E93FA1" w14:paraId="20BA1363" w14:textId="24C61733">
      <w:pPr>
        <w:ind w:left="720"/>
      </w:pPr>
      <w:r>
        <w:t>This</w:t>
      </w:r>
      <w:r w:rsidRPr="00DF085B" w:rsidR="00C03DBD">
        <w:t xml:space="preserve"> form </w:t>
      </w:r>
      <w:r w:rsidR="001F3368">
        <w:t>is</w:t>
      </w:r>
      <w:r>
        <w:t xml:space="preserve"> mailed to the respondent</w:t>
      </w:r>
      <w:r w:rsidRPr="00E93FA1">
        <w:t xml:space="preserve"> with a return envelope</w:t>
      </w:r>
      <w:r>
        <w:t xml:space="preserve"> when additional information is required. </w:t>
      </w:r>
      <w:r w:rsidRPr="00E93FA1">
        <w:t xml:space="preserve">The adjudicator, whether in DC or Boyers, will instruct the recipient as to where they should return </w:t>
      </w:r>
      <w:r>
        <w:t>the form.</w:t>
      </w:r>
    </w:p>
    <w:p w:rsidR="00E93FA1" w:rsidP="00E93FA1" w14:paraId="36DF7110" w14:textId="77777777">
      <w:pPr>
        <w:ind w:left="720"/>
      </w:pPr>
    </w:p>
    <w:p w:rsidR="00B22978" w:rsidP="006D73D3" w14:paraId="74481D2C" w14:textId="77777777">
      <w:pPr>
        <w:pStyle w:val="ListParagraph"/>
        <w:numPr>
          <w:ilvl w:val="0"/>
          <w:numId w:val="10"/>
        </w:numPr>
        <w:shd w:val="clear" w:color="auto" w:fill="D9D9D9" w:themeFill="background1" w:themeFillShade="D9"/>
        <w:tabs>
          <w:tab w:val="left" w:pos="-720"/>
        </w:tabs>
        <w:suppressAutoHyphens/>
        <w:contextualSpacing/>
      </w:pPr>
      <w:r>
        <w:t>Does this collection duplicate any other collection of information. Describe why the agency doesn’t already have this information within their systems.</w:t>
      </w:r>
    </w:p>
    <w:p w:rsidR="00B22978" w:rsidP="00B22978" w14:paraId="0D942815" w14:textId="77777777">
      <w:pPr>
        <w:ind w:left="630"/>
      </w:pPr>
    </w:p>
    <w:p w:rsidR="00B22978" w:rsidP="5812D046" w14:paraId="07D2744A" w14:textId="26B6ADDA">
      <w:pPr>
        <w:pStyle w:val="ListParagraph"/>
        <w:suppressAutoHyphens/>
        <w:ind w:left="630"/>
      </w:pPr>
      <w:r>
        <w:t>While OPM must give the annuitant the opportunity to initiate a change in their election, OPM is continuing its momentum from FY 2023 investments to pilot a fully digital retirement case processing method. Additionally, OPM will continue building pilot initiatives to improve the annuitant experience like the online retirement guide and chatbot. Retirement Services will use data-driven evaluations of these pilots to inform additional ways to better answer annuitant questions and reduce their burden.</w:t>
      </w:r>
    </w:p>
    <w:p w:rsidR="00014433" w:rsidP="00BC5298" w14:paraId="4B8E59F6" w14:textId="77777777">
      <w:pPr>
        <w:ind w:left="720" w:hanging="420"/>
      </w:pPr>
    </w:p>
    <w:p w:rsidR="00B22978" w:rsidP="006D73D3" w14:paraId="460E74AD" w14:textId="77777777">
      <w:pPr>
        <w:pStyle w:val="ListParagraph"/>
        <w:numPr>
          <w:ilvl w:val="0"/>
          <w:numId w:val="10"/>
        </w:numPr>
        <w:shd w:val="clear" w:color="auto" w:fill="D9D9D9" w:themeFill="background1" w:themeFillShade="D9"/>
        <w:tabs>
          <w:tab w:val="left" w:pos="-720"/>
        </w:tabs>
        <w:suppressAutoHyphens/>
        <w:contextualSpacing/>
      </w:pPr>
      <w:r>
        <w:t>Describe any impacts on small business. If applicable, describe any methods used to minimize those impacts.</w:t>
      </w:r>
    </w:p>
    <w:p w:rsidR="00B22978" w:rsidP="00B22978" w14:paraId="339EDF13" w14:textId="77777777">
      <w:pPr>
        <w:ind w:left="720"/>
      </w:pPr>
    </w:p>
    <w:p w:rsidR="00B22978" w:rsidP="00B22978" w14:paraId="70E0A7A7" w14:textId="77777777">
      <w:pPr>
        <w:ind w:firstLine="630"/>
      </w:pPr>
      <w:r>
        <w:t>This information collection request has no impact on small businesses and organizations.</w:t>
      </w:r>
    </w:p>
    <w:p w:rsidR="00783A70" w:rsidP="00783A70" w14:paraId="2EF12825" w14:textId="77777777"/>
    <w:p w:rsidR="00783A70" w:rsidP="006D73D3" w14:paraId="749DCFE8" w14:textId="045A4791">
      <w:pPr>
        <w:pStyle w:val="ListParagraph"/>
        <w:numPr>
          <w:ilvl w:val="0"/>
          <w:numId w:val="3"/>
        </w:numPr>
        <w:shd w:val="clear" w:color="auto" w:fill="D9D9D9" w:themeFill="background1" w:themeFillShade="D9"/>
        <w:tabs>
          <w:tab w:val="left" w:pos="-720"/>
        </w:tabs>
        <w:suppressAutoHyphens/>
        <w:contextualSpacing/>
      </w:pPr>
      <w:r w:rsidRPr="00741061">
        <w:t xml:space="preserve">Describe the </w:t>
      </w:r>
      <w:r w:rsidRPr="00741061">
        <w:t>consequence</w:t>
      </w:r>
      <w:r w:rsidRPr="00741061">
        <w:t xml:space="preserve"> </w:t>
      </w:r>
      <w:r w:rsidRPr="00741061">
        <w:t>to</w:t>
      </w:r>
      <w:r w:rsidRPr="00741061">
        <w:t xml:space="preserve"> Federal program or policy activities if the collection of information is not conducted, or is conducted less frequently, as well as any technical or legal obstacles to reducing burden.</w:t>
      </w:r>
    </w:p>
    <w:p w:rsidR="00014433" w:rsidP="00BC5298" w14:paraId="653DE786" w14:textId="77777777">
      <w:pPr>
        <w:ind w:left="720" w:hanging="420"/>
      </w:pPr>
    </w:p>
    <w:p w:rsidR="00014433" w:rsidP="006F256C" w14:paraId="12E7DD6B" w14:textId="71CB53A0">
      <w:pPr>
        <w:ind w:left="720"/>
      </w:pPr>
      <w:r>
        <w:t xml:space="preserve">The collection of this information is performed as needed to determine the correct amount to pay annuitants and survivor annuitants. If this information is not collected, OPM may make incorrect payments to the affected </w:t>
      </w:r>
      <w:r>
        <w:t>persons</w:t>
      </w:r>
      <w:r>
        <w:t>.</w:t>
      </w:r>
    </w:p>
    <w:p w:rsidR="00783A70" w:rsidP="00BC5298" w14:paraId="64260E43" w14:textId="77777777">
      <w:pPr>
        <w:ind w:left="720" w:hanging="420"/>
      </w:pPr>
    </w:p>
    <w:p w:rsidR="00004209" w:rsidRPr="0097390F" w:rsidP="00004209" w14:paraId="24170E04" w14:textId="77777777">
      <w:pPr>
        <w:pStyle w:val="ListParagraph"/>
        <w:numPr>
          <w:ilvl w:val="0"/>
          <w:numId w:val="10"/>
        </w:numPr>
        <w:tabs>
          <w:tab w:val="num" w:pos="630"/>
          <w:tab w:val="clear" w:pos="720"/>
        </w:tabs>
        <w:spacing w:after="120"/>
        <w:ind w:left="630"/>
        <w:rPr>
          <w:iCs/>
          <w:color w:val="000000" w:themeColor="text1"/>
          <w:szCs w:val="24"/>
          <w:highlight w:val="lightGray"/>
        </w:rPr>
      </w:pPr>
      <w:r w:rsidRPr="0097390F">
        <w:rPr>
          <w:iCs/>
          <w:color w:val="000000" w:themeColor="text1"/>
          <w:szCs w:val="24"/>
          <w:highlight w:val="lightGray"/>
        </w:rPr>
        <w:t>Do any of the following special circumstances apply?</w:t>
      </w:r>
      <w:r w:rsidRPr="0097390F">
        <w:rPr>
          <w:iCs/>
          <w:highlight w:val="lightGray"/>
        </w:rPr>
        <w:t xml:space="preserve"> </w:t>
      </w:r>
    </w:p>
    <w:p w:rsidR="00004209" w:rsidRPr="0097390F" w:rsidP="00004209" w14:paraId="2381791C" w14:textId="77777777">
      <w:pPr>
        <w:ind w:left="720"/>
        <w:rPr>
          <w:iCs/>
          <w:color w:val="000000" w:themeColor="text1"/>
          <w:highlight w:val="lightGray"/>
        </w:rPr>
      </w:pPr>
      <w:r w:rsidRPr="0097390F">
        <w:rPr>
          <w:iCs/>
          <w:color w:val="000000" w:themeColor="text1"/>
          <w:highlight w:val="lightGray"/>
        </w:rPr>
        <w:t xml:space="preserve">• requiring respondents to report information to the agency more often than quarterly; </w:t>
      </w:r>
    </w:p>
    <w:p w:rsidR="00004209" w:rsidRPr="0097390F" w:rsidP="00004209" w14:paraId="390FEFDA" w14:textId="77777777">
      <w:pPr>
        <w:ind w:left="720"/>
        <w:rPr>
          <w:iCs/>
          <w:color w:val="000000" w:themeColor="text1"/>
          <w:highlight w:val="lightGray"/>
        </w:rPr>
      </w:pPr>
      <w:r w:rsidRPr="0097390F">
        <w:rPr>
          <w:iCs/>
          <w:color w:val="000000" w:themeColor="text1"/>
          <w:highlight w:val="lightGray"/>
        </w:rPr>
        <w:t xml:space="preserve">•requiring respondents to prepare a written response to a collection of information in fewer than 30 days after receipt of it;  </w:t>
      </w:r>
    </w:p>
    <w:p w:rsidR="00004209" w:rsidRPr="0097390F" w:rsidP="00004209" w14:paraId="33715F61" w14:textId="77777777">
      <w:pPr>
        <w:ind w:left="720"/>
        <w:rPr>
          <w:iCs/>
          <w:color w:val="000000" w:themeColor="text1"/>
          <w:highlight w:val="lightGray"/>
        </w:rPr>
      </w:pPr>
      <w:r w:rsidRPr="0097390F">
        <w:rPr>
          <w:iCs/>
          <w:color w:val="000000" w:themeColor="text1"/>
          <w:highlight w:val="lightGray"/>
        </w:rPr>
        <w:t xml:space="preserve">•requiring respondents to submit more than an original and two copies of any document; </w:t>
      </w:r>
    </w:p>
    <w:p w:rsidR="00004209" w:rsidRPr="0097390F" w:rsidP="00004209" w14:paraId="1F64D645" w14:textId="77777777">
      <w:pPr>
        <w:ind w:left="720"/>
        <w:rPr>
          <w:iCs/>
          <w:color w:val="000000" w:themeColor="text1"/>
          <w:highlight w:val="lightGray"/>
        </w:rPr>
      </w:pPr>
      <w:r w:rsidRPr="0097390F">
        <w:rPr>
          <w:iCs/>
          <w:color w:val="000000" w:themeColor="text1"/>
          <w:highlight w:val="lightGray"/>
        </w:rPr>
        <w:t xml:space="preserve">• requiring respondents to retain records, other than health, medical, government contract, grant-in-aid, or tax records, for more than three years; </w:t>
      </w:r>
    </w:p>
    <w:p w:rsidR="00004209" w:rsidRPr="0097390F" w:rsidP="00004209" w14:paraId="7A7CDA39" w14:textId="77777777">
      <w:pPr>
        <w:ind w:left="720"/>
        <w:rPr>
          <w:iCs/>
          <w:color w:val="000000" w:themeColor="text1"/>
          <w:highlight w:val="lightGray"/>
        </w:rPr>
      </w:pPr>
      <w:r w:rsidRPr="0097390F">
        <w:rPr>
          <w:iCs/>
          <w:color w:val="000000" w:themeColor="text1"/>
          <w:highlight w:val="lightGray"/>
        </w:rPr>
        <w:t xml:space="preserve">• in connection with a statistical </w:t>
      </w:r>
      <w:r w:rsidRPr="0097390F">
        <w:rPr>
          <w:iCs/>
          <w:color w:val="000000" w:themeColor="text1"/>
          <w:highlight w:val="lightGray"/>
        </w:rPr>
        <w:t>survey,</w:t>
      </w:r>
      <w:r w:rsidRPr="0097390F">
        <w:rPr>
          <w:iCs/>
          <w:color w:val="000000" w:themeColor="text1"/>
          <w:highlight w:val="lightGray"/>
        </w:rPr>
        <w:t xml:space="preserve"> that is not designed to produce valid and reliable results that can be generalized to the universe of study; </w:t>
      </w:r>
    </w:p>
    <w:p w:rsidR="00004209" w:rsidRPr="0097390F" w:rsidP="00004209" w14:paraId="22CCAFA6" w14:textId="77777777">
      <w:pPr>
        <w:ind w:left="720"/>
        <w:rPr>
          <w:iCs/>
          <w:color w:val="000000" w:themeColor="text1"/>
          <w:highlight w:val="lightGray"/>
        </w:rPr>
      </w:pPr>
      <w:r w:rsidRPr="0097390F">
        <w:rPr>
          <w:iCs/>
          <w:color w:val="000000" w:themeColor="text1"/>
          <w:highlight w:val="lightGray"/>
        </w:rPr>
        <w:t xml:space="preserve">• requiring the use of a statistical data classification that has not been reviewed and approved by OMB; </w:t>
      </w:r>
    </w:p>
    <w:p w:rsidR="00004209" w:rsidRPr="0097390F" w:rsidP="00004209" w14:paraId="217B3F5C" w14:textId="77777777">
      <w:pPr>
        <w:ind w:left="720"/>
        <w:rPr>
          <w:iCs/>
          <w:color w:val="000000" w:themeColor="text1"/>
          <w:highlight w:val="lightGray"/>
        </w:rPr>
      </w:pPr>
      <w:r w:rsidRPr="0097390F">
        <w:rPr>
          <w:iCs/>
          <w:color w:val="000000" w:themeColor="text1"/>
          <w:highlight w:val="lightGray"/>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04209" w:rsidRPr="0097390F" w:rsidP="00004209" w14:paraId="103A6DEA" w14:textId="77777777">
      <w:pPr>
        <w:ind w:left="720"/>
        <w:rPr>
          <w:iCs/>
          <w:color w:val="000000" w:themeColor="text1"/>
        </w:rPr>
      </w:pPr>
      <w:r w:rsidRPr="0097390F">
        <w:rPr>
          <w:iCs/>
          <w:color w:val="000000" w:themeColor="text1"/>
          <w:highlight w:val="lightGray"/>
        </w:rPr>
        <w:t>• requiring respondents to submit proprietary trade secrets, or other confidential information unless the agency can demonstrate that it has instituted procedures to protect the information's confidentiality to the extent permitted by law</w:t>
      </w:r>
      <w:r>
        <w:rPr>
          <w:iCs/>
          <w:color w:val="000000" w:themeColor="text1"/>
        </w:rPr>
        <w:t>.</w:t>
      </w:r>
    </w:p>
    <w:p w:rsidR="00783A70" w:rsidP="00BC5298" w14:paraId="12A62E72" w14:textId="77777777">
      <w:pPr>
        <w:ind w:left="720" w:hanging="420"/>
      </w:pPr>
    </w:p>
    <w:p w:rsidR="00014433" w:rsidP="006645C2" w14:paraId="0C5073E1" w14:textId="783BEAAE">
      <w:pPr>
        <w:ind w:left="720"/>
      </w:pPr>
      <w:r>
        <w:t xml:space="preserve">There are no special circumstances that would cause an information collection to be collected in the above-mentioned manner. This information collection is consistent with the guidelines in 5 </w:t>
      </w:r>
      <w:smartTag w:uri="urn:schemas-microsoft-com:office:smarttags" w:element="stockticker">
        <w:r>
          <w:t>CFR</w:t>
        </w:r>
      </w:smartTag>
      <w:r>
        <w:t xml:space="preserve"> 1320.6.</w:t>
      </w:r>
    </w:p>
    <w:p w:rsidR="00783A70" w:rsidP="00783A70" w14:paraId="057A3584" w14:textId="77777777">
      <w:pPr>
        <w:ind w:left="720"/>
      </w:pPr>
    </w:p>
    <w:p w:rsidR="00004209" w:rsidRPr="00D35CD4" w:rsidP="006D73D3" w14:paraId="1E8101FC" w14:textId="77777777">
      <w:pPr>
        <w:pStyle w:val="ListParagraph"/>
        <w:numPr>
          <w:ilvl w:val="0"/>
          <w:numId w:val="10"/>
        </w:numPr>
        <w:shd w:val="clear" w:color="auto" w:fill="D9D9D9" w:themeFill="background1" w:themeFillShade="D9"/>
        <w:tabs>
          <w:tab w:val="left" w:pos="-720"/>
        </w:tabs>
        <w:suppressAutoHyphens/>
        <w:contextualSpacing/>
      </w:pPr>
      <w:r w:rsidRPr="00D35CD4">
        <w:rPr>
          <w:color w:val="000000" w:themeColor="text1"/>
        </w:rPr>
        <w:t>Cite the Federal Register publication for a request for public comments and address any comments received</w:t>
      </w:r>
      <w:r w:rsidRPr="00D35CD4">
        <w:t>.</w:t>
      </w:r>
    </w:p>
    <w:p w:rsidR="00783A70" w:rsidP="00783A70" w14:paraId="57FBC83F" w14:textId="77777777">
      <w:pPr>
        <w:ind w:left="720"/>
      </w:pPr>
    </w:p>
    <w:p w:rsidR="00014433" w:rsidP="00783A70" w14:paraId="713DF798" w14:textId="556CC1DC">
      <w:pPr>
        <w:ind w:left="720"/>
      </w:pPr>
      <w:r>
        <w:t xml:space="preserve">On </w:t>
      </w:r>
      <w:r w:rsidR="00004209">
        <w:t>June 2,</w:t>
      </w:r>
      <w:r>
        <w:t xml:space="preserve"> 202</w:t>
      </w:r>
      <w:r w:rsidR="00004209">
        <w:t>5</w:t>
      </w:r>
      <w:r>
        <w:t xml:space="preserve">, a 60 Day Federal Register Notice was published at </w:t>
      </w:r>
      <w:r w:rsidR="00004209">
        <w:t>90</w:t>
      </w:r>
      <w:r>
        <w:t xml:space="preserve"> FR </w:t>
      </w:r>
      <w:r w:rsidR="00004209">
        <w:t xml:space="preserve">23383 </w:t>
      </w:r>
      <w:r>
        <w:t>requesting comment. No comments were received.</w:t>
      </w:r>
    </w:p>
    <w:p w:rsidR="00B86858" w:rsidP="00783A70" w14:paraId="715072D5" w14:textId="77777777">
      <w:pPr>
        <w:ind w:left="720"/>
      </w:pPr>
    </w:p>
    <w:p w:rsidR="00B86858" w:rsidP="006D73D3" w14:paraId="365255E2" w14:textId="77777777">
      <w:pPr>
        <w:pStyle w:val="ListParagraph"/>
        <w:numPr>
          <w:ilvl w:val="0"/>
          <w:numId w:val="3"/>
        </w:numPr>
        <w:shd w:val="clear" w:color="auto" w:fill="D9D9D9" w:themeFill="background1" w:themeFillShade="D9"/>
        <w:tabs>
          <w:tab w:val="left" w:pos="-720"/>
        </w:tabs>
        <w:suppressAutoHyphens/>
        <w:ind w:right="-288"/>
        <w:contextualSpacing/>
      </w:pPr>
      <w:r w:rsidRPr="00741061">
        <w:t>Explain any decision to provide any payment or gift to respondents, other than remuneration of contractors or grantees.</w:t>
      </w:r>
    </w:p>
    <w:p w:rsidR="00B86858" w:rsidP="00783A70" w14:paraId="0FB5865D" w14:textId="77777777">
      <w:pPr>
        <w:ind w:left="720"/>
      </w:pPr>
    </w:p>
    <w:p w:rsidR="00F93381" w:rsidP="00131FCC" w14:paraId="41F0474C" w14:textId="0E916400">
      <w:pPr>
        <w:ind w:left="720"/>
      </w:pPr>
      <w:r>
        <w:t>No payment or gift is provided to respondents.</w:t>
      </w:r>
    </w:p>
    <w:p w:rsidR="00FD3C82" w:rsidP="00FD3C82" w14:paraId="39EBFA36" w14:textId="77777777">
      <w:pPr>
        <w:ind w:firstLine="720"/>
      </w:pPr>
    </w:p>
    <w:p w:rsidR="00F93381" w:rsidRPr="00741061" w:rsidP="006D73D3" w14:paraId="2CEACE06" w14:textId="77777777">
      <w:pPr>
        <w:pStyle w:val="ListParagraph"/>
        <w:numPr>
          <w:ilvl w:val="0"/>
          <w:numId w:val="3"/>
        </w:numPr>
        <w:shd w:val="clear" w:color="auto" w:fill="D9D9D9" w:themeFill="background1" w:themeFillShade="D9"/>
        <w:tabs>
          <w:tab w:val="left" w:pos="-720"/>
          <w:tab w:val="num" w:pos="630"/>
          <w:tab w:val="clear" w:pos="720"/>
        </w:tabs>
        <w:suppressAutoHyphens/>
        <w:ind w:left="630" w:right="-288"/>
        <w:contextualSpacing/>
      </w:pPr>
      <w:r w:rsidRPr="00741061">
        <w:t xml:space="preserve">Describe any assurance of confidentiality provided to respondents and the basis for the assurance in statute, regulation, or agency policy.  </w:t>
      </w:r>
    </w:p>
    <w:p w:rsidR="00F93381" w:rsidP="00F93381" w14:paraId="46EE7EF1" w14:textId="77777777">
      <w:pPr>
        <w:ind w:left="720"/>
      </w:pPr>
    </w:p>
    <w:p w:rsidR="007411D9" w:rsidP="00F93381" w14:paraId="4688B752" w14:textId="12A498D8">
      <w:pPr>
        <w:ind w:left="720"/>
      </w:pPr>
      <w:r>
        <w:t xml:space="preserve">This information collection is protected by the Privacy Act of 1974 and OPM regulations (5 </w:t>
      </w:r>
      <w:smartTag w:uri="urn:schemas-microsoft-com:office:smarttags" w:element="stockticker">
        <w:r>
          <w:t>CFR</w:t>
        </w:r>
      </w:smartTag>
      <w:r>
        <w:t xml:space="preserve"> 831.106).  The routine uses for disclosure appear in the </w:t>
      </w:r>
      <w:r w:rsidRPr="00CA53EA">
        <w:rPr>
          <w:i/>
        </w:rPr>
        <w:t>Federal Register</w:t>
      </w:r>
      <w:r>
        <w:t xml:space="preserve"> for OPM/Central-1 (</w:t>
      </w:r>
      <w:r w:rsidR="006241EC">
        <w:t>87</w:t>
      </w:r>
      <w:r>
        <w:t xml:space="preserve"> FR </w:t>
      </w:r>
      <w:r w:rsidR="006241EC">
        <w:t>5874</w:t>
      </w:r>
      <w:r>
        <w:t xml:space="preserve">, </w:t>
      </w:r>
      <w:r w:rsidRPr="00836802">
        <w:rPr>
          <w:i/>
        </w:rPr>
        <w:t>et seq</w:t>
      </w:r>
      <w:r>
        <w:t xml:space="preserve">., </w:t>
      </w:r>
      <w:r w:rsidR="006241EC">
        <w:t>effective February</w:t>
      </w:r>
      <w:r>
        <w:t xml:space="preserve"> </w:t>
      </w:r>
      <w:r w:rsidR="00D76937">
        <w:t>2</w:t>
      </w:r>
      <w:r>
        <w:t xml:space="preserve">, </w:t>
      </w:r>
      <w:r w:rsidR="00D76937">
        <w:t>20</w:t>
      </w:r>
      <w:r w:rsidR="006241EC">
        <w:t>22</w:t>
      </w:r>
      <w:r w:rsidR="00D76937">
        <w:t>)</w:t>
      </w:r>
      <w:r>
        <w:t>.</w:t>
      </w:r>
    </w:p>
    <w:p w:rsidR="00AA7E4B" w:rsidP="00F93381" w14:paraId="05EDA17B" w14:textId="77777777">
      <w:pPr>
        <w:ind w:left="720"/>
      </w:pPr>
    </w:p>
    <w:p w:rsidR="00CB2FD7" w:rsidRPr="00CB2FD7" w:rsidP="00CB2FD7" w14:paraId="4042945B" w14:textId="622A7A3A">
      <w:pPr>
        <w:pStyle w:val="ListParagraph"/>
        <w:numPr>
          <w:ilvl w:val="0"/>
          <w:numId w:val="3"/>
        </w:numPr>
        <w:shd w:val="clear" w:color="auto" w:fill="D9D9D9" w:themeFill="background1" w:themeFillShade="D9"/>
        <w:rPr>
          <w:iCs/>
          <w:color w:val="000000" w:themeColor="text1"/>
        </w:rPr>
      </w:pPr>
      <w:r w:rsidRPr="00CB2FD7">
        <w:rPr>
          <w:iCs/>
          <w:color w:val="000000" w:themeColor="text1"/>
          <w:highlight w:val="lightGray"/>
        </w:rPr>
        <w:t>Are</w:t>
      </w:r>
      <w:r w:rsidRPr="00CB2FD7">
        <w:rPr>
          <w:iCs/>
          <w:color w:val="000000" w:themeColor="text1"/>
          <w:highlight w:val="lightGray"/>
        </w:rPr>
        <w:t xml:space="preserve"> any questions of a sensitive nature asked, such as sexual behavior and attitudes, religious beliefs, and other matters that are commonly considered private?</w:t>
      </w:r>
      <w:r w:rsidRPr="00CB2FD7">
        <w:rPr>
          <w:iCs/>
          <w:highlight w:val="lightGray"/>
        </w:rPr>
        <w:t xml:space="preserve"> If yes, p</w:t>
      </w:r>
      <w:r w:rsidRPr="00CB2FD7">
        <w:rPr>
          <w:iCs/>
          <w:color w:val="000000" w:themeColor="text1"/>
          <w:highlight w:val="lightGray"/>
        </w:rPr>
        <w:t xml:space="preserve">rovide justification. This justification should include the reasons why the agency considers the questions necessary, the specific uses to be made of the information, the explanation to be given to </w:t>
      </w:r>
      <w:r w:rsidRPr="00CB2FD7">
        <w:rPr>
          <w:iCs/>
          <w:color w:val="000000" w:themeColor="text1"/>
          <w:highlight w:val="lightGray"/>
        </w:rPr>
        <w:t>persons</w:t>
      </w:r>
      <w:r w:rsidRPr="00CB2FD7">
        <w:rPr>
          <w:iCs/>
          <w:color w:val="000000" w:themeColor="text1"/>
          <w:highlight w:val="lightGray"/>
        </w:rPr>
        <w:t xml:space="preserve"> from whom the information is requested, and any steps to be taken to obtain their consent</w:t>
      </w:r>
      <w:r w:rsidRPr="00CB2FD7">
        <w:rPr>
          <w:iCs/>
          <w:color w:val="000000" w:themeColor="text1"/>
        </w:rPr>
        <w:t>.</w:t>
      </w:r>
    </w:p>
    <w:p w:rsidR="00CB2FD7" w:rsidP="00CB2FD7" w14:paraId="22532776" w14:textId="77777777"/>
    <w:p w:rsidR="00836802" w:rsidP="00CB2FD7" w14:paraId="5FC60473" w14:textId="52730CED">
      <w:pPr>
        <w:ind w:left="720"/>
      </w:pPr>
      <w:r>
        <w:t xml:space="preserve">This information collection does not include questions of a sensitive nature, such </w:t>
      </w:r>
      <w:r>
        <w:t xml:space="preserve">as </w:t>
      </w:r>
      <w:r w:rsidR="00CB2FD7">
        <w:t xml:space="preserve"> </w:t>
      </w:r>
      <w:r>
        <w:t>sexual</w:t>
      </w:r>
      <w:r>
        <w:t xml:space="preserve"> behavior and attitudes, religious beliefs, and other matters that are commonly considered private.</w:t>
      </w:r>
    </w:p>
    <w:p w:rsidR="00AA7E4B" w:rsidP="00AA7E4B" w14:paraId="4AA58F29" w14:textId="77777777">
      <w:pPr>
        <w:ind w:left="630"/>
      </w:pPr>
    </w:p>
    <w:p w:rsidR="00CB2FD7" w:rsidRPr="00CB2FD7" w:rsidP="00CB2FD7" w14:paraId="739CCC0E" w14:textId="77777777">
      <w:pPr>
        <w:pStyle w:val="ListParagraph"/>
        <w:numPr>
          <w:ilvl w:val="0"/>
          <w:numId w:val="3"/>
        </w:numPr>
        <w:shd w:val="clear" w:color="auto" w:fill="D9D9D9" w:themeFill="background1" w:themeFillShade="D9"/>
        <w:spacing w:before="240"/>
      </w:pPr>
      <w:r w:rsidRPr="00CB2FD7">
        <w:rPr>
          <w:color w:val="000000" w:themeColor="text1"/>
          <w:highlight w:val="lightGray"/>
        </w:rPr>
        <w:t xml:space="preserve">Describe the hour time burden and the hour cost burden on the respondent needed to complete this collection. Please specify hourly salary for your respondent audience by referencing </w:t>
      </w:r>
      <w:hyperlink r:id="rId4">
        <w:r w:rsidRPr="00CB2FD7">
          <w:rPr>
            <w:rStyle w:val="Hyperlink"/>
            <w:highlight w:val="lightGray"/>
          </w:rPr>
          <w:t>Bureau of Labor Statistics Occupational Employment and Wage Estimates</w:t>
        </w:r>
      </w:hyperlink>
      <w:r w:rsidRPr="00CB2FD7">
        <w:rPr>
          <w:color w:val="000000" w:themeColor="text1"/>
          <w:highlight w:val="lightGray"/>
        </w:rPr>
        <w:t xml:space="preserve"> or other alternative wage site, when applicable</w:t>
      </w:r>
    </w:p>
    <w:p w:rsidR="00681423" w:rsidP="00CB2FD7" w14:paraId="04E47427" w14:textId="3171BE43">
      <w:pPr>
        <w:pStyle w:val="ListParagraph"/>
        <w:spacing w:before="240"/>
      </w:pPr>
      <w:r>
        <w:t xml:space="preserve">Approximately 1,000 will be processed annually. RI 20-126 requires approximately 30 minutes to complete the form. The annual burden is expected to decrease in the future because the pool of </w:t>
      </w:r>
      <w:r>
        <w:t>persons</w:t>
      </w:r>
      <w:r>
        <w:t xml:space="preserve"> affected is finite and they will only use this form once.</w:t>
      </w:r>
      <w:r w:rsidRPr="00A10BE7">
        <w:t xml:space="preserve"> </w:t>
      </w:r>
      <w:r>
        <w:br/>
      </w:r>
    </w:p>
    <w:tbl>
      <w:tblPr>
        <w:tblStyle w:val="TableGrid"/>
        <w:tblW w:w="9180" w:type="dxa"/>
        <w:tblInd w:w="-5" w:type="dxa"/>
        <w:tblLayout w:type="fixed"/>
        <w:tblLook w:val="04A0"/>
      </w:tblPr>
      <w:tblGrid>
        <w:gridCol w:w="1440"/>
        <w:gridCol w:w="1440"/>
        <w:gridCol w:w="1260"/>
        <w:gridCol w:w="1350"/>
        <w:gridCol w:w="1440"/>
        <w:gridCol w:w="1080"/>
        <w:gridCol w:w="1170"/>
      </w:tblGrid>
      <w:tr w14:paraId="648DB78C" w14:textId="28FBA77D" w:rsidTr="038EC5AD">
        <w:tblPrEx>
          <w:tblW w:w="9180" w:type="dxa"/>
          <w:tblInd w:w="-5" w:type="dxa"/>
          <w:tblLayout w:type="fixed"/>
          <w:tblLook w:val="04A0"/>
        </w:tblPrEx>
        <w:tc>
          <w:tcPr>
            <w:tcW w:w="1440" w:type="dxa"/>
            <w:shd w:val="clear" w:color="auto" w:fill="D9D9D9" w:themeFill="background1" w:themeFillShade="D9"/>
          </w:tcPr>
          <w:p w:rsidR="00CA79D7" w:rsidRPr="008869F8" w:rsidP="00CA79D7" w14:paraId="4B48AA53" w14:textId="35951119">
            <w:pPr>
              <w:spacing w:before="240"/>
              <w:rPr>
                <w:rFonts w:ascii="Arial" w:hAnsi="Arial" w:cs="Arial"/>
                <w:b/>
                <w:sz w:val="16"/>
                <w:szCs w:val="16"/>
              </w:rPr>
            </w:pPr>
            <w:r>
              <w:rPr>
                <w:rFonts w:ascii="Arial" w:hAnsi="Arial" w:cs="Arial"/>
                <w:b/>
                <w:sz w:val="16"/>
                <w:szCs w:val="16"/>
              </w:rPr>
              <w:t>Type of Respondent</w:t>
            </w:r>
          </w:p>
        </w:tc>
        <w:tc>
          <w:tcPr>
            <w:tcW w:w="1440" w:type="dxa"/>
            <w:shd w:val="clear" w:color="auto" w:fill="D9D9D9" w:themeFill="background1" w:themeFillShade="D9"/>
          </w:tcPr>
          <w:p w:rsidR="00CA79D7" w:rsidRPr="008869F8" w:rsidP="00CA79D7" w14:paraId="3DBB07CC" w14:textId="344A64A3">
            <w:pPr>
              <w:spacing w:before="240"/>
              <w:rPr>
                <w:rFonts w:ascii="Arial" w:hAnsi="Arial" w:cs="Arial"/>
                <w:b/>
                <w:sz w:val="16"/>
                <w:szCs w:val="16"/>
              </w:rPr>
            </w:pPr>
            <w:r>
              <w:rPr>
                <w:rFonts w:ascii="Arial" w:hAnsi="Arial" w:cs="Arial"/>
                <w:b/>
                <w:sz w:val="16"/>
                <w:szCs w:val="16"/>
              </w:rPr>
              <w:t>Form Name</w:t>
            </w:r>
          </w:p>
        </w:tc>
        <w:tc>
          <w:tcPr>
            <w:tcW w:w="1260" w:type="dxa"/>
            <w:shd w:val="clear" w:color="auto" w:fill="D9D9D9" w:themeFill="background1" w:themeFillShade="D9"/>
          </w:tcPr>
          <w:p w:rsidR="00CA79D7" w:rsidRPr="008869F8" w:rsidP="00CA79D7" w14:paraId="4B26E830" w14:textId="77777777">
            <w:pPr>
              <w:spacing w:before="240"/>
              <w:rPr>
                <w:rFonts w:ascii="Arial" w:hAnsi="Arial" w:cs="Arial"/>
                <w:b/>
                <w:sz w:val="16"/>
                <w:szCs w:val="16"/>
              </w:rPr>
            </w:pPr>
            <w:r w:rsidRPr="008869F8">
              <w:rPr>
                <w:rFonts w:ascii="Arial" w:hAnsi="Arial" w:cs="Arial"/>
                <w:b/>
                <w:sz w:val="16"/>
                <w:szCs w:val="16"/>
              </w:rPr>
              <w:t>No. of Respondents</w:t>
            </w:r>
          </w:p>
        </w:tc>
        <w:tc>
          <w:tcPr>
            <w:tcW w:w="1350" w:type="dxa"/>
            <w:shd w:val="clear" w:color="auto" w:fill="D9D9D9" w:themeFill="background1" w:themeFillShade="D9"/>
          </w:tcPr>
          <w:p w:rsidR="00CA79D7" w:rsidRPr="008869F8" w:rsidP="00CA79D7" w14:paraId="2EA6536E"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440" w:type="dxa"/>
            <w:shd w:val="clear" w:color="auto" w:fill="D9D9D9" w:themeFill="background1" w:themeFillShade="D9"/>
          </w:tcPr>
          <w:p w:rsidR="00CA79D7" w:rsidRPr="008869F8" w:rsidP="00CA79D7" w14:paraId="3DDB5C35" w14:textId="77777777">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1080" w:type="dxa"/>
            <w:shd w:val="clear" w:color="auto" w:fill="D9D9D9" w:themeFill="background1" w:themeFillShade="D9"/>
          </w:tcPr>
          <w:p w:rsidR="00CA79D7" w:rsidRPr="008869F8" w:rsidP="00CA79D7" w14:paraId="236D2E67" w14:textId="1C470FDD">
            <w:pPr>
              <w:spacing w:before="240"/>
              <w:rPr>
                <w:rFonts w:ascii="Arial" w:hAnsi="Arial" w:cs="Arial"/>
                <w:b/>
                <w:sz w:val="16"/>
                <w:szCs w:val="16"/>
              </w:rPr>
            </w:pPr>
            <w:r>
              <w:rPr>
                <w:rFonts w:ascii="Arial" w:hAnsi="Arial" w:cs="Arial"/>
                <w:b/>
                <w:sz w:val="16"/>
                <w:szCs w:val="16"/>
              </w:rPr>
              <w:t>Hourly Wage Rate</w:t>
            </w:r>
          </w:p>
        </w:tc>
        <w:tc>
          <w:tcPr>
            <w:tcW w:w="1170" w:type="dxa"/>
            <w:shd w:val="clear" w:color="auto" w:fill="D9D9D9" w:themeFill="background1" w:themeFillShade="D9"/>
          </w:tcPr>
          <w:p w:rsidR="00CA79D7" w:rsidRPr="008869F8" w:rsidP="00CA79D7" w14:paraId="59552C78" w14:textId="6D384FA0">
            <w:pPr>
              <w:spacing w:before="240"/>
              <w:rPr>
                <w:rFonts w:ascii="Arial" w:hAnsi="Arial" w:cs="Arial"/>
                <w:b/>
                <w:sz w:val="16"/>
                <w:szCs w:val="16"/>
              </w:rPr>
            </w:pPr>
            <w:r>
              <w:rPr>
                <w:rFonts w:ascii="Arial" w:hAnsi="Arial" w:cs="Arial"/>
                <w:b/>
                <w:sz w:val="16"/>
                <w:szCs w:val="16"/>
              </w:rPr>
              <w:t>Total Respondent Cost</w:t>
            </w:r>
          </w:p>
        </w:tc>
      </w:tr>
      <w:tr w14:paraId="381F2EE3" w14:textId="3397CB11" w:rsidTr="038EC5AD">
        <w:tblPrEx>
          <w:tblW w:w="9180" w:type="dxa"/>
          <w:tblInd w:w="-5" w:type="dxa"/>
          <w:tblLayout w:type="fixed"/>
          <w:tblLook w:val="04A0"/>
        </w:tblPrEx>
        <w:tc>
          <w:tcPr>
            <w:tcW w:w="1440" w:type="dxa"/>
          </w:tcPr>
          <w:p w:rsidR="00AD18F4" w:rsidRPr="00706CCF" w:rsidP="003B45CF" w14:paraId="2BC75A7D" w14:textId="37E194B6">
            <w:pPr>
              <w:spacing w:before="240"/>
              <w:rPr>
                <w:sz w:val="18"/>
                <w:szCs w:val="18"/>
              </w:rPr>
            </w:pPr>
            <w:r w:rsidRPr="00706CCF">
              <w:rPr>
                <w:sz w:val="18"/>
                <w:szCs w:val="18"/>
              </w:rPr>
              <w:t>Certain Employees Transferred from District of Columbia Service to Federal Service</w:t>
            </w:r>
          </w:p>
        </w:tc>
        <w:tc>
          <w:tcPr>
            <w:tcW w:w="1440" w:type="dxa"/>
          </w:tcPr>
          <w:p w:rsidR="00AD18F4" w:rsidRPr="008869F8" w:rsidP="003B45CF" w14:paraId="19E74514" w14:textId="3D47C8C4">
            <w:pPr>
              <w:spacing w:before="240"/>
              <w:rPr>
                <w:sz w:val="18"/>
                <w:szCs w:val="18"/>
              </w:rPr>
            </w:pPr>
            <w:r w:rsidRPr="00706CCF">
              <w:rPr>
                <w:sz w:val="18"/>
                <w:szCs w:val="18"/>
              </w:rPr>
              <w:t>Certification of Qualifying D</w:t>
            </w:r>
            <w:r>
              <w:rPr>
                <w:sz w:val="18"/>
                <w:szCs w:val="18"/>
              </w:rPr>
              <w:t>C</w:t>
            </w:r>
            <w:r w:rsidRPr="00706CCF">
              <w:rPr>
                <w:sz w:val="18"/>
                <w:szCs w:val="18"/>
              </w:rPr>
              <w:t xml:space="preserve"> Service Under Section 1905 of PL 111-84</w:t>
            </w:r>
          </w:p>
        </w:tc>
        <w:tc>
          <w:tcPr>
            <w:tcW w:w="1260" w:type="dxa"/>
          </w:tcPr>
          <w:p w:rsidR="00AD18F4" w:rsidRPr="008869F8" w:rsidP="003B45CF" w14:paraId="5851D7AC" w14:textId="7E8E6F99">
            <w:pPr>
              <w:spacing w:before="240"/>
              <w:jc w:val="right"/>
              <w:rPr>
                <w:sz w:val="18"/>
                <w:szCs w:val="18"/>
              </w:rPr>
            </w:pPr>
            <w:r>
              <w:rPr>
                <w:sz w:val="18"/>
                <w:szCs w:val="18"/>
              </w:rPr>
              <w:t>1,000</w:t>
            </w:r>
          </w:p>
        </w:tc>
        <w:tc>
          <w:tcPr>
            <w:tcW w:w="1350" w:type="dxa"/>
          </w:tcPr>
          <w:p w:rsidR="00AD18F4" w:rsidRPr="008869F8" w:rsidP="003B45CF" w14:paraId="56CBBF4B" w14:textId="77777777">
            <w:pPr>
              <w:spacing w:before="240"/>
              <w:jc w:val="right"/>
              <w:rPr>
                <w:sz w:val="18"/>
                <w:szCs w:val="18"/>
              </w:rPr>
            </w:pPr>
            <w:r>
              <w:rPr>
                <w:sz w:val="18"/>
                <w:szCs w:val="18"/>
              </w:rPr>
              <w:t>1</w:t>
            </w:r>
          </w:p>
        </w:tc>
        <w:tc>
          <w:tcPr>
            <w:tcW w:w="1440" w:type="dxa"/>
          </w:tcPr>
          <w:p w:rsidR="00AD18F4" w:rsidRPr="008869F8" w:rsidP="003B45CF" w14:paraId="617689F8" w14:textId="395C34B9">
            <w:pPr>
              <w:spacing w:before="240"/>
              <w:jc w:val="right"/>
              <w:rPr>
                <w:sz w:val="18"/>
                <w:szCs w:val="18"/>
              </w:rPr>
            </w:pPr>
            <w:r>
              <w:rPr>
                <w:sz w:val="18"/>
                <w:szCs w:val="18"/>
              </w:rPr>
              <w:t>.5 hours</w:t>
            </w:r>
          </w:p>
        </w:tc>
        <w:tc>
          <w:tcPr>
            <w:tcW w:w="1080" w:type="dxa"/>
          </w:tcPr>
          <w:p w:rsidR="00AD18F4" w:rsidRPr="008869F8" w:rsidP="003B45CF" w14:paraId="1B97D440" w14:textId="79BE51C6">
            <w:pPr>
              <w:spacing w:before="240"/>
              <w:jc w:val="right"/>
              <w:rPr>
                <w:sz w:val="18"/>
                <w:szCs w:val="18"/>
              </w:rPr>
            </w:pPr>
            <w:r w:rsidRPr="00CA79D7">
              <w:rPr>
                <w:sz w:val="18"/>
                <w:szCs w:val="18"/>
              </w:rPr>
              <w:t>$36.02</w:t>
            </w:r>
          </w:p>
        </w:tc>
        <w:tc>
          <w:tcPr>
            <w:tcW w:w="1170" w:type="dxa"/>
          </w:tcPr>
          <w:p w:rsidR="00AD18F4" w:rsidP="003B45CF" w14:paraId="61560BFD" w14:textId="081C9021">
            <w:pPr>
              <w:spacing w:before="240"/>
              <w:jc w:val="right"/>
              <w:rPr>
                <w:sz w:val="18"/>
                <w:szCs w:val="18"/>
              </w:rPr>
            </w:pPr>
            <w:r w:rsidRPr="038EC5AD">
              <w:rPr>
                <w:sz w:val="18"/>
                <w:szCs w:val="18"/>
              </w:rPr>
              <w:t>$</w:t>
            </w:r>
            <w:r w:rsidRPr="038EC5AD" w:rsidR="6EFCEEE3">
              <w:rPr>
                <w:sz w:val="18"/>
                <w:szCs w:val="18"/>
              </w:rPr>
              <w:t>18,010</w:t>
            </w:r>
          </w:p>
        </w:tc>
      </w:tr>
    </w:tbl>
    <w:p w:rsidR="00681423" w:rsidP="00681423" w14:paraId="1F568B8A" w14:textId="77777777">
      <w:pPr>
        <w:ind w:left="720"/>
      </w:pPr>
    </w:p>
    <w:p w:rsidR="00CA79D7" w:rsidP="00681423" w14:paraId="0C2E9498" w14:textId="21D79DD1">
      <w:pPr>
        <w:ind w:left="720"/>
      </w:pPr>
      <w:r>
        <w:t>The total Annual Respondent Cost is $</w:t>
      </w:r>
      <w:r w:rsidR="3EBF522D">
        <w:t>18,010</w:t>
      </w:r>
      <w:r>
        <w:t>.</w:t>
      </w:r>
    </w:p>
    <w:p w:rsidR="00CA79D7" w:rsidP="00681423" w14:paraId="4038358C" w14:textId="77777777">
      <w:pPr>
        <w:ind w:left="720"/>
      </w:pPr>
    </w:p>
    <w:p w:rsidR="00CA79D7" w:rsidP="00681423" w14:paraId="71716E1A" w14:textId="77777777">
      <w:pPr>
        <w:ind w:left="720"/>
      </w:pPr>
    </w:p>
    <w:p w:rsidR="00CA79D7" w:rsidP="00681423" w14:paraId="546122EA" w14:textId="77777777">
      <w:pPr>
        <w:ind w:left="720"/>
      </w:pPr>
    </w:p>
    <w:p w:rsidR="00681423" w:rsidP="00681423" w14:paraId="5633F523" w14:textId="779D11E6">
      <w:r>
        <w:t xml:space="preserve">         </w:t>
      </w:r>
    </w:p>
    <w:p w:rsidR="00CA79D7" w:rsidRPr="00E97D50" w:rsidP="00CA79D7" w14:paraId="46412967" w14:textId="77777777">
      <w:pPr>
        <w:pStyle w:val="ListParagraph"/>
        <w:tabs>
          <w:tab w:val="left" w:pos="-720"/>
        </w:tabs>
        <w:suppressAutoHyphens/>
        <w:ind w:left="288"/>
        <w:rPr>
          <w:color w:val="000000" w:themeColor="text1"/>
        </w:rPr>
      </w:pPr>
      <w:r w:rsidRPr="00E97D50">
        <w:rPr>
          <w:shd w:val="clear" w:color="auto" w:fill="D9D9D9" w:themeFill="background1" w:themeFillShade="D9"/>
        </w:rPr>
        <w:t>13</w:t>
      </w:r>
      <w:r w:rsidRPr="00E97D50">
        <w:rPr>
          <w:color w:val="000000" w:themeColor="text1"/>
          <w:highlight w:val="lightGray"/>
          <w:shd w:val="clear" w:color="auto" w:fill="D9D9D9" w:themeFill="background1" w:themeFillShade="D9"/>
        </w:rPr>
        <w:t>.</w:t>
      </w:r>
      <w:r>
        <w:rPr>
          <w:color w:val="000000" w:themeColor="text1"/>
          <w:highlight w:val="lightGray"/>
          <w:shd w:val="clear" w:color="auto" w:fill="D9D9D9" w:themeFill="background1" w:themeFillShade="D9"/>
        </w:rPr>
        <w:t xml:space="preserve"> </w:t>
      </w:r>
      <w:r w:rsidRPr="00E97D50">
        <w:rPr>
          <w:color w:val="000000" w:themeColor="text1"/>
          <w:highlight w:val="lightGray"/>
          <w:shd w:val="clear" w:color="auto" w:fill="D9D9D9" w:themeFill="background1" w:themeFillShade="D9"/>
        </w:rPr>
        <w:t>Describe</w:t>
      </w:r>
      <w:r w:rsidRPr="00E97D50">
        <w:rPr>
          <w:color w:val="000000" w:themeColor="text1"/>
          <w:highlight w:val="lightGray"/>
        </w:rPr>
        <w:t xml:space="preserve"> the non-hourly monetary burden to respondents needed to complete this collection. This is defined as out-of-pocket costs such as application fees for the collection, document fees (</w:t>
      </w:r>
      <w:hyperlink r:id="rId5">
        <w:r w:rsidRPr="00E97D50">
          <w:rPr>
            <w:rStyle w:val="Hyperlink"/>
            <w:highlight w:val="lightGray"/>
          </w:rPr>
          <w:t>birth/death certificates</w:t>
        </w:r>
      </w:hyperlink>
      <w:r w:rsidRPr="00E97D50">
        <w:rPr>
          <w:color w:val="000000" w:themeColor="text1"/>
          <w:highlight w:val="lightGray"/>
        </w:rPr>
        <w:t>, school transcripts), mailing costs (</w:t>
      </w:r>
      <w:hyperlink r:id="rId6">
        <w:r w:rsidRPr="00E97D50">
          <w:rPr>
            <w:rStyle w:val="Hyperlink"/>
            <w:highlight w:val="lightGray"/>
          </w:rPr>
          <w:t>printing</w:t>
        </w:r>
      </w:hyperlink>
      <w:r w:rsidRPr="00E97D50">
        <w:rPr>
          <w:color w:val="000000" w:themeColor="text1"/>
          <w:highlight w:val="lightGray"/>
        </w:rPr>
        <w:t xml:space="preserve">, </w:t>
      </w:r>
      <w:hyperlink r:id="rId7">
        <w:r w:rsidRPr="00E97D50">
          <w:rPr>
            <w:rStyle w:val="Hyperlink"/>
            <w:highlight w:val="lightGray"/>
          </w:rPr>
          <w:t>postage</w:t>
        </w:r>
      </w:hyperlink>
      <w:r w:rsidRPr="00E97D50">
        <w:rPr>
          <w:color w:val="000000" w:themeColor="text1"/>
          <w:highlight w:val="lightGray"/>
        </w:rPr>
        <w:t xml:space="preserve">, and/or </w:t>
      </w:r>
      <w:hyperlink r:id="rId8">
        <w:r w:rsidRPr="00E97D50">
          <w:rPr>
            <w:rStyle w:val="Hyperlink"/>
            <w:highlight w:val="lightGray"/>
          </w:rPr>
          <w:t>mileage</w:t>
        </w:r>
      </w:hyperlink>
      <w:r w:rsidRPr="00E97D50">
        <w:rPr>
          <w:color w:val="000000" w:themeColor="text1"/>
          <w:highlight w:val="lightGray"/>
        </w:rPr>
        <w:t>), or anything else respondents may need to pay to complete and/or implement the collection</w:t>
      </w:r>
    </w:p>
    <w:p w:rsidR="00CA79D7" w:rsidP="00CA79D7" w14:paraId="4CDE2BA2" w14:textId="77777777">
      <w:pPr>
        <w:pStyle w:val="ListParagraph"/>
        <w:tabs>
          <w:tab w:val="left" w:pos="-720"/>
        </w:tabs>
        <w:suppressAutoHyphens/>
        <w:ind w:left="288"/>
        <w:rPr>
          <w:i/>
          <w:iCs/>
          <w:color w:val="000000" w:themeColor="text1"/>
        </w:rPr>
      </w:pPr>
    </w:p>
    <w:tbl>
      <w:tblPr>
        <w:tblpPr w:leftFromText="180" w:rightFromText="180" w:vertAnchor="text" w:horzAnchor="margin" w:tblpXSpec="center" w:tblpY="240"/>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1"/>
        <w:gridCol w:w="1374"/>
        <w:gridCol w:w="947"/>
        <w:gridCol w:w="936"/>
        <w:gridCol w:w="1273"/>
      </w:tblGrid>
      <w:tr w14:paraId="2211261F" w14:textId="77777777" w:rsidTr="7D246BE2">
        <w:tblPrEx>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70"/>
        </w:trPr>
        <w:tc>
          <w:tcPr>
            <w:tcW w:w="1381" w:type="dxa"/>
            <w:shd w:val="clear" w:color="auto" w:fill="D9D9D9" w:themeFill="background1" w:themeFillShade="D9"/>
          </w:tcPr>
          <w:p w:rsidR="00910BA5" w:rsidP="00F83CA8" w14:paraId="023CD02E" w14:textId="77777777">
            <w:pPr>
              <w:spacing w:before="240"/>
              <w:ind w:left="144"/>
              <w:rPr>
                <w:rFonts w:ascii="Arial" w:hAnsi="Arial" w:cs="Arial"/>
                <w:b/>
                <w:bCs/>
                <w:sz w:val="16"/>
                <w:szCs w:val="16"/>
              </w:rPr>
            </w:pPr>
            <w:r w:rsidRPr="18C10158">
              <w:rPr>
                <w:rFonts w:ascii="Arial" w:hAnsi="Arial" w:cs="Arial"/>
                <w:b/>
                <w:bCs/>
                <w:sz w:val="16"/>
                <w:szCs w:val="16"/>
              </w:rPr>
              <w:t>Form</w:t>
            </w:r>
            <w:r w:rsidRPr="18C10158">
              <w:rPr>
                <w:rFonts w:ascii="Arial" w:hAnsi="Arial" w:cs="Arial"/>
                <w:b/>
                <w:bCs/>
                <w:sz w:val="16"/>
                <w:szCs w:val="16"/>
              </w:rPr>
              <w:t xml:space="preserve"> Name</w:t>
            </w:r>
          </w:p>
          <w:p w:rsidR="00910BA5" w:rsidP="00F83CA8" w14:paraId="720B1E85" w14:textId="77777777">
            <w:pPr>
              <w:spacing w:before="240"/>
              <w:ind w:left="144"/>
              <w:rPr>
                <w:rFonts w:ascii="Arial" w:hAnsi="Arial" w:cs="Arial"/>
                <w:b/>
                <w:bCs/>
                <w:sz w:val="16"/>
                <w:szCs w:val="16"/>
              </w:rPr>
            </w:pPr>
          </w:p>
          <w:p w:rsidR="00910BA5" w:rsidP="00F83CA8" w14:paraId="2F9EBBCC" w14:textId="77777777">
            <w:pPr>
              <w:spacing w:before="240"/>
              <w:ind w:left="144"/>
              <w:rPr>
                <w:rFonts w:ascii="Arial" w:hAnsi="Arial" w:cs="Arial"/>
                <w:b/>
                <w:bCs/>
                <w:sz w:val="16"/>
                <w:szCs w:val="16"/>
              </w:rPr>
            </w:pPr>
          </w:p>
        </w:tc>
        <w:tc>
          <w:tcPr>
            <w:tcW w:w="1374" w:type="dxa"/>
            <w:shd w:val="clear" w:color="auto" w:fill="D9D9D9" w:themeFill="background1" w:themeFillShade="D9"/>
          </w:tcPr>
          <w:p w:rsidR="00910BA5" w:rsidP="00F83CA8" w14:paraId="779745AA" w14:textId="77777777">
            <w:pPr>
              <w:spacing w:before="240"/>
              <w:ind w:left="144"/>
              <w:rPr>
                <w:rFonts w:ascii="Arial" w:hAnsi="Arial" w:cs="Arial"/>
                <w:b/>
                <w:bCs/>
                <w:sz w:val="16"/>
                <w:szCs w:val="16"/>
              </w:rPr>
            </w:pPr>
            <w:r w:rsidRPr="18C10158">
              <w:rPr>
                <w:rFonts w:ascii="Arial" w:hAnsi="Arial" w:cs="Arial"/>
                <w:b/>
                <w:bCs/>
                <w:sz w:val="16"/>
                <w:szCs w:val="16"/>
              </w:rPr>
              <w:t xml:space="preserve"> No. of Respondents</w:t>
            </w:r>
          </w:p>
          <w:p w:rsidR="00910BA5" w:rsidP="00F83CA8" w14:paraId="015892AF" w14:textId="77777777">
            <w:pPr>
              <w:spacing w:before="240"/>
              <w:ind w:left="144"/>
              <w:rPr>
                <w:rFonts w:ascii="Arial" w:hAnsi="Arial" w:cs="Arial"/>
                <w:b/>
                <w:bCs/>
                <w:sz w:val="16"/>
                <w:szCs w:val="16"/>
              </w:rPr>
            </w:pPr>
          </w:p>
        </w:tc>
        <w:tc>
          <w:tcPr>
            <w:tcW w:w="947" w:type="dxa"/>
            <w:shd w:val="clear" w:color="auto" w:fill="D9D9D9" w:themeFill="background1" w:themeFillShade="D9"/>
          </w:tcPr>
          <w:p w:rsidR="00910BA5" w:rsidP="00F83CA8" w14:paraId="1CD5A081" w14:textId="77777777">
            <w:pPr>
              <w:spacing w:before="240"/>
              <w:ind w:left="144"/>
              <w:rPr>
                <w:rFonts w:ascii="Arial" w:hAnsi="Arial" w:cs="Arial"/>
                <w:b/>
                <w:bCs/>
                <w:sz w:val="16"/>
                <w:szCs w:val="16"/>
              </w:rPr>
            </w:pPr>
            <w:r w:rsidRPr="18C10158">
              <w:rPr>
                <w:rFonts w:ascii="Arial" w:hAnsi="Arial" w:cs="Arial"/>
                <w:b/>
                <w:bCs/>
                <w:sz w:val="16"/>
                <w:szCs w:val="16"/>
              </w:rPr>
              <w:t>Mileage at $0.70 a mile</w:t>
            </w:r>
          </w:p>
        </w:tc>
        <w:tc>
          <w:tcPr>
            <w:tcW w:w="936" w:type="dxa"/>
            <w:shd w:val="clear" w:color="auto" w:fill="D9D9D9" w:themeFill="background1" w:themeFillShade="D9"/>
          </w:tcPr>
          <w:p w:rsidR="00910BA5" w:rsidP="00F83CA8" w14:paraId="4A7B4689" w14:textId="5778BE81">
            <w:pPr>
              <w:spacing w:before="240"/>
              <w:jc w:val="center"/>
              <w:rPr>
                <w:rFonts w:ascii="Arial" w:hAnsi="Arial" w:cs="Arial"/>
                <w:b/>
                <w:bCs/>
                <w:sz w:val="16"/>
                <w:szCs w:val="16"/>
              </w:rPr>
            </w:pPr>
            <w:r w:rsidRPr="7D246BE2">
              <w:rPr>
                <w:rFonts w:ascii="Arial" w:hAnsi="Arial" w:cs="Arial"/>
                <w:b/>
                <w:bCs/>
                <w:sz w:val="16"/>
                <w:szCs w:val="16"/>
              </w:rPr>
              <w:t>Total Mileage</w:t>
            </w:r>
            <w:r w:rsidRPr="7D246BE2" w:rsidR="26804ED8">
              <w:rPr>
                <w:rFonts w:ascii="Arial" w:hAnsi="Arial" w:cs="Arial"/>
                <w:b/>
                <w:bCs/>
                <w:sz w:val="16"/>
                <w:szCs w:val="16"/>
              </w:rPr>
              <w:t xml:space="preserve"> Cost</w:t>
            </w:r>
          </w:p>
        </w:tc>
        <w:tc>
          <w:tcPr>
            <w:tcW w:w="1273" w:type="dxa"/>
            <w:shd w:val="clear" w:color="auto" w:fill="D9D9D9" w:themeFill="background1" w:themeFillShade="D9"/>
          </w:tcPr>
          <w:p w:rsidR="00910BA5" w:rsidP="00F83CA8" w14:paraId="764DCF28" w14:textId="77777777">
            <w:pPr>
              <w:spacing w:before="240"/>
              <w:ind w:left="144"/>
              <w:rPr>
                <w:rFonts w:ascii="Arial" w:hAnsi="Arial" w:cs="Arial"/>
                <w:b/>
                <w:bCs/>
                <w:sz w:val="16"/>
                <w:szCs w:val="16"/>
              </w:rPr>
            </w:pPr>
            <w:r w:rsidRPr="18C10158">
              <w:rPr>
                <w:rFonts w:ascii="Arial" w:hAnsi="Arial" w:cs="Arial"/>
                <w:b/>
                <w:bCs/>
                <w:sz w:val="16"/>
                <w:szCs w:val="16"/>
              </w:rPr>
              <w:t>Total Non-Hourly Cost</w:t>
            </w:r>
          </w:p>
        </w:tc>
      </w:tr>
      <w:tr w14:paraId="1C0A6FC9" w14:textId="77777777" w:rsidTr="7D246BE2">
        <w:tblPrEx>
          <w:tblW w:w="5911" w:type="dxa"/>
          <w:tblLook w:val="04A0"/>
        </w:tblPrEx>
        <w:trPr>
          <w:trHeight w:val="698"/>
        </w:trPr>
        <w:tc>
          <w:tcPr>
            <w:tcW w:w="1381" w:type="dxa"/>
          </w:tcPr>
          <w:p w:rsidR="00910BA5" w:rsidP="00F83CA8" w14:paraId="06F03F05" w14:textId="48E02B7E">
            <w:pPr>
              <w:ind w:left="144"/>
              <w:rPr>
                <w:sz w:val="20"/>
              </w:rPr>
            </w:pPr>
            <w:r w:rsidRPr="00706CCF">
              <w:rPr>
                <w:sz w:val="18"/>
                <w:szCs w:val="18"/>
              </w:rPr>
              <w:t>Certification of Qualifying D</w:t>
            </w:r>
            <w:r>
              <w:rPr>
                <w:sz w:val="18"/>
                <w:szCs w:val="18"/>
              </w:rPr>
              <w:t>C</w:t>
            </w:r>
            <w:r w:rsidRPr="00706CCF">
              <w:rPr>
                <w:sz w:val="18"/>
                <w:szCs w:val="18"/>
              </w:rPr>
              <w:t xml:space="preserve"> Service Under Section 1905 of PL 111-84</w:t>
            </w:r>
          </w:p>
        </w:tc>
        <w:tc>
          <w:tcPr>
            <w:tcW w:w="1374" w:type="dxa"/>
          </w:tcPr>
          <w:p w:rsidR="00910BA5" w:rsidP="00F83CA8" w14:paraId="49AE486E" w14:textId="78170BBD">
            <w:pPr>
              <w:ind w:left="144"/>
              <w:rPr>
                <w:sz w:val="18"/>
                <w:szCs w:val="18"/>
              </w:rPr>
            </w:pPr>
            <w:r w:rsidRPr="18C10158">
              <w:rPr>
                <w:sz w:val="18"/>
                <w:szCs w:val="18"/>
              </w:rPr>
              <w:t xml:space="preserve"> </w:t>
            </w:r>
            <w:r>
              <w:rPr>
                <w:sz w:val="18"/>
                <w:szCs w:val="18"/>
              </w:rPr>
              <w:t>1,000</w:t>
            </w:r>
          </w:p>
          <w:p w:rsidR="00910BA5" w:rsidP="00F83CA8" w14:paraId="3E1D84D8" w14:textId="77777777">
            <w:pPr>
              <w:ind w:left="144"/>
              <w:rPr>
                <w:sz w:val="20"/>
              </w:rPr>
            </w:pPr>
          </w:p>
        </w:tc>
        <w:tc>
          <w:tcPr>
            <w:tcW w:w="947" w:type="dxa"/>
          </w:tcPr>
          <w:p w:rsidR="00910BA5" w:rsidP="00F83CA8" w14:paraId="3BAA8D8E" w14:textId="77777777">
            <w:pPr>
              <w:ind w:left="144"/>
              <w:rPr>
                <w:sz w:val="18"/>
                <w:szCs w:val="18"/>
              </w:rPr>
            </w:pPr>
            <w:r w:rsidRPr="18C10158">
              <w:rPr>
                <w:sz w:val="18"/>
                <w:szCs w:val="18"/>
              </w:rPr>
              <w:t>9</w:t>
            </w:r>
          </w:p>
        </w:tc>
        <w:tc>
          <w:tcPr>
            <w:tcW w:w="936" w:type="dxa"/>
          </w:tcPr>
          <w:p w:rsidR="00910BA5" w:rsidP="00F83CA8" w14:paraId="19054BAB" w14:textId="110040BA">
            <w:pPr>
              <w:rPr>
                <w:sz w:val="18"/>
                <w:szCs w:val="18"/>
              </w:rPr>
            </w:pPr>
            <w:r w:rsidRPr="18C10158">
              <w:rPr>
                <w:sz w:val="18"/>
                <w:szCs w:val="18"/>
              </w:rPr>
              <w:t>$</w:t>
            </w:r>
            <w:r>
              <w:rPr>
                <w:sz w:val="18"/>
                <w:szCs w:val="18"/>
              </w:rPr>
              <w:t>6,300.00</w:t>
            </w:r>
          </w:p>
        </w:tc>
        <w:tc>
          <w:tcPr>
            <w:tcW w:w="1273" w:type="dxa"/>
          </w:tcPr>
          <w:p w:rsidR="00910BA5" w:rsidP="00F83CA8" w14:paraId="7B3492BE" w14:textId="4ADBD952">
            <w:pPr>
              <w:ind w:left="144"/>
              <w:rPr>
                <w:sz w:val="18"/>
                <w:szCs w:val="18"/>
              </w:rPr>
            </w:pPr>
            <w:r w:rsidRPr="18C10158">
              <w:rPr>
                <w:sz w:val="18"/>
                <w:szCs w:val="18"/>
              </w:rPr>
              <w:t>$</w:t>
            </w:r>
            <w:r>
              <w:rPr>
                <w:sz w:val="18"/>
                <w:szCs w:val="18"/>
              </w:rPr>
              <w:t>6,300.00</w:t>
            </w:r>
          </w:p>
          <w:p w:rsidR="00910BA5" w:rsidP="00F83CA8" w14:paraId="2AEE88FF" w14:textId="77777777">
            <w:pPr>
              <w:ind w:left="144"/>
              <w:rPr>
                <w:sz w:val="18"/>
                <w:szCs w:val="18"/>
              </w:rPr>
            </w:pPr>
          </w:p>
        </w:tc>
      </w:tr>
    </w:tbl>
    <w:p w:rsidR="00CA79D7" w:rsidP="00CA79D7" w14:paraId="576F40FE" w14:textId="77777777">
      <w:pPr>
        <w:pStyle w:val="ListParagraph"/>
        <w:tabs>
          <w:tab w:val="left" w:pos="-720"/>
        </w:tabs>
        <w:suppressAutoHyphens/>
        <w:ind w:left="288"/>
      </w:pPr>
    </w:p>
    <w:p w:rsidR="00CA79D7" w:rsidP="00CA79D7" w14:paraId="621D3B58" w14:textId="77777777">
      <w:pPr>
        <w:pStyle w:val="ListParagraph"/>
        <w:tabs>
          <w:tab w:val="left" w:pos="-720"/>
        </w:tabs>
        <w:suppressAutoHyphens/>
        <w:ind w:left="288"/>
      </w:pPr>
      <w:r>
        <w:t xml:space="preserve"> </w:t>
      </w:r>
    </w:p>
    <w:p w:rsidR="00CA79D7" w:rsidP="00CA79D7" w14:paraId="167A8E77" w14:textId="77777777">
      <w:pPr>
        <w:pStyle w:val="ListParagraph"/>
        <w:tabs>
          <w:tab w:val="left" w:pos="-720"/>
        </w:tabs>
        <w:suppressAutoHyphens/>
        <w:ind w:left="288"/>
      </w:pPr>
    </w:p>
    <w:p w:rsidR="00CA79D7" w:rsidP="00CA79D7" w14:paraId="76B8297E" w14:textId="77777777">
      <w:pPr>
        <w:pStyle w:val="ListParagraph"/>
        <w:tabs>
          <w:tab w:val="left" w:pos="-720"/>
        </w:tabs>
        <w:suppressAutoHyphens/>
        <w:ind w:left="288"/>
      </w:pPr>
    </w:p>
    <w:p w:rsidR="00CA79D7" w:rsidP="00CA79D7" w14:paraId="121CC4CE" w14:textId="77777777">
      <w:pPr>
        <w:pStyle w:val="ListParagraph"/>
        <w:tabs>
          <w:tab w:val="left" w:pos="-720"/>
        </w:tabs>
        <w:suppressAutoHyphens/>
        <w:ind w:left="288"/>
      </w:pPr>
    </w:p>
    <w:p w:rsidR="00CA79D7" w:rsidP="00CA79D7" w14:paraId="74B6DA64" w14:textId="77777777">
      <w:pPr>
        <w:pStyle w:val="ListParagraph"/>
        <w:tabs>
          <w:tab w:val="left" w:pos="-720"/>
        </w:tabs>
        <w:suppressAutoHyphens/>
        <w:ind w:left="288"/>
      </w:pPr>
    </w:p>
    <w:p w:rsidR="00CA79D7" w:rsidP="00CA79D7" w14:paraId="25E51A14" w14:textId="77777777">
      <w:pPr>
        <w:pStyle w:val="ListParagraph"/>
        <w:tabs>
          <w:tab w:val="left" w:pos="-720"/>
        </w:tabs>
        <w:suppressAutoHyphens/>
        <w:ind w:left="288"/>
      </w:pPr>
    </w:p>
    <w:p w:rsidR="00CA79D7" w:rsidP="00CA79D7" w14:paraId="61262C88" w14:textId="77777777">
      <w:pPr>
        <w:pStyle w:val="ListParagraph"/>
        <w:tabs>
          <w:tab w:val="left" w:pos="-720"/>
        </w:tabs>
        <w:suppressAutoHyphens/>
        <w:ind w:left="288"/>
      </w:pPr>
    </w:p>
    <w:p w:rsidR="00CA79D7" w:rsidP="00CA79D7" w14:paraId="10875140" w14:textId="77777777">
      <w:pPr>
        <w:pStyle w:val="ListParagraph"/>
        <w:tabs>
          <w:tab w:val="left" w:pos="-720"/>
        </w:tabs>
        <w:suppressAutoHyphens/>
        <w:ind w:left="288"/>
      </w:pPr>
    </w:p>
    <w:p w:rsidR="00CA79D7" w:rsidP="00CA79D7" w14:paraId="3244B0AF" w14:textId="77777777">
      <w:pPr>
        <w:pStyle w:val="ListParagraph"/>
        <w:tabs>
          <w:tab w:val="left" w:pos="-720"/>
        </w:tabs>
        <w:suppressAutoHyphens/>
        <w:ind w:left="288"/>
      </w:pPr>
    </w:p>
    <w:p w:rsidR="00CA79D7" w:rsidP="00CA79D7" w14:paraId="103AF867" w14:textId="77777777">
      <w:pPr>
        <w:pStyle w:val="ListParagraph"/>
        <w:tabs>
          <w:tab w:val="left" w:pos="-720"/>
        </w:tabs>
        <w:suppressAutoHyphens/>
        <w:ind w:left="288"/>
      </w:pPr>
    </w:p>
    <w:p w:rsidR="00CA79D7" w:rsidP="00CA79D7" w14:paraId="41583E31" w14:textId="29739F5F">
      <w:pPr>
        <w:pStyle w:val="ListParagraph"/>
        <w:tabs>
          <w:tab w:val="left" w:pos="-720"/>
        </w:tabs>
        <w:suppressAutoHyphens/>
        <w:ind w:left="288"/>
      </w:pPr>
      <w:r>
        <w:t xml:space="preserve">     The Total Annual Respondent Cost is $6</w:t>
      </w:r>
      <w:r w:rsidR="00910BA5">
        <w:t>,</w:t>
      </w:r>
      <w:r>
        <w:t>30</w:t>
      </w:r>
      <w:r w:rsidR="00910BA5">
        <w:t>0</w:t>
      </w:r>
      <w:r>
        <w:t xml:space="preserve">.00. There is no change in the respondent   </w:t>
      </w:r>
    </w:p>
    <w:p w:rsidR="00CA79D7" w:rsidP="00CA79D7" w14:paraId="7156AF2C" w14:textId="77777777">
      <w:pPr>
        <w:pStyle w:val="ListParagraph"/>
        <w:tabs>
          <w:tab w:val="left" w:pos="-720"/>
        </w:tabs>
        <w:suppressAutoHyphens/>
        <w:ind w:left="288"/>
      </w:pPr>
      <w:r>
        <w:t xml:space="preserve">     burden. </w:t>
      </w:r>
    </w:p>
    <w:p w:rsidR="00CA79D7" w:rsidRPr="008F5523" w:rsidP="00CA79D7" w14:paraId="258B0EDE" w14:textId="77777777">
      <w:pPr>
        <w:spacing w:before="240"/>
        <w:ind w:left="288"/>
        <w:jc w:val="both"/>
        <w:rPr>
          <w:highlight w:val="lightGray"/>
        </w:rPr>
      </w:pPr>
      <w:r>
        <w:rPr>
          <w:highlight w:val="lightGray"/>
        </w:rPr>
        <w:t>14.</w:t>
      </w:r>
      <w:r w:rsidRPr="00E97D50">
        <w:rPr>
          <w:highlight w:val="lightGray"/>
        </w:rPr>
        <w:t xml:space="preserve"> </w:t>
      </w:r>
      <w:r w:rsidRPr="00E97D50">
        <w:rPr>
          <w:color w:val="000000" w:themeColor="text1"/>
          <w:highlight w:val="lightGray"/>
        </w:rPr>
        <w:t>Describe the cost incurred by the Federal Government to complete this collection.</w:t>
      </w:r>
      <w:r w:rsidRPr="00E97D50">
        <w:rPr>
          <w:highlight w:val="lightGray"/>
          <w:shd w:val="clear" w:color="auto" w:fill="A6A6A6" w:themeFill="background1" w:themeFillShade="A6"/>
        </w:rPr>
        <w:tab/>
      </w:r>
      <w:r>
        <w:t xml:space="preserve">  </w:t>
      </w:r>
    </w:p>
    <w:p w:rsidR="00CA79D7" w:rsidP="00105DDA" w14:paraId="425544E2" w14:textId="77777777">
      <w:pPr>
        <w:ind w:left="720"/>
      </w:pPr>
    </w:p>
    <w:p w:rsidR="000C53CD" w:rsidP="00105DDA" w14:paraId="17B96DA1" w14:textId="452F4ACC">
      <w:pPr>
        <w:ind w:left="720"/>
      </w:pPr>
      <w:r>
        <w:t>The annualized cost to the Federal government is $5,550. This cost includes employee salary hours devoted to the program, forms publishing and overhead.</w:t>
      </w:r>
    </w:p>
    <w:p w:rsidR="008877D7" w:rsidP="00BC5298" w14:paraId="3FAF6698" w14:textId="77777777">
      <w:pPr>
        <w:ind w:left="720" w:hanging="420"/>
      </w:pPr>
    </w:p>
    <w:p w:rsidR="00F83CA8" w:rsidP="00F83CA8" w14:paraId="05F2EE51" w14:textId="77777777">
      <w:pPr>
        <w:pStyle w:val="ListParagraph"/>
        <w:shd w:val="clear" w:color="auto" w:fill="D9D9D9" w:themeFill="background1" w:themeFillShade="D9"/>
        <w:ind w:left="288"/>
        <w:contextualSpacing/>
        <w:rPr>
          <w:color w:val="000000" w:themeColor="text1"/>
          <w:highlight w:val="lightGray"/>
        </w:rPr>
      </w:pPr>
      <w:r w:rsidRPr="00E97D50">
        <w:t xml:space="preserve">15. </w:t>
      </w:r>
      <w:r w:rsidRPr="00E97D50">
        <w:rPr>
          <w:color w:val="000000" w:themeColor="text1"/>
          <w:highlight w:val="lightGray"/>
        </w:rPr>
        <w:t>Explain any changes/adjustments to this collection since the previous submission, if</w:t>
      </w:r>
    </w:p>
    <w:p w:rsidR="00F83CA8" w:rsidP="00F83CA8" w14:paraId="53AD57EA" w14:textId="77777777">
      <w:pPr>
        <w:pStyle w:val="ListParagraph"/>
        <w:shd w:val="clear" w:color="auto" w:fill="D9D9D9" w:themeFill="background1" w:themeFillShade="D9"/>
        <w:ind w:left="288"/>
        <w:contextualSpacing/>
        <w:rPr>
          <w:color w:val="000000" w:themeColor="text1"/>
          <w:highlight w:val="lightGray"/>
        </w:rPr>
      </w:pPr>
      <w:r>
        <w:t xml:space="preserve">     </w:t>
      </w:r>
      <w:r w:rsidRPr="00E97D50">
        <w:rPr>
          <w:color w:val="000000" w:themeColor="text1"/>
          <w:highlight w:val="lightGray"/>
        </w:rPr>
        <w:t xml:space="preserve"> applicable. Describe whether these changes impact the hour or cost burden. If yes, </w:t>
      </w:r>
    </w:p>
    <w:p w:rsidR="00F83CA8" w:rsidP="00F83CA8" w14:paraId="3C129894" w14:textId="77777777">
      <w:pPr>
        <w:pStyle w:val="ListParagraph"/>
        <w:shd w:val="clear" w:color="auto" w:fill="D9D9D9" w:themeFill="background1" w:themeFillShade="D9"/>
        <w:ind w:left="288"/>
        <w:contextualSpacing/>
        <w:rPr>
          <w:color w:val="000000" w:themeColor="text1"/>
          <w:highlight w:val="lightGray"/>
        </w:rPr>
      </w:pPr>
      <w:r>
        <w:rPr>
          <w:color w:val="000000" w:themeColor="text1"/>
          <w:highlight w:val="lightGray"/>
        </w:rPr>
        <w:t xml:space="preserve">      </w:t>
      </w:r>
      <w:r w:rsidRPr="00E97D50">
        <w:rPr>
          <w:color w:val="000000" w:themeColor="text1"/>
          <w:highlight w:val="lightGray"/>
        </w:rPr>
        <w:t xml:space="preserve">describe if the impact is the result of deliberate Federal government action (“program </w:t>
      </w:r>
      <w:r>
        <w:rPr>
          <w:color w:val="000000" w:themeColor="text1"/>
          <w:highlight w:val="lightGray"/>
        </w:rPr>
        <w:t xml:space="preserve"> </w:t>
      </w:r>
    </w:p>
    <w:p w:rsidR="00F83CA8" w:rsidRPr="00E97D50" w:rsidP="00F83CA8" w14:paraId="3074472C" w14:textId="77777777">
      <w:pPr>
        <w:pStyle w:val="ListParagraph"/>
        <w:shd w:val="clear" w:color="auto" w:fill="D9D9D9" w:themeFill="background1" w:themeFillShade="D9"/>
        <w:ind w:left="288"/>
        <w:contextualSpacing/>
        <w:rPr>
          <w:color w:val="000000" w:themeColor="text1"/>
          <w:highlight w:val="lightGray"/>
        </w:rPr>
      </w:pPr>
      <w:r>
        <w:rPr>
          <w:color w:val="000000" w:themeColor="text1"/>
          <w:highlight w:val="lightGray"/>
        </w:rPr>
        <w:t xml:space="preserve">      </w:t>
      </w:r>
      <w:r w:rsidRPr="00E97D50">
        <w:rPr>
          <w:color w:val="000000" w:themeColor="text1"/>
          <w:highlight w:val="lightGray"/>
        </w:rPr>
        <w:t>change”) or something else (“adjustment”).</w:t>
      </w:r>
    </w:p>
    <w:p w:rsidR="000C53CD" w:rsidP="008877D7" w14:paraId="39EE076E" w14:textId="77777777"/>
    <w:p w:rsidR="000C53CD" w:rsidP="008877D7" w14:paraId="7B9FDB7A" w14:textId="1C02B5B7">
      <w:pPr>
        <w:ind w:left="720"/>
      </w:pPr>
      <w:r>
        <w:t xml:space="preserve">There are no </w:t>
      </w:r>
      <w:r w:rsidR="008E0E55">
        <w:t xml:space="preserve">adjustments or </w:t>
      </w:r>
      <w:r w:rsidR="008E0E55">
        <w:t>change</w:t>
      </w:r>
      <w:r w:rsidR="008E0E55">
        <w:t xml:space="preserve"> in the hour burden</w:t>
      </w:r>
      <w:r>
        <w:t>.</w:t>
      </w:r>
      <w:r w:rsidR="7F93A89C">
        <w:t xml:space="preserve">  The change in the cost burden is an adjustment that reflects an increased hourly wage rate since the last update.</w:t>
      </w:r>
    </w:p>
    <w:p w:rsidR="00470779" w:rsidP="008877D7" w14:paraId="3EB3D354" w14:textId="77777777">
      <w:pPr>
        <w:ind w:left="720"/>
      </w:pPr>
    </w:p>
    <w:p w:rsidR="00F83CA8" w:rsidP="00F83CA8" w14:paraId="3081748A" w14:textId="77777777">
      <w:pPr>
        <w:pStyle w:val="ListParagraph"/>
        <w:tabs>
          <w:tab w:val="left" w:pos="-720"/>
        </w:tabs>
        <w:suppressAutoHyphens/>
        <w:ind w:left="288"/>
        <w:rPr>
          <w:color w:val="000000" w:themeColor="text1"/>
          <w:highlight w:val="lightGray"/>
        </w:rPr>
      </w:pPr>
      <w:r w:rsidRPr="00497BFA">
        <w:rPr>
          <w:shd w:val="clear" w:color="auto" w:fill="D9D9D9" w:themeFill="background1" w:themeFillShade="D9"/>
        </w:rPr>
        <w:t>16.</w:t>
      </w:r>
      <w:r w:rsidRPr="00497BFA">
        <w:rPr>
          <w:color w:val="000000" w:themeColor="text1"/>
          <w:highlight w:val="lightGray"/>
          <w:shd w:val="clear" w:color="auto" w:fill="BFBFBF" w:themeFill="background1" w:themeFillShade="BF"/>
        </w:rPr>
        <w:t xml:space="preserve"> </w:t>
      </w:r>
      <w:r w:rsidRPr="00497BFA">
        <w:rPr>
          <w:color w:val="000000" w:themeColor="text1"/>
          <w:highlight w:val="lightGray"/>
        </w:rPr>
        <w:t xml:space="preserve">Specify if the data gathered by this collection will be published. This could </w:t>
      </w:r>
      <w:r>
        <w:rPr>
          <w:color w:val="000000" w:themeColor="text1"/>
          <w:highlight w:val="lightGray"/>
        </w:rPr>
        <w:t>includ</w:t>
      </w:r>
      <w:r w:rsidRPr="00497BFA">
        <w:rPr>
          <w:color w:val="000000" w:themeColor="text1"/>
          <w:highlight w:val="lightGray"/>
        </w:rPr>
        <w:t>e</w:t>
      </w:r>
      <w:r>
        <w:rPr>
          <w:color w:val="000000" w:themeColor="text1"/>
          <w:highlight w:val="lightGray"/>
        </w:rPr>
        <w:tab/>
      </w:r>
      <w:r>
        <w:rPr>
          <w:color w:val="000000" w:themeColor="text1"/>
          <w:highlight w:val="lightGray"/>
        </w:rPr>
        <w:tab/>
      </w:r>
      <w:r w:rsidRPr="00497BFA">
        <w:rPr>
          <w:color w:val="000000" w:themeColor="text1"/>
          <w:highlight w:val="lightGray"/>
        </w:rPr>
        <w:t xml:space="preserve"> </w:t>
      </w:r>
    </w:p>
    <w:p w:rsidR="00F83CA8" w:rsidP="00F83CA8" w14:paraId="7160A5AD" w14:textId="77777777">
      <w:pPr>
        <w:pStyle w:val="ListParagraph"/>
        <w:tabs>
          <w:tab w:val="left" w:pos="-720"/>
        </w:tabs>
        <w:suppressAutoHyphens/>
        <w:ind w:left="288"/>
        <w:rPr>
          <w:color w:val="000000" w:themeColor="text1"/>
          <w:highlight w:val="lightGray"/>
        </w:rPr>
      </w:pPr>
      <w:r>
        <w:rPr>
          <w:shd w:val="clear" w:color="auto" w:fill="D9D9D9" w:themeFill="background1" w:themeFillShade="D9"/>
        </w:rPr>
        <w:t xml:space="preserve">      </w:t>
      </w:r>
      <w:r w:rsidRPr="00497BFA">
        <w:rPr>
          <w:color w:val="000000" w:themeColor="text1"/>
          <w:highlight w:val="lightGray"/>
        </w:rPr>
        <w:t xml:space="preserve">Congressional reporting, using respondent numbers in budget justification, or other broad </w:t>
      </w:r>
    </w:p>
    <w:p w:rsidR="00F83CA8" w:rsidRPr="00497BFA" w:rsidP="00F83CA8" w14:paraId="23C0CBFF" w14:textId="77777777">
      <w:pPr>
        <w:pStyle w:val="ListParagraph"/>
        <w:tabs>
          <w:tab w:val="left" w:pos="-720"/>
        </w:tabs>
        <w:suppressAutoHyphens/>
        <w:ind w:left="288"/>
      </w:pPr>
      <w:r>
        <w:rPr>
          <w:color w:val="000000" w:themeColor="text1"/>
          <w:highlight w:val="lightGray"/>
        </w:rPr>
        <w:t xml:space="preserve">      </w:t>
      </w:r>
      <w:r w:rsidRPr="00F83CA8">
        <w:rPr>
          <w:color w:val="000000" w:themeColor="text1"/>
          <w:highlight w:val="lightGray"/>
          <w:shd w:val="clear" w:color="auto" w:fill="D9D9D9" w:themeFill="background1" w:themeFillShade="D9"/>
        </w:rPr>
        <w:t>reporting</w:t>
      </w:r>
      <w:r w:rsidRPr="00F83CA8">
        <w:rPr>
          <w:color w:val="000000" w:themeColor="text1"/>
          <w:shd w:val="clear" w:color="auto" w:fill="D9D9D9" w:themeFill="background1" w:themeFillShade="D9"/>
        </w:rPr>
        <w:t>.</w:t>
      </w:r>
    </w:p>
    <w:p w:rsidR="009E2BE8" w:rsidP="00BC5298" w14:paraId="2F7718AB" w14:textId="77777777">
      <w:pPr>
        <w:ind w:left="720" w:hanging="420"/>
      </w:pPr>
    </w:p>
    <w:p w:rsidR="000C53CD" w:rsidP="008877D7" w14:paraId="06FA2E98" w14:textId="77777777">
      <w:pPr>
        <w:ind w:left="720"/>
      </w:pPr>
      <w:r>
        <w:t>The results of this information collection are not published.</w:t>
      </w:r>
    </w:p>
    <w:p w:rsidR="00B90B5E" w:rsidP="008877D7" w14:paraId="46DA2D5C" w14:textId="77777777">
      <w:pPr>
        <w:ind w:left="720"/>
      </w:pPr>
    </w:p>
    <w:p w:rsidR="00F83CA8" w:rsidRPr="00497BFA" w:rsidP="00F83CA8" w14:paraId="1F02F90C" w14:textId="77777777">
      <w:pPr>
        <w:ind w:left="360"/>
        <w:rPr>
          <w:color w:val="000000" w:themeColor="text1"/>
          <w:highlight w:val="lightGray"/>
        </w:rPr>
      </w:pPr>
      <w:r w:rsidRPr="00497BFA">
        <w:rPr>
          <w:shd w:val="clear" w:color="auto" w:fill="D9D9D9" w:themeFill="background1" w:themeFillShade="D9"/>
        </w:rPr>
        <w:t>17.</w:t>
      </w:r>
      <w:r>
        <w:rPr>
          <w:shd w:val="clear" w:color="auto" w:fill="D9D9D9" w:themeFill="background1" w:themeFillShade="D9"/>
        </w:rPr>
        <w:t xml:space="preserve"> </w:t>
      </w:r>
      <w:r w:rsidRPr="00497BFA">
        <w:rPr>
          <w:color w:val="000000" w:themeColor="text1"/>
          <w:highlight w:val="lightGray"/>
        </w:rPr>
        <w:t>If applicable, explain the reason(s) for seeking approval to not display the OMB expiration date</w:t>
      </w:r>
      <w:r w:rsidRPr="00497BFA">
        <w:rPr>
          <w:color w:val="000000" w:themeColor="text1"/>
        </w:rPr>
        <w:t>.</w:t>
      </w:r>
    </w:p>
    <w:p w:rsidR="00F83CA8" w:rsidRPr="00741061" w:rsidP="00F83CA8" w14:paraId="50191594" w14:textId="77777777">
      <w:pPr>
        <w:pStyle w:val="ListParagraph"/>
        <w:ind w:left="0"/>
      </w:pPr>
    </w:p>
    <w:p w:rsidR="00F83CA8" w:rsidP="00F83CA8" w14:paraId="6D5DAEE5" w14:textId="77777777">
      <w:pPr>
        <w:ind w:left="720"/>
      </w:pPr>
      <w:r>
        <w:t>W</w:t>
      </w:r>
      <w:r w:rsidRPr="0021279C">
        <w:t>e seek approval to not display the OMB cleara</w:t>
      </w:r>
      <w:r>
        <w:t xml:space="preserve">nce expiration date </w:t>
      </w:r>
      <w:r w:rsidRPr="0021279C">
        <w:t>on the forms and</w:t>
      </w:r>
      <w:r>
        <w:br/>
        <w:t xml:space="preserve"> </w:t>
      </w:r>
      <w:r w:rsidRPr="0021279C">
        <w:t>to communicate version changes to the public v</w:t>
      </w:r>
      <w:r>
        <w:t>ia the revision date. OPM has modified our Paperwork Reduction Act notice to ensure respondents can verify the validity of the OMB control number and collection.</w:t>
      </w:r>
    </w:p>
    <w:p w:rsidR="00F83CA8" w:rsidP="00F83CA8" w14:paraId="5B981C8A" w14:textId="77777777">
      <w:pPr>
        <w:ind w:left="720"/>
      </w:pPr>
    </w:p>
    <w:p w:rsidR="00B90B5E" w:rsidRPr="00741061" w:rsidP="00B90B5E" w14:paraId="6970807A" w14:textId="77777777">
      <w:pPr>
        <w:pStyle w:val="ListParagraph"/>
        <w:shd w:val="pct25" w:color="auto" w:fill="auto"/>
        <w:tabs>
          <w:tab w:val="left" w:pos="-720"/>
        </w:tabs>
        <w:suppressAutoHyphens/>
        <w:ind w:left="0"/>
      </w:pPr>
      <w:r w:rsidRPr="00741061">
        <w:t xml:space="preserve">18.  Explain each exception to the certification statement identified in Item 19 “Certification for </w:t>
      </w:r>
      <w:r>
        <w:br/>
        <w:t xml:space="preserve">       </w:t>
      </w:r>
      <w:r w:rsidRPr="00741061">
        <w:t>Paperwork Reduction Act Submissions,” of OMB Form 83-I.</w:t>
      </w:r>
    </w:p>
    <w:p w:rsidR="00B90B5E" w:rsidP="00B90B5E" w14:paraId="1BFDBA97" w14:textId="77777777">
      <w:pPr>
        <w:ind w:left="720"/>
      </w:pPr>
    </w:p>
    <w:p w:rsidR="000C53CD" w:rsidP="001F291C" w14:paraId="47F2FC6C" w14:textId="4D5E62C0">
      <w:pPr>
        <w:ind w:left="720"/>
      </w:pPr>
      <w:r>
        <w:t>There are no exceptions to the certification statement.</w:t>
      </w:r>
    </w:p>
    <w:sectPr w:rsidSect="00263F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name w:val="AutoList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56E6E4B"/>
    <w:multiLevelType w:val="hybridMultilevel"/>
    <w:tmpl w:val="BD8C3326"/>
    <w:lvl w:ilvl="0">
      <w:start w:val="9"/>
      <w:numFmt w:val="decimal"/>
      <w:lvlText w:val="%1."/>
      <w:lvlJc w:val="left"/>
      <w:pPr>
        <w:tabs>
          <w:tab w:val="num" w:pos="720"/>
        </w:tabs>
        <w:ind w:left="720" w:hanging="4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
    <w:nsid w:val="129C1B32"/>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4EB11AA"/>
    <w:multiLevelType w:val="multilevel"/>
    <w:tmpl w:val="3EE8D190"/>
    <w:lvl w:ilvl="0">
      <w:start w:val="1"/>
      <w:numFmt w:val="decimal"/>
      <w:lvlText w:val="%1."/>
      <w:lvlJc w:val="left"/>
      <w:pPr>
        <w:tabs>
          <w:tab w:val="num" w:pos="810"/>
        </w:tabs>
        <w:ind w:left="810" w:hanging="360"/>
      </w:pPr>
      <w:rPr>
        <w:rFonts w:hint="default"/>
        <w:b w:val="0"/>
        <w:sz w:val="24"/>
        <w:szCs w:val="24"/>
      </w:rPr>
    </w:lvl>
    <w:lvl w:ilvl="1">
      <w:start w:val="1"/>
      <w:numFmt w:val="decimal"/>
      <w:lvlText w:val="%2."/>
      <w:lvlJc w:val="left"/>
      <w:pPr>
        <w:tabs>
          <w:tab w:val="num" w:pos="1530"/>
        </w:tabs>
        <w:ind w:left="1530" w:hanging="360"/>
      </w:pPr>
      <w:rPr>
        <w:b w:val="0"/>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4">
    <w:nsid w:val="4738606C"/>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5253277"/>
    <w:multiLevelType w:val="hybridMultilevel"/>
    <w:tmpl w:val="EDA20F08"/>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A496607"/>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4536BC5"/>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8BB6CF1"/>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8722229">
    <w:abstractNumId w:val="1"/>
  </w:num>
  <w:num w:numId="2" w16cid:durableId="44910160">
    <w:abstractNumId w:val="5"/>
  </w:num>
  <w:num w:numId="3" w16cid:durableId="1382630827">
    <w:abstractNumId w:val="7"/>
  </w:num>
  <w:num w:numId="4" w16cid:durableId="1672756028">
    <w:abstractNumId w:val="3"/>
  </w:num>
  <w:num w:numId="5" w16cid:durableId="2010063504">
    <w:abstractNumId w:val="8"/>
  </w:num>
  <w:num w:numId="6" w16cid:durableId="227107973">
    <w:abstractNumId w:val="2"/>
  </w:num>
  <w:num w:numId="7" w16cid:durableId="640579379">
    <w:abstractNumId w:val="6"/>
  </w:num>
  <w:num w:numId="8" w16cid:durableId="452791379">
    <w:abstractNumId w:val="4"/>
  </w:num>
  <w:num w:numId="9" w16cid:durableId="632713043">
    <w:abstractNumId w:val="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16cid:durableId="203326350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7F"/>
    <w:rsid w:val="00004209"/>
    <w:rsid w:val="0000706C"/>
    <w:rsid w:val="00014433"/>
    <w:rsid w:val="0003069F"/>
    <w:rsid w:val="00053431"/>
    <w:rsid w:val="000677E5"/>
    <w:rsid w:val="00080AB5"/>
    <w:rsid w:val="00097EED"/>
    <w:rsid w:val="000B37E1"/>
    <w:rsid w:val="000C53CD"/>
    <w:rsid w:val="00103667"/>
    <w:rsid w:val="00105DDA"/>
    <w:rsid w:val="001074C6"/>
    <w:rsid w:val="00113102"/>
    <w:rsid w:val="00131FCC"/>
    <w:rsid w:val="001328DC"/>
    <w:rsid w:val="001A5672"/>
    <w:rsid w:val="001B68A2"/>
    <w:rsid w:val="001F291C"/>
    <w:rsid w:val="001F3368"/>
    <w:rsid w:val="00204697"/>
    <w:rsid w:val="0021279C"/>
    <w:rsid w:val="00263F91"/>
    <w:rsid w:val="0028370D"/>
    <w:rsid w:val="002A44B6"/>
    <w:rsid w:val="002B0098"/>
    <w:rsid w:val="002E2CD8"/>
    <w:rsid w:val="002E7F35"/>
    <w:rsid w:val="002F3670"/>
    <w:rsid w:val="002F481F"/>
    <w:rsid w:val="00303C8C"/>
    <w:rsid w:val="0031504C"/>
    <w:rsid w:val="00317609"/>
    <w:rsid w:val="00320A94"/>
    <w:rsid w:val="00331E3F"/>
    <w:rsid w:val="00375F79"/>
    <w:rsid w:val="003778B8"/>
    <w:rsid w:val="00380CAD"/>
    <w:rsid w:val="00384DE7"/>
    <w:rsid w:val="00390F60"/>
    <w:rsid w:val="003A4EF1"/>
    <w:rsid w:val="003B45CF"/>
    <w:rsid w:val="003C4436"/>
    <w:rsid w:val="003D03B5"/>
    <w:rsid w:val="003F0B13"/>
    <w:rsid w:val="00425537"/>
    <w:rsid w:val="00454138"/>
    <w:rsid w:val="004638BD"/>
    <w:rsid w:val="00470779"/>
    <w:rsid w:val="00497BFA"/>
    <w:rsid w:val="004C4F71"/>
    <w:rsid w:val="004E43F1"/>
    <w:rsid w:val="005142D0"/>
    <w:rsid w:val="00532372"/>
    <w:rsid w:val="00554330"/>
    <w:rsid w:val="00556117"/>
    <w:rsid w:val="00567CDD"/>
    <w:rsid w:val="00596417"/>
    <w:rsid w:val="005A0F49"/>
    <w:rsid w:val="005B2044"/>
    <w:rsid w:val="005D507F"/>
    <w:rsid w:val="005D6917"/>
    <w:rsid w:val="005E5AFC"/>
    <w:rsid w:val="00610D60"/>
    <w:rsid w:val="006241EC"/>
    <w:rsid w:val="00630662"/>
    <w:rsid w:val="00631F97"/>
    <w:rsid w:val="00653D71"/>
    <w:rsid w:val="006645C2"/>
    <w:rsid w:val="006647C3"/>
    <w:rsid w:val="00681423"/>
    <w:rsid w:val="006B679F"/>
    <w:rsid w:val="006C07F2"/>
    <w:rsid w:val="006C6920"/>
    <w:rsid w:val="006D73D3"/>
    <w:rsid w:val="006F256C"/>
    <w:rsid w:val="00702129"/>
    <w:rsid w:val="00706CCF"/>
    <w:rsid w:val="007071BD"/>
    <w:rsid w:val="00711A57"/>
    <w:rsid w:val="007179C3"/>
    <w:rsid w:val="00740560"/>
    <w:rsid w:val="00741061"/>
    <w:rsid w:val="007411D9"/>
    <w:rsid w:val="0074162D"/>
    <w:rsid w:val="00783A70"/>
    <w:rsid w:val="00787785"/>
    <w:rsid w:val="007930B0"/>
    <w:rsid w:val="007C6686"/>
    <w:rsid w:val="007D7380"/>
    <w:rsid w:val="008027EB"/>
    <w:rsid w:val="00811930"/>
    <w:rsid w:val="0081713D"/>
    <w:rsid w:val="0082217E"/>
    <w:rsid w:val="00835C6D"/>
    <w:rsid w:val="00836802"/>
    <w:rsid w:val="008869F8"/>
    <w:rsid w:val="008877D7"/>
    <w:rsid w:val="008972BA"/>
    <w:rsid w:val="008C33B5"/>
    <w:rsid w:val="008D5541"/>
    <w:rsid w:val="008E0E55"/>
    <w:rsid w:val="008F5523"/>
    <w:rsid w:val="008F7BA7"/>
    <w:rsid w:val="00910BA5"/>
    <w:rsid w:val="00927F7A"/>
    <w:rsid w:val="009338F9"/>
    <w:rsid w:val="00942A40"/>
    <w:rsid w:val="00946704"/>
    <w:rsid w:val="0097390F"/>
    <w:rsid w:val="0097431D"/>
    <w:rsid w:val="00975AE7"/>
    <w:rsid w:val="009A4D6A"/>
    <w:rsid w:val="009E2BE8"/>
    <w:rsid w:val="00A063EE"/>
    <w:rsid w:val="00A10BE7"/>
    <w:rsid w:val="00A1570B"/>
    <w:rsid w:val="00A36DB6"/>
    <w:rsid w:val="00A466AA"/>
    <w:rsid w:val="00A542CE"/>
    <w:rsid w:val="00A71D62"/>
    <w:rsid w:val="00A749D2"/>
    <w:rsid w:val="00AA041B"/>
    <w:rsid w:val="00AA7E4B"/>
    <w:rsid w:val="00AB1A90"/>
    <w:rsid w:val="00AB1CA2"/>
    <w:rsid w:val="00AC590D"/>
    <w:rsid w:val="00AC730E"/>
    <w:rsid w:val="00AD18F4"/>
    <w:rsid w:val="00B068A2"/>
    <w:rsid w:val="00B10E0B"/>
    <w:rsid w:val="00B1776A"/>
    <w:rsid w:val="00B20F63"/>
    <w:rsid w:val="00B22978"/>
    <w:rsid w:val="00B43425"/>
    <w:rsid w:val="00B77550"/>
    <w:rsid w:val="00B86858"/>
    <w:rsid w:val="00B90B5E"/>
    <w:rsid w:val="00BC5298"/>
    <w:rsid w:val="00BE0BB9"/>
    <w:rsid w:val="00BF028B"/>
    <w:rsid w:val="00BF441A"/>
    <w:rsid w:val="00C03DBD"/>
    <w:rsid w:val="00C320A1"/>
    <w:rsid w:val="00C35991"/>
    <w:rsid w:val="00C41FD5"/>
    <w:rsid w:val="00C424C3"/>
    <w:rsid w:val="00C70CBD"/>
    <w:rsid w:val="00CA53EA"/>
    <w:rsid w:val="00CA79D7"/>
    <w:rsid w:val="00CB2FD7"/>
    <w:rsid w:val="00CB5FAB"/>
    <w:rsid w:val="00CC5181"/>
    <w:rsid w:val="00CC64B9"/>
    <w:rsid w:val="00CE19D6"/>
    <w:rsid w:val="00D35CD4"/>
    <w:rsid w:val="00D47D39"/>
    <w:rsid w:val="00D507D1"/>
    <w:rsid w:val="00D72D66"/>
    <w:rsid w:val="00D76937"/>
    <w:rsid w:val="00D818DB"/>
    <w:rsid w:val="00D94954"/>
    <w:rsid w:val="00D975AB"/>
    <w:rsid w:val="00DA4387"/>
    <w:rsid w:val="00DA6723"/>
    <w:rsid w:val="00DB3F09"/>
    <w:rsid w:val="00DD4E3F"/>
    <w:rsid w:val="00DE3167"/>
    <w:rsid w:val="00DF085B"/>
    <w:rsid w:val="00E141C6"/>
    <w:rsid w:val="00E436A0"/>
    <w:rsid w:val="00E75676"/>
    <w:rsid w:val="00E76B9D"/>
    <w:rsid w:val="00E822E9"/>
    <w:rsid w:val="00E93972"/>
    <w:rsid w:val="00E93FA1"/>
    <w:rsid w:val="00E97D50"/>
    <w:rsid w:val="00EA6336"/>
    <w:rsid w:val="00EF35E3"/>
    <w:rsid w:val="00EF676F"/>
    <w:rsid w:val="00F10BCA"/>
    <w:rsid w:val="00F3596B"/>
    <w:rsid w:val="00F405D8"/>
    <w:rsid w:val="00F46506"/>
    <w:rsid w:val="00F56859"/>
    <w:rsid w:val="00F83CA8"/>
    <w:rsid w:val="00F93381"/>
    <w:rsid w:val="00FB7A15"/>
    <w:rsid w:val="00FC2BFD"/>
    <w:rsid w:val="00FD3C82"/>
    <w:rsid w:val="00FF2C26"/>
    <w:rsid w:val="038EC5AD"/>
    <w:rsid w:val="0DE06D85"/>
    <w:rsid w:val="1239980F"/>
    <w:rsid w:val="18C10158"/>
    <w:rsid w:val="26804ED8"/>
    <w:rsid w:val="3EBF522D"/>
    <w:rsid w:val="5812D046"/>
    <w:rsid w:val="6DC737C2"/>
    <w:rsid w:val="6EFCEEE3"/>
    <w:rsid w:val="7ACA9D86"/>
    <w:rsid w:val="7D246BE2"/>
    <w:rsid w:val="7F93A8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1953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930"/>
    <w:pPr>
      <w:ind w:left="720"/>
    </w:pPr>
    <w:rPr>
      <w:szCs w:val="20"/>
    </w:rPr>
  </w:style>
  <w:style w:type="paragraph" w:customStyle="1" w:styleId="Level1">
    <w:name w:val="Level 1"/>
    <w:basedOn w:val="Normal"/>
    <w:rsid w:val="002A44B6"/>
    <w:pPr>
      <w:widowControl w:val="0"/>
      <w:numPr>
        <w:numId w:val="9"/>
      </w:numPr>
      <w:autoSpaceDE w:val="0"/>
      <w:autoSpaceDN w:val="0"/>
      <w:adjustRightInd w:val="0"/>
      <w:ind w:left="720" w:hanging="720"/>
      <w:outlineLvl w:val="0"/>
    </w:pPr>
  </w:style>
  <w:style w:type="table" w:styleId="TableGrid">
    <w:name w:val="Table Grid"/>
    <w:basedOn w:val="TableNormal"/>
    <w:uiPriority w:val="59"/>
    <w:rsid w:val="00681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B679F"/>
    <w:rPr>
      <w:color w:val="0000FF"/>
      <w:u w:val="single"/>
    </w:rPr>
  </w:style>
  <w:style w:type="paragraph" w:styleId="Title">
    <w:name w:val="Title"/>
    <w:basedOn w:val="Normal"/>
    <w:link w:val="TitleChar"/>
    <w:qFormat/>
    <w:rsid w:val="006B679F"/>
    <w:pPr>
      <w:jc w:val="center"/>
    </w:pPr>
    <w:rPr>
      <w:b/>
      <w:bCs/>
    </w:rPr>
  </w:style>
  <w:style w:type="character" w:customStyle="1" w:styleId="TitleChar">
    <w:name w:val="Title Char"/>
    <w:basedOn w:val="DefaultParagraphFont"/>
    <w:link w:val="Title"/>
    <w:rsid w:val="006B679F"/>
    <w:rPr>
      <w:b/>
      <w:bCs/>
      <w:sz w:val="24"/>
      <w:szCs w:val="24"/>
    </w:rPr>
  </w:style>
  <w:style w:type="paragraph" w:styleId="Revision">
    <w:name w:val="Revision"/>
    <w:hidden/>
    <w:uiPriority w:val="99"/>
    <w:semiHidden/>
    <w:rsid w:val="00204697"/>
    <w:rPr>
      <w:sz w:val="24"/>
      <w:szCs w:val="24"/>
    </w:rPr>
  </w:style>
  <w:style w:type="paragraph" w:styleId="Header">
    <w:name w:val="header"/>
    <w:basedOn w:val="Normal"/>
    <w:link w:val="HeaderChar"/>
    <w:uiPriority w:val="99"/>
    <w:unhideWhenUsed/>
    <w:rsid w:val="001074C6"/>
    <w:pPr>
      <w:tabs>
        <w:tab w:val="center" w:pos="4680"/>
        <w:tab w:val="right" w:pos="9360"/>
      </w:tabs>
    </w:pPr>
  </w:style>
  <w:style w:type="character" w:customStyle="1" w:styleId="HeaderChar">
    <w:name w:val="Header Char"/>
    <w:basedOn w:val="DefaultParagraphFont"/>
    <w:link w:val="Header"/>
    <w:uiPriority w:val="99"/>
    <w:rsid w:val="001074C6"/>
    <w:rPr>
      <w:sz w:val="24"/>
      <w:szCs w:val="24"/>
    </w:rPr>
  </w:style>
  <w:style w:type="paragraph" w:styleId="Footer">
    <w:name w:val="footer"/>
    <w:basedOn w:val="Normal"/>
    <w:link w:val="FooterChar"/>
    <w:uiPriority w:val="99"/>
    <w:unhideWhenUsed/>
    <w:rsid w:val="001074C6"/>
    <w:pPr>
      <w:tabs>
        <w:tab w:val="center" w:pos="4680"/>
        <w:tab w:val="right" w:pos="9360"/>
      </w:tabs>
    </w:pPr>
  </w:style>
  <w:style w:type="character" w:customStyle="1" w:styleId="FooterChar">
    <w:name w:val="Footer Char"/>
    <w:basedOn w:val="DefaultParagraphFont"/>
    <w:link w:val="Footer"/>
    <w:uiPriority w:val="99"/>
    <w:rsid w:val="001074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vitalchek.com/v/timing-and-pricing" TargetMode="External" /><Relationship Id="rId6" Type="http://schemas.openxmlformats.org/officeDocument/2006/relationships/hyperlink" Target="https://www.office.fedex.com/default/copy-and-print-services" TargetMode="External" /><Relationship Id="rId7" Type="http://schemas.openxmlformats.org/officeDocument/2006/relationships/hyperlink" Target="https://www.usps.com/business/prices.htm" TargetMode="External" /><Relationship Id="rId8" Type="http://schemas.openxmlformats.org/officeDocument/2006/relationships/hyperlink" Target="https://www.irs.gov/tax-professionals/standard-mileage-rate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1579</Words>
  <Characters>8735</Characters>
  <Application>Microsoft Office Word</Application>
  <DocSecurity>0</DocSecurity>
  <Lines>264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2025-11-28T20:43:00Z</dcterms:created>
  <dcterms:modified xsi:type="dcterms:W3CDTF">2025-11-28T20:43:00Z</dcterms:modified>
</cp:coreProperties>
</file>