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46C9" w:rsidRPr="002746C9" w:rsidP="002746C9" w14:paraId="6346DF4E" w14:textId="334CDD83">
      <w:pPr>
        <w:jc w:val="center"/>
        <w:rPr>
          <w:rFonts w:ascii="Times New Roman" w:hAnsi="Times New Roman"/>
          <w:b/>
          <w:bCs/>
        </w:rPr>
      </w:pPr>
      <w:hyperlink r:id="rId4" w:tgtFrame="_blank" w:history="1">
        <w:r w:rsidRPr="002746C9">
          <w:rPr>
            <w:rStyle w:val="Hyperlink"/>
            <w:rFonts w:ascii="Times New Roman" w:hAnsi="Times New Roman"/>
            <w:b/>
            <w:bCs/>
            <w:color w:val="auto"/>
          </w:rPr>
          <w:t>SUPPORTING STATEMENT</w:t>
        </w:r>
      </w:hyperlink>
    </w:p>
    <w:p w:rsidR="002746C9" w:rsidRPr="002746C9" w:rsidP="002746C9" w14:paraId="30F1969E" w14:textId="77777777">
      <w:pPr>
        <w:jc w:val="center"/>
        <w:rPr>
          <w:rFonts w:ascii="Times New Roman" w:hAnsi="Times New Roman"/>
        </w:rPr>
      </w:pPr>
      <w:hyperlink r:id="rId4" w:tgtFrame="_blank" w:history="1">
        <w:r w:rsidRPr="002746C9">
          <w:rPr>
            <w:rStyle w:val="Hyperlink"/>
            <w:rFonts w:ascii="Times New Roman" w:hAnsi="Times New Roman"/>
            <w:b/>
            <w:bCs/>
            <w:color w:val="auto"/>
          </w:rPr>
          <w:t>FOR PAPERWORK REDUCTION ACT SUBMISSION</w:t>
        </w:r>
      </w:hyperlink>
    </w:p>
    <w:p w:rsidR="000278AE" w:rsidRPr="001461A3" w:rsidP="002746C9" w14:paraId="091D01F2" w14:textId="77777777">
      <w:pPr>
        <w:jc w:val="center"/>
        <w:rPr>
          <w:rFonts w:ascii="Times New Roman" w:hAnsi="Times New Roman"/>
        </w:rPr>
      </w:pPr>
    </w:p>
    <w:p w:rsidR="00A61F99" w:rsidP="00B92131" w14:paraId="2A9209D3" w14:textId="2286607B">
      <w:pPr>
        <w:rPr>
          <w:rFonts w:ascii="Times New Roman" w:hAnsi="Times New Roman"/>
        </w:rPr>
      </w:pPr>
      <w:r>
        <w:rPr>
          <w:rFonts w:ascii="Times New Roman" w:hAnsi="Times New Roman"/>
        </w:rPr>
        <w:t>OMB No. - 3206-021</w:t>
      </w:r>
      <w:r w:rsidR="00B92131">
        <w:rPr>
          <w:rFonts w:ascii="Times New Roman" w:hAnsi="Times New Roman"/>
        </w:rPr>
        <w:t>1</w:t>
      </w:r>
      <w:r>
        <w:rPr>
          <w:rFonts w:ascii="Times New Roman" w:hAnsi="Times New Roman"/>
        </w:rPr>
        <w:t xml:space="preserve">; </w:t>
      </w:r>
      <w:r w:rsidRPr="001461A3" w:rsidR="000278AE">
        <w:rPr>
          <w:rFonts w:ascii="Times New Roman" w:hAnsi="Times New Roman"/>
        </w:rPr>
        <w:t>R</w:t>
      </w:r>
      <w:r w:rsidR="00B92131">
        <w:rPr>
          <w:rFonts w:ascii="Times New Roman" w:hAnsi="Times New Roman"/>
        </w:rPr>
        <w:t>eemployment of Annuitants</w:t>
      </w:r>
    </w:p>
    <w:p w:rsidR="000278AE" w:rsidRPr="001461A3" w:rsidP="000278AE" w14:paraId="3F8FA6CA" w14:textId="77777777">
      <w:pPr>
        <w:rPr>
          <w:rFonts w:ascii="Times New Roman" w:hAnsi="Times New Roman"/>
        </w:rPr>
      </w:pPr>
    </w:p>
    <w:p w:rsidR="00BB4D6D" w:rsidRPr="00BB4D6D" w:rsidP="00BB4D6D" w14:paraId="36784F3F" w14:textId="77777777">
      <w:pPr>
        <w:rPr>
          <w:rFonts w:ascii="Times New Roman" w:hAnsi="Times New Roman"/>
          <w:b/>
          <w:bCs/>
        </w:rPr>
      </w:pPr>
      <w:r w:rsidRPr="00BB4D6D">
        <w:rPr>
          <w:rFonts w:ascii="Times New Roman" w:hAnsi="Times New Roman"/>
          <w:b/>
          <w:bCs/>
        </w:rPr>
        <w:t>A.  JUSTIFICATION </w:t>
      </w:r>
    </w:p>
    <w:p w:rsidR="00BB4D6D" w:rsidP="00BB4D6D" w14:paraId="4084E84C" w14:textId="77777777">
      <w:pPr>
        <w:numPr>
          <w:ilvl w:val="0"/>
          <w:numId w:val="10"/>
        </w:numPr>
        <w:shd w:val="clear" w:color="auto" w:fill="BFBFBF" w:themeFill="background1" w:themeFillShade="BF"/>
        <w:rPr>
          <w:rFonts w:ascii="Times New Roman" w:hAnsi="Times New Roman"/>
        </w:rPr>
      </w:pPr>
      <w:r w:rsidRPr="00BB4D6D">
        <w:rPr>
          <w:rFonts w:ascii="Times New Roman" w:hAnsi="Times New Roman"/>
          <w:i/>
          <w:iCs/>
        </w:rPr>
        <w:t>Explain the circumstances of this collection, why this collection is necessary. and the legal statutes that allow it.</w:t>
      </w:r>
      <w:r w:rsidRPr="00BB4D6D">
        <w:rPr>
          <w:rFonts w:ascii="Times New Roman" w:hAnsi="Times New Roman"/>
        </w:rPr>
        <w:t> </w:t>
      </w:r>
    </w:p>
    <w:p w:rsidR="00BB4D6D" w:rsidRPr="00BB4D6D" w:rsidP="00BB4D6D" w14:paraId="5CEF22A4" w14:textId="77777777">
      <w:pPr>
        <w:ind w:left="720"/>
        <w:rPr>
          <w:rFonts w:ascii="Times New Roman" w:hAnsi="Times New Roman"/>
        </w:rPr>
      </w:pPr>
    </w:p>
    <w:p w:rsidR="00BE47DF" w:rsidRPr="00BE47DF" w:rsidP="00BE47DF" w14:paraId="07422BE8" w14:textId="4D5FA7F9">
      <w:pPr>
        <w:ind w:left="360"/>
        <w:rPr>
          <w:rFonts w:ascii="Times New Roman" w:hAnsi="Times New Roman"/>
        </w:rPr>
      </w:pPr>
      <w:r w:rsidRPr="00BE47DF">
        <w:rPr>
          <w:rFonts w:ascii="Times New Roman" w:hAnsi="Times New Roman"/>
        </w:rPr>
        <w:t>Sections 8344 and 8468 of title 5, United States Code, govern the reemployment of Civil Service Retirement System (CSRS) and Federal Employees Retirement System (FERS) annuitants in the Federal service.  Some types of annuities terminate on reemployment, while other types of annuities continue during reemployment, with all or a portion of the annuity being offset from the reemployed annuitant’s basic pay.  Consequently, the reemploying agency needs timely information regarding the reemployed annuitant’s type of separation for retirement and amount of annuity.  Only then can the agency correctly establish the net rate of pay. The agency is also responsible for notifying the retirement system that the annuitant is reemployed.</w:t>
      </w:r>
    </w:p>
    <w:p w:rsidR="00BE47DF" w:rsidRPr="00BE47DF" w:rsidP="00BE47DF" w14:paraId="109B22AC" w14:textId="77777777">
      <w:pPr>
        <w:rPr>
          <w:rFonts w:ascii="Times New Roman" w:hAnsi="Times New Roman"/>
        </w:rPr>
      </w:pPr>
    </w:p>
    <w:p w:rsidR="00BE47DF" w:rsidRPr="00BE47DF" w:rsidP="00BE47DF" w14:paraId="21E069D0" w14:textId="653F9E41">
      <w:pPr>
        <w:ind w:left="360"/>
        <w:rPr>
          <w:rFonts w:ascii="Times New Roman" w:hAnsi="Times New Roman"/>
        </w:rPr>
      </w:pPr>
      <w:r w:rsidRPr="00BE47DF">
        <w:rPr>
          <w:rFonts w:ascii="Times New Roman" w:hAnsi="Times New Roman"/>
        </w:rPr>
        <w:t xml:space="preserve">Section 837.103(c) of title 5, Code of Federal Regulations, requires the reemployed annuitant to provide certain specific information to the employing agency. The information may be provided orally, or in writing, at the </w:t>
      </w:r>
      <w:r w:rsidRPr="00BE47DF">
        <w:rPr>
          <w:rFonts w:ascii="Times New Roman" w:hAnsi="Times New Roman"/>
        </w:rPr>
        <w:t>employing</w:t>
      </w:r>
      <w:r w:rsidRPr="00BE47DF">
        <w:rPr>
          <w:rFonts w:ascii="Times New Roman" w:hAnsi="Times New Roman"/>
        </w:rPr>
        <w:t xml:space="preserve"> agency’s discretion.  No special form is required.  The information which must be provided is –</w:t>
      </w:r>
    </w:p>
    <w:p w:rsidR="00BE47DF" w:rsidRPr="00BE47DF" w:rsidP="00BE47DF" w14:paraId="39480DA1" w14:textId="77777777">
      <w:pPr>
        <w:rPr>
          <w:rFonts w:ascii="Times New Roman" w:hAnsi="Times New Roman"/>
        </w:rPr>
      </w:pPr>
      <w:r w:rsidRPr="00BE47DF">
        <w:rPr>
          <w:rFonts w:ascii="Times New Roman" w:hAnsi="Times New Roman"/>
        </w:rPr>
        <w:tab/>
      </w:r>
      <w:r w:rsidRPr="00BE47DF">
        <w:rPr>
          <w:rFonts w:ascii="Times New Roman" w:hAnsi="Times New Roman"/>
        </w:rPr>
        <w:t>-  Whether</w:t>
      </w:r>
      <w:r w:rsidRPr="00BE47DF">
        <w:rPr>
          <w:rFonts w:ascii="Times New Roman" w:hAnsi="Times New Roman"/>
        </w:rPr>
        <w:t xml:space="preserve"> the annuitant is then in receipt of annuity;</w:t>
      </w:r>
    </w:p>
    <w:p w:rsidR="00BE47DF" w:rsidRPr="00BE47DF" w:rsidP="00BE47DF" w14:paraId="1C3FB4C1" w14:textId="77777777">
      <w:pPr>
        <w:rPr>
          <w:rFonts w:ascii="Times New Roman" w:hAnsi="Times New Roman"/>
        </w:rPr>
      </w:pPr>
      <w:r w:rsidRPr="00BE47DF">
        <w:rPr>
          <w:rFonts w:ascii="Times New Roman" w:hAnsi="Times New Roman"/>
        </w:rPr>
        <w:tab/>
        <w:t>-  The gross monthly amount of annuity the annuitant is then receiving;</w:t>
      </w:r>
    </w:p>
    <w:p w:rsidR="00BE47DF" w:rsidRPr="00BE47DF" w:rsidP="00BE47DF" w14:paraId="53060CBB" w14:textId="77777777">
      <w:pPr>
        <w:rPr>
          <w:rFonts w:ascii="Times New Roman" w:hAnsi="Times New Roman"/>
        </w:rPr>
      </w:pPr>
      <w:r w:rsidRPr="00BE47DF">
        <w:rPr>
          <w:rFonts w:ascii="Times New Roman" w:hAnsi="Times New Roman"/>
        </w:rPr>
        <w:tab/>
      </w:r>
      <w:r w:rsidRPr="00BE47DF">
        <w:rPr>
          <w:rFonts w:ascii="Times New Roman" w:hAnsi="Times New Roman"/>
        </w:rPr>
        <w:t>-  Whether</w:t>
      </w:r>
      <w:r w:rsidRPr="00BE47DF">
        <w:rPr>
          <w:rFonts w:ascii="Times New Roman" w:hAnsi="Times New Roman"/>
        </w:rPr>
        <w:t xml:space="preserve"> the annuitant is retired on disability; and if so, whether the Office of </w:t>
      </w:r>
    </w:p>
    <w:p w:rsidR="00BE47DF" w:rsidRPr="00BE47DF" w:rsidP="00BE47DF" w14:paraId="2A2339C0" w14:textId="77777777">
      <w:pPr>
        <w:rPr>
          <w:rFonts w:ascii="Times New Roman" w:hAnsi="Times New Roman"/>
        </w:rPr>
      </w:pPr>
      <w:r w:rsidRPr="00BE47DF">
        <w:rPr>
          <w:rFonts w:ascii="Times New Roman" w:hAnsi="Times New Roman"/>
        </w:rPr>
        <w:tab/>
        <w:t xml:space="preserve">    Personnel Management (OPM) has found the annuitant recovered from the disability</w:t>
      </w:r>
    </w:p>
    <w:p w:rsidR="00BE47DF" w:rsidRPr="00BE47DF" w:rsidP="00BE47DF" w14:paraId="246B5018" w14:textId="77777777">
      <w:pPr>
        <w:rPr>
          <w:rFonts w:ascii="Times New Roman" w:hAnsi="Times New Roman"/>
        </w:rPr>
      </w:pPr>
      <w:r w:rsidRPr="00BE47DF">
        <w:rPr>
          <w:rFonts w:ascii="Times New Roman" w:hAnsi="Times New Roman"/>
        </w:rPr>
        <w:tab/>
        <w:t xml:space="preserve">    or restored to earning capacity; and</w:t>
      </w:r>
    </w:p>
    <w:p w:rsidR="00BE47DF" w:rsidRPr="00BE47DF" w:rsidP="00BE47DF" w14:paraId="57B97AC0" w14:textId="1CF7EC7C">
      <w:pPr>
        <w:rPr>
          <w:rFonts w:ascii="Times New Roman" w:hAnsi="Times New Roman"/>
        </w:rPr>
      </w:pPr>
      <w:r w:rsidRPr="00BE47DF">
        <w:rPr>
          <w:rFonts w:ascii="Times New Roman" w:hAnsi="Times New Roman"/>
        </w:rPr>
        <w:tab/>
      </w:r>
      <w:r w:rsidRPr="00BE47DF">
        <w:rPr>
          <w:rFonts w:ascii="Times New Roman" w:hAnsi="Times New Roman"/>
        </w:rPr>
        <w:t>-  If</w:t>
      </w:r>
      <w:r w:rsidRPr="00BE47DF">
        <w:rPr>
          <w:rFonts w:ascii="Times New Roman" w:hAnsi="Times New Roman"/>
        </w:rPr>
        <w:t xml:space="preserve"> the annuitant is retired under CSRS, whether the annuitant’s retirement was based on </w:t>
      </w:r>
      <w:r w:rsidRPr="00BE47DF">
        <w:rPr>
          <w:rFonts w:ascii="Times New Roman" w:hAnsi="Times New Roman"/>
        </w:rPr>
        <w:tab/>
      </w:r>
      <w:r w:rsidR="00DD7860">
        <w:rPr>
          <w:rFonts w:ascii="Times New Roman" w:hAnsi="Times New Roman"/>
        </w:rPr>
        <w:t xml:space="preserve">    </w:t>
      </w:r>
      <w:r w:rsidRPr="00BE47DF">
        <w:rPr>
          <w:rFonts w:ascii="Times New Roman" w:hAnsi="Times New Roman"/>
        </w:rPr>
        <w:t>an involuntary separation, not for charges of misconduct or delinquency.</w:t>
      </w:r>
    </w:p>
    <w:p w:rsidR="007D7F04" w:rsidP="00BE47DF" w14:paraId="06818944" w14:textId="77777777">
      <w:pPr>
        <w:rPr>
          <w:rFonts w:ascii="Times New Roman" w:hAnsi="Times New Roman"/>
        </w:rPr>
      </w:pPr>
    </w:p>
    <w:p w:rsidR="007D7F04" w:rsidP="007D7F04" w14:paraId="0772A68F" w14:textId="6A233874">
      <w:pPr>
        <w:ind w:firstLine="360"/>
        <w:rPr>
          <w:rFonts w:ascii="Times New Roman" w:hAnsi="Times New Roman"/>
        </w:rPr>
      </w:pPr>
      <w:r>
        <w:rPr>
          <w:rFonts w:ascii="Times New Roman" w:hAnsi="Times New Roman"/>
        </w:rPr>
        <w:t>The employing agency is required to provide specific information to OPM –</w:t>
      </w:r>
    </w:p>
    <w:p w:rsidR="007D7F04" w:rsidP="007D7F04" w14:paraId="042916F9" w14:textId="77777777">
      <w:pPr>
        <w:ind w:firstLine="360"/>
        <w:rPr>
          <w:rFonts w:ascii="Times New Roman" w:hAnsi="Times New Roman"/>
        </w:rPr>
      </w:pPr>
    </w:p>
    <w:p w:rsidR="007D7F04" w:rsidP="007D7F04" w14:paraId="35218270" w14:textId="77777777">
      <w:pPr>
        <w:ind w:left="720"/>
        <w:rPr>
          <w:rFonts w:ascii="Times New Roman" w:hAnsi="Times New Roman"/>
        </w:rPr>
      </w:pPr>
      <w:r>
        <w:rPr>
          <w:rFonts w:ascii="Times New Roman" w:hAnsi="Times New Roman"/>
        </w:rPr>
        <w:t>-  T</w:t>
      </w:r>
      <w:r w:rsidRPr="007D7F04">
        <w:rPr>
          <w:rFonts w:ascii="Times New Roman" w:hAnsi="Times New Roman"/>
        </w:rPr>
        <w:t>he</w:t>
      </w:r>
      <w:r w:rsidRPr="007D7F04">
        <w:rPr>
          <w:rFonts w:ascii="Times New Roman" w:hAnsi="Times New Roman"/>
        </w:rPr>
        <w:t xml:space="preserve"> annuitant's name, date of birth, social security number (if applicable), and</w:t>
      </w:r>
    </w:p>
    <w:p w:rsidR="007D7F04" w:rsidRPr="007D7F04" w:rsidP="00727CF2" w14:paraId="426564F3" w14:textId="7D1BF8B7">
      <w:pPr>
        <w:ind w:left="720"/>
        <w:rPr>
          <w:rFonts w:ascii="Times New Roman" w:hAnsi="Times New Roman"/>
        </w:rPr>
      </w:pPr>
      <w:r w:rsidRPr="007D7F04">
        <w:rPr>
          <w:rFonts w:ascii="Times New Roman" w:hAnsi="Times New Roman"/>
        </w:rPr>
        <w:t xml:space="preserve"> </w:t>
      </w:r>
      <w:r>
        <w:rPr>
          <w:rFonts w:ascii="Times New Roman" w:hAnsi="Times New Roman"/>
        </w:rPr>
        <w:t xml:space="preserve">   </w:t>
      </w:r>
      <w:r w:rsidRPr="007D7F04">
        <w:rPr>
          <w:rFonts w:ascii="Times New Roman" w:hAnsi="Times New Roman"/>
        </w:rPr>
        <w:t>retirement claim number;</w:t>
      </w:r>
    </w:p>
    <w:p w:rsidR="007D7F04" w:rsidRPr="007D7F04" w:rsidP="00727CF2" w14:paraId="46DE87A2" w14:textId="09C541E1">
      <w:pPr>
        <w:ind w:firstLine="720"/>
        <w:rPr>
          <w:rFonts w:ascii="Times New Roman" w:hAnsi="Times New Roman"/>
        </w:rPr>
      </w:pPr>
      <w:r>
        <w:rPr>
          <w:rFonts w:ascii="Times New Roman" w:hAnsi="Times New Roman"/>
        </w:rPr>
        <w:t xml:space="preserve">-  </w:t>
      </w:r>
      <w:r w:rsidRPr="007D7F04">
        <w:rPr>
          <w:rFonts w:ascii="Times New Roman" w:hAnsi="Times New Roman"/>
        </w:rPr>
        <w:t>A</w:t>
      </w:r>
      <w:r w:rsidRPr="007D7F04">
        <w:rPr>
          <w:rFonts w:ascii="Times New Roman" w:hAnsi="Times New Roman"/>
        </w:rPr>
        <w:t xml:space="preserve"> description of the kind of appointment;</w:t>
      </w:r>
    </w:p>
    <w:p w:rsidR="007D7F04" w:rsidP="007D7F04" w14:paraId="1037C52C" w14:textId="77777777">
      <w:pPr>
        <w:ind w:firstLine="720"/>
        <w:rPr>
          <w:rFonts w:ascii="Times New Roman" w:hAnsi="Times New Roman"/>
        </w:rPr>
      </w:pPr>
      <w:r>
        <w:rPr>
          <w:rFonts w:ascii="Times New Roman" w:hAnsi="Times New Roman"/>
        </w:rPr>
        <w:t xml:space="preserve">-  </w:t>
      </w:r>
      <w:r w:rsidRPr="007D7F04">
        <w:rPr>
          <w:rFonts w:ascii="Times New Roman" w:hAnsi="Times New Roman"/>
        </w:rPr>
        <w:t>Whether</w:t>
      </w:r>
      <w:r w:rsidRPr="007D7F04">
        <w:rPr>
          <w:rFonts w:ascii="Times New Roman" w:hAnsi="Times New Roman"/>
        </w:rPr>
        <w:t xml:space="preserve"> the amount of annuity allocable to the period of reemployment is, or will be,</w:t>
      </w:r>
    </w:p>
    <w:p w:rsidR="007D7F04" w:rsidRPr="007D7F04" w:rsidP="00727CF2" w14:paraId="62062505" w14:textId="75ADE019">
      <w:pPr>
        <w:ind w:firstLine="720"/>
        <w:rPr>
          <w:rFonts w:ascii="Times New Roman" w:hAnsi="Times New Roman"/>
        </w:rPr>
      </w:pPr>
      <w:r>
        <w:rPr>
          <w:rFonts w:ascii="Times New Roman" w:hAnsi="Times New Roman"/>
        </w:rPr>
        <w:t xml:space="preserve">   </w:t>
      </w:r>
      <w:r w:rsidRPr="007D7F04">
        <w:rPr>
          <w:rFonts w:ascii="Times New Roman" w:hAnsi="Times New Roman"/>
        </w:rPr>
        <w:t xml:space="preserve"> withheld from the reemployed annuitant's pay; and</w:t>
      </w:r>
    </w:p>
    <w:p w:rsidR="007D7F04" w:rsidRPr="007D7F04" w:rsidP="00727CF2" w14:paraId="20C7227C" w14:textId="0520501E">
      <w:pPr>
        <w:pStyle w:val="ListParagraph"/>
        <w:numPr>
          <w:ilvl w:val="0"/>
          <w:numId w:val="21"/>
        </w:numPr>
        <w:ind w:left="900" w:hanging="180"/>
      </w:pPr>
      <w:r w:rsidRPr="007D7F04">
        <w:t xml:space="preserve">When the appointment is an interim appointment under </w:t>
      </w:r>
      <w:r w:rsidRPr="009F1F45">
        <w:rPr>
          <w:rStyle w:val="Hyperlink"/>
          <w:color w:val="auto"/>
          <w:u w:val="none"/>
        </w:rPr>
        <w:t>5 C.F.R.</w:t>
      </w:r>
      <w:r w:rsidRPr="009F1F45">
        <w:rPr>
          <w:rStyle w:val="Hyperlink"/>
          <w:color w:val="auto"/>
        </w:rPr>
        <w:t xml:space="preserve"> </w:t>
      </w:r>
      <w:r w:rsidRPr="00727CF2">
        <w:t>772.102</w:t>
      </w:r>
      <w:r w:rsidRPr="007D7F04">
        <w:t>, an explicit statement that the appointment is required by the Whistleblower Protection Act of 1989.</w:t>
      </w:r>
    </w:p>
    <w:p w:rsidR="007D7F04" w:rsidP="00727CF2" w14:paraId="78F9FC32" w14:textId="77777777">
      <w:pPr>
        <w:ind w:firstLine="360"/>
        <w:rPr>
          <w:rFonts w:ascii="Times New Roman" w:hAnsi="Times New Roman"/>
        </w:rPr>
      </w:pPr>
    </w:p>
    <w:p w:rsidR="00BE47DF" w:rsidP="00BE47DF" w14:paraId="25A0D974" w14:textId="26C2F21C">
      <w:pPr>
        <w:rPr>
          <w:rFonts w:ascii="Times New Roman" w:hAnsi="Times New Roman"/>
        </w:rPr>
      </w:pPr>
      <w:r>
        <w:rPr>
          <w:rFonts w:ascii="Times New Roman" w:hAnsi="Times New Roman"/>
        </w:rPr>
        <w:t xml:space="preserve"> </w:t>
      </w:r>
    </w:p>
    <w:p w:rsidR="001461A3" w:rsidRPr="001461A3" w:rsidP="00BB4D6D" w14:paraId="7C2D43EC" w14:textId="301A3482">
      <w:pPr>
        <w:numPr>
          <w:ilvl w:val="0"/>
          <w:numId w:val="10"/>
        </w:numPr>
        <w:shd w:val="clear" w:color="auto" w:fill="BFBFBF" w:themeFill="background1" w:themeFillShade="BF"/>
        <w:rPr>
          <w:rFonts w:ascii="Times New Roman" w:hAnsi="Times New Roman"/>
        </w:rPr>
      </w:pPr>
      <w:r w:rsidRPr="00BB4D6D">
        <w:rPr>
          <w:rFonts w:ascii="Times New Roman" w:hAnsi="Times New Roman"/>
          <w:i/>
          <w:iCs/>
          <w:szCs w:val="20"/>
        </w:rPr>
        <w:t>Describe how, by whom, and for what purpose the information is to be used.  Except for a new collection, describe how the agency has made use of the information received from the current collection. </w:t>
      </w:r>
      <w:r w:rsidRPr="00BB4D6D">
        <w:rPr>
          <w:rFonts w:ascii="Times New Roman" w:hAnsi="Times New Roman"/>
          <w:szCs w:val="20"/>
        </w:rPr>
        <w:t> </w:t>
      </w:r>
    </w:p>
    <w:p w:rsidR="00BB4D6D" w:rsidP="001461A3" w14:paraId="29DC2470" w14:textId="77777777">
      <w:pPr>
        <w:pStyle w:val="ListParagraph"/>
        <w:tabs>
          <w:tab w:val="left" w:pos="-720"/>
        </w:tabs>
        <w:suppressAutoHyphens/>
      </w:pPr>
    </w:p>
    <w:p w:rsidR="007F6F56" w:rsidP="001461A3" w14:paraId="0E805046" w14:textId="326C9EDC">
      <w:pPr>
        <w:ind w:left="660"/>
        <w:rPr>
          <w:rFonts w:ascii="Times New Roman" w:hAnsi="Times New Roman"/>
          <w:szCs w:val="20"/>
        </w:rPr>
      </w:pPr>
      <w:r w:rsidRPr="00BE47DF">
        <w:rPr>
          <w:rFonts w:ascii="Times New Roman" w:hAnsi="Times New Roman"/>
          <w:szCs w:val="20"/>
        </w:rPr>
        <w:t xml:space="preserve">The </w:t>
      </w:r>
      <w:r w:rsidRPr="00BE47DF">
        <w:rPr>
          <w:rFonts w:ascii="Times New Roman" w:hAnsi="Times New Roman"/>
          <w:szCs w:val="20"/>
        </w:rPr>
        <w:t>reemploying</w:t>
      </w:r>
      <w:r w:rsidRPr="00BE47DF">
        <w:rPr>
          <w:rFonts w:ascii="Times New Roman" w:hAnsi="Times New Roman"/>
          <w:szCs w:val="20"/>
        </w:rPr>
        <w:t xml:space="preserve"> agency uses this information to determine whether annuity should be offset from the reemployed annuitant’s pay, and if so, how much.  If this information collection were not made the agencies could not comply with the law.</w:t>
      </w:r>
    </w:p>
    <w:p w:rsidR="00BE47DF" w:rsidP="001461A3" w14:paraId="67F588E3" w14:textId="77777777">
      <w:pPr>
        <w:ind w:left="660"/>
        <w:rPr>
          <w:rFonts w:ascii="Times New Roman" w:hAnsi="Times New Roman"/>
        </w:rPr>
      </w:pPr>
    </w:p>
    <w:p w:rsidR="007F6F56" w:rsidRPr="001461A3" w:rsidP="003803D0" w14:paraId="31069BE7" w14:textId="6340E37D">
      <w:pPr>
        <w:numPr>
          <w:ilvl w:val="0"/>
          <w:numId w:val="10"/>
        </w:numPr>
        <w:shd w:val="clear" w:color="auto" w:fill="BFBFBF" w:themeFill="background1" w:themeFillShade="BF"/>
        <w:rPr>
          <w:rFonts w:ascii="Times New Roman" w:hAnsi="Times New Roman"/>
        </w:rPr>
      </w:pPr>
      <w:r w:rsidRPr="003803D0">
        <w:rPr>
          <w:rFonts w:ascii="Times New Roman" w:hAnsi="Times New Roman"/>
          <w:i/>
          <w:iCs/>
          <w:szCs w:val="20"/>
        </w:rPr>
        <w:t>How are the respondents expected to complete the collection?</w:t>
      </w:r>
      <w:r w:rsidR="008A4E5A">
        <w:rPr>
          <w:rFonts w:ascii="Times New Roman" w:hAnsi="Times New Roman"/>
          <w:i/>
          <w:iCs/>
          <w:szCs w:val="20"/>
        </w:rPr>
        <w:t xml:space="preserve"> </w:t>
      </w:r>
      <w:r w:rsidRPr="008A4E5A" w:rsidR="008A4E5A">
        <w:rPr>
          <w:rFonts w:ascii="Times New Roman" w:hAnsi="Times New Roman"/>
          <w:i/>
          <w:iCs/>
          <w:szCs w:val="20"/>
        </w:rPr>
        <w:t>Can this collection be completed electronically (e.g., through a website or application)?  </w:t>
      </w:r>
      <w:r w:rsidRPr="003803D0">
        <w:rPr>
          <w:rFonts w:ascii="Times New Roman" w:hAnsi="Times New Roman"/>
          <w:i/>
          <w:iCs/>
          <w:szCs w:val="20"/>
        </w:rPr>
        <w:t xml:space="preserve"> </w:t>
      </w:r>
    </w:p>
    <w:p w:rsidR="003803D0" w:rsidP="00891D75" w14:paraId="2792EB10" w14:textId="77777777">
      <w:pPr>
        <w:ind w:left="660"/>
        <w:rPr>
          <w:rFonts w:ascii="Times New Roman" w:hAnsi="Times New Roman"/>
        </w:rPr>
      </w:pPr>
    </w:p>
    <w:p w:rsidR="007D7F04" w:rsidP="000C7A35" w14:paraId="0139E901" w14:textId="77777777">
      <w:pPr>
        <w:ind w:left="660"/>
        <w:rPr>
          <w:rFonts w:ascii="Times New Roman" w:hAnsi="Times New Roman"/>
        </w:rPr>
      </w:pPr>
      <w:r w:rsidRPr="004449AD">
        <w:rPr>
          <w:rFonts w:ascii="Times New Roman" w:hAnsi="Times New Roman"/>
        </w:rPr>
        <w:t xml:space="preserve">A written or oral request by the </w:t>
      </w:r>
      <w:r w:rsidRPr="004449AD">
        <w:rPr>
          <w:rFonts w:ascii="Times New Roman" w:hAnsi="Times New Roman"/>
        </w:rPr>
        <w:t>employing</w:t>
      </w:r>
      <w:r w:rsidRPr="004449AD">
        <w:rPr>
          <w:rFonts w:ascii="Times New Roman" w:hAnsi="Times New Roman"/>
        </w:rPr>
        <w:t xml:space="preserve"> agency at the time of reemployment is the most efficient means of obtaining this information. </w:t>
      </w:r>
    </w:p>
    <w:p w:rsidR="007D7F04" w:rsidP="000C7A35" w14:paraId="64B54D3B" w14:textId="77777777">
      <w:pPr>
        <w:ind w:left="660"/>
        <w:rPr>
          <w:rFonts w:ascii="Times New Roman" w:hAnsi="Times New Roman"/>
        </w:rPr>
      </w:pPr>
    </w:p>
    <w:p w:rsidR="00891D75" w:rsidRPr="00727CF2" w:rsidP="00B27BBA" w14:paraId="58966617" w14:textId="07A5E7E1">
      <w:pPr>
        <w:pStyle w:val="ListParagraph"/>
        <w:numPr>
          <w:ilvl w:val="0"/>
          <w:numId w:val="10"/>
        </w:numPr>
        <w:shd w:val="clear" w:color="auto" w:fill="BFBFBF" w:themeFill="background1" w:themeFillShade="BF"/>
        <w:rPr>
          <w:i/>
          <w:iCs/>
        </w:rPr>
      </w:pPr>
      <w:r w:rsidRPr="00727CF2">
        <w:rPr>
          <w:i/>
          <w:iCs/>
        </w:rPr>
        <w:t>Does this collection duplicate any other collection of information? Describe why the agency doesn’t already have this information within their systems.</w:t>
      </w:r>
    </w:p>
    <w:p w:rsidR="00262A15" w:rsidP="00891D75" w14:paraId="69C85154" w14:textId="77777777">
      <w:pPr>
        <w:pStyle w:val="ListParagraph"/>
        <w:tabs>
          <w:tab w:val="left" w:pos="-720"/>
        </w:tabs>
        <w:suppressAutoHyphens/>
      </w:pPr>
    </w:p>
    <w:p w:rsidR="00891D75" w:rsidP="2F5FEB4F" w14:paraId="0C5005FA" w14:textId="457E4F42">
      <w:pPr>
        <w:pStyle w:val="ListParagraph"/>
        <w:suppressAutoHyphens/>
      </w:pPr>
      <w:r>
        <w:t>Th</w:t>
      </w:r>
      <w:r w:rsidR="458265C0">
        <w:t xml:space="preserve">e </w:t>
      </w:r>
      <w:r>
        <w:t xml:space="preserve">information </w:t>
      </w:r>
      <w:r w:rsidR="3F6455FA">
        <w:t xml:space="preserve">collected is a unique capture of the </w:t>
      </w:r>
      <w:r>
        <w:t>retiree</w:t>
      </w:r>
      <w:r w:rsidR="3E97D981">
        <w:t>’</w:t>
      </w:r>
      <w:r>
        <w:t xml:space="preserve">s </w:t>
      </w:r>
      <w:r w:rsidR="345341E3">
        <w:t>individual annuity amount and current</w:t>
      </w:r>
      <w:r>
        <w:t xml:space="preserve"> government position</w:t>
      </w:r>
      <w:r w:rsidR="12341AC4">
        <w:t xml:space="preserve"> offer that can neither be duplicated nor found within any current OPM system</w:t>
      </w:r>
      <w:r>
        <w:t>.  Agencies need to collect timely information regarding the type and amount of annuity being received so the correct rate of pay can be determined. Agencies provide this information to OPM so a determination can be made whether the reemployed retiree’s annuity must be terminated</w:t>
      </w:r>
      <w:r w:rsidR="00262A15">
        <w:t>.</w:t>
      </w:r>
    </w:p>
    <w:p w:rsidR="00262A15" w:rsidP="00891D75" w14:paraId="1C8DEC67" w14:textId="77777777">
      <w:pPr>
        <w:pStyle w:val="ListParagraph"/>
        <w:tabs>
          <w:tab w:val="left" w:pos="-720"/>
        </w:tabs>
        <w:suppressAutoHyphens/>
      </w:pPr>
    </w:p>
    <w:p w:rsidR="00891D75" w:rsidP="00092BE2" w14:paraId="6A850816" w14:textId="12EB2BEA">
      <w:pPr>
        <w:numPr>
          <w:ilvl w:val="0"/>
          <w:numId w:val="10"/>
        </w:numPr>
        <w:shd w:val="clear" w:color="auto" w:fill="BFBFBF" w:themeFill="background1" w:themeFillShade="BF"/>
      </w:pPr>
      <w:r w:rsidRPr="00092BE2">
        <w:rPr>
          <w:rFonts w:ascii="Times New Roman" w:hAnsi="Times New Roman"/>
          <w:i/>
          <w:iCs/>
          <w:szCs w:val="20"/>
        </w:rPr>
        <w:t>Describe any impacts on small business. If applicable, describe any methods used to minimize those impacts.</w:t>
      </w:r>
      <w:r>
        <w:rPr>
          <w:rFonts w:ascii="Times New Roman" w:hAnsi="Times New Roman"/>
          <w:i/>
          <w:iCs/>
          <w:szCs w:val="20"/>
          <w:shd w:val="clear" w:color="auto" w:fill="BFBFBF" w:themeFill="background1" w:themeFillShade="BF"/>
        </w:rPr>
        <w:t xml:space="preserve"> </w:t>
      </w:r>
    </w:p>
    <w:p w:rsidR="00A57790" w:rsidP="00891D75" w14:paraId="02A4E9BB" w14:textId="77777777">
      <w:pPr>
        <w:ind w:firstLine="660"/>
        <w:rPr>
          <w:rFonts w:ascii="Times New Roman" w:hAnsi="Times New Roman"/>
        </w:rPr>
      </w:pPr>
    </w:p>
    <w:p w:rsidR="00A57790" w:rsidP="00A57790" w14:paraId="59156D2E" w14:textId="77777777">
      <w:pPr>
        <w:ind w:firstLine="660"/>
        <w:rPr>
          <w:rFonts w:ascii="Times New Roman" w:hAnsi="Times New Roman"/>
        </w:rPr>
      </w:pPr>
      <w:r>
        <w:rPr>
          <w:rFonts w:ascii="Times New Roman" w:hAnsi="Times New Roman"/>
        </w:rPr>
        <w:t xml:space="preserve"> </w:t>
      </w:r>
      <w:r w:rsidRPr="001461A3" w:rsidR="002613FD">
        <w:rPr>
          <w:rFonts w:ascii="Times New Roman" w:hAnsi="Times New Roman"/>
        </w:rPr>
        <w:t>This information collection request has no impact on small businesses and organizations.</w:t>
      </w:r>
    </w:p>
    <w:p w:rsidR="00A57790" w:rsidP="00A57790" w14:paraId="0C7DEE07" w14:textId="77777777">
      <w:pPr>
        <w:ind w:firstLine="660"/>
        <w:rPr>
          <w:rFonts w:ascii="Times New Roman" w:hAnsi="Times New Roman"/>
        </w:rPr>
      </w:pPr>
    </w:p>
    <w:p w:rsidR="00A57790" w:rsidRPr="00092BE2" w:rsidP="00092BE2" w14:paraId="55B19200" w14:textId="5149DBA8">
      <w:pPr>
        <w:numPr>
          <w:ilvl w:val="0"/>
          <w:numId w:val="10"/>
        </w:numPr>
        <w:shd w:val="clear" w:color="auto" w:fill="BFBFBF" w:themeFill="background1" w:themeFillShade="BF"/>
        <w:rPr>
          <w:rFonts w:ascii="Times New Roman" w:hAnsi="Times New Roman"/>
        </w:rPr>
      </w:pPr>
      <w:r w:rsidRPr="00092BE2">
        <w:rPr>
          <w:rFonts w:ascii="Times New Roman" w:hAnsi="Times New Roman"/>
          <w:i/>
          <w:iCs/>
        </w:rPr>
        <w:t>What are consequences to the Federal program or policy goals if this collection is not done or the information is collected less frequently? Describe any technical or legal obstacles to reducing burden.</w:t>
      </w:r>
      <w:r w:rsidRPr="00092BE2" w:rsidR="00043D0F">
        <w:rPr>
          <w:rFonts w:ascii="Times New Roman" w:hAnsi="Times New Roman"/>
          <w:i/>
          <w:iCs/>
        </w:rPr>
        <w:tab/>
      </w:r>
    </w:p>
    <w:p w:rsidR="004449AD" w:rsidP="004449AD" w14:paraId="3B3445E1" w14:textId="77777777">
      <w:pPr>
        <w:pStyle w:val="ListParagraph"/>
      </w:pPr>
    </w:p>
    <w:p w:rsidR="004449AD" w:rsidP="004449AD" w14:paraId="58B07105" w14:textId="2FAD3992">
      <w:pPr>
        <w:pStyle w:val="ListParagraph"/>
      </w:pPr>
      <w:r>
        <w:t xml:space="preserve">If this information is not collected, OPM may pay </w:t>
      </w:r>
      <w:r>
        <w:t>persons</w:t>
      </w:r>
      <w:r>
        <w:t xml:space="preserve"> who are no longer eligible</w:t>
      </w:r>
      <w:r w:rsidR="007D7F04">
        <w:t xml:space="preserve"> and/or agencies may overpay salary to reemployed annuitants</w:t>
      </w:r>
      <w:r>
        <w:t>. The information is collected only once in each case.</w:t>
      </w:r>
    </w:p>
    <w:p w:rsidR="00891D75" w:rsidP="00891D75" w14:paraId="2359F457" w14:textId="77777777">
      <w:pPr>
        <w:ind w:left="660"/>
        <w:rPr>
          <w:rFonts w:ascii="Times New Roman" w:hAnsi="Times New Roman"/>
        </w:rPr>
      </w:pPr>
    </w:p>
    <w:p w:rsidR="00401B4E" w:rsidRPr="00401B4E" w:rsidP="00401B4E" w14:paraId="7C96852E" w14:textId="77777777">
      <w:pPr>
        <w:numPr>
          <w:ilvl w:val="0"/>
          <w:numId w:val="11"/>
        </w:numPr>
        <w:shd w:val="clear" w:color="auto" w:fill="BFBFBF" w:themeFill="background1" w:themeFillShade="BF"/>
        <w:rPr>
          <w:rFonts w:ascii="Times New Roman" w:hAnsi="Times New Roman"/>
          <w:szCs w:val="20"/>
        </w:rPr>
      </w:pPr>
      <w:r w:rsidRPr="00401B4E">
        <w:rPr>
          <w:rFonts w:ascii="Times New Roman" w:hAnsi="Times New Roman"/>
          <w:i/>
          <w:iCs/>
          <w:szCs w:val="20"/>
        </w:rPr>
        <w:t>Do any of the following special circumstances apply?</w:t>
      </w:r>
      <w:r w:rsidRPr="00401B4E">
        <w:rPr>
          <w:rFonts w:ascii="Times New Roman" w:hAnsi="Times New Roman"/>
          <w:szCs w:val="20"/>
        </w:rPr>
        <w:t>  </w:t>
      </w:r>
    </w:p>
    <w:p w:rsidR="00401B4E" w:rsidRPr="00401B4E" w:rsidP="00401B4E" w14:paraId="3580208F"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 requiring respondents to report information to the agency more often than quarterly; </w:t>
      </w:r>
      <w:r w:rsidRPr="00401B4E">
        <w:rPr>
          <w:rFonts w:ascii="Times New Roman" w:hAnsi="Times New Roman"/>
          <w:szCs w:val="20"/>
        </w:rPr>
        <w:t> </w:t>
      </w:r>
    </w:p>
    <w:p w:rsidR="00401B4E" w:rsidRPr="00401B4E" w:rsidP="00401B4E" w14:paraId="0F6DE8B1"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•requiring respondents to prepare a written response to a collection of information in fewer than 30 days after receipt of it;  </w:t>
      </w:r>
      <w:r w:rsidRPr="00401B4E">
        <w:rPr>
          <w:rFonts w:ascii="Times New Roman" w:hAnsi="Times New Roman"/>
          <w:szCs w:val="20"/>
        </w:rPr>
        <w:t> </w:t>
      </w:r>
    </w:p>
    <w:p w:rsidR="00401B4E" w:rsidRPr="00401B4E" w:rsidP="00401B4E" w14:paraId="06848082"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•requiring respondents to submit more than an original and two copies of any document; </w:t>
      </w:r>
      <w:r w:rsidRPr="00401B4E">
        <w:rPr>
          <w:rFonts w:ascii="Times New Roman" w:hAnsi="Times New Roman"/>
          <w:szCs w:val="20"/>
        </w:rPr>
        <w:t> </w:t>
      </w:r>
    </w:p>
    <w:p w:rsidR="00401B4E" w:rsidRPr="00401B4E" w:rsidP="00401B4E" w14:paraId="2442A32A"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 requiring respondents to retain records, other than health, medical, government contract, grant-in-aid, or tax records, for more than three years; </w:t>
      </w:r>
      <w:r w:rsidRPr="00401B4E">
        <w:rPr>
          <w:rFonts w:ascii="Times New Roman" w:hAnsi="Times New Roman"/>
          <w:szCs w:val="20"/>
        </w:rPr>
        <w:t> </w:t>
      </w:r>
    </w:p>
    <w:p w:rsidR="00401B4E" w:rsidRPr="00401B4E" w:rsidP="00401B4E" w14:paraId="2B7A54FB"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 xml:space="preserve">• in connection with a statistical </w:t>
      </w:r>
      <w:r w:rsidRPr="00401B4E">
        <w:rPr>
          <w:rFonts w:ascii="Times New Roman" w:hAnsi="Times New Roman"/>
          <w:i/>
          <w:iCs/>
          <w:szCs w:val="20"/>
        </w:rPr>
        <w:t>survey,</w:t>
      </w:r>
      <w:r w:rsidRPr="00401B4E">
        <w:rPr>
          <w:rFonts w:ascii="Times New Roman" w:hAnsi="Times New Roman"/>
          <w:i/>
          <w:iCs/>
          <w:szCs w:val="20"/>
        </w:rPr>
        <w:t xml:space="preserve"> that is not designed to produce valid and reliable results that can be generalized to the universe of study; </w:t>
      </w:r>
      <w:r w:rsidRPr="00401B4E">
        <w:rPr>
          <w:rFonts w:ascii="Times New Roman" w:hAnsi="Times New Roman"/>
          <w:szCs w:val="20"/>
        </w:rPr>
        <w:t> </w:t>
      </w:r>
    </w:p>
    <w:p w:rsidR="00401B4E" w:rsidRPr="00401B4E" w:rsidP="00401B4E" w14:paraId="0F1AE90B"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 requiring the use of a statistical data classification that has not been reviewed and approved by OMB; </w:t>
      </w:r>
      <w:r w:rsidRPr="00401B4E">
        <w:rPr>
          <w:rFonts w:ascii="Times New Roman" w:hAnsi="Times New Roman"/>
          <w:szCs w:val="20"/>
        </w:rPr>
        <w:t> </w:t>
      </w:r>
    </w:p>
    <w:p w:rsidR="00401B4E" w:rsidRPr="00401B4E" w:rsidP="00401B4E" w14:paraId="166B05E5"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401B4E">
        <w:rPr>
          <w:rFonts w:ascii="Times New Roman" w:hAnsi="Times New Roman"/>
          <w:szCs w:val="20"/>
        </w:rPr>
        <w:t> </w:t>
      </w:r>
    </w:p>
    <w:p w:rsidR="00401B4E" w:rsidRPr="00401B4E" w:rsidP="00401B4E" w14:paraId="22CDCCD4"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 requiring respondents to submit proprietary trade secrets, or other confidential information unless the agency can demonstrate that it has instituted procedures to protect the information's confidentiality to the extent permitted by law.</w:t>
      </w:r>
      <w:r w:rsidRPr="00401B4E">
        <w:rPr>
          <w:rFonts w:ascii="Times New Roman" w:hAnsi="Times New Roman"/>
          <w:szCs w:val="20"/>
        </w:rPr>
        <w:t> </w:t>
      </w:r>
    </w:p>
    <w:p w:rsidR="00401B4E" w:rsidP="00401B4E" w14:paraId="29AF3F51" w14:textId="77777777">
      <w:pPr>
        <w:ind w:left="660"/>
        <w:rPr>
          <w:rFonts w:ascii="Times New Roman" w:hAnsi="Times New Roman"/>
          <w:szCs w:val="20"/>
        </w:rPr>
      </w:pPr>
    </w:p>
    <w:p w:rsidR="00401B4E" w:rsidP="00401B4E" w14:paraId="4C37A20E" w14:textId="3BD3068E">
      <w:pPr>
        <w:ind w:left="660"/>
        <w:rPr>
          <w:rFonts w:ascii="Times New Roman" w:hAnsi="Times New Roman"/>
          <w:szCs w:val="20"/>
        </w:rPr>
      </w:pPr>
      <w:r w:rsidRPr="00401B4E">
        <w:rPr>
          <w:rFonts w:ascii="Times New Roman" w:hAnsi="Times New Roman"/>
          <w:szCs w:val="20"/>
        </w:rPr>
        <w:t>There are no special circumstances involved in the collection of this information. </w:t>
      </w:r>
    </w:p>
    <w:p w:rsidR="00092BE2" w:rsidP="00092BE2" w14:paraId="12C0CC6F" w14:textId="77777777">
      <w:pPr>
        <w:rPr>
          <w:rFonts w:ascii="Times New Roman" w:hAnsi="Times New Roman"/>
          <w:szCs w:val="20"/>
        </w:rPr>
      </w:pPr>
    </w:p>
    <w:p w:rsidR="00092BE2" w:rsidRPr="00092BE2" w:rsidP="00092BE2" w14:paraId="30FCE528" w14:textId="5B8310FF">
      <w:pPr>
        <w:numPr>
          <w:ilvl w:val="0"/>
          <w:numId w:val="20"/>
        </w:numPr>
        <w:shd w:val="clear" w:color="auto" w:fill="BFBFBF" w:themeFill="background1" w:themeFillShade="BF"/>
        <w:rPr>
          <w:rFonts w:ascii="Times New Roman" w:hAnsi="Times New Roman"/>
          <w:szCs w:val="20"/>
        </w:rPr>
      </w:pPr>
      <w:r w:rsidRPr="00092BE2">
        <w:rPr>
          <w:rFonts w:ascii="Times New Roman" w:hAnsi="Times New Roman"/>
          <w:i/>
          <w:iCs/>
          <w:szCs w:val="20"/>
        </w:rPr>
        <w:t>Cite the Federal Register publication for a request for public comments and address any comments received.</w:t>
      </w:r>
      <w:r w:rsidRPr="00092BE2">
        <w:rPr>
          <w:rFonts w:ascii="Times New Roman" w:hAnsi="Times New Roman"/>
          <w:szCs w:val="20"/>
        </w:rPr>
        <w:t> </w:t>
      </w:r>
    </w:p>
    <w:p w:rsidR="00092BE2" w:rsidP="00092BE2" w14:paraId="4A052C65" w14:textId="77777777">
      <w:pPr>
        <w:ind w:firstLine="720"/>
        <w:rPr>
          <w:rFonts w:ascii="Times New Roman" w:hAnsi="Times New Roman"/>
          <w:szCs w:val="20"/>
        </w:rPr>
      </w:pPr>
    </w:p>
    <w:p w:rsidR="00092BE2" w:rsidRPr="00401B4E" w:rsidP="00A415BF" w14:paraId="165055E9" w14:textId="44F483E3">
      <w:pPr>
        <w:ind w:left="720"/>
        <w:rPr>
          <w:rFonts w:ascii="Times New Roman" w:hAnsi="Times New Roman"/>
          <w:szCs w:val="20"/>
        </w:rPr>
      </w:pPr>
      <w:r w:rsidRPr="00092BE2">
        <w:rPr>
          <w:rFonts w:ascii="Times New Roman" w:hAnsi="Times New Roman"/>
          <w:szCs w:val="20"/>
        </w:rPr>
        <w:t xml:space="preserve">On </w:t>
      </w:r>
      <w:r w:rsidR="00C82F0A">
        <w:rPr>
          <w:rFonts w:ascii="Times New Roman" w:hAnsi="Times New Roman"/>
          <w:szCs w:val="20"/>
        </w:rPr>
        <w:t xml:space="preserve">June </w:t>
      </w:r>
      <w:r w:rsidR="003B134E">
        <w:rPr>
          <w:rFonts w:ascii="Times New Roman" w:hAnsi="Times New Roman"/>
          <w:szCs w:val="20"/>
        </w:rPr>
        <w:t>2</w:t>
      </w:r>
      <w:r w:rsidR="00A415BF">
        <w:rPr>
          <w:rFonts w:ascii="Times New Roman" w:hAnsi="Times New Roman"/>
          <w:szCs w:val="20"/>
        </w:rPr>
        <w:t>, 2025</w:t>
      </w:r>
      <w:r w:rsidRPr="00092BE2">
        <w:rPr>
          <w:rFonts w:ascii="Times New Roman" w:hAnsi="Times New Roman"/>
          <w:szCs w:val="20"/>
        </w:rPr>
        <w:t>, a 60-Day Federal Register Notice was published at 9</w:t>
      </w:r>
      <w:r w:rsidR="00A415BF">
        <w:rPr>
          <w:rFonts w:ascii="Times New Roman" w:hAnsi="Times New Roman"/>
          <w:szCs w:val="20"/>
        </w:rPr>
        <w:t>0</w:t>
      </w:r>
      <w:r w:rsidRPr="00092BE2">
        <w:rPr>
          <w:rFonts w:ascii="Times New Roman" w:hAnsi="Times New Roman"/>
          <w:szCs w:val="20"/>
        </w:rPr>
        <w:t xml:space="preserve"> FR </w:t>
      </w:r>
      <w:r w:rsidR="00C82F0A">
        <w:rPr>
          <w:rFonts w:ascii="Times New Roman" w:hAnsi="Times New Roman"/>
          <w:szCs w:val="20"/>
        </w:rPr>
        <w:t>23385</w:t>
      </w:r>
      <w:r w:rsidRPr="00092BE2">
        <w:rPr>
          <w:rFonts w:ascii="Times New Roman" w:hAnsi="Times New Roman"/>
          <w:szCs w:val="20"/>
        </w:rPr>
        <w:t xml:space="preserve"> requesting comments. No comments were received. </w:t>
      </w:r>
    </w:p>
    <w:p w:rsidR="00401B4E" w:rsidRPr="00401B4E" w:rsidP="00401B4E" w14:paraId="6DE40803" w14:textId="431CD613">
      <w:pPr>
        <w:ind w:left="660"/>
        <w:rPr>
          <w:rFonts w:ascii="Times New Roman" w:hAnsi="Times New Roman"/>
          <w:szCs w:val="20"/>
        </w:rPr>
      </w:pPr>
      <w:r w:rsidRPr="00401B4E">
        <w:rPr>
          <w:rFonts w:ascii="Times New Roman" w:hAnsi="Times New Roman"/>
          <w:szCs w:val="20"/>
        </w:rPr>
        <w:t>  </w:t>
      </w:r>
    </w:p>
    <w:p w:rsidR="00401B4E" w:rsidRPr="00A415BF" w:rsidP="00A415BF" w14:paraId="19A9873A" w14:textId="39A10AA9">
      <w:pPr>
        <w:pStyle w:val="ListParagraph"/>
        <w:numPr>
          <w:ilvl w:val="0"/>
          <w:numId w:val="20"/>
        </w:numPr>
        <w:shd w:val="clear" w:color="auto" w:fill="BFBFBF" w:themeFill="background1" w:themeFillShade="BF"/>
        <w:tabs>
          <w:tab w:val="left" w:pos="-720"/>
        </w:tabs>
        <w:suppressAutoHyphens/>
        <w:rPr>
          <w:i/>
          <w:iCs/>
        </w:rPr>
      </w:pPr>
      <w:r w:rsidRPr="00A415BF">
        <w:rPr>
          <w:i/>
          <w:iCs/>
        </w:rPr>
        <w:t>Are payments or gifts given to the respondents? </w:t>
      </w:r>
    </w:p>
    <w:p w:rsidR="00401B4E" w:rsidP="00401B4E" w14:paraId="38EECB9B" w14:textId="77777777">
      <w:pPr>
        <w:pStyle w:val="ListParagraph"/>
        <w:tabs>
          <w:tab w:val="left" w:pos="-720"/>
        </w:tabs>
        <w:suppressAutoHyphens/>
        <w:rPr>
          <w:i/>
          <w:iCs/>
        </w:rPr>
      </w:pPr>
    </w:p>
    <w:p w:rsidR="00401B4E" w:rsidRPr="00401B4E" w:rsidP="00401B4E" w14:paraId="17B5691B" w14:textId="111DA27A">
      <w:pPr>
        <w:pStyle w:val="ListParagraph"/>
        <w:tabs>
          <w:tab w:val="left" w:pos="-720"/>
        </w:tabs>
        <w:suppressAutoHyphens/>
      </w:pPr>
      <w:r w:rsidRPr="00401B4E">
        <w:t>No gifts or payments of any kind have been provided to any individuals who are connected to this collection. </w:t>
      </w:r>
    </w:p>
    <w:p w:rsidR="00401B4E" w:rsidRPr="00401B4E" w:rsidP="00401B4E" w14:paraId="258DEAA8" w14:textId="77777777">
      <w:pPr>
        <w:pStyle w:val="ListParagraph"/>
        <w:tabs>
          <w:tab w:val="left" w:pos="-720"/>
        </w:tabs>
        <w:suppressAutoHyphens/>
        <w:rPr>
          <w:i/>
          <w:iCs/>
        </w:rPr>
      </w:pPr>
      <w:r w:rsidRPr="00401B4E">
        <w:rPr>
          <w:i/>
          <w:iCs/>
        </w:rPr>
        <w:t> </w:t>
      </w:r>
    </w:p>
    <w:p w:rsidR="00401B4E" w:rsidRPr="00092BE2" w:rsidP="00A415BF" w14:paraId="506FEB33" w14:textId="33A45A5A">
      <w:pPr>
        <w:pStyle w:val="ListParagraph"/>
        <w:numPr>
          <w:ilvl w:val="0"/>
          <w:numId w:val="20"/>
        </w:numPr>
        <w:shd w:val="clear" w:color="auto" w:fill="BFBFBF" w:themeFill="background1" w:themeFillShade="BF"/>
        <w:tabs>
          <w:tab w:val="left" w:pos="-720"/>
        </w:tabs>
        <w:suppressAutoHyphens/>
        <w:rPr>
          <w:i/>
          <w:iCs/>
        </w:rPr>
      </w:pPr>
      <w:r w:rsidRPr="00092BE2">
        <w:rPr>
          <w:i/>
          <w:iCs/>
        </w:rPr>
        <w:t>Describe any assurances of privacy/confidentiality. Cite specific privacy laws, relevant OPM regulations, and SORNs. </w:t>
      </w:r>
    </w:p>
    <w:p w:rsidR="00401B4E" w:rsidP="00401B4E" w14:paraId="1DCE2797" w14:textId="77777777">
      <w:pPr>
        <w:pStyle w:val="ListParagraph"/>
        <w:tabs>
          <w:tab w:val="left" w:pos="-720"/>
        </w:tabs>
        <w:suppressAutoHyphens/>
      </w:pPr>
    </w:p>
    <w:p w:rsidR="00401B4E" w:rsidRPr="00401B4E" w:rsidP="00401B4E" w14:paraId="709ED7E5" w14:textId="6D63840F">
      <w:pPr>
        <w:pStyle w:val="ListParagraph"/>
        <w:tabs>
          <w:tab w:val="left" w:pos="-720"/>
        </w:tabs>
        <w:suppressAutoHyphens/>
      </w:pPr>
      <w:r w:rsidRPr="00401B4E">
        <w:t>This information collection is protected by the Privacy Act of 1974 and OPM regulations (5 CFR 831.106). The routine uses of disclosure appear in the Federal Register for OPM/Central-1 (87 FR 5874, published February 2, 2022).  </w:t>
      </w:r>
    </w:p>
    <w:p w:rsidR="00401B4E" w:rsidRPr="00401B4E" w:rsidP="00401B4E" w14:paraId="190C8FBD" w14:textId="4532F21C">
      <w:pPr>
        <w:pStyle w:val="ListParagraph"/>
        <w:tabs>
          <w:tab w:val="left" w:pos="-720"/>
        </w:tabs>
        <w:suppressAutoHyphens/>
        <w:rPr>
          <w:i/>
          <w:iCs/>
        </w:rPr>
      </w:pPr>
      <w:r w:rsidRPr="00401B4E">
        <w:t> </w:t>
      </w:r>
      <w:r w:rsidRPr="00401B4E">
        <w:rPr>
          <w:i/>
          <w:iCs/>
        </w:rPr>
        <w:t> </w:t>
      </w:r>
    </w:p>
    <w:p w:rsidR="00401B4E" w:rsidRPr="00092BE2" w:rsidP="00A415BF" w14:paraId="11F2FF82" w14:textId="329B39A4">
      <w:pPr>
        <w:pStyle w:val="ListParagraph"/>
        <w:numPr>
          <w:ilvl w:val="0"/>
          <w:numId w:val="20"/>
        </w:numPr>
        <w:shd w:val="clear" w:color="auto" w:fill="BFBFBF" w:themeFill="background1" w:themeFillShade="BF"/>
        <w:tabs>
          <w:tab w:val="left" w:pos="-720"/>
        </w:tabs>
        <w:suppressAutoHyphens/>
        <w:rPr>
          <w:i/>
          <w:iCs/>
        </w:rPr>
      </w:pPr>
      <w:r w:rsidRPr="00092BE2">
        <w:rPr>
          <w:i/>
          <w:iCs/>
        </w:rPr>
        <w:t>Are</w:t>
      </w:r>
      <w:r w:rsidRPr="00092BE2">
        <w:rPr>
          <w:i/>
          <w:iCs/>
        </w:rPr>
        <w:t xml:space="preserve"> any questions of a sensitive nature asked, such as sexual behavior and attitudes, religious beliefs, and other matters that are commonly considered private? If yes, provide justification. This justification should include the reasons why the agency considers the questions necessary, the specific uses to be made of the information, the explanation to be given to </w:t>
      </w:r>
      <w:r w:rsidRPr="00092BE2">
        <w:rPr>
          <w:i/>
          <w:iCs/>
        </w:rPr>
        <w:t>persons</w:t>
      </w:r>
      <w:r w:rsidRPr="00092BE2">
        <w:rPr>
          <w:i/>
          <w:iCs/>
        </w:rPr>
        <w:t xml:space="preserve"> from whom the information is requested, and any steps to be taken to obtain their consent. </w:t>
      </w:r>
    </w:p>
    <w:p w:rsidR="00401B4E" w:rsidRPr="00401B4E" w:rsidP="00401B4E" w14:paraId="3240DA65" w14:textId="77777777">
      <w:pPr>
        <w:pStyle w:val="ListParagraph"/>
        <w:tabs>
          <w:tab w:val="left" w:pos="-720"/>
        </w:tabs>
        <w:suppressAutoHyphens/>
        <w:rPr>
          <w:i/>
          <w:iCs/>
        </w:rPr>
      </w:pPr>
      <w:r w:rsidRPr="00401B4E">
        <w:rPr>
          <w:i/>
          <w:iCs/>
        </w:rPr>
        <w:t> </w:t>
      </w:r>
    </w:p>
    <w:p w:rsidR="00401B4E" w:rsidRPr="00401B4E" w:rsidP="00401B4E" w14:paraId="7D07290F" w14:textId="3D979D64">
      <w:pPr>
        <w:pStyle w:val="ListParagraph"/>
        <w:tabs>
          <w:tab w:val="left" w:pos="-720"/>
        </w:tabs>
        <w:suppressAutoHyphens/>
      </w:pPr>
      <w:r w:rsidRPr="00401B4E">
        <w:t xml:space="preserve">The information collection does not include questions of a sensitive nature, such as sexual behavior and attitudes, religious beliefs, and other matters that are commonly considered private. The submission of this information is voluntary. However, if it is not collected, annuitants could be paid </w:t>
      </w:r>
      <w:r w:rsidR="00F17BD5">
        <w:t>more</w:t>
      </w:r>
      <w:r w:rsidRPr="00401B4E">
        <w:t xml:space="preserve"> than the law provides. </w:t>
      </w:r>
    </w:p>
    <w:p w:rsidR="00401B4E" w:rsidRPr="00401B4E" w:rsidP="00401B4E" w14:paraId="16BF1286" w14:textId="77777777">
      <w:pPr>
        <w:pStyle w:val="ListParagraph"/>
        <w:tabs>
          <w:tab w:val="left" w:pos="-720"/>
        </w:tabs>
        <w:suppressAutoHyphens/>
        <w:rPr>
          <w:i/>
          <w:iCs/>
        </w:rPr>
      </w:pPr>
      <w:r w:rsidRPr="00401B4E">
        <w:rPr>
          <w:i/>
          <w:iCs/>
        </w:rPr>
        <w:t> </w:t>
      </w:r>
    </w:p>
    <w:p w:rsidR="00401B4E" w:rsidRPr="00092BE2" w:rsidP="00A415BF" w14:paraId="3B364BB6" w14:textId="0DB99322">
      <w:pPr>
        <w:pStyle w:val="ListParagraph"/>
        <w:numPr>
          <w:ilvl w:val="0"/>
          <w:numId w:val="20"/>
        </w:numPr>
        <w:shd w:val="clear" w:color="auto" w:fill="BFBFBF" w:themeFill="background1" w:themeFillShade="BF"/>
        <w:tabs>
          <w:tab w:val="left" w:pos="-720"/>
        </w:tabs>
        <w:suppressAutoHyphens/>
        <w:rPr>
          <w:i/>
          <w:iCs/>
        </w:rPr>
      </w:pPr>
      <w:r w:rsidRPr="00092BE2">
        <w:rPr>
          <w:i/>
          <w:iCs/>
        </w:rPr>
        <w:t> </w:t>
      </w:r>
      <w:r w:rsidRPr="00092BE2">
        <w:rPr>
          <w:i/>
          <w:iCs/>
          <w:shd w:val="clear" w:color="auto" w:fill="BFBFBF" w:themeFill="background1" w:themeFillShade="BF"/>
        </w:rPr>
        <w:t xml:space="preserve">Describe the hour time burden and the hour cost burden on the respondent needed to complete this collection. Please specify hourly salary for your respondent audience by referencing </w:t>
      </w:r>
      <w:hyperlink r:id="rId5" w:tgtFrame="_blank" w:history="1">
        <w:r w:rsidRPr="00092BE2">
          <w:rPr>
            <w:rStyle w:val="Hyperlink"/>
            <w:i/>
            <w:iCs/>
            <w:shd w:val="clear" w:color="auto" w:fill="BFBFBF" w:themeFill="background1" w:themeFillShade="BF"/>
          </w:rPr>
          <w:t>Bureau of Labor Statistics Occupational Employment and Wage Estimates</w:t>
        </w:r>
      </w:hyperlink>
      <w:r w:rsidRPr="00092BE2" w:rsidR="00092BE2">
        <w:rPr>
          <w:rStyle w:val="Hyperlink"/>
          <w:i/>
          <w:iCs/>
          <w:shd w:val="clear" w:color="auto" w:fill="BFBFBF" w:themeFill="background1" w:themeFillShade="BF"/>
        </w:rPr>
        <w:br/>
      </w:r>
      <w:r w:rsidRPr="00092BE2">
        <w:rPr>
          <w:i/>
          <w:iCs/>
          <w:shd w:val="clear" w:color="auto" w:fill="BFBFBF" w:themeFill="background1" w:themeFillShade="BF"/>
        </w:rPr>
        <w:t>or other alternative wage site, when applicable.</w:t>
      </w:r>
      <w:r w:rsidRPr="00092BE2">
        <w:rPr>
          <w:i/>
          <w:iCs/>
        </w:rPr>
        <w:t>  </w:t>
      </w:r>
    </w:p>
    <w:p w:rsidR="001B0A66" w:rsidP="00401B4E" w14:paraId="3F9F2815" w14:textId="427553A0">
      <w:pPr>
        <w:pStyle w:val="ListParagraph"/>
        <w:tabs>
          <w:tab w:val="left" w:pos="-720"/>
        </w:tabs>
        <w:suppressAutoHyphens/>
        <w:rPr>
          <w:i/>
          <w:iCs/>
        </w:rPr>
      </w:pPr>
    </w:p>
    <w:p w:rsidR="00075B86" w:rsidRPr="00075B86" w:rsidP="00401B4E" w14:paraId="411E4CCE" w14:textId="3AD2476B">
      <w:pPr>
        <w:pStyle w:val="ListParagraph"/>
        <w:tabs>
          <w:tab w:val="left" w:pos="-720"/>
        </w:tabs>
        <w:suppressAutoHyphens/>
      </w:pPr>
      <w:r w:rsidRPr="00075B86">
        <w:rPr>
          <w:szCs w:val="24"/>
        </w:rPr>
        <w:t xml:space="preserve">The number of </w:t>
      </w:r>
      <w:r w:rsidRPr="00075B86">
        <w:rPr>
          <w:szCs w:val="24"/>
        </w:rPr>
        <w:t>annual</w:t>
      </w:r>
      <w:r w:rsidRPr="00075B86">
        <w:rPr>
          <w:szCs w:val="24"/>
        </w:rPr>
        <w:t xml:space="preserve"> </w:t>
      </w:r>
      <w:r w:rsidRPr="00075B86">
        <w:rPr>
          <w:szCs w:val="24"/>
        </w:rPr>
        <w:t>reemployed annuitants</w:t>
      </w:r>
      <w:r w:rsidRPr="00075B86">
        <w:rPr>
          <w:szCs w:val="24"/>
        </w:rPr>
        <w:t xml:space="preserve"> by the Government is approximately 3,000.  The information is collected only upon </w:t>
      </w:r>
      <w:r w:rsidRPr="00075B86">
        <w:rPr>
          <w:szCs w:val="24"/>
        </w:rPr>
        <w:t>reemployment</w:t>
      </w:r>
      <w:r w:rsidRPr="00075B86">
        <w:rPr>
          <w:szCs w:val="24"/>
        </w:rPr>
        <w:t xml:space="preserve">.  No special form is required.  We estimate that providing this information </w:t>
      </w:r>
      <w:r w:rsidRPr="00075B86">
        <w:rPr>
          <w:szCs w:val="24"/>
        </w:rPr>
        <w:t>takes</w:t>
      </w:r>
      <w:r w:rsidRPr="00075B86">
        <w:rPr>
          <w:szCs w:val="24"/>
        </w:rPr>
        <w:t xml:space="preserve"> five minutes.  The annual burden is 250 hours and is not expected to vary.</w:t>
      </w:r>
      <w:r>
        <w:rPr>
          <w:szCs w:val="24"/>
        </w:rPr>
        <w:t xml:space="preserve"> </w:t>
      </w:r>
      <w:r w:rsidRPr="00B67688">
        <w:t>The Total Annual Respondent Cost is</w:t>
      </w:r>
      <w:r w:rsidRPr="001461A3">
        <w:t xml:space="preserve"> $</w:t>
      </w:r>
      <w:r w:rsidR="00E26A6A">
        <w:t>8</w:t>
      </w:r>
      <w:r>
        <w:t>,</w:t>
      </w:r>
      <w:r w:rsidR="00E26A6A">
        <w:t>165</w:t>
      </w:r>
      <w:r>
        <w:t>.</w:t>
      </w:r>
    </w:p>
    <w:tbl>
      <w:tblPr>
        <w:tblpPr w:leftFromText="180" w:rightFromText="180" w:vertAnchor="text" w:horzAnchor="margin"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6"/>
        <w:gridCol w:w="1040"/>
        <w:gridCol w:w="1230"/>
        <w:gridCol w:w="1174"/>
        <w:gridCol w:w="1107"/>
        <w:gridCol w:w="1021"/>
        <w:gridCol w:w="1051"/>
        <w:gridCol w:w="1174"/>
      </w:tblGrid>
      <w:tr w14:paraId="7824DE4D" w14:textId="77777777" w:rsidTr="00075B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1316" w:type="dxa"/>
            <w:shd w:val="clear" w:color="auto" w:fill="D9D9D9"/>
          </w:tcPr>
          <w:p w:rsidR="00075B86" w:rsidRPr="001461A3" w:rsidP="00075B86" w14:paraId="5DB38696" w14:textId="77777777">
            <w:pPr>
              <w:spacing w:before="240"/>
              <w:rPr>
                <w:rFonts w:ascii="Times New Roman" w:hAnsi="Times New Roman"/>
                <w:b/>
                <w:sz w:val="16"/>
                <w:szCs w:val="16"/>
              </w:rPr>
            </w:pPr>
            <w:r w:rsidRPr="001461A3">
              <w:rPr>
                <w:rFonts w:ascii="Times New Roman" w:hAnsi="Times New Roman"/>
                <w:b/>
                <w:sz w:val="16"/>
                <w:szCs w:val="16"/>
              </w:rPr>
              <w:t>Form Name</w:t>
            </w:r>
          </w:p>
        </w:tc>
        <w:tc>
          <w:tcPr>
            <w:tcW w:w="1040" w:type="dxa"/>
            <w:shd w:val="clear" w:color="auto" w:fill="D9D9D9"/>
          </w:tcPr>
          <w:p w:rsidR="00075B86" w:rsidRPr="001461A3" w:rsidP="00075B86" w14:paraId="4B3F0D1F" w14:textId="77777777">
            <w:pPr>
              <w:spacing w:before="240"/>
              <w:rPr>
                <w:rFonts w:ascii="Times New Roman" w:hAnsi="Times New Roman"/>
                <w:b/>
                <w:sz w:val="16"/>
                <w:szCs w:val="16"/>
              </w:rPr>
            </w:pPr>
            <w:r w:rsidRPr="001461A3">
              <w:rPr>
                <w:rFonts w:ascii="Times New Roman" w:hAnsi="Times New Roman"/>
                <w:b/>
                <w:sz w:val="16"/>
                <w:szCs w:val="16"/>
              </w:rPr>
              <w:t>Form Number</w:t>
            </w:r>
          </w:p>
        </w:tc>
        <w:tc>
          <w:tcPr>
            <w:tcW w:w="1230" w:type="dxa"/>
            <w:shd w:val="clear" w:color="auto" w:fill="D9D9D9"/>
          </w:tcPr>
          <w:p w:rsidR="00075B86" w:rsidRPr="001461A3" w:rsidP="00075B86" w14:paraId="4CE735ED" w14:textId="77777777">
            <w:pPr>
              <w:spacing w:before="240"/>
              <w:rPr>
                <w:rFonts w:ascii="Times New Roman" w:hAnsi="Times New Roman"/>
                <w:b/>
                <w:sz w:val="16"/>
                <w:szCs w:val="16"/>
              </w:rPr>
            </w:pPr>
            <w:r w:rsidRPr="001461A3">
              <w:rPr>
                <w:rFonts w:ascii="Times New Roman" w:hAnsi="Times New Roman"/>
                <w:b/>
                <w:sz w:val="16"/>
                <w:szCs w:val="16"/>
              </w:rPr>
              <w:t>No. of Respondents</w:t>
            </w:r>
          </w:p>
        </w:tc>
        <w:tc>
          <w:tcPr>
            <w:tcW w:w="1174" w:type="dxa"/>
            <w:shd w:val="clear" w:color="auto" w:fill="D9D9D9"/>
          </w:tcPr>
          <w:p w:rsidR="00075B86" w:rsidRPr="001461A3" w:rsidP="00075B86" w14:paraId="5D0CB2DE" w14:textId="77777777">
            <w:pPr>
              <w:spacing w:before="240"/>
              <w:rPr>
                <w:rFonts w:ascii="Times New Roman" w:hAnsi="Times New Roman"/>
                <w:b/>
                <w:sz w:val="16"/>
                <w:szCs w:val="16"/>
              </w:rPr>
            </w:pPr>
            <w:r w:rsidRPr="001461A3">
              <w:rPr>
                <w:rFonts w:ascii="Times New Roman" w:hAnsi="Times New Roman"/>
                <w:b/>
                <w:sz w:val="16"/>
                <w:szCs w:val="16"/>
              </w:rPr>
              <w:t>No. of Responses per Respondent</w:t>
            </w:r>
          </w:p>
        </w:tc>
        <w:tc>
          <w:tcPr>
            <w:tcW w:w="1107" w:type="dxa"/>
            <w:shd w:val="clear" w:color="auto" w:fill="D9D9D9"/>
          </w:tcPr>
          <w:p w:rsidR="00075B86" w:rsidRPr="001461A3" w:rsidP="00075B86" w14:paraId="4B36CC75" w14:textId="77777777">
            <w:pPr>
              <w:spacing w:before="240"/>
              <w:rPr>
                <w:rFonts w:ascii="Times New Roman" w:hAnsi="Times New Roman"/>
                <w:b/>
                <w:sz w:val="16"/>
                <w:szCs w:val="16"/>
              </w:rPr>
            </w:pPr>
            <w:r w:rsidRPr="001461A3">
              <w:rPr>
                <w:rFonts w:ascii="Times New Roman" w:hAnsi="Times New Roman"/>
                <w:b/>
                <w:sz w:val="16"/>
                <w:szCs w:val="16"/>
              </w:rPr>
              <w:t>Average Burden per Response (in hours)</w:t>
            </w:r>
          </w:p>
        </w:tc>
        <w:tc>
          <w:tcPr>
            <w:tcW w:w="1021" w:type="dxa"/>
            <w:shd w:val="clear" w:color="auto" w:fill="D9D9D9"/>
          </w:tcPr>
          <w:p w:rsidR="00075B86" w:rsidRPr="001461A3" w:rsidP="00075B86" w14:paraId="104E8E3B" w14:textId="77777777">
            <w:pPr>
              <w:spacing w:before="240"/>
              <w:rPr>
                <w:rFonts w:ascii="Times New Roman" w:hAnsi="Times New Roman"/>
                <w:b/>
                <w:sz w:val="16"/>
                <w:szCs w:val="16"/>
              </w:rPr>
            </w:pPr>
            <w:r w:rsidRPr="001461A3">
              <w:rPr>
                <w:rFonts w:ascii="Times New Roman" w:hAnsi="Times New Roman"/>
                <w:b/>
                <w:sz w:val="16"/>
                <w:szCs w:val="16"/>
              </w:rPr>
              <w:t>Total Annual Burden (in hours)</w:t>
            </w:r>
          </w:p>
        </w:tc>
        <w:tc>
          <w:tcPr>
            <w:tcW w:w="1051" w:type="dxa"/>
            <w:shd w:val="clear" w:color="auto" w:fill="D9D9D9"/>
          </w:tcPr>
          <w:p w:rsidR="00075B86" w:rsidRPr="001461A3" w:rsidP="00075B86" w14:paraId="30B32C3A" w14:textId="77777777">
            <w:pPr>
              <w:spacing w:before="240"/>
              <w:rPr>
                <w:rFonts w:ascii="Times New Roman" w:hAnsi="Times New Roman"/>
                <w:b/>
                <w:sz w:val="16"/>
                <w:szCs w:val="16"/>
              </w:rPr>
            </w:pPr>
            <w:r w:rsidRPr="001461A3">
              <w:rPr>
                <w:rFonts w:ascii="Times New Roman" w:hAnsi="Times New Roman"/>
                <w:b/>
                <w:sz w:val="16"/>
                <w:szCs w:val="16"/>
              </w:rPr>
              <w:t>Average Hourly Wage Rate</w:t>
            </w:r>
          </w:p>
        </w:tc>
        <w:tc>
          <w:tcPr>
            <w:tcW w:w="1174" w:type="dxa"/>
            <w:shd w:val="clear" w:color="auto" w:fill="D9D9D9"/>
          </w:tcPr>
          <w:p w:rsidR="00075B86" w:rsidRPr="001461A3" w:rsidP="00075B86" w14:paraId="64B468C9" w14:textId="77777777">
            <w:pPr>
              <w:spacing w:before="240"/>
              <w:rPr>
                <w:rFonts w:ascii="Times New Roman" w:hAnsi="Times New Roman"/>
                <w:b/>
                <w:sz w:val="16"/>
                <w:szCs w:val="16"/>
              </w:rPr>
            </w:pPr>
            <w:r w:rsidRPr="001461A3">
              <w:rPr>
                <w:rFonts w:ascii="Times New Roman" w:hAnsi="Times New Roman"/>
                <w:b/>
                <w:sz w:val="16"/>
                <w:szCs w:val="16"/>
              </w:rPr>
              <w:t>Total Annual Respondent Cost</w:t>
            </w:r>
          </w:p>
        </w:tc>
      </w:tr>
      <w:tr w14:paraId="603EECE2" w14:textId="77777777" w:rsidTr="00075B86">
        <w:tblPrEx>
          <w:tblW w:w="0" w:type="auto"/>
          <w:tblLook w:val="04A0"/>
        </w:tblPrEx>
        <w:trPr>
          <w:cantSplit/>
          <w:trHeight w:val="20"/>
        </w:trPr>
        <w:tc>
          <w:tcPr>
            <w:tcW w:w="1316" w:type="dxa"/>
          </w:tcPr>
          <w:p w:rsidR="00075B86" w:rsidRPr="00075B86" w:rsidP="00F047A2" w14:paraId="397136C5" w14:textId="77777777">
            <w:pPr>
              <w:spacing w:before="240"/>
              <w:jc w:val="center"/>
              <w:rPr>
                <w:rFonts w:ascii="Times New Roman" w:hAnsi="Times New Roman"/>
                <w:bCs/>
                <w:sz w:val="18"/>
                <w:szCs w:val="18"/>
              </w:rPr>
            </w:pPr>
            <w:r>
              <w:rPr>
                <w:rFonts w:ascii="Times New Roman" w:hAnsi="Times New Roman"/>
                <w:bCs/>
                <w:sz w:val="18"/>
                <w:szCs w:val="18"/>
              </w:rPr>
              <w:t>Reemployment of Annuitants</w:t>
            </w:r>
          </w:p>
        </w:tc>
        <w:tc>
          <w:tcPr>
            <w:tcW w:w="1040" w:type="dxa"/>
          </w:tcPr>
          <w:p w:rsidR="00075B86" w:rsidP="00F047A2" w14:paraId="474EF4B7" w14:textId="77777777">
            <w:pPr>
              <w:jc w:val="center"/>
              <w:rPr>
                <w:rFonts w:ascii="Times New Roman" w:hAnsi="Times New Roman"/>
                <w:sz w:val="18"/>
                <w:szCs w:val="18"/>
              </w:rPr>
            </w:pPr>
          </w:p>
          <w:p w:rsidR="00075B86" w:rsidRPr="001461A3" w:rsidP="00F047A2" w14:paraId="3B0EDF75" w14:textId="77777777">
            <w:pPr>
              <w:jc w:val="center"/>
              <w:rPr>
                <w:rFonts w:ascii="Times New Roman" w:hAnsi="Times New Roman"/>
                <w:sz w:val="18"/>
                <w:szCs w:val="18"/>
              </w:rPr>
            </w:pPr>
            <w:r>
              <w:rPr>
                <w:rFonts w:ascii="Times New Roman" w:hAnsi="Times New Roman"/>
                <w:sz w:val="18"/>
                <w:szCs w:val="18"/>
              </w:rPr>
              <w:t>N/A</w:t>
            </w:r>
          </w:p>
        </w:tc>
        <w:tc>
          <w:tcPr>
            <w:tcW w:w="1230" w:type="dxa"/>
          </w:tcPr>
          <w:p w:rsidR="00075B86" w:rsidRPr="001461A3" w:rsidP="00F047A2" w14:paraId="3FE471CD" w14:textId="78FA987C">
            <w:pPr>
              <w:spacing w:before="240"/>
              <w:jc w:val="center"/>
              <w:rPr>
                <w:rFonts w:ascii="Times New Roman" w:hAnsi="Times New Roman"/>
                <w:sz w:val="18"/>
                <w:szCs w:val="18"/>
              </w:rPr>
            </w:pPr>
            <w:r>
              <w:rPr>
                <w:rFonts w:ascii="Times New Roman" w:hAnsi="Times New Roman"/>
                <w:sz w:val="18"/>
                <w:szCs w:val="18"/>
              </w:rPr>
              <w:t>3,000</w:t>
            </w:r>
          </w:p>
        </w:tc>
        <w:tc>
          <w:tcPr>
            <w:tcW w:w="1174" w:type="dxa"/>
          </w:tcPr>
          <w:p w:rsidR="00075B86" w:rsidRPr="001461A3" w:rsidP="00F047A2" w14:paraId="6C83B3DB" w14:textId="77777777">
            <w:pPr>
              <w:spacing w:before="240"/>
              <w:jc w:val="center"/>
              <w:rPr>
                <w:rFonts w:ascii="Times New Roman" w:hAnsi="Times New Roman"/>
                <w:sz w:val="18"/>
                <w:szCs w:val="18"/>
              </w:rPr>
            </w:pPr>
            <w:r w:rsidRPr="001461A3">
              <w:rPr>
                <w:rFonts w:ascii="Times New Roman" w:hAnsi="Times New Roman"/>
                <w:sz w:val="18"/>
                <w:szCs w:val="18"/>
              </w:rPr>
              <w:t>1</w:t>
            </w:r>
          </w:p>
        </w:tc>
        <w:tc>
          <w:tcPr>
            <w:tcW w:w="1107" w:type="dxa"/>
          </w:tcPr>
          <w:p w:rsidR="00075B86" w:rsidRPr="001461A3" w:rsidP="00F047A2" w14:paraId="21117DA7" w14:textId="167896BD">
            <w:pPr>
              <w:spacing w:before="240"/>
              <w:jc w:val="center"/>
              <w:rPr>
                <w:rFonts w:ascii="Times New Roman" w:hAnsi="Times New Roman"/>
                <w:sz w:val="18"/>
                <w:szCs w:val="18"/>
              </w:rPr>
            </w:pPr>
            <w:r w:rsidRPr="001461A3">
              <w:rPr>
                <w:rFonts w:ascii="Times New Roman" w:hAnsi="Times New Roman"/>
                <w:sz w:val="18"/>
                <w:szCs w:val="18"/>
              </w:rPr>
              <w:t>.</w:t>
            </w:r>
            <w:r>
              <w:rPr>
                <w:rFonts w:ascii="Times New Roman" w:hAnsi="Times New Roman"/>
                <w:sz w:val="18"/>
                <w:szCs w:val="18"/>
              </w:rPr>
              <w:t>08333</w:t>
            </w:r>
          </w:p>
        </w:tc>
        <w:tc>
          <w:tcPr>
            <w:tcW w:w="1021" w:type="dxa"/>
          </w:tcPr>
          <w:p w:rsidR="00075B86" w:rsidRPr="001461A3" w:rsidP="00F047A2" w14:paraId="0A7344F9" w14:textId="77093BBF">
            <w:pPr>
              <w:spacing w:before="240"/>
              <w:jc w:val="center"/>
              <w:rPr>
                <w:rFonts w:ascii="Times New Roman" w:hAnsi="Times New Roman"/>
                <w:sz w:val="18"/>
                <w:szCs w:val="18"/>
              </w:rPr>
            </w:pPr>
            <w:r>
              <w:rPr>
                <w:rFonts w:ascii="Times New Roman" w:hAnsi="Times New Roman"/>
                <w:sz w:val="18"/>
                <w:szCs w:val="18"/>
              </w:rPr>
              <w:t>250</w:t>
            </w:r>
          </w:p>
        </w:tc>
        <w:tc>
          <w:tcPr>
            <w:tcW w:w="1051" w:type="dxa"/>
          </w:tcPr>
          <w:p w:rsidR="00075B86" w:rsidRPr="001461A3" w:rsidP="00F047A2" w14:paraId="166C00A4" w14:textId="30F1F630">
            <w:pPr>
              <w:spacing w:before="240"/>
              <w:jc w:val="center"/>
              <w:rPr>
                <w:rFonts w:ascii="Times New Roman" w:hAnsi="Times New Roman"/>
                <w:sz w:val="18"/>
                <w:szCs w:val="18"/>
              </w:rPr>
            </w:pPr>
            <w:r w:rsidRPr="001461A3">
              <w:rPr>
                <w:rFonts w:ascii="Times New Roman" w:hAnsi="Times New Roman"/>
                <w:sz w:val="18"/>
                <w:szCs w:val="18"/>
              </w:rPr>
              <w:t>$</w:t>
            </w:r>
            <w:r w:rsidR="001D0C9B">
              <w:rPr>
                <w:rFonts w:ascii="Times New Roman" w:hAnsi="Times New Roman"/>
                <w:sz w:val="18"/>
                <w:szCs w:val="18"/>
              </w:rPr>
              <w:t>32</w:t>
            </w:r>
            <w:r>
              <w:rPr>
                <w:rFonts w:ascii="Times New Roman" w:hAnsi="Times New Roman"/>
                <w:sz w:val="18"/>
                <w:szCs w:val="18"/>
              </w:rPr>
              <w:t>.</w:t>
            </w:r>
            <w:r w:rsidR="001D0C9B">
              <w:rPr>
                <w:rFonts w:ascii="Times New Roman" w:hAnsi="Times New Roman"/>
                <w:sz w:val="18"/>
                <w:szCs w:val="18"/>
              </w:rPr>
              <w:t>66</w:t>
            </w:r>
          </w:p>
        </w:tc>
        <w:tc>
          <w:tcPr>
            <w:tcW w:w="1174" w:type="dxa"/>
          </w:tcPr>
          <w:p w:rsidR="00075B86" w:rsidRPr="001461A3" w:rsidP="00F047A2" w14:paraId="05D1E4B0" w14:textId="105DE70C">
            <w:pPr>
              <w:spacing w:before="240"/>
              <w:jc w:val="center"/>
              <w:rPr>
                <w:rFonts w:ascii="Times New Roman" w:hAnsi="Times New Roman"/>
                <w:sz w:val="18"/>
                <w:szCs w:val="18"/>
              </w:rPr>
            </w:pPr>
            <w:r w:rsidRPr="001461A3">
              <w:rPr>
                <w:rFonts w:ascii="Times New Roman" w:hAnsi="Times New Roman"/>
                <w:sz w:val="18"/>
                <w:szCs w:val="18"/>
              </w:rPr>
              <w:t>$</w:t>
            </w:r>
            <w:r w:rsidR="001D0C9B">
              <w:rPr>
                <w:rFonts w:ascii="Times New Roman" w:hAnsi="Times New Roman"/>
                <w:sz w:val="18"/>
                <w:szCs w:val="18"/>
              </w:rPr>
              <w:t>8,165</w:t>
            </w:r>
          </w:p>
        </w:tc>
      </w:tr>
    </w:tbl>
    <w:p w:rsidR="00B67688" w:rsidP="00075B86" w14:paraId="49DFD035" w14:textId="29B0F73D">
      <w:pPr>
        <w:pStyle w:val="ListParagraph"/>
        <w:tabs>
          <w:tab w:val="left" w:pos="-720"/>
        </w:tabs>
        <w:suppressAutoHyphens/>
        <w:ind w:left="660"/>
      </w:pPr>
      <w:r w:rsidRPr="001461A3">
        <w:br/>
      </w:r>
    </w:p>
    <w:p w:rsidR="00B67688" w:rsidP="00B67688" w14:paraId="2A4359E5" w14:textId="77777777">
      <w:pPr>
        <w:pStyle w:val="ListParagraph"/>
        <w:tabs>
          <w:tab w:val="left" w:pos="-720"/>
        </w:tabs>
        <w:suppressAutoHyphens/>
      </w:pPr>
    </w:p>
    <w:p w:rsidR="00B67688" w:rsidP="00B67688" w14:paraId="74DC7B75" w14:textId="658EBD25">
      <w:pPr>
        <w:ind w:left="660"/>
        <w:rPr>
          <w:rFonts w:ascii="Times New Roman" w:hAnsi="Times New Roman"/>
        </w:rPr>
      </w:pPr>
      <w:r w:rsidRPr="001461A3">
        <w:rPr>
          <w:rFonts w:ascii="Times New Roman" w:hAnsi="Times New Roman"/>
        </w:rPr>
        <w:br/>
      </w:r>
    </w:p>
    <w:p w:rsidR="00437E3D" w:rsidRPr="00092BE2" w:rsidP="00A415BF" w14:paraId="399A94B5" w14:textId="09630B55">
      <w:pPr>
        <w:pStyle w:val="ListParagraph"/>
        <w:numPr>
          <w:ilvl w:val="0"/>
          <w:numId w:val="20"/>
        </w:numPr>
        <w:shd w:val="clear" w:color="auto" w:fill="BFBFBF" w:themeFill="background1" w:themeFillShade="BF"/>
      </w:pPr>
      <w:r w:rsidRPr="00092BE2">
        <w:rPr>
          <w:i/>
          <w:iCs/>
        </w:rPr>
        <w:t xml:space="preserve">Describe the non-hourly monetary burden </w:t>
      </w:r>
      <w:r w:rsidRPr="00092BE2">
        <w:rPr>
          <w:i/>
          <w:iCs/>
        </w:rPr>
        <w:t>to</w:t>
      </w:r>
      <w:r w:rsidRPr="00092BE2">
        <w:rPr>
          <w:i/>
          <w:iCs/>
        </w:rPr>
        <w:t xml:space="preserve"> respondents needed to complete this</w:t>
      </w:r>
      <w:r w:rsidRPr="00092BE2" w:rsidR="00253624">
        <w:rPr>
          <w:i/>
          <w:iCs/>
        </w:rPr>
        <w:tab/>
      </w:r>
      <w:r w:rsidRPr="00092BE2">
        <w:rPr>
          <w:i/>
          <w:iCs/>
        </w:rPr>
        <w:t xml:space="preserve"> collection. This is defined as out-of-pocket costs such as application fees for the collection, document fees (</w:t>
      </w:r>
      <w:hyperlink r:id="rId6" w:tgtFrame="_blank" w:history="1">
        <w:r w:rsidRPr="00092BE2">
          <w:rPr>
            <w:rStyle w:val="Hyperlink"/>
            <w:i/>
            <w:iCs/>
          </w:rPr>
          <w:t>birth/death certificates</w:t>
        </w:r>
      </w:hyperlink>
      <w:r w:rsidRPr="00092BE2">
        <w:rPr>
          <w:i/>
          <w:iCs/>
        </w:rPr>
        <w:t>, school transcripts), mailing costs (</w:t>
      </w:r>
      <w:hyperlink r:id="rId7" w:tgtFrame="_blank" w:history="1">
        <w:r w:rsidRPr="00092BE2">
          <w:rPr>
            <w:rStyle w:val="Hyperlink"/>
            <w:i/>
            <w:iCs/>
          </w:rPr>
          <w:t>printing</w:t>
        </w:r>
      </w:hyperlink>
      <w:r w:rsidRPr="00092BE2">
        <w:rPr>
          <w:i/>
          <w:iCs/>
        </w:rPr>
        <w:t xml:space="preserve">, </w:t>
      </w:r>
      <w:hyperlink r:id="rId8" w:tgtFrame="_blank" w:history="1">
        <w:r w:rsidRPr="00092BE2">
          <w:rPr>
            <w:rStyle w:val="Hyperlink"/>
            <w:i/>
            <w:iCs/>
          </w:rPr>
          <w:t>postage</w:t>
        </w:r>
      </w:hyperlink>
      <w:r w:rsidRPr="00092BE2">
        <w:rPr>
          <w:i/>
          <w:iCs/>
        </w:rPr>
        <w:t xml:space="preserve">, and/or </w:t>
      </w:r>
      <w:hyperlink r:id="rId9" w:tgtFrame="_blank" w:history="1">
        <w:r w:rsidRPr="00092BE2">
          <w:rPr>
            <w:rStyle w:val="Hyperlink"/>
            <w:i/>
            <w:iCs/>
          </w:rPr>
          <w:t>mileage</w:t>
        </w:r>
      </w:hyperlink>
      <w:r w:rsidRPr="00092BE2">
        <w:rPr>
          <w:i/>
          <w:iCs/>
        </w:rPr>
        <w:t>), or anything else respondents may need to pay to complete and/or implement the collection</w:t>
      </w:r>
      <w:r w:rsidRPr="00092BE2">
        <w:t xml:space="preserve">. </w:t>
      </w:r>
      <w:r w:rsidRPr="00092BE2">
        <w:tab/>
      </w:r>
      <w:r w:rsidRPr="00092BE2">
        <w:rPr>
          <w:shd w:val="clear" w:color="auto" w:fill="A6A6A6" w:themeFill="background1" w:themeFillShade="A6"/>
        </w:rPr>
        <w:t> </w:t>
      </w:r>
      <w:r w:rsidRPr="00092BE2">
        <w:rPr>
          <w:shd w:val="clear" w:color="auto" w:fill="A6A6A6" w:themeFill="background1" w:themeFillShade="A6"/>
        </w:rPr>
        <w:br/>
      </w:r>
      <w:r w:rsidRPr="00092BE2">
        <w:t> </w:t>
      </w:r>
    </w:p>
    <w:p w:rsidR="00727CF2" w:rsidP="00437E3D" w14:paraId="13EFF07C" w14:textId="77777777">
      <w:pPr>
        <w:ind w:left="660"/>
        <w:rPr>
          <w:rFonts w:ascii="Times New Roman" w:hAnsi="Times New Roman"/>
          <w:szCs w:val="20"/>
        </w:rPr>
      </w:pPr>
    </w:p>
    <w:p w:rsidR="00A51792" w:rsidP="00B27BBA" w14:paraId="66B7812C" w14:textId="0141FAFA">
      <w:pPr>
        <w:ind w:left="720"/>
        <w:rPr>
          <w:rFonts w:ascii="Times New Roman" w:hAnsi="Times New Roman"/>
          <w:szCs w:val="20"/>
        </w:rPr>
      </w:pPr>
      <w:r>
        <w:rPr>
          <w:rFonts w:ascii="Times New Roman" w:hAnsi="Times New Roman"/>
          <w:szCs w:val="20"/>
        </w:rPr>
        <w:t>T</w:t>
      </w:r>
      <w:r w:rsidRPr="00727CF2">
        <w:rPr>
          <w:rFonts w:ascii="Times New Roman" w:hAnsi="Times New Roman"/>
          <w:szCs w:val="20"/>
        </w:rPr>
        <w:t>here</w:t>
      </w:r>
      <w:r>
        <w:rPr>
          <w:rFonts w:ascii="Times New Roman" w:hAnsi="Times New Roman"/>
          <w:szCs w:val="20"/>
        </w:rPr>
        <w:t xml:space="preserve"> i</w:t>
      </w:r>
      <w:r w:rsidRPr="00727CF2">
        <w:rPr>
          <w:rFonts w:ascii="Times New Roman" w:hAnsi="Times New Roman"/>
          <w:szCs w:val="20"/>
        </w:rPr>
        <w:t>s no general cost associated with</w:t>
      </w:r>
      <w:r>
        <w:rPr>
          <w:rFonts w:ascii="Times New Roman" w:hAnsi="Times New Roman"/>
          <w:szCs w:val="20"/>
        </w:rPr>
        <w:t xml:space="preserve"> this </w:t>
      </w:r>
      <w:r w:rsidR="00B27BBA">
        <w:rPr>
          <w:rFonts w:ascii="Times New Roman" w:hAnsi="Times New Roman"/>
          <w:szCs w:val="20"/>
        </w:rPr>
        <w:t xml:space="preserve">information </w:t>
      </w:r>
      <w:r>
        <w:rPr>
          <w:rFonts w:ascii="Times New Roman" w:hAnsi="Times New Roman"/>
          <w:szCs w:val="20"/>
        </w:rPr>
        <w:t>collection.</w:t>
      </w:r>
    </w:p>
    <w:p w:rsidR="006C4CBA" w:rsidRPr="006C4CBA" w:rsidP="006C4CBA" w14:paraId="7E318230" w14:textId="77777777">
      <w:pPr>
        <w:pStyle w:val="ListParagraph"/>
        <w:tabs>
          <w:tab w:val="left" w:pos="-720"/>
        </w:tabs>
        <w:suppressAutoHyphens/>
        <w:ind w:left="288"/>
      </w:pPr>
      <w:r w:rsidRPr="006C4CBA">
        <w:t> </w:t>
      </w:r>
    </w:p>
    <w:p w:rsidR="00552BF1" w:rsidP="00A415BF" w14:paraId="63BCEEE7" w14:textId="4809E0F3">
      <w:pPr>
        <w:pStyle w:val="ListParagraph"/>
        <w:numPr>
          <w:ilvl w:val="0"/>
          <w:numId w:val="20"/>
        </w:numPr>
        <w:shd w:val="clear" w:color="auto" w:fill="BFBFBF" w:themeFill="background1" w:themeFillShade="BF"/>
        <w:tabs>
          <w:tab w:val="left" w:pos="-720"/>
        </w:tabs>
        <w:suppressAutoHyphens/>
      </w:pPr>
      <w:r w:rsidRPr="00092BE2">
        <w:rPr>
          <w:i/>
          <w:iCs/>
        </w:rPr>
        <w:t>Describe the cost incurred by the Federal Government to complete this collection table.</w:t>
      </w:r>
    </w:p>
    <w:p w:rsidR="006C4CBA" w:rsidRPr="006C4CBA" w:rsidP="006C4CBA" w14:paraId="05CC06E1" w14:textId="77777777">
      <w:pPr>
        <w:pStyle w:val="ListParagraph"/>
        <w:tabs>
          <w:tab w:val="left" w:pos="-720"/>
        </w:tabs>
        <w:suppressAutoHyphens/>
      </w:pPr>
    </w:p>
    <w:p w:rsidR="004924F6" w:rsidP="00E053C5" w14:paraId="61E7E875" w14:textId="418FB28A">
      <w:pPr>
        <w:ind w:left="660"/>
        <w:rPr>
          <w:rFonts w:ascii="Times New Roman" w:hAnsi="Times New Roman"/>
        </w:rPr>
      </w:pPr>
      <w:r w:rsidRPr="00E053C5">
        <w:rPr>
          <w:rFonts w:ascii="Times New Roman" w:hAnsi="Times New Roman"/>
        </w:rPr>
        <w:t>The annualized cost to the Federal government is $71,967. This cost was determined by employee salary hours devoted to the program and overhead</w:t>
      </w:r>
      <w:r>
        <w:rPr>
          <w:rFonts w:ascii="Times New Roman" w:hAnsi="Times New Roman"/>
        </w:rPr>
        <w:t>.</w:t>
      </w:r>
      <w:r w:rsidRPr="001461A3">
        <w:rPr>
          <w:rFonts w:ascii="Times New Roman" w:hAnsi="Times New Roman"/>
        </w:rPr>
        <w:br/>
      </w:r>
    </w:p>
    <w:p w:rsidR="00B67688" w:rsidRPr="006C4CBA" w:rsidP="00A415BF" w14:paraId="2884FBAE" w14:textId="6336B7EE">
      <w:pPr>
        <w:pStyle w:val="ListParagraph"/>
        <w:numPr>
          <w:ilvl w:val="0"/>
          <w:numId w:val="20"/>
        </w:numPr>
        <w:shd w:val="pct25" w:color="auto" w:fill="auto"/>
        <w:tabs>
          <w:tab w:val="left" w:pos="-720"/>
        </w:tabs>
        <w:suppressAutoHyphens/>
        <w:rPr>
          <w:i/>
          <w:iCs/>
        </w:rPr>
      </w:pPr>
      <w:r w:rsidRPr="006C4CBA">
        <w:rPr>
          <w:i/>
          <w:iCs/>
        </w:rPr>
        <w:t>Explain any changes/adjustments to this collection since the previous submission, if applicable. Describe whether these changes impact the hour or cost burden. If yes, describe</w:t>
      </w:r>
      <w:r>
        <w:rPr>
          <w:i/>
          <w:iCs/>
        </w:rPr>
        <w:t xml:space="preserve"> </w:t>
      </w:r>
      <w:r w:rsidRPr="006C4CBA">
        <w:rPr>
          <w:i/>
          <w:iCs/>
        </w:rPr>
        <w:t>if the impact is the result of deliberate Federal government action (“program change”) or something else (“adjustment”).</w:t>
      </w:r>
      <w:r w:rsidRPr="006C4CBA">
        <w:t> </w:t>
      </w:r>
    </w:p>
    <w:p w:rsidR="00B67688" w:rsidP="00B67688" w14:paraId="00EB1DFA" w14:textId="77777777">
      <w:pPr>
        <w:pStyle w:val="ListParagraph"/>
        <w:tabs>
          <w:tab w:val="left" w:pos="-720"/>
        </w:tabs>
        <w:suppressAutoHyphens/>
      </w:pPr>
    </w:p>
    <w:p w:rsidR="00B67688" w:rsidP="00B67688" w14:paraId="56E9BD8F" w14:textId="5D46D40E">
      <w:pPr>
        <w:pStyle w:val="ListParagraph"/>
        <w:tabs>
          <w:tab w:val="left" w:pos="-720"/>
        </w:tabs>
        <w:suppressAutoHyphens/>
      </w:pPr>
      <w:r>
        <w:t>D</w:t>
      </w:r>
      <w:r w:rsidR="00E07166">
        <w:t>ue to a</w:t>
      </w:r>
      <w:r w:rsidRPr="00E07166" w:rsidR="00E07166">
        <w:t xml:space="preserve"> streamlined process </w:t>
      </w:r>
      <w:r>
        <w:t>of</w:t>
      </w:r>
      <w:r w:rsidRPr="00E07166" w:rsidR="00E07166">
        <w:t xml:space="preserve"> handling reemployment actions</w:t>
      </w:r>
      <w:r>
        <w:t xml:space="preserve">, </w:t>
      </w:r>
      <w:r w:rsidR="00B27BBA">
        <w:t>a</w:t>
      </w:r>
      <w:r w:rsidRPr="00E07166" w:rsidR="00E07166">
        <w:t xml:space="preserve">ll notifications of </w:t>
      </w:r>
      <w:r w:rsidRPr="00E07166" w:rsidR="00E07166">
        <w:t>reemployment</w:t>
      </w:r>
      <w:r w:rsidRPr="00E07166" w:rsidR="00E07166">
        <w:t xml:space="preserve"> will be sent to a</w:t>
      </w:r>
      <w:r w:rsidR="00E07166">
        <w:t>n</w:t>
      </w:r>
      <w:r w:rsidRPr="00E07166" w:rsidR="00E07166">
        <w:t xml:space="preserve"> email box</w:t>
      </w:r>
      <w:r w:rsidR="00B27BBA">
        <w:t xml:space="preserve"> </w:t>
      </w:r>
      <w:r w:rsidRPr="00E07166" w:rsidR="00E07166">
        <w:t>where the actions will be processed by</w:t>
      </w:r>
      <w:r w:rsidR="00E07166">
        <w:t xml:space="preserve"> a</w:t>
      </w:r>
      <w:r w:rsidRPr="00E07166" w:rsidR="00E07166">
        <w:t xml:space="preserve"> special team</w:t>
      </w:r>
      <w:r w:rsidR="00E07166">
        <w:t xml:space="preserve">. </w:t>
      </w:r>
      <w:r w:rsidR="0093019F">
        <w:t>Any adjustment to this collection is due to updates and variables in economic costs outside of the control of this collection.</w:t>
      </w:r>
    </w:p>
    <w:p w:rsidR="006C4CBA" w:rsidP="00B67688" w14:paraId="1E358925" w14:textId="77777777">
      <w:pPr>
        <w:pStyle w:val="ListParagraph"/>
        <w:tabs>
          <w:tab w:val="left" w:pos="-720"/>
        </w:tabs>
        <w:suppressAutoHyphens/>
      </w:pPr>
    </w:p>
    <w:p w:rsidR="006C4CBA" w:rsidRPr="006C4CBA" w:rsidP="00A415BF" w14:paraId="2F9E147F" w14:textId="06DB1B39">
      <w:pPr>
        <w:pStyle w:val="ListParagraph"/>
        <w:numPr>
          <w:ilvl w:val="0"/>
          <w:numId w:val="20"/>
        </w:numPr>
        <w:shd w:val="clear" w:color="auto" w:fill="BFBFBF" w:themeFill="background1" w:themeFillShade="BF"/>
        <w:rPr>
          <w:i/>
          <w:iCs/>
        </w:rPr>
      </w:pPr>
      <w:r w:rsidRPr="006C4CBA">
        <w:rPr>
          <w:i/>
          <w:iCs/>
        </w:rPr>
        <w:t>Specify if the data gathered by this collection will be published. This could include Congressional reporting, using respondent numbers in budget justification, or other broad reporting</w:t>
      </w:r>
      <w:r>
        <w:rPr>
          <w:i/>
          <w:iCs/>
        </w:rPr>
        <w:t>.</w:t>
      </w:r>
    </w:p>
    <w:p w:rsidR="006C4CBA" w:rsidP="00B67688" w14:paraId="5D255406" w14:textId="77777777">
      <w:pPr>
        <w:ind w:left="660"/>
        <w:rPr>
          <w:rFonts w:ascii="Times New Roman" w:hAnsi="Times New Roman"/>
          <w:i/>
          <w:iCs/>
          <w:szCs w:val="20"/>
        </w:rPr>
      </w:pPr>
    </w:p>
    <w:p w:rsidR="00D02287" w:rsidP="00B67688" w14:paraId="3FEBCE92" w14:textId="68A37974">
      <w:pPr>
        <w:ind w:left="660"/>
        <w:rPr>
          <w:rFonts w:ascii="Times New Roman" w:hAnsi="Times New Roman"/>
        </w:rPr>
      </w:pPr>
      <w:r w:rsidRPr="001461A3">
        <w:rPr>
          <w:rFonts w:ascii="Times New Roman" w:hAnsi="Times New Roman"/>
        </w:rPr>
        <w:t xml:space="preserve">The </w:t>
      </w:r>
      <w:r w:rsidR="006C4CBA">
        <w:rPr>
          <w:rFonts w:ascii="Times New Roman" w:hAnsi="Times New Roman"/>
        </w:rPr>
        <w:t xml:space="preserve">details of this ICR are not published. However, there </w:t>
      </w:r>
      <w:r w:rsidR="00B06699">
        <w:rPr>
          <w:rFonts w:ascii="Times New Roman" w:hAnsi="Times New Roman"/>
        </w:rPr>
        <w:t xml:space="preserve">may occasionally be aggregate data reported, as needed, including in Congressional reporting, budget justifications, or </w:t>
      </w:r>
      <w:r w:rsidR="00B06699">
        <w:rPr>
          <w:rFonts w:ascii="Times New Roman" w:hAnsi="Times New Roman"/>
        </w:rPr>
        <w:t>other broad reporting.</w:t>
      </w:r>
      <w:r w:rsidRPr="001461A3">
        <w:rPr>
          <w:rFonts w:ascii="Times New Roman" w:hAnsi="Times New Roman"/>
        </w:rPr>
        <w:br/>
      </w:r>
    </w:p>
    <w:p w:rsidR="00B06699" w:rsidRPr="00B06699" w:rsidP="00B06699" w14:paraId="5B92230F" w14:textId="3C6429DD">
      <w:pPr>
        <w:pStyle w:val="ListParagraph"/>
        <w:numPr>
          <w:ilvl w:val="0"/>
          <w:numId w:val="19"/>
        </w:numPr>
        <w:shd w:val="pct25" w:color="auto" w:fill="auto"/>
        <w:tabs>
          <w:tab w:val="left" w:pos="-720"/>
        </w:tabs>
        <w:suppressAutoHyphens/>
      </w:pPr>
      <w:r w:rsidRPr="00B06699">
        <w:rPr>
          <w:i/>
          <w:iCs/>
        </w:rPr>
        <w:t>If applicable, explain the reason(s) for seeking approval to not display the OMB expiration date.</w:t>
      </w:r>
      <w:r w:rsidRPr="00B06699">
        <w:t> </w:t>
      </w:r>
    </w:p>
    <w:p w:rsidR="00B67688" w:rsidP="00B06699" w14:paraId="68D67927" w14:textId="16F77454">
      <w:pPr>
        <w:pStyle w:val="ListParagraph"/>
        <w:tabs>
          <w:tab w:val="left" w:pos="-720"/>
        </w:tabs>
        <w:suppressAutoHyphens/>
      </w:pPr>
    </w:p>
    <w:p w:rsidR="00A415BF" w:rsidP="00A415BF" w14:paraId="008C8303" w14:textId="77777777">
      <w:pPr>
        <w:pStyle w:val="ListParagraph"/>
        <w:tabs>
          <w:tab w:val="left" w:pos="-720"/>
        </w:tabs>
        <w:suppressAutoHyphens/>
      </w:pPr>
      <w:r w:rsidRPr="00B06699">
        <w:t xml:space="preserve">We seek approval to not display the OMB clearance expiration date on the forms and </w:t>
      </w:r>
      <w:r w:rsidRPr="00B06699">
        <w:t>to communicate</w:t>
      </w:r>
      <w:r w:rsidRPr="00B06699">
        <w:t xml:space="preserve"> version changes to the public via the revision date. OPM has modified our Paperwork Reduction Act notice to ensure respondents can verify the validity of the OMB control number and collection. </w:t>
      </w:r>
    </w:p>
    <w:p w:rsidR="00A415BF" w:rsidP="00A415BF" w14:paraId="0988CD62" w14:textId="77777777">
      <w:pPr>
        <w:tabs>
          <w:tab w:val="left" w:pos="-720"/>
        </w:tabs>
        <w:suppressAutoHyphens/>
        <w:ind w:left="288"/>
        <w:rPr>
          <w:rFonts w:ascii="Times New Roman" w:hAnsi="Times New Roman"/>
          <w:i/>
          <w:iCs/>
          <w:shd w:val="clear" w:color="auto" w:fill="BFBFBF" w:themeFill="background1" w:themeFillShade="BF"/>
        </w:rPr>
      </w:pPr>
      <w:r w:rsidRPr="00B06699">
        <w:br/>
      </w:r>
      <w:bookmarkStart w:id="0" w:name="_Hlk71715172"/>
      <w:r w:rsidRPr="00A415BF" w:rsidR="00B67688">
        <w:rPr>
          <w:rFonts w:ascii="Times New Roman" w:hAnsi="Times New Roman"/>
          <w:i/>
          <w:iCs/>
          <w:shd w:val="clear" w:color="auto" w:fill="BFBFBF" w:themeFill="background1" w:themeFillShade="BF"/>
        </w:rPr>
        <w:t>18</w:t>
      </w:r>
      <w:bookmarkEnd w:id="0"/>
      <w:r w:rsidRPr="00A415BF" w:rsidR="00092BE2">
        <w:rPr>
          <w:rFonts w:ascii="Times New Roman" w:hAnsi="Times New Roman"/>
          <w:i/>
          <w:iCs/>
          <w:shd w:val="clear" w:color="auto" w:fill="BFBFBF" w:themeFill="background1" w:themeFillShade="BF"/>
        </w:rPr>
        <w:t>.</w:t>
      </w:r>
      <w:r w:rsidRPr="00A415BF">
        <w:rPr>
          <w:rFonts w:ascii="Times New Roman" w:hAnsi="Times New Roman"/>
          <w:i/>
          <w:iCs/>
          <w:color w:val="000000"/>
          <w:shd w:val="clear" w:color="auto" w:fill="BFBFBF" w:themeFill="background1" w:themeFillShade="BF"/>
        </w:rPr>
        <w:t xml:space="preserve"> </w:t>
      </w:r>
      <w:r w:rsidRPr="00A415BF">
        <w:rPr>
          <w:rFonts w:ascii="Times New Roman" w:hAnsi="Times New Roman"/>
          <w:i/>
          <w:iCs/>
          <w:shd w:val="clear" w:color="auto" w:fill="BFBFBF" w:themeFill="background1" w:themeFillShade="BF"/>
        </w:rPr>
        <w:t>Explain each exception to the topics of the certification statement identified in</w:t>
      </w:r>
      <w:r>
        <w:rPr>
          <w:rFonts w:ascii="Times New Roman" w:hAnsi="Times New Roman"/>
          <w:i/>
          <w:iCs/>
          <w:shd w:val="clear" w:color="auto" w:fill="BFBFBF" w:themeFill="background1" w:themeFillShade="BF"/>
        </w:rPr>
        <w:t xml:space="preserve">              </w:t>
      </w:r>
      <w:r w:rsidRPr="00A415BF">
        <w:rPr>
          <w:rFonts w:ascii="Times New Roman" w:hAnsi="Times New Roman"/>
          <w:i/>
          <w:iCs/>
          <w:shd w:val="clear" w:color="auto" w:fill="BFBFBF" w:themeFill="background1" w:themeFillShade="BF"/>
        </w:rPr>
        <w:t xml:space="preserve"> </w:t>
      </w:r>
      <w:r>
        <w:rPr>
          <w:rFonts w:ascii="Times New Roman" w:hAnsi="Times New Roman"/>
          <w:i/>
          <w:iCs/>
          <w:shd w:val="clear" w:color="auto" w:fill="BFBFBF" w:themeFill="background1" w:themeFillShade="BF"/>
        </w:rPr>
        <w:t xml:space="preserve">  </w:t>
      </w:r>
    </w:p>
    <w:p w:rsidR="00064AD8" w:rsidRPr="00A415BF" w:rsidP="00A415BF" w14:paraId="2ACEF1EB" w14:textId="4290B9C1">
      <w:pPr>
        <w:tabs>
          <w:tab w:val="left" w:pos="-720"/>
        </w:tabs>
        <w:suppressAutoHyphens/>
        <w:ind w:left="288"/>
        <w:rPr>
          <w:rFonts w:ascii="Times New Roman" w:hAnsi="Times New Roman"/>
        </w:rPr>
      </w:pPr>
      <w:r>
        <w:rPr>
          <w:rFonts w:ascii="Times New Roman" w:hAnsi="Times New Roman"/>
          <w:i/>
          <w:iCs/>
          <w:shd w:val="clear" w:color="auto" w:fill="BFBFBF" w:themeFill="background1" w:themeFillShade="BF"/>
        </w:rPr>
        <w:t xml:space="preserve">     </w:t>
      </w:r>
      <w:r w:rsidRPr="00A415BF" w:rsidR="00B06699">
        <w:rPr>
          <w:rFonts w:ascii="Times New Roman" w:hAnsi="Times New Roman"/>
          <w:i/>
          <w:iCs/>
          <w:shd w:val="clear" w:color="auto" w:fill="BFBFBF" w:themeFill="background1" w:themeFillShade="BF"/>
        </w:rPr>
        <w:t>“</w:t>
      </w:r>
      <w:hyperlink r:id="rId10" w:tgtFrame="_blank" w:history="1">
        <w:r w:rsidRPr="00A415BF" w:rsidR="00B06699">
          <w:rPr>
            <w:rStyle w:val="Hyperlink"/>
            <w:rFonts w:ascii="Times New Roman" w:hAnsi="Times New Roman"/>
            <w:i/>
            <w:iCs/>
            <w:shd w:val="clear" w:color="auto" w:fill="BFBFBF" w:themeFill="background1" w:themeFillShade="BF"/>
          </w:rPr>
          <w:t>Certification for Paperwork Reduction Act Submissions</w:t>
        </w:r>
      </w:hyperlink>
      <w:r w:rsidRPr="00A415BF" w:rsidR="00B06699">
        <w:rPr>
          <w:rFonts w:ascii="Times New Roman" w:hAnsi="Times New Roman"/>
          <w:i/>
          <w:iCs/>
          <w:shd w:val="clear" w:color="auto" w:fill="BFBFBF" w:themeFill="background1" w:themeFillShade="BF"/>
        </w:rPr>
        <w:t>.”</w:t>
      </w:r>
      <w:r>
        <w:rPr>
          <w:rFonts w:ascii="Times New Roman" w:hAnsi="Times New Roman"/>
          <w:i/>
          <w:iCs/>
          <w:shd w:val="clear" w:color="auto" w:fill="BFBFBF" w:themeFill="background1" w:themeFillShade="BF"/>
        </w:rPr>
        <w:tab/>
        <w:t xml:space="preserve">                               </w:t>
      </w:r>
      <w:r>
        <w:rPr>
          <w:rFonts w:ascii="Times New Roman" w:hAnsi="Times New Roman"/>
          <w:i/>
          <w:iCs/>
          <w:shd w:val="clear" w:color="auto" w:fill="BFBFBF" w:themeFill="background1" w:themeFillShade="BF"/>
        </w:rPr>
        <w:tab/>
        <w:t xml:space="preserve">         </w:t>
      </w:r>
      <w:r w:rsidRPr="00A415BF" w:rsidR="00B06699">
        <w:rPr>
          <w:rFonts w:ascii="Times New Roman" w:hAnsi="Times New Roman"/>
          <w:i/>
          <w:iCs/>
        </w:rPr>
        <w:t>  </w:t>
      </w:r>
      <w:r w:rsidRPr="00A415BF" w:rsidR="00B06699">
        <w:rPr>
          <w:rFonts w:ascii="Times New Roman" w:hAnsi="Times New Roman"/>
        </w:rPr>
        <w:t xml:space="preserve">  </w:t>
      </w:r>
    </w:p>
    <w:p w:rsidR="00D2694E" w:rsidP="00B06699" w14:paraId="60239A89" w14:textId="4AEDB0F2">
      <w:r>
        <w:tab/>
      </w:r>
    </w:p>
    <w:p w:rsidR="00B06699" w:rsidRPr="001461A3" w:rsidP="00B06699" w14:paraId="273638FB" w14:textId="77777777">
      <w:pPr>
        <w:pStyle w:val="ListParagraph"/>
        <w:tabs>
          <w:tab w:val="left" w:pos="-720"/>
        </w:tabs>
        <w:suppressAutoHyphens/>
        <w:ind w:left="288"/>
      </w:pPr>
      <w:r>
        <w:tab/>
      </w:r>
      <w:r w:rsidRPr="001461A3">
        <w:t>There are no exceptions to the certification statement.</w:t>
      </w:r>
    </w:p>
    <w:p w:rsidR="00B06699" w:rsidP="00B06699" w14:paraId="65E71665" w14:textId="6634B672"/>
    <w:sectPr w:rsidSect="000278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C1A8D"/>
    <w:multiLevelType w:val="hybridMultilevel"/>
    <w:tmpl w:val="7978841A"/>
    <w:lvl w:ilvl="0">
      <w:start w:val="1"/>
      <w:numFmt w:val="upperLetter"/>
      <w:lvlText w:val="%1."/>
      <w:lvlJc w:val="left"/>
      <w:pPr>
        <w:tabs>
          <w:tab w:val="num" w:pos="1005"/>
        </w:tabs>
        <w:ind w:left="1005" w:hanging="405"/>
      </w:pPr>
      <w:rPr>
        <w:rFonts w:hint="default"/>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1">
    <w:nsid w:val="0315656C"/>
    <w:multiLevelType w:val="hybridMultilevel"/>
    <w:tmpl w:val="E8627D9A"/>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6784B71"/>
    <w:multiLevelType w:val="multilevel"/>
    <w:tmpl w:val="CD863A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B3705B"/>
    <w:multiLevelType w:val="multilevel"/>
    <w:tmpl w:val="6FDE2816"/>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DB5098"/>
    <w:multiLevelType w:val="multilevel"/>
    <w:tmpl w:val="32901E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A334BD"/>
    <w:multiLevelType w:val="singleLevel"/>
    <w:tmpl w:val="57722588"/>
    <w:lvl w:ilvl="0">
      <w:start w:val="1"/>
      <w:numFmt w:val="decimal"/>
      <w:lvlText w:val="%1."/>
      <w:lvlJc w:val="left"/>
      <w:pPr>
        <w:tabs>
          <w:tab w:val="num" w:pos="720"/>
        </w:tabs>
        <w:ind w:left="720" w:hanging="360"/>
      </w:pPr>
    </w:lvl>
  </w:abstractNum>
  <w:abstractNum w:abstractNumId="6">
    <w:nsid w:val="137E781B"/>
    <w:multiLevelType w:val="hybridMultilevel"/>
    <w:tmpl w:val="0C3A6434"/>
    <w:lvl w:ilvl="0">
      <w:start w:val="1"/>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7">
    <w:nsid w:val="196747AE"/>
    <w:multiLevelType w:val="multilevel"/>
    <w:tmpl w:val="232CDB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FD17D6"/>
    <w:multiLevelType w:val="hybridMultilevel"/>
    <w:tmpl w:val="CEC84B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C36312"/>
    <w:multiLevelType w:val="multilevel"/>
    <w:tmpl w:val="D89EC5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7669CA"/>
    <w:multiLevelType w:val="multilevel"/>
    <w:tmpl w:val="7DE2C000"/>
    <w:lvl w:ilvl="0">
      <w:start w:val="13"/>
      <w:numFmt w:val="decimal"/>
      <w:lvlText w:val="%1."/>
      <w:lvlJc w:val="left"/>
      <w:pPr>
        <w:tabs>
          <w:tab w:val="num" w:pos="720"/>
        </w:tabs>
        <w:ind w:left="720" w:hanging="360"/>
      </w:pPr>
      <w:rPr>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5B72A0"/>
    <w:multiLevelType w:val="multilevel"/>
    <w:tmpl w:val="86D4E90A"/>
    <w:lvl w:ilvl="0">
      <w:start w:val="17"/>
      <w:numFmt w:val="decimal"/>
      <w:lvlText w:val="%1."/>
      <w:lvlJc w:val="left"/>
      <w:pPr>
        <w:tabs>
          <w:tab w:val="num" w:pos="720"/>
        </w:tabs>
        <w:ind w:left="720" w:hanging="360"/>
      </w:pPr>
      <w:rPr>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DA2E42"/>
    <w:multiLevelType w:val="hybridMultilevel"/>
    <w:tmpl w:val="2C32E18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11D2FA3"/>
    <w:multiLevelType w:val="multilevel"/>
    <w:tmpl w:val="94AC24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193B88"/>
    <w:multiLevelType w:val="hybridMultilevel"/>
    <w:tmpl w:val="0C3A6434"/>
    <w:lvl w:ilvl="0">
      <w:start w:val="1"/>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15">
    <w:nsid w:val="4E8452D0"/>
    <w:multiLevelType w:val="multilevel"/>
    <w:tmpl w:val="9176ED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546C8B"/>
    <w:multiLevelType w:val="hybridMultilevel"/>
    <w:tmpl w:val="D2CA3CC2"/>
    <w:lvl w:ilvl="0">
      <w:start w:val="1"/>
      <w:numFmt w:val="decimal"/>
      <w:lvlText w:val="%1."/>
      <w:lvlJc w:val="left"/>
      <w:pPr>
        <w:ind w:left="1380" w:hanging="360"/>
      </w:pPr>
    </w:lvl>
    <w:lvl w:ilvl="1" w:tentative="1">
      <w:start w:val="1"/>
      <w:numFmt w:val="lowerLetter"/>
      <w:lvlText w:val="%2."/>
      <w:lvlJc w:val="left"/>
      <w:pPr>
        <w:ind w:left="2100" w:hanging="360"/>
      </w:pPr>
    </w:lvl>
    <w:lvl w:ilvl="2" w:tentative="1">
      <w:start w:val="1"/>
      <w:numFmt w:val="lowerRoman"/>
      <w:lvlText w:val="%3."/>
      <w:lvlJc w:val="right"/>
      <w:pPr>
        <w:ind w:left="2820" w:hanging="180"/>
      </w:pPr>
    </w:lvl>
    <w:lvl w:ilvl="3" w:tentative="1">
      <w:start w:val="1"/>
      <w:numFmt w:val="decimal"/>
      <w:lvlText w:val="%4."/>
      <w:lvlJc w:val="left"/>
      <w:pPr>
        <w:ind w:left="3540" w:hanging="360"/>
      </w:pPr>
    </w:lvl>
    <w:lvl w:ilvl="4" w:tentative="1">
      <w:start w:val="1"/>
      <w:numFmt w:val="lowerLetter"/>
      <w:lvlText w:val="%5."/>
      <w:lvlJc w:val="left"/>
      <w:pPr>
        <w:ind w:left="4260" w:hanging="360"/>
      </w:pPr>
    </w:lvl>
    <w:lvl w:ilvl="5" w:tentative="1">
      <w:start w:val="1"/>
      <w:numFmt w:val="lowerRoman"/>
      <w:lvlText w:val="%6."/>
      <w:lvlJc w:val="right"/>
      <w:pPr>
        <w:ind w:left="4980" w:hanging="180"/>
      </w:pPr>
    </w:lvl>
    <w:lvl w:ilvl="6" w:tentative="1">
      <w:start w:val="1"/>
      <w:numFmt w:val="decimal"/>
      <w:lvlText w:val="%7."/>
      <w:lvlJc w:val="left"/>
      <w:pPr>
        <w:ind w:left="5700" w:hanging="360"/>
      </w:pPr>
    </w:lvl>
    <w:lvl w:ilvl="7" w:tentative="1">
      <w:start w:val="1"/>
      <w:numFmt w:val="lowerLetter"/>
      <w:lvlText w:val="%8."/>
      <w:lvlJc w:val="left"/>
      <w:pPr>
        <w:ind w:left="6420" w:hanging="360"/>
      </w:pPr>
    </w:lvl>
    <w:lvl w:ilvl="8" w:tentative="1">
      <w:start w:val="1"/>
      <w:numFmt w:val="lowerRoman"/>
      <w:lvlText w:val="%9."/>
      <w:lvlJc w:val="right"/>
      <w:pPr>
        <w:ind w:left="7140" w:hanging="180"/>
      </w:pPr>
    </w:lvl>
  </w:abstractNum>
  <w:abstractNum w:abstractNumId="17">
    <w:nsid w:val="633B1F0D"/>
    <w:multiLevelType w:val="hybridMultilevel"/>
    <w:tmpl w:val="CEBCB34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66BA2D21"/>
    <w:multiLevelType w:val="multilevel"/>
    <w:tmpl w:val="FF7E0B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4E0F46"/>
    <w:multiLevelType w:val="multilevel"/>
    <w:tmpl w:val="4FE80D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3F674BD"/>
    <w:multiLevelType w:val="singleLevel"/>
    <w:tmpl w:val="7EC4B910"/>
    <w:lvl w:ilvl="0">
      <w:start w:val="1"/>
      <w:numFmt w:val="decimal"/>
      <w:lvlText w:val="%1."/>
      <w:lvlJc w:val="left"/>
      <w:pPr>
        <w:tabs>
          <w:tab w:val="num" w:pos="1440"/>
        </w:tabs>
        <w:ind w:left="1440" w:hanging="720"/>
      </w:pPr>
      <w:rPr>
        <w:rFonts w:hint="default"/>
      </w:rPr>
    </w:lvl>
  </w:abstractNum>
  <w:abstractNum w:abstractNumId="21">
    <w:nsid w:val="74536BC5"/>
    <w:multiLevelType w:val="singleLevel"/>
    <w:tmpl w:val="57722588"/>
    <w:lvl w:ilvl="0">
      <w:start w:val="1"/>
      <w:numFmt w:val="decimal"/>
      <w:lvlText w:val="%1."/>
      <w:lvlJc w:val="left"/>
      <w:pPr>
        <w:tabs>
          <w:tab w:val="num" w:pos="720"/>
        </w:tabs>
        <w:ind w:left="720" w:hanging="360"/>
      </w:pPr>
    </w:lvl>
  </w:abstractNum>
  <w:num w:numId="1" w16cid:durableId="1677264251">
    <w:abstractNumId w:val="0"/>
  </w:num>
  <w:num w:numId="2" w16cid:durableId="1047681086">
    <w:abstractNumId w:val="12"/>
  </w:num>
  <w:num w:numId="3" w16cid:durableId="1530485534">
    <w:abstractNumId w:val="6"/>
  </w:num>
  <w:num w:numId="4" w16cid:durableId="448938906">
    <w:abstractNumId w:val="14"/>
  </w:num>
  <w:num w:numId="5" w16cid:durableId="2144151142">
    <w:abstractNumId w:val="20"/>
  </w:num>
  <w:num w:numId="6" w16cid:durableId="1718042527">
    <w:abstractNumId w:val="8"/>
  </w:num>
  <w:num w:numId="7" w16cid:durableId="373047598">
    <w:abstractNumId w:val="21"/>
    <w:lvlOverride w:ilvl="0">
      <w:startOverride w:val="1"/>
    </w:lvlOverride>
  </w:num>
  <w:num w:numId="8" w16cid:durableId="962886300">
    <w:abstractNumId w:val="17"/>
  </w:num>
  <w:num w:numId="9" w16cid:durableId="830370391">
    <w:abstractNumId w:val="5"/>
  </w:num>
  <w:num w:numId="10" w16cid:durableId="601836959">
    <w:abstractNumId w:val="3"/>
  </w:num>
  <w:num w:numId="11" w16cid:durableId="932400870">
    <w:abstractNumId w:val="9"/>
  </w:num>
  <w:num w:numId="12" w16cid:durableId="778984530">
    <w:abstractNumId w:val="4"/>
  </w:num>
  <w:num w:numId="13" w16cid:durableId="1378505289">
    <w:abstractNumId w:val="2"/>
  </w:num>
  <w:num w:numId="14" w16cid:durableId="43599282">
    <w:abstractNumId w:val="7"/>
  </w:num>
  <w:num w:numId="15" w16cid:durableId="1584143490">
    <w:abstractNumId w:val="19"/>
  </w:num>
  <w:num w:numId="16" w16cid:durableId="1277566704">
    <w:abstractNumId w:val="15"/>
  </w:num>
  <w:num w:numId="17" w16cid:durableId="1395810095">
    <w:abstractNumId w:val="10"/>
  </w:num>
  <w:num w:numId="18" w16cid:durableId="1070351662">
    <w:abstractNumId w:val="18"/>
  </w:num>
  <w:num w:numId="19" w16cid:durableId="1668054600">
    <w:abstractNumId w:val="11"/>
  </w:num>
  <w:num w:numId="20" w16cid:durableId="548285">
    <w:abstractNumId w:val="13"/>
  </w:num>
  <w:num w:numId="21" w16cid:durableId="657610761">
    <w:abstractNumId w:val="1"/>
  </w:num>
  <w:num w:numId="22" w16cid:durableId="156183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AE"/>
    <w:rsid w:val="00012051"/>
    <w:rsid w:val="00017F51"/>
    <w:rsid w:val="000278AE"/>
    <w:rsid w:val="000437A2"/>
    <w:rsid w:val="00043D0F"/>
    <w:rsid w:val="0005515B"/>
    <w:rsid w:val="00064AD8"/>
    <w:rsid w:val="00075B86"/>
    <w:rsid w:val="00092BE2"/>
    <w:rsid w:val="000A4B18"/>
    <w:rsid w:val="000C7A35"/>
    <w:rsid w:val="000E6B39"/>
    <w:rsid w:val="000F24F9"/>
    <w:rsid w:val="001060A5"/>
    <w:rsid w:val="001276D8"/>
    <w:rsid w:val="001461A3"/>
    <w:rsid w:val="001876E9"/>
    <w:rsid w:val="001B0A66"/>
    <w:rsid w:val="001D0C9B"/>
    <w:rsid w:val="001D47CD"/>
    <w:rsid w:val="001F617E"/>
    <w:rsid w:val="00215157"/>
    <w:rsid w:val="00243A41"/>
    <w:rsid w:val="00253624"/>
    <w:rsid w:val="002613FD"/>
    <w:rsid w:val="00262A15"/>
    <w:rsid w:val="002746C9"/>
    <w:rsid w:val="002A5FE3"/>
    <w:rsid w:val="002F1783"/>
    <w:rsid w:val="00327F45"/>
    <w:rsid w:val="0034398B"/>
    <w:rsid w:val="00367E8B"/>
    <w:rsid w:val="003803D0"/>
    <w:rsid w:val="00381592"/>
    <w:rsid w:val="00393089"/>
    <w:rsid w:val="003B134E"/>
    <w:rsid w:val="003C2D4A"/>
    <w:rsid w:val="003C530A"/>
    <w:rsid w:val="003E2838"/>
    <w:rsid w:val="003F7DBA"/>
    <w:rsid w:val="00401B4E"/>
    <w:rsid w:val="00404B6B"/>
    <w:rsid w:val="00437E3D"/>
    <w:rsid w:val="004449AD"/>
    <w:rsid w:val="004733D0"/>
    <w:rsid w:val="004924F6"/>
    <w:rsid w:val="004D16A8"/>
    <w:rsid w:val="00512DBC"/>
    <w:rsid w:val="00552BF1"/>
    <w:rsid w:val="005619A5"/>
    <w:rsid w:val="00563975"/>
    <w:rsid w:val="00566786"/>
    <w:rsid w:val="005B4EEC"/>
    <w:rsid w:val="005F187C"/>
    <w:rsid w:val="006827FA"/>
    <w:rsid w:val="0069205D"/>
    <w:rsid w:val="006A04D2"/>
    <w:rsid w:val="006C4CBA"/>
    <w:rsid w:val="006C5342"/>
    <w:rsid w:val="00727CF2"/>
    <w:rsid w:val="007B629D"/>
    <w:rsid w:val="007D7F04"/>
    <w:rsid w:val="007E6611"/>
    <w:rsid w:val="007F3BE2"/>
    <w:rsid w:val="007F6F56"/>
    <w:rsid w:val="007F7DF2"/>
    <w:rsid w:val="008354A7"/>
    <w:rsid w:val="00850B40"/>
    <w:rsid w:val="0089048A"/>
    <w:rsid w:val="00891574"/>
    <w:rsid w:val="00891D75"/>
    <w:rsid w:val="008A4E5A"/>
    <w:rsid w:val="008F76CD"/>
    <w:rsid w:val="0090023C"/>
    <w:rsid w:val="009145A1"/>
    <w:rsid w:val="0093019F"/>
    <w:rsid w:val="00976A2F"/>
    <w:rsid w:val="009D0A51"/>
    <w:rsid w:val="009F1F45"/>
    <w:rsid w:val="00A415BF"/>
    <w:rsid w:val="00A51792"/>
    <w:rsid w:val="00A5747E"/>
    <w:rsid w:val="00A57790"/>
    <w:rsid w:val="00A61F99"/>
    <w:rsid w:val="00A635EE"/>
    <w:rsid w:val="00AE15A8"/>
    <w:rsid w:val="00AE52E6"/>
    <w:rsid w:val="00B06699"/>
    <w:rsid w:val="00B27BBA"/>
    <w:rsid w:val="00B35FEB"/>
    <w:rsid w:val="00B40EC4"/>
    <w:rsid w:val="00B67688"/>
    <w:rsid w:val="00B815E7"/>
    <w:rsid w:val="00B833B2"/>
    <w:rsid w:val="00B86B39"/>
    <w:rsid w:val="00B92131"/>
    <w:rsid w:val="00BB1858"/>
    <w:rsid w:val="00BB4D6D"/>
    <w:rsid w:val="00BE47DF"/>
    <w:rsid w:val="00BF56A2"/>
    <w:rsid w:val="00BF7F9D"/>
    <w:rsid w:val="00C82F0A"/>
    <w:rsid w:val="00C9316B"/>
    <w:rsid w:val="00CD3227"/>
    <w:rsid w:val="00CE06EF"/>
    <w:rsid w:val="00CF7C48"/>
    <w:rsid w:val="00D00066"/>
    <w:rsid w:val="00D02287"/>
    <w:rsid w:val="00D03ACC"/>
    <w:rsid w:val="00D128A5"/>
    <w:rsid w:val="00D2694E"/>
    <w:rsid w:val="00D35453"/>
    <w:rsid w:val="00D57AEC"/>
    <w:rsid w:val="00DD7860"/>
    <w:rsid w:val="00E02FA5"/>
    <w:rsid w:val="00E03F5F"/>
    <w:rsid w:val="00E053C5"/>
    <w:rsid w:val="00E07166"/>
    <w:rsid w:val="00E17285"/>
    <w:rsid w:val="00E26035"/>
    <w:rsid w:val="00E26A6A"/>
    <w:rsid w:val="00E30D45"/>
    <w:rsid w:val="00E34476"/>
    <w:rsid w:val="00E67A19"/>
    <w:rsid w:val="00E754C1"/>
    <w:rsid w:val="00ED60E4"/>
    <w:rsid w:val="00EF35E3"/>
    <w:rsid w:val="00EF5967"/>
    <w:rsid w:val="00F047A2"/>
    <w:rsid w:val="00F17BD5"/>
    <w:rsid w:val="00F374F4"/>
    <w:rsid w:val="00F427CC"/>
    <w:rsid w:val="00F87827"/>
    <w:rsid w:val="00FE42B7"/>
    <w:rsid w:val="12341AC4"/>
    <w:rsid w:val="2B525F17"/>
    <w:rsid w:val="2F5FEB4F"/>
    <w:rsid w:val="345341E3"/>
    <w:rsid w:val="3E97D981"/>
    <w:rsid w:val="3F6455FA"/>
    <w:rsid w:val="458265C0"/>
    <w:rsid w:val="467E1461"/>
    <w:rsid w:val="589312CD"/>
    <w:rsid w:val="5F7CED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695E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FA5"/>
    <w:rPr>
      <w:rFonts w:ascii="Univers" w:hAnsi="Univer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287"/>
    <w:pPr>
      <w:ind w:left="720"/>
      <w:contextualSpacing/>
    </w:pPr>
    <w:rPr>
      <w:rFonts w:ascii="Times New Roman" w:hAnsi="Times New Roman"/>
      <w:szCs w:val="20"/>
    </w:rPr>
  </w:style>
  <w:style w:type="character" w:styleId="Hyperlink">
    <w:name w:val="Hyperlink"/>
    <w:basedOn w:val="DefaultParagraphFont"/>
    <w:uiPriority w:val="99"/>
    <w:unhideWhenUsed/>
    <w:rsid w:val="002746C9"/>
    <w:rPr>
      <w:color w:val="0563C1" w:themeColor="hyperlink"/>
      <w:u w:val="single"/>
    </w:rPr>
  </w:style>
  <w:style w:type="character" w:styleId="UnresolvedMention">
    <w:name w:val="Unresolved Mention"/>
    <w:basedOn w:val="DefaultParagraphFont"/>
    <w:uiPriority w:val="99"/>
    <w:semiHidden/>
    <w:unhideWhenUsed/>
    <w:rsid w:val="002746C9"/>
    <w:rPr>
      <w:color w:val="605E5C"/>
      <w:shd w:val="clear" w:color="auto" w:fill="E1DFDD"/>
    </w:rPr>
  </w:style>
  <w:style w:type="paragraph" w:customStyle="1" w:styleId="paragraph">
    <w:name w:val="paragraph"/>
    <w:basedOn w:val="Normal"/>
    <w:rsid w:val="00CE06EF"/>
    <w:pPr>
      <w:spacing w:before="100" w:beforeAutospacing="1" w:after="100" w:afterAutospacing="1"/>
    </w:pPr>
    <w:rPr>
      <w:rFonts w:ascii="Times New Roman" w:hAnsi="Times New Roman"/>
    </w:rPr>
  </w:style>
  <w:style w:type="character" w:customStyle="1" w:styleId="normaltextrun">
    <w:name w:val="normaltextrun"/>
    <w:basedOn w:val="DefaultParagraphFont"/>
    <w:rsid w:val="00CE06EF"/>
  </w:style>
  <w:style w:type="character" w:customStyle="1" w:styleId="eop">
    <w:name w:val="eop"/>
    <w:basedOn w:val="DefaultParagraphFont"/>
    <w:rsid w:val="00CE06EF"/>
  </w:style>
  <w:style w:type="character" w:styleId="CommentReference">
    <w:name w:val="annotation reference"/>
    <w:basedOn w:val="DefaultParagraphFont"/>
    <w:uiPriority w:val="99"/>
    <w:semiHidden/>
    <w:unhideWhenUsed/>
    <w:rsid w:val="001D0C9B"/>
    <w:rPr>
      <w:sz w:val="16"/>
      <w:szCs w:val="16"/>
    </w:rPr>
  </w:style>
  <w:style w:type="paragraph" w:styleId="CommentText">
    <w:name w:val="annotation text"/>
    <w:basedOn w:val="Normal"/>
    <w:link w:val="CommentTextChar"/>
    <w:uiPriority w:val="99"/>
    <w:unhideWhenUsed/>
    <w:rsid w:val="001D0C9B"/>
    <w:rPr>
      <w:sz w:val="20"/>
      <w:szCs w:val="20"/>
    </w:rPr>
  </w:style>
  <w:style w:type="character" w:customStyle="1" w:styleId="CommentTextChar">
    <w:name w:val="Comment Text Char"/>
    <w:basedOn w:val="DefaultParagraphFont"/>
    <w:link w:val="CommentText"/>
    <w:uiPriority w:val="99"/>
    <w:rsid w:val="001D0C9B"/>
    <w:rPr>
      <w:rFonts w:ascii="Univers" w:hAnsi="Univers"/>
    </w:rPr>
  </w:style>
  <w:style w:type="paragraph" w:styleId="CommentSubject">
    <w:name w:val="annotation subject"/>
    <w:basedOn w:val="CommentText"/>
    <w:next w:val="CommentText"/>
    <w:link w:val="CommentSubjectChar"/>
    <w:uiPriority w:val="99"/>
    <w:semiHidden/>
    <w:unhideWhenUsed/>
    <w:rsid w:val="001D0C9B"/>
    <w:rPr>
      <w:b/>
      <w:bCs/>
    </w:rPr>
  </w:style>
  <w:style w:type="character" w:customStyle="1" w:styleId="CommentSubjectChar">
    <w:name w:val="Comment Subject Char"/>
    <w:basedOn w:val="CommentTextChar"/>
    <w:link w:val="CommentSubject"/>
    <w:uiPriority w:val="99"/>
    <w:semiHidden/>
    <w:rsid w:val="001D0C9B"/>
    <w:rPr>
      <w:rFonts w:ascii="Univers" w:hAnsi="Univers"/>
      <w:b/>
      <w:bCs/>
    </w:rPr>
  </w:style>
  <w:style w:type="character" w:styleId="FollowedHyperlink">
    <w:name w:val="FollowedHyperlink"/>
    <w:basedOn w:val="DefaultParagraphFont"/>
    <w:uiPriority w:val="99"/>
    <w:semiHidden/>
    <w:unhideWhenUsed/>
    <w:rsid w:val="001D0C9B"/>
    <w:rPr>
      <w:color w:val="954F72" w:themeColor="followedHyperlink"/>
      <w:u w:val="single"/>
    </w:rPr>
  </w:style>
  <w:style w:type="paragraph" w:styleId="Revision">
    <w:name w:val="Revision"/>
    <w:hidden/>
    <w:uiPriority w:val="99"/>
    <w:semiHidden/>
    <w:rsid w:val="001D0C9B"/>
    <w:rPr>
      <w:rFonts w:ascii="Univers" w:hAnsi="Univers"/>
      <w:sz w:val="24"/>
      <w:szCs w:val="24"/>
    </w:rPr>
  </w:style>
  <w:style w:type="paragraph" w:styleId="Header">
    <w:name w:val="header"/>
    <w:basedOn w:val="Normal"/>
    <w:link w:val="HeaderChar"/>
    <w:uiPriority w:val="99"/>
    <w:unhideWhenUsed/>
    <w:rsid w:val="00D03ACC"/>
    <w:pPr>
      <w:tabs>
        <w:tab w:val="center" w:pos="4680"/>
        <w:tab w:val="right" w:pos="9360"/>
      </w:tabs>
    </w:pPr>
  </w:style>
  <w:style w:type="character" w:customStyle="1" w:styleId="HeaderChar">
    <w:name w:val="Header Char"/>
    <w:basedOn w:val="DefaultParagraphFont"/>
    <w:link w:val="Header"/>
    <w:uiPriority w:val="99"/>
    <w:rsid w:val="00D03ACC"/>
    <w:rPr>
      <w:rFonts w:ascii="Univers" w:hAnsi="Univers"/>
      <w:sz w:val="24"/>
      <w:szCs w:val="24"/>
    </w:rPr>
  </w:style>
  <w:style w:type="paragraph" w:styleId="Footer">
    <w:name w:val="footer"/>
    <w:basedOn w:val="Normal"/>
    <w:link w:val="FooterChar"/>
    <w:uiPriority w:val="99"/>
    <w:unhideWhenUsed/>
    <w:rsid w:val="00D03ACC"/>
    <w:pPr>
      <w:tabs>
        <w:tab w:val="center" w:pos="4680"/>
        <w:tab w:val="right" w:pos="9360"/>
      </w:tabs>
    </w:pPr>
  </w:style>
  <w:style w:type="character" w:customStyle="1" w:styleId="FooterChar">
    <w:name w:val="Footer Char"/>
    <w:basedOn w:val="DefaultParagraphFont"/>
    <w:link w:val="Footer"/>
    <w:uiPriority w:val="99"/>
    <w:rsid w:val="00D03ACC"/>
    <w:rPr>
      <w:rFonts w:ascii="Univers" w:hAnsi="Univer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5/chapter-III/subchapter-B/part-1320/section-1320.9"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ra.digital.gov/uploads/supporting-statement-a-instructions.pdf" TargetMode="External" /><Relationship Id="rId5" Type="http://schemas.openxmlformats.org/officeDocument/2006/relationships/hyperlink" Target="https://www.bls.gov/oes/current/oes_nat.htm" TargetMode="External" /><Relationship Id="rId6" Type="http://schemas.openxmlformats.org/officeDocument/2006/relationships/hyperlink" Target="https://www.vitalchek.com/v/timing-and-pricing" TargetMode="External" /><Relationship Id="rId7" Type="http://schemas.openxmlformats.org/officeDocument/2006/relationships/hyperlink" Target="https://www.office.fedex.com/default/copy-and-print-services" TargetMode="External" /><Relationship Id="rId8" Type="http://schemas.openxmlformats.org/officeDocument/2006/relationships/hyperlink" Target="https://www.usps.com/business/prices.htm" TargetMode="External" /><Relationship Id="rId9" Type="http://schemas.openxmlformats.org/officeDocument/2006/relationships/hyperlink" Target="https://www.irs.gov/tax-professionals/standard-mileage-r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1590</Words>
  <Characters>9706</Characters>
  <Application>Microsoft Office Word</Application>
  <DocSecurity>0</DocSecurity>
  <Lines>294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2025-11-28T21:24:00Z</dcterms:created>
  <dcterms:modified xsi:type="dcterms:W3CDTF">2025-11-28T21:24:00Z</dcterms:modified>
</cp:coreProperties>
</file>