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36EDA" w:rsidRPr="00B75D93" w:rsidP="00636EDA" w14:paraId="79D4A065" w14:textId="77777777">
      <w:pPr>
        <w:widowControl/>
        <w:jc w:val="center"/>
        <w:rPr>
          <w:rFonts w:ascii="Arial" w:hAnsi="Arial" w:cs="Arial"/>
          <w:b/>
          <w:bCs/>
        </w:rPr>
      </w:pPr>
      <w:r w:rsidRPr="00B75D93">
        <w:rPr>
          <w:rFonts w:ascii="Arial" w:hAnsi="Arial" w:cs="Arial"/>
          <w:b/>
          <w:bCs/>
        </w:rPr>
        <w:t>SUPPORTING STATEMENT</w:t>
      </w:r>
    </w:p>
    <w:p w:rsidR="00636EDA" w:rsidRPr="00B75D93" w:rsidP="00636EDA" w14:paraId="79D4A066" w14:textId="77777777">
      <w:pPr>
        <w:widowControl/>
        <w:jc w:val="center"/>
        <w:rPr>
          <w:rFonts w:ascii="Arial" w:hAnsi="Arial" w:cs="Arial"/>
          <w:b/>
          <w:bCs/>
        </w:rPr>
      </w:pPr>
      <w:r w:rsidRPr="00B75D93">
        <w:rPr>
          <w:rFonts w:ascii="Arial" w:hAnsi="Arial" w:cs="Arial"/>
          <w:b/>
          <w:bCs/>
        </w:rPr>
        <w:t>United States Patent and Trademark Office</w:t>
      </w:r>
    </w:p>
    <w:p w:rsidR="00636EDA" w:rsidRPr="00B75D93" w:rsidP="00636EDA" w14:paraId="79D4A067" w14:textId="172EC168">
      <w:pPr>
        <w:widowControl/>
        <w:jc w:val="center"/>
        <w:rPr>
          <w:rFonts w:ascii="Arial" w:hAnsi="Arial" w:cs="Arial"/>
        </w:rPr>
      </w:pPr>
      <w:r>
        <w:rPr>
          <w:rFonts w:ascii="Arial" w:hAnsi="Arial" w:cs="Arial"/>
          <w:b/>
          <w:bCs/>
        </w:rPr>
        <w:t>Deposit of Biological Material</w:t>
      </w:r>
      <w:r w:rsidR="00EC6561">
        <w:rPr>
          <w:rFonts w:ascii="Arial" w:hAnsi="Arial" w:cs="Arial"/>
          <w:b/>
          <w:bCs/>
        </w:rPr>
        <w:t>s</w:t>
      </w:r>
    </w:p>
    <w:p w:rsidR="00636EDA" w:rsidP="00636EDA" w14:paraId="79D4A068" w14:textId="3D4CD975">
      <w:pPr>
        <w:widowControl/>
        <w:jc w:val="center"/>
        <w:rPr>
          <w:rFonts w:ascii="Arial" w:hAnsi="Arial" w:cs="Arial"/>
          <w:b/>
          <w:bCs/>
        </w:rPr>
      </w:pPr>
      <w:r w:rsidRPr="00B75D93">
        <w:rPr>
          <w:rFonts w:ascii="Arial" w:hAnsi="Arial" w:cs="Arial"/>
          <w:b/>
          <w:bCs/>
        </w:rPr>
        <w:t>OMB CONTROL NUMBER 0651-</w:t>
      </w:r>
      <w:r w:rsidR="00206F4B">
        <w:rPr>
          <w:rFonts w:ascii="Arial" w:hAnsi="Arial" w:cs="Arial"/>
          <w:b/>
          <w:bCs/>
        </w:rPr>
        <w:t>0022</w:t>
      </w:r>
    </w:p>
    <w:p w:rsidR="00636EDA" w:rsidRPr="00431AC1" w:rsidP="00636EDA" w14:paraId="79D4A069" w14:textId="38108D02">
      <w:pPr>
        <w:widowControl/>
        <w:jc w:val="center"/>
        <w:rPr>
          <w:rFonts w:ascii="Arial" w:hAnsi="Arial" w:cs="Arial"/>
          <w:b/>
          <w:bCs/>
          <w:color w:val="FF0000"/>
        </w:rPr>
      </w:pPr>
      <w:r>
        <w:rPr>
          <w:rFonts w:ascii="Arial" w:hAnsi="Arial" w:cs="Arial"/>
          <w:b/>
          <w:bCs/>
        </w:rPr>
        <w:t>2026</w:t>
      </w:r>
    </w:p>
    <w:p w:rsidR="00636EDA" w:rsidRPr="00476F66" w:rsidP="00636EDA" w14:paraId="79D4A06A" w14:textId="77777777">
      <w:pPr>
        <w:widowControl/>
        <w:ind w:firstLine="1440"/>
        <w:rPr>
          <w:rFonts w:ascii="Arial" w:hAnsi="Arial" w:cs="Arial"/>
          <w:color w:val="0000FF"/>
        </w:rPr>
      </w:pPr>
    </w:p>
    <w:p w:rsidR="00636EDA" w:rsidRPr="00476F66" w:rsidP="00636EDA" w14:paraId="79D4A06B" w14:textId="77777777">
      <w:pPr>
        <w:widowControl/>
        <w:rPr>
          <w:rFonts w:ascii="Arial" w:hAnsi="Arial" w:cs="Arial"/>
          <w:color w:val="0000FF"/>
        </w:rPr>
      </w:pPr>
    </w:p>
    <w:p w:rsidR="00636EDA" w:rsidRPr="00476F66" w:rsidP="00636EDA" w14:paraId="79D4A06C" w14:textId="77777777">
      <w:pPr>
        <w:widowControl/>
        <w:jc w:val="both"/>
        <w:rPr>
          <w:rFonts w:ascii="Arial" w:hAnsi="Arial" w:cs="Arial"/>
        </w:rPr>
      </w:pPr>
      <w:r w:rsidRPr="00476F66">
        <w:rPr>
          <w:rFonts w:ascii="Arial" w:hAnsi="Arial" w:cs="Arial"/>
          <w:b/>
          <w:bCs/>
        </w:rPr>
        <w:t>A.</w:t>
      </w:r>
      <w:r w:rsidRPr="00476F66">
        <w:rPr>
          <w:rFonts w:ascii="Arial" w:hAnsi="Arial" w:cs="Arial"/>
          <w:b/>
          <w:bCs/>
        </w:rPr>
        <w:tab/>
        <w:t>JUSTIFICATION</w:t>
      </w:r>
    </w:p>
    <w:p w:rsidR="00636EDA" w:rsidRPr="00476F66" w:rsidP="00636EDA" w14:paraId="79D4A06D" w14:textId="77777777">
      <w:pPr>
        <w:widowControl/>
        <w:jc w:val="both"/>
        <w:rPr>
          <w:rFonts w:ascii="Arial" w:hAnsi="Arial" w:cs="Arial"/>
        </w:rPr>
      </w:pPr>
    </w:p>
    <w:p w:rsidR="00567B74" w:rsidRPr="00004988" w:rsidP="00A35D62" w14:paraId="3C6E5BB5" w14:textId="63222F45">
      <w:pPr>
        <w:pStyle w:val="ListParagraph"/>
        <w:widowControl/>
        <w:numPr>
          <w:ilvl w:val="0"/>
          <w:numId w:val="13"/>
        </w:numPr>
        <w:ind w:left="360"/>
        <w:jc w:val="both"/>
        <w:rPr>
          <w:rFonts w:ascii="Arial" w:hAnsi="Arial" w:cs="Arial"/>
          <w:b/>
        </w:rPr>
      </w:pPr>
      <w:r w:rsidRPr="00004988">
        <w:rPr>
          <w:rFonts w:ascii="Arial" w:hAnsi="Arial" w:cs="Arial"/>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67B74" w:rsidP="00636EDA" w14:paraId="4E9C2F03" w14:textId="77777777">
      <w:pPr>
        <w:widowControl/>
        <w:jc w:val="both"/>
        <w:rPr>
          <w:rFonts w:ascii="Arial" w:hAnsi="Arial" w:cs="Arial"/>
        </w:rPr>
      </w:pPr>
    </w:p>
    <w:p w:rsidR="0053442C" w:rsidRPr="00040930" w:rsidP="0053442C" w14:paraId="16280C78" w14:textId="0C424BAF">
      <w:pPr>
        <w:widowControl/>
        <w:autoSpaceDE/>
        <w:autoSpaceDN/>
        <w:adjustRightInd/>
        <w:jc w:val="both"/>
        <w:rPr>
          <w:rFonts w:ascii="Arial" w:hAnsi="Arial" w:cs="Arial"/>
        </w:rPr>
      </w:pPr>
      <w:r w:rsidRPr="00040930">
        <w:rPr>
          <w:rFonts w:ascii="Arial" w:hAnsi="Arial" w:cs="Arial"/>
        </w:rPr>
        <w:t xml:space="preserve">This information collection covers information from patent applicants who seek to deposit biological materials according to 37 CFR </w:t>
      </w:r>
      <w:r w:rsidRPr="002B017A" w:rsidR="002B017A">
        <w:rPr>
          <w:rFonts w:ascii="Arial" w:hAnsi="Arial" w:cs="Arial"/>
        </w:rPr>
        <w:t>§§</w:t>
      </w:r>
      <w:r w:rsidR="002B017A">
        <w:t xml:space="preserve"> </w:t>
      </w:r>
      <w:r w:rsidRPr="00040930">
        <w:rPr>
          <w:rFonts w:ascii="Arial" w:hAnsi="Arial" w:cs="Arial"/>
        </w:rPr>
        <w:t>1.801-1.809. The information collected from such patent applicants consists of information and documentation demonstrating the applicant’s compliance with regulatory requirements, as well as information regarding the biological sample after it is deposited. This information collection also covers applications from institutions that wish to be recognized by the United States Patent and Trademark Office (USPTO) as a suitable depository to receive deposits for patent application purposes. The information collection requirements for these actions are separate, as further discussed below.</w:t>
      </w:r>
    </w:p>
    <w:p w:rsidR="0053442C" w:rsidRPr="00040930" w:rsidP="0053442C" w14:paraId="19732838" w14:textId="77777777">
      <w:pPr>
        <w:widowControl/>
        <w:autoSpaceDE/>
        <w:autoSpaceDN/>
        <w:adjustRightInd/>
        <w:jc w:val="both"/>
        <w:rPr>
          <w:rFonts w:ascii="Arial" w:hAnsi="Arial" w:cs="Arial"/>
          <w:bCs/>
        </w:rPr>
      </w:pPr>
    </w:p>
    <w:p w:rsidR="0053442C" w:rsidRPr="00040930" w:rsidP="0053442C" w14:paraId="71DAB0E7" w14:textId="34854AD8">
      <w:pPr>
        <w:widowControl/>
        <w:numPr>
          <w:ilvl w:val="0"/>
          <w:numId w:val="17"/>
        </w:numPr>
        <w:autoSpaceDE/>
        <w:autoSpaceDN/>
        <w:adjustRightInd/>
        <w:jc w:val="both"/>
        <w:rPr>
          <w:rFonts w:ascii="Arial" w:hAnsi="Arial" w:cs="Arial"/>
          <w:bCs/>
          <w:u w:val="single"/>
        </w:rPr>
      </w:pPr>
      <w:r w:rsidRPr="00040930">
        <w:rPr>
          <w:rFonts w:ascii="Arial" w:hAnsi="Arial" w:cs="Arial"/>
          <w:bCs/>
          <w:u w:val="single"/>
        </w:rPr>
        <w:t>Deposit of Biological Materials</w:t>
      </w:r>
    </w:p>
    <w:p w:rsidR="0053442C" w:rsidRPr="00040930" w:rsidP="0053442C" w14:paraId="6DC16F79" w14:textId="77777777">
      <w:pPr>
        <w:widowControl/>
        <w:autoSpaceDE/>
        <w:autoSpaceDN/>
        <w:adjustRightInd/>
        <w:jc w:val="both"/>
        <w:rPr>
          <w:rFonts w:ascii="Arial" w:hAnsi="Arial" w:cs="Arial"/>
          <w:bCs/>
        </w:rPr>
      </w:pPr>
    </w:p>
    <w:p w:rsidR="0053442C" w:rsidRPr="00040930" w:rsidP="0053442C" w14:paraId="30DE61FB" w14:textId="6703DE66">
      <w:pPr>
        <w:widowControl/>
        <w:autoSpaceDE/>
        <w:autoSpaceDN/>
        <w:adjustRightInd/>
        <w:jc w:val="both"/>
        <w:rPr>
          <w:rFonts w:ascii="Arial" w:hAnsi="Arial" w:cs="Arial"/>
        </w:rPr>
      </w:pPr>
      <w:r w:rsidRPr="00040930">
        <w:rPr>
          <w:rFonts w:ascii="Arial" w:hAnsi="Arial" w:cs="Arial"/>
        </w:rPr>
        <w:t xml:space="preserve">The deposit of biological materials as part of a patent application is authorized by 35 U.S.C. 2(b)(2). The term ‘‘biological material’’ is defined in 37 CFR </w:t>
      </w:r>
      <w:r w:rsidRPr="002B017A" w:rsidR="002B017A">
        <w:rPr>
          <w:rFonts w:ascii="Arial" w:hAnsi="Arial" w:cs="Arial"/>
        </w:rPr>
        <w:t>§</w:t>
      </w:r>
      <w:r w:rsidR="002B017A">
        <w:rPr>
          <w:rFonts w:ascii="Arial" w:hAnsi="Arial" w:cs="Arial"/>
        </w:rPr>
        <w:t xml:space="preserve"> </w:t>
      </w:r>
      <w:r w:rsidRPr="00040930">
        <w:rPr>
          <w:rFonts w:ascii="Arial" w:hAnsi="Arial" w:cs="Arial"/>
        </w:rPr>
        <w:t>1.801 as including material that is capable of self-replication, either directly or indirectly. When an invention involves a biological material, words and figures may not sufficiently describe how to make and use the invention in a reproducible manner as required by 35 U.S.C. 112. In such cases, the inventive biological material must be known and readily available to the public or can be made or isolated without undue experimentation (see 37 CFR</w:t>
      </w:r>
      <w:r w:rsidR="002B017A">
        <w:rPr>
          <w:rFonts w:ascii="Arial" w:hAnsi="Arial" w:cs="Arial"/>
        </w:rPr>
        <w:t xml:space="preserve"> </w:t>
      </w:r>
      <w:r w:rsidRPr="002B017A" w:rsidR="002B017A">
        <w:rPr>
          <w:rFonts w:ascii="Arial" w:hAnsi="Arial" w:cs="Arial"/>
        </w:rPr>
        <w:t>§</w:t>
      </w:r>
      <w:r w:rsidRPr="00040930">
        <w:rPr>
          <w:rFonts w:ascii="Arial" w:hAnsi="Arial" w:cs="Arial"/>
        </w:rPr>
        <w:t xml:space="preserve"> 1.802). In order to satisfy the “known and readily available” requirement, the biological material may be deposited in a suitable depository that has been recognized as an International Depositary Authority (IDA) established under the Budapest Treaty per 37 CFR</w:t>
      </w:r>
      <w:r w:rsidR="002B017A">
        <w:rPr>
          <w:rFonts w:ascii="Arial" w:hAnsi="Arial" w:cs="Arial"/>
        </w:rPr>
        <w:t xml:space="preserve"> </w:t>
      </w:r>
      <w:r w:rsidRPr="002B017A" w:rsidR="002B017A">
        <w:rPr>
          <w:rFonts w:ascii="Arial" w:hAnsi="Arial" w:cs="Arial"/>
        </w:rPr>
        <w:t>§</w:t>
      </w:r>
      <w:r w:rsidRPr="00040930">
        <w:rPr>
          <w:rFonts w:ascii="Arial" w:hAnsi="Arial" w:cs="Arial"/>
        </w:rPr>
        <w:t xml:space="preserve"> 1.803(a)(1), or any other depository recognized to be suitable by the USPTO per 37 CFR</w:t>
      </w:r>
      <w:r w:rsidR="002B017A">
        <w:rPr>
          <w:rFonts w:ascii="Arial" w:hAnsi="Arial" w:cs="Arial"/>
        </w:rPr>
        <w:t xml:space="preserve"> </w:t>
      </w:r>
      <w:r w:rsidRPr="002B017A" w:rsidR="002B017A">
        <w:rPr>
          <w:rFonts w:ascii="Arial" w:hAnsi="Arial" w:cs="Arial"/>
        </w:rPr>
        <w:t>§</w:t>
      </w:r>
      <w:r w:rsidRPr="00040930">
        <w:rPr>
          <w:rFonts w:ascii="Arial" w:hAnsi="Arial" w:cs="Arial"/>
        </w:rPr>
        <w:t xml:space="preserve"> 1.803(a)(2). Under the authority of 35 U.S.C. 2(b)(2), the deposit rules (37 CFR</w:t>
      </w:r>
      <w:r w:rsidR="002B017A">
        <w:rPr>
          <w:rFonts w:ascii="Arial" w:hAnsi="Arial" w:cs="Arial"/>
        </w:rPr>
        <w:t xml:space="preserve"> </w:t>
      </w:r>
      <w:r w:rsidRPr="002B017A" w:rsidR="002B017A">
        <w:rPr>
          <w:rFonts w:ascii="Arial" w:hAnsi="Arial" w:cs="Arial"/>
        </w:rPr>
        <w:t>§§</w:t>
      </w:r>
      <w:r w:rsidRPr="00040930">
        <w:rPr>
          <w:rFonts w:ascii="Arial" w:hAnsi="Arial" w:cs="Arial"/>
        </w:rPr>
        <w:t xml:space="preserve"> 1.801–1.809) set forth examining procedures and conditions of deposit which must be satisfied in the event a deposit is required. </w:t>
      </w:r>
    </w:p>
    <w:p w:rsidR="0053442C" w:rsidRPr="00040930" w:rsidP="0053442C" w14:paraId="5E6198BF" w14:textId="77777777">
      <w:pPr>
        <w:widowControl/>
        <w:autoSpaceDE/>
        <w:autoSpaceDN/>
        <w:adjustRightInd/>
        <w:jc w:val="both"/>
        <w:rPr>
          <w:rFonts w:ascii="Arial" w:hAnsi="Arial" w:cs="Arial"/>
        </w:rPr>
      </w:pPr>
    </w:p>
    <w:p w:rsidR="0053442C" w:rsidRPr="00040930" w:rsidP="0053442C" w14:paraId="612DCAED" w14:textId="29346C7E">
      <w:pPr>
        <w:widowControl/>
        <w:autoSpaceDE/>
        <w:autoSpaceDN/>
        <w:adjustRightInd/>
        <w:jc w:val="both"/>
        <w:rPr>
          <w:rFonts w:ascii="Arial" w:hAnsi="Arial" w:cs="Arial"/>
        </w:rPr>
      </w:pPr>
      <w:r w:rsidRPr="00040930">
        <w:rPr>
          <w:rFonts w:ascii="Arial" w:hAnsi="Arial" w:cs="Arial"/>
        </w:rPr>
        <w:t xml:space="preserve">In cases where a deposit of biological material that is capable of self-replication either directly or indirectly is made, and the deposit is not made under the Budapest Treaty, the USPTO collects information from the patent applicant to determine whether the deposit </w:t>
      </w:r>
      <w:r w:rsidRPr="00040930">
        <w:rPr>
          <w:rFonts w:ascii="Arial" w:hAnsi="Arial" w:cs="Arial"/>
        </w:rPr>
        <w:t>meets the viability requirements of 37 CFR</w:t>
      </w:r>
      <w:r w:rsidR="002B017A">
        <w:rPr>
          <w:rFonts w:ascii="Arial" w:hAnsi="Arial" w:cs="Arial"/>
        </w:rPr>
        <w:t xml:space="preserve"> </w:t>
      </w:r>
      <w:r w:rsidRPr="002B017A" w:rsidR="002B017A">
        <w:rPr>
          <w:rFonts w:ascii="Arial" w:hAnsi="Arial" w:cs="Arial"/>
        </w:rPr>
        <w:t>§</w:t>
      </w:r>
      <w:r w:rsidRPr="00040930">
        <w:rPr>
          <w:rFonts w:ascii="Arial" w:hAnsi="Arial" w:cs="Arial"/>
        </w:rPr>
        <w:t xml:space="preserve"> 1.807. This information includes a viability statement under 37 CFR </w:t>
      </w:r>
      <w:r w:rsidRPr="002B017A" w:rsidR="002B017A">
        <w:rPr>
          <w:rFonts w:ascii="Arial" w:hAnsi="Arial" w:cs="Arial"/>
        </w:rPr>
        <w:t>§</w:t>
      </w:r>
      <w:r w:rsidR="002B017A">
        <w:rPr>
          <w:rFonts w:ascii="Arial" w:hAnsi="Arial" w:cs="Arial"/>
        </w:rPr>
        <w:t xml:space="preserve"> </w:t>
      </w:r>
      <w:r w:rsidRPr="00040930">
        <w:rPr>
          <w:rFonts w:ascii="Arial" w:hAnsi="Arial" w:cs="Arial"/>
        </w:rPr>
        <w:t>1.807, such statement identifying:</w:t>
      </w:r>
    </w:p>
    <w:p w:rsidR="0053442C" w:rsidRPr="00040930" w:rsidP="0053442C" w14:paraId="34CEC362" w14:textId="77777777">
      <w:pPr>
        <w:widowControl/>
        <w:autoSpaceDE/>
        <w:autoSpaceDN/>
        <w:adjustRightInd/>
        <w:jc w:val="both"/>
        <w:rPr>
          <w:rFonts w:ascii="Arial" w:hAnsi="Arial" w:cs="Arial"/>
        </w:rPr>
      </w:pPr>
    </w:p>
    <w:p w:rsidR="0053442C" w:rsidRPr="00040930" w:rsidP="0053442C" w14:paraId="7B2A65E8" w14:textId="7979C47E">
      <w:pPr>
        <w:widowControl/>
        <w:autoSpaceDE/>
        <w:autoSpaceDN/>
        <w:adjustRightInd/>
        <w:ind w:left="720"/>
        <w:jc w:val="both"/>
        <w:rPr>
          <w:rFonts w:ascii="Arial" w:hAnsi="Arial" w:cs="Arial"/>
        </w:rPr>
      </w:pPr>
      <w:r w:rsidRPr="00040930">
        <w:rPr>
          <w:rFonts w:ascii="Arial" w:hAnsi="Arial" w:cs="Arial"/>
        </w:rPr>
        <w:t>(1) The name and address of the depository where the deposit was made</w:t>
      </w:r>
      <w:r w:rsidR="00BF1ED8">
        <w:rPr>
          <w:rFonts w:ascii="Arial" w:hAnsi="Arial" w:cs="Arial"/>
        </w:rPr>
        <w:t>;</w:t>
      </w:r>
      <w:r w:rsidRPr="00040930">
        <w:rPr>
          <w:rFonts w:ascii="Arial" w:hAnsi="Arial" w:cs="Arial"/>
        </w:rPr>
        <w:t xml:space="preserve"> </w:t>
      </w:r>
    </w:p>
    <w:p w:rsidR="0053442C" w:rsidRPr="00040930" w:rsidP="0053442C" w14:paraId="24947749" w14:textId="326AD5C7">
      <w:pPr>
        <w:widowControl/>
        <w:autoSpaceDE/>
        <w:autoSpaceDN/>
        <w:adjustRightInd/>
        <w:ind w:left="720"/>
        <w:jc w:val="both"/>
        <w:rPr>
          <w:rFonts w:ascii="Arial" w:hAnsi="Arial" w:cs="Arial"/>
        </w:rPr>
      </w:pPr>
      <w:r w:rsidRPr="00040930">
        <w:rPr>
          <w:rFonts w:ascii="Arial" w:hAnsi="Arial" w:cs="Arial"/>
        </w:rPr>
        <w:t>(2) The name and address of the depositor</w:t>
      </w:r>
      <w:r w:rsidR="00BF1ED8">
        <w:rPr>
          <w:rFonts w:ascii="Arial" w:hAnsi="Arial" w:cs="Arial"/>
        </w:rPr>
        <w:t>;</w:t>
      </w:r>
      <w:r w:rsidRPr="00040930">
        <w:rPr>
          <w:rFonts w:ascii="Arial" w:hAnsi="Arial" w:cs="Arial"/>
        </w:rPr>
        <w:t xml:space="preserve"> </w:t>
      </w:r>
    </w:p>
    <w:p w:rsidR="0053442C" w:rsidRPr="00040930" w:rsidP="0053442C" w14:paraId="6EB0E4B0" w14:textId="30593639">
      <w:pPr>
        <w:widowControl/>
        <w:autoSpaceDE/>
        <w:autoSpaceDN/>
        <w:adjustRightInd/>
        <w:ind w:left="720"/>
        <w:jc w:val="both"/>
        <w:rPr>
          <w:rFonts w:ascii="Arial" w:hAnsi="Arial" w:cs="Arial"/>
        </w:rPr>
      </w:pPr>
      <w:r w:rsidRPr="00040930">
        <w:rPr>
          <w:rFonts w:ascii="Arial" w:hAnsi="Arial" w:cs="Arial"/>
        </w:rPr>
        <w:t>(3) The date of the deposit</w:t>
      </w:r>
      <w:r w:rsidR="00BF1ED8">
        <w:rPr>
          <w:rFonts w:ascii="Arial" w:hAnsi="Arial" w:cs="Arial"/>
        </w:rPr>
        <w:t>;</w:t>
      </w:r>
      <w:r w:rsidRPr="00040930">
        <w:rPr>
          <w:rFonts w:ascii="Arial" w:hAnsi="Arial" w:cs="Arial"/>
        </w:rPr>
        <w:t xml:space="preserve"> </w:t>
      </w:r>
    </w:p>
    <w:p w:rsidR="0053442C" w:rsidRPr="00040930" w:rsidP="0053442C" w14:paraId="1342247C" w14:textId="37F11157">
      <w:pPr>
        <w:widowControl/>
        <w:autoSpaceDE/>
        <w:autoSpaceDN/>
        <w:adjustRightInd/>
        <w:ind w:left="720"/>
        <w:jc w:val="both"/>
        <w:rPr>
          <w:rFonts w:ascii="Arial" w:hAnsi="Arial" w:cs="Arial"/>
        </w:rPr>
      </w:pPr>
      <w:r w:rsidRPr="00040930">
        <w:rPr>
          <w:rFonts w:ascii="Arial" w:hAnsi="Arial" w:cs="Arial"/>
        </w:rPr>
        <w:t>(4) The identity of the deposit and the accession number given by the depository</w:t>
      </w:r>
      <w:r w:rsidR="00BF1ED8">
        <w:rPr>
          <w:rFonts w:ascii="Arial" w:hAnsi="Arial" w:cs="Arial"/>
        </w:rPr>
        <w:t>;</w:t>
      </w:r>
      <w:r w:rsidRPr="00040930">
        <w:rPr>
          <w:rFonts w:ascii="Arial" w:hAnsi="Arial" w:cs="Arial"/>
        </w:rPr>
        <w:t xml:space="preserve"> </w:t>
      </w:r>
    </w:p>
    <w:p w:rsidR="0053442C" w:rsidRPr="00040930" w:rsidP="0053442C" w14:paraId="6B7E55ED" w14:textId="5D6CF538">
      <w:pPr>
        <w:widowControl/>
        <w:autoSpaceDE/>
        <w:autoSpaceDN/>
        <w:adjustRightInd/>
        <w:ind w:left="720"/>
        <w:jc w:val="both"/>
        <w:rPr>
          <w:rFonts w:ascii="Arial" w:hAnsi="Arial" w:cs="Arial"/>
        </w:rPr>
      </w:pPr>
      <w:r w:rsidRPr="00040930">
        <w:rPr>
          <w:rFonts w:ascii="Arial" w:hAnsi="Arial" w:cs="Arial"/>
        </w:rPr>
        <w:t>(5) The date of the viability test</w:t>
      </w:r>
      <w:r w:rsidR="00BF1ED8">
        <w:rPr>
          <w:rFonts w:ascii="Arial" w:hAnsi="Arial" w:cs="Arial"/>
        </w:rPr>
        <w:t>;</w:t>
      </w:r>
      <w:r w:rsidRPr="00040930">
        <w:rPr>
          <w:rFonts w:ascii="Arial" w:hAnsi="Arial" w:cs="Arial"/>
        </w:rPr>
        <w:t xml:space="preserve"> </w:t>
      </w:r>
    </w:p>
    <w:p w:rsidR="0053442C" w:rsidRPr="00040930" w:rsidP="0053442C" w14:paraId="68B35DBB" w14:textId="2F869E95">
      <w:pPr>
        <w:widowControl/>
        <w:autoSpaceDE/>
        <w:autoSpaceDN/>
        <w:adjustRightInd/>
        <w:ind w:left="720"/>
        <w:jc w:val="both"/>
        <w:rPr>
          <w:rFonts w:ascii="Arial" w:hAnsi="Arial" w:cs="Arial"/>
        </w:rPr>
      </w:pPr>
      <w:r w:rsidRPr="00040930">
        <w:rPr>
          <w:rFonts w:ascii="Arial" w:hAnsi="Arial" w:cs="Arial"/>
        </w:rPr>
        <w:t>(6) The procedures used to obtain a sample if the test was not done by the depository</w:t>
      </w:r>
      <w:r w:rsidR="00BF1ED8">
        <w:rPr>
          <w:rFonts w:ascii="Arial" w:hAnsi="Arial" w:cs="Arial"/>
        </w:rPr>
        <w:t>;</w:t>
      </w:r>
      <w:r w:rsidRPr="00040930">
        <w:rPr>
          <w:rFonts w:ascii="Arial" w:hAnsi="Arial" w:cs="Arial"/>
        </w:rPr>
        <w:t xml:space="preserve"> and </w:t>
      </w:r>
    </w:p>
    <w:p w:rsidR="0053442C" w:rsidRPr="00040930" w:rsidP="0053442C" w14:paraId="441FB9DB" w14:textId="78950254">
      <w:pPr>
        <w:widowControl/>
        <w:autoSpaceDE/>
        <w:autoSpaceDN/>
        <w:adjustRightInd/>
        <w:ind w:left="720"/>
        <w:jc w:val="both"/>
        <w:rPr>
          <w:rFonts w:ascii="Arial" w:hAnsi="Arial" w:cs="Arial"/>
        </w:rPr>
      </w:pPr>
      <w:r w:rsidRPr="00040930">
        <w:rPr>
          <w:rFonts w:ascii="Arial" w:hAnsi="Arial" w:cs="Arial"/>
        </w:rPr>
        <w:t>(7) A statement that the deposit is capable of reproduction.</w:t>
      </w:r>
    </w:p>
    <w:p w:rsidR="0053442C" w:rsidRPr="00040930" w:rsidP="0053442C" w14:paraId="1029E81E" w14:textId="77777777">
      <w:pPr>
        <w:widowControl/>
        <w:autoSpaceDE/>
        <w:autoSpaceDN/>
        <w:adjustRightInd/>
        <w:jc w:val="both"/>
        <w:rPr>
          <w:rFonts w:ascii="Arial" w:hAnsi="Arial" w:cs="Arial"/>
        </w:rPr>
      </w:pPr>
    </w:p>
    <w:p w:rsidR="0053442C" w:rsidRPr="00040930" w:rsidP="0053442C" w14:paraId="32BA8D68" w14:textId="77777777">
      <w:pPr>
        <w:widowControl/>
        <w:autoSpaceDE/>
        <w:autoSpaceDN/>
        <w:adjustRightInd/>
        <w:jc w:val="both"/>
        <w:rPr>
          <w:rFonts w:ascii="Arial" w:hAnsi="Arial" w:cs="Arial"/>
        </w:rPr>
      </w:pPr>
      <w:r w:rsidRPr="00040930">
        <w:rPr>
          <w:rFonts w:ascii="Arial" w:hAnsi="Arial" w:cs="Arial"/>
        </w:rPr>
        <w:t xml:space="preserve">A viability statement is not required when a deposit is made and accepted under the Budapest Treaty. </w:t>
      </w:r>
    </w:p>
    <w:p w:rsidR="0053442C" w:rsidRPr="00040930" w:rsidP="0053442C" w14:paraId="39CFA5B3" w14:textId="77777777">
      <w:pPr>
        <w:widowControl/>
        <w:autoSpaceDE/>
        <w:autoSpaceDN/>
        <w:adjustRightInd/>
        <w:jc w:val="both"/>
        <w:rPr>
          <w:rFonts w:ascii="Arial" w:hAnsi="Arial" w:cs="Arial"/>
        </w:rPr>
      </w:pPr>
    </w:p>
    <w:p w:rsidR="0053442C" w:rsidRPr="00040930" w:rsidP="0053442C" w14:paraId="6E14927A" w14:textId="77777777">
      <w:pPr>
        <w:widowControl/>
        <w:autoSpaceDE/>
        <w:autoSpaceDN/>
        <w:adjustRightInd/>
        <w:jc w:val="both"/>
        <w:rPr>
          <w:rFonts w:ascii="Arial" w:hAnsi="Arial" w:cs="Arial"/>
        </w:rPr>
      </w:pPr>
      <w:r w:rsidRPr="00040930">
        <w:rPr>
          <w:rFonts w:ascii="Arial" w:hAnsi="Arial" w:cs="Arial"/>
        </w:rPr>
        <w:t xml:space="preserve">This information collection also covers additional information that may be gathered by the USPTO after a biological material is deposited into the recognized depository. For example, depositors may be required to submit verification statements for biological materials deposited after the effective filing date of a patent application, or written notification that an acceptable deposit will be made. Occasionally a deposit may be lost, contaminated, or is not able to self-replicate, and a replacement or supplemental deposit needs to be made. This information collection includes a required written notification that the depositor must submit to the USPTO disclosing the particulars of such situation and requesting a certificate of correction by the USPTO authorizing a replacement or supplemental deposit. </w:t>
      </w:r>
    </w:p>
    <w:p w:rsidR="0053442C" w:rsidRPr="00040930" w:rsidP="0053442C" w14:paraId="264432FB" w14:textId="77777777">
      <w:pPr>
        <w:widowControl/>
        <w:autoSpaceDE/>
        <w:autoSpaceDN/>
        <w:adjustRightInd/>
        <w:jc w:val="both"/>
        <w:rPr>
          <w:rFonts w:ascii="Arial" w:hAnsi="Arial" w:cs="Arial"/>
        </w:rPr>
      </w:pPr>
    </w:p>
    <w:p w:rsidR="0053442C" w:rsidRPr="00040930" w:rsidP="0053442C" w14:paraId="216486F3" w14:textId="77777777">
      <w:pPr>
        <w:widowControl/>
        <w:autoSpaceDE/>
        <w:autoSpaceDN/>
        <w:adjustRightInd/>
        <w:jc w:val="both"/>
        <w:rPr>
          <w:rFonts w:ascii="Arial" w:hAnsi="Arial" w:cs="Arial"/>
        </w:rPr>
      </w:pPr>
      <w:r w:rsidRPr="00040930">
        <w:rPr>
          <w:rFonts w:ascii="Arial" w:hAnsi="Arial" w:cs="Arial"/>
        </w:rPr>
        <w:t>There are no forms associated with the information collected by the USPTO in connection with the deposit of biological materials.</w:t>
      </w:r>
    </w:p>
    <w:p w:rsidR="0053442C" w:rsidRPr="00040930" w:rsidP="0053442C" w14:paraId="2899E1DC" w14:textId="77777777">
      <w:pPr>
        <w:widowControl/>
        <w:autoSpaceDE/>
        <w:autoSpaceDN/>
        <w:adjustRightInd/>
        <w:jc w:val="both"/>
        <w:rPr>
          <w:rFonts w:ascii="Arial" w:hAnsi="Arial" w:cs="Arial"/>
        </w:rPr>
      </w:pPr>
    </w:p>
    <w:p w:rsidR="0053442C" w:rsidRPr="00040930" w:rsidP="0053442C" w14:paraId="327A76A3" w14:textId="07875AC3">
      <w:pPr>
        <w:widowControl/>
        <w:numPr>
          <w:ilvl w:val="0"/>
          <w:numId w:val="17"/>
        </w:numPr>
        <w:autoSpaceDE/>
        <w:autoSpaceDN/>
        <w:adjustRightInd/>
        <w:jc w:val="both"/>
        <w:rPr>
          <w:rFonts w:ascii="Arial" w:hAnsi="Arial" w:cs="Arial"/>
        </w:rPr>
      </w:pPr>
      <w:r>
        <w:rPr>
          <w:rFonts w:ascii="Arial" w:hAnsi="Arial" w:cs="Arial"/>
          <w:u w:val="single"/>
        </w:rPr>
        <w:t>Request for Depository Approval</w:t>
      </w:r>
    </w:p>
    <w:p w:rsidR="0053442C" w:rsidRPr="00040930" w:rsidP="0053442C" w14:paraId="1F260A28" w14:textId="77777777">
      <w:pPr>
        <w:widowControl/>
        <w:autoSpaceDE/>
        <w:autoSpaceDN/>
        <w:adjustRightInd/>
        <w:jc w:val="both"/>
        <w:rPr>
          <w:rFonts w:ascii="Arial" w:hAnsi="Arial" w:cs="Arial"/>
        </w:rPr>
      </w:pPr>
    </w:p>
    <w:p w:rsidR="0053442C" w:rsidRPr="00040930" w:rsidP="0053442C" w14:paraId="11606A30" w14:textId="24CA0030">
      <w:pPr>
        <w:widowControl/>
        <w:autoSpaceDE/>
        <w:autoSpaceDN/>
        <w:adjustRightInd/>
        <w:jc w:val="both"/>
        <w:rPr>
          <w:rFonts w:ascii="Arial" w:hAnsi="Arial" w:cs="Arial"/>
        </w:rPr>
      </w:pPr>
      <w:r w:rsidRPr="00040930">
        <w:rPr>
          <w:rFonts w:ascii="Arial" w:hAnsi="Arial" w:cs="Arial"/>
        </w:rPr>
        <w:t>Institutions that wish to be recognized by the USPTO as a suitable depository to receive deposits for patent purposes are required by 37 CFR</w:t>
      </w:r>
      <w:r w:rsidR="002B017A">
        <w:rPr>
          <w:rFonts w:ascii="Arial" w:hAnsi="Arial" w:cs="Arial"/>
        </w:rPr>
        <w:t xml:space="preserve"> </w:t>
      </w:r>
      <w:r w:rsidRPr="002B017A" w:rsidR="002B017A">
        <w:rPr>
          <w:rFonts w:ascii="Arial" w:hAnsi="Arial" w:cs="Arial"/>
        </w:rPr>
        <w:t>§</w:t>
      </w:r>
      <w:r w:rsidRPr="00040930">
        <w:rPr>
          <w:rFonts w:ascii="Arial" w:hAnsi="Arial" w:cs="Arial"/>
        </w:rPr>
        <w:t xml:space="preserve"> 1.803(b) to make a request demonstrating that they are qualified to store and test the biological materials submitted to them under patent applications (see also MPEP 2405). This information collection covers the information that a depository must submit to the USPTO when seeking recognition by the </w:t>
      </w:r>
      <w:r w:rsidR="000E09D7">
        <w:rPr>
          <w:rFonts w:ascii="Arial" w:hAnsi="Arial" w:cs="Arial"/>
        </w:rPr>
        <w:t>USPTO</w:t>
      </w:r>
      <w:r w:rsidRPr="00040930" w:rsidR="000E09D7">
        <w:rPr>
          <w:rFonts w:ascii="Arial" w:hAnsi="Arial" w:cs="Arial"/>
        </w:rPr>
        <w:t xml:space="preserve"> </w:t>
      </w:r>
      <w:r w:rsidRPr="00040930">
        <w:rPr>
          <w:rFonts w:ascii="Arial" w:hAnsi="Arial" w:cs="Arial"/>
        </w:rPr>
        <w:t>as a suitable depository under 37 CFR</w:t>
      </w:r>
      <w:r w:rsidR="002B017A">
        <w:rPr>
          <w:rFonts w:ascii="Arial" w:hAnsi="Arial" w:cs="Arial"/>
        </w:rPr>
        <w:t xml:space="preserve"> </w:t>
      </w:r>
      <w:r w:rsidRPr="002B017A" w:rsidR="002B017A">
        <w:rPr>
          <w:rFonts w:ascii="Arial" w:hAnsi="Arial" w:cs="Arial"/>
        </w:rPr>
        <w:t>§</w:t>
      </w:r>
      <w:r w:rsidRPr="00040930">
        <w:rPr>
          <w:rFonts w:ascii="Arial" w:hAnsi="Arial" w:cs="Arial"/>
        </w:rPr>
        <w:t xml:space="preserve"> 1.803(a)(2). This information enables the USPTO to evaluate whether such a depository has internal practices (both technical and administrative) and the technical ability sufficient to protect the integrity of the biological materials being stored by U.S. patent applicants. This information includes:</w:t>
      </w:r>
    </w:p>
    <w:p w:rsidR="0053442C" w:rsidRPr="00040930" w:rsidP="0053442C" w14:paraId="3AD67C1E" w14:textId="77777777">
      <w:pPr>
        <w:widowControl/>
        <w:autoSpaceDE/>
        <w:autoSpaceDN/>
        <w:adjustRightInd/>
        <w:jc w:val="both"/>
        <w:rPr>
          <w:rFonts w:ascii="Arial" w:hAnsi="Arial" w:cs="Arial"/>
        </w:rPr>
      </w:pPr>
      <w:r w:rsidRPr="00040930">
        <w:rPr>
          <w:rFonts w:ascii="Arial" w:hAnsi="Arial" w:cs="Arial"/>
        </w:rPr>
        <w:t xml:space="preserve"> </w:t>
      </w:r>
    </w:p>
    <w:p w:rsidR="0053442C" w:rsidRPr="00040930" w:rsidP="0053442C" w14:paraId="51646C14" w14:textId="6DAA2AD6">
      <w:pPr>
        <w:widowControl/>
        <w:autoSpaceDE/>
        <w:autoSpaceDN/>
        <w:adjustRightInd/>
        <w:ind w:left="720"/>
        <w:jc w:val="both"/>
        <w:rPr>
          <w:rFonts w:ascii="Arial" w:hAnsi="Arial" w:cs="Arial"/>
        </w:rPr>
      </w:pPr>
      <w:r w:rsidRPr="00040930">
        <w:rPr>
          <w:rFonts w:ascii="Arial" w:hAnsi="Arial" w:cs="Arial"/>
        </w:rPr>
        <w:t>(1) The name and address of the depository seeking recognition under 37 CFR</w:t>
      </w:r>
      <w:r w:rsidR="002B017A">
        <w:rPr>
          <w:rFonts w:ascii="Arial" w:hAnsi="Arial" w:cs="Arial"/>
        </w:rPr>
        <w:t xml:space="preserve"> </w:t>
      </w:r>
      <w:r w:rsidRPr="002B017A" w:rsidR="002B017A">
        <w:rPr>
          <w:rFonts w:ascii="Arial" w:hAnsi="Arial" w:cs="Arial"/>
        </w:rPr>
        <w:t>§</w:t>
      </w:r>
      <w:r w:rsidRPr="00040930">
        <w:rPr>
          <w:rFonts w:ascii="Arial" w:hAnsi="Arial" w:cs="Arial"/>
        </w:rPr>
        <w:t xml:space="preserve"> 1.803(a)(2)</w:t>
      </w:r>
      <w:r w:rsidR="007060DC">
        <w:rPr>
          <w:rFonts w:ascii="Arial" w:hAnsi="Arial" w:cs="Arial"/>
        </w:rPr>
        <w:t>;</w:t>
      </w:r>
      <w:r w:rsidRPr="00040930">
        <w:rPr>
          <w:rFonts w:ascii="Arial" w:hAnsi="Arial" w:cs="Arial"/>
        </w:rPr>
        <w:t xml:space="preserve"> </w:t>
      </w:r>
    </w:p>
    <w:p w:rsidR="0053442C" w:rsidRPr="00040930" w:rsidP="0053442C" w14:paraId="14932BA9" w14:textId="2E4A8FB9">
      <w:pPr>
        <w:widowControl/>
        <w:autoSpaceDE/>
        <w:autoSpaceDN/>
        <w:adjustRightInd/>
        <w:ind w:left="720"/>
        <w:jc w:val="both"/>
        <w:rPr>
          <w:rFonts w:ascii="Arial" w:hAnsi="Arial" w:cs="Arial"/>
        </w:rPr>
      </w:pPr>
      <w:r w:rsidRPr="00040930">
        <w:rPr>
          <w:rFonts w:ascii="Arial" w:hAnsi="Arial" w:cs="Arial"/>
        </w:rPr>
        <w:t xml:space="preserve">(2) Detailed information as to the capacity of the depository to comply with the requirements of 37 CFR </w:t>
      </w:r>
      <w:r w:rsidRPr="002B017A" w:rsidR="002B017A">
        <w:rPr>
          <w:rFonts w:ascii="Arial" w:hAnsi="Arial" w:cs="Arial"/>
        </w:rPr>
        <w:t>§</w:t>
      </w:r>
      <w:r w:rsidR="002B017A">
        <w:rPr>
          <w:rFonts w:ascii="Arial" w:hAnsi="Arial" w:cs="Arial"/>
        </w:rPr>
        <w:t xml:space="preserve"> </w:t>
      </w:r>
      <w:r w:rsidRPr="00040930">
        <w:rPr>
          <w:rFonts w:ascii="Arial" w:hAnsi="Arial" w:cs="Arial"/>
        </w:rPr>
        <w:t>1.803(a)(2), including information on its legal status, scientific standing, staff, and facilities;</w:t>
      </w:r>
    </w:p>
    <w:p w:rsidR="0053442C" w:rsidRPr="00040930" w:rsidP="0053442C" w14:paraId="6CFEB78D" w14:textId="77777777">
      <w:pPr>
        <w:widowControl/>
        <w:autoSpaceDE/>
        <w:autoSpaceDN/>
        <w:adjustRightInd/>
        <w:ind w:left="720"/>
        <w:jc w:val="both"/>
        <w:rPr>
          <w:rFonts w:ascii="Arial" w:hAnsi="Arial" w:cs="Arial"/>
        </w:rPr>
      </w:pPr>
      <w:r w:rsidRPr="00040930">
        <w:rPr>
          <w:rFonts w:ascii="Arial" w:hAnsi="Arial" w:cs="Arial"/>
        </w:rPr>
        <w:t>(3) An indication that the depository intends to be available, for the purposes of deposit, to any depositor under these same conditions;</w:t>
      </w:r>
    </w:p>
    <w:p w:rsidR="0053442C" w:rsidRPr="00040930" w:rsidP="0053442C" w14:paraId="02D48F2B" w14:textId="77777777">
      <w:pPr>
        <w:widowControl/>
        <w:autoSpaceDE/>
        <w:autoSpaceDN/>
        <w:adjustRightInd/>
        <w:ind w:left="720"/>
        <w:jc w:val="both"/>
        <w:rPr>
          <w:rFonts w:ascii="Arial" w:hAnsi="Arial" w:cs="Arial"/>
        </w:rPr>
      </w:pPr>
      <w:r w:rsidRPr="00040930">
        <w:rPr>
          <w:rFonts w:ascii="Arial" w:hAnsi="Arial" w:cs="Arial"/>
        </w:rPr>
        <w:t>(4) Where the depository intends to accept for deposit only certain kinds of biological material, specify such kinds; and</w:t>
      </w:r>
    </w:p>
    <w:p w:rsidR="0053442C" w:rsidRPr="00040930" w:rsidP="0053442C" w14:paraId="2F850A50" w14:textId="77777777">
      <w:pPr>
        <w:widowControl/>
        <w:autoSpaceDE/>
        <w:autoSpaceDN/>
        <w:adjustRightInd/>
        <w:ind w:left="720"/>
        <w:jc w:val="both"/>
        <w:rPr>
          <w:rFonts w:ascii="Arial" w:hAnsi="Arial" w:cs="Arial"/>
        </w:rPr>
      </w:pPr>
      <w:r w:rsidRPr="00040930">
        <w:rPr>
          <w:rFonts w:ascii="Arial" w:hAnsi="Arial" w:cs="Arial"/>
        </w:rPr>
        <w:t>(5) An indication of the amount of any fees that the depository will, upon acquiring the status of suitable depository under paragraph (a) (2) of this section, charge for storage, viability statements and furnishings of samples of the deposit.</w:t>
      </w:r>
    </w:p>
    <w:p w:rsidR="0053442C" w:rsidRPr="00040930" w:rsidP="0053442C" w14:paraId="1DE9608E" w14:textId="77777777">
      <w:pPr>
        <w:widowControl/>
        <w:autoSpaceDE/>
        <w:autoSpaceDN/>
        <w:adjustRightInd/>
        <w:jc w:val="both"/>
        <w:rPr>
          <w:rFonts w:ascii="Arial" w:hAnsi="Arial" w:cs="Arial"/>
        </w:rPr>
      </w:pPr>
    </w:p>
    <w:p w:rsidR="0053442C" w:rsidRPr="00040930" w:rsidP="0053442C" w14:paraId="1D29E8A0" w14:textId="48C74BE3">
      <w:pPr>
        <w:widowControl/>
        <w:autoSpaceDE/>
        <w:autoSpaceDN/>
        <w:adjustRightInd/>
        <w:jc w:val="both"/>
        <w:rPr>
          <w:rFonts w:ascii="Arial" w:hAnsi="Arial" w:cs="Arial"/>
        </w:rPr>
      </w:pPr>
      <w:r w:rsidRPr="00040930">
        <w:rPr>
          <w:rFonts w:ascii="Arial" w:hAnsi="Arial" w:cs="Arial"/>
        </w:rPr>
        <w:t>This collection also includes additional information gathered by the USPTO that may be needed after a depository has been recognized by the USPTO under 37 CFR</w:t>
      </w:r>
      <w:r w:rsidR="002B017A">
        <w:rPr>
          <w:rFonts w:ascii="Arial" w:hAnsi="Arial" w:cs="Arial"/>
        </w:rPr>
        <w:t xml:space="preserve"> </w:t>
      </w:r>
      <w:r w:rsidRPr="002B017A" w:rsidR="002B017A">
        <w:rPr>
          <w:rFonts w:ascii="Arial" w:hAnsi="Arial" w:cs="Arial"/>
        </w:rPr>
        <w:t>§</w:t>
      </w:r>
      <w:r w:rsidRPr="00040930">
        <w:rPr>
          <w:rFonts w:ascii="Arial" w:hAnsi="Arial" w:cs="Arial"/>
        </w:rPr>
        <w:t xml:space="preserve"> 1.803(a)(2), such as requests to handle additional types of biological materials other than the material originally recognized, and viability statements that depositories may submit on behalf of depositors for deposits tested at the depository and/or documentation proving the public has been notified about where to obtain samples.</w:t>
      </w:r>
    </w:p>
    <w:p w:rsidR="0053442C" w:rsidRPr="00040930" w:rsidP="0053442C" w14:paraId="6BCE0F13" w14:textId="77777777">
      <w:pPr>
        <w:widowControl/>
        <w:autoSpaceDE/>
        <w:autoSpaceDN/>
        <w:adjustRightInd/>
        <w:jc w:val="both"/>
        <w:rPr>
          <w:rFonts w:ascii="Arial" w:hAnsi="Arial" w:cs="Arial"/>
        </w:rPr>
      </w:pPr>
    </w:p>
    <w:p w:rsidR="0053442C" w:rsidRPr="00040930" w:rsidP="0053442C" w14:paraId="5B253AA5" w14:textId="5018AF95">
      <w:pPr>
        <w:widowControl/>
        <w:autoSpaceDE/>
        <w:autoSpaceDN/>
        <w:adjustRightInd/>
        <w:jc w:val="both"/>
        <w:rPr>
          <w:rFonts w:ascii="Arial" w:hAnsi="Arial" w:cs="Arial"/>
        </w:rPr>
      </w:pPr>
      <w:r w:rsidRPr="00040930">
        <w:rPr>
          <w:rFonts w:ascii="Arial" w:hAnsi="Arial" w:cs="Arial"/>
        </w:rPr>
        <w:t xml:space="preserve">There are no forms associated with requests under 37 CFR </w:t>
      </w:r>
      <w:r w:rsidRPr="002B017A" w:rsidR="002B017A">
        <w:rPr>
          <w:rFonts w:ascii="Arial" w:hAnsi="Arial" w:cs="Arial"/>
        </w:rPr>
        <w:t xml:space="preserve">§ </w:t>
      </w:r>
      <w:r w:rsidRPr="00040930">
        <w:rPr>
          <w:rFonts w:ascii="Arial" w:hAnsi="Arial" w:cs="Arial"/>
        </w:rPr>
        <w:t>1.803(b) to become a recognized depository.</w:t>
      </w:r>
    </w:p>
    <w:p w:rsidR="0053442C" w:rsidRPr="00040930" w:rsidP="0053442C" w14:paraId="3E47B7C3" w14:textId="77777777">
      <w:pPr>
        <w:pStyle w:val="BodyText2"/>
        <w:spacing w:after="0" w:line="240" w:lineRule="auto"/>
        <w:rPr>
          <w:rFonts w:ascii="Arial" w:hAnsi="Arial" w:cs="Arial"/>
        </w:rPr>
      </w:pPr>
    </w:p>
    <w:p w:rsidR="0053442C" w:rsidRPr="00040930" w:rsidP="0053442C" w14:paraId="60619C4A" w14:textId="77777777">
      <w:pPr>
        <w:widowControl/>
        <w:jc w:val="both"/>
        <w:rPr>
          <w:rFonts w:ascii="Arial" w:hAnsi="Arial" w:cs="Arial"/>
        </w:rPr>
      </w:pPr>
      <w:r w:rsidRPr="00040930">
        <w:rPr>
          <w:rFonts w:ascii="Arial" w:hAnsi="Arial" w:cs="Arial"/>
        </w:rPr>
        <w:t>Table 1 provides the specific statute and regulations authorizing the USPTO to collect the information discussed above:</w:t>
      </w:r>
    </w:p>
    <w:p w:rsidR="00636EDA" w:rsidRPr="00476F66" w:rsidP="00636EDA" w14:paraId="79D4A07B" w14:textId="77777777">
      <w:pPr>
        <w:widowControl/>
        <w:jc w:val="both"/>
        <w:rPr>
          <w:rFonts w:ascii="Arial" w:hAnsi="Arial" w:cs="Arial"/>
          <w:color w:val="0000FF"/>
        </w:rPr>
      </w:pPr>
    </w:p>
    <w:p w:rsidR="00636EDA" w:rsidRPr="00DB6FA7" w:rsidP="00636EDA" w14:paraId="79D4A07C" w14:textId="3931B265">
      <w:pPr>
        <w:widowControl/>
        <w:jc w:val="both"/>
        <w:rPr>
          <w:rFonts w:ascii="Arial" w:hAnsi="Arial" w:cs="Arial"/>
          <w:sz w:val="20"/>
          <w:szCs w:val="20"/>
        </w:rPr>
      </w:pPr>
      <w:r w:rsidRPr="00DB6FA7">
        <w:rPr>
          <w:rFonts w:ascii="Arial" w:hAnsi="Arial" w:cs="Arial"/>
          <w:b/>
          <w:bCs/>
          <w:sz w:val="20"/>
          <w:szCs w:val="20"/>
        </w:rPr>
        <w:t>Table 1: Information Requirements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3690"/>
        <w:gridCol w:w="2700"/>
        <w:gridCol w:w="2070"/>
      </w:tblGrid>
      <w:tr w14:paraId="449DAC3A" w14:textId="77777777" w:rsidTr="00572FB0">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87"/>
        </w:trPr>
        <w:tc>
          <w:tcPr>
            <w:tcW w:w="900" w:type="dxa"/>
            <w:shd w:val="clear" w:color="auto" w:fill="B8CCE4" w:themeFill="accent1" w:themeFillTint="66"/>
            <w:vAlign w:val="center"/>
          </w:tcPr>
          <w:p w:rsidR="00C5290A" w:rsidRPr="00C5290A" w:rsidP="00C5290A" w14:paraId="28634C00" w14:textId="77777777">
            <w:pPr>
              <w:widowControl/>
              <w:tabs>
                <w:tab w:val="left" w:pos="720"/>
              </w:tabs>
              <w:autoSpaceDE/>
              <w:autoSpaceDN/>
              <w:adjustRightInd/>
              <w:jc w:val="center"/>
              <w:rPr>
                <w:rFonts w:ascii="Arial" w:hAnsi="Arial"/>
                <w:b/>
                <w:sz w:val="16"/>
                <w:szCs w:val="20"/>
              </w:rPr>
            </w:pPr>
          </w:p>
          <w:p w:rsidR="00C5290A" w:rsidRPr="00C5290A" w:rsidP="00C5290A" w14:paraId="046759AC" w14:textId="0E54F251">
            <w:pPr>
              <w:widowControl/>
              <w:tabs>
                <w:tab w:val="left" w:pos="720"/>
              </w:tabs>
              <w:autoSpaceDE/>
              <w:autoSpaceDN/>
              <w:adjustRightInd/>
              <w:jc w:val="center"/>
              <w:rPr>
                <w:rFonts w:ascii="Arial" w:hAnsi="Arial"/>
                <w:b/>
                <w:sz w:val="16"/>
                <w:szCs w:val="20"/>
              </w:rPr>
            </w:pPr>
            <w:r>
              <w:rPr>
                <w:rFonts w:ascii="Arial" w:hAnsi="Arial"/>
                <w:b/>
                <w:sz w:val="16"/>
                <w:szCs w:val="20"/>
              </w:rPr>
              <w:t xml:space="preserve">Item </w:t>
            </w:r>
            <w:r w:rsidR="000E2392">
              <w:rPr>
                <w:rFonts w:ascii="Arial" w:hAnsi="Arial"/>
                <w:b/>
                <w:sz w:val="16"/>
                <w:szCs w:val="20"/>
              </w:rPr>
              <w:t>No.</w:t>
            </w:r>
          </w:p>
          <w:p w:rsidR="00C5290A" w:rsidRPr="00C5290A" w:rsidP="00C5290A" w14:paraId="0BE7BB68" w14:textId="77777777">
            <w:pPr>
              <w:widowControl/>
              <w:tabs>
                <w:tab w:val="left" w:pos="720"/>
              </w:tabs>
              <w:autoSpaceDE/>
              <w:autoSpaceDN/>
              <w:adjustRightInd/>
              <w:jc w:val="center"/>
              <w:rPr>
                <w:rFonts w:ascii="Arial" w:hAnsi="Arial"/>
                <w:b/>
                <w:sz w:val="16"/>
                <w:szCs w:val="20"/>
              </w:rPr>
            </w:pPr>
          </w:p>
        </w:tc>
        <w:tc>
          <w:tcPr>
            <w:tcW w:w="3690" w:type="dxa"/>
            <w:shd w:val="clear" w:color="auto" w:fill="B8CCE4" w:themeFill="accent1" w:themeFillTint="66"/>
            <w:vAlign w:val="center"/>
          </w:tcPr>
          <w:p w:rsidR="00C5290A" w:rsidRPr="00C5290A" w:rsidP="00C5290A" w14:paraId="540D46CB" w14:textId="77777777">
            <w:pPr>
              <w:widowControl/>
              <w:autoSpaceDE/>
              <w:autoSpaceDN/>
              <w:adjustRightInd/>
              <w:jc w:val="center"/>
              <w:rPr>
                <w:rFonts w:ascii="Arial" w:hAnsi="Arial"/>
                <w:b/>
                <w:sz w:val="16"/>
                <w:szCs w:val="20"/>
              </w:rPr>
            </w:pPr>
            <w:r w:rsidRPr="00C5290A">
              <w:rPr>
                <w:rFonts w:ascii="Arial" w:hAnsi="Arial"/>
                <w:b/>
                <w:sz w:val="16"/>
                <w:szCs w:val="20"/>
              </w:rPr>
              <w:t>Requirement</w:t>
            </w:r>
          </w:p>
        </w:tc>
        <w:tc>
          <w:tcPr>
            <w:tcW w:w="2700" w:type="dxa"/>
            <w:shd w:val="clear" w:color="auto" w:fill="B8CCE4" w:themeFill="accent1" w:themeFillTint="66"/>
            <w:vAlign w:val="center"/>
          </w:tcPr>
          <w:p w:rsidR="00C5290A" w:rsidRPr="00C5290A" w:rsidP="00C5290A" w14:paraId="1C61B490" w14:textId="77777777">
            <w:pPr>
              <w:widowControl/>
              <w:autoSpaceDE/>
              <w:autoSpaceDN/>
              <w:adjustRightInd/>
              <w:jc w:val="center"/>
              <w:rPr>
                <w:rFonts w:ascii="Arial" w:hAnsi="Arial"/>
                <w:b/>
                <w:sz w:val="16"/>
                <w:szCs w:val="20"/>
              </w:rPr>
            </w:pPr>
            <w:r w:rsidRPr="00C5290A">
              <w:rPr>
                <w:rFonts w:ascii="Arial" w:hAnsi="Arial"/>
                <w:b/>
                <w:sz w:val="16"/>
                <w:szCs w:val="20"/>
              </w:rPr>
              <w:t>Statute</w:t>
            </w:r>
          </w:p>
        </w:tc>
        <w:tc>
          <w:tcPr>
            <w:tcW w:w="2070" w:type="dxa"/>
            <w:shd w:val="clear" w:color="auto" w:fill="B8CCE4" w:themeFill="accent1" w:themeFillTint="66"/>
            <w:vAlign w:val="center"/>
          </w:tcPr>
          <w:p w:rsidR="00C5290A" w:rsidRPr="00C5290A" w:rsidP="00A31737" w14:paraId="6B58B17B" w14:textId="647A6A74">
            <w:pPr>
              <w:widowControl/>
              <w:autoSpaceDE/>
              <w:autoSpaceDN/>
              <w:adjustRightInd/>
              <w:jc w:val="center"/>
              <w:rPr>
                <w:rFonts w:ascii="Arial" w:hAnsi="Arial"/>
                <w:b/>
                <w:sz w:val="16"/>
                <w:szCs w:val="20"/>
              </w:rPr>
            </w:pPr>
            <w:r w:rsidRPr="00C5290A">
              <w:rPr>
                <w:rFonts w:ascii="Arial" w:hAnsi="Arial"/>
                <w:b/>
                <w:sz w:val="16"/>
                <w:szCs w:val="20"/>
              </w:rPr>
              <w:t>R</w:t>
            </w:r>
            <w:r w:rsidR="00A31737">
              <w:rPr>
                <w:rFonts w:ascii="Arial" w:hAnsi="Arial"/>
                <w:b/>
                <w:sz w:val="16"/>
                <w:szCs w:val="20"/>
              </w:rPr>
              <w:t>egulation</w:t>
            </w:r>
          </w:p>
        </w:tc>
      </w:tr>
      <w:tr w14:paraId="5EF97D3B" w14:textId="77777777" w:rsidTr="00C5290A">
        <w:tblPrEx>
          <w:tblW w:w="0" w:type="auto"/>
          <w:tblInd w:w="108" w:type="dxa"/>
          <w:tblLayout w:type="fixed"/>
          <w:tblLook w:val="0000"/>
        </w:tblPrEx>
        <w:trPr>
          <w:cantSplit/>
        </w:trPr>
        <w:tc>
          <w:tcPr>
            <w:tcW w:w="900" w:type="dxa"/>
            <w:vAlign w:val="center"/>
          </w:tcPr>
          <w:p w:rsidR="00C5290A" w:rsidRPr="00C5290A" w:rsidP="00C5290A" w14:paraId="6FE50050" w14:textId="08A2149B">
            <w:pPr>
              <w:widowControl/>
              <w:autoSpaceDE/>
              <w:autoSpaceDN/>
              <w:adjustRightInd/>
              <w:jc w:val="center"/>
              <w:rPr>
                <w:rFonts w:ascii="Arial" w:hAnsi="Arial"/>
                <w:b/>
                <w:sz w:val="16"/>
              </w:rPr>
            </w:pPr>
            <w:r w:rsidRPr="00C5290A">
              <w:rPr>
                <w:rFonts w:ascii="Arial" w:hAnsi="Arial"/>
                <w:b/>
                <w:sz w:val="16"/>
              </w:rPr>
              <w:t>1</w:t>
            </w:r>
          </w:p>
        </w:tc>
        <w:tc>
          <w:tcPr>
            <w:tcW w:w="3690" w:type="dxa"/>
            <w:vAlign w:val="center"/>
          </w:tcPr>
          <w:p w:rsidR="00C5290A" w:rsidRPr="00C5290A" w:rsidP="00C5290A" w14:paraId="3F49F5B3" w14:textId="56ABD2AC">
            <w:pPr>
              <w:widowControl/>
              <w:autoSpaceDE/>
              <w:autoSpaceDN/>
              <w:adjustRightInd/>
              <w:rPr>
                <w:rFonts w:ascii="Arial" w:hAnsi="Arial"/>
                <w:sz w:val="16"/>
              </w:rPr>
            </w:pPr>
            <w:r>
              <w:rPr>
                <w:rFonts w:ascii="Arial" w:hAnsi="Arial"/>
                <w:sz w:val="16"/>
              </w:rPr>
              <w:t>Deposit of Biological Material</w:t>
            </w:r>
            <w:r w:rsidR="00246C59">
              <w:rPr>
                <w:rFonts w:ascii="Arial" w:hAnsi="Arial"/>
                <w:sz w:val="16"/>
              </w:rPr>
              <w:t>s</w:t>
            </w:r>
          </w:p>
        </w:tc>
        <w:tc>
          <w:tcPr>
            <w:tcW w:w="2700" w:type="dxa"/>
            <w:vAlign w:val="center"/>
          </w:tcPr>
          <w:p w:rsidR="00C5290A" w:rsidRPr="00C5290A" w:rsidP="00C5290A" w14:paraId="13639897" w14:textId="412B2BF0">
            <w:pPr>
              <w:widowControl/>
              <w:autoSpaceDE/>
              <w:autoSpaceDN/>
              <w:adjustRightInd/>
              <w:jc w:val="center"/>
              <w:rPr>
                <w:rFonts w:ascii="Arial" w:hAnsi="Arial"/>
                <w:sz w:val="16"/>
                <w:szCs w:val="20"/>
              </w:rPr>
            </w:pPr>
            <w:r w:rsidRPr="00040930">
              <w:rPr>
                <w:rFonts w:ascii="Arial" w:hAnsi="Arial" w:cs="Arial"/>
                <w:sz w:val="16"/>
              </w:rPr>
              <w:t>35 U.S.C. 2(b)(2), 35 U.S.C. 112</w:t>
            </w:r>
          </w:p>
        </w:tc>
        <w:tc>
          <w:tcPr>
            <w:tcW w:w="2070" w:type="dxa"/>
            <w:vAlign w:val="center"/>
          </w:tcPr>
          <w:p w:rsidR="00C5290A" w:rsidRPr="00C5290A" w:rsidP="00C5290A" w14:paraId="6EE1940C" w14:textId="26C3B7C8">
            <w:pPr>
              <w:widowControl/>
              <w:autoSpaceDE/>
              <w:autoSpaceDN/>
              <w:adjustRightInd/>
              <w:jc w:val="center"/>
              <w:rPr>
                <w:rFonts w:ascii="Arial" w:hAnsi="Arial"/>
                <w:sz w:val="16"/>
                <w:szCs w:val="20"/>
              </w:rPr>
            </w:pPr>
            <w:r w:rsidRPr="00040930">
              <w:rPr>
                <w:rFonts w:ascii="Arial" w:hAnsi="Arial" w:cs="Arial"/>
                <w:sz w:val="16"/>
              </w:rPr>
              <w:t xml:space="preserve">37 CFR </w:t>
            </w:r>
            <w:r w:rsidRPr="00040930" w:rsidR="00DE4238">
              <w:rPr>
                <w:rFonts w:ascii="Arial" w:hAnsi="Arial" w:cs="Arial"/>
                <w:sz w:val="16"/>
              </w:rPr>
              <w:t xml:space="preserve">§§ </w:t>
            </w:r>
            <w:r w:rsidRPr="00040930">
              <w:rPr>
                <w:rFonts w:ascii="Arial" w:hAnsi="Arial" w:cs="Arial"/>
                <w:sz w:val="16"/>
              </w:rPr>
              <w:t>1.801-1.809, 37 CFR</w:t>
            </w:r>
            <w:r w:rsidR="002B017A">
              <w:rPr>
                <w:rFonts w:ascii="Arial" w:hAnsi="Arial" w:cs="Arial"/>
                <w:sz w:val="16"/>
              </w:rPr>
              <w:t xml:space="preserve"> </w:t>
            </w:r>
            <w:r w:rsidRPr="00040930" w:rsidR="002B017A">
              <w:rPr>
                <w:rFonts w:ascii="Arial" w:hAnsi="Arial" w:cs="Arial"/>
                <w:sz w:val="16"/>
              </w:rPr>
              <w:t>§</w:t>
            </w:r>
            <w:r w:rsidRPr="00040930">
              <w:rPr>
                <w:rFonts w:ascii="Arial" w:hAnsi="Arial" w:cs="Arial"/>
                <w:sz w:val="16"/>
              </w:rPr>
              <w:t xml:space="preserve"> 1.14</w:t>
            </w:r>
          </w:p>
        </w:tc>
      </w:tr>
      <w:tr w14:paraId="7201F3D2" w14:textId="77777777" w:rsidTr="00C5290A">
        <w:tblPrEx>
          <w:tblW w:w="0" w:type="auto"/>
          <w:tblInd w:w="108" w:type="dxa"/>
          <w:tblLayout w:type="fixed"/>
          <w:tblLook w:val="0000"/>
        </w:tblPrEx>
        <w:trPr>
          <w:cantSplit/>
        </w:trPr>
        <w:tc>
          <w:tcPr>
            <w:tcW w:w="900" w:type="dxa"/>
            <w:vAlign w:val="center"/>
          </w:tcPr>
          <w:p w:rsidR="00C5290A" w:rsidRPr="00C5290A" w:rsidP="00C5290A" w14:paraId="2446176D" w14:textId="2A2F0964">
            <w:pPr>
              <w:widowControl/>
              <w:autoSpaceDE/>
              <w:autoSpaceDN/>
              <w:adjustRightInd/>
              <w:jc w:val="center"/>
              <w:rPr>
                <w:rFonts w:ascii="Arial" w:hAnsi="Arial"/>
                <w:b/>
                <w:sz w:val="16"/>
              </w:rPr>
            </w:pPr>
            <w:r>
              <w:rPr>
                <w:rFonts w:ascii="Arial" w:hAnsi="Arial"/>
                <w:b/>
                <w:sz w:val="16"/>
              </w:rPr>
              <w:t>2</w:t>
            </w:r>
          </w:p>
        </w:tc>
        <w:tc>
          <w:tcPr>
            <w:tcW w:w="3690" w:type="dxa"/>
            <w:vAlign w:val="center"/>
          </w:tcPr>
          <w:p w:rsidR="00C5290A" w:rsidRPr="00C5290A" w:rsidP="00C5290A" w14:paraId="2FFD8604" w14:textId="7D36A4E8">
            <w:pPr>
              <w:widowControl/>
              <w:autoSpaceDE/>
              <w:autoSpaceDN/>
              <w:adjustRightInd/>
              <w:rPr>
                <w:rFonts w:ascii="Arial" w:hAnsi="Arial"/>
                <w:sz w:val="16"/>
              </w:rPr>
            </w:pPr>
            <w:r>
              <w:rPr>
                <w:rFonts w:ascii="Arial" w:hAnsi="Arial"/>
                <w:sz w:val="16"/>
              </w:rPr>
              <w:t>Request for Depository Approval</w:t>
            </w:r>
          </w:p>
        </w:tc>
        <w:tc>
          <w:tcPr>
            <w:tcW w:w="2700" w:type="dxa"/>
            <w:vAlign w:val="center"/>
          </w:tcPr>
          <w:p w:rsidR="00C5290A" w:rsidRPr="00C5290A" w:rsidP="00C5290A" w14:paraId="2C0B23FE" w14:textId="5984CD70">
            <w:pPr>
              <w:widowControl/>
              <w:autoSpaceDE/>
              <w:autoSpaceDN/>
              <w:adjustRightInd/>
              <w:jc w:val="center"/>
              <w:rPr>
                <w:rFonts w:ascii="Arial" w:hAnsi="Arial"/>
                <w:sz w:val="16"/>
                <w:szCs w:val="20"/>
              </w:rPr>
            </w:pPr>
            <w:r w:rsidRPr="00040930">
              <w:rPr>
                <w:rFonts w:ascii="Arial" w:hAnsi="Arial" w:cs="Arial"/>
                <w:sz w:val="16"/>
              </w:rPr>
              <w:t>35 U.S.C. 2(b)(2)</w:t>
            </w:r>
          </w:p>
        </w:tc>
        <w:tc>
          <w:tcPr>
            <w:tcW w:w="2070" w:type="dxa"/>
            <w:vAlign w:val="center"/>
          </w:tcPr>
          <w:p w:rsidR="00C5290A" w:rsidRPr="00C5290A" w:rsidP="00C5290A" w14:paraId="42708743" w14:textId="3D6E4627">
            <w:pPr>
              <w:widowControl/>
              <w:autoSpaceDE/>
              <w:autoSpaceDN/>
              <w:adjustRightInd/>
              <w:jc w:val="center"/>
              <w:rPr>
                <w:rFonts w:ascii="Arial" w:hAnsi="Arial"/>
                <w:sz w:val="16"/>
                <w:szCs w:val="20"/>
              </w:rPr>
            </w:pPr>
            <w:r w:rsidRPr="00040930">
              <w:rPr>
                <w:rFonts w:ascii="Arial" w:hAnsi="Arial" w:cs="Arial"/>
                <w:sz w:val="16"/>
              </w:rPr>
              <w:t xml:space="preserve">37 CFR </w:t>
            </w:r>
            <w:r w:rsidRPr="00040930" w:rsidR="002B017A">
              <w:rPr>
                <w:rFonts w:ascii="Arial" w:hAnsi="Arial" w:cs="Arial"/>
                <w:sz w:val="16"/>
              </w:rPr>
              <w:t xml:space="preserve">§ </w:t>
            </w:r>
            <w:r w:rsidRPr="00040930">
              <w:rPr>
                <w:rFonts w:ascii="Arial" w:hAnsi="Arial" w:cs="Arial"/>
                <w:sz w:val="16"/>
              </w:rPr>
              <w:t>1.803</w:t>
            </w:r>
          </w:p>
        </w:tc>
      </w:tr>
    </w:tbl>
    <w:p w:rsidR="00636EDA" w:rsidRPr="00004988" w:rsidP="00636EDA" w14:paraId="79D4A094" w14:textId="77777777">
      <w:pPr>
        <w:widowControl/>
        <w:jc w:val="both"/>
        <w:rPr>
          <w:rFonts w:ascii="Arial" w:hAnsi="Arial" w:cs="Arial"/>
          <w:b/>
          <w:color w:val="0000FF"/>
        </w:rPr>
      </w:pPr>
    </w:p>
    <w:p w:rsidR="00026BDE" w:rsidRPr="000E2392" w:rsidP="00A35D62" w14:paraId="5366D60C" w14:textId="33474D03">
      <w:pPr>
        <w:pStyle w:val="ListParagraph"/>
        <w:widowControl/>
        <w:numPr>
          <w:ilvl w:val="0"/>
          <w:numId w:val="13"/>
        </w:numPr>
        <w:ind w:left="360"/>
        <w:jc w:val="both"/>
        <w:rPr>
          <w:rFonts w:ascii="Arial" w:hAnsi="Arial" w:cs="Arial"/>
          <w:b/>
          <w:sz w:val="32"/>
        </w:rPr>
      </w:pPr>
      <w:r w:rsidRPr="00004988">
        <w:rPr>
          <w:rFonts w:ascii="Arial" w:hAnsi="Arial" w:cs="Arial"/>
          <w:b/>
          <w:szCs w:val="20"/>
        </w:rPr>
        <w:t xml:space="preserve">Indicate how, by whom, and for what purpose the information is to be used. Except for a new collection, indicate the actual use the agency has made of the information received from the current collection. </w:t>
      </w:r>
    </w:p>
    <w:p w:rsidR="00A83664" w:rsidP="00D31A4E" w14:paraId="2E02758C" w14:textId="77777777">
      <w:pPr>
        <w:pStyle w:val="BodyText2"/>
        <w:tabs>
          <w:tab w:val="left" w:pos="720"/>
        </w:tabs>
        <w:spacing w:after="0" w:line="240" w:lineRule="auto"/>
        <w:jc w:val="both"/>
        <w:rPr>
          <w:rFonts w:ascii="Arial" w:hAnsi="Arial" w:cs="Arial"/>
        </w:rPr>
      </w:pPr>
    </w:p>
    <w:p w:rsidR="00D31A4E" w:rsidRPr="00040930" w:rsidP="00D31A4E" w14:paraId="47A425B4" w14:textId="1988BE8A">
      <w:pPr>
        <w:pStyle w:val="BodyText2"/>
        <w:tabs>
          <w:tab w:val="left" w:pos="720"/>
        </w:tabs>
        <w:spacing w:after="0" w:line="240" w:lineRule="auto"/>
        <w:jc w:val="both"/>
        <w:rPr>
          <w:rFonts w:ascii="Arial" w:hAnsi="Arial" w:cs="Arial"/>
        </w:rPr>
      </w:pPr>
      <w:r w:rsidRPr="00040930">
        <w:rPr>
          <w:rFonts w:ascii="Arial" w:hAnsi="Arial" w:cs="Arial"/>
        </w:rPr>
        <w:t xml:space="preserve">The USPTO uses the deposits of biological materials to determine whether the applicant has met the specification requirements under 35 U.S.C. 112 for inventions pertaining to biological materials which cannot be sufficiently described in words and figures.  The USPTO also uses the responses in this information collection to determine the suitability of a respondent depository to be recognized under 37 CFR 1.803(a)(2) as suitable for receiving biological deposits from patent applicants, such determination being based upon administrative and technical competence and the depository’s agreement to comply with the requirements set forth by the USPTO.  </w:t>
      </w:r>
    </w:p>
    <w:p w:rsidR="00D31A4E" w:rsidRPr="00040930" w:rsidP="00D31A4E" w14:paraId="7F474FD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rsidR="00D31A4E" w:rsidRPr="00040930" w:rsidP="00D31A4E" w14:paraId="6DCEE90F" w14:textId="16313AE8">
      <w:pPr>
        <w:pStyle w:val="BodyTextIndent"/>
        <w:spacing w:after="0"/>
        <w:ind w:left="0"/>
        <w:jc w:val="both"/>
        <w:rPr>
          <w:rFonts w:ascii="Arial" w:hAnsi="Arial" w:cs="Arial"/>
        </w:rPr>
      </w:pPr>
      <w:r w:rsidRPr="00040930">
        <w:rPr>
          <w:rFonts w:ascii="Arial" w:hAnsi="Arial" w:cs="Arial"/>
        </w:rPr>
        <w:t>Currently, there are three depositories in the U.S.</w:t>
      </w:r>
      <w:r w:rsidR="00512BD8">
        <w:rPr>
          <w:rFonts w:ascii="Arial" w:hAnsi="Arial" w:cs="Arial"/>
        </w:rPr>
        <w:t xml:space="preserve">: </w:t>
      </w:r>
      <w:r w:rsidR="00A6334A">
        <w:rPr>
          <w:rFonts w:ascii="Arial" w:hAnsi="Arial" w:cs="Arial"/>
        </w:rPr>
        <w:t xml:space="preserve">the American Type Culture Collection </w:t>
      </w:r>
      <w:r w:rsidR="00A6334A">
        <w:rPr>
          <w:rFonts w:ascii="Arial" w:hAnsi="Arial" w:cs="Arial"/>
        </w:rPr>
        <w:t xml:space="preserve">(ATCC); </w:t>
      </w:r>
      <w:r w:rsidR="006A276F">
        <w:rPr>
          <w:rFonts w:ascii="Arial" w:hAnsi="Arial" w:cs="Arial"/>
        </w:rPr>
        <w:t>the Agricultural Research Service Culture</w:t>
      </w:r>
      <w:r w:rsidR="00613337">
        <w:rPr>
          <w:rFonts w:ascii="Arial" w:hAnsi="Arial" w:cs="Arial"/>
        </w:rPr>
        <w:t xml:space="preserve"> Collection (NRRL); and the National Center for Marine Algae and Microbiota (NCMA).</w:t>
      </w:r>
      <w:r w:rsidRPr="00040930">
        <w:rPr>
          <w:rFonts w:ascii="Arial" w:hAnsi="Arial" w:cs="Arial"/>
        </w:rPr>
        <w:t xml:space="preserve"> No requests for depository approval under 37 CFR 1.803 have been received. For the purpose of this submission, the USPTO estimates that one depository might seek recognition annually.  </w:t>
      </w:r>
    </w:p>
    <w:p w:rsidR="00D31A4E" w:rsidRPr="00040930" w:rsidP="00D31A4E" w14:paraId="35CFCB5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rsidR="00D31A4E" w:rsidRPr="00040930" w:rsidP="00D31A4E" w14:paraId="7FB818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040930">
        <w:rPr>
          <w:rFonts w:ascii="Arial" w:hAnsi="Arial" w:cs="Arial"/>
        </w:rPr>
        <w:t xml:space="preserve">The information collected, maintained, and used in this collection is based on OMB and USPTO guidelines. This includes the basic information quality standards established in the Paperwork Reduction Act (44 U.S.C. Chapter 35), in OMB Circular A-130, and in the USPTO information quality guidelines. </w:t>
      </w:r>
    </w:p>
    <w:p w:rsidR="00636EDA" w:rsidRPr="0023366F" w:rsidP="00636EDA" w14:paraId="79D4A09C" w14:textId="77777777">
      <w:pPr>
        <w:widowControl/>
        <w:jc w:val="both"/>
        <w:rPr>
          <w:rFonts w:ascii="Arial" w:hAnsi="Arial" w:cs="Arial"/>
        </w:rPr>
      </w:pPr>
    </w:p>
    <w:p w:rsidR="002B4889" w:rsidP="001B77DA" w14:paraId="2016383D" w14:textId="77777777">
      <w:pPr>
        <w:widowControl/>
        <w:jc w:val="both"/>
        <w:rPr>
          <w:rFonts w:ascii="Arial" w:hAnsi="Arial" w:cs="Arial"/>
          <w:b/>
          <w:bCs/>
          <w:sz w:val="20"/>
          <w:szCs w:val="20"/>
        </w:rPr>
      </w:pPr>
      <w:r w:rsidRPr="008D5A6F">
        <w:rPr>
          <w:rFonts w:ascii="Arial" w:hAnsi="Arial" w:cs="Arial"/>
        </w:rPr>
        <w:t>Table 2 outlines how this collection of information is used by the public and the USPTO:</w:t>
      </w:r>
    </w:p>
    <w:p w:rsidR="002B4889" w:rsidP="001B77DA" w14:paraId="1146CC33" w14:textId="77777777">
      <w:pPr>
        <w:widowControl/>
        <w:jc w:val="both"/>
        <w:rPr>
          <w:rFonts w:ascii="Arial" w:hAnsi="Arial" w:cs="Arial"/>
          <w:b/>
          <w:bCs/>
          <w:sz w:val="20"/>
          <w:szCs w:val="20"/>
        </w:rPr>
      </w:pPr>
    </w:p>
    <w:p w:rsidR="00636EDA" w:rsidRPr="00CD7C5E" w:rsidP="001B77DA" w14:paraId="79D4A09F" w14:textId="4295A6E8">
      <w:pPr>
        <w:widowControl/>
        <w:jc w:val="both"/>
        <w:rPr>
          <w:rFonts w:ascii="Arial" w:hAnsi="Arial" w:cs="Arial"/>
        </w:rPr>
      </w:pPr>
      <w:r w:rsidRPr="00CD7C5E">
        <w:rPr>
          <w:rFonts w:ascii="Arial" w:hAnsi="Arial" w:cs="Arial"/>
          <w:b/>
          <w:bCs/>
          <w:sz w:val="20"/>
          <w:szCs w:val="20"/>
        </w:rPr>
        <w:t>Table 2: Needs and Uses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7"/>
        <w:gridCol w:w="2610"/>
        <w:gridCol w:w="1913"/>
        <w:gridCol w:w="4230"/>
      </w:tblGrid>
      <w:tr w14:paraId="56771B1B" w14:textId="77777777" w:rsidTr="00572FB0">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78"/>
        </w:trPr>
        <w:tc>
          <w:tcPr>
            <w:tcW w:w="607" w:type="dxa"/>
            <w:shd w:val="clear" w:color="auto" w:fill="B8CCE4" w:themeFill="accent1" w:themeFillTint="66"/>
            <w:vAlign w:val="center"/>
          </w:tcPr>
          <w:p w:rsidR="00C5290A" w:rsidRPr="00C5290A" w:rsidP="009E20AC" w14:paraId="0C7A6FCA" w14:textId="2F3CEB97">
            <w:pPr>
              <w:widowControl/>
              <w:tabs>
                <w:tab w:val="left" w:pos="720"/>
              </w:tabs>
              <w:autoSpaceDE/>
              <w:autoSpaceDN/>
              <w:adjustRightInd/>
              <w:jc w:val="center"/>
              <w:rPr>
                <w:rFonts w:ascii="Arial" w:hAnsi="Arial"/>
                <w:b/>
                <w:sz w:val="16"/>
                <w:szCs w:val="20"/>
              </w:rPr>
            </w:pPr>
            <w:r w:rsidRPr="00C5290A">
              <w:rPr>
                <w:rFonts w:ascii="Arial" w:hAnsi="Arial"/>
                <w:b/>
                <w:sz w:val="16"/>
                <w:szCs w:val="20"/>
              </w:rPr>
              <w:t>I</w:t>
            </w:r>
            <w:r w:rsidR="00870E68">
              <w:rPr>
                <w:rFonts w:ascii="Arial" w:hAnsi="Arial"/>
                <w:b/>
                <w:sz w:val="16"/>
                <w:szCs w:val="20"/>
              </w:rPr>
              <w:t>tem</w:t>
            </w:r>
            <w:r w:rsidRPr="00C5290A">
              <w:rPr>
                <w:rFonts w:ascii="Arial" w:hAnsi="Arial"/>
                <w:b/>
                <w:sz w:val="16"/>
                <w:szCs w:val="20"/>
              </w:rPr>
              <w:t xml:space="preserve"> N</w:t>
            </w:r>
            <w:r w:rsidR="000E2392">
              <w:rPr>
                <w:rFonts w:ascii="Arial" w:hAnsi="Arial"/>
                <w:b/>
                <w:sz w:val="16"/>
                <w:szCs w:val="20"/>
              </w:rPr>
              <w:t>o.</w:t>
            </w:r>
          </w:p>
        </w:tc>
        <w:tc>
          <w:tcPr>
            <w:tcW w:w="2610" w:type="dxa"/>
            <w:shd w:val="clear" w:color="auto" w:fill="B8CCE4" w:themeFill="accent1" w:themeFillTint="66"/>
            <w:vAlign w:val="center"/>
          </w:tcPr>
          <w:p w:rsidR="00C5290A" w:rsidRPr="00C5290A" w:rsidP="009E20AC" w14:paraId="5A1B9AB3" w14:textId="110A26C5">
            <w:pPr>
              <w:widowControl/>
              <w:tabs>
                <w:tab w:val="left" w:pos="720"/>
              </w:tabs>
              <w:autoSpaceDE/>
              <w:autoSpaceDN/>
              <w:adjustRightInd/>
              <w:jc w:val="center"/>
              <w:rPr>
                <w:rFonts w:ascii="Arial" w:hAnsi="Arial"/>
                <w:b/>
                <w:sz w:val="16"/>
                <w:szCs w:val="20"/>
              </w:rPr>
            </w:pPr>
            <w:r w:rsidRPr="00C5290A">
              <w:rPr>
                <w:rFonts w:ascii="Arial" w:hAnsi="Arial"/>
                <w:b/>
                <w:sz w:val="16"/>
                <w:szCs w:val="20"/>
              </w:rPr>
              <w:t>Form</w:t>
            </w:r>
            <w:r w:rsidR="00D92CEB">
              <w:rPr>
                <w:rFonts w:ascii="Arial" w:hAnsi="Arial"/>
                <w:b/>
                <w:sz w:val="16"/>
                <w:szCs w:val="20"/>
              </w:rPr>
              <w:t>/</w:t>
            </w:r>
            <w:r w:rsidRPr="00C5290A">
              <w:rPr>
                <w:rFonts w:ascii="Arial" w:hAnsi="Arial"/>
                <w:b/>
                <w:sz w:val="16"/>
                <w:szCs w:val="20"/>
              </w:rPr>
              <w:t>Function</w:t>
            </w:r>
          </w:p>
        </w:tc>
        <w:tc>
          <w:tcPr>
            <w:tcW w:w="1913" w:type="dxa"/>
            <w:shd w:val="clear" w:color="auto" w:fill="B8CCE4" w:themeFill="accent1" w:themeFillTint="66"/>
            <w:vAlign w:val="center"/>
          </w:tcPr>
          <w:p w:rsidR="00C5290A" w:rsidRPr="00C5290A" w:rsidP="009E20AC" w14:paraId="62A5BA82" w14:textId="368C7374">
            <w:pPr>
              <w:keepNext/>
              <w:widowControl/>
              <w:tabs>
                <w:tab w:val="left" w:pos="720"/>
              </w:tabs>
              <w:autoSpaceDE/>
              <w:autoSpaceDN/>
              <w:adjustRightInd/>
              <w:jc w:val="center"/>
              <w:outlineLvl w:val="6"/>
              <w:rPr>
                <w:rFonts w:ascii="Arial" w:hAnsi="Arial"/>
                <w:b/>
                <w:sz w:val="16"/>
                <w:szCs w:val="20"/>
              </w:rPr>
            </w:pPr>
            <w:r w:rsidRPr="00C5290A">
              <w:rPr>
                <w:rFonts w:ascii="Arial" w:hAnsi="Arial"/>
                <w:b/>
                <w:sz w:val="16"/>
                <w:szCs w:val="20"/>
              </w:rPr>
              <w:t xml:space="preserve">Form </w:t>
            </w:r>
            <w:r w:rsidR="000E2392">
              <w:rPr>
                <w:rFonts w:ascii="Arial" w:hAnsi="Arial"/>
                <w:b/>
                <w:sz w:val="16"/>
                <w:szCs w:val="20"/>
              </w:rPr>
              <w:t>No.</w:t>
            </w:r>
          </w:p>
        </w:tc>
        <w:tc>
          <w:tcPr>
            <w:tcW w:w="4230" w:type="dxa"/>
            <w:shd w:val="clear" w:color="auto" w:fill="B8CCE4" w:themeFill="accent1" w:themeFillTint="66"/>
            <w:vAlign w:val="center"/>
          </w:tcPr>
          <w:p w:rsidR="00C5290A" w:rsidRPr="00C5290A" w:rsidP="009E20AC" w14:paraId="59A628C6" w14:textId="77777777">
            <w:pPr>
              <w:widowControl/>
              <w:tabs>
                <w:tab w:val="left" w:pos="720"/>
              </w:tabs>
              <w:autoSpaceDE/>
              <w:autoSpaceDN/>
              <w:adjustRightInd/>
              <w:jc w:val="center"/>
              <w:rPr>
                <w:rFonts w:ascii="Arial" w:hAnsi="Arial"/>
                <w:b/>
                <w:sz w:val="16"/>
                <w:szCs w:val="20"/>
              </w:rPr>
            </w:pPr>
            <w:r w:rsidRPr="00C5290A">
              <w:rPr>
                <w:rFonts w:ascii="Arial" w:hAnsi="Arial"/>
                <w:b/>
                <w:sz w:val="16"/>
                <w:szCs w:val="20"/>
              </w:rPr>
              <w:t>Needs and Uses</w:t>
            </w:r>
          </w:p>
        </w:tc>
      </w:tr>
      <w:tr w14:paraId="4684C2C1" w14:textId="77777777" w:rsidTr="009E20AC">
        <w:tblPrEx>
          <w:tblW w:w="9360" w:type="dxa"/>
          <w:tblInd w:w="108" w:type="dxa"/>
          <w:tblLayout w:type="fixed"/>
          <w:tblLook w:val="0000"/>
        </w:tblPrEx>
        <w:trPr>
          <w:cantSplit/>
        </w:trPr>
        <w:tc>
          <w:tcPr>
            <w:tcW w:w="607" w:type="dxa"/>
            <w:vAlign w:val="center"/>
          </w:tcPr>
          <w:p w:rsidR="00727301" w:rsidRPr="00C5290A" w:rsidP="00727301" w14:paraId="6A696E16" w14:textId="30C2119F">
            <w:pPr>
              <w:widowControl/>
              <w:tabs>
                <w:tab w:val="left" w:pos="720"/>
              </w:tabs>
              <w:autoSpaceDE/>
              <w:autoSpaceDN/>
              <w:adjustRightInd/>
              <w:jc w:val="center"/>
              <w:rPr>
                <w:rFonts w:ascii="Arial" w:hAnsi="Arial"/>
                <w:b/>
                <w:sz w:val="16"/>
              </w:rPr>
            </w:pPr>
            <w:r w:rsidRPr="00040930">
              <w:rPr>
                <w:rFonts w:ascii="Arial" w:hAnsi="Arial" w:cs="Arial"/>
                <w:b/>
                <w:sz w:val="16"/>
                <w:szCs w:val="16"/>
              </w:rPr>
              <w:t>1</w:t>
            </w:r>
          </w:p>
        </w:tc>
        <w:tc>
          <w:tcPr>
            <w:tcW w:w="2610" w:type="dxa"/>
            <w:vAlign w:val="center"/>
          </w:tcPr>
          <w:p w:rsidR="00727301" w:rsidRPr="00C5290A" w:rsidP="00727301" w14:paraId="42E56C92" w14:textId="202ABF2E">
            <w:pPr>
              <w:widowControl/>
              <w:tabs>
                <w:tab w:val="left" w:pos="720"/>
              </w:tabs>
              <w:autoSpaceDE/>
              <w:autoSpaceDN/>
              <w:adjustRightInd/>
              <w:jc w:val="center"/>
              <w:rPr>
                <w:rFonts w:ascii="Arial" w:hAnsi="Arial" w:cs="Arial"/>
                <w:sz w:val="16"/>
              </w:rPr>
            </w:pPr>
            <w:r w:rsidRPr="00040930">
              <w:rPr>
                <w:rFonts w:ascii="Arial" w:hAnsi="Arial" w:cs="Arial"/>
                <w:sz w:val="16"/>
                <w:szCs w:val="20"/>
              </w:rPr>
              <w:t>Deposit of Biological Materials</w:t>
            </w:r>
          </w:p>
        </w:tc>
        <w:tc>
          <w:tcPr>
            <w:tcW w:w="1913" w:type="dxa"/>
            <w:vAlign w:val="center"/>
          </w:tcPr>
          <w:p w:rsidR="00727301" w:rsidRPr="00C5290A" w:rsidP="00727301" w14:paraId="17ECF6EF" w14:textId="22F506F4">
            <w:pPr>
              <w:widowControl/>
              <w:tabs>
                <w:tab w:val="left" w:pos="720"/>
              </w:tabs>
              <w:autoSpaceDE/>
              <w:autoSpaceDN/>
              <w:adjustRightInd/>
              <w:jc w:val="center"/>
              <w:rPr>
                <w:rFonts w:ascii="Arial" w:hAnsi="Arial"/>
                <w:sz w:val="16"/>
                <w:szCs w:val="20"/>
              </w:rPr>
            </w:pPr>
            <w:r w:rsidRPr="00040930">
              <w:rPr>
                <w:rFonts w:ascii="Arial" w:hAnsi="Arial" w:cs="Arial"/>
                <w:sz w:val="16"/>
                <w:szCs w:val="16"/>
              </w:rPr>
              <w:t>No Form Associated for domestic depositories; Forms BP/1, BP/2, BP/3, BP/9 for use of international depositories under the Budapest Treaty</w:t>
            </w:r>
          </w:p>
        </w:tc>
        <w:tc>
          <w:tcPr>
            <w:tcW w:w="4230" w:type="dxa"/>
          </w:tcPr>
          <w:p w:rsidR="00727301" w:rsidRPr="00727301" w:rsidP="009E20AC" w14:paraId="1F9F2666" w14:textId="0211F9C9">
            <w:pPr>
              <w:widowControl/>
              <w:numPr>
                <w:ilvl w:val="0"/>
                <w:numId w:val="18"/>
              </w:numPr>
              <w:tabs>
                <w:tab w:val="num" w:pos="137"/>
                <w:tab w:val="clear" w:pos="360"/>
                <w:tab w:val="left" w:pos="720"/>
              </w:tabs>
              <w:autoSpaceDE/>
              <w:autoSpaceDN/>
              <w:adjustRightInd/>
              <w:ind w:left="137" w:hanging="137"/>
              <w:jc w:val="both"/>
              <w:rPr>
                <w:rFonts w:ascii="Arial" w:hAnsi="Arial" w:cs="Arial"/>
                <w:sz w:val="16"/>
              </w:rPr>
            </w:pPr>
            <w:r w:rsidRPr="00727301">
              <w:rPr>
                <w:rFonts w:ascii="Arial" w:hAnsi="Arial" w:cs="Arial"/>
                <w:sz w:val="16"/>
              </w:rPr>
              <w:t>Used by an applicant to establish enablement and description of claimed biological material.</w:t>
            </w:r>
          </w:p>
          <w:p w:rsidR="00727301" w:rsidRPr="00040930" w:rsidP="009E20AC" w14:paraId="3790D35F" w14:textId="77777777">
            <w:pPr>
              <w:widowControl/>
              <w:numPr>
                <w:ilvl w:val="0"/>
                <w:numId w:val="18"/>
              </w:numPr>
              <w:tabs>
                <w:tab w:val="num" w:pos="137"/>
                <w:tab w:val="clear" w:pos="360"/>
                <w:tab w:val="left" w:pos="720"/>
              </w:tabs>
              <w:autoSpaceDE/>
              <w:autoSpaceDN/>
              <w:adjustRightInd/>
              <w:ind w:left="137" w:hanging="137"/>
              <w:jc w:val="both"/>
              <w:rPr>
                <w:rFonts w:ascii="Arial" w:hAnsi="Arial" w:cs="Arial"/>
                <w:sz w:val="16"/>
              </w:rPr>
            </w:pPr>
            <w:r w:rsidRPr="00040930">
              <w:rPr>
                <w:rFonts w:ascii="Arial" w:hAnsi="Arial" w:cs="Arial"/>
                <w:sz w:val="16"/>
              </w:rPr>
              <w:t>Used by an applicant to establish possession of the invention for priority purposes.</w:t>
            </w:r>
          </w:p>
          <w:p w:rsidR="00727301" w:rsidRPr="00040930" w:rsidP="009E20AC" w14:paraId="4A09C5D1" w14:textId="66308C96">
            <w:pPr>
              <w:widowControl/>
              <w:numPr>
                <w:ilvl w:val="0"/>
                <w:numId w:val="18"/>
              </w:numPr>
              <w:tabs>
                <w:tab w:val="num" w:pos="137"/>
                <w:tab w:val="clear" w:pos="360"/>
                <w:tab w:val="left" w:pos="720"/>
              </w:tabs>
              <w:autoSpaceDE/>
              <w:autoSpaceDN/>
              <w:adjustRightInd/>
              <w:ind w:left="137" w:hanging="137"/>
              <w:jc w:val="both"/>
              <w:rPr>
                <w:rFonts w:ascii="Arial" w:hAnsi="Arial" w:cs="Arial"/>
                <w:sz w:val="16"/>
              </w:rPr>
            </w:pPr>
            <w:r w:rsidRPr="00040930">
              <w:rPr>
                <w:rFonts w:ascii="Arial" w:hAnsi="Arial" w:cs="Arial"/>
                <w:sz w:val="16"/>
              </w:rPr>
              <w:t>Used by an applicant to meet the viability statement requirement of 37 CFR</w:t>
            </w:r>
            <w:r w:rsidR="009E20AC">
              <w:rPr>
                <w:rFonts w:ascii="Arial" w:hAnsi="Arial" w:cs="Arial"/>
                <w:sz w:val="16"/>
              </w:rPr>
              <w:t xml:space="preserve"> </w:t>
            </w:r>
            <w:r w:rsidRPr="009E20AC" w:rsidR="009E20AC">
              <w:rPr>
                <w:rFonts w:ascii="Arial" w:hAnsi="Arial" w:cs="Arial"/>
                <w:sz w:val="16"/>
              </w:rPr>
              <w:t>§</w:t>
            </w:r>
            <w:r w:rsidRPr="00040930">
              <w:rPr>
                <w:rFonts w:ascii="Arial" w:hAnsi="Arial" w:cs="Arial"/>
                <w:sz w:val="16"/>
              </w:rPr>
              <w:t xml:space="preserve"> 1.807(b).</w:t>
            </w:r>
          </w:p>
          <w:p w:rsidR="00727301" w:rsidP="009E20AC" w14:paraId="73F6C8C0" w14:textId="77777777">
            <w:pPr>
              <w:widowControl/>
              <w:numPr>
                <w:ilvl w:val="0"/>
                <w:numId w:val="18"/>
              </w:numPr>
              <w:tabs>
                <w:tab w:val="num" w:pos="137"/>
                <w:tab w:val="clear" w:pos="360"/>
                <w:tab w:val="left" w:pos="720"/>
              </w:tabs>
              <w:autoSpaceDE/>
              <w:autoSpaceDN/>
              <w:adjustRightInd/>
              <w:ind w:left="137" w:hanging="137"/>
              <w:jc w:val="both"/>
              <w:rPr>
                <w:rFonts w:ascii="Arial" w:hAnsi="Arial" w:cs="Arial"/>
                <w:sz w:val="16"/>
              </w:rPr>
            </w:pPr>
            <w:r w:rsidRPr="00040930">
              <w:rPr>
                <w:rFonts w:ascii="Arial" w:hAnsi="Arial" w:cs="Arial"/>
                <w:sz w:val="16"/>
              </w:rPr>
              <w:t>Used by an applicant to maintain enforceability of a patent.</w:t>
            </w:r>
          </w:p>
          <w:p w:rsidR="0091072C" w:rsidRPr="00040930" w:rsidP="009E20AC" w14:paraId="3CB2E175" w14:textId="52365A94">
            <w:pPr>
              <w:widowControl/>
              <w:numPr>
                <w:ilvl w:val="0"/>
                <w:numId w:val="18"/>
              </w:numPr>
              <w:tabs>
                <w:tab w:val="num" w:pos="137"/>
                <w:tab w:val="clear" w:pos="360"/>
                <w:tab w:val="left" w:pos="720"/>
              </w:tabs>
              <w:autoSpaceDE/>
              <w:autoSpaceDN/>
              <w:adjustRightInd/>
              <w:ind w:left="137" w:hanging="137"/>
              <w:jc w:val="both"/>
              <w:rPr>
                <w:rFonts w:ascii="Arial" w:hAnsi="Arial" w:cs="Arial"/>
                <w:sz w:val="16"/>
              </w:rPr>
            </w:pPr>
            <w:r>
              <w:rPr>
                <w:rFonts w:ascii="Arial" w:hAnsi="Arial" w:cs="Arial"/>
                <w:sz w:val="16"/>
              </w:rPr>
              <w:t xml:space="preserve">Used by an applicant to </w:t>
            </w:r>
            <w:r w:rsidR="008A269D">
              <w:rPr>
                <w:rFonts w:ascii="Arial" w:hAnsi="Arial" w:cs="Arial"/>
                <w:sz w:val="16"/>
              </w:rPr>
              <w:t xml:space="preserve">provide replacement or supplemental deposits. </w:t>
            </w:r>
          </w:p>
          <w:p w:rsidR="00727301" w:rsidP="009E20AC" w14:paraId="3B81BD4F" w14:textId="6A71DDBB">
            <w:pPr>
              <w:widowControl/>
              <w:numPr>
                <w:ilvl w:val="0"/>
                <w:numId w:val="18"/>
              </w:numPr>
              <w:tabs>
                <w:tab w:val="num" w:pos="137"/>
                <w:tab w:val="clear" w:pos="360"/>
                <w:tab w:val="left" w:pos="720"/>
              </w:tabs>
              <w:autoSpaceDE/>
              <w:autoSpaceDN/>
              <w:adjustRightInd/>
              <w:ind w:left="137" w:hanging="137"/>
              <w:jc w:val="both"/>
              <w:rPr>
                <w:rFonts w:ascii="Arial" w:hAnsi="Arial" w:cs="Arial"/>
                <w:sz w:val="16"/>
              </w:rPr>
            </w:pPr>
            <w:r w:rsidRPr="00040930">
              <w:rPr>
                <w:rFonts w:ascii="Arial" w:hAnsi="Arial" w:cs="Arial"/>
                <w:sz w:val="16"/>
              </w:rPr>
              <w:t>Used by the USPTO to determine whether the requirement of 35 U.S.C. 112  have been met.</w:t>
            </w:r>
          </w:p>
          <w:p w:rsidR="00727301" w:rsidRPr="00727301" w:rsidP="009E20AC" w14:paraId="385C430B" w14:textId="00C5B372">
            <w:pPr>
              <w:widowControl/>
              <w:numPr>
                <w:ilvl w:val="0"/>
                <w:numId w:val="18"/>
              </w:numPr>
              <w:tabs>
                <w:tab w:val="num" w:pos="137"/>
                <w:tab w:val="clear" w:pos="360"/>
                <w:tab w:val="left" w:pos="720"/>
              </w:tabs>
              <w:autoSpaceDE/>
              <w:autoSpaceDN/>
              <w:adjustRightInd/>
              <w:ind w:left="137" w:hanging="137"/>
              <w:jc w:val="both"/>
              <w:rPr>
                <w:rFonts w:ascii="Arial" w:hAnsi="Arial" w:cs="Arial"/>
                <w:sz w:val="16"/>
              </w:rPr>
            </w:pPr>
            <w:r w:rsidRPr="00727301">
              <w:rPr>
                <w:rFonts w:ascii="Arial" w:hAnsi="Arial" w:cs="Arial"/>
                <w:sz w:val="16"/>
              </w:rPr>
              <w:t>Used by the USPTO to determine whether the depositor is in compliance with deposit regulations and guidance.</w:t>
            </w:r>
          </w:p>
        </w:tc>
      </w:tr>
      <w:tr w14:paraId="44672733" w14:textId="77777777" w:rsidTr="009E20AC">
        <w:tblPrEx>
          <w:tblW w:w="9360" w:type="dxa"/>
          <w:tblInd w:w="108" w:type="dxa"/>
          <w:tblLayout w:type="fixed"/>
          <w:tblLook w:val="0000"/>
        </w:tblPrEx>
        <w:trPr>
          <w:cantSplit/>
        </w:trPr>
        <w:tc>
          <w:tcPr>
            <w:tcW w:w="607" w:type="dxa"/>
            <w:vAlign w:val="center"/>
          </w:tcPr>
          <w:p w:rsidR="00727301" w:rsidRPr="00C5290A" w:rsidP="00727301" w14:paraId="4CB05E33" w14:textId="32BBEB9D">
            <w:pPr>
              <w:widowControl/>
              <w:tabs>
                <w:tab w:val="left" w:pos="720"/>
              </w:tabs>
              <w:autoSpaceDE/>
              <w:autoSpaceDN/>
              <w:adjustRightInd/>
              <w:jc w:val="center"/>
              <w:rPr>
                <w:rFonts w:ascii="Arial" w:hAnsi="Arial" w:cs="Arial"/>
                <w:b/>
                <w:sz w:val="16"/>
              </w:rPr>
            </w:pPr>
            <w:r w:rsidRPr="00040930">
              <w:rPr>
                <w:rFonts w:ascii="Arial" w:hAnsi="Arial" w:cs="Arial"/>
                <w:b/>
                <w:sz w:val="16"/>
                <w:szCs w:val="16"/>
              </w:rPr>
              <w:t>2</w:t>
            </w:r>
          </w:p>
        </w:tc>
        <w:tc>
          <w:tcPr>
            <w:tcW w:w="2610" w:type="dxa"/>
            <w:vAlign w:val="center"/>
          </w:tcPr>
          <w:p w:rsidR="00727301" w:rsidRPr="00C5290A" w:rsidP="00727301" w14:paraId="0A993664" w14:textId="6E4AB588">
            <w:pPr>
              <w:widowControl/>
              <w:tabs>
                <w:tab w:val="left" w:pos="720"/>
              </w:tabs>
              <w:autoSpaceDE/>
              <w:autoSpaceDN/>
              <w:adjustRightInd/>
              <w:jc w:val="center"/>
              <w:rPr>
                <w:rFonts w:ascii="Arial" w:hAnsi="Arial" w:cs="Arial"/>
                <w:sz w:val="16"/>
              </w:rPr>
            </w:pPr>
            <w:r w:rsidRPr="00040930">
              <w:rPr>
                <w:rFonts w:ascii="Arial" w:hAnsi="Arial" w:cs="Arial"/>
                <w:sz w:val="16"/>
                <w:szCs w:val="16"/>
              </w:rPr>
              <w:t>Request for Depository Approval</w:t>
            </w:r>
          </w:p>
        </w:tc>
        <w:tc>
          <w:tcPr>
            <w:tcW w:w="1913" w:type="dxa"/>
            <w:vAlign w:val="center"/>
          </w:tcPr>
          <w:p w:rsidR="00727301" w:rsidRPr="00C5290A" w:rsidP="00727301" w14:paraId="4459A6F0" w14:textId="432317E5">
            <w:pPr>
              <w:widowControl/>
              <w:tabs>
                <w:tab w:val="left" w:pos="720"/>
              </w:tabs>
              <w:autoSpaceDE/>
              <w:autoSpaceDN/>
              <w:adjustRightInd/>
              <w:jc w:val="center"/>
              <w:rPr>
                <w:rFonts w:ascii="Arial" w:hAnsi="Arial"/>
                <w:sz w:val="16"/>
                <w:szCs w:val="20"/>
              </w:rPr>
            </w:pPr>
            <w:r w:rsidRPr="00040930">
              <w:rPr>
                <w:rFonts w:ascii="Arial" w:hAnsi="Arial" w:cs="Arial"/>
                <w:sz w:val="16"/>
                <w:szCs w:val="16"/>
              </w:rPr>
              <w:t>No Form Associated</w:t>
            </w:r>
          </w:p>
        </w:tc>
        <w:tc>
          <w:tcPr>
            <w:tcW w:w="4230" w:type="dxa"/>
          </w:tcPr>
          <w:p w:rsidR="00727301" w:rsidRPr="00040930" w:rsidP="009E20AC" w14:paraId="4206BEFE" w14:textId="6A2E0547">
            <w:pPr>
              <w:widowControl/>
              <w:numPr>
                <w:ilvl w:val="0"/>
                <w:numId w:val="18"/>
              </w:numPr>
              <w:tabs>
                <w:tab w:val="num" w:pos="137"/>
                <w:tab w:val="clear" w:pos="360"/>
              </w:tabs>
              <w:autoSpaceDE/>
              <w:autoSpaceDN/>
              <w:adjustRightInd/>
              <w:ind w:left="137" w:hanging="137"/>
              <w:jc w:val="both"/>
              <w:rPr>
                <w:rFonts w:ascii="Arial" w:hAnsi="Arial" w:cs="Arial"/>
                <w:sz w:val="16"/>
              </w:rPr>
            </w:pPr>
            <w:r w:rsidRPr="00040930">
              <w:rPr>
                <w:rFonts w:ascii="Arial" w:hAnsi="Arial" w:cs="Arial"/>
                <w:sz w:val="16"/>
              </w:rPr>
              <w:t>Used by the respondent depositories to determine the criteria required to be recognized by the USPTO as a suitable depository for biological deposits in patent applications.</w:t>
            </w:r>
          </w:p>
          <w:p w:rsidR="00727301" w:rsidP="009E20AC" w14:paraId="0579D8EC" w14:textId="77777777">
            <w:pPr>
              <w:widowControl/>
              <w:numPr>
                <w:ilvl w:val="0"/>
                <w:numId w:val="18"/>
              </w:numPr>
              <w:tabs>
                <w:tab w:val="clear" w:pos="360"/>
              </w:tabs>
              <w:autoSpaceDE/>
              <w:autoSpaceDN/>
              <w:adjustRightInd/>
              <w:ind w:left="137" w:hanging="173"/>
              <w:jc w:val="both"/>
              <w:rPr>
                <w:rFonts w:ascii="Arial" w:hAnsi="Arial" w:cs="Arial"/>
                <w:sz w:val="16"/>
              </w:rPr>
            </w:pPr>
            <w:r w:rsidRPr="00040930">
              <w:rPr>
                <w:rFonts w:ascii="Arial" w:hAnsi="Arial" w:cs="Arial"/>
                <w:sz w:val="16"/>
              </w:rPr>
              <w:t>Used by recognized depositories to justify their recognition and to ensure that they remain in compliance administratively and technically, that they hire qualified staff, and that their facilities are suitably equipped for the storage and testing of deposits of biological material.</w:t>
            </w:r>
          </w:p>
          <w:p w:rsidR="00727301" w:rsidRPr="00727301" w:rsidP="009E20AC" w14:paraId="2B6B09E4" w14:textId="2F1831DB">
            <w:pPr>
              <w:widowControl/>
              <w:numPr>
                <w:ilvl w:val="0"/>
                <w:numId w:val="18"/>
              </w:numPr>
              <w:tabs>
                <w:tab w:val="clear" w:pos="360"/>
              </w:tabs>
              <w:autoSpaceDE/>
              <w:autoSpaceDN/>
              <w:adjustRightInd/>
              <w:ind w:left="137" w:hanging="173"/>
              <w:jc w:val="both"/>
              <w:rPr>
                <w:rFonts w:ascii="Arial" w:hAnsi="Arial" w:cs="Arial"/>
                <w:sz w:val="16"/>
              </w:rPr>
            </w:pPr>
            <w:r w:rsidRPr="00727301">
              <w:rPr>
                <w:rFonts w:ascii="Arial" w:hAnsi="Arial" w:cs="Arial"/>
                <w:sz w:val="16"/>
              </w:rPr>
              <w:t xml:space="preserve">Used by the USPTO to determine suitability of a respondent depository seeking recognition per 37 CFR </w:t>
            </w:r>
            <w:r w:rsidRPr="009E20AC" w:rsidR="009E20AC">
              <w:rPr>
                <w:rFonts w:ascii="Arial" w:hAnsi="Arial" w:cs="Arial"/>
                <w:sz w:val="16"/>
              </w:rPr>
              <w:t>§</w:t>
            </w:r>
            <w:r w:rsidR="009E20AC">
              <w:rPr>
                <w:rFonts w:ascii="Arial" w:hAnsi="Arial" w:cs="Arial"/>
                <w:sz w:val="16"/>
              </w:rPr>
              <w:t xml:space="preserve"> </w:t>
            </w:r>
            <w:r w:rsidRPr="00727301">
              <w:rPr>
                <w:rFonts w:ascii="Arial" w:hAnsi="Arial" w:cs="Arial"/>
                <w:sz w:val="16"/>
              </w:rPr>
              <w:t>1.803(b) based upon administrative and technical competence and the depository’s agreement to comply with the requirements set forth by the USPTO.</w:t>
            </w:r>
          </w:p>
        </w:tc>
      </w:tr>
    </w:tbl>
    <w:p w:rsidR="00636EDA" w:rsidRPr="00476F66" w:rsidP="00636EDA" w14:paraId="79D4A0B7" w14:textId="77777777">
      <w:pPr>
        <w:widowControl/>
        <w:jc w:val="both"/>
        <w:rPr>
          <w:rFonts w:ascii="Arial" w:hAnsi="Arial" w:cs="Arial"/>
          <w:color w:val="0000FF"/>
        </w:rPr>
      </w:pPr>
    </w:p>
    <w:p w:rsidR="00567B74" w:rsidRPr="00004988" w:rsidP="00D31A4E" w14:paraId="6F5A8D53" w14:textId="08111934">
      <w:pPr>
        <w:pStyle w:val="ListParagraph"/>
        <w:widowControl/>
        <w:numPr>
          <w:ilvl w:val="0"/>
          <w:numId w:val="13"/>
        </w:numPr>
        <w:tabs>
          <w:tab w:val="left" w:pos="-984"/>
          <w:tab w:val="left" w:pos="-720"/>
        </w:tabs>
        <w:ind w:left="360"/>
        <w:jc w:val="both"/>
        <w:rPr>
          <w:rFonts w:ascii="Arial" w:hAnsi="Arial" w:cs="Arial"/>
          <w:b/>
          <w:bCs/>
          <w:sz w:val="32"/>
        </w:rPr>
      </w:pPr>
      <w:r w:rsidRPr="00004988">
        <w:rPr>
          <w:rFonts w:ascii="Arial" w:hAnsi="Arial" w:cs="Arial"/>
          <w:b/>
          <w:szCs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67B74" w:rsidRPr="00432944" w:rsidP="00636EDA" w14:paraId="22746287" w14:textId="77777777">
      <w:pPr>
        <w:widowControl/>
        <w:tabs>
          <w:tab w:val="left" w:pos="-984"/>
          <w:tab w:val="left" w:pos="-720"/>
          <w:tab w:val="left" w:pos="720"/>
        </w:tabs>
        <w:jc w:val="both"/>
        <w:rPr>
          <w:rFonts w:ascii="Arial" w:hAnsi="Arial" w:cs="Arial"/>
        </w:rPr>
      </w:pPr>
    </w:p>
    <w:p w:rsidR="001F2C0E" w:rsidRPr="00040930" w:rsidP="001F2C0E" w14:paraId="61094758" w14:textId="1B75A4F9">
      <w:pPr>
        <w:tabs>
          <w:tab w:val="left" w:pos="720"/>
        </w:tabs>
        <w:jc w:val="both"/>
        <w:rPr>
          <w:rFonts w:ascii="Arial" w:hAnsi="Arial" w:cs="Arial"/>
        </w:rPr>
      </w:pPr>
      <w:r w:rsidRPr="00040930">
        <w:rPr>
          <w:rFonts w:ascii="Arial" w:hAnsi="Arial" w:cs="Arial"/>
        </w:rPr>
        <w:t>The USPTO accepts viability statements made for item 1 under 37 CFR</w:t>
      </w:r>
      <w:r w:rsidR="009E20AC">
        <w:rPr>
          <w:rFonts w:ascii="Arial" w:hAnsi="Arial" w:cs="Arial"/>
        </w:rPr>
        <w:t xml:space="preserve"> </w:t>
      </w:r>
      <w:r w:rsidRPr="002B017A" w:rsidR="009E20AC">
        <w:rPr>
          <w:rFonts w:ascii="Arial" w:hAnsi="Arial" w:cs="Arial"/>
        </w:rPr>
        <w:t>§</w:t>
      </w:r>
      <w:r w:rsidRPr="00040930">
        <w:rPr>
          <w:rFonts w:ascii="Arial" w:hAnsi="Arial" w:cs="Arial"/>
        </w:rPr>
        <w:t xml:space="preserve"> 1.807 via Patent Center. The deposit of the physical specimen itself cannot be done electronically.  </w:t>
      </w:r>
    </w:p>
    <w:p w:rsidR="001F2C0E" w:rsidRPr="00040930" w:rsidP="001F2C0E" w14:paraId="3C02F122" w14:textId="77777777">
      <w:pPr>
        <w:tabs>
          <w:tab w:val="left" w:pos="720"/>
        </w:tabs>
        <w:jc w:val="both"/>
        <w:rPr>
          <w:rFonts w:ascii="Arial" w:hAnsi="Arial" w:cs="Arial"/>
        </w:rPr>
      </w:pPr>
    </w:p>
    <w:p w:rsidR="001F2C0E" w:rsidRPr="00040930" w:rsidP="001F2C0E" w14:paraId="57E969FC" w14:textId="77777777">
      <w:pPr>
        <w:tabs>
          <w:tab w:val="left" w:pos="720"/>
        </w:tabs>
        <w:jc w:val="both"/>
        <w:rPr>
          <w:rFonts w:ascii="Arial" w:hAnsi="Arial" w:cs="Arial"/>
        </w:rPr>
      </w:pPr>
      <w:r w:rsidRPr="00040930">
        <w:rPr>
          <w:rFonts w:ascii="Arial" w:hAnsi="Arial" w:cs="Arial"/>
        </w:rPr>
        <w:t xml:space="preserve">Applicants may download forms for Budapest Treaty submissions online at </w:t>
      </w:r>
      <w:hyperlink r:id="rId9" w:history="1">
        <w:r w:rsidRPr="00040930">
          <w:rPr>
            <w:rStyle w:val="Hyperlink"/>
            <w:rFonts w:ascii="Arial" w:hAnsi="Arial" w:cs="Arial"/>
          </w:rPr>
          <w:t>https://www.wipo.int/budapest/en/guide/appendix_3/index.html</w:t>
        </w:r>
      </w:hyperlink>
      <w:r w:rsidRPr="00040930">
        <w:rPr>
          <w:rFonts w:ascii="Arial" w:hAnsi="Arial" w:cs="Arial"/>
        </w:rPr>
        <w:t xml:space="preserve">. </w:t>
      </w:r>
    </w:p>
    <w:p w:rsidR="00860C84" w:rsidRPr="00476F66" w:rsidP="00F301D5" w14:paraId="6CC6DDD1" w14:textId="77777777">
      <w:pPr>
        <w:widowControl/>
        <w:tabs>
          <w:tab w:val="left" w:pos="-984"/>
          <w:tab w:val="left" w:pos="-720"/>
          <w:tab w:val="left" w:pos="720"/>
        </w:tabs>
        <w:jc w:val="both"/>
        <w:rPr>
          <w:rFonts w:ascii="Arial" w:hAnsi="Arial" w:cs="Arial"/>
          <w:color w:val="0000FF"/>
        </w:rPr>
      </w:pPr>
    </w:p>
    <w:p w:rsidR="00567B74" w:rsidRPr="00004988" w:rsidP="00834D03" w14:paraId="0C4A149D" w14:textId="2CD8B59D">
      <w:pPr>
        <w:pStyle w:val="ListParagraph"/>
        <w:widowControl/>
        <w:numPr>
          <w:ilvl w:val="0"/>
          <w:numId w:val="13"/>
        </w:numPr>
        <w:tabs>
          <w:tab w:val="left" w:pos="-984"/>
          <w:tab w:val="left" w:pos="-720"/>
        </w:tabs>
        <w:ind w:left="360"/>
        <w:jc w:val="both"/>
        <w:rPr>
          <w:rFonts w:ascii="Arial" w:hAnsi="Arial" w:cs="Arial"/>
          <w:b/>
          <w:sz w:val="32"/>
        </w:rPr>
      </w:pPr>
      <w:r w:rsidRPr="00004988">
        <w:rPr>
          <w:rFonts w:ascii="Arial" w:hAnsi="Arial" w:cs="Arial"/>
          <w:b/>
          <w:szCs w:val="20"/>
        </w:rPr>
        <w:t>Describe efforts to identify duplication. Show specifically why any similar information already available cannot be used or modified for use for the purposes described in Item 2 above.</w:t>
      </w:r>
    </w:p>
    <w:p w:rsidR="00567B74" w:rsidP="00636EDA" w14:paraId="10336CF2" w14:textId="77777777">
      <w:pPr>
        <w:widowControl/>
        <w:tabs>
          <w:tab w:val="left" w:pos="-984"/>
          <w:tab w:val="left" w:pos="-720"/>
          <w:tab w:val="left" w:pos="720"/>
        </w:tabs>
        <w:jc w:val="both"/>
        <w:rPr>
          <w:rFonts w:ascii="Arial" w:hAnsi="Arial" w:cs="Arial"/>
        </w:rPr>
      </w:pPr>
    </w:p>
    <w:p w:rsidR="00FA7BA6" w:rsidRPr="00040930" w:rsidP="00FA7BA6" w14:paraId="4BC98097" w14:textId="366E6295">
      <w:pPr>
        <w:widowControl/>
        <w:tabs>
          <w:tab w:val="left" w:pos="-984"/>
          <w:tab w:val="left" w:pos="-720"/>
          <w:tab w:val="left" w:pos="720"/>
        </w:tabs>
        <w:jc w:val="both"/>
        <w:rPr>
          <w:rFonts w:ascii="Arial" w:hAnsi="Arial" w:cs="Arial"/>
        </w:rPr>
      </w:pPr>
      <w:r w:rsidRPr="00040930">
        <w:rPr>
          <w:rFonts w:ascii="Arial" w:hAnsi="Arial" w:cs="Arial"/>
        </w:rPr>
        <w:t xml:space="preserve">This collection requires a limited amount of identifying information (such as the applicant’s name, address, and phone number) </w:t>
      </w:r>
      <w:r w:rsidR="00BB584D">
        <w:rPr>
          <w:rFonts w:ascii="Arial" w:hAnsi="Arial" w:cs="Arial"/>
        </w:rPr>
        <w:t>that is duplicative of info</w:t>
      </w:r>
      <w:r w:rsidR="003770A9">
        <w:rPr>
          <w:rFonts w:ascii="Arial" w:hAnsi="Arial" w:cs="Arial"/>
        </w:rPr>
        <w:t xml:space="preserve">rmation the USPTO collects elsewhere, such as </w:t>
      </w:r>
      <w:r w:rsidR="004E1CF2">
        <w:rPr>
          <w:rFonts w:ascii="Arial" w:hAnsi="Arial" w:cs="Arial"/>
        </w:rPr>
        <w:t xml:space="preserve">the initial </w:t>
      </w:r>
      <w:r w:rsidRPr="00040930">
        <w:rPr>
          <w:rFonts w:ascii="Arial" w:hAnsi="Arial" w:cs="Arial"/>
        </w:rPr>
        <w:t>patent application</w:t>
      </w:r>
      <w:r w:rsidR="004E1CF2">
        <w:rPr>
          <w:rFonts w:ascii="Arial" w:hAnsi="Arial" w:cs="Arial"/>
        </w:rPr>
        <w:t>s covered under 0651-0032</w:t>
      </w:r>
      <w:r w:rsidRPr="00040930">
        <w:rPr>
          <w:rFonts w:ascii="Arial" w:hAnsi="Arial" w:cs="Arial"/>
        </w:rPr>
        <w:t>. However, the duplication of identification information is the most efficient way of accurately associating the biological deposit</w:t>
      </w:r>
      <w:r w:rsidR="009E2B86">
        <w:rPr>
          <w:rFonts w:ascii="Arial" w:hAnsi="Arial" w:cs="Arial"/>
        </w:rPr>
        <w:t xml:space="preserve"> information of this collection </w:t>
      </w:r>
      <w:r w:rsidRPr="00040930">
        <w:rPr>
          <w:rFonts w:ascii="Arial" w:hAnsi="Arial" w:cs="Arial"/>
        </w:rPr>
        <w:t xml:space="preserve">with the appropriate application case file. </w:t>
      </w:r>
    </w:p>
    <w:p w:rsidR="00636EDA" w:rsidRPr="007031CB" w:rsidP="00636EDA" w14:paraId="79D4A0C3" w14:textId="58EFD220">
      <w:pPr>
        <w:widowControl/>
        <w:tabs>
          <w:tab w:val="left" w:pos="-984"/>
          <w:tab w:val="left" w:pos="-720"/>
          <w:tab w:val="left" w:pos="720"/>
        </w:tabs>
        <w:jc w:val="both"/>
        <w:rPr>
          <w:rFonts w:ascii="Arial" w:hAnsi="Arial" w:cs="Arial"/>
          <w:b/>
          <w:color w:val="0000FF"/>
          <w:szCs w:val="20"/>
        </w:rPr>
      </w:pPr>
    </w:p>
    <w:p w:rsidR="00567B74" w:rsidRPr="00004988" w:rsidP="00834D03" w14:paraId="0796867C" w14:textId="3CE8F2B9">
      <w:pPr>
        <w:pStyle w:val="ListParagraph"/>
        <w:keepNext/>
        <w:widowControl/>
        <w:numPr>
          <w:ilvl w:val="0"/>
          <w:numId w:val="13"/>
        </w:numPr>
        <w:tabs>
          <w:tab w:val="left" w:pos="-984"/>
          <w:tab w:val="left" w:pos="-720"/>
        </w:tabs>
        <w:ind w:left="360"/>
        <w:jc w:val="both"/>
        <w:rPr>
          <w:rFonts w:ascii="Arial" w:hAnsi="Arial" w:cs="Arial"/>
        </w:rPr>
      </w:pPr>
      <w:r w:rsidRPr="00004988">
        <w:rPr>
          <w:rFonts w:ascii="Arial" w:hAnsi="Arial" w:cs="Arial"/>
          <w:b/>
          <w:szCs w:val="20"/>
        </w:rPr>
        <w:t>If the collection of information impacts small businesses or other small entities, describe any methods used to minimize burden</w:t>
      </w:r>
      <w:r w:rsidRPr="00004988">
        <w:rPr>
          <w:sz w:val="20"/>
          <w:szCs w:val="20"/>
        </w:rPr>
        <w:t xml:space="preserve">. </w:t>
      </w:r>
    </w:p>
    <w:p w:rsidR="00567B74" w:rsidRPr="005301EC" w:rsidP="00636EDA" w14:paraId="51799489" w14:textId="77777777">
      <w:pPr>
        <w:keepNext/>
        <w:widowControl/>
        <w:tabs>
          <w:tab w:val="left" w:pos="-984"/>
          <w:tab w:val="left" w:pos="-720"/>
          <w:tab w:val="left" w:pos="720"/>
        </w:tabs>
        <w:jc w:val="both"/>
        <w:rPr>
          <w:rFonts w:ascii="Arial" w:hAnsi="Arial" w:cs="Arial"/>
        </w:rPr>
      </w:pPr>
    </w:p>
    <w:p w:rsidR="00834D03" w:rsidRPr="00040930" w:rsidP="00834D03" w14:paraId="4955CBD7" w14:textId="0DB8A4F1">
      <w:pPr>
        <w:widowControl/>
        <w:tabs>
          <w:tab w:val="left" w:pos="-1176"/>
        </w:tabs>
        <w:jc w:val="both"/>
        <w:rPr>
          <w:rFonts w:ascii="Arial" w:hAnsi="Arial" w:cs="Arial"/>
        </w:rPr>
      </w:pPr>
      <w:r w:rsidRPr="00040930">
        <w:rPr>
          <w:rFonts w:ascii="Arial" w:hAnsi="Arial" w:cs="Arial"/>
        </w:rPr>
        <w:t xml:space="preserve">This collection does not impose a significant economic impact on small businesses or other small entities. The same information is required from every applicant and is not available from any other source. USPTO estimates that 3% of the respondents in this information collection are small entities.  </w:t>
      </w:r>
    </w:p>
    <w:p w:rsidR="00636EDA" w:rsidRPr="00476F66" w:rsidP="00636EDA" w14:paraId="79D4A0C7" w14:textId="77777777">
      <w:pPr>
        <w:widowControl/>
        <w:tabs>
          <w:tab w:val="left" w:pos="-984"/>
          <w:tab w:val="left" w:pos="-720"/>
          <w:tab w:val="left" w:pos="720"/>
        </w:tabs>
        <w:jc w:val="both"/>
        <w:rPr>
          <w:rFonts w:ascii="Arial" w:hAnsi="Arial" w:cs="Arial"/>
          <w:color w:val="0000FF"/>
        </w:rPr>
      </w:pPr>
    </w:p>
    <w:p w:rsidR="00567B74" w:rsidRPr="00004988" w:rsidP="00444D68" w14:paraId="74658122" w14:textId="10F428CE">
      <w:pPr>
        <w:pStyle w:val="ListParagraph"/>
        <w:keepNext/>
        <w:keepLines/>
        <w:widowControl/>
        <w:numPr>
          <w:ilvl w:val="0"/>
          <w:numId w:val="13"/>
        </w:numPr>
        <w:tabs>
          <w:tab w:val="left" w:pos="-984"/>
          <w:tab w:val="left" w:pos="-720"/>
        </w:tabs>
        <w:ind w:left="360"/>
        <w:jc w:val="both"/>
        <w:rPr>
          <w:rFonts w:ascii="Arial" w:hAnsi="Arial" w:cs="Arial"/>
          <w:b/>
          <w:bCs/>
          <w:sz w:val="32"/>
        </w:rPr>
      </w:pPr>
      <w:r w:rsidRPr="00004988">
        <w:rPr>
          <w:rFonts w:ascii="Arial" w:hAnsi="Arial" w:cs="Arial"/>
          <w:b/>
          <w:szCs w:val="20"/>
        </w:rPr>
        <w:t xml:space="preserve">Describe the consequence to </w:t>
      </w:r>
      <w:r w:rsidR="00DF5688">
        <w:rPr>
          <w:rFonts w:ascii="Arial" w:hAnsi="Arial" w:cs="Arial"/>
          <w:b/>
          <w:szCs w:val="20"/>
        </w:rPr>
        <w:t>f</w:t>
      </w:r>
      <w:r w:rsidRPr="00004988">
        <w:rPr>
          <w:rFonts w:ascii="Arial" w:hAnsi="Arial" w:cs="Arial"/>
          <w:b/>
          <w:szCs w:val="20"/>
        </w:rPr>
        <w:t xml:space="preserve">ederal program or policy activities if the collection is not conducted or is conducted less frequently, as well as any technical or legal obstacles to reducing burden. </w:t>
      </w:r>
    </w:p>
    <w:p w:rsidR="00567B74" w:rsidP="00636EDA" w14:paraId="53CFE4DC" w14:textId="77777777">
      <w:pPr>
        <w:keepNext/>
        <w:keepLines/>
        <w:widowControl/>
        <w:tabs>
          <w:tab w:val="left" w:pos="-984"/>
          <w:tab w:val="left" w:pos="-720"/>
          <w:tab w:val="left" w:pos="720"/>
        </w:tabs>
        <w:jc w:val="both"/>
        <w:rPr>
          <w:rFonts w:ascii="Arial" w:hAnsi="Arial" w:cs="Arial"/>
          <w:b/>
          <w:bCs/>
        </w:rPr>
      </w:pPr>
    </w:p>
    <w:p w:rsidR="0080067D" w:rsidRPr="00444D68" w:rsidP="00444D68" w14:paraId="5FBAB71A" w14:textId="432E9B9E">
      <w:pPr>
        <w:widowControl/>
        <w:tabs>
          <w:tab w:val="left" w:pos="-1176"/>
        </w:tabs>
        <w:jc w:val="both"/>
        <w:rPr>
          <w:rFonts w:ascii="Arial" w:hAnsi="Arial" w:cs="Arial"/>
        </w:rPr>
      </w:pPr>
      <w:r w:rsidRPr="00040930">
        <w:rPr>
          <w:rFonts w:ascii="Arial" w:hAnsi="Arial" w:cs="Arial"/>
        </w:rPr>
        <w:t xml:space="preserve">This information is collected only when the respondent submits a patent application </w:t>
      </w:r>
      <w:r w:rsidR="00FC3B80">
        <w:rPr>
          <w:rFonts w:ascii="Arial" w:hAnsi="Arial" w:cs="Arial"/>
        </w:rPr>
        <w:t xml:space="preserve">disclosing </w:t>
      </w:r>
      <w:r w:rsidRPr="00040930">
        <w:rPr>
          <w:rFonts w:ascii="Arial" w:hAnsi="Arial" w:cs="Arial"/>
        </w:rPr>
        <w:t xml:space="preserve">biological materials that cannot be adequately described in words and figures, or when a depository seeks recognition under 37 CFR </w:t>
      </w:r>
      <w:r w:rsidRPr="002B017A" w:rsidR="007031CB">
        <w:rPr>
          <w:rFonts w:ascii="Arial" w:hAnsi="Arial" w:cs="Arial"/>
        </w:rPr>
        <w:t>§</w:t>
      </w:r>
      <w:r w:rsidR="007031CB">
        <w:rPr>
          <w:rFonts w:ascii="Arial" w:hAnsi="Arial" w:cs="Arial"/>
        </w:rPr>
        <w:t xml:space="preserve"> </w:t>
      </w:r>
      <w:r w:rsidRPr="00040930">
        <w:rPr>
          <w:rFonts w:ascii="Arial" w:hAnsi="Arial" w:cs="Arial"/>
        </w:rPr>
        <w:t xml:space="preserve">1.803(b) as a suitable depository for patent application biological deposits. This collection could not be conducted less frequently. If this information was not collected, the USPTO could not comply with the requirements of 35 U.S.C. 2(b)(2) </w:t>
      </w:r>
      <w:r w:rsidR="000048F6">
        <w:rPr>
          <w:rFonts w:ascii="Arial" w:hAnsi="Arial" w:cs="Arial"/>
        </w:rPr>
        <w:t xml:space="preserve">and 112 </w:t>
      </w:r>
      <w:r w:rsidRPr="00040930">
        <w:rPr>
          <w:rFonts w:ascii="Arial" w:hAnsi="Arial" w:cs="Arial"/>
        </w:rPr>
        <w:t>and 37 CFR</w:t>
      </w:r>
      <w:r w:rsidR="00D87194">
        <w:rPr>
          <w:rFonts w:ascii="Arial" w:hAnsi="Arial" w:cs="Arial"/>
        </w:rPr>
        <w:t xml:space="preserve"> </w:t>
      </w:r>
      <w:r w:rsidRPr="00040930" w:rsidR="00D87194">
        <w:rPr>
          <w:rFonts w:ascii="Arial" w:hAnsi="Arial" w:cs="Arial"/>
        </w:rPr>
        <w:t>§§</w:t>
      </w:r>
      <w:r w:rsidRPr="00040930">
        <w:rPr>
          <w:rFonts w:ascii="Arial" w:hAnsi="Arial" w:cs="Arial"/>
        </w:rPr>
        <w:t xml:space="preserve"> 1.801-1.809.</w:t>
      </w:r>
    </w:p>
    <w:p w:rsidR="0080067D" w:rsidRPr="00476F66" w:rsidP="00636EDA" w14:paraId="190F58A2" w14:textId="77777777">
      <w:pPr>
        <w:widowControl/>
        <w:tabs>
          <w:tab w:val="left" w:pos="-984"/>
          <w:tab w:val="left" w:pos="-720"/>
          <w:tab w:val="left" w:pos="720"/>
        </w:tabs>
        <w:jc w:val="both"/>
        <w:rPr>
          <w:rFonts w:ascii="Arial" w:hAnsi="Arial" w:cs="Arial"/>
          <w:color w:val="0000FF"/>
        </w:rPr>
      </w:pPr>
    </w:p>
    <w:p w:rsidR="00567B74" w:rsidRPr="00004988" w:rsidP="00444D68" w14:paraId="4F7FFAF0" w14:textId="0C507262">
      <w:pPr>
        <w:pStyle w:val="ListParagraph"/>
        <w:keepNext/>
        <w:keepLines/>
        <w:widowControl/>
        <w:numPr>
          <w:ilvl w:val="0"/>
          <w:numId w:val="13"/>
        </w:numPr>
        <w:tabs>
          <w:tab w:val="left" w:pos="-984"/>
          <w:tab w:val="left" w:pos="-720"/>
        </w:tabs>
        <w:ind w:left="360"/>
        <w:jc w:val="both"/>
        <w:rPr>
          <w:rFonts w:ascii="Arial" w:hAnsi="Arial" w:cs="Arial"/>
          <w:b/>
        </w:rPr>
      </w:pPr>
      <w:r w:rsidRPr="00004988">
        <w:rPr>
          <w:rFonts w:ascii="Arial" w:hAnsi="Arial" w:cs="Arial"/>
          <w:b/>
        </w:rPr>
        <w:t xml:space="preserve">Explain any special circumstances that would cause an information collection to be conducted in a manner: </w:t>
      </w:r>
    </w:p>
    <w:p w:rsidR="00567B74" w:rsidRPr="00004988" w:rsidP="00444D68" w14:paraId="7BCA977C" w14:textId="10348CA2">
      <w:pPr>
        <w:widowControl/>
        <w:autoSpaceDE/>
        <w:autoSpaceDN/>
        <w:adjustRightInd/>
        <w:ind w:left="630" w:hanging="270"/>
        <w:jc w:val="both"/>
        <w:rPr>
          <w:rFonts w:ascii="Arial" w:hAnsi="Arial" w:cs="Arial"/>
          <w:b/>
        </w:rPr>
      </w:pPr>
      <w:r w:rsidRPr="00004988">
        <w:rPr>
          <w:rFonts w:ascii="Symbol" w:eastAsia="Symbol" w:hAnsi="Symbol" w:cs="Symbol"/>
          <w:b/>
        </w:rPr>
        <w:sym w:font="Symbol" w:char="F0B7"/>
      </w:r>
      <w:r w:rsidRPr="00004988">
        <w:rPr>
          <w:rFonts w:ascii="Arial" w:hAnsi="Arial" w:cs="Arial"/>
          <w:b/>
        </w:rPr>
        <w:t xml:space="preserve"> </w:t>
      </w:r>
      <w:r w:rsidR="004A110E">
        <w:rPr>
          <w:rFonts w:ascii="Arial" w:hAnsi="Arial" w:cs="Arial"/>
          <w:b/>
        </w:rPr>
        <w:tab/>
      </w:r>
      <w:r w:rsidRPr="00004988">
        <w:rPr>
          <w:rFonts w:ascii="Arial" w:hAnsi="Arial" w:cs="Arial"/>
          <w:b/>
        </w:rPr>
        <w:t>requiring respondents to report information to the agency more often than</w:t>
      </w:r>
      <w:r w:rsidR="004A110E">
        <w:rPr>
          <w:rFonts w:ascii="Arial" w:hAnsi="Arial" w:cs="Arial"/>
          <w:b/>
        </w:rPr>
        <w:t xml:space="preserve"> </w:t>
      </w:r>
      <w:r w:rsidRPr="00004988">
        <w:rPr>
          <w:rFonts w:ascii="Arial" w:hAnsi="Arial" w:cs="Arial"/>
          <w:b/>
        </w:rPr>
        <w:t xml:space="preserve">quarterly; </w:t>
      </w:r>
    </w:p>
    <w:p w:rsidR="00567B74" w:rsidRPr="00004988" w:rsidP="00444D68" w14:paraId="26226922" w14:textId="4B03E8FC">
      <w:pPr>
        <w:widowControl/>
        <w:autoSpaceDE/>
        <w:autoSpaceDN/>
        <w:adjustRightInd/>
        <w:ind w:left="630" w:hanging="270"/>
        <w:jc w:val="both"/>
        <w:rPr>
          <w:rFonts w:ascii="Arial" w:hAnsi="Arial" w:cs="Arial"/>
          <w:b/>
        </w:rPr>
      </w:pPr>
      <w:r w:rsidRPr="00004988">
        <w:rPr>
          <w:rFonts w:ascii="Symbol" w:eastAsia="Symbol" w:hAnsi="Symbol" w:cs="Symbol"/>
          <w:b/>
        </w:rPr>
        <w:sym w:font="Symbol" w:char="F0B7"/>
      </w:r>
      <w:r w:rsidRPr="00004988">
        <w:rPr>
          <w:rFonts w:ascii="Arial" w:hAnsi="Arial" w:cs="Arial"/>
          <w:b/>
        </w:rPr>
        <w:t xml:space="preserve"> </w:t>
      </w:r>
      <w:r w:rsidR="004A110E">
        <w:rPr>
          <w:rFonts w:ascii="Arial" w:hAnsi="Arial" w:cs="Arial"/>
          <w:b/>
        </w:rPr>
        <w:tab/>
      </w:r>
      <w:r w:rsidRPr="00004988">
        <w:rPr>
          <w:rFonts w:ascii="Arial" w:hAnsi="Arial" w:cs="Arial"/>
          <w:b/>
        </w:rPr>
        <w:t xml:space="preserve">requiring respondents to prepare a written response to a collection of information in fewer than 30 days after receipt of it; </w:t>
      </w:r>
    </w:p>
    <w:p w:rsidR="00567B74" w:rsidRPr="00004988" w:rsidP="00444D68" w14:paraId="11280536" w14:textId="700DE5FC">
      <w:pPr>
        <w:widowControl/>
        <w:autoSpaceDE/>
        <w:autoSpaceDN/>
        <w:adjustRightInd/>
        <w:ind w:left="630" w:hanging="270"/>
        <w:jc w:val="both"/>
        <w:rPr>
          <w:rFonts w:ascii="Arial" w:hAnsi="Arial" w:cs="Arial"/>
          <w:b/>
        </w:rPr>
      </w:pPr>
      <w:r w:rsidRPr="00004988">
        <w:rPr>
          <w:rFonts w:ascii="Symbol" w:eastAsia="Symbol" w:hAnsi="Symbol" w:cs="Symbol"/>
          <w:b/>
        </w:rPr>
        <w:sym w:font="Symbol" w:char="F0B7"/>
      </w:r>
      <w:r w:rsidRPr="00004988">
        <w:rPr>
          <w:rFonts w:ascii="Arial" w:hAnsi="Arial" w:cs="Arial"/>
          <w:b/>
        </w:rPr>
        <w:t xml:space="preserve"> </w:t>
      </w:r>
      <w:r w:rsidR="004A110E">
        <w:rPr>
          <w:rFonts w:ascii="Arial" w:hAnsi="Arial" w:cs="Arial"/>
          <w:b/>
        </w:rPr>
        <w:tab/>
      </w:r>
      <w:r w:rsidRPr="00004988">
        <w:rPr>
          <w:rFonts w:ascii="Arial" w:hAnsi="Arial" w:cs="Arial"/>
          <w:b/>
        </w:rPr>
        <w:t>requiring respondents to submit more than an original and two copies of any</w:t>
      </w:r>
      <w:r w:rsidR="004A110E">
        <w:rPr>
          <w:rFonts w:ascii="Arial" w:hAnsi="Arial" w:cs="Arial"/>
          <w:b/>
        </w:rPr>
        <w:t xml:space="preserve"> </w:t>
      </w:r>
      <w:r w:rsidRPr="00004988">
        <w:rPr>
          <w:rFonts w:ascii="Arial" w:hAnsi="Arial" w:cs="Arial"/>
          <w:b/>
        </w:rPr>
        <w:t xml:space="preserve">document; </w:t>
      </w:r>
    </w:p>
    <w:p w:rsidR="00567B74" w:rsidRPr="00004988" w:rsidP="00444D68" w14:paraId="475CA383" w14:textId="603CD79A">
      <w:pPr>
        <w:widowControl/>
        <w:autoSpaceDE/>
        <w:autoSpaceDN/>
        <w:adjustRightInd/>
        <w:ind w:left="630" w:hanging="270"/>
        <w:jc w:val="both"/>
        <w:rPr>
          <w:rFonts w:ascii="Arial" w:hAnsi="Arial" w:cs="Arial"/>
          <w:b/>
        </w:rPr>
      </w:pPr>
      <w:r w:rsidRPr="00004988">
        <w:rPr>
          <w:rFonts w:ascii="Symbol" w:eastAsia="Symbol" w:hAnsi="Symbol" w:cs="Symbol"/>
          <w:b/>
        </w:rPr>
        <w:sym w:font="Symbol" w:char="F0B7"/>
      </w:r>
      <w:r w:rsidRPr="00004988">
        <w:rPr>
          <w:rFonts w:ascii="Arial" w:hAnsi="Arial" w:cs="Arial"/>
          <w:b/>
        </w:rPr>
        <w:t xml:space="preserve"> </w:t>
      </w:r>
      <w:r w:rsidR="004A110E">
        <w:rPr>
          <w:rFonts w:ascii="Arial" w:hAnsi="Arial" w:cs="Arial"/>
          <w:b/>
        </w:rPr>
        <w:tab/>
      </w:r>
      <w:r w:rsidRPr="00004988">
        <w:rPr>
          <w:rFonts w:ascii="Arial" w:hAnsi="Arial" w:cs="Arial"/>
          <w:b/>
        </w:rPr>
        <w:t xml:space="preserve">requiring respondents to retain records, other than health, medical, government contract, grant-in-aid, or tax records, for more than three years; </w:t>
      </w:r>
    </w:p>
    <w:p w:rsidR="00567B74" w:rsidRPr="00004988" w:rsidP="00444D68" w14:paraId="47F9A996" w14:textId="19280DE2">
      <w:pPr>
        <w:widowControl/>
        <w:autoSpaceDE/>
        <w:autoSpaceDN/>
        <w:adjustRightInd/>
        <w:ind w:left="630" w:hanging="270"/>
        <w:jc w:val="both"/>
        <w:rPr>
          <w:rFonts w:ascii="Arial" w:hAnsi="Arial" w:cs="Arial"/>
          <w:b/>
        </w:rPr>
      </w:pPr>
      <w:r w:rsidRPr="00004988">
        <w:rPr>
          <w:rFonts w:ascii="Symbol" w:eastAsia="Symbol" w:hAnsi="Symbol" w:cs="Symbol"/>
          <w:b/>
        </w:rPr>
        <w:sym w:font="Symbol" w:char="F0B7"/>
      </w:r>
      <w:r w:rsidRPr="00004988">
        <w:rPr>
          <w:rFonts w:ascii="Arial" w:hAnsi="Arial" w:cs="Arial"/>
          <w:b/>
        </w:rPr>
        <w:t xml:space="preserve"> </w:t>
      </w:r>
      <w:r w:rsidR="004A110E">
        <w:rPr>
          <w:rFonts w:ascii="Arial" w:hAnsi="Arial" w:cs="Arial"/>
          <w:b/>
        </w:rPr>
        <w:tab/>
      </w:r>
      <w:r w:rsidRPr="00004988">
        <w:rPr>
          <w:rFonts w:ascii="Arial" w:hAnsi="Arial" w:cs="Arial"/>
          <w:b/>
        </w:rPr>
        <w:t xml:space="preserve">in connection with a statistical survey, that is not designed to produce valid and reliable results that can be generalized to the universe of study; </w:t>
      </w:r>
    </w:p>
    <w:p w:rsidR="00D52658" w:rsidP="00444D68" w14:paraId="2875B4C0" w14:textId="77777777">
      <w:pPr>
        <w:widowControl/>
        <w:autoSpaceDE/>
        <w:autoSpaceDN/>
        <w:adjustRightInd/>
        <w:ind w:left="630" w:hanging="270"/>
        <w:jc w:val="both"/>
        <w:rPr>
          <w:rFonts w:ascii="Arial" w:hAnsi="Arial" w:cs="Arial"/>
          <w:b/>
        </w:rPr>
      </w:pPr>
      <w:r w:rsidRPr="00004988">
        <w:rPr>
          <w:rFonts w:ascii="Symbol" w:eastAsia="Symbol" w:hAnsi="Symbol" w:cs="Symbol"/>
          <w:b/>
        </w:rPr>
        <w:sym w:font="Symbol" w:char="F0B7"/>
      </w:r>
      <w:r w:rsidRPr="00004988">
        <w:rPr>
          <w:rFonts w:ascii="Arial" w:hAnsi="Arial" w:cs="Arial"/>
          <w:b/>
        </w:rPr>
        <w:t xml:space="preserve"> </w:t>
      </w:r>
      <w:r w:rsidR="004A110E">
        <w:rPr>
          <w:rFonts w:ascii="Arial" w:hAnsi="Arial" w:cs="Arial"/>
          <w:b/>
        </w:rPr>
        <w:tab/>
      </w:r>
      <w:r w:rsidRPr="00004988">
        <w:rPr>
          <w:rFonts w:ascii="Arial" w:hAnsi="Arial" w:cs="Arial"/>
          <w:b/>
        </w:rPr>
        <w:t xml:space="preserve">requiring the use of a statistical data classification that has not been reviewed and approved by OMB; </w:t>
      </w:r>
    </w:p>
    <w:p w:rsidR="00567B74" w:rsidRPr="00004988" w:rsidP="00444D68" w14:paraId="4FEBC6E5" w14:textId="4ADA016E">
      <w:pPr>
        <w:widowControl/>
        <w:autoSpaceDE/>
        <w:autoSpaceDN/>
        <w:adjustRightInd/>
        <w:ind w:left="630" w:hanging="270"/>
        <w:jc w:val="both"/>
        <w:rPr>
          <w:rFonts w:ascii="Arial" w:hAnsi="Arial" w:cs="Arial"/>
          <w:b/>
        </w:rPr>
      </w:pPr>
      <w:r w:rsidRPr="00004988">
        <w:rPr>
          <w:rFonts w:ascii="Symbol" w:eastAsia="Symbol" w:hAnsi="Symbol" w:cs="Symbol"/>
          <w:b/>
        </w:rPr>
        <w:sym w:font="Symbol" w:char="F0B7"/>
      </w:r>
      <w:r w:rsidRPr="00004988">
        <w:rPr>
          <w:rFonts w:ascii="Arial" w:hAnsi="Arial" w:cs="Arial"/>
          <w:b/>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567B74" w:rsidRPr="00004988" w:rsidP="00444D68" w14:paraId="233A0C25" w14:textId="6A6AF841">
      <w:pPr>
        <w:widowControl/>
        <w:autoSpaceDE/>
        <w:autoSpaceDN/>
        <w:adjustRightInd/>
        <w:ind w:left="630" w:hanging="270"/>
        <w:jc w:val="both"/>
        <w:rPr>
          <w:rFonts w:ascii="Arial" w:hAnsi="Arial" w:cs="Arial"/>
          <w:b/>
        </w:rPr>
      </w:pPr>
      <w:r w:rsidRPr="00004988">
        <w:rPr>
          <w:rFonts w:ascii="Symbol" w:eastAsia="Symbol" w:hAnsi="Symbol" w:cs="Symbol"/>
          <w:b/>
        </w:rPr>
        <w:sym w:font="Symbol" w:char="F0B7"/>
      </w:r>
      <w:r w:rsidRPr="00004988">
        <w:rPr>
          <w:rFonts w:ascii="Arial" w:hAnsi="Arial" w:cs="Arial"/>
          <w:b/>
        </w:rPr>
        <w:t xml:space="preserve"> </w:t>
      </w:r>
      <w:r w:rsidR="004A110E">
        <w:rPr>
          <w:rFonts w:ascii="Arial" w:hAnsi="Arial" w:cs="Arial"/>
          <w:b/>
        </w:rPr>
        <w:tab/>
      </w:r>
      <w:r w:rsidRPr="00004988">
        <w:rPr>
          <w:rFonts w:ascii="Arial" w:hAnsi="Arial" w:cs="Arial"/>
          <w:b/>
        </w:rPr>
        <w:t xml:space="preserve">requiring respondents to submit proprietary trade secrets, or other confidential information unless the agency can demonstrate that it has instituted procedures to protect the information's confidentiality to the extent permitted by law. </w:t>
      </w:r>
    </w:p>
    <w:p w:rsidR="00567B74" w:rsidRPr="0056760B" w:rsidP="00636EDA" w14:paraId="517760A3" w14:textId="77777777">
      <w:pPr>
        <w:keepNext/>
        <w:keepLines/>
        <w:widowControl/>
        <w:tabs>
          <w:tab w:val="left" w:pos="-984"/>
          <w:tab w:val="left" w:pos="-720"/>
          <w:tab w:val="left" w:pos="720"/>
        </w:tabs>
        <w:jc w:val="both"/>
        <w:rPr>
          <w:rFonts w:ascii="Arial" w:hAnsi="Arial" w:cs="Arial"/>
        </w:rPr>
      </w:pPr>
    </w:p>
    <w:p w:rsidR="00636EDA" w:rsidRPr="00C93EDD" w:rsidP="00636EDA" w14:paraId="79D4A0CE" w14:textId="77777777">
      <w:pPr>
        <w:widowControl/>
        <w:tabs>
          <w:tab w:val="left" w:pos="-984"/>
          <w:tab w:val="left" w:pos="-720"/>
          <w:tab w:val="left" w:pos="720"/>
        </w:tabs>
        <w:jc w:val="both"/>
        <w:rPr>
          <w:rFonts w:ascii="Arial" w:hAnsi="Arial" w:cs="Arial"/>
        </w:rPr>
      </w:pPr>
      <w:r w:rsidRPr="00C93EDD">
        <w:rPr>
          <w:rFonts w:ascii="Arial" w:hAnsi="Arial" w:cs="Arial"/>
        </w:rPr>
        <w:t>There are no special circumstances associated with this collection of information.</w:t>
      </w:r>
    </w:p>
    <w:p w:rsidR="00636EDA" w:rsidRPr="00C93EDD" w:rsidP="00636EDA" w14:paraId="79D4A0CF" w14:textId="77777777">
      <w:pPr>
        <w:widowControl/>
        <w:tabs>
          <w:tab w:val="left" w:pos="-984"/>
          <w:tab w:val="left" w:pos="-720"/>
          <w:tab w:val="left" w:pos="720"/>
        </w:tabs>
        <w:jc w:val="both"/>
        <w:rPr>
          <w:rFonts w:ascii="Arial" w:hAnsi="Arial" w:cs="Arial"/>
        </w:rPr>
      </w:pPr>
    </w:p>
    <w:p w:rsidR="00567B74" w:rsidRPr="00004988" w:rsidP="00444D68" w14:paraId="4F6EA99D" w14:textId="561A73E4">
      <w:pPr>
        <w:pStyle w:val="ListParagraph"/>
        <w:keepNext/>
        <w:keepLines/>
        <w:widowControl/>
        <w:numPr>
          <w:ilvl w:val="0"/>
          <w:numId w:val="13"/>
        </w:numPr>
        <w:tabs>
          <w:tab w:val="left" w:pos="-984"/>
          <w:tab w:val="left" w:pos="-720"/>
        </w:tabs>
        <w:ind w:left="360"/>
        <w:jc w:val="both"/>
        <w:rPr>
          <w:rFonts w:ascii="Arial" w:hAnsi="Arial" w:cs="Arial"/>
          <w:b/>
          <w:bCs/>
          <w:sz w:val="32"/>
        </w:rPr>
      </w:pPr>
      <w:r w:rsidRPr="00004988">
        <w:rPr>
          <w:rFonts w:ascii="Arial" w:hAnsi="Arial" w:cs="Arial"/>
          <w:b/>
          <w:szCs w:val="20"/>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636EDA" w:rsidRPr="00476F66" w:rsidP="00636EDA" w14:paraId="79D4A0D1" w14:textId="77777777">
      <w:pPr>
        <w:keepNext/>
        <w:keepLines/>
        <w:widowControl/>
        <w:tabs>
          <w:tab w:val="left" w:pos="-984"/>
          <w:tab w:val="left" w:pos="-720"/>
          <w:tab w:val="left" w:pos="720"/>
        </w:tabs>
        <w:jc w:val="both"/>
        <w:rPr>
          <w:rFonts w:ascii="Arial" w:hAnsi="Arial" w:cs="Arial"/>
          <w:color w:val="0000FF"/>
        </w:rPr>
      </w:pPr>
    </w:p>
    <w:p w:rsidR="006B6E92" w:rsidP="00636EDA" w14:paraId="529CCE23" w14:textId="162132E7">
      <w:pPr>
        <w:widowControl/>
        <w:tabs>
          <w:tab w:val="left" w:pos="-984"/>
          <w:tab w:val="left" w:pos="-720"/>
          <w:tab w:val="left" w:pos="720"/>
        </w:tabs>
        <w:jc w:val="both"/>
        <w:rPr>
          <w:rFonts w:ascii="Arial" w:hAnsi="Arial"/>
        </w:rPr>
      </w:pPr>
      <w:r w:rsidRPr="00C93EDD">
        <w:rPr>
          <w:rFonts w:ascii="Arial" w:hAnsi="Arial" w:cs="Arial"/>
        </w:rPr>
        <w:t xml:space="preserve">The 60-Day Notice was published in the </w:t>
      </w:r>
      <w:r w:rsidRPr="00C93EDD">
        <w:rPr>
          <w:rFonts w:ascii="Arial" w:hAnsi="Arial" w:cs="Arial"/>
          <w:i/>
          <w:iCs/>
        </w:rPr>
        <w:t>Federal Register</w:t>
      </w:r>
      <w:r w:rsidRPr="00C93EDD">
        <w:rPr>
          <w:rFonts w:ascii="Arial" w:hAnsi="Arial" w:cs="Arial"/>
        </w:rPr>
        <w:t xml:space="preserve"> on </w:t>
      </w:r>
      <w:r w:rsidR="00E970F9">
        <w:rPr>
          <w:rFonts w:ascii="Arial" w:hAnsi="Arial" w:cs="Arial"/>
        </w:rPr>
        <w:t>November 19, 2025</w:t>
      </w:r>
      <w:r w:rsidR="00814D7E">
        <w:rPr>
          <w:rFonts w:ascii="Arial" w:hAnsi="Arial" w:cs="Arial"/>
        </w:rPr>
        <w:t xml:space="preserve"> (</w:t>
      </w:r>
      <w:r w:rsidR="00E970F9">
        <w:rPr>
          <w:rFonts w:ascii="Arial" w:hAnsi="Arial" w:cs="Arial"/>
        </w:rPr>
        <w:t>90</w:t>
      </w:r>
      <w:r w:rsidR="00814D7E">
        <w:rPr>
          <w:rFonts w:ascii="Arial" w:hAnsi="Arial" w:cs="Arial"/>
        </w:rPr>
        <w:t xml:space="preserve"> FR </w:t>
      </w:r>
      <w:r w:rsidR="00E970F9">
        <w:rPr>
          <w:rFonts w:ascii="Arial" w:hAnsi="Arial" w:cs="Arial"/>
        </w:rPr>
        <w:t>52038</w:t>
      </w:r>
      <w:r w:rsidR="00814D7E">
        <w:rPr>
          <w:rFonts w:ascii="Arial" w:hAnsi="Arial" w:cs="Arial"/>
        </w:rPr>
        <w:t>)</w:t>
      </w:r>
      <w:r w:rsidRPr="00C93EDD">
        <w:rPr>
          <w:rFonts w:ascii="Arial" w:hAnsi="Arial" w:cs="Arial"/>
        </w:rPr>
        <w:t>.</w:t>
      </w:r>
      <w:r>
        <w:rPr>
          <w:rStyle w:val="FootnoteReference"/>
          <w:rFonts w:ascii="Arial" w:hAnsi="Arial" w:cs="Arial"/>
        </w:rPr>
        <w:footnoteReference w:id="3"/>
      </w:r>
      <w:r w:rsidRPr="00C93EDD">
        <w:rPr>
          <w:rFonts w:ascii="Arial" w:hAnsi="Arial" w:cs="Arial"/>
        </w:rPr>
        <w:t xml:space="preserve"> The comment period </w:t>
      </w:r>
      <w:r w:rsidRPr="007F0B6F">
        <w:rPr>
          <w:rFonts w:ascii="Arial" w:hAnsi="Arial" w:cs="Arial"/>
        </w:rPr>
        <w:t xml:space="preserve">ended on </w:t>
      </w:r>
      <w:r w:rsidR="00E970F9">
        <w:rPr>
          <w:rFonts w:ascii="Arial" w:hAnsi="Arial" w:cs="Arial"/>
        </w:rPr>
        <w:t>January 20, 2026</w:t>
      </w:r>
      <w:r w:rsidRPr="007F0B6F">
        <w:rPr>
          <w:rFonts w:ascii="Arial" w:hAnsi="Arial" w:cs="Arial"/>
        </w:rPr>
        <w:t xml:space="preserve">. </w:t>
      </w:r>
      <w:r w:rsidRPr="000B537A" w:rsidR="0077376E">
        <w:rPr>
          <w:rFonts w:ascii="Arial" w:hAnsi="Arial"/>
        </w:rPr>
        <w:t xml:space="preserve">The USPTO received </w:t>
      </w:r>
      <w:r w:rsidR="00C92CD4">
        <w:rPr>
          <w:rFonts w:ascii="Arial" w:hAnsi="Arial"/>
        </w:rPr>
        <w:t>two</w:t>
      </w:r>
      <w:r w:rsidRPr="000B537A" w:rsidR="0077376E">
        <w:rPr>
          <w:rFonts w:ascii="Arial" w:hAnsi="Arial"/>
        </w:rPr>
        <w:t xml:space="preserve"> public comments in response to the </w:t>
      </w:r>
      <w:r w:rsidR="0077376E">
        <w:rPr>
          <w:rFonts w:ascii="Arial" w:hAnsi="Arial"/>
        </w:rPr>
        <w:t>n</w:t>
      </w:r>
      <w:r w:rsidRPr="000B537A" w:rsidR="0077376E">
        <w:rPr>
          <w:rFonts w:ascii="Arial" w:hAnsi="Arial"/>
        </w:rPr>
        <w:t>otice</w:t>
      </w:r>
      <w:r w:rsidR="009B5FFA">
        <w:rPr>
          <w:rFonts w:ascii="Arial" w:hAnsi="Arial"/>
        </w:rPr>
        <w:t xml:space="preserve">, but they </w:t>
      </w:r>
      <w:r w:rsidR="008F1623">
        <w:rPr>
          <w:rFonts w:ascii="Arial" w:hAnsi="Arial"/>
        </w:rPr>
        <w:t>are out of scope for the requested information in this information collection.</w:t>
      </w:r>
    </w:p>
    <w:p w:rsidR="006B6E92" w:rsidP="00636EDA" w14:paraId="31FFA34E" w14:textId="77777777">
      <w:pPr>
        <w:widowControl/>
        <w:tabs>
          <w:tab w:val="left" w:pos="-984"/>
          <w:tab w:val="left" w:pos="-720"/>
          <w:tab w:val="left" w:pos="720"/>
        </w:tabs>
        <w:jc w:val="both"/>
        <w:rPr>
          <w:rFonts w:ascii="Arial" w:hAnsi="Arial"/>
        </w:rPr>
      </w:pPr>
    </w:p>
    <w:p w:rsidR="006B6E92" w:rsidRPr="006B6E92" w:rsidP="00636EDA" w14:paraId="2D435E2A" w14:textId="7B639417">
      <w:pPr>
        <w:widowControl/>
        <w:tabs>
          <w:tab w:val="left" w:pos="-984"/>
          <w:tab w:val="left" w:pos="-720"/>
          <w:tab w:val="left" w:pos="720"/>
        </w:tabs>
        <w:jc w:val="both"/>
        <w:rPr>
          <w:rFonts w:ascii="Arial" w:hAnsi="Arial"/>
        </w:rPr>
      </w:pPr>
      <w:r>
        <w:rPr>
          <w:rFonts w:ascii="Arial" w:hAnsi="Arial"/>
        </w:rPr>
        <w:t xml:space="preserve">The USPTO published a 30-day notice in the </w:t>
      </w:r>
      <w:r>
        <w:rPr>
          <w:rFonts w:ascii="Arial" w:hAnsi="Arial"/>
          <w:i/>
          <w:iCs/>
        </w:rPr>
        <w:t xml:space="preserve">Federal Register </w:t>
      </w:r>
      <w:r>
        <w:rPr>
          <w:rFonts w:ascii="Arial" w:hAnsi="Arial"/>
        </w:rPr>
        <w:t xml:space="preserve">on </w:t>
      </w:r>
      <w:r w:rsidR="007C3F11">
        <w:rPr>
          <w:rFonts w:ascii="Arial" w:hAnsi="Arial"/>
        </w:rPr>
        <w:t>March 9, 2026</w:t>
      </w:r>
      <w:r>
        <w:rPr>
          <w:rFonts w:ascii="Arial" w:hAnsi="Arial"/>
        </w:rPr>
        <w:t xml:space="preserve"> (</w:t>
      </w:r>
      <w:r w:rsidR="007C3F11">
        <w:rPr>
          <w:rFonts w:ascii="Arial" w:hAnsi="Arial"/>
        </w:rPr>
        <w:t>91</w:t>
      </w:r>
      <w:r>
        <w:rPr>
          <w:rFonts w:ascii="Arial" w:hAnsi="Arial"/>
        </w:rPr>
        <w:t xml:space="preserve"> FR </w:t>
      </w:r>
      <w:r w:rsidR="007C3F11">
        <w:rPr>
          <w:rFonts w:ascii="Arial" w:hAnsi="Arial"/>
        </w:rPr>
        <w:t>11292</w:t>
      </w:r>
      <w:r>
        <w:rPr>
          <w:rFonts w:ascii="Arial" w:hAnsi="Arial"/>
        </w:rPr>
        <w:t>).</w:t>
      </w:r>
      <w:r>
        <w:rPr>
          <w:rStyle w:val="FootnoteReference"/>
          <w:rFonts w:ascii="Arial" w:hAnsi="Arial" w:cs="Arial"/>
        </w:rPr>
        <w:footnoteReference w:id="4"/>
      </w:r>
      <w:r>
        <w:rPr>
          <w:rFonts w:ascii="Arial" w:hAnsi="Arial"/>
        </w:rPr>
        <w:t xml:space="preserve"> The comment period will close on </w:t>
      </w:r>
      <w:r w:rsidR="007C3F11">
        <w:rPr>
          <w:rFonts w:ascii="Arial" w:hAnsi="Arial"/>
        </w:rPr>
        <w:t>April 8, 2026</w:t>
      </w:r>
      <w:r>
        <w:rPr>
          <w:rFonts w:ascii="Arial" w:hAnsi="Arial"/>
        </w:rPr>
        <w:t>.</w:t>
      </w:r>
    </w:p>
    <w:p w:rsidR="00636EDA" w:rsidRPr="0056760B" w:rsidP="00636EDA" w14:paraId="79D4A0D5" w14:textId="77777777">
      <w:pPr>
        <w:widowControl/>
        <w:tabs>
          <w:tab w:val="left" w:pos="-984"/>
          <w:tab w:val="left" w:pos="-720"/>
          <w:tab w:val="left" w:pos="720"/>
        </w:tabs>
        <w:jc w:val="both"/>
        <w:rPr>
          <w:rFonts w:ascii="Arial" w:hAnsi="Arial" w:cs="Arial"/>
        </w:rPr>
      </w:pPr>
    </w:p>
    <w:p w:rsidR="00567B74" w:rsidRPr="00004988" w:rsidP="009E6CE9" w14:paraId="6767514E" w14:textId="11FABB64">
      <w:pPr>
        <w:pStyle w:val="ListParagraph"/>
        <w:widowControl/>
        <w:numPr>
          <w:ilvl w:val="0"/>
          <w:numId w:val="13"/>
        </w:numPr>
        <w:tabs>
          <w:tab w:val="left" w:pos="-984"/>
          <w:tab w:val="left" w:pos="-720"/>
        </w:tabs>
        <w:ind w:left="360"/>
        <w:jc w:val="both"/>
        <w:rPr>
          <w:rFonts w:ascii="Arial" w:hAnsi="Arial" w:cs="Arial"/>
          <w:b/>
          <w:sz w:val="32"/>
        </w:rPr>
      </w:pPr>
      <w:r w:rsidRPr="00004988">
        <w:rPr>
          <w:rFonts w:ascii="Arial" w:hAnsi="Arial" w:cs="Arial"/>
          <w:b/>
          <w:szCs w:val="20"/>
        </w:rPr>
        <w:t>Explain any decision to provide any payment or gift to respondents, other than remuneration of contractors or grantees.</w:t>
      </w:r>
    </w:p>
    <w:p w:rsidR="00567B74" w:rsidRPr="0056760B" w:rsidP="00636EDA" w14:paraId="65FB1871" w14:textId="77777777">
      <w:pPr>
        <w:widowControl/>
        <w:tabs>
          <w:tab w:val="left" w:pos="-984"/>
          <w:tab w:val="left" w:pos="-720"/>
          <w:tab w:val="left" w:pos="720"/>
        </w:tabs>
        <w:jc w:val="both"/>
        <w:rPr>
          <w:rFonts w:ascii="Arial" w:hAnsi="Arial" w:cs="Arial"/>
        </w:rPr>
      </w:pPr>
    </w:p>
    <w:p w:rsidR="00636EDA" w:rsidRPr="00F462AC" w:rsidP="00636EDA" w14:paraId="79D4A0D8" w14:textId="77777777">
      <w:pPr>
        <w:widowControl/>
        <w:tabs>
          <w:tab w:val="left" w:pos="-984"/>
          <w:tab w:val="left" w:pos="-720"/>
          <w:tab w:val="left" w:pos="720"/>
        </w:tabs>
        <w:jc w:val="both"/>
        <w:rPr>
          <w:rFonts w:ascii="Arial" w:hAnsi="Arial" w:cs="Arial"/>
        </w:rPr>
      </w:pPr>
      <w:r w:rsidRPr="00F462AC">
        <w:rPr>
          <w:rFonts w:ascii="Arial" w:hAnsi="Arial" w:cs="Arial"/>
        </w:rPr>
        <w:t xml:space="preserve">This information collection does not involve a payment or gift to any respondent. </w:t>
      </w:r>
    </w:p>
    <w:p w:rsidR="00636EDA" w:rsidRPr="00476F66" w:rsidP="00636EDA" w14:paraId="79D4A0D9" w14:textId="77777777">
      <w:pPr>
        <w:widowControl/>
        <w:tabs>
          <w:tab w:val="left" w:pos="-984"/>
          <w:tab w:val="left" w:pos="-720"/>
          <w:tab w:val="left" w:pos="720"/>
        </w:tabs>
        <w:jc w:val="both"/>
        <w:rPr>
          <w:rFonts w:ascii="Arial" w:hAnsi="Arial" w:cs="Arial"/>
          <w:color w:val="0000FF"/>
        </w:rPr>
      </w:pPr>
    </w:p>
    <w:p w:rsidR="00567B74" w:rsidRPr="00004988" w:rsidP="00EB11E9" w14:paraId="6B4947CF" w14:textId="4D7E0877">
      <w:pPr>
        <w:pStyle w:val="ListParagraph"/>
        <w:keepNext/>
        <w:widowControl/>
        <w:numPr>
          <w:ilvl w:val="0"/>
          <w:numId w:val="13"/>
        </w:numPr>
        <w:tabs>
          <w:tab w:val="left" w:pos="-984"/>
          <w:tab w:val="left" w:pos="-720"/>
        </w:tabs>
        <w:ind w:left="360"/>
        <w:jc w:val="both"/>
        <w:rPr>
          <w:rFonts w:ascii="Arial" w:hAnsi="Arial" w:cs="Arial"/>
          <w:b/>
          <w:sz w:val="32"/>
        </w:rPr>
      </w:pPr>
      <w:r w:rsidRPr="00004988">
        <w:rPr>
          <w:rFonts w:ascii="Arial" w:hAnsi="Arial" w:cs="Arial"/>
          <w:b/>
          <w:szCs w:val="20"/>
        </w:rPr>
        <w:t xml:space="preserve">Describe any assurance of confidentiality provided to respondents and the basis for the assurance in statute, regulation, or agency policy. If the collection requires a system of records notice (SORN) or privacy impact assessment (PIA), those should be cited and described here. </w:t>
      </w:r>
    </w:p>
    <w:p w:rsidR="00567B74" w:rsidRPr="001F0D09" w:rsidP="00636EDA" w14:paraId="4602C3BF" w14:textId="77777777">
      <w:pPr>
        <w:keepNext/>
        <w:widowControl/>
        <w:tabs>
          <w:tab w:val="left" w:pos="-984"/>
          <w:tab w:val="left" w:pos="-720"/>
          <w:tab w:val="left" w:pos="720"/>
        </w:tabs>
        <w:jc w:val="both"/>
        <w:rPr>
          <w:rFonts w:ascii="Arial" w:hAnsi="Arial" w:cs="Arial"/>
        </w:rPr>
      </w:pPr>
    </w:p>
    <w:p w:rsidR="00D2784F" w:rsidP="00FD75E4" w14:paraId="6CACD402" w14:textId="791B2FEE">
      <w:pPr>
        <w:widowControl/>
        <w:tabs>
          <w:tab w:val="left" w:pos="-984"/>
          <w:tab w:val="left" w:pos="-720"/>
          <w:tab w:val="left" w:pos="720"/>
        </w:tabs>
        <w:jc w:val="both"/>
        <w:rPr>
          <w:rFonts w:ascii="Arial" w:hAnsi="Arial" w:cs="Arial"/>
          <w:bCs/>
        </w:rPr>
      </w:pPr>
      <w:r>
        <w:rPr>
          <w:rFonts w:ascii="Arial" w:hAnsi="Arial" w:cs="Arial"/>
          <w:bCs/>
        </w:rPr>
        <w:t>Confidentiality of patent applications is governed</w:t>
      </w:r>
      <w:r w:rsidR="00B72805">
        <w:rPr>
          <w:rFonts w:ascii="Arial" w:hAnsi="Arial" w:cs="Arial"/>
          <w:bCs/>
        </w:rPr>
        <w:t xml:space="preserve"> by statute (35 U.S.C. 122) and regulation (37 CFR </w:t>
      </w:r>
      <w:r w:rsidR="00400389">
        <w:rPr>
          <w:rFonts w:ascii="Arial" w:hAnsi="Arial" w:cs="Arial"/>
          <w:bCs/>
        </w:rPr>
        <w:t xml:space="preserve">§§ </w:t>
      </w:r>
      <w:r w:rsidR="00B72805">
        <w:rPr>
          <w:rFonts w:ascii="Arial" w:hAnsi="Arial" w:cs="Arial"/>
          <w:bCs/>
        </w:rPr>
        <w:t>1.11 and 1.14)</w:t>
      </w:r>
      <w:r w:rsidR="009B5FFA">
        <w:rPr>
          <w:rFonts w:ascii="Arial" w:hAnsi="Arial" w:cs="Arial"/>
          <w:bCs/>
        </w:rPr>
        <w:t>.</w:t>
      </w:r>
      <w:r w:rsidR="00B72805">
        <w:rPr>
          <w:rFonts w:ascii="Arial" w:hAnsi="Arial" w:cs="Arial"/>
          <w:bCs/>
        </w:rPr>
        <w:t xml:space="preserve"> </w:t>
      </w:r>
      <w:r w:rsidR="00B66604">
        <w:rPr>
          <w:rFonts w:ascii="Arial" w:hAnsi="Arial" w:cs="Arial"/>
          <w:bCs/>
        </w:rPr>
        <w:t xml:space="preserve">Upon publication of an application or issuance of a patent, the entire patent </w:t>
      </w:r>
      <w:r w:rsidR="0036262E">
        <w:rPr>
          <w:rFonts w:ascii="Arial" w:hAnsi="Arial" w:cs="Arial"/>
          <w:bCs/>
        </w:rPr>
        <w:t xml:space="preserve">application file is made available to the public (subject to provisions for providing only a redacted copy </w:t>
      </w:r>
      <w:r w:rsidR="00085D2D">
        <w:rPr>
          <w:rFonts w:ascii="Arial" w:hAnsi="Arial" w:cs="Arial"/>
          <w:bCs/>
        </w:rPr>
        <w:t xml:space="preserve">of the file contents). Therefore, the deposit of biological material information collected by this information collection may be made available to the public when it is filed in a published application or issued patent, or when an </w:t>
      </w:r>
      <w:r w:rsidR="00B60711">
        <w:rPr>
          <w:rFonts w:ascii="Arial" w:hAnsi="Arial" w:cs="Arial"/>
          <w:bCs/>
        </w:rPr>
        <w:t xml:space="preserve">unpublished and unpatented application in which the deopist of biological material information is filed is later </w:t>
      </w:r>
      <w:r w:rsidR="009B5FFA">
        <w:rPr>
          <w:rFonts w:ascii="Arial" w:hAnsi="Arial" w:cs="Arial"/>
          <w:bCs/>
        </w:rPr>
        <w:t>published</w:t>
      </w:r>
      <w:r w:rsidR="00B60711">
        <w:rPr>
          <w:rFonts w:ascii="Arial" w:hAnsi="Arial" w:cs="Arial"/>
          <w:bCs/>
        </w:rPr>
        <w:t xml:space="preserve"> or issued as a patent</w:t>
      </w:r>
      <w:r>
        <w:rPr>
          <w:rFonts w:ascii="Arial" w:hAnsi="Arial" w:cs="Arial"/>
          <w:bCs/>
        </w:rPr>
        <w:t>.</w:t>
      </w:r>
    </w:p>
    <w:p w:rsidR="00D2784F" w:rsidP="00FD75E4" w14:paraId="36177863" w14:textId="77777777">
      <w:pPr>
        <w:widowControl/>
        <w:tabs>
          <w:tab w:val="left" w:pos="-984"/>
          <w:tab w:val="left" w:pos="-720"/>
          <w:tab w:val="left" w:pos="720"/>
        </w:tabs>
        <w:jc w:val="both"/>
        <w:rPr>
          <w:rFonts w:ascii="Arial" w:hAnsi="Arial" w:cs="Arial"/>
          <w:bCs/>
        </w:rPr>
      </w:pPr>
    </w:p>
    <w:p w:rsidR="00FD75E4" w:rsidRPr="00D2784F" w:rsidP="00FD75E4" w14:paraId="3573E486" w14:textId="6AACB2D3">
      <w:pPr>
        <w:widowControl/>
        <w:tabs>
          <w:tab w:val="left" w:pos="-984"/>
          <w:tab w:val="left" w:pos="-720"/>
          <w:tab w:val="left" w:pos="720"/>
        </w:tabs>
        <w:jc w:val="both"/>
        <w:rPr>
          <w:rFonts w:ascii="Arial" w:hAnsi="Arial" w:cs="Arial"/>
          <w:bCs/>
        </w:rPr>
      </w:pPr>
      <w:r>
        <w:rPr>
          <w:rFonts w:ascii="Arial" w:hAnsi="Arial" w:cs="Arial"/>
          <w:bCs/>
        </w:rPr>
        <w:t xml:space="preserve">The request for depository </w:t>
      </w:r>
      <w:r w:rsidR="004D0B83">
        <w:rPr>
          <w:rFonts w:ascii="Arial" w:hAnsi="Arial" w:cs="Arial"/>
          <w:bCs/>
        </w:rPr>
        <w:t>approval information covered under this information collection does not fall within the purview of 35 U.S.C. 122</w:t>
      </w:r>
      <w:r w:rsidR="007F51BC">
        <w:rPr>
          <w:rFonts w:ascii="Arial" w:hAnsi="Arial" w:cs="Arial"/>
          <w:bCs/>
        </w:rPr>
        <w:t xml:space="preserve"> or 37 CFR </w:t>
      </w:r>
      <w:r w:rsidR="00400389">
        <w:rPr>
          <w:rFonts w:ascii="Arial" w:hAnsi="Arial" w:cs="Arial"/>
          <w:bCs/>
        </w:rPr>
        <w:t xml:space="preserve">§§ </w:t>
      </w:r>
      <w:r w:rsidR="007F51BC">
        <w:rPr>
          <w:rFonts w:ascii="Arial" w:hAnsi="Arial" w:cs="Arial"/>
          <w:bCs/>
        </w:rPr>
        <w:t>1.11 and 1.14, because the information is not associated with a particular patent application or patent</w:t>
      </w:r>
      <w:r w:rsidRPr="00B75FA2">
        <w:rPr>
          <w:rFonts w:ascii="Arial" w:hAnsi="Arial" w:cs="Arial"/>
          <w:bCs/>
        </w:rPr>
        <w:t>.</w:t>
      </w:r>
    </w:p>
    <w:p w:rsidR="00FD75E4" w:rsidP="00FD75E4" w14:paraId="3A12C9A3" w14:textId="77777777">
      <w:pPr>
        <w:widowControl/>
        <w:tabs>
          <w:tab w:val="left" w:pos="-984"/>
          <w:tab w:val="left" w:pos="-720"/>
          <w:tab w:val="left" w:pos="720"/>
        </w:tabs>
        <w:jc w:val="both"/>
        <w:rPr>
          <w:rFonts w:ascii="Arial" w:hAnsi="Arial" w:cs="Arial"/>
        </w:rPr>
      </w:pPr>
    </w:p>
    <w:p w:rsidR="00FD75E4" w:rsidP="00FD75E4" w14:paraId="7DCE4DB3" w14:textId="770B4CBD">
      <w:pPr>
        <w:widowControl/>
        <w:tabs>
          <w:tab w:val="left" w:pos="-984"/>
          <w:tab w:val="left" w:pos="-720"/>
          <w:tab w:val="left" w:pos="720"/>
        </w:tabs>
        <w:jc w:val="both"/>
        <w:rPr>
          <w:rFonts w:ascii="Arial" w:hAnsi="Arial" w:cs="Arial"/>
        </w:rPr>
      </w:pPr>
      <w:r w:rsidRPr="00335066">
        <w:rPr>
          <w:rFonts w:ascii="Arial" w:hAnsi="Arial" w:cs="Arial"/>
        </w:rPr>
        <w:t xml:space="preserve">This </w:t>
      </w:r>
      <w:r>
        <w:rPr>
          <w:rFonts w:ascii="Arial" w:hAnsi="Arial" w:cs="Arial"/>
        </w:rPr>
        <w:t xml:space="preserve">information </w:t>
      </w:r>
      <w:r w:rsidRPr="00335066">
        <w:rPr>
          <w:rFonts w:ascii="Arial" w:hAnsi="Arial" w:cs="Arial"/>
        </w:rPr>
        <w:t>collection contains information which is subject to the Privacy Act.</w:t>
      </w:r>
      <w:r>
        <w:rPr>
          <w:rFonts w:ascii="Arial" w:hAnsi="Arial" w:cs="Arial"/>
        </w:rPr>
        <w:t xml:space="preserve"> The following SORN provide</w:t>
      </w:r>
      <w:r w:rsidR="00400389">
        <w:rPr>
          <w:rFonts w:ascii="Arial" w:hAnsi="Arial" w:cs="Arial"/>
        </w:rPr>
        <w:t>s</w:t>
      </w:r>
      <w:r>
        <w:rPr>
          <w:rFonts w:ascii="Arial" w:hAnsi="Arial" w:cs="Arial"/>
        </w:rPr>
        <w:t xml:space="preserve"> privacy disclosures and information about USPTO’s handling of personally identifiable information (PII) that is part of this information collection. </w:t>
      </w:r>
    </w:p>
    <w:p w:rsidR="00F07938" w:rsidP="00FD75E4" w14:paraId="1E22BCC6" w14:textId="77777777">
      <w:pPr>
        <w:widowControl/>
        <w:tabs>
          <w:tab w:val="left" w:pos="-984"/>
          <w:tab w:val="left" w:pos="-720"/>
          <w:tab w:val="left" w:pos="720"/>
        </w:tabs>
        <w:jc w:val="both"/>
        <w:rPr>
          <w:rFonts w:ascii="Arial" w:hAnsi="Arial" w:cs="Arial"/>
        </w:rPr>
      </w:pPr>
    </w:p>
    <w:p w:rsidR="006109EF" w:rsidP="006109EF" w14:paraId="37290168" w14:textId="4E225F6D">
      <w:pPr>
        <w:widowControl/>
        <w:tabs>
          <w:tab w:val="left" w:pos="-984"/>
          <w:tab w:val="left" w:pos="-720"/>
          <w:tab w:val="left" w:pos="720"/>
        </w:tabs>
        <w:jc w:val="both"/>
        <w:rPr>
          <w:rFonts w:ascii="Arial" w:hAnsi="Arial" w:cs="Arial"/>
        </w:rPr>
      </w:pPr>
      <w:r>
        <w:rPr>
          <w:rFonts w:ascii="Arial" w:hAnsi="Arial" w:cs="Arial"/>
        </w:rPr>
        <w:t>SORN COMMERCE/PAT-TM-7, Patent Application Files, published on March 29,2013 (78 FR 19243) provides information about the USPTO’s handling of personally identifiable information that is collected regarding patent applications.</w:t>
      </w:r>
      <w:r>
        <w:rPr>
          <w:rStyle w:val="FootnoteReference"/>
          <w:rFonts w:ascii="Arial" w:hAnsi="Arial" w:cs="Arial"/>
        </w:rPr>
        <w:footnoteReference w:id="5"/>
      </w:r>
      <w:r>
        <w:rPr>
          <w:rFonts w:ascii="Arial" w:hAnsi="Arial" w:cs="Arial"/>
        </w:rPr>
        <w:t xml:space="preserve"> </w:t>
      </w:r>
      <w:r w:rsidR="00AD4FC6">
        <w:rPr>
          <w:rFonts w:ascii="Arial" w:hAnsi="Arial" w:cs="Arial"/>
        </w:rPr>
        <w:t>D</w:t>
      </w:r>
      <w:r w:rsidRPr="00834AC8" w:rsidR="00834AC8">
        <w:rPr>
          <w:rFonts w:ascii="Arial" w:hAnsi="Arial" w:cs="Arial"/>
        </w:rPr>
        <w:t>eposit of biological material</w:t>
      </w:r>
      <w:r w:rsidR="00AD4FC6">
        <w:rPr>
          <w:rFonts w:ascii="Arial" w:hAnsi="Arial" w:cs="Arial"/>
        </w:rPr>
        <w:t>s</w:t>
      </w:r>
      <w:r w:rsidRPr="00834AC8" w:rsidR="00834AC8">
        <w:rPr>
          <w:rFonts w:ascii="Arial" w:hAnsi="Arial" w:cs="Arial"/>
        </w:rPr>
        <w:t xml:space="preserve"> information </w:t>
      </w:r>
      <w:r w:rsidR="001524EA">
        <w:rPr>
          <w:rFonts w:ascii="Arial" w:hAnsi="Arial" w:cs="Arial"/>
        </w:rPr>
        <w:t>(</w:t>
      </w:r>
      <w:r w:rsidR="00400389">
        <w:rPr>
          <w:rFonts w:ascii="Arial" w:hAnsi="Arial" w:cs="Arial"/>
        </w:rPr>
        <w:t>I</w:t>
      </w:r>
      <w:r w:rsidR="001524EA">
        <w:rPr>
          <w:rFonts w:ascii="Arial" w:hAnsi="Arial" w:cs="Arial"/>
        </w:rPr>
        <w:t xml:space="preserve">tem 1) </w:t>
      </w:r>
      <w:r w:rsidRPr="00834AC8" w:rsidR="00834AC8">
        <w:rPr>
          <w:rFonts w:ascii="Arial" w:hAnsi="Arial" w:cs="Arial"/>
        </w:rPr>
        <w:t xml:space="preserve">collected by this information collection </w:t>
      </w:r>
      <w:r w:rsidR="00AD4FC6">
        <w:rPr>
          <w:rFonts w:ascii="Arial" w:hAnsi="Arial" w:cs="Arial"/>
        </w:rPr>
        <w:t xml:space="preserve">may be </w:t>
      </w:r>
      <w:r w:rsidR="001524EA">
        <w:rPr>
          <w:rFonts w:ascii="Arial" w:hAnsi="Arial" w:cs="Arial"/>
        </w:rPr>
        <w:t>filed in patent applications.</w:t>
      </w:r>
    </w:p>
    <w:p w:rsidR="006109EF" w:rsidP="006109EF" w14:paraId="3B27BA1D" w14:textId="77777777">
      <w:pPr>
        <w:widowControl/>
        <w:tabs>
          <w:tab w:val="left" w:pos="-984"/>
          <w:tab w:val="left" w:pos="-720"/>
          <w:tab w:val="left" w:pos="720"/>
        </w:tabs>
        <w:jc w:val="both"/>
        <w:rPr>
          <w:rFonts w:ascii="Arial" w:hAnsi="Arial" w:cs="Arial"/>
        </w:rPr>
      </w:pPr>
    </w:p>
    <w:p w:rsidR="006109EF" w:rsidP="006109EF" w14:paraId="7E1BC160" w14:textId="498F4599">
      <w:pPr>
        <w:pStyle w:val="NoSpacing"/>
        <w:jc w:val="both"/>
        <w:rPr>
          <w:rFonts w:ascii="Arial" w:hAnsi="Arial" w:cs="Arial"/>
          <w:sz w:val="24"/>
        </w:rPr>
      </w:pPr>
      <w:r w:rsidRPr="000F4A0D">
        <w:rPr>
          <w:rFonts w:ascii="Arial" w:hAnsi="Arial" w:cs="Arial"/>
          <w:sz w:val="24"/>
          <w:szCs w:val="24"/>
        </w:rPr>
        <w:t xml:space="preserve">Information </w:t>
      </w:r>
      <w:r>
        <w:rPr>
          <w:rFonts w:ascii="Arial" w:hAnsi="Arial" w:cs="Arial"/>
          <w:sz w:val="24"/>
        </w:rPr>
        <w:t xml:space="preserve">in this system of records is protected from disclosure to third parties in accordance with the Privacy Act. </w:t>
      </w:r>
      <w:r w:rsidRPr="00F151D6">
        <w:rPr>
          <w:rFonts w:ascii="Arial" w:hAnsi="Arial" w:cs="Arial"/>
          <w:sz w:val="24"/>
          <w:szCs w:val="24"/>
        </w:rPr>
        <w:t xml:space="preserve">However, routine uses of this information may include </w:t>
      </w:r>
      <w:r>
        <w:rPr>
          <w:rFonts w:ascii="Arial" w:hAnsi="Arial" w:cs="Arial"/>
          <w:sz w:val="24"/>
          <w:szCs w:val="24"/>
        </w:rPr>
        <w:t>publication under 35 U.S.C. 1</w:t>
      </w:r>
      <w:r w:rsidR="001524EA">
        <w:rPr>
          <w:rFonts w:ascii="Arial" w:hAnsi="Arial" w:cs="Arial"/>
          <w:sz w:val="24"/>
          <w:szCs w:val="24"/>
        </w:rPr>
        <w:t>2</w:t>
      </w:r>
      <w:r>
        <w:rPr>
          <w:rFonts w:ascii="Arial" w:hAnsi="Arial" w:cs="Arial"/>
          <w:sz w:val="24"/>
          <w:szCs w:val="24"/>
        </w:rPr>
        <w:t>2(</w:t>
      </w:r>
      <w:r w:rsidR="0060758E">
        <w:rPr>
          <w:rFonts w:ascii="Arial" w:hAnsi="Arial" w:cs="Arial"/>
          <w:sz w:val="24"/>
          <w:szCs w:val="24"/>
        </w:rPr>
        <w:t>b</w:t>
      </w:r>
      <w:r>
        <w:rPr>
          <w:rFonts w:ascii="Arial" w:hAnsi="Arial" w:cs="Arial"/>
          <w:sz w:val="24"/>
          <w:szCs w:val="24"/>
        </w:rPr>
        <w:t xml:space="preserve">) as noted above, and </w:t>
      </w:r>
      <w:r>
        <w:rPr>
          <w:rFonts w:ascii="Arial" w:hAnsi="Arial" w:cs="Arial"/>
          <w:sz w:val="24"/>
        </w:rPr>
        <w:t xml:space="preserve">disclosure to the following: to law enforcement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 to non-federal personnel under contract to the agency; to a court for adjudication and litigation; to the Department of Justice for Freedom of Information Act (FOIA) assistance; </w:t>
      </w:r>
      <w:r w:rsidRPr="00F151D6">
        <w:rPr>
          <w:rFonts w:ascii="Arial" w:hAnsi="Arial" w:cs="Arial"/>
          <w:sz w:val="24"/>
          <w:szCs w:val="24"/>
        </w:rPr>
        <w:t xml:space="preserve">to </w:t>
      </w:r>
      <w:r>
        <w:rPr>
          <w:rFonts w:ascii="Arial" w:hAnsi="Arial" w:cs="Arial"/>
          <w:sz w:val="24"/>
          <w:szCs w:val="24"/>
        </w:rPr>
        <w:t>a M</w:t>
      </w:r>
      <w:r w:rsidRPr="00F151D6">
        <w:rPr>
          <w:rFonts w:ascii="Arial" w:hAnsi="Arial" w:cs="Arial"/>
          <w:sz w:val="24"/>
          <w:szCs w:val="24"/>
        </w:rPr>
        <w:t xml:space="preserve">ember of </w:t>
      </w:r>
      <w:r>
        <w:rPr>
          <w:rFonts w:ascii="Arial" w:hAnsi="Arial" w:cs="Arial"/>
          <w:sz w:val="24"/>
          <w:szCs w:val="24"/>
        </w:rPr>
        <w:t>C</w:t>
      </w:r>
      <w:r w:rsidRPr="00F151D6">
        <w:rPr>
          <w:rFonts w:ascii="Arial" w:hAnsi="Arial" w:cs="Arial"/>
          <w:sz w:val="24"/>
          <w:szCs w:val="24"/>
        </w:rPr>
        <w:t>ongress working on behalf of an individual</w:t>
      </w:r>
      <w:r>
        <w:rPr>
          <w:rFonts w:ascii="Arial" w:hAnsi="Arial" w:cs="Arial"/>
          <w:sz w:val="24"/>
          <w:szCs w:val="24"/>
        </w:rPr>
        <w:t xml:space="preserve"> </w:t>
      </w:r>
      <w:r w:rsidRPr="00AA1324">
        <w:rPr>
          <w:rFonts w:ascii="Arial" w:hAnsi="Arial" w:cs="Arial"/>
          <w:sz w:val="24"/>
          <w:szCs w:val="24"/>
        </w:rPr>
        <w:t>to whom the record pertains, when the individual has requested the Member’s assistance with respect to the subject matter of the record</w:t>
      </w:r>
      <w:r>
        <w:rPr>
          <w:rFonts w:ascii="Arial" w:hAnsi="Arial" w:cs="Arial"/>
          <w:sz w:val="24"/>
        </w:rPr>
        <w:t xml:space="preserve">; to the Office of Personnel Management (OPM) for personnel research purposes; to National Archives and Records </w:t>
      </w:r>
      <w:r>
        <w:rPr>
          <w:rFonts w:ascii="Arial" w:hAnsi="Arial" w:cs="Arial"/>
          <w:sz w:val="24"/>
        </w:rPr>
        <w:t xml:space="preserve">Administration for inspection of records; and to the Office of Management and Budget (OMB) for legislative coordination and clearance. Failure to provide any part of the requested information may result in an inability to process requests related to patent applications or issued patents. </w:t>
      </w:r>
    </w:p>
    <w:p w:rsidR="006109EF" w:rsidP="006109EF" w14:paraId="09D66DB9" w14:textId="77777777">
      <w:pPr>
        <w:pStyle w:val="NoSpacing"/>
        <w:jc w:val="both"/>
        <w:rPr>
          <w:rFonts w:ascii="Arial" w:hAnsi="Arial" w:cs="Arial"/>
          <w:sz w:val="24"/>
        </w:rPr>
      </w:pPr>
    </w:p>
    <w:p w:rsidR="00F07938" w:rsidRPr="006109EF" w:rsidP="006109EF" w14:paraId="550B8DB2" w14:textId="3D5E66ED">
      <w:pPr>
        <w:pStyle w:val="NoSpacing"/>
        <w:jc w:val="both"/>
        <w:rPr>
          <w:rFonts w:ascii="Arial" w:hAnsi="Arial" w:cs="Arial"/>
          <w:sz w:val="24"/>
        </w:rPr>
      </w:pPr>
      <w:r>
        <w:rPr>
          <w:rFonts w:ascii="Arial" w:hAnsi="Arial" w:cs="Arial"/>
          <w:sz w:val="24"/>
        </w:rPr>
        <w:t>Categories of individuals covered by the system include applicants for patent, including inventors, legal representatives for deceased or incapacitated inventors, and other persons authorized by law to make applications for patent.</w:t>
      </w:r>
    </w:p>
    <w:p w:rsidR="00636EDA" w:rsidRPr="00476F66" w:rsidP="00636EDA" w14:paraId="79D4A0E0" w14:textId="32223A8C">
      <w:pPr>
        <w:widowControl/>
        <w:tabs>
          <w:tab w:val="left" w:pos="-984"/>
          <w:tab w:val="left" w:pos="-720"/>
          <w:tab w:val="left" w:pos="720"/>
        </w:tabs>
        <w:jc w:val="both"/>
        <w:rPr>
          <w:rFonts w:ascii="Arial" w:hAnsi="Arial" w:cs="Arial"/>
          <w:color w:val="0000FF"/>
        </w:rPr>
      </w:pPr>
    </w:p>
    <w:p w:rsidR="00567B74" w:rsidRPr="00436B01" w:rsidP="00A35D62" w14:paraId="1435F90C" w14:textId="2962C44B">
      <w:pPr>
        <w:pStyle w:val="ListParagraph"/>
        <w:widowControl/>
        <w:numPr>
          <w:ilvl w:val="0"/>
          <w:numId w:val="13"/>
        </w:numPr>
        <w:tabs>
          <w:tab w:val="left" w:pos="-984"/>
          <w:tab w:val="left" w:pos="-720"/>
        </w:tabs>
        <w:ind w:left="360"/>
        <w:jc w:val="both"/>
        <w:rPr>
          <w:rFonts w:ascii="Arial" w:hAnsi="Arial" w:cs="Arial"/>
          <w:b/>
          <w:sz w:val="32"/>
        </w:rPr>
      </w:pPr>
      <w:r w:rsidRPr="00004988">
        <w:rPr>
          <w:rFonts w:ascii="Arial" w:hAnsi="Arial" w:cs="Arial"/>
          <w:b/>
          <w:szCs w:val="20"/>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567B74" w:rsidRPr="0056760B" w:rsidP="00636EDA" w14:paraId="51AE2264" w14:textId="77777777">
      <w:pPr>
        <w:widowControl/>
        <w:tabs>
          <w:tab w:val="left" w:pos="-984"/>
          <w:tab w:val="left" w:pos="-720"/>
          <w:tab w:val="left" w:pos="720"/>
        </w:tabs>
        <w:jc w:val="both"/>
        <w:rPr>
          <w:rFonts w:ascii="Arial" w:hAnsi="Arial" w:cs="Arial"/>
        </w:rPr>
      </w:pPr>
    </w:p>
    <w:p w:rsidR="00636EDA" w:rsidP="00636EDA" w14:paraId="79D4A0E3" w14:textId="009C5114">
      <w:pPr>
        <w:widowControl/>
        <w:tabs>
          <w:tab w:val="left" w:pos="-984"/>
          <w:tab w:val="left" w:pos="-720"/>
          <w:tab w:val="left" w:pos="720"/>
        </w:tabs>
        <w:jc w:val="both"/>
        <w:rPr>
          <w:rFonts w:ascii="Arial" w:hAnsi="Arial" w:cs="Arial"/>
        </w:rPr>
      </w:pPr>
      <w:r w:rsidRPr="00B62DF4">
        <w:rPr>
          <w:rFonts w:ascii="Arial" w:hAnsi="Arial" w:cs="Arial"/>
        </w:rPr>
        <w:t>None of the required information in this collection is considered to be sensitive.</w:t>
      </w:r>
    </w:p>
    <w:p w:rsidR="00636EDA" w:rsidRPr="00476F66" w:rsidP="00636EDA" w14:paraId="79D4A0E4" w14:textId="77777777">
      <w:pPr>
        <w:widowControl/>
        <w:tabs>
          <w:tab w:val="left" w:pos="-984"/>
          <w:tab w:val="left" w:pos="-720"/>
          <w:tab w:val="left" w:pos="720"/>
        </w:tabs>
        <w:jc w:val="both"/>
        <w:rPr>
          <w:rFonts w:ascii="Arial" w:hAnsi="Arial" w:cs="Arial"/>
          <w:color w:val="0000FF"/>
        </w:rPr>
      </w:pPr>
    </w:p>
    <w:p w:rsidR="00567B74" w:rsidRPr="002E7B48" w:rsidP="00570B7E" w14:paraId="40DA344C" w14:textId="53F42733">
      <w:pPr>
        <w:pStyle w:val="ListParagraph"/>
        <w:keepNext/>
        <w:keepLines/>
        <w:widowControl/>
        <w:numPr>
          <w:ilvl w:val="0"/>
          <w:numId w:val="13"/>
        </w:numPr>
        <w:tabs>
          <w:tab w:val="left" w:pos="-984"/>
          <w:tab w:val="left" w:pos="-720"/>
          <w:tab w:val="left" w:pos="720"/>
        </w:tabs>
        <w:ind w:left="360"/>
        <w:jc w:val="both"/>
        <w:rPr>
          <w:rFonts w:ascii="Arial" w:hAnsi="Arial" w:cs="Arial"/>
          <w:b/>
        </w:rPr>
      </w:pPr>
      <w:r w:rsidRPr="002E7B48">
        <w:rPr>
          <w:rFonts w:ascii="Arial" w:hAnsi="Arial" w:cs="Arial"/>
          <w:b/>
        </w:rPr>
        <w:t xml:space="preserve">Provide estimates of the hour burden of the collection of information. The statement should: </w:t>
      </w:r>
    </w:p>
    <w:p w:rsidR="00567B74" w:rsidRPr="002E7B48" w:rsidP="00570B7E" w14:paraId="0E15219A" w14:textId="77777777">
      <w:pPr>
        <w:widowControl/>
        <w:numPr>
          <w:ilvl w:val="0"/>
          <w:numId w:val="12"/>
        </w:numPr>
        <w:tabs>
          <w:tab w:val="clear" w:pos="1080"/>
        </w:tabs>
        <w:autoSpaceDE/>
        <w:autoSpaceDN/>
        <w:adjustRightInd/>
        <w:ind w:left="720"/>
        <w:jc w:val="both"/>
        <w:rPr>
          <w:rFonts w:ascii="Arial" w:hAnsi="Arial" w:cs="Arial"/>
          <w:b/>
        </w:rPr>
      </w:pPr>
      <w:r w:rsidRPr="002E7B48">
        <w:rPr>
          <w:rFonts w:ascii="Arial" w:hAnsi="Arial" w:cs="Arial"/>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567B74" w:rsidRPr="002E7B48" w:rsidP="00570B7E" w14:paraId="5BB6CA30" w14:textId="77777777">
      <w:pPr>
        <w:widowControl/>
        <w:numPr>
          <w:ilvl w:val="0"/>
          <w:numId w:val="12"/>
        </w:numPr>
        <w:tabs>
          <w:tab w:val="clear" w:pos="1080"/>
        </w:tabs>
        <w:autoSpaceDE/>
        <w:autoSpaceDN/>
        <w:adjustRightInd/>
        <w:ind w:left="720"/>
        <w:jc w:val="both"/>
        <w:rPr>
          <w:rFonts w:ascii="Arial" w:hAnsi="Arial" w:cs="Arial"/>
          <w:b/>
        </w:rPr>
      </w:pPr>
      <w:r w:rsidRPr="002E7B48">
        <w:rPr>
          <w:rFonts w:ascii="Arial" w:hAnsi="Arial" w:cs="Arial"/>
          <w:b/>
        </w:rPr>
        <w:t xml:space="preserve">If this request for approval covers more than one form, provide separate hour burden estimates for each form and aggregate the hour burdens. </w:t>
      </w:r>
    </w:p>
    <w:p w:rsidR="00567B74" w:rsidRPr="002E7B48" w:rsidP="00570B7E" w14:paraId="0E778AF4" w14:textId="77777777">
      <w:pPr>
        <w:widowControl/>
        <w:numPr>
          <w:ilvl w:val="0"/>
          <w:numId w:val="12"/>
        </w:numPr>
        <w:tabs>
          <w:tab w:val="clear" w:pos="1080"/>
        </w:tabs>
        <w:autoSpaceDE/>
        <w:autoSpaceDN/>
        <w:adjustRightInd/>
        <w:ind w:left="720"/>
        <w:jc w:val="both"/>
        <w:rPr>
          <w:rFonts w:ascii="Arial" w:hAnsi="Arial" w:cs="Arial"/>
          <w:b/>
        </w:rPr>
      </w:pPr>
      <w:r w:rsidRPr="002E7B48">
        <w:rPr>
          <w:rFonts w:ascii="Arial" w:hAnsi="Arial" w:cs="Arial"/>
          <w:b/>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567B74" w:rsidRPr="002E7B48" w:rsidP="00570B7E" w14:paraId="1B1A5B41" w14:textId="77777777">
      <w:pPr>
        <w:widowControl/>
        <w:numPr>
          <w:ilvl w:val="0"/>
          <w:numId w:val="12"/>
        </w:numPr>
        <w:tabs>
          <w:tab w:val="clear" w:pos="1080"/>
        </w:tabs>
        <w:autoSpaceDE/>
        <w:autoSpaceDN/>
        <w:adjustRightInd/>
        <w:ind w:left="720"/>
        <w:jc w:val="both"/>
        <w:rPr>
          <w:rFonts w:ascii="Arial" w:hAnsi="Arial" w:cs="Arial"/>
          <w:b/>
        </w:rPr>
      </w:pPr>
      <w:r w:rsidRPr="002E7B48">
        <w:rPr>
          <w:rFonts w:ascii="Arial" w:hAnsi="Arial" w:cs="Arial"/>
          <w:b/>
        </w:rPr>
        <w:t xml:space="preserve">Provide an estimate for the total annual cost burden to respondents or record keepers resulting from the collection of information. </w:t>
      </w:r>
    </w:p>
    <w:p w:rsidR="00567B74" w:rsidRPr="00B62DF4" w:rsidP="00636EDA" w14:paraId="16EFC019" w14:textId="77777777">
      <w:pPr>
        <w:keepNext/>
        <w:keepLines/>
        <w:widowControl/>
        <w:tabs>
          <w:tab w:val="left" w:pos="-984"/>
          <w:tab w:val="left" w:pos="-720"/>
          <w:tab w:val="left" w:pos="720"/>
        </w:tabs>
        <w:jc w:val="both"/>
        <w:rPr>
          <w:rFonts w:ascii="Arial" w:hAnsi="Arial" w:cs="Arial"/>
        </w:rPr>
      </w:pPr>
    </w:p>
    <w:p w:rsidR="00636EDA" w:rsidRPr="00B62DF4" w:rsidP="00636EDA" w14:paraId="79D4A0E7" w14:textId="77777777">
      <w:pPr>
        <w:keepLines/>
        <w:widowControl/>
        <w:tabs>
          <w:tab w:val="left" w:pos="-984"/>
          <w:tab w:val="left" w:pos="-720"/>
          <w:tab w:val="left" w:pos="720"/>
        </w:tabs>
        <w:jc w:val="both"/>
        <w:rPr>
          <w:rFonts w:ascii="Arial" w:hAnsi="Arial" w:cs="Arial"/>
        </w:rPr>
      </w:pPr>
      <w:r w:rsidRPr="00B62DF4">
        <w:rPr>
          <w:rFonts w:ascii="Arial" w:hAnsi="Arial" w:cs="Arial"/>
        </w:rPr>
        <w:t>Table 3 calculates the burden hours and costs of this information collection to the public, based on the following factors:</w:t>
      </w:r>
    </w:p>
    <w:p w:rsidR="00636EDA" w:rsidRPr="00B62DF4" w:rsidP="00636EDA" w14:paraId="79D4A0E8" w14:textId="77777777">
      <w:pPr>
        <w:widowControl/>
        <w:tabs>
          <w:tab w:val="left" w:pos="-984"/>
          <w:tab w:val="left" w:pos="-720"/>
          <w:tab w:val="left" w:pos="720"/>
        </w:tabs>
        <w:jc w:val="both"/>
        <w:rPr>
          <w:rFonts w:ascii="Arial" w:hAnsi="Arial" w:cs="Arial"/>
        </w:rPr>
      </w:pPr>
    </w:p>
    <w:p w:rsidR="00636EDA" w:rsidRPr="00B62DF4" w14:paraId="79D4A0E9" w14:textId="77777777">
      <w:pPr>
        <w:pStyle w:val="Style"/>
        <w:widowControl/>
        <w:numPr>
          <w:ilvl w:val="0"/>
          <w:numId w:val="1"/>
        </w:numPr>
        <w:tabs>
          <w:tab w:val="left" w:pos="-984"/>
          <w:tab w:val="left" w:pos="-720"/>
        </w:tabs>
        <w:jc w:val="both"/>
        <w:rPr>
          <w:rFonts w:ascii="Arial" w:hAnsi="Arial" w:cs="Arial"/>
        </w:rPr>
      </w:pPr>
      <w:r w:rsidRPr="00B62DF4">
        <w:rPr>
          <w:rFonts w:ascii="Arial" w:hAnsi="Arial" w:cs="Arial"/>
          <w:b/>
          <w:bCs/>
        </w:rPr>
        <w:t>Respondent Calculation Factors</w:t>
      </w:r>
    </w:p>
    <w:p w:rsidR="00636EDA" w:rsidP="00D528D4" w14:paraId="79D4A0ED" w14:textId="3FA7B52C">
      <w:pPr>
        <w:pStyle w:val="NoSpacing"/>
        <w:ind w:left="720"/>
        <w:jc w:val="both"/>
        <w:rPr>
          <w:rFonts w:ascii="Arial" w:hAnsi="Arial" w:cs="Arial"/>
          <w:sz w:val="24"/>
        </w:rPr>
      </w:pPr>
      <w:r>
        <w:rPr>
          <w:rFonts w:ascii="Arial" w:hAnsi="Arial" w:cs="Arial"/>
          <w:sz w:val="24"/>
        </w:rPr>
        <w:t xml:space="preserve">The USPTO estimates that it will receive approximately </w:t>
      </w:r>
      <w:r w:rsidR="00D528D4">
        <w:rPr>
          <w:rFonts w:ascii="Arial" w:hAnsi="Arial" w:cs="Arial"/>
          <w:bCs/>
          <w:sz w:val="24"/>
        </w:rPr>
        <w:t>1,501</w:t>
      </w:r>
      <w:r>
        <w:rPr>
          <w:rFonts w:ascii="Arial" w:hAnsi="Arial" w:cs="Arial"/>
          <w:bCs/>
          <w:sz w:val="24"/>
        </w:rPr>
        <w:t xml:space="preserve"> </w:t>
      </w:r>
      <w:r>
        <w:rPr>
          <w:rFonts w:ascii="Arial" w:hAnsi="Arial" w:cs="Arial"/>
          <w:sz w:val="24"/>
        </w:rPr>
        <w:t xml:space="preserve">responses per year from </w:t>
      </w:r>
      <w:r w:rsidR="00D528D4">
        <w:rPr>
          <w:rFonts w:ascii="Arial" w:hAnsi="Arial" w:cs="Arial"/>
          <w:sz w:val="24"/>
        </w:rPr>
        <w:t>1,501</w:t>
      </w:r>
      <w:r>
        <w:rPr>
          <w:rFonts w:ascii="Arial" w:hAnsi="Arial" w:cs="Arial"/>
          <w:sz w:val="24"/>
        </w:rPr>
        <w:t xml:space="preserve"> respondents for this information collection, with approximately </w:t>
      </w:r>
      <w:r w:rsidR="00203A27">
        <w:rPr>
          <w:rFonts w:ascii="Arial" w:hAnsi="Arial" w:cs="Arial"/>
          <w:sz w:val="24"/>
        </w:rPr>
        <w:t>3</w:t>
      </w:r>
      <w:r>
        <w:rPr>
          <w:rFonts w:ascii="Arial" w:hAnsi="Arial" w:cs="Arial"/>
          <w:sz w:val="24"/>
        </w:rPr>
        <w:t xml:space="preserve">% of these responses submitted by small entities. </w:t>
      </w:r>
      <w:r w:rsidR="003B4CCE">
        <w:rPr>
          <w:rFonts w:ascii="Arial" w:hAnsi="Arial" w:cs="Arial"/>
          <w:sz w:val="24"/>
        </w:rPr>
        <w:t>For the purposes of this information collection, the USPTO estimates that one depository might seek recognition annually</w:t>
      </w:r>
      <w:r w:rsidR="00D528D4">
        <w:rPr>
          <w:rFonts w:ascii="Arial" w:hAnsi="Arial" w:cs="Arial"/>
          <w:sz w:val="24"/>
        </w:rPr>
        <w:t>.</w:t>
      </w:r>
    </w:p>
    <w:p w:rsidR="00D528D4" w:rsidRPr="00D528D4" w:rsidP="00D528D4" w14:paraId="08EEEA05" w14:textId="77777777">
      <w:pPr>
        <w:pStyle w:val="NoSpacing"/>
        <w:ind w:left="720"/>
        <w:jc w:val="both"/>
        <w:rPr>
          <w:rFonts w:ascii="Arial" w:hAnsi="Arial" w:cs="Arial"/>
          <w:sz w:val="24"/>
        </w:rPr>
      </w:pPr>
    </w:p>
    <w:p w:rsidR="00636EDA" w:rsidRPr="001C077C" w14:paraId="79D4A0EE" w14:textId="77777777">
      <w:pPr>
        <w:pStyle w:val="Style"/>
        <w:widowControl/>
        <w:numPr>
          <w:ilvl w:val="0"/>
          <w:numId w:val="1"/>
        </w:numPr>
        <w:tabs>
          <w:tab w:val="left" w:pos="-984"/>
          <w:tab w:val="left" w:pos="-720"/>
        </w:tabs>
        <w:jc w:val="both"/>
        <w:rPr>
          <w:rFonts w:ascii="Arial" w:hAnsi="Arial" w:cs="Arial"/>
          <w:b/>
          <w:bCs/>
        </w:rPr>
      </w:pPr>
      <w:r w:rsidRPr="001C077C">
        <w:rPr>
          <w:rFonts w:ascii="Arial" w:hAnsi="Arial" w:cs="Arial"/>
          <w:b/>
          <w:bCs/>
        </w:rPr>
        <w:t>Burden Hour Calculation Factors</w:t>
      </w:r>
    </w:p>
    <w:p w:rsidR="00240A35" w:rsidRPr="00240A35" w:rsidP="007C21ED" w14:paraId="176ABB08" w14:textId="7ADB551A">
      <w:pPr>
        <w:pStyle w:val="ListParagraph"/>
        <w:jc w:val="both"/>
        <w:rPr>
          <w:rFonts w:ascii="Arial" w:hAnsi="Arial"/>
        </w:rPr>
      </w:pPr>
      <w:r w:rsidRPr="00240A35">
        <w:rPr>
          <w:rFonts w:ascii="Arial" w:hAnsi="Arial" w:cs="Arial"/>
        </w:rPr>
        <w:t xml:space="preserve">The USPTO estimates that it takes the public approximately </w:t>
      </w:r>
      <w:r w:rsidR="00321CDF">
        <w:rPr>
          <w:rFonts w:ascii="Arial" w:hAnsi="Arial" w:cs="Arial"/>
        </w:rPr>
        <w:t>1 hour</w:t>
      </w:r>
      <w:r w:rsidRPr="00240A35">
        <w:rPr>
          <w:rFonts w:ascii="Arial" w:hAnsi="Arial" w:cs="Arial"/>
        </w:rPr>
        <w:t xml:space="preserve"> to </w:t>
      </w:r>
      <w:r w:rsidR="00321CDF">
        <w:rPr>
          <w:rFonts w:ascii="Arial" w:hAnsi="Arial" w:cs="Arial"/>
        </w:rPr>
        <w:t>5</w:t>
      </w:r>
      <w:r w:rsidRPr="00240A35">
        <w:rPr>
          <w:rFonts w:ascii="Arial" w:hAnsi="Arial" w:cs="Arial"/>
        </w:rPr>
        <w:t xml:space="preserve"> hours, depending on the complexity of the situation and item, to gather the necessary information, prepare the appropriate document(s), and submit the </w:t>
      </w:r>
      <w:r w:rsidR="00846E8F">
        <w:rPr>
          <w:rFonts w:ascii="Arial" w:hAnsi="Arial" w:cs="Arial"/>
        </w:rPr>
        <w:t>item</w:t>
      </w:r>
      <w:r w:rsidRPr="00240A35" w:rsidR="00846E8F">
        <w:rPr>
          <w:rFonts w:ascii="Arial" w:hAnsi="Arial" w:cs="Arial"/>
        </w:rPr>
        <w:t xml:space="preserve"> </w:t>
      </w:r>
      <w:r w:rsidRPr="00240A35">
        <w:rPr>
          <w:rFonts w:ascii="Arial" w:hAnsi="Arial" w:cs="Arial"/>
        </w:rPr>
        <w:t>to the USPTO.</w:t>
      </w:r>
      <w:r w:rsidR="00321CDF">
        <w:rPr>
          <w:rFonts w:ascii="Arial" w:hAnsi="Arial" w:cs="Arial"/>
        </w:rPr>
        <w:t xml:space="preserve"> </w:t>
      </w:r>
      <w:r w:rsidRPr="00240A35">
        <w:rPr>
          <w:rFonts w:ascii="Arial" w:hAnsi="Arial"/>
        </w:rPr>
        <w:t xml:space="preserve">Using these burden factors, </w:t>
      </w:r>
      <w:r w:rsidR="00FC0713">
        <w:rPr>
          <w:rFonts w:ascii="Arial" w:hAnsi="Arial"/>
        </w:rPr>
        <w:t xml:space="preserve">the </w:t>
      </w:r>
      <w:r w:rsidRPr="00240A35">
        <w:rPr>
          <w:rFonts w:ascii="Arial" w:hAnsi="Arial"/>
        </w:rPr>
        <w:t xml:space="preserve">USPTO estimates that the total respondent hourly burden for this information collection is </w:t>
      </w:r>
      <w:r w:rsidR="00D528D4">
        <w:rPr>
          <w:rFonts w:ascii="Arial" w:hAnsi="Arial"/>
        </w:rPr>
        <w:t>1,505</w:t>
      </w:r>
      <w:r w:rsidRPr="00240A35">
        <w:rPr>
          <w:rFonts w:ascii="Arial" w:hAnsi="Arial"/>
        </w:rPr>
        <w:t xml:space="preserve"> hours per year.</w:t>
      </w:r>
    </w:p>
    <w:p w:rsidR="00636EDA" w:rsidRPr="001C077C" w:rsidP="00636EDA" w14:paraId="79D4A0F0" w14:textId="77777777">
      <w:pPr>
        <w:widowControl/>
        <w:tabs>
          <w:tab w:val="left" w:pos="-984"/>
          <w:tab w:val="left" w:pos="-720"/>
          <w:tab w:val="left" w:pos="720"/>
        </w:tabs>
        <w:jc w:val="both"/>
        <w:rPr>
          <w:rFonts w:ascii="Arial" w:hAnsi="Arial" w:cs="Arial"/>
        </w:rPr>
      </w:pPr>
    </w:p>
    <w:p w:rsidR="00636EDA" w:rsidRPr="001C077C" w14:paraId="79D4A0F1" w14:textId="77777777">
      <w:pPr>
        <w:pStyle w:val="Style"/>
        <w:widowControl/>
        <w:numPr>
          <w:ilvl w:val="0"/>
          <w:numId w:val="1"/>
        </w:numPr>
        <w:tabs>
          <w:tab w:val="left" w:pos="-984"/>
          <w:tab w:val="left" w:pos="-720"/>
        </w:tabs>
        <w:jc w:val="both"/>
        <w:rPr>
          <w:rFonts w:ascii="Arial" w:hAnsi="Arial" w:cs="Arial"/>
          <w:b/>
          <w:bCs/>
        </w:rPr>
      </w:pPr>
      <w:r w:rsidRPr="001C077C">
        <w:rPr>
          <w:rFonts w:ascii="Arial" w:hAnsi="Arial" w:cs="Arial"/>
          <w:b/>
          <w:bCs/>
        </w:rPr>
        <w:t>Cost Burden Calculation Factors</w:t>
      </w:r>
    </w:p>
    <w:p w:rsidR="00636EDA" w:rsidRPr="00627CC7" w:rsidP="00636EDA" w14:paraId="79D4A0F2" w14:textId="77777777">
      <w:pPr>
        <w:pStyle w:val="Style"/>
        <w:widowControl/>
        <w:tabs>
          <w:tab w:val="left" w:pos="-984"/>
          <w:tab w:val="left" w:pos="-720"/>
          <w:tab w:val="left" w:pos="720"/>
        </w:tabs>
        <w:jc w:val="both"/>
        <w:rPr>
          <w:rFonts w:ascii="Arial" w:hAnsi="Arial" w:cs="Arial"/>
          <w:color w:val="0000FF"/>
        </w:rPr>
        <w:sectPr>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1440" w:footer="1440" w:gutter="0"/>
          <w:cols w:space="720"/>
          <w:noEndnote/>
        </w:sectPr>
      </w:pPr>
    </w:p>
    <w:p w:rsidR="00636EDA" w:rsidRPr="00881472" w:rsidP="00CE051B" w14:paraId="79D4A0F5" w14:textId="13383DDB">
      <w:pPr>
        <w:widowControl/>
        <w:tabs>
          <w:tab w:val="left" w:pos="-1080"/>
          <w:tab w:val="left" w:pos="-720"/>
          <w:tab w:val="left" w:pos="150"/>
          <w:tab w:val="left" w:pos="720"/>
          <w:tab w:val="left" w:pos="1440"/>
          <w:tab w:val="left" w:pos="1800"/>
          <w:tab w:val="left" w:pos="3930"/>
          <w:tab w:val="left" w:pos="4290"/>
          <w:tab w:val="left" w:pos="5760"/>
        </w:tabs>
        <w:ind w:left="720"/>
        <w:jc w:val="both"/>
        <w:rPr>
          <w:rFonts w:ascii="Arial" w:hAnsi="Arial" w:cs="Arial"/>
          <w:color w:val="FF0000"/>
        </w:rPr>
      </w:pPr>
      <w:bookmarkStart w:id="0" w:name="_Hlk128405347"/>
      <w:r w:rsidRPr="00881472">
        <w:rPr>
          <w:rFonts w:ascii="Arial" w:hAnsi="Arial" w:cs="Arial"/>
        </w:rPr>
        <w:t xml:space="preserve">The USPTO </w:t>
      </w:r>
      <w:bookmarkEnd w:id="0"/>
      <w:r w:rsidR="00CE051B">
        <w:rPr>
          <w:rFonts w:ascii="Arial" w:hAnsi="Arial" w:cs="Arial"/>
        </w:rPr>
        <w:t>uses a professional rate of $</w:t>
      </w:r>
      <w:r w:rsidR="0028737A">
        <w:rPr>
          <w:rFonts w:ascii="Arial" w:hAnsi="Arial" w:cs="Arial"/>
        </w:rPr>
        <w:t xml:space="preserve">122.85 </w:t>
      </w:r>
      <w:r w:rsidR="00CE051B">
        <w:rPr>
          <w:rFonts w:ascii="Arial" w:hAnsi="Arial" w:cs="Arial"/>
        </w:rPr>
        <w:t>per hour for those completing a Request for Deposit</w:t>
      </w:r>
      <w:r w:rsidR="004E5518">
        <w:rPr>
          <w:rFonts w:ascii="Arial" w:hAnsi="Arial" w:cs="Arial"/>
        </w:rPr>
        <w:t xml:space="preserve">ory Approval or submitting deposit information. This rate is the mean rate for attorneys in scientific </w:t>
      </w:r>
      <w:r w:rsidRPr="00040930" w:rsidR="002C0512">
        <w:rPr>
          <w:rFonts w:ascii="Arial" w:hAnsi="Arial" w:cs="Arial"/>
        </w:rPr>
        <w:t>research and development services as shown in the Bureau of Labor Statistics (</w:t>
      </w:r>
      <w:bookmarkStart w:id="1" w:name="_Hlk115850662"/>
      <w:r w:rsidRPr="00040930" w:rsidR="002C0512">
        <w:rPr>
          <w:rFonts w:ascii="Arial" w:hAnsi="Arial" w:cs="Arial"/>
        </w:rPr>
        <w:t>BLS rate; 23-1011</w:t>
      </w:r>
      <w:r w:rsidRPr="00040930" w:rsidR="002C0512">
        <w:rPr>
          <w:rStyle w:val="Hyperlink"/>
          <w:rFonts w:ascii="Arial" w:hAnsi="Arial" w:cs="Arial"/>
          <w:color w:val="auto"/>
          <w:u w:val="none"/>
        </w:rPr>
        <w:t xml:space="preserve"> – Lawyer</w:t>
      </w:r>
      <w:bookmarkEnd w:id="1"/>
      <w:r w:rsidRPr="00040930" w:rsidR="002C0512">
        <w:rPr>
          <w:rStyle w:val="Hyperlink"/>
          <w:rFonts w:ascii="Arial" w:hAnsi="Arial" w:cs="Arial"/>
          <w:color w:val="auto"/>
          <w:u w:val="none"/>
        </w:rPr>
        <w:t>s).</w:t>
      </w:r>
      <w:r>
        <w:rPr>
          <w:rStyle w:val="FootnoteReference"/>
          <w:rFonts w:ascii="Arial" w:hAnsi="Arial" w:cs="Arial"/>
        </w:rPr>
        <w:footnoteReference w:id="6"/>
      </w:r>
    </w:p>
    <w:p w:rsidR="00636EDA" w:rsidP="00636EDA" w14:paraId="79D4A0F6" w14:textId="77777777">
      <w:pPr>
        <w:widowControl/>
        <w:tabs>
          <w:tab w:val="left" w:pos="-984"/>
          <w:tab w:val="left" w:pos="-720"/>
          <w:tab w:val="left" w:pos="720"/>
        </w:tabs>
        <w:ind w:left="720"/>
        <w:jc w:val="both"/>
        <w:rPr>
          <w:rFonts w:ascii="Arial" w:hAnsi="Arial" w:cs="Arial"/>
          <w:color w:val="0000FF"/>
        </w:rPr>
      </w:pPr>
    </w:p>
    <w:p w:rsidR="00636EDA" w:rsidP="7C57510F" w14:paraId="79D4A0F8" w14:textId="162C8327">
      <w:pPr>
        <w:widowControl/>
        <w:tabs>
          <w:tab w:val="left" w:pos="720"/>
        </w:tabs>
        <w:ind w:left="720"/>
        <w:jc w:val="both"/>
        <w:rPr>
          <w:rFonts w:ascii="Arial" w:hAnsi="Arial" w:cs="Arial"/>
        </w:rPr>
      </w:pPr>
      <w:bookmarkStart w:id="2" w:name="_Hlk128405377"/>
      <w:r>
        <w:rPr>
          <w:rFonts w:ascii="Arial" w:hAnsi="Arial" w:cs="Arial"/>
        </w:rPr>
        <w:t>Using these</w:t>
      </w:r>
      <w:r w:rsidRPr="00624AF0">
        <w:rPr>
          <w:rFonts w:ascii="Arial" w:hAnsi="Arial" w:cs="Arial"/>
        </w:rPr>
        <w:t xml:space="preserve"> hourly rate</w:t>
      </w:r>
      <w:r>
        <w:rPr>
          <w:rFonts w:ascii="Arial" w:hAnsi="Arial" w:cs="Arial"/>
        </w:rPr>
        <w:t>s</w:t>
      </w:r>
      <w:r w:rsidRPr="00624AF0">
        <w:rPr>
          <w:rFonts w:ascii="Arial" w:hAnsi="Arial" w:cs="Arial"/>
        </w:rPr>
        <w:t xml:space="preserve">, the USPTO estimates that the total respondent cost burden for this information collection </w:t>
      </w:r>
      <w:r w:rsidRPr="00106452">
        <w:rPr>
          <w:rFonts w:ascii="Arial" w:hAnsi="Arial" w:cs="Arial"/>
        </w:rPr>
        <w:t>is $</w:t>
      </w:r>
      <w:r w:rsidRPr="00106452" w:rsidR="22C00C1C">
        <w:rPr>
          <w:rFonts w:ascii="Arial" w:hAnsi="Arial" w:cs="Arial"/>
        </w:rPr>
        <w:t>18</w:t>
      </w:r>
      <w:r w:rsidRPr="00106452" w:rsidR="73633A0A">
        <w:rPr>
          <w:rFonts w:ascii="Arial" w:hAnsi="Arial" w:cs="Arial"/>
        </w:rPr>
        <w:t>4,889</w:t>
      </w:r>
      <w:r w:rsidRPr="00624AF0">
        <w:rPr>
          <w:rFonts w:ascii="Arial" w:hAnsi="Arial" w:cs="Arial"/>
        </w:rPr>
        <w:t xml:space="preserve"> per year</w:t>
      </w:r>
      <w:r w:rsidR="00436B01">
        <w:rPr>
          <w:rFonts w:ascii="Arial" w:hAnsi="Arial" w:cs="Arial"/>
        </w:rPr>
        <w:t>.</w:t>
      </w:r>
      <w:r w:rsidRPr="72C11846" w:rsidR="0D0E7199">
        <w:rPr>
          <w:rFonts w:ascii="Arial" w:hAnsi="Arial" w:cs="Arial"/>
        </w:rPr>
        <w:t xml:space="preserve"> </w:t>
      </w:r>
    </w:p>
    <w:bookmarkEnd w:id="2"/>
    <w:p w:rsidR="412D9D68" w:rsidP="412D9D68" w14:paraId="717A8E66" w14:textId="45BAAA83">
      <w:pPr>
        <w:widowControl/>
        <w:tabs>
          <w:tab w:val="left" w:pos="720"/>
        </w:tabs>
        <w:ind w:left="720"/>
        <w:jc w:val="both"/>
        <w:rPr>
          <w:rFonts w:ascii="Arial" w:hAnsi="Arial" w:cs="Arial"/>
        </w:rPr>
      </w:pPr>
    </w:p>
    <w:p w:rsidR="0D0E7199" w:rsidP="03E2059D" w14:paraId="7FF80A73" w14:textId="23A47998">
      <w:pPr>
        <w:widowControl/>
        <w:tabs>
          <w:tab w:val="left" w:pos="720"/>
        </w:tabs>
        <w:ind w:left="720"/>
        <w:jc w:val="both"/>
        <w:rPr>
          <w:rFonts w:ascii="Arial" w:hAnsi="Arial" w:cs="Arial"/>
        </w:rPr>
      </w:pPr>
      <w:r w:rsidRPr="03E2059D">
        <w:rPr>
          <w:rFonts w:ascii="Arial" w:hAnsi="Arial" w:cs="Arial"/>
        </w:rPr>
        <w:t xml:space="preserve">In the 60-day </w:t>
      </w:r>
      <w:r w:rsidRPr="03E2059D">
        <w:rPr>
          <w:rFonts w:ascii="Arial" w:hAnsi="Arial" w:cs="Arial"/>
          <w:i/>
          <w:iCs/>
        </w:rPr>
        <w:t xml:space="preserve">Federal Register </w:t>
      </w:r>
      <w:r w:rsidRPr="03E2059D">
        <w:rPr>
          <w:rFonts w:ascii="Arial" w:hAnsi="Arial" w:cs="Arial"/>
        </w:rPr>
        <w:t xml:space="preserve">notice published for this information collection, the USPTO used an hourly rate of </w:t>
      </w:r>
      <w:r w:rsidRPr="03E2059D" w:rsidR="77C97A0C">
        <w:rPr>
          <w:rFonts w:ascii="Arial" w:hAnsi="Arial" w:cs="Arial"/>
        </w:rPr>
        <w:t>$447 for both item line</w:t>
      </w:r>
      <w:r w:rsidRPr="03E2059D" w:rsidR="25D70278">
        <w:rPr>
          <w:rFonts w:ascii="Arial" w:hAnsi="Arial" w:cs="Arial"/>
        </w:rPr>
        <w:t xml:space="preserve">s, resulting in a total of $672,735 for the estimated annual respondent cost </w:t>
      </w:r>
      <w:r w:rsidRPr="304AF64F" w:rsidR="25D70278">
        <w:rPr>
          <w:rFonts w:ascii="Arial" w:hAnsi="Arial" w:cs="Arial"/>
        </w:rPr>
        <w:t>burden.</w:t>
      </w:r>
      <w:r w:rsidRPr="1A931C3F" w:rsidR="3CC5A629">
        <w:rPr>
          <w:rFonts w:ascii="Arial" w:hAnsi="Arial" w:cs="Arial"/>
        </w:rPr>
        <w:t xml:space="preserve"> </w:t>
      </w:r>
      <w:r w:rsidRPr="28338015" w:rsidR="3CC5A629">
        <w:rPr>
          <w:rFonts w:ascii="Arial" w:hAnsi="Arial" w:cs="Arial"/>
        </w:rPr>
        <w:t xml:space="preserve">After the publication of both 60-day and 30-day </w:t>
      </w:r>
      <w:r w:rsidRPr="28338015" w:rsidR="3CC5A629">
        <w:rPr>
          <w:rFonts w:ascii="Arial" w:hAnsi="Arial" w:cs="Arial"/>
          <w:i/>
          <w:iCs/>
        </w:rPr>
        <w:t>Federal Register</w:t>
      </w:r>
      <w:r w:rsidRPr="28338015" w:rsidR="3CC5A629">
        <w:rPr>
          <w:rFonts w:ascii="Arial" w:hAnsi="Arial" w:cs="Arial"/>
        </w:rPr>
        <w:t xml:space="preserve"> notices for this renewal, the USPTO determined that $447 </w:t>
      </w:r>
      <w:r w:rsidRPr="32181F52" w:rsidR="79247084">
        <w:rPr>
          <w:rFonts w:ascii="Arial" w:hAnsi="Arial" w:cs="Arial"/>
        </w:rPr>
        <w:t>wa</w:t>
      </w:r>
      <w:r w:rsidRPr="32181F52" w:rsidR="3CC5A629">
        <w:rPr>
          <w:rFonts w:ascii="Arial" w:hAnsi="Arial" w:cs="Arial"/>
        </w:rPr>
        <w:t>s</w:t>
      </w:r>
      <w:r w:rsidRPr="28338015" w:rsidR="3CC5A629">
        <w:rPr>
          <w:rFonts w:ascii="Arial" w:hAnsi="Arial" w:cs="Arial"/>
        </w:rPr>
        <w:t xml:space="preserve"> the incorrect </w:t>
      </w:r>
      <w:r w:rsidRPr="58B48B76" w:rsidR="29545B68">
        <w:rPr>
          <w:rFonts w:ascii="Arial" w:hAnsi="Arial" w:cs="Arial"/>
        </w:rPr>
        <w:t xml:space="preserve">hourly </w:t>
      </w:r>
      <w:r w:rsidRPr="28338015" w:rsidR="3CC5A629">
        <w:rPr>
          <w:rFonts w:ascii="Arial" w:hAnsi="Arial" w:cs="Arial"/>
        </w:rPr>
        <w:t xml:space="preserve">rate </w:t>
      </w:r>
      <w:r w:rsidRPr="58B48B76" w:rsidR="27EC705B">
        <w:rPr>
          <w:rFonts w:ascii="Arial" w:hAnsi="Arial" w:cs="Arial"/>
        </w:rPr>
        <w:t>for this information collection</w:t>
      </w:r>
      <w:r w:rsidRPr="58B48B76" w:rsidR="3CC5A629">
        <w:rPr>
          <w:rFonts w:ascii="Arial" w:hAnsi="Arial" w:cs="Arial"/>
        </w:rPr>
        <w:t>.</w:t>
      </w:r>
      <w:r w:rsidRPr="28338015" w:rsidR="3CC5A629">
        <w:rPr>
          <w:rFonts w:ascii="Arial" w:hAnsi="Arial" w:cs="Arial"/>
        </w:rPr>
        <w:t xml:space="preserve"> </w:t>
      </w:r>
      <w:r w:rsidRPr="32181F52" w:rsidR="517B6FF8">
        <w:rPr>
          <w:rFonts w:ascii="Arial" w:hAnsi="Arial" w:cs="Arial"/>
        </w:rPr>
        <w:t>As such, t</w:t>
      </w:r>
      <w:r w:rsidRPr="32181F52" w:rsidR="3CC5A629">
        <w:rPr>
          <w:rFonts w:ascii="Arial" w:hAnsi="Arial" w:cs="Arial"/>
        </w:rPr>
        <w:t xml:space="preserve">he </w:t>
      </w:r>
      <w:r w:rsidRPr="28338015" w:rsidR="3CC5A629">
        <w:rPr>
          <w:rFonts w:ascii="Arial" w:hAnsi="Arial" w:cs="Arial"/>
        </w:rPr>
        <w:t xml:space="preserve">USPTO </w:t>
      </w:r>
      <w:r w:rsidRPr="28338015" w:rsidR="6351B42D">
        <w:rPr>
          <w:rFonts w:ascii="Arial" w:hAnsi="Arial" w:cs="Arial"/>
        </w:rPr>
        <w:t xml:space="preserve">has updated the </w:t>
      </w:r>
      <w:r w:rsidRPr="32181F52" w:rsidR="4F7EAC37">
        <w:rPr>
          <w:rFonts w:ascii="Arial" w:hAnsi="Arial" w:cs="Arial"/>
        </w:rPr>
        <w:t xml:space="preserve">hourly </w:t>
      </w:r>
      <w:r w:rsidRPr="28338015" w:rsidR="6351B42D">
        <w:rPr>
          <w:rFonts w:ascii="Arial" w:hAnsi="Arial" w:cs="Arial"/>
        </w:rPr>
        <w:t xml:space="preserve">rate and the </w:t>
      </w:r>
      <w:r w:rsidRPr="40D81C2C" w:rsidR="56C0CAB1">
        <w:rPr>
          <w:rFonts w:ascii="Arial" w:hAnsi="Arial" w:cs="Arial"/>
        </w:rPr>
        <w:t>corresponding</w:t>
      </w:r>
      <w:r w:rsidRPr="40D81C2C" w:rsidR="6351B42D">
        <w:rPr>
          <w:rFonts w:ascii="Arial" w:hAnsi="Arial" w:cs="Arial"/>
        </w:rPr>
        <w:t xml:space="preserve"> </w:t>
      </w:r>
      <w:r w:rsidRPr="28338015" w:rsidR="6351B42D">
        <w:rPr>
          <w:rFonts w:ascii="Arial" w:hAnsi="Arial" w:cs="Arial"/>
        </w:rPr>
        <w:t>estimated annual respondent</w:t>
      </w:r>
      <w:r w:rsidRPr="58B48B76" w:rsidR="6351B42D">
        <w:rPr>
          <w:rFonts w:ascii="Arial" w:hAnsi="Arial" w:cs="Arial"/>
        </w:rPr>
        <w:t xml:space="preserve"> cost burden to </w:t>
      </w:r>
      <w:r w:rsidRPr="40D81C2C" w:rsidR="5A6862B7">
        <w:rPr>
          <w:rFonts w:ascii="Arial" w:hAnsi="Arial" w:cs="Arial"/>
        </w:rPr>
        <w:t>what is listed in Table 3 below</w:t>
      </w:r>
      <w:r w:rsidRPr="58B48B76" w:rsidR="3AFD0528">
        <w:rPr>
          <w:rFonts w:ascii="Arial" w:hAnsi="Arial" w:cs="Arial"/>
        </w:rPr>
        <w:t xml:space="preserve">. </w:t>
      </w:r>
    </w:p>
    <w:p w:rsidR="00436B01" w:rsidP="00636EDA" w14:paraId="0C97EB00" w14:textId="77777777">
      <w:pPr>
        <w:widowControl/>
        <w:tabs>
          <w:tab w:val="left" w:pos="-984"/>
          <w:tab w:val="left" w:pos="-720"/>
          <w:tab w:val="left" w:pos="720"/>
        </w:tabs>
        <w:ind w:left="720"/>
        <w:jc w:val="both"/>
        <w:rPr>
          <w:rFonts w:ascii="Arial" w:hAnsi="Arial" w:cs="Arial"/>
        </w:rPr>
      </w:pPr>
    </w:p>
    <w:p w:rsidR="00436B01" w:rsidRPr="00436B01" w:rsidP="00436B01" w14:paraId="55FF15D6" w14:textId="0230E070">
      <w:pPr>
        <w:widowControl/>
        <w:tabs>
          <w:tab w:val="left" w:pos="-984"/>
          <w:tab w:val="left" w:pos="-720"/>
          <w:tab w:val="left" w:pos="720"/>
        </w:tabs>
        <w:jc w:val="both"/>
        <w:rPr>
          <w:rFonts w:ascii="Arial" w:hAnsi="Arial" w:cs="Arial"/>
          <w:b/>
          <w:color w:val="0000FF"/>
        </w:rPr>
      </w:pPr>
      <w:r w:rsidRPr="00436B01">
        <w:rPr>
          <w:rFonts w:ascii="Arial" w:hAnsi="Arial" w:cs="Arial"/>
          <w:b/>
          <w:sz w:val="20"/>
        </w:rPr>
        <w:t>Table 3: Total Burden Hours and Hourly Costs to Private Sector Respondents</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5"/>
        <w:gridCol w:w="1890"/>
        <w:gridCol w:w="1260"/>
        <w:gridCol w:w="1170"/>
        <w:gridCol w:w="1080"/>
        <w:gridCol w:w="990"/>
        <w:gridCol w:w="1260"/>
        <w:gridCol w:w="900"/>
        <w:gridCol w:w="1260"/>
      </w:tblGrid>
      <w:tr w14:paraId="27C0ECFB" w14:textId="77777777" w:rsidTr="00126CDA">
        <w:tblPrEx>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0"/>
        </w:trPr>
        <w:tc>
          <w:tcPr>
            <w:tcW w:w="625" w:type="dxa"/>
            <w:shd w:val="clear" w:color="auto" w:fill="B8CCE4" w:themeFill="accent1" w:themeFillTint="66"/>
          </w:tcPr>
          <w:p w:rsidR="00572FB0" w:rsidRPr="00436B01" w:rsidP="00572FB0" w14:paraId="020208A2" w14:textId="26AC81D0">
            <w:pPr>
              <w:jc w:val="center"/>
              <w:rPr>
                <w:rFonts w:ascii="Arial" w:hAnsi="Arial" w:cs="Arial"/>
                <w:b/>
                <w:sz w:val="16"/>
                <w:szCs w:val="16"/>
              </w:rPr>
            </w:pPr>
            <w:r w:rsidRPr="008970EA">
              <w:rPr>
                <w:rFonts w:ascii="Arial" w:hAnsi="Arial" w:cs="Arial"/>
                <w:b/>
                <w:sz w:val="16"/>
                <w:szCs w:val="16"/>
              </w:rPr>
              <w:t>Item No.</w:t>
            </w:r>
          </w:p>
        </w:tc>
        <w:tc>
          <w:tcPr>
            <w:tcW w:w="1890" w:type="dxa"/>
            <w:shd w:val="clear" w:color="auto" w:fill="B8CCE4" w:themeFill="accent1" w:themeFillTint="66"/>
          </w:tcPr>
          <w:p w:rsidR="00572FB0" w:rsidP="00572FB0" w14:paraId="2311D9D3" w14:textId="42FCD4EA">
            <w:pPr>
              <w:jc w:val="center"/>
              <w:rPr>
                <w:rFonts w:ascii="Arial" w:hAnsi="Arial" w:cs="Arial"/>
                <w:bCs/>
                <w:sz w:val="16"/>
                <w:szCs w:val="16"/>
              </w:rPr>
            </w:pPr>
            <w:r w:rsidRPr="008970EA">
              <w:rPr>
                <w:rFonts w:ascii="Arial" w:hAnsi="Arial" w:cs="Arial"/>
                <w:b/>
                <w:sz w:val="16"/>
                <w:szCs w:val="16"/>
              </w:rPr>
              <w:t>Item</w:t>
            </w:r>
          </w:p>
        </w:tc>
        <w:tc>
          <w:tcPr>
            <w:tcW w:w="1260" w:type="dxa"/>
            <w:shd w:val="clear" w:color="auto" w:fill="B8CCE4" w:themeFill="accent1" w:themeFillTint="66"/>
          </w:tcPr>
          <w:p w:rsidR="00572FB0" w:rsidRPr="008970EA" w:rsidP="00572FB0" w14:paraId="7880F25E" w14:textId="77777777">
            <w:pPr>
              <w:jc w:val="center"/>
              <w:rPr>
                <w:rFonts w:ascii="Arial" w:hAnsi="Arial" w:cs="Arial"/>
                <w:b/>
                <w:sz w:val="16"/>
                <w:szCs w:val="16"/>
              </w:rPr>
            </w:pPr>
            <w:r w:rsidRPr="008970EA">
              <w:rPr>
                <w:rFonts w:ascii="Arial" w:hAnsi="Arial" w:cs="Arial"/>
                <w:b/>
                <w:sz w:val="16"/>
                <w:szCs w:val="16"/>
              </w:rPr>
              <w:t>Estimated Annual Respondents</w:t>
            </w:r>
          </w:p>
          <w:p w:rsidR="00572FB0" w:rsidRPr="008970EA" w:rsidP="00572FB0" w14:paraId="05DEE66E" w14:textId="77777777">
            <w:pPr>
              <w:jc w:val="center"/>
              <w:rPr>
                <w:rFonts w:ascii="Arial" w:hAnsi="Arial" w:cs="Arial"/>
                <w:b/>
                <w:sz w:val="16"/>
                <w:szCs w:val="16"/>
              </w:rPr>
            </w:pPr>
          </w:p>
          <w:p w:rsidR="00572FB0" w:rsidRPr="008970EA" w:rsidP="00572FB0" w14:paraId="533ABB30" w14:textId="77777777">
            <w:pPr>
              <w:jc w:val="center"/>
              <w:rPr>
                <w:rFonts w:ascii="Arial" w:hAnsi="Arial" w:cs="Arial"/>
                <w:b/>
                <w:sz w:val="16"/>
                <w:szCs w:val="16"/>
              </w:rPr>
            </w:pPr>
          </w:p>
          <w:p w:rsidR="00572FB0" w:rsidP="00572FB0" w14:paraId="7EDE40DD" w14:textId="0F2C073E">
            <w:pPr>
              <w:jc w:val="center"/>
              <w:rPr>
                <w:rFonts w:ascii="Arial" w:hAnsi="Arial" w:cs="Arial"/>
                <w:sz w:val="16"/>
                <w:szCs w:val="16"/>
              </w:rPr>
            </w:pPr>
            <w:r w:rsidRPr="008970EA">
              <w:rPr>
                <w:rFonts w:ascii="Arial" w:hAnsi="Arial" w:cs="Arial"/>
                <w:b/>
                <w:sz w:val="16"/>
                <w:szCs w:val="16"/>
              </w:rPr>
              <w:t>(a)</w:t>
            </w:r>
          </w:p>
        </w:tc>
        <w:tc>
          <w:tcPr>
            <w:tcW w:w="1170" w:type="dxa"/>
            <w:shd w:val="clear" w:color="auto" w:fill="B8CCE4" w:themeFill="accent1" w:themeFillTint="66"/>
          </w:tcPr>
          <w:p w:rsidR="00572FB0" w:rsidRPr="008970EA" w:rsidP="00572FB0" w14:paraId="271E9118" w14:textId="77777777">
            <w:pPr>
              <w:jc w:val="center"/>
              <w:rPr>
                <w:rFonts w:ascii="Arial" w:hAnsi="Arial" w:cs="Arial"/>
                <w:b/>
                <w:sz w:val="16"/>
                <w:szCs w:val="16"/>
              </w:rPr>
            </w:pPr>
            <w:r w:rsidRPr="008970EA">
              <w:rPr>
                <w:rFonts w:ascii="Arial" w:hAnsi="Arial" w:cs="Arial"/>
                <w:b/>
                <w:sz w:val="16"/>
                <w:szCs w:val="16"/>
              </w:rPr>
              <w:t>Responses per Respondent</w:t>
            </w:r>
          </w:p>
          <w:p w:rsidR="00572FB0" w:rsidRPr="008970EA" w:rsidP="00572FB0" w14:paraId="5AB108B4" w14:textId="77777777">
            <w:pPr>
              <w:jc w:val="center"/>
              <w:rPr>
                <w:rFonts w:ascii="Arial" w:hAnsi="Arial" w:cs="Arial"/>
                <w:b/>
                <w:sz w:val="16"/>
                <w:szCs w:val="16"/>
              </w:rPr>
            </w:pPr>
          </w:p>
          <w:p w:rsidR="00572FB0" w:rsidRPr="008970EA" w:rsidP="00572FB0" w14:paraId="54A7CA11" w14:textId="77777777">
            <w:pPr>
              <w:jc w:val="center"/>
              <w:rPr>
                <w:rFonts w:ascii="Arial" w:hAnsi="Arial" w:cs="Arial"/>
                <w:b/>
                <w:sz w:val="16"/>
                <w:szCs w:val="16"/>
              </w:rPr>
            </w:pPr>
          </w:p>
          <w:p w:rsidR="00572FB0" w:rsidRPr="00240A35" w:rsidP="00572FB0" w14:paraId="2F6B693E" w14:textId="43FFBE80">
            <w:pPr>
              <w:jc w:val="center"/>
              <w:rPr>
                <w:rFonts w:ascii="Arial" w:hAnsi="Arial" w:cs="Arial"/>
                <w:sz w:val="16"/>
                <w:szCs w:val="16"/>
              </w:rPr>
            </w:pPr>
            <w:r w:rsidRPr="008970EA">
              <w:rPr>
                <w:rFonts w:ascii="Arial" w:hAnsi="Arial" w:cs="Arial"/>
                <w:b/>
                <w:sz w:val="16"/>
                <w:szCs w:val="16"/>
              </w:rPr>
              <w:t>(b)</w:t>
            </w:r>
          </w:p>
        </w:tc>
        <w:tc>
          <w:tcPr>
            <w:tcW w:w="1080" w:type="dxa"/>
            <w:shd w:val="clear" w:color="auto" w:fill="B8CCE4" w:themeFill="accent1" w:themeFillTint="66"/>
          </w:tcPr>
          <w:p w:rsidR="00572FB0" w:rsidRPr="008970EA" w:rsidP="00572FB0" w14:paraId="453C038D" w14:textId="77777777">
            <w:pPr>
              <w:jc w:val="center"/>
              <w:rPr>
                <w:rFonts w:ascii="Arial" w:hAnsi="Arial" w:cs="Arial"/>
                <w:b/>
                <w:sz w:val="16"/>
                <w:szCs w:val="16"/>
              </w:rPr>
            </w:pPr>
            <w:r w:rsidRPr="008970EA">
              <w:rPr>
                <w:rFonts w:ascii="Arial" w:hAnsi="Arial" w:cs="Arial"/>
                <w:b/>
                <w:sz w:val="16"/>
                <w:szCs w:val="16"/>
              </w:rPr>
              <w:t>Estimated Annual Responses</w:t>
            </w:r>
          </w:p>
          <w:p w:rsidR="00572FB0" w:rsidRPr="008970EA" w:rsidP="00572FB0" w14:paraId="2A6103E7" w14:textId="77777777">
            <w:pPr>
              <w:jc w:val="center"/>
              <w:rPr>
                <w:rFonts w:ascii="Arial" w:hAnsi="Arial" w:cs="Arial"/>
                <w:b/>
                <w:sz w:val="16"/>
                <w:szCs w:val="16"/>
              </w:rPr>
            </w:pPr>
          </w:p>
          <w:p w:rsidR="00572FB0" w:rsidRPr="008970EA" w:rsidP="00572FB0" w14:paraId="66DF79ED" w14:textId="77777777">
            <w:pPr>
              <w:jc w:val="center"/>
              <w:rPr>
                <w:rFonts w:ascii="Arial" w:hAnsi="Arial" w:cs="Arial"/>
                <w:b/>
                <w:sz w:val="16"/>
                <w:szCs w:val="16"/>
              </w:rPr>
            </w:pPr>
          </w:p>
          <w:p w:rsidR="00572FB0" w:rsidP="00572FB0" w14:paraId="46B130A3" w14:textId="26555E1A">
            <w:pPr>
              <w:jc w:val="center"/>
              <w:rPr>
                <w:rFonts w:ascii="Arial" w:hAnsi="Arial" w:cs="Arial"/>
                <w:sz w:val="16"/>
                <w:szCs w:val="16"/>
              </w:rPr>
            </w:pPr>
            <w:r w:rsidRPr="008970EA">
              <w:rPr>
                <w:rFonts w:ascii="Arial" w:hAnsi="Arial" w:cs="Arial"/>
                <w:b/>
                <w:sz w:val="16"/>
                <w:szCs w:val="16"/>
              </w:rPr>
              <w:t>(a) x (b) = (c)</w:t>
            </w:r>
          </w:p>
        </w:tc>
        <w:tc>
          <w:tcPr>
            <w:tcW w:w="990" w:type="dxa"/>
            <w:shd w:val="clear" w:color="auto" w:fill="B8CCE4" w:themeFill="accent1" w:themeFillTint="66"/>
          </w:tcPr>
          <w:p w:rsidR="00572FB0" w:rsidRPr="008970EA" w:rsidP="00572FB0" w14:paraId="3407DF97" w14:textId="77777777">
            <w:pPr>
              <w:tabs>
                <w:tab w:val="left" w:pos="-1176"/>
              </w:tabs>
              <w:jc w:val="center"/>
              <w:rPr>
                <w:rFonts w:ascii="Arial" w:hAnsi="Arial" w:cs="Arial"/>
                <w:b/>
                <w:sz w:val="16"/>
                <w:szCs w:val="16"/>
              </w:rPr>
            </w:pPr>
            <w:r w:rsidRPr="008970EA">
              <w:rPr>
                <w:rFonts w:ascii="Arial" w:hAnsi="Arial" w:cs="Arial"/>
                <w:b/>
                <w:sz w:val="16"/>
                <w:szCs w:val="16"/>
              </w:rPr>
              <w:t xml:space="preserve">Estimated Time </w:t>
            </w:r>
            <w:r>
              <w:rPr>
                <w:rFonts w:ascii="Arial" w:hAnsi="Arial" w:cs="Arial"/>
                <w:b/>
                <w:sz w:val="16"/>
                <w:szCs w:val="16"/>
              </w:rPr>
              <w:t>f</w:t>
            </w:r>
            <w:r w:rsidRPr="008970EA">
              <w:rPr>
                <w:rFonts w:ascii="Arial" w:hAnsi="Arial" w:cs="Arial"/>
                <w:b/>
                <w:sz w:val="16"/>
                <w:szCs w:val="16"/>
              </w:rPr>
              <w:t>or Response (hours)</w:t>
            </w:r>
          </w:p>
          <w:p w:rsidR="00572FB0" w:rsidRPr="008970EA" w:rsidP="00572FB0" w14:paraId="2D197D06" w14:textId="77777777">
            <w:pPr>
              <w:tabs>
                <w:tab w:val="left" w:pos="-1176"/>
              </w:tabs>
              <w:jc w:val="center"/>
              <w:rPr>
                <w:rFonts w:ascii="Arial" w:hAnsi="Arial" w:cs="Arial"/>
                <w:b/>
                <w:sz w:val="16"/>
                <w:szCs w:val="16"/>
              </w:rPr>
            </w:pPr>
          </w:p>
          <w:p w:rsidR="00572FB0" w:rsidP="00572FB0" w14:paraId="16A3B123" w14:textId="45DE0880">
            <w:pPr>
              <w:jc w:val="center"/>
              <w:rPr>
                <w:rFonts w:ascii="Arial" w:hAnsi="Arial" w:cs="Arial"/>
                <w:sz w:val="16"/>
                <w:szCs w:val="16"/>
              </w:rPr>
            </w:pPr>
            <w:r w:rsidRPr="008970EA">
              <w:rPr>
                <w:rFonts w:ascii="Arial" w:hAnsi="Arial" w:cs="Arial"/>
                <w:b/>
                <w:sz w:val="16"/>
                <w:szCs w:val="16"/>
              </w:rPr>
              <w:t>(d)</w:t>
            </w:r>
          </w:p>
        </w:tc>
        <w:tc>
          <w:tcPr>
            <w:tcW w:w="1260" w:type="dxa"/>
            <w:shd w:val="clear" w:color="auto" w:fill="B8CCE4" w:themeFill="accent1" w:themeFillTint="66"/>
          </w:tcPr>
          <w:p w:rsidR="00572FB0" w:rsidRPr="008970EA" w:rsidP="00572FB0" w14:paraId="71F8EE9D" w14:textId="77777777">
            <w:pPr>
              <w:tabs>
                <w:tab w:val="left" w:pos="-1176"/>
              </w:tabs>
              <w:jc w:val="center"/>
              <w:rPr>
                <w:rFonts w:ascii="Arial" w:hAnsi="Arial" w:cs="Arial"/>
                <w:b/>
                <w:sz w:val="16"/>
                <w:szCs w:val="16"/>
              </w:rPr>
            </w:pPr>
            <w:r w:rsidRPr="008970EA">
              <w:rPr>
                <w:rFonts w:ascii="Arial" w:hAnsi="Arial" w:cs="Arial"/>
                <w:b/>
                <w:sz w:val="16"/>
                <w:szCs w:val="16"/>
              </w:rPr>
              <w:t>Estimated Burden</w:t>
            </w:r>
          </w:p>
          <w:p w:rsidR="00572FB0" w:rsidRPr="008970EA" w:rsidP="00572FB0" w14:paraId="75E6EE40" w14:textId="77777777">
            <w:pPr>
              <w:tabs>
                <w:tab w:val="left" w:pos="-1176"/>
              </w:tabs>
              <w:jc w:val="center"/>
              <w:rPr>
                <w:rFonts w:ascii="Arial" w:hAnsi="Arial" w:cs="Arial"/>
                <w:b/>
                <w:sz w:val="16"/>
                <w:szCs w:val="16"/>
              </w:rPr>
            </w:pPr>
            <w:r w:rsidRPr="008970EA">
              <w:rPr>
                <w:rFonts w:ascii="Arial" w:hAnsi="Arial" w:cs="Arial"/>
                <w:b/>
                <w:sz w:val="16"/>
                <w:szCs w:val="16"/>
              </w:rPr>
              <w:t>(hour/year)</w:t>
            </w:r>
          </w:p>
          <w:p w:rsidR="00572FB0" w:rsidRPr="008970EA" w:rsidP="00572FB0" w14:paraId="374EF8C6" w14:textId="77777777">
            <w:pPr>
              <w:tabs>
                <w:tab w:val="left" w:pos="-1176"/>
              </w:tabs>
              <w:jc w:val="center"/>
              <w:rPr>
                <w:rFonts w:ascii="Arial" w:hAnsi="Arial" w:cs="Arial"/>
                <w:b/>
                <w:sz w:val="16"/>
                <w:szCs w:val="16"/>
              </w:rPr>
            </w:pPr>
          </w:p>
          <w:p w:rsidR="00572FB0" w:rsidRPr="008970EA" w:rsidP="00572FB0" w14:paraId="6BAA9094" w14:textId="77777777">
            <w:pPr>
              <w:tabs>
                <w:tab w:val="left" w:pos="-1176"/>
              </w:tabs>
              <w:jc w:val="center"/>
              <w:rPr>
                <w:rFonts w:ascii="Arial" w:hAnsi="Arial" w:cs="Arial"/>
                <w:b/>
                <w:sz w:val="16"/>
                <w:szCs w:val="16"/>
              </w:rPr>
            </w:pPr>
          </w:p>
          <w:p w:rsidR="00572FB0" w:rsidP="00572FB0" w14:paraId="20CF4FFA" w14:textId="75A408CF">
            <w:pPr>
              <w:jc w:val="center"/>
              <w:rPr>
                <w:rFonts w:ascii="Arial" w:hAnsi="Arial" w:cs="Arial"/>
                <w:sz w:val="16"/>
                <w:szCs w:val="16"/>
              </w:rPr>
            </w:pPr>
            <w:r w:rsidRPr="008970EA">
              <w:rPr>
                <w:rFonts w:ascii="Arial" w:hAnsi="Arial" w:cs="Arial"/>
                <w:b/>
                <w:sz w:val="16"/>
                <w:szCs w:val="16"/>
              </w:rPr>
              <w:t>(c) x (d) = (e)</w:t>
            </w:r>
          </w:p>
        </w:tc>
        <w:tc>
          <w:tcPr>
            <w:tcW w:w="900" w:type="dxa"/>
            <w:shd w:val="clear" w:color="auto" w:fill="B8CCE4" w:themeFill="accent1" w:themeFillTint="66"/>
          </w:tcPr>
          <w:p w:rsidR="00572FB0" w:rsidRPr="008970EA" w:rsidP="00572FB0" w14:paraId="13D710F2" w14:textId="77777777">
            <w:pPr>
              <w:tabs>
                <w:tab w:val="left" w:pos="-1176"/>
              </w:tabs>
              <w:jc w:val="center"/>
              <w:rPr>
                <w:rFonts w:ascii="Arial" w:hAnsi="Arial" w:cs="Arial"/>
                <w:b/>
                <w:sz w:val="16"/>
                <w:szCs w:val="16"/>
              </w:rPr>
            </w:pPr>
            <w:r w:rsidRPr="008970EA">
              <w:rPr>
                <w:rFonts w:ascii="Arial" w:hAnsi="Arial" w:cs="Arial"/>
                <w:b/>
                <w:sz w:val="16"/>
                <w:szCs w:val="16"/>
              </w:rPr>
              <w:t>Rate</w:t>
            </w:r>
          </w:p>
          <w:p w:rsidR="00572FB0" w:rsidRPr="008970EA" w:rsidP="00572FB0" w14:paraId="3CB1D481" w14:textId="77777777">
            <w:pPr>
              <w:tabs>
                <w:tab w:val="left" w:pos="-1176"/>
              </w:tabs>
              <w:jc w:val="center"/>
              <w:rPr>
                <w:rFonts w:ascii="Arial" w:hAnsi="Arial" w:cs="Arial"/>
                <w:b/>
                <w:sz w:val="16"/>
                <w:szCs w:val="16"/>
              </w:rPr>
            </w:pPr>
            <w:r w:rsidRPr="008970EA">
              <w:rPr>
                <w:rFonts w:ascii="Arial" w:hAnsi="Arial" w:cs="Arial"/>
                <w:b/>
                <w:sz w:val="16"/>
                <w:szCs w:val="16"/>
              </w:rPr>
              <w:t>($/hour)</w:t>
            </w:r>
          </w:p>
          <w:p w:rsidR="00572FB0" w:rsidRPr="008970EA" w:rsidP="00572FB0" w14:paraId="0D32225F" w14:textId="77777777">
            <w:pPr>
              <w:tabs>
                <w:tab w:val="left" w:pos="-1176"/>
              </w:tabs>
              <w:jc w:val="center"/>
              <w:rPr>
                <w:rFonts w:ascii="Arial" w:hAnsi="Arial" w:cs="Arial"/>
                <w:b/>
                <w:sz w:val="16"/>
                <w:szCs w:val="16"/>
              </w:rPr>
            </w:pPr>
          </w:p>
          <w:p w:rsidR="00572FB0" w:rsidRPr="008970EA" w:rsidP="00572FB0" w14:paraId="575D5141" w14:textId="77777777">
            <w:pPr>
              <w:tabs>
                <w:tab w:val="left" w:pos="-1176"/>
              </w:tabs>
              <w:jc w:val="center"/>
              <w:rPr>
                <w:rFonts w:ascii="Arial" w:hAnsi="Arial" w:cs="Arial"/>
                <w:b/>
                <w:sz w:val="16"/>
                <w:szCs w:val="16"/>
              </w:rPr>
            </w:pPr>
          </w:p>
          <w:p w:rsidR="00572FB0" w:rsidRPr="008970EA" w:rsidP="00572FB0" w14:paraId="3203140A" w14:textId="77777777">
            <w:pPr>
              <w:tabs>
                <w:tab w:val="left" w:pos="-1176"/>
              </w:tabs>
              <w:jc w:val="center"/>
              <w:rPr>
                <w:rFonts w:ascii="Arial" w:hAnsi="Arial" w:cs="Arial"/>
                <w:b/>
                <w:sz w:val="16"/>
                <w:szCs w:val="16"/>
              </w:rPr>
            </w:pPr>
          </w:p>
          <w:p w:rsidR="00572FB0" w:rsidRPr="00240A35" w:rsidP="00572FB0" w14:paraId="4C3BEF81" w14:textId="3B248CEA">
            <w:pPr>
              <w:jc w:val="center"/>
              <w:rPr>
                <w:rFonts w:ascii="Arial" w:hAnsi="Arial" w:cs="Arial"/>
                <w:color w:val="000000"/>
                <w:sz w:val="16"/>
                <w:szCs w:val="16"/>
              </w:rPr>
            </w:pPr>
            <w:r w:rsidRPr="008970EA">
              <w:rPr>
                <w:rFonts w:ascii="Arial" w:hAnsi="Arial" w:cs="Arial"/>
                <w:b/>
                <w:sz w:val="16"/>
                <w:szCs w:val="16"/>
              </w:rPr>
              <w:t>(f)</w:t>
            </w:r>
          </w:p>
        </w:tc>
        <w:tc>
          <w:tcPr>
            <w:tcW w:w="1260" w:type="dxa"/>
            <w:shd w:val="clear" w:color="auto" w:fill="B8CCE4" w:themeFill="accent1" w:themeFillTint="66"/>
          </w:tcPr>
          <w:p w:rsidR="00572FB0" w:rsidRPr="008970EA" w:rsidP="00572FB0" w14:paraId="043EB937" w14:textId="77777777">
            <w:pPr>
              <w:tabs>
                <w:tab w:val="left" w:pos="-1176"/>
              </w:tabs>
              <w:jc w:val="center"/>
              <w:rPr>
                <w:rFonts w:ascii="Arial" w:hAnsi="Arial" w:cs="Arial"/>
                <w:b/>
                <w:sz w:val="16"/>
                <w:szCs w:val="16"/>
              </w:rPr>
            </w:pPr>
            <w:r w:rsidRPr="008970EA">
              <w:rPr>
                <w:rFonts w:ascii="Arial" w:hAnsi="Arial" w:cs="Arial"/>
                <w:b/>
                <w:sz w:val="16"/>
                <w:szCs w:val="16"/>
              </w:rPr>
              <w:t>Estimated Annual Respondent Cost Burden</w:t>
            </w:r>
          </w:p>
          <w:p w:rsidR="00572FB0" w:rsidRPr="008970EA" w:rsidP="00572FB0" w14:paraId="75541C0A" w14:textId="77777777">
            <w:pPr>
              <w:tabs>
                <w:tab w:val="left" w:pos="-1176"/>
              </w:tabs>
              <w:jc w:val="center"/>
              <w:rPr>
                <w:rFonts w:ascii="Arial" w:hAnsi="Arial" w:cs="Arial"/>
                <w:b/>
                <w:sz w:val="16"/>
                <w:szCs w:val="16"/>
              </w:rPr>
            </w:pPr>
          </w:p>
          <w:p w:rsidR="00572FB0" w:rsidRPr="00240A35" w:rsidP="00572FB0" w14:paraId="325FFEDB" w14:textId="36C49A27">
            <w:pPr>
              <w:jc w:val="center"/>
              <w:rPr>
                <w:rFonts w:ascii="Arial" w:hAnsi="Arial" w:cs="Arial"/>
                <w:color w:val="000000"/>
                <w:sz w:val="16"/>
                <w:szCs w:val="16"/>
              </w:rPr>
            </w:pPr>
            <w:r w:rsidRPr="008970EA">
              <w:rPr>
                <w:rFonts w:ascii="Arial" w:hAnsi="Arial" w:cs="Arial"/>
                <w:b/>
                <w:sz w:val="16"/>
                <w:szCs w:val="16"/>
              </w:rPr>
              <w:t>(e) x (f) = (g)</w:t>
            </w:r>
          </w:p>
        </w:tc>
      </w:tr>
      <w:tr w14:paraId="12576BF8" w14:textId="77777777" w:rsidTr="00780062">
        <w:tblPrEx>
          <w:tblW w:w="10435" w:type="dxa"/>
          <w:tblLayout w:type="fixed"/>
          <w:tblLook w:val="04A0"/>
        </w:tblPrEx>
        <w:trPr>
          <w:trHeight w:val="480"/>
        </w:trPr>
        <w:tc>
          <w:tcPr>
            <w:tcW w:w="625" w:type="dxa"/>
            <w:vAlign w:val="center"/>
            <w:hideMark/>
          </w:tcPr>
          <w:p w:rsidR="00780062" w:rsidRPr="00436B01" w:rsidP="00780062" w14:paraId="742342D1" w14:textId="77777777">
            <w:pPr>
              <w:jc w:val="center"/>
              <w:rPr>
                <w:rFonts w:ascii="Arial" w:hAnsi="Arial" w:cs="Arial"/>
                <w:b/>
                <w:sz w:val="16"/>
                <w:szCs w:val="16"/>
              </w:rPr>
            </w:pPr>
            <w:r w:rsidRPr="00436B01">
              <w:rPr>
                <w:rFonts w:ascii="Arial" w:hAnsi="Arial" w:cs="Arial"/>
                <w:b/>
                <w:sz w:val="16"/>
                <w:szCs w:val="16"/>
              </w:rPr>
              <w:t>1</w:t>
            </w:r>
          </w:p>
        </w:tc>
        <w:tc>
          <w:tcPr>
            <w:tcW w:w="1890" w:type="dxa"/>
            <w:vAlign w:val="center"/>
            <w:hideMark/>
          </w:tcPr>
          <w:p w:rsidR="00780062" w:rsidRPr="00B12A3D" w:rsidP="00780062" w14:paraId="43E3EB39" w14:textId="708CD9C1">
            <w:pPr>
              <w:rPr>
                <w:rFonts w:ascii="Arial" w:hAnsi="Arial" w:cs="Arial"/>
                <w:bCs/>
                <w:sz w:val="16"/>
                <w:szCs w:val="16"/>
              </w:rPr>
            </w:pPr>
            <w:r>
              <w:rPr>
                <w:rFonts w:ascii="Arial" w:hAnsi="Arial" w:cs="Arial"/>
                <w:bCs/>
                <w:sz w:val="16"/>
                <w:szCs w:val="16"/>
              </w:rPr>
              <w:t>Deposit</w:t>
            </w:r>
            <w:r w:rsidR="00925E5C">
              <w:rPr>
                <w:rFonts w:ascii="Arial" w:hAnsi="Arial" w:cs="Arial"/>
                <w:bCs/>
                <w:sz w:val="16"/>
                <w:szCs w:val="16"/>
              </w:rPr>
              <w:t xml:space="preserve"> of Biological </w:t>
            </w:r>
            <w:r>
              <w:rPr>
                <w:rFonts w:ascii="Arial" w:hAnsi="Arial" w:cs="Arial"/>
                <w:bCs/>
                <w:sz w:val="16"/>
                <w:szCs w:val="16"/>
              </w:rPr>
              <w:t>Material</w:t>
            </w:r>
            <w:r w:rsidR="00246C59">
              <w:rPr>
                <w:rFonts w:ascii="Arial" w:hAnsi="Arial" w:cs="Arial"/>
                <w:bCs/>
                <w:sz w:val="16"/>
                <w:szCs w:val="16"/>
              </w:rPr>
              <w:t>s</w:t>
            </w:r>
          </w:p>
        </w:tc>
        <w:tc>
          <w:tcPr>
            <w:tcW w:w="1260" w:type="dxa"/>
            <w:vAlign w:val="center"/>
            <w:hideMark/>
          </w:tcPr>
          <w:p w:rsidR="00780062" w:rsidRPr="00240A35" w:rsidP="00780062" w14:paraId="19C3C38C" w14:textId="12E2C9AD">
            <w:pPr>
              <w:jc w:val="right"/>
              <w:rPr>
                <w:rFonts w:ascii="Arial" w:hAnsi="Arial" w:cs="Arial"/>
                <w:sz w:val="16"/>
                <w:szCs w:val="16"/>
              </w:rPr>
            </w:pPr>
            <w:r>
              <w:rPr>
                <w:rFonts w:ascii="Arial" w:hAnsi="Arial" w:cs="Arial"/>
                <w:sz w:val="16"/>
                <w:szCs w:val="16"/>
              </w:rPr>
              <w:t>1,500</w:t>
            </w:r>
          </w:p>
        </w:tc>
        <w:tc>
          <w:tcPr>
            <w:tcW w:w="1170" w:type="dxa"/>
            <w:vAlign w:val="center"/>
          </w:tcPr>
          <w:p w:rsidR="00780062" w:rsidRPr="00240A35" w:rsidP="00780062" w14:paraId="0631A389" w14:textId="1BBDA9CC">
            <w:pPr>
              <w:jc w:val="right"/>
              <w:rPr>
                <w:rFonts w:ascii="Arial" w:hAnsi="Arial" w:cs="Arial"/>
                <w:sz w:val="16"/>
                <w:szCs w:val="16"/>
              </w:rPr>
            </w:pPr>
            <w:r w:rsidRPr="00240A35">
              <w:rPr>
                <w:rFonts w:ascii="Arial" w:hAnsi="Arial" w:cs="Arial"/>
                <w:sz w:val="16"/>
                <w:szCs w:val="16"/>
              </w:rPr>
              <w:t>1</w:t>
            </w:r>
          </w:p>
        </w:tc>
        <w:tc>
          <w:tcPr>
            <w:tcW w:w="1080" w:type="dxa"/>
            <w:vAlign w:val="center"/>
            <w:hideMark/>
          </w:tcPr>
          <w:p w:rsidR="00780062" w:rsidRPr="00240A35" w:rsidP="00780062" w14:paraId="395B71CC" w14:textId="4DEBFF78">
            <w:pPr>
              <w:jc w:val="right"/>
              <w:rPr>
                <w:rFonts w:ascii="Arial" w:hAnsi="Arial" w:cs="Arial"/>
                <w:sz w:val="16"/>
                <w:szCs w:val="16"/>
              </w:rPr>
            </w:pPr>
            <w:r>
              <w:rPr>
                <w:rFonts w:ascii="Arial" w:hAnsi="Arial" w:cs="Arial"/>
                <w:sz w:val="16"/>
                <w:szCs w:val="16"/>
              </w:rPr>
              <w:t>1,500</w:t>
            </w:r>
          </w:p>
        </w:tc>
        <w:tc>
          <w:tcPr>
            <w:tcW w:w="990" w:type="dxa"/>
            <w:vAlign w:val="center"/>
            <w:hideMark/>
          </w:tcPr>
          <w:p w:rsidR="00780062" w:rsidRPr="00240A35" w:rsidP="00780062" w14:paraId="04296D57" w14:textId="524D4E38">
            <w:pPr>
              <w:jc w:val="right"/>
              <w:rPr>
                <w:rFonts w:ascii="Arial" w:hAnsi="Arial" w:cs="Arial"/>
                <w:sz w:val="16"/>
                <w:szCs w:val="16"/>
              </w:rPr>
            </w:pPr>
            <w:r>
              <w:rPr>
                <w:rFonts w:ascii="Arial" w:hAnsi="Arial" w:cs="Arial"/>
                <w:sz w:val="16"/>
                <w:szCs w:val="16"/>
              </w:rPr>
              <w:t>1</w:t>
            </w:r>
          </w:p>
        </w:tc>
        <w:tc>
          <w:tcPr>
            <w:tcW w:w="1260" w:type="dxa"/>
            <w:vAlign w:val="center"/>
            <w:hideMark/>
          </w:tcPr>
          <w:p w:rsidR="00780062" w:rsidRPr="00240A35" w:rsidP="00780062" w14:paraId="445447FF" w14:textId="6F67C763">
            <w:pPr>
              <w:jc w:val="right"/>
              <w:rPr>
                <w:rFonts w:ascii="Arial" w:hAnsi="Arial" w:cs="Arial"/>
                <w:sz w:val="16"/>
                <w:szCs w:val="16"/>
              </w:rPr>
            </w:pPr>
            <w:r>
              <w:rPr>
                <w:rFonts w:ascii="Arial" w:hAnsi="Arial" w:cs="Arial"/>
                <w:sz w:val="16"/>
                <w:szCs w:val="16"/>
              </w:rPr>
              <w:t>1,500</w:t>
            </w:r>
          </w:p>
        </w:tc>
        <w:tc>
          <w:tcPr>
            <w:tcW w:w="900" w:type="dxa"/>
            <w:vAlign w:val="center"/>
            <w:hideMark/>
          </w:tcPr>
          <w:p w:rsidR="00780062" w:rsidRPr="00240A35" w:rsidP="00780062" w14:paraId="705ACD9D" w14:textId="212CD221">
            <w:pPr>
              <w:jc w:val="right"/>
              <w:rPr>
                <w:rFonts w:ascii="Arial" w:hAnsi="Arial" w:cs="Arial"/>
                <w:sz w:val="16"/>
                <w:szCs w:val="16"/>
              </w:rPr>
            </w:pPr>
            <w:r w:rsidRPr="72C11846">
              <w:rPr>
                <w:rFonts w:ascii="Arial" w:hAnsi="Arial" w:cs="Arial"/>
                <w:color w:val="000000" w:themeColor="text1"/>
                <w:sz w:val="16"/>
                <w:szCs w:val="16"/>
              </w:rPr>
              <w:t>$</w:t>
            </w:r>
            <w:r w:rsidRPr="72C11846" w:rsidR="001B090C">
              <w:rPr>
                <w:rFonts w:ascii="Arial" w:hAnsi="Arial" w:cs="Arial"/>
                <w:color w:val="000000" w:themeColor="text1"/>
                <w:sz w:val="16"/>
                <w:szCs w:val="16"/>
              </w:rPr>
              <w:t>122.</w:t>
            </w:r>
            <w:r w:rsidRPr="72C11846" w:rsidR="6BE472FB">
              <w:rPr>
                <w:rFonts w:ascii="Arial" w:hAnsi="Arial" w:cs="Arial"/>
                <w:color w:val="000000" w:themeColor="text1"/>
                <w:sz w:val="16"/>
                <w:szCs w:val="16"/>
              </w:rPr>
              <w:t>8</w:t>
            </w:r>
            <w:r w:rsidRPr="72C11846" w:rsidR="001B090C">
              <w:rPr>
                <w:rFonts w:ascii="Arial" w:hAnsi="Arial" w:cs="Arial"/>
                <w:color w:val="000000" w:themeColor="text1"/>
                <w:sz w:val="16"/>
                <w:szCs w:val="16"/>
              </w:rPr>
              <w:t>5</w:t>
            </w:r>
            <w:r w:rsidRPr="72C11846">
              <w:rPr>
                <w:rFonts w:ascii="Arial" w:hAnsi="Arial" w:cs="Arial"/>
                <w:color w:val="000000" w:themeColor="text1"/>
                <w:sz w:val="16"/>
                <w:szCs w:val="16"/>
              </w:rPr>
              <w:t xml:space="preserve"> </w:t>
            </w:r>
          </w:p>
        </w:tc>
        <w:tc>
          <w:tcPr>
            <w:tcW w:w="1260" w:type="dxa"/>
            <w:vAlign w:val="center"/>
            <w:hideMark/>
          </w:tcPr>
          <w:p w:rsidR="00780062" w:rsidRPr="00106452" w:rsidP="00780062" w14:paraId="668EE0EA" w14:textId="162D53D7">
            <w:pPr>
              <w:jc w:val="right"/>
              <w:rPr>
                <w:rFonts w:ascii="Arial" w:hAnsi="Arial" w:cs="Arial"/>
                <w:color w:val="000000" w:themeColor="text1"/>
                <w:sz w:val="16"/>
                <w:szCs w:val="16"/>
              </w:rPr>
            </w:pPr>
            <w:r w:rsidRPr="00106452">
              <w:rPr>
                <w:rFonts w:ascii="Arial" w:hAnsi="Arial" w:cs="Arial"/>
                <w:color w:val="000000" w:themeColor="text1"/>
                <w:sz w:val="16"/>
                <w:szCs w:val="16"/>
              </w:rPr>
              <w:t>$</w:t>
            </w:r>
            <w:r w:rsidRPr="00106452" w:rsidR="0B46BE1E">
              <w:rPr>
                <w:rFonts w:ascii="Arial" w:hAnsi="Arial" w:cs="Arial"/>
                <w:color w:val="000000" w:themeColor="text1"/>
                <w:sz w:val="16"/>
                <w:szCs w:val="16"/>
              </w:rPr>
              <w:t>18</w:t>
            </w:r>
            <w:r w:rsidRPr="00106452" w:rsidR="10ECED17">
              <w:rPr>
                <w:rFonts w:ascii="Arial" w:hAnsi="Arial" w:cs="Arial"/>
                <w:color w:val="000000" w:themeColor="text1"/>
                <w:sz w:val="16"/>
                <w:szCs w:val="16"/>
              </w:rPr>
              <w:t>4,27</w:t>
            </w:r>
            <w:r w:rsidRPr="00106452" w:rsidR="0B46BE1E">
              <w:rPr>
                <w:rFonts w:ascii="Arial" w:hAnsi="Arial" w:cs="Arial"/>
                <w:color w:val="000000" w:themeColor="text1"/>
                <w:sz w:val="16"/>
                <w:szCs w:val="16"/>
              </w:rPr>
              <w:t>5</w:t>
            </w:r>
          </w:p>
        </w:tc>
      </w:tr>
      <w:tr w14:paraId="6A842A1A" w14:textId="77777777" w:rsidTr="00780062">
        <w:tblPrEx>
          <w:tblW w:w="10435" w:type="dxa"/>
          <w:tblLayout w:type="fixed"/>
          <w:tblLook w:val="04A0"/>
        </w:tblPrEx>
        <w:trPr>
          <w:trHeight w:val="480"/>
        </w:trPr>
        <w:tc>
          <w:tcPr>
            <w:tcW w:w="625" w:type="dxa"/>
            <w:vAlign w:val="center"/>
            <w:hideMark/>
          </w:tcPr>
          <w:p w:rsidR="00240A35" w:rsidRPr="00436B01" w:rsidP="00780062" w14:paraId="3ED5BF58" w14:textId="77777777">
            <w:pPr>
              <w:jc w:val="center"/>
              <w:rPr>
                <w:rFonts w:ascii="Arial" w:hAnsi="Arial" w:cs="Arial"/>
                <w:b/>
                <w:sz w:val="16"/>
                <w:szCs w:val="16"/>
              </w:rPr>
            </w:pPr>
            <w:r w:rsidRPr="00436B01">
              <w:rPr>
                <w:rFonts w:ascii="Arial" w:hAnsi="Arial" w:cs="Arial"/>
                <w:b/>
                <w:sz w:val="16"/>
                <w:szCs w:val="16"/>
              </w:rPr>
              <w:t>2</w:t>
            </w:r>
          </w:p>
        </w:tc>
        <w:tc>
          <w:tcPr>
            <w:tcW w:w="1890" w:type="dxa"/>
            <w:vAlign w:val="center"/>
            <w:hideMark/>
          </w:tcPr>
          <w:p w:rsidR="00240A35" w:rsidRPr="00B12A3D" w:rsidP="00780062" w14:paraId="4A0991F4" w14:textId="5DEFC064">
            <w:pPr>
              <w:rPr>
                <w:rFonts w:ascii="Arial" w:hAnsi="Arial" w:cs="Arial"/>
                <w:bCs/>
                <w:sz w:val="16"/>
                <w:szCs w:val="16"/>
              </w:rPr>
            </w:pPr>
            <w:r>
              <w:rPr>
                <w:rFonts w:ascii="Arial" w:hAnsi="Arial" w:cs="Arial"/>
                <w:bCs/>
                <w:sz w:val="16"/>
                <w:szCs w:val="16"/>
              </w:rPr>
              <w:t>Request for Depository Approval</w:t>
            </w:r>
          </w:p>
        </w:tc>
        <w:tc>
          <w:tcPr>
            <w:tcW w:w="1260" w:type="dxa"/>
            <w:vAlign w:val="center"/>
            <w:hideMark/>
          </w:tcPr>
          <w:p w:rsidR="00240A35" w:rsidRPr="00240A35" w:rsidP="00436B01" w14:paraId="6C31209E" w14:textId="7A5576E2">
            <w:pPr>
              <w:jc w:val="right"/>
              <w:rPr>
                <w:rFonts w:ascii="Arial" w:hAnsi="Arial" w:cs="Arial"/>
                <w:sz w:val="16"/>
                <w:szCs w:val="16"/>
              </w:rPr>
            </w:pPr>
            <w:r>
              <w:rPr>
                <w:rFonts w:ascii="Arial" w:hAnsi="Arial" w:cs="Arial"/>
                <w:sz w:val="16"/>
                <w:szCs w:val="16"/>
              </w:rPr>
              <w:t>1</w:t>
            </w:r>
          </w:p>
        </w:tc>
        <w:tc>
          <w:tcPr>
            <w:tcW w:w="1170" w:type="dxa"/>
            <w:vAlign w:val="center"/>
          </w:tcPr>
          <w:p w:rsidR="00240A35" w:rsidRPr="00240A35" w:rsidP="00436B01" w14:paraId="33BD4B94" w14:textId="77777777">
            <w:pPr>
              <w:jc w:val="right"/>
              <w:rPr>
                <w:rFonts w:ascii="Arial" w:hAnsi="Arial" w:cs="Arial"/>
                <w:sz w:val="16"/>
                <w:szCs w:val="16"/>
              </w:rPr>
            </w:pPr>
            <w:r w:rsidRPr="00240A35">
              <w:rPr>
                <w:rFonts w:ascii="Arial" w:hAnsi="Arial" w:cs="Arial"/>
                <w:sz w:val="16"/>
                <w:szCs w:val="16"/>
              </w:rPr>
              <w:t>1</w:t>
            </w:r>
          </w:p>
        </w:tc>
        <w:tc>
          <w:tcPr>
            <w:tcW w:w="1080" w:type="dxa"/>
            <w:vAlign w:val="center"/>
            <w:hideMark/>
          </w:tcPr>
          <w:p w:rsidR="00240A35" w:rsidRPr="00240A35" w:rsidP="00436B01" w14:paraId="0009421D" w14:textId="62117BAA">
            <w:pPr>
              <w:jc w:val="right"/>
              <w:rPr>
                <w:rFonts w:ascii="Arial" w:hAnsi="Arial" w:cs="Arial"/>
                <w:sz w:val="16"/>
                <w:szCs w:val="16"/>
              </w:rPr>
            </w:pPr>
            <w:r>
              <w:rPr>
                <w:rFonts w:ascii="Arial" w:hAnsi="Arial" w:cs="Arial"/>
                <w:sz w:val="16"/>
                <w:szCs w:val="16"/>
              </w:rPr>
              <w:t>1</w:t>
            </w:r>
          </w:p>
        </w:tc>
        <w:tc>
          <w:tcPr>
            <w:tcW w:w="990" w:type="dxa"/>
            <w:vAlign w:val="center"/>
            <w:hideMark/>
          </w:tcPr>
          <w:p w:rsidR="00240A35" w:rsidRPr="00240A35" w:rsidP="00436B01" w14:paraId="7E3A01BD" w14:textId="0A0C40E4">
            <w:pPr>
              <w:jc w:val="right"/>
              <w:rPr>
                <w:rFonts w:ascii="Arial" w:hAnsi="Arial" w:cs="Arial"/>
                <w:sz w:val="16"/>
                <w:szCs w:val="16"/>
              </w:rPr>
            </w:pPr>
            <w:r>
              <w:rPr>
                <w:rFonts w:ascii="Arial" w:hAnsi="Arial" w:cs="Arial"/>
                <w:sz w:val="16"/>
                <w:szCs w:val="16"/>
              </w:rPr>
              <w:t>5</w:t>
            </w:r>
          </w:p>
        </w:tc>
        <w:tc>
          <w:tcPr>
            <w:tcW w:w="1260" w:type="dxa"/>
            <w:vAlign w:val="center"/>
            <w:hideMark/>
          </w:tcPr>
          <w:p w:rsidR="00240A35" w:rsidRPr="00240A35" w:rsidP="00436B01" w14:paraId="12619A23" w14:textId="57E1F3FB">
            <w:pPr>
              <w:jc w:val="right"/>
              <w:rPr>
                <w:rFonts w:ascii="Arial" w:hAnsi="Arial" w:cs="Arial"/>
                <w:sz w:val="16"/>
                <w:szCs w:val="16"/>
              </w:rPr>
            </w:pPr>
            <w:r>
              <w:rPr>
                <w:rFonts w:ascii="Arial" w:hAnsi="Arial" w:cs="Arial"/>
                <w:sz w:val="16"/>
                <w:szCs w:val="16"/>
              </w:rPr>
              <w:t>5</w:t>
            </w:r>
          </w:p>
        </w:tc>
        <w:tc>
          <w:tcPr>
            <w:tcW w:w="900" w:type="dxa"/>
            <w:vAlign w:val="center"/>
            <w:hideMark/>
          </w:tcPr>
          <w:p w:rsidR="00240A35" w:rsidRPr="00240A35" w:rsidP="00436B01" w14:paraId="4562F62C" w14:textId="011DC489">
            <w:pPr>
              <w:jc w:val="right"/>
              <w:rPr>
                <w:rFonts w:ascii="Arial" w:hAnsi="Arial" w:cs="Arial"/>
                <w:sz w:val="16"/>
                <w:szCs w:val="16"/>
              </w:rPr>
            </w:pPr>
            <w:r w:rsidRPr="72C11846">
              <w:rPr>
                <w:rFonts w:ascii="Arial" w:hAnsi="Arial" w:cs="Arial"/>
                <w:color w:val="000000" w:themeColor="text1"/>
                <w:sz w:val="16"/>
                <w:szCs w:val="16"/>
              </w:rPr>
              <w:t>$</w:t>
            </w:r>
            <w:r w:rsidRPr="72C11846" w:rsidR="001B090C">
              <w:rPr>
                <w:rFonts w:ascii="Arial" w:hAnsi="Arial" w:cs="Arial"/>
                <w:color w:val="000000" w:themeColor="text1"/>
                <w:sz w:val="16"/>
                <w:szCs w:val="16"/>
              </w:rPr>
              <w:t>122.</w:t>
            </w:r>
            <w:r w:rsidRPr="72C11846" w:rsidR="7371CE67">
              <w:rPr>
                <w:rFonts w:ascii="Arial" w:hAnsi="Arial" w:cs="Arial"/>
                <w:color w:val="000000" w:themeColor="text1"/>
                <w:sz w:val="16"/>
                <w:szCs w:val="16"/>
              </w:rPr>
              <w:t>8</w:t>
            </w:r>
            <w:r w:rsidRPr="72C11846" w:rsidR="001B090C">
              <w:rPr>
                <w:rFonts w:ascii="Arial" w:hAnsi="Arial" w:cs="Arial"/>
                <w:color w:val="000000" w:themeColor="text1"/>
                <w:sz w:val="16"/>
                <w:szCs w:val="16"/>
              </w:rPr>
              <w:t>5</w:t>
            </w:r>
          </w:p>
        </w:tc>
        <w:tc>
          <w:tcPr>
            <w:tcW w:w="1260" w:type="dxa"/>
            <w:vAlign w:val="center"/>
            <w:hideMark/>
          </w:tcPr>
          <w:p w:rsidR="00240A35" w:rsidRPr="00106452" w:rsidP="00436B01" w14:paraId="008ADE70" w14:textId="423FD008">
            <w:pPr>
              <w:jc w:val="right"/>
              <w:rPr>
                <w:rFonts w:ascii="Arial" w:hAnsi="Arial" w:cs="Arial"/>
                <w:color w:val="000000" w:themeColor="text1"/>
                <w:sz w:val="16"/>
                <w:szCs w:val="16"/>
              </w:rPr>
            </w:pPr>
            <w:r w:rsidRPr="00106452">
              <w:rPr>
                <w:rFonts w:ascii="Arial" w:hAnsi="Arial" w:cs="Arial"/>
                <w:color w:val="000000" w:themeColor="text1"/>
                <w:sz w:val="16"/>
                <w:szCs w:val="16"/>
              </w:rPr>
              <w:t>$</w:t>
            </w:r>
            <w:r w:rsidRPr="00106452" w:rsidR="4B513E92">
              <w:rPr>
                <w:rFonts w:ascii="Arial" w:hAnsi="Arial" w:cs="Arial"/>
                <w:color w:val="000000" w:themeColor="text1"/>
                <w:sz w:val="16"/>
                <w:szCs w:val="16"/>
              </w:rPr>
              <w:t>61</w:t>
            </w:r>
            <w:r w:rsidRPr="00106452" w:rsidR="590B5170">
              <w:rPr>
                <w:rFonts w:ascii="Arial" w:hAnsi="Arial" w:cs="Arial"/>
                <w:color w:val="000000" w:themeColor="text1"/>
                <w:sz w:val="16"/>
                <w:szCs w:val="16"/>
              </w:rPr>
              <w:t>4</w:t>
            </w:r>
          </w:p>
        </w:tc>
      </w:tr>
      <w:tr w14:paraId="6D3A0D3C" w14:textId="77777777" w:rsidTr="00870E68">
        <w:tblPrEx>
          <w:tblW w:w="10435" w:type="dxa"/>
          <w:tblLayout w:type="fixed"/>
          <w:tblLook w:val="04A0"/>
        </w:tblPrEx>
        <w:trPr>
          <w:trHeight w:val="300"/>
        </w:trPr>
        <w:tc>
          <w:tcPr>
            <w:tcW w:w="625" w:type="dxa"/>
            <w:noWrap/>
            <w:hideMark/>
          </w:tcPr>
          <w:p w:rsidR="008F0305" w:rsidRPr="00240A35" w:rsidP="008F0305" w14:paraId="3B887CB8" w14:textId="77777777">
            <w:pPr>
              <w:jc w:val="both"/>
              <w:rPr>
                <w:rFonts w:ascii="Arial" w:hAnsi="Arial" w:cs="Arial"/>
                <w:sz w:val="16"/>
                <w:szCs w:val="16"/>
              </w:rPr>
            </w:pPr>
            <w:r w:rsidRPr="00240A35">
              <w:rPr>
                <w:rFonts w:ascii="Arial" w:hAnsi="Arial" w:cs="Arial"/>
                <w:sz w:val="16"/>
                <w:szCs w:val="16"/>
              </w:rPr>
              <w:t> </w:t>
            </w:r>
          </w:p>
        </w:tc>
        <w:tc>
          <w:tcPr>
            <w:tcW w:w="1890" w:type="dxa"/>
            <w:noWrap/>
            <w:vAlign w:val="center"/>
            <w:hideMark/>
          </w:tcPr>
          <w:p w:rsidR="008F0305" w:rsidRPr="00240A35" w:rsidP="008F0305" w14:paraId="7E256CFE" w14:textId="062D2F82">
            <w:pPr>
              <w:jc w:val="both"/>
              <w:rPr>
                <w:rFonts w:ascii="Arial" w:hAnsi="Arial" w:cs="Arial"/>
                <w:b/>
                <w:sz w:val="16"/>
                <w:szCs w:val="16"/>
              </w:rPr>
            </w:pPr>
            <w:r>
              <w:rPr>
                <w:rFonts w:ascii="Arial" w:hAnsi="Arial" w:cs="Arial"/>
                <w:b/>
                <w:sz w:val="16"/>
                <w:szCs w:val="16"/>
              </w:rPr>
              <w:t>Totals</w:t>
            </w:r>
          </w:p>
        </w:tc>
        <w:tc>
          <w:tcPr>
            <w:tcW w:w="1260" w:type="dxa"/>
            <w:noWrap/>
            <w:vAlign w:val="center"/>
            <w:hideMark/>
          </w:tcPr>
          <w:p w:rsidR="008F0305" w:rsidRPr="00240A35" w:rsidP="008F0305" w14:paraId="7CD3376B" w14:textId="63534F09">
            <w:pPr>
              <w:jc w:val="right"/>
              <w:rPr>
                <w:rFonts w:ascii="Arial" w:hAnsi="Arial" w:cs="Arial"/>
                <w:b/>
                <w:sz w:val="16"/>
                <w:szCs w:val="16"/>
              </w:rPr>
            </w:pPr>
            <w:r>
              <w:rPr>
                <w:rFonts w:ascii="Arial" w:hAnsi="Arial" w:cs="Arial"/>
                <w:b/>
                <w:sz w:val="16"/>
                <w:szCs w:val="16"/>
              </w:rPr>
              <w:t>1,501</w:t>
            </w:r>
          </w:p>
        </w:tc>
        <w:tc>
          <w:tcPr>
            <w:tcW w:w="1170" w:type="dxa"/>
            <w:vAlign w:val="center"/>
          </w:tcPr>
          <w:p w:rsidR="008F0305" w:rsidRPr="00240A35" w:rsidP="008F0305" w14:paraId="4E01FA7B" w14:textId="19944301">
            <w:pPr>
              <w:jc w:val="right"/>
              <w:rPr>
                <w:rFonts w:ascii="Arial" w:hAnsi="Arial" w:cs="Arial"/>
                <w:b/>
                <w:sz w:val="16"/>
                <w:szCs w:val="16"/>
              </w:rPr>
            </w:pPr>
            <w:r w:rsidRPr="00040930">
              <w:rPr>
                <w:rFonts w:ascii="Arial" w:hAnsi="Arial" w:cs="Arial"/>
                <w:b/>
                <w:bCs/>
                <w:sz w:val="16"/>
                <w:szCs w:val="16"/>
              </w:rPr>
              <w:t>- - -</w:t>
            </w:r>
          </w:p>
        </w:tc>
        <w:tc>
          <w:tcPr>
            <w:tcW w:w="1080" w:type="dxa"/>
            <w:noWrap/>
            <w:vAlign w:val="center"/>
            <w:hideMark/>
          </w:tcPr>
          <w:p w:rsidR="008F0305" w:rsidRPr="00240A35" w:rsidP="008F0305" w14:paraId="3CF32F34" w14:textId="74D48745">
            <w:pPr>
              <w:jc w:val="right"/>
              <w:rPr>
                <w:rFonts w:ascii="Arial" w:hAnsi="Arial" w:cs="Arial"/>
                <w:b/>
                <w:sz w:val="16"/>
                <w:szCs w:val="16"/>
              </w:rPr>
            </w:pPr>
            <w:r>
              <w:rPr>
                <w:rFonts w:ascii="Arial" w:hAnsi="Arial" w:cs="Arial"/>
                <w:b/>
                <w:sz w:val="16"/>
                <w:szCs w:val="16"/>
              </w:rPr>
              <w:t>1,501</w:t>
            </w:r>
          </w:p>
        </w:tc>
        <w:tc>
          <w:tcPr>
            <w:tcW w:w="990" w:type="dxa"/>
            <w:noWrap/>
            <w:vAlign w:val="center"/>
            <w:hideMark/>
          </w:tcPr>
          <w:p w:rsidR="008F0305" w:rsidRPr="00240A35" w:rsidP="008F0305" w14:paraId="5866B4A8" w14:textId="64E644B0">
            <w:pPr>
              <w:jc w:val="right"/>
              <w:rPr>
                <w:rFonts w:ascii="Arial" w:hAnsi="Arial" w:cs="Arial"/>
                <w:b/>
                <w:sz w:val="16"/>
                <w:szCs w:val="16"/>
              </w:rPr>
            </w:pPr>
            <w:r w:rsidRPr="00040930">
              <w:rPr>
                <w:rFonts w:ascii="Arial" w:hAnsi="Arial" w:cs="Arial"/>
                <w:b/>
                <w:bCs/>
                <w:sz w:val="16"/>
                <w:szCs w:val="16"/>
              </w:rPr>
              <w:t>- - -</w:t>
            </w:r>
            <w:r w:rsidRPr="00240A35">
              <w:rPr>
                <w:rFonts w:ascii="Arial" w:hAnsi="Arial" w:cs="Arial"/>
                <w:b/>
                <w:sz w:val="16"/>
                <w:szCs w:val="16"/>
              </w:rPr>
              <w:t> </w:t>
            </w:r>
          </w:p>
        </w:tc>
        <w:tc>
          <w:tcPr>
            <w:tcW w:w="1260" w:type="dxa"/>
            <w:noWrap/>
            <w:vAlign w:val="center"/>
            <w:hideMark/>
          </w:tcPr>
          <w:p w:rsidR="008F0305" w:rsidRPr="00240A35" w:rsidP="008F0305" w14:paraId="772D77E8" w14:textId="4CE1A199">
            <w:pPr>
              <w:jc w:val="right"/>
              <w:rPr>
                <w:rFonts w:ascii="Arial" w:hAnsi="Arial" w:cs="Arial"/>
                <w:b/>
                <w:sz w:val="16"/>
                <w:szCs w:val="16"/>
              </w:rPr>
            </w:pPr>
            <w:r>
              <w:rPr>
                <w:rFonts w:ascii="Arial" w:hAnsi="Arial" w:cs="Arial"/>
                <w:b/>
                <w:sz w:val="16"/>
                <w:szCs w:val="16"/>
              </w:rPr>
              <w:t>1,505</w:t>
            </w:r>
          </w:p>
        </w:tc>
        <w:tc>
          <w:tcPr>
            <w:tcW w:w="900" w:type="dxa"/>
            <w:noWrap/>
            <w:vAlign w:val="bottom"/>
            <w:hideMark/>
          </w:tcPr>
          <w:p w:rsidR="008F0305" w:rsidRPr="00240A35" w:rsidP="008F0305" w14:paraId="265DE82F" w14:textId="39B7414A">
            <w:pPr>
              <w:jc w:val="right"/>
              <w:rPr>
                <w:rFonts w:ascii="Arial" w:hAnsi="Arial" w:cs="Arial"/>
                <w:b/>
                <w:sz w:val="16"/>
                <w:szCs w:val="16"/>
              </w:rPr>
            </w:pPr>
            <w:r w:rsidRPr="00040930">
              <w:rPr>
                <w:rFonts w:ascii="Arial" w:hAnsi="Arial" w:cs="Arial"/>
                <w:b/>
                <w:bCs/>
                <w:sz w:val="16"/>
                <w:szCs w:val="16"/>
              </w:rPr>
              <w:t>- - -</w:t>
            </w:r>
            <w:r w:rsidRPr="00240A35">
              <w:rPr>
                <w:rFonts w:ascii="Arial" w:hAnsi="Arial" w:cs="Arial"/>
                <w:color w:val="000000"/>
                <w:sz w:val="16"/>
                <w:szCs w:val="16"/>
              </w:rPr>
              <w:t> </w:t>
            </w:r>
          </w:p>
        </w:tc>
        <w:tc>
          <w:tcPr>
            <w:tcW w:w="1260" w:type="dxa"/>
            <w:noWrap/>
            <w:vAlign w:val="center"/>
            <w:hideMark/>
          </w:tcPr>
          <w:p w:rsidR="008F0305" w:rsidRPr="00106452" w:rsidP="008F0305" w14:paraId="7BA111F0" w14:textId="6BB03FDF">
            <w:pPr>
              <w:jc w:val="right"/>
              <w:rPr>
                <w:rFonts w:ascii="Arial" w:hAnsi="Arial" w:cs="Arial"/>
                <w:b/>
                <w:sz w:val="16"/>
                <w:szCs w:val="16"/>
              </w:rPr>
            </w:pPr>
            <w:r w:rsidRPr="00106452">
              <w:rPr>
                <w:rFonts w:ascii="Arial" w:hAnsi="Arial" w:cs="Arial"/>
                <w:b/>
                <w:bCs/>
                <w:sz w:val="16"/>
                <w:szCs w:val="16"/>
              </w:rPr>
              <w:t>$</w:t>
            </w:r>
            <w:r w:rsidRPr="00106452" w:rsidR="2D19C8DA">
              <w:rPr>
                <w:rFonts w:ascii="Arial" w:hAnsi="Arial" w:cs="Arial"/>
                <w:b/>
                <w:bCs/>
                <w:sz w:val="16"/>
                <w:szCs w:val="16"/>
              </w:rPr>
              <w:t>18</w:t>
            </w:r>
            <w:r w:rsidRPr="00106452" w:rsidR="7B28A1C8">
              <w:rPr>
                <w:rFonts w:ascii="Arial" w:hAnsi="Arial" w:cs="Arial"/>
                <w:b/>
                <w:bCs/>
                <w:sz w:val="16"/>
                <w:szCs w:val="16"/>
              </w:rPr>
              <w:t>4,889</w:t>
            </w:r>
          </w:p>
        </w:tc>
      </w:tr>
    </w:tbl>
    <w:p w:rsidR="00240A35" w:rsidRPr="00476F66" w:rsidP="00636EDA" w14:paraId="530A3D08" w14:textId="77777777">
      <w:pPr>
        <w:widowControl/>
        <w:tabs>
          <w:tab w:val="left" w:pos="-984"/>
          <w:tab w:val="left" w:pos="-720"/>
          <w:tab w:val="left" w:pos="720"/>
        </w:tabs>
        <w:jc w:val="both"/>
        <w:rPr>
          <w:rFonts w:ascii="Arial" w:hAnsi="Arial" w:cs="Arial"/>
          <w:color w:val="0000FF"/>
        </w:rPr>
      </w:pPr>
    </w:p>
    <w:p w:rsidR="00567B74" w:rsidRPr="002E7B48" w:rsidP="00C01057" w14:paraId="2D01BEF9" w14:textId="5D77E62B">
      <w:pPr>
        <w:pStyle w:val="ListParagraph"/>
        <w:widowControl/>
        <w:numPr>
          <w:ilvl w:val="0"/>
          <w:numId w:val="13"/>
        </w:numPr>
        <w:tabs>
          <w:tab w:val="left" w:pos="-984"/>
          <w:tab w:val="left" w:pos="-720"/>
        </w:tabs>
        <w:ind w:left="360"/>
        <w:jc w:val="both"/>
        <w:rPr>
          <w:rFonts w:ascii="Arial" w:hAnsi="Arial" w:cs="Arial"/>
          <w:b/>
          <w:sz w:val="32"/>
        </w:rPr>
      </w:pPr>
      <w:r w:rsidRPr="002E7B48">
        <w:rPr>
          <w:rFonts w:ascii="Arial" w:hAnsi="Arial" w:cs="Arial"/>
          <w:b/>
          <w:szCs w:val="20"/>
        </w:rPr>
        <w:t xml:space="preserve">Provide an estimate for the total annual cost burden to respondents or record keepers resulting from the collection of information. (Do not include the cost of any hour burden already reflected on the burden worksheet). </w:t>
      </w:r>
    </w:p>
    <w:p w:rsidR="00567B74" w:rsidRPr="002E7B48" w:rsidP="00C01057" w14:paraId="37083086" w14:textId="77777777">
      <w:pPr>
        <w:widowControl/>
        <w:numPr>
          <w:ilvl w:val="0"/>
          <w:numId w:val="7"/>
        </w:numPr>
        <w:autoSpaceDE/>
        <w:autoSpaceDN/>
        <w:adjustRightInd/>
        <w:jc w:val="both"/>
        <w:rPr>
          <w:rFonts w:ascii="Arial" w:hAnsi="Arial" w:cs="Arial"/>
          <w:b/>
          <w:szCs w:val="20"/>
        </w:rPr>
      </w:pPr>
      <w:r w:rsidRPr="002E7B48">
        <w:rPr>
          <w:rFonts w:ascii="Arial" w:hAnsi="Arial" w:cs="Arial"/>
          <w:b/>
          <w:szCs w:val="20"/>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567B74" w:rsidRPr="002E7B48" w:rsidP="00C01057" w14:paraId="503A44E4" w14:textId="77777777">
      <w:pPr>
        <w:widowControl/>
        <w:numPr>
          <w:ilvl w:val="0"/>
          <w:numId w:val="7"/>
        </w:numPr>
        <w:autoSpaceDE/>
        <w:autoSpaceDN/>
        <w:adjustRightInd/>
        <w:jc w:val="both"/>
        <w:rPr>
          <w:rFonts w:ascii="Arial" w:hAnsi="Arial" w:cs="Arial"/>
          <w:b/>
          <w:szCs w:val="20"/>
        </w:rPr>
      </w:pPr>
      <w:r w:rsidRPr="002E7B48">
        <w:rPr>
          <w:rFonts w:ascii="Arial" w:hAnsi="Arial" w:cs="Arial"/>
          <w:b/>
          <w:szCs w:val="20"/>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67B74" w:rsidP="00636EDA" w14:paraId="7D28C1DF"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auto"/>
        </w:rPr>
      </w:pPr>
    </w:p>
    <w:p w:rsidR="00E614F2" w:rsidP="00636EDA" w14:paraId="1E09C2E0" w14:textId="0D312092">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auto"/>
        </w:rPr>
      </w:pPr>
      <w:r>
        <w:rPr>
          <w:bCs/>
          <w:color w:val="auto"/>
        </w:rPr>
        <w:t xml:space="preserve">This collection has non-hourly cost burdens in </w:t>
      </w:r>
      <w:r w:rsidR="00A53FA1">
        <w:rPr>
          <w:bCs/>
          <w:color w:val="auto"/>
        </w:rPr>
        <w:t>capital start-up costs</w:t>
      </w:r>
      <w:r>
        <w:rPr>
          <w:bCs/>
          <w:color w:val="auto"/>
        </w:rPr>
        <w:t xml:space="preserve"> and associated postage costs for mailing items to USPTO.  </w:t>
      </w:r>
    </w:p>
    <w:p w:rsidR="00E614F2" w:rsidP="00636EDA" w14:paraId="7785DBFF" w14:textId="14F4FFA1">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auto"/>
        </w:rPr>
      </w:pPr>
    </w:p>
    <w:p w:rsidR="00240A35" w:rsidRPr="00241134" w:rsidP="00636EDA" w14:paraId="15FF9084" w14:textId="2F07ED1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FF0000"/>
        </w:rPr>
      </w:pPr>
      <w:r w:rsidRPr="00DF130C">
        <w:rPr>
          <w:bCs/>
          <w:color w:val="auto"/>
        </w:rPr>
        <w:t xml:space="preserve">The total non-hour </w:t>
      </w:r>
      <w:r>
        <w:rPr>
          <w:bCs/>
          <w:color w:val="auto"/>
        </w:rPr>
        <w:t xml:space="preserve">respondent </w:t>
      </w:r>
      <w:r w:rsidRPr="00DF130C">
        <w:rPr>
          <w:bCs/>
          <w:color w:val="auto"/>
        </w:rPr>
        <w:t xml:space="preserve">cost burden for this collection is estimated to be </w:t>
      </w:r>
      <w:r w:rsidRPr="002A37BB">
        <w:rPr>
          <w:bCs/>
          <w:color w:val="auto"/>
        </w:rPr>
        <w:t>$</w:t>
      </w:r>
      <w:r w:rsidR="0022276B">
        <w:rPr>
          <w:bCs/>
          <w:color w:val="auto"/>
        </w:rPr>
        <w:t>4,306,51</w:t>
      </w:r>
      <w:r w:rsidR="001C2011">
        <w:rPr>
          <w:bCs/>
          <w:color w:val="auto"/>
        </w:rPr>
        <w:t>2</w:t>
      </w:r>
      <w:r>
        <w:rPr>
          <w:bCs/>
          <w:color w:val="auto"/>
        </w:rPr>
        <w:t xml:space="preserve"> </w:t>
      </w:r>
      <w:r w:rsidRPr="002A37BB">
        <w:rPr>
          <w:bCs/>
          <w:color w:val="auto"/>
        </w:rPr>
        <w:t xml:space="preserve">per year, which includes </w:t>
      </w:r>
      <w:r w:rsidRPr="00740406">
        <w:rPr>
          <w:color w:val="auto"/>
        </w:rPr>
        <w:t>$</w:t>
      </w:r>
      <w:r w:rsidR="00F60683">
        <w:rPr>
          <w:color w:val="auto"/>
        </w:rPr>
        <w:t>3,750,00</w:t>
      </w:r>
      <w:r w:rsidRPr="002A37BB">
        <w:rPr>
          <w:color w:val="auto"/>
        </w:rPr>
        <w:t xml:space="preserve"> </w:t>
      </w:r>
      <w:r w:rsidRPr="002A37BB">
        <w:rPr>
          <w:bCs/>
          <w:color w:val="auto"/>
        </w:rPr>
        <w:t xml:space="preserve">in </w:t>
      </w:r>
      <w:r w:rsidR="00A53FA1">
        <w:rPr>
          <w:bCs/>
          <w:color w:val="auto"/>
        </w:rPr>
        <w:t>ca</w:t>
      </w:r>
      <w:r w:rsidR="00086FD6">
        <w:rPr>
          <w:bCs/>
          <w:color w:val="auto"/>
        </w:rPr>
        <w:t>pital start-up costs</w:t>
      </w:r>
      <w:r w:rsidRPr="002A37BB">
        <w:rPr>
          <w:bCs/>
          <w:color w:val="auto"/>
        </w:rPr>
        <w:t xml:space="preserve"> and $</w:t>
      </w:r>
      <w:r w:rsidR="000100E8">
        <w:t>556,5</w:t>
      </w:r>
      <w:r w:rsidR="0022276B">
        <w:t>1</w:t>
      </w:r>
      <w:r w:rsidR="001C2011">
        <w:t>2</w:t>
      </w:r>
      <w:r w:rsidRPr="002A37BB">
        <w:rPr>
          <w:color w:val="auto"/>
        </w:rPr>
        <w:t xml:space="preserve"> in </w:t>
      </w:r>
      <w:r w:rsidRPr="002A37BB">
        <w:rPr>
          <w:bCs/>
          <w:color w:val="auto"/>
        </w:rPr>
        <w:t>postage.</w:t>
      </w:r>
    </w:p>
    <w:p w:rsidR="00636EDA" w:rsidP="00636EDA" w14:paraId="79D4A139" w14:textId="77777777">
      <w:pPr>
        <w:widowControl/>
        <w:tabs>
          <w:tab w:val="left" w:pos="-984"/>
          <w:tab w:val="left" w:pos="-720"/>
          <w:tab w:val="left" w:pos="720"/>
        </w:tabs>
        <w:jc w:val="both"/>
        <w:rPr>
          <w:rFonts w:ascii="Arial" w:hAnsi="Arial" w:cs="Arial"/>
          <w:color w:val="0000FF"/>
        </w:rPr>
      </w:pPr>
    </w:p>
    <w:p w:rsidR="00F64F9A" w:rsidP="00F64F9A" w14:paraId="22844FEA" w14:textId="5FC8EB95">
      <w:pPr>
        <w:pStyle w:val="NoSpacing"/>
        <w:rPr>
          <w:rFonts w:ascii="Arial" w:hAnsi="Arial" w:cs="Arial"/>
          <w:sz w:val="24"/>
          <w:szCs w:val="24"/>
          <w:u w:val="single"/>
        </w:rPr>
      </w:pPr>
      <w:r w:rsidRPr="00F64F9A">
        <w:rPr>
          <w:rFonts w:ascii="Arial" w:hAnsi="Arial" w:cs="Arial"/>
          <w:sz w:val="24"/>
          <w:szCs w:val="24"/>
          <w:u w:val="single"/>
        </w:rPr>
        <w:t>Capital Start-Up Costs</w:t>
      </w:r>
    </w:p>
    <w:p w:rsidR="00F64F9A" w:rsidRPr="00F64F9A" w:rsidP="00F64F9A" w14:paraId="75905730" w14:textId="77777777">
      <w:pPr>
        <w:pStyle w:val="NoSpacing"/>
        <w:rPr>
          <w:rFonts w:ascii="Arial" w:hAnsi="Arial" w:cs="Arial"/>
          <w:sz w:val="24"/>
          <w:szCs w:val="24"/>
        </w:rPr>
      </w:pPr>
    </w:p>
    <w:p w:rsidR="00F64F9A" w:rsidP="00F64F9A" w14:paraId="48FA9A06" w14:textId="620B6F6D">
      <w:pPr>
        <w:pStyle w:val="NoSpacing"/>
        <w:jc w:val="both"/>
        <w:rPr>
          <w:rFonts w:ascii="Arial" w:hAnsi="Arial" w:cs="Arial"/>
          <w:sz w:val="24"/>
          <w:szCs w:val="24"/>
        </w:rPr>
      </w:pPr>
      <w:r w:rsidRPr="00F64F9A">
        <w:rPr>
          <w:rFonts w:ascii="Arial" w:hAnsi="Arial" w:cs="Arial"/>
          <w:sz w:val="24"/>
          <w:szCs w:val="24"/>
        </w:rPr>
        <w:t>Depositories charge fees to depositors, and all depositories charge about the same rates for their services. For example, the ATCC, one of the world’s leading biological supply houses and recognized patent depositories, offers comprehensive patent services for $2,500 per deposit</w:t>
      </w:r>
      <w:r w:rsidR="00C4768B">
        <w:rPr>
          <w:rFonts w:ascii="Arial" w:hAnsi="Arial" w:cs="Arial"/>
          <w:sz w:val="24"/>
          <w:szCs w:val="24"/>
        </w:rPr>
        <w:t>.</w:t>
      </w:r>
      <w:r>
        <w:rPr>
          <w:rStyle w:val="FootnoteReference"/>
          <w:rFonts w:ascii="Arial" w:hAnsi="Arial" w:cs="Arial"/>
          <w:sz w:val="24"/>
          <w:szCs w:val="24"/>
        </w:rPr>
        <w:footnoteReference w:id="7"/>
      </w:r>
      <w:r w:rsidRPr="00F64F9A">
        <w:rPr>
          <w:rFonts w:ascii="Arial" w:hAnsi="Arial" w:cs="Arial"/>
          <w:sz w:val="24"/>
          <w:szCs w:val="24"/>
        </w:rPr>
        <w:t xml:space="preserve"> Any deposit made from outside the US may have additional requirements from other federal agencies as part of their importation process. For the purposes of this information collection, the USPTO estimates that the depository fee is $2,500 per deposit.</w:t>
      </w:r>
    </w:p>
    <w:p w:rsidR="00F64F9A" w:rsidRPr="00F64F9A" w:rsidP="00F64F9A" w14:paraId="0F7F30EA" w14:textId="77777777">
      <w:pPr>
        <w:pStyle w:val="NoSpacing"/>
        <w:jc w:val="both"/>
        <w:rPr>
          <w:rFonts w:ascii="Arial" w:hAnsi="Arial" w:cs="Arial"/>
          <w:sz w:val="24"/>
          <w:szCs w:val="24"/>
        </w:rPr>
      </w:pPr>
    </w:p>
    <w:p w:rsidR="00F64F9A" w:rsidRPr="00572FB0" w:rsidP="00F64F9A" w14:paraId="50F3C619" w14:textId="3FC94D46">
      <w:pPr>
        <w:pStyle w:val="NoSpacing"/>
        <w:rPr>
          <w:rFonts w:ascii="Arial" w:hAnsi="Arial" w:cs="Arial"/>
          <w:b/>
          <w:bCs/>
          <w:sz w:val="20"/>
          <w:szCs w:val="20"/>
        </w:rPr>
      </w:pPr>
      <w:r w:rsidRPr="00572FB0">
        <w:rPr>
          <w:rFonts w:ascii="Arial" w:hAnsi="Arial" w:cs="Arial"/>
          <w:b/>
          <w:bCs/>
          <w:sz w:val="20"/>
          <w:szCs w:val="20"/>
        </w:rPr>
        <w:t xml:space="preserve">Table </w:t>
      </w:r>
      <w:r w:rsidR="00572FB0">
        <w:rPr>
          <w:rFonts w:ascii="Arial" w:hAnsi="Arial" w:cs="Arial"/>
          <w:b/>
          <w:bCs/>
          <w:sz w:val="20"/>
          <w:szCs w:val="20"/>
        </w:rPr>
        <w:t>4</w:t>
      </w:r>
      <w:r w:rsidRPr="00572FB0">
        <w:rPr>
          <w:rFonts w:ascii="Arial" w:hAnsi="Arial" w:cs="Arial"/>
          <w:b/>
          <w:bCs/>
          <w:sz w:val="20"/>
          <w:szCs w:val="20"/>
        </w:rPr>
        <w:t>: Capital Start Up Costs</w:t>
      </w:r>
    </w:p>
    <w:tbl>
      <w:tblPr>
        <w:tblStyle w:val="TableGrid"/>
        <w:tblW w:w="5000" w:type="pct"/>
        <w:tblLook w:val="04A0"/>
      </w:tblPr>
      <w:tblGrid>
        <w:gridCol w:w="910"/>
        <w:gridCol w:w="3598"/>
        <w:gridCol w:w="1586"/>
        <w:gridCol w:w="1814"/>
        <w:gridCol w:w="1442"/>
      </w:tblGrid>
      <w:tr w14:paraId="3A3DB236" w14:textId="77777777" w:rsidTr="00C4768B">
        <w:tblPrEx>
          <w:tblW w:w="5000" w:type="pct"/>
          <w:tblLook w:val="04A0"/>
        </w:tblPrEx>
        <w:trPr>
          <w:cantSplit/>
          <w:tblHeader/>
        </w:trPr>
        <w:tc>
          <w:tcPr>
            <w:tcW w:w="486" w:type="pct"/>
            <w:shd w:val="clear" w:color="auto" w:fill="B8CCE4" w:themeFill="accent1" w:themeFillTint="66"/>
          </w:tcPr>
          <w:p w:rsidR="00F64F9A" w:rsidRPr="00C4768B" w:rsidP="00F64F9A" w14:paraId="330398D4" w14:textId="77777777">
            <w:pPr>
              <w:pStyle w:val="NoSpacing"/>
              <w:jc w:val="center"/>
              <w:rPr>
                <w:rFonts w:ascii="Arial" w:hAnsi="Arial" w:cs="Arial"/>
                <w:b/>
                <w:sz w:val="16"/>
                <w:szCs w:val="16"/>
              </w:rPr>
            </w:pPr>
            <w:r w:rsidRPr="00C4768B">
              <w:rPr>
                <w:rFonts w:ascii="Arial" w:hAnsi="Arial" w:cs="Arial"/>
                <w:b/>
                <w:sz w:val="16"/>
                <w:szCs w:val="16"/>
              </w:rPr>
              <w:t>Item No.</w:t>
            </w:r>
          </w:p>
        </w:tc>
        <w:tc>
          <w:tcPr>
            <w:tcW w:w="1924" w:type="pct"/>
            <w:shd w:val="clear" w:color="auto" w:fill="B8CCE4" w:themeFill="accent1" w:themeFillTint="66"/>
          </w:tcPr>
          <w:p w:rsidR="00F64F9A" w:rsidRPr="00C4768B" w:rsidP="00F64F9A" w14:paraId="2C0ADE80" w14:textId="77777777">
            <w:pPr>
              <w:pStyle w:val="NoSpacing"/>
              <w:jc w:val="center"/>
              <w:rPr>
                <w:rFonts w:ascii="Arial" w:hAnsi="Arial" w:cs="Arial"/>
                <w:b/>
                <w:sz w:val="16"/>
                <w:szCs w:val="16"/>
              </w:rPr>
            </w:pPr>
            <w:r w:rsidRPr="00C4768B">
              <w:rPr>
                <w:rFonts w:ascii="Arial" w:hAnsi="Arial" w:cs="Arial"/>
                <w:b/>
                <w:sz w:val="16"/>
                <w:szCs w:val="16"/>
              </w:rPr>
              <w:t>Item</w:t>
            </w:r>
          </w:p>
        </w:tc>
        <w:tc>
          <w:tcPr>
            <w:tcW w:w="848" w:type="pct"/>
            <w:shd w:val="clear" w:color="auto" w:fill="B8CCE4" w:themeFill="accent1" w:themeFillTint="66"/>
            <w:vAlign w:val="center"/>
          </w:tcPr>
          <w:p w:rsidR="00F64F9A" w:rsidRPr="00C4768B" w:rsidP="00F64F9A" w14:paraId="3806940A" w14:textId="77777777">
            <w:pPr>
              <w:pStyle w:val="NoSpacing"/>
              <w:jc w:val="center"/>
              <w:rPr>
                <w:rFonts w:ascii="Arial" w:hAnsi="Arial" w:cs="Arial"/>
                <w:b/>
                <w:sz w:val="16"/>
                <w:szCs w:val="16"/>
              </w:rPr>
            </w:pPr>
            <w:r w:rsidRPr="00C4768B">
              <w:rPr>
                <w:rFonts w:ascii="Arial" w:hAnsi="Arial" w:cs="Arial"/>
                <w:b/>
                <w:sz w:val="16"/>
                <w:szCs w:val="16"/>
              </w:rPr>
              <w:t>Estimated Annual Responses</w:t>
            </w:r>
          </w:p>
          <w:p w:rsidR="00F64F9A" w:rsidRPr="00C4768B" w:rsidP="00F64F9A" w14:paraId="6F6A1EAB" w14:textId="77777777">
            <w:pPr>
              <w:pStyle w:val="NoSpacing"/>
              <w:jc w:val="center"/>
              <w:rPr>
                <w:rFonts w:ascii="Arial" w:hAnsi="Arial" w:cs="Arial"/>
                <w:b/>
                <w:sz w:val="16"/>
                <w:szCs w:val="16"/>
              </w:rPr>
            </w:pPr>
          </w:p>
          <w:p w:rsidR="00F64F9A" w:rsidRPr="00C4768B" w:rsidP="00F64F9A" w14:paraId="55277A8F" w14:textId="77777777">
            <w:pPr>
              <w:pStyle w:val="NoSpacing"/>
              <w:jc w:val="center"/>
              <w:rPr>
                <w:rFonts w:ascii="Arial" w:hAnsi="Arial" w:cs="Arial"/>
                <w:b/>
                <w:sz w:val="16"/>
                <w:szCs w:val="16"/>
              </w:rPr>
            </w:pPr>
            <w:r w:rsidRPr="00C4768B">
              <w:rPr>
                <w:rFonts w:ascii="Arial" w:hAnsi="Arial" w:cs="Arial"/>
                <w:b/>
                <w:sz w:val="16"/>
                <w:szCs w:val="16"/>
              </w:rPr>
              <w:t>(a)</w:t>
            </w:r>
          </w:p>
        </w:tc>
        <w:tc>
          <w:tcPr>
            <w:tcW w:w="970" w:type="pct"/>
            <w:shd w:val="clear" w:color="auto" w:fill="B8CCE4" w:themeFill="accent1" w:themeFillTint="66"/>
          </w:tcPr>
          <w:p w:rsidR="00F64F9A" w:rsidRPr="00C4768B" w:rsidP="00F64F9A" w14:paraId="6695A447" w14:textId="77777777">
            <w:pPr>
              <w:pStyle w:val="NoSpacing"/>
              <w:jc w:val="center"/>
              <w:rPr>
                <w:rFonts w:ascii="Arial" w:hAnsi="Arial" w:cs="Arial"/>
                <w:b/>
                <w:sz w:val="16"/>
                <w:szCs w:val="16"/>
              </w:rPr>
            </w:pPr>
            <w:r w:rsidRPr="00C4768B">
              <w:rPr>
                <w:rFonts w:ascii="Arial" w:hAnsi="Arial" w:cs="Arial"/>
                <w:b/>
                <w:sz w:val="16"/>
                <w:szCs w:val="16"/>
              </w:rPr>
              <w:t>Filing Fee</w:t>
            </w:r>
          </w:p>
          <w:p w:rsidR="00F64F9A" w:rsidRPr="00C4768B" w:rsidP="00F64F9A" w14:paraId="15CC19F4" w14:textId="77777777">
            <w:pPr>
              <w:pStyle w:val="NoSpacing"/>
              <w:jc w:val="center"/>
              <w:rPr>
                <w:rFonts w:ascii="Arial" w:hAnsi="Arial" w:cs="Arial"/>
                <w:b/>
                <w:sz w:val="16"/>
                <w:szCs w:val="16"/>
              </w:rPr>
            </w:pPr>
            <w:r w:rsidRPr="00C4768B">
              <w:rPr>
                <w:rFonts w:ascii="Arial" w:hAnsi="Arial" w:cs="Arial"/>
                <w:b/>
                <w:sz w:val="16"/>
                <w:szCs w:val="16"/>
              </w:rPr>
              <w:t>($)</w:t>
            </w:r>
          </w:p>
          <w:p w:rsidR="00F64F9A" w:rsidRPr="00C4768B" w:rsidP="00F64F9A" w14:paraId="520C572B" w14:textId="77777777">
            <w:pPr>
              <w:pStyle w:val="NoSpacing"/>
              <w:jc w:val="center"/>
              <w:rPr>
                <w:rFonts w:ascii="Arial" w:hAnsi="Arial" w:cs="Arial"/>
                <w:b/>
                <w:sz w:val="16"/>
                <w:szCs w:val="16"/>
              </w:rPr>
            </w:pPr>
          </w:p>
          <w:p w:rsidR="00F64F9A" w:rsidRPr="00C4768B" w:rsidP="00F64F9A" w14:paraId="3E78E8EF" w14:textId="77777777">
            <w:pPr>
              <w:pStyle w:val="NoSpacing"/>
              <w:jc w:val="center"/>
              <w:rPr>
                <w:rFonts w:ascii="Arial" w:hAnsi="Arial" w:cs="Arial"/>
                <w:b/>
                <w:sz w:val="16"/>
                <w:szCs w:val="16"/>
              </w:rPr>
            </w:pPr>
            <w:r w:rsidRPr="00C4768B">
              <w:rPr>
                <w:rFonts w:ascii="Arial" w:hAnsi="Arial" w:cs="Arial"/>
                <w:b/>
                <w:sz w:val="16"/>
                <w:szCs w:val="16"/>
              </w:rPr>
              <w:t>(b)</w:t>
            </w:r>
          </w:p>
        </w:tc>
        <w:tc>
          <w:tcPr>
            <w:tcW w:w="771" w:type="pct"/>
            <w:shd w:val="clear" w:color="auto" w:fill="B8CCE4" w:themeFill="accent1" w:themeFillTint="66"/>
          </w:tcPr>
          <w:p w:rsidR="00F64F9A" w:rsidRPr="00C4768B" w:rsidP="00F64F9A" w14:paraId="3F8CEA46" w14:textId="77777777">
            <w:pPr>
              <w:pStyle w:val="NoSpacing"/>
              <w:jc w:val="center"/>
              <w:rPr>
                <w:rFonts w:ascii="Arial" w:hAnsi="Arial" w:cs="Arial"/>
                <w:b/>
                <w:sz w:val="16"/>
                <w:szCs w:val="16"/>
              </w:rPr>
            </w:pPr>
            <w:r w:rsidRPr="00C4768B">
              <w:rPr>
                <w:rFonts w:ascii="Arial" w:hAnsi="Arial" w:cs="Arial"/>
                <w:b/>
                <w:sz w:val="16"/>
                <w:szCs w:val="16"/>
              </w:rPr>
              <w:t>Non-hourly Cost Burden</w:t>
            </w:r>
          </w:p>
          <w:p w:rsidR="00F64F9A" w:rsidRPr="00C4768B" w:rsidP="00F64F9A" w14:paraId="1C0443EB" w14:textId="77777777">
            <w:pPr>
              <w:pStyle w:val="NoSpacing"/>
              <w:jc w:val="center"/>
              <w:rPr>
                <w:rFonts w:ascii="Arial" w:hAnsi="Arial" w:cs="Arial"/>
                <w:b/>
                <w:sz w:val="16"/>
                <w:szCs w:val="16"/>
              </w:rPr>
            </w:pPr>
          </w:p>
          <w:p w:rsidR="00F64F9A" w:rsidRPr="00C4768B" w:rsidP="00F64F9A" w14:paraId="6AAE4298" w14:textId="77777777">
            <w:pPr>
              <w:pStyle w:val="NoSpacing"/>
              <w:jc w:val="center"/>
              <w:rPr>
                <w:rFonts w:ascii="Arial" w:hAnsi="Arial" w:cs="Arial"/>
                <w:b/>
                <w:sz w:val="16"/>
                <w:szCs w:val="16"/>
              </w:rPr>
            </w:pPr>
            <w:r w:rsidRPr="00C4768B">
              <w:rPr>
                <w:rFonts w:ascii="Arial" w:hAnsi="Arial" w:cs="Arial"/>
                <w:b/>
                <w:sz w:val="16"/>
                <w:szCs w:val="16"/>
              </w:rPr>
              <w:t>(a) x (b) = (c)</w:t>
            </w:r>
          </w:p>
        </w:tc>
      </w:tr>
      <w:tr w14:paraId="0342ECD9" w14:textId="77777777" w:rsidTr="00C4768B">
        <w:tblPrEx>
          <w:tblW w:w="5000" w:type="pct"/>
          <w:tblLook w:val="04A0"/>
        </w:tblPrEx>
        <w:tc>
          <w:tcPr>
            <w:tcW w:w="486" w:type="pct"/>
            <w:vAlign w:val="center"/>
          </w:tcPr>
          <w:p w:rsidR="00F64F9A" w:rsidRPr="00C4768B" w:rsidP="00F64F9A" w14:paraId="6BEA9828" w14:textId="77777777">
            <w:pPr>
              <w:pStyle w:val="NoSpacing"/>
              <w:jc w:val="center"/>
              <w:rPr>
                <w:rFonts w:ascii="Arial" w:hAnsi="Arial" w:cs="Arial"/>
                <w:b/>
                <w:sz w:val="16"/>
                <w:szCs w:val="16"/>
              </w:rPr>
            </w:pPr>
            <w:r w:rsidRPr="00C4768B">
              <w:rPr>
                <w:rFonts w:ascii="Arial" w:hAnsi="Arial" w:cs="Arial"/>
                <w:b/>
                <w:sz w:val="16"/>
                <w:szCs w:val="16"/>
              </w:rPr>
              <w:t>1</w:t>
            </w:r>
          </w:p>
        </w:tc>
        <w:tc>
          <w:tcPr>
            <w:tcW w:w="1924" w:type="pct"/>
            <w:vAlign w:val="center"/>
          </w:tcPr>
          <w:p w:rsidR="00F64F9A" w:rsidRPr="00C4768B" w:rsidP="00F64F9A" w14:paraId="21DC2EDE" w14:textId="1796F8E8">
            <w:pPr>
              <w:pStyle w:val="NoSpacing"/>
              <w:rPr>
                <w:rFonts w:ascii="Arial" w:hAnsi="Arial" w:cs="Arial"/>
                <w:sz w:val="16"/>
                <w:szCs w:val="16"/>
              </w:rPr>
            </w:pPr>
            <w:r w:rsidRPr="00C4768B">
              <w:rPr>
                <w:rFonts w:ascii="Arial" w:hAnsi="Arial" w:cs="Arial"/>
                <w:sz w:val="16"/>
                <w:szCs w:val="16"/>
              </w:rPr>
              <w:t>Deposit</w:t>
            </w:r>
            <w:r w:rsidRPr="00C4768B" w:rsidR="00246C59">
              <w:rPr>
                <w:rFonts w:ascii="Arial" w:hAnsi="Arial" w:cs="Arial"/>
                <w:sz w:val="16"/>
                <w:szCs w:val="16"/>
              </w:rPr>
              <w:t xml:space="preserve"> of Biological </w:t>
            </w:r>
            <w:r w:rsidRPr="00C4768B">
              <w:rPr>
                <w:rFonts w:ascii="Arial" w:hAnsi="Arial" w:cs="Arial"/>
                <w:sz w:val="16"/>
                <w:szCs w:val="16"/>
              </w:rPr>
              <w:t>Materials Depository Fee</w:t>
            </w:r>
          </w:p>
        </w:tc>
        <w:tc>
          <w:tcPr>
            <w:tcW w:w="848" w:type="pct"/>
            <w:shd w:val="clear" w:color="auto" w:fill="FFFFFF" w:themeFill="background1"/>
            <w:vAlign w:val="center"/>
          </w:tcPr>
          <w:p w:rsidR="00F64F9A" w:rsidRPr="00C4768B" w:rsidP="00F64F9A" w14:paraId="16FEC9B3" w14:textId="73BFF491">
            <w:pPr>
              <w:pStyle w:val="NoSpacing"/>
              <w:jc w:val="right"/>
              <w:rPr>
                <w:rFonts w:ascii="Arial" w:hAnsi="Arial" w:cs="Arial"/>
                <w:sz w:val="16"/>
                <w:szCs w:val="16"/>
              </w:rPr>
            </w:pPr>
            <w:r w:rsidRPr="00C4768B">
              <w:rPr>
                <w:rFonts w:ascii="Arial" w:hAnsi="Arial" w:cs="Arial"/>
                <w:sz w:val="16"/>
                <w:szCs w:val="16"/>
              </w:rPr>
              <w:t>1,500</w:t>
            </w:r>
          </w:p>
        </w:tc>
        <w:tc>
          <w:tcPr>
            <w:tcW w:w="970" w:type="pct"/>
            <w:shd w:val="clear" w:color="auto" w:fill="FFFFFF" w:themeFill="background1"/>
            <w:vAlign w:val="center"/>
          </w:tcPr>
          <w:p w:rsidR="00F64F9A" w:rsidRPr="00C4768B" w:rsidP="00F64F9A" w14:paraId="478CA3B4" w14:textId="77777777">
            <w:pPr>
              <w:pStyle w:val="NoSpacing"/>
              <w:jc w:val="right"/>
              <w:rPr>
                <w:rFonts w:ascii="Arial" w:hAnsi="Arial" w:cs="Arial"/>
                <w:sz w:val="16"/>
                <w:szCs w:val="16"/>
              </w:rPr>
            </w:pPr>
            <w:r w:rsidRPr="00C4768B">
              <w:rPr>
                <w:rFonts w:ascii="Arial" w:hAnsi="Arial" w:cs="Arial"/>
                <w:sz w:val="16"/>
                <w:szCs w:val="16"/>
              </w:rPr>
              <w:t>$2,500</w:t>
            </w:r>
          </w:p>
        </w:tc>
        <w:tc>
          <w:tcPr>
            <w:tcW w:w="771" w:type="pct"/>
            <w:vAlign w:val="center"/>
          </w:tcPr>
          <w:p w:rsidR="00F64F9A" w:rsidRPr="00C4768B" w:rsidP="00F64F9A" w14:paraId="79711BC2" w14:textId="628EBE4C">
            <w:pPr>
              <w:pStyle w:val="NoSpacing"/>
              <w:jc w:val="right"/>
              <w:rPr>
                <w:rFonts w:ascii="Arial" w:hAnsi="Arial" w:cs="Arial"/>
                <w:sz w:val="16"/>
                <w:szCs w:val="16"/>
              </w:rPr>
            </w:pPr>
            <w:r w:rsidRPr="00C4768B">
              <w:rPr>
                <w:rFonts w:ascii="Arial" w:hAnsi="Arial" w:cs="Arial"/>
                <w:sz w:val="16"/>
                <w:szCs w:val="16"/>
              </w:rPr>
              <w:t>$3,750,000</w:t>
            </w:r>
          </w:p>
        </w:tc>
      </w:tr>
      <w:tr w14:paraId="53B677A6" w14:textId="77777777" w:rsidTr="00C4768B">
        <w:tblPrEx>
          <w:tblW w:w="5000" w:type="pct"/>
          <w:tblLook w:val="04A0"/>
        </w:tblPrEx>
        <w:tc>
          <w:tcPr>
            <w:tcW w:w="486" w:type="pct"/>
            <w:vAlign w:val="center"/>
          </w:tcPr>
          <w:p w:rsidR="00F64F9A" w:rsidRPr="00C4768B" w:rsidP="00F64F9A" w14:paraId="3984EE9D" w14:textId="77777777">
            <w:pPr>
              <w:pStyle w:val="NoSpacing"/>
              <w:rPr>
                <w:rFonts w:ascii="Arial" w:hAnsi="Arial" w:cs="Arial"/>
                <w:b/>
                <w:sz w:val="16"/>
                <w:szCs w:val="16"/>
              </w:rPr>
            </w:pPr>
          </w:p>
        </w:tc>
        <w:tc>
          <w:tcPr>
            <w:tcW w:w="1924" w:type="pct"/>
            <w:vAlign w:val="center"/>
          </w:tcPr>
          <w:p w:rsidR="00F64F9A" w:rsidRPr="00C4768B" w:rsidP="00F64F9A" w14:paraId="3BC2D634" w14:textId="77777777">
            <w:pPr>
              <w:pStyle w:val="NoSpacing"/>
              <w:rPr>
                <w:rFonts w:ascii="Arial" w:hAnsi="Arial" w:cs="Arial"/>
                <w:b/>
                <w:sz w:val="16"/>
                <w:szCs w:val="16"/>
              </w:rPr>
            </w:pPr>
            <w:r w:rsidRPr="00C4768B">
              <w:rPr>
                <w:rFonts w:ascii="Arial" w:hAnsi="Arial" w:cs="Arial"/>
                <w:b/>
                <w:sz w:val="16"/>
                <w:szCs w:val="16"/>
              </w:rPr>
              <w:t>Totals</w:t>
            </w:r>
          </w:p>
        </w:tc>
        <w:tc>
          <w:tcPr>
            <w:tcW w:w="848" w:type="pct"/>
            <w:shd w:val="clear" w:color="auto" w:fill="FFFFFF" w:themeFill="background1"/>
          </w:tcPr>
          <w:p w:rsidR="00F64F9A" w:rsidRPr="00C4768B" w:rsidP="00F64F9A" w14:paraId="3CA05937" w14:textId="471373D6">
            <w:pPr>
              <w:pStyle w:val="NoSpacing"/>
              <w:jc w:val="right"/>
              <w:rPr>
                <w:rFonts w:ascii="Arial" w:hAnsi="Arial" w:cs="Arial"/>
                <w:b/>
                <w:sz w:val="16"/>
                <w:szCs w:val="16"/>
              </w:rPr>
            </w:pPr>
            <w:r w:rsidRPr="00C4768B">
              <w:rPr>
                <w:rFonts w:ascii="Arial" w:hAnsi="Arial" w:cs="Arial"/>
                <w:b/>
                <w:sz w:val="16"/>
                <w:szCs w:val="16"/>
              </w:rPr>
              <w:t>1,500</w:t>
            </w:r>
          </w:p>
        </w:tc>
        <w:tc>
          <w:tcPr>
            <w:tcW w:w="970" w:type="pct"/>
            <w:shd w:val="clear" w:color="auto" w:fill="FFFFFF" w:themeFill="background1"/>
            <w:vAlign w:val="center"/>
          </w:tcPr>
          <w:p w:rsidR="00F64F9A" w:rsidRPr="00C4768B" w:rsidP="00F64F9A" w14:paraId="6E8B6207" w14:textId="77777777">
            <w:pPr>
              <w:pStyle w:val="NoSpacing"/>
              <w:jc w:val="right"/>
              <w:rPr>
                <w:rFonts w:ascii="Arial" w:hAnsi="Arial" w:cs="Arial"/>
                <w:b/>
                <w:sz w:val="16"/>
                <w:szCs w:val="16"/>
              </w:rPr>
            </w:pPr>
            <w:r w:rsidRPr="00C4768B">
              <w:rPr>
                <w:rFonts w:ascii="Arial" w:hAnsi="Arial" w:cs="Arial"/>
                <w:b/>
                <w:bCs/>
                <w:sz w:val="16"/>
                <w:szCs w:val="16"/>
              </w:rPr>
              <w:t>-</w:t>
            </w:r>
            <w:r w:rsidRPr="00C4768B">
              <w:rPr>
                <w:rFonts w:ascii="Arial" w:hAnsi="Arial" w:cs="Arial"/>
                <w:b/>
                <w:sz w:val="16"/>
                <w:szCs w:val="16"/>
              </w:rPr>
              <w:t xml:space="preserve"> - -</w:t>
            </w:r>
          </w:p>
        </w:tc>
        <w:tc>
          <w:tcPr>
            <w:tcW w:w="771" w:type="pct"/>
            <w:vAlign w:val="center"/>
          </w:tcPr>
          <w:p w:rsidR="00F64F9A" w:rsidRPr="00C4768B" w:rsidP="00F64F9A" w14:paraId="743C9895" w14:textId="75AB400F">
            <w:pPr>
              <w:pStyle w:val="NoSpacing"/>
              <w:jc w:val="right"/>
              <w:rPr>
                <w:rFonts w:ascii="Arial" w:hAnsi="Arial" w:cs="Arial"/>
                <w:b/>
                <w:sz w:val="16"/>
                <w:szCs w:val="16"/>
              </w:rPr>
            </w:pPr>
            <w:r w:rsidRPr="00C4768B">
              <w:rPr>
                <w:rFonts w:ascii="Arial" w:hAnsi="Arial" w:cs="Arial"/>
                <w:b/>
                <w:sz w:val="16"/>
                <w:szCs w:val="16"/>
              </w:rPr>
              <w:t>$3,750,000</w:t>
            </w:r>
          </w:p>
        </w:tc>
      </w:tr>
    </w:tbl>
    <w:p w:rsidR="00E614F2" w:rsidP="00233E93" w14:paraId="0FE23273"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867870" w:rsidRPr="00867870" w:rsidP="00867870" w14:paraId="6AC84C9E" w14:textId="77777777">
      <w:pPr>
        <w:pStyle w:val="NoSpacing"/>
        <w:jc w:val="both"/>
        <w:rPr>
          <w:rFonts w:ascii="Arial" w:hAnsi="Arial" w:cs="Arial"/>
          <w:sz w:val="24"/>
          <w:szCs w:val="24"/>
        </w:rPr>
      </w:pPr>
      <w:r w:rsidRPr="00867870">
        <w:rPr>
          <w:rFonts w:ascii="Arial" w:hAnsi="Arial" w:cs="Arial"/>
          <w:sz w:val="24"/>
          <w:szCs w:val="24"/>
          <w:u w:val="single"/>
        </w:rPr>
        <w:t>Postage Costs</w:t>
      </w:r>
    </w:p>
    <w:p w:rsidR="00867870" w:rsidP="00867870" w14:paraId="019CFB0F" w14:textId="77777777">
      <w:pPr>
        <w:pStyle w:val="NoSpacing"/>
        <w:ind w:firstLine="720"/>
        <w:jc w:val="both"/>
        <w:rPr>
          <w:rFonts w:ascii="Arial" w:hAnsi="Arial" w:cs="Arial"/>
          <w:sz w:val="24"/>
          <w:szCs w:val="24"/>
        </w:rPr>
      </w:pPr>
    </w:p>
    <w:p w:rsidR="009A7D21" w:rsidP="00867870" w14:paraId="4B2315C4" w14:textId="029FA145">
      <w:pPr>
        <w:pStyle w:val="NoSpacing"/>
        <w:jc w:val="both"/>
        <w:rPr>
          <w:rFonts w:ascii="Arial" w:hAnsi="Arial" w:cs="Arial"/>
          <w:sz w:val="24"/>
          <w:szCs w:val="24"/>
        </w:rPr>
      </w:pPr>
      <w:r w:rsidRPr="00867870">
        <w:rPr>
          <w:rFonts w:ascii="Arial" w:hAnsi="Arial" w:cs="Arial"/>
          <w:sz w:val="24"/>
          <w:szCs w:val="24"/>
        </w:rPr>
        <w:t xml:space="preserve">Biological deposits are generally shipped to the depository “Domestic Overnight” by Federal Express (FedEx). Since depositors are urged to supply frozen or freeze-dried materials, it must be packed in dry ice. Dry ice itself is considered dangerous goods and requires special packaging. </w:t>
      </w:r>
      <w:r w:rsidR="008D18B2">
        <w:rPr>
          <w:rFonts w:ascii="Arial" w:hAnsi="Arial" w:cs="Arial"/>
          <w:sz w:val="24"/>
          <w:szCs w:val="24"/>
        </w:rPr>
        <w:t>An a</w:t>
      </w:r>
      <w:r w:rsidRPr="00867870">
        <w:rPr>
          <w:rFonts w:ascii="Arial" w:hAnsi="Arial" w:cs="Arial"/>
          <w:sz w:val="24"/>
          <w:szCs w:val="24"/>
        </w:rPr>
        <w:t>dditional FedEx special handling charge for inaccessible dangerous goods shipments is $73 per shipment</w:t>
      </w:r>
      <w:r w:rsidR="008D18B2">
        <w:rPr>
          <w:rFonts w:ascii="Arial" w:hAnsi="Arial" w:cs="Arial"/>
          <w:sz w:val="24"/>
          <w:szCs w:val="24"/>
        </w:rPr>
        <w:t>,</w:t>
      </w:r>
      <w:r>
        <w:rPr>
          <w:rStyle w:val="FootnoteReference"/>
          <w:rFonts w:ascii="Arial" w:hAnsi="Arial" w:cs="Arial"/>
          <w:sz w:val="24"/>
          <w:szCs w:val="24"/>
        </w:rPr>
        <w:footnoteReference w:id="8"/>
      </w:r>
      <w:r w:rsidRPr="00867870">
        <w:rPr>
          <w:rFonts w:ascii="Arial" w:hAnsi="Arial" w:cs="Arial"/>
          <w:sz w:val="24"/>
          <w:szCs w:val="24"/>
        </w:rPr>
        <w:t xml:space="preserve"> which applies to temperature-sensitive biological materials and the dry ice. </w:t>
      </w:r>
    </w:p>
    <w:p w:rsidR="009A7D21" w:rsidP="00867870" w14:paraId="4E85C28E" w14:textId="77777777">
      <w:pPr>
        <w:pStyle w:val="NoSpacing"/>
        <w:jc w:val="both"/>
        <w:rPr>
          <w:rFonts w:ascii="Arial" w:hAnsi="Arial" w:cs="Arial"/>
          <w:sz w:val="24"/>
          <w:szCs w:val="24"/>
        </w:rPr>
      </w:pPr>
    </w:p>
    <w:p w:rsidR="00515D51" w:rsidP="00867870" w14:paraId="26A27047" w14:textId="77777777">
      <w:pPr>
        <w:pStyle w:val="NoSpacing"/>
        <w:jc w:val="both"/>
        <w:rPr>
          <w:rFonts w:ascii="Arial" w:hAnsi="Arial" w:cs="Arial"/>
          <w:sz w:val="24"/>
          <w:szCs w:val="24"/>
        </w:rPr>
      </w:pPr>
      <w:r w:rsidRPr="00867870">
        <w:rPr>
          <w:rFonts w:ascii="Arial" w:hAnsi="Arial" w:cs="Arial"/>
          <w:sz w:val="24"/>
          <w:szCs w:val="24"/>
        </w:rPr>
        <w:t xml:space="preserve">An average cost for shipping by FedEx “Domestic Overnight” can vary depending on the size of the package, the delivery time, and the delivery distance. For the purposes of this information collection, the USPTO estimates that the FedEx Domestic Overnight charge for a biological deposit is $120 per shipment. </w:t>
      </w:r>
    </w:p>
    <w:p w:rsidR="00515D51" w:rsidP="00867870" w14:paraId="3C95E9A7" w14:textId="77777777">
      <w:pPr>
        <w:pStyle w:val="NoSpacing"/>
        <w:jc w:val="both"/>
        <w:rPr>
          <w:rFonts w:ascii="Arial" w:hAnsi="Arial" w:cs="Arial"/>
          <w:sz w:val="24"/>
          <w:szCs w:val="24"/>
        </w:rPr>
      </w:pPr>
    </w:p>
    <w:p w:rsidR="009A7D21" w:rsidP="00867870" w14:paraId="644924E9" w14:textId="65FAAD5F">
      <w:pPr>
        <w:pStyle w:val="NoSpacing"/>
        <w:jc w:val="both"/>
        <w:rPr>
          <w:rFonts w:ascii="Arial" w:hAnsi="Arial" w:cs="Arial"/>
          <w:sz w:val="24"/>
          <w:szCs w:val="24"/>
        </w:rPr>
      </w:pPr>
      <w:r w:rsidRPr="00867870">
        <w:rPr>
          <w:rFonts w:ascii="Arial" w:hAnsi="Arial" w:cs="Arial"/>
          <w:sz w:val="24"/>
          <w:szCs w:val="24"/>
        </w:rPr>
        <w:t>If the shipment requires a pick-up by FedEx, there is an additional charge of $</w:t>
      </w:r>
      <w:r w:rsidR="00A52872">
        <w:rPr>
          <w:rFonts w:ascii="Arial" w:hAnsi="Arial" w:cs="Arial"/>
          <w:sz w:val="24"/>
          <w:szCs w:val="24"/>
        </w:rPr>
        <w:t>7.50</w:t>
      </w:r>
      <w:r w:rsidR="002D5D25">
        <w:rPr>
          <w:rFonts w:ascii="Arial" w:hAnsi="Arial" w:cs="Arial"/>
          <w:sz w:val="24"/>
          <w:szCs w:val="24"/>
        </w:rPr>
        <w:t>.</w:t>
      </w:r>
      <w:r>
        <w:rPr>
          <w:rStyle w:val="FootnoteReference"/>
          <w:rFonts w:ascii="Arial" w:hAnsi="Arial" w:cs="Arial"/>
          <w:sz w:val="24"/>
          <w:szCs w:val="24"/>
        </w:rPr>
        <w:footnoteReference w:id="9"/>
      </w:r>
      <w:r w:rsidRPr="00867870">
        <w:rPr>
          <w:rFonts w:ascii="Arial" w:hAnsi="Arial" w:cs="Arial"/>
          <w:sz w:val="24"/>
          <w:szCs w:val="24"/>
        </w:rPr>
        <w:t xml:space="preserve"> Special packaging is also required for these shipments. </w:t>
      </w:r>
    </w:p>
    <w:p w:rsidR="009A7D21" w:rsidP="00867870" w14:paraId="2FF9AC06" w14:textId="77777777">
      <w:pPr>
        <w:pStyle w:val="NoSpacing"/>
        <w:jc w:val="both"/>
        <w:rPr>
          <w:rFonts w:ascii="Arial" w:hAnsi="Arial" w:cs="Arial"/>
          <w:sz w:val="24"/>
          <w:szCs w:val="24"/>
        </w:rPr>
      </w:pPr>
    </w:p>
    <w:p w:rsidR="009A7D21" w:rsidP="00867870" w14:paraId="4BDE2582" w14:textId="77777777">
      <w:pPr>
        <w:pStyle w:val="NoSpacing"/>
        <w:jc w:val="both"/>
        <w:rPr>
          <w:rFonts w:ascii="Arial" w:hAnsi="Arial" w:cs="Arial"/>
          <w:sz w:val="24"/>
          <w:szCs w:val="24"/>
        </w:rPr>
      </w:pPr>
      <w:r w:rsidRPr="00867870">
        <w:rPr>
          <w:rFonts w:ascii="Arial" w:hAnsi="Arial" w:cs="Arial"/>
          <w:sz w:val="24"/>
          <w:szCs w:val="24"/>
        </w:rPr>
        <w:t xml:space="preserve">The average cost of frozen infectious shipments is estimated to be $170 per package of four for specimen shipments requiring refrigeration or dry ice. </w:t>
      </w:r>
    </w:p>
    <w:p w:rsidR="009A7D21" w:rsidP="00867870" w14:paraId="6E22E320" w14:textId="77777777">
      <w:pPr>
        <w:pStyle w:val="NoSpacing"/>
        <w:jc w:val="both"/>
        <w:rPr>
          <w:rFonts w:ascii="Arial" w:hAnsi="Arial" w:cs="Arial"/>
          <w:sz w:val="24"/>
          <w:szCs w:val="24"/>
        </w:rPr>
      </w:pPr>
    </w:p>
    <w:p w:rsidR="00867870" w:rsidRPr="00867870" w:rsidP="00867870" w14:paraId="213049C1" w14:textId="7AFB22AF">
      <w:pPr>
        <w:pStyle w:val="NoSpacing"/>
        <w:jc w:val="both"/>
        <w:rPr>
          <w:rFonts w:ascii="Arial" w:hAnsi="Arial" w:cs="Arial"/>
          <w:sz w:val="24"/>
          <w:szCs w:val="24"/>
        </w:rPr>
      </w:pPr>
      <w:r w:rsidRPr="00867870">
        <w:rPr>
          <w:rFonts w:ascii="Arial" w:hAnsi="Arial" w:cs="Arial"/>
          <w:sz w:val="24"/>
          <w:szCs w:val="24"/>
        </w:rPr>
        <w:t>Therefore, the USPTO estimates that the average postage cost is $</w:t>
      </w:r>
      <w:r w:rsidR="00A52872">
        <w:rPr>
          <w:rFonts w:ascii="Arial" w:hAnsi="Arial" w:cs="Arial"/>
          <w:sz w:val="24"/>
          <w:szCs w:val="24"/>
        </w:rPr>
        <w:t>371</w:t>
      </w:r>
      <w:r w:rsidRPr="00867870">
        <w:rPr>
          <w:rFonts w:ascii="Arial" w:hAnsi="Arial" w:cs="Arial"/>
          <w:sz w:val="24"/>
          <w:szCs w:val="24"/>
        </w:rPr>
        <w:t xml:space="preserve"> per shipment. The USPTO estimates that respondents to this information collection will ship </w:t>
      </w:r>
      <w:r w:rsidR="00D766A6">
        <w:rPr>
          <w:rFonts w:ascii="Arial" w:hAnsi="Arial" w:cs="Arial"/>
          <w:sz w:val="24"/>
          <w:szCs w:val="24"/>
        </w:rPr>
        <w:t>1,500</w:t>
      </w:r>
      <w:r w:rsidRPr="00867870">
        <w:rPr>
          <w:rFonts w:ascii="Arial" w:hAnsi="Arial" w:cs="Arial"/>
          <w:sz w:val="24"/>
          <w:szCs w:val="24"/>
        </w:rPr>
        <w:t xml:space="preserve"> biological deposits, for a total of $</w:t>
      </w:r>
      <w:r w:rsidR="000100E8">
        <w:rPr>
          <w:rFonts w:ascii="Arial" w:hAnsi="Arial" w:cs="Arial"/>
          <w:sz w:val="24"/>
          <w:szCs w:val="24"/>
        </w:rPr>
        <w:t>556,500</w:t>
      </w:r>
      <w:r w:rsidRPr="00867870">
        <w:rPr>
          <w:rFonts w:ascii="Arial" w:hAnsi="Arial" w:cs="Arial"/>
          <w:sz w:val="24"/>
          <w:szCs w:val="24"/>
        </w:rPr>
        <w:t>.</w:t>
      </w:r>
    </w:p>
    <w:p w:rsidR="00867870" w:rsidP="00867870" w14:paraId="13EBCE0C" w14:textId="77777777">
      <w:pPr>
        <w:pStyle w:val="NoSpacing"/>
        <w:jc w:val="both"/>
        <w:rPr>
          <w:rFonts w:ascii="Arial" w:hAnsi="Arial" w:cs="Arial"/>
          <w:sz w:val="24"/>
          <w:szCs w:val="24"/>
        </w:rPr>
      </w:pPr>
    </w:p>
    <w:p w:rsidR="0097006F" w:rsidP="00867870" w14:paraId="68A6310C" w14:textId="4C0AC003">
      <w:pPr>
        <w:pStyle w:val="NoSpacing"/>
        <w:jc w:val="both"/>
        <w:rPr>
          <w:rFonts w:ascii="Arial" w:hAnsi="Arial" w:cs="Arial"/>
          <w:sz w:val="24"/>
          <w:szCs w:val="24"/>
        </w:rPr>
      </w:pPr>
      <w:r w:rsidRPr="00867870">
        <w:rPr>
          <w:rFonts w:ascii="Arial" w:hAnsi="Arial" w:cs="Arial"/>
          <w:sz w:val="24"/>
          <w:szCs w:val="24"/>
        </w:rPr>
        <w:t xml:space="preserve">The USPTO estimate that it will receive </w:t>
      </w:r>
      <w:r w:rsidR="009525F7">
        <w:rPr>
          <w:rFonts w:ascii="Arial" w:hAnsi="Arial" w:cs="Arial"/>
          <w:sz w:val="24"/>
          <w:szCs w:val="24"/>
        </w:rPr>
        <w:t>one</w:t>
      </w:r>
      <w:r w:rsidRPr="00867870">
        <w:rPr>
          <w:rFonts w:ascii="Arial" w:hAnsi="Arial" w:cs="Arial"/>
          <w:sz w:val="24"/>
          <w:szCs w:val="24"/>
        </w:rPr>
        <w:t xml:space="preserve"> depository request for recognition. The USPTO estimates that the postage cost </w:t>
      </w:r>
      <w:r w:rsidR="00732B39">
        <w:rPr>
          <w:rFonts w:ascii="Arial" w:hAnsi="Arial" w:cs="Arial"/>
          <w:sz w:val="24"/>
          <w:szCs w:val="24"/>
        </w:rPr>
        <w:t xml:space="preserve">that the </w:t>
      </w:r>
      <w:r>
        <w:rPr>
          <w:rFonts w:ascii="Arial" w:hAnsi="Arial" w:cs="Arial"/>
          <w:sz w:val="24"/>
          <w:szCs w:val="24"/>
        </w:rPr>
        <w:t>postage cost for this type of mailed submission,</w:t>
      </w:r>
      <w:r w:rsidRPr="00867870">
        <w:rPr>
          <w:rFonts w:ascii="Arial" w:hAnsi="Arial" w:cs="Arial"/>
          <w:sz w:val="24"/>
          <w:szCs w:val="24"/>
        </w:rPr>
        <w:t xml:space="preserve"> using a Priority Mail flat-rate envelope, will be $</w:t>
      </w:r>
      <w:r w:rsidR="006C3236">
        <w:rPr>
          <w:rFonts w:ascii="Arial" w:hAnsi="Arial" w:cs="Arial"/>
          <w:sz w:val="24"/>
          <w:szCs w:val="24"/>
        </w:rPr>
        <w:t>12.25</w:t>
      </w:r>
      <w:r w:rsidRPr="00867870">
        <w:rPr>
          <w:rFonts w:ascii="Arial" w:hAnsi="Arial" w:cs="Arial"/>
          <w:sz w:val="24"/>
          <w:szCs w:val="24"/>
        </w:rPr>
        <w:t xml:space="preserve">. </w:t>
      </w:r>
    </w:p>
    <w:p w:rsidR="0097006F" w:rsidP="00867870" w14:paraId="0BFB6BEE" w14:textId="77777777">
      <w:pPr>
        <w:pStyle w:val="NoSpacing"/>
        <w:jc w:val="both"/>
        <w:rPr>
          <w:rFonts w:ascii="Arial" w:hAnsi="Arial" w:cs="Arial"/>
          <w:sz w:val="24"/>
          <w:szCs w:val="24"/>
        </w:rPr>
      </w:pPr>
    </w:p>
    <w:p w:rsidR="00867870" w:rsidRPr="00867870" w:rsidP="00867870" w14:paraId="548A2A6F" w14:textId="786F9D80">
      <w:pPr>
        <w:pStyle w:val="NoSpacing"/>
        <w:jc w:val="both"/>
        <w:rPr>
          <w:rFonts w:ascii="Arial" w:hAnsi="Arial" w:cs="Arial"/>
          <w:sz w:val="24"/>
          <w:szCs w:val="24"/>
        </w:rPr>
      </w:pPr>
      <w:r>
        <w:rPr>
          <w:rFonts w:ascii="Arial" w:hAnsi="Arial" w:cs="Arial"/>
          <w:sz w:val="24"/>
          <w:szCs w:val="24"/>
        </w:rPr>
        <w:t xml:space="preserve">Combining these rates, the USPTO therefore </w:t>
      </w:r>
      <w:r w:rsidR="00513B95">
        <w:rPr>
          <w:rFonts w:ascii="Arial" w:hAnsi="Arial" w:cs="Arial"/>
          <w:sz w:val="24"/>
          <w:szCs w:val="24"/>
        </w:rPr>
        <w:t>estimates that the total mailing costs for this information collection is $556,51</w:t>
      </w:r>
      <w:r w:rsidR="001C2011">
        <w:rPr>
          <w:rFonts w:ascii="Arial" w:hAnsi="Arial" w:cs="Arial"/>
          <w:sz w:val="24"/>
          <w:szCs w:val="24"/>
        </w:rPr>
        <w:t>2</w:t>
      </w:r>
      <w:r w:rsidR="00513B95">
        <w:rPr>
          <w:rFonts w:ascii="Arial" w:hAnsi="Arial" w:cs="Arial"/>
          <w:sz w:val="24"/>
          <w:szCs w:val="24"/>
        </w:rPr>
        <w:t xml:space="preserve">. </w:t>
      </w:r>
    </w:p>
    <w:p w:rsidR="00F301D5" w:rsidRPr="00233E93" w:rsidP="00233E93" w14:paraId="6BA289B7"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F2336C" w:rsidRPr="00F2336C" w:rsidP="00200B68" w14:paraId="15ECDFB3" w14:textId="05DD77B1">
      <w:pPr>
        <w:pStyle w:val="ListParagraph"/>
        <w:numPr>
          <w:ilvl w:val="0"/>
          <w:numId w:val="13"/>
        </w:numPr>
        <w:ind w:left="360"/>
        <w:jc w:val="both"/>
        <w:rPr>
          <w:rFonts w:ascii="Arial" w:hAnsi="Arial" w:cs="Arial"/>
          <w:b/>
        </w:rPr>
      </w:pPr>
      <w:r w:rsidRPr="00F2336C">
        <w:rPr>
          <w:rFonts w:ascii="Arial" w:hAnsi="Arial" w:cs="Arial"/>
          <w:b/>
        </w:rPr>
        <w:t xml:space="preserve">Provide estimates of annualized costs to the </w:t>
      </w:r>
      <w:r w:rsidR="000D56F1">
        <w:rPr>
          <w:rFonts w:ascii="Arial" w:hAnsi="Arial" w:cs="Arial"/>
          <w:b/>
        </w:rPr>
        <w:t>f</w:t>
      </w:r>
      <w:r w:rsidRPr="00F2336C">
        <w:rPr>
          <w:rFonts w:ascii="Arial" w:hAnsi="Arial" w:cs="Arial"/>
          <w:b/>
        </w:rPr>
        <w:t xml:space="preserve">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w:t>
      </w:r>
      <w:r w:rsidRPr="00F2336C">
        <w:rPr>
          <w:rFonts w:ascii="Arial" w:hAnsi="Arial" w:cs="Arial"/>
          <w:b/>
        </w:rPr>
        <w:t>cost estimates from Items 12, 13, and 14 in a single table.</w:t>
      </w:r>
    </w:p>
    <w:p w:rsidR="00567B74" w:rsidRPr="00F2336C" w:rsidP="00F2336C" w14:paraId="47B3D0FE" w14:textId="49CE99BE">
      <w:pPr>
        <w:keepLines/>
        <w:widowControl/>
        <w:tabs>
          <w:tab w:val="left" w:pos="-984"/>
          <w:tab w:val="left" w:pos="-720"/>
          <w:tab w:val="left" w:pos="720"/>
        </w:tabs>
        <w:ind w:left="90"/>
        <w:jc w:val="both"/>
        <w:rPr>
          <w:rFonts w:ascii="Arial" w:hAnsi="Arial" w:cs="Arial"/>
          <w:color w:val="0000FF"/>
        </w:rPr>
      </w:pPr>
    </w:p>
    <w:p w:rsidR="00616ED6" w:rsidP="00636EDA" w14:paraId="181724CD" w14:textId="18B6EF69">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auto"/>
        </w:rPr>
      </w:pPr>
      <w:r w:rsidRPr="004D7E96">
        <w:rPr>
          <w:rFonts w:cs="Arial"/>
          <w:color w:val="auto"/>
        </w:rPr>
        <w:t xml:space="preserve">The USPTO employs </w:t>
      </w:r>
      <w:r w:rsidR="002D11ED">
        <w:rPr>
          <w:rFonts w:cs="Arial"/>
          <w:color w:val="auto"/>
        </w:rPr>
        <w:t xml:space="preserve">a </w:t>
      </w:r>
      <w:r w:rsidRPr="004D7E96">
        <w:rPr>
          <w:rFonts w:cs="Arial"/>
          <w:color w:val="auto"/>
        </w:rPr>
        <w:t>GS-</w:t>
      </w:r>
      <w:r w:rsidR="00571C2D">
        <w:rPr>
          <w:rFonts w:cs="Arial"/>
          <w:color w:val="auto"/>
        </w:rPr>
        <w:t>11</w:t>
      </w:r>
      <w:r w:rsidRPr="004D7E96">
        <w:rPr>
          <w:rFonts w:cs="Arial"/>
          <w:color w:val="auto"/>
        </w:rPr>
        <w:t xml:space="preserve"> to </w:t>
      </w:r>
      <w:r w:rsidR="002D11ED">
        <w:rPr>
          <w:rFonts w:cs="Arial"/>
          <w:color w:val="auto"/>
        </w:rPr>
        <w:t xml:space="preserve">verify the biological materials that </w:t>
      </w:r>
      <w:r w:rsidR="009D4CCD">
        <w:rPr>
          <w:rFonts w:cs="Arial"/>
          <w:color w:val="auto"/>
        </w:rPr>
        <w:t>have</w:t>
      </w:r>
      <w:r w:rsidR="002D11ED">
        <w:rPr>
          <w:rFonts w:cs="Arial"/>
          <w:color w:val="auto"/>
        </w:rPr>
        <w:t xml:space="preserve"> been deposited in compliance </w:t>
      </w:r>
      <w:r w:rsidR="009D4CCD">
        <w:rPr>
          <w:rFonts w:cs="Arial"/>
          <w:color w:val="auto"/>
        </w:rPr>
        <w:t>with</w:t>
      </w:r>
      <w:r w:rsidR="002D11ED">
        <w:rPr>
          <w:rFonts w:cs="Arial"/>
          <w:color w:val="auto"/>
        </w:rPr>
        <w:t xml:space="preserve"> the patent statutes and regulations and a GS-15 to recognize an applicant as a suitable depository</w:t>
      </w:r>
      <w:r w:rsidRPr="004D7E96">
        <w:rPr>
          <w:rFonts w:cs="Arial"/>
          <w:color w:val="auto"/>
        </w:rPr>
        <w:t xml:space="preserve">. </w:t>
      </w:r>
      <w:r>
        <w:rPr>
          <w:rFonts w:cs="Arial"/>
          <w:color w:val="auto"/>
        </w:rPr>
        <w:t xml:space="preserve"> </w:t>
      </w:r>
    </w:p>
    <w:p w:rsidR="00616ED6" w:rsidP="00636EDA" w14:paraId="1D73FFB1"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auto"/>
        </w:rPr>
      </w:pPr>
    </w:p>
    <w:p w:rsidR="00616ED6" w:rsidRPr="00233E93" w:rsidP="00616ED6" w14:paraId="302C583C" w14:textId="13D12002">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r w:rsidRPr="00233E93">
        <w:rPr>
          <w:color w:val="auto"/>
        </w:rPr>
        <w:t>The USPTO estimates that the cost of a GS-</w:t>
      </w:r>
      <w:r>
        <w:rPr>
          <w:color w:val="auto"/>
        </w:rPr>
        <w:t>11</w:t>
      </w:r>
      <w:r w:rsidRPr="00233E93">
        <w:rPr>
          <w:color w:val="auto"/>
        </w:rPr>
        <w:t xml:space="preserve">, step </w:t>
      </w:r>
      <w:r>
        <w:rPr>
          <w:color w:val="auto"/>
        </w:rPr>
        <w:t>1</w:t>
      </w:r>
      <w:r w:rsidRPr="00233E93">
        <w:rPr>
          <w:color w:val="auto"/>
        </w:rPr>
        <w:t xml:space="preserve"> employee is $</w:t>
      </w:r>
      <w:r w:rsidR="00B34D8A">
        <w:rPr>
          <w:color w:val="auto"/>
        </w:rPr>
        <w:t>55.</w:t>
      </w:r>
      <w:r w:rsidR="006165BA">
        <w:rPr>
          <w:color w:val="auto"/>
        </w:rPr>
        <w:t>78</w:t>
      </w:r>
      <w:r w:rsidRPr="00233E93">
        <w:rPr>
          <w:color w:val="auto"/>
        </w:rPr>
        <w:t xml:space="preserve"> per hour (GS hourly rate of $</w:t>
      </w:r>
      <w:r>
        <w:rPr>
          <w:color w:val="auto"/>
        </w:rPr>
        <w:t>40.</w:t>
      </w:r>
      <w:r w:rsidR="000356BF">
        <w:rPr>
          <w:color w:val="auto"/>
        </w:rPr>
        <w:t xml:space="preserve">94 </w:t>
      </w:r>
      <w:r w:rsidRPr="00233E93">
        <w:rPr>
          <w:color w:val="auto"/>
        </w:rPr>
        <w:t xml:space="preserve">with </w:t>
      </w:r>
      <w:r>
        <w:rPr>
          <w:color w:val="auto"/>
        </w:rPr>
        <w:t>36.25</w:t>
      </w:r>
      <w:r w:rsidRPr="00233E93">
        <w:rPr>
          <w:color w:val="auto"/>
        </w:rPr>
        <w:t>% ($</w:t>
      </w:r>
      <w:r w:rsidR="00BB5DCE">
        <w:rPr>
          <w:color w:val="auto"/>
        </w:rPr>
        <w:t>14.</w:t>
      </w:r>
      <w:r w:rsidR="006165BA">
        <w:rPr>
          <w:color w:val="auto"/>
        </w:rPr>
        <w:t>84</w:t>
      </w:r>
      <w:r w:rsidRPr="00233E93">
        <w:rPr>
          <w:color w:val="auto"/>
        </w:rPr>
        <w:t>) added for benefits and overhead</w:t>
      </w:r>
      <w:r>
        <w:rPr>
          <w:color w:val="auto"/>
        </w:rPr>
        <w:t>)</w:t>
      </w:r>
      <w:r w:rsidRPr="00233E93">
        <w:rPr>
          <w:color w:val="auto"/>
        </w:rPr>
        <w:t>.</w:t>
      </w:r>
    </w:p>
    <w:p w:rsidR="00636EDA" w:rsidP="00636EDA" w14:paraId="79D4A170"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p>
    <w:p w:rsidR="00636EDA" w:rsidRPr="00233E93" w:rsidP="00636EDA" w14:paraId="79D4A171" w14:textId="4411F47E">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bookmarkStart w:id="3" w:name="_Hlk167111323"/>
      <w:r w:rsidRPr="00233E93">
        <w:rPr>
          <w:color w:val="auto"/>
        </w:rPr>
        <w:t>The USPTO estimates that the cost of a GS-</w:t>
      </w:r>
      <w:r w:rsidR="002D11ED">
        <w:rPr>
          <w:color w:val="auto"/>
        </w:rPr>
        <w:t>15</w:t>
      </w:r>
      <w:r w:rsidRPr="00233E93">
        <w:rPr>
          <w:color w:val="auto"/>
        </w:rPr>
        <w:t>, step</w:t>
      </w:r>
      <w:r w:rsidR="00B34D8A">
        <w:rPr>
          <w:color w:val="auto"/>
        </w:rPr>
        <w:t xml:space="preserve"> 5</w:t>
      </w:r>
      <w:r w:rsidRPr="00233E93">
        <w:rPr>
          <w:color w:val="auto"/>
        </w:rPr>
        <w:t xml:space="preserve"> employee is $</w:t>
      </w:r>
      <w:r w:rsidR="00B1154F">
        <w:rPr>
          <w:color w:val="auto"/>
        </w:rPr>
        <w:t>125.25</w:t>
      </w:r>
      <w:r w:rsidRPr="00233E93">
        <w:rPr>
          <w:color w:val="auto"/>
        </w:rPr>
        <w:t xml:space="preserve"> per hour </w:t>
      </w:r>
      <w:bookmarkStart w:id="4" w:name="_Hlk136939523"/>
      <w:r w:rsidRPr="00233E93">
        <w:rPr>
          <w:color w:val="auto"/>
        </w:rPr>
        <w:t>(GS hourly rate of $</w:t>
      </w:r>
      <w:r w:rsidR="00B34D8A">
        <w:rPr>
          <w:color w:val="auto"/>
        </w:rPr>
        <w:t>91.</w:t>
      </w:r>
      <w:r w:rsidR="00B71200">
        <w:rPr>
          <w:color w:val="auto"/>
        </w:rPr>
        <w:t>93</w:t>
      </w:r>
      <w:r w:rsidRPr="00233E93">
        <w:rPr>
          <w:color w:val="auto"/>
        </w:rPr>
        <w:t xml:space="preserve"> with </w:t>
      </w:r>
      <w:r w:rsidR="00513B0B">
        <w:rPr>
          <w:color w:val="auto"/>
        </w:rPr>
        <w:t>36.25</w:t>
      </w:r>
      <w:r w:rsidRPr="00233E93">
        <w:rPr>
          <w:color w:val="auto"/>
        </w:rPr>
        <w:t>% ($</w:t>
      </w:r>
      <w:r w:rsidR="008F3944">
        <w:rPr>
          <w:color w:val="auto"/>
        </w:rPr>
        <w:t>33.</w:t>
      </w:r>
      <w:r w:rsidR="00B71200">
        <w:rPr>
          <w:color w:val="auto"/>
        </w:rPr>
        <w:t>32</w:t>
      </w:r>
      <w:r w:rsidRPr="00233E93">
        <w:rPr>
          <w:color w:val="auto"/>
        </w:rPr>
        <w:t>) added for benefits and overhead</w:t>
      </w:r>
      <w:r w:rsidR="00707AED">
        <w:rPr>
          <w:color w:val="auto"/>
        </w:rPr>
        <w:t>)</w:t>
      </w:r>
      <w:bookmarkEnd w:id="4"/>
      <w:r w:rsidRPr="00233E93" w:rsidR="00233E93">
        <w:rPr>
          <w:color w:val="auto"/>
        </w:rPr>
        <w:t>.</w:t>
      </w:r>
    </w:p>
    <w:bookmarkEnd w:id="3"/>
    <w:p w:rsidR="002D11ED" w:rsidRPr="00A349D7" w:rsidP="00636EDA" w14:paraId="18966620" w14:textId="77777777">
      <w:pPr>
        <w:widowControl/>
        <w:tabs>
          <w:tab w:val="left" w:pos="-984"/>
          <w:tab w:val="left" w:pos="-720"/>
          <w:tab w:val="left" w:pos="720"/>
        </w:tabs>
        <w:jc w:val="both"/>
        <w:rPr>
          <w:rFonts w:ascii="Arial" w:hAnsi="Arial" w:cs="Arial"/>
        </w:rPr>
      </w:pPr>
    </w:p>
    <w:p w:rsidR="00636EDA" w:rsidRPr="007E5193" w:rsidP="00636EDA" w14:paraId="79D4A173" w14:textId="14A442F2">
      <w:pPr>
        <w:widowControl/>
        <w:tabs>
          <w:tab w:val="left" w:pos="-984"/>
          <w:tab w:val="left" w:pos="-720"/>
          <w:tab w:val="left" w:pos="720"/>
        </w:tabs>
        <w:jc w:val="both"/>
        <w:rPr>
          <w:rFonts w:ascii="Arial" w:hAnsi="Arial" w:cs="Arial"/>
        </w:rPr>
      </w:pPr>
      <w:r w:rsidRPr="007E5193">
        <w:rPr>
          <w:rFonts w:ascii="Arial" w:hAnsi="Arial" w:cs="Arial"/>
        </w:rPr>
        <w:t xml:space="preserve">The USPTO estimates that it takes an </w:t>
      </w:r>
      <w:r w:rsidRPr="004D7E96">
        <w:rPr>
          <w:rFonts w:ascii="Arial" w:hAnsi="Arial" w:cs="Arial"/>
        </w:rPr>
        <w:t>employ</w:t>
      </w:r>
      <w:r w:rsidR="00E208D0">
        <w:rPr>
          <w:rFonts w:ascii="Arial" w:hAnsi="Arial" w:cs="Arial"/>
        </w:rPr>
        <w:t xml:space="preserve">ee approximately 0.25 hours (15 minutes) to 10 hours to process </w:t>
      </w:r>
      <w:r w:rsidR="00FD2578">
        <w:rPr>
          <w:rFonts w:ascii="Arial" w:hAnsi="Arial" w:cs="Arial"/>
        </w:rPr>
        <w:t xml:space="preserve">the information in this collection. </w:t>
      </w:r>
    </w:p>
    <w:p w:rsidR="00636EDA" w:rsidRPr="006B46CC" w:rsidP="00636EDA" w14:paraId="79D4A174" w14:textId="77777777">
      <w:pPr>
        <w:widowControl/>
        <w:tabs>
          <w:tab w:val="left" w:pos="-984"/>
          <w:tab w:val="left" w:pos="-720"/>
          <w:tab w:val="left" w:pos="720"/>
        </w:tabs>
        <w:jc w:val="both"/>
        <w:rPr>
          <w:rFonts w:ascii="Arial" w:hAnsi="Arial" w:cs="Arial"/>
          <w:color w:val="0000FF"/>
        </w:rPr>
      </w:pPr>
    </w:p>
    <w:p w:rsidR="00636EDA" w:rsidRPr="00321808" w:rsidP="00636EDA" w14:paraId="79D4A175" w14:textId="116DF072">
      <w:pPr>
        <w:widowControl/>
        <w:tabs>
          <w:tab w:val="left" w:pos="-984"/>
          <w:tab w:val="left" w:pos="-720"/>
          <w:tab w:val="left" w:pos="720"/>
        </w:tabs>
        <w:jc w:val="both"/>
        <w:rPr>
          <w:rFonts w:ascii="Arial" w:hAnsi="Arial" w:cs="Arial"/>
        </w:rPr>
      </w:pPr>
      <w:r w:rsidRPr="00321808">
        <w:rPr>
          <w:rFonts w:ascii="Arial" w:hAnsi="Arial" w:cs="Arial"/>
        </w:rPr>
        <w:t xml:space="preserve">Table 5 calculates the burden hours and costs to the </w:t>
      </w:r>
      <w:r w:rsidR="000D56F1">
        <w:rPr>
          <w:rFonts w:ascii="Arial" w:hAnsi="Arial" w:cs="Arial"/>
        </w:rPr>
        <w:t>f</w:t>
      </w:r>
      <w:r w:rsidRPr="00321808">
        <w:rPr>
          <w:rFonts w:ascii="Arial" w:hAnsi="Arial" w:cs="Arial"/>
        </w:rPr>
        <w:t xml:space="preserve">ederal </w:t>
      </w:r>
      <w:r w:rsidR="000D56F1">
        <w:rPr>
          <w:rFonts w:ascii="Arial" w:hAnsi="Arial" w:cs="Arial"/>
        </w:rPr>
        <w:t>g</w:t>
      </w:r>
      <w:r w:rsidRPr="00321808">
        <w:rPr>
          <w:rFonts w:ascii="Arial" w:hAnsi="Arial" w:cs="Arial"/>
        </w:rPr>
        <w:t>overnment for processing this information collection</w:t>
      </w:r>
      <w:r>
        <w:rPr>
          <w:rFonts w:ascii="Arial" w:hAnsi="Arial" w:cs="Arial"/>
        </w:rPr>
        <w:t>:</w:t>
      </w:r>
    </w:p>
    <w:p w:rsidR="00636EDA" w:rsidRPr="00476F66" w:rsidP="00636EDA" w14:paraId="79D4A176" w14:textId="77777777">
      <w:pPr>
        <w:widowControl/>
        <w:tabs>
          <w:tab w:val="left" w:pos="-984"/>
          <w:tab w:val="left" w:pos="-720"/>
          <w:tab w:val="left" w:pos="720"/>
        </w:tabs>
        <w:jc w:val="both"/>
        <w:rPr>
          <w:rFonts w:ascii="Arial" w:hAnsi="Arial" w:cs="Arial"/>
          <w:color w:val="0000FF"/>
        </w:rPr>
      </w:pPr>
    </w:p>
    <w:p w:rsidR="00636EDA" w:rsidRPr="00476F66" w:rsidP="00636EDA" w14:paraId="79D4A177" w14:textId="77777777">
      <w:pPr>
        <w:widowControl/>
        <w:tabs>
          <w:tab w:val="left" w:pos="-984"/>
          <w:tab w:val="left" w:pos="-720"/>
          <w:tab w:val="left" w:pos="720"/>
        </w:tabs>
        <w:jc w:val="both"/>
        <w:rPr>
          <w:rFonts w:ascii="Arial" w:hAnsi="Arial" w:cs="Arial"/>
          <w:color w:val="0000FF"/>
        </w:rPr>
        <w:sectPr>
          <w:type w:val="continuous"/>
          <w:pgSz w:w="12240" w:h="15840"/>
          <w:pgMar w:top="1440" w:right="1440" w:bottom="1440" w:left="1440" w:header="1440" w:footer="1440" w:gutter="0"/>
          <w:cols w:space="720"/>
          <w:noEndnote/>
        </w:sectPr>
      </w:pPr>
    </w:p>
    <w:p w:rsidR="00636EDA" w:rsidRPr="00614F01" w:rsidP="00636EDA" w14:paraId="79D4A178" w14:textId="77777777">
      <w:pPr>
        <w:keepNext/>
        <w:keepLines/>
        <w:widowControl/>
        <w:tabs>
          <w:tab w:val="left" w:pos="-984"/>
          <w:tab w:val="left" w:pos="-720"/>
          <w:tab w:val="left" w:pos="720"/>
        </w:tabs>
        <w:jc w:val="both"/>
        <w:rPr>
          <w:rFonts w:ascii="Arial" w:hAnsi="Arial" w:cs="Arial"/>
          <w:sz w:val="20"/>
          <w:szCs w:val="20"/>
        </w:rPr>
      </w:pPr>
      <w:r w:rsidRPr="00614F01">
        <w:rPr>
          <w:rFonts w:ascii="Arial" w:hAnsi="Arial" w:cs="Arial"/>
          <w:b/>
          <w:bCs/>
          <w:sz w:val="20"/>
          <w:szCs w:val="20"/>
        </w:rPr>
        <w:t>Table 5: Burden Hour/Cost to the Federal Government</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7"/>
        <w:gridCol w:w="2970"/>
        <w:gridCol w:w="1080"/>
        <w:gridCol w:w="1125"/>
        <w:gridCol w:w="1080"/>
        <w:gridCol w:w="1080"/>
        <w:gridCol w:w="1260"/>
      </w:tblGrid>
      <w:tr w14:paraId="5F48EAC3" w14:textId="77777777" w:rsidTr="0063281D">
        <w:tblPrEx>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607" w:type="dxa"/>
            <w:shd w:val="clear" w:color="auto" w:fill="B8CCE4" w:themeFill="accent1" w:themeFillTint="66"/>
          </w:tcPr>
          <w:p w:rsidR="00707AED" w:rsidRPr="00C5290A" w:rsidP="00707AED" w14:paraId="43D2C70E" w14:textId="65C1D710">
            <w:pPr>
              <w:widowControl/>
              <w:autoSpaceDE/>
              <w:autoSpaceDN/>
              <w:adjustRightInd/>
              <w:contextualSpacing/>
              <w:jc w:val="center"/>
              <w:rPr>
                <w:rFonts w:ascii="Arial" w:hAnsi="Arial"/>
                <w:b/>
                <w:sz w:val="16"/>
                <w:szCs w:val="20"/>
              </w:rPr>
            </w:pPr>
            <w:bookmarkStart w:id="5" w:name="_Hlk153975689"/>
            <w:r w:rsidRPr="00C5290A">
              <w:rPr>
                <w:rFonts w:ascii="Arial" w:hAnsi="Arial"/>
                <w:b/>
                <w:sz w:val="16"/>
                <w:szCs w:val="20"/>
              </w:rPr>
              <w:t>I</w:t>
            </w:r>
            <w:r>
              <w:rPr>
                <w:rFonts w:ascii="Arial" w:hAnsi="Arial"/>
                <w:b/>
                <w:sz w:val="16"/>
                <w:szCs w:val="20"/>
              </w:rPr>
              <w:t>tem</w:t>
            </w:r>
            <w:r w:rsidRPr="00C5290A">
              <w:rPr>
                <w:rFonts w:ascii="Arial" w:hAnsi="Arial"/>
                <w:b/>
                <w:sz w:val="16"/>
                <w:szCs w:val="20"/>
              </w:rPr>
              <w:t xml:space="preserve"> N</w:t>
            </w:r>
            <w:r>
              <w:rPr>
                <w:rFonts w:ascii="Arial" w:hAnsi="Arial"/>
                <w:b/>
                <w:sz w:val="16"/>
                <w:szCs w:val="20"/>
              </w:rPr>
              <w:t>o.</w:t>
            </w:r>
          </w:p>
        </w:tc>
        <w:tc>
          <w:tcPr>
            <w:tcW w:w="2970" w:type="dxa"/>
            <w:shd w:val="clear" w:color="auto" w:fill="B8CCE4" w:themeFill="accent1" w:themeFillTint="66"/>
          </w:tcPr>
          <w:p w:rsidR="00707AED" w:rsidRPr="00C5290A" w:rsidP="00707AED" w14:paraId="082B4AD1" w14:textId="77777777">
            <w:pPr>
              <w:widowControl/>
              <w:autoSpaceDE/>
              <w:autoSpaceDN/>
              <w:adjustRightInd/>
              <w:contextualSpacing/>
              <w:jc w:val="center"/>
              <w:rPr>
                <w:rFonts w:ascii="Arial" w:hAnsi="Arial"/>
                <w:b/>
                <w:sz w:val="16"/>
                <w:szCs w:val="20"/>
              </w:rPr>
            </w:pPr>
            <w:r w:rsidRPr="00C5290A">
              <w:rPr>
                <w:rFonts w:ascii="Arial" w:hAnsi="Arial"/>
                <w:b/>
                <w:sz w:val="16"/>
                <w:szCs w:val="20"/>
              </w:rPr>
              <w:t>Item</w:t>
            </w:r>
          </w:p>
        </w:tc>
        <w:tc>
          <w:tcPr>
            <w:tcW w:w="1080" w:type="dxa"/>
            <w:shd w:val="clear" w:color="auto" w:fill="B8CCE4" w:themeFill="accent1" w:themeFillTint="66"/>
          </w:tcPr>
          <w:p w:rsidR="00707AED" w:rsidRPr="00C5290A" w:rsidP="00707AED" w14:paraId="6DC5B171" w14:textId="0D6FE745">
            <w:pPr>
              <w:widowControl/>
              <w:autoSpaceDE/>
              <w:autoSpaceDN/>
              <w:adjustRightInd/>
              <w:contextualSpacing/>
              <w:jc w:val="center"/>
              <w:rPr>
                <w:rFonts w:ascii="Arial" w:hAnsi="Arial"/>
                <w:b/>
                <w:sz w:val="16"/>
                <w:szCs w:val="16"/>
              </w:rPr>
            </w:pPr>
            <w:r w:rsidRPr="60F0317F">
              <w:rPr>
                <w:rFonts w:ascii="Arial" w:hAnsi="Arial"/>
                <w:b/>
                <w:sz w:val="16"/>
                <w:szCs w:val="16"/>
              </w:rPr>
              <w:t>Estimated Annual Responses</w:t>
            </w:r>
          </w:p>
          <w:p w:rsidR="0063281D" w:rsidP="00707AED" w14:paraId="767FF21B" w14:textId="79CBCCF3">
            <w:pPr>
              <w:widowControl/>
              <w:autoSpaceDE/>
              <w:autoSpaceDN/>
              <w:adjustRightInd/>
              <w:contextualSpacing/>
              <w:jc w:val="center"/>
              <w:rPr>
                <w:rFonts w:ascii="Arial" w:hAnsi="Arial"/>
                <w:b/>
                <w:sz w:val="16"/>
                <w:szCs w:val="16"/>
              </w:rPr>
            </w:pPr>
          </w:p>
          <w:p w:rsidR="00707AED" w:rsidP="00707AED" w14:paraId="39613C3F" w14:textId="503CD5CE">
            <w:pPr>
              <w:widowControl/>
              <w:autoSpaceDE/>
              <w:autoSpaceDN/>
              <w:adjustRightInd/>
              <w:contextualSpacing/>
              <w:jc w:val="center"/>
              <w:rPr>
                <w:rFonts w:ascii="Arial" w:hAnsi="Arial"/>
                <w:b/>
                <w:sz w:val="16"/>
                <w:szCs w:val="20"/>
              </w:rPr>
            </w:pPr>
            <w:r w:rsidRPr="00C5290A">
              <w:rPr>
                <w:rFonts w:ascii="Arial" w:hAnsi="Arial"/>
                <w:b/>
                <w:sz w:val="16"/>
                <w:szCs w:val="20"/>
              </w:rPr>
              <w:t>(</w:t>
            </w:r>
            <w:r>
              <w:rPr>
                <w:rFonts w:ascii="Arial" w:hAnsi="Arial"/>
                <w:b/>
                <w:sz w:val="16"/>
                <w:szCs w:val="20"/>
              </w:rPr>
              <w:t>a</w:t>
            </w:r>
            <w:r w:rsidRPr="00C5290A">
              <w:rPr>
                <w:rFonts w:ascii="Arial" w:hAnsi="Arial"/>
                <w:b/>
                <w:sz w:val="16"/>
                <w:szCs w:val="20"/>
              </w:rPr>
              <w:t>)</w:t>
            </w:r>
          </w:p>
        </w:tc>
        <w:tc>
          <w:tcPr>
            <w:tcW w:w="1125" w:type="dxa"/>
            <w:shd w:val="clear" w:color="auto" w:fill="B8CCE4" w:themeFill="accent1" w:themeFillTint="66"/>
          </w:tcPr>
          <w:p w:rsidR="00707AED" w:rsidRPr="00C5290A" w:rsidP="00707AED" w14:paraId="3BF0FC26" w14:textId="03D60906">
            <w:pPr>
              <w:widowControl/>
              <w:autoSpaceDE/>
              <w:autoSpaceDN/>
              <w:adjustRightInd/>
              <w:contextualSpacing/>
              <w:jc w:val="center"/>
              <w:rPr>
                <w:rFonts w:ascii="Arial" w:hAnsi="Arial"/>
                <w:b/>
                <w:sz w:val="16"/>
                <w:szCs w:val="16"/>
              </w:rPr>
            </w:pPr>
            <w:r w:rsidRPr="60F0317F">
              <w:rPr>
                <w:rFonts w:ascii="Arial" w:hAnsi="Arial"/>
                <w:b/>
                <w:sz w:val="16"/>
                <w:szCs w:val="16"/>
              </w:rPr>
              <w:t>Estimated Burden Hours</w:t>
            </w:r>
          </w:p>
          <w:p w:rsidR="0063281D" w:rsidP="00707AED" w14:paraId="006F1FB8" w14:textId="7FF7F843">
            <w:pPr>
              <w:widowControl/>
              <w:autoSpaceDE/>
              <w:autoSpaceDN/>
              <w:adjustRightInd/>
              <w:contextualSpacing/>
              <w:jc w:val="center"/>
              <w:rPr>
                <w:rFonts w:ascii="Arial" w:hAnsi="Arial"/>
                <w:b/>
                <w:sz w:val="16"/>
                <w:szCs w:val="16"/>
              </w:rPr>
            </w:pPr>
          </w:p>
          <w:p w:rsidR="00707AED" w:rsidRPr="00C5290A" w:rsidP="00707AED" w14:paraId="11BFCB87" w14:textId="4E59711E">
            <w:pPr>
              <w:widowControl/>
              <w:autoSpaceDE/>
              <w:autoSpaceDN/>
              <w:adjustRightInd/>
              <w:contextualSpacing/>
              <w:jc w:val="center"/>
              <w:rPr>
                <w:rFonts w:ascii="Arial" w:hAnsi="Arial"/>
                <w:b/>
                <w:sz w:val="16"/>
                <w:szCs w:val="20"/>
              </w:rPr>
            </w:pPr>
            <w:r w:rsidRPr="00C5290A">
              <w:rPr>
                <w:rFonts w:ascii="Arial" w:hAnsi="Arial"/>
                <w:b/>
                <w:sz w:val="16"/>
                <w:szCs w:val="20"/>
              </w:rPr>
              <w:t>(</w:t>
            </w:r>
            <w:r>
              <w:rPr>
                <w:rFonts w:ascii="Arial" w:hAnsi="Arial"/>
                <w:b/>
                <w:sz w:val="16"/>
                <w:szCs w:val="20"/>
              </w:rPr>
              <w:t>b</w:t>
            </w:r>
            <w:r w:rsidRPr="00C5290A">
              <w:rPr>
                <w:rFonts w:ascii="Arial" w:hAnsi="Arial"/>
                <w:b/>
                <w:sz w:val="16"/>
                <w:szCs w:val="20"/>
              </w:rPr>
              <w:t>)</w:t>
            </w:r>
          </w:p>
        </w:tc>
        <w:tc>
          <w:tcPr>
            <w:tcW w:w="1080" w:type="dxa"/>
            <w:shd w:val="clear" w:color="auto" w:fill="B8CCE4" w:themeFill="accent1" w:themeFillTint="66"/>
          </w:tcPr>
          <w:p w:rsidR="00707AED" w:rsidP="00707AED" w14:paraId="7440218B" w14:textId="33AD2736">
            <w:pPr>
              <w:widowControl/>
              <w:autoSpaceDE/>
              <w:autoSpaceDN/>
              <w:adjustRightInd/>
              <w:contextualSpacing/>
              <w:jc w:val="center"/>
              <w:rPr>
                <w:rFonts w:ascii="Arial" w:hAnsi="Arial"/>
                <w:b/>
                <w:sz w:val="16"/>
                <w:szCs w:val="16"/>
              </w:rPr>
            </w:pPr>
            <w:r w:rsidRPr="60F0317F">
              <w:rPr>
                <w:rFonts w:ascii="Arial" w:hAnsi="Arial"/>
                <w:b/>
                <w:sz w:val="16"/>
                <w:szCs w:val="16"/>
              </w:rPr>
              <w:t>Estimated Hourly Burden</w:t>
            </w:r>
          </w:p>
          <w:p w:rsidR="0063281D" w:rsidRPr="005158F0" w:rsidP="00707AED" w14:paraId="6F06CDD6" w14:textId="65535A0D">
            <w:pPr>
              <w:widowControl/>
              <w:autoSpaceDE/>
              <w:autoSpaceDN/>
              <w:adjustRightInd/>
              <w:contextualSpacing/>
              <w:jc w:val="center"/>
              <w:rPr>
                <w:rFonts w:ascii="Arial" w:hAnsi="Arial"/>
                <w:b/>
                <w:sz w:val="16"/>
                <w:szCs w:val="16"/>
              </w:rPr>
            </w:pPr>
          </w:p>
          <w:p w:rsidR="00707AED" w:rsidRPr="00C5290A" w:rsidP="00707AED" w14:paraId="1393345E" w14:textId="5B53C14A">
            <w:pPr>
              <w:widowControl/>
              <w:autoSpaceDE/>
              <w:autoSpaceDN/>
              <w:adjustRightInd/>
              <w:contextualSpacing/>
              <w:jc w:val="center"/>
              <w:rPr>
                <w:rFonts w:ascii="Arial" w:hAnsi="Arial"/>
                <w:b/>
                <w:sz w:val="16"/>
                <w:szCs w:val="20"/>
              </w:rPr>
            </w:pPr>
            <w:r w:rsidRPr="005158F0">
              <w:rPr>
                <w:rFonts w:ascii="Arial" w:hAnsi="Arial"/>
                <w:b/>
                <w:sz w:val="16"/>
                <w:szCs w:val="20"/>
              </w:rPr>
              <w:t>(a) x (b) = (c)</w:t>
            </w:r>
          </w:p>
        </w:tc>
        <w:tc>
          <w:tcPr>
            <w:tcW w:w="1080" w:type="dxa"/>
            <w:shd w:val="clear" w:color="auto" w:fill="B8CCE4" w:themeFill="accent1" w:themeFillTint="66"/>
          </w:tcPr>
          <w:p w:rsidR="00707AED" w:rsidRPr="005158F0" w:rsidP="00707AED" w14:paraId="386D73E6" w14:textId="4C6EFAE1">
            <w:pPr>
              <w:widowControl/>
              <w:autoSpaceDE/>
              <w:autoSpaceDN/>
              <w:adjustRightInd/>
              <w:contextualSpacing/>
              <w:jc w:val="center"/>
              <w:rPr>
                <w:rFonts w:ascii="Arial" w:hAnsi="Arial"/>
                <w:b/>
                <w:sz w:val="16"/>
                <w:szCs w:val="20"/>
              </w:rPr>
            </w:pPr>
            <w:r w:rsidRPr="005158F0">
              <w:rPr>
                <w:rFonts w:ascii="Arial" w:hAnsi="Arial"/>
                <w:b/>
                <w:sz w:val="16"/>
                <w:szCs w:val="20"/>
              </w:rPr>
              <w:t>Rate</w:t>
            </w:r>
            <w:r>
              <w:rPr>
                <w:rStyle w:val="FootnoteReference"/>
                <w:rFonts w:ascii="Arial" w:hAnsi="Arial"/>
                <w:b/>
                <w:sz w:val="16"/>
                <w:szCs w:val="20"/>
              </w:rPr>
              <w:footnoteReference w:id="10"/>
            </w:r>
          </w:p>
          <w:p w:rsidR="00707AED" w:rsidRPr="005158F0" w:rsidP="00707AED" w14:paraId="6AF4D191" w14:textId="33153526">
            <w:pPr>
              <w:widowControl/>
              <w:autoSpaceDE/>
              <w:autoSpaceDN/>
              <w:adjustRightInd/>
              <w:contextualSpacing/>
              <w:jc w:val="center"/>
              <w:rPr>
                <w:rFonts w:ascii="Arial" w:hAnsi="Arial"/>
                <w:b/>
                <w:sz w:val="16"/>
                <w:szCs w:val="16"/>
              </w:rPr>
            </w:pPr>
            <w:r w:rsidRPr="60F0317F">
              <w:rPr>
                <w:rFonts w:ascii="Arial" w:hAnsi="Arial"/>
                <w:b/>
                <w:sz w:val="16"/>
                <w:szCs w:val="16"/>
              </w:rPr>
              <w:t>($/hr)</w:t>
            </w:r>
          </w:p>
          <w:p w:rsidR="0063281D" w:rsidP="00707AED" w14:paraId="04B4987B" w14:textId="0811D23F">
            <w:pPr>
              <w:widowControl/>
              <w:autoSpaceDE/>
              <w:autoSpaceDN/>
              <w:adjustRightInd/>
              <w:contextualSpacing/>
              <w:jc w:val="center"/>
              <w:rPr>
                <w:rFonts w:ascii="Arial" w:hAnsi="Arial"/>
                <w:b/>
                <w:sz w:val="16"/>
                <w:szCs w:val="16"/>
              </w:rPr>
            </w:pPr>
          </w:p>
          <w:p w:rsidR="0063281D" w:rsidP="00707AED" w14:paraId="76129D84" w14:textId="5F299E4E">
            <w:pPr>
              <w:widowControl/>
              <w:autoSpaceDE/>
              <w:autoSpaceDN/>
              <w:adjustRightInd/>
              <w:contextualSpacing/>
              <w:jc w:val="center"/>
              <w:rPr>
                <w:rFonts w:ascii="Arial" w:hAnsi="Arial"/>
                <w:b/>
                <w:sz w:val="16"/>
                <w:szCs w:val="16"/>
              </w:rPr>
            </w:pPr>
          </w:p>
          <w:p w:rsidR="00707AED" w:rsidRPr="00C5290A" w:rsidP="00707AED" w14:paraId="5B7D5AD7" w14:textId="4D188A95">
            <w:pPr>
              <w:widowControl/>
              <w:autoSpaceDE/>
              <w:autoSpaceDN/>
              <w:adjustRightInd/>
              <w:contextualSpacing/>
              <w:jc w:val="center"/>
              <w:rPr>
                <w:rFonts w:ascii="Arial" w:hAnsi="Arial"/>
                <w:b/>
                <w:sz w:val="16"/>
                <w:szCs w:val="20"/>
              </w:rPr>
            </w:pPr>
            <w:r w:rsidRPr="005158F0">
              <w:rPr>
                <w:rFonts w:ascii="Arial" w:hAnsi="Arial"/>
                <w:b/>
                <w:sz w:val="16"/>
                <w:szCs w:val="20"/>
              </w:rPr>
              <w:t>(d)</w:t>
            </w:r>
          </w:p>
        </w:tc>
        <w:tc>
          <w:tcPr>
            <w:tcW w:w="1260" w:type="dxa"/>
            <w:shd w:val="clear" w:color="auto" w:fill="B8CCE4" w:themeFill="accent1" w:themeFillTint="66"/>
          </w:tcPr>
          <w:p w:rsidR="00707AED" w:rsidP="00707AED" w14:paraId="1C2F6765" w14:textId="51962316">
            <w:pPr>
              <w:widowControl/>
              <w:autoSpaceDE/>
              <w:autoSpaceDN/>
              <w:adjustRightInd/>
              <w:contextualSpacing/>
              <w:jc w:val="center"/>
              <w:rPr>
                <w:rFonts w:ascii="Arial" w:hAnsi="Arial"/>
                <w:b/>
                <w:sz w:val="16"/>
                <w:szCs w:val="16"/>
              </w:rPr>
            </w:pPr>
            <w:r w:rsidRPr="60F0317F">
              <w:rPr>
                <w:rFonts w:ascii="Arial" w:hAnsi="Arial"/>
                <w:b/>
                <w:sz w:val="16"/>
                <w:szCs w:val="16"/>
              </w:rPr>
              <w:t xml:space="preserve">Total Federal </w:t>
            </w:r>
            <w:r w:rsidRPr="60F0317F" w:rsidR="009D4CCD">
              <w:rPr>
                <w:rFonts w:ascii="Arial" w:hAnsi="Arial"/>
                <w:b/>
                <w:sz w:val="16"/>
                <w:szCs w:val="16"/>
              </w:rPr>
              <w:t>Government Cost</w:t>
            </w:r>
          </w:p>
          <w:p w:rsidR="0063281D" w:rsidRPr="005158F0" w:rsidP="00707AED" w14:paraId="4BBB6638" w14:textId="55DFB328">
            <w:pPr>
              <w:widowControl/>
              <w:autoSpaceDE/>
              <w:autoSpaceDN/>
              <w:adjustRightInd/>
              <w:contextualSpacing/>
              <w:jc w:val="center"/>
              <w:rPr>
                <w:rFonts w:ascii="Arial" w:hAnsi="Arial"/>
                <w:b/>
                <w:sz w:val="16"/>
                <w:szCs w:val="16"/>
              </w:rPr>
            </w:pPr>
          </w:p>
          <w:p w:rsidR="00707AED" w:rsidRPr="00C5290A" w:rsidP="00707AED" w14:paraId="2B831853" w14:textId="619E59E4">
            <w:pPr>
              <w:widowControl/>
              <w:autoSpaceDE/>
              <w:autoSpaceDN/>
              <w:adjustRightInd/>
              <w:contextualSpacing/>
              <w:jc w:val="center"/>
              <w:rPr>
                <w:rFonts w:ascii="Arial" w:hAnsi="Arial"/>
                <w:b/>
                <w:sz w:val="16"/>
                <w:szCs w:val="20"/>
              </w:rPr>
            </w:pPr>
            <w:r w:rsidRPr="005158F0">
              <w:rPr>
                <w:rFonts w:ascii="Arial" w:hAnsi="Arial"/>
                <w:b/>
                <w:sz w:val="16"/>
                <w:szCs w:val="20"/>
              </w:rPr>
              <w:t>(c) x (d) = (e)</w:t>
            </w:r>
          </w:p>
        </w:tc>
      </w:tr>
      <w:tr w14:paraId="7D44F9F5" w14:textId="77777777" w:rsidTr="0063281D">
        <w:tblPrEx>
          <w:tblW w:w="9202" w:type="dxa"/>
          <w:tblInd w:w="108" w:type="dxa"/>
          <w:tblLayout w:type="fixed"/>
          <w:tblLook w:val="0000"/>
        </w:tblPrEx>
        <w:trPr>
          <w:cantSplit/>
        </w:trPr>
        <w:tc>
          <w:tcPr>
            <w:tcW w:w="607" w:type="dxa"/>
            <w:vAlign w:val="center"/>
          </w:tcPr>
          <w:p w:rsidR="00707AED" w:rsidRPr="00C5290A" w:rsidP="00707AED" w14:paraId="0B63270A" w14:textId="77777777">
            <w:pPr>
              <w:widowControl/>
              <w:autoSpaceDE/>
              <w:autoSpaceDN/>
              <w:adjustRightInd/>
              <w:jc w:val="center"/>
              <w:rPr>
                <w:rFonts w:ascii="Arial" w:hAnsi="Arial"/>
                <w:b/>
                <w:sz w:val="16"/>
                <w:szCs w:val="20"/>
              </w:rPr>
            </w:pPr>
            <w:r w:rsidRPr="00C5290A">
              <w:rPr>
                <w:rFonts w:ascii="Arial" w:hAnsi="Arial"/>
                <w:b/>
                <w:sz w:val="16"/>
                <w:szCs w:val="20"/>
              </w:rPr>
              <w:t>1</w:t>
            </w:r>
          </w:p>
        </w:tc>
        <w:tc>
          <w:tcPr>
            <w:tcW w:w="2970" w:type="dxa"/>
            <w:vAlign w:val="center"/>
          </w:tcPr>
          <w:p w:rsidR="00707AED" w:rsidP="00707AED" w14:paraId="19C838C3" w14:textId="77777777">
            <w:pPr>
              <w:widowControl/>
              <w:autoSpaceDE/>
              <w:autoSpaceDN/>
              <w:adjustRightInd/>
              <w:rPr>
                <w:rFonts w:ascii="Arial" w:hAnsi="Arial"/>
                <w:sz w:val="16"/>
                <w:szCs w:val="20"/>
              </w:rPr>
            </w:pPr>
          </w:p>
          <w:p w:rsidR="00FD2578" w:rsidP="00707AED" w14:paraId="31B58D4A" w14:textId="71C21CAA">
            <w:pPr>
              <w:widowControl/>
              <w:autoSpaceDE/>
              <w:autoSpaceDN/>
              <w:adjustRightInd/>
              <w:rPr>
                <w:rFonts w:ascii="Arial" w:hAnsi="Arial"/>
                <w:sz w:val="16"/>
                <w:szCs w:val="20"/>
              </w:rPr>
            </w:pPr>
            <w:r>
              <w:rPr>
                <w:rFonts w:ascii="Arial" w:hAnsi="Arial"/>
                <w:sz w:val="16"/>
                <w:szCs w:val="20"/>
              </w:rPr>
              <w:t>Deposit</w:t>
            </w:r>
            <w:r w:rsidR="00571677">
              <w:rPr>
                <w:rFonts w:ascii="Arial" w:hAnsi="Arial"/>
                <w:sz w:val="16"/>
                <w:szCs w:val="20"/>
              </w:rPr>
              <w:t xml:space="preserve"> of Biological </w:t>
            </w:r>
            <w:r>
              <w:rPr>
                <w:rFonts w:ascii="Arial" w:hAnsi="Arial"/>
                <w:sz w:val="16"/>
                <w:szCs w:val="20"/>
              </w:rPr>
              <w:t>Materials</w:t>
            </w:r>
          </w:p>
          <w:p w:rsidR="00FD2578" w:rsidRPr="00C5290A" w:rsidP="00707AED" w14:paraId="52B754D3" w14:textId="4A7EEA1A">
            <w:pPr>
              <w:widowControl/>
              <w:autoSpaceDE/>
              <w:autoSpaceDN/>
              <w:adjustRightInd/>
              <w:rPr>
                <w:rFonts w:ascii="Arial" w:hAnsi="Arial"/>
                <w:sz w:val="16"/>
                <w:szCs w:val="20"/>
              </w:rPr>
            </w:pPr>
          </w:p>
        </w:tc>
        <w:tc>
          <w:tcPr>
            <w:tcW w:w="1080" w:type="dxa"/>
            <w:vAlign w:val="center"/>
          </w:tcPr>
          <w:p w:rsidR="00707AED" w:rsidRPr="00C5290A" w:rsidP="00FD2578" w14:paraId="5C492A96" w14:textId="44A23FDE">
            <w:pPr>
              <w:widowControl/>
              <w:autoSpaceDE/>
              <w:autoSpaceDN/>
              <w:adjustRightInd/>
              <w:jc w:val="right"/>
              <w:rPr>
                <w:rFonts w:ascii="Arial" w:hAnsi="Arial"/>
                <w:sz w:val="16"/>
                <w:szCs w:val="20"/>
              </w:rPr>
            </w:pPr>
            <w:r>
              <w:rPr>
                <w:rFonts w:ascii="Arial" w:hAnsi="Arial"/>
                <w:sz w:val="16"/>
                <w:szCs w:val="20"/>
              </w:rPr>
              <w:t>1,500</w:t>
            </w:r>
          </w:p>
        </w:tc>
        <w:tc>
          <w:tcPr>
            <w:tcW w:w="1125" w:type="dxa"/>
            <w:vAlign w:val="center"/>
          </w:tcPr>
          <w:p w:rsidR="0063281D" w:rsidP="00707AED" w14:paraId="7B4E3184" w14:textId="34EA865C">
            <w:pPr>
              <w:widowControl/>
              <w:autoSpaceDE/>
              <w:autoSpaceDN/>
              <w:adjustRightInd/>
              <w:jc w:val="right"/>
              <w:rPr>
                <w:rFonts w:ascii="Arial" w:hAnsi="Arial"/>
                <w:sz w:val="16"/>
                <w:szCs w:val="16"/>
              </w:rPr>
            </w:pPr>
            <w:r w:rsidRPr="60F0317F">
              <w:rPr>
                <w:rFonts w:ascii="Arial" w:hAnsi="Arial"/>
                <w:sz w:val="16"/>
                <w:szCs w:val="16"/>
              </w:rPr>
              <w:t xml:space="preserve">0.25 </w:t>
            </w:r>
          </w:p>
          <w:p w:rsidR="00707AED" w:rsidRPr="00C5290A" w:rsidP="00707AED" w14:paraId="5E3E0FE5" w14:textId="5EFDCD04">
            <w:pPr>
              <w:widowControl/>
              <w:autoSpaceDE/>
              <w:autoSpaceDN/>
              <w:adjustRightInd/>
              <w:jc w:val="right"/>
              <w:rPr>
                <w:rFonts w:ascii="Arial" w:hAnsi="Arial"/>
                <w:sz w:val="16"/>
                <w:szCs w:val="16"/>
              </w:rPr>
            </w:pPr>
            <w:r w:rsidRPr="60F0317F">
              <w:rPr>
                <w:rFonts w:ascii="Arial" w:hAnsi="Arial"/>
                <w:sz w:val="16"/>
                <w:szCs w:val="16"/>
              </w:rPr>
              <w:t>(15 minutes)</w:t>
            </w:r>
          </w:p>
        </w:tc>
        <w:tc>
          <w:tcPr>
            <w:tcW w:w="1080" w:type="dxa"/>
            <w:vAlign w:val="center"/>
          </w:tcPr>
          <w:p w:rsidR="00707AED" w:rsidRPr="00C5290A" w:rsidP="00707AED" w14:paraId="0127F37D" w14:textId="3FCEF974">
            <w:pPr>
              <w:widowControl/>
              <w:autoSpaceDE/>
              <w:autoSpaceDN/>
              <w:adjustRightInd/>
              <w:jc w:val="right"/>
              <w:rPr>
                <w:rFonts w:ascii="Arial" w:hAnsi="Arial"/>
                <w:sz w:val="16"/>
                <w:szCs w:val="20"/>
              </w:rPr>
            </w:pPr>
            <w:r>
              <w:rPr>
                <w:rFonts w:ascii="Arial" w:hAnsi="Arial"/>
                <w:sz w:val="16"/>
                <w:szCs w:val="20"/>
              </w:rPr>
              <w:t>375</w:t>
            </w:r>
          </w:p>
        </w:tc>
        <w:tc>
          <w:tcPr>
            <w:tcW w:w="1080" w:type="dxa"/>
            <w:vAlign w:val="center"/>
          </w:tcPr>
          <w:p w:rsidR="00707AED" w:rsidRPr="00C5290A" w:rsidP="00707AED" w14:paraId="74B4BE93" w14:textId="7F2944CD">
            <w:pPr>
              <w:widowControl/>
              <w:autoSpaceDE/>
              <w:autoSpaceDN/>
              <w:adjustRightInd/>
              <w:jc w:val="right"/>
              <w:rPr>
                <w:rFonts w:ascii="Arial" w:hAnsi="Arial"/>
                <w:sz w:val="16"/>
                <w:szCs w:val="20"/>
              </w:rPr>
            </w:pPr>
            <w:r>
              <w:rPr>
                <w:rFonts w:ascii="Arial" w:hAnsi="Arial"/>
                <w:sz w:val="16"/>
                <w:szCs w:val="20"/>
              </w:rPr>
              <w:t>$55.</w:t>
            </w:r>
            <w:r w:rsidR="00B1154F">
              <w:rPr>
                <w:rFonts w:ascii="Arial" w:hAnsi="Arial"/>
                <w:sz w:val="16"/>
                <w:szCs w:val="20"/>
              </w:rPr>
              <w:t>78</w:t>
            </w:r>
          </w:p>
        </w:tc>
        <w:tc>
          <w:tcPr>
            <w:tcW w:w="1260" w:type="dxa"/>
            <w:vAlign w:val="center"/>
          </w:tcPr>
          <w:p w:rsidR="00707AED" w:rsidRPr="00C5290A" w:rsidP="00707AED" w14:paraId="55000823" w14:textId="02B4CFC2">
            <w:pPr>
              <w:widowControl/>
              <w:autoSpaceDE/>
              <w:autoSpaceDN/>
              <w:adjustRightInd/>
              <w:jc w:val="right"/>
              <w:rPr>
                <w:rFonts w:ascii="Arial" w:hAnsi="Arial"/>
                <w:sz w:val="16"/>
                <w:szCs w:val="20"/>
              </w:rPr>
            </w:pPr>
            <w:r>
              <w:rPr>
                <w:rFonts w:ascii="Arial" w:hAnsi="Arial"/>
                <w:sz w:val="16"/>
                <w:szCs w:val="20"/>
              </w:rPr>
              <w:t>$</w:t>
            </w:r>
            <w:r w:rsidR="007E3821">
              <w:rPr>
                <w:rFonts w:ascii="Arial" w:hAnsi="Arial"/>
                <w:sz w:val="16"/>
                <w:szCs w:val="20"/>
              </w:rPr>
              <w:t>20,</w:t>
            </w:r>
            <w:r w:rsidR="00BC2177">
              <w:rPr>
                <w:rFonts w:ascii="Arial" w:hAnsi="Arial"/>
                <w:sz w:val="16"/>
                <w:szCs w:val="20"/>
              </w:rPr>
              <w:t>918</w:t>
            </w:r>
          </w:p>
        </w:tc>
      </w:tr>
      <w:tr w14:paraId="4ADA8222" w14:textId="77777777" w:rsidTr="0063281D">
        <w:tblPrEx>
          <w:tblW w:w="9202" w:type="dxa"/>
          <w:tblInd w:w="108" w:type="dxa"/>
          <w:tblLayout w:type="fixed"/>
          <w:tblLook w:val="0000"/>
        </w:tblPrEx>
        <w:trPr>
          <w:cantSplit/>
        </w:trPr>
        <w:tc>
          <w:tcPr>
            <w:tcW w:w="607" w:type="dxa"/>
            <w:vAlign w:val="center"/>
          </w:tcPr>
          <w:p w:rsidR="00707AED" w:rsidRPr="00C5290A" w:rsidP="00707AED" w14:paraId="5A3624A3" w14:textId="77777777">
            <w:pPr>
              <w:widowControl/>
              <w:autoSpaceDE/>
              <w:autoSpaceDN/>
              <w:adjustRightInd/>
              <w:jc w:val="center"/>
              <w:rPr>
                <w:rFonts w:ascii="Arial" w:hAnsi="Arial"/>
                <w:b/>
                <w:sz w:val="16"/>
                <w:szCs w:val="20"/>
              </w:rPr>
            </w:pPr>
            <w:r w:rsidRPr="00C5290A">
              <w:rPr>
                <w:rFonts w:ascii="Arial" w:hAnsi="Arial"/>
                <w:b/>
                <w:sz w:val="16"/>
                <w:szCs w:val="20"/>
              </w:rPr>
              <w:t>2</w:t>
            </w:r>
          </w:p>
        </w:tc>
        <w:tc>
          <w:tcPr>
            <w:tcW w:w="2970" w:type="dxa"/>
            <w:vAlign w:val="center"/>
          </w:tcPr>
          <w:p w:rsidR="00707AED" w:rsidRPr="00C5290A" w:rsidP="00707AED" w14:paraId="6A286C23" w14:textId="77777777">
            <w:pPr>
              <w:widowControl/>
              <w:autoSpaceDE/>
              <w:autoSpaceDN/>
              <w:adjustRightInd/>
              <w:rPr>
                <w:rFonts w:ascii="Arial" w:hAnsi="Arial"/>
                <w:sz w:val="16"/>
                <w:szCs w:val="20"/>
              </w:rPr>
            </w:pPr>
          </w:p>
          <w:p w:rsidR="00707AED" w:rsidRPr="00C5290A" w:rsidP="00707AED" w14:paraId="2BC95C46" w14:textId="280945AC">
            <w:pPr>
              <w:widowControl/>
              <w:autoSpaceDE/>
              <w:autoSpaceDN/>
              <w:adjustRightInd/>
              <w:rPr>
                <w:rFonts w:ascii="Arial" w:hAnsi="Arial"/>
                <w:sz w:val="16"/>
                <w:szCs w:val="20"/>
              </w:rPr>
            </w:pPr>
            <w:r>
              <w:rPr>
                <w:rFonts w:ascii="Arial" w:hAnsi="Arial"/>
                <w:sz w:val="16"/>
                <w:szCs w:val="20"/>
              </w:rPr>
              <w:t xml:space="preserve">Request for Depository Materials </w:t>
            </w:r>
          </w:p>
          <w:p w:rsidR="00707AED" w:rsidRPr="00C5290A" w:rsidP="00707AED" w14:paraId="66E5AFEF" w14:textId="77777777">
            <w:pPr>
              <w:widowControl/>
              <w:autoSpaceDE/>
              <w:autoSpaceDN/>
              <w:adjustRightInd/>
              <w:rPr>
                <w:rFonts w:ascii="Arial" w:hAnsi="Arial"/>
                <w:sz w:val="16"/>
                <w:szCs w:val="20"/>
              </w:rPr>
            </w:pPr>
          </w:p>
        </w:tc>
        <w:tc>
          <w:tcPr>
            <w:tcW w:w="1080" w:type="dxa"/>
            <w:vAlign w:val="center"/>
          </w:tcPr>
          <w:p w:rsidR="00707AED" w:rsidRPr="00C5290A" w:rsidP="00FD2578" w14:paraId="058D4489" w14:textId="7FE75B8E">
            <w:pPr>
              <w:widowControl/>
              <w:autoSpaceDE/>
              <w:autoSpaceDN/>
              <w:adjustRightInd/>
              <w:jc w:val="right"/>
              <w:rPr>
                <w:rFonts w:ascii="Arial" w:hAnsi="Arial"/>
                <w:sz w:val="16"/>
                <w:szCs w:val="20"/>
              </w:rPr>
            </w:pPr>
            <w:r>
              <w:rPr>
                <w:rFonts w:ascii="Arial" w:hAnsi="Arial"/>
                <w:sz w:val="16"/>
                <w:szCs w:val="20"/>
              </w:rPr>
              <w:t>1</w:t>
            </w:r>
          </w:p>
        </w:tc>
        <w:tc>
          <w:tcPr>
            <w:tcW w:w="1125" w:type="dxa"/>
            <w:vAlign w:val="center"/>
          </w:tcPr>
          <w:p w:rsidR="00707AED" w:rsidRPr="00C5290A" w:rsidP="00707AED" w14:paraId="149B611B" w14:textId="3546D691">
            <w:pPr>
              <w:widowControl/>
              <w:autoSpaceDE/>
              <w:autoSpaceDN/>
              <w:adjustRightInd/>
              <w:jc w:val="right"/>
              <w:rPr>
                <w:rFonts w:ascii="Arial" w:hAnsi="Arial"/>
                <w:sz w:val="16"/>
                <w:szCs w:val="20"/>
              </w:rPr>
            </w:pPr>
            <w:r>
              <w:rPr>
                <w:rFonts w:ascii="Arial" w:hAnsi="Arial"/>
                <w:sz w:val="16"/>
                <w:szCs w:val="20"/>
              </w:rPr>
              <w:t>10</w:t>
            </w:r>
          </w:p>
        </w:tc>
        <w:tc>
          <w:tcPr>
            <w:tcW w:w="1080" w:type="dxa"/>
            <w:vAlign w:val="center"/>
          </w:tcPr>
          <w:p w:rsidR="00707AED" w:rsidRPr="00C5290A" w:rsidP="00707AED" w14:paraId="342E1FA3" w14:textId="2B88C7F8">
            <w:pPr>
              <w:widowControl/>
              <w:autoSpaceDE/>
              <w:autoSpaceDN/>
              <w:adjustRightInd/>
              <w:jc w:val="right"/>
              <w:rPr>
                <w:rFonts w:ascii="Arial" w:hAnsi="Arial"/>
                <w:sz w:val="16"/>
                <w:szCs w:val="20"/>
              </w:rPr>
            </w:pPr>
            <w:r>
              <w:rPr>
                <w:rFonts w:ascii="Arial" w:hAnsi="Arial"/>
                <w:sz w:val="16"/>
                <w:szCs w:val="20"/>
              </w:rPr>
              <w:t>10</w:t>
            </w:r>
          </w:p>
        </w:tc>
        <w:tc>
          <w:tcPr>
            <w:tcW w:w="1080" w:type="dxa"/>
            <w:vAlign w:val="center"/>
          </w:tcPr>
          <w:p w:rsidR="00707AED" w:rsidRPr="00C5290A" w:rsidP="00707AED" w14:paraId="68806FD4" w14:textId="0085A1E0">
            <w:pPr>
              <w:widowControl/>
              <w:autoSpaceDE/>
              <w:autoSpaceDN/>
              <w:adjustRightInd/>
              <w:jc w:val="right"/>
              <w:rPr>
                <w:rFonts w:ascii="Arial" w:hAnsi="Arial"/>
                <w:sz w:val="16"/>
                <w:szCs w:val="20"/>
              </w:rPr>
            </w:pPr>
            <w:r>
              <w:rPr>
                <w:rFonts w:ascii="Arial" w:hAnsi="Arial"/>
                <w:sz w:val="16"/>
                <w:szCs w:val="20"/>
              </w:rPr>
              <w:t>$12</w:t>
            </w:r>
            <w:r w:rsidR="00B1154F">
              <w:rPr>
                <w:rFonts w:ascii="Arial" w:hAnsi="Arial"/>
                <w:sz w:val="16"/>
                <w:szCs w:val="20"/>
              </w:rPr>
              <w:t>5.25</w:t>
            </w:r>
          </w:p>
        </w:tc>
        <w:tc>
          <w:tcPr>
            <w:tcW w:w="1260" w:type="dxa"/>
            <w:vAlign w:val="center"/>
          </w:tcPr>
          <w:p w:rsidR="00707AED" w:rsidRPr="00C5290A" w:rsidP="00707AED" w14:paraId="224EFA06" w14:textId="1249ADF5">
            <w:pPr>
              <w:widowControl/>
              <w:autoSpaceDE/>
              <w:autoSpaceDN/>
              <w:adjustRightInd/>
              <w:jc w:val="right"/>
              <w:rPr>
                <w:rFonts w:ascii="Arial" w:hAnsi="Arial"/>
                <w:sz w:val="16"/>
                <w:szCs w:val="20"/>
              </w:rPr>
            </w:pPr>
            <w:r>
              <w:rPr>
                <w:rFonts w:ascii="Arial" w:hAnsi="Arial"/>
                <w:sz w:val="16"/>
                <w:szCs w:val="20"/>
              </w:rPr>
              <w:t>$</w:t>
            </w:r>
            <w:r w:rsidR="007E3821">
              <w:rPr>
                <w:rFonts w:ascii="Arial" w:hAnsi="Arial"/>
                <w:sz w:val="16"/>
                <w:szCs w:val="20"/>
              </w:rPr>
              <w:t>1,</w:t>
            </w:r>
            <w:r w:rsidR="00BC2177">
              <w:rPr>
                <w:rFonts w:ascii="Arial" w:hAnsi="Arial"/>
                <w:sz w:val="16"/>
                <w:szCs w:val="20"/>
              </w:rPr>
              <w:t>253</w:t>
            </w:r>
          </w:p>
        </w:tc>
      </w:tr>
      <w:tr w14:paraId="638E4730" w14:textId="77777777" w:rsidTr="0063281D">
        <w:tblPrEx>
          <w:tblW w:w="9202" w:type="dxa"/>
          <w:tblInd w:w="108" w:type="dxa"/>
          <w:tblLayout w:type="fixed"/>
          <w:tblLook w:val="0000"/>
        </w:tblPrEx>
        <w:trPr>
          <w:cantSplit/>
          <w:trHeight w:val="377"/>
        </w:trPr>
        <w:tc>
          <w:tcPr>
            <w:tcW w:w="607" w:type="dxa"/>
            <w:vAlign w:val="center"/>
          </w:tcPr>
          <w:p w:rsidR="00707AED" w:rsidRPr="00C5290A" w:rsidP="00707AED" w14:paraId="16308BC6" w14:textId="77777777">
            <w:pPr>
              <w:widowControl/>
              <w:autoSpaceDE/>
              <w:autoSpaceDN/>
              <w:adjustRightInd/>
              <w:rPr>
                <w:rFonts w:ascii="Arial" w:hAnsi="Arial"/>
                <w:b/>
                <w:sz w:val="16"/>
                <w:szCs w:val="20"/>
              </w:rPr>
            </w:pPr>
          </w:p>
          <w:p w:rsidR="00707AED" w:rsidRPr="00C5290A" w:rsidP="00707AED" w14:paraId="5F6EF8A1" w14:textId="77777777">
            <w:pPr>
              <w:widowControl/>
              <w:autoSpaceDE/>
              <w:autoSpaceDN/>
              <w:adjustRightInd/>
              <w:rPr>
                <w:rFonts w:ascii="Arial" w:hAnsi="Arial"/>
                <w:b/>
                <w:sz w:val="16"/>
                <w:szCs w:val="20"/>
              </w:rPr>
            </w:pPr>
          </w:p>
        </w:tc>
        <w:tc>
          <w:tcPr>
            <w:tcW w:w="2970" w:type="dxa"/>
            <w:vAlign w:val="center"/>
          </w:tcPr>
          <w:p w:rsidR="00707AED" w:rsidRPr="00C5290A" w:rsidP="00707AED" w14:paraId="3F452030" w14:textId="461F044D">
            <w:pPr>
              <w:keepNext/>
              <w:widowControl/>
              <w:autoSpaceDE/>
              <w:autoSpaceDN/>
              <w:adjustRightInd/>
              <w:outlineLvl w:val="8"/>
              <w:rPr>
                <w:rFonts w:ascii="Arial" w:hAnsi="Arial"/>
                <w:b/>
                <w:sz w:val="16"/>
                <w:szCs w:val="20"/>
              </w:rPr>
            </w:pPr>
            <w:r w:rsidRPr="00C5290A">
              <w:rPr>
                <w:rFonts w:ascii="Arial" w:hAnsi="Arial"/>
                <w:b/>
                <w:sz w:val="16"/>
                <w:szCs w:val="20"/>
              </w:rPr>
              <w:t>T</w:t>
            </w:r>
            <w:r w:rsidR="00DA5BF2">
              <w:rPr>
                <w:rFonts w:ascii="Arial" w:hAnsi="Arial"/>
                <w:b/>
                <w:sz w:val="16"/>
                <w:szCs w:val="20"/>
              </w:rPr>
              <w:t>otals</w:t>
            </w:r>
          </w:p>
        </w:tc>
        <w:tc>
          <w:tcPr>
            <w:tcW w:w="1080" w:type="dxa"/>
            <w:vAlign w:val="center"/>
          </w:tcPr>
          <w:p w:rsidR="00707AED" w:rsidRPr="00C5290A" w:rsidP="00FD2578" w14:paraId="25CEC1E6" w14:textId="11A35521">
            <w:pPr>
              <w:widowControl/>
              <w:autoSpaceDE/>
              <w:autoSpaceDN/>
              <w:adjustRightInd/>
              <w:jc w:val="right"/>
              <w:rPr>
                <w:rFonts w:ascii="Arial" w:hAnsi="Arial"/>
                <w:b/>
                <w:sz w:val="16"/>
                <w:szCs w:val="20"/>
              </w:rPr>
            </w:pPr>
            <w:r>
              <w:rPr>
                <w:rFonts w:ascii="Arial" w:hAnsi="Arial"/>
                <w:b/>
                <w:sz w:val="16"/>
                <w:szCs w:val="20"/>
              </w:rPr>
              <w:t>1,501</w:t>
            </w:r>
          </w:p>
        </w:tc>
        <w:tc>
          <w:tcPr>
            <w:tcW w:w="1125" w:type="dxa"/>
            <w:vAlign w:val="center"/>
          </w:tcPr>
          <w:p w:rsidR="00707AED" w:rsidRPr="00C5290A" w:rsidP="00707AED" w14:paraId="59F0BA43" w14:textId="620F837C">
            <w:pPr>
              <w:widowControl/>
              <w:autoSpaceDE/>
              <w:autoSpaceDN/>
              <w:adjustRightInd/>
              <w:jc w:val="right"/>
              <w:rPr>
                <w:rFonts w:ascii="Arial" w:hAnsi="Arial"/>
                <w:b/>
                <w:sz w:val="16"/>
                <w:szCs w:val="20"/>
              </w:rPr>
            </w:pPr>
            <w:r w:rsidRPr="00C5290A">
              <w:rPr>
                <w:rFonts w:ascii="Arial" w:hAnsi="Arial"/>
                <w:b/>
                <w:sz w:val="16"/>
                <w:szCs w:val="20"/>
              </w:rPr>
              <w:t xml:space="preserve">-  -  -  </w:t>
            </w:r>
          </w:p>
        </w:tc>
        <w:tc>
          <w:tcPr>
            <w:tcW w:w="1080" w:type="dxa"/>
            <w:vAlign w:val="center"/>
          </w:tcPr>
          <w:p w:rsidR="00707AED" w:rsidRPr="00C5290A" w:rsidP="00707AED" w14:paraId="763A2CC0" w14:textId="0EEF25AB">
            <w:pPr>
              <w:widowControl/>
              <w:autoSpaceDE/>
              <w:autoSpaceDN/>
              <w:adjustRightInd/>
              <w:jc w:val="right"/>
              <w:rPr>
                <w:rFonts w:ascii="Arial" w:hAnsi="Arial"/>
                <w:b/>
                <w:sz w:val="16"/>
                <w:szCs w:val="20"/>
              </w:rPr>
            </w:pPr>
            <w:r>
              <w:rPr>
                <w:rFonts w:ascii="Arial" w:hAnsi="Arial"/>
                <w:b/>
                <w:sz w:val="16"/>
                <w:szCs w:val="20"/>
              </w:rPr>
              <w:t>385</w:t>
            </w:r>
          </w:p>
        </w:tc>
        <w:tc>
          <w:tcPr>
            <w:tcW w:w="1080" w:type="dxa"/>
            <w:vAlign w:val="center"/>
          </w:tcPr>
          <w:p w:rsidR="00707AED" w:rsidRPr="00C5290A" w:rsidP="00707AED" w14:paraId="30D3B48B" w14:textId="5A2A6C12">
            <w:pPr>
              <w:widowControl/>
              <w:autoSpaceDE/>
              <w:autoSpaceDN/>
              <w:adjustRightInd/>
              <w:jc w:val="right"/>
              <w:rPr>
                <w:rFonts w:ascii="Arial" w:hAnsi="Arial"/>
                <w:b/>
                <w:sz w:val="16"/>
                <w:szCs w:val="20"/>
              </w:rPr>
            </w:pPr>
            <w:r w:rsidRPr="00C5290A">
              <w:rPr>
                <w:rFonts w:ascii="Arial" w:hAnsi="Arial"/>
                <w:b/>
                <w:sz w:val="16"/>
                <w:szCs w:val="20"/>
              </w:rPr>
              <w:t xml:space="preserve">-  -  -  </w:t>
            </w:r>
          </w:p>
        </w:tc>
        <w:tc>
          <w:tcPr>
            <w:tcW w:w="1260" w:type="dxa"/>
            <w:vAlign w:val="center"/>
          </w:tcPr>
          <w:p w:rsidR="00707AED" w:rsidRPr="00C5290A" w:rsidP="00707AED" w14:paraId="44C20D8A" w14:textId="615CD94C">
            <w:pPr>
              <w:widowControl/>
              <w:autoSpaceDE/>
              <w:autoSpaceDN/>
              <w:adjustRightInd/>
              <w:jc w:val="right"/>
              <w:rPr>
                <w:rFonts w:ascii="Arial" w:hAnsi="Arial"/>
                <w:b/>
                <w:sz w:val="16"/>
                <w:szCs w:val="20"/>
              </w:rPr>
            </w:pPr>
            <w:r w:rsidRPr="00C5290A">
              <w:rPr>
                <w:rFonts w:ascii="Arial" w:hAnsi="Arial"/>
                <w:b/>
                <w:sz w:val="16"/>
                <w:szCs w:val="20"/>
              </w:rPr>
              <w:t>$</w:t>
            </w:r>
            <w:r w:rsidR="00BC2177">
              <w:rPr>
                <w:rFonts w:ascii="Arial" w:hAnsi="Arial"/>
                <w:b/>
                <w:sz w:val="16"/>
                <w:szCs w:val="20"/>
              </w:rPr>
              <w:t>22,171</w:t>
            </w:r>
          </w:p>
        </w:tc>
      </w:tr>
      <w:bookmarkEnd w:id="5"/>
    </w:tbl>
    <w:p w:rsidR="00636EDA" w:rsidRPr="00931AF7" w:rsidP="00636EDA" w14:paraId="79D4A1BA" w14:textId="77777777">
      <w:pPr>
        <w:widowControl/>
        <w:tabs>
          <w:tab w:val="left" w:pos="-984"/>
          <w:tab w:val="left" w:pos="-720"/>
          <w:tab w:val="left" w:pos="720"/>
        </w:tabs>
        <w:jc w:val="both"/>
        <w:rPr>
          <w:rFonts w:ascii="Arial" w:hAnsi="Arial" w:cs="Arial"/>
        </w:rPr>
      </w:pPr>
    </w:p>
    <w:p w:rsidR="00567B74" w:rsidRPr="00164C92" w:rsidP="00FD2578" w14:paraId="2D3E549F" w14:textId="70C57467">
      <w:pPr>
        <w:pStyle w:val="ListParagraph"/>
        <w:widowControl/>
        <w:numPr>
          <w:ilvl w:val="0"/>
          <w:numId w:val="15"/>
        </w:numPr>
        <w:tabs>
          <w:tab w:val="left" w:pos="-984"/>
          <w:tab w:val="left" w:pos="-720"/>
        </w:tabs>
        <w:ind w:left="360"/>
        <w:jc w:val="both"/>
        <w:rPr>
          <w:rFonts w:ascii="Arial" w:hAnsi="Arial" w:cs="Arial"/>
          <w:b/>
          <w:sz w:val="32"/>
        </w:rPr>
      </w:pPr>
      <w:r w:rsidRPr="00F2336C">
        <w:rPr>
          <w:rFonts w:ascii="Arial" w:hAnsi="Arial" w:cs="Arial"/>
          <w:b/>
          <w:szCs w:val="20"/>
        </w:rPr>
        <w:t xml:space="preserve">Explain the reasons for any program changes or adjustments reported on the burden worksheet. </w:t>
      </w:r>
    </w:p>
    <w:p w:rsidR="00C160A2" w:rsidRPr="00F2336C" w:rsidP="00164C92" w14:paraId="620F7E57" w14:textId="77777777">
      <w:pPr>
        <w:pStyle w:val="ListParagraph"/>
        <w:widowControl/>
        <w:tabs>
          <w:tab w:val="left" w:pos="-984"/>
          <w:tab w:val="left" w:pos="-720"/>
          <w:tab w:val="left" w:pos="720"/>
        </w:tabs>
        <w:ind w:left="450"/>
        <w:jc w:val="both"/>
        <w:rPr>
          <w:rFonts w:ascii="Arial" w:hAnsi="Arial" w:cs="Arial"/>
          <w:b/>
          <w:sz w:val="32"/>
        </w:rPr>
      </w:pPr>
    </w:p>
    <w:p w:rsidR="00567B74" w:rsidRPr="00164C92" w:rsidP="00164C92" w14:paraId="70A29635" w14:textId="738C8489">
      <w:pPr>
        <w:pStyle w:val="NoSpacing"/>
        <w:jc w:val="both"/>
        <w:rPr>
          <w:rFonts w:ascii="Arial" w:hAnsi="Arial" w:cs="Arial"/>
          <w:b/>
          <w:sz w:val="20"/>
          <w:szCs w:val="20"/>
        </w:rPr>
      </w:pPr>
      <w:bookmarkStart w:id="6" w:name="_Hlk166673648"/>
      <w:bookmarkStart w:id="7" w:name="_Hlk167110940"/>
      <w:r w:rsidRPr="000179EF">
        <w:rPr>
          <w:rFonts w:ascii="Arial" w:hAnsi="Arial" w:cs="Arial"/>
          <w:b/>
          <w:sz w:val="20"/>
          <w:szCs w:val="20"/>
        </w:rPr>
        <w:t xml:space="preserve">Table </w:t>
      </w:r>
      <w:r>
        <w:rPr>
          <w:rFonts w:ascii="Arial" w:hAnsi="Arial" w:cs="Arial"/>
          <w:b/>
          <w:sz w:val="20"/>
          <w:szCs w:val="20"/>
        </w:rPr>
        <w:t>6</w:t>
      </w:r>
      <w:r w:rsidRPr="000179EF">
        <w:rPr>
          <w:rFonts w:ascii="Arial" w:hAnsi="Arial" w:cs="Arial"/>
          <w:b/>
          <w:sz w:val="20"/>
          <w:szCs w:val="20"/>
        </w:rPr>
        <w:t xml:space="preserve">: ICR Summary of Burden  </w:t>
      </w: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494"/>
        <w:gridCol w:w="1307"/>
        <w:gridCol w:w="1306"/>
        <w:gridCol w:w="1306"/>
        <w:gridCol w:w="1319"/>
        <w:gridCol w:w="1306"/>
        <w:gridCol w:w="1306"/>
      </w:tblGrid>
      <w:tr w14:paraId="3E9BC7EB" w14:textId="77777777" w:rsidTr="009830B7">
        <w:tblPrEx>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rPr>
        <w:tc>
          <w:tcPr>
            <w:tcW w:w="7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bookmarkEnd w:id="6"/>
          <w:p w:rsidR="00A25005" w:rsidRPr="008E27CC" w:rsidP="00870E68" w14:paraId="35EAB8DB"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 </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08C2698D"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Requested</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2557FE59"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New Statute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3BC551AE"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Agency Discretion</w:t>
            </w:r>
          </w:p>
        </w:tc>
        <w:tc>
          <w:tcPr>
            <w:tcW w:w="70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1BDB66A4"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Adjustment in Agency Estimate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4AFD60AB"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Potential Violation of the PRA</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757257B6"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Previously Approved</w:t>
            </w:r>
          </w:p>
        </w:tc>
      </w:tr>
      <w:tr w14:paraId="657AE157" w14:textId="77777777" w:rsidTr="009830B7">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8E27CC" w:rsidP="00870E68" w14:paraId="7951644D" w14:textId="77777777">
            <w:pPr>
              <w:spacing w:line="225" w:lineRule="atLeast"/>
              <w:rPr>
                <w:rFonts w:ascii="Arial" w:hAnsi="Arial" w:cs="Arial"/>
                <w:color w:val="56606F"/>
                <w:sz w:val="17"/>
                <w:szCs w:val="17"/>
              </w:rPr>
            </w:pPr>
            <w:r w:rsidRPr="008E27CC">
              <w:rPr>
                <w:rFonts w:ascii="Arial" w:hAnsi="Arial" w:cs="Arial"/>
                <w:color w:val="56606F"/>
                <w:sz w:val="17"/>
                <w:szCs w:val="17"/>
              </w:rPr>
              <w:t>Annual Number of Responses</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4281C752" w14:textId="3B6CCA41">
            <w:pPr>
              <w:spacing w:line="225" w:lineRule="atLeast"/>
              <w:rPr>
                <w:rFonts w:ascii="Arial" w:hAnsi="Arial" w:cs="Arial"/>
                <w:sz w:val="17"/>
                <w:szCs w:val="17"/>
              </w:rPr>
            </w:pPr>
            <w:r>
              <w:rPr>
                <w:rFonts w:ascii="Arial" w:hAnsi="Arial" w:cs="Arial"/>
                <w:sz w:val="17"/>
                <w:szCs w:val="17"/>
              </w:rPr>
              <w:t>1,501</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07C87D9E"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3187CE4C" w14:textId="77777777">
            <w:pPr>
              <w:spacing w:line="225" w:lineRule="atLeast"/>
              <w:rPr>
                <w:rFonts w:ascii="Arial" w:hAnsi="Arial" w:cs="Arial"/>
                <w:sz w:val="17"/>
                <w:szCs w:val="17"/>
              </w:rPr>
            </w:pPr>
            <w:r w:rsidRPr="00216B80">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361D9E" w:rsidP="00870E68" w14:paraId="4202006B" w14:textId="4F8B4EB7">
            <w:pPr>
              <w:spacing w:line="225" w:lineRule="atLeast"/>
              <w:rPr>
                <w:rFonts w:ascii="Arial" w:hAnsi="Arial" w:cs="Arial"/>
                <w:sz w:val="17"/>
                <w:szCs w:val="17"/>
              </w:rPr>
            </w:pPr>
            <w:r>
              <w:rPr>
                <w:rFonts w:ascii="Arial" w:hAnsi="Arial" w:cs="Arial"/>
                <w:sz w:val="17"/>
                <w:szCs w:val="17"/>
              </w:rPr>
              <w:t>-1,800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61D6D54C"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09C1A8F1" w14:textId="29910D14">
            <w:pPr>
              <w:spacing w:line="225" w:lineRule="atLeast"/>
              <w:rPr>
                <w:rFonts w:ascii="Arial" w:hAnsi="Arial" w:cs="Arial"/>
                <w:sz w:val="17"/>
                <w:szCs w:val="17"/>
              </w:rPr>
            </w:pPr>
            <w:r>
              <w:rPr>
                <w:rFonts w:ascii="Arial" w:hAnsi="Arial" w:cs="Arial"/>
                <w:sz w:val="17"/>
                <w:szCs w:val="17"/>
              </w:rPr>
              <w:t>3,301</w:t>
            </w:r>
          </w:p>
        </w:tc>
      </w:tr>
      <w:tr w14:paraId="4ABA6DCA" w14:textId="77777777" w:rsidTr="009830B7">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8E27CC" w:rsidP="00870E68" w14:paraId="3623C4DC" w14:textId="77777777">
            <w:pPr>
              <w:spacing w:line="225" w:lineRule="atLeast"/>
              <w:rPr>
                <w:rFonts w:ascii="Arial" w:hAnsi="Arial" w:cs="Arial"/>
                <w:color w:val="56606F"/>
                <w:sz w:val="17"/>
                <w:szCs w:val="17"/>
              </w:rPr>
            </w:pPr>
            <w:r w:rsidRPr="008E27CC">
              <w:rPr>
                <w:rFonts w:ascii="Arial" w:hAnsi="Arial" w:cs="Arial"/>
                <w:color w:val="56606F"/>
                <w:sz w:val="17"/>
                <w:szCs w:val="17"/>
              </w:rPr>
              <w:t>Annual Time Burden (Hr)</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1544083D" w14:textId="31F24E89">
            <w:pPr>
              <w:spacing w:line="225" w:lineRule="atLeast"/>
              <w:rPr>
                <w:rFonts w:ascii="Arial" w:hAnsi="Arial" w:cs="Arial"/>
                <w:sz w:val="17"/>
                <w:szCs w:val="17"/>
              </w:rPr>
            </w:pPr>
            <w:r>
              <w:rPr>
                <w:rFonts w:ascii="Arial" w:hAnsi="Arial" w:cs="Arial"/>
                <w:sz w:val="17"/>
                <w:szCs w:val="17"/>
              </w:rPr>
              <w:t>1,505</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6DFCB73E"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130EB060" w14:textId="77777777">
            <w:pPr>
              <w:spacing w:line="225" w:lineRule="atLeast"/>
              <w:rPr>
                <w:rFonts w:ascii="Arial" w:hAnsi="Arial" w:cs="Arial"/>
                <w:sz w:val="17"/>
                <w:szCs w:val="17"/>
              </w:rPr>
            </w:pPr>
            <w:r w:rsidRPr="00216B80">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361D9E" w:rsidP="00870E68" w14:paraId="35910740" w14:textId="051C38C1">
            <w:pPr>
              <w:spacing w:line="225" w:lineRule="atLeast"/>
              <w:rPr>
                <w:rFonts w:ascii="Arial" w:hAnsi="Arial" w:cs="Arial"/>
                <w:sz w:val="17"/>
                <w:szCs w:val="17"/>
              </w:rPr>
            </w:pPr>
            <w:r>
              <w:rPr>
                <w:rFonts w:ascii="Arial" w:hAnsi="Arial" w:cs="Arial"/>
                <w:sz w:val="17"/>
                <w:szCs w:val="17"/>
              </w:rPr>
              <w:t>-1,800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17CFFAD1"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20D5F23A" w14:textId="32F88C1E">
            <w:pPr>
              <w:spacing w:line="225" w:lineRule="atLeast"/>
              <w:rPr>
                <w:rFonts w:ascii="Arial" w:hAnsi="Arial" w:cs="Arial"/>
                <w:sz w:val="17"/>
                <w:szCs w:val="17"/>
              </w:rPr>
            </w:pPr>
            <w:r>
              <w:rPr>
                <w:rFonts w:ascii="Arial" w:hAnsi="Arial" w:cs="Arial"/>
                <w:sz w:val="17"/>
                <w:szCs w:val="17"/>
              </w:rPr>
              <w:t>3,305</w:t>
            </w:r>
          </w:p>
        </w:tc>
      </w:tr>
      <w:tr w14:paraId="224721FB" w14:textId="77777777" w:rsidTr="009830B7">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8E1811" w:rsidP="009830B7" w14:paraId="6D12CC9A" w14:textId="0ECD21A7">
            <w:pPr>
              <w:spacing w:line="225" w:lineRule="atLeast"/>
              <w:rPr>
                <w:rFonts w:ascii="Arial" w:hAnsi="Arial" w:cs="Arial"/>
                <w:sz w:val="17"/>
                <w:szCs w:val="17"/>
              </w:rPr>
            </w:pPr>
            <w:r w:rsidRPr="008E27CC">
              <w:rPr>
                <w:rFonts w:ascii="Arial" w:hAnsi="Arial" w:cs="Arial"/>
                <w:color w:val="56606F"/>
                <w:sz w:val="17"/>
                <w:szCs w:val="17"/>
              </w:rPr>
              <w:t xml:space="preserve">Annual </w:t>
            </w:r>
            <w:r>
              <w:rPr>
                <w:rFonts w:ascii="Arial" w:hAnsi="Arial" w:cs="Arial"/>
                <w:color w:val="56606F"/>
                <w:sz w:val="17"/>
                <w:szCs w:val="17"/>
              </w:rPr>
              <w:t>Cost</w:t>
            </w:r>
            <w:r w:rsidRPr="008E27CC">
              <w:rPr>
                <w:rFonts w:ascii="Arial" w:hAnsi="Arial" w:cs="Arial"/>
                <w:color w:val="56606F"/>
                <w:sz w:val="17"/>
                <w:szCs w:val="17"/>
              </w:rPr>
              <w:t xml:space="preserve"> Burden (</w:t>
            </w:r>
            <w:r>
              <w:rPr>
                <w:rFonts w:ascii="Arial" w:hAnsi="Arial" w:cs="Arial"/>
                <w:color w:val="56606F"/>
                <w:sz w:val="17"/>
                <w:szCs w:val="17"/>
              </w:rPr>
              <w:t>$</w:t>
            </w:r>
            <w:r w:rsidRPr="008E27CC">
              <w:rPr>
                <w:rFonts w:ascii="Arial" w:hAnsi="Arial" w:cs="Arial"/>
                <w:color w:val="56606F"/>
                <w:sz w:val="17"/>
                <w:szCs w:val="17"/>
              </w:rPr>
              <w:t>)</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8E1811" w:rsidP="009830B7" w14:paraId="05401135" w14:textId="503C0411">
            <w:pPr>
              <w:spacing w:line="225" w:lineRule="atLeast"/>
              <w:rPr>
                <w:rFonts w:ascii="Arial" w:hAnsi="Arial" w:cs="Arial"/>
                <w:sz w:val="17"/>
                <w:szCs w:val="17"/>
              </w:rPr>
            </w:pPr>
            <w:r w:rsidRPr="00686C7B">
              <w:rPr>
                <w:rFonts w:ascii="Arial" w:hAnsi="Arial" w:cs="Arial"/>
                <w:sz w:val="17"/>
                <w:szCs w:val="17"/>
              </w:rPr>
              <w:t>4,306,512</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8E1811" w:rsidP="009830B7" w14:paraId="05E0C90B" w14:textId="0DC0B296">
            <w:pPr>
              <w:spacing w:line="225" w:lineRule="atLeast"/>
              <w:rPr>
                <w:rFonts w:ascii="Arial" w:hAnsi="Arial" w:cs="Arial"/>
                <w:sz w:val="17"/>
                <w:szCs w:val="17"/>
              </w:rPr>
            </w:pPr>
            <w:r w:rsidRPr="008E1811">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8E1811" w:rsidP="009830B7" w14:paraId="1B8D539C" w14:textId="77777777">
            <w:pPr>
              <w:spacing w:line="225" w:lineRule="atLeast"/>
              <w:rPr>
                <w:rFonts w:ascii="Arial" w:hAnsi="Arial" w:cs="Arial"/>
                <w:sz w:val="17"/>
                <w:szCs w:val="17"/>
              </w:rPr>
            </w:pPr>
            <w:r w:rsidRPr="008E1811">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361D9E" w:rsidP="009830B7" w14:paraId="17CD4C62" w14:textId="6063D169">
            <w:pPr>
              <w:spacing w:line="225" w:lineRule="atLeast"/>
              <w:rPr>
                <w:rFonts w:ascii="Arial" w:hAnsi="Arial" w:cs="Arial"/>
                <w:sz w:val="17"/>
                <w:szCs w:val="17"/>
              </w:rPr>
            </w:pPr>
            <w:r>
              <w:rPr>
                <w:rFonts w:ascii="Arial" w:hAnsi="Arial" w:cs="Arial"/>
                <w:sz w:val="17"/>
                <w:szCs w:val="17"/>
              </w:rPr>
              <w:t>-</w:t>
            </w:r>
            <w:r w:rsidRPr="001E3F46" w:rsidR="001E3F46">
              <w:rPr>
                <w:rFonts w:ascii="Arial" w:hAnsi="Arial" w:cs="Arial"/>
                <w:sz w:val="17"/>
                <w:szCs w:val="17"/>
              </w:rPr>
              <w:t>4,953,297</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216B80" w:rsidP="009830B7" w14:paraId="39F814BB"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216B80" w:rsidP="009830B7" w14:paraId="7D402E8F" w14:textId="1A846DAD">
            <w:pPr>
              <w:spacing w:line="225" w:lineRule="atLeast"/>
              <w:rPr>
                <w:rFonts w:ascii="Arial" w:hAnsi="Arial" w:cs="Arial"/>
                <w:sz w:val="17"/>
                <w:szCs w:val="17"/>
              </w:rPr>
            </w:pPr>
            <w:r>
              <w:rPr>
                <w:rFonts w:ascii="Arial" w:hAnsi="Arial" w:cs="Arial"/>
                <w:sz w:val="17"/>
                <w:szCs w:val="17"/>
              </w:rPr>
              <w:t>9,259,809</w:t>
            </w:r>
          </w:p>
        </w:tc>
      </w:tr>
    </w:tbl>
    <w:p w:rsidR="00E96C16" w:rsidRPr="00E96C16" w:rsidP="28338015" w14:paraId="140864D6" w14:textId="04495098">
      <w:pPr>
        <w:widowControl/>
        <w:tabs>
          <w:tab w:val="left" w:pos="150"/>
          <w:tab w:val="left" w:pos="720"/>
          <w:tab w:val="left" w:pos="1440"/>
          <w:tab w:val="left" w:pos="1800"/>
          <w:tab w:val="left" w:pos="3930"/>
          <w:tab w:val="left" w:pos="4290"/>
          <w:tab w:val="left" w:pos="5760"/>
        </w:tabs>
        <w:jc w:val="both"/>
        <w:rPr>
          <w:rFonts w:ascii="Arial" w:hAnsi="Arial" w:cs="Arial"/>
          <w:u w:val="single"/>
        </w:rPr>
      </w:pPr>
      <w:bookmarkStart w:id="8" w:name="_Hlk167110957"/>
      <w:bookmarkEnd w:id="7"/>
      <w:r w:rsidRPr="00E96C16">
        <w:rPr>
          <w:rFonts w:ascii="Arial" w:hAnsi="Arial" w:cs="Arial"/>
          <w:u w:val="single"/>
        </w:rPr>
        <w:t>Changes Since the Publication of the 60-Day and 30-Day Notices </w:t>
      </w:r>
    </w:p>
    <w:p w:rsidR="00E96C16" w:rsidRPr="00E96C16" w:rsidP="28338015" w14:paraId="211120A3" w14:textId="7613B0C6">
      <w:pPr>
        <w:widowControl/>
        <w:tabs>
          <w:tab w:val="left" w:pos="150"/>
          <w:tab w:val="left" w:pos="720"/>
          <w:tab w:val="left" w:pos="1440"/>
          <w:tab w:val="left" w:pos="1800"/>
          <w:tab w:val="left" w:pos="3930"/>
          <w:tab w:val="left" w:pos="4290"/>
          <w:tab w:val="left" w:pos="5760"/>
        </w:tabs>
        <w:jc w:val="both"/>
        <w:rPr>
          <w:rFonts w:ascii="Arial" w:hAnsi="Arial" w:cs="Arial"/>
        </w:rPr>
      </w:pPr>
      <w:r w:rsidRPr="00E96C16">
        <w:rPr>
          <w:rFonts w:ascii="Arial" w:hAnsi="Arial" w:cs="Arial"/>
        </w:rPr>
        <w:t> </w:t>
      </w:r>
    </w:p>
    <w:p w:rsidR="009744B4" w:rsidRPr="006C3236" w:rsidP="006C3236" w14:paraId="5EA2E5BB" w14:textId="6F4962FB">
      <w:pPr>
        <w:widowControl/>
        <w:tabs>
          <w:tab w:val="left" w:pos="-984"/>
          <w:tab w:val="left" w:pos="-720"/>
          <w:tab w:val="left" w:pos="720"/>
        </w:tabs>
        <w:jc w:val="both"/>
        <w:rPr>
          <w:rFonts w:ascii="Arial" w:hAnsi="Arial" w:cs="Arial"/>
          <w:color w:val="0000FF"/>
        </w:rPr>
      </w:pPr>
      <w:r w:rsidRPr="00E96C16">
        <w:rPr>
          <w:rFonts w:ascii="Arial" w:hAnsi="Arial" w:cs="Arial"/>
        </w:rPr>
        <w:t>Since the publication of the 60-Day and 30-Day Notices in the </w:t>
      </w:r>
      <w:r w:rsidRPr="00E96C16">
        <w:rPr>
          <w:rFonts w:ascii="Arial" w:hAnsi="Arial" w:cs="Arial"/>
          <w:i/>
          <w:iCs/>
        </w:rPr>
        <w:t>Federal Register</w:t>
      </w:r>
      <w:r w:rsidRPr="00E96C16">
        <w:rPr>
          <w:rFonts w:ascii="Arial" w:hAnsi="Arial" w:cs="Arial"/>
        </w:rPr>
        <w:t>, the USPTO has updated the estimated</w:t>
      </w:r>
      <w:r>
        <w:rPr>
          <w:rFonts w:ascii="Arial" w:hAnsi="Arial" w:cs="Arial"/>
        </w:rPr>
        <w:t xml:space="preserve"> </w:t>
      </w:r>
      <w:r>
        <w:rPr>
          <w:rFonts w:ascii="Arial" w:hAnsi="Arial" w:cs="Arial"/>
        </w:rPr>
        <w:t xml:space="preserve">annual </w:t>
      </w:r>
      <w:r>
        <w:rPr>
          <w:rFonts w:ascii="Arial" w:hAnsi="Arial" w:cs="Arial"/>
        </w:rPr>
        <w:t xml:space="preserve">hourly </w:t>
      </w:r>
      <w:r w:rsidR="007323BC">
        <w:rPr>
          <w:rFonts w:ascii="Arial" w:hAnsi="Arial" w:cs="Arial"/>
        </w:rPr>
        <w:t>cost burden and the es</w:t>
      </w:r>
      <w:r>
        <w:rPr>
          <w:rFonts w:ascii="Arial" w:hAnsi="Arial" w:cs="Arial"/>
        </w:rPr>
        <w:t>timated</w:t>
      </w:r>
      <w:r w:rsidRPr="00E96C16">
        <w:rPr>
          <w:rFonts w:ascii="Arial" w:hAnsi="Arial" w:cs="Arial"/>
        </w:rPr>
        <w:t xml:space="preserve"> annual non-hour cost burden. The USPTO corrects the </w:t>
      </w:r>
      <w:r>
        <w:rPr>
          <w:rFonts w:ascii="Arial" w:hAnsi="Arial" w:cs="Arial"/>
        </w:rPr>
        <w:t>respondent wage rate</w:t>
      </w:r>
      <w:r w:rsidRPr="00E96C16">
        <w:rPr>
          <w:rFonts w:ascii="Arial" w:hAnsi="Arial" w:cs="Arial"/>
        </w:rPr>
        <w:t xml:space="preserve"> to read $</w:t>
      </w:r>
      <w:r>
        <w:rPr>
          <w:rFonts w:ascii="Arial" w:hAnsi="Arial" w:cs="Arial"/>
        </w:rPr>
        <w:t xml:space="preserve">122.25 </w:t>
      </w:r>
      <w:r w:rsidRPr="00E96C16">
        <w:rPr>
          <w:rFonts w:ascii="Arial" w:hAnsi="Arial" w:cs="Arial"/>
        </w:rPr>
        <w:t>instead of $</w:t>
      </w:r>
      <w:r>
        <w:rPr>
          <w:rFonts w:ascii="Arial" w:hAnsi="Arial" w:cs="Arial"/>
        </w:rPr>
        <w:t>447</w:t>
      </w:r>
      <w:r w:rsidRPr="00E96C16">
        <w:rPr>
          <w:rFonts w:ascii="Arial" w:hAnsi="Arial" w:cs="Arial"/>
        </w:rPr>
        <w:t xml:space="preserve">. This results in a </w:t>
      </w:r>
      <w:r w:rsidR="00E276FD">
        <w:rPr>
          <w:rFonts w:ascii="Arial" w:hAnsi="Arial" w:cs="Arial"/>
        </w:rPr>
        <w:t>de</w:t>
      </w:r>
      <w:r w:rsidRPr="00E96C16">
        <w:rPr>
          <w:rFonts w:ascii="Arial" w:hAnsi="Arial" w:cs="Arial"/>
        </w:rPr>
        <w:t>crease of $</w:t>
      </w:r>
      <w:r w:rsidRPr="00EF7124" w:rsidR="00EF7124">
        <w:rPr>
          <w:rFonts w:ascii="Arial" w:hAnsi="Arial" w:cs="Arial"/>
        </w:rPr>
        <w:t>487,846</w:t>
      </w:r>
      <w:r w:rsidRPr="00E96C16">
        <w:rPr>
          <w:rFonts w:ascii="Arial" w:hAnsi="Arial" w:cs="Arial"/>
        </w:rPr>
        <w:t xml:space="preserve"> in hourly burden costs, for a new estimated total annual hour</w:t>
      </w:r>
      <w:r>
        <w:rPr>
          <w:rFonts w:ascii="Arial" w:hAnsi="Arial" w:cs="Arial"/>
        </w:rPr>
        <w:t>ly</w:t>
      </w:r>
      <w:r w:rsidRPr="00E96C16">
        <w:rPr>
          <w:rFonts w:ascii="Arial" w:hAnsi="Arial" w:cs="Arial"/>
        </w:rPr>
        <w:t> cost burden of </w:t>
      </w:r>
      <w:r w:rsidRPr="00EF7124" w:rsidR="00EF7124">
        <w:rPr>
          <w:rFonts w:ascii="Arial" w:hAnsi="Arial" w:cs="Arial"/>
        </w:rPr>
        <w:t>184,889</w:t>
      </w:r>
      <w:r w:rsidRPr="00E96C16">
        <w:rPr>
          <w:rFonts w:ascii="Arial" w:hAnsi="Arial" w:cs="Arial"/>
        </w:rPr>
        <w:t>. </w:t>
      </w:r>
      <w:r w:rsidR="003458E9">
        <w:rPr>
          <w:rFonts w:ascii="Arial" w:hAnsi="Arial" w:cs="Arial"/>
        </w:rPr>
        <w:t xml:space="preserve">Additionally, </w:t>
      </w:r>
      <w:r w:rsidR="006C3236">
        <w:rPr>
          <w:rFonts w:ascii="Arial" w:hAnsi="Arial" w:cs="Arial"/>
        </w:rPr>
        <w:t xml:space="preserve">the USPTO has updated its postage rates to reflect more accurate estimates. </w:t>
      </w:r>
      <w:r w:rsidRPr="00E96C16">
        <w:rPr>
          <w:rFonts w:ascii="Arial" w:hAnsi="Arial" w:cs="Arial"/>
        </w:rPr>
        <w:t>This results in an increase of $</w:t>
      </w:r>
      <w:r w:rsidR="0051510D">
        <w:rPr>
          <w:rFonts w:ascii="Arial" w:hAnsi="Arial" w:cs="Arial"/>
        </w:rPr>
        <w:t>1</w:t>
      </w:r>
      <w:r w:rsidRPr="00E96C16">
        <w:rPr>
          <w:rFonts w:ascii="Arial" w:hAnsi="Arial" w:cs="Arial"/>
        </w:rPr>
        <w:t xml:space="preserve"> in non-hourly</w:t>
      </w:r>
      <w:r w:rsidR="00E276FD">
        <w:rPr>
          <w:rFonts w:ascii="Arial" w:hAnsi="Arial" w:cs="Arial"/>
        </w:rPr>
        <w:t xml:space="preserve"> </w:t>
      </w:r>
      <w:r w:rsidRPr="00E96C16">
        <w:rPr>
          <w:rFonts w:ascii="Arial" w:hAnsi="Arial" w:cs="Arial"/>
        </w:rPr>
        <w:t>burden costs, for a new</w:t>
      </w:r>
      <w:r w:rsidR="0051510D">
        <w:rPr>
          <w:rFonts w:ascii="Arial" w:hAnsi="Arial" w:cs="Arial"/>
        </w:rPr>
        <w:t xml:space="preserve"> </w:t>
      </w:r>
      <w:r w:rsidRPr="00E96C16">
        <w:rPr>
          <w:rFonts w:ascii="Arial" w:hAnsi="Arial" w:cs="Arial"/>
        </w:rPr>
        <w:t>estimated total annual non-hour cost</w:t>
      </w:r>
      <w:r w:rsidR="00E276FD">
        <w:rPr>
          <w:rFonts w:ascii="Arial" w:hAnsi="Arial" w:cs="Arial"/>
        </w:rPr>
        <w:t xml:space="preserve"> </w:t>
      </w:r>
      <w:r w:rsidRPr="00E96C16">
        <w:rPr>
          <w:rFonts w:ascii="Arial" w:hAnsi="Arial" w:cs="Arial"/>
        </w:rPr>
        <w:t>burden of $</w:t>
      </w:r>
      <w:r w:rsidRPr="0051510D" w:rsidR="0051510D">
        <w:rPr>
          <w:rFonts w:ascii="Arial" w:hAnsi="Arial" w:cs="Arial"/>
        </w:rPr>
        <w:t>4,306,512</w:t>
      </w:r>
      <w:r w:rsidRPr="00E96C16">
        <w:rPr>
          <w:rFonts w:ascii="Arial" w:hAnsi="Arial" w:cs="Arial"/>
        </w:rPr>
        <w:t>.</w:t>
      </w:r>
    </w:p>
    <w:p w:rsidR="00A3752E" w:rsidP="28338015" w14:paraId="57F8640A" w14:textId="350B0F69">
      <w:pPr>
        <w:widowControl/>
        <w:tabs>
          <w:tab w:val="left" w:pos="150"/>
          <w:tab w:val="left" w:pos="720"/>
          <w:tab w:val="left" w:pos="1440"/>
          <w:tab w:val="left" w:pos="1800"/>
          <w:tab w:val="left" w:pos="3930"/>
          <w:tab w:val="left" w:pos="4290"/>
          <w:tab w:val="left" w:pos="5760"/>
        </w:tabs>
        <w:jc w:val="both"/>
        <w:rPr>
          <w:rFonts w:ascii="Arial" w:hAnsi="Arial" w:cs="Arial"/>
          <w:u w:val="single"/>
        </w:rPr>
      </w:pPr>
    </w:p>
    <w:p w:rsidR="00240A35" w:rsidP="00240A35" w14:paraId="3F990BE4" w14:textId="17351383">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r>
        <w:rPr>
          <w:rFonts w:ascii="Arial" w:hAnsi="Arial" w:cs="Arial"/>
          <w:u w:val="single"/>
        </w:rPr>
        <w:t>Change in Respon</w:t>
      </w:r>
      <w:r w:rsidR="00905497">
        <w:rPr>
          <w:rFonts w:ascii="Arial" w:hAnsi="Arial" w:cs="Arial"/>
          <w:u w:val="single"/>
        </w:rPr>
        <w:t>se</w:t>
      </w:r>
      <w:r>
        <w:rPr>
          <w:rFonts w:ascii="Arial" w:hAnsi="Arial" w:cs="Arial"/>
          <w:u w:val="single"/>
        </w:rPr>
        <w:t>s and Hourly Burden due to Adjustment in Agency Estimate</w:t>
      </w:r>
    </w:p>
    <w:p w:rsidR="00240A35" w:rsidP="00240A35" w14:paraId="6D69FFEB"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240A35" w:rsidP="00240A35" w14:paraId="168BCF43" w14:textId="098B5458">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Pr>
          <w:rFonts w:ascii="Arial" w:hAnsi="Arial" w:cs="Arial"/>
        </w:rPr>
        <w:t>The total number of respon</w:t>
      </w:r>
      <w:r w:rsidR="00905497">
        <w:rPr>
          <w:rFonts w:ascii="Arial" w:hAnsi="Arial" w:cs="Arial"/>
        </w:rPr>
        <w:t>se</w:t>
      </w:r>
      <w:r>
        <w:rPr>
          <w:rFonts w:ascii="Arial" w:hAnsi="Arial" w:cs="Arial"/>
        </w:rPr>
        <w:t xml:space="preserve">s has decreased by </w:t>
      </w:r>
      <w:r w:rsidR="00F80C31">
        <w:rPr>
          <w:rFonts w:ascii="Arial" w:hAnsi="Arial" w:cs="Arial"/>
        </w:rPr>
        <w:t>1,800</w:t>
      </w:r>
      <w:r>
        <w:rPr>
          <w:rFonts w:ascii="Arial" w:hAnsi="Arial" w:cs="Arial"/>
        </w:rPr>
        <w:t xml:space="preserve"> due to estimated fluctuations in the number of respon</w:t>
      </w:r>
      <w:r w:rsidR="00905497">
        <w:rPr>
          <w:rFonts w:ascii="Arial" w:hAnsi="Arial" w:cs="Arial"/>
        </w:rPr>
        <w:t>dents</w:t>
      </w:r>
      <w:r>
        <w:rPr>
          <w:rFonts w:ascii="Arial" w:hAnsi="Arial" w:cs="Arial"/>
        </w:rPr>
        <w:t xml:space="preserve">/submissions in this information collection. This decrease in the number of respondents and responses results in a decrease of </w:t>
      </w:r>
      <w:r w:rsidR="00F80C31">
        <w:rPr>
          <w:rFonts w:ascii="Arial" w:hAnsi="Arial" w:cs="Arial"/>
        </w:rPr>
        <w:t>1,800</w:t>
      </w:r>
      <w:r>
        <w:rPr>
          <w:rFonts w:ascii="Arial" w:hAnsi="Arial" w:cs="Arial"/>
        </w:rPr>
        <w:t xml:space="preserve"> hours in the annual time burden estimates.  </w:t>
      </w:r>
    </w:p>
    <w:p w:rsidR="00240A35" w:rsidP="00240A35" w14:paraId="0C9AFE9B"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240A35" w:rsidRPr="00980E8E" w:rsidP="00240A35" w14:paraId="31263BCE" w14:textId="364DBF69">
      <w:pPr>
        <w:rPr>
          <w:rFonts w:ascii="Arial" w:hAnsi="Arial" w:cs="Arial"/>
          <w:sz w:val="32"/>
          <w:u w:val="single"/>
        </w:rPr>
      </w:pPr>
      <w:r w:rsidRPr="00980E8E">
        <w:rPr>
          <w:rFonts w:ascii="Arial" w:hAnsi="Arial" w:cs="Arial"/>
          <w:u w:val="single"/>
        </w:rPr>
        <w:t>Change in Annual Non-hour Costs due to Adjustment in Agency Estimate</w:t>
      </w:r>
    </w:p>
    <w:p w:rsidR="00240A35" w:rsidP="00240A35" w14:paraId="22D109DB" w14:textId="77777777">
      <w:pPr>
        <w:keepNext/>
        <w:widowControl/>
        <w:tabs>
          <w:tab w:val="left" w:pos="-1152"/>
        </w:tabs>
        <w:jc w:val="both"/>
        <w:rPr>
          <w:rFonts w:ascii="Arial" w:hAnsi="Arial" w:cs="Arial"/>
        </w:rPr>
      </w:pPr>
    </w:p>
    <w:p w:rsidR="00240A35" w:rsidP="00240A35" w14:paraId="4873DCFE" w14:textId="4D64788C">
      <w:pPr>
        <w:widowControl/>
        <w:tabs>
          <w:tab w:val="left" w:pos="-1152"/>
        </w:tabs>
        <w:jc w:val="both"/>
        <w:rPr>
          <w:rFonts w:ascii="Arial" w:hAnsi="Arial" w:cs="Arial"/>
        </w:rPr>
      </w:pPr>
      <w:r>
        <w:rPr>
          <w:rFonts w:ascii="Arial" w:hAnsi="Arial" w:cs="Arial"/>
        </w:rPr>
        <w:t xml:space="preserve">For this renewal, the USPTO estimates that the total annual non-hour costs will </w:t>
      </w:r>
      <w:r w:rsidR="00F80C31">
        <w:rPr>
          <w:rFonts w:ascii="Arial" w:hAnsi="Arial" w:cs="Arial"/>
        </w:rPr>
        <w:t>decrease</w:t>
      </w:r>
      <w:r>
        <w:rPr>
          <w:rFonts w:ascii="Arial" w:hAnsi="Arial" w:cs="Arial"/>
        </w:rPr>
        <w:t xml:space="preserve"> by $</w:t>
      </w:r>
      <w:r w:rsidRPr="001E3F46" w:rsidR="001E3F46">
        <w:rPr>
          <w:rFonts w:ascii="Arial" w:hAnsi="Arial" w:cs="Arial"/>
        </w:rPr>
        <w:t>4,953,297</w:t>
      </w:r>
      <w:r w:rsidR="001E3F46">
        <w:rPr>
          <w:rFonts w:ascii="Arial" w:hAnsi="Arial" w:cs="Arial"/>
        </w:rPr>
        <w:t xml:space="preserve"> </w:t>
      </w:r>
      <w:r>
        <w:rPr>
          <w:rFonts w:ascii="Arial" w:hAnsi="Arial" w:cs="Arial"/>
        </w:rPr>
        <w:t xml:space="preserve">from the previous approval. This </w:t>
      </w:r>
      <w:r w:rsidR="00F80C31">
        <w:rPr>
          <w:rFonts w:ascii="Arial" w:hAnsi="Arial" w:cs="Arial"/>
        </w:rPr>
        <w:t>decrease</w:t>
      </w:r>
      <w:r>
        <w:rPr>
          <w:rFonts w:ascii="Arial" w:hAnsi="Arial" w:cs="Arial"/>
        </w:rPr>
        <w:t xml:space="preserve"> is due to estimated fluctuations in </w:t>
      </w:r>
      <w:r w:rsidR="00F80C31">
        <w:rPr>
          <w:rFonts w:ascii="Arial" w:hAnsi="Arial" w:cs="Arial"/>
        </w:rPr>
        <w:t>the number of respondents</w:t>
      </w:r>
      <w:r w:rsidR="00684F17">
        <w:rPr>
          <w:rFonts w:ascii="Arial" w:hAnsi="Arial" w:cs="Arial"/>
        </w:rPr>
        <w:t xml:space="preserve"> paying fees and postage</w:t>
      </w:r>
      <w:r w:rsidR="00F80C31">
        <w:rPr>
          <w:rFonts w:ascii="Arial" w:hAnsi="Arial" w:cs="Arial"/>
        </w:rPr>
        <w:t xml:space="preserve">. </w:t>
      </w:r>
      <w:r>
        <w:rPr>
          <w:rFonts w:ascii="Arial" w:hAnsi="Arial" w:cs="Arial"/>
        </w:rPr>
        <w:t xml:space="preserve">  </w:t>
      </w:r>
    </w:p>
    <w:bookmarkEnd w:id="8"/>
    <w:p w:rsidR="00636EDA" w:rsidRPr="0023366F" w:rsidP="00A25005" w14:paraId="79D4A1E1" w14:textId="77777777">
      <w:pPr>
        <w:widowControl/>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both"/>
        <w:rPr>
          <w:rFonts w:ascii="Arial" w:hAnsi="Arial" w:cs="Arial"/>
          <w:color w:val="0000FF"/>
        </w:rPr>
      </w:pPr>
    </w:p>
    <w:p w:rsidR="00567B74" w:rsidRPr="002E7B48" w:rsidP="00F4608E" w14:paraId="7858C805" w14:textId="4F2D13E0">
      <w:pPr>
        <w:pStyle w:val="ListParagraph"/>
        <w:widowControl/>
        <w:numPr>
          <w:ilvl w:val="0"/>
          <w:numId w:val="15"/>
        </w:numPr>
        <w:tabs>
          <w:tab w:val="left" w:pos="-984"/>
          <w:tab w:val="left" w:pos="-720"/>
        </w:tabs>
        <w:ind w:left="360"/>
        <w:jc w:val="both"/>
        <w:rPr>
          <w:rFonts w:ascii="Arial" w:hAnsi="Arial" w:cs="Arial"/>
          <w:b/>
        </w:rPr>
      </w:pPr>
      <w:r w:rsidRPr="002E7B48">
        <w:rPr>
          <w:rFonts w:ascii="Arial" w:hAnsi="Arial" w:cs="Arial"/>
          <w:b/>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567B74" w:rsidRPr="00E0554B" w:rsidP="00636EDA" w14:paraId="23A84AF7" w14:textId="77777777">
      <w:pPr>
        <w:widowControl/>
        <w:tabs>
          <w:tab w:val="left" w:pos="-984"/>
          <w:tab w:val="left" w:pos="-720"/>
          <w:tab w:val="left" w:pos="720"/>
        </w:tabs>
        <w:jc w:val="both"/>
        <w:rPr>
          <w:rFonts w:ascii="Arial" w:hAnsi="Arial" w:cs="Arial"/>
        </w:rPr>
      </w:pPr>
    </w:p>
    <w:p w:rsidR="00636EDA" w:rsidRPr="00F1528A" w:rsidP="00636EDA" w14:paraId="79D4A1E4" w14:textId="03216DFE">
      <w:pPr>
        <w:widowControl/>
        <w:tabs>
          <w:tab w:val="left" w:pos="-984"/>
          <w:tab w:val="left" w:pos="-720"/>
          <w:tab w:val="left" w:pos="720"/>
        </w:tabs>
        <w:jc w:val="both"/>
        <w:rPr>
          <w:rFonts w:ascii="Arial" w:hAnsi="Arial" w:cs="Arial"/>
        </w:rPr>
      </w:pPr>
      <w:r w:rsidRPr="00E0554B">
        <w:rPr>
          <w:rFonts w:ascii="Arial" w:hAnsi="Arial" w:cs="Arial"/>
        </w:rPr>
        <w:t>The USPTO does not plan to publish this information for statistical use.</w:t>
      </w:r>
      <w:r w:rsidR="00F4608E">
        <w:rPr>
          <w:rFonts w:ascii="Arial" w:hAnsi="Arial" w:cs="Arial"/>
        </w:rPr>
        <w:t xml:space="preserve"> </w:t>
      </w:r>
      <w:r w:rsidR="009D4CCD">
        <w:rPr>
          <w:rFonts w:ascii="Arial" w:hAnsi="Arial" w:cs="Arial"/>
        </w:rPr>
        <w:t>Additionally</w:t>
      </w:r>
      <w:r w:rsidR="00F551BE">
        <w:rPr>
          <w:rFonts w:ascii="Arial" w:hAnsi="Arial" w:cs="Arial"/>
        </w:rPr>
        <w:t>, notice of recognized, defaulted, or discontinued depositories</w:t>
      </w:r>
      <w:r w:rsidRPr="00040930" w:rsidR="00F1528A">
        <w:rPr>
          <w:rFonts w:ascii="Arial" w:hAnsi="Arial" w:cs="Arial"/>
        </w:rPr>
        <w:t xml:space="preserve"> is required to be published in the </w:t>
      </w:r>
      <w:r w:rsidRPr="00040930" w:rsidR="00F1528A">
        <w:rPr>
          <w:rFonts w:ascii="Arial" w:hAnsi="Arial" w:cs="Arial"/>
          <w:i/>
          <w:iCs/>
        </w:rPr>
        <w:t>Official Gazette of the United States Patent and Trademark Office.</w:t>
      </w:r>
      <w:r>
        <w:rPr>
          <w:rStyle w:val="FootnoteReference"/>
          <w:rFonts w:ascii="Arial" w:hAnsi="Arial" w:cs="Arial"/>
          <w:iCs/>
        </w:rPr>
        <w:footnoteReference w:id="11"/>
      </w:r>
    </w:p>
    <w:p w:rsidR="00636EDA" w:rsidRPr="005327FC" w:rsidP="00636EDA" w14:paraId="79D4A1E5" w14:textId="77777777">
      <w:pPr>
        <w:widowControl/>
        <w:tabs>
          <w:tab w:val="left" w:pos="-984"/>
          <w:tab w:val="left" w:pos="-720"/>
          <w:tab w:val="left" w:pos="720"/>
        </w:tabs>
        <w:jc w:val="both"/>
        <w:rPr>
          <w:rFonts w:ascii="Arial" w:hAnsi="Arial" w:cs="Arial"/>
          <w:color w:val="0000FF"/>
        </w:rPr>
      </w:pPr>
    </w:p>
    <w:p w:rsidR="00567B74" w:rsidRPr="002E7B48" w:rsidP="00F4608E" w14:paraId="093923B1" w14:textId="1213648F">
      <w:pPr>
        <w:pStyle w:val="ListParagraph"/>
        <w:keepNext/>
        <w:keepLines/>
        <w:widowControl/>
        <w:numPr>
          <w:ilvl w:val="0"/>
          <w:numId w:val="15"/>
        </w:numPr>
        <w:tabs>
          <w:tab w:val="left" w:pos="-984"/>
          <w:tab w:val="left" w:pos="-720"/>
          <w:tab w:val="left" w:pos="720"/>
        </w:tabs>
        <w:jc w:val="both"/>
        <w:rPr>
          <w:rFonts w:ascii="Arial" w:hAnsi="Arial" w:cs="Arial"/>
          <w:b/>
        </w:rPr>
      </w:pPr>
      <w:r w:rsidRPr="002E7B48">
        <w:rPr>
          <w:rFonts w:ascii="Arial" w:hAnsi="Arial" w:cs="Arial"/>
          <w:b/>
        </w:rPr>
        <w:t xml:space="preserve">If seeking approval to not display the expiration date for OMB approval of the information collection, explain the reasons that display would be inappropriate. </w:t>
      </w:r>
    </w:p>
    <w:p w:rsidR="00D4013D" w:rsidP="00636EDA" w14:paraId="43D42343"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D4013D" w:rsidRPr="008E22B0" w:rsidP="00D4013D" w14:paraId="3427F685" w14:textId="7777777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8E22B0">
        <w:rPr>
          <w:rFonts w:ascii="Arial" w:hAnsi="Arial" w:cs="Arial"/>
        </w:rPr>
        <w:t>There are no forms in this information collection on which to display the OMB Control Number and the expiration date of OMB approval.</w:t>
      </w:r>
    </w:p>
    <w:p w:rsidR="00636EDA" w:rsidRPr="0056760B" w:rsidP="00636EDA" w14:paraId="79D4A1EA" w14:textId="77777777">
      <w:pPr>
        <w:widowControl/>
        <w:tabs>
          <w:tab w:val="left" w:pos="-984"/>
          <w:tab w:val="left" w:pos="-720"/>
          <w:tab w:val="left" w:pos="720"/>
        </w:tabs>
        <w:jc w:val="both"/>
        <w:rPr>
          <w:rFonts w:ascii="Arial" w:hAnsi="Arial" w:cs="Arial"/>
        </w:rPr>
      </w:pPr>
    </w:p>
    <w:p w:rsidR="00567B74" w:rsidRPr="002E7B48" w:rsidP="00F1528A" w14:paraId="048AD12F" w14:textId="041B7D38">
      <w:pPr>
        <w:pStyle w:val="ListParagraph"/>
        <w:keepNext/>
        <w:widowControl/>
        <w:numPr>
          <w:ilvl w:val="0"/>
          <w:numId w:val="15"/>
        </w:numPr>
        <w:tabs>
          <w:tab w:val="left" w:pos="-984"/>
          <w:tab w:val="left" w:pos="-720"/>
        </w:tabs>
        <w:ind w:left="360"/>
        <w:jc w:val="both"/>
        <w:rPr>
          <w:rFonts w:ascii="Arial" w:hAnsi="Arial" w:cs="Arial"/>
          <w:b/>
          <w:sz w:val="32"/>
        </w:rPr>
      </w:pPr>
      <w:r w:rsidRPr="002E7B48">
        <w:rPr>
          <w:rFonts w:ascii="Arial" w:hAnsi="Arial" w:cs="Arial"/>
          <w:b/>
          <w:szCs w:val="20"/>
        </w:rPr>
        <w:t>Explain each exception to the topics of the certification statement identified in “Certification for Paperwork Reduction Act Submissions.”</w:t>
      </w:r>
    </w:p>
    <w:p w:rsidR="00567B74" w:rsidRPr="00E0554B" w:rsidP="00636EDA" w14:paraId="55E8E0EE" w14:textId="77777777">
      <w:pPr>
        <w:keepNext/>
        <w:widowControl/>
        <w:tabs>
          <w:tab w:val="left" w:pos="-984"/>
          <w:tab w:val="left" w:pos="-720"/>
          <w:tab w:val="left" w:pos="720"/>
        </w:tabs>
        <w:jc w:val="both"/>
        <w:rPr>
          <w:rFonts w:ascii="Arial" w:hAnsi="Arial" w:cs="Arial"/>
        </w:rPr>
      </w:pPr>
    </w:p>
    <w:p w:rsidR="00636EDA" w:rsidRPr="001C12EC" w:rsidP="00636EDA" w14:paraId="79D4A1EF" w14:textId="0A195470">
      <w:pPr>
        <w:widowControl/>
        <w:tabs>
          <w:tab w:val="left" w:pos="-984"/>
          <w:tab w:val="left" w:pos="-720"/>
          <w:tab w:val="left" w:pos="720"/>
        </w:tabs>
        <w:jc w:val="both"/>
        <w:rPr>
          <w:rFonts w:ascii="Arial" w:hAnsi="Arial" w:cs="Arial"/>
        </w:rPr>
      </w:pPr>
      <w:r w:rsidRPr="00E0554B">
        <w:rPr>
          <w:rFonts w:ascii="Arial" w:hAnsi="Arial" w:cs="Arial"/>
        </w:rPr>
        <w:t>This collection of information does not include any exceptions to the certificate statement.</w:t>
      </w:r>
    </w:p>
    <w:p w:rsidR="00636EDA" w:rsidRPr="00476F66" w:rsidP="00636EDA" w14:paraId="79D4A1F0" w14:textId="77777777">
      <w:pPr>
        <w:widowControl/>
        <w:tabs>
          <w:tab w:val="left" w:pos="-984"/>
          <w:tab w:val="left" w:pos="-720"/>
          <w:tab w:val="left" w:pos="720"/>
        </w:tabs>
        <w:jc w:val="both"/>
        <w:rPr>
          <w:rFonts w:ascii="Arial" w:hAnsi="Arial" w:cs="Arial"/>
          <w:color w:val="0000FF"/>
        </w:rPr>
      </w:pPr>
    </w:p>
    <w:p w:rsidR="00636EDA" w:rsidRPr="0056760B" w:rsidP="00F1528A" w14:paraId="79D4A1F1" w14:textId="77777777">
      <w:pPr>
        <w:keepNext/>
        <w:widowControl/>
        <w:tabs>
          <w:tab w:val="left" w:pos="-984"/>
          <w:tab w:val="left" w:pos="-720"/>
        </w:tabs>
        <w:jc w:val="both"/>
        <w:rPr>
          <w:rFonts w:ascii="Arial" w:hAnsi="Arial" w:cs="Arial"/>
        </w:rPr>
      </w:pPr>
      <w:r w:rsidRPr="0056760B">
        <w:rPr>
          <w:rFonts w:ascii="Arial" w:hAnsi="Arial" w:cs="Arial"/>
          <w:b/>
          <w:bCs/>
        </w:rPr>
        <w:t>B.</w:t>
      </w:r>
      <w:r w:rsidRPr="0056760B">
        <w:rPr>
          <w:rFonts w:ascii="Arial" w:hAnsi="Arial" w:cs="Arial"/>
          <w:b/>
          <w:bCs/>
        </w:rPr>
        <w:tab/>
        <w:t>COLLECTIONS OF INFORMATION EMPLOYING STATISTICAL METHODS</w:t>
      </w:r>
    </w:p>
    <w:p w:rsidR="00636EDA" w:rsidRPr="0056760B" w:rsidP="00636EDA" w14:paraId="79D4A1F2" w14:textId="77777777">
      <w:pPr>
        <w:keepNext/>
        <w:widowControl/>
        <w:tabs>
          <w:tab w:val="left" w:pos="-984"/>
          <w:tab w:val="left" w:pos="-720"/>
          <w:tab w:val="left" w:pos="720"/>
        </w:tabs>
        <w:jc w:val="both"/>
        <w:rPr>
          <w:rFonts w:ascii="Arial" w:hAnsi="Arial" w:cs="Arial"/>
        </w:rPr>
      </w:pPr>
    </w:p>
    <w:p w:rsidR="002910E6" w:rsidRPr="00A25005" w:rsidP="00A25005" w14:paraId="79D4A1F4" w14:textId="753ADAF7">
      <w:pPr>
        <w:widowControl/>
        <w:tabs>
          <w:tab w:val="left" w:pos="-984"/>
          <w:tab w:val="left" w:pos="-720"/>
          <w:tab w:val="left" w:pos="720"/>
        </w:tabs>
        <w:jc w:val="both"/>
        <w:rPr>
          <w:rFonts w:ascii="Arial" w:hAnsi="Arial" w:cs="Arial"/>
        </w:rPr>
      </w:pPr>
      <w:r w:rsidRPr="0056760B">
        <w:rPr>
          <w:rFonts w:ascii="Arial" w:hAnsi="Arial" w:cs="Arial"/>
        </w:rPr>
        <w:t>This collection of information does not employ statistical methods.</w:t>
      </w:r>
    </w:p>
    <w:sectPr w:rsidSect="00436B01">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6A51" w14:paraId="538FD11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6A51" w14:paraId="1BCF252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6A51" w14:paraId="3ED8072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F0890" w14:paraId="1E481DB6" w14:textId="77777777">
      <w:r>
        <w:separator/>
      </w:r>
    </w:p>
  </w:footnote>
  <w:footnote w:type="continuationSeparator" w:id="1">
    <w:p w:rsidR="00EF0890" w14:paraId="102DC14E" w14:textId="77777777">
      <w:r>
        <w:continuationSeparator/>
      </w:r>
    </w:p>
  </w:footnote>
  <w:footnote w:type="continuationNotice" w:id="2">
    <w:p w:rsidR="00EF0890" w14:paraId="0E512426" w14:textId="77777777"/>
  </w:footnote>
  <w:footnote w:id="3">
    <w:p w:rsidR="00FD4B78" w:rsidRPr="000E2392" w:rsidP="000E2392" w14:paraId="2EFCB798" w14:textId="5691089F">
      <w:pPr>
        <w:pStyle w:val="FootnoteText"/>
        <w:rPr>
          <w:rFonts w:ascii="Arial" w:hAnsi="Arial" w:cs="Arial"/>
        </w:rPr>
      </w:pPr>
      <w:r w:rsidRPr="000E2392">
        <w:rPr>
          <w:rStyle w:val="FootnoteReference"/>
          <w:rFonts w:ascii="Arial" w:hAnsi="Arial" w:cs="Arial"/>
          <w:sz w:val="16"/>
        </w:rPr>
        <w:footnoteRef/>
      </w:r>
      <w:r w:rsidRPr="000E2392">
        <w:rPr>
          <w:rFonts w:ascii="Arial" w:hAnsi="Arial" w:cs="Arial"/>
          <w:sz w:val="16"/>
        </w:rPr>
        <w:t xml:space="preserve"> </w:t>
      </w:r>
      <w:hyperlink r:id="rId1" w:history="1">
        <w:r w:rsidRPr="002A710B" w:rsidR="00E970F9">
          <w:rPr>
            <w:rStyle w:val="Hyperlink"/>
            <w:rFonts w:ascii="Arial" w:hAnsi="Arial" w:cs="Arial"/>
            <w:sz w:val="16"/>
          </w:rPr>
          <w:t>https://www.govinfo.gov/content/pkg/FR-2025-11-19/pdf/2025-20244.pdf</w:t>
        </w:r>
      </w:hyperlink>
      <w:r w:rsidR="00E970F9">
        <w:rPr>
          <w:rFonts w:ascii="Arial" w:hAnsi="Arial" w:cs="Arial"/>
          <w:sz w:val="16"/>
        </w:rPr>
        <w:t xml:space="preserve">. </w:t>
      </w:r>
    </w:p>
  </w:footnote>
  <w:footnote w:id="4">
    <w:p w:rsidR="00D52658" w:rsidRPr="00D52658" w:rsidP="00D52658" w14:paraId="247F7E15" w14:textId="13CEA98A">
      <w:pPr>
        <w:pStyle w:val="FootnoteText"/>
        <w:rPr>
          <w:rFonts w:ascii="Arial" w:hAnsi="Arial" w:cs="Arial"/>
          <w:sz w:val="16"/>
          <w:szCs w:val="16"/>
        </w:rPr>
      </w:pPr>
      <w:r w:rsidRPr="00D52658">
        <w:rPr>
          <w:rStyle w:val="FootnoteReference"/>
          <w:rFonts w:ascii="Arial" w:hAnsi="Arial" w:cs="Arial"/>
          <w:sz w:val="16"/>
          <w:szCs w:val="16"/>
        </w:rPr>
        <w:footnoteRef/>
      </w:r>
      <w:r w:rsidRPr="00D52658">
        <w:rPr>
          <w:rFonts w:ascii="Arial" w:hAnsi="Arial" w:cs="Arial"/>
          <w:sz w:val="16"/>
          <w:szCs w:val="16"/>
        </w:rPr>
        <w:t xml:space="preserve"> </w:t>
      </w:r>
      <w:hyperlink r:id="rId2" w:history="1">
        <w:r w:rsidRPr="00A221DD" w:rsidR="007C3F11">
          <w:rPr>
            <w:rStyle w:val="Hyperlink"/>
            <w:rFonts w:ascii="Arial" w:hAnsi="Arial" w:cs="Arial"/>
            <w:sz w:val="16"/>
            <w:szCs w:val="16"/>
          </w:rPr>
          <w:t>https://www.govinfo.gov/content/pkg/FR-2026-03-09/pdf/2026-04519.pdf</w:t>
        </w:r>
      </w:hyperlink>
      <w:r w:rsidR="007C3F11">
        <w:rPr>
          <w:rFonts w:ascii="Arial" w:hAnsi="Arial" w:cs="Arial"/>
          <w:sz w:val="16"/>
          <w:szCs w:val="16"/>
        </w:rPr>
        <w:t xml:space="preserve">. </w:t>
      </w:r>
    </w:p>
  </w:footnote>
  <w:footnote w:id="5">
    <w:p w:rsidR="00400389" w:rsidRPr="00E25398" w:rsidP="00400389" w14:paraId="5E62704A" w14:textId="77777777">
      <w:pPr>
        <w:pStyle w:val="FootnoteText"/>
        <w:rPr>
          <w:rFonts w:ascii="Arial" w:hAnsi="Arial" w:cs="Arial"/>
          <w:sz w:val="16"/>
          <w:szCs w:val="16"/>
        </w:rPr>
      </w:pPr>
      <w:r w:rsidRPr="00E25398">
        <w:rPr>
          <w:rStyle w:val="FootnoteReference"/>
          <w:rFonts w:ascii="Arial" w:hAnsi="Arial" w:cs="Arial"/>
          <w:sz w:val="16"/>
          <w:szCs w:val="16"/>
        </w:rPr>
        <w:footnoteRef/>
      </w:r>
      <w:r w:rsidRPr="00E25398">
        <w:rPr>
          <w:rFonts w:ascii="Arial" w:hAnsi="Arial" w:cs="Arial"/>
          <w:sz w:val="16"/>
          <w:szCs w:val="16"/>
        </w:rPr>
        <w:t xml:space="preserve"> </w:t>
      </w:r>
      <w:hyperlink r:id="rId3" w:history="1">
        <w:r w:rsidRPr="00E25398">
          <w:rPr>
            <w:rStyle w:val="Hyperlink"/>
            <w:rFonts w:ascii="Arial" w:hAnsi="Arial" w:cs="Arial"/>
            <w:sz w:val="16"/>
            <w:szCs w:val="16"/>
          </w:rPr>
          <w:t>https://www.govinfo.gov/content/pkg/FR-2013-03-29/pdf/2013-07341.pdf</w:t>
        </w:r>
      </w:hyperlink>
      <w:r w:rsidRPr="001B790C">
        <w:rPr>
          <w:rFonts w:ascii="Arial" w:hAnsi="Arial" w:cs="Arial"/>
          <w:sz w:val="16"/>
          <w:szCs w:val="16"/>
        </w:rPr>
        <w:t>.</w:t>
      </w:r>
    </w:p>
  </w:footnote>
  <w:footnote w:id="6">
    <w:p w:rsidR="002C0512" w:rsidRPr="00BB6B03" w:rsidP="002C0512" w14:paraId="5253A334" w14:textId="33720F01">
      <w:pPr>
        <w:pStyle w:val="FootnoteText"/>
        <w:rPr>
          <w:rFonts w:ascii="Arial" w:hAnsi="Arial" w:cs="Arial"/>
          <w:sz w:val="16"/>
          <w:szCs w:val="16"/>
        </w:rPr>
      </w:pPr>
      <w:r w:rsidRPr="00BB6B03">
        <w:rPr>
          <w:rStyle w:val="FootnoteReference"/>
          <w:rFonts w:ascii="Arial" w:hAnsi="Arial" w:cs="Arial"/>
          <w:sz w:val="16"/>
          <w:szCs w:val="16"/>
        </w:rPr>
        <w:footnoteRef/>
      </w:r>
      <w:r w:rsidR="00A40E92">
        <w:rPr>
          <w:rFonts w:ascii="Arial" w:hAnsi="Arial" w:cs="Arial"/>
          <w:sz w:val="16"/>
          <w:szCs w:val="16"/>
        </w:rPr>
        <w:t xml:space="preserve"> </w:t>
      </w:r>
      <w:r w:rsidR="00BD27B3">
        <w:rPr>
          <w:rFonts w:ascii="Arial" w:hAnsi="Arial" w:cs="Arial"/>
          <w:sz w:val="16"/>
          <w:szCs w:val="16"/>
        </w:rPr>
        <w:t xml:space="preserve">NAICS 541700 – Scientific Research and Development Services, </w:t>
      </w:r>
      <w:r w:rsidRPr="00936E33" w:rsidR="00936E33">
        <w:rPr>
          <w:rFonts w:ascii="Arial" w:hAnsi="Arial" w:cs="Arial"/>
          <w:sz w:val="16"/>
          <w:szCs w:val="16"/>
        </w:rPr>
        <w:t xml:space="preserve">May 2023 </w:t>
      </w:r>
      <w:r w:rsidR="00936E33">
        <w:rPr>
          <w:rFonts w:ascii="Arial" w:hAnsi="Arial" w:cs="Arial"/>
          <w:sz w:val="16"/>
          <w:szCs w:val="16"/>
        </w:rPr>
        <w:t>National In</w:t>
      </w:r>
      <w:r w:rsidR="00BD27B3">
        <w:rPr>
          <w:rFonts w:ascii="Arial" w:hAnsi="Arial" w:cs="Arial"/>
          <w:sz w:val="16"/>
          <w:szCs w:val="16"/>
        </w:rPr>
        <w:t>ustry-Specific Occupational Employment and Wages Estimates (</w:t>
      </w:r>
      <w:hyperlink r:id="rId4" w:history="1">
        <w:r w:rsidRPr="00730E81" w:rsidR="00BD27B3">
          <w:rPr>
            <w:rStyle w:val="Hyperlink"/>
            <w:rFonts w:ascii="Arial" w:hAnsi="Arial" w:cs="Arial"/>
            <w:sz w:val="16"/>
            <w:szCs w:val="16"/>
          </w:rPr>
          <w:t>https://www.bls.gov/oes/2023/may/naics4_541700.htm</w:t>
        </w:r>
      </w:hyperlink>
      <w:r w:rsidR="00BD27B3">
        <w:rPr>
          <w:rFonts w:ascii="Arial" w:hAnsi="Arial" w:cs="Arial"/>
          <w:sz w:val="16"/>
          <w:szCs w:val="16"/>
        </w:rPr>
        <w:t xml:space="preserve">). </w:t>
      </w:r>
      <w:r>
        <w:rPr>
          <w:rFonts w:ascii="Arial" w:hAnsi="Arial" w:cs="Arial"/>
          <w:sz w:val="16"/>
          <w:szCs w:val="16"/>
        </w:rPr>
        <w:t xml:space="preserve"> </w:t>
      </w:r>
    </w:p>
  </w:footnote>
  <w:footnote w:id="7">
    <w:p w:rsidR="00F64F9A" w:rsidRPr="00C4768B" w:rsidP="00F64F9A" w14:paraId="1A190E52" w14:textId="77777777">
      <w:pPr>
        <w:pStyle w:val="FootnoteText"/>
        <w:rPr>
          <w:rFonts w:ascii="Arial" w:hAnsi="Arial" w:cs="Arial"/>
        </w:rPr>
      </w:pPr>
      <w:r w:rsidRPr="00C4768B">
        <w:rPr>
          <w:rStyle w:val="FootnoteReference"/>
          <w:rFonts w:ascii="Arial" w:hAnsi="Arial" w:cs="Arial"/>
          <w:sz w:val="16"/>
          <w:szCs w:val="16"/>
        </w:rPr>
        <w:footnoteRef/>
      </w:r>
      <w:r w:rsidRPr="00C4768B">
        <w:rPr>
          <w:rFonts w:ascii="Arial" w:hAnsi="Arial" w:cs="Arial"/>
          <w:sz w:val="16"/>
          <w:szCs w:val="16"/>
        </w:rPr>
        <w:t xml:space="preserve"> The ATCC Patent Depository service fee is $2,500 per deposit, which is incurred at the time of receipt of a portion or all of the materials (</w:t>
      </w:r>
      <w:hyperlink r:id="rId5" w:history="1">
        <w:r w:rsidRPr="00C4768B">
          <w:rPr>
            <w:rStyle w:val="Hyperlink"/>
            <w:rFonts w:ascii="Arial" w:hAnsi="Arial" w:cs="Arial"/>
            <w:sz w:val="16"/>
            <w:szCs w:val="16"/>
          </w:rPr>
          <w:t>https://www.atcc.org/services/depositing-with-atcc/patent-deposit</w:t>
        </w:r>
      </w:hyperlink>
      <w:r w:rsidRPr="00C4768B">
        <w:rPr>
          <w:rFonts w:ascii="Arial" w:hAnsi="Arial" w:cs="Arial"/>
          <w:sz w:val="16"/>
          <w:szCs w:val="16"/>
        </w:rPr>
        <w:t xml:space="preserve">).   </w:t>
      </w:r>
    </w:p>
  </w:footnote>
  <w:footnote w:id="8">
    <w:p w:rsidR="00867870" w:rsidRPr="008D18B2" w:rsidP="00867870" w14:paraId="538ABC70" w14:textId="77777777">
      <w:pPr>
        <w:pStyle w:val="FootnoteText"/>
        <w:rPr>
          <w:rFonts w:ascii="Arial" w:hAnsi="Arial" w:cs="Arial"/>
          <w:sz w:val="16"/>
          <w:szCs w:val="16"/>
        </w:rPr>
      </w:pPr>
      <w:r w:rsidRPr="008D18B2">
        <w:rPr>
          <w:rStyle w:val="FootnoteReference"/>
          <w:rFonts w:ascii="Arial" w:hAnsi="Arial" w:cs="Arial"/>
          <w:sz w:val="16"/>
          <w:szCs w:val="16"/>
        </w:rPr>
        <w:footnoteRef/>
      </w:r>
      <w:r w:rsidRPr="008D18B2">
        <w:rPr>
          <w:rFonts w:ascii="Arial" w:hAnsi="Arial" w:cs="Arial"/>
          <w:sz w:val="16"/>
          <w:szCs w:val="16"/>
        </w:rPr>
        <w:t xml:space="preserve"> FedEx, How to Ship Dangerous Goods (</w:t>
      </w:r>
      <w:hyperlink r:id="rId6" w:history="1">
        <w:r w:rsidRPr="008D18B2">
          <w:rPr>
            <w:rStyle w:val="Hyperlink"/>
            <w:rFonts w:ascii="Arial" w:hAnsi="Arial" w:cs="Arial"/>
            <w:sz w:val="16"/>
            <w:szCs w:val="16"/>
          </w:rPr>
          <w:t>https://www.fedex.com/en-us/service-guide/dangerous-goods/how-to-ship.html</w:t>
        </w:r>
      </w:hyperlink>
      <w:r w:rsidRPr="008D18B2">
        <w:rPr>
          <w:rFonts w:ascii="Arial" w:hAnsi="Arial" w:cs="Arial"/>
          <w:sz w:val="16"/>
          <w:szCs w:val="16"/>
        </w:rPr>
        <w:t xml:space="preserve">). </w:t>
      </w:r>
    </w:p>
  </w:footnote>
  <w:footnote w:id="9">
    <w:p w:rsidR="00867870" w:rsidP="00867870" w14:paraId="0C6C05E8" w14:textId="6940EB71">
      <w:pPr>
        <w:pStyle w:val="FootnoteText"/>
      </w:pPr>
      <w:r w:rsidRPr="00893CA3">
        <w:rPr>
          <w:rStyle w:val="FootnoteReference"/>
          <w:rFonts w:ascii="Arial" w:hAnsi="Arial" w:cs="Arial"/>
          <w:sz w:val="16"/>
          <w:szCs w:val="16"/>
        </w:rPr>
        <w:footnoteRef/>
      </w:r>
      <w:r w:rsidRPr="00893CA3">
        <w:rPr>
          <w:rFonts w:ascii="Arial" w:hAnsi="Arial" w:cs="Arial"/>
          <w:sz w:val="16"/>
          <w:szCs w:val="16"/>
        </w:rPr>
        <w:t xml:space="preserve"> FedEx, </w:t>
      </w:r>
      <w:r w:rsidRPr="00893CA3" w:rsidR="00047F4C">
        <w:rPr>
          <w:rFonts w:ascii="Arial" w:hAnsi="Arial" w:cs="Arial"/>
          <w:sz w:val="16"/>
          <w:szCs w:val="16"/>
        </w:rPr>
        <w:t xml:space="preserve">U.S. </w:t>
      </w:r>
      <w:r w:rsidR="007D0064">
        <w:rPr>
          <w:rFonts w:ascii="Arial" w:hAnsi="Arial" w:cs="Arial"/>
          <w:sz w:val="16"/>
          <w:szCs w:val="16"/>
        </w:rPr>
        <w:t>P</w:t>
      </w:r>
      <w:r w:rsidRPr="00893CA3" w:rsidR="00047F4C">
        <w:rPr>
          <w:rFonts w:ascii="Arial" w:hAnsi="Arial" w:cs="Arial"/>
          <w:sz w:val="16"/>
          <w:szCs w:val="16"/>
        </w:rPr>
        <w:t xml:space="preserve">arcel </w:t>
      </w:r>
      <w:r w:rsidR="007D0064">
        <w:rPr>
          <w:rFonts w:ascii="Arial" w:hAnsi="Arial" w:cs="Arial"/>
          <w:sz w:val="16"/>
          <w:szCs w:val="16"/>
        </w:rPr>
        <w:t>P</w:t>
      </w:r>
      <w:r w:rsidRPr="00893CA3" w:rsidR="00047F4C">
        <w:rPr>
          <w:rFonts w:ascii="Arial" w:hAnsi="Arial" w:cs="Arial"/>
          <w:sz w:val="16"/>
          <w:szCs w:val="16"/>
        </w:rPr>
        <w:t xml:space="preserve">ickup </w:t>
      </w:r>
      <w:r w:rsidR="007D0064">
        <w:rPr>
          <w:rFonts w:ascii="Arial" w:hAnsi="Arial" w:cs="Arial"/>
          <w:sz w:val="16"/>
          <w:szCs w:val="16"/>
        </w:rPr>
        <w:t>O</w:t>
      </w:r>
      <w:r w:rsidRPr="00893CA3" w:rsidR="00047F4C">
        <w:rPr>
          <w:rFonts w:ascii="Arial" w:hAnsi="Arial" w:cs="Arial"/>
          <w:sz w:val="16"/>
          <w:szCs w:val="16"/>
        </w:rPr>
        <w:t>ptions</w:t>
      </w:r>
      <w:r w:rsidRPr="00893CA3">
        <w:rPr>
          <w:rFonts w:ascii="Arial" w:hAnsi="Arial" w:cs="Arial"/>
          <w:sz w:val="16"/>
          <w:szCs w:val="16"/>
        </w:rPr>
        <w:t xml:space="preserve"> (</w:t>
      </w:r>
      <w:hyperlink r:id="rId7" w:history="1">
        <w:r w:rsidRPr="00893CA3" w:rsidR="00893CA3">
          <w:rPr>
            <w:rStyle w:val="Hyperlink"/>
            <w:rFonts w:ascii="Arial" w:hAnsi="Arial" w:cs="Arial"/>
            <w:sz w:val="16"/>
            <w:szCs w:val="16"/>
          </w:rPr>
          <w:t>https://www.fedex.com/content/dam/fedex-com/hdn/FedEx-US-Pickup-Options-with-rates-2025.pdf</w:t>
        </w:r>
      </w:hyperlink>
      <w:r w:rsidRPr="00893CA3" w:rsidR="00893CA3">
        <w:rPr>
          <w:rFonts w:ascii="Arial" w:hAnsi="Arial" w:cs="Arial"/>
          <w:sz w:val="16"/>
          <w:szCs w:val="16"/>
        </w:rPr>
        <w:t>).</w:t>
      </w:r>
    </w:p>
  </w:footnote>
  <w:footnote w:id="10">
    <w:p w:rsidR="00707AED" w:rsidRPr="00A25005" w14:paraId="589B5A49" w14:textId="33032418">
      <w:pPr>
        <w:pStyle w:val="FootnoteText"/>
        <w:rPr>
          <w:rFonts w:ascii="Arial" w:hAnsi="Arial" w:cs="Arial"/>
        </w:rPr>
      </w:pPr>
      <w:r w:rsidRPr="00A25005">
        <w:rPr>
          <w:rStyle w:val="FootnoteReference"/>
          <w:rFonts w:ascii="Arial" w:hAnsi="Arial" w:cs="Arial"/>
          <w:sz w:val="16"/>
        </w:rPr>
        <w:footnoteRef/>
      </w:r>
      <w:r w:rsidRPr="00A25005">
        <w:rPr>
          <w:rFonts w:ascii="Arial" w:hAnsi="Arial" w:cs="Arial"/>
          <w:sz w:val="16"/>
        </w:rPr>
        <w:t xml:space="preserve"> </w:t>
      </w:r>
      <w:hyperlink r:id="rId8" w:history="1">
        <w:r w:rsidRPr="000356BF" w:rsidR="000356BF">
          <w:rPr>
            <w:rStyle w:val="Hyperlink"/>
            <w:rFonts w:ascii="Arial" w:hAnsi="Arial" w:cs="Arial"/>
            <w:sz w:val="16"/>
            <w:szCs w:val="16"/>
          </w:rPr>
          <w:t>https://www.opm.gov/policy-data-oversight/pay-leave/salaries-wages/salary-tables/pdf/2026/DCB_h.pdf</w:t>
        </w:r>
      </w:hyperlink>
      <w:r w:rsidRPr="000356BF" w:rsidR="000356BF">
        <w:rPr>
          <w:rFonts w:ascii="Arial" w:hAnsi="Arial" w:cs="Arial"/>
          <w:sz w:val="16"/>
          <w:szCs w:val="16"/>
        </w:rPr>
        <w:t>.</w:t>
      </w:r>
      <w:r w:rsidRPr="000356BF" w:rsidR="000356BF">
        <w:rPr>
          <w:sz w:val="16"/>
          <w:szCs w:val="16"/>
        </w:rPr>
        <w:t xml:space="preserve"> </w:t>
      </w:r>
    </w:p>
  </w:footnote>
  <w:footnote w:id="11">
    <w:p w:rsidR="00F1528A" w:rsidRPr="0098051C" w:rsidP="00F1528A" w14:paraId="06C9351B" w14:textId="77777777">
      <w:pPr>
        <w:pStyle w:val="FootnoteText"/>
        <w:rPr>
          <w:rFonts w:ascii="Arial" w:hAnsi="Arial" w:cs="Arial"/>
        </w:rPr>
      </w:pPr>
      <w:r w:rsidRPr="0098051C">
        <w:rPr>
          <w:rStyle w:val="FootnoteReference"/>
          <w:rFonts w:ascii="Arial" w:hAnsi="Arial" w:cs="Arial"/>
          <w:sz w:val="16"/>
        </w:rPr>
        <w:footnoteRef/>
      </w:r>
      <w:r w:rsidRPr="0098051C">
        <w:rPr>
          <w:rFonts w:ascii="Arial" w:hAnsi="Arial" w:cs="Arial"/>
          <w:sz w:val="16"/>
        </w:rPr>
        <w:t xml:space="preserve"> </w:t>
      </w:r>
      <w:hyperlink r:id="rId9" w:history="1">
        <w:r w:rsidRPr="0098051C">
          <w:rPr>
            <w:rStyle w:val="Hyperlink"/>
            <w:rFonts w:ascii="Arial" w:hAnsi="Arial" w:cs="Arial"/>
            <w:sz w:val="16"/>
          </w:rPr>
          <w:t>https://www.uspto.gov/learning-and-resources/official-gazette</w:t>
        </w:r>
      </w:hyperlink>
      <w:r w:rsidRPr="0098051C">
        <w:rPr>
          <w:rFonts w:ascii="Arial" w:hAnsi="Arial" w:cs="Arial"/>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6A51" w14:paraId="1594A7D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6A51" w14:paraId="57BB93C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6A51" w14:paraId="7C543F9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B7B3C"/>
    <w:multiLevelType w:val="hybridMultilevel"/>
    <w:tmpl w:val="810081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80"/>
        </w:tabs>
        <w:ind w:left="780" w:hanging="360"/>
      </w:pPr>
      <w:rPr>
        <w:rFonts w:ascii="Courier New" w:hAnsi="Courier New" w:hint="default"/>
      </w:rPr>
    </w:lvl>
    <w:lvl w:ilvl="2" w:tentative="1">
      <w:start w:val="1"/>
      <w:numFmt w:val="bullet"/>
      <w:lvlText w:val=""/>
      <w:lvlJc w:val="left"/>
      <w:pPr>
        <w:tabs>
          <w:tab w:val="num" w:pos="1500"/>
        </w:tabs>
        <w:ind w:left="1500" w:hanging="360"/>
      </w:pPr>
      <w:rPr>
        <w:rFonts w:ascii="Wingdings" w:hAnsi="Wingdings" w:hint="default"/>
      </w:rPr>
    </w:lvl>
    <w:lvl w:ilvl="3" w:tentative="1">
      <w:start w:val="1"/>
      <w:numFmt w:val="bullet"/>
      <w:lvlText w:val=""/>
      <w:lvlJc w:val="left"/>
      <w:pPr>
        <w:tabs>
          <w:tab w:val="num" w:pos="2220"/>
        </w:tabs>
        <w:ind w:left="2220" w:hanging="360"/>
      </w:pPr>
      <w:rPr>
        <w:rFonts w:ascii="Symbol" w:hAnsi="Symbol" w:hint="default"/>
      </w:rPr>
    </w:lvl>
    <w:lvl w:ilvl="4" w:tentative="1">
      <w:start w:val="1"/>
      <w:numFmt w:val="bullet"/>
      <w:lvlText w:val="o"/>
      <w:lvlJc w:val="left"/>
      <w:pPr>
        <w:tabs>
          <w:tab w:val="num" w:pos="2940"/>
        </w:tabs>
        <w:ind w:left="2940" w:hanging="360"/>
      </w:pPr>
      <w:rPr>
        <w:rFonts w:ascii="Courier New" w:hAnsi="Courier New" w:hint="default"/>
      </w:rPr>
    </w:lvl>
    <w:lvl w:ilvl="5" w:tentative="1">
      <w:start w:val="1"/>
      <w:numFmt w:val="bullet"/>
      <w:lvlText w:val=""/>
      <w:lvlJc w:val="left"/>
      <w:pPr>
        <w:tabs>
          <w:tab w:val="num" w:pos="3660"/>
        </w:tabs>
        <w:ind w:left="3660" w:hanging="360"/>
      </w:pPr>
      <w:rPr>
        <w:rFonts w:ascii="Wingdings" w:hAnsi="Wingdings" w:hint="default"/>
      </w:rPr>
    </w:lvl>
    <w:lvl w:ilvl="6" w:tentative="1">
      <w:start w:val="1"/>
      <w:numFmt w:val="bullet"/>
      <w:lvlText w:val=""/>
      <w:lvlJc w:val="left"/>
      <w:pPr>
        <w:tabs>
          <w:tab w:val="num" w:pos="4380"/>
        </w:tabs>
        <w:ind w:left="4380" w:hanging="360"/>
      </w:pPr>
      <w:rPr>
        <w:rFonts w:ascii="Symbol" w:hAnsi="Symbol" w:hint="default"/>
      </w:rPr>
    </w:lvl>
    <w:lvl w:ilvl="7" w:tentative="1">
      <w:start w:val="1"/>
      <w:numFmt w:val="bullet"/>
      <w:lvlText w:val="o"/>
      <w:lvlJc w:val="left"/>
      <w:pPr>
        <w:tabs>
          <w:tab w:val="num" w:pos="5100"/>
        </w:tabs>
        <w:ind w:left="5100" w:hanging="360"/>
      </w:pPr>
      <w:rPr>
        <w:rFonts w:ascii="Courier New" w:hAnsi="Courier New" w:hint="default"/>
      </w:rPr>
    </w:lvl>
    <w:lvl w:ilvl="8" w:tentative="1">
      <w:start w:val="1"/>
      <w:numFmt w:val="bullet"/>
      <w:lvlText w:val=""/>
      <w:lvlJc w:val="left"/>
      <w:pPr>
        <w:tabs>
          <w:tab w:val="num" w:pos="5820"/>
        </w:tabs>
        <w:ind w:left="5820" w:hanging="360"/>
      </w:pPr>
      <w:rPr>
        <w:rFonts w:ascii="Wingdings" w:hAnsi="Wingdings" w:hint="default"/>
      </w:rPr>
    </w:lvl>
  </w:abstractNum>
  <w:abstractNum w:abstractNumId="1">
    <w:nsid w:val="072300B0"/>
    <w:multiLevelType w:val="hybridMultilevel"/>
    <w:tmpl w:val="3FF4DC4E"/>
    <w:lvl w:ilvl="0">
      <w:start w:val="1"/>
      <w:numFmt w:val="bullet"/>
      <w:lvlText w:val=""/>
      <w:lvlJc w:val="left"/>
      <w:pPr>
        <w:tabs>
          <w:tab w:val="num" w:pos="660"/>
        </w:tabs>
        <w:ind w:left="6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163A5A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BE51A53"/>
    <w:multiLevelType w:val="hybridMultilevel"/>
    <w:tmpl w:val="8B00F4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317B0845"/>
    <w:multiLevelType w:val="hybridMultilevel"/>
    <w:tmpl w:val="012EA1AA"/>
    <w:lvl w:ilvl="0">
      <w:start w:val="1"/>
      <w:numFmt w:val="decimal"/>
      <w:lvlText w:val="%1."/>
      <w:lvlJc w:val="left"/>
      <w:pPr>
        <w:ind w:left="45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397156FA"/>
    <w:multiLevelType w:val="hybridMultilevel"/>
    <w:tmpl w:val="05DADD28"/>
    <w:lvl w:ilvl="0">
      <w:start w:val="15"/>
      <w:numFmt w:val="decimal"/>
      <w:lvlText w:val="%1."/>
      <w:lvlJc w:val="left"/>
      <w:pPr>
        <w:ind w:left="450" w:hanging="360"/>
      </w:pPr>
      <w:rPr>
        <w:rFonts w:hint="default"/>
        <w:sz w:val="24"/>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7">
    <w:nsid w:val="3D885DB0"/>
    <w:multiLevelType w:val="hybridMultilevel"/>
    <w:tmpl w:val="4044FCE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3FFC76D7"/>
    <w:multiLevelType w:val="hybridMultilevel"/>
    <w:tmpl w:val="6D165B3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48C034CD"/>
    <w:multiLevelType w:val="hybridMultilevel"/>
    <w:tmpl w:val="379CD846"/>
    <w:lvl w:ilvl="0">
      <w:start w:val="1"/>
      <w:numFmt w:val="upperLetter"/>
      <w:lvlText w:val="%1."/>
      <w:lvlJc w:val="left"/>
      <w:pPr>
        <w:ind w:left="360" w:hanging="360"/>
      </w:pPr>
      <w:rPr>
        <w:rFonts w:hint="default"/>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50300BCD"/>
    <w:multiLevelType w:val="hybridMultilevel"/>
    <w:tmpl w:val="C99CFD20"/>
    <w:lvl w:ilvl="0">
      <w:start w:val="14"/>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18A56E7"/>
    <w:multiLevelType w:val="hybridMultilevel"/>
    <w:tmpl w:val="4956CD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48A6A5C"/>
    <w:multiLevelType w:val="hybridMultilevel"/>
    <w:tmpl w:val="4E7C6D14"/>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570D515B"/>
    <w:multiLevelType w:val="hybridMultilevel"/>
    <w:tmpl w:val="C4767E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83E4323"/>
    <w:multiLevelType w:val="hybridMultilevel"/>
    <w:tmpl w:val="5F84CD1C"/>
    <w:lvl w:ilvl="0">
      <w:start w:val="81"/>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CE2331F"/>
    <w:multiLevelType w:val="hybridMultilevel"/>
    <w:tmpl w:val="CC1498E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7E9B5CC8"/>
    <w:multiLevelType w:val="singleLevel"/>
    <w:tmpl w:val="04090001"/>
    <w:lvl w:ilvl="0">
      <w:start w:val="1"/>
      <w:numFmt w:val="bullet"/>
      <w:lvlText w:val=""/>
      <w:lvlJc w:val="left"/>
      <w:pPr>
        <w:ind w:left="720" w:hanging="360"/>
      </w:pPr>
      <w:rPr>
        <w:rFonts w:ascii="Symbol" w:hAnsi="Symbol" w:hint="default"/>
      </w:rPr>
    </w:lvl>
  </w:abstractNum>
  <w:abstractNum w:abstractNumId="17">
    <w:nsid w:val="7F0705CA"/>
    <w:multiLevelType w:val="hybridMultilevel"/>
    <w:tmpl w:val="A05ECBE0"/>
    <w:lvl w:ilvl="0">
      <w:start w:val="1"/>
      <w:numFmt w:val="bullet"/>
      <w:lvlText w:val=""/>
      <w:lvlJc w:val="left"/>
      <w:pPr>
        <w:ind w:left="785" w:hanging="360"/>
      </w:pPr>
      <w:rPr>
        <w:rFonts w:ascii="Symbol" w:hAnsi="Symbol" w:hint="default"/>
      </w:rPr>
    </w:lvl>
    <w:lvl w:ilvl="1" w:tentative="1">
      <w:start w:val="1"/>
      <w:numFmt w:val="bullet"/>
      <w:lvlText w:val="o"/>
      <w:lvlJc w:val="left"/>
      <w:pPr>
        <w:ind w:left="1505" w:hanging="360"/>
      </w:pPr>
      <w:rPr>
        <w:rFonts w:ascii="Courier New" w:hAnsi="Courier New" w:cs="Courier New" w:hint="default"/>
      </w:rPr>
    </w:lvl>
    <w:lvl w:ilvl="2" w:tentative="1">
      <w:start w:val="1"/>
      <w:numFmt w:val="bullet"/>
      <w:lvlText w:val=""/>
      <w:lvlJc w:val="left"/>
      <w:pPr>
        <w:ind w:left="2225" w:hanging="360"/>
      </w:pPr>
      <w:rPr>
        <w:rFonts w:ascii="Wingdings" w:hAnsi="Wingdings" w:hint="default"/>
      </w:rPr>
    </w:lvl>
    <w:lvl w:ilvl="3" w:tentative="1">
      <w:start w:val="1"/>
      <w:numFmt w:val="bullet"/>
      <w:lvlText w:val=""/>
      <w:lvlJc w:val="left"/>
      <w:pPr>
        <w:ind w:left="2945" w:hanging="360"/>
      </w:pPr>
      <w:rPr>
        <w:rFonts w:ascii="Symbol" w:hAnsi="Symbol" w:hint="default"/>
      </w:rPr>
    </w:lvl>
    <w:lvl w:ilvl="4" w:tentative="1">
      <w:start w:val="1"/>
      <w:numFmt w:val="bullet"/>
      <w:lvlText w:val="o"/>
      <w:lvlJc w:val="left"/>
      <w:pPr>
        <w:ind w:left="3665" w:hanging="360"/>
      </w:pPr>
      <w:rPr>
        <w:rFonts w:ascii="Courier New" w:hAnsi="Courier New" w:cs="Courier New" w:hint="default"/>
      </w:rPr>
    </w:lvl>
    <w:lvl w:ilvl="5" w:tentative="1">
      <w:start w:val="1"/>
      <w:numFmt w:val="bullet"/>
      <w:lvlText w:val=""/>
      <w:lvlJc w:val="left"/>
      <w:pPr>
        <w:ind w:left="4385" w:hanging="360"/>
      </w:pPr>
      <w:rPr>
        <w:rFonts w:ascii="Wingdings" w:hAnsi="Wingdings" w:hint="default"/>
      </w:rPr>
    </w:lvl>
    <w:lvl w:ilvl="6" w:tentative="1">
      <w:start w:val="1"/>
      <w:numFmt w:val="bullet"/>
      <w:lvlText w:val=""/>
      <w:lvlJc w:val="left"/>
      <w:pPr>
        <w:ind w:left="5105" w:hanging="360"/>
      </w:pPr>
      <w:rPr>
        <w:rFonts w:ascii="Symbol" w:hAnsi="Symbol" w:hint="default"/>
      </w:rPr>
    </w:lvl>
    <w:lvl w:ilvl="7" w:tentative="1">
      <w:start w:val="1"/>
      <w:numFmt w:val="bullet"/>
      <w:lvlText w:val="o"/>
      <w:lvlJc w:val="left"/>
      <w:pPr>
        <w:ind w:left="5825" w:hanging="360"/>
      </w:pPr>
      <w:rPr>
        <w:rFonts w:ascii="Courier New" w:hAnsi="Courier New" w:cs="Courier New" w:hint="default"/>
      </w:rPr>
    </w:lvl>
    <w:lvl w:ilvl="8" w:tentative="1">
      <w:start w:val="1"/>
      <w:numFmt w:val="bullet"/>
      <w:lvlText w:val=""/>
      <w:lvlJc w:val="left"/>
      <w:pPr>
        <w:ind w:left="6545" w:hanging="360"/>
      </w:pPr>
      <w:rPr>
        <w:rFonts w:ascii="Wingdings" w:hAnsi="Wingdings" w:hint="default"/>
      </w:rPr>
    </w:lvl>
  </w:abstractNum>
  <w:num w:numId="1" w16cid:durableId="727190794">
    <w:abstractNumId w:val="11"/>
  </w:num>
  <w:num w:numId="2" w16cid:durableId="949892372">
    <w:abstractNumId w:val="0"/>
  </w:num>
  <w:num w:numId="3" w16cid:durableId="2091341522">
    <w:abstractNumId w:val="7"/>
  </w:num>
  <w:num w:numId="4" w16cid:durableId="1828864534">
    <w:abstractNumId w:val="1"/>
  </w:num>
  <w:num w:numId="5" w16cid:durableId="133526305">
    <w:abstractNumId w:val="15"/>
  </w:num>
  <w:num w:numId="6" w16cid:durableId="752094346">
    <w:abstractNumId w:val="10"/>
  </w:num>
  <w:num w:numId="7" w16cid:durableId="622813579">
    <w:abstractNumId w:val="16"/>
  </w:num>
  <w:num w:numId="8" w16cid:durableId="2141651202">
    <w:abstractNumId w:val="3"/>
  </w:num>
  <w:num w:numId="9" w16cid:durableId="1290547963">
    <w:abstractNumId w:val="9"/>
  </w:num>
  <w:num w:numId="10" w16cid:durableId="83956792">
    <w:abstractNumId w:val="17"/>
  </w:num>
  <w:num w:numId="11" w16cid:durableId="2091387700">
    <w:abstractNumId w:val="8"/>
  </w:num>
  <w:num w:numId="12" w16cid:durableId="355275172">
    <w:abstractNumId w:val="4"/>
  </w:num>
  <w:num w:numId="13" w16cid:durableId="1163205349">
    <w:abstractNumId w:val="5"/>
  </w:num>
  <w:num w:numId="14" w16cid:durableId="1616525239">
    <w:abstractNumId w:val="13"/>
  </w:num>
  <w:num w:numId="15" w16cid:durableId="433982609">
    <w:abstractNumId w:val="6"/>
  </w:num>
  <w:num w:numId="16" w16cid:durableId="1343702062">
    <w:abstractNumId w:val="14"/>
  </w:num>
  <w:num w:numId="17" w16cid:durableId="11280144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295532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Gunther, Sarah">
    <w15:presenceInfo w15:providerId="AD" w15:userId="S::sgunther1@uspto.gov::16bc196a-557c-4c3c-b7a5-6b735501dd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1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EDA"/>
    <w:rsid w:val="000048F6"/>
    <w:rsid w:val="00004988"/>
    <w:rsid w:val="00004BB9"/>
    <w:rsid w:val="000053C9"/>
    <w:rsid w:val="000100E8"/>
    <w:rsid w:val="000179EF"/>
    <w:rsid w:val="00024BFC"/>
    <w:rsid w:val="00026BDE"/>
    <w:rsid w:val="00033E2B"/>
    <w:rsid w:val="000356BF"/>
    <w:rsid w:val="00040930"/>
    <w:rsid w:val="00042E4F"/>
    <w:rsid w:val="00043E2D"/>
    <w:rsid w:val="00047F4C"/>
    <w:rsid w:val="00085D2D"/>
    <w:rsid w:val="00086FD6"/>
    <w:rsid w:val="000A4E9F"/>
    <w:rsid w:val="000A65DB"/>
    <w:rsid w:val="000B537A"/>
    <w:rsid w:val="000C448C"/>
    <w:rsid w:val="000C7A48"/>
    <w:rsid w:val="000D2CB1"/>
    <w:rsid w:val="000D5412"/>
    <w:rsid w:val="000D56F1"/>
    <w:rsid w:val="000D5B34"/>
    <w:rsid w:val="000D766A"/>
    <w:rsid w:val="000D7921"/>
    <w:rsid w:val="000E09D7"/>
    <w:rsid w:val="000E2392"/>
    <w:rsid w:val="000F4A0D"/>
    <w:rsid w:val="001004E8"/>
    <w:rsid w:val="00100B1F"/>
    <w:rsid w:val="0010153E"/>
    <w:rsid w:val="00105CBA"/>
    <w:rsid w:val="00106452"/>
    <w:rsid w:val="001102BD"/>
    <w:rsid w:val="001209FC"/>
    <w:rsid w:val="00150CF5"/>
    <w:rsid w:val="001524EA"/>
    <w:rsid w:val="00164C92"/>
    <w:rsid w:val="00167B3E"/>
    <w:rsid w:val="0018339F"/>
    <w:rsid w:val="001A2BD5"/>
    <w:rsid w:val="001A2DEF"/>
    <w:rsid w:val="001A4370"/>
    <w:rsid w:val="001A5C44"/>
    <w:rsid w:val="001B090C"/>
    <w:rsid w:val="001B62C4"/>
    <w:rsid w:val="001B77DA"/>
    <w:rsid w:val="001B790C"/>
    <w:rsid w:val="001B795B"/>
    <w:rsid w:val="001C077C"/>
    <w:rsid w:val="001C12EC"/>
    <w:rsid w:val="001C2011"/>
    <w:rsid w:val="001C2F52"/>
    <w:rsid w:val="001E3F46"/>
    <w:rsid w:val="001E6A2C"/>
    <w:rsid w:val="001F051B"/>
    <w:rsid w:val="001F0D09"/>
    <w:rsid w:val="001F2C0E"/>
    <w:rsid w:val="00200B68"/>
    <w:rsid w:val="00203A27"/>
    <w:rsid w:val="00203E42"/>
    <w:rsid w:val="00206F4B"/>
    <w:rsid w:val="00210569"/>
    <w:rsid w:val="00216B80"/>
    <w:rsid w:val="0022276B"/>
    <w:rsid w:val="00227D0B"/>
    <w:rsid w:val="0023366F"/>
    <w:rsid w:val="00233E00"/>
    <w:rsid w:val="00233E93"/>
    <w:rsid w:val="00237911"/>
    <w:rsid w:val="0024097A"/>
    <w:rsid w:val="00240A35"/>
    <w:rsid w:val="00241134"/>
    <w:rsid w:val="00246C59"/>
    <w:rsid w:val="00246C6C"/>
    <w:rsid w:val="0025743F"/>
    <w:rsid w:val="0026340E"/>
    <w:rsid w:val="0026408F"/>
    <w:rsid w:val="002670E2"/>
    <w:rsid w:val="0027388E"/>
    <w:rsid w:val="002858CF"/>
    <w:rsid w:val="00285B55"/>
    <w:rsid w:val="0028737A"/>
    <w:rsid w:val="002910E6"/>
    <w:rsid w:val="00292406"/>
    <w:rsid w:val="002A2822"/>
    <w:rsid w:val="002A37BB"/>
    <w:rsid w:val="002A710B"/>
    <w:rsid w:val="002B017A"/>
    <w:rsid w:val="002B39EE"/>
    <w:rsid w:val="002B4889"/>
    <w:rsid w:val="002B519B"/>
    <w:rsid w:val="002C0512"/>
    <w:rsid w:val="002D11ED"/>
    <w:rsid w:val="002D235B"/>
    <w:rsid w:val="002D266C"/>
    <w:rsid w:val="002D4796"/>
    <w:rsid w:val="002D5D25"/>
    <w:rsid w:val="002E7B48"/>
    <w:rsid w:val="002F727C"/>
    <w:rsid w:val="0030202C"/>
    <w:rsid w:val="0030788D"/>
    <w:rsid w:val="0032126D"/>
    <w:rsid w:val="00321808"/>
    <w:rsid w:val="00321CDF"/>
    <w:rsid w:val="00332830"/>
    <w:rsid w:val="00335066"/>
    <w:rsid w:val="003458E9"/>
    <w:rsid w:val="00345D98"/>
    <w:rsid w:val="00353C22"/>
    <w:rsid w:val="003604A1"/>
    <w:rsid w:val="0036093A"/>
    <w:rsid w:val="00361D9E"/>
    <w:rsid w:val="0036262E"/>
    <w:rsid w:val="00362CBB"/>
    <w:rsid w:val="00365107"/>
    <w:rsid w:val="003770A9"/>
    <w:rsid w:val="0039379D"/>
    <w:rsid w:val="00393A97"/>
    <w:rsid w:val="003A602D"/>
    <w:rsid w:val="003B4CCE"/>
    <w:rsid w:val="003C263B"/>
    <w:rsid w:val="003C5AF3"/>
    <w:rsid w:val="003D2DB4"/>
    <w:rsid w:val="003E3FE0"/>
    <w:rsid w:val="003F3110"/>
    <w:rsid w:val="00400389"/>
    <w:rsid w:val="0040443E"/>
    <w:rsid w:val="00411CFC"/>
    <w:rsid w:val="00420E74"/>
    <w:rsid w:val="00431AC1"/>
    <w:rsid w:val="00432944"/>
    <w:rsid w:val="004364CC"/>
    <w:rsid w:val="00436B01"/>
    <w:rsid w:val="00441661"/>
    <w:rsid w:val="00444D68"/>
    <w:rsid w:val="00460B09"/>
    <w:rsid w:val="0047250B"/>
    <w:rsid w:val="00472AB9"/>
    <w:rsid w:val="00473FF7"/>
    <w:rsid w:val="00474140"/>
    <w:rsid w:val="00476F66"/>
    <w:rsid w:val="00484D0B"/>
    <w:rsid w:val="00486CFB"/>
    <w:rsid w:val="004929A9"/>
    <w:rsid w:val="004A110E"/>
    <w:rsid w:val="004A5066"/>
    <w:rsid w:val="004A5608"/>
    <w:rsid w:val="004B07BA"/>
    <w:rsid w:val="004C2474"/>
    <w:rsid w:val="004D0B83"/>
    <w:rsid w:val="004D0D78"/>
    <w:rsid w:val="004D302B"/>
    <w:rsid w:val="004D726E"/>
    <w:rsid w:val="004D7E96"/>
    <w:rsid w:val="004E1CF2"/>
    <w:rsid w:val="004E5518"/>
    <w:rsid w:val="004F53F0"/>
    <w:rsid w:val="00503236"/>
    <w:rsid w:val="00511802"/>
    <w:rsid w:val="00512BD8"/>
    <w:rsid w:val="00513B0B"/>
    <w:rsid w:val="00513B95"/>
    <w:rsid w:val="0051510D"/>
    <w:rsid w:val="005158F0"/>
    <w:rsid w:val="00515A5B"/>
    <w:rsid w:val="00515D51"/>
    <w:rsid w:val="005301EC"/>
    <w:rsid w:val="005327FC"/>
    <w:rsid w:val="0053442C"/>
    <w:rsid w:val="00547FC4"/>
    <w:rsid w:val="00553E01"/>
    <w:rsid w:val="00554597"/>
    <w:rsid w:val="00562551"/>
    <w:rsid w:val="00565C14"/>
    <w:rsid w:val="0056760B"/>
    <w:rsid w:val="00567B74"/>
    <w:rsid w:val="00570B7E"/>
    <w:rsid w:val="00571677"/>
    <w:rsid w:val="00571C2D"/>
    <w:rsid w:val="00572FB0"/>
    <w:rsid w:val="00582827"/>
    <w:rsid w:val="00593350"/>
    <w:rsid w:val="005A43EB"/>
    <w:rsid w:val="005A7D91"/>
    <w:rsid w:val="005B32EA"/>
    <w:rsid w:val="005F29CF"/>
    <w:rsid w:val="0060758E"/>
    <w:rsid w:val="006109EF"/>
    <w:rsid w:val="00613337"/>
    <w:rsid w:val="00614F01"/>
    <w:rsid w:val="00615B54"/>
    <w:rsid w:val="00615F85"/>
    <w:rsid w:val="006165BA"/>
    <w:rsid w:val="00616ED6"/>
    <w:rsid w:val="00624AF0"/>
    <w:rsid w:val="00627CC7"/>
    <w:rsid w:val="0063281D"/>
    <w:rsid w:val="00636EDA"/>
    <w:rsid w:val="00650B48"/>
    <w:rsid w:val="00651D76"/>
    <w:rsid w:val="00684F17"/>
    <w:rsid w:val="00686C7B"/>
    <w:rsid w:val="006A05B1"/>
    <w:rsid w:val="006A276F"/>
    <w:rsid w:val="006B12D1"/>
    <w:rsid w:val="006B2A76"/>
    <w:rsid w:val="006B46CC"/>
    <w:rsid w:val="006B6E92"/>
    <w:rsid w:val="006C1154"/>
    <w:rsid w:val="006C3236"/>
    <w:rsid w:val="006D5630"/>
    <w:rsid w:val="006E00D2"/>
    <w:rsid w:val="006E73FB"/>
    <w:rsid w:val="006F6E7D"/>
    <w:rsid w:val="007011A6"/>
    <w:rsid w:val="007015D5"/>
    <w:rsid w:val="007031CB"/>
    <w:rsid w:val="007060DC"/>
    <w:rsid w:val="00707AED"/>
    <w:rsid w:val="0071032B"/>
    <w:rsid w:val="0071172E"/>
    <w:rsid w:val="007126C3"/>
    <w:rsid w:val="0071346A"/>
    <w:rsid w:val="00717AE0"/>
    <w:rsid w:val="00722E6C"/>
    <w:rsid w:val="00727301"/>
    <w:rsid w:val="00730E81"/>
    <w:rsid w:val="007323BC"/>
    <w:rsid w:val="00732B39"/>
    <w:rsid w:val="00737C28"/>
    <w:rsid w:val="00740406"/>
    <w:rsid w:val="0077376E"/>
    <w:rsid w:val="00780062"/>
    <w:rsid w:val="00785139"/>
    <w:rsid w:val="00787C67"/>
    <w:rsid w:val="007A77E9"/>
    <w:rsid w:val="007C21ED"/>
    <w:rsid w:val="007C3F11"/>
    <w:rsid w:val="007D0064"/>
    <w:rsid w:val="007D12CA"/>
    <w:rsid w:val="007D17EE"/>
    <w:rsid w:val="007D74FB"/>
    <w:rsid w:val="007E3821"/>
    <w:rsid w:val="007E5193"/>
    <w:rsid w:val="007E737E"/>
    <w:rsid w:val="007F0B6F"/>
    <w:rsid w:val="007F1BAC"/>
    <w:rsid w:val="007F51BC"/>
    <w:rsid w:val="0080067D"/>
    <w:rsid w:val="008019E2"/>
    <w:rsid w:val="00801B0F"/>
    <w:rsid w:val="00802DB2"/>
    <w:rsid w:val="00812E44"/>
    <w:rsid w:val="00814D7E"/>
    <w:rsid w:val="00821A93"/>
    <w:rsid w:val="00832C33"/>
    <w:rsid w:val="00833543"/>
    <w:rsid w:val="00834AC8"/>
    <w:rsid w:val="00834D03"/>
    <w:rsid w:val="00846E8F"/>
    <w:rsid w:val="00857839"/>
    <w:rsid w:val="008600F8"/>
    <w:rsid w:val="00860C84"/>
    <w:rsid w:val="00867870"/>
    <w:rsid w:val="00870E68"/>
    <w:rsid w:val="0087273A"/>
    <w:rsid w:val="00876A97"/>
    <w:rsid w:val="00881472"/>
    <w:rsid w:val="0088188C"/>
    <w:rsid w:val="00886488"/>
    <w:rsid w:val="008900E7"/>
    <w:rsid w:val="00893CA3"/>
    <w:rsid w:val="008970EA"/>
    <w:rsid w:val="008A269D"/>
    <w:rsid w:val="008B1EA2"/>
    <w:rsid w:val="008B78C7"/>
    <w:rsid w:val="008C1881"/>
    <w:rsid w:val="008C1B41"/>
    <w:rsid w:val="008C3C23"/>
    <w:rsid w:val="008C707B"/>
    <w:rsid w:val="008C77EC"/>
    <w:rsid w:val="008D18B2"/>
    <w:rsid w:val="008D5A6F"/>
    <w:rsid w:val="008D64E1"/>
    <w:rsid w:val="008E1811"/>
    <w:rsid w:val="008E22B0"/>
    <w:rsid w:val="008E27CC"/>
    <w:rsid w:val="008F0305"/>
    <w:rsid w:val="008F1623"/>
    <w:rsid w:val="008F3944"/>
    <w:rsid w:val="00900792"/>
    <w:rsid w:val="00905497"/>
    <w:rsid w:val="0091072C"/>
    <w:rsid w:val="00925E5C"/>
    <w:rsid w:val="00931AF7"/>
    <w:rsid w:val="00936E33"/>
    <w:rsid w:val="0094183A"/>
    <w:rsid w:val="00944FC8"/>
    <w:rsid w:val="009525F7"/>
    <w:rsid w:val="00952FB8"/>
    <w:rsid w:val="00965ACE"/>
    <w:rsid w:val="0097006F"/>
    <w:rsid w:val="00970B4D"/>
    <w:rsid w:val="009744B4"/>
    <w:rsid w:val="0098051C"/>
    <w:rsid w:val="00980E8E"/>
    <w:rsid w:val="009830B7"/>
    <w:rsid w:val="009A28D0"/>
    <w:rsid w:val="009A6572"/>
    <w:rsid w:val="009A6E04"/>
    <w:rsid w:val="009A6E99"/>
    <w:rsid w:val="009A7D21"/>
    <w:rsid w:val="009B05E7"/>
    <w:rsid w:val="009B462F"/>
    <w:rsid w:val="009B5FFA"/>
    <w:rsid w:val="009C6080"/>
    <w:rsid w:val="009D041C"/>
    <w:rsid w:val="009D1618"/>
    <w:rsid w:val="009D4CCD"/>
    <w:rsid w:val="009D6658"/>
    <w:rsid w:val="009E20AC"/>
    <w:rsid w:val="009E2B86"/>
    <w:rsid w:val="009E6CE9"/>
    <w:rsid w:val="009F2951"/>
    <w:rsid w:val="009F3C18"/>
    <w:rsid w:val="009F3DE8"/>
    <w:rsid w:val="00A0074D"/>
    <w:rsid w:val="00A0226E"/>
    <w:rsid w:val="00A02CBD"/>
    <w:rsid w:val="00A136B8"/>
    <w:rsid w:val="00A21E37"/>
    <w:rsid w:val="00A221DD"/>
    <w:rsid w:val="00A25005"/>
    <w:rsid w:val="00A30095"/>
    <w:rsid w:val="00A31737"/>
    <w:rsid w:val="00A32FE9"/>
    <w:rsid w:val="00A349D7"/>
    <w:rsid w:val="00A35D62"/>
    <w:rsid w:val="00A3752E"/>
    <w:rsid w:val="00A40E92"/>
    <w:rsid w:val="00A47FBB"/>
    <w:rsid w:val="00A51A07"/>
    <w:rsid w:val="00A52872"/>
    <w:rsid w:val="00A53FA1"/>
    <w:rsid w:val="00A63291"/>
    <w:rsid w:val="00A6334A"/>
    <w:rsid w:val="00A72CEF"/>
    <w:rsid w:val="00A736CE"/>
    <w:rsid w:val="00A83664"/>
    <w:rsid w:val="00A87063"/>
    <w:rsid w:val="00A9580C"/>
    <w:rsid w:val="00AA1324"/>
    <w:rsid w:val="00AA71C1"/>
    <w:rsid w:val="00AB0D31"/>
    <w:rsid w:val="00AD034C"/>
    <w:rsid w:val="00AD4FC6"/>
    <w:rsid w:val="00AD6A8A"/>
    <w:rsid w:val="00AE7289"/>
    <w:rsid w:val="00B0503D"/>
    <w:rsid w:val="00B1154F"/>
    <w:rsid w:val="00B12A3D"/>
    <w:rsid w:val="00B13BCA"/>
    <w:rsid w:val="00B20955"/>
    <w:rsid w:val="00B337E8"/>
    <w:rsid w:val="00B34D8A"/>
    <w:rsid w:val="00B446F0"/>
    <w:rsid w:val="00B55E20"/>
    <w:rsid w:val="00B57DCB"/>
    <w:rsid w:val="00B60711"/>
    <w:rsid w:val="00B62DF4"/>
    <w:rsid w:val="00B66604"/>
    <w:rsid w:val="00B710EA"/>
    <w:rsid w:val="00B71200"/>
    <w:rsid w:val="00B72805"/>
    <w:rsid w:val="00B75D93"/>
    <w:rsid w:val="00B75FA2"/>
    <w:rsid w:val="00BB584D"/>
    <w:rsid w:val="00BB5DCE"/>
    <w:rsid w:val="00BB6B03"/>
    <w:rsid w:val="00BC2177"/>
    <w:rsid w:val="00BC4A76"/>
    <w:rsid w:val="00BD27B3"/>
    <w:rsid w:val="00BF1ED8"/>
    <w:rsid w:val="00C01057"/>
    <w:rsid w:val="00C03E1E"/>
    <w:rsid w:val="00C0499B"/>
    <w:rsid w:val="00C105A8"/>
    <w:rsid w:val="00C10BE6"/>
    <w:rsid w:val="00C160A2"/>
    <w:rsid w:val="00C23C4A"/>
    <w:rsid w:val="00C3779D"/>
    <w:rsid w:val="00C406C2"/>
    <w:rsid w:val="00C413A8"/>
    <w:rsid w:val="00C4318E"/>
    <w:rsid w:val="00C455CB"/>
    <w:rsid w:val="00C45613"/>
    <w:rsid w:val="00C4583F"/>
    <w:rsid w:val="00C46AC4"/>
    <w:rsid w:val="00C4768B"/>
    <w:rsid w:val="00C5290A"/>
    <w:rsid w:val="00C66113"/>
    <w:rsid w:val="00C760F1"/>
    <w:rsid w:val="00C80912"/>
    <w:rsid w:val="00C81B78"/>
    <w:rsid w:val="00C92CD4"/>
    <w:rsid w:val="00C93EDD"/>
    <w:rsid w:val="00CB5BEF"/>
    <w:rsid w:val="00CD4834"/>
    <w:rsid w:val="00CD7C5E"/>
    <w:rsid w:val="00CE051B"/>
    <w:rsid w:val="00D0387C"/>
    <w:rsid w:val="00D12E37"/>
    <w:rsid w:val="00D175B0"/>
    <w:rsid w:val="00D2784F"/>
    <w:rsid w:val="00D31A4E"/>
    <w:rsid w:val="00D35910"/>
    <w:rsid w:val="00D4013D"/>
    <w:rsid w:val="00D52658"/>
    <w:rsid w:val="00D528D4"/>
    <w:rsid w:val="00D766A6"/>
    <w:rsid w:val="00D83472"/>
    <w:rsid w:val="00D87194"/>
    <w:rsid w:val="00D92CEB"/>
    <w:rsid w:val="00D95454"/>
    <w:rsid w:val="00DA0ED8"/>
    <w:rsid w:val="00DA5BF2"/>
    <w:rsid w:val="00DB2EC1"/>
    <w:rsid w:val="00DB4F00"/>
    <w:rsid w:val="00DB6FA7"/>
    <w:rsid w:val="00DD1CDE"/>
    <w:rsid w:val="00DD49E3"/>
    <w:rsid w:val="00DE28AC"/>
    <w:rsid w:val="00DE3B6D"/>
    <w:rsid w:val="00DE4238"/>
    <w:rsid w:val="00DE61BE"/>
    <w:rsid w:val="00DF07D5"/>
    <w:rsid w:val="00DF130C"/>
    <w:rsid w:val="00DF5688"/>
    <w:rsid w:val="00E0554B"/>
    <w:rsid w:val="00E14866"/>
    <w:rsid w:val="00E208D0"/>
    <w:rsid w:val="00E22E40"/>
    <w:rsid w:val="00E25398"/>
    <w:rsid w:val="00E26A51"/>
    <w:rsid w:val="00E276FD"/>
    <w:rsid w:val="00E27FA4"/>
    <w:rsid w:val="00E56F84"/>
    <w:rsid w:val="00E614F2"/>
    <w:rsid w:val="00E66574"/>
    <w:rsid w:val="00E74CC4"/>
    <w:rsid w:val="00E91233"/>
    <w:rsid w:val="00E96612"/>
    <w:rsid w:val="00E96C16"/>
    <w:rsid w:val="00E970F9"/>
    <w:rsid w:val="00EA276B"/>
    <w:rsid w:val="00EA4C8D"/>
    <w:rsid w:val="00EA641E"/>
    <w:rsid w:val="00EB11E9"/>
    <w:rsid w:val="00EB1FD2"/>
    <w:rsid w:val="00EC550B"/>
    <w:rsid w:val="00EC6561"/>
    <w:rsid w:val="00EC6AF8"/>
    <w:rsid w:val="00EC77FB"/>
    <w:rsid w:val="00ED3819"/>
    <w:rsid w:val="00ED4512"/>
    <w:rsid w:val="00EF0890"/>
    <w:rsid w:val="00EF7124"/>
    <w:rsid w:val="00F07938"/>
    <w:rsid w:val="00F151D6"/>
    <w:rsid w:val="00F1528A"/>
    <w:rsid w:val="00F2336C"/>
    <w:rsid w:val="00F301D5"/>
    <w:rsid w:val="00F360BE"/>
    <w:rsid w:val="00F40470"/>
    <w:rsid w:val="00F44AF2"/>
    <w:rsid w:val="00F4608E"/>
    <w:rsid w:val="00F462AC"/>
    <w:rsid w:val="00F5000D"/>
    <w:rsid w:val="00F551BE"/>
    <w:rsid w:val="00F60683"/>
    <w:rsid w:val="00F64F9A"/>
    <w:rsid w:val="00F65F93"/>
    <w:rsid w:val="00F80C31"/>
    <w:rsid w:val="00F9028F"/>
    <w:rsid w:val="00FA3A0B"/>
    <w:rsid w:val="00FA7BA6"/>
    <w:rsid w:val="00FA7EF8"/>
    <w:rsid w:val="00FB065A"/>
    <w:rsid w:val="00FB1F05"/>
    <w:rsid w:val="00FB51EA"/>
    <w:rsid w:val="00FC0713"/>
    <w:rsid w:val="00FC3B80"/>
    <w:rsid w:val="00FC4004"/>
    <w:rsid w:val="00FD2578"/>
    <w:rsid w:val="00FD4B78"/>
    <w:rsid w:val="00FD59CA"/>
    <w:rsid w:val="00FD75E4"/>
    <w:rsid w:val="00FE103B"/>
    <w:rsid w:val="00FE4CE1"/>
    <w:rsid w:val="03E2059D"/>
    <w:rsid w:val="0A4DA04C"/>
    <w:rsid w:val="0B46BE1E"/>
    <w:rsid w:val="0D0E7199"/>
    <w:rsid w:val="10ECED17"/>
    <w:rsid w:val="152EC1A8"/>
    <w:rsid w:val="1A931C3F"/>
    <w:rsid w:val="22C00C1C"/>
    <w:rsid w:val="25D70278"/>
    <w:rsid w:val="27EC705B"/>
    <w:rsid w:val="28338015"/>
    <w:rsid w:val="29545B68"/>
    <w:rsid w:val="2D19C8DA"/>
    <w:rsid w:val="2F28B97D"/>
    <w:rsid w:val="304AF64F"/>
    <w:rsid w:val="32181F52"/>
    <w:rsid w:val="39E05ABF"/>
    <w:rsid w:val="3AFD0528"/>
    <w:rsid w:val="3CC5A629"/>
    <w:rsid w:val="40D81C2C"/>
    <w:rsid w:val="40E060A8"/>
    <w:rsid w:val="412D9D68"/>
    <w:rsid w:val="4B513E92"/>
    <w:rsid w:val="4F7EAC37"/>
    <w:rsid w:val="517B6FF8"/>
    <w:rsid w:val="56C0CAB1"/>
    <w:rsid w:val="58B48B76"/>
    <w:rsid w:val="590B5170"/>
    <w:rsid w:val="5A6862B7"/>
    <w:rsid w:val="60F0317F"/>
    <w:rsid w:val="6351B42D"/>
    <w:rsid w:val="6BE472FB"/>
    <w:rsid w:val="72C11846"/>
    <w:rsid w:val="73633A0A"/>
    <w:rsid w:val="7371CE67"/>
    <w:rsid w:val="77C97A0C"/>
    <w:rsid w:val="79247084"/>
    <w:rsid w:val="7B28A1C8"/>
    <w:rsid w:val="7C5751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D4A065"/>
  <w15:docId w15:val="{B9310568-A0FF-4B3A-BD71-8D185D5E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E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uiPriority w:val="9"/>
    <w:semiHidden/>
    <w:unhideWhenUsed/>
    <w:qFormat/>
    <w:rsid w:val="00436B0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36EDA"/>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paragraph" w:styleId="Heading7">
    <w:name w:val="heading 7"/>
    <w:basedOn w:val="Normal"/>
    <w:next w:val="Normal"/>
    <w:link w:val="Heading7Char"/>
    <w:uiPriority w:val="9"/>
    <w:semiHidden/>
    <w:unhideWhenUsed/>
    <w:qFormat/>
    <w:rsid w:val="00C5290A"/>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C5290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636EDA"/>
    <w:rPr>
      <w:rFonts w:ascii="Arial" w:eastAsia="Times New Roman" w:hAnsi="Arial" w:cs="Arial"/>
      <w:sz w:val="24"/>
      <w:szCs w:val="20"/>
      <w:u w:val="single"/>
    </w:rPr>
  </w:style>
  <w:style w:type="paragraph" w:customStyle="1" w:styleId="Style">
    <w:name w:val="Style"/>
    <w:basedOn w:val="Normal"/>
    <w:rsid w:val="00636EDA"/>
    <w:pPr>
      <w:ind w:left="720" w:hanging="720"/>
    </w:pPr>
  </w:style>
  <w:style w:type="paragraph" w:styleId="Footer">
    <w:name w:val="footer"/>
    <w:basedOn w:val="Normal"/>
    <w:link w:val="FooterChar"/>
    <w:rsid w:val="00636EDA"/>
    <w:pPr>
      <w:tabs>
        <w:tab w:val="center" w:pos="4320"/>
        <w:tab w:val="right" w:pos="8640"/>
      </w:tabs>
    </w:pPr>
  </w:style>
  <w:style w:type="character" w:customStyle="1" w:styleId="FooterChar">
    <w:name w:val="Footer Char"/>
    <w:basedOn w:val="DefaultParagraphFont"/>
    <w:link w:val="Footer"/>
    <w:rsid w:val="00636EDA"/>
    <w:rPr>
      <w:rFonts w:ascii="Times New Roman" w:eastAsia="Times New Roman" w:hAnsi="Times New Roman" w:cs="Times New Roman"/>
      <w:sz w:val="24"/>
      <w:szCs w:val="24"/>
    </w:rPr>
  </w:style>
  <w:style w:type="character" w:styleId="PageNumber">
    <w:name w:val="page number"/>
    <w:basedOn w:val="DefaultParagraphFont"/>
    <w:rsid w:val="00636EDA"/>
  </w:style>
  <w:style w:type="paragraph" w:styleId="BodyText">
    <w:name w:val="Body Text"/>
    <w:basedOn w:val="Normal"/>
    <w:link w:val="BodyTextChar"/>
    <w:rsid w:val="00636EDA"/>
    <w:pPr>
      <w:widowControl/>
      <w:autoSpaceDE/>
      <w:autoSpaceDN/>
      <w:adjustRightInd/>
      <w:jc w:val="both"/>
    </w:pPr>
    <w:rPr>
      <w:rFonts w:ascii="Arial" w:hAnsi="Arial"/>
      <w:color w:val="000000"/>
      <w:szCs w:val="20"/>
    </w:rPr>
  </w:style>
  <w:style w:type="character" w:customStyle="1" w:styleId="BodyTextChar">
    <w:name w:val="Body Text Char"/>
    <w:basedOn w:val="DefaultParagraphFont"/>
    <w:link w:val="BodyText"/>
    <w:rsid w:val="00636EDA"/>
    <w:rPr>
      <w:rFonts w:ascii="Arial" w:eastAsia="Times New Roman" w:hAnsi="Arial" w:cs="Times New Roman"/>
      <w:color w:val="000000"/>
      <w:sz w:val="24"/>
      <w:szCs w:val="20"/>
    </w:rPr>
  </w:style>
  <w:style w:type="paragraph" w:customStyle="1" w:styleId="a">
    <w:name w:val="آ"/>
    <w:basedOn w:val="Normal"/>
    <w:rsid w:val="00636EDA"/>
    <w:pPr>
      <w:autoSpaceDE/>
      <w:autoSpaceDN/>
      <w:adjustRightInd/>
      <w:spacing w:line="240" w:lineRule="exact"/>
    </w:pPr>
    <w:rPr>
      <w:szCs w:val="20"/>
    </w:rPr>
  </w:style>
  <w:style w:type="paragraph" w:styleId="ListParagraph">
    <w:name w:val="List Paragraph"/>
    <w:basedOn w:val="Normal"/>
    <w:uiPriority w:val="34"/>
    <w:qFormat/>
    <w:rsid w:val="00636EDA"/>
    <w:pPr>
      <w:ind w:left="720"/>
    </w:pPr>
  </w:style>
  <w:style w:type="character" w:styleId="CommentReference">
    <w:name w:val="annotation reference"/>
    <w:basedOn w:val="DefaultParagraphFont"/>
    <w:uiPriority w:val="99"/>
    <w:unhideWhenUsed/>
    <w:rsid w:val="00F301D5"/>
    <w:rPr>
      <w:sz w:val="16"/>
      <w:szCs w:val="16"/>
    </w:rPr>
  </w:style>
  <w:style w:type="paragraph" w:styleId="CommentText">
    <w:name w:val="annotation text"/>
    <w:basedOn w:val="Normal"/>
    <w:link w:val="CommentTextChar"/>
    <w:uiPriority w:val="99"/>
    <w:unhideWhenUsed/>
    <w:rsid w:val="00F301D5"/>
    <w:rPr>
      <w:sz w:val="20"/>
      <w:szCs w:val="20"/>
    </w:rPr>
  </w:style>
  <w:style w:type="character" w:customStyle="1" w:styleId="CommentTextChar">
    <w:name w:val="Comment Text Char"/>
    <w:basedOn w:val="DefaultParagraphFont"/>
    <w:link w:val="CommentText"/>
    <w:uiPriority w:val="99"/>
    <w:rsid w:val="00F301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01D5"/>
    <w:rPr>
      <w:b/>
      <w:bCs/>
    </w:rPr>
  </w:style>
  <w:style w:type="character" w:customStyle="1" w:styleId="CommentSubjectChar">
    <w:name w:val="Comment Subject Char"/>
    <w:basedOn w:val="CommentTextChar"/>
    <w:link w:val="CommentSubject"/>
    <w:uiPriority w:val="99"/>
    <w:semiHidden/>
    <w:rsid w:val="00F301D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301D5"/>
    <w:rPr>
      <w:rFonts w:ascii="Tahoma" w:hAnsi="Tahoma" w:cs="Tahoma"/>
      <w:sz w:val="16"/>
      <w:szCs w:val="16"/>
    </w:rPr>
  </w:style>
  <w:style w:type="character" w:customStyle="1" w:styleId="BalloonTextChar">
    <w:name w:val="Balloon Text Char"/>
    <w:basedOn w:val="DefaultParagraphFont"/>
    <w:link w:val="BalloonText"/>
    <w:uiPriority w:val="99"/>
    <w:semiHidden/>
    <w:rsid w:val="00F301D5"/>
    <w:rPr>
      <w:rFonts w:ascii="Tahoma" w:eastAsia="Times New Roman" w:hAnsi="Tahoma" w:cs="Tahoma"/>
      <w:sz w:val="16"/>
      <w:szCs w:val="16"/>
    </w:rPr>
  </w:style>
  <w:style w:type="paragraph" w:styleId="BodyText2">
    <w:name w:val="Body Text 2"/>
    <w:basedOn w:val="Normal"/>
    <w:link w:val="BodyText2Char"/>
    <w:unhideWhenUsed/>
    <w:rsid w:val="00F301D5"/>
    <w:pPr>
      <w:spacing w:after="120" w:line="480" w:lineRule="auto"/>
    </w:pPr>
  </w:style>
  <w:style w:type="character" w:customStyle="1" w:styleId="BodyText2Char">
    <w:name w:val="Body Text 2 Char"/>
    <w:basedOn w:val="DefaultParagraphFont"/>
    <w:link w:val="BodyText2"/>
    <w:uiPriority w:val="99"/>
    <w:semiHidden/>
    <w:rsid w:val="00F301D5"/>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C5290A"/>
    <w:rPr>
      <w:rFonts w:asciiTheme="majorHAnsi" w:eastAsiaTheme="majorEastAsia" w:hAnsiTheme="majorHAnsi" w:cstheme="majorBidi"/>
      <w:i/>
      <w:iCs/>
      <w:color w:val="404040" w:themeColor="text1" w:themeTint="BF"/>
      <w:sz w:val="24"/>
      <w:szCs w:val="24"/>
    </w:rPr>
  </w:style>
  <w:style w:type="table" w:styleId="TableGrid">
    <w:name w:val="Table Grid"/>
    <w:basedOn w:val="TableNormal"/>
    <w:uiPriority w:val="59"/>
    <w:rsid w:val="00C529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C5290A"/>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unhideWhenUsed/>
    <w:rsid w:val="00AD034C"/>
    <w:pPr>
      <w:widowControl/>
      <w:autoSpaceDE/>
      <w:autoSpaceDN/>
      <w:adjustRightInd/>
      <w:spacing w:before="100" w:beforeAutospacing="1" w:after="100" w:afterAutospacing="1"/>
    </w:pPr>
  </w:style>
  <w:style w:type="table" w:customStyle="1" w:styleId="TableGrid1">
    <w:name w:val="Table Grid1"/>
    <w:basedOn w:val="TableNormal"/>
    <w:next w:val="TableGrid"/>
    <w:uiPriority w:val="59"/>
    <w:rsid w:val="00515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40A35"/>
    <w:rPr>
      <w:sz w:val="20"/>
      <w:szCs w:val="20"/>
    </w:rPr>
  </w:style>
  <w:style w:type="character" w:customStyle="1" w:styleId="FootnoteTextChar">
    <w:name w:val="Footnote Text Char"/>
    <w:basedOn w:val="DefaultParagraphFont"/>
    <w:link w:val="FootnoteText"/>
    <w:uiPriority w:val="99"/>
    <w:rsid w:val="00240A35"/>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40A35"/>
    <w:rPr>
      <w:color w:val="0000FF" w:themeColor="hyperlink"/>
      <w:u w:val="single"/>
    </w:rPr>
  </w:style>
  <w:style w:type="table" w:customStyle="1" w:styleId="TableGrid2">
    <w:name w:val="Table Grid2"/>
    <w:basedOn w:val="TableNormal"/>
    <w:next w:val="TableGrid"/>
    <w:uiPriority w:val="39"/>
    <w:rsid w:val="00240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240A35"/>
    <w:rPr>
      <w:vertAlign w:val="superscript"/>
    </w:rPr>
  </w:style>
  <w:style w:type="paragraph" w:styleId="NoSpacing">
    <w:name w:val="No Spacing"/>
    <w:uiPriority w:val="1"/>
    <w:qFormat/>
    <w:rsid w:val="00240A35"/>
    <w:pPr>
      <w:spacing w:after="0" w:line="240" w:lineRule="auto"/>
    </w:pPr>
  </w:style>
  <w:style w:type="character" w:customStyle="1" w:styleId="Heading5Char">
    <w:name w:val="Heading 5 Char"/>
    <w:basedOn w:val="DefaultParagraphFont"/>
    <w:link w:val="Heading5"/>
    <w:uiPriority w:val="9"/>
    <w:semiHidden/>
    <w:rsid w:val="00436B01"/>
    <w:rPr>
      <w:rFonts w:asciiTheme="majorHAnsi" w:eastAsiaTheme="majorEastAsia" w:hAnsiTheme="majorHAnsi" w:cstheme="majorBidi"/>
      <w:color w:val="365F91" w:themeColor="accent1" w:themeShade="BF"/>
      <w:sz w:val="24"/>
      <w:szCs w:val="24"/>
    </w:rPr>
  </w:style>
  <w:style w:type="paragraph" w:styleId="Header">
    <w:name w:val="header"/>
    <w:basedOn w:val="Normal"/>
    <w:link w:val="HeaderChar"/>
    <w:uiPriority w:val="99"/>
    <w:unhideWhenUsed/>
    <w:rsid w:val="007D12CA"/>
    <w:pPr>
      <w:tabs>
        <w:tab w:val="center" w:pos="4680"/>
        <w:tab w:val="right" w:pos="9360"/>
      </w:tabs>
    </w:pPr>
  </w:style>
  <w:style w:type="character" w:customStyle="1" w:styleId="HeaderChar">
    <w:name w:val="Header Char"/>
    <w:basedOn w:val="DefaultParagraphFont"/>
    <w:link w:val="Header"/>
    <w:uiPriority w:val="99"/>
    <w:rsid w:val="007D12CA"/>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B51EA"/>
    <w:rPr>
      <w:color w:val="800080" w:themeColor="followedHyperlink"/>
      <w:u w:val="single"/>
    </w:rPr>
  </w:style>
  <w:style w:type="character" w:customStyle="1" w:styleId="ui-provider">
    <w:name w:val="ui-provider"/>
    <w:basedOn w:val="DefaultParagraphFont"/>
    <w:rsid w:val="00FD75E4"/>
  </w:style>
  <w:style w:type="character" w:styleId="UnresolvedMention">
    <w:name w:val="Unresolved Mention"/>
    <w:basedOn w:val="DefaultParagraphFont"/>
    <w:uiPriority w:val="99"/>
    <w:semiHidden/>
    <w:unhideWhenUsed/>
    <w:rsid w:val="003F3110"/>
    <w:rPr>
      <w:color w:val="605E5C"/>
      <w:shd w:val="clear" w:color="auto" w:fill="E1DFDD"/>
    </w:rPr>
  </w:style>
  <w:style w:type="paragraph" w:styleId="Revision">
    <w:name w:val="Revision"/>
    <w:hidden/>
    <w:uiPriority w:val="99"/>
    <w:semiHidden/>
    <w:rsid w:val="00FC0713"/>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D31A4E"/>
    <w:pPr>
      <w:spacing w:after="120"/>
      <w:ind w:left="360"/>
    </w:pPr>
  </w:style>
  <w:style w:type="character" w:customStyle="1" w:styleId="BodyTextIndentChar">
    <w:name w:val="Body Text Indent Char"/>
    <w:basedOn w:val="DefaultParagraphFont"/>
    <w:link w:val="BodyTextIndent"/>
    <w:uiPriority w:val="99"/>
    <w:semiHidden/>
    <w:rsid w:val="00D31A4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wipo.int/budapest/en/guide/appendix_3/index.html"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5-11-19/pdf/2025-20244.pdf" TargetMode="External" /><Relationship Id="rId2" Type="http://schemas.openxmlformats.org/officeDocument/2006/relationships/hyperlink" Target="https://www.govinfo.gov/content/pkg/FR-2026-03-09/pdf/2026-04519.pdf" TargetMode="External" /><Relationship Id="rId3" Type="http://schemas.openxmlformats.org/officeDocument/2006/relationships/hyperlink" Target="https://www.govinfo.gov/content/pkg/FR-2013-03-29/pdf/2013-07341.pdf" TargetMode="External" /><Relationship Id="rId4" Type="http://schemas.openxmlformats.org/officeDocument/2006/relationships/hyperlink" Target="https://www.bls.gov/oes/2023/may/naics4_541700.htm" TargetMode="External" /><Relationship Id="rId5" Type="http://schemas.openxmlformats.org/officeDocument/2006/relationships/hyperlink" Target="https://www.atcc.org/services/depositing-with-atcc/patent-deposit" TargetMode="External" /><Relationship Id="rId6" Type="http://schemas.openxmlformats.org/officeDocument/2006/relationships/hyperlink" Target="https://www.fedex.com/en-us/service-guide/dangerous-goods/how-to-ship.html" TargetMode="External" /><Relationship Id="rId7" Type="http://schemas.openxmlformats.org/officeDocument/2006/relationships/hyperlink" Target="https://www.fedex.com/content/dam/fedex-com/hdn/FedEx-US-Pickup-Options-with-rates-2025.pdf" TargetMode="External" /><Relationship Id="rId8" Type="http://schemas.openxmlformats.org/officeDocument/2006/relationships/hyperlink" Target="https://www.opm.gov/policy-data-oversight/pay-leave/salaries-wages/salary-tables/pdf/2026/DCB_h.pdf" TargetMode="External" /><Relationship Id="rId9" Type="http://schemas.openxmlformats.org/officeDocument/2006/relationships/hyperlink" Target="https://www.uspto.gov/learning-and-resources/official-gazet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14" ma:contentTypeDescription="Create a new document." ma:contentTypeScope="" ma:versionID="56526bd60ded95e569f075cb35b5e358">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81239466dab746c81b656294f88d280b"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b61915e-72c2-4576-a693-607e66545238}" ma:internalName="TaxCatchAll" ma:showField="CatchAllData" ma:web="ebb8c3bc-3ea9-4050-8e17-eb45cd7e46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Notes xmlns="0f5e2127-2ba4-41f5-b528-d0f9d9208b73" xsi:nil="true"/>
    <TaxCatchAll xmlns="ebb8c3bc-3ea9-4050-8e17-eb45cd7e46fa" xsi:nil="true"/>
    <lcf76f155ced4ddcb4097134ff3c332f xmlns="0f5e2127-2ba4-41f5-b528-d0f9d9208b7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928F5-91D1-47CF-AC9C-FBB70E909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CF099F-32CA-4B01-80C9-1FE6B517BEA3}">
  <ds:schemaRefs>
    <ds:schemaRef ds:uri="http://schemas.microsoft.com/office/2006/metadata/properties"/>
    <ds:schemaRef ds:uri="0f5e2127-2ba4-41f5-b528-d0f9d9208b73"/>
    <ds:schemaRef ds:uri="ebb8c3bc-3ea9-4050-8e17-eb45cd7e46fa"/>
    <ds:schemaRef ds:uri="http://schemas.microsoft.com/office/infopath/2007/PartnerControls"/>
  </ds:schemaRefs>
</ds:datastoreItem>
</file>

<file path=customXml/itemProps3.xml><?xml version="1.0" encoding="utf-8"?>
<ds:datastoreItem xmlns:ds="http://schemas.openxmlformats.org/officeDocument/2006/customXml" ds:itemID="{70090465-E799-4DA5-867A-6A0D05373223}">
  <ds:schemaRefs>
    <ds:schemaRef ds:uri="http://schemas.microsoft.com/sharepoint/v3/contenttype/forms"/>
  </ds:schemaRefs>
</ds:datastoreItem>
</file>

<file path=customXml/itemProps4.xml><?xml version="1.0" encoding="utf-8"?>
<ds:datastoreItem xmlns:ds="http://schemas.openxmlformats.org/officeDocument/2006/customXml" ds:itemID="{16608130-51E3-4B24-8F18-BADE796A2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4920</Words>
  <Characters>28047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 (AMBIT)</dc:creator>
  <cp:lastModifiedBy>Gunther, Sarah</cp:lastModifiedBy>
  <cp:revision>3</cp:revision>
  <cp:lastPrinted>2016-10-26T18:15:00Z</cp:lastPrinted>
  <dcterms:created xsi:type="dcterms:W3CDTF">2026-03-09T13:19:00Z</dcterms:created>
  <dcterms:modified xsi:type="dcterms:W3CDTF">2026-03-09T13:21:00Z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0x010100B0FF176B9C2D0B489525CF344D663D72</vt:lpwstr>
  </property>
  <property fmtid="{D5CDD505-2E9C-101B-9397-08002B2CF9AE}" pid="3" name="MediaServiceImageTags">
    <vt:lpwstr/>
  </property>
</Properties>
</file>