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7C8A" w:rsidP="00357C8A" w14:paraId="0D068DE0" w14:textId="77777777">
      <w:pPr>
        <w:jc w:val="center"/>
        <w:rPr>
          <w:rFonts w:eastAsia="Calibri"/>
        </w:rPr>
      </w:pPr>
      <w:r w:rsidRPr="00357C8A">
        <w:rPr>
          <w:rFonts w:eastAsia="Calibri"/>
        </w:rPr>
        <w:t>United States Food and Drug Administration</w:t>
      </w:r>
    </w:p>
    <w:p w:rsidR="00357C8A" w:rsidP="00357C8A" w14:paraId="4F7D8079" w14:textId="77777777">
      <w:pPr>
        <w:jc w:val="center"/>
        <w:rPr>
          <w:rFonts w:eastAsia="Calibri"/>
        </w:rPr>
      </w:pPr>
    </w:p>
    <w:p w:rsidR="00357C8A" w:rsidP="00357C8A" w14:paraId="1CB68158" w14:textId="77777777">
      <w:pPr>
        <w:jc w:val="center"/>
        <w:rPr>
          <w:rFonts w:eastAsia="Calibri"/>
        </w:rPr>
      </w:pPr>
      <w:r w:rsidRPr="001F23A5">
        <w:rPr>
          <w:lang w:eastAsia="ar-SA"/>
        </w:rPr>
        <w:t xml:space="preserve">Adverse Events Associated </w:t>
      </w:r>
      <w:r w:rsidRPr="001F23A5">
        <w:rPr>
          <w:lang w:eastAsia="ar-SA"/>
        </w:rPr>
        <w:t>With</w:t>
      </w:r>
      <w:r w:rsidRPr="001F23A5">
        <w:rPr>
          <w:lang w:eastAsia="ar-SA"/>
        </w:rPr>
        <w:t xml:space="preserve"> New Animal Drugs</w:t>
      </w:r>
    </w:p>
    <w:p w:rsidR="00357C8A" w:rsidP="00357C8A" w14:paraId="208CC937" w14:textId="77777777">
      <w:pPr>
        <w:jc w:val="center"/>
        <w:rPr>
          <w:rFonts w:eastAsia="Calibri"/>
        </w:rPr>
      </w:pPr>
    </w:p>
    <w:p w:rsidR="00357C8A" w:rsidP="00357C8A" w14:paraId="540FF7F4" w14:textId="77777777">
      <w:pPr>
        <w:jc w:val="center"/>
        <w:rPr>
          <w:rFonts w:eastAsia="Calibri"/>
        </w:rPr>
      </w:pPr>
      <w:r w:rsidRPr="00357C8A">
        <w:rPr>
          <w:rFonts w:eastAsia="Calibri"/>
        </w:rPr>
        <w:t>OMB Control No. 0910-</w:t>
      </w:r>
      <w:r w:rsidR="00571A80">
        <w:rPr>
          <w:rFonts w:eastAsia="Calibri"/>
        </w:rPr>
        <w:t>0284</w:t>
      </w:r>
      <w:r w:rsidR="00727CDF">
        <w:rPr>
          <w:rFonts w:eastAsia="Calibri"/>
        </w:rPr>
        <w:t xml:space="preserve"> -- EXTENSION</w:t>
      </w:r>
    </w:p>
    <w:p w:rsidR="00357C8A" w:rsidP="00357C8A" w14:paraId="03A83598" w14:textId="77777777">
      <w:pPr>
        <w:jc w:val="center"/>
        <w:rPr>
          <w:rFonts w:eastAsia="Calibri"/>
        </w:rPr>
      </w:pPr>
    </w:p>
    <w:p w:rsidR="00357C8A" w:rsidP="00357C8A" w14:paraId="671CB58C" w14:textId="77777777">
      <w:pPr>
        <w:jc w:val="center"/>
        <w:rPr>
          <w:rFonts w:eastAsia="Calibri"/>
        </w:rPr>
      </w:pPr>
      <w:r w:rsidRPr="00357C8A">
        <w:rPr>
          <w:rFonts w:eastAsia="Calibri"/>
        </w:rPr>
        <w:t>SUPPORTING STATEMENT</w:t>
      </w:r>
    </w:p>
    <w:p w:rsidR="009B4DF2" w:rsidP="00357C8A" w14:paraId="536DB7F1" w14:textId="77777777">
      <w:pPr>
        <w:jc w:val="center"/>
        <w:rPr>
          <w:rFonts w:eastAsia="Calibri"/>
        </w:rPr>
      </w:pPr>
    </w:p>
    <w:p w:rsidR="009B4DF2" w:rsidP="009B4DF2" w14:paraId="33366A99" w14:textId="77777777">
      <w:r w:rsidRPr="009122AE">
        <w:rPr>
          <w:rFonts w:eastAsia="Calibri"/>
          <w:u w:val="single"/>
        </w:rPr>
        <w:t>Terms of Clearance</w:t>
      </w:r>
      <w:r>
        <w:rPr>
          <w:rFonts w:eastAsia="Calibri"/>
        </w:rPr>
        <w:t xml:space="preserve">: </w:t>
      </w:r>
      <w:r w:rsidR="00571A80">
        <w:rPr>
          <w:rFonts w:eastAsia="Calibri"/>
        </w:rPr>
        <w:t>None</w:t>
      </w:r>
    </w:p>
    <w:p w:rsidR="00C71649" w:rsidP="009B4DF2" w14:paraId="49A44573" w14:textId="77777777"/>
    <w:p w:rsidR="00357C8A" w:rsidP="000D79CC" w14:paraId="3E092CC3" w14:textId="77777777">
      <w:pPr>
        <w:rPr>
          <w:rFonts w:eastAsia="Calibri"/>
        </w:rPr>
      </w:pPr>
      <w:r w:rsidRPr="00357C8A">
        <w:rPr>
          <w:rFonts w:eastAsia="Calibri"/>
          <w:b/>
        </w:rPr>
        <w:t>Part A: Justification</w:t>
      </w:r>
      <w:r w:rsidRPr="00357C8A">
        <w:rPr>
          <w:rFonts w:eastAsia="Calibri"/>
        </w:rPr>
        <w:t>:</w:t>
      </w:r>
    </w:p>
    <w:p w:rsidR="000D79CC" w:rsidRPr="00357C8A" w:rsidP="000D79CC" w14:paraId="01070278" w14:textId="77777777">
      <w:pPr>
        <w:rPr>
          <w:rFonts w:eastAsia="Calibri"/>
        </w:rPr>
      </w:pPr>
    </w:p>
    <w:p w:rsidR="00357C8A" w:rsidRPr="00357C8A" w:rsidP="006705EA" w14:paraId="04F66FF8"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571A80" w:rsidP="00571A80" w14:paraId="7D321D50" w14:textId="77777777">
      <w:pPr>
        <w:rPr>
          <w:rFonts w:eastAsia="Calibri"/>
        </w:rPr>
      </w:pPr>
      <w:r w:rsidRPr="00571A80">
        <w:rPr>
          <w:rFonts w:eastAsia="Calibri"/>
        </w:rPr>
        <w:t xml:space="preserve">This information collection supports statutory and regulatory requirements governing reporting associated with certain animal drug products.  With regard to adverse events and product/manufacturing defects associated with approved new animal drugs, section 512(l) of the Federal Food, Drug, and Cosmetic Act (FD&amp;C Act) (21 U.S.C. 360b(l)) requires applicants with approved new animal drug applications (NADAs) and abbreviated new animal drug applications (ANADAs) to establish and maintain records and reports of data relating to experience with uses of such drug, or with respect to animal feeds bearing or containing such drug, to facilitate a determination under section 512(e) as to whether there may be grounds for suspending or withdrawing approval of the NADA or ANADA under section 512(e) or 512(m)(4).  Regulations in § 514.80 (21 CFR 514.80) require the electronic submission of postmarketing safety reports for approved new animal drugs but provide a procedure for requesting a temporary waiver from the requirement.  We, therefore, retain use of certain paper-based forms.  Section 514.80 requires applicants and nonapplicants to keep records of and report to us data, studies, and other information concerning experience with new animal drugs for each approved NADA and ANADA. </w:t>
      </w:r>
    </w:p>
    <w:p w:rsidR="00571A80" w:rsidRPr="00571A80" w:rsidP="00571A80" w14:paraId="069B6F73" w14:textId="77777777">
      <w:pPr>
        <w:rPr>
          <w:rFonts w:eastAsia="Calibri"/>
        </w:rPr>
      </w:pPr>
      <w:r w:rsidRPr="00571A80">
        <w:rPr>
          <w:rFonts w:eastAsia="Calibri"/>
        </w:rPr>
        <w:t xml:space="preserve"> </w:t>
      </w:r>
    </w:p>
    <w:p w:rsidR="00571A80" w:rsidP="00571A80" w14:paraId="140F39DD" w14:textId="77777777">
      <w:pPr>
        <w:rPr>
          <w:rFonts w:eastAsia="Calibri"/>
        </w:rPr>
      </w:pPr>
      <w:r w:rsidRPr="00571A80">
        <w:rPr>
          <w:rFonts w:eastAsia="Calibri"/>
        </w:rPr>
        <w:t xml:space="preserve">Following complaints from animal owners or veterinarians, or following their own detection of a problem, applicants or nonapplicants are required to submit adverse event reports and product/manufacturing defect reports under § 514.80(b)(1), (b)(2)(i) and (ii), (b)(3), and (b)(4)(iv)(A) and (C) on Form FDA 1932 (to include FDA 1932 and 1932a (e-form).  The information collection also includes Form FDA </w:t>
      </w:r>
      <w:r w:rsidRPr="00571A80">
        <w:rPr>
          <w:rFonts w:eastAsia="Calibri"/>
        </w:rPr>
        <w:t>2301;</w:t>
      </w:r>
      <w:r w:rsidRPr="00571A80">
        <w:rPr>
          <w:rFonts w:eastAsia="Calibri"/>
        </w:rPr>
        <w:t xml:space="preserve"> Transmittal of Periodic Reports and Promotional Material for New Animal Drugs.</w:t>
      </w:r>
    </w:p>
    <w:p w:rsidR="00571A80" w:rsidRPr="00571A80" w:rsidP="00571A80" w14:paraId="272B97C5" w14:textId="77777777">
      <w:pPr>
        <w:rPr>
          <w:rFonts w:eastAsia="Calibri"/>
        </w:rPr>
      </w:pPr>
    </w:p>
    <w:p w:rsidR="00423272" w:rsidP="00571A80" w14:paraId="4E6A3B27" w14:textId="77777777">
      <w:pPr>
        <w:rPr>
          <w:rFonts w:eastAsia="Calibri"/>
        </w:rPr>
      </w:pPr>
      <w:r w:rsidRPr="00571A80">
        <w:rPr>
          <w:rFonts w:eastAsia="Calibri"/>
        </w:rPr>
        <w:t>The information collection also includes submissions under § 514.80(d)(2), by an applicant or nonapplicant requesting, in writing, a temporary waiver of the electronic submission requirements.  The initial request may be by telephone or email to CVM’s Division of Pharmacovigilance and Surveillance, with prompt written follow-up submitted as a letter to the application(s).  FDA will grant waivers on a limited basis for good cause shown.  If FDA grants a waiver, the applicant or nonapplicant must comply with the conditions for reporting specified by FDA upon granting the waiver.</w:t>
      </w:r>
    </w:p>
    <w:p w:rsidR="00571A80" w:rsidP="00571A80" w14:paraId="5C6C3829" w14:textId="77777777">
      <w:pPr>
        <w:rPr>
          <w:rFonts w:eastAsia="Calibri"/>
        </w:rPr>
      </w:pPr>
    </w:p>
    <w:p w:rsidR="00357C8A" w:rsidP="0022425B" w14:paraId="3EB35370" w14:textId="77777777">
      <w:pPr>
        <w:spacing w:after="200"/>
        <w:rPr>
          <w:rFonts w:eastAsia="Calibri"/>
        </w:rPr>
      </w:pPr>
      <w:r w:rsidRPr="00571A80">
        <w:rPr>
          <w:rFonts w:eastAsia="Calibri"/>
        </w:rPr>
        <w:t>We therefore request OMB extension of OMB approval of the reporting requirements found in 21 CFR 514.80(b)(1), (b)(2)(i) and (ii), (b)(3), and (b)(4)(iv)(A) and (C) as discussed in this supporting statement.</w:t>
      </w:r>
    </w:p>
    <w:p w:rsidR="0030015C" w:rsidRPr="00357C8A" w:rsidP="0022425B" w14:paraId="0094C1AA" w14:textId="77777777">
      <w:pPr>
        <w:spacing w:after="200"/>
        <w:rPr>
          <w:rFonts w:eastAsia="Calibri"/>
          <w:color w:val="FF0000"/>
        </w:rPr>
      </w:pPr>
    </w:p>
    <w:p w:rsidR="00357C8A" w:rsidRPr="00357C8A" w:rsidP="006705EA" w14:paraId="65D63F4B"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357C8A" w:rsidRPr="00357C8A" w:rsidP="0022425B" w14:paraId="67470459" w14:textId="77777777">
      <w:pPr>
        <w:spacing w:after="200"/>
        <w:rPr>
          <w:rFonts w:eastAsia="Calibri"/>
          <w:color w:val="FF0000"/>
        </w:rPr>
      </w:pPr>
      <w:r>
        <w:rPr>
          <w:rFonts w:eastAsia="Calibri"/>
        </w:rPr>
        <w:t>The information collection allows FDA to implement specified public health protection provisions under the FD&amp;C Act regarding approved new animal drugs.  Respondents are those submitting adverse experience reports consistent with the applicable laws and regulations.</w:t>
      </w:r>
    </w:p>
    <w:p w:rsidR="00357C8A" w:rsidRPr="00357C8A" w:rsidP="006705EA" w14:paraId="2A7EC969"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357C8A" w:rsidP="0022425B" w14:paraId="5D019D61" w14:textId="77777777">
      <w:pPr>
        <w:spacing w:after="200"/>
        <w:rPr>
          <w:rFonts w:eastAsia="Calibri"/>
          <w:color w:val="FF0000"/>
        </w:rPr>
      </w:pPr>
      <w:r>
        <w:rPr>
          <w:rFonts w:eastAsia="Calibri"/>
        </w:rPr>
        <w:t>We estimate 95% of the respondents will use electronic means to fulfill the agency’s requirement or request.</w:t>
      </w:r>
    </w:p>
    <w:p w:rsidR="00357C8A" w:rsidRPr="00357C8A" w:rsidP="006705EA" w14:paraId="21FF8315"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571A80" w:rsidP="00571A80" w14:paraId="6254853C" w14:textId="77777777">
      <w:pPr>
        <w:spacing w:after="200"/>
        <w:rPr>
          <w:rFonts w:eastAsia="Calibri"/>
          <w:color w:val="FF0000"/>
        </w:rPr>
      </w:pPr>
      <w:r w:rsidRPr="009C24F5">
        <w:t>We are unaware of duplicative information.  Reporting and recordkeeping associated with the index of legally marketed unapproved new animal drugs for minor species (21 CFR part 516) is approved under OMB control number 0910-06</w:t>
      </w:r>
      <w:r>
        <w:t>05</w:t>
      </w:r>
      <w:r w:rsidRPr="009C24F5">
        <w:t>.</w:t>
      </w:r>
    </w:p>
    <w:p w:rsidR="00357C8A" w:rsidRPr="00357C8A" w:rsidP="006705EA" w14:paraId="5F882902"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059A263E" w14:textId="77777777">
      <w:pPr>
        <w:spacing w:after="200"/>
        <w:rPr>
          <w:rFonts w:eastAsia="Calibri"/>
        </w:rPr>
      </w:pPr>
      <w:r w:rsidRPr="00571A80">
        <w:rPr>
          <w:rFonts w:eastAsia="Calibri"/>
        </w:rPr>
        <w:t xml:space="preserve">Although new animal drug development is typically an activity completed by large drug firms, the information collection required under 21 CFR 510.301 and 21 CFR 514.80 applies to all respondents.  FDA aids small businesses in complying with </w:t>
      </w:r>
      <w:r w:rsidRPr="00571A80">
        <w:rPr>
          <w:rFonts w:eastAsia="Calibri"/>
        </w:rPr>
        <w:t>its</w:t>
      </w:r>
      <w:r w:rsidRPr="00571A80">
        <w:rPr>
          <w:rFonts w:eastAsia="Calibri"/>
        </w:rPr>
        <w:t xml:space="preserve"> requirements through Regional Small Business Representatives and scientific and administrative staffs within the agency.  Also, a Small Business Guide is available on our website at:  </w:t>
      </w:r>
      <w:hyperlink r:id="rId7" w:history="1">
        <w:r w:rsidRPr="001C2D13" w:rsidR="001C2D13">
          <w:rPr>
            <w:rStyle w:val="Hyperlink"/>
            <w:rFonts w:eastAsia="Calibri"/>
          </w:rPr>
          <w:t>https://www.fda.gov/industry/small-business-assistance</w:t>
        </w:r>
      </w:hyperlink>
      <w:r w:rsidRPr="00571A80">
        <w:rPr>
          <w:rFonts w:eastAsia="Calibri"/>
        </w:rPr>
        <w:t>.</w:t>
      </w:r>
    </w:p>
    <w:p w:rsidR="00357C8A" w:rsidRPr="00357C8A" w:rsidP="006705EA" w14:paraId="05B9DD50"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1C2D13" w:rsidRPr="001C2D13" w:rsidP="001C2D13" w14:paraId="466BEFCC" w14:textId="77777777">
      <w:pPr>
        <w:rPr>
          <w:rFonts w:eastAsia="Calibri"/>
        </w:rPr>
      </w:pPr>
      <w:r w:rsidRPr="001C2D13">
        <w:rPr>
          <w:rFonts w:eastAsia="Calibri"/>
        </w:rPr>
        <w:t>The information collection schedule is consistent with statutory and regulatory requirements and</w:t>
      </w:r>
    </w:p>
    <w:p w:rsidR="001C2D13" w:rsidRPr="001C2D13" w:rsidP="001C2D13" w14:paraId="35DB459E" w14:textId="77777777">
      <w:pPr>
        <w:rPr>
          <w:rFonts w:eastAsia="Calibri"/>
        </w:rPr>
      </w:pPr>
      <w:r w:rsidRPr="001C2D13">
        <w:rPr>
          <w:rFonts w:eastAsia="Calibri"/>
        </w:rPr>
        <w:t>requires reporting on only an occasional basis. Regulations at 21 CFR 510.301 and 21 CFR</w:t>
      </w:r>
    </w:p>
    <w:p w:rsidR="001C2D13" w:rsidRPr="001C2D13" w:rsidP="001C2D13" w14:paraId="380A9671" w14:textId="77777777">
      <w:pPr>
        <w:rPr>
          <w:rFonts w:eastAsia="Calibri"/>
        </w:rPr>
      </w:pPr>
      <w:r w:rsidRPr="001C2D13">
        <w:rPr>
          <w:rFonts w:eastAsia="Calibri"/>
        </w:rPr>
        <w:t>514.80 establish a reporting frequency underscoring the need to focus on potential problems</w:t>
      </w:r>
    </w:p>
    <w:p w:rsidR="001C2D13" w:rsidRPr="001C2D13" w:rsidP="001C2D13" w14:paraId="093A30F1" w14:textId="77777777">
      <w:pPr>
        <w:rPr>
          <w:rFonts w:eastAsia="Calibri"/>
        </w:rPr>
      </w:pPr>
      <w:r w:rsidRPr="001C2D13">
        <w:rPr>
          <w:rFonts w:eastAsia="Calibri"/>
        </w:rPr>
        <w:t>concerning the safety and effectiveness of new animal drugs. Less frequent collection hinders</w:t>
      </w:r>
    </w:p>
    <w:p w:rsidR="00357C8A" w:rsidP="001C2D13" w14:paraId="18743065" w14:textId="77777777">
      <w:pPr>
        <w:rPr>
          <w:rFonts w:eastAsia="Calibri"/>
        </w:rPr>
      </w:pPr>
      <w:r w:rsidRPr="001C2D13">
        <w:rPr>
          <w:rFonts w:eastAsia="Calibri"/>
        </w:rPr>
        <w:t>early detection of public health threats intended to be covered by the regulations.</w:t>
      </w:r>
    </w:p>
    <w:p w:rsidR="001C2D13" w:rsidRPr="00357C8A" w:rsidP="001C2D13" w14:paraId="3C7157ED" w14:textId="77777777">
      <w:pPr>
        <w:rPr>
          <w:rFonts w:eastAsia="Calibri"/>
          <w:color w:val="FF0000"/>
        </w:rPr>
      </w:pPr>
    </w:p>
    <w:p w:rsidR="00357C8A" w:rsidRPr="00357C8A" w:rsidP="006705EA" w14:paraId="6346F2A4"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P="0022425B" w14:paraId="33D76BB9" w14:textId="77777777">
      <w:pPr>
        <w:spacing w:after="200"/>
        <w:rPr>
          <w:rFonts w:eastAsia="Calibri"/>
        </w:rPr>
      </w:pPr>
      <w:r w:rsidRPr="001C2D13">
        <w:rPr>
          <w:rFonts w:eastAsia="Calibri"/>
        </w:rPr>
        <w:t>The reporting requirements under 21 CFR 510.301(a) and (b), 21 CFR 514.80(b)(1), (b)(2)(</w:t>
      </w:r>
      <w:r w:rsidRPr="001C2D13">
        <w:rPr>
          <w:rFonts w:eastAsia="Calibri"/>
        </w:rPr>
        <w:t>i)-(</w:t>
      </w:r>
      <w:r w:rsidRPr="001C2D13">
        <w:rPr>
          <w:rFonts w:eastAsia="Calibri"/>
        </w:rPr>
        <w:t>ii), (b)(3), and (e) are inconsistent with 5 CFR 1320.5.  This section requires justification for requesting respondents to report more often than quarterly.  Under 21 CFR 510.301(a) and (b), a licensed medicated feed manufacturer must submit certain information to us immediately and other information to us within 15 days.  Pursuant to 21 CFR 514.80(b)(1), the applicant is required to submit product and manufacturing defects that may result in serious adverse drug events within 3 working days of first becoming aware that a defect may exist.  Pursuant to 21 CFR 514.80(b)(2)(</w:t>
      </w:r>
      <w:r w:rsidRPr="001C2D13">
        <w:rPr>
          <w:rFonts w:eastAsia="Calibri"/>
        </w:rPr>
        <w:t>i)-(</w:t>
      </w:r>
      <w:r w:rsidRPr="001C2D13">
        <w:rPr>
          <w:rFonts w:eastAsia="Calibri"/>
        </w:rPr>
        <w:t xml:space="preserve">ii), the applicant is required to submit initial and follow-up reports within 15 working days.  Pursuant to 21 CFR 514.80(b)(3), the non-applicant required to report adverse drug experiences to the applicant within 3 working days of first receiving the information or if reported to FDA within 15 working days.  This shorter reporting time is necessary to inform FDA as soon as possible of serious problems associated with a regulated product so that appropriate action may be taken to offset threats to the public health. </w:t>
      </w:r>
    </w:p>
    <w:p w:rsidR="0030015C" w:rsidRPr="00357C8A" w:rsidP="0022425B" w14:paraId="6A4C727E" w14:textId="77777777">
      <w:pPr>
        <w:spacing w:after="200"/>
        <w:rPr>
          <w:rFonts w:eastAsia="Calibri"/>
        </w:rPr>
      </w:pPr>
    </w:p>
    <w:p w:rsidR="00357C8A" w:rsidRPr="00357C8A" w:rsidP="006705EA" w14:paraId="11D14742"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30015C" w:rsidP="00357C8A" w14:paraId="24A76FA4" w14:textId="77777777">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w:t>
      </w:r>
      <w:r w:rsidR="0030015C">
        <w:rPr>
          <w:rFonts w:eastAsia="Calibri"/>
        </w:rPr>
        <w:t xml:space="preserve"> February 20, 2026</w:t>
      </w:r>
      <w:r w:rsidR="009009E7">
        <w:rPr>
          <w:rFonts w:eastAsia="Calibri"/>
        </w:rPr>
        <w:t xml:space="preserve"> (</w:t>
      </w:r>
      <w:r w:rsidR="0030015C">
        <w:rPr>
          <w:rFonts w:eastAsia="Calibri"/>
        </w:rPr>
        <w:t>91</w:t>
      </w:r>
      <w:r w:rsidR="009009E7">
        <w:rPr>
          <w:rFonts w:eastAsia="Calibri"/>
        </w:rPr>
        <w:t xml:space="preserve"> FR</w:t>
      </w:r>
      <w:r w:rsidR="0030015C">
        <w:rPr>
          <w:rFonts w:eastAsia="Calibri"/>
        </w:rPr>
        <w:t xml:space="preserve"> 8245</w:t>
      </w:r>
      <w:r w:rsidR="009009E7">
        <w:rPr>
          <w:rFonts w:eastAsia="Calibri"/>
        </w:rPr>
        <w:t>)</w:t>
      </w:r>
      <w:r w:rsidR="0030015C">
        <w:rPr>
          <w:rFonts w:eastAsia="Calibri"/>
        </w:rPr>
        <w:t>.</w:t>
      </w:r>
      <w:r w:rsidR="002D57FA">
        <w:rPr>
          <w:rFonts w:eastAsia="Calibri"/>
        </w:rPr>
        <w:t xml:space="preserve">  No comments were received.</w:t>
      </w:r>
    </w:p>
    <w:p w:rsidR="00357C8A" w:rsidRPr="00357C8A" w:rsidP="006705EA" w14:paraId="4672B70D"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1C2D13" w:rsidP="00357C8A" w14:paraId="39E54AB6" w14:textId="77777777">
      <w:pPr>
        <w:spacing w:after="200"/>
        <w:rPr>
          <w:rFonts w:eastAsia="Calibri"/>
          <w:i/>
        </w:rPr>
      </w:pPr>
      <w:r w:rsidRPr="002074FE">
        <w:rPr>
          <w:rFonts w:eastAsia="Calibri"/>
        </w:rPr>
        <w:t>There are no incentives, payments or gifts associated with this information collection.</w:t>
      </w:r>
    </w:p>
    <w:p w:rsidR="00357C8A" w:rsidRPr="00357C8A" w:rsidP="006705EA" w14:paraId="2C6FEB8E"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593EE1" w:rsidRPr="00593EE1" w:rsidP="00593EE1" w14:paraId="5CAC6C58" w14:textId="77777777">
      <w:pPr>
        <w:rPr>
          <w:rFonts w:eastAsia="Calibri"/>
          <w:i/>
          <w:iCs/>
          <w:u w:val="single"/>
        </w:rPr>
      </w:pPr>
      <w:r w:rsidRPr="00593EE1">
        <w:rPr>
          <w:rFonts w:eastAsia="Calibri"/>
          <w:i/>
          <w:iCs/>
          <w:u w:val="single"/>
        </w:rPr>
        <w:t>The Privacy Act of 1974 (5 U.S.C. 552a)</w:t>
      </w:r>
    </w:p>
    <w:p w:rsidR="00593EE1" w:rsidRPr="00593EE1" w:rsidP="00593EE1" w14:paraId="5DC549ED" w14:textId="77777777">
      <w:pPr>
        <w:rPr>
          <w:rFonts w:eastAsia="Calibri"/>
          <w:i/>
          <w:iCs/>
        </w:rPr>
      </w:pPr>
    </w:p>
    <w:p w:rsidR="00593EE1" w:rsidRPr="00593EE1" w:rsidP="00593EE1" w14:paraId="74B200C1" w14:textId="77777777">
      <w:pPr>
        <w:rPr>
          <w:rFonts w:eastAsia="Calibri"/>
        </w:rPr>
      </w:pPr>
      <w:r w:rsidRPr="00593EE1">
        <w:rPr>
          <w:rFonts w:eastAsia="Calibri"/>
        </w:rPr>
        <w:t>In preparing this Supporting Statement, we consulted our Privacy Office to ensure appropriate identification and handling of information collected.</w:t>
      </w:r>
    </w:p>
    <w:p w:rsidR="00593EE1" w:rsidRPr="00593EE1" w:rsidP="00593EE1" w14:paraId="6BD3EF63" w14:textId="77777777">
      <w:pPr>
        <w:rPr>
          <w:rFonts w:eastAsia="Calibri"/>
          <w:i/>
          <w:iCs/>
        </w:rPr>
      </w:pPr>
    </w:p>
    <w:p w:rsidR="00593EE1" w:rsidRPr="00593EE1" w:rsidP="00593EE1" w14:paraId="3C938BCC" w14:textId="77777777">
      <w:pPr>
        <w:rPr>
          <w:rFonts w:eastAsia="Calibri"/>
        </w:rPr>
      </w:pPr>
      <w:r w:rsidRPr="00593EE1">
        <w:rPr>
          <w:rFonts w:eastAsia="Calibri"/>
        </w:rPr>
        <w:t xml:space="preserve">This ICR collects personally identifiable information (PII). PII is collected in the context of the subject individuals’ professional capacity and the FDA-related work they perform for their employer (e.g., point of contact at a regulated entity). The PII submitted via Form FDA 1932 (Veterinary Adverse Drug Reaction, Lack of Effectiveness, Product Defect Report), Form FDA 1932a (Veterinary Adverse Drug Reaction, Lack of Effectiveness, or Product Defect Report (for Voluntary Reporting)), and Form FDA 2301 (Transmittal of Periodic Reports and Promotional Material for New Animal Drugs) is point of contact name, work address, work telephone number, work fax number, and work email address. FDA determined that although PII is collected, the collection is not subject to the Privacy Act of </w:t>
      </w:r>
      <w:r w:rsidRPr="00593EE1">
        <w:rPr>
          <w:rFonts w:eastAsia="Calibri"/>
        </w:rPr>
        <w:t>1974</w:t>
      </w:r>
      <w:r w:rsidRPr="00593EE1">
        <w:rPr>
          <w:rFonts w:eastAsia="Calibri"/>
        </w:rPr>
        <w:t xml:space="preserve"> and the particular notice and other requirements of the Act do not apply. Specifically, FDA does not use name or any other personal identifier to retrieve records from the information collected. Through appropriate form and webpage design, FDA limited submission fields and minimized the PII collected to protect the privacy of the individuals.</w:t>
      </w:r>
    </w:p>
    <w:p w:rsidR="00593EE1" w:rsidRPr="00593EE1" w:rsidP="00593EE1" w14:paraId="0366DB11" w14:textId="77777777">
      <w:pPr>
        <w:rPr>
          <w:rFonts w:eastAsia="Calibri"/>
          <w:i/>
          <w:iCs/>
        </w:rPr>
      </w:pPr>
    </w:p>
    <w:p w:rsidR="00593EE1" w:rsidRPr="00593EE1" w:rsidP="00593EE1" w14:paraId="1BEED95E" w14:textId="77777777">
      <w:pPr>
        <w:rPr>
          <w:rFonts w:eastAsia="Calibri"/>
          <w:i/>
          <w:iCs/>
          <w:u w:val="single"/>
        </w:rPr>
      </w:pPr>
      <w:r w:rsidRPr="00593EE1">
        <w:rPr>
          <w:rFonts w:eastAsia="Calibri"/>
          <w:i/>
          <w:iCs/>
          <w:u w:val="single"/>
        </w:rPr>
        <w:t>The Freedom of Information Act (FOIA)</w:t>
      </w:r>
    </w:p>
    <w:p w:rsidR="00593EE1" w:rsidRPr="00593EE1" w:rsidP="00593EE1" w14:paraId="3515BBD9" w14:textId="77777777">
      <w:pPr>
        <w:rPr>
          <w:rFonts w:eastAsia="Calibri"/>
          <w:i/>
          <w:iCs/>
        </w:rPr>
      </w:pPr>
    </w:p>
    <w:p w:rsidR="00357C8A" w:rsidRPr="00593EE1" w:rsidP="00593EE1" w14:paraId="1DD43F5D" w14:textId="77777777">
      <w:pPr>
        <w:rPr>
          <w:rFonts w:eastAsia="Calibri"/>
          <w:color w:val="FF0000"/>
        </w:rPr>
      </w:pPr>
      <w:r w:rsidRPr="00593EE1">
        <w:rPr>
          <w:rFonts w:eastAsia="Calibri"/>
        </w:rPr>
        <w:t>Under the Freedom of Information Act (FOIA) (5 U.S.C. 552), the public has broad access to government documents. However, FOIA provides certain exemptions from mandatory public disclosure of government records (5 U.S.C. 552(b</w:t>
      </w:r>
      <w:r w:rsidRPr="00593EE1">
        <w:rPr>
          <w:rFonts w:eastAsia="Calibri"/>
        </w:rPr>
        <w:t>)(</w:t>
      </w:r>
      <w:r w:rsidRPr="00593EE1">
        <w:rPr>
          <w:rFonts w:eastAsia="Calibri"/>
        </w:rPr>
        <w:t>1-9)).  FDA will make the fullest possible disclosure of records to the public, consistent with the rights of individuals to privacy, the property rights of persons in trade and confidential commercial or financial information.</w:t>
      </w:r>
    </w:p>
    <w:p w:rsidR="001075D3" w:rsidRPr="001075D3" w:rsidP="001075D3" w14:paraId="728F89DB" w14:textId="77777777">
      <w:pPr>
        <w:ind w:left="720"/>
      </w:pPr>
    </w:p>
    <w:p w:rsidR="00357C8A" w:rsidRPr="00357C8A" w:rsidP="006705EA" w14:paraId="07A883CF"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P="00DD0E02" w14:paraId="66D54961" w14:textId="77777777">
      <w:pPr>
        <w:spacing w:after="200"/>
        <w:rPr>
          <w:rFonts w:eastAsia="Calibri"/>
          <w:iCs/>
        </w:rPr>
      </w:pPr>
      <w:r w:rsidRPr="001C2D13">
        <w:rPr>
          <w:rFonts w:eastAsia="Calibri"/>
          <w:iCs/>
        </w:rPr>
        <w:t>The collection of information does not involve sensitive questions.</w:t>
      </w:r>
    </w:p>
    <w:p w:rsidR="009D223A" w:rsidP="00DD0E02" w14:paraId="1F6CFC63" w14:textId="77777777">
      <w:pPr>
        <w:spacing w:after="200"/>
        <w:rPr>
          <w:rFonts w:eastAsia="Calibri"/>
          <w:iCs/>
        </w:rPr>
      </w:pPr>
    </w:p>
    <w:p w:rsidR="009D223A" w:rsidP="00DD0E02" w14:paraId="331B15E4" w14:textId="77777777">
      <w:pPr>
        <w:spacing w:after="200"/>
        <w:rPr>
          <w:rFonts w:eastAsia="Calibri"/>
          <w:iCs/>
        </w:rPr>
      </w:pPr>
    </w:p>
    <w:p w:rsidR="009D223A" w:rsidP="00DD0E02" w14:paraId="3123A0F3" w14:textId="77777777">
      <w:pPr>
        <w:spacing w:after="200"/>
        <w:rPr>
          <w:rFonts w:eastAsia="Calibri"/>
          <w:iCs/>
        </w:rPr>
      </w:pPr>
    </w:p>
    <w:p w:rsidR="009D223A" w:rsidP="00DD0E02" w14:paraId="3EE24AF1" w14:textId="77777777">
      <w:pPr>
        <w:spacing w:after="200"/>
        <w:rPr>
          <w:rFonts w:eastAsia="Calibri"/>
          <w:iCs/>
        </w:rPr>
      </w:pPr>
    </w:p>
    <w:p w:rsidR="009D223A" w:rsidRPr="001C2D13" w:rsidP="00DD0E02" w14:paraId="0A61D007" w14:textId="77777777">
      <w:pPr>
        <w:spacing w:after="200"/>
        <w:rPr>
          <w:rFonts w:eastAsia="Calibri"/>
          <w:iCs/>
        </w:rPr>
      </w:pPr>
    </w:p>
    <w:p w:rsidR="00357C8A" w:rsidRPr="00357C8A" w:rsidP="006705EA" w14:paraId="6576532A"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07615C0F" w14:textId="77777777">
      <w:pPr>
        <w:spacing w:after="200"/>
        <w:ind w:left="360"/>
        <w:rPr>
          <w:rFonts w:eastAsia="Calibri"/>
        </w:rPr>
      </w:pPr>
      <w:r w:rsidRPr="005C71CA">
        <w:rPr>
          <w:rFonts w:eastAsia="Calibri"/>
        </w:rPr>
        <w:t>12a.  Annualized Hour Burden Estimate</w:t>
      </w:r>
    </w:p>
    <w:p w:rsidR="001C2D13" w:rsidRPr="00E67B9E" w:rsidP="001C2D13" w14:paraId="3D157135" w14:textId="77777777">
      <w:pPr>
        <w:keepNext/>
        <w:contextualSpacing/>
        <w:jc w:val="center"/>
        <w:rPr>
          <w:sz w:val="20"/>
          <w:szCs w:val="20"/>
        </w:rPr>
      </w:pPr>
      <w:r w:rsidRPr="00E67B9E">
        <w:rPr>
          <w:sz w:val="20"/>
          <w:szCs w:val="20"/>
        </w:rPr>
        <w:t xml:space="preserve">Table </w:t>
      </w:r>
      <w:r w:rsidRPr="00E67B9E">
        <w:rPr>
          <w:sz w:val="20"/>
          <w:szCs w:val="20"/>
        </w:rPr>
        <w:t>1.--</w:t>
      </w:r>
      <w:r w:rsidRPr="00E67B9E">
        <w:rPr>
          <w:sz w:val="20"/>
          <w:szCs w:val="20"/>
        </w:rPr>
        <w:t>Estimated Annual Reporting Burden</w:t>
      </w:r>
      <w:r w:rsidRPr="00E67B9E">
        <w:rPr>
          <w:sz w:val="20"/>
          <w:szCs w:val="20"/>
          <w:vertAlign w:val="superscript"/>
        </w:rPr>
        <w:t>1</w:t>
      </w:r>
    </w:p>
    <w:tbl>
      <w:tblPr>
        <w:tblW w:w="5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9"/>
        <w:gridCol w:w="902"/>
        <w:gridCol w:w="1258"/>
        <w:gridCol w:w="1440"/>
        <w:gridCol w:w="1080"/>
        <w:gridCol w:w="1258"/>
        <w:gridCol w:w="1080"/>
      </w:tblGrid>
      <w:tr w14:paraId="033022F3" w14:textId="77777777" w:rsidTr="00E67B9E">
        <w:tblPrEx>
          <w:tblW w:w="5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trPr>
        <w:tc>
          <w:tcPr>
            <w:tcW w:w="1524" w:type="pct"/>
            <w:shd w:val="clear" w:color="auto" w:fill="auto"/>
          </w:tcPr>
          <w:p w:rsidR="001C2D13" w:rsidRPr="001C2D13" w:rsidP="00E90ECE" w14:paraId="7AA4DC36" w14:textId="77777777">
            <w:pPr>
              <w:jc w:val="center"/>
              <w:rPr>
                <w:sz w:val="20"/>
                <w:szCs w:val="20"/>
              </w:rPr>
            </w:pPr>
            <w:r w:rsidRPr="001C2D13">
              <w:rPr>
                <w:sz w:val="20"/>
                <w:szCs w:val="20"/>
              </w:rPr>
              <w:t xml:space="preserve">21 CFR Section </w:t>
            </w:r>
          </w:p>
        </w:tc>
        <w:tc>
          <w:tcPr>
            <w:tcW w:w="446" w:type="pct"/>
          </w:tcPr>
          <w:p w:rsidR="001C2D13" w:rsidRPr="001C2D13" w:rsidP="00E90ECE" w14:paraId="21A0FB48" w14:textId="77777777">
            <w:pPr>
              <w:jc w:val="center"/>
              <w:rPr>
                <w:sz w:val="20"/>
                <w:szCs w:val="20"/>
              </w:rPr>
            </w:pPr>
            <w:r w:rsidRPr="001C2D13">
              <w:rPr>
                <w:sz w:val="20"/>
                <w:szCs w:val="20"/>
              </w:rPr>
              <w:t>Form</w:t>
            </w:r>
            <w:r w:rsidRPr="001C2D13">
              <w:rPr>
                <w:sz w:val="20"/>
                <w:szCs w:val="20"/>
              </w:rPr>
              <w:t xml:space="preserve"> No.</w:t>
            </w:r>
          </w:p>
        </w:tc>
        <w:tc>
          <w:tcPr>
            <w:tcW w:w="623" w:type="pct"/>
            <w:shd w:val="clear" w:color="auto" w:fill="auto"/>
          </w:tcPr>
          <w:p w:rsidR="001C2D13" w:rsidRPr="001C2D13" w:rsidP="00E90ECE" w14:paraId="37D4AFC8" w14:textId="77777777">
            <w:pPr>
              <w:jc w:val="center"/>
              <w:rPr>
                <w:sz w:val="20"/>
                <w:szCs w:val="20"/>
              </w:rPr>
            </w:pPr>
            <w:r w:rsidRPr="001C2D13">
              <w:rPr>
                <w:sz w:val="20"/>
                <w:szCs w:val="20"/>
              </w:rPr>
              <w:t>No. of Respondents</w:t>
            </w:r>
          </w:p>
        </w:tc>
        <w:tc>
          <w:tcPr>
            <w:tcW w:w="713" w:type="pct"/>
            <w:shd w:val="clear" w:color="auto" w:fill="auto"/>
          </w:tcPr>
          <w:p w:rsidR="001C2D13" w:rsidRPr="001C2D13" w:rsidP="00E90ECE" w14:paraId="75684F17" w14:textId="77777777">
            <w:pPr>
              <w:jc w:val="center"/>
              <w:rPr>
                <w:sz w:val="20"/>
                <w:szCs w:val="20"/>
              </w:rPr>
            </w:pPr>
            <w:r w:rsidRPr="001C2D13">
              <w:rPr>
                <w:bCs/>
                <w:sz w:val="20"/>
                <w:szCs w:val="20"/>
              </w:rPr>
              <w:t>No. of Responses per Respondent</w:t>
            </w:r>
          </w:p>
        </w:tc>
        <w:tc>
          <w:tcPr>
            <w:tcW w:w="535" w:type="pct"/>
            <w:shd w:val="clear" w:color="auto" w:fill="auto"/>
          </w:tcPr>
          <w:p w:rsidR="001C2D13" w:rsidRPr="001C2D13" w:rsidP="00E90ECE" w14:paraId="3DAF117A" w14:textId="77777777">
            <w:pPr>
              <w:jc w:val="center"/>
              <w:rPr>
                <w:sz w:val="20"/>
                <w:szCs w:val="20"/>
              </w:rPr>
            </w:pPr>
            <w:r w:rsidRPr="001C2D13">
              <w:rPr>
                <w:sz w:val="20"/>
                <w:szCs w:val="20"/>
              </w:rPr>
              <w:t>Total Annual Responses</w:t>
            </w:r>
          </w:p>
        </w:tc>
        <w:tc>
          <w:tcPr>
            <w:tcW w:w="623" w:type="pct"/>
            <w:shd w:val="clear" w:color="auto" w:fill="auto"/>
          </w:tcPr>
          <w:p w:rsidR="001C2D13" w:rsidRPr="001C2D13" w:rsidP="00E90ECE" w14:paraId="003E535C" w14:textId="77777777">
            <w:pPr>
              <w:jc w:val="center"/>
              <w:rPr>
                <w:sz w:val="20"/>
                <w:szCs w:val="20"/>
              </w:rPr>
            </w:pPr>
            <w:r w:rsidRPr="001C2D13">
              <w:rPr>
                <w:bCs/>
                <w:sz w:val="20"/>
                <w:szCs w:val="20"/>
              </w:rPr>
              <w:t>Average Burden per Response</w:t>
            </w:r>
          </w:p>
        </w:tc>
        <w:tc>
          <w:tcPr>
            <w:tcW w:w="535" w:type="pct"/>
            <w:shd w:val="clear" w:color="auto" w:fill="auto"/>
          </w:tcPr>
          <w:p w:rsidR="001C2D13" w:rsidRPr="001C2D13" w:rsidP="00E90ECE" w14:paraId="7210A252" w14:textId="77777777">
            <w:pPr>
              <w:jc w:val="center"/>
              <w:rPr>
                <w:sz w:val="20"/>
                <w:szCs w:val="20"/>
              </w:rPr>
            </w:pPr>
            <w:r w:rsidRPr="001C2D13">
              <w:rPr>
                <w:sz w:val="20"/>
                <w:szCs w:val="20"/>
              </w:rPr>
              <w:t>Total Hours</w:t>
            </w:r>
          </w:p>
        </w:tc>
      </w:tr>
      <w:tr w14:paraId="6C4F4E72" w14:textId="77777777" w:rsidTr="00E67B9E">
        <w:tblPrEx>
          <w:tblW w:w="5194" w:type="pct"/>
          <w:tblLayout w:type="fixed"/>
          <w:tblLook w:val="01E0"/>
        </w:tblPrEx>
        <w:trPr>
          <w:cantSplit/>
          <w:trHeight w:val="20"/>
        </w:trPr>
        <w:tc>
          <w:tcPr>
            <w:tcW w:w="1524" w:type="pct"/>
            <w:shd w:val="clear" w:color="auto" w:fill="auto"/>
          </w:tcPr>
          <w:p w:rsidR="001C2D13" w:rsidRPr="001C2D13" w:rsidP="00E90ECE" w14:paraId="68B96937" w14:textId="77777777">
            <w:pPr>
              <w:rPr>
                <w:sz w:val="20"/>
                <w:szCs w:val="20"/>
              </w:rPr>
            </w:pPr>
            <w:r w:rsidRPr="001C2D13">
              <w:rPr>
                <w:sz w:val="20"/>
                <w:szCs w:val="20"/>
              </w:rPr>
              <w:t>Medicated feed reports, 510.301(a) and (b)</w:t>
            </w:r>
          </w:p>
        </w:tc>
        <w:tc>
          <w:tcPr>
            <w:tcW w:w="446" w:type="pct"/>
            <w:vAlign w:val="center"/>
          </w:tcPr>
          <w:p w:rsidR="001C2D13" w:rsidRPr="001C2D13" w:rsidP="00E90ECE" w14:paraId="2C0651E1" w14:textId="77777777">
            <w:pPr>
              <w:jc w:val="right"/>
              <w:rPr>
                <w:sz w:val="20"/>
                <w:szCs w:val="20"/>
              </w:rPr>
            </w:pPr>
            <w:r w:rsidRPr="001C2D13">
              <w:rPr>
                <w:sz w:val="20"/>
                <w:szCs w:val="20"/>
              </w:rPr>
              <w:t>N/A</w:t>
            </w:r>
          </w:p>
        </w:tc>
        <w:tc>
          <w:tcPr>
            <w:tcW w:w="623" w:type="pct"/>
            <w:shd w:val="clear" w:color="auto" w:fill="auto"/>
            <w:vAlign w:val="center"/>
          </w:tcPr>
          <w:p w:rsidR="001C2D13" w:rsidRPr="001C2D13" w:rsidP="00E90ECE" w14:paraId="097FE8A1" w14:textId="77777777">
            <w:pPr>
              <w:jc w:val="right"/>
              <w:rPr>
                <w:sz w:val="20"/>
                <w:szCs w:val="20"/>
              </w:rPr>
            </w:pPr>
            <w:r w:rsidRPr="001C2D13">
              <w:rPr>
                <w:sz w:val="20"/>
                <w:szCs w:val="20"/>
              </w:rPr>
              <w:t>7</w:t>
            </w:r>
          </w:p>
        </w:tc>
        <w:tc>
          <w:tcPr>
            <w:tcW w:w="713" w:type="pct"/>
            <w:shd w:val="clear" w:color="auto" w:fill="auto"/>
            <w:vAlign w:val="center"/>
          </w:tcPr>
          <w:p w:rsidR="001C2D13" w:rsidRPr="001C2D13" w:rsidP="00E90ECE" w14:paraId="0B0C0B55" w14:textId="77777777">
            <w:pPr>
              <w:jc w:val="right"/>
              <w:rPr>
                <w:sz w:val="20"/>
                <w:szCs w:val="20"/>
              </w:rPr>
            </w:pPr>
            <w:r w:rsidRPr="001C2D13">
              <w:rPr>
                <w:sz w:val="20"/>
                <w:szCs w:val="20"/>
              </w:rPr>
              <w:t>1</w:t>
            </w:r>
          </w:p>
        </w:tc>
        <w:tc>
          <w:tcPr>
            <w:tcW w:w="535" w:type="pct"/>
            <w:shd w:val="clear" w:color="auto" w:fill="auto"/>
            <w:vAlign w:val="center"/>
          </w:tcPr>
          <w:p w:rsidR="001C2D13" w:rsidRPr="001C2D13" w:rsidP="00E90ECE" w14:paraId="681B811C" w14:textId="77777777">
            <w:pPr>
              <w:jc w:val="right"/>
              <w:rPr>
                <w:sz w:val="20"/>
                <w:szCs w:val="20"/>
              </w:rPr>
            </w:pPr>
            <w:r w:rsidRPr="001C2D13">
              <w:rPr>
                <w:sz w:val="20"/>
                <w:szCs w:val="20"/>
              </w:rPr>
              <w:t>7</w:t>
            </w:r>
          </w:p>
        </w:tc>
        <w:tc>
          <w:tcPr>
            <w:tcW w:w="623" w:type="pct"/>
            <w:shd w:val="clear" w:color="auto" w:fill="auto"/>
            <w:vAlign w:val="center"/>
          </w:tcPr>
          <w:p w:rsidR="001C2D13" w:rsidRPr="001C2D13" w:rsidP="00E90ECE" w14:paraId="02350916" w14:textId="77777777">
            <w:pPr>
              <w:jc w:val="right"/>
              <w:rPr>
                <w:sz w:val="20"/>
                <w:szCs w:val="20"/>
              </w:rPr>
            </w:pPr>
            <w:r w:rsidRPr="001C2D13">
              <w:rPr>
                <w:sz w:val="20"/>
                <w:szCs w:val="20"/>
              </w:rPr>
              <w:t xml:space="preserve">.5 </w:t>
            </w:r>
          </w:p>
          <w:p w:rsidR="001C2D13" w:rsidRPr="001C2D13" w:rsidP="00E90ECE" w14:paraId="47AA3269" w14:textId="77777777">
            <w:pPr>
              <w:jc w:val="right"/>
              <w:rPr>
                <w:sz w:val="20"/>
                <w:szCs w:val="20"/>
              </w:rPr>
            </w:pPr>
            <w:r w:rsidRPr="001C2D13">
              <w:rPr>
                <w:sz w:val="20"/>
                <w:szCs w:val="20"/>
              </w:rPr>
              <w:t>(30 minutes)</w:t>
            </w:r>
          </w:p>
        </w:tc>
        <w:tc>
          <w:tcPr>
            <w:tcW w:w="535" w:type="pct"/>
            <w:shd w:val="clear" w:color="auto" w:fill="auto"/>
            <w:vAlign w:val="center"/>
          </w:tcPr>
          <w:p w:rsidR="001C2D13" w:rsidRPr="001C2D13" w:rsidP="00E90ECE" w14:paraId="675CC06F" w14:textId="77777777">
            <w:pPr>
              <w:jc w:val="right"/>
              <w:rPr>
                <w:sz w:val="20"/>
                <w:szCs w:val="20"/>
              </w:rPr>
            </w:pPr>
            <w:r w:rsidRPr="001C2D13">
              <w:rPr>
                <w:sz w:val="20"/>
                <w:szCs w:val="20"/>
              </w:rPr>
              <w:t>3.5</w:t>
            </w:r>
          </w:p>
        </w:tc>
      </w:tr>
      <w:tr w14:paraId="15F191D2" w14:textId="77777777" w:rsidTr="00E67B9E">
        <w:tblPrEx>
          <w:tblW w:w="5194" w:type="pct"/>
          <w:tblLayout w:type="fixed"/>
          <w:tblLook w:val="01E0"/>
        </w:tblPrEx>
        <w:trPr>
          <w:cantSplit/>
          <w:trHeight w:val="20"/>
        </w:trPr>
        <w:tc>
          <w:tcPr>
            <w:tcW w:w="1524" w:type="pct"/>
            <w:shd w:val="clear" w:color="auto" w:fill="auto"/>
          </w:tcPr>
          <w:p w:rsidR="001C2D13" w:rsidRPr="001C2D13" w:rsidP="00E90ECE" w14:paraId="39814960" w14:textId="77777777">
            <w:pPr>
              <w:rPr>
                <w:sz w:val="20"/>
                <w:szCs w:val="20"/>
              </w:rPr>
            </w:pPr>
            <w:r w:rsidRPr="001C2D13">
              <w:rPr>
                <w:sz w:val="20"/>
                <w:szCs w:val="20"/>
              </w:rPr>
              <w:t>Submission of postmarketing safety reports under § 514.80(b)(1), (2)(i) and (ii), (3</w:t>
            </w:r>
            <w:r w:rsidRPr="001C2D13">
              <w:rPr>
                <w:sz w:val="20"/>
                <w:szCs w:val="20"/>
              </w:rPr>
              <w:t>) ,</w:t>
            </w:r>
            <w:r w:rsidRPr="001C2D13">
              <w:rPr>
                <w:sz w:val="20"/>
                <w:szCs w:val="20"/>
              </w:rPr>
              <w:t xml:space="preserve"> and (4)(iv)(A) and (C)</w:t>
            </w:r>
          </w:p>
        </w:tc>
        <w:tc>
          <w:tcPr>
            <w:tcW w:w="446" w:type="pct"/>
            <w:vAlign w:val="center"/>
          </w:tcPr>
          <w:p w:rsidR="001C2D13" w:rsidRPr="001C2D13" w:rsidP="00E90ECE" w14:paraId="2FE8B953" w14:textId="77777777">
            <w:pPr>
              <w:jc w:val="right"/>
              <w:rPr>
                <w:sz w:val="20"/>
                <w:szCs w:val="20"/>
              </w:rPr>
            </w:pPr>
            <w:r w:rsidRPr="001C2D13">
              <w:rPr>
                <w:sz w:val="20"/>
                <w:szCs w:val="20"/>
              </w:rPr>
              <w:t>1932</w:t>
            </w:r>
          </w:p>
        </w:tc>
        <w:tc>
          <w:tcPr>
            <w:tcW w:w="623" w:type="pct"/>
            <w:shd w:val="clear" w:color="auto" w:fill="auto"/>
            <w:vAlign w:val="center"/>
          </w:tcPr>
          <w:p w:rsidR="001C2D13" w:rsidRPr="001C2D13" w:rsidP="00E90ECE" w14:paraId="0E1A69A4" w14:textId="77777777">
            <w:pPr>
              <w:jc w:val="right"/>
              <w:rPr>
                <w:sz w:val="20"/>
                <w:szCs w:val="20"/>
              </w:rPr>
            </w:pPr>
            <w:r w:rsidRPr="001C2D13">
              <w:rPr>
                <w:sz w:val="20"/>
                <w:szCs w:val="20"/>
              </w:rPr>
              <w:t>85</w:t>
            </w:r>
          </w:p>
        </w:tc>
        <w:tc>
          <w:tcPr>
            <w:tcW w:w="713" w:type="pct"/>
            <w:shd w:val="clear" w:color="auto" w:fill="auto"/>
            <w:vAlign w:val="center"/>
          </w:tcPr>
          <w:p w:rsidR="001C2D13" w:rsidRPr="001C2D13" w:rsidP="00E90ECE" w14:paraId="26536CCE" w14:textId="77777777">
            <w:pPr>
              <w:jc w:val="right"/>
              <w:rPr>
                <w:sz w:val="20"/>
                <w:szCs w:val="20"/>
              </w:rPr>
            </w:pPr>
            <w:r w:rsidRPr="001C2D13">
              <w:rPr>
                <w:sz w:val="20"/>
                <w:szCs w:val="20"/>
              </w:rPr>
              <w:t>1262.94</w:t>
            </w:r>
          </w:p>
        </w:tc>
        <w:tc>
          <w:tcPr>
            <w:tcW w:w="535" w:type="pct"/>
            <w:shd w:val="clear" w:color="auto" w:fill="auto"/>
            <w:vAlign w:val="center"/>
          </w:tcPr>
          <w:p w:rsidR="001C2D13" w:rsidRPr="001C2D13" w:rsidP="00E90ECE" w14:paraId="6981E576" w14:textId="77777777">
            <w:pPr>
              <w:jc w:val="right"/>
              <w:rPr>
                <w:sz w:val="20"/>
                <w:szCs w:val="20"/>
              </w:rPr>
            </w:pPr>
            <w:r w:rsidRPr="001C2D13">
              <w:rPr>
                <w:sz w:val="20"/>
                <w:szCs w:val="20"/>
              </w:rPr>
              <w:t>107,350</w:t>
            </w:r>
          </w:p>
        </w:tc>
        <w:tc>
          <w:tcPr>
            <w:tcW w:w="623" w:type="pct"/>
            <w:shd w:val="clear" w:color="auto" w:fill="auto"/>
            <w:vAlign w:val="center"/>
          </w:tcPr>
          <w:p w:rsidR="001C2D13" w:rsidRPr="001C2D13" w:rsidP="00E90ECE" w14:paraId="374CDCC6" w14:textId="77777777">
            <w:pPr>
              <w:jc w:val="right"/>
              <w:rPr>
                <w:sz w:val="20"/>
                <w:szCs w:val="20"/>
              </w:rPr>
            </w:pPr>
            <w:r w:rsidRPr="001C2D13">
              <w:rPr>
                <w:sz w:val="20"/>
                <w:szCs w:val="20"/>
              </w:rPr>
              <w:t>1</w:t>
            </w:r>
          </w:p>
        </w:tc>
        <w:tc>
          <w:tcPr>
            <w:tcW w:w="535" w:type="pct"/>
            <w:shd w:val="clear" w:color="auto" w:fill="auto"/>
            <w:vAlign w:val="center"/>
          </w:tcPr>
          <w:p w:rsidR="001C2D13" w:rsidRPr="001C2D13" w:rsidP="00E90ECE" w14:paraId="1ABE69E7" w14:textId="77777777">
            <w:pPr>
              <w:jc w:val="right"/>
              <w:rPr>
                <w:sz w:val="20"/>
                <w:szCs w:val="20"/>
              </w:rPr>
            </w:pPr>
            <w:r w:rsidRPr="001C2D13">
              <w:rPr>
                <w:sz w:val="20"/>
                <w:szCs w:val="20"/>
              </w:rPr>
              <w:t>107,350</w:t>
            </w:r>
          </w:p>
        </w:tc>
      </w:tr>
      <w:tr w14:paraId="7EB7DF55" w14:textId="77777777" w:rsidTr="00E67B9E">
        <w:tblPrEx>
          <w:tblW w:w="5194" w:type="pct"/>
          <w:tblLayout w:type="fixed"/>
          <w:tblLook w:val="01E0"/>
        </w:tblPrEx>
        <w:trPr>
          <w:cantSplit/>
          <w:trHeight w:val="20"/>
        </w:trPr>
        <w:tc>
          <w:tcPr>
            <w:tcW w:w="1524" w:type="pct"/>
            <w:shd w:val="clear" w:color="auto" w:fill="auto"/>
          </w:tcPr>
          <w:p w:rsidR="001C2D13" w:rsidRPr="001C2D13" w:rsidP="00E90ECE" w14:paraId="6F73E307" w14:textId="77777777">
            <w:pPr>
              <w:rPr>
                <w:sz w:val="20"/>
                <w:szCs w:val="20"/>
              </w:rPr>
            </w:pPr>
            <w:r w:rsidRPr="001C2D13">
              <w:rPr>
                <w:sz w:val="20"/>
                <w:szCs w:val="20"/>
              </w:rPr>
              <w:t>Voluntary reporting FDA Form 1932a for the public</w:t>
            </w:r>
          </w:p>
        </w:tc>
        <w:tc>
          <w:tcPr>
            <w:tcW w:w="446" w:type="pct"/>
            <w:vAlign w:val="center"/>
          </w:tcPr>
          <w:p w:rsidR="001C2D13" w:rsidRPr="001C2D13" w:rsidP="00E90ECE" w14:paraId="4BD97728" w14:textId="77777777">
            <w:pPr>
              <w:jc w:val="right"/>
              <w:rPr>
                <w:sz w:val="20"/>
                <w:szCs w:val="20"/>
              </w:rPr>
            </w:pPr>
            <w:r w:rsidRPr="001C2D13">
              <w:rPr>
                <w:sz w:val="20"/>
                <w:szCs w:val="20"/>
              </w:rPr>
              <w:t>1932a</w:t>
            </w:r>
          </w:p>
        </w:tc>
        <w:tc>
          <w:tcPr>
            <w:tcW w:w="623" w:type="pct"/>
            <w:shd w:val="clear" w:color="auto" w:fill="auto"/>
            <w:vAlign w:val="center"/>
          </w:tcPr>
          <w:p w:rsidR="001C2D13" w:rsidRPr="001C2D13" w:rsidP="00E90ECE" w14:paraId="70BD1DDC" w14:textId="77777777">
            <w:pPr>
              <w:jc w:val="right"/>
              <w:rPr>
                <w:sz w:val="20"/>
                <w:szCs w:val="20"/>
              </w:rPr>
            </w:pPr>
            <w:r w:rsidRPr="001C2D13">
              <w:rPr>
                <w:sz w:val="20"/>
                <w:szCs w:val="20"/>
              </w:rPr>
              <w:t>217</w:t>
            </w:r>
          </w:p>
        </w:tc>
        <w:tc>
          <w:tcPr>
            <w:tcW w:w="713" w:type="pct"/>
            <w:shd w:val="clear" w:color="auto" w:fill="auto"/>
            <w:vAlign w:val="center"/>
          </w:tcPr>
          <w:p w:rsidR="001C2D13" w:rsidRPr="001C2D13" w:rsidP="00E90ECE" w14:paraId="222F6315" w14:textId="77777777">
            <w:pPr>
              <w:jc w:val="right"/>
              <w:rPr>
                <w:sz w:val="20"/>
                <w:szCs w:val="20"/>
              </w:rPr>
            </w:pPr>
            <w:r w:rsidRPr="001C2D13">
              <w:rPr>
                <w:sz w:val="20"/>
                <w:szCs w:val="20"/>
              </w:rPr>
              <w:t>1</w:t>
            </w:r>
          </w:p>
        </w:tc>
        <w:tc>
          <w:tcPr>
            <w:tcW w:w="535" w:type="pct"/>
            <w:shd w:val="clear" w:color="auto" w:fill="auto"/>
            <w:vAlign w:val="center"/>
          </w:tcPr>
          <w:p w:rsidR="001C2D13" w:rsidRPr="001C2D13" w:rsidP="00E90ECE" w14:paraId="0EF8CE4F" w14:textId="77777777">
            <w:pPr>
              <w:jc w:val="right"/>
              <w:rPr>
                <w:sz w:val="20"/>
                <w:szCs w:val="20"/>
              </w:rPr>
            </w:pPr>
            <w:r w:rsidRPr="001C2D13">
              <w:rPr>
                <w:sz w:val="20"/>
                <w:szCs w:val="20"/>
              </w:rPr>
              <w:t>217</w:t>
            </w:r>
          </w:p>
        </w:tc>
        <w:tc>
          <w:tcPr>
            <w:tcW w:w="623" w:type="pct"/>
            <w:shd w:val="clear" w:color="auto" w:fill="auto"/>
            <w:vAlign w:val="center"/>
          </w:tcPr>
          <w:p w:rsidR="001C2D13" w:rsidRPr="001C2D13" w:rsidP="00E90ECE" w14:paraId="7A0F7095" w14:textId="77777777">
            <w:pPr>
              <w:jc w:val="right"/>
              <w:rPr>
                <w:sz w:val="20"/>
                <w:szCs w:val="20"/>
              </w:rPr>
            </w:pPr>
            <w:r w:rsidRPr="001C2D13">
              <w:rPr>
                <w:sz w:val="20"/>
                <w:szCs w:val="20"/>
              </w:rPr>
              <w:t>1</w:t>
            </w:r>
          </w:p>
        </w:tc>
        <w:tc>
          <w:tcPr>
            <w:tcW w:w="535" w:type="pct"/>
            <w:shd w:val="clear" w:color="auto" w:fill="auto"/>
            <w:vAlign w:val="center"/>
          </w:tcPr>
          <w:p w:rsidR="001C2D13" w:rsidRPr="001C2D13" w:rsidP="00E90ECE" w14:paraId="3D5EF3B3" w14:textId="77777777">
            <w:pPr>
              <w:jc w:val="right"/>
              <w:rPr>
                <w:sz w:val="20"/>
                <w:szCs w:val="20"/>
              </w:rPr>
            </w:pPr>
            <w:r w:rsidRPr="001C2D13">
              <w:rPr>
                <w:sz w:val="20"/>
                <w:szCs w:val="20"/>
              </w:rPr>
              <w:t>217</w:t>
            </w:r>
          </w:p>
        </w:tc>
      </w:tr>
      <w:tr w14:paraId="34A4C158" w14:textId="77777777" w:rsidTr="00E67B9E">
        <w:tblPrEx>
          <w:tblW w:w="5194" w:type="pct"/>
          <w:tblLayout w:type="fixed"/>
          <w:tblLook w:val="01E0"/>
        </w:tblPrEx>
        <w:trPr>
          <w:cantSplit/>
          <w:trHeight w:val="20"/>
        </w:trPr>
        <w:tc>
          <w:tcPr>
            <w:tcW w:w="1524" w:type="pct"/>
            <w:shd w:val="clear" w:color="auto" w:fill="auto"/>
          </w:tcPr>
          <w:p w:rsidR="001C2D13" w:rsidRPr="001C2D13" w:rsidP="00E90ECE" w14:paraId="6EFFC0C1" w14:textId="77777777">
            <w:pPr>
              <w:rPr>
                <w:sz w:val="20"/>
                <w:szCs w:val="20"/>
              </w:rPr>
            </w:pPr>
            <w:r w:rsidRPr="001C2D13">
              <w:rPr>
                <w:sz w:val="20"/>
                <w:szCs w:val="20"/>
              </w:rPr>
              <w:t>514.80(b)(4) Periodic Drug Experience Reports</w:t>
            </w:r>
          </w:p>
        </w:tc>
        <w:tc>
          <w:tcPr>
            <w:tcW w:w="446" w:type="pct"/>
            <w:vAlign w:val="center"/>
          </w:tcPr>
          <w:p w:rsidR="001C2D13" w:rsidRPr="001C2D13" w:rsidP="00E90ECE" w14:paraId="64929623" w14:textId="77777777">
            <w:pPr>
              <w:jc w:val="right"/>
              <w:rPr>
                <w:sz w:val="20"/>
                <w:szCs w:val="20"/>
              </w:rPr>
            </w:pPr>
            <w:r w:rsidRPr="001C2D13">
              <w:rPr>
                <w:sz w:val="20"/>
                <w:szCs w:val="20"/>
              </w:rPr>
              <w:t>2301</w:t>
            </w:r>
          </w:p>
        </w:tc>
        <w:tc>
          <w:tcPr>
            <w:tcW w:w="623" w:type="pct"/>
            <w:shd w:val="clear" w:color="auto" w:fill="auto"/>
            <w:vAlign w:val="center"/>
          </w:tcPr>
          <w:p w:rsidR="001C2D13" w:rsidRPr="001C2D13" w:rsidP="00E90ECE" w14:paraId="66969773" w14:textId="77777777">
            <w:pPr>
              <w:jc w:val="right"/>
              <w:rPr>
                <w:sz w:val="20"/>
                <w:szCs w:val="20"/>
              </w:rPr>
            </w:pPr>
            <w:r w:rsidRPr="001C2D13">
              <w:rPr>
                <w:sz w:val="20"/>
                <w:szCs w:val="20"/>
              </w:rPr>
              <w:t>66</w:t>
            </w:r>
          </w:p>
        </w:tc>
        <w:tc>
          <w:tcPr>
            <w:tcW w:w="713" w:type="pct"/>
            <w:shd w:val="clear" w:color="auto" w:fill="auto"/>
            <w:vAlign w:val="center"/>
          </w:tcPr>
          <w:p w:rsidR="001C2D13" w:rsidRPr="001C2D13" w:rsidP="00E90ECE" w14:paraId="3A3D15B5" w14:textId="77777777">
            <w:pPr>
              <w:jc w:val="right"/>
              <w:rPr>
                <w:sz w:val="20"/>
                <w:szCs w:val="20"/>
              </w:rPr>
            </w:pPr>
            <w:r w:rsidRPr="001C2D13">
              <w:rPr>
                <w:sz w:val="20"/>
                <w:szCs w:val="20"/>
              </w:rPr>
              <w:t>24.68</w:t>
            </w:r>
          </w:p>
        </w:tc>
        <w:tc>
          <w:tcPr>
            <w:tcW w:w="535" w:type="pct"/>
            <w:shd w:val="clear" w:color="auto" w:fill="auto"/>
            <w:vAlign w:val="center"/>
          </w:tcPr>
          <w:p w:rsidR="001C2D13" w:rsidRPr="001C2D13" w:rsidP="00E90ECE" w14:paraId="54768F0E" w14:textId="77777777">
            <w:pPr>
              <w:jc w:val="right"/>
              <w:rPr>
                <w:sz w:val="20"/>
                <w:szCs w:val="20"/>
              </w:rPr>
            </w:pPr>
            <w:r w:rsidRPr="001C2D13">
              <w:rPr>
                <w:sz w:val="20"/>
                <w:szCs w:val="20"/>
              </w:rPr>
              <w:t>1,629</w:t>
            </w:r>
          </w:p>
        </w:tc>
        <w:tc>
          <w:tcPr>
            <w:tcW w:w="623" w:type="pct"/>
            <w:shd w:val="clear" w:color="auto" w:fill="auto"/>
            <w:vAlign w:val="center"/>
          </w:tcPr>
          <w:p w:rsidR="001C2D13" w:rsidRPr="001C2D13" w:rsidP="00E90ECE" w14:paraId="635ADECE" w14:textId="77777777">
            <w:pPr>
              <w:jc w:val="right"/>
              <w:rPr>
                <w:sz w:val="20"/>
                <w:szCs w:val="20"/>
              </w:rPr>
            </w:pPr>
            <w:r w:rsidRPr="001C2D13">
              <w:rPr>
                <w:sz w:val="20"/>
                <w:szCs w:val="20"/>
              </w:rPr>
              <w:t>16</w:t>
            </w:r>
          </w:p>
        </w:tc>
        <w:tc>
          <w:tcPr>
            <w:tcW w:w="535" w:type="pct"/>
            <w:shd w:val="clear" w:color="auto" w:fill="auto"/>
            <w:vAlign w:val="center"/>
          </w:tcPr>
          <w:p w:rsidR="001C2D13" w:rsidRPr="001C2D13" w:rsidP="00E90ECE" w14:paraId="3022730F" w14:textId="77777777">
            <w:pPr>
              <w:jc w:val="right"/>
              <w:rPr>
                <w:sz w:val="20"/>
                <w:szCs w:val="20"/>
              </w:rPr>
            </w:pPr>
            <w:r w:rsidRPr="001C2D13">
              <w:rPr>
                <w:sz w:val="20"/>
                <w:szCs w:val="20"/>
              </w:rPr>
              <w:t>26,064</w:t>
            </w:r>
          </w:p>
        </w:tc>
      </w:tr>
      <w:tr w14:paraId="48D58876" w14:textId="77777777" w:rsidTr="00E67B9E">
        <w:tblPrEx>
          <w:tblW w:w="5194" w:type="pct"/>
          <w:tblLayout w:type="fixed"/>
          <w:tblLook w:val="01E0"/>
        </w:tblPrEx>
        <w:trPr>
          <w:cantSplit/>
          <w:trHeight w:val="20"/>
        </w:trPr>
        <w:tc>
          <w:tcPr>
            <w:tcW w:w="1524" w:type="pct"/>
            <w:shd w:val="clear" w:color="auto" w:fill="auto"/>
          </w:tcPr>
          <w:p w:rsidR="001C2D13" w:rsidRPr="001C2D13" w:rsidP="00E90ECE" w14:paraId="2F9A1DF8" w14:textId="77777777">
            <w:pPr>
              <w:rPr>
                <w:sz w:val="20"/>
                <w:szCs w:val="20"/>
              </w:rPr>
            </w:pPr>
            <w:r w:rsidRPr="001C2D13">
              <w:rPr>
                <w:sz w:val="20"/>
                <w:szCs w:val="20"/>
              </w:rPr>
              <w:t>514.80(b)(5)(i) Special Drug Experience Reports</w:t>
            </w:r>
          </w:p>
        </w:tc>
        <w:tc>
          <w:tcPr>
            <w:tcW w:w="446" w:type="pct"/>
            <w:vAlign w:val="center"/>
          </w:tcPr>
          <w:p w:rsidR="001C2D13" w:rsidRPr="001C2D13" w:rsidP="00E90ECE" w14:paraId="467C7422" w14:textId="77777777">
            <w:pPr>
              <w:jc w:val="right"/>
              <w:rPr>
                <w:sz w:val="20"/>
                <w:szCs w:val="20"/>
              </w:rPr>
            </w:pPr>
            <w:r w:rsidRPr="001C2D13">
              <w:rPr>
                <w:sz w:val="20"/>
                <w:szCs w:val="20"/>
              </w:rPr>
              <w:t>2301</w:t>
            </w:r>
          </w:p>
        </w:tc>
        <w:tc>
          <w:tcPr>
            <w:tcW w:w="623" w:type="pct"/>
            <w:shd w:val="clear" w:color="auto" w:fill="auto"/>
            <w:vAlign w:val="center"/>
          </w:tcPr>
          <w:p w:rsidR="001C2D13" w:rsidRPr="001C2D13" w:rsidP="00E90ECE" w14:paraId="2F80094E" w14:textId="77777777">
            <w:pPr>
              <w:jc w:val="right"/>
              <w:rPr>
                <w:sz w:val="20"/>
                <w:szCs w:val="20"/>
              </w:rPr>
            </w:pPr>
            <w:r w:rsidRPr="001C2D13">
              <w:rPr>
                <w:sz w:val="20"/>
                <w:szCs w:val="20"/>
              </w:rPr>
              <w:t>52</w:t>
            </w:r>
          </w:p>
        </w:tc>
        <w:tc>
          <w:tcPr>
            <w:tcW w:w="713" w:type="pct"/>
            <w:shd w:val="clear" w:color="auto" w:fill="auto"/>
            <w:vAlign w:val="center"/>
          </w:tcPr>
          <w:p w:rsidR="001C2D13" w:rsidRPr="001C2D13" w:rsidP="00E90ECE" w14:paraId="5DF1BDB7" w14:textId="77777777">
            <w:pPr>
              <w:jc w:val="right"/>
              <w:rPr>
                <w:sz w:val="20"/>
                <w:szCs w:val="20"/>
              </w:rPr>
            </w:pPr>
            <w:r w:rsidRPr="001C2D13">
              <w:rPr>
                <w:sz w:val="20"/>
                <w:szCs w:val="20"/>
              </w:rPr>
              <w:t>363.2</w:t>
            </w:r>
          </w:p>
        </w:tc>
        <w:tc>
          <w:tcPr>
            <w:tcW w:w="535" w:type="pct"/>
            <w:shd w:val="clear" w:color="auto" w:fill="auto"/>
            <w:vAlign w:val="center"/>
          </w:tcPr>
          <w:p w:rsidR="001C2D13" w:rsidRPr="001C2D13" w:rsidP="00E90ECE" w14:paraId="1E080128" w14:textId="77777777">
            <w:pPr>
              <w:jc w:val="right"/>
              <w:rPr>
                <w:sz w:val="20"/>
                <w:szCs w:val="20"/>
              </w:rPr>
            </w:pPr>
            <w:r w:rsidRPr="001C2D13">
              <w:rPr>
                <w:sz w:val="20"/>
                <w:szCs w:val="20"/>
              </w:rPr>
              <w:t>18,886</w:t>
            </w:r>
          </w:p>
        </w:tc>
        <w:tc>
          <w:tcPr>
            <w:tcW w:w="623" w:type="pct"/>
            <w:shd w:val="clear" w:color="auto" w:fill="auto"/>
            <w:vAlign w:val="center"/>
          </w:tcPr>
          <w:p w:rsidR="001C2D13" w:rsidRPr="001C2D13" w:rsidP="00E90ECE" w14:paraId="34210FAF" w14:textId="77777777">
            <w:pPr>
              <w:jc w:val="right"/>
              <w:rPr>
                <w:sz w:val="20"/>
                <w:szCs w:val="20"/>
              </w:rPr>
            </w:pPr>
            <w:r w:rsidRPr="001C2D13">
              <w:rPr>
                <w:sz w:val="20"/>
                <w:szCs w:val="20"/>
              </w:rPr>
              <w:t>2</w:t>
            </w:r>
          </w:p>
        </w:tc>
        <w:tc>
          <w:tcPr>
            <w:tcW w:w="535" w:type="pct"/>
            <w:shd w:val="clear" w:color="auto" w:fill="auto"/>
            <w:vAlign w:val="center"/>
          </w:tcPr>
          <w:p w:rsidR="001C2D13" w:rsidRPr="001C2D13" w:rsidP="00E90ECE" w14:paraId="7363703B" w14:textId="77777777">
            <w:pPr>
              <w:jc w:val="right"/>
              <w:rPr>
                <w:sz w:val="20"/>
                <w:szCs w:val="20"/>
              </w:rPr>
            </w:pPr>
            <w:r w:rsidRPr="001C2D13">
              <w:rPr>
                <w:sz w:val="20"/>
                <w:szCs w:val="20"/>
              </w:rPr>
              <w:t>37,772</w:t>
            </w:r>
          </w:p>
        </w:tc>
      </w:tr>
      <w:tr w14:paraId="6D8ED3A1" w14:textId="77777777" w:rsidTr="00E67B9E">
        <w:tblPrEx>
          <w:tblW w:w="5194" w:type="pct"/>
          <w:tblLayout w:type="fixed"/>
          <w:tblLook w:val="01E0"/>
        </w:tblPrEx>
        <w:trPr>
          <w:cantSplit/>
          <w:trHeight w:val="20"/>
        </w:trPr>
        <w:tc>
          <w:tcPr>
            <w:tcW w:w="1524" w:type="pct"/>
            <w:shd w:val="clear" w:color="auto" w:fill="auto"/>
          </w:tcPr>
          <w:p w:rsidR="001C2D13" w:rsidRPr="001C2D13" w:rsidP="00E90ECE" w14:paraId="42E0E89D" w14:textId="77777777">
            <w:pPr>
              <w:rPr>
                <w:sz w:val="20"/>
                <w:szCs w:val="20"/>
              </w:rPr>
            </w:pPr>
            <w:r w:rsidRPr="001C2D13">
              <w:rPr>
                <w:sz w:val="20"/>
                <w:szCs w:val="20"/>
              </w:rPr>
              <w:t>514.80(b(5)(ii) Advertisement and Promotional labeling</w:t>
            </w:r>
          </w:p>
        </w:tc>
        <w:tc>
          <w:tcPr>
            <w:tcW w:w="446" w:type="pct"/>
            <w:vAlign w:val="center"/>
          </w:tcPr>
          <w:p w:rsidR="001C2D13" w:rsidRPr="001C2D13" w:rsidP="00E90ECE" w14:paraId="4948AF65" w14:textId="77777777">
            <w:pPr>
              <w:jc w:val="right"/>
              <w:rPr>
                <w:sz w:val="20"/>
                <w:szCs w:val="20"/>
              </w:rPr>
            </w:pPr>
            <w:r w:rsidRPr="001C2D13">
              <w:rPr>
                <w:sz w:val="20"/>
                <w:szCs w:val="20"/>
              </w:rPr>
              <w:t>2301</w:t>
            </w:r>
          </w:p>
        </w:tc>
        <w:tc>
          <w:tcPr>
            <w:tcW w:w="623" w:type="pct"/>
            <w:shd w:val="clear" w:color="auto" w:fill="auto"/>
            <w:vAlign w:val="center"/>
          </w:tcPr>
          <w:p w:rsidR="001C2D13" w:rsidRPr="001C2D13" w:rsidP="00E90ECE" w14:paraId="047D7FCD" w14:textId="77777777">
            <w:pPr>
              <w:jc w:val="right"/>
              <w:rPr>
                <w:sz w:val="20"/>
                <w:szCs w:val="20"/>
              </w:rPr>
            </w:pPr>
            <w:r w:rsidRPr="001C2D13">
              <w:rPr>
                <w:sz w:val="20"/>
                <w:szCs w:val="20"/>
              </w:rPr>
              <w:t>35</w:t>
            </w:r>
          </w:p>
        </w:tc>
        <w:tc>
          <w:tcPr>
            <w:tcW w:w="713" w:type="pct"/>
            <w:shd w:val="clear" w:color="auto" w:fill="auto"/>
            <w:vAlign w:val="center"/>
          </w:tcPr>
          <w:p w:rsidR="001C2D13" w:rsidRPr="001C2D13" w:rsidP="00E90ECE" w14:paraId="5D9C813C" w14:textId="77777777">
            <w:pPr>
              <w:jc w:val="right"/>
              <w:rPr>
                <w:sz w:val="20"/>
                <w:szCs w:val="20"/>
              </w:rPr>
            </w:pPr>
            <w:r w:rsidRPr="001C2D13">
              <w:rPr>
                <w:sz w:val="20"/>
                <w:szCs w:val="20"/>
              </w:rPr>
              <w:t>326.71</w:t>
            </w:r>
          </w:p>
        </w:tc>
        <w:tc>
          <w:tcPr>
            <w:tcW w:w="535" w:type="pct"/>
            <w:shd w:val="clear" w:color="auto" w:fill="auto"/>
            <w:vAlign w:val="center"/>
          </w:tcPr>
          <w:p w:rsidR="001C2D13" w:rsidRPr="001C2D13" w:rsidP="00E90ECE" w14:paraId="5816C99D" w14:textId="77777777">
            <w:pPr>
              <w:jc w:val="right"/>
              <w:rPr>
                <w:sz w:val="20"/>
                <w:szCs w:val="20"/>
              </w:rPr>
            </w:pPr>
            <w:r w:rsidRPr="001C2D13">
              <w:rPr>
                <w:sz w:val="20"/>
                <w:szCs w:val="20"/>
              </w:rPr>
              <w:t>11,435</w:t>
            </w:r>
          </w:p>
        </w:tc>
        <w:tc>
          <w:tcPr>
            <w:tcW w:w="623" w:type="pct"/>
            <w:shd w:val="clear" w:color="auto" w:fill="auto"/>
            <w:vAlign w:val="center"/>
          </w:tcPr>
          <w:p w:rsidR="001C2D13" w:rsidRPr="001C2D13" w:rsidP="00E90ECE" w14:paraId="7D417EAC" w14:textId="77777777">
            <w:pPr>
              <w:jc w:val="right"/>
              <w:rPr>
                <w:sz w:val="20"/>
                <w:szCs w:val="20"/>
              </w:rPr>
            </w:pPr>
            <w:r w:rsidRPr="001C2D13">
              <w:rPr>
                <w:sz w:val="20"/>
                <w:szCs w:val="20"/>
              </w:rPr>
              <w:t>2</w:t>
            </w:r>
          </w:p>
        </w:tc>
        <w:tc>
          <w:tcPr>
            <w:tcW w:w="535" w:type="pct"/>
            <w:shd w:val="clear" w:color="auto" w:fill="auto"/>
            <w:vAlign w:val="center"/>
          </w:tcPr>
          <w:p w:rsidR="001C2D13" w:rsidRPr="001C2D13" w:rsidP="00E90ECE" w14:paraId="54A5893D" w14:textId="77777777">
            <w:pPr>
              <w:jc w:val="right"/>
              <w:rPr>
                <w:sz w:val="20"/>
                <w:szCs w:val="20"/>
              </w:rPr>
            </w:pPr>
            <w:r w:rsidRPr="001C2D13">
              <w:rPr>
                <w:sz w:val="20"/>
                <w:szCs w:val="20"/>
              </w:rPr>
              <w:t>22,870</w:t>
            </w:r>
          </w:p>
        </w:tc>
      </w:tr>
      <w:tr w14:paraId="34ED8E6A" w14:textId="77777777" w:rsidTr="00E67B9E">
        <w:tblPrEx>
          <w:tblW w:w="5194" w:type="pct"/>
          <w:tblLayout w:type="fixed"/>
          <w:tblLook w:val="01E0"/>
        </w:tblPrEx>
        <w:trPr>
          <w:cantSplit/>
          <w:trHeight w:val="70"/>
        </w:trPr>
        <w:tc>
          <w:tcPr>
            <w:tcW w:w="1524" w:type="pct"/>
            <w:shd w:val="clear" w:color="auto" w:fill="auto"/>
          </w:tcPr>
          <w:p w:rsidR="001C2D13" w:rsidRPr="001C2D13" w:rsidP="00E90ECE" w14:paraId="1B59CBF7" w14:textId="77777777">
            <w:pPr>
              <w:rPr>
                <w:sz w:val="20"/>
                <w:szCs w:val="20"/>
              </w:rPr>
            </w:pPr>
            <w:r w:rsidRPr="001C2D13">
              <w:rPr>
                <w:sz w:val="20"/>
                <w:szCs w:val="20"/>
              </w:rPr>
              <w:t>514.80(b)(5)(iii) Distributor’s Statements</w:t>
            </w:r>
          </w:p>
        </w:tc>
        <w:tc>
          <w:tcPr>
            <w:tcW w:w="446" w:type="pct"/>
            <w:vAlign w:val="center"/>
          </w:tcPr>
          <w:p w:rsidR="001C2D13" w:rsidRPr="001C2D13" w:rsidP="00E90ECE" w14:paraId="5EF27B99" w14:textId="77777777">
            <w:pPr>
              <w:jc w:val="right"/>
              <w:rPr>
                <w:sz w:val="20"/>
                <w:szCs w:val="20"/>
              </w:rPr>
            </w:pPr>
            <w:r w:rsidRPr="001C2D13">
              <w:rPr>
                <w:sz w:val="20"/>
                <w:szCs w:val="20"/>
              </w:rPr>
              <w:t>2301</w:t>
            </w:r>
          </w:p>
        </w:tc>
        <w:tc>
          <w:tcPr>
            <w:tcW w:w="623" w:type="pct"/>
            <w:shd w:val="clear" w:color="auto" w:fill="auto"/>
            <w:vAlign w:val="center"/>
          </w:tcPr>
          <w:p w:rsidR="001C2D13" w:rsidRPr="001C2D13" w:rsidP="00E90ECE" w14:paraId="177C979E" w14:textId="77777777">
            <w:pPr>
              <w:jc w:val="right"/>
              <w:rPr>
                <w:sz w:val="20"/>
                <w:szCs w:val="20"/>
              </w:rPr>
            </w:pPr>
            <w:r w:rsidRPr="001C2D13">
              <w:rPr>
                <w:sz w:val="20"/>
                <w:szCs w:val="20"/>
              </w:rPr>
              <w:t>13</w:t>
            </w:r>
          </w:p>
        </w:tc>
        <w:tc>
          <w:tcPr>
            <w:tcW w:w="713" w:type="pct"/>
            <w:shd w:val="clear" w:color="auto" w:fill="auto"/>
            <w:vAlign w:val="center"/>
          </w:tcPr>
          <w:p w:rsidR="001C2D13" w:rsidRPr="001C2D13" w:rsidP="00E90ECE" w14:paraId="21D1459E" w14:textId="77777777">
            <w:pPr>
              <w:jc w:val="right"/>
              <w:rPr>
                <w:sz w:val="20"/>
                <w:szCs w:val="20"/>
              </w:rPr>
            </w:pPr>
            <w:r w:rsidRPr="001C2D13">
              <w:rPr>
                <w:sz w:val="20"/>
                <w:szCs w:val="20"/>
              </w:rPr>
              <w:t>2.77</w:t>
            </w:r>
          </w:p>
        </w:tc>
        <w:tc>
          <w:tcPr>
            <w:tcW w:w="535" w:type="pct"/>
            <w:shd w:val="clear" w:color="auto" w:fill="auto"/>
            <w:vAlign w:val="center"/>
          </w:tcPr>
          <w:p w:rsidR="001C2D13" w:rsidRPr="001C2D13" w:rsidP="00E90ECE" w14:paraId="7468813B" w14:textId="77777777">
            <w:pPr>
              <w:jc w:val="right"/>
              <w:rPr>
                <w:sz w:val="20"/>
                <w:szCs w:val="20"/>
              </w:rPr>
            </w:pPr>
            <w:r w:rsidRPr="001C2D13">
              <w:rPr>
                <w:sz w:val="20"/>
                <w:szCs w:val="20"/>
              </w:rPr>
              <w:t>36</w:t>
            </w:r>
          </w:p>
        </w:tc>
        <w:tc>
          <w:tcPr>
            <w:tcW w:w="623" w:type="pct"/>
            <w:shd w:val="clear" w:color="auto" w:fill="auto"/>
            <w:vAlign w:val="center"/>
          </w:tcPr>
          <w:p w:rsidR="001C2D13" w:rsidRPr="001C2D13" w:rsidP="00E90ECE" w14:paraId="6832B588" w14:textId="77777777">
            <w:pPr>
              <w:jc w:val="right"/>
              <w:rPr>
                <w:sz w:val="20"/>
                <w:szCs w:val="20"/>
              </w:rPr>
            </w:pPr>
            <w:r w:rsidRPr="001C2D13">
              <w:rPr>
                <w:sz w:val="20"/>
                <w:szCs w:val="20"/>
              </w:rPr>
              <w:t>2</w:t>
            </w:r>
          </w:p>
        </w:tc>
        <w:tc>
          <w:tcPr>
            <w:tcW w:w="535" w:type="pct"/>
            <w:shd w:val="clear" w:color="auto" w:fill="auto"/>
            <w:vAlign w:val="center"/>
          </w:tcPr>
          <w:p w:rsidR="001C2D13" w:rsidRPr="001C2D13" w:rsidP="00E90ECE" w14:paraId="7C6B2168" w14:textId="77777777">
            <w:pPr>
              <w:jc w:val="right"/>
              <w:rPr>
                <w:sz w:val="20"/>
                <w:szCs w:val="20"/>
              </w:rPr>
            </w:pPr>
            <w:r w:rsidRPr="001C2D13">
              <w:rPr>
                <w:sz w:val="20"/>
                <w:szCs w:val="20"/>
              </w:rPr>
              <w:t>72</w:t>
            </w:r>
          </w:p>
        </w:tc>
      </w:tr>
      <w:tr w14:paraId="4F826985" w14:textId="77777777" w:rsidTr="00E67B9E">
        <w:tblPrEx>
          <w:tblW w:w="5194" w:type="pct"/>
          <w:tblLayout w:type="fixed"/>
          <w:tblLook w:val="01E0"/>
        </w:tblPrEx>
        <w:trPr>
          <w:cantSplit/>
          <w:trHeight w:val="20"/>
        </w:trPr>
        <w:tc>
          <w:tcPr>
            <w:tcW w:w="1524" w:type="pct"/>
            <w:shd w:val="clear" w:color="auto" w:fill="auto"/>
          </w:tcPr>
          <w:p w:rsidR="001C2D13" w:rsidRPr="001C2D13" w:rsidP="00E90ECE" w14:paraId="187D4743" w14:textId="77777777">
            <w:pPr>
              <w:rPr>
                <w:sz w:val="20"/>
                <w:szCs w:val="20"/>
              </w:rPr>
            </w:pPr>
            <w:r w:rsidRPr="001C2D13">
              <w:rPr>
                <w:sz w:val="20"/>
                <w:szCs w:val="20"/>
              </w:rPr>
              <w:t>514.80(d)(2)</w:t>
            </w:r>
          </w:p>
        </w:tc>
        <w:tc>
          <w:tcPr>
            <w:tcW w:w="446" w:type="pct"/>
          </w:tcPr>
          <w:p w:rsidR="001C2D13" w:rsidRPr="001C2D13" w:rsidP="00E90ECE" w14:paraId="19238526" w14:textId="77777777">
            <w:pPr>
              <w:jc w:val="right"/>
              <w:rPr>
                <w:sz w:val="20"/>
                <w:szCs w:val="20"/>
              </w:rPr>
            </w:pPr>
            <w:r w:rsidRPr="001C2D13">
              <w:rPr>
                <w:sz w:val="20"/>
                <w:szCs w:val="20"/>
              </w:rPr>
              <w:t>N/A</w:t>
            </w:r>
          </w:p>
        </w:tc>
        <w:tc>
          <w:tcPr>
            <w:tcW w:w="623" w:type="pct"/>
            <w:shd w:val="clear" w:color="auto" w:fill="auto"/>
          </w:tcPr>
          <w:p w:rsidR="001C2D13" w:rsidRPr="001C2D13" w:rsidP="00E90ECE" w14:paraId="02B7B1F0" w14:textId="77777777">
            <w:pPr>
              <w:jc w:val="right"/>
              <w:rPr>
                <w:sz w:val="20"/>
                <w:szCs w:val="20"/>
              </w:rPr>
            </w:pPr>
            <w:r w:rsidRPr="001C2D13">
              <w:rPr>
                <w:sz w:val="20"/>
                <w:szCs w:val="20"/>
              </w:rPr>
              <w:t>1</w:t>
            </w:r>
          </w:p>
        </w:tc>
        <w:tc>
          <w:tcPr>
            <w:tcW w:w="713" w:type="pct"/>
            <w:shd w:val="clear" w:color="auto" w:fill="auto"/>
          </w:tcPr>
          <w:p w:rsidR="001C2D13" w:rsidRPr="001C2D13" w:rsidP="00E90ECE" w14:paraId="5C320154" w14:textId="77777777">
            <w:pPr>
              <w:jc w:val="right"/>
              <w:rPr>
                <w:sz w:val="20"/>
                <w:szCs w:val="20"/>
              </w:rPr>
            </w:pPr>
            <w:r w:rsidRPr="001C2D13">
              <w:rPr>
                <w:sz w:val="20"/>
                <w:szCs w:val="20"/>
              </w:rPr>
              <w:t>1</w:t>
            </w:r>
          </w:p>
        </w:tc>
        <w:tc>
          <w:tcPr>
            <w:tcW w:w="535" w:type="pct"/>
            <w:shd w:val="clear" w:color="auto" w:fill="auto"/>
          </w:tcPr>
          <w:p w:rsidR="001C2D13" w:rsidRPr="001C2D13" w:rsidP="00E90ECE" w14:paraId="0569D5C1" w14:textId="77777777">
            <w:pPr>
              <w:jc w:val="right"/>
              <w:rPr>
                <w:sz w:val="20"/>
                <w:szCs w:val="20"/>
              </w:rPr>
            </w:pPr>
            <w:r w:rsidRPr="001C2D13">
              <w:rPr>
                <w:sz w:val="20"/>
                <w:szCs w:val="20"/>
              </w:rPr>
              <w:t>1</w:t>
            </w:r>
          </w:p>
        </w:tc>
        <w:tc>
          <w:tcPr>
            <w:tcW w:w="623" w:type="pct"/>
            <w:shd w:val="clear" w:color="auto" w:fill="auto"/>
          </w:tcPr>
          <w:p w:rsidR="001C2D13" w:rsidRPr="001C2D13" w:rsidP="00E90ECE" w14:paraId="4839F640" w14:textId="77777777">
            <w:pPr>
              <w:jc w:val="right"/>
              <w:rPr>
                <w:sz w:val="20"/>
                <w:szCs w:val="20"/>
              </w:rPr>
            </w:pPr>
            <w:r w:rsidRPr="001C2D13">
              <w:rPr>
                <w:sz w:val="20"/>
                <w:szCs w:val="20"/>
              </w:rPr>
              <w:t>1</w:t>
            </w:r>
          </w:p>
        </w:tc>
        <w:tc>
          <w:tcPr>
            <w:tcW w:w="535" w:type="pct"/>
            <w:shd w:val="clear" w:color="auto" w:fill="auto"/>
          </w:tcPr>
          <w:p w:rsidR="001C2D13" w:rsidRPr="001C2D13" w:rsidP="00E90ECE" w14:paraId="72A8C45F" w14:textId="77777777">
            <w:pPr>
              <w:jc w:val="right"/>
              <w:rPr>
                <w:sz w:val="20"/>
                <w:szCs w:val="20"/>
              </w:rPr>
            </w:pPr>
            <w:r w:rsidRPr="001C2D13">
              <w:rPr>
                <w:sz w:val="20"/>
                <w:szCs w:val="20"/>
              </w:rPr>
              <w:t>1</w:t>
            </w:r>
          </w:p>
        </w:tc>
      </w:tr>
      <w:tr w14:paraId="7F068FEB" w14:textId="77777777" w:rsidTr="00E67B9E">
        <w:tblPrEx>
          <w:tblW w:w="5194" w:type="pct"/>
          <w:tblLayout w:type="fixed"/>
          <w:tblLook w:val="01E0"/>
        </w:tblPrEx>
        <w:trPr>
          <w:cantSplit/>
          <w:trHeight w:val="20"/>
        </w:trPr>
        <w:tc>
          <w:tcPr>
            <w:tcW w:w="1524" w:type="pct"/>
            <w:shd w:val="clear" w:color="auto" w:fill="auto"/>
          </w:tcPr>
          <w:p w:rsidR="001C2D13" w:rsidRPr="001C2D13" w:rsidP="00E90ECE" w14:paraId="5916FAA4" w14:textId="77777777">
            <w:pPr>
              <w:rPr>
                <w:sz w:val="20"/>
                <w:szCs w:val="20"/>
              </w:rPr>
            </w:pPr>
            <w:r w:rsidRPr="001C2D13">
              <w:rPr>
                <w:sz w:val="20"/>
                <w:szCs w:val="20"/>
              </w:rPr>
              <w:t>Total</w:t>
            </w:r>
          </w:p>
        </w:tc>
        <w:tc>
          <w:tcPr>
            <w:tcW w:w="446" w:type="pct"/>
          </w:tcPr>
          <w:p w:rsidR="001C2D13" w:rsidRPr="001C2D13" w:rsidP="00E90ECE" w14:paraId="619A51EC" w14:textId="77777777">
            <w:pPr>
              <w:jc w:val="right"/>
              <w:rPr>
                <w:sz w:val="20"/>
                <w:szCs w:val="20"/>
              </w:rPr>
            </w:pPr>
          </w:p>
        </w:tc>
        <w:tc>
          <w:tcPr>
            <w:tcW w:w="623" w:type="pct"/>
            <w:shd w:val="clear" w:color="auto" w:fill="auto"/>
          </w:tcPr>
          <w:p w:rsidR="001C2D13" w:rsidRPr="001C2D13" w:rsidP="00E90ECE" w14:paraId="7845BD99" w14:textId="77777777">
            <w:pPr>
              <w:jc w:val="right"/>
              <w:rPr>
                <w:sz w:val="20"/>
                <w:szCs w:val="20"/>
              </w:rPr>
            </w:pPr>
          </w:p>
        </w:tc>
        <w:tc>
          <w:tcPr>
            <w:tcW w:w="713" w:type="pct"/>
            <w:shd w:val="clear" w:color="auto" w:fill="auto"/>
          </w:tcPr>
          <w:p w:rsidR="001C2D13" w:rsidRPr="001C2D13" w:rsidP="00E90ECE" w14:paraId="268781E2" w14:textId="77777777">
            <w:pPr>
              <w:jc w:val="right"/>
              <w:rPr>
                <w:sz w:val="20"/>
                <w:szCs w:val="20"/>
              </w:rPr>
            </w:pPr>
          </w:p>
        </w:tc>
        <w:tc>
          <w:tcPr>
            <w:tcW w:w="535" w:type="pct"/>
            <w:shd w:val="clear" w:color="auto" w:fill="auto"/>
          </w:tcPr>
          <w:p w:rsidR="001C2D13" w:rsidRPr="001C2D13" w:rsidP="00E90ECE" w14:paraId="378E72C6" w14:textId="77777777">
            <w:pPr>
              <w:jc w:val="right"/>
              <w:rPr>
                <w:sz w:val="20"/>
                <w:szCs w:val="20"/>
              </w:rPr>
            </w:pPr>
            <w:r w:rsidRPr="001C2D13">
              <w:rPr>
                <w:sz w:val="20"/>
                <w:szCs w:val="20"/>
              </w:rPr>
              <w:t>139,561</w:t>
            </w:r>
          </w:p>
        </w:tc>
        <w:tc>
          <w:tcPr>
            <w:tcW w:w="623" w:type="pct"/>
            <w:shd w:val="clear" w:color="auto" w:fill="auto"/>
          </w:tcPr>
          <w:p w:rsidR="001C2D13" w:rsidRPr="001C2D13" w:rsidP="00E90ECE" w14:paraId="6ED5EE31" w14:textId="77777777">
            <w:pPr>
              <w:jc w:val="right"/>
              <w:rPr>
                <w:sz w:val="20"/>
                <w:szCs w:val="20"/>
              </w:rPr>
            </w:pPr>
          </w:p>
        </w:tc>
        <w:tc>
          <w:tcPr>
            <w:tcW w:w="535" w:type="pct"/>
            <w:shd w:val="clear" w:color="auto" w:fill="auto"/>
          </w:tcPr>
          <w:p w:rsidR="001C2D13" w:rsidRPr="001C2D13" w:rsidP="00E90ECE" w14:paraId="201FCCF5" w14:textId="77777777">
            <w:pPr>
              <w:jc w:val="right"/>
              <w:rPr>
                <w:sz w:val="20"/>
                <w:szCs w:val="20"/>
              </w:rPr>
            </w:pPr>
            <w:r w:rsidRPr="001C2D13">
              <w:rPr>
                <w:sz w:val="20"/>
                <w:szCs w:val="20"/>
              </w:rPr>
              <w:t>194,349.5</w:t>
            </w:r>
          </w:p>
        </w:tc>
      </w:tr>
    </w:tbl>
    <w:p w:rsidR="001C2D13" w:rsidP="001C2D13" w14:paraId="39CC1E10" w14:textId="77777777">
      <w:pPr>
        <w:rPr>
          <w:sz w:val="18"/>
          <w:szCs w:val="18"/>
        </w:rPr>
      </w:pPr>
      <w:r w:rsidRPr="00AE2C4E">
        <w:rPr>
          <w:sz w:val="18"/>
          <w:szCs w:val="18"/>
          <w:vertAlign w:val="superscript"/>
        </w:rPr>
        <w:t>1</w:t>
      </w:r>
      <w:r w:rsidRPr="001C2D13">
        <w:rPr>
          <w:sz w:val="18"/>
          <w:szCs w:val="18"/>
        </w:rPr>
        <w:t xml:space="preserve"> Sums may not total due to rounding.</w:t>
      </w:r>
    </w:p>
    <w:p w:rsidR="00E67B9E" w:rsidP="001C2D13" w14:paraId="66AA10AB" w14:textId="77777777">
      <w:pPr>
        <w:rPr>
          <w:sz w:val="18"/>
          <w:szCs w:val="18"/>
        </w:rPr>
      </w:pPr>
    </w:p>
    <w:p w:rsidR="00E67B9E" w:rsidRPr="001C2D13" w:rsidP="001C2D13" w14:paraId="254E6D8E" w14:textId="77777777">
      <w:pPr>
        <w:rPr>
          <w:sz w:val="18"/>
          <w:szCs w:val="18"/>
        </w:rPr>
      </w:pPr>
    </w:p>
    <w:p w:rsidR="001C2D13" w:rsidP="001C2D13" w14:paraId="4CCD969C" w14:textId="77777777"/>
    <w:p w:rsidR="0030015C" w:rsidRPr="0000697E" w:rsidP="001C2D13" w14:paraId="0617B717" w14:textId="77777777"/>
    <w:p w:rsidR="001C2D13" w:rsidRPr="00E67B9E" w:rsidP="001C2D13" w14:paraId="56D7ADB8" w14:textId="77777777">
      <w:pPr>
        <w:contextualSpacing/>
        <w:jc w:val="center"/>
        <w:rPr>
          <w:sz w:val="20"/>
          <w:szCs w:val="20"/>
        </w:rPr>
      </w:pPr>
      <w:r w:rsidRPr="00E67B9E">
        <w:rPr>
          <w:sz w:val="20"/>
          <w:szCs w:val="20"/>
        </w:rPr>
        <w:t xml:space="preserve">Table </w:t>
      </w:r>
      <w:r w:rsidRPr="00E67B9E">
        <w:rPr>
          <w:sz w:val="20"/>
          <w:szCs w:val="20"/>
        </w:rPr>
        <w:t>2.--</w:t>
      </w:r>
      <w:r w:rsidRPr="00E67B9E">
        <w:rPr>
          <w:sz w:val="20"/>
          <w:szCs w:val="20"/>
        </w:rPr>
        <w:t>Estimated Annual Recordkeeping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7"/>
        <w:gridCol w:w="1441"/>
        <w:gridCol w:w="1441"/>
        <w:gridCol w:w="989"/>
        <w:gridCol w:w="1474"/>
        <w:gridCol w:w="1118"/>
      </w:tblGrid>
      <w:tr w14:paraId="7A4A48A6" w14:textId="77777777" w:rsidTr="00E67B9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85"/>
          <w:tblHeader/>
        </w:trPr>
        <w:tc>
          <w:tcPr>
            <w:tcW w:w="1676" w:type="pct"/>
            <w:shd w:val="clear" w:color="auto" w:fill="auto"/>
          </w:tcPr>
          <w:p w:rsidR="001C2D13" w:rsidRPr="00E67B9E" w:rsidP="00E90ECE" w14:paraId="2B3046CF" w14:textId="77777777">
            <w:pPr>
              <w:keepNext/>
              <w:jc w:val="center"/>
              <w:rPr>
                <w:sz w:val="20"/>
                <w:szCs w:val="20"/>
              </w:rPr>
            </w:pPr>
            <w:r w:rsidRPr="00E67B9E">
              <w:rPr>
                <w:sz w:val="20"/>
                <w:szCs w:val="20"/>
              </w:rPr>
              <w:t xml:space="preserve">21 CFR Section </w:t>
            </w:r>
          </w:p>
        </w:tc>
        <w:tc>
          <w:tcPr>
            <w:tcW w:w="741" w:type="pct"/>
            <w:shd w:val="clear" w:color="auto" w:fill="auto"/>
          </w:tcPr>
          <w:p w:rsidR="001C2D13" w:rsidRPr="00E67B9E" w:rsidP="00E90ECE" w14:paraId="76193A4E" w14:textId="77777777">
            <w:pPr>
              <w:keepNext/>
              <w:jc w:val="center"/>
              <w:rPr>
                <w:sz w:val="20"/>
                <w:szCs w:val="20"/>
              </w:rPr>
            </w:pPr>
            <w:r w:rsidRPr="00E67B9E">
              <w:rPr>
                <w:sz w:val="20"/>
                <w:szCs w:val="20"/>
              </w:rPr>
              <w:t>No. of Recordkeepers</w:t>
            </w:r>
          </w:p>
        </w:tc>
        <w:tc>
          <w:tcPr>
            <w:tcW w:w="741" w:type="pct"/>
            <w:shd w:val="clear" w:color="auto" w:fill="auto"/>
          </w:tcPr>
          <w:p w:rsidR="001C2D13" w:rsidRPr="00E67B9E" w:rsidP="00E90ECE" w14:paraId="40DEAAA3" w14:textId="77777777">
            <w:pPr>
              <w:keepNext/>
              <w:jc w:val="center"/>
              <w:rPr>
                <w:sz w:val="20"/>
                <w:szCs w:val="20"/>
              </w:rPr>
            </w:pPr>
            <w:r w:rsidRPr="00E67B9E">
              <w:rPr>
                <w:bCs/>
                <w:sz w:val="20"/>
                <w:szCs w:val="20"/>
              </w:rPr>
              <w:t>No. of Records per Recordkeeper</w:t>
            </w:r>
          </w:p>
        </w:tc>
        <w:tc>
          <w:tcPr>
            <w:tcW w:w="509" w:type="pct"/>
            <w:shd w:val="clear" w:color="auto" w:fill="auto"/>
          </w:tcPr>
          <w:p w:rsidR="001C2D13" w:rsidRPr="00E67B9E" w:rsidP="00E90ECE" w14:paraId="3945030F" w14:textId="77777777">
            <w:pPr>
              <w:keepNext/>
              <w:jc w:val="center"/>
              <w:rPr>
                <w:sz w:val="20"/>
                <w:szCs w:val="20"/>
              </w:rPr>
            </w:pPr>
            <w:r w:rsidRPr="00E67B9E">
              <w:rPr>
                <w:sz w:val="20"/>
                <w:szCs w:val="20"/>
              </w:rPr>
              <w:t>Total Annual Records</w:t>
            </w:r>
          </w:p>
        </w:tc>
        <w:tc>
          <w:tcPr>
            <w:tcW w:w="758" w:type="pct"/>
            <w:shd w:val="clear" w:color="auto" w:fill="auto"/>
          </w:tcPr>
          <w:p w:rsidR="001C2D13" w:rsidRPr="00E67B9E" w:rsidP="00E90ECE" w14:paraId="27933A1B" w14:textId="77777777">
            <w:pPr>
              <w:keepNext/>
              <w:jc w:val="center"/>
              <w:rPr>
                <w:sz w:val="20"/>
                <w:szCs w:val="20"/>
              </w:rPr>
            </w:pPr>
            <w:r w:rsidRPr="00E67B9E">
              <w:rPr>
                <w:bCs/>
                <w:sz w:val="20"/>
                <w:szCs w:val="20"/>
              </w:rPr>
              <w:t xml:space="preserve">Average Burden per Recordkeeping </w:t>
            </w:r>
          </w:p>
        </w:tc>
        <w:tc>
          <w:tcPr>
            <w:tcW w:w="575" w:type="pct"/>
            <w:shd w:val="clear" w:color="auto" w:fill="auto"/>
          </w:tcPr>
          <w:p w:rsidR="001C2D13" w:rsidRPr="00E67B9E" w:rsidP="00E90ECE" w14:paraId="5628E79D" w14:textId="77777777">
            <w:pPr>
              <w:keepNext/>
              <w:jc w:val="center"/>
              <w:rPr>
                <w:sz w:val="20"/>
                <w:szCs w:val="20"/>
              </w:rPr>
            </w:pPr>
            <w:r w:rsidRPr="00E67B9E">
              <w:rPr>
                <w:sz w:val="20"/>
                <w:szCs w:val="20"/>
              </w:rPr>
              <w:t>Total Hours</w:t>
            </w:r>
          </w:p>
        </w:tc>
      </w:tr>
      <w:tr w14:paraId="4C36BE11" w14:textId="77777777" w:rsidTr="00E67B9E">
        <w:tblPrEx>
          <w:tblW w:w="5000" w:type="pct"/>
          <w:tblLayout w:type="fixed"/>
          <w:tblLook w:val="01E0"/>
        </w:tblPrEx>
        <w:trPr>
          <w:trHeight w:val="440"/>
        </w:trPr>
        <w:tc>
          <w:tcPr>
            <w:tcW w:w="1676" w:type="pct"/>
            <w:shd w:val="clear" w:color="auto" w:fill="auto"/>
            <w:vAlign w:val="center"/>
          </w:tcPr>
          <w:p w:rsidR="001C2D13" w:rsidRPr="00E67B9E" w:rsidP="00E90ECE" w14:paraId="0ED2079C" w14:textId="77777777">
            <w:pPr>
              <w:keepNext/>
              <w:rPr>
                <w:sz w:val="20"/>
                <w:szCs w:val="20"/>
              </w:rPr>
            </w:pPr>
            <w:r w:rsidRPr="00E67B9E">
              <w:rPr>
                <w:sz w:val="20"/>
                <w:szCs w:val="20"/>
              </w:rPr>
              <w:t>Recordkeeping, 510.301</w:t>
            </w:r>
            <w:r w:rsidRPr="00AE2C4E" w:rsidR="00AE2C4E">
              <w:rPr>
                <w:sz w:val="20"/>
                <w:szCs w:val="20"/>
                <w:vertAlign w:val="superscript"/>
              </w:rPr>
              <w:t>1</w:t>
            </w:r>
          </w:p>
        </w:tc>
        <w:tc>
          <w:tcPr>
            <w:tcW w:w="741" w:type="pct"/>
            <w:shd w:val="clear" w:color="auto" w:fill="auto"/>
            <w:vAlign w:val="center"/>
          </w:tcPr>
          <w:p w:rsidR="001C2D13" w:rsidRPr="00E67B9E" w:rsidP="00E90ECE" w14:paraId="2A7AB687" w14:textId="77777777">
            <w:pPr>
              <w:keepNext/>
              <w:jc w:val="right"/>
              <w:rPr>
                <w:sz w:val="20"/>
                <w:szCs w:val="20"/>
              </w:rPr>
            </w:pPr>
            <w:r w:rsidRPr="00E67B9E">
              <w:rPr>
                <w:sz w:val="20"/>
                <w:szCs w:val="20"/>
              </w:rPr>
              <w:t>7</w:t>
            </w:r>
          </w:p>
        </w:tc>
        <w:tc>
          <w:tcPr>
            <w:tcW w:w="741" w:type="pct"/>
            <w:shd w:val="clear" w:color="auto" w:fill="auto"/>
            <w:vAlign w:val="center"/>
          </w:tcPr>
          <w:p w:rsidR="001C2D13" w:rsidRPr="00E67B9E" w:rsidP="00E90ECE" w14:paraId="40B91E21" w14:textId="77777777">
            <w:pPr>
              <w:keepNext/>
              <w:jc w:val="right"/>
              <w:rPr>
                <w:sz w:val="20"/>
                <w:szCs w:val="20"/>
              </w:rPr>
            </w:pPr>
            <w:r w:rsidRPr="00E67B9E">
              <w:rPr>
                <w:sz w:val="20"/>
                <w:szCs w:val="20"/>
              </w:rPr>
              <w:t>1</w:t>
            </w:r>
          </w:p>
        </w:tc>
        <w:tc>
          <w:tcPr>
            <w:tcW w:w="509" w:type="pct"/>
            <w:shd w:val="clear" w:color="auto" w:fill="auto"/>
            <w:vAlign w:val="center"/>
          </w:tcPr>
          <w:p w:rsidR="001C2D13" w:rsidRPr="00E67B9E" w:rsidP="00E90ECE" w14:paraId="18C59D99" w14:textId="77777777">
            <w:pPr>
              <w:keepNext/>
              <w:jc w:val="right"/>
              <w:rPr>
                <w:sz w:val="20"/>
                <w:szCs w:val="20"/>
              </w:rPr>
            </w:pPr>
            <w:r w:rsidRPr="00E67B9E">
              <w:rPr>
                <w:sz w:val="20"/>
                <w:szCs w:val="20"/>
              </w:rPr>
              <w:t>7</w:t>
            </w:r>
          </w:p>
        </w:tc>
        <w:tc>
          <w:tcPr>
            <w:tcW w:w="758" w:type="pct"/>
            <w:shd w:val="clear" w:color="auto" w:fill="auto"/>
            <w:vAlign w:val="center"/>
          </w:tcPr>
          <w:p w:rsidR="001C2D13" w:rsidRPr="00E67B9E" w:rsidP="00E90ECE" w14:paraId="703BC69A" w14:textId="77777777">
            <w:pPr>
              <w:keepNext/>
              <w:jc w:val="right"/>
              <w:rPr>
                <w:sz w:val="20"/>
                <w:szCs w:val="20"/>
              </w:rPr>
            </w:pPr>
            <w:r w:rsidRPr="00E67B9E">
              <w:rPr>
                <w:sz w:val="20"/>
                <w:szCs w:val="20"/>
              </w:rPr>
              <w:t>4</w:t>
            </w:r>
          </w:p>
        </w:tc>
        <w:tc>
          <w:tcPr>
            <w:tcW w:w="575" w:type="pct"/>
            <w:shd w:val="clear" w:color="auto" w:fill="auto"/>
            <w:vAlign w:val="center"/>
          </w:tcPr>
          <w:p w:rsidR="001C2D13" w:rsidRPr="00E67B9E" w:rsidP="00E90ECE" w14:paraId="403F01D9" w14:textId="77777777">
            <w:pPr>
              <w:keepNext/>
              <w:jc w:val="right"/>
              <w:rPr>
                <w:sz w:val="20"/>
                <w:szCs w:val="20"/>
              </w:rPr>
            </w:pPr>
            <w:r w:rsidRPr="00E67B9E">
              <w:rPr>
                <w:sz w:val="20"/>
                <w:szCs w:val="20"/>
              </w:rPr>
              <w:t>28</w:t>
            </w:r>
          </w:p>
        </w:tc>
      </w:tr>
      <w:tr w14:paraId="48EE1B6C" w14:textId="77777777" w:rsidTr="00E67B9E">
        <w:tblPrEx>
          <w:tblW w:w="5000" w:type="pct"/>
          <w:tblLayout w:type="fixed"/>
          <w:tblLook w:val="01E0"/>
        </w:tblPrEx>
        <w:trPr>
          <w:trHeight w:val="440"/>
        </w:trPr>
        <w:tc>
          <w:tcPr>
            <w:tcW w:w="1676" w:type="pct"/>
            <w:shd w:val="clear" w:color="auto" w:fill="auto"/>
            <w:vAlign w:val="center"/>
          </w:tcPr>
          <w:p w:rsidR="001C2D13" w:rsidRPr="00E67B9E" w:rsidP="00E90ECE" w14:paraId="6B268304" w14:textId="77777777">
            <w:pPr>
              <w:keepNext/>
              <w:rPr>
                <w:sz w:val="20"/>
                <w:szCs w:val="20"/>
                <w:vertAlign w:val="superscript"/>
              </w:rPr>
            </w:pPr>
            <w:r w:rsidRPr="00E67B9E">
              <w:rPr>
                <w:sz w:val="20"/>
                <w:szCs w:val="20"/>
              </w:rPr>
              <w:t>Recordkeeping, 21 U.S.C. 360</w:t>
            </w:r>
            <w:r w:rsidRPr="00E67B9E">
              <w:rPr>
                <w:sz w:val="20"/>
                <w:szCs w:val="20"/>
              </w:rPr>
              <w:t>b(</w:t>
            </w:r>
            <w:r w:rsidRPr="00E67B9E">
              <w:rPr>
                <w:sz w:val="20"/>
                <w:szCs w:val="20"/>
              </w:rPr>
              <w:t>1) and 514.80(e)</w:t>
            </w:r>
            <w:r w:rsidRPr="00AE2C4E" w:rsidR="00AE2C4E">
              <w:rPr>
                <w:sz w:val="20"/>
                <w:szCs w:val="20"/>
                <w:vertAlign w:val="superscript"/>
              </w:rPr>
              <w:t>2</w:t>
            </w:r>
          </w:p>
        </w:tc>
        <w:tc>
          <w:tcPr>
            <w:tcW w:w="741" w:type="pct"/>
            <w:shd w:val="clear" w:color="auto" w:fill="auto"/>
            <w:vAlign w:val="center"/>
          </w:tcPr>
          <w:p w:rsidR="001C2D13" w:rsidRPr="00E67B9E" w:rsidP="00E90ECE" w14:paraId="3F7D1F6C" w14:textId="77777777">
            <w:pPr>
              <w:keepNext/>
              <w:jc w:val="right"/>
              <w:rPr>
                <w:sz w:val="20"/>
                <w:szCs w:val="20"/>
              </w:rPr>
            </w:pPr>
            <w:r w:rsidRPr="00E67B9E">
              <w:rPr>
                <w:sz w:val="20"/>
                <w:szCs w:val="20"/>
              </w:rPr>
              <w:t>79</w:t>
            </w:r>
          </w:p>
        </w:tc>
        <w:tc>
          <w:tcPr>
            <w:tcW w:w="741" w:type="pct"/>
            <w:shd w:val="clear" w:color="auto" w:fill="auto"/>
            <w:vAlign w:val="center"/>
          </w:tcPr>
          <w:p w:rsidR="001C2D13" w:rsidRPr="00E67B9E" w:rsidP="00E90ECE" w14:paraId="3E2B4C86" w14:textId="77777777">
            <w:pPr>
              <w:keepNext/>
              <w:jc w:val="right"/>
              <w:rPr>
                <w:sz w:val="20"/>
                <w:szCs w:val="20"/>
              </w:rPr>
            </w:pPr>
            <w:r w:rsidRPr="00E67B9E">
              <w:rPr>
                <w:sz w:val="20"/>
                <w:szCs w:val="20"/>
              </w:rPr>
              <w:t>1,575.14</w:t>
            </w:r>
          </w:p>
        </w:tc>
        <w:tc>
          <w:tcPr>
            <w:tcW w:w="509" w:type="pct"/>
            <w:shd w:val="clear" w:color="auto" w:fill="auto"/>
            <w:vAlign w:val="center"/>
          </w:tcPr>
          <w:p w:rsidR="001C2D13" w:rsidRPr="00E67B9E" w:rsidP="00E90ECE" w14:paraId="1E2385CD" w14:textId="77777777">
            <w:pPr>
              <w:keepNext/>
              <w:jc w:val="right"/>
              <w:rPr>
                <w:sz w:val="20"/>
                <w:szCs w:val="20"/>
              </w:rPr>
            </w:pPr>
            <w:r w:rsidRPr="00E67B9E">
              <w:rPr>
                <w:sz w:val="20"/>
                <w:szCs w:val="20"/>
              </w:rPr>
              <w:t>124,436</w:t>
            </w:r>
          </w:p>
        </w:tc>
        <w:tc>
          <w:tcPr>
            <w:tcW w:w="758" w:type="pct"/>
            <w:shd w:val="clear" w:color="auto" w:fill="auto"/>
            <w:vAlign w:val="center"/>
          </w:tcPr>
          <w:p w:rsidR="001C2D13" w:rsidRPr="00E67B9E" w:rsidP="00E90ECE" w14:paraId="53D0CA23" w14:textId="77777777">
            <w:pPr>
              <w:keepNext/>
              <w:jc w:val="right"/>
              <w:rPr>
                <w:sz w:val="20"/>
                <w:szCs w:val="20"/>
              </w:rPr>
            </w:pPr>
            <w:r w:rsidRPr="00E67B9E">
              <w:rPr>
                <w:sz w:val="20"/>
                <w:szCs w:val="20"/>
              </w:rPr>
              <w:t>14</w:t>
            </w:r>
          </w:p>
        </w:tc>
        <w:tc>
          <w:tcPr>
            <w:tcW w:w="575" w:type="pct"/>
            <w:shd w:val="clear" w:color="auto" w:fill="auto"/>
            <w:vAlign w:val="center"/>
          </w:tcPr>
          <w:p w:rsidR="001C2D13" w:rsidRPr="00E67B9E" w:rsidP="00E90ECE" w14:paraId="0BE77131" w14:textId="77777777">
            <w:pPr>
              <w:keepNext/>
              <w:jc w:val="right"/>
              <w:rPr>
                <w:sz w:val="20"/>
                <w:szCs w:val="20"/>
              </w:rPr>
            </w:pPr>
            <w:r w:rsidRPr="00E67B9E">
              <w:rPr>
                <w:sz w:val="20"/>
                <w:szCs w:val="20"/>
              </w:rPr>
              <w:t>1,742,104</w:t>
            </w:r>
          </w:p>
        </w:tc>
      </w:tr>
      <w:tr w14:paraId="2BF59A93" w14:textId="77777777" w:rsidTr="00E67B9E">
        <w:tblPrEx>
          <w:tblW w:w="5000" w:type="pct"/>
          <w:tblLayout w:type="fixed"/>
          <w:tblLook w:val="01E0"/>
        </w:tblPrEx>
        <w:trPr>
          <w:trHeight w:val="440"/>
        </w:trPr>
        <w:tc>
          <w:tcPr>
            <w:tcW w:w="1676" w:type="pct"/>
            <w:shd w:val="clear" w:color="auto" w:fill="auto"/>
            <w:vAlign w:val="center"/>
          </w:tcPr>
          <w:p w:rsidR="001C2D13" w:rsidRPr="00E67B9E" w:rsidP="00E90ECE" w14:paraId="719EE808" w14:textId="77777777">
            <w:pPr>
              <w:keepNext/>
              <w:rPr>
                <w:sz w:val="20"/>
                <w:szCs w:val="20"/>
              </w:rPr>
            </w:pPr>
            <w:r w:rsidRPr="00E67B9E">
              <w:rPr>
                <w:sz w:val="20"/>
                <w:szCs w:val="20"/>
              </w:rPr>
              <w:t>Total</w:t>
            </w:r>
          </w:p>
        </w:tc>
        <w:tc>
          <w:tcPr>
            <w:tcW w:w="741" w:type="pct"/>
            <w:shd w:val="clear" w:color="auto" w:fill="auto"/>
            <w:vAlign w:val="center"/>
          </w:tcPr>
          <w:p w:rsidR="001C2D13" w:rsidRPr="00E67B9E" w:rsidP="00E90ECE" w14:paraId="78386706" w14:textId="77777777">
            <w:pPr>
              <w:keepNext/>
              <w:jc w:val="right"/>
              <w:rPr>
                <w:sz w:val="20"/>
                <w:szCs w:val="20"/>
              </w:rPr>
            </w:pPr>
          </w:p>
        </w:tc>
        <w:tc>
          <w:tcPr>
            <w:tcW w:w="741" w:type="pct"/>
            <w:shd w:val="clear" w:color="auto" w:fill="auto"/>
            <w:vAlign w:val="center"/>
          </w:tcPr>
          <w:p w:rsidR="001C2D13" w:rsidRPr="00E67B9E" w:rsidP="00E90ECE" w14:paraId="26D55594" w14:textId="77777777">
            <w:pPr>
              <w:keepNext/>
              <w:jc w:val="right"/>
              <w:rPr>
                <w:sz w:val="20"/>
                <w:szCs w:val="20"/>
              </w:rPr>
            </w:pPr>
          </w:p>
        </w:tc>
        <w:tc>
          <w:tcPr>
            <w:tcW w:w="509" w:type="pct"/>
            <w:shd w:val="clear" w:color="auto" w:fill="auto"/>
            <w:vAlign w:val="center"/>
          </w:tcPr>
          <w:p w:rsidR="001C2D13" w:rsidRPr="00E67B9E" w:rsidP="00E90ECE" w14:paraId="6140E71B" w14:textId="77777777">
            <w:pPr>
              <w:keepNext/>
              <w:jc w:val="right"/>
              <w:rPr>
                <w:sz w:val="20"/>
                <w:szCs w:val="20"/>
              </w:rPr>
            </w:pPr>
            <w:r w:rsidRPr="00E67B9E">
              <w:rPr>
                <w:sz w:val="20"/>
                <w:szCs w:val="20"/>
              </w:rPr>
              <w:t>124443</w:t>
            </w:r>
          </w:p>
        </w:tc>
        <w:tc>
          <w:tcPr>
            <w:tcW w:w="758" w:type="pct"/>
            <w:shd w:val="clear" w:color="auto" w:fill="auto"/>
            <w:vAlign w:val="center"/>
          </w:tcPr>
          <w:p w:rsidR="001C2D13" w:rsidRPr="00E67B9E" w:rsidP="00E90ECE" w14:paraId="11EED692" w14:textId="77777777">
            <w:pPr>
              <w:keepNext/>
              <w:jc w:val="right"/>
              <w:rPr>
                <w:sz w:val="20"/>
                <w:szCs w:val="20"/>
              </w:rPr>
            </w:pPr>
          </w:p>
        </w:tc>
        <w:tc>
          <w:tcPr>
            <w:tcW w:w="575" w:type="pct"/>
            <w:shd w:val="clear" w:color="auto" w:fill="auto"/>
            <w:vAlign w:val="center"/>
          </w:tcPr>
          <w:p w:rsidR="001C2D13" w:rsidRPr="00E67B9E" w:rsidP="00E90ECE" w14:paraId="12AA57C3" w14:textId="77777777">
            <w:pPr>
              <w:keepNext/>
              <w:jc w:val="right"/>
              <w:rPr>
                <w:sz w:val="20"/>
                <w:szCs w:val="20"/>
              </w:rPr>
            </w:pPr>
            <w:r w:rsidRPr="00E67B9E">
              <w:rPr>
                <w:sz w:val="20"/>
                <w:szCs w:val="20"/>
              </w:rPr>
              <w:t>1,742,132</w:t>
            </w:r>
          </w:p>
        </w:tc>
      </w:tr>
    </w:tbl>
    <w:p w:rsidR="001C2D13" w:rsidRPr="001C2D13" w:rsidP="001C2D13" w14:paraId="0837BEDD" w14:textId="77777777">
      <w:pPr>
        <w:rPr>
          <w:sz w:val="18"/>
          <w:szCs w:val="18"/>
        </w:rPr>
      </w:pPr>
      <w:r>
        <w:rPr>
          <w:sz w:val="18"/>
          <w:szCs w:val="18"/>
          <w:vertAlign w:val="superscript"/>
        </w:rPr>
        <w:t>1</w:t>
      </w:r>
      <w:r w:rsidRPr="001C2D13">
        <w:rPr>
          <w:sz w:val="18"/>
          <w:szCs w:val="18"/>
          <w:vertAlign w:val="superscript"/>
        </w:rPr>
        <w:t xml:space="preserve"> </w:t>
      </w:r>
      <w:r w:rsidRPr="001C2D13">
        <w:rPr>
          <w:sz w:val="18"/>
          <w:szCs w:val="18"/>
        </w:rPr>
        <w:t>This estimate includes all recordkeeping by licensed medicated feed manufacturers under § 510.301.</w:t>
      </w:r>
    </w:p>
    <w:p w:rsidR="001C2D13" w:rsidRPr="001C2D13" w:rsidP="001C2D13" w14:paraId="5DA1E65F" w14:textId="77777777">
      <w:pPr>
        <w:rPr>
          <w:sz w:val="18"/>
          <w:szCs w:val="18"/>
        </w:rPr>
      </w:pPr>
      <w:r>
        <w:rPr>
          <w:sz w:val="18"/>
          <w:szCs w:val="18"/>
          <w:vertAlign w:val="superscript"/>
        </w:rPr>
        <w:t>2</w:t>
      </w:r>
      <w:r w:rsidRPr="001C2D13">
        <w:rPr>
          <w:sz w:val="18"/>
          <w:szCs w:val="18"/>
          <w:vertAlign w:val="superscript"/>
        </w:rPr>
        <w:t xml:space="preserve"> </w:t>
      </w:r>
      <w:r w:rsidRPr="001C2D13">
        <w:rPr>
          <w:sz w:val="18"/>
          <w:szCs w:val="18"/>
        </w:rPr>
        <w:t>This estimate includes all recordkeeping by applicants of approved NADAs, ANADAs, and conditional NADAs under §</w:t>
      </w:r>
      <w:r w:rsidR="009D223A">
        <w:rPr>
          <w:sz w:val="18"/>
          <w:szCs w:val="18"/>
        </w:rPr>
        <w:t xml:space="preserve"> 5</w:t>
      </w:r>
      <w:r w:rsidRPr="001C2D13">
        <w:rPr>
          <w:sz w:val="18"/>
          <w:szCs w:val="18"/>
        </w:rPr>
        <w:t>14.80(e).</w:t>
      </w:r>
    </w:p>
    <w:p w:rsidR="00E67B9E" w:rsidP="00DC371B" w14:paraId="270FAC4C" w14:textId="77777777">
      <w:pPr>
        <w:spacing w:after="200"/>
        <w:ind w:left="360"/>
        <w:rPr>
          <w:rFonts w:eastAsia="Calibri"/>
        </w:rPr>
      </w:pPr>
    </w:p>
    <w:p w:rsidR="00357C8A" w:rsidRPr="005C71CA" w:rsidP="00DC371B" w14:paraId="1F5194A9" w14:textId="77777777">
      <w:pPr>
        <w:spacing w:after="200"/>
        <w:ind w:left="360"/>
        <w:rPr>
          <w:rFonts w:eastAsia="Calibri"/>
        </w:rPr>
      </w:pPr>
      <w:r w:rsidRPr="005C71CA">
        <w:rPr>
          <w:rFonts w:eastAsia="Calibri"/>
        </w:rPr>
        <w:t>12b.  Annualized Cost Burden Estimate</w:t>
      </w:r>
    </w:p>
    <w:p w:rsidR="00A707CC" w:rsidP="0022425B" w14:paraId="17C0E1F3" w14:textId="77777777">
      <w:pPr>
        <w:rPr>
          <w:rFonts w:eastAsia="Calibri"/>
        </w:rPr>
      </w:pP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1890"/>
        <w:gridCol w:w="1944"/>
        <w:gridCol w:w="2556"/>
      </w:tblGrid>
      <w:tr w14:paraId="0D6E08A4" w14:textId="77777777" w:rsidTr="00E67B9E">
        <w:tblPrEx>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790" w:type="dxa"/>
            <w:shd w:val="clear" w:color="auto" w:fill="auto"/>
          </w:tcPr>
          <w:p w:rsidR="00A707CC" w:rsidRPr="00E67B9E" w:rsidP="00312622" w14:paraId="5DA8F6DA" w14:textId="77777777">
            <w:pPr>
              <w:jc w:val="center"/>
              <w:rPr>
                <w:sz w:val="20"/>
                <w:szCs w:val="20"/>
              </w:rPr>
            </w:pPr>
            <w:r w:rsidRPr="00E67B9E">
              <w:rPr>
                <w:sz w:val="20"/>
                <w:szCs w:val="20"/>
              </w:rPr>
              <w:t>Type of Respondent</w:t>
            </w:r>
          </w:p>
        </w:tc>
        <w:tc>
          <w:tcPr>
            <w:tcW w:w="1890" w:type="dxa"/>
            <w:shd w:val="clear" w:color="auto" w:fill="auto"/>
          </w:tcPr>
          <w:p w:rsidR="00A707CC" w:rsidRPr="00E67B9E" w:rsidP="00312622" w14:paraId="3612DF4A" w14:textId="77777777">
            <w:pPr>
              <w:jc w:val="center"/>
              <w:rPr>
                <w:sz w:val="20"/>
                <w:szCs w:val="20"/>
              </w:rPr>
            </w:pPr>
            <w:r w:rsidRPr="00E67B9E">
              <w:rPr>
                <w:sz w:val="20"/>
                <w:szCs w:val="20"/>
              </w:rPr>
              <w:t>Total Burden Hours</w:t>
            </w:r>
          </w:p>
        </w:tc>
        <w:tc>
          <w:tcPr>
            <w:tcW w:w="1944" w:type="dxa"/>
            <w:shd w:val="clear" w:color="auto" w:fill="auto"/>
          </w:tcPr>
          <w:p w:rsidR="00A707CC" w:rsidRPr="00E67B9E" w:rsidP="00312622" w14:paraId="0D0CE869" w14:textId="77777777">
            <w:pPr>
              <w:jc w:val="center"/>
              <w:rPr>
                <w:sz w:val="20"/>
                <w:szCs w:val="20"/>
                <w:vertAlign w:val="superscript"/>
              </w:rPr>
            </w:pPr>
            <w:r w:rsidRPr="00E67B9E">
              <w:rPr>
                <w:sz w:val="20"/>
                <w:szCs w:val="20"/>
              </w:rPr>
              <w:t>Hourly Wage Rate</w:t>
            </w:r>
            <w:r w:rsidRPr="00E67B9E" w:rsidR="00E67B9E">
              <w:rPr>
                <w:sz w:val="20"/>
                <w:szCs w:val="20"/>
                <w:vertAlign w:val="superscript"/>
              </w:rPr>
              <w:t>1</w:t>
            </w:r>
          </w:p>
        </w:tc>
        <w:tc>
          <w:tcPr>
            <w:tcW w:w="2556" w:type="dxa"/>
            <w:shd w:val="clear" w:color="auto" w:fill="auto"/>
          </w:tcPr>
          <w:p w:rsidR="00A707CC" w:rsidRPr="00E67B9E" w:rsidP="00312622" w14:paraId="433CC568" w14:textId="77777777">
            <w:pPr>
              <w:jc w:val="center"/>
              <w:rPr>
                <w:sz w:val="20"/>
                <w:szCs w:val="20"/>
              </w:rPr>
            </w:pPr>
            <w:r w:rsidRPr="00E67B9E">
              <w:rPr>
                <w:sz w:val="20"/>
                <w:szCs w:val="20"/>
              </w:rPr>
              <w:t>Total Respondent Costs</w:t>
            </w:r>
          </w:p>
        </w:tc>
      </w:tr>
      <w:tr w14:paraId="22774332" w14:textId="77777777" w:rsidTr="00E67B9E">
        <w:tblPrEx>
          <w:tblW w:w="9180" w:type="dxa"/>
          <w:tblInd w:w="558" w:type="dxa"/>
          <w:tblLook w:val="01E0"/>
        </w:tblPrEx>
        <w:tc>
          <w:tcPr>
            <w:tcW w:w="2790" w:type="dxa"/>
            <w:shd w:val="clear" w:color="auto" w:fill="auto"/>
          </w:tcPr>
          <w:p w:rsidR="00A707CC" w:rsidRPr="00E67B9E" w:rsidP="00312622" w14:paraId="514E3798" w14:textId="77777777">
            <w:pPr>
              <w:rPr>
                <w:sz w:val="20"/>
                <w:szCs w:val="20"/>
              </w:rPr>
            </w:pPr>
            <w:r w:rsidRPr="00E67B9E">
              <w:rPr>
                <w:sz w:val="20"/>
                <w:szCs w:val="20"/>
              </w:rPr>
              <w:t>Industry Compliance Officer</w:t>
            </w:r>
          </w:p>
        </w:tc>
        <w:tc>
          <w:tcPr>
            <w:tcW w:w="1890" w:type="dxa"/>
            <w:shd w:val="clear" w:color="auto" w:fill="auto"/>
          </w:tcPr>
          <w:p w:rsidR="00A707CC" w:rsidRPr="00E67B9E" w:rsidP="00E67B9E" w14:paraId="40B7AF04" w14:textId="77777777">
            <w:pPr>
              <w:jc w:val="right"/>
              <w:rPr>
                <w:sz w:val="20"/>
                <w:szCs w:val="20"/>
              </w:rPr>
            </w:pPr>
            <w:r w:rsidRPr="00E67B9E">
              <w:rPr>
                <w:sz w:val="20"/>
                <w:szCs w:val="20"/>
              </w:rPr>
              <w:t>1,936,481.5</w:t>
            </w:r>
          </w:p>
        </w:tc>
        <w:tc>
          <w:tcPr>
            <w:tcW w:w="1944" w:type="dxa"/>
            <w:shd w:val="clear" w:color="auto" w:fill="auto"/>
          </w:tcPr>
          <w:p w:rsidR="00A707CC" w:rsidRPr="00E67B9E" w:rsidP="00E67B9E" w14:paraId="61C1FC66" w14:textId="77777777">
            <w:pPr>
              <w:jc w:val="right"/>
              <w:rPr>
                <w:sz w:val="20"/>
                <w:szCs w:val="20"/>
              </w:rPr>
            </w:pPr>
            <w:r>
              <w:rPr>
                <w:sz w:val="20"/>
                <w:szCs w:val="20"/>
              </w:rPr>
              <w:t>$58.96</w:t>
            </w:r>
          </w:p>
        </w:tc>
        <w:tc>
          <w:tcPr>
            <w:tcW w:w="2556" w:type="dxa"/>
            <w:shd w:val="clear" w:color="auto" w:fill="auto"/>
          </w:tcPr>
          <w:p w:rsidR="00A707CC" w:rsidRPr="00E67B9E" w:rsidP="00E67B9E" w14:paraId="69FCCDFD" w14:textId="77777777">
            <w:pPr>
              <w:jc w:val="right"/>
              <w:rPr>
                <w:sz w:val="20"/>
                <w:szCs w:val="20"/>
              </w:rPr>
            </w:pPr>
            <w:r>
              <w:rPr>
                <w:sz w:val="20"/>
                <w:szCs w:val="20"/>
              </w:rPr>
              <w:t>$</w:t>
            </w:r>
            <w:r w:rsidRPr="00E67B9E">
              <w:rPr>
                <w:sz w:val="20"/>
                <w:szCs w:val="20"/>
              </w:rPr>
              <w:t>114,174,949.24</w:t>
            </w:r>
          </w:p>
        </w:tc>
      </w:tr>
    </w:tbl>
    <w:p w:rsidR="00E67B9E" w:rsidP="00E67B9E" w14:paraId="5459984D" w14:textId="77777777">
      <w:pPr>
        <w:autoSpaceDE w:val="0"/>
        <w:autoSpaceDN w:val="0"/>
        <w:adjustRightInd w:val="0"/>
        <w:rPr>
          <w:color w:val="000000"/>
          <w:sz w:val="18"/>
          <w:szCs w:val="18"/>
        </w:rPr>
      </w:pPr>
      <w:r>
        <w:rPr>
          <w:color w:val="000000"/>
          <w:sz w:val="18"/>
          <w:szCs w:val="18"/>
          <w:vertAlign w:val="superscript"/>
        </w:rPr>
        <w:t xml:space="preserve">              </w:t>
      </w:r>
      <w:r w:rsidRPr="00E67B9E">
        <w:rPr>
          <w:color w:val="000000"/>
          <w:sz w:val="18"/>
          <w:szCs w:val="18"/>
          <w:vertAlign w:val="superscript"/>
        </w:rPr>
        <w:t>1</w:t>
      </w:r>
      <w:r>
        <w:rPr>
          <w:color w:val="000000"/>
          <w:sz w:val="12"/>
          <w:szCs w:val="12"/>
        </w:rPr>
        <w:t xml:space="preserve"> </w:t>
      </w:r>
      <w:r>
        <w:rPr>
          <w:color w:val="000000"/>
          <w:sz w:val="18"/>
          <w:szCs w:val="18"/>
        </w:rPr>
        <w:t>May 2023 National Industry-Specific Occupational Employment and Wage Estimates, Bureau of Labor Statistics and</w:t>
      </w:r>
    </w:p>
    <w:p w:rsidR="00E67B9E" w:rsidP="00E67B9E" w14:paraId="0C349239" w14:textId="77777777">
      <w:pPr>
        <w:autoSpaceDE w:val="0"/>
        <w:autoSpaceDN w:val="0"/>
        <w:adjustRightInd w:val="0"/>
        <w:rPr>
          <w:color w:val="000000"/>
          <w:sz w:val="18"/>
          <w:szCs w:val="18"/>
        </w:rPr>
      </w:pPr>
      <w:r>
        <w:rPr>
          <w:color w:val="000000"/>
          <w:sz w:val="18"/>
          <w:szCs w:val="18"/>
        </w:rPr>
        <w:t xml:space="preserve">          including 30% for benefits (</w:t>
      </w:r>
      <w:hyperlink r:id="rId8" w:history="1">
        <w:r w:rsidRPr="00E67B9E">
          <w:rPr>
            <w:rStyle w:val="Hyperlink"/>
            <w:sz w:val="18"/>
            <w:szCs w:val="18"/>
          </w:rPr>
          <w:t>https://www.bls.gov/oes/2023/may/oes131041.htm#ind</w:t>
        </w:r>
      </w:hyperlink>
      <w:r>
        <w:rPr>
          <w:color w:val="000000"/>
          <w:sz w:val="18"/>
          <w:szCs w:val="18"/>
        </w:rPr>
        <w:t>).</w:t>
      </w:r>
    </w:p>
    <w:p w:rsidR="00357C8A" w:rsidRPr="00357C8A" w:rsidP="00357C8A" w14:paraId="57DA5CC9" w14:textId="77777777">
      <w:pPr>
        <w:rPr>
          <w:rFonts w:eastAsia="Calibri"/>
        </w:rPr>
      </w:pPr>
    </w:p>
    <w:p w:rsidR="00357C8A" w:rsidRPr="00357C8A" w:rsidP="006705EA" w14:paraId="6F26812E"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3336ACB6" w14:textId="77777777">
      <w:pPr>
        <w:spacing w:after="200" w:line="276" w:lineRule="auto"/>
        <w:rPr>
          <w:rFonts w:eastAsia="Calibri"/>
          <w:u w:val="single"/>
        </w:rPr>
      </w:pPr>
      <w:r w:rsidRPr="00AE2C4E">
        <w:rPr>
          <w:rFonts w:eastAsia="Calibri"/>
        </w:rPr>
        <w:t>There are no capital, start-up, operating or maintenance costs associated with this information collection.</w:t>
      </w:r>
    </w:p>
    <w:p w:rsidR="00357C8A" w:rsidRPr="00357C8A" w:rsidP="006705EA" w14:paraId="538C8447"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50BB808B" w14:textId="77777777">
      <w:pPr>
        <w:spacing w:after="200"/>
        <w:rPr>
          <w:rFonts w:eastAsia="Calibri"/>
        </w:rPr>
      </w:pPr>
      <w:r>
        <w:t xml:space="preserve">We estimate Federal government costs in the amount of $3,000,000 to reflect a percentage of the agency’s overall </w:t>
      </w:r>
      <w:r w:rsidR="00625B6D">
        <w:t>expenditure</w:t>
      </w:r>
      <w:r>
        <w:t xml:space="preserve"> to maintain its adverse event information collection activities.</w:t>
      </w:r>
      <w:r>
        <w:rPr>
          <w:rFonts w:eastAsia="Calibri"/>
        </w:rPr>
        <w:t xml:space="preserve"> </w:t>
      </w:r>
    </w:p>
    <w:p w:rsidR="00357C8A" w:rsidP="006705EA" w14:paraId="443F2BCA"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902240" w:rsidP="00357C8A" w14:paraId="467FAF50" w14:textId="77777777">
      <w:pPr>
        <w:spacing w:after="200"/>
        <w:rPr>
          <w:rFonts w:eastAsia="Calibri"/>
        </w:rPr>
      </w:pPr>
      <w:r w:rsidRPr="00902240">
        <w:rPr>
          <w:rFonts w:eastAsia="Calibri"/>
        </w:rPr>
        <w:t xml:space="preserve">Upon review of the information collection, we have adjusted our estimated burden to reflect an overall increase of </w:t>
      </w:r>
      <w:r>
        <w:rPr>
          <w:rFonts w:eastAsia="Calibri"/>
        </w:rPr>
        <w:t>22,073.50</w:t>
      </w:r>
      <w:r w:rsidRPr="00902240">
        <w:rPr>
          <w:rFonts w:eastAsia="Calibri"/>
        </w:rPr>
        <w:t xml:space="preserve"> hours and </w:t>
      </w:r>
      <w:r>
        <w:rPr>
          <w:rFonts w:eastAsia="Calibri"/>
        </w:rPr>
        <w:t>15,117</w:t>
      </w:r>
      <w:r w:rsidRPr="00902240">
        <w:rPr>
          <w:rFonts w:eastAsia="Calibri"/>
        </w:rPr>
        <w:t xml:space="preserve"> responses/records, annually to correspond with current submission data.</w:t>
      </w:r>
    </w:p>
    <w:p w:rsidR="00357C8A" w:rsidRPr="00357C8A" w:rsidP="006705EA" w14:paraId="2B755C1E"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7C8A" w:rsidP="00357C8A" w14:paraId="505BAC63" w14:textId="77777777">
      <w:pPr>
        <w:spacing w:after="200"/>
        <w:rPr>
          <w:rFonts w:eastAsia="Calibri"/>
          <w:color w:val="FF0000"/>
        </w:rPr>
      </w:pPr>
      <w:r w:rsidRPr="005C71CA">
        <w:rPr>
          <w:rFonts w:eastAsia="Calibri"/>
        </w:rPr>
        <w:t>This information collected will not be published or tabulated.</w:t>
      </w:r>
    </w:p>
    <w:p w:rsidR="00357C8A" w:rsidRPr="00357C8A" w:rsidP="006705EA" w14:paraId="67F1225C"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902240" w:rsidRPr="00902240" w:rsidP="00902240" w14:paraId="28C01FCE" w14:textId="77777777">
      <w:pPr>
        <w:spacing w:after="200"/>
        <w:rPr>
          <w:rFonts w:eastAsia="Calibri"/>
        </w:rPr>
      </w:pPr>
      <w:r w:rsidRPr="00902240">
        <w:rPr>
          <w:rFonts w:eastAsia="Calibri"/>
        </w:rPr>
        <w:t>Display of the OMB Expiration Date is appropriate.</w:t>
      </w:r>
    </w:p>
    <w:p w:rsidR="00357C8A" w:rsidRPr="00357C8A" w:rsidP="006705EA" w14:paraId="6D90E964"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902240" w14:paraId="6B568D13" w14:textId="77777777">
      <w:pPr>
        <w:spacing w:after="200"/>
        <w:rPr>
          <w:rFonts w:eastAsia="Calibri"/>
        </w:rPr>
      </w:pPr>
      <w:r w:rsidRPr="007E59A8">
        <w:rPr>
          <w:rFonts w:eastAsia="Calibri"/>
        </w:rPr>
        <w:t>There are no exceptions to the certification</w:t>
      </w:r>
      <w:r>
        <w:rPr>
          <w:rFonts w:eastAsia="Calibri"/>
        </w:rPr>
        <w:t>.</w:t>
      </w:r>
    </w:p>
    <w:sectPr w:rsidSect="005C71CA">
      <w:footerReference w:type="even" r:id="rId9"/>
      <w:footerReference w:type="default" r:id="rId10"/>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D375FB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20602D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A3EAB6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142FA8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06033529">
    <w:abstractNumId w:val="5"/>
  </w:num>
  <w:num w:numId="2" w16cid:durableId="233668369">
    <w:abstractNumId w:val="1"/>
  </w:num>
  <w:num w:numId="3" w16cid:durableId="289242504">
    <w:abstractNumId w:val="6"/>
  </w:num>
  <w:num w:numId="4" w16cid:durableId="336612516">
    <w:abstractNumId w:val="3"/>
  </w:num>
  <w:num w:numId="5" w16cid:durableId="1759015746">
    <w:abstractNumId w:val="7"/>
  </w:num>
  <w:num w:numId="6" w16cid:durableId="1770927197">
    <w:abstractNumId w:val="0"/>
  </w:num>
  <w:num w:numId="7" w16cid:durableId="64770334">
    <w:abstractNumId w:val="2"/>
    <w:lvlOverride w:ilvl="0"/>
    <w:lvlOverride w:ilvl="1"/>
    <w:lvlOverride w:ilvl="2"/>
    <w:lvlOverride w:ilvl="3"/>
    <w:lvlOverride w:ilvl="4"/>
    <w:lvlOverride w:ilvl="5"/>
    <w:lvlOverride w:ilvl="6"/>
    <w:lvlOverride w:ilvl="7"/>
    <w:lvlOverride w:ilvl="8"/>
  </w:num>
  <w:num w:numId="8" w16cid:durableId="86941856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8"/>
    <w:rsid w:val="0000697E"/>
    <w:rsid w:val="000149F5"/>
    <w:rsid w:val="000161E3"/>
    <w:rsid w:val="00031A2C"/>
    <w:rsid w:val="00042B93"/>
    <w:rsid w:val="00043C7F"/>
    <w:rsid w:val="000467A8"/>
    <w:rsid w:val="00064513"/>
    <w:rsid w:val="0006570F"/>
    <w:rsid w:val="00075DE8"/>
    <w:rsid w:val="00087439"/>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7950"/>
    <w:rsid w:val="00140762"/>
    <w:rsid w:val="00144749"/>
    <w:rsid w:val="00152F29"/>
    <w:rsid w:val="00174D54"/>
    <w:rsid w:val="0017702C"/>
    <w:rsid w:val="00185270"/>
    <w:rsid w:val="001A3B5A"/>
    <w:rsid w:val="001A458C"/>
    <w:rsid w:val="001B7CE9"/>
    <w:rsid w:val="001C2D13"/>
    <w:rsid w:val="001D495A"/>
    <w:rsid w:val="001E244C"/>
    <w:rsid w:val="001F1437"/>
    <w:rsid w:val="001F23A5"/>
    <w:rsid w:val="00206799"/>
    <w:rsid w:val="002074FE"/>
    <w:rsid w:val="0022425B"/>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D57FA"/>
    <w:rsid w:val="002E3FA4"/>
    <w:rsid w:val="002E53A5"/>
    <w:rsid w:val="002E64B8"/>
    <w:rsid w:val="002E6834"/>
    <w:rsid w:val="0030015C"/>
    <w:rsid w:val="003113FF"/>
    <w:rsid w:val="00312622"/>
    <w:rsid w:val="0032277F"/>
    <w:rsid w:val="00327B3E"/>
    <w:rsid w:val="00336B69"/>
    <w:rsid w:val="0034302B"/>
    <w:rsid w:val="00350523"/>
    <w:rsid w:val="0035189D"/>
    <w:rsid w:val="00355B62"/>
    <w:rsid w:val="00357C8A"/>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6B91"/>
    <w:rsid w:val="004846BF"/>
    <w:rsid w:val="00494912"/>
    <w:rsid w:val="004A5323"/>
    <w:rsid w:val="004A5A99"/>
    <w:rsid w:val="004C6979"/>
    <w:rsid w:val="004D13A2"/>
    <w:rsid w:val="004D3E7A"/>
    <w:rsid w:val="004F594B"/>
    <w:rsid w:val="004F61E1"/>
    <w:rsid w:val="0053380B"/>
    <w:rsid w:val="00543194"/>
    <w:rsid w:val="00544138"/>
    <w:rsid w:val="00554E34"/>
    <w:rsid w:val="00571A80"/>
    <w:rsid w:val="00584583"/>
    <w:rsid w:val="00590E90"/>
    <w:rsid w:val="00590EEB"/>
    <w:rsid w:val="00591312"/>
    <w:rsid w:val="00593EE1"/>
    <w:rsid w:val="005A4099"/>
    <w:rsid w:val="005C38B2"/>
    <w:rsid w:val="005C5029"/>
    <w:rsid w:val="005C55C2"/>
    <w:rsid w:val="005C71CA"/>
    <w:rsid w:val="005C745C"/>
    <w:rsid w:val="005D4DF5"/>
    <w:rsid w:val="005E42BA"/>
    <w:rsid w:val="00611D6B"/>
    <w:rsid w:val="00625B6D"/>
    <w:rsid w:val="00625CFD"/>
    <w:rsid w:val="006326EC"/>
    <w:rsid w:val="00663A42"/>
    <w:rsid w:val="006641C7"/>
    <w:rsid w:val="006705EA"/>
    <w:rsid w:val="00670BE2"/>
    <w:rsid w:val="006916D9"/>
    <w:rsid w:val="006A0E05"/>
    <w:rsid w:val="006A26C6"/>
    <w:rsid w:val="006A465A"/>
    <w:rsid w:val="006A7D5D"/>
    <w:rsid w:val="006D0C12"/>
    <w:rsid w:val="006D5D57"/>
    <w:rsid w:val="006E2538"/>
    <w:rsid w:val="006E302F"/>
    <w:rsid w:val="006F4D6D"/>
    <w:rsid w:val="00705086"/>
    <w:rsid w:val="00722001"/>
    <w:rsid w:val="00727CDF"/>
    <w:rsid w:val="00744525"/>
    <w:rsid w:val="00751E66"/>
    <w:rsid w:val="00754497"/>
    <w:rsid w:val="00773201"/>
    <w:rsid w:val="00787C39"/>
    <w:rsid w:val="00792947"/>
    <w:rsid w:val="00795DF3"/>
    <w:rsid w:val="007A373C"/>
    <w:rsid w:val="007B225C"/>
    <w:rsid w:val="007C75B1"/>
    <w:rsid w:val="007D3DFC"/>
    <w:rsid w:val="007E2F07"/>
    <w:rsid w:val="007E59A8"/>
    <w:rsid w:val="0080776D"/>
    <w:rsid w:val="00810145"/>
    <w:rsid w:val="008108FA"/>
    <w:rsid w:val="00810FF1"/>
    <w:rsid w:val="00822336"/>
    <w:rsid w:val="00823DFA"/>
    <w:rsid w:val="00824DE0"/>
    <w:rsid w:val="00842DB7"/>
    <w:rsid w:val="00843752"/>
    <w:rsid w:val="0084479F"/>
    <w:rsid w:val="0085725E"/>
    <w:rsid w:val="00873D4F"/>
    <w:rsid w:val="0087509F"/>
    <w:rsid w:val="00885B09"/>
    <w:rsid w:val="00892400"/>
    <w:rsid w:val="008A209D"/>
    <w:rsid w:val="008A22BB"/>
    <w:rsid w:val="008B035D"/>
    <w:rsid w:val="008B0E29"/>
    <w:rsid w:val="008B0EFA"/>
    <w:rsid w:val="008B30AB"/>
    <w:rsid w:val="008C3BB8"/>
    <w:rsid w:val="008C4B65"/>
    <w:rsid w:val="008E5F55"/>
    <w:rsid w:val="009009E7"/>
    <w:rsid w:val="00902240"/>
    <w:rsid w:val="00905DEF"/>
    <w:rsid w:val="00906056"/>
    <w:rsid w:val="009122AE"/>
    <w:rsid w:val="00913B43"/>
    <w:rsid w:val="00930203"/>
    <w:rsid w:val="009311D2"/>
    <w:rsid w:val="009311E6"/>
    <w:rsid w:val="00931275"/>
    <w:rsid w:val="00936AC7"/>
    <w:rsid w:val="00947761"/>
    <w:rsid w:val="00953B64"/>
    <w:rsid w:val="009646A7"/>
    <w:rsid w:val="00970A88"/>
    <w:rsid w:val="009818A1"/>
    <w:rsid w:val="009A1674"/>
    <w:rsid w:val="009B38BE"/>
    <w:rsid w:val="009B4DF2"/>
    <w:rsid w:val="009C24F5"/>
    <w:rsid w:val="009C684F"/>
    <w:rsid w:val="009D074C"/>
    <w:rsid w:val="009D223A"/>
    <w:rsid w:val="009D6E73"/>
    <w:rsid w:val="009F1F1D"/>
    <w:rsid w:val="009F2B4F"/>
    <w:rsid w:val="009F3C63"/>
    <w:rsid w:val="009F66B5"/>
    <w:rsid w:val="00A02F10"/>
    <w:rsid w:val="00A1060C"/>
    <w:rsid w:val="00A16221"/>
    <w:rsid w:val="00A20A7D"/>
    <w:rsid w:val="00A35D42"/>
    <w:rsid w:val="00A42C3B"/>
    <w:rsid w:val="00A46CCF"/>
    <w:rsid w:val="00A506DE"/>
    <w:rsid w:val="00A53451"/>
    <w:rsid w:val="00A70426"/>
    <w:rsid w:val="00A707CC"/>
    <w:rsid w:val="00A71410"/>
    <w:rsid w:val="00A91E9A"/>
    <w:rsid w:val="00A93ED9"/>
    <w:rsid w:val="00A96221"/>
    <w:rsid w:val="00AC2DBB"/>
    <w:rsid w:val="00AC6A99"/>
    <w:rsid w:val="00AD6048"/>
    <w:rsid w:val="00AE2C4E"/>
    <w:rsid w:val="00AF0A45"/>
    <w:rsid w:val="00B055EF"/>
    <w:rsid w:val="00B06B5B"/>
    <w:rsid w:val="00B23769"/>
    <w:rsid w:val="00B41789"/>
    <w:rsid w:val="00B81808"/>
    <w:rsid w:val="00B86DFA"/>
    <w:rsid w:val="00B936D0"/>
    <w:rsid w:val="00BB15FB"/>
    <w:rsid w:val="00BD3D5B"/>
    <w:rsid w:val="00BE3600"/>
    <w:rsid w:val="00C01F6F"/>
    <w:rsid w:val="00C041EA"/>
    <w:rsid w:val="00C13BBD"/>
    <w:rsid w:val="00C149AB"/>
    <w:rsid w:val="00C16929"/>
    <w:rsid w:val="00C20690"/>
    <w:rsid w:val="00C36020"/>
    <w:rsid w:val="00C40694"/>
    <w:rsid w:val="00C40A0D"/>
    <w:rsid w:val="00C479BF"/>
    <w:rsid w:val="00C5124B"/>
    <w:rsid w:val="00C70542"/>
    <w:rsid w:val="00C71649"/>
    <w:rsid w:val="00C75CBF"/>
    <w:rsid w:val="00CC2894"/>
    <w:rsid w:val="00CD77C3"/>
    <w:rsid w:val="00CE112C"/>
    <w:rsid w:val="00CF55D4"/>
    <w:rsid w:val="00D0402C"/>
    <w:rsid w:val="00D608DA"/>
    <w:rsid w:val="00D730BF"/>
    <w:rsid w:val="00D852F4"/>
    <w:rsid w:val="00DB1110"/>
    <w:rsid w:val="00DB3730"/>
    <w:rsid w:val="00DC371B"/>
    <w:rsid w:val="00DC3788"/>
    <w:rsid w:val="00DC76C7"/>
    <w:rsid w:val="00DD09F5"/>
    <w:rsid w:val="00DD0E02"/>
    <w:rsid w:val="00DD4201"/>
    <w:rsid w:val="00DD5E9F"/>
    <w:rsid w:val="00DE5711"/>
    <w:rsid w:val="00E00EA0"/>
    <w:rsid w:val="00E021CB"/>
    <w:rsid w:val="00E12148"/>
    <w:rsid w:val="00E138F1"/>
    <w:rsid w:val="00E2309D"/>
    <w:rsid w:val="00E26758"/>
    <w:rsid w:val="00E4357B"/>
    <w:rsid w:val="00E443A7"/>
    <w:rsid w:val="00E45904"/>
    <w:rsid w:val="00E63DE5"/>
    <w:rsid w:val="00E63F28"/>
    <w:rsid w:val="00E647AF"/>
    <w:rsid w:val="00E647C7"/>
    <w:rsid w:val="00E65A37"/>
    <w:rsid w:val="00E65EF7"/>
    <w:rsid w:val="00E67B9E"/>
    <w:rsid w:val="00E77B48"/>
    <w:rsid w:val="00E857FB"/>
    <w:rsid w:val="00E90ECE"/>
    <w:rsid w:val="00E91799"/>
    <w:rsid w:val="00E97DF8"/>
    <w:rsid w:val="00EA21FE"/>
    <w:rsid w:val="00EA34E3"/>
    <w:rsid w:val="00EB7538"/>
    <w:rsid w:val="00EC1868"/>
    <w:rsid w:val="00EE6468"/>
    <w:rsid w:val="00F1299B"/>
    <w:rsid w:val="00F207A4"/>
    <w:rsid w:val="00F25173"/>
    <w:rsid w:val="00F355AC"/>
    <w:rsid w:val="00F40CF7"/>
    <w:rsid w:val="00F44194"/>
    <w:rsid w:val="00F71A5A"/>
    <w:rsid w:val="00F73A1A"/>
    <w:rsid w:val="00F769E0"/>
    <w:rsid w:val="00FA4A46"/>
    <w:rsid w:val="00FA75FE"/>
    <w:rsid w:val="00FB1032"/>
    <w:rsid w:val="00FB39BC"/>
    <w:rsid w:val="00FB6A53"/>
    <w:rsid w:val="00FC11CA"/>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011B7A"/>
  <w15:chartTrackingRefBased/>
  <w15:docId w15:val="{07708924-6FE6-405A-B3CC-7F9F5AD1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30015C"/>
    <w:rPr>
      <w:sz w:val="16"/>
      <w:szCs w:val="16"/>
    </w:rPr>
  </w:style>
  <w:style w:type="paragraph" w:styleId="CommentText">
    <w:name w:val="annotation text"/>
    <w:basedOn w:val="Normal"/>
    <w:link w:val="CommentTextChar"/>
    <w:rsid w:val="0030015C"/>
    <w:rPr>
      <w:sz w:val="20"/>
      <w:szCs w:val="20"/>
    </w:rPr>
  </w:style>
  <w:style w:type="character" w:customStyle="1" w:styleId="CommentTextChar">
    <w:name w:val="Comment Text Char"/>
    <w:basedOn w:val="DefaultParagraphFont"/>
    <w:link w:val="CommentText"/>
    <w:rsid w:val="0030015C"/>
  </w:style>
  <w:style w:type="paragraph" w:styleId="CommentSubject">
    <w:name w:val="annotation subject"/>
    <w:basedOn w:val="CommentText"/>
    <w:next w:val="CommentText"/>
    <w:link w:val="CommentSubjectChar"/>
    <w:rsid w:val="0030015C"/>
    <w:rPr>
      <w:b/>
      <w:bCs/>
    </w:rPr>
  </w:style>
  <w:style w:type="character" w:customStyle="1" w:styleId="CommentSubjectChar">
    <w:name w:val="Comment Subject Char"/>
    <w:link w:val="CommentSubject"/>
    <w:rsid w:val="00300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industry/small-business-assistance" TargetMode="External" /><Relationship Id="rId8" Type="http://schemas.openxmlformats.org/officeDocument/2006/relationships/hyperlink" Target="https://www.bls.gov/oes/2023/may/oes131041.htm%23ind"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10" ma:contentTypeDescription="Create a new document." ma:contentTypeScope="" ma:versionID="6098b3856380be01844975062a29d424">
  <xsd:schema xmlns:xsd="http://www.w3.org/2001/XMLSchema" xmlns:xs="http://www.w3.org/2001/XMLSchema" xmlns:p="http://schemas.microsoft.com/office/2006/metadata/properties" xmlns:ns2="7389913f-922f-4e80-b417-8e04b3f2c4f9" xmlns:ns3="dc5bc271-7e60-4bc3-821c-602e6e911f84" targetNamespace="http://schemas.microsoft.com/office/2006/metadata/properties" ma:root="true" ma:fieldsID="724ebd4775debfca2fe5114790e12a24" ns2:_="" ns3:_="">
    <xsd:import namespace="7389913f-922f-4e80-b417-8e04b3f2c4f9"/>
    <xsd:import namespace="dc5bc271-7e60-4bc3-821c-602e6e911f84"/>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bc271-7e60-4bc3-821c-602e6e911f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eforeICRFlag xmlns="7389913f-922f-4e80-b417-8e04b3f2c4f9">false</BeforeICRFlag>
  </documentManagement>
</p:properties>
</file>

<file path=customXml/itemProps1.xml><?xml version="1.0" encoding="utf-8"?>
<ds:datastoreItem xmlns:ds="http://schemas.openxmlformats.org/officeDocument/2006/customXml" ds:itemID="{64248836-5629-48F1-B6F4-6019D9D77B68}">
  <ds:schemaRefs>
    <ds:schemaRef ds:uri="http://schemas.microsoft.com/sharepoint/v3/contenttype/forms"/>
  </ds:schemaRefs>
</ds:datastoreItem>
</file>

<file path=customXml/itemProps2.xml><?xml version="1.0" encoding="utf-8"?>
<ds:datastoreItem xmlns:ds="http://schemas.openxmlformats.org/officeDocument/2006/customXml" ds:itemID="{FD9C2AC9-A1FA-42BC-8A4A-8B9C8228E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dc5bc271-7e60-4bc3-821c-602e6e911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C4CC4-3E1F-4D96-B79C-7EA544E32D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Covington, Kelly</cp:lastModifiedBy>
  <cp:revision>2</cp:revision>
  <cp:lastPrinted>2019-07-03T16:25:00Z</cp:lastPrinted>
  <dcterms:created xsi:type="dcterms:W3CDTF">2026-05-26T13:00:00Z</dcterms:created>
  <dcterms:modified xsi:type="dcterms:W3CDTF">2026-05-26T13:00:00Z</dcterms:modified>
</cp:coreProperties>
</file>