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60A49186" w14:textId="2B7C60EF">
      <w:pPr>
        <w:jc w:val="center"/>
        <w:rPr>
          <w:rFonts w:eastAsia="Calibri"/>
        </w:rPr>
      </w:pPr>
      <w:r w:rsidRPr="00357C8A">
        <w:rPr>
          <w:rFonts w:eastAsia="Calibri"/>
        </w:rPr>
        <w:t>United States Food and Drug Administration</w:t>
      </w:r>
    </w:p>
    <w:p w:rsidR="00357C8A" w:rsidP="00357C8A" w14:paraId="246FB3B9" w14:textId="77777777">
      <w:pPr>
        <w:jc w:val="center"/>
        <w:rPr>
          <w:rFonts w:eastAsia="Calibri"/>
        </w:rPr>
      </w:pPr>
    </w:p>
    <w:p w:rsidR="00357C8A" w:rsidP="00357C8A" w14:paraId="6C4E8537" w14:textId="1352E877">
      <w:pPr>
        <w:jc w:val="center"/>
        <w:rPr>
          <w:rFonts w:eastAsia="Calibri"/>
        </w:rPr>
      </w:pPr>
      <w:r>
        <w:t>New Animal Drugs for Minor Use and Minor Species</w:t>
      </w:r>
    </w:p>
    <w:p w:rsidR="00357C8A" w:rsidP="00357C8A" w14:paraId="1B5973FD" w14:textId="77777777">
      <w:pPr>
        <w:jc w:val="center"/>
        <w:rPr>
          <w:rFonts w:eastAsia="Calibri"/>
        </w:rPr>
      </w:pPr>
    </w:p>
    <w:p w:rsidR="00357C8A" w:rsidP="00357C8A" w14:paraId="51C35EB1" w14:textId="6878D250">
      <w:pPr>
        <w:jc w:val="center"/>
        <w:rPr>
          <w:rFonts w:eastAsia="Calibri"/>
        </w:rPr>
      </w:pPr>
      <w:r w:rsidRPr="00357C8A">
        <w:rPr>
          <w:rFonts w:eastAsia="Calibri"/>
        </w:rPr>
        <w:t>OMB Control No. 0910-</w:t>
      </w:r>
      <w:r w:rsidR="0073066A">
        <w:rPr>
          <w:rFonts w:eastAsia="Calibri"/>
        </w:rPr>
        <w:t>0605</w:t>
      </w:r>
      <w:r w:rsidR="00727CDF">
        <w:rPr>
          <w:rFonts w:eastAsia="Calibri"/>
        </w:rPr>
        <w:t xml:space="preserve"> -- EXTENSION</w:t>
      </w:r>
    </w:p>
    <w:p w:rsidR="00357C8A" w:rsidP="00357C8A" w14:paraId="4F148577" w14:textId="77777777">
      <w:pPr>
        <w:jc w:val="center"/>
        <w:rPr>
          <w:rFonts w:eastAsia="Calibri"/>
        </w:rPr>
      </w:pPr>
    </w:p>
    <w:p w:rsidR="00357C8A" w:rsidP="00357C8A" w14:paraId="615105EA" w14:textId="77777777">
      <w:pPr>
        <w:jc w:val="center"/>
        <w:rPr>
          <w:rFonts w:eastAsia="Calibri"/>
        </w:rPr>
      </w:pPr>
      <w:r w:rsidRPr="00357C8A">
        <w:rPr>
          <w:rFonts w:eastAsia="Calibri"/>
        </w:rPr>
        <w:t>SUPPORTING STATEMENT</w:t>
      </w:r>
    </w:p>
    <w:p w:rsidR="009B4DF2" w:rsidP="00357C8A" w14:paraId="7C5CBA1F" w14:textId="77777777">
      <w:pPr>
        <w:jc w:val="center"/>
        <w:rPr>
          <w:rFonts w:eastAsia="Calibri"/>
        </w:rPr>
      </w:pPr>
    </w:p>
    <w:p w:rsidR="009B4DF2" w:rsidP="009B4DF2" w14:paraId="0C5D287B" w14:textId="7ED38030">
      <w:r w:rsidRPr="009122AE">
        <w:rPr>
          <w:rFonts w:eastAsia="Calibri"/>
          <w:u w:val="single"/>
        </w:rPr>
        <w:t>Terms of Clearance</w:t>
      </w:r>
      <w:r>
        <w:rPr>
          <w:rFonts w:eastAsia="Calibri"/>
        </w:rPr>
        <w:t xml:space="preserve">: </w:t>
      </w:r>
      <w:r w:rsidR="0073066A">
        <w:rPr>
          <w:rFonts w:eastAsia="Calibri"/>
        </w:rPr>
        <w:t>None.</w:t>
      </w:r>
    </w:p>
    <w:p w:rsidR="00C71649" w:rsidP="009B4DF2" w14:paraId="6CE6BBD7" w14:textId="77777777"/>
    <w:p w:rsidR="00357C8A" w:rsidP="000D79CC" w14:paraId="6AC11A0B" w14:textId="77777777">
      <w:pPr>
        <w:rPr>
          <w:rFonts w:eastAsia="Calibri"/>
        </w:rPr>
      </w:pPr>
      <w:r w:rsidRPr="00357C8A">
        <w:rPr>
          <w:rFonts w:eastAsia="Calibri"/>
          <w:b/>
        </w:rPr>
        <w:t>Part A:  Justification</w:t>
      </w:r>
      <w:r w:rsidRPr="00357C8A">
        <w:rPr>
          <w:rFonts w:eastAsia="Calibri"/>
        </w:rPr>
        <w:t>:</w:t>
      </w:r>
    </w:p>
    <w:p w:rsidR="000D79CC" w:rsidRPr="00357C8A" w:rsidP="000D79CC" w14:paraId="0D110A6A" w14:textId="77777777">
      <w:pPr>
        <w:rPr>
          <w:rFonts w:eastAsia="Calibri"/>
        </w:rPr>
      </w:pPr>
    </w:p>
    <w:p w:rsidR="00357C8A" w:rsidRPr="00357C8A" w:rsidP="006705EA" w14:paraId="61C945F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3066A" w:rsidP="0073066A" w14:paraId="33DA52DC" w14:textId="2D9A0FBF">
      <w:pPr>
        <w:rPr>
          <w:rFonts w:eastAsia="Calibri"/>
        </w:rPr>
      </w:pPr>
      <w:r w:rsidRPr="0073066A">
        <w:rPr>
          <w:rFonts w:eastAsia="Calibri"/>
        </w:rPr>
        <w:t>This information collection supports implementation of sections 572 and 573 of the Federal Food, Drug, and Cosmetic Act (the FD&amp;C Act) (21 U.SC. 360ccc-1 and 21 U.S.C. 360ccc-2) which establish requirements for the Designation of a Minor Use or Minor Species New Animal Drug</w:t>
      </w:r>
      <w:r w:rsidR="000765FB">
        <w:rPr>
          <w:rFonts w:eastAsia="Calibri"/>
        </w:rPr>
        <w:t>s</w:t>
      </w:r>
      <w:r w:rsidRPr="0073066A">
        <w:rPr>
          <w:rFonts w:eastAsia="Calibri"/>
        </w:rPr>
        <w:t xml:space="preserve"> and Index of Legally Marketed Unapproved New Animal Drugs for Minor Species, respectively.  Agency regulations are codified in 21 CFR part 516 and include recordkeeping and reporting requirements.  The general provisions in 21 CFR 516 subpart A set forth its purpose, scope, and applicable definitions (21 CFR part 516 subpart A).</w:t>
      </w:r>
    </w:p>
    <w:p w:rsidR="0073066A" w:rsidRPr="0073066A" w:rsidP="0073066A" w14:paraId="47289E3B" w14:textId="3DDBC9D2">
      <w:pPr>
        <w:rPr>
          <w:rFonts w:eastAsia="Calibri"/>
        </w:rPr>
      </w:pPr>
      <w:r w:rsidRPr="0073066A">
        <w:rPr>
          <w:rFonts w:eastAsia="Calibri"/>
        </w:rPr>
        <w:t xml:space="preserve">  </w:t>
      </w:r>
    </w:p>
    <w:p w:rsidR="0073066A" w:rsidP="0073066A" w14:paraId="5787BF04" w14:textId="77777777">
      <w:pPr>
        <w:rPr>
          <w:rFonts w:eastAsia="Calibri"/>
        </w:rPr>
      </w:pPr>
      <w:r w:rsidRPr="0073066A">
        <w:rPr>
          <w:rFonts w:eastAsia="Calibri"/>
        </w:rPr>
        <w:t>Regulations in 21 CFR part 516 subpart B provide for designation status for Minor Use and Minor Species (MUMS) drugs prior to their approval or conditional approval.  MUMS-drug designation makes the sponsor eligible for incentives to support the approval or conditional approval of the designated use and is completely optional for drug sponsors. The regulations describe how to apply for designation, what needs to be submitted and other information pertaining to this option. Sponsors of designated new animal drugs are required to demonstrate “due diligence” toward approval or conditional approval through submission of annual reports documenting their progress for each designated use.  The FDA uses this information to allow for determining eligibility for designation and the associated incentives and benefits described in section 573 of the act, including a 7-year period of exclusive marketing rights.  It enables FDA to process requests for MUMS-drug designation, requests to amend MUMS-drug designation, changes in sponsorship, termination of MUMS-drug designation, requirements for annual reports from sponsors, and provisions for insufficient quantities of MUMS-designated drugs.  Sponsors use FDA’s “eSubmitter” system to fill out a series of system generated screens to submit their request and annual report electronically.  To access the “eSubmitter” system, sponsors will use a previously established account.</w:t>
      </w:r>
    </w:p>
    <w:p w:rsidR="0073066A" w:rsidRPr="0073066A" w:rsidP="0073066A" w14:paraId="7C4B0DA4" w14:textId="59A98608">
      <w:pPr>
        <w:rPr>
          <w:rFonts w:eastAsia="Calibri"/>
        </w:rPr>
      </w:pPr>
      <w:r w:rsidRPr="0073066A">
        <w:rPr>
          <w:rFonts w:eastAsia="Calibri"/>
        </w:rPr>
        <w:t xml:space="preserve"> </w:t>
      </w:r>
    </w:p>
    <w:p w:rsidR="00423272" w:rsidP="0073066A" w14:paraId="504AC971" w14:textId="66574AC1">
      <w:pPr>
        <w:rPr>
          <w:rFonts w:eastAsia="Calibri"/>
        </w:rPr>
      </w:pPr>
      <w:r w:rsidRPr="0073066A">
        <w:rPr>
          <w:rFonts w:eastAsia="Calibri"/>
        </w:rPr>
        <w:t xml:space="preserve">Regulations in 21 CFR 516 subpart C are intended to make more medications legally available to veterinarians and animal owners for the treatment of minor animal species (21 U.S.C. 360ccc).  The purpose of these regulations is to encourage the development of these new animal drugs, while still ensuring appropriate safeguards for animal and human health.  In some cases, a minor species drug is intended for use in species that are too rare or too varied to be the subject of adequate and well-controlled studies in support of a drug approval. In such cases, FDA may add the drug to the Index of Legally Marketed Unapproved New Animal Drugs for Minor Species as provided for by Section 572 of the FD&amp;C Act (21 U.S.C. 360ccc-2).  Within limitations established by the statute, such indexing provides a basis for legally marketing an unapproved new animal drug intended for use in a minor species.  FDA regulations in 21 CFR part 516 Subpart C specify, among other things, the criteria and procedures for requesting eligibility for indexing and </w:t>
      </w:r>
      <w:r w:rsidRPr="0073066A">
        <w:rPr>
          <w:rFonts w:eastAsia="Calibri"/>
        </w:rPr>
        <w:t>for requesting addition to the Index, as well as the annual reporting requirements for index holders.  The administrative procedures and criteria for indexing a new animal drug for use in a minor species, as well as modifications and removal of a drug from the index are also set forth.  FDA uses the information for the activities described above.  Requestors can either mail paper submissions to the FDA or use FDA’s “eSubmitter” system to fill out a series of system generated screens to submit their request electronically.  To access the “eSubmitter” system, sponsors will use a previously established account.</w:t>
      </w:r>
    </w:p>
    <w:p w:rsidR="0073066A" w:rsidP="0073066A" w14:paraId="6173C39B" w14:textId="77777777">
      <w:pPr>
        <w:rPr>
          <w:rFonts w:eastAsia="Calibri"/>
        </w:rPr>
      </w:pPr>
    </w:p>
    <w:p w:rsidR="00423272" w:rsidRPr="00423272" w:rsidP="00423272" w14:paraId="601EC4E6" w14:textId="076B1136">
      <w:pPr>
        <w:rPr>
          <w:rFonts w:eastAsia="Calibri"/>
          <w:i/>
        </w:rPr>
      </w:pPr>
      <w:r w:rsidRPr="005C71CA">
        <w:rPr>
          <w:rFonts w:eastAsia="Calibri"/>
        </w:rPr>
        <w:t xml:space="preserve">We therefore request extension of OMB approval of </w:t>
      </w:r>
      <w:r w:rsidR="008C719E">
        <w:rPr>
          <w:rFonts w:eastAsia="Calibri"/>
        </w:rPr>
        <w:t>the information collection requirements</w:t>
      </w:r>
      <w:r w:rsidRPr="005C71CA">
        <w:rPr>
          <w:rFonts w:eastAsia="Calibri"/>
        </w:rPr>
        <w:t xml:space="preserve"> found in 21 CFR</w:t>
      </w:r>
      <w:r w:rsidR="008C719E">
        <w:rPr>
          <w:rFonts w:eastAsia="Calibri"/>
        </w:rPr>
        <w:t xml:space="preserve"> part 516</w:t>
      </w:r>
      <w:r w:rsidRPr="005C71CA">
        <w:rPr>
          <w:rFonts w:eastAsia="Calibri"/>
        </w:rPr>
        <w:t xml:space="preserve"> as discussed in this supporting statement.</w:t>
      </w:r>
    </w:p>
    <w:p w:rsidR="00357C8A" w:rsidRPr="00357C8A" w:rsidP="0022425B" w14:paraId="17748506" w14:textId="3FC9AEF6">
      <w:pPr>
        <w:spacing w:after="200"/>
        <w:rPr>
          <w:rFonts w:eastAsia="Calibri"/>
          <w:color w:val="FF0000"/>
        </w:rPr>
      </w:pPr>
    </w:p>
    <w:p w:rsidR="00357C8A" w:rsidRPr="00357C8A" w:rsidP="006705EA" w14:paraId="6C1FE602"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C448E0" w:rsidRPr="00C448E0" w:rsidP="00C448E0" w14:paraId="208828F0" w14:textId="77777777">
      <w:pPr>
        <w:spacing w:after="200"/>
        <w:rPr>
          <w:rFonts w:eastAsia="Calibri"/>
        </w:rPr>
      </w:pPr>
      <w:r w:rsidRPr="00C448E0">
        <w:rPr>
          <w:rFonts w:eastAsia="Calibri"/>
        </w:rPr>
        <w:t>The purpose of the information collection is to encourage the development of new animal drugs, while still ensuring appropriate safeguards for animal and human health.  The FDA uses this information collection under 21 CFR part 516 to allow for determining eligibility for designation and the associated incentives and benefits described in section 573 of the FD&amp;C Act, including a 7-year period of exclusive marketing rights, and requests for determination of index eligibility and, if determined eligible, subsequent requests for addition to the index, including a written report.</w:t>
      </w:r>
    </w:p>
    <w:p w:rsidR="00357C8A" w:rsidRPr="00357C8A" w:rsidP="00C448E0" w14:paraId="716C2D8E" w14:textId="4FF36BE5">
      <w:pPr>
        <w:spacing w:after="200"/>
        <w:rPr>
          <w:rFonts w:eastAsia="Calibri"/>
          <w:color w:val="FF0000"/>
        </w:rPr>
      </w:pPr>
      <w:r w:rsidRPr="00C448E0">
        <w:rPr>
          <w:rFonts w:eastAsia="Calibri"/>
        </w:rPr>
        <w:t>Description of Respondents: The respondents to this information collection are pharmaceutical companies that sponsor new animal drugs for designation or requesters wishing to add a new animal drug to the Index.</w:t>
      </w:r>
    </w:p>
    <w:p w:rsidR="00357C8A" w:rsidRPr="00357C8A" w:rsidP="006705EA" w14:paraId="5E1CA44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8C719E" w:rsidP="0022425B" w14:paraId="04AD1E15" w14:textId="71E46FEB">
      <w:pPr>
        <w:spacing w:after="200"/>
        <w:rPr>
          <w:rFonts w:eastAsia="Calibri"/>
        </w:rPr>
      </w:pPr>
      <w:bookmarkStart w:id="0" w:name="_Hlk134017967"/>
      <w:r w:rsidRPr="008C719E">
        <w:rPr>
          <w:rFonts w:eastAsia="Calibri"/>
        </w:rPr>
        <w:t xml:space="preserve">We encourage the submission of data electronically to facilitate review by the Agency and consider any such submissions to be more efficient for industry.  Respondents use FDA’s “eSubmitter” system to fill out a series of system-generated screens to submit their requests and annual reports electronically.  To access the “eSubmitter” system, respondents use a previously established account.  We currently receive all submissions regarding designation electronically.  We estimate that </w:t>
      </w:r>
      <w:r w:rsidR="000765FB">
        <w:rPr>
          <w:rFonts w:eastAsia="Calibri"/>
        </w:rPr>
        <w:t>7</w:t>
      </w:r>
      <w:r w:rsidRPr="008C719E">
        <w:rPr>
          <w:rFonts w:eastAsia="Calibri"/>
        </w:rPr>
        <w:t>0% of respondents requesting indexing submit electronically.  Information collection associated with electronic records is currently approved under OMB control number 0910-0303.</w:t>
      </w:r>
      <w:bookmarkEnd w:id="0"/>
    </w:p>
    <w:p w:rsidR="00357C8A" w:rsidRPr="00357C8A" w:rsidP="006705EA" w14:paraId="0067BCDC"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3380B" w:rsidP="0053380B" w14:paraId="6F451F5A" w14:textId="005B178D">
      <w:pPr>
        <w:spacing w:after="200"/>
        <w:rPr>
          <w:rFonts w:eastAsia="Calibri"/>
          <w:color w:val="FF0000"/>
        </w:rPr>
      </w:pPr>
      <w:r w:rsidRPr="005C71CA">
        <w:t>We are unaware of duplicative information collection.</w:t>
      </w:r>
    </w:p>
    <w:p w:rsidR="00357C8A" w:rsidRPr="00357C8A" w:rsidP="006705EA" w14:paraId="49D0B76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65F3088E" w14:textId="6FAC535B">
      <w:pPr>
        <w:spacing w:after="200"/>
        <w:rPr>
          <w:rFonts w:eastAsia="Calibri"/>
        </w:rPr>
      </w:pPr>
      <w:r w:rsidRPr="00C47E22">
        <w:rPr>
          <w:rFonts w:eastAsia="Calibri"/>
        </w:rPr>
        <w:t xml:space="preserve">Because many new animal drugs for minor uses and minor species traditionally come from smaller drug companies (approximately </w:t>
      </w:r>
      <w:r w:rsidR="005F1A73">
        <w:rPr>
          <w:rFonts w:eastAsia="Calibri"/>
        </w:rPr>
        <w:t>60</w:t>
      </w:r>
      <w:r w:rsidRPr="00C47E22">
        <w:rPr>
          <w:rFonts w:eastAsia="Calibri"/>
        </w:rPr>
        <w:t xml:space="preserve">% are small businesses), we expect the MUMS incentive program to have a beneficial impact on small business.  The collection of information is commensurate with what is required by the MUMS Act and should pose no greater burden to small businesses than it does to large pharmaceutical firms.  FDA aids small businesses in complying with its requirements through the Agency’s Regional Small Business Representatives and through the scientific and administrative staffs within the Agency.  FDA also provides a Small Business Guide on the Agency’s website at </w:t>
      </w:r>
      <w:r w:rsidRPr="00C47E22">
        <w:rPr>
          <w:rFonts w:eastAsia="Calibri"/>
        </w:rPr>
        <w:t>http://www.fda.gov/ForIndustry/SmallBusinessAssistance/default.htm.  Furthermore, we encourage sponsors, whether small or large businesses, to meet with us to discuss questions concerning submissions.</w:t>
      </w:r>
    </w:p>
    <w:p w:rsidR="00357C8A" w:rsidRPr="00357C8A" w:rsidP="006705EA" w14:paraId="379C17F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C47E22" w:rsidRPr="00C47E22" w:rsidP="00C47E22" w14:paraId="3F4F2099" w14:textId="77777777">
      <w:pPr>
        <w:spacing w:after="200"/>
        <w:rPr>
          <w:rFonts w:eastAsia="Calibri"/>
        </w:rPr>
      </w:pPr>
      <w:r w:rsidRPr="00C47E22">
        <w:rPr>
          <w:rFonts w:eastAsia="Calibri"/>
        </w:rPr>
        <w:t>FDA feels that annual progress reporting, as specified in section 516.30, is appropriate.  Regular progress reports from MUMS designees are necessary to insure “due diligence” in their efforts to gain drug approval, as required by section 573(a)(3)(B) of the act.  Since only one MUMS designation is granted for any given drug, dosage form, and intended use, the consequence of an ineffectual effort can be for FDA to terminate the MUMS designation for that sponsor and reassign it to another competing sponsor.  Annual reporting allows FDA to assess “due diligence” in a timely manner thereby ensuring that drug development moves forward.</w:t>
      </w:r>
    </w:p>
    <w:p w:rsidR="00357C8A" w:rsidRPr="00357C8A" w:rsidP="00C47E22" w14:paraId="6CFCAB3E" w14:textId="1EAAFF87">
      <w:pPr>
        <w:spacing w:after="200"/>
        <w:rPr>
          <w:rFonts w:eastAsia="Calibri"/>
          <w:color w:val="FF0000"/>
        </w:rPr>
      </w:pPr>
      <w:r w:rsidRPr="00C47E22">
        <w:rPr>
          <w:rFonts w:eastAsia="Calibri"/>
        </w:rPr>
        <w:t>Periodic drug experience reports, as required by section 516.165, are submitted to FDA annually by the holder of an index listing.  This frequency is the same as is currently required for approved drugs under 21 CFR 514.80(b)(4).  FDA reviews the records and reports required in this section to facilitate a determination as to whether there may be grounds for removing a drug from the Index.</w:t>
      </w:r>
    </w:p>
    <w:p w:rsidR="00357C8A" w:rsidRPr="00357C8A" w:rsidP="006705EA" w14:paraId="34425A2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088F137" w14:textId="6BCD4786">
      <w:pPr>
        <w:spacing w:after="200"/>
        <w:rPr>
          <w:rFonts w:eastAsia="Calibri"/>
        </w:rPr>
      </w:pPr>
      <w:r>
        <w:rPr>
          <w:rFonts w:eastAsia="Calibri"/>
        </w:rPr>
        <w:t>There are no special circumstances associated with this collection.</w:t>
      </w:r>
    </w:p>
    <w:p w:rsidR="00357C8A" w:rsidRPr="00357C8A" w:rsidP="006705EA" w14:paraId="509AB886"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C47E22" w:rsidP="00C47E22" w14:paraId="3E81C3C9" w14:textId="77777777">
      <w:pPr>
        <w:contextualSpacing/>
      </w:pPr>
      <w:r>
        <w:rPr>
          <w:rFonts w:eastAsia="Calibri"/>
        </w:rPr>
        <w:t xml:space="preserve">FDA published a 60-day notice for public comment in the </w:t>
      </w:r>
      <w:r w:rsidRPr="009009E7">
        <w:rPr>
          <w:rFonts w:eastAsia="Calibri"/>
          <w:i/>
        </w:rPr>
        <w:t>Federal Register</w:t>
      </w:r>
      <w:r>
        <w:rPr>
          <w:rFonts w:eastAsia="Calibri"/>
        </w:rPr>
        <w:t xml:space="preserve"> of</w:t>
      </w:r>
      <w:r>
        <w:rPr>
          <w:rFonts w:eastAsia="Calibri"/>
        </w:rPr>
        <w:t xml:space="preserve"> February 20, 2026</w:t>
      </w:r>
      <w:r w:rsidR="009009E7">
        <w:rPr>
          <w:rFonts w:eastAsia="Calibri"/>
        </w:rPr>
        <w:t xml:space="preserve"> (</w:t>
      </w:r>
      <w:r>
        <w:rPr>
          <w:rFonts w:eastAsia="Calibri"/>
        </w:rPr>
        <w:t>91</w:t>
      </w:r>
      <w:r w:rsidR="009009E7">
        <w:rPr>
          <w:rFonts w:eastAsia="Calibri"/>
        </w:rPr>
        <w:t xml:space="preserve"> FR </w:t>
      </w:r>
      <w:r>
        <w:rPr>
          <w:rFonts w:eastAsia="Calibri"/>
        </w:rPr>
        <w:t>8253</w:t>
      </w:r>
      <w:r w:rsidR="009009E7">
        <w:rPr>
          <w:rFonts w:eastAsia="Calibri"/>
        </w:rPr>
        <w:t>)</w:t>
      </w:r>
      <w:r>
        <w:rPr>
          <w:rFonts w:eastAsia="Calibri"/>
        </w:rPr>
        <w:t xml:space="preserve">. </w:t>
      </w:r>
      <w:r>
        <w:t>One comment was received</w:t>
      </w:r>
      <w:r w:rsidRPr="005F30C2">
        <w:t>.</w:t>
      </w:r>
      <w:r>
        <w:t xml:space="preserve">  While the commenter supported the collection of information requirements, they raised concerns about the administrative and financial burden on smaller companies, recommending that FDA develop templates or guidance materials to ease the process for these companies.</w:t>
      </w:r>
    </w:p>
    <w:p w:rsidR="00C47E22" w:rsidRPr="005F30C2" w:rsidP="00C47E22" w14:paraId="12E82FD3" w14:textId="77777777">
      <w:pPr>
        <w:contextualSpacing/>
      </w:pPr>
    </w:p>
    <w:p w:rsidR="00C47E22" w:rsidRPr="00E22BA4" w:rsidP="00C47E22" w14:paraId="1340D2B5" w14:textId="77777777">
      <w:pPr>
        <w:tabs>
          <w:tab w:val="left" w:pos="810"/>
        </w:tabs>
      </w:pPr>
      <w:r w:rsidRPr="00E22BA4">
        <w:t>FDA appreciates the comment</w:t>
      </w:r>
      <w:r>
        <w:t>.</w:t>
      </w:r>
      <w:r w:rsidRPr="00E22BA4">
        <w:t xml:space="preserve"> </w:t>
      </w:r>
      <w:r>
        <w:t xml:space="preserve"> FDA provides a Small Business Guide on the Agency’s website at </w:t>
      </w:r>
      <w:hyperlink r:id="rId7" w:history="1">
        <w:r w:rsidRPr="008620A6">
          <w:rPr>
            <w:rStyle w:val="Hyperlink"/>
          </w:rPr>
          <w:t>http://www.fda.gov/ForIndustry/SmallBusinessAssistance/default.htm</w:t>
        </w:r>
      </w:hyperlink>
      <w:r w:rsidRPr="008620A6">
        <w:t>.</w:t>
      </w:r>
      <w:r>
        <w:t xml:space="preserve">  </w:t>
      </w:r>
      <w:r w:rsidRPr="00E22BA4">
        <w:t>FDA</w:t>
      </w:r>
      <w:r>
        <w:t xml:space="preserve"> has also </w:t>
      </w:r>
      <w:r w:rsidRPr="00E22BA4">
        <w:t xml:space="preserve">published </w:t>
      </w:r>
      <w:r>
        <w:t xml:space="preserve">the following </w:t>
      </w:r>
      <w:r w:rsidRPr="00E22BA4">
        <w:t>Guidance for Industry (GFI) documents to assist companies developing drugs for minor uses and minor species</w:t>
      </w:r>
      <w:r>
        <w:t>.  O</w:t>
      </w:r>
      <w:r w:rsidRPr="00490E83">
        <w:t>nline or written comments on any guidance</w:t>
      </w:r>
      <w:r>
        <w:t xml:space="preserve"> can be submitted</w:t>
      </w:r>
      <w:r w:rsidRPr="00490E83">
        <w:t xml:space="preserve"> at any time (see </w:t>
      </w:r>
      <w:hyperlink r:id="rId8" w:history="1">
        <w:r w:rsidRPr="00925C90">
          <w:rPr>
            <w:rStyle w:val="Hyperlink"/>
          </w:rPr>
          <w:t>21 CFR 10.115(g)(5)</w:t>
        </w:r>
      </w:hyperlink>
      <w:r w:rsidRPr="00490E83">
        <w:t>)</w:t>
      </w:r>
      <w:r>
        <w:t>.</w:t>
      </w:r>
    </w:p>
    <w:p w:rsidR="00C47E22" w:rsidRPr="00E22BA4" w:rsidP="00C47E22" w14:paraId="38E037AE" w14:textId="77777777">
      <w:pPr>
        <w:numPr>
          <w:ilvl w:val="0"/>
          <w:numId w:val="9"/>
        </w:numPr>
        <w:spacing w:after="160"/>
        <w:ind w:firstLine="450"/>
      </w:pPr>
      <w:hyperlink r:id="rId9" w:tooltip="CVM GFI #61 Special Considerations, Incentives, and Programs to Support the Approval of New Animal Drugs for Minor Uses and for Minor Species " w:history="1">
        <w:r w:rsidRPr="00E22BA4">
          <w:rPr>
            <w:rStyle w:val="Hyperlink"/>
          </w:rPr>
          <w:t>CVM GFI #61</w:t>
        </w:r>
        <w:r>
          <w:rPr>
            <w:rStyle w:val="Hyperlink"/>
          </w:rPr>
          <w:t xml:space="preserve"> -</w:t>
        </w:r>
        <w:r w:rsidRPr="00E22BA4">
          <w:rPr>
            <w:rStyle w:val="Hyperlink"/>
          </w:rPr>
          <w:t xml:space="preserve"> Special Considerations, Incentives, and Programs to Support the Approval of New Animal Drugs for Minor Uses and for Minor Species </w:t>
        </w:r>
      </w:hyperlink>
    </w:p>
    <w:p w:rsidR="00C47E22" w:rsidRPr="00E22BA4" w:rsidP="00C47E22" w14:paraId="0CC4E475" w14:textId="77777777">
      <w:pPr>
        <w:numPr>
          <w:ilvl w:val="0"/>
          <w:numId w:val="9"/>
        </w:numPr>
        <w:spacing w:after="160"/>
        <w:ind w:firstLine="450"/>
      </w:pPr>
      <w:hyperlink r:id="rId10" w:tooltip="CVM GFI #170 Animal Drug User Fees and Fee Waivers and Reductions" w:history="1">
        <w:r w:rsidRPr="00E22BA4">
          <w:rPr>
            <w:rStyle w:val="Hyperlink"/>
          </w:rPr>
          <w:t>CVM GFI #170</w:t>
        </w:r>
        <w:r>
          <w:rPr>
            <w:rStyle w:val="Hyperlink"/>
          </w:rPr>
          <w:t xml:space="preserve"> -</w:t>
        </w:r>
        <w:r w:rsidRPr="00E22BA4">
          <w:rPr>
            <w:rStyle w:val="Hyperlink"/>
          </w:rPr>
          <w:t xml:space="preserve"> Animal Drug User Fees and Fee Waivers and Reductions</w:t>
        </w:r>
      </w:hyperlink>
    </w:p>
    <w:p w:rsidR="00C47E22" w:rsidRPr="00E22BA4" w:rsidP="00C47E22" w14:paraId="787D1299" w14:textId="77777777">
      <w:pPr>
        <w:numPr>
          <w:ilvl w:val="0"/>
          <w:numId w:val="9"/>
        </w:numPr>
        <w:spacing w:after="160"/>
        <w:ind w:firstLine="450"/>
      </w:pPr>
      <w:hyperlink r:id="rId11" w:tooltip="CVM GFI #200 SECG for Designation of New Animal Drugs for Minor Uses or Minor Species" w:history="1">
        <w:r w:rsidRPr="00E22BA4">
          <w:rPr>
            <w:rStyle w:val="Hyperlink"/>
          </w:rPr>
          <w:t>CVM GFI #200</w:t>
        </w:r>
        <w:r>
          <w:rPr>
            <w:rStyle w:val="Hyperlink"/>
          </w:rPr>
          <w:t xml:space="preserve"> -</w:t>
        </w:r>
        <w:r w:rsidRPr="00E22BA4">
          <w:rPr>
            <w:rStyle w:val="Hyperlink"/>
          </w:rPr>
          <w:t xml:space="preserve"> SECG for Designation of New Animal Drugs for Minor Uses/Minor Species</w:t>
        </w:r>
      </w:hyperlink>
    </w:p>
    <w:p w:rsidR="00C47E22" w:rsidRPr="00E22BA4" w:rsidP="00C47E22" w14:paraId="713F7D54" w14:textId="77777777">
      <w:pPr>
        <w:numPr>
          <w:ilvl w:val="0"/>
          <w:numId w:val="9"/>
        </w:numPr>
        <w:spacing w:after="160"/>
        <w:ind w:firstLine="450"/>
      </w:pPr>
      <w:hyperlink r:id="rId12" w:tooltip="CVM GFI #201 SECG for The Index of Legally Marketed Unapproved New Animal Drugs for Minor Species" w:history="1">
        <w:r w:rsidRPr="00E22BA4">
          <w:rPr>
            <w:rStyle w:val="Hyperlink"/>
          </w:rPr>
          <w:t>CVM GFI #201</w:t>
        </w:r>
        <w:r>
          <w:rPr>
            <w:rStyle w:val="Hyperlink"/>
          </w:rPr>
          <w:t xml:space="preserve"> -</w:t>
        </w:r>
        <w:r w:rsidRPr="00E22BA4">
          <w:rPr>
            <w:rStyle w:val="Hyperlink"/>
          </w:rPr>
          <w:t xml:space="preserve"> SECG for Index of Legally Marketed Unapproved New Animal Drugs for Minor Species</w:t>
        </w:r>
      </w:hyperlink>
    </w:p>
    <w:p w:rsidR="00792947" w:rsidP="00C47E22" w14:paraId="2AFFBCD0" w14:textId="2BB7E233">
      <w:pPr>
        <w:spacing w:after="200"/>
      </w:pPr>
      <w:r w:rsidRPr="00E22BA4">
        <w:t>In addition, we are currently revising CVM GFI#210</w:t>
      </w:r>
      <w:r>
        <w:t xml:space="preserve"> -</w:t>
      </w:r>
      <w:r w:rsidRPr="00E22BA4">
        <w:t xml:space="preserve"> The Index of Legally Marketed Unapproved New Animal Drugs for Minor Species to help companies navigate the indexing process.</w:t>
      </w:r>
    </w:p>
    <w:p w:rsidR="00C47E22" w:rsidRPr="00357C8A" w:rsidP="00C47E22" w14:paraId="6B855F14" w14:textId="77777777">
      <w:pPr>
        <w:spacing w:after="200"/>
        <w:rPr>
          <w:rFonts w:eastAsia="Calibri"/>
        </w:rPr>
      </w:pPr>
    </w:p>
    <w:p w:rsidR="00357C8A" w:rsidRPr="00357C8A" w:rsidP="006705EA" w14:paraId="549D2E8D"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2D0FAF31" w14:textId="6445DE6A">
      <w:pPr>
        <w:spacing w:after="200"/>
        <w:rPr>
          <w:rFonts w:eastAsia="Calibri"/>
          <w:i/>
        </w:rPr>
      </w:pPr>
      <w:r w:rsidRPr="002074FE">
        <w:rPr>
          <w:rFonts w:eastAsia="Calibri"/>
        </w:rPr>
        <w:t>There are no incentives, payments or gifts associated with this information collection.</w:t>
      </w:r>
    </w:p>
    <w:p w:rsidR="00357C8A" w:rsidRPr="00357C8A" w:rsidP="006705EA" w14:paraId="72EF0B2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C47E22" w:rsidP="00C47E22" w14:paraId="56CABEDD" w14:textId="77777777">
      <w:pPr>
        <w:spacing w:after="200"/>
        <w:rPr>
          <w:rFonts w:eastAsia="Calibri"/>
        </w:rPr>
      </w:pPr>
      <w:r w:rsidRPr="00C47E22">
        <w:rPr>
          <w:rFonts w:eastAsia="Calibri"/>
        </w:rPr>
        <w:t>In preparing this Supporting Statement, we consulted our Privacy Office to ensure appropriate identification and handling of information collected.</w:t>
      </w:r>
    </w:p>
    <w:p w:rsidR="00C47E22" w:rsidRPr="00C43886" w:rsidP="00C47E22" w14:paraId="642C6407" w14:textId="77777777">
      <w:pPr>
        <w:spacing w:after="200"/>
        <w:rPr>
          <w:rFonts w:eastAsia="Calibri"/>
          <w:i/>
          <w:iCs/>
          <w:u w:val="single"/>
        </w:rPr>
      </w:pPr>
      <w:r w:rsidRPr="00C43886">
        <w:rPr>
          <w:rFonts w:eastAsia="Calibri"/>
          <w:i/>
          <w:iCs/>
          <w:u w:val="single"/>
        </w:rPr>
        <w:t>The Privacy Act of 1974</w:t>
      </w:r>
    </w:p>
    <w:p w:rsidR="00C47E22" w:rsidP="00C47E22" w14:paraId="3B090445" w14:textId="77777777">
      <w:pPr>
        <w:spacing w:after="200"/>
        <w:rPr>
          <w:rFonts w:eastAsia="Calibri"/>
        </w:rPr>
      </w:pPr>
      <w:r w:rsidRPr="00C47E22">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 is name, address, telephone number, fax number, and email. FDA determined that although PII is collected it is not subject to the Privacy Act of 1974 and the particular notice and other requirements of the Act do not apply. Specifically, FDA does not use name or any other personal identifier to retrieve records from the information collected. Through appropriate instruction, FDA limited submission fields and minimized the PII collected to protect the privacy of the individuals.</w:t>
      </w:r>
    </w:p>
    <w:p w:rsidR="00C47E22" w:rsidRPr="00C43886" w:rsidP="00C47E22" w14:paraId="19BBAD71" w14:textId="77777777">
      <w:pPr>
        <w:spacing w:after="200"/>
        <w:rPr>
          <w:rFonts w:eastAsia="Calibri"/>
          <w:i/>
          <w:iCs/>
          <w:u w:val="single"/>
        </w:rPr>
      </w:pPr>
      <w:r w:rsidRPr="00C43886">
        <w:rPr>
          <w:rFonts w:eastAsia="Calibri"/>
          <w:i/>
          <w:iCs/>
          <w:u w:val="single"/>
        </w:rPr>
        <w:t>The Freedom of Information Act</w:t>
      </w:r>
    </w:p>
    <w:p w:rsidR="00357C8A" w:rsidRPr="00C47E22" w:rsidP="00C47E22" w14:paraId="71D0F806" w14:textId="6BAFDE0E">
      <w:pPr>
        <w:spacing w:after="200"/>
        <w:rPr>
          <w:rFonts w:eastAsia="Calibri"/>
        </w:rPr>
      </w:pPr>
      <w:r w:rsidRPr="00C47E22">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2AA210EC"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C47E22" w:rsidP="00DD0E02" w14:paraId="266FE5DC" w14:textId="646FA314">
      <w:pPr>
        <w:spacing w:after="200"/>
        <w:rPr>
          <w:rFonts w:eastAsia="Calibri"/>
          <w:iCs/>
        </w:rPr>
      </w:pPr>
      <w:r w:rsidRPr="00C47E22">
        <w:rPr>
          <w:rFonts w:eastAsia="Calibri"/>
          <w:iCs/>
        </w:rPr>
        <w:t>The collection of information does not involve sensitive questions.</w:t>
      </w:r>
    </w:p>
    <w:p w:rsidR="00357C8A" w:rsidRPr="00357C8A" w:rsidP="006705EA" w14:paraId="6748E37E"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724C3E39" w14:textId="77777777">
      <w:pPr>
        <w:spacing w:after="200"/>
        <w:ind w:left="360"/>
        <w:rPr>
          <w:rFonts w:eastAsia="Calibri"/>
        </w:rPr>
      </w:pPr>
      <w:r w:rsidRPr="005C71CA">
        <w:rPr>
          <w:rFonts w:eastAsia="Calibri"/>
        </w:rPr>
        <w:t>12a.  Annualized Hour Burden Estimate</w:t>
      </w:r>
    </w:p>
    <w:p w:rsidR="00C47E22" w:rsidRPr="00C47E22" w:rsidP="00C47E22" w14:paraId="0E1B43C3" w14:textId="190C16FA">
      <w:pPr>
        <w:jc w:val="center"/>
        <w:rPr>
          <w:sz w:val="20"/>
          <w:szCs w:val="20"/>
        </w:rPr>
      </w:pPr>
      <w:r w:rsidRPr="00C47E22">
        <w:rPr>
          <w:sz w:val="20"/>
          <w:szCs w:val="20"/>
        </w:rPr>
        <w:t>Table 1. – Estimated Annual Reporting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6"/>
        <w:gridCol w:w="1280"/>
        <w:gridCol w:w="1462"/>
        <w:gridCol w:w="1098"/>
        <w:gridCol w:w="1280"/>
        <w:gridCol w:w="908"/>
      </w:tblGrid>
      <w:tr w14:paraId="77E4E194" w14:textId="77777777" w:rsidTr="00A14B2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1826" w:type="pct"/>
            <w:shd w:val="clear" w:color="auto" w:fill="auto"/>
          </w:tcPr>
          <w:p w:rsidR="00C47E22" w:rsidRPr="00C47E22" w:rsidP="00A14B28" w14:paraId="47033EAC" w14:textId="77777777">
            <w:pPr>
              <w:jc w:val="center"/>
              <w:rPr>
                <w:sz w:val="20"/>
                <w:szCs w:val="20"/>
              </w:rPr>
            </w:pPr>
            <w:r w:rsidRPr="00C47E22">
              <w:rPr>
                <w:sz w:val="20"/>
                <w:szCs w:val="20"/>
              </w:rPr>
              <w:t>21 CFR Section; Activity</w:t>
            </w:r>
          </w:p>
        </w:tc>
        <w:tc>
          <w:tcPr>
            <w:tcW w:w="674" w:type="pct"/>
            <w:shd w:val="clear" w:color="auto" w:fill="auto"/>
          </w:tcPr>
          <w:p w:rsidR="00C47E22" w:rsidRPr="00C47E22" w:rsidP="00A14B28" w14:paraId="6288141D" w14:textId="77777777">
            <w:pPr>
              <w:jc w:val="center"/>
              <w:rPr>
                <w:sz w:val="20"/>
                <w:szCs w:val="20"/>
              </w:rPr>
            </w:pPr>
            <w:r w:rsidRPr="00C47E22">
              <w:rPr>
                <w:sz w:val="20"/>
                <w:szCs w:val="20"/>
              </w:rPr>
              <w:t>No. of Respondents</w:t>
            </w:r>
          </w:p>
        </w:tc>
        <w:tc>
          <w:tcPr>
            <w:tcW w:w="770" w:type="pct"/>
            <w:shd w:val="clear" w:color="auto" w:fill="auto"/>
          </w:tcPr>
          <w:p w:rsidR="00C47E22" w:rsidRPr="00C47E22" w:rsidP="00A14B28" w14:paraId="19788F41" w14:textId="77777777">
            <w:pPr>
              <w:jc w:val="center"/>
              <w:rPr>
                <w:sz w:val="20"/>
                <w:szCs w:val="20"/>
              </w:rPr>
            </w:pPr>
            <w:r w:rsidRPr="00C47E22">
              <w:rPr>
                <w:bCs/>
                <w:sz w:val="20"/>
                <w:szCs w:val="20"/>
              </w:rPr>
              <w:t>No. of Responses per Respondent</w:t>
            </w:r>
          </w:p>
        </w:tc>
        <w:tc>
          <w:tcPr>
            <w:tcW w:w="578" w:type="pct"/>
            <w:shd w:val="clear" w:color="auto" w:fill="auto"/>
          </w:tcPr>
          <w:p w:rsidR="00C47E22" w:rsidRPr="00C47E22" w:rsidP="00A14B28" w14:paraId="411C679C" w14:textId="77777777">
            <w:pPr>
              <w:jc w:val="center"/>
              <w:rPr>
                <w:sz w:val="20"/>
                <w:szCs w:val="20"/>
              </w:rPr>
            </w:pPr>
            <w:r w:rsidRPr="00C47E22">
              <w:rPr>
                <w:sz w:val="20"/>
                <w:szCs w:val="20"/>
              </w:rPr>
              <w:t>Total Annual Responses</w:t>
            </w:r>
          </w:p>
        </w:tc>
        <w:tc>
          <w:tcPr>
            <w:tcW w:w="674" w:type="pct"/>
            <w:shd w:val="clear" w:color="auto" w:fill="auto"/>
          </w:tcPr>
          <w:p w:rsidR="00C47E22" w:rsidRPr="00C47E22" w:rsidP="00A14B28" w14:paraId="79BFB1F2" w14:textId="77777777">
            <w:pPr>
              <w:jc w:val="center"/>
              <w:rPr>
                <w:sz w:val="20"/>
                <w:szCs w:val="20"/>
              </w:rPr>
            </w:pPr>
            <w:r w:rsidRPr="00C47E22">
              <w:rPr>
                <w:bCs/>
                <w:sz w:val="20"/>
                <w:szCs w:val="20"/>
              </w:rPr>
              <w:t>Average Burden per Response</w:t>
            </w:r>
          </w:p>
        </w:tc>
        <w:tc>
          <w:tcPr>
            <w:tcW w:w="478" w:type="pct"/>
            <w:shd w:val="clear" w:color="auto" w:fill="auto"/>
          </w:tcPr>
          <w:p w:rsidR="00C47E22" w:rsidRPr="00C47E22" w:rsidP="00A14B28" w14:paraId="4A1A8ECB" w14:textId="77777777">
            <w:pPr>
              <w:jc w:val="center"/>
              <w:rPr>
                <w:sz w:val="20"/>
                <w:szCs w:val="20"/>
              </w:rPr>
            </w:pPr>
            <w:r w:rsidRPr="00C47E22">
              <w:rPr>
                <w:sz w:val="20"/>
                <w:szCs w:val="20"/>
              </w:rPr>
              <w:t>Total Hours</w:t>
            </w:r>
          </w:p>
        </w:tc>
      </w:tr>
      <w:tr w14:paraId="278DCB0D" w14:textId="77777777" w:rsidTr="00A14B28">
        <w:tblPrEx>
          <w:tblW w:w="5000" w:type="pct"/>
          <w:tblLayout w:type="fixed"/>
          <w:tblLook w:val="01E0"/>
        </w:tblPrEx>
        <w:trPr>
          <w:cantSplit/>
          <w:trHeight w:val="20"/>
        </w:trPr>
        <w:tc>
          <w:tcPr>
            <w:tcW w:w="5000" w:type="pct"/>
            <w:gridSpan w:val="6"/>
            <w:shd w:val="clear" w:color="auto" w:fill="auto"/>
          </w:tcPr>
          <w:p w:rsidR="00C47E22" w:rsidRPr="00C47E22" w:rsidP="00A14B28" w14:paraId="22AED0D2" w14:textId="77777777">
            <w:pPr>
              <w:rPr>
                <w:i/>
                <w:iCs/>
                <w:sz w:val="20"/>
                <w:szCs w:val="20"/>
              </w:rPr>
            </w:pPr>
            <w:r w:rsidRPr="00C47E22">
              <w:rPr>
                <w:i/>
                <w:iCs/>
                <w:sz w:val="20"/>
                <w:szCs w:val="20"/>
              </w:rPr>
              <w:t>Designated New Animal Drugs for Minor Use and Minor Species, Subpart B</w:t>
            </w:r>
          </w:p>
        </w:tc>
      </w:tr>
      <w:tr w14:paraId="6C059C89"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05B3857F" w14:textId="77777777">
            <w:pPr>
              <w:rPr>
                <w:sz w:val="20"/>
                <w:szCs w:val="20"/>
              </w:rPr>
            </w:pPr>
            <w:r w:rsidRPr="00C47E22">
              <w:rPr>
                <w:sz w:val="20"/>
                <w:szCs w:val="20"/>
              </w:rPr>
              <w:t>516.20; content and format of MUMS-drug designation request</w:t>
            </w:r>
          </w:p>
        </w:tc>
        <w:tc>
          <w:tcPr>
            <w:tcW w:w="674" w:type="pct"/>
            <w:shd w:val="clear" w:color="auto" w:fill="auto"/>
          </w:tcPr>
          <w:p w:rsidR="00C47E22" w:rsidRPr="00C47E22" w:rsidP="00A14B28" w14:paraId="53150F75" w14:textId="77777777">
            <w:pPr>
              <w:jc w:val="right"/>
              <w:rPr>
                <w:sz w:val="20"/>
                <w:szCs w:val="20"/>
              </w:rPr>
            </w:pPr>
            <w:r w:rsidRPr="00C47E22">
              <w:rPr>
                <w:sz w:val="20"/>
                <w:szCs w:val="20"/>
              </w:rPr>
              <w:t>5</w:t>
            </w:r>
          </w:p>
        </w:tc>
        <w:tc>
          <w:tcPr>
            <w:tcW w:w="770" w:type="pct"/>
            <w:shd w:val="clear" w:color="auto" w:fill="auto"/>
          </w:tcPr>
          <w:p w:rsidR="00C47E22" w:rsidRPr="00C47E22" w:rsidP="00A14B28" w14:paraId="69FEEFCA" w14:textId="77777777">
            <w:pPr>
              <w:jc w:val="right"/>
              <w:rPr>
                <w:sz w:val="20"/>
                <w:szCs w:val="20"/>
              </w:rPr>
            </w:pPr>
            <w:r w:rsidRPr="00C47E22">
              <w:rPr>
                <w:sz w:val="20"/>
                <w:szCs w:val="20"/>
              </w:rPr>
              <w:t>2</w:t>
            </w:r>
          </w:p>
        </w:tc>
        <w:tc>
          <w:tcPr>
            <w:tcW w:w="578" w:type="pct"/>
            <w:shd w:val="clear" w:color="auto" w:fill="auto"/>
          </w:tcPr>
          <w:p w:rsidR="00C47E22" w:rsidRPr="00C47E22" w:rsidP="00A14B28" w14:paraId="744214FC" w14:textId="77777777">
            <w:pPr>
              <w:jc w:val="right"/>
              <w:rPr>
                <w:sz w:val="20"/>
                <w:szCs w:val="20"/>
              </w:rPr>
            </w:pPr>
            <w:r w:rsidRPr="00C47E22">
              <w:rPr>
                <w:sz w:val="20"/>
                <w:szCs w:val="20"/>
              </w:rPr>
              <w:t>10</w:t>
            </w:r>
          </w:p>
        </w:tc>
        <w:tc>
          <w:tcPr>
            <w:tcW w:w="674" w:type="pct"/>
            <w:shd w:val="clear" w:color="auto" w:fill="auto"/>
          </w:tcPr>
          <w:p w:rsidR="00C47E22" w:rsidRPr="00C47E22" w:rsidP="00A14B28" w14:paraId="262C0A60" w14:textId="77777777">
            <w:pPr>
              <w:jc w:val="right"/>
              <w:rPr>
                <w:sz w:val="20"/>
                <w:szCs w:val="20"/>
              </w:rPr>
            </w:pPr>
            <w:r w:rsidRPr="00C47E22">
              <w:rPr>
                <w:sz w:val="20"/>
                <w:szCs w:val="20"/>
              </w:rPr>
              <w:t>16</w:t>
            </w:r>
          </w:p>
        </w:tc>
        <w:tc>
          <w:tcPr>
            <w:tcW w:w="478" w:type="pct"/>
            <w:shd w:val="clear" w:color="auto" w:fill="auto"/>
          </w:tcPr>
          <w:p w:rsidR="00C47E22" w:rsidRPr="00C47E22" w:rsidP="00A14B28" w14:paraId="0296BE0D" w14:textId="77777777">
            <w:pPr>
              <w:jc w:val="right"/>
              <w:rPr>
                <w:sz w:val="20"/>
                <w:szCs w:val="20"/>
              </w:rPr>
            </w:pPr>
            <w:r w:rsidRPr="00C47E22">
              <w:rPr>
                <w:sz w:val="20"/>
                <w:szCs w:val="20"/>
              </w:rPr>
              <w:t>160</w:t>
            </w:r>
          </w:p>
        </w:tc>
      </w:tr>
      <w:tr w14:paraId="45E119F0"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2E532D3B" w14:textId="77777777">
            <w:pPr>
              <w:rPr>
                <w:sz w:val="20"/>
                <w:szCs w:val="20"/>
              </w:rPr>
            </w:pPr>
            <w:r w:rsidRPr="00C47E22">
              <w:rPr>
                <w:sz w:val="20"/>
                <w:szCs w:val="20"/>
              </w:rPr>
              <w:t>516.26; requirements for amending MUMS-drug designation</w:t>
            </w:r>
          </w:p>
        </w:tc>
        <w:tc>
          <w:tcPr>
            <w:tcW w:w="674" w:type="pct"/>
            <w:shd w:val="clear" w:color="auto" w:fill="auto"/>
          </w:tcPr>
          <w:p w:rsidR="00C47E22" w:rsidRPr="00C47E22" w:rsidP="00A14B28" w14:paraId="47FB0BC5" w14:textId="77777777">
            <w:pPr>
              <w:jc w:val="right"/>
              <w:rPr>
                <w:sz w:val="20"/>
                <w:szCs w:val="20"/>
              </w:rPr>
            </w:pPr>
            <w:r w:rsidRPr="00C47E22">
              <w:rPr>
                <w:sz w:val="20"/>
                <w:szCs w:val="20"/>
              </w:rPr>
              <w:t>3</w:t>
            </w:r>
          </w:p>
        </w:tc>
        <w:tc>
          <w:tcPr>
            <w:tcW w:w="770" w:type="pct"/>
            <w:shd w:val="clear" w:color="auto" w:fill="auto"/>
          </w:tcPr>
          <w:p w:rsidR="00C47E22" w:rsidRPr="00C47E22" w:rsidP="00A14B28" w14:paraId="04FF6E85" w14:textId="77777777">
            <w:pPr>
              <w:jc w:val="right"/>
              <w:rPr>
                <w:sz w:val="20"/>
                <w:szCs w:val="20"/>
              </w:rPr>
            </w:pPr>
            <w:r w:rsidRPr="00C47E22">
              <w:rPr>
                <w:sz w:val="20"/>
                <w:szCs w:val="20"/>
              </w:rPr>
              <w:t>1</w:t>
            </w:r>
          </w:p>
        </w:tc>
        <w:tc>
          <w:tcPr>
            <w:tcW w:w="578" w:type="pct"/>
            <w:shd w:val="clear" w:color="auto" w:fill="auto"/>
          </w:tcPr>
          <w:p w:rsidR="00C47E22" w:rsidRPr="00C47E22" w:rsidP="00A14B28" w14:paraId="563F91A6" w14:textId="77777777">
            <w:pPr>
              <w:jc w:val="right"/>
              <w:rPr>
                <w:sz w:val="20"/>
                <w:szCs w:val="20"/>
              </w:rPr>
            </w:pPr>
            <w:r w:rsidRPr="00C47E22">
              <w:rPr>
                <w:sz w:val="20"/>
                <w:szCs w:val="20"/>
              </w:rPr>
              <w:t>3</w:t>
            </w:r>
          </w:p>
        </w:tc>
        <w:tc>
          <w:tcPr>
            <w:tcW w:w="674" w:type="pct"/>
            <w:shd w:val="clear" w:color="auto" w:fill="auto"/>
          </w:tcPr>
          <w:p w:rsidR="00C47E22" w:rsidRPr="00C47E22" w:rsidP="00A14B28" w14:paraId="5FC36305" w14:textId="77777777">
            <w:pPr>
              <w:jc w:val="right"/>
              <w:rPr>
                <w:sz w:val="20"/>
                <w:szCs w:val="20"/>
              </w:rPr>
            </w:pPr>
            <w:r w:rsidRPr="00C47E22">
              <w:rPr>
                <w:sz w:val="20"/>
                <w:szCs w:val="20"/>
              </w:rPr>
              <w:t>2</w:t>
            </w:r>
          </w:p>
        </w:tc>
        <w:tc>
          <w:tcPr>
            <w:tcW w:w="478" w:type="pct"/>
            <w:shd w:val="clear" w:color="auto" w:fill="auto"/>
          </w:tcPr>
          <w:p w:rsidR="00C47E22" w:rsidRPr="00C47E22" w:rsidP="00A14B28" w14:paraId="65BAAF39" w14:textId="77777777">
            <w:pPr>
              <w:jc w:val="right"/>
              <w:rPr>
                <w:sz w:val="20"/>
                <w:szCs w:val="20"/>
              </w:rPr>
            </w:pPr>
            <w:r w:rsidRPr="00C47E22">
              <w:rPr>
                <w:sz w:val="20"/>
                <w:szCs w:val="20"/>
              </w:rPr>
              <w:t>6</w:t>
            </w:r>
          </w:p>
        </w:tc>
      </w:tr>
      <w:tr w14:paraId="3A7675B0"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67ACEC2B" w14:textId="77777777">
            <w:pPr>
              <w:rPr>
                <w:sz w:val="20"/>
                <w:szCs w:val="20"/>
              </w:rPr>
            </w:pPr>
            <w:r w:rsidRPr="00C47E22">
              <w:rPr>
                <w:sz w:val="20"/>
                <w:szCs w:val="20"/>
              </w:rPr>
              <w:t>516.27; change in sponsorship of MUMS-drug designation</w:t>
            </w:r>
          </w:p>
        </w:tc>
        <w:tc>
          <w:tcPr>
            <w:tcW w:w="674" w:type="pct"/>
            <w:shd w:val="clear" w:color="auto" w:fill="auto"/>
          </w:tcPr>
          <w:p w:rsidR="00C47E22" w:rsidRPr="00C47E22" w:rsidP="00A14B28" w14:paraId="6FED219C" w14:textId="77777777">
            <w:pPr>
              <w:jc w:val="right"/>
              <w:rPr>
                <w:sz w:val="20"/>
                <w:szCs w:val="20"/>
              </w:rPr>
            </w:pPr>
            <w:r w:rsidRPr="00C47E22">
              <w:rPr>
                <w:sz w:val="20"/>
                <w:szCs w:val="20"/>
              </w:rPr>
              <w:t>1</w:t>
            </w:r>
          </w:p>
        </w:tc>
        <w:tc>
          <w:tcPr>
            <w:tcW w:w="770" w:type="pct"/>
            <w:shd w:val="clear" w:color="auto" w:fill="auto"/>
          </w:tcPr>
          <w:p w:rsidR="00C47E22" w:rsidRPr="00C47E22" w:rsidP="00A14B28" w14:paraId="772F3E67" w14:textId="77777777">
            <w:pPr>
              <w:jc w:val="right"/>
              <w:rPr>
                <w:sz w:val="20"/>
                <w:szCs w:val="20"/>
              </w:rPr>
            </w:pPr>
            <w:r w:rsidRPr="00C47E22">
              <w:rPr>
                <w:sz w:val="20"/>
                <w:szCs w:val="20"/>
              </w:rPr>
              <w:t>1</w:t>
            </w:r>
          </w:p>
        </w:tc>
        <w:tc>
          <w:tcPr>
            <w:tcW w:w="578" w:type="pct"/>
            <w:shd w:val="clear" w:color="auto" w:fill="auto"/>
          </w:tcPr>
          <w:p w:rsidR="00C47E22" w:rsidRPr="00C47E22" w:rsidP="00A14B28" w14:paraId="6A79E270" w14:textId="77777777">
            <w:pPr>
              <w:jc w:val="right"/>
              <w:rPr>
                <w:sz w:val="20"/>
                <w:szCs w:val="20"/>
              </w:rPr>
            </w:pPr>
            <w:r w:rsidRPr="00C47E22">
              <w:rPr>
                <w:sz w:val="20"/>
                <w:szCs w:val="20"/>
              </w:rPr>
              <w:t>1</w:t>
            </w:r>
          </w:p>
        </w:tc>
        <w:tc>
          <w:tcPr>
            <w:tcW w:w="674" w:type="pct"/>
            <w:shd w:val="clear" w:color="auto" w:fill="auto"/>
          </w:tcPr>
          <w:p w:rsidR="00C47E22" w:rsidRPr="00C47E22" w:rsidP="00A14B28" w14:paraId="60F0C79D" w14:textId="77777777">
            <w:pPr>
              <w:jc w:val="right"/>
              <w:rPr>
                <w:sz w:val="20"/>
                <w:szCs w:val="20"/>
              </w:rPr>
            </w:pPr>
            <w:r w:rsidRPr="00C47E22">
              <w:rPr>
                <w:sz w:val="20"/>
                <w:szCs w:val="20"/>
              </w:rPr>
              <w:t>1</w:t>
            </w:r>
          </w:p>
        </w:tc>
        <w:tc>
          <w:tcPr>
            <w:tcW w:w="478" w:type="pct"/>
            <w:shd w:val="clear" w:color="auto" w:fill="auto"/>
          </w:tcPr>
          <w:p w:rsidR="00C47E22" w:rsidRPr="00C47E22" w:rsidP="00A14B28" w14:paraId="1026C594" w14:textId="77777777">
            <w:pPr>
              <w:jc w:val="right"/>
              <w:rPr>
                <w:sz w:val="20"/>
                <w:szCs w:val="20"/>
              </w:rPr>
            </w:pPr>
            <w:r w:rsidRPr="00C47E22">
              <w:rPr>
                <w:sz w:val="20"/>
                <w:szCs w:val="20"/>
              </w:rPr>
              <w:t>1</w:t>
            </w:r>
          </w:p>
        </w:tc>
      </w:tr>
      <w:tr w14:paraId="46A6E887"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6D8DC03E" w14:textId="77777777">
            <w:pPr>
              <w:rPr>
                <w:sz w:val="20"/>
                <w:szCs w:val="20"/>
              </w:rPr>
            </w:pPr>
            <w:r w:rsidRPr="00C47E22">
              <w:rPr>
                <w:sz w:val="20"/>
                <w:szCs w:val="20"/>
              </w:rPr>
              <w:t>516.29; termination of MUMS-drug designation</w:t>
            </w:r>
          </w:p>
        </w:tc>
        <w:tc>
          <w:tcPr>
            <w:tcW w:w="674" w:type="pct"/>
            <w:shd w:val="clear" w:color="auto" w:fill="auto"/>
          </w:tcPr>
          <w:p w:rsidR="00C47E22" w:rsidRPr="00C47E22" w:rsidP="00A14B28" w14:paraId="72150C85" w14:textId="77777777">
            <w:pPr>
              <w:jc w:val="right"/>
              <w:rPr>
                <w:sz w:val="20"/>
                <w:szCs w:val="20"/>
              </w:rPr>
            </w:pPr>
            <w:r w:rsidRPr="00C47E22">
              <w:rPr>
                <w:sz w:val="20"/>
                <w:szCs w:val="20"/>
              </w:rPr>
              <w:t>2</w:t>
            </w:r>
          </w:p>
        </w:tc>
        <w:tc>
          <w:tcPr>
            <w:tcW w:w="770" w:type="pct"/>
            <w:shd w:val="clear" w:color="auto" w:fill="auto"/>
          </w:tcPr>
          <w:p w:rsidR="00C47E22" w:rsidRPr="00C47E22" w:rsidP="00A14B28" w14:paraId="2C8E5037" w14:textId="77777777">
            <w:pPr>
              <w:jc w:val="right"/>
              <w:rPr>
                <w:sz w:val="20"/>
                <w:szCs w:val="20"/>
              </w:rPr>
            </w:pPr>
            <w:r w:rsidRPr="00C47E22">
              <w:rPr>
                <w:sz w:val="20"/>
                <w:szCs w:val="20"/>
              </w:rPr>
              <w:t>1</w:t>
            </w:r>
          </w:p>
        </w:tc>
        <w:tc>
          <w:tcPr>
            <w:tcW w:w="578" w:type="pct"/>
            <w:shd w:val="clear" w:color="auto" w:fill="auto"/>
          </w:tcPr>
          <w:p w:rsidR="00C47E22" w:rsidRPr="00C47E22" w:rsidP="00A14B28" w14:paraId="6AA8183B" w14:textId="77777777">
            <w:pPr>
              <w:jc w:val="right"/>
              <w:rPr>
                <w:sz w:val="20"/>
                <w:szCs w:val="20"/>
              </w:rPr>
            </w:pPr>
            <w:r w:rsidRPr="00C47E22">
              <w:rPr>
                <w:sz w:val="20"/>
                <w:szCs w:val="20"/>
              </w:rPr>
              <w:t>2</w:t>
            </w:r>
          </w:p>
        </w:tc>
        <w:tc>
          <w:tcPr>
            <w:tcW w:w="674" w:type="pct"/>
            <w:shd w:val="clear" w:color="auto" w:fill="auto"/>
          </w:tcPr>
          <w:p w:rsidR="00C47E22" w:rsidRPr="00C47E22" w:rsidP="00A14B28" w14:paraId="4DB68FDC" w14:textId="77777777">
            <w:pPr>
              <w:jc w:val="right"/>
              <w:rPr>
                <w:sz w:val="20"/>
                <w:szCs w:val="20"/>
              </w:rPr>
            </w:pPr>
            <w:r w:rsidRPr="00C47E22">
              <w:rPr>
                <w:sz w:val="20"/>
                <w:szCs w:val="20"/>
              </w:rPr>
              <w:t>1</w:t>
            </w:r>
          </w:p>
        </w:tc>
        <w:tc>
          <w:tcPr>
            <w:tcW w:w="478" w:type="pct"/>
            <w:shd w:val="clear" w:color="auto" w:fill="auto"/>
          </w:tcPr>
          <w:p w:rsidR="00C47E22" w:rsidRPr="00C47E22" w:rsidP="00A14B28" w14:paraId="6FB9D17F" w14:textId="77777777">
            <w:pPr>
              <w:jc w:val="right"/>
              <w:rPr>
                <w:sz w:val="20"/>
                <w:szCs w:val="20"/>
              </w:rPr>
            </w:pPr>
            <w:r w:rsidRPr="00C47E22">
              <w:rPr>
                <w:sz w:val="20"/>
                <w:szCs w:val="20"/>
              </w:rPr>
              <w:t>2</w:t>
            </w:r>
          </w:p>
        </w:tc>
      </w:tr>
      <w:tr w14:paraId="225FA4B2"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0C335265" w14:textId="77777777">
            <w:pPr>
              <w:rPr>
                <w:sz w:val="20"/>
                <w:szCs w:val="20"/>
              </w:rPr>
            </w:pPr>
            <w:r w:rsidRPr="00C47E22">
              <w:rPr>
                <w:sz w:val="20"/>
                <w:szCs w:val="20"/>
              </w:rPr>
              <w:t>516.30; requirements of annual reports from sponsor(s) of MUMS-designated drugs</w:t>
            </w:r>
          </w:p>
        </w:tc>
        <w:tc>
          <w:tcPr>
            <w:tcW w:w="674" w:type="pct"/>
            <w:shd w:val="clear" w:color="auto" w:fill="auto"/>
          </w:tcPr>
          <w:p w:rsidR="00C47E22" w:rsidRPr="00C47E22" w:rsidP="00A14B28" w14:paraId="27ECADE1" w14:textId="77777777">
            <w:pPr>
              <w:jc w:val="right"/>
              <w:rPr>
                <w:sz w:val="20"/>
                <w:szCs w:val="20"/>
              </w:rPr>
            </w:pPr>
            <w:r w:rsidRPr="00C47E22">
              <w:rPr>
                <w:sz w:val="20"/>
                <w:szCs w:val="20"/>
              </w:rPr>
              <w:t>26</w:t>
            </w:r>
          </w:p>
        </w:tc>
        <w:tc>
          <w:tcPr>
            <w:tcW w:w="770" w:type="pct"/>
            <w:shd w:val="clear" w:color="auto" w:fill="auto"/>
          </w:tcPr>
          <w:p w:rsidR="00C47E22" w:rsidRPr="00C47E22" w:rsidP="00A14B28" w14:paraId="3DD76BA0" w14:textId="77777777">
            <w:pPr>
              <w:jc w:val="right"/>
              <w:rPr>
                <w:sz w:val="20"/>
                <w:szCs w:val="20"/>
              </w:rPr>
            </w:pPr>
            <w:r w:rsidRPr="00C47E22">
              <w:rPr>
                <w:sz w:val="20"/>
                <w:szCs w:val="20"/>
              </w:rPr>
              <w:t>2</w:t>
            </w:r>
          </w:p>
        </w:tc>
        <w:tc>
          <w:tcPr>
            <w:tcW w:w="578" w:type="pct"/>
            <w:shd w:val="clear" w:color="auto" w:fill="auto"/>
          </w:tcPr>
          <w:p w:rsidR="00C47E22" w:rsidRPr="00C47E22" w:rsidP="00A14B28" w14:paraId="0C48BFA1" w14:textId="77777777">
            <w:pPr>
              <w:jc w:val="right"/>
              <w:rPr>
                <w:sz w:val="20"/>
                <w:szCs w:val="20"/>
              </w:rPr>
            </w:pPr>
            <w:r w:rsidRPr="00C47E22">
              <w:rPr>
                <w:sz w:val="20"/>
                <w:szCs w:val="20"/>
              </w:rPr>
              <w:t>52</w:t>
            </w:r>
          </w:p>
        </w:tc>
        <w:tc>
          <w:tcPr>
            <w:tcW w:w="674" w:type="pct"/>
            <w:shd w:val="clear" w:color="auto" w:fill="auto"/>
          </w:tcPr>
          <w:p w:rsidR="00C47E22" w:rsidRPr="00C47E22" w:rsidP="00A14B28" w14:paraId="5DEC498B" w14:textId="77777777">
            <w:pPr>
              <w:jc w:val="right"/>
              <w:rPr>
                <w:sz w:val="20"/>
                <w:szCs w:val="20"/>
              </w:rPr>
            </w:pPr>
            <w:r w:rsidRPr="00C47E22">
              <w:rPr>
                <w:sz w:val="20"/>
                <w:szCs w:val="20"/>
              </w:rPr>
              <w:t>2</w:t>
            </w:r>
          </w:p>
        </w:tc>
        <w:tc>
          <w:tcPr>
            <w:tcW w:w="478" w:type="pct"/>
            <w:shd w:val="clear" w:color="auto" w:fill="auto"/>
          </w:tcPr>
          <w:p w:rsidR="00C47E22" w:rsidRPr="00C47E22" w:rsidP="00A14B28" w14:paraId="4CCE5354" w14:textId="77777777">
            <w:pPr>
              <w:jc w:val="right"/>
              <w:rPr>
                <w:sz w:val="20"/>
                <w:szCs w:val="20"/>
              </w:rPr>
            </w:pPr>
            <w:r w:rsidRPr="00C47E22">
              <w:rPr>
                <w:sz w:val="20"/>
                <w:szCs w:val="20"/>
              </w:rPr>
              <w:t>104</w:t>
            </w:r>
          </w:p>
        </w:tc>
      </w:tr>
      <w:tr w14:paraId="0B295314"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4A3DF8B6" w14:textId="77777777">
            <w:pPr>
              <w:rPr>
                <w:sz w:val="20"/>
                <w:szCs w:val="20"/>
              </w:rPr>
            </w:pPr>
            <w:r w:rsidRPr="00C47E22">
              <w:rPr>
                <w:sz w:val="20"/>
                <w:szCs w:val="20"/>
              </w:rPr>
              <w:t>516.36; consequences for insufficient quantities of MUMS-designated drugs</w:t>
            </w:r>
          </w:p>
        </w:tc>
        <w:tc>
          <w:tcPr>
            <w:tcW w:w="674" w:type="pct"/>
            <w:shd w:val="clear" w:color="auto" w:fill="auto"/>
          </w:tcPr>
          <w:p w:rsidR="00C47E22" w:rsidRPr="00C47E22" w:rsidP="00A14B28" w14:paraId="467B32DC" w14:textId="77777777">
            <w:pPr>
              <w:jc w:val="right"/>
              <w:rPr>
                <w:sz w:val="20"/>
                <w:szCs w:val="20"/>
              </w:rPr>
            </w:pPr>
            <w:r w:rsidRPr="00C47E22">
              <w:rPr>
                <w:sz w:val="20"/>
                <w:szCs w:val="20"/>
              </w:rPr>
              <w:t>1</w:t>
            </w:r>
          </w:p>
        </w:tc>
        <w:tc>
          <w:tcPr>
            <w:tcW w:w="770" w:type="pct"/>
            <w:shd w:val="clear" w:color="auto" w:fill="auto"/>
          </w:tcPr>
          <w:p w:rsidR="00C47E22" w:rsidRPr="00C47E22" w:rsidP="00A14B28" w14:paraId="7F5B0C77" w14:textId="77777777">
            <w:pPr>
              <w:jc w:val="right"/>
              <w:rPr>
                <w:sz w:val="20"/>
                <w:szCs w:val="20"/>
              </w:rPr>
            </w:pPr>
            <w:r w:rsidRPr="00C47E22">
              <w:rPr>
                <w:sz w:val="20"/>
                <w:szCs w:val="20"/>
              </w:rPr>
              <w:t>1</w:t>
            </w:r>
          </w:p>
        </w:tc>
        <w:tc>
          <w:tcPr>
            <w:tcW w:w="578" w:type="pct"/>
            <w:shd w:val="clear" w:color="auto" w:fill="auto"/>
          </w:tcPr>
          <w:p w:rsidR="00C47E22" w:rsidRPr="00C47E22" w:rsidP="00A14B28" w14:paraId="62FA3CAC" w14:textId="77777777">
            <w:pPr>
              <w:jc w:val="right"/>
              <w:rPr>
                <w:sz w:val="20"/>
                <w:szCs w:val="20"/>
              </w:rPr>
            </w:pPr>
            <w:r w:rsidRPr="00C47E22">
              <w:rPr>
                <w:sz w:val="20"/>
                <w:szCs w:val="20"/>
              </w:rPr>
              <w:t>1</w:t>
            </w:r>
          </w:p>
        </w:tc>
        <w:tc>
          <w:tcPr>
            <w:tcW w:w="674" w:type="pct"/>
            <w:shd w:val="clear" w:color="auto" w:fill="auto"/>
          </w:tcPr>
          <w:p w:rsidR="00C47E22" w:rsidRPr="00C47E22" w:rsidP="00A14B28" w14:paraId="34F66DAC" w14:textId="77777777">
            <w:pPr>
              <w:jc w:val="right"/>
              <w:rPr>
                <w:sz w:val="20"/>
                <w:szCs w:val="20"/>
              </w:rPr>
            </w:pPr>
            <w:r w:rsidRPr="00C47E22">
              <w:rPr>
                <w:sz w:val="20"/>
                <w:szCs w:val="20"/>
              </w:rPr>
              <w:t>3</w:t>
            </w:r>
          </w:p>
        </w:tc>
        <w:tc>
          <w:tcPr>
            <w:tcW w:w="478" w:type="pct"/>
            <w:shd w:val="clear" w:color="auto" w:fill="auto"/>
          </w:tcPr>
          <w:p w:rsidR="00C47E22" w:rsidRPr="00C47E22" w:rsidP="00A14B28" w14:paraId="6CDA3B7E" w14:textId="77777777">
            <w:pPr>
              <w:jc w:val="right"/>
              <w:rPr>
                <w:sz w:val="20"/>
                <w:szCs w:val="20"/>
              </w:rPr>
            </w:pPr>
            <w:r w:rsidRPr="00C47E22">
              <w:rPr>
                <w:sz w:val="20"/>
                <w:szCs w:val="20"/>
              </w:rPr>
              <w:t>3</w:t>
            </w:r>
          </w:p>
        </w:tc>
      </w:tr>
      <w:tr w14:paraId="15EC500E" w14:textId="77777777" w:rsidTr="00A14B28">
        <w:tblPrEx>
          <w:tblW w:w="5000" w:type="pct"/>
          <w:tblLayout w:type="fixed"/>
          <w:tblLook w:val="01E0"/>
        </w:tblPrEx>
        <w:trPr>
          <w:cantSplit/>
          <w:trHeight w:val="20"/>
        </w:trPr>
        <w:tc>
          <w:tcPr>
            <w:tcW w:w="4522" w:type="pct"/>
            <w:gridSpan w:val="5"/>
            <w:shd w:val="clear" w:color="auto" w:fill="auto"/>
          </w:tcPr>
          <w:p w:rsidR="00C47E22" w:rsidRPr="00C47E22" w:rsidP="00A14B28" w14:paraId="4B64D4F2" w14:textId="77777777">
            <w:pPr>
              <w:rPr>
                <w:sz w:val="20"/>
                <w:szCs w:val="20"/>
              </w:rPr>
            </w:pPr>
            <w:r w:rsidRPr="00C47E22">
              <w:rPr>
                <w:sz w:val="20"/>
                <w:szCs w:val="20"/>
              </w:rPr>
              <w:t>Subtotal</w:t>
            </w:r>
          </w:p>
        </w:tc>
        <w:tc>
          <w:tcPr>
            <w:tcW w:w="478" w:type="pct"/>
            <w:shd w:val="clear" w:color="auto" w:fill="auto"/>
          </w:tcPr>
          <w:p w:rsidR="00C47E22" w:rsidRPr="00C47E22" w:rsidP="00A14B28" w14:paraId="764A27F8" w14:textId="77777777">
            <w:pPr>
              <w:jc w:val="right"/>
              <w:rPr>
                <w:sz w:val="20"/>
                <w:szCs w:val="20"/>
              </w:rPr>
            </w:pPr>
            <w:r w:rsidRPr="00C47E22">
              <w:rPr>
                <w:sz w:val="20"/>
                <w:szCs w:val="20"/>
              </w:rPr>
              <w:t>276</w:t>
            </w:r>
          </w:p>
        </w:tc>
      </w:tr>
      <w:tr w14:paraId="7FD28D11" w14:textId="77777777" w:rsidTr="00A14B28">
        <w:tblPrEx>
          <w:tblW w:w="5000" w:type="pct"/>
          <w:tblLayout w:type="fixed"/>
          <w:tblLook w:val="01E0"/>
        </w:tblPrEx>
        <w:trPr>
          <w:cantSplit/>
          <w:trHeight w:val="20"/>
        </w:trPr>
        <w:tc>
          <w:tcPr>
            <w:tcW w:w="5000" w:type="pct"/>
            <w:gridSpan w:val="6"/>
            <w:shd w:val="clear" w:color="auto" w:fill="auto"/>
          </w:tcPr>
          <w:p w:rsidR="00C47E22" w:rsidRPr="00C47E22" w:rsidP="00A14B28" w14:paraId="25C7DF69" w14:textId="77777777">
            <w:pPr>
              <w:rPr>
                <w:sz w:val="20"/>
                <w:szCs w:val="20"/>
              </w:rPr>
            </w:pPr>
            <w:r w:rsidRPr="00C47E22">
              <w:rPr>
                <w:i/>
                <w:iCs/>
                <w:sz w:val="20"/>
                <w:szCs w:val="20"/>
              </w:rPr>
              <w:t>Index of Legally Marketed Unapproved New Animal Drugs for Minor Species, Subpart C</w:t>
            </w:r>
          </w:p>
        </w:tc>
      </w:tr>
      <w:tr w14:paraId="57165A36"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4B7AC1C8" w14:textId="77777777">
            <w:pPr>
              <w:rPr>
                <w:sz w:val="20"/>
                <w:szCs w:val="20"/>
              </w:rPr>
            </w:pPr>
            <w:r w:rsidRPr="00C47E22">
              <w:rPr>
                <w:sz w:val="20"/>
                <w:szCs w:val="20"/>
              </w:rPr>
              <w:t xml:space="preserve">516.119; requires a foreign drug company to submit and update the name and address of a permanent U.S. resident agent. </w:t>
            </w:r>
          </w:p>
        </w:tc>
        <w:tc>
          <w:tcPr>
            <w:tcW w:w="674" w:type="pct"/>
            <w:shd w:val="clear" w:color="auto" w:fill="auto"/>
          </w:tcPr>
          <w:p w:rsidR="00C47E22" w:rsidRPr="00C47E22" w:rsidP="00A14B28" w14:paraId="3F68F231" w14:textId="77777777">
            <w:pPr>
              <w:jc w:val="right"/>
              <w:rPr>
                <w:sz w:val="20"/>
                <w:szCs w:val="20"/>
              </w:rPr>
            </w:pPr>
            <w:r w:rsidRPr="00C47E22">
              <w:rPr>
                <w:sz w:val="20"/>
                <w:szCs w:val="20"/>
              </w:rPr>
              <w:t>10</w:t>
            </w:r>
          </w:p>
        </w:tc>
        <w:tc>
          <w:tcPr>
            <w:tcW w:w="770" w:type="pct"/>
            <w:shd w:val="clear" w:color="auto" w:fill="auto"/>
          </w:tcPr>
          <w:p w:rsidR="00C47E22" w:rsidRPr="00C47E22" w:rsidP="00A14B28" w14:paraId="38202827" w14:textId="77777777">
            <w:pPr>
              <w:jc w:val="right"/>
              <w:rPr>
                <w:sz w:val="20"/>
                <w:szCs w:val="20"/>
              </w:rPr>
            </w:pPr>
            <w:r w:rsidRPr="00C47E22">
              <w:rPr>
                <w:sz w:val="20"/>
                <w:szCs w:val="20"/>
              </w:rPr>
              <w:t>1</w:t>
            </w:r>
          </w:p>
        </w:tc>
        <w:tc>
          <w:tcPr>
            <w:tcW w:w="578" w:type="pct"/>
            <w:shd w:val="clear" w:color="auto" w:fill="auto"/>
          </w:tcPr>
          <w:p w:rsidR="00C47E22" w:rsidRPr="00C47E22" w:rsidP="00A14B28" w14:paraId="44B13EA7" w14:textId="77777777">
            <w:pPr>
              <w:jc w:val="right"/>
              <w:rPr>
                <w:sz w:val="20"/>
                <w:szCs w:val="20"/>
              </w:rPr>
            </w:pPr>
            <w:r w:rsidRPr="00C47E22">
              <w:rPr>
                <w:sz w:val="20"/>
                <w:szCs w:val="20"/>
              </w:rPr>
              <w:t>10</w:t>
            </w:r>
          </w:p>
        </w:tc>
        <w:tc>
          <w:tcPr>
            <w:tcW w:w="674" w:type="pct"/>
            <w:shd w:val="clear" w:color="auto" w:fill="auto"/>
          </w:tcPr>
          <w:p w:rsidR="00C47E22" w:rsidRPr="00C47E22" w:rsidP="00A14B28" w14:paraId="5EBD6861" w14:textId="77777777">
            <w:pPr>
              <w:jc w:val="right"/>
              <w:rPr>
                <w:sz w:val="20"/>
                <w:szCs w:val="20"/>
              </w:rPr>
            </w:pPr>
            <w:r w:rsidRPr="00C47E22">
              <w:rPr>
                <w:sz w:val="20"/>
                <w:szCs w:val="20"/>
              </w:rPr>
              <w:t>1</w:t>
            </w:r>
          </w:p>
        </w:tc>
        <w:tc>
          <w:tcPr>
            <w:tcW w:w="478" w:type="pct"/>
            <w:shd w:val="clear" w:color="auto" w:fill="auto"/>
          </w:tcPr>
          <w:p w:rsidR="00C47E22" w:rsidRPr="00C47E22" w:rsidP="00A14B28" w14:paraId="235A37AB" w14:textId="77777777">
            <w:pPr>
              <w:jc w:val="right"/>
              <w:rPr>
                <w:sz w:val="20"/>
                <w:szCs w:val="20"/>
              </w:rPr>
            </w:pPr>
            <w:r w:rsidRPr="00C47E22">
              <w:rPr>
                <w:sz w:val="20"/>
                <w:szCs w:val="20"/>
              </w:rPr>
              <w:t>10</w:t>
            </w:r>
          </w:p>
        </w:tc>
      </w:tr>
      <w:tr w14:paraId="21038A0A"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0F8FA136" w14:textId="77777777">
            <w:pPr>
              <w:rPr>
                <w:sz w:val="20"/>
                <w:szCs w:val="20"/>
              </w:rPr>
            </w:pPr>
            <w:r w:rsidRPr="00C47E22">
              <w:rPr>
                <w:sz w:val="20"/>
                <w:szCs w:val="20"/>
              </w:rPr>
              <w:t>516.121; written request for a meeting with FDA to discuss the requirements for indexing a new animal drug.</w:t>
            </w:r>
          </w:p>
        </w:tc>
        <w:tc>
          <w:tcPr>
            <w:tcW w:w="674" w:type="pct"/>
            <w:shd w:val="clear" w:color="auto" w:fill="auto"/>
          </w:tcPr>
          <w:p w:rsidR="00C47E22" w:rsidRPr="00C47E22" w:rsidP="00A14B28" w14:paraId="1428550F" w14:textId="77777777">
            <w:pPr>
              <w:jc w:val="right"/>
              <w:rPr>
                <w:sz w:val="20"/>
                <w:szCs w:val="20"/>
              </w:rPr>
            </w:pPr>
            <w:r w:rsidRPr="00C47E22">
              <w:rPr>
                <w:sz w:val="20"/>
                <w:szCs w:val="20"/>
              </w:rPr>
              <w:t>15</w:t>
            </w:r>
          </w:p>
        </w:tc>
        <w:tc>
          <w:tcPr>
            <w:tcW w:w="770" w:type="pct"/>
            <w:shd w:val="clear" w:color="auto" w:fill="auto"/>
          </w:tcPr>
          <w:p w:rsidR="00C47E22" w:rsidRPr="00C47E22" w:rsidP="00A14B28" w14:paraId="6A53DC04" w14:textId="77777777">
            <w:pPr>
              <w:jc w:val="right"/>
              <w:rPr>
                <w:sz w:val="20"/>
                <w:szCs w:val="20"/>
              </w:rPr>
            </w:pPr>
            <w:r w:rsidRPr="00C47E22">
              <w:rPr>
                <w:sz w:val="20"/>
                <w:szCs w:val="20"/>
              </w:rPr>
              <w:t>2</w:t>
            </w:r>
          </w:p>
        </w:tc>
        <w:tc>
          <w:tcPr>
            <w:tcW w:w="578" w:type="pct"/>
            <w:shd w:val="clear" w:color="auto" w:fill="auto"/>
          </w:tcPr>
          <w:p w:rsidR="00C47E22" w:rsidRPr="00C47E22" w:rsidP="00A14B28" w14:paraId="2E2C6ECE" w14:textId="77777777">
            <w:pPr>
              <w:jc w:val="right"/>
              <w:rPr>
                <w:sz w:val="20"/>
                <w:szCs w:val="20"/>
              </w:rPr>
            </w:pPr>
            <w:r w:rsidRPr="00C47E22">
              <w:rPr>
                <w:sz w:val="20"/>
                <w:szCs w:val="20"/>
              </w:rPr>
              <w:t>30</w:t>
            </w:r>
          </w:p>
        </w:tc>
        <w:tc>
          <w:tcPr>
            <w:tcW w:w="674" w:type="pct"/>
            <w:shd w:val="clear" w:color="auto" w:fill="auto"/>
          </w:tcPr>
          <w:p w:rsidR="00C47E22" w:rsidRPr="00C47E22" w:rsidP="00A14B28" w14:paraId="79A39725" w14:textId="77777777">
            <w:pPr>
              <w:jc w:val="right"/>
              <w:rPr>
                <w:sz w:val="20"/>
                <w:szCs w:val="20"/>
              </w:rPr>
            </w:pPr>
            <w:r w:rsidRPr="00C47E22">
              <w:rPr>
                <w:sz w:val="20"/>
                <w:szCs w:val="20"/>
              </w:rPr>
              <w:t>4</w:t>
            </w:r>
          </w:p>
        </w:tc>
        <w:tc>
          <w:tcPr>
            <w:tcW w:w="478" w:type="pct"/>
            <w:shd w:val="clear" w:color="auto" w:fill="auto"/>
          </w:tcPr>
          <w:p w:rsidR="00C47E22" w:rsidRPr="00C47E22" w:rsidP="00A14B28" w14:paraId="13EA5D21" w14:textId="77777777">
            <w:pPr>
              <w:jc w:val="right"/>
              <w:rPr>
                <w:sz w:val="20"/>
                <w:szCs w:val="20"/>
              </w:rPr>
            </w:pPr>
            <w:r w:rsidRPr="00C47E22">
              <w:rPr>
                <w:sz w:val="20"/>
                <w:szCs w:val="20"/>
              </w:rPr>
              <w:t>120</w:t>
            </w:r>
          </w:p>
        </w:tc>
      </w:tr>
      <w:tr w14:paraId="4F5789DE"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1FD36D50" w14:textId="77777777">
            <w:pPr>
              <w:rPr>
                <w:sz w:val="20"/>
                <w:szCs w:val="20"/>
              </w:rPr>
            </w:pPr>
            <w:r w:rsidRPr="00C47E22">
              <w:rPr>
                <w:sz w:val="20"/>
                <w:szCs w:val="20"/>
              </w:rPr>
              <w:t>516.123; written request for an informal conference and a requestor’s written response to an FDA initial decision denying a request.</w:t>
            </w:r>
          </w:p>
        </w:tc>
        <w:tc>
          <w:tcPr>
            <w:tcW w:w="674" w:type="pct"/>
            <w:shd w:val="clear" w:color="auto" w:fill="auto"/>
          </w:tcPr>
          <w:p w:rsidR="00C47E22" w:rsidRPr="00C47E22" w:rsidP="00A14B28" w14:paraId="0D155B13" w14:textId="77777777">
            <w:pPr>
              <w:jc w:val="right"/>
              <w:rPr>
                <w:sz w:val="20"/>
                <w:szCs w:val="20"/>
              </w:rPr>
            </w:pPr>
            <w:r w:rsidRPr="00C47E22">
              <w:rPr>
                <w:sz w:val="20"/>
                <w:szCs w:val="20"/>
              </w:rPr>
              <w:t>3</w:t>
            </w:r>
          </w:p>
        </w:tc>
        <w:tc>
          <w:tcPr>
            <w:tcW w:w="770" w:type="pct"/>
            <w:shd w:val="clear" w:color="auto" w:fill="auto"/>
          </w:tcPr>
          <w:p w:rsidR="00C47E22" w:rsidRPr="00C47E22" w:rsidP="00A14B28" w14:paraId="0753A68C" w14:textId="77777777">
            <w:pPr>
              <w:jc w:val="right"/>
              <w:rPr>
                <w:sz w:val="20"/>
                <w:szCs w:val="20"/>
              </w:rPr>
            </w:pPr>
            <w:r w:rsidRPr="00C47E22">
              <w:rPr>
                <w:sz w:val="20"/>
                <w:szCs w:val="20"/>
              </w:rPr>
              <w:t>1</w:t>
            </w:r>
          </w:p>
        </w:tc>
        <w:tc>
          <w:tcPr>
            <w:tcW w:w="578" w:type="pct"/>
            <w:shd w:val="clear" w:color="auto" w:fill="auto"/>
          </w:tcPr>
          <w:p w:rsidR="00C47E22" w:rsidRPr="00C47E22" w:rsidP="00A14B28" w14:paraId="2F28F6A4" w14:textId="77777777">
            <w:pPr>
              <w:jc w:val="right"/>
              <w:rPr>
                <w:sz w:val="20"/>
                <w:szCs w:val="20"/>
              </w:rPr>
            </w:pPr>
            <w:r w:rsidRPr="00C47E22">
              <w:rPr>
                <w:sz w:val="20"/>
                <w:szCs w:val="20"/>
              </w:rPr>
              <w:t>3</w:t>
            </w:r>
          </w:p>
        </w:tc>
        <w:tc>
          <w:tcPr>
            <w:tcW w:w="674" w:type="pct"/>
            <w:shd w:val="clear" w:color="auto" w:fill="auto"/>
          </w:tcPr>
          <w:p w:rsidR="00C47E22" w:rsidRPr="00C47E22" w:rsidP="00A14B28" w14:paraId="518ACABE" w14:textId="77777777">
            <w:pPr>
              <w:jc w:val="right"/>
              <w:rPr>
                <w:sz w:val="20"/>
                <w:szCs w:val="20"/>
              </w:rPr>
            </w:pPr>
            <w:r w:rsidRPr="00C47E22">
              <w:rPr>
                <w:sz w:val="20"/>
                <w:szCs w:val="20"/>
              </w:rPr>
              <w:t>8</w:t>
            </w:r>
          </w:p>
        </w:tc>
        <w:tc>
          <w:tcPr>
            <w:tcW w:w="478" w:type="pct"/>
            <w:shd w:val="clear" w:color="auto" w:fill="auto"/>
          </w:tcPr>
          <w:p w:rsidR="00C47E22" w:rsidRPr="00C47E22" w:rsidP="00A14B28" w14:paraId="5490BAB5" w14:textId="77777777">
            <w:pPr>
              <w:jc w:val="right"/>
              <w:rPr>
                <w:sz w:val="20"/>
                <w:szCs w:val="20"/>
              </w:rPr>
            </w:pPr>
            <w:r w:rsidRPr="00C47E22">
              <w:rPr>
                <w:sz w:val="20"/>
                <w:szCs w:val="20"/>
              </w:rPr>
              <w:t>24</w:t>
            </w:r>
          </w:p>
        </w:tc>
      </w:tr>
      <w:tr w14:paraId="5657FEA8"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6C50FADD" w14:textId="77777777">
            <w:pPr>
              <w:rPr>
                <w:sz w:val="20"/>
                <w:szCs w:val="20"/>
              </w:rPr>
            </w:pPr>
            <w:r w:rsidRPr="00C47E22">
              <w:rPr>
                <w:sz w:val="20"/>
                <w:szCs w:val="20"/>
              </w:rPr>
              <w:t>516.125; correspondence and information associated with investigational use of new animal drugs intended for indexing.</w:t>
            </w:r>
          </w:p>
        </w:tc>
        <w:tc>
          <w:tcPr>
            <w:tcW w:w="674" w:type="pct"/>
            <w:shd w:val="clear" w:color="auto" w:fill="auto"/>
          </w:tcPr>
          <w:p w:rsidR="00C47E22" w:rsidRPr="00C47E22" w:rsidP="00A14B28" w14:paraId="79B4DBBB" w14:textId="77777777">
            <w:pPr>
              <w:jc w:val="right"/>
              <w:rPr>
                <w:sz w:val="20"/>
                <w:szCs w:val="20"/>
              </w:rPr>
            </w:pPr>
            <w:r w:rsidRPr="00C47E22">
              <w:rPr>
                <w:sz w:val="20"/>
                <w:szCs w:val="20"/>
              </w:rPr>
              <w:t>2</w:t>
            </w:r>
          </w:p>
        </w:tc>
        <w:tc>
          <w:tcPr>
            <w:tcW w:w="770" w:type="pct"/>
            <w:shd w:val="clear" w:color="auto" w:fill="auto"/>
          </w:tcPr>
          <w:p w:rsidR="00C47E22" w:rsidRPr="00C47E22" w:rsidP="00A14B28" w14:paraId="2A5E810F" w14:textId="77777777">
            <w:pPr>
              <w:jc w:val="right"/>
              <w:rPr>
                <w:sz w:val="20"/>
                <w:szCs w:val="20"/>
              </w:rPr>
            </w:pPr>
            <w:r w:rsidRPr="00C47E22">
              <w:rPr>
                <w:sz w:val="20"/>
                <w:szCs w:val="20"/>
              </w:rPr>
              <w:t>3</w:t>
            </w:r>
          </w:p>
        </w:tc>
        <w:tc>
          <w:tcPr>
            <w:tcW w:w="578" w:type="pct"/>
            <w:shd w:val="clear" w:color="auto" w:fill="auto"/>
          </w:tcPr>
          <w:p w:rsidR="00C47E22" w:rsidRPr="00C47E22" w:rsidP="00A14B28" w14:paraId="0689D420" w14:textId="77777777">
            <w:pPr>
              <w:jc w:val="right"/>
              <w:rPr>
                <w:sz w:val="20"/>
                <w:szCs w:val="20"/>
              </w:rPr>
            </w:pPr>
            <w:r w:rsidRPr="00C47E22">
              <w:rPr>
                <w:sz w:val="20"/>
                <w:szCs w:val="20"/>
              </w:rPr>
              <w:t>6</w:t>
            </w:r>
          </w:p>
        </w:tc>
        <w:tc>
          <w:tcPr>
            <w:tcW w:w="674" w:type="pct"/>
            <w:shd w:val="clear" w:color="auto" w:fill="auto"/>
          </w:tcPr>
          <w:p w:rsidR="00C47E22" w:rsidRPr="00C47E22" w:rsidP="00A14B28" w14:paraId="709B8186" w14:textId="77777777">
            <w:pPr>
              <w:jc w:val="right"/>
              <w:rPr>
                <w:sz w:val="20"/>
                <w:szCs w:val="20"/>
              </w:rPr>
            </w:pPr>
            <w:r w:rsidRPr="00C47E22">
              <w:rPr>
                <w:sz w:val="20"/>
                <w:szCs w:val="20"/>
              </w:rPr>
              <w:t>20</w:t>
            </w:r>
          </w:p>
        </w:tc>
        <w:tc>
          <w:tcPr>
            <w:tcW w:w="478" w:type="pct"/>
            <w:shd w:val="clear" w:color="auto" w:fill="auto"/>
          </w:tcPr>
          <w:p w:rsidR="00C47E22" w:rsidRPr="00C47E22" w:rsidP="00A14B28" w14:paraId="18C4F0D6" w14:textId="77777777">
            <w:pPr>
              <w:jc w:val="right"/>
              <w:rPr>
                <w:sz w:val="20"/>
                <w:szCs w:val="20"/>
              </w:rPr>
            </w:pPr>
            <w:r w:rsidRPr="00C47E22">
              <w:rPr>
                <w:sz w:val="20"/>
                <w:szCs w:val="20"/>
              </w:rPr>
              <w:t>120</w:t>
            </w:r>
          </w:p>
        </w:tc>
      </w:tr>
      <w:tr w14:paraId="198AAF63"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08D166B9" w14:textId="77777777">
            <w:pPr>
              <w:rPr>
                <w:sz w:val="20"/>
                <w:szCs w:val="20"/>
              </w:rPr>
            </w:pPr>
            <w:r w:rsidRPr="00C47E22">
              <w:rPr>
                <w:sz w:val="20"/>
                <w:szCs w:val="20"/>
              </w:rPr>
              <w:t>516.129; content and format of a request for determination of eligibility for indexing.</w:t>
            </w:r>
          </w:p>
        </w:tc>
        <w:tc>
          <w:tcPr>
            <w:tcW w:w="674" w:type="pct"/>
            <w:shd w:val="clear" w:color="auto" w:fill="auto"/>
          </w:tcPr>
          <w:p w:rsidR="00C47E22" w:rsidRPr="00C47E22" w:rsidP="00A14B28" w14:paraId="645E8C10" w14:textId="77777777">
            <w:pPr>
              <w:jc w:val="right"/>
              <w:rPr>
                <w:sz w:val="20"/>
                <w:szCs w:val="20"/>
              </w:rPr>
            </w:pPr>
            <w:r w:rsidRPr="00C47E22">
              <w:rPr>
                <w:sz w:val="20"/>
                <w:szCs w:val="20"/>
              </w:rPr>
              <w:t>20</w:t>
            </w:r>
          </w:p>
        </w:tc>
        <w:tc>
          <w:tcPr>
            <w:tcW w:w="770" w:type="pct"/>
            <w:shd w:val="clear" w:color="auto" w:fill="auto"/>
          </w:tcPr>
          <w:p w:rsidR="00C47E22" w:rsidRPr="00C47E22" w:rsidP="00A14B28" w14:paraId="1A303F3F" w14:textId="77777777">
            <w:pPr>
              <w:jc w:val="right"/>
              <w:rPr>
                <w:sz w:val="20"/>
                <w:szCs w:val="20"/>
              </w:rPr>
            </w:pPr>
            <w:r w:rsidRPr="00C47E22">
              <w:rPr>
                <w:sz w:val="20"/>
                <w:szCs w:val="20"/>
              </w:rPr>
              <w:t>2</w:t>
            </w:r>
          </w:p>
        </w:tc>
        <w:tc>
          <w:tcPr>
            <w:tcW w:w="578" w:type="pct"/>
            <w:shd w:val="clear" w:color="auto" w:fill="auto"/>
          </w:tcPr>
          <w:p w:rsidR="00C47E22" w:rsidRPr="00C47E22" w:rsidP="00A14B28" w14:paraId="47F709E9" w14:textId="77777777">
            <w:pPr>
              <w:jc w:val="right"/>
              <w:rPr>
                <w:sz w:val="20"/>
                <w:szCs w:val="20"/>
              </w:rPr>
            </w:pPr>
            <w:r w:rsidRPr="00C47E22">
              <w:rPr>
                <w:sz w:val="20"/>
                <w:szCs w:val="20"/>
              </w:rPr>
              <w:t>40</w:t>
            </w:r>
          </w:p>
        </w:tc>
        <w:tc>
          <w:tcPr>
            <w:tcW w:w="674" w:type="pct"/>
            <w:shd w:val="clear" w:color="auto" w:fill="auto"/>
          </w:tcPr>
          <w:p w:rsidR="00C47E22" w:rsidRPr="00C47E22" w:rsidP="00A14B28" w14:paraId="6B44080F" w14:textId="77777777">
            <w:pPr>
              <w:jc w:val="right"/>
              <w:rPr>
                <w:sz w:val="20"/>
                <w:szCs w:val="20"/>
              </w:rPr>
            </w:pPr>
            <w:r w:rsidRPr="00C47E22">
              <w:rPr>
                <w:sz w:val="20"/>
                <w:szCs w:val="20"/>
              </w:rPr>
              <w:t>20</w:t>
            </w:r>
          </w:p>
        </w:tc>
        <w:tc>
          <w:tcPr>
            <w:tcW w:w="478" w:type="pct"/>
            <w:shd w:val="clear" w:color="auto" w:fill="auto"/>
          </w:tcPr>
          <w:p w:rsidR="00C47E22" w:rsidRPr="00C47E22" w:rsidP="00A14B28" w14:paraId="2BF60E2D" w14:textId="77777777">
            <w:pPr>
              <w:jc w:val="right"/>
              <w:rPr>
                <w:sz w:val="20"/>
                <w:szCs w:val="20"/>
              </w:rPr>
            </w:pPr>
            <w:r w:rsidRPr="00C47E22">
              <w:rPr>
                <w:sz w:val="20"/>
                <w:szCs w:val="20"/>
              </w:rPr>
              <w:t>800</w:t>
            </w:r>
          </w:p>
        </w:tc>
      </w:tr>
      <w:tr w14:paraId="3DACED7C"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78773709" w14:textId="77777777">
            <w:pPr>
              <w:rPr>
                <w:sz w:val="20"/>
                <w:szCs w:val="20"/>
              </w:rPr>
            </w:pPr>
            <w:r w:rsidRPr="00C47E22">
              <w:rPr>
                <w:sz w:val="20"/>
                <w:szCs w:val="20"/>
              </w:rPr>
              <w:t>516.141; information to be submitted to FDA by a requestor seeking to establish a qualified expert panel.</w:t>
            </w:r>
          </w:p>
        </w:tc>
        <w:tc>
          <w:tcPr>
            <w:tcW w:w="674" w:type="pct"/>
            <w:shd w:val="clear" w:color="auto" w:fill="auto"/>
          </w:tcPr>
          <w:p w:rsidR="00C47E22" w:rsidRPr="00C47E22" w:rsidP="00A14B28" w14:paraId="10875ED1" w14:textId="77777777">
            <w:pPr>
              <w:jc w:val="right"/>
              <w:rPr>
                <w:sz w:val="20"/>
                <w:szCs w:val="20"/>
              </w:rPr>
            </w:pPr>
            <w:r w:rsidRPr="00C47E22">
              <w:rPr>
                <w:sz w:val="20"/>
                <w:szCs w:val="20"/>
              </w:rPr>
              <w:t>20</w:t>
            </w:r>
          </w:p>
        </w:tc>
        <w:tc>
          <w:tcPr>
            <w:tcW w:w="770" w:type="pct"/>
            <w:shd w:val="clear" w:color="auto" w:fill="auto"/>
          </w:tcPr>
          <w:p w:rsidR="00C47E22" w:rsidRPr="00C47E22" w:rsidP="00A14B28" w14:paraId="344D25DC" w14:textId="77777777">
            <w:pPr>
              <w:jc w:val="right"/>
              <w:rPr>
                <w:sz w:val="20"/>
                <w:szCs w:val="20"/>
              </w:rPr>
            </w:pPr>
            <w:r w:rsidRPr="00C47E22">
              <w:rPr>
                <w:sz w:val="20"/>
                <w:szCs w:val="20"/>
              </w:rPr>
              <w:t>1</w:t>
            </w:r>
          </w:p>
        </w:tc>
        <w:tc>
          <w:tcPr>
            <w:tcW w:w="578" w:type="pct"/>
            <w:shd w:val="clear" w:color="auto" w:fill="auto"/>
          </w:tcPr>
          <w:p w:rsidR="00C47E22" w:rsidRPr="00C47E22" w:rsidP="00A14B28" w14:paraId="0EB229AA" w14:textId="77777777">
            <w:pPr>
              <w:jc w:val="right"/>
              <w:rPr>
                <w:sz w:val="20"/>
                <w:szCs w:val="20"/>
              </w:rPr>
            </w:pPr>
            <w:r w:rsidRPr="00C47E22">
              <w:rPr>
                <w:sz w:val="20"/>
                <w:szCs w:val="20"/>
              </w:rPr>
              <w:t>20</w:t>
            </w:r>
          </w:p>
        </w:tc>
        <w:tc>
          <w:tcPr>
            <w:tcW w:w="674" w:type="pct"/>
            <w:shd w:val="clear" w:color="auto" w:fill="auto"/>
          </w:tcPr>
          <w:p w:rsidR="00C47E22" w:rsidRPr="00C47E22" w:rsidP="00A14B28" w14:paraId="63F50FD5" w14:textId="77777777">
            <w:pPr>
              <w:jc w:val="right"/>
              <w:rPr>
                <w:sz w:val="20"/>
                <w:szCs w:val="20"/>
              </w:rPr>
            </w:pPr>
            <w:r w:rsidRPr="00C47E22">
              <w:rPr>
                <w:sz w:val="20"/>
                <w:szCs w:val="20"/>
              </w:rPr>
              <w:t>16</w:t>
            </w:r>
          </w:p>
        </w:tc>
        <w:tc>
          <w:tcPr>
            <w:tcW w:w="478" w:type="pct"/>
            <w:shd w:val="clear" w:color="auto" w:fill="auto"/>
          </w:tcPr>
          <w:p w:rsidR="00C47E22" w:rsidRPr="00C47E22" w:rsidP="00A14B28" w14:paraId="4B6D5D9B" w14:textId="77777777">
            <w:pPr>
              <w:jc w:val="right"/>
              <w:rPr>
                <w:sz w:val="20"/>
                <w:szCs w:val="20"/>
              </w:rPr>
            </w:pPr>
            <w:r w:rsidRPr="00C47E22">
              <w:rPr>
                <w:sz w:val="20"/>
                <w:szCs w:val="20"/>
              </w:rPr>
              <w:t>320</w:t>
            </w:r>
          </w:p>
        </w:tc>
      </w:tr>
      <w:tr w14:paraId="43FF9685"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2E1F7049" w14:textId="77777777">
            <w:pPr>
              <w:rPr>
                <w:sz w:val="20"/>
                <w:szCs w:val="20"/>
              </w:rPr>
            </w:pPr>
            <w:r w:rsidRPr="00C47E22">
              <w:rPr>
                <w:sz w:val="20"/>
                <w:szCs w:val="20"/>
              </w:rPr>
              <w:t>516.143; content and format of the written report of the qualified expert panel.</w:t>
            </w:r>
          </w:p>
        </w:tc>
        <w:tc>
          <w:tcPr>
            <w:tcW w:w="674" w:type="pct"/>
            <w:shd w:val="clear" w:color="auto" w:fill="auto"/>
          </w:tcPr>
          <w:p w:rsidR="00C47E22" w:rsidRPr="00C47E22" w:rsidP="00A14B28" w14:paraId="072369E1" w14:textId="77777777">
            <w:pPr>
              <w:jc w:val="right"/>
              <w:rPr>
                <w:sz w:val="20"/>
                <w:szCs w:val="20"/>
              </w:rPr>
            </w:pPr>
            <w:r w:rsidRPr="00C47E22">
              <w:rPr>
                <w:sz w:val="20"/>
                <w:szCs w:val="20"/>
              </w:rPr>
              <w:t>20</w:t>
            </w:r>
          </w:p>
        </w:tc>
        <w:tc>
          <w:tcPr>
            <w:tcW w:w="770" w:type="pct"/>
            <w:shd w:val="clear" w:color="auto" w:fill="auto"/>
          </w:tcPr>
          <w:p w:rsidR="00C47E22" w:rsidRPr="00C47E22" w:rsidP="00A14B28" w14:paraId="74A1898B" w14:textId="77777777">
            <w:pPr>
              <w:jc w:val="right"/>
              <w:rPr>
                <w:sz w:val="20"/>
                <w:szCs w:val="20"/>
              </w:rPr>
            </w:pPr>
            <w:r w:rsidRPr="00C47E22">
              <w:rPr>
                <w:sz w:val="20"/>
                <w:szCs w:val="20"/>
              </w:rPr>
              <w:t>1</w:t>
            </w:r>
          </w:p>
        </w:tc>
        <w:tc>
          <w:tcPr>
            <w:tcW w:w="578" w:type="pct"/>
            <w:shd w:val="clear" w:color="auto" w:fill="auto"/>
          </w:tcPr>
          <w:p w:rsidR="00C47E22" w:rsidRPr="00C47E22" w:rsidP="00A14B28" w14:paraId="74268B29" w14:textId="77777777">
            <w:pPr>
              <w:jc w:val="right"/>
              <w:rPr>
                <w:sz w:val="20"/>
                <w:szCs w:val="20"/>
              </w:rPr>
            </w:pPr>
            <w:r w:rsidRPr="00C47E22">
              <w:rPr>
                <w:sz w:val="20"/>
                <w:szCs w:val="20"/>
              </w:rPr>
              <w:t>20</w:t>
            </w:r>
          </w:p>
        </w:tc>
        <w:tc>
          <w:tcPr>
            <w:tcW w:w="674" w:type="pct"/>
            <w:shd w:val="clear" w:color="auto" w:fill="auto"/>
          </w:tcPr>
          <w:p w:rsidR="00C47E22" w:rsidRPr="00C47E22" w:rsidP="00A14B28" w14:paraId="05B592DE" w14:textId="77777777">
            <w:pPr>
              <w:jc w:val="right"/>
              <w:rPr>
                <w:sz w:val="20"/>
                <w:szCs w:val="20"/>
              </w:rPr>
            </w:pPr>
            <w:r w:rsidRPr="00C47E22">
              <w:rPr>
                <w:sz w:val="20"/>
                <w:szCs w:val="20"/>
              </w:rPr>
              <w:t>120</w:t>
            </w:r>
          </w:p>
        </w:tc>
        <w:tc>
          <w:tcPr>
            <w:tcW w:w="478" w:type="pct"/>
            <w:shd w:val="clear" w:color="auto" w:fill="auto"/>
          </w:tcPr>
          <w:p w:rsidR="00C47E22" w:rsidRPr="00C47E22" w:rsidP="00A14B28" w14:paraId="21D00293" w14:textId="77777777">
            <w:pPr>
              <w:jc w:val="right"/>
              <w:rPr>
                <w:sz w:val="20"/>
                <w:szCs w:val="20"/>
              </w:rPr>
            </w:pPr>
            <w:r w:rsidRPr="00C47E22">
              <w:rPr>
                <w:sz w:val="20"/>
                <w:szCs w:val="20"/>
              </w:rPr>
              <w:t>2,400</w:t>
            </w:r>
          </w:p>
        </w:tc>
      </w:tr>
      <w:tr w14:paraId="62F47D7C"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3F3E5358" w14:textId="77777777">
            <w:pPr>
              <w:rPr>
                <w:sz w:val="20"/>
                <w:szCs w:val="20"/>
              </w:rPr>
            </w:pPr>
            <w:r w:rsidRPr="00C47E22">
              <w:rPr>
                <w:sz w:val="20"/>
                <w:szCs w:val="20"/>
              </w:rPr>
              <w:t>516.145; content and format of a request for addition to the Index.</w:t>
            </w:r>
          </w:p>
        </w:tc>
        <w:tc>
          <w:tcPr>
            <w:tcW w:w="674" w:type="pct"/>
            <w:shd w:val="clear" w:color="auto" w:fill="auto"/>
          </w:tcPr>
          <w:p w:rsidR="00C47E22" w:rsidRPr="00C47E22" w:rsidP="00A14B28" w14:paraId="55102771" w14:textId="77777777">
            <w:pPr>
              <w:jc w:val="right"/>
              <w:rPr>
                <w:sz w:val="20"/>
                <w:szCs w:val="20"/>
              </w:rPr>
            </w:pPr>
            <w:r w:rsidRPr="00C47E22">
              <w:rPr>
                <w:sz w:val="20"/>
                <w:szCs w:val="20"/>
              </w:rPr>
              <w:t>10</w:t>
            </w:r>
          </w:p>
        </w:tc>
        <w:tc>
          <w:tcPr>
            <w:tcW w:w="770" w:type="pct"/>
            <w:shd w:val="clear" w:color="auto" w:fill="auto"/>
          </w:tcPr>
          <w:p w:rsidR="00C47E22" w:rsidRPr="00C47E22" w:rsidP="00A14B28" w14:paraId="67C5F709" w14:textId="77777777">
            <w:pPr>
              <w:jc w:val="right"/>
              <w:rPr>
                <w:sz w:val="20"/>
                <w:szCs w:val="20"/>
              </w:rPr>
            </w:pPr>
            <w:r w:rsidRPr="00C47E22">
              <w:rPr>
                <w:sz w:val="20"/>
                <w:szCs w:val="20"/>
              </w:rPr>
              <w:t>1</w:t>
            </w:r>
          </w:p>
        </w:tc>
        <w:tc>
          <w:tcPr>
            <w:tcW w:w="578" w:type="pct"/>
            <w:shd w:val="clear" w:color="auto" w:fill="auto"/>
          </w:tcPr>
          <w:p w:rsidR="00C47E22" w:rsidRPr="00C47E22" w:rsidP="00A14B28" w14:paraId="30A2FE12" w14:textId="77777777">
            <w:pPr>
              <w:jc w:val="right"/>
              <w:rPr>
                <w:sz w:val="20"/>
                <w:szCs w:val="20"/>
              </w:rPr>
            </w:pPr>
            <w:r w:rsidRPr="00C47E22">
              <w:rPr>
                <w:sz w:val="20"/>
                <w:szCs w:val="20"/>
              </w:rPr>
              <w:t>10</w:t>
            </w:r>
          </w:p>
        </w:tc>
        <w:tc>
          <w:tcPr>
            <w:tcW w:w="674" w:type="pct"/>
            <w:shd w:val="clear" w:color="auto" w:fill="auto"/>
          </w:tcPr>
          <w:p w:rsidR="00C47E22" w:rsidRPr="00C47E22" w:rsidP="00A14B28" w14:paraId="77F9BE4B" w14:textId="77777777">
            <w:pPr>
              <w:jc w:val="right"/>
              <w:rPr>
                <w:sz w:val="20"/>
                <w:szCs w:val="20"/>
              </w:rPr>
            </w:pPr>
            <w:r w:rsidRPr="00C47E22">
              <w:rPr>
                <w:sz w:val="20"/>
                <w:szCs w:val="20"/>
              </w:rPr>
              <w:t>20</w:t>
            </w:r>
          </w:p>
        </w:tc>
        <w:tc>
          <w:tcPr>
            <w:tcW w:w="478" w:type="pct"/>
            <w:shd w:val="clear" w:color="auto" w:fill="auto"/>
          </w:tcPr>
          <w:p w:rsidR="00C47E22" w:rsidRPr="00C47E22" w:rsidP="00A14B28" w14:paraId="43064792" w14:textId="77777777">
            <w:pPr>
              <w:jc w:val="right"/>
              <w:rPr>
                <w:sz w:val="20"/>
                <w:szCs w:val="20"/>
              </w:rPr>
            </w:pPr>
            <w:r w:rsidRPr="00C47E22">
              <w:rPr>
                <w:sz w:val="20"/>
                <w:szCs w:val="20"/>
              </w:rPr>
              <w:t>200</w:t>
            </w:r>
          </w:p>
        </w:tc>
      </w:tr>
      <w:tr w14:paraId="0FF3F08E"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587EE8E5" w14:textId="77777777">
            <w:pPr>
              <w:rPr>
                <w:sz w:val="20"/>
                <w:szCs w:val="20"/>
              </w:rPr>
            </w:pPr>
            <w:r w:rsidRPr="00C47E22">
              <w:rPr>
                <w:sz w:val="20"/>
                <w:szCs w:val="20"/>
              </w:rPr>
              <w:t>516.161; content and format of a request for modification of an indexed drug.</w:t>
            </w:r>
          </w:p>
        </w:tc>
        <w:tc>
          <w:tcPr>
            <w:tcW w:w="674" w:type="pct"/>
            <w:shd w:val="clear" w:color="auto" w:fill="auto"/>
          </w:tcPr>
          <w:p w:rsidR="00C47E22" w:rsidRPr="00C47E22" w:rsidP="00A14B28" w14:paraId="17B973C8" w14:textId="77777777">
            <w:pPr>
              <w:jc w:val="right"/>
              <w:rPr>
                <w:sz w:val="20"/>
                <w:szCs w:val="20"/>
              </w:rPr>
            </w:pPr>
            <w:r w:rsidRPr="00C47E22">
              <w:rPr>
                <w:sz w:val="20"/>
                <w:szCs w:val="20"/>
              </w:rPr>
              <w:t>10</w:t>
            </w:r>
          </w:p>
        </w:tc>
        <w:tc>
          <w:tcPr>
            <w:tcW w:w="770" w:type="pct"/>
            <w:shd w:val="clear" w:color="auto" w:fill="auto"/>
          </w:tcPr>
          <w:p w:rsidR="00C47E22" w:rsidRPr="00C47E22" w:rsidP="00A14B28" w14:paraId="409B8A49" w14:textId="77777777">
            <w:pPr>
              <w:jc w:val="right"/>
              <w:rPr>
                <w:sz w:val="20"/>
                <w:szCs w:val="20"/>
              </w:rPr>
            </w:pPr>
            <w:r w:rsidRPr="00C47E22">
              <w:rPr>
                <w:sz w:val="20"/>
                <w:szCs w:val="20"/>
              </w:rPr>
              <w:t>1</w:t>
            </w:r>
          </w:p>
        </w:tc>
        <w:tc>
          <w:tcPr>
            <w:tcW w:w="578" w:type="pct"/>
            <w:shd w:val="clear" w:color="auto" w:fill="auto"/>
          </w:tcPr>
          <w:p w:rsidR="00C47E22" w:rsidRPr="00C47E22" w:rsidP="00A14B28" w14:paraId="2A14E910" w14:textId="77777777">
            <w:pPr>
              <w:jc w:val="right"/>
              <w:rPr>
                <w:sz w:val="20"/>
                <w:szCs w:val="20"/>
              </w:rPr>
            </w:pPr>
            <w:r w:rsidRPr="00C47E22">
              <w:rPr>
                <w:sz w:val="20"/>
                <w:szCs w:val="20"/>
              </w:rPr>
              <w:t>10</w:t>
            </w:r>
          </w:p>
        </w:tc>
        <w:tc>
          <w:tcPr>
            <w:tcW w:w="674" w:type="pct"/>
            <w:shd w:val="clear" w:color="auto" w:fill="auto"/>
          </w:tcPr>
          <w:p w:rsidR="00C47E22" w:rsidRPr="00C47E22" w:rsidP="00A14B28" w14:paraId="7F3DDCC8" w14:textId="77777777">
            <w:pPr>
              <w:jc w:val="right"/>
              <w:rPr>
                <w:sz w:val="20"/>
                <w:szCs w:val="20"/>
              </w:rPr>
            </w:pPr>
            <w:r w:rsidRPr="00C47E22">
              <w:rPr>
                <w:sz w:val="20"/>
                <w:szCs w:val="20"/>
              </w:rPr>
              <w:t>4</w:t>
            </w:r>
          </w:p>
        </w:tc>
        <w:tc>
          <w:tcPr>
            <w:tcW w:w="478" w:type="pct"/>
            <w:shd w:val="clear" w:color="auto" w:fill="auto"/>
          </w:tcPr>
          <w:p w:rsidR="00C47E22" w:rsidRPr="00C47E22" w:rsidP="00A14B28" w14:paraId="034BD9EC" w14:textId="77777777">
            <w:pPr>
              <w:jc w:val="right"/>
              <w:rPr>
                <w:sz w:val="20"/>
                <w:szCs w:val="20"/>
              </w:rPr>
            </w:pPr>
            <w:r w:rsidRPr="00C47E22">
              <w:rPr>
                <w:sz w:val="20"/>
                <w:szCs w:val="20"/>
              </w:rPr>
              <w:t>40</w:t>
            </w:r>
          </w:p>
        </w:tc>
      </w:tr>
      <w:tr w14:paraId="77122D80"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1C602572" w14:textId="77777777">
            <w:pPr>
              <w:rPr>
                <w:sz w:val="20"/>
                <w:szCs w:val="20"/>
              </w:rPr>
            </w:pPr>
            <w:r w:rsidRPr="00C47E22">
              <w:rPr>
                <w:sz w:val="20"/>
                <w:szCs w:val="20"/>
              </w:rPr>
              <w:t>516.163; information to be contained in a request to FDA to transfer ownership of a drug's index file to another person.</w:t>
            </w:r>
          </w:p>
        </w:tc>
        <w:tc>
          <w:tcPr>
            <w:tcW w:w="674" w:type="pct"/>
            <w:shd w:val="clear" w:color="auto" w:fill="auto"/>
          </w:tcPr>
          <w:p w:rsidR="00C47E22" w:rsidRPr="00C47E22" w:rsidP="00A14B28" w14:paraId="2F895730" w14:textId="77777777">
            <w:pPr>
              <w:jc w:val="right"/>
              <w:rPr>
                <w:sz w:val="20"/>
                <w:szCs w:val="20"/>
              </w:rPr>
            </w:pPr>
            <w:r w:rsidRPr="00C47E22">
              <w:rPr>
                <w:sz w:val="20"/>
                <w:szCs w:val="20"/>
              </w:rPr>
              <w:t>1</w:t>
            </w:r>
          </w:p>
        </w:tc>
        <w:tc>
          <w:tcPr>
            <w:tcW w:w="770" w:type="pct"/>
            <w:shd w:val="clear" w:color="auto" w:fill="auto"/>
          </w:tcPr>
          <w:p w:rsidR="00C47E22" w:rsidRPr="00C47E22" w:rsidP="00A14B28" w14:paraId="42E29EEF" w14:textId="77777777">
            <w:pPr>
              <w:jc w:val="right"/>
              <w:rPr>
                <w:sz w:val="20"/>
                <w:szCs w:val="20"/>
              </w:rPr>
            </w:pPr>
            <w:r w:rsidRPr="00C47E22">
              <w:rPr>
                <w:sz w:val="20"/>
                <w:szCs w:val="20"/>
              </w:rPr>
              <w:t>1</w:t>
            </w:r>
          </w:p>
        </w:tc>
        <w:tc>
          <w:tcPr>
            <w:tcW w:w="578" w:type="pct"/>
            <w:shd w:val="clear" w:color="auto" w:fill="auto"/>
          </w:tcPr>
          <w:p w:rsidR="00C47E22" w:rsidRPr="00C47E22" w:rsidP="00A14B28" w14:paraId="0AF81024" w14:textId="77777777">
            <w:pPr>
              <w:jc w:val="right"/>
              <w:rPr>
                <w:sz w:val="20"/>
                <w:szCs w:val="20"/>
              </w:rPr>
            </w:pPr>
            <w:r w:rsidRPr="00C47E22">
              <w:rPr>
                <w:sz w:val="20"/>
                <w:szCs w:val="20"/>
              </w:rPr>
              <w:t>1</w:t>
            </w:r>
          </w:p>
        </w:tc>
        <w:tc>
          <w:tcPr>
            <w:tcW w:w="674" w:type="pct"/>
            <w:shd w:val="clear" w:color="auto" w:fill="auto"/>
          </w:tcPr>
          <w:p w:rsidR="00C47E22" w:rsidRPr="00C47E22" w:rsidP="00A14B28" w14:paraId="698FFC55" w14:textId="77777777">
            <w:pPr>
              <w:jc w:val="right"/>
              <w:rPr>
                <w:sz w:val="20"/>
                <w:szCs w:val="20"/>
              </w:rPr>
            </w:pPr>
            <w:r w:rsidRPr="00C47E22">
              <w:rPr>
                <w:sz w:val="20"/>
                <w:szCs w:val="20"/>
              </w:rPr>
              <w:t>2</w:t>
            </w:r>
          </w:p>
        </w:tc>
        <w:tc>
          <w:tcPr>
            <w:tcW w:w="478" w:type="pct"/>
            <w:shd w:val="clear" w:color="auto" w:fill="auto"/>
          </w:tcPr>
          <w:p w:rsidR="00C47E22" w:rsidRPr="00C47E22" w:rsidP="00A14B28" w14:paraId="53D03F1D" w14:textId="77777777">
            <w:pPr>
              <w:jc w:val="right"/>
              <w:rPr>
                <w:sz w:val="20"/>
                <w:szCs w:val="20"/>
              </w:rPr>
            </w:pPr>
            <w:r w:rsidRPr="00C47E22">
              <w:rPr>
                <w:sz w:val="20"/>
                <w:szCs w:val="20"/>
              </w:rPr>
              <w:t>2</w:t>
            </w:r>
          </w:p>
        </w:tc>
      </w:tr>
      <w:tr w14:paraId="2CBC0F86" w14:textId="77777777" w:rsidTr="00A14B28">
        <w:tblPrEx>
          <w:tblW w:w="5000" w:type="pct"/>
          <w:tblLayout w:type="fixed"/>
          <w:tblLook w:val="01E0"/>
        </w:tblPrEx>
        <w:trPr>
          <w:cantSplit/>
          <w:trHeight w:val="20"/>
        </w:trPr>
        <w:tc>
          <w:tcPr>
            <w:tcW w:w="1826" w:type="pct"/>
            <w:shd w:val="clear" w:color="auto" w:fill="auto"/>
          </w:tcPr>
          <w:p w:rsidR="00C47E22" w:rsidRPr="00C47E22" w:rsidP="00A14B28" w14:paraId="0F686BE8" w14:textId="77777777">
            <w:pPr>
              <w:rPr>
                <w:sz w:val="20"/>
                <w:szCs w:val="20"/>
              </w:rPr>
            </w:pPr>
            <w:r w:rsidRPr="00C47E22">
              <w:rPr>
                <w:sz w:val="20"/>
                <w:szCs w:val="20"/>
              </w:rPr>
              <w:t xml:space="preserve">516.165; requires </w:t>
            </w:r>
            <w:bookmarkStart w:id="1" w:name="_Hlk26278671"/>
            <w:r w:rsidRPr="00C47E22">
              <w:rPr>
                <w:sz w:val="20"/>
                <w:szCs w:val="20"/>
              </w:rPr>
              <w:t xml:space="preserve">drug experience reports and distributor statements </w:t>
            </w:r>
            <w:bookmarkEnd w:id="1"/>
            <w:r w:rsidRPr="00C47E22">
              <w:rPr>
                <w:sz w:val="20"/>
                <w:szCs w:val="20"/>
              </w:rPr>
              <w:t>to be submitted to FDA.</w:t>
            </w:r>
          </w:p>
        </w:tc>
        <w:tc>
          <w:tcPr>
            <w:tcW w:w="674" w:type="pct"/>
            <w:shd w:val="clear" w:color="auto" w:fill="auto"/>
          </w:tcPr>
          <w:p w:rsidR="00C47E22" w:rsidRPr="00C47E22" w:rsidP="00A14B28" w14:paraId="3400660B" w14:textId="77777777">
            <w:pPr>
              <w:jc w:val="right"/>
              <w:rPr>
                <w:sz w:val="20"/>
                <w:szCs w:val="20"/>
              </w:rPr>
            </w:pPr>
            <w:r w:rsidRPr="00C47E22">
              <w:rPr>
                <w:sz w:val="20"/>
                <w:szCs w:val="20"/>
              </w:rPr>
              <w:t>25</w:t>
            </w:r>
          </w:p>
        </w:tc>
        <w:tc>
          <w:tcPr>
            <w:tcW w:w="770" w:type="pct"/>
            <w:shd w:val="clear" w:color="auto" w:fill="auto"/>
          </w:tcPr>
          <w:p w:rsidR="00C47E22" w:rsidRPr="00C47E22" w:rsidP="00A14B28" w14:paraId="0E5787C5" w14:textId="77777777">
            <w:pPr>
              <w:jc w:val="right"/>
              <w:rPr>
                <w:sz w:val="20"/>
                <w:szCs w:val="20"/>
              </w:rPr>
            </w:pPr>
            <w:r w:rsidRPr="00C47E22">
              <w:rPr>
                <w:sz w:val="20"/>
                <w:szCs w:val="20"/>
              </w:rPr>
              <w:t>10</w:t>
            </w:r>
          </w:p>
        </w:tc>
        <w:tc>
          <w:tcPr>
            <w:tcW w:w="578" w:type="pct"/>
            <w:shd w:val="clear" w:color="auto" w:fill="auto"/>
          </w:tcPr>
          <w:p w:rsidR="00C47E22" w:rsidRPr="00C47E22" w:rsidP="00A14B28" w14:paraId="4F0046E4" w14:textId="77777777">
            <w:pPr>
              <w:jc w:val="right"/>
              <w:rPr>
                <w:sz w:val="20"/>
                <w:szCs w:val="20"/>
              </w:rPr>
            </w:pPr>
            <w:r w:rsidRPr="00C47E22">
              <w:rPr>
                <w:sz w:val="20"/>
                <w:szCs w:val="20"/>
              </w:rPr>
              <w:t>250</w:t>
            </w:r>
          </w:p>
        </w:tc>
        <w:tc>
          <w:tcPr>
            <w:tcW w:w="674" w:type="pct"/>
            <w:shd w:val="clear" w:color="auto" w:fill="auto"/>
          </w:tcPr>
          <w:p w:rsidR="00C47E22" w:rsidRPr="00C47E22" w:rsidP="00A14B28" w14:paraId="58AC66C1" w14:textId="77777777">
            <w:pPr>
              <w:jc w:val="right"/>
              <w:rPr>
                <w:sz w:val="20"/>
                <w:szCs w:val="20"/>
              </w:rPr>
            </w:pPr>
            <w:r w:rsidRPr="00C47E22">
              <w:rPr>
                <w:sz w:val="20"/>
                <w:szCs w:val="20"/>
              </w:rPr>
              <w:t>5</w:t>
            </w:r>
          </w:p>
        </w:tc>
        <w:tc>
          <w:tcPr>
            <w:tcW w:w="478" w:type="pct"/>
            <w:shd w:val="clear" w:color="auto" w:fill="auto"/>
          </w:tcPr>
          <w:p w:rsidR="00C47E22" w:rsidRPr="00C47E22" w:rsidP="00A14B28" w14:paraId="68EED05B" w14:textId="77777777">
            <w:pPr>
              <w:jc w:val="right"/>
              <w:rPr>
                <w:sz w:val="20"/>
                <w:szCs w:val="20"/>
              </w:rPr>
            </w:pPr>
            <w:r w:rsidRPr="00C47E22">
              <w:rPr>
                <w:sz w:val="20"/>
                <w:szCs w:val="20"/>
              </w:rPr>
              <w:t>1250</w:t>
            </w:r>
          </w:p>
        </w:tc>
      </w:tr>
      <w:tr w14:paraId="7CEE2330" w14:textId="77777777" w:rsidTr="00A14B28">
        <w:tblPrEx>
          <w:tblW w:w="5000" w:type="pct"/>
          <w:tblLayout w:type="fixed"/>
          <w:tblLook w:val="01E0"/>
        </w:tblPrEx>
        <w:trPr>
          <w:cantSplit/>
          <w:trHeight w:val="20"/>
        </w:trPr>
        <w:tc>
          <w:tcPr>
            <w:tcW w:w="4522" w:type="pct"/>
            <w:gridSpan w:val="5"/>
            <w:shd w:val="clear" w:color="auto" w:fill="auto"/>
          </w:tcPr>
          <w:p w:rsidR="00C47E22" w:rsidRPr="00C47E22" w:rsidP="00A14B28" w14:paraId="45AC40B3" w14:textId="77777777">
            <w:pPr>
              <w:rPr>
                <w:sz w:val="20"/>
                <w:szCs w:val="20"/>
              </w:rPr>
            </w:pPr>
            <w:r w:rsidRPr="00C47E22">
              <w:rPr>
                <w:sz w:val="20"/>
                <w:szCs w:val="20"/>
              </w:rPr>
              <w:t>Subtotal</w:t>
            </w:r>
          </w:p>
        </w:tc>
        <w:tc>
          <w:tcPr>
            <w:tcW w:w="478" w:type="pct"/>
            <w:shd w:val="clear" w:color="auto" w:fill="auto"/>
          </w:tcPr>
          <w:p w:rsidR="00C47E22" w:rsidRPr="00C47E22" w:rsidP="00A14B28" w14:paraId="7C3AF5A1" w14:textId="77777777">
            <w:pPr>
              <w:jc w:val="right"/>
              <w:rPr>
                <w:sz w:val="20"/>
                <w:szCs w:val="20"/>
              </w:rPr>
            </w:pPr>
            <w:r w:rsidRPr="00C47E22">
              <w:rPr>
                <w:sz w:val="20"/>
                <w:szCs w:val="20"/>
              </w:rPr>
              <w:t>5,286</w:t>
            </w:r>
          </w:p>
        </w:tc>
      </w:tr>
      <w:tr w14:paraId="1248B9E1" w14:textId="77777777" w:rsidTr="00A14B28">
        <w:tblPrEx>
          <w:tblW w:w="5000" w:type="pct"/>
          <w:tblLayout w:type="fixed"/>
          <w:tblLook w:val="01E0"/>
        </w:tblPrEx>
        <w:trPr>
          <w:cantSplit/>
          <w:trHeight w:val="20"/>
        </w:trPr>
        <w:tc>
          <w:tcPr>
            <w:tcW w:w="4522" w:type="pct"/>
            <w:gridSpan w:val="5"/>
            <w:shd w:val="clear" w:color="auto" w:fill="auto"/>
            <w:vAlign w:val="bottom"/>
          </w:tcPr>
          <w:p w:rsidR="00C47E22" w:rsidRPr="00C47E22" w:rsidP="00A14B28" w14:paraId="56C8D276" w14:textId="77777777">
            <w:pPr>
              <w:rPr>
                <w:sz w:val="20"/>
                <w:szCs w:val="20"/>
              </w:rPr>
            </w:pPr>
            <w:r w:rsidRPr="00C47E22">
              <w:rPr>
                <w:sz w:val="20"/>
                <w:szCs w:val="20"/>
              </w:rPr>
              <w:t>Total</w:t>
            </w:r>
          </w:p>
        </w:tc>
        <w:tc>
          <w:tcPr>
            <w:tcW w:w="478" w:type="pct"/>
            <w:shd w:val="clear" w:color="auto" w:fill="auto"/>
          </w:tcPr>
          <w:p w:rsidR="00C47E22" w:rsidRPr="00C47E22" w:rsidP="00A14B28" w14:paraId="713ED39A" w14:textId="77777777">
            <w:pPr>
              <w:jc w:val="right"/>
              <w:rPr>
                <w:sz w:val="20"/>
                <w:szCs w:val="20"/>
              </w:rPr>
            </w:pPr>
            <w:r w:rsidRPr="00C47E22">
              <w:rPr>
                <w:sz w:val="20"/>
                <w:szCs w:val="20"/>
              </w:rPr>
              <w:t>5,562</w:t>
            </w:r>
          </w:p>
        </w:tc>
      </w:tr>
    </w:tbl>
    <w:p w:rsidR="00C47E22" w:rsidRPr="00C47E22" w:rsidP="00C47E22" w14:paraId="6FCD434F" w14:textId="77777777">
      <w:pPr>
        <w:jc w:val="center"/>
        <w:rPr>
          <w:sz w:val="20"/>
          <w:szCs w:val="20"/>
        </w:rPr>
      </w:pPr>
    </w:p>
    <w:p w:rsidR="00C47E22" w:rsidRPr="00C47E22" w:rsidP="00C47E22" w14:paraId="309C13AE" w14:textId="42CEF7FA">
      <w:pPr>
        <w:pStyle w:val="BodyText2"/>
        <w:jc w:val="center"/>
        <w:rPr>
          <w:sz w:val="20"/>
          <w:vertAlign w:val="superscript"/>
        </w:rPr>
      </w:pPr>
      <w:r w:rsidRPr="00C47E22">
        <w:rPr>
          <w:sz w:val="20"/>
        </w:rPr>
        <w:t>Table 2. – Estimated Annual Recordkeeping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6"/>
        <w:gridCol w:w="1462"/>
        <w:gridCol w:w="1371"/>
        <w:gridCol w:w="913"/>
        <w:gridCol w:w="1462"/>
        <w:gridCol w:w="910"/>
      </w:tblGrid>
      <w:tr w14:paraId="57136F5E" w14:textId="77777777" w:rsidTr="00A14B2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blHeader/>
        </w:trPr>
        <w:tc>
          <w:tcPr>
            <w:tcW w:w="1778" w:type="pct"/>
            <w:shd w:val="clear" w:color="auto" w:fill="auto"/>
          </w:tcPr>
          <w:p w:rsidR="00C47E22" w:rsidRPr="00C47E22" w:rsidP="00A14B28" w14:paraId="6EABB5ED" w14:textId="77777777">
            <w:pPr>
              <w:keepNext/>
              <w:jc w:val="center"/>
              <w:rPr>
                <w:sz w:val="20"/>
                <w:szCs w:val="20"/>
              </w:rPr>
            </w:pPr>
            <w:r w:rsidRPr="00C47E22">
              <w:rPr>
                <w:sz w:val="20"/>
                <w:szCs w:val="20"/>
              </w:rPr>
              <w:t>21 CFR Section, Activity</w:t>
            </w:r>
          </w:p>
        </w:tc>
        <w:tc>
          <w:tcPr>
            <w:tcW w:w="770" w:type="pct"/>
            <w:shd w:val="clear" w:color="auto" w:fill="auto"/>
          </w:tcPr>
          <w:p w:rsidR="00C47E22" w:rsidRPr="00C47E22" w:rsidP="00A14B28" w14:paraId="4C6F3C62" w14:textId="77777777">
            <w:pPr>
              <w:keepNext/>
              <w:jc w:val="center"/>
              <w:rPr>
                <w:sz w:val="20"/>
                <w:szCs w:val="20"/>
              </w:rPr>
            </w:pPr>
            <w:r w:rsidRPr="00C47E22">
              <w:rPr>
                <w:sz w:val="20"/>
                <w:szCs w:val="20"/>
              </w:rPr>
              <w:t>No. of Recordkeepers</w:t>
            </w:r>
          </w:p>
        </w:tc>
        <w:tc>
          <w:tcPr>
            <w:tcW w:w="722" w:type="pct"/>
            <w:shd w:val="clear" w:color="auto" w:fill="auto"/>
          </w:tcPr>
          <w:p w:rsidR="00C47E22" w:rsidRPr="00C47E22" w:rsidP="00A14B28" w14:paraId="626C5C08" w14:textId="77777777">
            <w:pPr>
              <w:keepNext/>
              <w:jc w:val="center"/>
              <w:rPr>
                <w:sz w:val="20"/>
                <w:szCs w:val="20"/>
              </w:rPr>
            </w:pPr>
            <w:r w:rsidRPr="00C47E22">
              <w:rPr>
                <w:bCs/>
                <w:sz w:val="20"/>
                <w:szCs w:val="20"/>
              </w:rPr>
              <w:t>No. of Records per Recordkeeper</w:t>
            </w:r>
          </w:p>
        </w:tc>
        <w:tc>
          <w:tcPr>
            <w:tcW w:w="481" w:type="pct"/>
            <w:shd w:val="clear" w:color="auto" w:fill="auto"/>
          </w:tcPr>
          <w:p w:rsidR="00C47E22" w:rsidRPr="00C47E22" w:rsidP="00A14B28" w14:paraId="72139657" w14:textId="77777777">
            <w:pPr>
              <w:keepNext/>
              <w:jc w:val="center"/>
              <w:rPr>
                <w:sz w:val="20"/>
                <w:szCs w:val="20"/>
              </w:rPr>
            </w:pPr>
            <w:r w:rsidRPr="00C47E22">
              <w:rPr>
                <w:sz w:val="20"/>
                <w:szCs w:val="20"/>
              </w:rPr>
              <w:t>Total Annual Records</w:t>
            </w:r>
          </w:p>
        </w:tc>
        <w:tc>
          <w:tcPr>
            <w:tcW w:w="770" w:type="pct"/>
            <w:shd w:val="clear" w:color="auto" w:fill="auto"/>
          </w:tcPr>
          <w:p w:rsidR="00C47E22" w:rsidRPr="00C47E22" w:rsidP="00A14B28" w14:paraId="747B75F9" w14:textId="77777777">
            <w:pPr>
              <w:keepNext/>
              <w:jc w:val="center"/>
              <w:rPr>
                <w:sz w:val="20"/>
                <w:szCs w:val="20"/>
              </w:rPr>
            </w:pPr>
            <w:r w:rsidRPr="00C47E22">
              <w:rPr>
                <w:bCs/>
                <w:sz w:val="20"/>
                <w:szCs w:val="20"/>
              </w:rPr>
              <w:t xml:space="preserve">Average Burden per Recordkeeping </w:t>
            </w:r>
          </w:p>
        </w:tc>
        <w:tc>
          <w:tcPr>
            <w:tcW w:w="479" w:type="pct"/>
            <w:shd w:val="clear" w:color="auto" w:fill="auto"/>
          </w:tcPr>
          <w:p w:rsidR="00C47E22" w:rsidRPr="00C47E22" w:rsidP="00A14B28" w14:paraId="3F69C0BA" w14:textId="77777777">
            <w:pPr>
              <w:keepNext/>
              <w:jc w:val="center"/>
              <w:rPr>
                <w:sz w:val="20"/>
                <w:szCs w:val="20"/>
              </w:rPr>
            </w:pPr>
            <w:r w:rsidRPr="00C47E22">
              <w:rPr>
                <w:sz w:val="20"/>
                <w:szCs w:val="20"/>
              </w:rPr>
              <w:t>Total Hours</w:t>
            </w:r>
          </w:p>
        </w:tc>
      </w:tr>
      <w:tr w14:paraId="7E3CF7F7" w14:textId="77777777" w:rsidTr="00A14B28">
        <w:tblPrEx>
          <w:tblW w:w="5000" w:type="pct"/>
          <w:tblLayout w:type="fixed"/>
          <w:tblLook w:val="01E0"/>
        </w:tblPrEx>
        <w:trPr>
          <w:trHeight w:val="58"/>
        </w:trPr>
        <w:tc>
          <w:tcPr>
            <w:tcW w:w="5000" w:type="pct"/>
            <w:gridSpan w:val="6"/>
            <w:shd w:val="clear" w:color="auto" w:fill="auto"/>
          </w:tcPr>
          <w:p w:rsidR="00C47E22" w:rsidRPr="00C47E22" w:rsidP="00A14B28" w14:paraId="1FA45426" w14:textId="77777777">
            <w:pPr>
              <w:keepNext/>
              <w:rPr>
                <w:sz w:val="20"/>
                <w:szCs w:val="20"/>
              </w:rPr>
            </w:pPr>
            <w:r w:rsidRPr="00C47E22">
              <w:rPr>
                <w:i/>
                <w:iCs/>
                <w:sz w:val="20"/>
                <w:szCs w:val="20"/>
              </w:rPr>
              <w:t>Index of Legally Marketed Unapproved New Animal Drugs for Minor Species, Subpart C</w:t>
            </w:r>
          </w:p>
        </w:tc>
      </w:tr>
      <w:tr w14:paraId="267FAB64" w14:textId="77777777" w:rsidTr="00A14B28">
        <w:tblPrEx>
          <w:tblW w:w="5000" w:type="pct"/>
          <w:tblLayout w:type="fixed"/>
          <w:tblLook w:val="01E0"/>
        </w:tblPrEx>
        <w:trPr>
          <w:trHeight w:val="58"/>
        </w:trPr>
        <w:tc>
          <w:tcPr>
            <w:tcW w:w="1778" w:type="pct"/>
            <w:shd w:val="clear" w:color="auto" w:fill="auto"/>
          </w:tcPr>
          <w:p w:rsidR="00C47E22" w:rsidRPr="00C47E22" w:rsidP="00A14B28" w14:paraId="0401A77C" w14:textId="77777777">
            <w:pPr>
              <w:keepNext/>
              <w:rPr>
                <w:sz w:val="20"/>
                <w:szCs w:val="20"/>
              </w:rPr>
            </w:pPr>
            <w:r w:rsidRPr="00C47E22">
              <w:rPr>
                <w:sz w:val="20"/>
                <w:szCs w:val="20"/>
              </w:rPr>
              <w:t xml:space="preserve">516.141, requires the qualified expert panel leader to maintain a copy of the written report and all notes or minutes relating to panel deliberations that are submitted to the requestor for 2 years after the report is submitted. </w:t>
            </w:r>
          </w:p>
        </w:tc>
        <w:tc>
          <w:tcPr>
            <w:tcW w:w="770" w:type="pct"/>
            <w:shd w:val="clear" w:color="auto" w:fill="auto"/>
          </w:tcPr>
          <w:p w:rsidR="00C47E22" w:rsidRPr="00C47E22" w:rsidP="00A14B28" w14:paraId="4E82F120" w14:textId="77777777">
            <w:pPr>
              <w:keepNext/>
              <w:jc w:val="right"/>
              <w:rPr>
                <w:sz w:val="20"/>
                <w:szCs w:val="20"/>
              </w:rPr>
            </w:pPr>
            <w:r w:rsidRPr="00C47E22">
              <w:rPr>
                <w:sz w:val="20"/>
                <w:szCs w:val="20"/>
              </w:rPr>
              <w:t>30</w:t>
            </w:r>
          </w:p>
        </w:tc>
        <w:tc>
          <w:tcPr>
            <w:tcW w:w="722" w:type="pct"/>
            <w:shd w:val="clear" w:color="auto" w:fill="auto"/>
          </w:tcPr>
          <w:p w:rsidR="00C47E22" w:rsidRPr="00C47E22" w:rsidP="00A14B28" w14:paraId="1069317E" w14:textId="77777777">
            <w:pPr>
              <w:keepNext/>
              <w:jc w:val="right"/>
              <w:rPr>
                <w:sz w:val="20"/>
                <w:szCs w:val="20"/>
              </w:rPr>
            </w:pPr>
            <w:r w:rsidRPr="00C47E22">
              <w:rPr>
                <w:sz w:val="20"/>
                <w:szCs w:val="20"/>
              </w:rPr>
              <w:t>2</w:t>
            </w:r>
          </w:p>
        </w:tc>
        <w:tc>
          <w:tcPr>
            <w:tcW w:w="481" w:type="pct"/>
            <w:shd w:val="clear" w:color="auto" w:fill="auto"/>
          </w:tcPr>
          <w:p w:rsidR="00C47E22" w:rsidRPr="00C47E22" w:rsidP="00A14B28" w14:paraId="2E9C7296" w14:textId="77777777">
            <w:pPr>
              <w:keepNext/>
              <w:jc w:val="right"/>
              <w:rPr>
                <w:sz w:val="20"/>
                <w:szCs w:val="20"/>
              </w:rPr>
            </w:pPr>
            <w:r w:rsidRPr="00C47E22">
              <w:rPr>
                <w:sz w:val="20"/>
                <w:szCs w:val="20"/>
              </w:rPr>
              <w:t>60</w:t>
            </w:r>
          </w:p>
        </w:tc>
        <w:tc>
          <w:tcPr>
            <w:tcW w:w="770" w:type="pct"/>
            <w:shd w:val="clear" w:color="auto" w:fill="auto"/>
          </w:tcPr>
          <w:p w:rsidR="00C47E22" w:rsidRPr="00C47E22" w:rsidP="00A14B28" w14:paraId="42E4A6BB" w14:textId="77777777">
            <w:pPr>
              <w:keepNext/>
              <w:jc w:val="right"/>
              <w:rPr>
                <w:sz w:val="20"/>
                <w:szCs w:val="20"/>
              </w:rPr>
            </w:pPr>
            <w:r w:rsidRPr="00C47E22">
              <w:rPr>
                <w:sz w:val="20"/>
                <w:szCs w:val="20"/>
              </w:rPr>
              <w:t>0.5</w:t>
            </w:r>
          </w:p>
          <w:p w:rsidR="00C47E22" w:rsidRPr="00C47E22" w:rsidP="00A14B28" w14:paraId="58DD1D4A" w14:textId="77777777">
            <w:pPr>
              <w:keepNext/>
              <w:jc w:val="right"/>
              <w:rPr>
                <w:sz w:val="20"/>
                <w:szCs w:val="20"/>
              </w:rPr>
            </w:pPr>
            <w:r w:rsidRPr="00C47E22">
              <w:rPr>
                <w:sz w:val="20"/>
                <w:szCs w:val="20"/>
              </w:rPr>
              <w:t>(30 min.)</w:t>
            </w:r>
          </w:p>
        </w:tc>
        <w:tc>
          <w:tcPr>
            <w:tcW w:w="479" w:type="pct"/>
            <w:shd w:val="clear" w:color="auto" w:fill="auto"/>
          </w:tcPr>
          <w:p w:rsidR="00C47E22" w:rsidRPr="00C47E22" w:rsidP="00A14B28" w14:paraId="35B9730E" w14:textId="77777777">
            <w:pPr>
              <w:keepNext/>
              <w:jc w:val="right"/>
              <w:rPr>
                <w:sz w:val="20"/>
                <w:szCs w:val="20"/>
              </w:rPr>
            </w:pPr>
            <w:r w:rsidRPr="00C47E22">
              <w:rPr>
                <w:sz w:val="20"/>
                <w:szCs w:val="20"/>
              </w:rPr>
              <w:t>30</w:t>
            </w:r>
          </w:p>
        </w:tc>
      </w:tr>
      <w:tr w14:paraId="766985D6" w14:textId="77777777" w:rsidTr="00A14B28">
        <w:tblPrEx>
          <w:tblW w:w="5000" w:type="pct"/>
          <w:tblLayout w:type="fixed"/>
          <w:tblLook w:val="01E0"/>
        </w:tblPrEx>
        <w:trPr>
          <w:trHeight w:val="143"/>
        </w:trPr>
        <w:tc>
          <w:tcPr>
            <w:tcW w:w="1778" w:type="pct"/>
            <w:shd w:val="clear" w:color="auto" w:fill="auto"/>
          </w:tcPr>
          <w:p w:rsidR="00C47E22" w:rsidRPr="00C47E22" w:rsidP="00A14B28" w14:paraId="0ADEE3DD" w14:textId="77777777">
            <w:pPr>
              <w:keepNext/>
              <w:rPr>
                <w:sz w:val="20"/>
                <w:szCs w:val="20"/>
              </w:rPr>
            </w:pPr>
            <w:r w:rsidRPr="00C47E22">
              <w:rPr>
                <w:sz w:val="20"/>
                <w:szCs w:val="20"/>
              </w:rPr>
              <w:t>516.165, requires the holder of an indexed drug to maintain records of all information pertinent to the safety or effectiveness of the indexed drug, from foreign and domestic sources.</w:t>
            </w:r>
          </w:p>
        </w:tc>
        <w:tc>
          <w:tcPr>
            <w:tcW w:w="770" w:type="pct"/>
            <w:shd w:val="clear" w:color="auto" w:fill="auto"/>
          </w:tcPr>
          <w:p w:rsidR="00C47E22" w:rsidRPr="00C47E22" w:rsidP="00A14B28" w14:paraId="23D8422B" w14:textId="77777777">
            <w:pPr>
              <w:keepNext/>
              <w:jc w:val="right"/>
              <w:rPr>
                <w:sz w:val="20"/>
                <w:szCs w:val="20"/>
              </w:rPr>
            </w:pPr>
            <w:r w:rsidRPr="00C47E22">
              <w:rPr>
                <w:sz w:val="20"/>
                <w:szCs w:val="20"/>
              </w:rPr>
              <w:t>25</w:t>
            </w:r>
          </w:p>
        </w:tc>
        <w:tc>
          <w:tcPr>
            <w:tcW w:w="722" w:type="pct"/>
            <w:shd w:val="clear" w:color="auto" w:fill="auto"/>
          </w:tcPr>
          <w:p w:rsidR="00C47E22" w:rsidRPr="00C47E22" w:rsidP="00A14B28" w14:paraId="3A6F3DE5" w14:textId="77777777">
            <w:pPr>
              <w:keepNext/>
              <w:jc w:val="right"/>
              <w:rPr>
                <w:sz w:val="20"/>
                <w:szCs w:val="20"/>
              </w:rPr>
            </w:pPr>
            <w:r w:rsidRPr="00C47E22">
              <w:rPr>
                <w:sz w:val="20"/>
                <w:szCs w:val="20"/>
              </w:rPr>
              <w:t>2</w:t>
            </w:r>
          </w:p>
        </w:tc>
        <w:tc>
          <w:tcPr>
            <w:tcW w:w="481" w:type="pct"/>
            <w:shd w:val="clear" w:color="auto" w:fill="auto"/>
          </w:tcPr>
          <w:p w:rsidR="00C47E22" w:rsidRPr="00C47E22" w:rsidP="00A14B28" w14:paraId="58A63E9A" w14:textId="77777777">
            <w:pPr>
              <w:keepNext/>
              <w:jc w:val="right"/>
              <w:rPr>
                <w:sz w:val="20"/>
                <w:szCs w:val="20"/>
              </w:rPr>
            </w:pPr>
            <w:r w:rsidRPr="00C47E22">
              <w:rPr>
                <w:sz w:val="20"/>
                <w:szCs w:val="20"/>
              </w:rPr>
              <w:t>50</w:t>
            </w:r>
          </w:p>
        </w:tc>
        <w:tc>
          <w:tcPr>
            <w:tcW w:w="770" w:type="pct"/>
            <w:shd w:val="clear" w:color="auto" w:fill="auto"/>
          </w:tcPr>
          <w:p w:rsidR="00C47E22" w:rsidRPr="00C47E22" w:rsidP="00A14B28" w14:paraId="7CBC6D90" w14:textId="77777777">
            <w:pPr>
              <w:jc w:val="right"/>
              <w:rPr>
                <w:sz w:val="20"/>
                <w:szCs w:val="20"/>
              </w:rPr>
            </w:pPr>
            <w:r w:rsidRPr="00C47E22">
              <w:rPr>
                <w:sz w:val="20"/>
                <w:szCs w:val="20"/>
              </w:rPr>
              <w:t>1</w:t>
            </w:r>
          </w:p>
        </w:tc>
        <w:tc>
          <w:tcPr>
            <w:tcW w:w="479" w:type="pct"/>
            <w:shd w:val="clear" w:color="auto" w:fill="auto"/>
          </w:tcPr>
          <w:p w:rsidR="00C47E22" w:rsidRPr="00C47E22" w:rsidP="00A14B28" w14:paraId="63C4226C" w14:textId="77777777">
            <w:pPr>
              <w:keepNext/>
              <w:jc w:val="right"/>
              <w:rPr>
                <w:sz w:val="20"/>
                <w:szCs w:val="20"/>
              </w:rPr>
            </w:pPr>
            <w:r w:rsidRPr="00C47E22">
              <w:rPr>
                <w:sz w:val="20"/>
                <w:szCs w:val="20"/>
              </w:rPr>
              <w:t>50</w:t>
            </w:r>
          </w:p>
        </w:tc>
      </w:tr>
      <w:tr w14:paraId="4B509565" w14:textId="77777777" w:rsidTr="00A14B28">
        <w:tblPrEx>
          <w:tblW w:w="5000" w:type="pct"/>
          <w:tblLayout w:type="fixed"/>
          <w:tblLook w:val="01E0"/>
        </w:tblPrEx>
        <w:trPr>
          <w:trHeight w:val="143"/>
        </w:trPr>
        <w:tc>
          <w:tcPr>
            <w:tcW w:w="1778" w:type="pct"/>
            <w:shd w:val="clear" w:color="auto" w:fill="auto"/>
          </w:tcPr>
          <w:p w:rsidR="00C47E22" w:rsidRPr="00C47E22" w:rsidP="00A14B28" w14:paraId="49406591" w14:textId="77777777">
            <w:pPr>
              <w:keepNext/>
              <w:rPr>
                <w:sz w:val="20"/>
                <w:szCs w:val="20"/>
              </w:rPr>
            </w:pPr>
            <w:r w:rsidRPr="00C47E22">
              <w:rPr>
                <w:sz w:val="20"/>
                <w:szCs w:val="20"/>
              </w:rPr>
              <w:t>Total</w:t>
            </w:r>
          </w:p>
        </w:tc>
        <w:tc>
          <w:tcPr>
            <w:tcW w:w="770" w:type="pct"/>
            <w:shd w:val="clear" w:color="auto" w:fill="auto"/>
          </w:tcPr>
          <w:p w:rsidR="00C47E22" w:rsidRPr="00C47E22" w:rsidP="00A14B28" w14:paraId="46854B36" w14:textId="77777777">
            <w:pPr>
              <w:keepNext/>
              <w:jc w:val="right"/>
              <w:rPr>
                <w:sz w:val="20"/>
                <w:szCs w:val="20"/>
              </w:rPr>
            </w:pPr>
          </w:p>
        </w:tc>
        <w:tc>
          <w:tcPr>
            <w:tcW w:w="722" w:type="pct"/>
            <w:shd w:val="clear" w:color="auto" w:fill="auto"/>
          </w:tcPr>
          <w:p w:rsidR="00C47E22" w:rsidRPr="00C47E22" w:rsidP="00A14B28" w14:paraId="02A320CD" w14:textId="77777777">
            <w:pPr>
              <w:keepNext/>
              <w:jc w:val="right"/>
              <w:rPr>
                <w:sz w:val="20"/>
                <w:szCs w:val="20"/>
              </w:rPr>
            </w:pPr>
          </w:p>
        </w:tc>
        <w:tc>
          <w:tcPr>
            <w:tcW w:w="481" w:type="pct"/>
            <w:shd w:val="clear" w:color="auto" w:fill="auto"/>
          </w:tcPr>
          <w:p w:rsidR="00C47E22" w:rsidRPr="00C47E22" w:rsidP="00A14B28" w14:paraId="472E0534" w14:textId="77777777">
            <w:pPr>
              <w:keepNext/>
              <w:jc w:val="right"/>
              <w:rPr>
                <w:sz w:val="20"/>
                <w:szCs w:val="20"/>
              </w:rPr>
            </w:pPr>
          </w:p>
        </w:tc>
        <w:tc>
          <w:tcPr>
            <w:tcW w:w="770" w:type="pct"/>
            <w:shd w:val="clear" w:color="auto" w:fill="auto"/>
          </w:tcPr>
          <w:p w:rsidR="00C47E22" w:rsidRPr="00C47E22" w:rsidP="00A14B28" w14:paraId="4B8A8697" w14:textId="77777777">
            <w:pPr>
              <w:jc w:val="right"/>
              <w:rPr>
                <w:sz w:val="20"/>
                <w:szCs w:val="20"/>
              </w:rPr>
            </w:pPr>
          </w:p>
        </w:tc>
        <w:tc>
          <w:tcPr>
            <w:tcW w:w="479" w:type="pct"/>
            <w:shd w:val="clear" w:color="auto" w:fill="auto"/>
          </w:tcPr>
          <w:p w:rsidR="00C47E22" w:rsidRPr="00C47E22" w:rsidP="00A14B28" w14:paraId="1C5A3283" w14:textId="77777777">
            <w:pPr>
              <w:keepNext/>
              <w:jc w:val="right"/>
              <w:rPr>
                <w:sz w:val="20"/>
                <w:szCs w:val="20"/>
              </w:rPr>
            </w:pPr>
            <w:r w:rsidRPr="00C47E22">
              <w:rPr>
                <w:sz w:val="20"/>
                <w:szCs w:val="20"/>
              </w:rPr>
              <w:t>80</w:t>
            </w:r>
          </w:p>
        </w:tc>
      </w:tr>
    </w:tbl>
    <w:p w:rsidR="000D79CC" w:rsidP="00C47E22" w14:paraId="237268C3" w14:textId="236484F3">
      <w:pPr>
        <w:spacing w:after="200"/>
        <w:ind w:left="360"/>
        <w:rPr>
          <w:rFonts w:eastAsia="Calibri"/>
        </w:rPr>
      </w:pPr>
      <w:r w:rsidRPr="00C47E22">
        <w:rPr>
          <w:rFonts w:eastAsia="Calibri"/>
          <w:i/>
          <w:sz w:val="20"/>
          <w:szCs w:val="20"/>
        </w:rPr>
        <w:br w:type="page"/>
      </w:r>
      <w:r w:rsidR="00414494">
        <w:rPr>
          <w:rFonts w:eastAsia="Calibri"/>
        </w:rPr>
        <w:t xml:space="preserve"> </w:t>
      </w:r>
    </w:p>
    <w:p w:rsidR="00357C8A" w:rsidRPr="005C71CA" w:rsidP="00DC371B" w14:paraId="7729CF23" w14:textId="77777777">
      <w:pPr>
        <w:spacing w:after="200"/>
        <w:ind w:left="360"/>
        <w:rPr>
          <w:rFonts w:eastAsia="Calibri"/>
        </w:rPr>
      </w:pPr>
      <w:r w:rsidRPr="005C71CA">
        <w:rPr>
          <w:rFonts w:eastAsia="Calibri"/>
        </w:rPr>
        <w:t>12b.  Annualized Cost Burden Estimate</w:t>
      </w:r>
    </w:p>
    <w:p w:rsidR="00A707CC" w:rsidP="0022425B" w14:paraId="4B266A6C"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51AD35E9" w14:textId="77777777" w:rsidTr="0031262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A707CC" w:rsidP="00312622" w14:paraId="1BCD9B43" w14:textId="529494E8">
            <w:pPr>
              <w:jc w:val="center"/>
            </w:pPr>
            <w:r w:rsidRPr="00355B62">
              <w:t>Type of Respondent</w:t>
            </w:r>
          </w:p>
        </w:tc>
        <w:tc>
          <w:tcPr>
            <w:tcW w:w="1890" w:type="dxa"/>
            <w:shd w:val="clear" w:color="auto" w:fill="auto"/>
          </w:tcPr>
          <w:p w:rsidR="00A707CC" w:rsidP="00312622" w14:paraId="39CA0DA4" w14:textId="77777777">
            <w:pPr>
              <w:jc w:val="center"/>
            </w:pPr>
            <w:r>
              <w:t>Total Burden Hours</w:t>
            </w:r>
          </w:p>
        </w:tc>
        <w:tc>
          <w:tcPr>
            <w:tcW w:w="1944" w:type="dxa"/>
            <w:shd w:val="clear" w:color="auto" w:fill="auto"/>
          </w:tcPr>
          <w:p w:rsidR="00A707CC" w:rsidP="00312622" w14:paraId="177A1E2E" w14:textId="77777777">
            <w:pPr>
              <w:jc w:val="center"/>
            </w:pPr>
            <w:r>
              <w:t>Hourly Wage Rate</w:t>
            </w:r>
          </w:p>
        </w:tc>
        <w:tc>
          <w:tcPr>
            <w:tcW w:w="1926" w:type="dxa"/>
            <w:shd w:val="clear" w:color="auto" w:fill="auto"/>
          </w:tcPr>
          <w:p w:rsidR="00A707CC" w:rsidP="00312622" w14:paraId="42E476C5" w14:textId="77777777">
            <w:pPr>
              <w:jc w:val="center"/>
            </w:pPr>
            <w:r>
              <w:t>Total Respondent Costs</w:t>
            </w:r>
          </w:p>
        </w:tc>
      </w:tr>
      <w:tr w14:paraId="7EDA7587" w14:textId="77777777" w:rsidTr="00312622">
        <w:tblPrEx>
          <w:tblW w:w="0" w:type="auto"/>
          <w:tblInd w:w="828" w:type="dxa"/>
          <w:tblLook w:val="01E0"/>
        </w:tblPrEx>
        <w:tc>
          <w:tcPr>
            <w:tcW w:w="2520" w:type="dxa"/>
            <w:shd w:val="clear" w:color="auto" w:fill="auto"/>
          </w:tcPr>
          <w:p w:rsidR="00A707CC" w:rsidRPr="00C922F6" w:rsidP="00312622" w14:paraId="7CFA1D62" w14:textId="5879B72A">
            <w:pPr>
              <w:rPr>
                <w:vertAlign w:val="superscript"/>
              </w:rPr>
            </w:pPr>
            <w:r>
              <w:t>Compliance Officer</w:t>
            </w:r>
            <w:r w:rsidR="00C922F6">
              <w:rPr>
                <w:vertAlign w:val="superscript"/>
              </w:rPr>
              <w:t>1</w:t>
            </w:r>
          </w:p>
        </w:tc>
        <w:tc>
          <w:tcPr>
            <w:tcW w:w="1890" w:type="dxa"/>
            <w:shd w:val="clear" w:color="auto" w:fill="auto"/>
          </w:tcPr>
          <w:p w:rsidR="00A707CC" w:rsidP="00C922F6" w14:paraId="22462E77" w14:textId="77EC3346">
            <w:pPr>
              <w:jc w:val="center"/>
            </w:pPr>
            <w:r>
              <w:t>5,562</w:t>
            </w:r>
          </w:p>
        </w:tc>
        <w:tc>
          <w:tcPr>
            <w:tcW w:w="1944" w:type="dxa"/>
            <w:shd w:val="clear" w:color="auto" w:fill="auto"/>
          </w:tcPr>
          <w:p w:rsidR="00A707CC" w:rsidP="00C922F6" w14:paraId="79715A6D" w14:textId="0BF41BE3">
            <w:pPr>
              <w:jc w:val="center"/>
            </w:pPr>
            <w:r>
              <w:t>$</w:t>
            </w:r>
            <w:r w:rsidR="00C922F6">
              <w:t>64.06</w:t>
            </w:r>
          </w:p>
        </w:tc>
        <w:tc>
          <w:tcPr>
            <w:tcW w:w="1926" w:type="dxa"/>
            <w:shd w:val="clear" w:color="auto" w:fill="auto"/>
          </w:tcPr>
          <w:p w:rsidR="00A707CC" w:rsidP="00B23781" w14:paraId="0CA70794" w14:textId="6CF0586B">
            <w:pPr>
              <w:jc w:val="right"/>
            </w:pPr>
            <w:r>
              <w:t>$356,301.72</w:t>
            </w:r>
          </w:p>
        </w:tc>
      </w:tr>
      <w:tr w14:paraId="517AA9C2" w14:textId="77777777" w:rsidTr="00312622">
        <w:tblPrEx>
          <w:tblW w:w="0" w:type="auto"/>
          <w:tblInd w:w="828" w:type="dxa"/>
          <w:tblLook w:val="01E0"/>
        </w:tblPrEx>
        <w:tc>
          <w:tcPr>
            <w:tcW w:w="2520" w:type="dxa"/>
            <w:shd w:val="clear" w:color="auto" w:fill="auto"/>
          </w:tcPr>
          <w:p w:rsidR="009E15A7" w:rsidRPr="00C922F6" w:rsidP="00312622" w14:paraId="4F6588E2" w14:textId="49A081B5">
            <w:pPr>
              <w:rPr>
                <w:vertAlign w:val="superscript"/>
              </w:rPr>
            </w:pPr>
            <w:r>
              <w:t>Clerical Worker</w:t>
            </w:r>
            <w:r w:rsidR="00C922F6">
              <w:rPr>
                <w:vertAlign w:val="superscript"/>
              </w:rPr>
              <w:t>2</w:t>
            </w:r>
          </w:p>
        </w:tc>
        <w:tc>
          <w:tcPr>
            <w:tcW w:w="1890" w:type="dxa"/>
            <w:shd w:val="clear" w:color="auto" w:fill="auto"/>
          </w:tcPr>
          <w:p w:rsidR="009E15A7" w:rsidP="00C922F6" w14:paraId="05411681" w14:textId="15C59F8A">
            <w:pPr>
              <w:jc w:val="center"/>
            </w:pPr>
            <w:r>
              <w:t>80</w:t>
            </w:r>
          </w:p>
        </w:tc>
        <w:tc>
          <w:tcPr>
            <w:tcW w:w="1944" w:type="dxa"/>
            <w:shd w:val="clear" w:color="auto" w:fill="auto"/>
          </w:tcPr>
          <w:p w:rsidR="009E15A7" w:rsidP="00C922F6" w14:paraId="2D090285" w14:textId="10F210AC">
            <w:pPr>
              <w:jc w:val="center"/>
            </w:pPr>
            <w:r>
              <w:t>$</w:t>
            </w:r>
            <w:r w:rsidR="00C922F6">
              <w:t>32.05</w:t>
            </w:r>
          </w:p>
        </w:tc>
        <w:tc>
          <w:tcPr>
            <w:tcW w:w="1926" w:type="dxa"/>
            <w:shd w:val="clear" w:color="auto" w:fill="auto"/>
          </w:tcPr>
          <w:p w:rsidR="009E15A7" w:rsidP="00B23781" w14:paraId="4DB26FDF" w14:textId="5B7CEF04">
            <w:pPr>
              <w:jc w:val="right"/>
            </w:pPr>
            <w:r>
              <w:t>$2,564</w:t>
            </w:r>
          </w:p>
        </w:tc>
      </w:tr>
      <w:tr w14:paraId="2D1861B2" w14:textId="77777777" w:rsidTr="00312622">
        <w:tblPrEx>
          <w:tblW w:w="0" w:type="auto"/>
          <w:tblInd w:w="828" w:type="dxa"/>
          <w:tblLook w:val="01E0"/>
        </w:tblPrEx>
        <w:tc>
          <w:tcPr>
            <w:tcW w:w="6354" w:type="dxa"/>
            <w:gridSpan w:val="3"/>
            <w:shd w:val="clear" w:color="auto" w:fill="auto"/>
          </w:tcPr>
          <w:p w:rsidR="00A707CC" w:rsidP="00312622" w14:paraId="1DDBC829" w14:textId="77777777">
            <w:r>
              <w:t>Total</w:t>
            </w:r>
          </w:p>
        </w:tc>
        <w:tc>
          <w:tcPr>
            <w:tcW w:w="1926" w:type="dxa"/>
            <w:shd w:val="clear" w:color="auto" w:fill="auto"/>
          </w:tcPr>
          <w:p w:rsidR="00406657" w:rsidP="00B23781" w14:paraId="139A9A26" w14:textId="32EEFE20">
            <w:pPr>
              <w:jc w:val="right"/>
            </w:pPr>
            <w:r>
              <w:t>$358,865.72</w:t>
            </w:r>
          </w:p>
        </w:tc>
      </w:tr>
    </w:tbl>
    <w:p w:rsidR="00357C8A" w:rsidP="00C922F6" w14:paraId="1B68C4DB" w14:textId="4855EAA1">
      <w:pPr>
        <w:ind w:left="810" w:hanging="810"/>
        <w:rPr>
          <w:sz w:val="20"/>
          <w:szCs w:val="20"/>
        </w:rPr>
      </w:pPr>
      <w:r>
        <w:rPr>
          <w:rFonts w:eastAsia="Calibri"/>
        </w:rPr>
        <w:tab/>
      </w:r>
      <w:r w:rsidRPr="00F62D82">
        <w:rPr>
          <w:sz w:val="20"/>
          <w:szCs w:val="20"/>
          <w:vertAlign w:val="superscript"/>
        </w:rPr>
        <w:t>1</w:t>
      </w:r>
      <w:r w:rsidRPr="00F62D82">
        <w:rPr>
          <w:sz w:val="20"/>
          <w:szCs w:val="20"/>
        </w:rPr>
        <w:t xml:space="preserve">Occupation Employment and Wages, Bureau of Labor Statistics, </w:t>
      </w:r>
      <w:hyperlink r:id="rId13" w:history="1">
        <w:r w:rsidRPr="00B23781">
          <w:rPr>
            <w:rStyle w:val="Hyperlink"/>
            <w:sz w:val="20"/>
            <w:szCs w:val="20"/>
          </w:rPr>
          <w:t>Compliance Officers</w:t>
        </w:r>
      </w:hyperlink>
      <w:r w:rsidRPr="00F62D82">
        <w:rPr>
          <w:sz w:val="20"/>
          <w:szCs w:val="20"/>
        </w:rPr>
        <w:t>, $4</w:t>
      </w:r>
      <w:r w:rsidR="00406657">
        <w:rPr>
          <w:sz w:val="20"/>
          <w:szCs w:val="20"/>
        </w:rPr>
        <w:t>9</w:t>
      </w:r>
      <w:r w:rsidRPr="00F62D82">
        <w:rPr>
          <w:sz w:val="20"/>
          <w:szCs w:val="20"/>
        </w:rPr>
        <w:t>.</w:t>
      </w:r>
      <w:r w:rsidR="00406657">
        <w:rPr>
          <w:sz w:val="20"/>
          <w:szCs w:val="20"/>
        </w:rPr>
        <w:t>28</w:t>
      </w:r>
      <w:r w:rsidRPr="00F62D82">
        <w:rPr>
          <w:sz w:val="20"/>
          <w:szCs w:val="20"/>
        </w:rPr>
        <w:t xml:space="preserve"> per hour plus 30% for benefits.</w:t>
      </w:r>
    </w:p>
    <w:p w:rsidR="00C922F6" w:rsidRPr="00C922F6" w:rsidP="00C922F6" w14:paraId="7B87734A" w14:textId="4BA724AC">
      <w:pPr>
        <w:ind w:left="810" w:hanging="810"/>
        <w:rPr>
          <w:sz w:val="20"/>
          <w:szCs w:val="20"/>
          <w:vertAlign w:val="superscript"/>
        </w:rPr>
      </w:pPr>
      <w:r>
        <w:rPr>
          <w:sz w:val="20"/>
          <w:szCs w:val="20"/>
        </w:rPr>
        <w:tab/>
      </w:r>
      <w:r w:rsidRPr="00F62D82">
        <w:rPr>
          <w:sz w:val="20"/>
          <w:szCs w:val="20"/>
          <w:vertAlign w:val="superscript"/>
        </w:rPr>
        <w:t>2</w:t>
      </w:r>
      <w:r w:rsidRPr="00F62D82">
        <w:rPr>
          <w:sz w:val="20"/>
          <w:szCs w:val="20"/>
        </w:rPr>
        <w:t xml:space="preserve">Occupation Employment and Wages, Bureau of Labor Statistics, </w:t>
      </w:r>
      <w:hyperlink r:id="rId14" w:history="1">
        <w:r w:rsidRPr="00B23781">
          <w:rPr>
            <w:rStyle w:val="Hyperlink"/>
            <w:sz w:val="20"/>
            <w:szCs w:val="20"/>
          </w:rPr>
          <w:t>Clerical Worker</w:t>
        </w:r>
      </w:hyperlink>
      <w:r w:rsidRPr="00F62D82">
        <w:rPr>
          <w:sz w:val="20"/>
          <w:szCs w:val="20"/>
        </w:rPr>
        <w:t>, $2</w:t>
      </w:r>
      <w:r>
        <w:rPr>
          <w:sz w:val="20"/>
          <w:szCs w:val="20"/>
        </w:rPr>
        <w:t>4</w:t>
      </w:r>
      <w:r w:rsidRPr="00F62D82">
        <w:rPr>
          <w:sz w:val="20"/>
          <w:szCs w:val="20"/>
        </w:rPr>
        <w:t>.</w:t>
      </w:r>
      <w:r>
        <w:rPr>
          <w:sz w:val="20"/>
          <w:szCs w:val="20"/>
        </w:rPr>
        <w:t>65</w:t>
      </w:r>
      <w:r w:rsidRPr="00F62D82">
        <w:rPr>
          <w:sz w:val="20"/>
          <w:szCs w:val="20"/>
        </w:rPr>
        <w:t xml:space="preserve"> per hour plus 30% for benefits. </w:t>
      </w:r>
      <w:r>
        <w:rPr>
          <w:sz w:val="20"/>
          <w:szCs w:val="20"/>
          <w:vertAlign w:val="superscript"/>
        </w:rPr>
        <w:t xml:space="preserve"> </w:t>
      </w:r>
    </w:p>
    <w:p w:rsidR="00C922F6" w:rsidP="00C922F6" w14:paraId="24E07BDC" w14:textId="77777777">
      <w:pPr>
        <w:ind w:left="810" w:hanging="810"/>
        <w:rPr>
          <w:sz w:val="20"/>
          <w:szCs w:val="20"/>
        </w:rPr>
      </w:pPr>
    </w:p>
    <w:p w:rsidR="00C922F6" w:rsidRPr="00C922F6" w:rsidP="00C922F6" w14:paraId="7D3C15EB" w14:textId="77777777">
      <w:pPr>
        <w:ind w:left="810" w:hanging="810"/>
        <w:rPr>
          <w:rFonts w:eastAsia="Calibri"/>
          <w:vertAlign w:val="superscript"/>
        </w:rPr>
      </w:pPr>
    </w:p>
    <w:p w:rsidR="00357C8A" w:rsidRPr="00357C8A" w:rsidP="006705EA" w14:paraId="1D54BB36"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22A678C6" w14:textId="12FCDA35">
      <w:pPr>
        <w:spacing w:after="200" w:line="276" w:lineRule="auto"/>
        <w:rPr>
          <w:rFonts w:eastAsia="Calibri"/>
          <w:u w:val="single"/>
        </w:rPr>
      </w:pPr>
      <w:r w:rsidRPr="00860A38">
        <w:rPr>
          <w:rFonts w:eastAsia="Calibri"/>
        </w:rPr>
        <w:t>There are no capital costs or operating and maintenance costs associated with this collection of information.</w:t>
      </w:r>
    </w:p>
    <w:p w:rsidR="00357C8A" w:rsidRPr="00357C8A" w:rsidP="006705EA" w14:paraId="6773F6A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860A38" w:rsidP="00860A38" w14:paraId="71CBDE3D" w14:textId="4FBDF11F">
      <w:pPr>
        <w:rPr>
          <w:rFonts w:eastAsia="Calibri"/>
        </w:rPr>
      </w:pPr>
      <w:r w:rsidRPr="00860A38">
        <w:rPr>
          <w:rFonts w:eastAsia="Calibri"/>
        </w:rPr>
        <w:t>We estimate the cost to the Federal government to respond to requests for designation is approximately $</w:t>
      </w:r>
      <w:r w:rsidR="006B7DBA">
        <w:rPr>
          <w:rFonts w:eastAsia="Calibri"/>
        </w:rPr>
        <w:t>146,135</w:t>
      </w:r>
      <w:r w:rsidRPr="00860A38">
        <w:rPr>
          <w:rFonts w:eastAsia="Calibri"/>
        </w:rPr>
        <w:t xml:space="preserve">. This estimate is based on the salary of an FTE at the GS-14/Step 4 level in the locality pay area of Washington-Baltimore-Arlington, DC-MD-VA-WV-PA in </w:t>
      </w:r>
      <w:r w:rsidRPr="00860A38" w:rsidR="00466F11">
        <w:rPr>
          <w:rFonts w:eastAsia="Calibri"/>
        </w:rPr>
        <w:t>202</w:t>
      </w:r>
      <w:r w:rsidR="00466F11">
        <w:rPr>
          <w:rFonts w:eastAsia="Calibri"/>
        </w:rPr>
        <w:t>6</w:t>
      </w:r>
      <w:r w:rsidRPr="00860A38">
        <w:rPr>
          <w:rFonts w:eastAsia="Calibri"/>
        </w:rPr>
        <w:t xml:space="preserve">, spending </w:t>
      </w:r>
      <w:r w:rsidR="00776DFD">
        <w:rPr>
          <w:rFonts w:eastAsia="Calibri"/>
        </w:rPr>
        <w:t>half</w:t>
      </w:r>
      <w:r w:rsidRPr="00860A38">
        <w:rPr>
          <w:rFonts w:eastAsia="Calibri"/>
        </w:rPr>
        <w:t xml:space="preserve"> of their time reviewing requests ($</w:t>
      </w:r>
      <w:r w:rsidR="00BC3618">
        <w:rPr>
          <w:rFonts w:eastAsia="Calibri"/>
        </w:rPr>
        <w:t>158,306</w:t>
      </w:r>
      <w:r w:rsidRPr="00860A38">
        <w:rPr>
          <w:rFonts w:eastAsia="Calibri"/>
        </w:rPr>
        <w:t xml:space="preserve"> /year) (0.</w:t>
      </w:r>
      <w:r w:rsidR="00E14919">
        <w:rPr>
          <w:rFonts w:eastAsia="Calibri"/>
        </w:rPr>
        <w:t>50</w:t>
      </w:r>
      <w:r w:rsidRPr="00860A38" w:rsidR="00E14919">
        <w:rPr>
          <w:rFonts w:eastAsia="Calibri"/>
        </w:rPr>
        <w:t xml:space="preserve"> </w:t>
      </w:r>
      <w:r w:rsidRPr="00860A38">
        <w:rPr>
          <w:rFonts w:eastAsia="Calibri"/>
        </w:rPr>
        <w:t>FTE x $</w:t>
      </w:r>
      <w:r w:rsidR="00BC3618">
        <w:rPr>
          <w:rFonts w:eastAsia="Calibri"/>
        </w:rPr>
        <w:t>158,306</w:t>
      </w:r>
      <w:r w:rsidRPr="00860A38">
        <w:rPr>
          <w:rFonts w:eastAsia="Calibri"/>
        </w:rPr>
        <w:t xml:space="preserve"> = $</w:t>
      </w:r>
      <w:r w:rsidR="00813874">
        <w:rPr>
          <w:rFonts w:eastAsia="Calibri"/>
        </w:rPr>
        <w:t>79,153</w:t>
      </w:r>
      <w:r w:rsidRPr="00860A38">
        <w:rPr>
          <w:rFonts w:eastAsia="Calibri"/>
        </w:rPr>
        <w:t xml:space="preserve">), plus a second FTE at the GS-13/Step 4 level in the locality pay area of Washington-Baltimore-Arlington, DC-MD-VA-WV-PA in </w:t>
      </w:r>
      <w:r w:rsidRPr="00860A38" w:rsidR="00466F11">
        <w:rPr>
          <w:rFonts w:eastAsia="Calibri"/>
        </w:rPr>
        <w:t>202</w:t>
      </w:r>
      <w:r w:rsidR="00466F11">
        <w:rPr>
          <w:rFonts w:eastAsia="Calibri"/>
        </w:rPr>
        <w:t>6</w:t>
      </w:r>
      <w:r w:rsidRPr="00860A38">
        <w:rPr>
          <w:rFonts w:eastAsia="Calibri"/>
        </w:rPr>
        <w:t xml:space="preserve">, spending </w:t>
      </w:r>
      <w:r w:rsidR="00776DFD">
        <w:rPr>
          <w:rFonts w:eastAsia="Calibri"/>
        </w:rPr>
        <w:t>half</w:t>
      </w:r>
      <w:r w:rsidRPr="00860A38">
        <w:rPr>
          <w:rFonts w:eastAsia="Calibri"/>
        </w:rPr>
        <w:t xml:space="preserve"> of their time reviewing requests ($</w:t>
      </w:r>
      <w:r w:rsidRPr="00860A38" w:rsidR="00BC3618">
        <w:rPr>
          <w:rFonts w:eastAsia="Calibri"/>
        </w:rPr>
        <w:t>1</w:t>
      </w:r>
      <w:r w:rsidR="00BC3618">
        <w:rPr>
          <w:rFonts w:eastAsia="Calibri"/>
        </w:rPr>
        <w:t>3</w:t>
      </w:r>
      <w:r w:rsidRPr="00860A38" w:rsidR="00BC3618">
        <w:rPr>
          <w:rFonts w:eastAsia="Calibri"/>
        </w:rPr>
        <w:t>3</w:t>
      </w:r>
      <w:r w:rsidRPr="00860A38">
        <w:rPr>
          <w:rFonts w:eastAsia="Calibri"/>
        </w:rPr>
        <w:t>,</w:t>
      </w:r>
      <w:r w:rsidR="00BC3618">
        <w:rPr>
          <w:rFonts w:eastAsia="Calibri"/>
        </w:rPr>
        <w:t>964</w:t>
      </w:r>
      <w:r w:rsidRPr="00860A38">
        <w:rPr>
          <w:rFonts w:eastAsia="Calibri"/>
        </w:rPr>
        <w:t>/year) (0.</w:t>
      </w:r>
      <w:r w:rsidR="00E14919">
        <w:rPr>
          <w:rFonts w:eastAsia="Calibri"/>
        </w:rPr>
        <w:t>50</w:t>
      </w:r>
      <w:r w:rsidRPr="00860A38" w:rsidR="00E14919">
        <w:rPr>
          <w:rFonts w:eastAsia="Calibri"/>
        </w:rPr>
        <w:t xml:space="preserve"> </w:t>
      </w:r>
      <w:r w:rsidRPr="00860A38">
        <w:rPr>
          <w:rFonts w:eastAsia="Calibri"/>
        </w:rPr>
        <w:t>FTE x $</w:t>
      </w:r>
      <w:r w:rsidRPr="00860A38" w:rsidR="00BC3618">
        <w:rPr>
          <w:rFonts w:eastAsia="Calibri"/>
        </w:rPr>
        <w:t>1</w:t>
      </w:r>
      <w:r w:rsidR="00BC3618">
        <w:rPr>
          <w:rFonts w:eastAsia="Calibri"/>
        </w:rPr>
        <w:t>3</w:t>
      </w:r>
      <w:r w:rsidRPr="00860A38" w:rsidR="00BC3618">
        <w:rPr>
          <w:rFonts w:eastAsia="Calibri"/>
        </w:rPr>
        <w:t>3</w:t>
      </w:r>
      <w:r w:rsidRPr="00860A38">
        <w:rPr>
          <w:rFonts w:eastAsia="Calibri"/>
        </w:rPr>
        <w:t>,</w:t>
      </w:r>
      <w:r w:rsidR="00BC3618">
        <w:rPr>
          <w:rFonts w:eastAsia="Calibri"/>
        </w:rPr>
        <w:t>964</w:t>
      </w:r>
      <w:r w:rsidRPr="00860A38" w:rsidR="00BC3618">
        <w:rPr>
          <w:rFonts w:eastAsia="Calibri"/>
        </w:rPr>
        <w:t xml:space="preserve"> </w:t>
      </w:r>
      <w:r w:rsidRPr="00860A38">
        <w:rPr>
          <w:rFonts w:eastAsia="Calibri"/>
        </w:rPr>
        <w:t>= $</w:t>
      </w:r>
      <w:r w:rsidR="00F150BD">
        <w:rPr>
          <w:rFonts w:eastAsia="Calibri"/>
        </w:rPr>
        <w:t>66,982</w:t>
      </w:r>
      <w:r w:rsidRPr="00860A38">
        <w:rPr>
          <w:rFonts w:eastAsia="Calibri"/>
        </w:rPr>
        <w:t>). Thus, the total cost is estimated to be $</w:t>
      </w:r>
      <w:r w:rsidR="006A4732">
        <w:rPr>
          <w:rFonts w:eastAsia="Calibri"/>
        </w:rPr>
        <w:t>146,135</w:t>
      </w:r>
      <w:r w:rsidR="00BC3618">
        <w:rPr>
          <w:rFonts w:eastAsia="Calibri"/>
        </w:rPr>
        <w:t xml:space="preserve"> </w:t>
      </w:r>
      <w:r w:rsidRPr="00860A38">
        <w:rPr>
          <w:rFonts w:eastAsia="Calibri"/>
        </w:rPr>
        <w:t>($</w:t>
      </w:r>
      <w:r w:rsidR="00F4027C">
        <w:rPr>
          <w:rFonts w:eastAsia="Calibri"/>
        </w:rPr>
        <w:t xml:space="preserve">79,153 + </w:t>
      </w:r>
      <w:r w:rsidR="00334902">
        <w:rPr>
          <w:rFonts w:eastAsia="Calibri"/>
        </w:rPr>
        <w:t>$</w:t>
      </w:r>
      <w:r w:rsidR="00F4027C">
        <w:rPr>
          <w:rFonts w:eastAsia="Calibri"/>
        </w:rPr>
        <w:t>66,982</w:t>
      </w:r>
      <w:r w:rsidRPr="00860A38">
        <w:rPr>
          <w:rFonts w:eastAsia="Calibri"/>
        </w:rPr>
        <w:t>) (</w:t>
      </w:r>
      <w:hyperlink r:id="rId15" w:history="1">
        <w:r w:rsidRPr="006818A0" w:rsidR="00BC3618">
          <w:rPr>
            <w:rStyle w:val="Hyperlink"/>
            <w:rFonts w:eastAsia="Calibri"/>
          </w:rPr>
          <w:t>https://www.opm.gov/policy-data-oversight/pay-leave/salaries-wages/2026/general-schedule/</w:t>
        </w:r>
      </w:hyperlink>
      <w:r w:rsidRPr="00860A38">
        <w:rPr>
          <w:rFonts w:eastAsia="Calibri"/>
        </w:rPr>
        <w:t xml:space="preserve">). </w:t>
      </w:r>
    </w:p>
    <w:p w:rsidR="00860A38" w:rsidRPr="00860A38" w:rsidP="00860A38" w14:paraId="6079B713" w14:textId="77777777">
      <w:pPr>
        <w:rPr>
          <w:rFonts w:eastAsia="Calibri"/>
        </w:rPr>
      </w:pPr>
    </w:p>
    <w:p w:rsidR="00860A38" w:rsidRPr="00860A38" w:rsidP="00860A38" w14:paraId="3519BADA" w14:textId="77777777">
      <w:pPr>
        <w:rPr>
          <w:rFonts w:eastAsia="Calibri"/>
        </w:rPr>
      </w:pPr>
      <w:r w:rsidRPr="00860A38">
        <w:rPr>
          <w:rFonts w:eastAsia="Calibri"/>
        </w:rPr>
        <w:t>We estimate the cost to the Federal government to respond to the current level of requests</w:t>
      </w:r>
    </w:p>
    <w:p w:rsidR="00860A38" w:rsidRPr="00860A38" w:rsidP="00860A38" w14:paraId="37221E3A" w14:textId="77777777">
      <w:pPr>
        <w:rPr>
          <w:rFonts w:eastAsia="Calibri"/>
        </w:rPr>
      </w:pPr>
      <w:r w:rsidRPr="00860A38">
        <w:rPr>
          <w:rFonts w:eastAsia="Calibri"/>
        </w:rPr>
        <w:t>for eligibility for indexing and for addition to the index, as well as submission of periodic</w:t>
      </w:r>
    </w:p>
    <w:p w:rsidR="00E14919" w:rsidP="00645CA4" w14:paraId="1B5BA5B8" w14:textId="540D02E5">
      <w:pPr>
        <w:rPr>
          <w:rFonts w:eastAsia="Calibri"/>
        </w:rPr>
      </w:pPr>
      <w:r w:rsidRPr="00860A38">
        <w:rPr>
          <w:rFonts w:eastAsia="Calibri"/>
        </w:rPr>
        <w:t>drug experience reports, is approximately $</w:t>
      </w:r>
      <w:r w:rsidRPr="00E14919">
        <w:rPr>
          <w:rFonts w:eastAsia="Calibri"/>
        </w:rPr>
        <w:t>441,468.5</w:t>
      </w:r>
      <w:r>
        <w:rPr>
          <w:rFonts w:eastAsia="Calibri"/>
        </w:rPr>
        <w:t>0</w:t>
      </w:r>
      <w:r w:rsidRPr="00860A38">
        <w:rPr>
          <w:rFonts w:eastAsia="Calibri"/>
        </w:rPr>
        <w:t xml:space="preserve">. </w:t>
      </w:r>
      <w:r w:rsidRPr="00860A38" w:rsidR="00645CA4">
        <w:rPr>
          <w:rFonts w:eastAsia="Calibri"/>
        </w:rPr>
        <w:t>This estimate is based on the salary of an FTE at the GS-14/Step 4 level in the locality pay area of Washington-Baltimore-Arlington, DC-MD-VA-WV-PA in 202</w:t>
      </w:r>
      <w:r w:rsidR="00645CA4">
        <w:rPr>
          <w:rFonts w:eastAsia="Calibri"/>
        </w:rPr>
        <w:t>6</w:t>
      </w:r>
      <w:r w:rsidRPr="00860A38" w:rsidR="00645CA4">
        <w:rPr>
          <w:rFonts w:eastAsia="Calibri"/>
        </w:rPr>
        <w:t>, spending a quarter of their time reviewing requests ($</w:t>
      </w:r>
      <w:r w:rsidR="00645CA4">
        <w:rPr>
          <w:rFonts w:eastAsia="Calibri"/>
        </w:rPr>
        <w:t>158,306</w:t>
      </w:r>
      <w:r w:rsidRPr="00860A38" w:rsidR="00645CA4">
        <w:rPr>
          <w:rFonts w:eastAsia="Calibri"/>
        </w:rPr>
        <w:t xml:space="preserve"> /year) (0.25 FTE x $</w:t>
      </w:r>
      <w:r w:rsidR="00645CA4">
        <w:rPr>
          <w:rFonts w:eastAsia="Calibri"/>
        </w:rPr>
        <w:t>158,306</w:t>
      </w:r>
      <w:r w:rsidRPr="00860A38" w:rsidR="00645CA4">
        <w:rPr>
          <w:rFonts w:eastAsia="Calibri"/>
        </w:rPr>
        <w:t xml:space="preserve"> = $</w:t>
      </w:r>
      <w:r w:rsidR="00645CA4">
        <w:rPr>
          <w:rFonts w:eastAsia="Calibri"/>
        </w:rPr>
        <w:t>39,576.5</w:t>
      </w:r>
      <w:r>
        <w:rPr>
          <w:rFonts w:eastAsia="Calibri"/>
        </w:rPr>
        <w:t>0</w:t>
      </w:r>
      <w:r w:rsidRPr="00860A38" w:rsidR="00645CA4">
        <w:rPr>
          <w:rFonts w:eastAsia="Calibri"/>
        </w:rPr>
        <w:t>)</w:t>
      </w:r>
      <w:r w:rsidRPr="00860A38">
        <w:rPr>
          <w:rFonts w:eastAsia="Calibri"/>
        </w:rPr>
        <w:t xml:space="preserve">, plus </w:t>
      </w:r>
      <w:r w:rsidR="002F6B90">
        <w:rPr>
          <w:rFonts w:eastAsia="Calibri"/>
        </w:rPr>
        <w:t>four</w:t>
      </w:r>
      <w:r w:rsidR="00144A43">
        <w:rPr>
          <w:rFonts w:eastAsia="Calibri"/>
        </w:rPr>
        <w:t xml:space="preserve"> additional FTEs</w:t>
      </w:r>
      <w:r w:rsidR="00DC39F0">
        <w:rPr>
          <w:rFonts w:eastAsia="Calibri"/>
        </w:rPr>
        <w:t xml:space="preserve"> at </w:t>
      </w:r>
      <w:r w:rsidRPr="00860A38" w:rsidR="00DC39F0">
        <w:rPr>
          <w:rFonts w:eastAsia="Calibri"/>
        </w:rPr>
        <w:t>the GS-13/Step 4 level in the locality pay area of Washington-Baltimore-Arlington, DC-MD-VA-WV-PA in 202</w:t>
      </w:r>
      <w:r w:rsidR="00DC39F0">
        <w:rPr>
          <w:rFonts w:eastAsia="Calibri"/>
        </w:rPr>
        <w:t>6</w:t>
      </w:r>
      <w:r w:rsidRPr="00860A38" w:rsidR="00DC39F0">
        <w:rPr>
          <w:rFonts w:eastAsia="Calibri"/>
        </w:rPr>
        <w:t xml:space="preserve">, spending a </w:t>
      </w:r>
      <w:r w:rsidR="00334902">
        <w:rPr>
          <w:rFonts w:eastAsia="Calibri"/>
        </w:rPr>
        <w:t>three-</w:t>
      </w:r>
      <w:r w:rsidRPr="00860A38" w:rsidR="00DC39F0">
        <w:rPr>
          <w:rFonts w:eastAsia="Calibri"/>
        </w:rPr>
        <w:t>quarter</w:t>
      </w:r>
      <w:r w:rsidR="00334902">
        <w:rPr>
          <w:rFonts w:eastAsia="Calibri"/>
        </w:rPr>
        <w:t>s</w:t>
      </w:r>
      <w:r w:rsidRPr="00860A38" w:rsidR="00DC39F0">
        <w:rPr>
          <w:rFonts w:eastAsia="Calibri"/>
        </w:rPr>
        <w:t xml:space="preserve"> of their time reviewing requests ($1</w:t>
      </w:r>
      <w:r w:rsidR="00DC39F0">
        <w:rPr>
          <w:rFonts w:eastAsia="Calibri"/>
        </w:rPr>
        <w:t>3</w:t>
      </w:r>
      <w:r w:rsidRPr="00860A38" w:rsidR="00DC39F0">
        <w:rPr>
          <w:rFonts w:eastAsia="Calibri"/>
        </w:rPr>
        <w:t>3,</w:t>
      </w:r>
      <w:r w:rsidR="00DC39F0">
        <w:rPr>
          <w:rFonts w:eastAsia="Calibri"/>
        </w:rPr>
        <w:t>964</w:t>
      </w:r>
      <w:r w:rsidRPr="00860A38" w:rsidR="00DC39F0">
        <w:rPr>
          <w:rFonts w:eastAsia="Calibri"/>
        </w:rPr>
        <w:t>/year) (0.</w:t>
      </w:r>
      <w:r w:rsidR="00BA345A">
        <w:rPr>
          <w:rFonts w:eastAsia="Calibri"/>
        </w:rPr>
        <w:t>7</w:t>
      </w:r>
      <w:r w:rsidRPr="00860A38" w:rsidR="00DC39F0">
        <w:rPr>
          <w:rFonts w:eastAsia="Calibri"/>
        </w:rPr>
        <w:t>5 FTE x $1</w:t>
      </w:r>
      <w:r w:rsidR="00DC39F0">
        <w:rPr>
          <w:rFonts w:eastAsia="Calibri"/>
        </w:rPr>
        <w:t>3</w:t>
      </w:r>
      <w:r w:rsidRPr="00860A38" w:rsidR="00DC39F0">
        <w:rPr>
          <w:rFonts w:eastAsia="Calibri"/>
        </w:rPr>
        <w:t>3,</w:t>
      </w:r>
      <w:r w:rsidR="00DC39F0">
        <w:rPr>
          <w:rFonts w:eastAsia="Calibri"/>
        </w:rPr>
        <w:t>964</w:t>
      </w:r>
      <w:r w:rsidRPr="00860A38" w:rsidR="00DC39F0">
        <w:rPr>
          <w:rFonts w:eastAsia="Calibri"/>
        </w:rPr>
        <w:t xml:space="preserve"> = $</w:t>
      </w:r>
      <w:r w:rsidR="00214686">
        <w:rPr>
          <w:rFonts w:eastAsia="Calibri"/>
        </w:rPr>
        <w:t xml:space="preserve">100,473 x 4 = </w:t>
      </w:r>
      <w:r w:rsidR="00416BCD">
        <w:rPr>
          <w:rFonts w:eastAsia="Calibri"/>
        </w:rPr>
        <w:t>$401,892</w:t>
      </w:r>
      <w:r w:rsidRPr="00860A38" w:rsidR="00DC39F0">
        <w:rPr>
          <w:rFonts w:eastAsia="Calibri"/>
        </w:rPr>
        <w:t>)</w:t>
      </w:r>
      <w:r w:rsidRPr="00860A38">
        <w:rPr>
          <w:rFonts w:eastAsia="Calibri"/>
        </w:rPr>
        <w:t xml:space="preserve"> </w:t>
      </w:r>
      <w:r>
        <w:rPr>
          <w:rFonts w:eastAsia="Calibri"/>
        </w:rPr>
        <w:t>Thus, the total cost is estimated to be $441,468.50 ($39,576.50 + $401,892)</w:t>
      </w:r>
    </w:p>
    <w:p w:rsidR="00860A38" w:rsidRPr="00860A38" w:rsidP="00645CA4" w14:paraId="01B8FD73" w14:textId="6613A988">
      <w:pPr>
        <w:rPr>
          <w:rFonts w:eastAsia="Calibri"/>
        </w:rPr>
      </w:pPr>
      <w:r w:rsidRPr="00860A38">
        <w:rPr>
          <w:rFonts w:eastAsia="Calibri"/>
        </w:rPr>
        <w:t>(</w:t>
      </w:r>
      <w:hyperlink r:id="rId16" w:history="1">
        <w:r w:rsidRPr="00BC3618" w:rsidR="00BC3618">
          <w:rPr>
            <w:rStyle w:val="Hyperlink"/>
            <w:rFonts w:eastAsia="Calibri"/>
          </w:rPr>
          <w:t>https://www.opm.gov/policy-data-oversight/pay-leave/salaries-wages/2026/general-schedule/</w:t>
        </w:r>
        <w:r w:rsidRPr="00BC3618">
          <w:rPr>
            <w:rStyle w:val="Hyperlink"/>
            <w:rFonts w:eastAsia="Calibri"/>
          </w:rPr>
          <w:t>).</w:t>
        </w:r>
      </w:hyperlink>
    </w:p>
    <w:p w:rsidR="00BC3618" w:rsidP="00860A38" w14:paraId="5CDF67B7" w14:textId="77777777">
      <w:pPr>
        <w:spacing w:after="200"/>
        <w:rPr>
          <w:rFonts w:eastAsia="Calibri"/>
        </w:rPr>
      </w:pPr>
    </w:p>
    <w:p w:rsidR="00357C8A" w:rsidRPr="00357C8A" w:rsidP="00357C8A" w14:paraId="7D61729F" w14:textId="07B875DB">
      <w:pPr>
        <w:spacing w:after="200"/>
        <w:rPr>
          <w:rFonts w:eastAsia="Calibri"/>
        </w:rPr>
      </w:pPr>
      <w:r w:rsidRPr="00860A38">
        <w:rPr>
          <w:rFonts w:eastAsia="Calibri"/>
        </w:rPr>
        <w:t>The total estimated annual cost to the Federal government for this information collection is approximately $</w:t>
      </w:r>
      <w:r w:rsidRPr="00BC3618" w:rsidR="00BC3618">
        <w:t xml:space="preserve"> </w:t>
      </w:r>
      <w:r w:rsidRPr="00F2240C" w:rsidR="00F2240C">
        <w:rPr>
          <w:rFonts w:eastAsia="Calibri"/>
        </w:rPr>
        <w:t>587,603.5</w:t>
      </w:r>
      <w:r w:rsidR="00F2240C">
        <w:rPr>
          <w:rFonts w:eastAsia="Calibri"/>
        </w:rPr>
        <w:t>0</w:t>
      </w:r>
      <w:r w:rsidRPr="00F2240C" w:rsidR="00F2240C">
        <w:rPr>
          <w:rFonts w:eastAsia="Calibri"/>
        </w:rPr>
        <w:t xml:space="preserve"> </w:t>
      </w:r>
      <w:r w:rsidRPr="00860A38">
        <w:rPr>
          <w:rFonts w:eastAsia="Calibri"/>
        </w:rPr>
        <w:t>($</w:t>
      </w:r>
      <w:r w:rsidR="00F2240C">
        <w:rPr>
          <w:rFonts w:eastAsia="Calibri"/>
        </w:rPr>
        <w:t>146,135</w:t>
      </w:r>
      <w:r w:rsidRPr="00860A38">
        <w:rPr>
          <w:rFonts w:eastAsia="Calibri"/>
        </w:rPr>
        <w:t>+$</w:t>
      </w:r>
      <w:r w:rsidR="00F2240C">
        <w:rPr>
          <w:rFonts w:eastAsia="Calibri"/>
        </w:rPr>
        <w:t>441,468.50</w:t>
      </w:r>
      <w:r w:rsidRPr="00860A38">
        <w:rPr>
          <w:rFonts w:eastAsia="Calibri"/>
        </w:rPr>
        <w:t>).</w:t>
      </w:r>
      <w:r w:rsidR="00A506DE">
        <w:rPr>
          <w:rFonts w:eastAsia="Calibri"/>
        </w:rPr>
        <w:t xml:space="preserve"> </w:t>
      </w:r>
    </w:p>
    <w:p w:rsidR="00357C8A" w:rsidP="006705EA" w14:paraId="1E772E9B" w14:textId="019B2E4F">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DE1E90" w14:paraId="0B81D198" w14:textId="2B832366">
      <w:r>
        <w:t xml:space="preserve">Our estimated reporting and recordkeeping burden for the information collection reflects an overall increase of 60 hours and a corresponding increase of 120 responses and records.  We </w:t>
      </w:r>
      <w:r>
        <w:t>attribute this adjustment to an increase in the number of submissions we received over the last few years.</w:t>
      </w:r>
    </w:p>
    <w:p w:rsidR="00DE1E90" w:rsidRPr="00DE1E90" w:rsidP="00DE1E90" w14:paraId="010AFF5B" w14:textId="77777777"/>
    <w:p w:rsidR="00357C8A" w:rsidRPr="00357C8A" w:rsidP="006705EA" w14:paraId="0E526B8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DE1E90" w:rsidP="00DE1E90" w14:paraId="4EA01667" w14:textId="77777777">
      <w:pPr>
        <w:pStyle w:val="Default"/>
      </w:pPr>
      <w:r>
        <w:t>Section 572(a) of the FD&amp;C Act requires us to establish an index of legally marketed</w:t>
      </w:r>
    </w:p>
    <w:p w:rsidR="00DE1E90" w:rsidP="00DE1E90" w14:paraId="6E884BE6" w14:textId="77777777">
      <w:pPr>
        <w:pStyle w:val="Default"/>
      </w:pPr>
      <w:r>
        <w:t xml:space="preserve">unapproved new animal drugs for minor species, which we make available on our website at </w:t>
      </w:r>
      <w:hyperlink r:id="rId17" w:history="1">
        <w:r w:rsidRPr="003874DC">
          <w:rPr>
            <w:rStyle w:val="Hyperlink"/>
          </w:rPr>
          <w:t>www.fda.gov/animal-veterinary/minor-useminor-species/index-legally-marketed-unapproved-new-animal-drugs-minor-species</w:t>
        </w:r>
      </w:hyperlink>
      <w:r>
        <w:t>. We have no plans to tabulate and publish other information from this information collection.</w:t>
      </w:r>
    </w:p>
    <w:p w:rsidR="00DE1E90" w:rsidP="00DE1E90" w14:paraId="4F1E6CCC" w14:textId="77777777">
      <w:pPr>
        <w:pStyle w:val="Default"/>
      </w:pPr>
    </w:p>
    <w:p w:rsidR="00357C8A" w:rsidRPr="00357C8A" w:rsidP="006705EA" w14:paraId="3D28012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73589376" w14:textId="3E4989CA">
      <w:pPr>
        <w:spacing w:after="200"/>
        <w:rPr>
          <w:rFonts w:eastAsia="Calibri"/>
          <w:color w:val="FF0000"/>
        </w:rPr>
      </w:pPr>
      <w:r w:rsidRPr="00F62D82">
        <w:rPr>
          <w:rFonts w:eastAsia="Calibri"/>
        </w:rPr>
        <w:t>We are not seeking approval to not display the expiration date for OMB approval of the information collection.</w:t>
      </w:r>
    </w:p>
    <w:p w:rsidR="00357C8A" w:rsidRPr="00357C8A" w:rsidP="006705EA" w14:paraId="281E119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DE1E90" w14:paraId="69069273" w14:textId="4FFAA458">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18"/>
      <w:footerReference w:type="default" r:id="rId19"/>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A6F566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C52C2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04BA9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1A740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C745B3"/>
    <w:multiLevelType w:val="multilevel"/>
    <w:tmpl w:val="3AEE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1984120">
    <w:abstractNumId w:val="6"/>
  </w:num>
  <w:num w:numId="2" w16cid:durableId="778380552">
    <w:abstractNumId w:val="2"/>
  </w:num>
  <w:num w:numId="3" w16cid:durableId="1296132374">
    <w:abstractNumId w:val="7"/>
  </w:num>
  <w:num w:numId="4" w16cid:durableId="1032925500">
    <w:abstractNumId w:val="4"/>
  </w:num>
  <w:num w:numId="5" w16cid:durableId="74017920">
    <w:abstractNumId w:val="8"/>
  </w:num>
  <w:num w:numId="6" w16cid:durableId="931012435">
    <w:abstractNumId w:val="0"/>
  </w:num>
  <w:num w:numId="7" w16cid:durableId="2027053624">
    <w:abstractNumId w:val="3"/>
  </w:num>
  <w:num w:numId="8" w16cid:durableId="1172450018">
    <w:abstractNumId w:val="5"/>
  </w:num>
  <w:num w:numId="9" w16cid:durableId="1371854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42B93"/>
    <w:rsid w:val="00043C7F"/>
    <w:rsid w:val="000448B5"/>
    <w:rsid w:val="000467A8"/>
    <w:rsid w:val="00050844"/>
    <w:rsid w:val="0006570F"/>
    <w:rsid w:val="00075DE8"/>
    <w:rsid w:val="000765FB"/>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762"/>
    <w:rsid w:val="00144749"/>
    <w:rsid w:val="00144A43"/>
    <w:rsid w:val="00152F29"/>
    <w:rsid w:val="00174D54"/>
    <w:rsid w:val="0017702C"/>
    <w:rsid w:val="00185270"/>
    <w:rsid w:val="001A3B5A"/>
    <w:rsid w:val="001A458C"/>
    <w:rsid w:val="001B7CE9"/>
    <w:rsid w:val="001D495A"/>
    <w:rsid w:val="001E244C"/>
    <w:rsid w:val="001F1437"/>
    <w:rsid w:val="00206799"/>
    <w:rsid w:val="002074FE"/>
    <w:rsid w:val="00214686"/>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6B90"/>
    <w:rsid w:val="003113FF"/>
    <w:rsid w:val="00312622"/>
    <w:rsid w:val="0032277F"/>
    <w:rsid w:val="00334902"/>
    <w:rsid w:val="00336B69"/>
    <w:rsid w:val="0034302B"/>
    <w:rsid w:val="00350523"/>
    <w:rsid w:val="0035189D"/>
    <w:rsid w:val="00355B62"/>
    <w:rsid w:val="00357C8A"/>
    <w:rsid w:val="003740BC"/>
    <w:rsid w:val="0037456B"/>
    <w:rsid w:val="003801A3"/>
    <w:rsid w:val="00383D90"/>
    <w:rsid w:val="003870AE"/>
    <w:rsid w:val="003874DC"/>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06657"/>
    <w:rsid w:val="00411D11"/>
    <w:rsid w:val="00414494"/>
    <w:rsid w:val="00415E23"/>
    <w:rsid w:val="0041670D"/>
    <w:rsid w:val="00416BCD"/>
    <w:rsid w:val="00423272"/>
    <w:rsid w:val="00424061"/>
    <w:rsid w:val="00442A3C"/>
    <w:rsid w:val="00443969"/>
    <w:rsid w:val="00447D74"/>
    <w:rsid w:val="00450A74"/>
    <w:rsid w:val="004546BF"/>
    <w:rsid w:val="00465350"/>
    <w:rsid w:val="004667E5"/>
    <w:rsid w:val="00466F11"/>
    <w:rsid w:val="00476B91"/>
    <w:rsid w:val="004846BF"/>
    <w:rsid w:val="00490E83"/>
    <w:rsid w:val="00494912"/>
    <w:rsid w:val="004A5323"/>
    <w:rsid w:val="004A5A99"/>
    <w:rsid w:val="004B12BC"/>
    <w:rsid w:val="004C6979"/>
    <w:rsid w:val="004D13A2"/>
    <w:rsid w:val="004D3E7A"/>
    <w:rsid w:val="004F594B"/>
    <w:rsid w:val="004F61E1"/>
    <w:rsid w:val="0053380B"/>
    <w:rsid w:val="00543194"/>
    <w:rsid w:val="00544138"/>
    <w:rsid w:val="005509EA"/>
    <w:rsid w:val="00554E34"/>
    <w:rsid w:val="00584583"/>
    <w:rsid w:val="00590E90"/>
    <w:rsid w:val="00590EEB"/>
    <w:rsid w:val="005A4099"/>
    <w:rsid w:val="005C38B2"/>
    <w:rsid w:val="005C5029"/>
    <w:rsid w:val="005C55C2"/>
    <w:rsid w:val="005C71CA"/>
    <w:rsid w:val="005C745C"/>
    <w:rsid w:val="005D4DF5"/>
    <w:rsid w:val="005E42BA"/>
    <w:rsid w:val="005F1A73"/>
    <w:rsid w:val="005F30C2"/>
    <w:rsid w:val="00611D6B"/>
    <w:rsid w:val="00625CFD"/>
    <w:rsid w:val="006279E4"/>
    <w:rsid w:val="006326EC"/>
    <w:rsid w:val="00645CA4"/>
    <w:rsid w:val="00663A42"/>
    <w:rsid w:val="006641C7"/>
    <w:rsid w:val="006705EA"/>
    <w:rsid w:val="00670BE2"/>
    <w:rsid w:val="006818A0"/>
    <w:rsid w:val="006916D9"/>
    <w:rsid w:val="006942AC"/>
    <w:rsid w:val="006A0E05"/>
    <w:rsid w:val="006A26C6"/>
    <w:rsid w:val="006A465A"/>
    <w:rsid w:val="006A4732"/>
    <w:rsid w:val="006A7D5D"/>
    <w:rsid w:val="006B7DBA"/>
    <w:rsid w:val="006D0C12"/>
    <w:rsid w:val="006D5D57"/>
    <w:rsid w:val="006E2538"/>
    <w:rsid w:val="006E302F"/>
    <w:rsid w:val="006F4D6D"/>
    <w:rsid w:val="00705086"/>
    <w:rsid w:val="00722001"/>
    <w:rsid w:val="00727CDF"/>
    <w:rsid w:val="0073066A"/>
    <w:rsid w:val="00744525"/>
    <w:rsid w:val="00751E66"/>
    <w:rsid w:val="00754497"/>
    <w:rsid w:val="00773201"/>
    <w:rsid w:val="00776DFD"/>
    <w:rsid w:val="00787C39"/>
    <w:rsid w:val="00792947"/>
    <w:rsid w:val="00795DF3"/>
    <w:rsid w:val="007A373C"/>
    <w:rsid w:val="007B225C"/>
    <w:rsid w:val="007C75B1"/>
    <w:rsid w:val="007D3DFC"/>
    <w:rsid w:val="007D78A3"/>
    <w:rsid w:val="007E2F07"/>
    <w:rsid w:val="007E59A8"/>
    <w:rsid w:val="0080776D"/>
    <w:rsid w:val="00810145"/>
    <w:rsid w:val="008108FA"/>
    <w:rsid w:val="00810FF1"/>
    <w:rsid w:val="00813874"/>
    <w:rsid w:val="00822336"/>
    <w:rsid w:val="00823DFA"/>
    <w:rsid w:val="00824DE0"/>
    <w:rsid w:val="00842DB7"/>
    <w:rsid w:val="00843752"/>
    <w:rsid w:val="0084479F"/>
    <w:rsid w:val="0085725E"/>
    <w:rsid w:val="00860A38"/>
    <w:rsid w:val="008620A6"/>
    <w:rsid w:val="00873D4F"/>
    <w:rsid w:val="0087509F"/>
    <w:rsid w:val="00885B09"/>
    <w:rsid w:val="00892400"/>
    <w:rsid w:val="008A209D"/>
    <w:rsid w:val="008A22BB"/>
    <w:rsid w:val="008B035D"/>
    <w:rsid w:val="008B0E29"/>
    <w:rsid w:val="008B0EFA"/>
    <w:rsid w:val="008B30AB"/>
    <w:rsid w:val="008C24B1"/>
    <w:rsid w:val="008C3BB8"/>
    <w:rsid w:val="008C4B65"/>
    <w:rsid w:val="008C719E"/>
    <w:rsid w:val="008E5F55"/>
    <w:rsid w:val="008E7AA5"/>
    <w:rsid w:val="009009E7"/>
    <w:rsid w:val="00905DEF"/>
    <w:rsid w:val="00906056"/>
    <w:rsid w:val="009122AE"/>
    <w:rsid w:val="00913B43"/>
    <w:rsid w:val="00925C90"/>
    <w:rsid w:val="00930203"/>
    <w:rsid w:val="009311D2"/>
    <w:rsid w:val="009311E6"/>
    <w:rsid w:val="00931275"/>
    <w:rsid w:val="00936AC7"/>
    <w:rsid w:val="00947761"/>
    <w:rsid w:val="00953B64"/>
    <w:rsid w:val="009646A7"/>
    <w:rsid w:val="00970A88"/>
    <w:rsid w:val="009818A1"/>
    <w:rsid w:val="009A1674"/>
    <w:rsid w:val="009B38BE"/>
    <w:rsid w:val="009B4DF2"/>
    <w:rsid w:val="009C684F"/>
    <w:rsid w:val="009D074C"/>
    <w:rsid w:val="009D6E73"/>
    <w:rsid w:val="009E15A7"/>
    <w:rsid w:val="009F1F1D"/>
    <w:rsid w:val="009F2B4F"/>
    <w:rsid w:val="009F3C63"/>
    <w:rsid w:val="009F66B5"/>
    <w:rsid w:val="00A02F10"/>
    <w:rsid w:val="00A1060C"/>
    <w:rsid w:val="00A14B28"/>
    <w:rsid w:val="00A16221"/>
    <w:rsid w:val="00A20A7D"/>
    <w:rsid w:val="00A35D42"/>
    <w:rsid w:val="00A405DD"/>
    <w:rsid w:val="00A46CCF"/>
    <w:rsid w:val="00A506DE"/>
    <w:rsid w:val="00A53451"/>
    <w:rsid w:val="00A70426"/>
    <w:rsid w:val="00A707CC"/>
    <w:rsid w:val="00A71410"/>
    <w:rsid w:val="00A91E9A"/>
    <w:rsid w:val="00A93ED9"/>
    <w:rsid w:val="00A96221"/>
    <w:rsid w:val="00AC2DBB"/>
    <w:rsid w:val="00AC6A99"/>
    <w:rsid w:val="00AD6048"/>
    <w:rsid w:val="00AF0A45"/>
    <w:rsid w:val="00B055EF"/>
    <w:rsid w:val="00B06B5B"/>
    <w:rsid w:val="00B23769"/>
    <w:rsid w:val="00B23781"/>
    <w:rsid w:val="00B41789"/>
    <w:rsid w:val="00B81808"/>
    <w:rsid w:val="00B86DFA"/>
    <w:rsid w:val="00B936D0"/>
    <w:rsid w:val="00BA345A"/>
    <w:rsid w:val="00BB15FB"/>
    <w:rsid w:val="00BC3618"/>
    <w:rsid w:val="00BD3D5B"/>
    <w:rsid w:val="00BE3600"/>
    <w:rsid w:val="00C01F6F"/>
    <w:rsid w:val="00C041EA"/>
    <w:rsid w:val="00C13BBD"/>
    <w:rsid w:val="00C149AB"/>
    <w:rsid w:val="00C16929"/>
    <w:rsid w:val="00C20690"/>
    <w:rsid w:val="00C36020"/>
    <w:rsid w:val="00C40694"/>
    <w:rsid w:val="00C40A0D"/>
    <w:rsid w:val="00C43886"/>
    <w:rsid w:val="00C448E0"/>
    <w:rsid w:val="00C479BF"/>
    <w:rsid w:val="00C47E22"/>
    <w:rsid w:val="00C5124B"/>
    <w:rsid w:val="00C67877"/>
    <w:rsid w:val="00C70542"/>
    <w:rsid w:val="00C71649"/>
    <w:rsid w:val="00C75CBF"/>
    <w:rsid w:val="00C922F6"/>
    <w:rsid w:val="00CC2894"/>
    <w:rsid w:val="00CD77C3"/>
    <w:rsid w:val="00CE112C"/>
    <w:rsid w:val="00CF55D4"/>
    <w:rsid w:val="00D0402C"/>
    <w:rsid w:val="00D608DA"/>
    <w:rsid w:val="00D730BF"/>
    <w:rsid w:val="00D852F4"/>
    <w:rsid w:val="00DB1110"/>
    <w:rsid w:val="00DB3730"/>
    <w:rsid w:val="00DC371B"/>
    <w:rsid w:val="00DC3788"/>
    <w:rsid w:val="00DC39F0"/>
    <w:rsid w:val="00DC76C7"/>
    <w:rsid w:val="00DD09F5"/>
    <w:rsid w:val="00DD0E02"/>
    <w:rsid w:val="00DD4201"/>
    <w:rsid w:val="00DD5E9F"/>
    <w:rsid w:val="00DE1E90"/>
    <w:rsid w:val="00DE5711"/>
    <w:rsid w:val="00E00EA0"/>
    <w:rsid w:val="00E021CB"/>
    <w:rsid w:val="00E04146"/>
    <w:rsid w:val="00E138F1"/>
    <w:rsid w:val="00E14919"/>
    <w:rsid w:val="00E22BA4"/>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E6468"/>
    <w:rsid w:val="00F1299B"/>
    <w:rsid w:val="00F150BD"/>
    <w:rsid w:val="00F207A4"/>
    <w:rsid w:val="00F2240C"/>
    <w:rsid w:val="00F25173"/>
    <w:rsid w:val="00F355AC"/>
    <w:rsid w:val="00F4027C"/>
    <w:rsid w:val="00F40CF7"/>
    <w:rsid w:val="00F43972"/>
    <w:rsid w:val="00F44194"/>
    <w:rsid w:val="00F62D82"/>
    <w:rsid w:val="00F6772E"/>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7E27D9"/>
  <w15:chartTrackingRefBased/>
  <w15:docId w15:val="{AE52119D-E91E-41EB-99D4-5DAC6DEB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8C719E"/>
    <w:rPr>
      <w:sz w:val="16"/>
      <w:szCs w:val="16"/>
    </w:rPr>
  </w:style>
  <w:style w:type="paragraph" w:styleId="CommentText">
    <w:name w:val="annotation text"/>
    <w:basedOn w:val="Normal"/>
    <w:link w:val="CommentTextChar"/>
    <w:rsid w:val="008C719E"/>
    <w:rPr>
      <w:sz w:val="20"/>
      <w:szCs w:val="20"/>
    </w:rPr>
  </w:style>
  <w:style w:type="character" w:customStyle="1" w:styleId="CommentTextChar">
    <w:name w:val="Comment Text Char"/>
    <w:basedOn w:val="DefaultParagraphFont"/>
    <w:link w:val="CommentText"/>
    <w:rsid w:val="008C719E"/>
  </w:style>
  <w:style w:type="paragraph" w:styleId="CommentSubject">
    <w:name w:val="annotation subject"/>
    <w:basedOn w:val="CommentText"/>
    <w:next w:val="CommentText"/>
    <w:link w:val="CommentSubjectChar"/>
    <w:rsid w:val="008C719E"/>
    <w:rPr>
      <w:b/>
      <w:bCs/>
    </w:rPr>
  </w:style>
  <w:style w:type="character" w:customStyle="1" w:styleId="CommentSubjectChar">
    <w:name w:val="Comment Subject Char"/>
    <w:basedOn w:val="CommentTextChar"/>
    <w:link w:val="CommentSubject"/>
    <w:rsid w:val="008C719E"/>
    <w:rPr>
      <w:b/>
      <w:bCs/>
    </w:rPr>
  </w:style>
  <w:style w:type="paragraph" w:styleId="Revision">
    <w:name w:val="Revision"/>
    <w:hidden/>
    <w:uiPriority w:val="99"/>
    <w:semiHidden/>
    <w:rsid w:val="00BC36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regulatory-information/search-fda-guidance-documents/cvm-gfi-170-animal-drug-user-fees-and-fee-waivers-and-reductions" TargetMode="External" /><Relationship Id="rId11" Type="http://schemas.openxmlformats.org/officeDocument/2006/relationships/hyperlink" Target="https://www.fda.gov/regulatory-information/search-fda-guidance-documents/cvm-gfi-200-secg-designation-new-animal-drugs-minor-uses-or-minor-species" TargetMode="External" /><Relationship Id="rId12" Type="http://schemas.openxmlformats.org/officeDocument/2006/relationships/hyperlink" Target="https://www.fda.gov/regulatory-information/search-fda-guidance-documents/cvm-gfi-201-secg-index-legally-marketed-unapproved-new-animal-drugs-minor-species" TargetMode="External" /><Relationship Id="rId13" Type="http://schemas.openxmlformats.org/officeDocument/2006/relationships/hyperlink" Target="https://www.careeronestop.org/Toolkit/Wages/find-salary.aspx?keyword=Compliance%20Officers&amp;soccode=131041&amp;location=Washington,%20DC&amp;dataview=chart&amp;hourly=True&amp;national=False" TargetMode="External" /><Relationship Id="rId14" Type="http://schemas.openxmlformats.org/officeDocument/2006/relationships/hyperlink" Target="https://www.careeronestop.org/Toolkit/Wages/find-salary.aspx?keyword=Office%20Clerks,%20General&amp;soccode=439061&amp;location=Washington,%20DC&amp;dataview=chart&amp;hourly=True&amp;national=False" TargetMode="External" /><Relationship Id="rId15" Type="http://schemas.openxmlformats.org/officeDocument/2006/relationships/hyperlink" Target="https://www.opm.gov/policy-data-oversight/pay-leave/salaries-wages/2026/general-schedule/" TargetMode="External" /><Relationship Id="rId16" Type="http://schemas.openxmlformats.org/officeDocument/2006/relationships/hyperlink" Target="https://www.opm.gov/policy-data-oversight/pay-leave/salaries-wages/2026/general-schedule/)." TargetMode="External" /><Relationship Id="rId17" Type="http://schemas.openxmlformats.org/officeDocument/2006/relationships/hyperlink" Target="http://www.fda.gov/animal-veterinary/minor-useminor-species/index-legally-marketed-unapproved-new-animal-drugs-minor-species"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fda.gov/ForIndustry/SmallBusinessAssistance/default.htm" TargetMode="External" /><Relationship Id="rId8" Type="http://schemas.openxmlformats.org/officeDocument/2006/relationships/hyperlink" Target="https://www.ecfr.gov/current/title-21/chapter-I/subchapter-A/part-10/subpart-B/section-10.115" TargetMode="External" /><Relationship Id="rId9" Type="http://schemas.openxmlformats.org/officeDocument/2006/relationships/hyperlink" Target="https://www.fda.gov/regulatory-information/search-fda-guidance-documents/cvm-gfi-61-special-considerations-incentives-and-programs-support-approval-new-animal-drugs-min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D730E-A1C4-402B-A30E-34076F127BB2}">
  <ds:schemaRefs>
    <ds:schemaRef ds:uri="http://schemas.microsoft.com/office/2006/metadata/properties"/>
    <ds:schemaRef ds:uri="http://schemas.microsoft.com/office/infopath/2007/PartnerControls"/>
    <ds:schemaRef ds:uri="7389913f-922f-4e80-b417-8e04b3f2c4f9"/>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docMetadata/LabelInfo.xml><?xml version="1.0" encoding="utf-8"?>
<clbl:labelList xmlns:clbl="http://schemas.microsoft.com/office/2020/mipLabelMetadata">
  <clbl:label id="{ec5e5a7a-e5c2-40a5-a786-0194463cad57}" enabled="1" method="Standard" siteId="{7d2fdb41-339c-4257-87f2-a665730b31fc}"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2671</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Covington, Kelly</cp:lastModifiedBy>
  <cp:revision>4</cp:revision>
  <cp:lastPrinted>2019-07-03T16:25:00Z</cp:lastPrinted>
  <dcterms:created xsi:type="dcterms:W3CDTF">2026-06-23T12:36:00Z</dcterms:created>
  <dcterms:modified xsi:type="dcterms:W3CDTF">2026-06-23T12:44:00Z</dcterms:modified>
</cp:coreProperties>
</file>