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0720" w:rsidRPr="00C45431" w14:paraId="145C3F7F" w14:textId="77777777">
      <w:pPr>
        <w:widowControl/>
        <w:autoSpaceDE/>
        <w:autoSpaceDN/>
        <w:adjustRightInd/>
        <w:rPr>
          <w:rFonts w:ascii="Arial" w:hAnsi="Arial" w:cs="Arial"/>
          <w:b/>
          <w:bCs/>
          <w:sz w:val="32"/>
          <w:szCs w:val="32"/>
        </w:rPr>
      </w:pPr>
    </w:p>
    <w:p w:rsidR="005F5342" w:rsidRPr="00E73EB6" w:rsidP="005F5342" w14:paraId="32AF0D29" w14:textId="77777777">
      <w:pPr>
        <w:tabs>
          <w:tab w:val="left" w:pos="-720"/>
          <w:tab w:val="right" w:pos="8622"/>
        </w:tabs>
        <w:jc w:val="center"/>
        <w:rPr>
          <w:b/>
          <w:sz w:val="24"/>
        </w:rPr>
      </w:pPr>
      <w:r w:rsidRPr="00E73EB6">
        <w:rPr>
          <w:b/>
          <w:sz w:val="24"/>
        </w:rPr>
        <w:t>Health Resources and Services Administration</w:t>
      </w:r>
    </w:p>
    <w:p w:rsidR="005F5342" w:rsidRPr="00E73EB6" w:rsidP="005F5342" w14:paraId="00989D4A" w14:textId="2172D20B">
      <w:pPr>
        <w:tabs>
          <w:tab w:val="left" w:pos="-720"/>
          <w:tab w:val="right" w:pos="8622"/>
        </w:tabs>
        <w:jc w:val="center"/>
        <w:rPr>
          <w:b/>
          <w:bCs/>
          <w:sz w:val="24"/>
        </w:rPr>
      </w:pPr>
      <w:r w:rsidRPr="00E73EB6">
        <w:rPr>
          <w:b/>
          <w:bCs/>
          <w:sz w:val="24"/>
        </w:rPr>
        <w:t>S</w:t>
      </w:r>
      <w:r w:rsidRPr="00E73EB6" w:rsidR="00287962">
        <w:rPr>
          <w:b/>
          <w:bCs/>
          <w:sz w:val="24"/>
        </w:rPr>
        <w:t>upporting</w:t>
      </w:r>
      <w:r w:rsidRPr="00E73EB6">
        <w:rPr>
          <w:b/>
          <w:bCs/>
          <w:sz w:val="24"/>
        </w:rPr>
        <w:t xml:space="preserve"> </w:t>
      </w:r>
      <w:r w:rsidRPr="00E73EB6" w:rsidR="00287962">
        <w:rPr>
          <w:b/>
          <w:bCs/>
          <w:sz w:val="24"/>
        </w:rPr>
        <w:t>Statement</w:t>
      </w:r>
      <w:r w:rsidRPr="00E73EB6">
        <w:rPr>
          <w:b/>
          <w:bCs/>
          <w:sz w:val="24"/>
        </w:rPr>
        <w:t xml:space="preserve"> </w:t>
      </w:r>
    </w:p>
    <w:p w:rsidR="00E33F4F" w:rsidRPr="00E73EB6" w:rsidP="00E33F4F" w14:paraId="390D3373" w14:textId="16CD8615">
      <w:pPr>
        <w:pStyle w:val="BodyText"/>
        <w:ind w:right="-14"/>
        <w:jc w:val="center"/>
        <w:rPr>
          <w:b/>
          <w:w w:val="105"/>
          <w:sz w:val="24"/>
        </w:rPr>
      </w:pPr>
      <w:r w:rsidRPr="00E73EB6">
        <w:rPr>
          <w:b/>
          <w:w w:val="105"/>
          <w:sz w:val="24"/>
        </w:rPr>
        <w:t>ADAP Data Report</w:t>
      </w:r>
    </w:p>
    <w:p w:rsidR="00BA1A0C" w:rsidRPr="00E73EB6" w:rsidP="00CE5AA9" w14:paraId="0328AB97" w14:textId="77777777">
      <w:pPr>
        <w:tabs>
          <w:tab w:val="center" w:pos="4680"/>
        </w:tabs>
        <w:spacing w:before="120"/>
        <w:jc w:val="center"/>
        <w:rPr>
          <w:b/>
          <w:bCs/>
          <w:sz w:val="24"/>
        </w:rPr>
      </w:pPr>
    </w:p>
    <w:p w:rsidR="005F5342" w:rsidRPr="00E73EB6" w:rsidP="005F5342" w14:paraId="66FF1174" w14:textId="41BF05D7">
      <w:pPr>
        <w:tabs>
          <w:tab w:val="center" w:pos="4680"/>
        </w:tabs>
        <w:jc w:val="center"/>
        <w:rPr>
          <w:b/>
          <w:bCs/>
          <w:sz w:val="24"/>
        </w:rPr>
      </w:pPr>
      <w:r w:rsidRPr="00E73EB6">
        <w:rPr>
          <w:b/>
          <w:bCs/>
          <w:sz w:val="24"/>
        </w:rPr>
        <w:t xml:space="preserve">OMB Control No. </w:t>
      </w:r>
      <w:r w:rsidRPr="00E73EB6" w:rsidR="00E3460D">
        <w:rPr>
          <w:b/>
          <w:bCs/>
          <w:sz w:val="24"/>
        </w:rPr>
        <w:t>0915-0345</w:t>
      </w:r>
    </w:p>
    <w:p w:rsidR="0028667D" w:rsidRPr="00E73EB6" w:rsidP="005F5342" w14:paraId="584FDB3A" w14:textId="6507EF7E">
      <w:pPr>
        <w:tabs>
          <w:tab w:val="center" w:pos="4680"/>
        </w:tabs>
        <w:jc w:val="center"/>
        <w:rPr>
          <w:b/>
          <w:bCs/>
          <w:sz w:val="24"/>
        </w:rPr>
      </w:pPr>
    </w:p>
    <w:p w:rsidR="0028667D" w:rsidRPr="00E73EB6" w:rsidP="005F5342" w14:paraId="7C7B9F05" w14:textId="27987736">
      <w:pPr>
        <w:tabs>
          <w:tab w:val="center" w:pos="4680"/>
        </w:tabs>
        <w:jc w:val="center"/>
        <w:rPr>
          <w:b/>
          <w:bCs/>
          <w:sz w:val="24"/>
        </w:rPr>
      </w:pPr>
      <w:r w:rsidRPr="00E73EB6">
        <w:rPr>
          <w:b/>
          <w:bCs/>
          <w:sz w:val="24"/>
        </w:rPr>
        <w:t>Revision</w:t>
      </w:r>
    </w:p>
    <w:p w:rsidR="00BA1A0C" w:rsidRPr="00E73EB6" w:rsidP="00CE5AA9" w14:paraId="4A4B835E" w14:textId="50E3FBA6">
      <w:pPr>
        <w:tabs>
          <w:tab w:val="center" w:pos="4680"/>
        </w:tabs>
        <w:spacing w:before="120"/>
        <w:jc w:val="center"/>
        <w:rPr>
          <w:b/>
          <w:bCs/>
          <w:sz w:val="24"/>
        </w:rPr>
      </w:pPr>
    </w:p>
    <w:p w:rsidR="00287962" w:rsidRPr="00E73EB6" w:rsidP="00287962" w14:paraId="6767DE7B" w14:textId="77777777">
      <w:pPr>
        <w:spacing w:after="60"/>
        <w:rPr>
          <w:b/>
          <w:bCs/>
          <w:sz w:val="24"/>
        </w:rPr>
      </w:pPr>
      <w:r w:rsidRPr="00E73EB6">
        <w:rPr>
          <w:b/>
          <w:bCs/>
          <w:sz w:val="24"/>
        </w:rPr>
        <w:t xml:space="preserve">Terms of Clearance: </w:t>
      </w:r>
      <w:r w:rsidRPr="00E73EB6">
        <w:rPr>
          <w:sz w:val="24"/>
        </w:rPr>
        <w:t>None</w:t>
      </w:r>
    </w:p>
    <w:p w:rsidR="00A27D7E" w:rsidRPr="00E73EB6" w:rsidP="00CE5AA9" w14:paraId="7959AF7D" w14:textId="77777777">
      <w:pPr>
        <w:spacing w:before="120"/>
        <w:rPr>
          <w:b/>
          <w:sz w:val="24"/>
        </w:rPr>
      </w:pPr>
    </w:p>
    <w:p w:rsidR="009B3794" w:rsidRPr="00E73EB6" w:rsidP="00CA3DA6" w14:paraId="00AE42EE" w14:textId="660D3739">
      <w:pPr>
        <w:spacing w:before="120"/>
        <w:rPr>
          <w:b/>
          <w:bCs/>
          <w:sz w:val="24"/>
        </w:rPr>
      </w:pPr>
      <w:r w:rsidRPr="00E73EB6">
        <w:rPr>
          <w:b/>
          <w:bCs/>
          <w:sz w:val="24"/>
        </w:rPr>
        <w:t>A.</w:t>
      </w:r>
      <w:r w:rsidRPr="00E73EB6" w:rsidR="00287962">
        <w:rPr>
          <w:b/>
          <w:bCs/>
          <w:sz w:val="24"/>
        </w:rPr>
        <w:t xml:space="preserve"> </w:t>
      </w:r>
      <w:r w:rsidRPr="00E73EB6">
        <w:rPr>
          <w:b/>
          <w:bCs/>
          <w:sz w:val="24"/>
        </w:rPr>
        <w:t>Justification</w:t>
      </w:r>
    </w:p>
    <w:p w:rsidR="009B3794" w:rsidRPr="00E73EB6" w:rsidP="00C0107A" w14:paraId="384A42F5" w14:textId="77777777">
      <w:pPr>
        <w:numPr>
          <w:ilvl w:val="0"/>
          <w:numId w:val="1"/>
        </w:numPr>
        <w:spacing w:before="240"/>
        <w:rPr>
          <w:b/>
          <w:sz w:val="24"/>
        </w:rPr>
      </w:pPr>
      <w:r w:rsidRPr="00E73EB6">
        <w:rPr>
          <w:b/>
          <w:sz w:val="24"/>
          <w:u w:val="single"/>
        </w:rPr>
        <w:t>Circumstances Making the Collection of Information Necessary</w:t>
      </w:r>
    </w:p>
    <w:p w:rsidR="008F6ABC" w:rsidRPr="00E73EB6" w:rsidP="000238F6" w14:paraId="13F78813" w14:textId="77777777">
      <w:pPr>
        <w:widowControl/>
        <w:shd w:val="clear" w:color="auto" w:fill="FFFFFF"/>
        <w:autoSpaceDE/>
        <w:autoSpaceDN/>
        <w:adjustRightInd/>
        <w:rPr>
          <w:sz w:val="24"/>
        </w:rPr>
      </w:pPr>
    </w:p>
    <w:p w:rsidR="00A110CF" w:rsidRPr="00E73EB6" w:rsidP="00A110CF" w14:paraId="3F496905" w14:textId="75BA70CD">
      <w:pPr>
        <w:rPr>
          <w:sz w:val="24"/>
        </w:rPr>
      </w:pPr>
      <w:r w:rsidRPr="00E73EB6">
        <w:rPr>
          <w:rStyle w:val="BodyTextFi"/>
          <w:sz w:val="24"/>
        </w:rPr>
        <w:t>The Health Resources and Services Administration (HRSA) is requesting</w:t>
      </w:r>
      <w:r w:rsidRPr="00E73EB6" w:rsidR="00947EB3">
        <w:rPr>
          <w:rStyle w:val="BodyTextFi"/>
          <w:sz w:val="24"/>
        </w:rPr>
        <w:t xml:space="preserve"> approval</w:t>
      </w:r>
      <w:r w:rsidRPr="00E73EB6">
        <w:rPr>
          <w:rStyle w:val="BodyTextFi"/>
          <w:sz w:val="24"/>
        </w:rPr>
        <w:t xml:space="preserve"> f</w:t>
      </w:r>
      <w:r w:rsidRPr="00E73EB6" w:rsidR="00656CBD">
        <w:rPr>
          <w:rStyle w:val="BodyTextFi"/>
          <w:sz w:val="24"/>
        </w:rPr>
        <w:t>rom the</w:t>
      </w:r>
      <w:r w:rsidRPr="00E73EB6">
        <w:rPr>
          <w:rStyle w:val="BodyTextFi"/>
          <w:sz w:val="24"/>
        </w:rPr>
        <w:t xml:space="preserve"> </w:t>
      </w:r>
      <w:r w:rsidRPr="00E73EB6" w:rsidR="00E3460D">
        <w:rPr>
          <w:rStyle w:val="BodyTextFi"/>
          <w:sz w:val="24"/>
        </w:rPr>
        <w:t>Office of Management and Budget (</w:t>
      </w:r>
      <w:r w:rsidRPr="00E73EB6">
        <w:rPr>
          <w:rStyle w:val="BodyTextFi"/>
          <w:sz w:val="24"/>
        </w:rPr>
        <w:t>OMB</w:t>
      </w:r>
      <w:r w:rsidRPr="00E73EB6" w:rsidR="00E3460D">
        <w:rPr>
          <w:rStyle w:val="BodyTextFi"/>
          <w:sz w:val="24"/>
        </w:rPr>
        <w:t>)</w:t>
      </w:r>
      <w:r w:rsidRPr="00E73EB6" w:rsidR="00947EB3">
        <w:rPr>
          <w:rStyle w:val="BodyTextFi"/>
          <w:sz w:val="24"/>
        </w:rPr>
        <w:t xml:space="preserve"> for a</w:t>
      </w:r>
      <w:r w:rsidRPr="00E73EB6" w:rsidR="0028667D">
        <w:rPr>
          <w:rStyle w:val="BodyTextFi"/>
          <w:sz w:val="24"/>
        </w:rPr>
        <w:t xml:space="preserve"> revision</w:t>
      </w:r>
      <w:r w:rsidRPr="00E73EB6" w:rsidR="00947EB3">
        <w:rPr>
          <w:rStyle w:val="BodyTextFi"/>
          <w:sz w:val="24"/>
        </w:rPr>
        <w:t xml:space="preserve"> of the client-level data reporting system,</w:t>
      </w:r>
      <w:r w:rsidRPr="00E73EB6">
        <w:rPr>
          <w:rStyle w:val="BodyTextFi"/>
          <w:sz w:val="24"/>
        </w:rPr>
        <w:t xml:space="preserve"> </w:t>
      </w:r>
      <w:r w:rsidRPr="00E73EB6">
        <w:rPr>
          <w:sz w:val="24"/>
        </w:rPr>
        <w:t>the Ryan White Program’s HIV</w:t>
      </w:r>
      <w:r w:rsidRPr="00E73EB6" w:rsidR="00E3460D">
        <w:rPr>
          <w:sz w:val="24"/>
        </w:rPr>
        <w:t xml:space="preserve">/AIDS Program </w:t>
      </w:r>
      <w:r w:rsidRPr="00E73EB6" w:rsidR="00656CBD">
        <w:rPr>
          <w:sz w:val="24"/>
        </w:rPr>
        <w:t xml:space="preserve">(RWHAP) </w:t>
      </w:r>
      <w:r w:rsidRPr="00E73EB6" w:rsidR="00E3460D">
        <w:rPr>
          <w:sz w:val="24"/>
        </w:rPr>
        <w:t>Part B AIDS Drug Assistance Program (ADAP) Data Report (ADR)</w:t>
      </w:r>
      <w:r w:rsidRPr="00E73EB6">
        <w:rPr>
          <w:sz w:val="24"/>
        </w:rPr>
        <w:t xml:space="preserve">. The </w:t>
      </w:r>
      <w:r w:rsidRPr="00E73EB6" w:rsidR="00656CBD">
        <w:rPr>
          <w:sz w:val="24"/>
        </w:rPr>
        <w:t xml:space="preserve">current </w:t>
      </w:r>
      <w:r w:rsidRPr="00E73EB6" w:rsidR="00E3460D">
        <w:rPr>
          <w:sz w:val="24"/>
        </w:rPr>
        <w:t>ADR</w:t>
      </w:r>
      <w:r w:rsidRPr="00E73EB6" w:rsidR="00656CBD">
        <w:rPr>
          <w:sz w:val="24"/>
        </w:rPr>
        <w:t xml:space="preserve"> Information Collection Request (ICR)</w:t>
      </w:r>
      <w:r w:rsidRPr="00E73EB6">
        <w:rPr>
          <w:sz w:val="24"/>
        </w:rPr>
        <w:t>,</w:t>
      </w:r>
      <w:r w:rsidRPr="00E73EB6">
        <w:rPr>
          <w:rStyle w:val="BodyTextFi"/>
          <w:sz w:val="24"/>
        </w:rPr>
        <w:t xml:space="preserve"> </w:t>
      </w:r>
      <w:r w:rsidRPr="00E73EB6">
        <w:rPr>
          <w:rStyle w:val="BodyTextFi"/>
          <w:sz w:val="24"/>
        </w:rPr>
        <w:t xml:space="preserve">which expires on </w:t>
      </w:r>
      <w:r w:rsidRPr="00E73EB6" w:rsidR="00D96A00">
        <w:rPr>
          <w:rStyle w:val="BodyTextFi"/>
          <w:sz w:val="24"/>
        </w:rPr>
        <w:t>June</w:t>
      </w:r>
      <w:r w:rsidRPr="00E73EB6">
        <w:rPr>
          <w:rStyle w:val="BodyTextFi"/>
          <w:sz w:val="24"/>
        </w:rPr>
        <w:t xml:space="preserve"> 3</w:t>
      </w:r>
      <w:r w:rsidRPr="00E73EB6" w:rsidR="00D96A00">
        <w:rPr>
          <w:rStyle w:val="BodyTextFi"/>
          <w:sz w:val="24"/>
        </w:rPr>
        <w:t>0</w:t>
      </w:r>
      <w:r w:rsidRPr="00E73EB6">
        <w:rPr>
          <w:rStyle w:val="BodyTextFi"/>
          <w:sz w:val="24"/>
        </w:rPr>
        <w:t>, 2</w:t>
      </w:r>
      <w:r w:rsidRPr="00E73EB6" w:rsidR="00E922B9">
        <w:rPr>
          <w:rStyle w:val="BodyTextFi"/>
          <w:sz w:val="24"/>
        </w:rPr>
        <w:t>02</w:t>
      </w:r>
      <w:r w:rsidRPr="00E73EB6" w:rsidR="00AA1C83">
        <w:rPr>
          <w:rStyle w:val="BodyTextFi"/>
          <w:sz w:val="24"/>
        </w:rPr>
        <w:t>3</w:t>
      </w:r>
      <w:r w:rsidRPr="00E73EB6" w:rsidR="007E570A">
        <w:rPr>
          <w:rStyle w:val="BodyTextFi"/>
          <w:sz w:val="24"/>
        </w:rPr>
        <w:t>,</w:t>
      </w:r>
      <w:r w:rsidRPr="00E73EB6">
        <w:rPr>
          <w:rStyle w:val="BodyTextFi"/>
          <w:sz w:val="24"/>
        </w:rPr>
        <w:t xml:space="preserve"> </w:t>
      </w:r>
      <w:r w:rsidRPr="00E73EB6">
        <w:rPr>
          <w:sz w:val="24"/>
        </w:rPr>
        <w:t xml:space="preserve">is </w:t>
      </w:r>
      <w:r w:rsidRPr="00E73EB6" w:rsidR="00947EB3">
        <w:rPr>
          <w:sz w:val="24"/>
        </w:rPr>
        <w:t>currently used to collect information from</w:t>
      </w:r>
      <w:r w:rsidRPr="00E73EB6">
        <w:rPr>
          <w:sz w:val="24"/>
        </w:rPr>
        <w:t xml:space="preserve"> </w:t>
      </w:r>
      <w:r w:rsidRPr="00E73EB6" w:rsidR="00947EB3">
        <w:rPr>
          <w:sz w:val="24"/>
        </w:rPr>
        <w:t xml:space="preserve">grant </w:t>
      </w:r>
      <w:r w:rsidRPr="00E73EB6">
        <w:rPr>
          <w:sz w:val="24"/>
        </w:rPr>
        <w:t xml:space="preserve">recipients funded under Part </w:t>
      </w:r>
      <w:r w:rsidRPr="00E73EB6" w:rsidR="00C2606E">
        <w:rPr>
          <w:sz w:val="24"/>
        </w:rPr>
        <w:t xml:space="preserve">B </w:t>
      </w:r>
      <w:r w:rsidRPr="00E73EB6">
        <w:rPr>
          <w:sz w:val="24"/>
        </w:rPr>
        <w:t xml:space="preserve">of the </w:t>
      </w:r>
      <w:r w:rsidR="002C3367">
        <w:rPr>
          <w:sz w:val="24"/>
        </w:rPr>
        <w:t>RWHAP legislation</w:t>
      </w:r>
      <w:r w:rsidRPr="00E73EB6" w:rsidR="00947EB3">
        <w:rPr>
          <w:sz w:val="24"/>
        </w:rPr>
        <w:t xml:space="preserve">. </w:t>
      </w:r>
      <w:r w:rsidRPr="00E73EB6">
        <w:rPr>
          <w:sz w:val="24"/>
        </w:rPr>
        <w:t>The RWHAP, authorized under Title XXVI of the Public Health Service Act funds and coordinates with cities, states, and local clinics/community-based organizations to deliver efficient and effective HIV care, treatment, and support to low-income people with HI</w:t>
      </w:r>
      <w:r w:rsidRPr="00E73EB6" w:rsidR="00E922B9">
        <w:rPr>
          <w:sz w:val="24"/>
        </w:rPr>
        <w:t>V</w:t>
      </w:r>
      <w:r w:rsidRPr="00E73EB6">
        <w:rPr>
          <w:sz w:val="24"/>
        </w:rPr>
        <w:t xml:space="preserve">. See Attachment A for a copy of the </w:t>
      </w:r>
      <w:r w:rsidR="002C3367">
        <w:rPr>
          <w:sz w:val="24"/>
        </w:rPr>
        <w:t>RWHAP</w:t>
      </w:r>
      <w:r w:rsidRPr="00E73EB6" w:rsidR="002C3367">
        <w:rPr>
          <w:sz w:val="24"/>
        </w:rPr>
        <w:t xml:space="preserve"> </w:t>
      </w:r>
      <w:r w:rsidRPr="00E73EB6">
        <w:rPr>
          <w:sz w:val="24"/>
        </w:rPr>
        <w:t xml:space="preserve">legislation. The Department of Health and Human Services (HHS) HRSA administers funds for the RWHAP. </w:t>
      </w:r>
    </w:p>
    <w:p w:rsidR="006D2080" w:rsidRPr="00E73EB6" w:rsidP="00A110CF" w14:paraId="634025DB" w14:textId="2B725D80">
      <w:pPr>
        <w:rPr>
          <w:sz w:val="24"/>
        </w:rPr>
      </w:pPr>
    </w:p>
    <w:p w:rsidR="00A475BA" w:rsidRPr="00E73EB6" w:rsidP="00A110CF" w14:paraId="2DD8B5AC" w14:textId="6CCB0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Calibri"/>
          <w:sz w:val="24"/>
          <w:lang w:eastAsia="ja-JP"/>
        </w:rPr>
      </w:pPr>
      <w:r w:rsidRPr="00E73EB6">
        <w:rPr>
          <w:rFonts w:eastAsia="Calibri"/>
          <w:sz w:val="24"/>
        </w:rPr>
        <w:t xml:space="preserve">The HRSA RWHAP supports a comprehensive system of direct health care and support services for over half a million people </w:t>
      </w:r>
      <w:r w:rsidRPr="00E73EB6" w:rsidR="00626DFE">
        <w:rPr>
          <w:rFonts w:eastAsia="Calibri"/>
          <w:sz w:val="24"/>
        </w:rPr>
        <w:t xml:space="preserve">diagnosed </w:t>
      </w:r>
      <w:r w:rsidRPr="00E73EB6">
        <w:rPr>
          <w:rFonts w:eastAsia="Calibri"/>
          <w:sz w:val="24"/>
        </w:rPr>
        <w:t>with HIV</w:t>
      </w:r>
      <w:r w:rsidR="00E84DDF">
        <w:rPr>
          <w:rFonts w:eastAsia="Calibri"/>
          <w:sz w:val="24"/>
        </w:rPr>
        <w:t>.</w:t>
      </w:r>
      <w:r>
        <w:rPr>
          <w:rFonts w:eastAsia="Calibri"/>
          <w:sz w:val="24"/>
          <w:vertAlign w:val="superscript"/>
        </w:rPr>
        <w:footnoteReference w:id="2"/>
      </w:r>
      <w:r w:rsidRPr="00E73EB6">
        <w:rPr>
          <w:rStyle w:val="BodyTextFi"/>
          <w:sz w:val="24"/>
        </w:rPr>
        <w:t xml:space="preserve"> The HRSA RWHAP makes financial assistance available for the development, organization, coordination, and operation of more effective and cost-efficient systems for the delivery of essential core medical and support services to persons with HIV.</w:t>
      </w:r>
      <w:r w:rsidRPr="00E73EB6">
        <w:rPr>
          <w:rFonts w:eastAsia="MS Mincho"/>
          <w:sz w:val="24"/>
        </w:rPr>
        <w:t xml:space="preserve"> </w:t>
      </w:r>
      <w:r w:rsidRPr="00E73EB6">
        <w:rPr>
          <w:sz w:val="24"/>
        </w:rPr>
        <w:t>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w:t>
      </w:r>
      <w:r w:rsidRPr="00E73EB6" w:rsidR="004536A7">
        <w:rPr>
          <w:sz w:val="24"/>
        </w:rPr>
        <w:t>,</w:t>
      </w:r>
      <w:r w:rsidRPr="00E73EB6">
        <w:rPr>
          <w:sz w:val="24"/>
        </w:rPr>
        <w:t xml:space="preserve"> and treatment.</w:t>
      </w:r>
    </w:p>
    <w:p w:rsidR="00C25A62" w:rsidRPr="00E73EB6" w:rsidP="00A110CF" w14:paraId="7BE77B38" w14:textId="62FAA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lang w:eastAsia="ja-JP"/>
        </w:rPr>
      </w:pPr>
    </w:p>
    <w:p w:rsidR="00346459" w:rsidRPr="00E73EB6" w:rsidP="00346459" w14:paraId="256F6B1E" w14:textId="59B34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lang w:eastAsia="ja-JP"/>
        </w:rPr>
      </w:pPr>
      <w:r w:rsidRPr="00E73EB6">
        <w:rPr>
          <w:sz w:val="24"/>
        </w:rPr>
        <w:t xml:space="preserve">Part B of the </w:t>
      </w:r>
      <w:r w:rsidR="002C3367">
        <w:rPr>
          <w:sz w:val="24"/>
        </w:rPr>
        <w:t>RWHAP</w:t>
      </w:r>
      <w:r w:rsidRPr="00E73EB6">
        <w:rPr>
          <w:sz w:val="24"/>
        </w:rPr>
        <w:t xml:space="preserve"> funds States and U.S. Territories to improve the quality, availability, and </w:t>
      </w:r>
      <w:r w:rsidRPr="00E73EB6">
        <w:rPr>
          <w:sz w:val="24"/>
        </w:rPr>
        <w:t xml:space="preserve">organization of HIV/AIDS health care and support services. </w:t>
      </w:r>
      <w:r w:rsidRPr="00E73EB6">
        <w:rPr>
          <w:rFonts w:eastAsia="Calibri"/>
          <w:sz w:val="24"/>
        </w:rPr>
        <w:t>A portion of the RWHAP Part B appropriation supports ADAP, which supports the provision of HIV medications and related services, including health insurance premium and cost-sharing assistance.</w:t>
      </w:r>
      <w:r w:rsidRPr="00E73EB6">
        <w:rPr>
          <w:color w:val="000000"/>
          <w:sz w:val="24"/>
        </w:rPr>
        <w:t xml:space="preserve">  Grants are awarded to all 50 States, the District of Columbia, Puerto Rico, Guam, the U.S. Virgin Islands, and </w:t>
      </w:r>
      <w:r w:rsidR="002C3367">
        <w:rPr>
          <w:color w:val="000000"/>
          <w:sz w:val="24"/>
        </w:rPr>
        <w:t>five</w:t>
      </w:r>
      <w:r w:rsidRPr="00E73EB6" w:rsidR="002C3367">
        <w:rPr>
          <w:color w:val="000000"/>
          <w:sz w:val="24"/>
        </w:rPr>
        <w:t xml:space="preserve"> </w:t>
      </w:r>
      <w:r w:rsidRPr="00E73EB6">
        <w:rPr>
          <w:color w:val="000000"/>
          <w:sz w:val="24"/>
        </w:rPr>
        <w:t>US Territories.</w:t>
      </w:r>
    </w:p>
    <w:p w:rsidR="00346459" w:rsidRPr="00E73EB6" w:rsidP="00A110CF" w14:paraId="6C0F63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rPr>
      </w:pPr>
    </w:p>
    <w:p w:rsidR="008F6ABC" w:rsidRPr="00E73EB6" w:rsidP="00C0107A" w14:paraId="33004E92" w14:textId="77777777">
      <w:pPr>
        <w:pStyle w:val="Answerbulleted"/>
        <w:numPr>
          <w:ilvl w:val="0"/>
          <w:numId w:val="1"/>
        </w:numPr>
        <w:ind w:right="0"/>
        <w:rPr>
          <w:rFonts w:ascii="Times New Roman" w:hAnsi="Times New Roman"/>
          <w:b/>
          <w:sz w:val="24"/>
          <w:szCs w:val="24"/>
          <w:u w:val="single"/>
        </w:rPr>
      </w:pPr>
      <w:r w:rsidRPr="00E73EB6">
        <w:rPr>
          <w:rFonts w:ascii="Times New Roman" w:hAnsi="Times New Roman"/>
          <w:b/>
          <w:sz w:val="24"/>
          <w:szCs w:val="24"/>
          <w:u w:val="single"/>
        </w:rPr>
        <w:t>Purpose and Use of Information Collection</w:t>
      </w:r>
    </w:p>
    <w:p w:rsidR="00794604" w:rsidRPr="00E73EB6" w:rsidP="00FA60F7" w14:paraId="0B7A097E" w14:textId="57A25FA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Style w:val="BodyTextFi"/>
          <w:sz w:val="24"/>
        </w:rPr>
      </w:pPr>
      <w:bookmarkStart w:id="0" w:name="_Hlk12446623"/>
      <w:r w:rsidRPr="00E73EB6">
        <w:rPr>
          <w:rStyle w:val="BodyTextFi"/>
          <w:sz w:val="24"/>
        </w:rPr>
        <w:t xml:space="preserve">The purpose of collecting these data will be to compile and analyze client-level data to address performance measures and HRSA core clinical performance measures. </w:t>
      </w:r>
    </w:p>
    <w:p w:rsidR="00794604" w:rsidRPr="00E73EB6" w:rsidP="00FA60F7" w14:paraId="63CAD6BA" w14:textId="0FD825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794604" w:rsidRPr="00E73EB6" w:rsidP="00FA60F7" w14:paraId="779C80FF" w14:textId="4CCE80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4"/>
        </w:rPr>
      </w:pPr>
      <w:r w:rsidRPr="00E73EB6">
        <w:rPr>
          <w:rStyle w:val="BodyTextFi"/>
          <w:sz w:val="24"/>
        </w:rPr>
        <w:t xml:space="preserve">Agencies will report data on allowable services and selected clinical data associated with those services. This will allow HRSA to obtain </w:t>
      </w:r>
      <w:r w:rsidRPr="00E73EB6">
        <w:rPr>
          <w:sz w:val="24"/>
        </w:rPr>
        <w:t xml:space="preserve">accurate counts of the number of clients served by the </w:t>
      </w:r>
      <w:r w:rsidRPr="00CC7754">
        <w:rPr>
          <w:rStyle w:val="Strong"/>
          <w:b w:val="0"/>
          <w:bCs w:val="0"/>
          <w:sz w:val="24"/>
        </w:rPr>
        <w:t>HRSA RWHAP</w:t>
      </w:r>
      <w:r w:rsidRPr="00E73EB6">
        <w:rPr>
          <w:sz w:val="24"/>
        </w:rPr>
        <w:t>.</w:t>
      </w:r>
      <w:r w:rsidRPr="00E73EB6">
        <w:rPr>
          <w:rStyle w:val="BodyTextFi"/>
          <w:sz w:val="24"/>
        </w:rPr>
        <w:t xml:space="preserve"> In addition, </w:t>
      </w:r>
      <w:r w:rsidRPr="00E73EB6">
        <w:rPr>
          <w:sz w:val="24"/>
        </w:rPr>
        <w:t xml:space="preserve">the data submitted to HRSA HAB will be used for monitoring the outcomes achieved on behalf of HIV clients receiving care and treatment through HRSA RWHAP grant recipients and/or subrecipients; monitoring the use of HRSA RWHAP funds for the appropriate use to address the HIV epidemic in the United </w:t>
      </w:r>
      <w:r w:rsidRPr="00E73EB6" w:rsidR="00CF06D2">
        <w:rPr>
          <w:sz w:val="24"/>
        </w:rPr>
        <w:t>States and</w:t>
      </w:r>
      <w:r w:rsidRPr="00E73EB6">
        <w:rPr>
          <w:sz w:val="24"/>
        </w:rPr>
        <w:t xml:space="preserve"> addressing the needs and concerns of U.S. Congress and the HHS Secretary concerning the HIV epidemic and the HRSA RWHAP.</w:t>
      </w:r>
    </w:p>
    <w:p w:rsidR="00794604" w:rsidRPr="00E73EB6" w:rsidP="00FA60F7" w14:paraId="4A0DB84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Style w:val="BodyTextFi"/>
          <w:sz w:val="24"/>
        </w:rPr>
      </w:pPr>
    </w:p>
    <w:p w:rsidR="00927D02" w:rsidRPr="00E73EB6" w:rsidP="00927D02" w14:paraId="0409D40D" w14:textId="2929E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FootnoteReference"/>
          <w:sz w:val="24"/>
        </w:rPr>
      </w:pPr>
      <w:r w:rsidRPr="00E73EB6">
        <w:rPr>
          <w:sz w:val="24"/>
        </w:rPr>
        <w:t xml:space="preserve">The ADR variables are designed to enable HRSA to fulfill its responsibilities in the administration of grant funds in addition to maintaining accurate records of the </w:t>
      </w:r>
      <w:r w:rsidRPr="00E73EB6" w:rsidR="00626DFE">
        <w:rPr>
          <w:sz w:val="24"/>
        </w:rPr>
        <w:t xml:space="preserve">recipients </w:t>
      </w:r>
      <w:r w:rsidRPr="00E73EB6">
        <w:rPr>
          <w:sz w:val="24"/>
        </w:rPr>
        <w:t xml:space="preserve">receiving </w:t>
      </w:r>
      <w:r w:rsidR="002C3367">
        <w:rPr>
          <w:sz w:val="24"/>
        </w:rPr>
        <w:t>RWHAP</w:t>
      </w:r>
      <w:r w:rsidRPr="00E73EB6">
        <w:rPr>
          <w:sz w:val="24"/>
        </w:rPr>
        <w:t xml:space="preserve"> funding, services provided, and clients served. Client-level data enables HRSA to monitor the ability of the ADAP</w:t>
      </w:r>
      <w:r w:rsidR="002C3367">
        <w:rPr>
          <w:sz w:val="24"/>
        </w:rPr>
        <w:t>s</w:t>
      </w:r>
      <w:r w:rsidRPr="00E73EB6">
        <w:rPr>
          <w:sz w:val="24"/>
        </w:rPr>
        <w:t xml:space="preserve"> to reach populations impacted by the HIV epidemic while ensuring that programmatic objectives such as addressing HIV disparities are met.  </w:t>
      </w:r>
    </w:p>
    <w:p w:rsidR="00927D02" w:rsidRPr="00E73EB6" w:rsidP="00794604" w14:paraId="71107CD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Style w:val="BodyTextFi"/>
          <w:sz w:val="24"/>
        </w:rPr>
      </w:pPr>
    </w:p>
    <w:p w:rsidR="00794604" w:rsidRPr="00E73EB6" w:rsidP="00794604" w14:paraId="0B62C579" w14:textId="36B94DB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Style w:val="BulletInden"/>
          <w:sz w:val="24"/>
        </w:rPr>
      </w:pPr>
      <w:r w:rsidRPr="00E73EB6">
        <w:rPr>
          <w:rStyle w:val="BodyTextFi"/>
          <w:sz w:val="24"/>
        </w:rPr>
        <w:t xml:space="preserve">Grant recipients will collect information on the </w:t>
      </w:r>
      <w:r w:rsidRPr="00E73EB6" w:rsidR="005B7309">
        <w:rPr>
          <w:rStyle w:val="BodyTextFi"/>
          <w:sz w:val="24"/>
        </w:rPr>
        <w:t>ADR</w:t>
      </w:r>
      <w:r w:rsidRPr="00E73EB6">
        <w:rPr>
          <w:rStyle w:val="BodyTextFi"/>
          <w:sz w:val="24"/>
        </w:rPr>
        <w:t xml:space="preserve"> and submit the data once annually. </w:t>
      </w:r>
      <w:r w:rsidRPr="00E73EB6">
        <w:rPr>
          <w:rStyle w:val="BulletInden"/>
          <w:sz w:val="24"/>
        </w:rPr>
        <w:t>HRSA will generate descriptive reports about the uses of funds and the types of recipients receiving them and will conduct detailed analyses of national and regional information about clients and services.</w:t>
      </w:r>
    </w:p>
    <w:bookmarkEnd w:id="0"/>
    <w:p w:rsidR="008F6ABC" w:rsidRPr="00E73EB6" w:rsidP="00C0107A" w14:paraId="45F4B195" w14:textId="7B9613DD">
      <w:pPr>
        <w:numPr>
          <w:ilvl w:val="0"/>
          <w:numId w:val="1"/>
        </w:numPr>
        <w:spacing w:before="240"/>
        <w:rPr>
          <w:b/>
          <w:sz w:val="24"/>
        </w:rPr>
      </w:pPr>
      <w:r w:rsidRPr="00E73EB6">
        <w:rPr>
          <w:b/>
          <w:sz w:val="24"/>
          <w:u w:val="single"/>
        </w:rPr>
        <w:t>Use of Improved Information Technology</w:t>
      </w:r>
      <w:r w:rsidRPr="00E73EB6" w:rsidR="008841EE">
        <w:rPr>
          <w:b/>
          <w:sz w:val="24"/>
          <w:u w:val="single"/>
        </w:rPr>
        <w:t xml:space="preserve"> and Burden Reduction</w:t>
      </w:r>
    </w:p>
    <w:p w:rsidR="00D04CC7" w:rsidRPr="00E73EB6" w:rsidP="00507712" w14:paraId="246EAF0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p>
    <w:p w:rsidR="00D04CC7" w:rsidRPr="00E73EB6" w:rsidP="00507712" w14:paraId="453D387B" w14:textId="36E4F63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4"/>
        </w:rPr>
      </w:pPr>
      <w:r w:rsidRPr="00E73EB6">
        <w:rPr>
          <w:sz w:val="24"/>
        </w:rPr>
        <w:t>In order to</w:t>
      </w:r>
      <w:r w:rsidRPr="00E73EB6">
        <w:rPr>
          <w:sz w:val="24"/>
        </w:rPr>
        <w:t xml:space="preserve"> report client-level data, grant recipients will need access to the Internet. The Recipient Report will be completed online through a secure </w:t>
      </w:r>
      <w:r w:rsidRPr="00E73EB6" w:rsidR="00541A22">
        <w:rPr>
          <w:sz w:val="24"/>
        </w:rPr>
        <w:t>w</w:t>
      </w:r>
      <w:r w:rsidRPr="00E73EB6">
        <w:rPr>
          <w:sz w:val="24"/>
        </w:rPr>
        <w:t>eb-based</w:t>
      </w:r>
      <w:r w:rsidRPr="00E73EB6" w:rsidR="00FD19F0">
        <w:rPr>
          <w:sz w:val="24"/>
        </w:rPr>
        <w:t xml:space="preserve"> grants </w:t>
      </w:r>
      <w:r w:rsidRPr="00E73EB6" w:rsidR="00541A22">
        <w:rPr>
          <w:sz w:val="24"/>
        </w:rPr>
        <w:t>administration system</w:t>
      </w:r>
      <w:r w:rsidRPr="00E73EB6" w:rsidR="007C0AA7">
        <w:rPr>
          <w:sz w:val="24"/>
        </w:rPr>
        <w:t>, the HRSA Electronic Handbooks (EHBs),</w:t>
      </w:r>
      <w:r w:rsidRPr="00E73EB6">
        <w:rPr>
          <w:sz w:val="24"/>
        </w:rPr>
        <w:t xml:space="preserve"> developed by HRSA. Many of the items on the Recipient Report will be pre-populated based on information already existing in the system.</w:t>
      </w:r>
      <w:r w:rsidRPr="00E73EB6">
        <w:rPr>
          <w:rStyle w:val="BodyTextFi"/>
          <w:sz w:val="24"/>
        </w:rPr>
        <w:t xml:space="preserve"> </w:t>
      </w:r>
      <w:r w:rsidRPr="00E73EB6">
        <w:rPr>
          <w:sz w:val="24"/>
        </w:rPr>
        <w:t xml:space="preserve">The client-level data will be uploaded to the system in the required </w:t>
      </w:r>
      <w:r w:rsidRPr="00E73EB6">
        <w:rPr>
          <w:sz w:val="24"/>
          <w:lang w:val="en"/>
        </w:rPr>
        <w:t>Extensible Markup Language (</w:t>
      </w:r>
      <w:r w:rsidRPr="00E73EB6">
        <w:rPr>
          <w:sz w:val="24"/>
        </w:rPr>
        <w:t xml:space="preserve">XML) format. </w:t>
      </w:r>
    </w:p>
    <w:p w:rsidR="000B45BA" w:rsidRPr="00E73EB6" w:rsidP="00507712" w14:paraId="574D744C" w14:textId="14B90B92">
      <w:pPr>
        <w:pStyle w:val="ListParagraph"/>
        <w:spacing w:before="240"/>
        <w:ind w:left="0"/>
        <w:rPr>
          <w:rFonts w:eastAsia="Calibri"/>
          <w:sz w:val="24"/>
        </w:rPr>
      </w:pPr>
      <w:r w:rsidRPr="00E73EB6">
        <w:rPr>
          <w:rStyle w:val="BodyTextFi"/>
          <w:sz w:val="24"/>
        </w:rPr>
        <w:t xml:space="preserve">HRSA </w:t>
      </w:r>
      <w:r w:rsidRPr="00E73EB6" w:rsidR="00341684">
        <w:rPr>
          <w:rStyle w:val="BodyTextFi"/>
          <w:sz w:val="24"/>
        </w:rPr>
        <w:t>has</w:t>
      </w:r>
      <w:r w:rsidRPr="00E73EB6">
        <w:rPr>
          <w:rStyle w:val="BodyTextFi"/>
          <w:sz w:val="24"/>
        </w:rPr>
        <w:t xml:space="preserve"> several options available to grant recipients </w:t>
      </w:r>
      <w:r w:rsidRPr="00E73EB6" w:rsidR="00341684">
        <w:rPr>
          <w:rStyle w:val="BodyTextFi"/>
          <w:sz w:val="24"/>
        </w:rPr>
        <w:t>to gather the necessary data variables for the submission of</w:t>
      </w:r>
      <w:r w:rsidRPr="00E73EB6" w:rsidR="003A51A8">
        <w:rPr>
          <w:rStyle w:val="BodyTextFi"/>
          <w:sz w:val="24"/>
        </w:rPr>
        <w:t xml:space="preserve"> </w:t>
      </w:r>
      <w:r w:rsidRPr="00E73EB6">
        <w:rPr>
          <w:rStyle w:val="BodyTextFi"/>
          <w:sz w:val="24"/>
        </w:rPr>
        <w:t xml:space="preserve">the </w:t>
      </w:r>
      <w:r w:rsidRPr="00E73EB6" w:rsidR="001E445B">
        <w:rPr>
          <w:rStyle w:val="BodyTextFi"/>
          <w:sz w:val="24"/>
        </w:rPr>
        <w:t>ADR</w:t>
      </w:r>
      <w:r w:rsidRPr="00E73EB6">
        <w:rPr>
          <w:rStyle w:val="BodyTextFi"/>
          <w:sz w:val="24"/>
        </w:rPr>
        <w:t>. HRSA has developed an optional data collection application</w:t>
      </w:r>
      <w:r w:rsidRPr="00E73EB6" w:rsidR="00626DFE">
        <w:rPr>
          <w:rStyle w:val="BodyTextFi"/>
          <w:sz w:val="24"/>
        </w:rPr>
        <w:t xml:space="preserve">, </w:t>
      </w:r>
      <w:r w:rsidRPr="00E73EB6" w:rsidR="00626DFE">
        <w:rPr>
          <w:rStyle w:val="BodyTextFi"/>
          <w:sz w:val="24"/>
        </w:rPr>
        <w:t>CAREWare</w:t>
      </w:r>
      <w:r w:rsidRPr="00E73EB6" w:rsidR="00626DFE">
        <w:rPr>
          <w:rStyle w:val="BodyTextFi"/>
          <w:sz w:val="24"/>
        </w:rPr>
        <w:t xml:space="preserve">, </w:t>
      </w:r>
      <w:r w:rsidRPr="00E73EB6" w:rsidR="009168FA">
        <w:rPr>
          <w:sz w:val="24"/>
        </w:rPr>
        <w:t>which exports the client-level data into the required XML format for grant recipients to submit the data to the HRSA EHBs.</w:t>
      </w:r>
      <w:r w:rsidRPr="00E73EB6" w:rsidR="009168FA">
        <w:rPr>
          <w:rStyle w:val="BodyTextFi"/>
          <w:sz w:val="24"/>
        </w:rPr>
        <w:t xml:space="preserve"> </w:t>
      </w:r>
      <w:r w:rsidRPr="00E73EB6" w:rsidR="009C7D9D">
        <w:rPr>
          <w:rStyle w:val="BodyTextFi"/>
          <w:sz w:val="24"/>
        </w:rPr>
        <w:t>CAREWare</w:t>
      </w:r>
      <w:r w:rsidRPr="00E73EB6" w:rsidR="009C7D9D">
        <w:rPr>
          <w:rStyle w:val="BodyTextFi"/>
          <w:sz w:val="24"/>
        </w:rPr>
        <w:t xml:space="preserve"> </w:t>
      </w:r>
      <w:r w:rsidRPr="00E73EB6">
        <w:rPr>
          <w:rStyle w:val="BodyTextFi"/>
          <w:sz w:val="24"/>
        </w:rPr>
        <w:t xml:space="preserve">is available at no cost to all HRSA </w:t>
      </w:r>
      <w:r w:rsidRPr="00E73EB6">
        <w:rPr>
          <w:rStyle w:val="BodyTextFi"/>
          <w:sz w:val="24"/>
        </w:rPr>
        <w:t xml:space="preserve">RWHAP recipients. In addition to </w:t>
      </w:r>
      <w:r w:rsidRPr="00E73EB6">
        <w:rPr>
          <w:rStyle w:val="BodyTextFi"/>
          <w:sz w:val="24"/>
        </w:rPr>
        <w:t>CAREWare</w:t>
      </w:r>
      <w:r w:rsidRPr="00E73EB6">
        <w:rPr>
          <w:rStyle w:val="BodyTextFi"/>
          <w:sz w:val="24"/>
        </w:rPr>
        <w:t xml:space="preserve">, HRSA continues to work with </w:t>
      </w:r>
      <w:r w:rsidRPr="00E73EB6">
        <w:rPr>
          <w:rStyle w:val="BodyTextFi"/>
          <w:sz w:val="24"/>
        </w:rPr>
        <w:t>a number of</w:t>
      </w:r>
      <w:r w:rsidRPr="00E73EB6">
        <w:rPr>
          <w:rStyle w:val="BodyTextFi"/>
          <w:sz w:val="24"/>
        </w:rPr>
        <w:t xml:space="preserve"> vendors of proprietary HIV care database systems to ensure that the systems are compatible with the </w:t>
      </w:r>
      <w:r w:rsidRPr="00E73EB6" w:rsidR="00864747">
        <w:rPr>
          <w:rStyle w:val="BodyTextFi"/>
          <w:sz w:val="24"/>
        </w:rPr>
        <w:t>ADR</w:t>
      </w:r>
      <w:r w:rsidRPr="00E73EB6">
        <w:rPr>
          <w:rStyle w:val="BodyTextFi"/>
          <w:sz w:val="24"/>
        </w:rPr>
        <w:t xml:space="preserve"> data reporting</w:t>
      </w:r>
      <w:r w:rsidRPr="00E73EB6">
        <w:rPr>
          <w:sz w:val="24"/>
        </w:rPr>
        <w:t xml:space="preserve">.  HRSA also provides a free online tool, TRAX, which allows </w:t>
      </w:r>
      <w:r w:rsidRPr="00E73EB6" w:rsidR="003A2F62">
        <w:rPr>
          <w:sz w:val="24"/>
        </w:rPr>
        <w:t xml:space="preserve">grant </w:t>
      </w:r>
      <w:r w:rsidRPr="00E73EB6">
        <w:rPr>
          <w:sz w:val="24"/>
        </w:rPr>
        <w:t>recipients who use other types of data collection systems, such as electronic health records, to convert data to the required submission format</w:t>
      </w:r>
      <w:r w:rsidRPr="00E73EB6" w:rsidR="00864747">
        <w:rPr>
          <w:sz w:val="24"/>
        </w:rPr>
        <w:t>.</w:t>
      </w:r>
    </w:p>
    <w:p w:rsidR="000B13A0" w:rsidRPr="00E73EB6" w:rsidP="003F350E" w14:paraId="0D9A8165" w14:textId="741F4258">
      <w:pPr>
        <w:numPr>
          <w:ilvl w:val="0"/>
          <w:numId w:val="1"/>
        </w:numPr>
        <w:spacing w:before="240"/>
        <w:rPr>
          <w:b/>
          <w:sz w:val="24"/>
        </w:rPr>
      </w:pPr>
      <w:r w:rsidRPr="00E73EB6">
        <w:rPr>
          <w:b/>
          <w:sz w:val="24"/>
          <w:u w:val="single"/>
        </w:rPr>
        <w:t xml:space="preserve">Efforts to </w:t>
      </w:r>
      <w:r w:rsidRPr="00E73EB6" w:rsidR="009E7063">
        <w:rPr>
          <w:b/>
          <w:sz w:val="24"/>
          <w:u w:val="single"/>
        </w:rPr>
        <w:t>Avoid</w:t>
      </w:r>
      <w:r w:rsidRPr="00E73EB6">
        <w:rPr>
          <w:b/>
          <w:sz w:val="24"/>
          <w:u w:val="single"/>
        </w:rPr>
        <w:t xml:space="preserve"> Duplication</w:t>
      </w:r>
      <w:r w:rsidRPr="00E73EB6" w:rsidR="0042392C">
        <w:rPr>
          <w:b/>
          <w:sz w:val="24"/>
          <w:u w:val="single"/>
        </w:rPr>
        <w:t xml:space="preserve"> and Use of Similar Information</w:t>
      </w:r>
    </w:p>
    <w:p w:rsidR="008F3881" w:rsidRPr="00E73EB6" w:rsidP="003F350E" w14:paraId="5333382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03279E" w:rsidRPr="00E73EB6" w:rsidP="003F350E" w14:paraId="60249B53" w14:textId="19FD97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E73EB6">
        <w:rPr>
          <w:rStyle w:val="BodyTextFi"/>
          <w:sz w:val="24"/>
        </w:rPr>
        <w:t>Data of the type required to evaluate or monitor the HRSA RWHAP Part</w:t>
      </w:r>
      <w:r w:rsidRPr="00E73EB6" w:rsidR="000B13A0">
        <w:rPr>
          <w:rStyle w:val="BodyTextFi"/>
          <w:sz w:val="24"/>
        </w:rPr>
        <w:t xml:space="preserve"> B</w:t>
      </w:r>
      <w:r w:rsidRPr="00E73EB6">
        <w:rPr>
          <w:rStyle w:val="BodyTextFi"/>
          <w:sz w:val="24"/>
        </w:rPr>
        <w:t xml:space="preserve"> </w:t>
      </w:r>
      <w:r w:rsidRPr="00E73EB6" w:rsidR="000B13A0">
        <w:rPr>
          <w:rStyle w:val="BodyTextFi"/>
          <w:sz w:val="24"/>
        </w:rPr>
        <w:t>is</w:t>
      </w:r>
      <w:r w:rsidRPr="00E73EB6">
        <w:rPr>
          <w:rStyle w:val="BodyTextFi"/>
          <w:sz w:val="24"/>
        </w:rPr>
        <w:t xml:space="preserve"> not available elsewhere. No known studies of people with HIV or sample studies of people in defined demographic or risk groups provide comprehensive, overall program information specifically about grant recipients and clients of the </w:t>
      </w:r>
      <w:r w:rsidRPr="00E73EB6">
        <w:rPr>
          <w:sz w:val="24"/>
        </w:rPr>
        <w:t>HRSA RWHAP</w:t>
      </w:r>
      <w:r w:rsidRPr="00E73EB6">
        <w:rPr>
          <w:rStyle w:val="BodyTextFi"/>
          <w:sz w:val="24"/>
        </w:rPr>
        <w:t xml:space="preserve">. The ADR is the only comprehensive source of ADAP clients and services information that </w:t>
      </w:r>
      <w:r w:rsidRPr="00E73EB6">
        <w:rPr>
          <w:rStyle w:val="BodyTextFi"/>
          <w:sz w:val="24"/>
        </w:rPr>
        <w:t>adequately address</w:t>
      </w:r>
      <w:r w:rsidRPr="00E73EB6" w:rsidR="00E310E4">
        <w:rPr>
          <w:rStyle w:val="BodyTextFi"/>
          <w:sz w:val="24"/>
        </w:rPr>
        <w:t>es</w:t>
      </w:r>
      <w:r w:rsidRPr="00E73EB6">
        <w:rPr>
          <w:rStyle w:val="BodyTextFi"/>
          <w:sz w:val="24"/>
        </w:rPr>
        <w:t xml:space="preserve"> and meet</w:t>
      </w:r>
      <w:r w:rsidRPr="00E73EB6" w:rsidR="00E310E4">
        <w:rPr>
          <w:rStyle w:val="BodyTextFi"/>
          <w:sz w:val="24"/>
        </w:rPr>
        <w:t>s</w:t>
      </w:r>
      <w:r w:rsidRPr="00E73EB6">
        <w:rPr>
          <w:rStyle w:val="BodyTextFi"/>
          <w:sz w:val="24"/>
        </w:rPr>
        <w:t xml:space="preserve"> HRSA HAB’s data collection needs and objectives.</w:t>
      </w:r>
    </w:p>
    <w:p w:rsidR="008C2269" w:rsidRPr="00E73EB6" w:rsidP="00C0107A" w14:paraId="4D9963F6" w14:textId="2DE81CBE">
      <w:pPr>
        <w:numPr>
          <w:ilvl w:val="0"/>
          <w:numId w:val="1"/>
        </w:numPr>
        <w:spacing w:before="240"/>
        <w:rPr>
          <w:color w:val="000000"/>
          <w:sz w:val="24"/>
        </w:rPr>
      </w:pPr>
      <w:r w:rsidRPr="00E73EB6">
        <w:rPr>
          <w:b/>
          <w:sz w:val="24"/>
          <w:u w:val="single"/>
        </w:rPr>
        <w:t xml:space="preserve">Impact </w:t>
      </w:r>
      <w:r w:rsidRPr="00E73EB6" w:rsidR="009E7063">
        <w:rPr>
          <w:b/>
          <w:sz w:val="24"/>
          <w:u w:val="single"/>
        </w:rPr>
        <w:t>of</w:t>
      </w:r>
      <w:r w:rsidRPr="00E73EB6">
        <w:rPr>
          <w:b/>
          <w:sz w:val="24"/>
          <w:u w:val="single"/>
        </w:rPr>
        <w:t xml:space="preserve"> Small Entities</w:t>
      </w:r>
      <w:r w:rsidRPr="00E73EB6" w:rsidR="000B13A0">
        <w:rPr>
          <w:b/>
          <w:bCs/>
          <w:color w:val="000000"/>
          <w:sz w:val="24"/>
          <w:u w:val="single"/>
        </w:rPr>
        <w:t xml:space="preserve"> or Other Small Entities</w:t>
      </w:r>
      <w:r w:rsidRPr="00E73EB6">
        <w:rPr>
          <w:color w:val="000000"/>
          <w:sz w:val="24"/>
        </w:rPr>
        <w:br/>
      </w:r>
    </w:p>
    <w:p w:rsidR="004F2035" w:rsidRPr="00E73EB6" w:rsidP="004F2035" w14:paraId="62CC8A1E" w14:textId="01F3FE94">
      <w:pPr>
        <w:rPr>
          <w:sz w:val="24"/>
        </w:rPr>
      </w:pPr>
      <w:r w:rsidRPr="00E73EB6">
        <w:rPr>
          <w:sz w:val="24"/>
        </w:rPr>
        <w:t>This information collection includes small entities; however, this activity does not impose a significant impact on such entities. The information collection system will be designed so that small organizations that provide fewer HRSA RWHAP services will skip more of the requested information than larger organizations that provide more services</w:t>
      </w:r>
      <w:r w:rsidRPr="00E73EB6" w:rsidR="00BC6596">
        <w:rPr>
          <w:color w:val="000000"/>
          <w:sz w:val="24"/>
        </w:rPr>
        <w:t>.</w:t>
      </w:r>
    </w:p>
    <w:p w:rsidR="004F2035" w:rsidRPr="00E73EB6" w:rsidP="004F2035" w14:paraId="11A3CC6F" w14:textId="77777777">
      <w:pPr>
        <w:rPr>
          <w:sz w:val="24"/>
        </w:rPr>
      </w:pPr>
    </w:p>
    <w:p w:rsidR="008F3881" w:rsidRPr="00E73EB6" w:rsidP="000B13A0" w14:paraId="0E9745C4" w14:textId="77777777">
      <w:pPr>
        <w:pStyle w:val="ListParagraph"/>
        <w:numPr>
          <w:ilvl w:val="0"/>
          <w:numId w:val="1"/>
        </w:numPr>
        <w:rPr>
          <w:b/>
          <w:sz w:val="24"/>
          <w:u w:val="single"/>
        </w:rPr>
      </w:pPr>
      <w:r w:rsidRPr="00E73EB6">
        <w:rPr>
          <w:b/>
          <w:sz w:val="24"/>
          <w:u w:val="single"/>
        </w:rPr>
        <w:t>Consequences of Collecting the Information Less Frequently</w:t>
      </w:r>
    </w:p>
    <w:p w:rsidR="008F3881" w:rsidRPr="00E73EB6" w:rsidP="0046221A" w14:paraId="1B5F9670" w14:textId="77777777">
      <w:pPr>
        <w:rPr>
          <w:bCs/>
          <w:sz w:val="24"/>
          <w:u w:val="single"/>
        </w:rPr>
      </w:pPr>
    </w:p>
    <w:p w:rsidR="008F6ABC" w:rsidRPr="00E73EB6" w:rsidP="0046221A" w14:paraId="0D86FBF6" w14:textId="50A038B2">
      <w:pPr>
        <w:rPr>
          <w:b/>
          <w:sz w:val="24"/>
          <w:u w:val="single"/>
        </w:rPr>
      </w:pPr>
      <w:r w:rsidRPr="00E73EB6">
        <w:rPr>
          <w:sz w:val="24"/>
        </w:rPr>
        <w:t xml:space="preserve">The ADR </w:t>
      </w:r>
      <w:r w:rsidRPr="00E73EB6" w:rsidR="003A301B">
        <w:rPr>
          <w:sz w:val="24"/>
        </w:rPr>
        <w:t xml:space="preserve">is </w:t>
      </w:r>
      <w:r w:rsidRPr="00E73EB6">
        <w:rPr>
          <w:sz w:val="24"/>
        </w:rPr>
        <w:t>submitted annually. If the information w</w:t>
      </w:r>
      <w:r w:rsidRPr="00E73EB6" w:rsidR="003A301B">
        <w:rPr>
          <w:sz w:val="24"/>
        </w:rPr>
        <w:t>ere</w:t>
      </w:r>
      <w:r w:rsidRPr="00E73EB6">
        <w:rPr>
          <w:sz w:val="24"/>
        </w:rPr>
        <w:t xml:space="preserve"> reported less frequently, HRSA would not be able to carry out its responsibility to oversee compliance with the intent of Congressional appropriations in a timely manner. Annual reporting of the characteristics of ADAP clients is necessary to understand who the program is serving as well as the extent that the ADAP program is addressing the </w:t>
      </w:r>
      <w:r w:rsidRPr="00E73EB6" w:rsidR="00287B4E">
        <w:rPr>
          <w:sz w:val="24"/>
        </w:rPr>
        <w:t xml:space="preserve">National HIV/AIDS Strategy </w:t>
      </w:r>
      <w:r w:rsidRPr="00E73EB6">
        <w:rPr>
          <w:sz w:val="24"/>
        </w:rPr>
        <w:t>priorities, including addressing disparities among different populations. If the information w</w:t>
      </w:r>
      <w:r w:rsidRPr="00E73EB6" w:rsidR="003A301B">
        <w:rPr>
          <w:sz w:val="24"/>
        </w:rPr>
        <w:t>ere</w:t>
      </w:r>
      <w:r w:rsidRPr="00E73EB6">
        <w:rPr>
          <w:sz w:val="24"/>
        </w:rPr>
        <w:t xml:space="preserve"> not collected at all, HRSA would not know, and would not be able to report:</w:t>
      </w:r>
    </w:p>
    <w:p w:rsidR="00A030F3" w:rsidRPr="00E73EB6" w:rsidP="00A030F3" w14:paraId="270EA0BE" w14:textId="77777777">
      <w:pPr>
        <w:pStyle w:val="ListParagraph"/>
        <w:widowControl/>
        <w:autoSpaceDE/>
        <w:autoSpaceDN/>
        <w:adjustRightInd/>
        <w:spacing w:before="120"/>
        <w:ind w:left="0"/>
        <w:rPr>
          <w:sz w:val="24"/>
        </w:rPr>
      </w:pPr>
    </w:p>
    <w:p w:rsidR="00A21648" w:rsidP="00A21648" w14:paraId="3D1421FA"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720" w:hanging="270"/>
        <w:rPr>
          <w:sz w:val="24"/>
        </w:rPr>
      </w:pPr>
      <w:r w:rsidRPr="00A21648">
        <w:rPr>
          <w:sz w:val="24"/>
        </w:rPr>
        <w:t xml:space="preserve">Whether program funds are being spent for their intended </w:t>
      </w:r>
      <w:r w:rsidRPr="00A21648">
        <w:rPr>
          <w:sz w:val="24"/>
        </w:rPr>
        <w:t>purposes;</w:t>
      </w:r>
    </w:p>
    <w:p w:rsidR="00A030F3" w:rsidRPr="00A21648" w:rsidP="00A21648" w14:paraId="167AAE46" w14:textId="661E8D00">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720" w:hanging="270"/>
        <w:rPr>
          <w:sz w:val="24"/>
        </w:rPr>
      </w:pPr>
      <w:r w:rsidRPr="00A21648">
        <w:rPr>
          <w:sz w:val="24"/>
        </w:rPr>
        <w:t xml:space="preserve">How many and what </w:t>
      </w:r>
      <w:r w:rsidRPr="00A21648" w:rsidR="000C6B62">
        <w:rPr>
          <w:sz w:val="24"/>
        </w:rPr>
        <w:t xml:space="preserve">demographic characteristics </w:t>
      </w:r>
      <w:r w:rsidRPr="00A21648">
        <w:rPr>
          <w:sz w:val="24"/>
        </w:rPr>
        <w:t xml:space="preserve">of individuals are receiving services, and how different services are distributed across various </w:t>
      </w:r>
      <w:r w:rsidRPr="00A21648">
        <w:rPr>
          <w:sz w:val="24"/>
        </w:rPr>
        <w:t>groups;</w:t>
      </w:r>
    </w:p>
    <w:p w:rsidR="00A030F3" w:rsidRPr="00E73EB6" w:rsidP="00A21648" w14:paraId="7B7C67A7" w14:textId="77777777">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720" w:hanging="288"/>
        <w:rPr>
          <w:sz w:val="24"/>
        </w:rPr>
      </w:pPr>
      <w:r w:rsidRPr="00E73EB6">
        <w:rPr>
          <w:sz w:val="24"/>
        </w:rPr>
        <w:t>How the distribution of program funds, the distribution of services, and the characteristics of individual beneficiaries are changing from one year to the next; and</w:t>
      </w:r>
    </w:p>
    <w:p w:rsidR="00A030F3" w:rsidP="00A21648" w14:paraId="6EA162A8" w14:textId="0C4422BB">
      <w:pPr>
        <w:widowControl/>
        <w:numPr>
          <w:ilvl w:val="0"/>
          <w:numId w:val="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720" w:hanging="288"/>
        <w:rPr>
          <w:sz w:val="24"/>
        </w:rPr>
      </w:pPr>
      <w:r w:rsidRPr="00E73EB6">
        <w:rPr>
          <w:sz w:val="24"/>
        </w:rPr>
        <w:t xml:space="preserve">To what extent the ADAP program is reducing HIV disparities. </w:t>
      </w:r>
    </w:p>
    <w:p w:rsidR="00A030F3" w:rsidRPr="00E73EB6" w:rsidP="00A030F3" w14:paraId="624B9E6D" w14:textId="77777777">
      <w:pPr>
        <w:pStyle w:val="ListParagraph"/>
        <w:widowControl/>
        <w:autoSpaceDE/>
        <w:autoSpaceDN/>
        <w:adjustRightInd/>
        <w:spacing w:before="120"/>
        <w:ind w:left="0"/>
        <w:rPr>
          <w:sz w:val="24"/>
        </w:rPr>
      </w:pPr>
    </w:p>
    <w:p w:rsidR="008F3881" w:rsidRPr="00E73EB6" w:rsidP="000B13A0" w14:paraId="00682453" w14:textId="77777777">
      <w:pPr>
        <w:pStyle w:val="ListParagraph"/>
        <w:numPr>
          <w:ilvl w:val="0"/>
          <w:numId w:val="1"/>
        </w:numPr>
        <w:rPr>
          <w:bCs/>
          <w:sz w:val="24"/>
          <w:u w:val="single"/>
        </w:rPr>
      </w:pPr>
      <w:r w:rsidRPr="00E73EB6">
        <w:rPr>
          <w:b/>
          <w:sz w:val="24"/>
          <w:u w:val="single"/>
        </w:rPr>
        <w:t>Special Circumstances Relating to the Guidelines of 5 CFR 1320.5</w:t>
      </w:r>
    </w:p>
    <w:p w:rsidR="008F3881" w:rsidRPr="00E73EB6" w:rsidP="0046221A" w14:paraId="11CF343C" w14:textId="77777777">
      <w:pPr>
        <w:rPr>
          <w:bCs/>
          <w:sz w:val="24"/>
          <w:u w:val="single"/>
        </w:rPr>
      </w:pPr>
    </w:p>
    <w:p w:rsidR="009B3794" w:rsidRPr="00E73EB6" w:rsidP="0046221A" w14:paraId="63992A79" w14:textId="156943E0">
      <w:pPr>
        <w:rPr>
          <w:bCs/>
          <w:sz w:val="24"/>
          <w:u w:val="single"/>
        </w:rPr>
      </w:pPr>
      <w:r w:rsidRPr="00E73EB6">
        <w:rPr>
          <w:rStyle w:val="BodyTextFi"/>
          <w:sz w:val="24"/>
        </w:rPr>
        <w:t>The data will be collected in a manner fully consistent with the guidelines in 5 CFR 1320.5.</w:t>
      </w:r>
    </w:p>
    <w:p w:rsidR="008E5E75" w:rsidRPr="00E73EB6" w:rsidP="00C0107A" w14:paraId="3B432C15" w14:textId="2DABE699">
      <w:pPr>
        <w:numPr>
          <w:ilvl w:val="0"/>
          <w:numId w:val="1"/>
        </w:numPr>
        <w:tabs>
          <w:tab w:val="left" w:pos="360"/>
        </w:tabs>
        <w:spacing w:before="240"/>
        <w:rPr>
          <w:b/>
          <w:sz w:val="24"/>
        </w:rPr>
      </w:pPr>
      <w:r w:rsidRPr="00E73EB6">
        <w:rPr>
          <w:b/>
          <w:sz w:val="24"/>
          <w:u w:val="single"/>
        </w:rPr>
        <w:t>Comments in Response to the Federal Register Notice/Outside Consultation</w:t>
      </w:r>
    </w:p>
    <w:p w:rsidR="008E5E75" w:rsidRPr="00E73EB6" w:rsidP="008E5E75" w14:paraId="6819BED4" w14:textId="00CFB443">
      <w:pPr>
        <w:tabs>
          <w:tab w:val="left" w:pos="360"/>
        </w:tabs>
        <w:spacing w:before="240"/>
        <w:rPr>
          <w:b/>
          <w:bCs/>
          <w:sz w:val="24"/>
        </w:rPr>
      </w:pPr>
      <w:r w:rsidRPr="00E73EB6">
        <w:rPr>
          <w:b/>
          <w:bCs/>
          <w:sz w:val="24"/>
        </w:rPr>
        <w:t>Section 8A:</w:t>
      </w:r>
    </w:p>
    <w:p w:rsidR="000D19AE" w:rsidRPr="00E73EB6" w:rsidP="00942532" w14:paraId="2A9F449C" w14:textId="1EC38848">
      <w:pPr>
        <w:spacing w:before="240"/>
        <w:rPr>
          <w:b/>
          <w:sz w:val="24"/>
        </w:rPr>
      </w:pPr>
      <w:r w:rsidRPr="00E73EB6">
        <w:rPr>
          <w:sz w:val="24"/>
        </w:rPr>
        <w:t xml:space="preserve">A 60-day Federal Register Notice was published in the </w:t>
      </w:r>
      <w:r w:rsidRPr="00E73EB6">
        <w:rPr>
          <w:i/>
          <w:iCs/>
          <w:sz w:val="24"/>
        </w:rPr>
        <w:t>Federal Register</w:t>
      </w:r>
      <w:r w:rsidRPr="00E73EB6">
        <w:rPr>
          <w:sz w:val="24"/>
        </w:rPr>
        <w:t xml:space="preserve"> on </w:t>
      </w:r>
      <w:r w:rsidRPr="00E73EB6" w:rsidR="00094FE1">
        <w:rPr>
          <w:sz w:val="24"/>
        </w:rPr>
        <w:t>November 9</w:t>
      </w:r>
      <w:r w:rsidRPr="00E73EB6">
        <w:rPr>
          <w:sz w:val="24"/>
        </w:rPr>
        <w:t>, 20</w:t>
      </w:r>
      <w:r w:rsidRPr="00E73EB6" w:rsidR="00094FE1">
        <w:rPr>
          <w:sz w:val="24"/>
        </w:rPr>
        <w:t>22</w:t>
      </w:r>
      <w:r w:rsidRPr="00E73EB6">
        <w:rPr>
          <w:sz w:val="24"/>
        </w:rPr>
        <w:t xml:space="preserve"> (Vol. 8</w:t>
      </w:r>
      <w:r w:rsidRPr="00E73EB6" w:rsidR="0010494F">
        <w:rPr>
          <w:sz w:val="24"/>
        </w:rPr>
        <w:t>7</w:t>
      </w:r>
      <w:r w:rsidRPr="00E73EB6">
        <w:rPr>
          <w:sz w:val="24"/>
        </w:rPr>
        <w:t xml:space="preserve">, No. </w:t>
      </w:r>
      <w:r w:rsidRPr="00E73EB6" w:rsidR="0010494F">
        <w:rPr>
          <w:sz w:val="24"/>
        </w:rPr>
        <w:t>216</w:t>
      </w:r>
      <w:r w:rsidRPr="00E73EB6">
        <w:rPr>
          <w:sz w:val="24"/>
        </w:rPr>
        <w:t>, pp. 6</w:t>
      </w:r>
      <w:r w:rsidRPr="00E73EB6" w:rsidR="0010494F">
        <w:rPr>
          <w:sz w:val="24"/>
        </w:rPr>
        <w:t>7702</w:t>
      </w:r>
      <w:r w:rsidRPr="00E73EB6">
        <w:rPr>
          <w:sz w:val="24"/>
        </w:rPr>
        <w:t>–03</w:t>
      </w:r>
      <w:r w:rsidRPr="00E73EB6" w:rsidR="009E2540">
        <w:rPr>
          <w:sz w:val="24"/>
        </w:rPr>
        <w:t xml:space="preserve">).   </w:t>
      </w:r>
      <w:r w:rsidRPr="00517AFB" w:rsidR="0044792D">
        <w:rPr>
          <w:rStyle w:val="BodyTextFi"/>
          <w:sz w:val="24"/>
        </w:rPr>
        <w:t>No comments were received</w:t>
      </w:r>
      <w:r w:rsidRPr="00517AFB" w:rsidR="00B7575B">
        <w:rPr>
          <w:sz w:val="24"/>
        </w:rPr>
        <w:t>.</w:t>
      </w:r>
      <w:r w:rsidR="00CF41CA">
        <w:rPr>
          <w:sz w:val="24"/>
        </w:rPr>
        <w:t xml:space="preserve">  </w:t>
      </w:r>
      <w:r w:rsidRPr="003C6448" w:rsidR="00CF41CA">
        <w:rPr>
          <w:sz w:val="24"/>
        </w:rPr>
        <w:t xml:space="preserve">A 30-day Federal Register Notice was published in the </w:t>
      </w:r>
      <w:r w:rsidRPr="003C6448" w:rsidR="00CF41CA">
        <w:rPr>
          <w:i/>
          <w:iCs/>
          <w:sz w:val="24"/>
        </w:rPr>
        <w:t>Federal Register</w:t>
      </w:r>
      <w:r w:rsidRPr="003C6448" w:rsidR="00CF41CA">
        <w:rPr>
          <w:sz w:val="24"/>
        </w:rPr>
        <w:t xml:space="preserve"> on </w:t>
      </w:r>
      <w:r w:rsidRPr="003C6448" w:rsidR="003C6448">
        <w:rPr>
          <w:sz w:val="24"/>
        </w:rPr>
        <w:t>January 31, 2023</w:t>
      </w:r>
      <w:r w:rsidRPr="003C6448" w:rsidR="00CF41CA">
        <w:rPr>
          <w:sz w:val="24"/>
        </w:rPr>
        <w:t xml:space="preserve"> (Vol. 88, No. </w:t>
      </w:r>
      <w:r w:rsidRPr="003C6448" w:rsidR="003C6448">
        <w:rPr>
          <w:sz w:val="24"/>
        </w:rPr>
        <w:t>20</w:t>
      </w:r>
      <w:r w:rsidRPr="003C6448" w:rsidR="00CF41CA">
        <w:rPr>
          <w:sz w:val="24"/>
        </w:rPr>
        <w:t xml:space="preserve">, pp. </w:t>
      </w:r>
      <w:r w:rsidRPr="003C6448" w:rsidR="003C6448">
        <w:rPr>
          <w:sz w:val="24"/>
        </w:rPr>
        <w:t>6286-6287</w:t>
      </w:r>
      <w:r w:rsidRPr="003C6448" w:rsidR="00CF41CA">
        <w:rPr>
          <w:sz w:val="24"/>
        </w:rPr>
        <w:t>).</w:t>
      </w:r>
      <w:r w:rsidRPr="00E73EB6" w:rsidR="00CF41CA">
        <w:rPr>
          <w:sz w:val="24"/>
        </w:rPr>
        <w:t xml:space="preserve">  </w:t>
      </w:r>
    </w:p>
    <w:p w:rsidR="00942532" w:rsidRPr="00E73EB6" w:rsidP="00942532" w14:paraId="6D1A751F" w14:textId="4F8E8C0A">
      <w:pPr>
        <w:spacing w:before="240"/>
        <w:rPr>
          <w:b/>
          <w:sz w:val="24"/>
        </w:rPr>
      </w:pPr>
      <w:r w:rsidRPr="00E73EB6">
        <w:rPr>
          <w:b/>
          <w:sz w:val="24"/>
        </w:rPr>
        <w:t>Section 8B:</w:t>
      </w:r>
    </w:p>
    <w:p w:rsidR="00101CF2" w:rsidRPr="00E73EB6" w:rsidP="00101CF2" w14:paraId="1A0665FF" w14:textId="4E9B5795">
      <w:pPr>
        <w:tabs>
          <w:tab w:val="left" w:pos="360"/>
        </w:tabs>
        <w:spacing w:before="240"/>
        <w:rPr>
          <w:bCs/>
          <w:sz w:val="24"/>
        </w:rPr>
      </w:pPr>
      <w:r w:rsidRPr="00E73EB6">
        <w:rPr>
          <w:bCs/>
          <w:sz w:val="24"/>
        </w:rPr>
        <w:t xml:space="preserve">In </w:t>
      </w:r>
      <w:r w:rsidRPr="00E73EB6" w:rsidR="00721CDA">
        <w:rPr>
          <w:bCs/>
          <w:sz w:val="24"/>
        </w:rPr>
        <w:t>October</w:t>
      </w:r>
      <w:r w:rsidRPr="00E73EB6">
        <w:rPr>
          <w:bCs/>
          <w:sz w:val="24"/>
        </w:rPr>
        <w:t xml:space="preserve"> 20</w:t>
      </w:r>
      <w:r w:rsidRPr="00E73EB6" w:rsidR="00721CDA">
        <w:rPr>
          <w:bCs/>
          <w:sz w:val="24"/>
        </w:rPr>
        <w:t>22</w:t>
      </w:r>
      <w:r w:rsidRPr="00E73EB6">
        <w:rPr>
          <w:bCs/>
          <w:sz w:val="24"/>
        </w:rPr>
        <w:t xml:space="preserve">, </w:t>
      </w:r>
      <w:r w:rsidRPr="00E73EB6" w:rsidR="00EC7636">
        <w:rPr>
          <w:bCs/>
          <w:sz w:val="24"/>
        </w:rPr>
        <w:t>seven ADAP</w:t>
      </w:r>
      <w:r w:rsidRPr="00E73EB6">
        <w:rPr>
          <w:bCs/>
          <w:sz w:val="24"/>
        </w:rPr>
        <w:t xml:space="preserve"> grant recipients were consulted to obtain their views on the revisions to the ADR data collection. </w:t>
      </w:r>
      <w:r w:rsidRPr="00E73EB6" w:rsidR="00B704EE">
        <w:rPr>
          <w:bCs/>
          <w:sz w:val="24"/>
        </w:rPr>
        <w:t xml:space="preserve"> </w:t>
      </w:r>
      <w:r w:rsidRPr="00E73EB6" w:rsidR="00011980">
        <w:rPr>
          <w:bCs/>
          <w:sz w:val="24"/>
        </w:rPr>
        <w:t xml:space="preserve">The seven </w:t>
      </w:r>
      <w:r w:rsidRPr="00E73EB6">
        <w:rPr>
          <w:bCs/>
          <w:sz w:val="24"/>
        </w:rPr>
        <w:t>recipients stated that the changes would not result in a burden increase</w:t>
      </w:r>
      <w:r w:rsidRPr="00E73EB6" w:rsidR="003E320A">
        <w:rPr>
          <w:bCs/>
          <w:sz w:val="24"/>
        </w:rPr>
        <w:t xml:space="preserve"> or they were unsure of any anticipated challenges.  </w:t>
      </w:r>
      <w:r w:rsidRPr="00E73EB6">
        <w:rPr>
          <w:bCs/>
          <w:sz w:val="24"/>
        </w:rPr>
        <w:t xml:space="preserve"> </w:t>
      </w:r>
    </w:p>
    <w:p w:rsidR="008C2269" w:rsidRPr="00E73EB6" w:rsidP="00C0107A" w14:paraId="22EE48EA" w14:textId="6CBC9769">
      <w:pPr>
        <w:pStyle w:val="ListParagraph"/>
        <w:numPr>
          <w:ilvl w:val="0"/>
          <w:numId w:val="1"/>
        </w:numPr>
        <w:spacing w:before="120"/>
        <w:rPr>
          <w:b/>
          <w:bCs/>
          <w:sz w:val="24"/>
        </w:rPr>
      </w:pPr>
      <w:r w:rsidRPr="00E73EB6">
        <w:rPr>
          <w:b/>
          <w:bCs/>
          <w:sz w:val="24"/>
          <w:u w:val="single"/>
        </w:rPr>
        <w:t>Explanation of any Payment/Gift to Respondents</w:t>
      </w:r>
      <w:r w:rsidRPr="00E73EB6">
        <w:rPr>
          <w:b/>
          <w:bCs/>
          <w:sz w:val="24"/>
        </w:rPr>
        <w:br/>
      </w:r>
    </w:p>
    <w:p w:rsidR="009D0491" w:rsidRPr="00E73EB6" w:rsidP="009D0491" w14:paraId="2E97B0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E73EB6">
        <w:rPr>
          <w:rStyle w:val="BodyTextFi"/>
          <w:sz w:val="24"/>
        </w:rPr>
        <w:t>The proposed collection of information does not involve any remuneration to respondents.</w:t>
      </w:r>
    </w:p>
    <w:p w:rsidR="00B50A61" w:rsidRPr="00E73EB6" w:rsidP="00C0107A" w14:paraId="2FDE59B5" w14:textId="66ECEC18">
      <w:pPr>
        <w:numPr>
          <w:ilvl w:val="0"/>
          <w:numId w:val="1"/>
        </w:numPr>
        <w:spacing w:before="240"/>
        <w:rPr>
          <w:b/>
          <w:sz w:val="24"/>
        </w:rPr>
      </w:pPr>
      <w:r w:rsidRPr="00E73EB6">
        <w:rPr>
          <w:b/>
          <w:sz w:val="24"/>
          <w:u w:val="single"/>
        </w:rPr>
        <w:t>Assurance of Confidentiality</w:t>
      </w:r>
      <w:r w:rsidRPr="00E73EB6" w:rsidR="009D0491">
        <w:rPr>
          <w:b/>
          <w:sz w:val="24"/>
          <w:u w:val="single"/>
        </w:rPr>
        <w:t xml:space="preserve"> Provided to Respondents</w:t>
      </w:r>
    </w:p>
    <w:p w:rsidR="00090374" w:rsidRPr="00E73EB6" w:rsidP="009D0491" w14:paraId="0CAE45F8" w14:textId="6D37A287">
      <w:pPr>
        <w:spacing w:before="240"/>
        <w:rPr>
          <w:b/>
          <w:sz w:val="24"/>
        </w:rPr>
      </w:pPr>
      <w:r w:rsidRPr="00E73EB6">
        <w:rPr>
          <w:sz w:val="24"/>
        </w:rPr>
        <w:t xml:space="preserve">The </w:t>
      </w:r>
      <w:r w:rsidRPr="00E73EB6" w:rsidR="009D0491">
        <w:rPr>
          <w:iCs/>
          <w:sz w:val="24"/>
        </w:rPr>
        <w:t>ADR</w:t>
      </w:r>
      <w:r w:rsidRPr="00E73EB6">
        <w:rPr>
          <w:iCs/>
          <w:sz w:val="24"/>
        </w:rPr>
        <w:t xml:space="preserve"> </w:t>
      </w:r>
      <w:r w:rsidRPr="00E73EB6">
        <w:rPr>
          <w:sz w:val="24"/>
        </w:rPr>
        <w:t xml:space="preserve">does not require any information that could identify individual clients. </w:t>
      </w:r>
      <w:r w:rsidRPr="00E73EB6" w:rsidR="00341684">
        <w:rPr>
          <w:sz w:val="24"/>
        </w:rPr>
        <w:t>Individual</w:t>
      </w:r>
      <w:r w:rsidR="003B5B6B">
        <w:rPr>
          <w:sz w:val="24"/>
        </w:rPr>
        <w:t>-level</w:t>
      </w:r>
      <w:r w:rsidRPr="00E73EB6" w:rsidR="00341684">
        <w:rPr>
          <w:sz w:val="24"/>
        </w:rPr>
        <w:t xml:space="preserve"> </w:t>
      </w:r>
      <w:r w:rsidRPr="00E73EB6">
        <w:rPr>
          <w:sz w:val="24"/>
        </w:rPr>
        <w:t xml:space="preserve">data on </w:t>
      </w:r>
      <w:r w:rsidRPr="00E73EB6" w:rsidR="00444B57">
        <w:rPr>
          <w:sz w:val="24"/>
        </w:rPr>
        <w:t xml:space="preserve">clients who received </w:t>
      </w:r>
      <w:r w:rsidRPr="00E73EB6">
        <w:rPr>
          <w:sz w:val="24"/>
        </w:rPr>
        <w:t xml:space="preserve">services </w:t>
      </w:r>
      <w:r w:rsidRPr="00E73EB6" w:rsidR="00E310E4">
        <w:rPr>
          <w:sz w:val="24"/>
        </w:rPr>
        <w:t>are</w:t>
      </w:r>
      <w:r w:rsidRPr="00E73EB6">
        <w:rPr>
          <w:sz w:val="24"/>
        </w:rPr>
        <w:t xml:space="preserve"> collected</w:t>
      </w:r>
      <w:r w:rsidRPr="00E73EB6" w:rsidR="00444B57">
        <w:rPr>
          <w:sz w:val="24"/>
        </w:rPr>
        <w:t>,</w:t>
      </w:r>
      <w:r w:rsidRPr="00E73EB6">
        <w:rPr>
          <w:sz w:val="24"/>
        </w:rPr>
        <w:t xml:space="preserve"> but </w:t>
      </w:r>
      <w:r w:rsidRPr="00E73EB6" w:rsidR="00444B57">
        <w:rPr>
          <w:sz w:val="24"/>
        </w:rPr>
        <w:t xml:space="preserve">client </w:t>
      </w:r>
      <w:r w:rsidRPr="00E73EB6">
        <w:rPr>
          <w:sz w:val="24"/>
        </w:rPr>
        <w:t xml:space="preserve">names </w:t>
      </w:r>
      <w:r w:rsidRPr="00E73EB6" w:rsidR="00444B57">
        <w:rPr>
          <w:sz w:val="24"/>
        </w:rPr>
        <w:t xml:space="preserve">or </w:t>
      </w:r>
      <w:r w:rsidRPr="00E73EB6" w:rsidR="00112CCF">
        <w:rPr>
          <w:sz w:val="24"/>
        </w:rPr>
        <w:t xml:space="preserve">other </w:t>
      </w:r>
      <w:r w:rsidRPr="00E73EB6">
        <w:rPr>
          <w:sz w:val="24"/>
        </w:rPr>
        <w:t>personal</w:t>
      </w:r>
      <w:r w:rsidRPr="00E73EB6" w:rsidR="00444B57">
        <w:rPr>
          <w:sz w:val="24"/>
        </w:rPr>
        <w:t>ly</w:t>
      </w:r>
      <w:r w:rsidRPr="00E73EB6">
        <w:rPr>
          <w:sz w:val="24"/>
        </w:rPr>
        <w:t xml:space="preserve"> identifi</w:t>
      </w:r>
      <w:r w:rsidRPr="00E73EB6" w:rsidR="00112CCF">
        <w:rPr>
          <w:sz w:val="24"/>
        </w:rPr>
        <w:t>able</w:t>
      </w:r>
      <w:r w:rsidRPr="00E73EB6">
        <w:rPr>
          <w:sz w:val="24"/>
        </w:rPr>
        <w:t xml:space="preserve"> </w:t>
      </w:r>
      <w:r w:rsidRPr="00E73EB6" w:rsidR="00112CCF">
        <w:rPr>
          <w:sz w:val="24"/>
        </w:rPr>
        <w:t xml:space="preserve">information </w:t>
      </w:r>
      <w:r w:rsidRPr="00E73EB6" w:rsidR="00E310E4">
        <w:rPr>
          <w:sz w:val="24"/>
        </w:rPr>
        <w:t>are</w:t>
      </w:r>
      <w:r w:rsidRPr="00E73EB6" w:rsidR="000D19AE">
        <w:rPr>
          <w:sz w:val="24"/>
        </w:rPr>
        <w:t xml:space="preserve"> </w:t>
      </w:r>
      <w:r w:rsidRPr="00E73EB6" w:rsidR="00112CCF">
        <w:rPr>
          <w:sz w:val="24"/>
        </w:rPr>
        <w:t>not</w:t>
      </w:r>
      <w:r w:rsidRPr="00E73EB6" w:rsidR="000D19AE">
        <w:rPr>
          <w:sz w:val="24"/>
        </w:rPr>
        <w:t xml:space="preserve"> </w:t>
      </w:r>
      <w:r w:rsidRPr="00E73EB6">
        <w:rPr>
          <w:sz w:val="24"/>
        </w:rPr>
        <w:t xml:space="preserve">collected. </w:t>
      </w:r>
    </w:p>
    <w:p w:rsidR="00B50A61" w:rsidRPr="00E73EB6" w:rsidP="00C0107A" w14:paraId="7F2330EF" w14:textId="3FF1780F">
      <w:pPr>
        <w:numPr>
          <w:ilvl w:val="0"/>
          <w:numId w:val="1"/>
        </w:numPr>
        <w:spacing w:before="240"/>
        <w:rPr>
          <w:b/>
          <w:sz w:val="24"/>
        </w:rPr>
      </w:pPr>
      <w:r w:rsidRPr="00E73EB6">
        <w:rPr>
          <w:b/>
          <w:sz w:val="24"/>
          <w:u w:val="single"/>
        </w:rPr>
        <w:t xml:space="preserve">Justification for </w:t>
      </w:r>
      <w:r w:rsidRPr="00E73EB6" w:rsidR="009B3794">
        <w:rPr>
          <w:b/>
          <w:sz w:val="24"/>
          <w:u w:val="single"/>
        </w:rPr>
        <w:t xml:space="preserve">Sensitive </w:t>
      </w:r>
      <w:r w:rsidRPr="00E73EB6" w:rsidR="009E7063">
        <w:rPr>
          <w:b/>
          <w:sz w:val="24"/>
          <w:u w:val="single"/>
        </w:rPr>
        <w:t>Nature</w:t>
      </w:r>
    </w:p>
    <w:p w:rsidR="009B3794" w:rsidRPr="00E73EB6" w:rsidP="00B50A61" w14:paraId="04193874" w14:textId="0A6308E3">
      <w:pPr>
        <w:spacing w:before="240"/>
        <w:rPr>
          <w:sz w:val="24"/>
        </w:rPr>
      </w:pPr>
      <w:r w:rsidRPr="00E73EB6">
        <w:rPr>
          <w:rStyle w:val="BodyTextFi"/>
          <w:sz w:val="24"/>
        </w:rPr>
        <w:t xml:space="preserve">The U.S. Congress mandated that client-level data be collected under the </w:t>
      </w:r>
      <w:r w:rsidR="00AD3527">
        <w:rPr>
          <w:rStyle w:val="BodyTextFi"/>
          <w:sz w:val="24"/>
        </w:rPr>
        <w:t>RWHAP</w:t>
      </w:r>
      <w:r w:rsidRPr="00E73EB6">
        <w:rPr>
          <w:rStyle w:val="BodyTextFi"/>
          <w:sz w:val="24"/>
        </w:rPr>
        <w:t xml:space="preserve">, including demographic information on clients served, services provided, and their clinical data. These data are needed to show the distribution of </w:t>
      </w:r>
      <w:r w:rsidRPr="00E73EB6" w:rsidR="00FF1737">
        <w:rPr>
          <w:rStyle w:val="BodyTextFi"/>
          <w:sz w:val="24"/>
        </w:rPr>
        <w:t xml:space="preserve">ADAP </w:t>
      </w:r>
      <w:r w:rsidRPr="00E73EB6">
        <w:rPr>
          <w:rStyle w:val="BodyTextFi"/>
          <w:sz w:val="24"/>
        </w:rPr>
        <w:t>funds used to serve diverse</w:t>
      </w:r>
      <w:r w:rsidRPr="00E73EB6" w:rsidR="0031232D">
        <w:rPr>
          <w:rStyle w:val="BodyTextFi"/>
          <w:sz w:val="24"/>
        </w:rPr>
        <w:t xml:space="preserve"> and</w:t>
      </w:r>
      <w:r w:rsidRPr="00E73EB6" w:rsidR="00B80B35">
        <w:rPr>
          <w:rStyle w:val="BodyTextFi"/>
          <w:sz w:val="24"/>
        </w:rPr>
        <w:t xml:space="preserve"> vulnerable</w:t>
      </w:r>
      <w:r w:rsidRPr="00E73EB6">
        <w:rPr>
          <w:rStyle w:val="BodyTextFi"/>
          <w:sz w:val="24"/>
        </w:rPr>
        <w:t xml:space="preserve"> population</w:t>
      </w:r>
      <w:r w:rsidRPr="00E73EB6" w:rsidR="0031232D">
        <w:rPr>
          <w:rStyle w:val="BodyTextFi"/>
          <w:sz w:val="24"/>
        </w:rPr>
        <w:t>s</w:t>
      </w:r>
      <w:r w:rsidRPr="00E73EB6">
        <w:rPr>
          <w:rStyle w:val="BodyTextFi"/>
          <w:sz w:val="24"/>
        </w:rPr>
        <w:t>, identify</w:t>
      </w:r>
      <w:r w:rsidRPr="00E73EB6" w:rsidR="00C40421">
        <w:rPr>
          <w:rStyle w:val="BodyTextFi"/>
          <w:sz w:val="24"/>
        </w:rPr>
        <w:t xml:space="preserve"> the costs associated with medication assistance and health </w:t>
      </w:r>
      <w:r w:rsidRPr="00E73EB6" w:rsidR="00714D99">
        <w:rPr>
          <w:rStyle w:val="BodyTextFi"/>
          <w:sz w:val="24"/>
        </w:rPr>
        <w:t xml:space="preserve">insurance </w:t>
      </w:r>
      <w:r w:rsidRPr="00E73EB6" w:rsidR="00D12BC9">
        <w:rPr>
          <w:rStyle w:val="BodyTextFi"/>
          <w:sz w:val="24"/>
        </w:rPr>
        <w:t xml:space="preserve">premium </w:t>
      </w:r>
      <w:r w:rsidRPr="00E73EB6" w:rsidR="00390A25">
        <w:rPr>
          <w:rStyle w:val="BodyTextFi"/>
          <w:sz w:val="24"/>
        </w:rPr>
        <w:t xml:space="preserve">for services that enhance access, </w:t>
      </w:r>
      <w:r w:rsidRPr="00E73EB6" w:rsidR="006B7658">
        <w:rPr>
          <w:rStyle w:val="BodyTextFi"/>
          <w:sz w:val="24"/>
        </w:rPr>
        <w:t>adherence, and</w:t>
      </w:r>
      <w:r w:rsidRPr="00E73EB6" w:rsidR="00390A25">
        <w:rPr>
          <w:rStyle w:val="BodyTextFi"/>
          <w:sz w:val="24"/>
        </w:rPr>
        <w:t xml:space="preserve"> monitoring of drug treatments.</w:t>
      </w:r>
      <w:r w:rsidRPr="00E73EB6">
        <w:rPr>
          <w:rStyle w:val="BodyTextFi"/>
          <w:sz w:val="24"/>
        </w:rPr>
        <w:t xml:space="preserve"> Clinical data also allows HRSA to monitor clinical outcomes achieved by clients served by RWHAP. These data provide information to the U.S. Congress on the role of the HRSA RWHAP in addressing the HIV epidemic</w:t>
      </w:r>
      <w:r w:rsidRPr="00E73EB6">
        <w:rPr>
          <w:sz w:val="24"/>
        </w:rPr>
        <w:t xml:space="preserve">. </w:t>
      </w:r>
    </w:p>
    <w:p w:rsidR="009B3794" w:rsidRPr="00E73EB6" w:rsidP="00C0107A" w14:paraId="0769B9B3" w14:textId="6C3DB7DF">
      <w:pPr>
        <w:numPr>
          <w:ilvl w:val="0"/>
          <w:numId w:val="1"/>
        </w:numPr>
        <w:spacing w:before="240"/>
        <w:rPr>
          <w:b/>
          <w:sz w:val="24"/>
        </w:rPr>
      </w:pPr>
      <w:r w:rsidRPr="00E73EB6">
        <w:rPr>
          <w:b/>
          <w:sz w:val="24"/>
          <w:u w:val="single"/>
        </w:rPr>
        <w:t xml:space="preserve">Estimates of Annualized Hour Burden </w:t>
      </w:r>
      <w:r w:rsidRPr="00E73EB6" w:rsidR="004F2955">
        <w:rPr>
          <w:b/>
          <w:sz w:val="24"/>
          <w:u w:val="single"/>
        </w:rPr>
        <w:t>and Cost Burden</w:t>
      </w:r>
    </w:p>
    <w:p w:rsidR="0070633B" w:rsidP="0070633B" w14:paraId="16C3C5B3" w14:textId="5632EAF9">
      <w:pPr>
        <w:spacing w:before="240"/>
        <w:rPr>
          <w:bCs/>
          <w:sz w:val="24"/>
        </w:rPr>
      </w:pPr>
      <w:r w:rsidRPr="00E73EB6">
        <w:rPr>
          <w:bCs/>
          <w:sz w:val="24"/>
        </w:rPr>
        <w:t xml:space="preserve">The estimated average annualized hour burden is </w:t>
      </w:r>
      <w:r w:rsidRPr="00E73EB6" w:rsidR="00602080">
        <w:rPr>
          <w:bCs/>
          <w:sz w:val="24"/>
        </w:rPr>
        <w:t xml:space="preserve">4,698 </w:t>
      </w:r>
      <w:r w:rsidRPr="00E73EB6">
        <w:rPr>
          <w:bCs/>
          <w:sz w:val="24"/>
        </w:rPr>
        <w:t xml:space="preserve">hours per year.  Burden estimates are broken out by recipient respondents as seen in Table 1: Estimates of Annualized Burden Hour by each data collection instrument: </w:t>
      </w:r>
      <w:r w:rsidRPr="00E73EB6" w:rsidR="00350DC2">
        <w:rPr>
          <w:bCs/>
          <w:sz w:val="24"/>
        </w:rPr>
        <w:t>Recipient</w:t>
      </w:r>
      <w:r w:rsidRPr="00E73EB6">
        <w:rPr>
          <w:bCs/>
          <w:sz w:val="24"/>
        </w:rPr>
        <w:t xml:space="preserve"> Report and Client Report.  Estimates from grant recipients are based on prior experience in collecting, maintaining, and reporting data using the data systems.</w:t>
      </w:r>
    </w:p>
    <w:p w:rsidR="0070633B" w:rsidRPr="00E73EB6" w:rsidP="0070633B" w14:paraId="3C52FCEC" w14:textId="15C3AF93">
      <w:pPr>
        <w:spacing w:before="240"/>
        <w:rPr>
          <w:b/>
          <w:sz w:val="24"/>
        </w:rPr>
      </w:pPr>
      <w:r>
        <w:rPr>
          <w:b/>
          <w:sz w:val="24"/>
        </w:rPr>
        <w:br w:type="column"/>
      </w:r>
      <w:r w:rsidRPr="00E73EB6">
        <w:rPr>
          <w:b/>
          <w:sz w:val="24"/>
        </w:rPr>
        <w:t>12A. Table 1: Estimated Annualized Burden Hours</w:t>
      </w:r>
    </w:p>
    <w:p w:rsidR="0070633B" w:rsidRPr="00E73EB6" w:rsidP="005F0537" w14:paraId="6C316359" w14:textId="64CB4A86">
      <w:pPr>
        <w:spacing w:before="240"/>
        <w:rPr>
          <w:bCs/>
          <w:sz w:val="24"/>
        </w:rPr>
      </w:pPr>
      <w:r w:rsidRPr="00E73EB6">
        <w:rPr>
          <w:bCs/>
          <w:sz w:val="24"/>
        </w:rPr>
        <w:t>The estimated annual time and cost burdens to respondents are presented in the tables below:</w:t>
      </w:r>
    </w:p>
    <w:tbl>
      <w:tblPr>
        <w:tblW w:w="5000" w:type="pct"/>
        <w:tblCellMar>
          <w:left w:w="0" w:type="dxa"/>
          <w:right w:w="0" w:type="dxa"/>
        </w:tblCellMar>
        <w:tblLook w:val="04A0"/>
      </w:tblPr>
      <w:tblGrid>
        <w:gridCol w:w="2143"/>
        <w:gridCol w:w="1456"/>
        <w:gridCol w:w="1561"/>
        <w:gridCol w:w="1367"/>
        <w:gridCol w:w="1367"/>
        <w:gridCol w:w="1446"/>
      </w:tblGrid>
      <w:tr w14:paraId="097A2ABC" w14:textId="77777777" w:rsidTr="00EB7D9D">
        <w:tblPrEx>
          <w:tblW w:w="5000" w:type="pct"/>
          <w:tblCellMar>
            <w:left w:w="0" w:type="dxa"/>
            <w:right w:w="0" w:type="dxa"/>
          </w:tblCellMar>
          <w:tblLook w:val="04A0"/>
        </w:tblPrEx>
        <w:trPr>
          <w:trHeight w:hRule="exact" w:val="1152"/>
          <w:tblHeader/>
        </w:trPr>
        <w:tc>
          <w:tcPr>
            <w:tcW w:w="1156" w:type="pct"/>
            <w:tcBorders>
              <w:top w:val="single" w:sz="8" w:space="0" w:color="000000"/>
              <w:left w:val="single" w:sz="8" w:space="0" w:color="auto"/>
              <w:bottom w:val="single" w:sz="8" w:space="0" w:color="000000"/>
              <w:right w:val="single" w:sz="8" w:space="0" w:color="000000"/>
            </w:tcBorders>
            <w:vAlign w:val="center"/>
          </w:tcPr>
          <w:p w:rsidR="0070633B" w:rsidRPr="00E73EB6" w:rsidP="005F0537" w14:paraId="5B4CDDD1" w14:textId="77777777">
            <w:pPr>
              <w:rPr>
                <w:sz w:val="24"/>
              </w:rPr>
            </w:pPr>
          </w:p>
          <w:p w:rsidR="0070633B" w:rsidRPr="00E73EB6" w:rsidP="005F0537" w14:paraId="2EE68CF8" w14:textId="5420288F">
            <w:pPr>
              <w:ind w:left="324"/>
              <w:rPr>
                <w:b/>
                <w:bCs/>
                <w:sz w:val="24"/>
              </w:rPr>
            </w:pPr>
            <w:r w:rsidRPr="00E73EB6">
              <w:rPr>
                <w:b/>
                <w:bCs/>
                <w:sz w:val="24"/>
              </w:rPr>
              <w:t>ADR Data Collection</w:t>
            </w:r>
          </w:p>
        </w:tc>
        <w:tc>
          <w:tcPr>
            <w:tcW w:w="788" w:type="pct"/>
            <w:tcBorders>
              <w:top w:val="single" w:sz="8" w:space="0" w:color="000000"/>
              <w:left w:val="nil"/>
              <w:bottom w:val="single" w:sz="8" w:space="0" w:color="000000"/>
              <w:right w:val="single" w:sz="8" w:space="0" w:color="000000"/>
            </w:tcBorders>
            <w:vAlign w:val="center"/>
          </w:tcPr>
          <w:p w:rsidR="0070633B" w:rsidRPr="00E73EB6" w:rsidP="005F0537" w14:paraId="62BBD4EC" w14:textId="77777777">
            <w:pPr>
              <w:ind w:left="93" w:right="115" w:firstLine="86"/>
              <w:jc w:val="center"/>
              <w:rPr>
                <w:sz w:val="24"/>
              </w:rPr>
            </w:pPr>
            <w:r w:rsidRPr="00E73EB6">
              <w:rPr>
                <w:sz w:val="24"/>
              </w:rPr>
              <w:t>Number</w:t>
            </w:r>
            <w:r w:rsidRPr="00E73EB6">
              <w:rPr>
                <w:spacing w:val="12"/>
                <w:sz w:val="24"/>
              </w:rPr>
              <w:t xml:space="preserve"> </w:t>
            </w:r>
            <w:r w:rsidRPr="00E73EB6">
              <w:rPr>
                <w:sz w:val="24"/>
              </w:rPr>
              <w:t>of Respondents</w:t>
            </w:r>
          </w:p>
        </w:tc>
        <w:tc>
          <w:tcPr>
            <w:tcW w:w="834" w:type="pct"/>
            <w:tcBorders>
              <w:top w:val="single" w:sz="8" w:space="0" w:color="000000"/>
              <w:left w:val="nil"/>
              <w:bottom w:val="single" w:sz="8" w:space="0" w:color="000000"/>
              <w:right w:val="single" w:sz="8" w:space="0" w:color="000000"/>
            </w:tcBorders>
            <w:vAlign w:val="center"/>
          </w:tcPr>
          <w:p w:rsidR="0070633B" w:rsidRPr="00E73EB6" w:rsidP="005F0537" w14:paraId="00B4693E" w14:textId="77777777">
            <w:pPr>
              <w:ind w:left="201" w:right="206" w:firstLine="1"/>
              <w:jc w:val="center"/>
              <w:rPr>
                <w:sz w:val="24"/>
              </w:rPr>
            </w:pPr>
            <w:r w:rsidRPr="00E73EB6">
              <w:rPr>
                <w:sz w:val="24"/>
              </w:rPr>
              <w:t>Number</w:t>
            </w:r>
            <w:r w:rsidRPr="00E73EB6">
              <w:rPr>
                <w:spacing w:val="6"/>
                <w:sz w:val="24"/>
              </w:rPr>
              <w:t xml:space="preserve"> </w:t>
            </w:r>
            <w:r w:rsidRPr="00E73EB6">
              <w:rPr>
                <w:sz w:val="24"/>
              </w:rPr>
              <w:t>of Responses</w:t>
            </w:r>
            <w:r w:rsidRPr="00E73EB6">
              <w:rPr>
                <w:spacing w:val="-19"/>
                <w:sz w:val="24"/>
              </w:rPr>
              <w:t xml:space="preserve"> </w:t>
            </w:r>
            <w:r w:rsidRPr="00E73EB6">
              <w:rPr>
                <w:sz w:val="24"/>
              </w:rPr>
              <w:t>per Respondent</w:t>
            </w:r>
          </w:p>
        </w:tc>
        <w:tc>
          <w:tcPr>
            <w:tcW w:w="740" w:type="pct"/>
            <w:tcBorders>
              <w:top w:val="single" w:sz="8" w:space="0" w:color="000000"/>
              <w:left w:val="nil"/>
              <w:bottom w:val="single" w:sz="8" w:space="0" w:color="000000"/>
              <w:right w:val="single" w:sz="8" w:space="0" w:color="000000"/>
            </w:tcBorders>
            <w:vAlign w:val="center"/>
          </w:tcPr>
          <w:p w:rsidR="0070633B" w:rsidRPr="00E73EB6" w:rsidP="005F0537" w14:paraId="70D98FE3" w14:textId="56E8D26E">
            <w:pPr>
              <w:ind w:right="220"/>
              <w:jc w:val="center"/>
              <w:rPr>
                <w:sz w:val="24"/>
              </w:rPr>
            </w:pPr>
            <w:r>
              <w:rPr>
                <w:sz w:val="24"/>
              </w:rPr>
              <w:t>T</w:t>
            </w:r>
            <w:r w:rsidRPr="00E73EB6">
              <w:rPr>
                <w:sz w:val="24"/>
              </w:rPr>
              <w:t>otal Responses</w:t>
            </w:r>
          </w:p>
        </w:tc>
        <w:tc>
          <w:tcPr>
            <w:tcW w:w="740" w:type="pct"/>
            <w:tcBorders>
              <w:top w:val="single" w:sz="8" w:space="0" w:color="000000"/>
              <w:left w:val="nil"/>
              <w:bottom w:val="single" w:sz="8" w:space="0" w:color="000000"/>
              <w:right w:val="single" w:sz="8" w:space="0" w:color="000000"/>
            </w:tcBorders>
            <w:vAlign w:val="center"/>
            <w:hideMark/>
          </w:tcPr>
          <w:p w:rsidR="0070633B" w:rsidRPr="00E73EB6" w:rsidP="005F0537" w14:paraId="6571F20C" w14:textId="77777777">
            <w:pPr>
              <w:ind w:left="122" w:right="128" w:hanging="10"/>
              <w:jc w:val="center"/>
              <w:rPr>
                <w:sz w:val="24"/>
              </w:rPr>
            </w:pPr>
            <w:r w:rsidRPr="00E73EB6">
              <w:rPr>
                <w:sz w:val="24"/>
              </w:rPr>
              <w:t>Average burden per response (in hours)</w:t>
            </w:r>
          </w:p>
        </w:tc>
        <w:tc>
          <w:tcPr>
            <w:tcW w:w="741" w:type="pct"/>
            <w:tcBorders>
              <w:top w:val="single" w:sz="8" w:space="0" w:color="000000"/>
              <w:left w:val="nil"/>
              <w:bottom w:val="single" w:sz="8" w:space="0" w:color="000000"/>
              <w:right w:val="single" w:sz="8" w:space="0" w:color="000000"/>
            </w:tcBorders>
            <w:vAlign w:val="center"/>
          </w:tcPr>
          <w:p w:rsidR="0070633B" w:rsidRPr="00E73EB6" w:rsidP="005F0537" w14:paraId="711D3B55" w14:textId="77777777">
            <w:pPr>
              <w:ind w:left="352" w:right="367" w:firstLine="4"/>
              <w:jc w:val="center"/>
              <w:rPr>
                <w:sz w:val="24"/>
              </w:rPr>
            </w:pPr>
            <w:r w:rsidRPr="00E73EB6">
              <w:rPr>
                <w:sz w:val="24"/>
              </w:rPr>
              <w:t>Total Burden Hours</w:t>
            </w:r>
          </w:p>
        </w:tc>
      </w:tr>
      <w:tr w14:paraId="4C97B173" w14:textId="77777777" w:rsidTr="00EB7D9D">
        <w:tblPrEx>
          <w:tblW w:w="5000" w:type="pct"/>
          <w:tblCellMar>
            <w:left w:w="0" w:type="dxa"/>
            <w:right w:w="0" w:type="dxa"/>
          </w:tblCellMar>
          <w:tblLook w:val="04A0"/>
        </w:tblPrEx>
        <w:trPr>
          <w:trHeight w:val="288"/>
        </w:trPr>
        <w:tc>
          <w:tcPr>
            <w:tcW w:w="1156" w:type="pct"/>
            <w:tcBorders>
              <w:top w:val="nil"/>
              <w:left w:val="single" w:sz="8" w:space="0" w:color="auto"/>
              <w:bottom w:val="single" w:sz="8" w:space="0" w:color="000000"/>
              <w:right w:val="single" w:sz="8" w:space="0" w:color="000000"/>
            </w:tcBorders>
            <w:hideMark/>
          </w:tcPr>
          <w:p w:rsidR="0070633B" w:rsidRPr="00E73EB6" w:rsidP="005F0537" w14:paraId="2EC635B4" w14:textId="6AECF080">
            <w:pPr>
              <w:spacing w:before="1"/>
              <w:ind w:left="165" w:right="684"/>
              <w:rPr>
                <w:sz w:val="24"/>
              </w:rPr>
            </w:pPr>
            <w:r w:rsidRPr="00E73EB6">
              <w:rPr>
                <w:sz w:val="24"/>
              </w:rPr>
              <w:t>Recipient</w:t>
            </w:r>
            <w:r w:rsidRPr="00E73EB6">
              <w:rPr>
                <w:sz w:val="24"/>
              </w:rPr>
              <w:t xml:space="preserve"> Report</w:t>
            </w:r>
          </w:p>
        </w:tc>
        <w:tc>
          <w:tcPr>
            <w:tcW w:w="788" w:type="pct"/>
            <w:tcBorders>
              <w:top w:val="nil"/>
              <w:left w:val="nil"/>
              <w:bottom w:val="single" w:sz="8" w:space="0" w:color="000000"/>
              <w:right w:val="single" w:sz="8" w:space="0" w:color="000000"/>
            </w:tcBorders>
            <w:vAlign w:val="center"/>
            <w:hideMark/>
          </w:tcPr>
          <w:p w:rsidR="0070633B" w:rsidRPr="00E73EB6" w:rsidP="005F0537" w14:paraId="05071834" w14:textId="4841FFB3">
            <w:pPr>
              <w:jc w:val="center"/>
              <w:rPr>
                <w:sz w:val="24"/>
              </w:rPr>
            </w:pPr>
            <w:r w:rsidRPr="00E73EB6">
              <w:rPr>
                <w:sz w:val="24"/>
              </w:rPr>
              <w:t>54</w:t>
            </w:r>
          </w:p>
        </w:tc>
        <w:tc>
          <w:tcPr>
            <w:tcW w:w="834" w:type="pct"/>
            <w:tcBorders>
              <w:top w:val="nil"/>
              <w:left w:val="nil"/>
              <w:bottom w:val="single" w:sz="8" w:space="0" w:color="000000"/>
              <w:right w:val="single" w:sz="8" w:space="0" w:color="000000"/>
            </w:tcBorders>
            <w:vAlign w:val="center"/>
            <w:hideMark/>
          </w:tcPr>
          <w:p w:rsidR="0070633B" w:rsidRPr="00E73EB6" w:rsidP="005F0537" w14:paraId="7C38463F" w14:textId="77777777">
            <w:pPr>
              <w:ind w:right="5"/>
              <w:jc w:val="center"/>
              <w:rPr>
                <w:sz w:val="24"/>
              </w:rPr>
            </w:pPr>
            <w:r w:rsidRPr="00E73EB6">
              <w:rPr>
                <w:sz w:val="24"/>
              </w:rPr>
              <w:t>1</w:t>
            </w:r>
          </w:p>
        </w:tc>
        <w:tc>
          <w:tcPr>
            <w:tcW w:w="740" w:type="pct"/>
            <w:tcBorders>
              <w:top w:val="nil"/>
              <w:left w:val="nil"/>
              <w:bottom w:val="single" w:sz="8" w:space="0" w:color="000000"/>
              <w:right w:val="single" w:sz="8" w:space="0" w:color="000000"/>
            </w:tcBorders>
            <w:vAlign w:val="center"/>
            <w:hideMark/>
          </w:tcPr>
          <w:p w:rsidR="0070633B" w:rsidRPr="00E73EB6" w:rsidP="005F0537" w14:paraId="15EBEA68" w14:textId="32E9DAC5">
            <w:pPr>
              <w:jc w:val="center"/>
              <w:rPr>
                <w:sz w:val="24"/>
              </w:rPr>
            </w:pPr>
            <w:r w:rsidRPr="00E73EB6">
              <w:rPr>
                <w:sz w:val="24"/>
              </w:rPr>
              <w:t>54</w:t>
            </w:r>
          </w:p>
        </w:tc>
        <w:tc>
          <w:tcPr>
            <w:tcW w:w="740" w:type="pct"/>
            <w:tcBorders>
              <w:top w:val="nil"/>
              <w:left w:val="nil"/>
              <w:bottom w:val="single" w:sz="8" w:space="0" w:color="000000"/>
              <w:right w:val="single" w:sz="8" w:space="0" w:color="000000"/>
            </w:tcBorders>
            <w:vAlign w:val="center"/>
            <w:hideMark/>
          </w:tcPr>
          <w:p w:rsidR="0070633B" w:rsidRPr="00E73EB6" w:rsidP="005F0537" w14:paraId="168C53A7" w14:textId="3111842C">
            <w:pPr>
              <w:jc w:val="center"/>
              <w:rPr>
                <w:sz w:val="24"/>
              </w:rPr>
            </w:pPr>
            <w:r w:rsidRPr="00E73EB6">
              <w:rPr>
                <w:sz w:val="24"/>
              </w:rPr>
              <w:t>6</w:t>
            </w:r>
          </w:p>
        </w:tc>
        <w:tc>
          <w:tcPr>
            <w:tcW w:w="741" w:type="pct"/>
            <w:tcBorders>
              <w:top w:val="nil"/>
              <w:left w:val="nil"/>
              <w:bottom w:val="single" w:sz="8" w:space="0" w:color="000000"/>
              <w:right w:val="single" w:sz="8" w:space="0" w:color="000000"/>
            </w:tcBorders>
            <w:vAlign w:val="center"/>
            <w:hideMark/>
          </w:tcPr>
          <w:p w:rsidR="0070633B" w:rsidRPr="00E73EB6" w:rsidP="005F0537" w14:paraId="2071E62B" w14:textId="5899673E">
            <w:pPr>
              <w:jc w:val="center"/>
              <w:rPr>
                <w:sz w:val="24"/>
              </w:rPr>
            </w:pPr>
            <w:r w:rsidRPr="00E73EB6">
              <w:rPr>
                <w:sz w:val="24"/>
              </w:rPr>
              <w:t>324</w:t>
            </w:r>
          </w:p>
        </w:tc>
      </w:tr>
      <w:tr w14:paraId="136E9085" w14:textId="77777777" w:rsidTr="003C6448">
        <w:tblPrEx>
          <w:tblW w:w="5000" w:type="pct"/>
          <w:tblCellMar>
            <w:left w:w="0" w:type="dxa"/>
            <w:right w:w="0" w:type="dxa"/>
          </w:tblCellMar>
          <w:tblLook w:val="04A0"/>
        </w:tblPrEx>
        <w:trPr>
          <w:trHeight w:val="70"/>
        </w:trPr>
        <w:tc>
          <w:tcPr>
            <w:tcW w:w="1156" w:type="pct"/>
            <w:tcBorders>
              <w:top w:val="nil"/>
              <w:left w:val="single" w:sz="8" w:space="0" w:color="auto"/>
              <w:bottom w:val="single" w:sz="8" w:space="0" w:color="000000"/>
              <w:right w:val="single" w:sz="8" w:space="0" w:color="000000"/>
            </w:tcBorders>
            <w:hideMark/>
          </w:tcPr>
          <w:p w:rsidR="0070633B" w:rsidRPr="00E73EB6" w:rsidP="005F0537" w14:paraId="727F5A99" w14:textId="228BB347">
            <w:pPr>
              <w:ind w:left="165"/>
              <w:rPr>
                <w:sz w:val="24"/>
              </w:rPr>
            </w:pPr>
            <w:r w:rsidRPr="00E73EB6">
              <w:rPr>
                <w:sz w:val="24"/>
              </w:rPr>
              <w:t>Client Report</w:t>
            </w:r>
          </w:p>
        </w:tc>
        <w:tc>
          <w:tcPr>
            <w:tcW w:w="788" w:type="pct"/>
            <w:tcBorders>
              <w:top w:val="nil"/>
              <w:left w:val="nil"/>
              <w:bottom w:val="single" w:sz="8" w:space="0" w:color="000000"/>
              <w:right w:val="single" w:sz="8" w:space="0" w:color="000000"/>
            </w:tcBorders>
            <w:vAlign w:val="center"/>
            <w:hideMark/>
          </w:tcPr>
          <w:p w:rsidR="0070633B" w:rsidRPr="00E73EB6" w:rsidP="005F0537" w14:paraId="1AC386E9" w14:textId="22FBF2CF">
            <w:pPr>
              <w:jc w:val="center"/>
              <w:rPr>
                <w:sz w:val="24"/>
              </w:rPr>
            </w:pPr>
            <w:r w:rsidRPr="00E73EB6">
              <w:rPr>
                <w:sz w:val="24"/>
              </w:rPr>
              <w:t>54</w:t>
            </w:r>
          </w:p>
        </w:tc>
        <w:tc>
          <w:tcPr>
            <w:tcW w:w="834" w:type="pct"/>
            <w:tcBorders>
              <w:top w:val="nil"/>
              <w:left w:val="nil"/>
              <w:bottom w:val="single" w:sz="8" w:space="0" w:color="000000"/>
              <w:right w:val="single" w:sz="8" w:space="0" w:color="000000"/>
            </w:tcBorders>
            <w:vAlign w:val="center"/>
            <w:hideMark/>
          </w:tcPr>
          <w:p w:rsidR="0070633B" w:rsidRPr="00E73EB6" w:rsidP="005F0537" w14:paraId="5A1B5EB4" w14:textId="77777777">
            <w:pPr>
              <w:jc w:val="center"/>
              <w:rPr>
                <w:sz w:val="24"/>
              </w:rPr>
            </w:pPr>
            <w:r w:rsidRPr="00E73EB6">
              <w:rPr>
                <w:sz w:val="24"/>
              </w:rPr>
              <w:t>1</w:t>
            </w:r>
          </w:p>
        </w:tc>
        <w:tc>
          <w:tcPr>
            <w:tcW w:w="740" w:type="pct"/>
            <w:tcBorders>
              <w:top w:val="nil"/>
              <w:left w:val="nil"/>
              <w:bottom w:val="single" w:sz="8" w:space="0" w:color="000000"/>
              <w:right w:val="single" w:sz="8" w:space="0" w:color="000000"/>
            </w:tcBorders>
            <w:vAlign w:val="center"/>
            <w:hideMark/>
          </w:tcPr>
          <w:p w:rsidR="0070633B" w:rsidRPr="00E73EB6" w:rsidP="005F0537" w14:paraId="670CF2DC" w14:textId="599E99EE">
            <w:pPr>
              <w:jc w:val="center"/>
              <w:rPr>
                <w:sz w:val="24"/>
              </w:rPr>
            </w:pPr>
            <w:r w:rsidRPr="00E73EB6">
              <w:rPr>
                <w:sz w:val="24"/>
              </w:rPr>
              <w:t>54</w:t>
            </w:r>
          </w:p>
        </w:tc>
        <w:tc>
          <w:tcPr>
            <w:tcW w:w="740" w:type="pct"/>
            <w:tcBorders>
              <w:top w:val="nil"/>
              <w:left w:val="nil"/>
              <w:bottom w:val="single" w:sz="8" w:space="0" w:color="000000"/>
              <w:right w:val="single" w:sz="8" w:space="0" w:color="000000"/>
            </w:tcBorders>
            <w:vAlign w:val="center"/>
            <w:hideMark/>
          </w:tcPr>
          <w:p w:rsidR="0070633B" w:rsidRPr="00E73EB6" w:rsidP="005F0537" w14:paraId="76CDC918" w14:textId="2F99AF0C">
            <w:pPr>
              <w:jc w:val="center"/>
              <w:rPr>
                <w:sz w:val="24"/>
              </w:rPr>
            </w:pPr>
            <w:r w:rsidRPr="00E73EB6">
              <w:rPr>
                <w:sz w:val="24"/>
              </w:rPr>
              <w:t>81</w:t>
            </w:r>
          </w:p>
        </w:tc>
        <w:tc>
          <w:tcPr>
            <w:tcW w:w="741" w:type="pct"/>
            <w:tcBorders>
              <w:top w:val="nil"/>
              <w:left w:val="nil"/>
              <w:bottom w:val="single" w:sz="8" w:space="0" w:color="000000"/>
              <w:right w:val="single" w:sz="8" w:space="0" w:color="000000"/>
            </w:tcBorders>
            <w:vAlign w:val="center"/>
            <w:hideMark/>
          </w:tcPr>
          <w:p w:rsidR="0070633B" w:rsidRPr="00E73EB6" w:rsidP="005F0537" w14:paraId="4FA8A27E" w14:textId="2AE8FE0C">
            <w:pPr>
              <w:jc w:val="center"/>
              <w:rPr>
                <w:sz w:val="24"/>
              </w:rPr>
            </w:pPr>
            <w:r w:rsidRPr="00E73EB6">
              <w:rPr>
                <w:sz w:val="24"/>
              </w:rPr>
              <w:t>4,37</w:t>
            </w:r>
            <w:r w:rsidRPr="00E73EB6" w:rsidR="008D0995">
              <w:rPr>
                <w:sz w:val="24"/>
              </w:rPr>
              <w:t>4</w:t>
            </w:r>
          </w:p>
        </w:tc>
      </w:tr>
      <w:tr w14:paraId="4A91C345" w14:textId="77777777" w:rsidTr="00EB7D9D">
        <w:tblPrEx>
          <w:tblW w:w="5000" w:type="pct"/>
          <w:tblCellMar>
            <w:left w:w="0" w:type="dxa"/>
            <w:right w:w="0" w:type="dxa"/>
          </w:tblCellMar>
          <w:tblLook w:val="04A0"/>
        </w:tblPrEx>
        <w:trPr>
          <w:trHeight w:hRule="exact" w:val="340"/>
        </w:trPr>
        <w:tc>
          <w:tcPr>
            <w:tcW w:w="1156" w:type="pct"/>
            <w:tcBorders>
              <w:top w:val="nil"/>
              <w:left w:val="single" w:sz="8" w:space="0" w:color="auto"/>
              <w:bottom w:val="single" w:sz="8" w:space="0" w:color="000000"/>
              <w:right w:val="single" w:sz="8" w:space="0" w:color="000000"/>
            </w:tcBorders>
            <w:hideMark/>
          </w:tcPr>
          <w:p w:rsidR="0070633B" w:rsidRPr="00E73EB6" w:rsidP="005F0537" w14:paraId="2CAAC8B3" w14:textId="77777777">
            <w:pPr>
              <w:ind w:left="165"/>
              <w:rPr>
                <w:b/>
                <w:bCs/>
                <w:sz w:val="24"/>
              </w:rPr>
            </w:pPr>
            <w:r w:rsidRPr="00E73EB6">
              <w:rPr>
                <w:b/>
                <w:bCs/>
                <w:sz w:val="24"/>
              </w:rPr>
              <w:t>Total</w:t>
            </w:r>
          </w:p>
        </w:tc>
        <w:tc>
          <w:tcPr>
            <w:tcW w:w="788" w:type="pct"/>
            <w:tcBorders>
              <w:top w:val="nil"/>
              <w:left w:val="nil"/>
              <w:bottom w:val="single" w:sz="8" w:space="0" w:color="000000"/>
              <w:right w:val="single" w:sz="8" w:space="0" w:color="000000"/>
            </w:tcBorders>
            <w:vAlign w:val="center"/>
          </w:tcPr>
          <w:p w:rsidR="0070633B" w:rsidRPr="00E73EB6" w:rsidP="005F0537" w14:paraId="2EE24C53" w14:textId="6B24CDE0">
            <w:pPr>
              <w:jc w:val="center"/>
              <w:rPr>
                <w:b/>
                <w:bCs/>
                <w:sz w:val="24"/>
              </w:rPr>
            </w:pPr>
            <w:r w:rsidRPr="00E73EB6">
              <w:rPr>
                <w:b/>
                <w:bCs/>
                <w:sz w:val="24"/>
              </w:rPr>
              <w:t>54</w:t>
            </w:r>
          </w:p>
        </w:tc>
        <w:tc>
          <w:tcPr>
            <w:tcW w:w="834" w:type="pct"/>
            <w:tcBorders>
              <w:top w:val="nil"/>
              <w:left w:val="nil"/>
              <w:bottom w:val="single" w:sz="8" w:space="0" w:color="000000"/>
              <w:right w:val="single" w:sz="8" w:space="0" w:color="000000"/>
            </w:tcBorders>
            <w:vAlign w:val="center"/>
          </w:tcPr>
          <w:p w:rsidR="0070633B" w:rsidRPr="00E73EB6" w:rsidP="005F0537" w14:paraId="3A96E910" w14:textId="661335AE">
            <w:pPr>
              <w:jc w:val="center"/>
              <w:rPr>
                <w:b/>
                <w:bCs/>
                <w:sz w:val="24"/>
              </w:rPr>
            </w:pPr>
          </w:p>
        </w:tc>
        <w:tc>
          <w:tcPr>
            <w:tcW w:w="740" w:type="pct"/>
            <w:tcBorders>
              <w:top w:val="nil"/>
              <w:left w:val="nil"/>
              <w:bottom w:val="single" w:sz="8" w:space="0" w:color="000000"/>
              <w:right w:val="single" w:sz="8" w:space="0" w:color="000000"/>
            </w:tcBorders>
            <w:vAlign w:val="center"/>
          </w:tcPr>
          <w:p w:rsidR="0070633B" w:rsidRPr="00E73EB6" w:rsidP="005F0537" w14:paraId="4A77EDA5" w14:textId="73021618">
            <w:pPr>
              <w:jc w:val="center"/>
              <w:rPr>
                <w:b/>
                <w:bCs/>
                <w:sz w:val="24"/>
              </w:rPr>
            </w:pPr>
            <w:r w:rsidRPr="00E73EB6">
              <w:rPr>
                <w:b/>
                <w:bCs/>
                <w:sz w:val="24"/>
              </w:rPr>
              <w:t>54</w:t>
            </w:r>
          </w:p>
        </w:tc>
        <w:tc>
          <w:tcPr>
            <w:tcW w:w="740" w:type="pct"/>
            <w:tcBorders>
              <w:top w:val="nil"/>
              <w:left w:val="nil"/>
              <w:bottom w:val="single" w:sz="8" w:space="0" w:color="000000"/>
              <w:right w:val="single" w:sz="8" w:space="0" w:color="000000"/>
            </w:tcBorders>
            <w:vAlign w:val="center"/>
            <w:hideMark/>
          </w:tcPr>
          <w:p w:rsidR="0070633B" w:rsidRPr="00E73EB6" w:rsidP="005F0537" w14:paraId="75E49CD1" w14:textId="7E535FF6">
            <w:pPr>
              <w:jc w:val="center"/>
              <w:rPr>
                <w:sz w:val="24"/>
              </w:rPr>
            </w:pPr>
          </w:p>
        </w:tc>
        <w:tc>
          <w:tcPr>
            <w:tcW w:w="741" w:type="pct"/>
            <w:tcBorders>
              <w:top w:val="nil"/>
              <w:left w:val="nil"/>
              <w:bottom w:val="single" w:sz="8" w:space="0" w:color="000000"/>
              <w:right w:val="single" w:sz="8" w:space="0" w:color="000000"/>
            </w:tcBorders>
            <w:vAlign w:val="center"/>
            <w:hideMark/>
          </w:tcPr>
          <w:p w:rsidR="0070633B" w:rsidRPr="00E73EB6" w:rsidP="005F0537" w14:paraId="5E6101DF" w14:textId="5F955986">
            <w:pPr>
              <w:jc w:val="center"/>
              <w:rPr>
                <w:b/>
                <w:bCs/>
                <w:sz w:val="24"/>
              </w:rPr>
            </w:pPr>
            <w:r w:rsidRPr="00E73EB6">
              <w:rPr>
                <w:b/>
                <w:bCs/>
                <w:sz w:val="24"/>
              </w:rPr>
              <w:t>4,698</w:t>
            </w:r>
          </w:p>
        </w:tc>
      </w:tr>
    </w:tbl>
    <w:p w:rsidR="0070633B" w:rsidRPr="00E73EB6" w:rsidP="005F0537" w14:paraId="24333389" w14:textId="31786864">
      <w:pPr>
        <w:spacing w:before="240"/>
        <w:rPr>
          <w:b/>
          <w:sz w:val="24"/>
        </w:rPr>
      </w:pPr>
      <w:r w:rsidRPr="00E73EB6">
        <w:rPr>
          <w:b/>
          <w:sz w:val="24"/>
        </w:rPr>
        <w:t>12B. Estimated Annualized Burden Costs</w:t>
      </w:r>
    </w:p>
    <w:p w:rsidR="005F0537" w:rsidRPr="00E73EB6" w:rsidP="005F0537" w14:paraId="1575634A" w14:textId="15D9C432">
      <w:pPr>
        <w:spacing w:before="240"/>
        <w:rPr>
          <w:bCs/>
          <w:sz w:val="24"/>
        </w:rPr>
      </w:pPr>
      <w:r w:rsidRPr="00E73EB6">
        <w:rPr>
          <w:bCs/>
          <w:sz w:val="24"/>
        </w:rPr>
        <w:t xml:space="preserve">The annualized burden costs for recipients </w:t>
      </w:r>
      <w:r w:rsidRPr="00E73EB6" w:rsidR="00194E8C">
        <w:rPr>
          <w:bCs/>
          <w:sz w:val="24"/>
        </w:rPr>
        <w:t xml:space="preserve">are </w:t>
      </w:r>
      <w:r w:rsidRPr="00E73EB6">
        <w:rPr>
          <w:bCs/>
          <w:sz w:val="24"/>
        </w:rPr>
        <w:t xml:space="preserve">based on the May </w:t>
      </w:r>
      <w:r w:rsidRPr="00E73EB6" w:rsidR="00690ABA">
        <w:rPr>
          <w:bCs/>
          <w:sz w:val="24"/>
        </w:rPr>
        <w:t>2021</w:t>
      </w:r>
      <w:r w:rsidRPr="00E73EB6">
        <w:rPr>
          <w:bCs/>
          <w:sz w:val="24"/>
        </w:rPr>
        <w:t xml:space="preserve"> National Occupational Employment and Wage Estimates by the Bureau of Labor, </w:t>
      </w:r>
      <w:hyperlink r:id="rId9" w:history="1">
        <w:r w:rsidRPr="00EB5161" w:rsidR="00C31D35">
          <w:rPr>
            <w:rStyle w:val="Hyperlink"/>
            <w:bCs/>
            <w:sz w:val="24"/>
          </w:rPr>
          <w:t>https://www.bls.gov/oes/current/oes_nat.htm</w:t>
        </w:r>
      </w:hyperlink>
      <w:r w:rsidRPr="00E73EB6">
        <w:rPr>
          <w:bCs/>
          <w:sz w:val="24"/>
        </w:rPr>
        <w:t>. The respondent</w:t>
      </w:r>
      <w:r w:rsidRPr="00E73EB6" w:rsidR="002775B8">
        <w:rPr>
          <w:bCs/>
          <w:sz w:val="24"/>
        </w:rPr>
        <w:t>s</w:t>
      </w:r>
      <w:r w:rsidRPr="00E73EB6">
        <w:rPr>
          <w:bCs/>
          <w:sz w:val="24"/>
        </w:rPr>
        <w:t xml:space="preserve">, </w:t>
      </w:r>
      <w:r w:rsidRPr="00E73EB6" w:rsidR="002775B8">
        <w:rPr>
          <w:bCs/>
          <w:sz w:val="24"/>
        </w:rPr>
        <w:t>H</w:t>
      </w:r>
      <w:r w:rsidRPr="00E73EB6">
        <w:rPr>
          <w:bCs/>
          <w:sz w:val="24"/>
        </w:rPr>
        <w:t xml:space="preserve">ealthcare </w:t>
      </w:r>
      <w:r w:rsidRPr="00E73EB6" w:rsidR="002775B8">
        <w:rPr>
          <w:bCs/>
          <w:sz w:val="24"/>
        </w:rPr>
        <w:t>Support W</w:t>
      </w:r>
      <w:r w:rsidRPr="00E73EB6">
        <w:rPr>
          <w:bCs/>
          <w:sz w:val="24"/>
        </w:rPr>
        <w:t>orker</w:t>
      </w:r>
      <w:r w:rsidRPr="00E73EB6" w:rsidR="002775B8">
        <w:rPr>
          <w:bCs/>
          <w:sz w:val="24"/>
        </w:rPr>
        <w:t>s</w:t>
      </w:r>
      <w:r w:rsidRPr="00E73EB6">
        <w:rPr>
          <w:bCs/>
          <w:sz w:val="24"/>
        </w:rPr>
        <w:t xml:space="preserve"> (occupational code 31-9099), </w:t>
      </w:r>
      <w:r w:rsidRPr="00E73EB6" w:rsidR="002775B8">
        <w:rPr>
          <w:bCs/>
          <w:sz w:val="24"/>
        </w:rPr>
        <w:t xml:space="preserve">take </w:t>
      </w:r>
      <w:r w:rsidRPr="00E73EB6" w:rsidR="000919E9">
        <w:rPr>
          <w:bCs/>
          <w:sz w:val="24"/>
        </w:rPr>
        <w:t>8</w:t>
      </w:r>
      <w:r w:rsidRPr="00E73EB6" w:rsidR="00917A06">
        <w:rPr>
          <w:bCs/>
          <w:sz w:val="24"/>
        </w:rPr>
        <w:t>7</w:t>
      </w:r>
      <w:r w:rsidRPr="00E73EB6" w:rsidR="000919E9">
        <w:rPr>
          <w:bCs/>
          <w:sz w:val="24"/>
        </w:rPr>
        <w:t xml:space="preserve"> hours </w:t>
      </w:r>
      <w:r w:rsidRPr="00E73EB6" w:rsidR="00917A06">
        <w:rPr>
          <w:bCs/>
          <w:sz w:val="24"/>
        </w:rPr>
        <w:t xml:space="preserve">(4,698 hours </w:t>
      </w:r>
      <w:r w:rsidRPr="00E73EB6">
        <w:rPr>
          <w:bCs/>
          <w:sz w:val="24"/>
        </w:rPr>
        <w:t>in total for all respondents</w:t>
      </w:r>
      <w:r w:rsidRPr="00E73EB6" w:rsidR="00917A06">
        <w:rPr>
          <w:bCs/>
          <w:sz w:val="24"/>
        </w:rPr>
        <w:t>)</w:t>
      </w:r>
      <w:r w:rsidRPr="00E73EB6">
        <w:rPr>
          <w:bCs/>
          <w:sz w:val="24"/>
        </w:rPr>
        <w:t xml:space="preserve"> annually to complete the </w:t>
      </w:r>
      <w:r w:rsidRPr="00E73EB6" w:rsidR="00517CB6">
        <w:rPr>
          <w:bCs/>
          <w:sz w:val="24"/>
        </w:rPr>
        <w:t>ADR</w:t>
      </w:r>
      <w:r w:rsidRPr="00E73EB6">
        <w:rPr>
          <w:bCs/>
          <w:sz w:val="24"/>
        </w:rPr>
        <w:t xml:space="preserve"> data collection at a labor rate of $</w:t>
      </w:r>
      <w:r w:rsidRPr="00E73EB6" w:rsidR="00ED3E47">
        <w:rPr>
          <w:bCs/>
          <w:sz w:val="24"/>
        </w:rPr>
        <w:t>19.56</w:t>
      </w:r>
      <w:r w:rsidRPr="00E73EB6">
        <w:rPr>
          <w:bCs/>
          <w:sz w:val="24"/>
        </w:rPr>
        <w:t xml:space="preserve"> per hour.</w:t>
      </w:r>
      <w:r w:rsidRPr="00E73EB6" w:rsidR="00204ADB">
        <w:rPr>
          <w:bCs/>
          <w:sz w:val="24"/>
        </w:rPr>
        <w:t xml:space="preserve"> The net total hour cost</w:t>
      </w:r>
      <w:r w:rsidRPr="00E73EB6" w:rsidR="00F10C15">
        <w:rPr>
          <w:bCs/>
          <w:sz w:val="24"/>
        </w:rPr>
        <w:t>, $</w:t>
      </w:r>
      <w:r w:rsidRPr="00E73EB6" w:rsidR="007340D4">
        <w:rPr>
          <w:bCs/>
          <w:sz w:val="24"/>
        </w:rPr>
        <w:t>91,</w:t>
      </w:r>
      <w:r w:rsidRPr="00E73EB6" w:rsidR="00194E8C">
        <w:rPr>
          <w:bCs/>
          <w:sz w:val="24"/>
        </w:rPr>
        <w:t>892.88</w:t>
      </w:r>
      <w:r w:rsidRPr="00E73EB6" w:rsidR="00F10C15">
        <w:rPr>
          <w:bCs/>
          <w:sz w:val="24"/>
        </w:rPr>
        <w:t>, is double</w:t>
      </w:r>
      <w:r w:rsidRPr="00E73EB6" w:rsidR="00194E8C">
        <w:rPr>
          <w:bCs/>
          <w:sz w:val="24"/>
        </w:rPr>
        <w:t>d</w:t>
      </w:r>
      <w:r w:rsidRPr="00E73EB6" w:rsidR="00F10C15">
        <w:rPr>
          <w:bCs/>
          <w:sz w:val="24"/>
        </w:rPr>
        <w:t xml:space="preserve"> to account for </w:t>
      </w:r>
      <w:r w:rsidRPr="00E73EB6" w:rsidR="00501BBF">
        <w:rPr>
          <w:bCs/>
          <w:sz w:val="24"/>
        </w:rPr>
        <w:t xml:space="preserve">the </w:t>
      </w:r>
      <w:r w:rsidRPr="00E73EB6" w:rsidR="00F10C15">
        <w:rPr>
          <w:bCs/>
          <w:sz w:val="24"/>
        </w:rPr>
        <w:t>employer</w:t>
      </w:r>
      <w:r w:rsidRPr="00E73EB6" w:rsidR="00501BBF">
        <w:rPr>
          <w:bCs/>
          <w:sz w:val="24"/>
        </w:rPr>
        <w:t>’s</w:t>
      </w:r>
      <w:r w:rsidRPr="00E73EB6" w:rsidR="00F10C15">
        <w:rPr>
          <w:bCs/>
          <w:sz w:val="24"/>
        </w:rPr>
        <w:t xml:space="preserve"> overhead and fringe benefits, yielding a total cost of $</w:t>
      </w:r>
      <w:r w:rsidRPr="00E73EB6" w:rsidR="00194E8C">
        <w:rPr>
          <w:bCs/>
          <w:sz w:val="24"/>
        </w:rPr>
        <w:t>183,758.76</w:t>
      </w:r>
      <w:r w:rsidRPr="00E73EB6" w:rsidR="00F10C15">
        <w:rPr>
          <w:bCs/>
          <w:sz w:val="24"/>
        </w:rPr>
        <w:t>.</w:t>
      </w:r>
    </w:p>
    <w:p w:rsidR="00350DC2" w:rsidRPr="00E73EB6" w:rsidP="005F0537" w14:paraId="74E03DD7" w14:textId="02A47FD5">
      <w:pPr>
        <w:spacing w:before="240"/>
        <w:rPr>
          <w:b/>
          <w:sz w:val="24"/>
        </w:rPr>
      </w:pPr>
      <w:r w:rsidRPr="00E73EB6">
        <w:rPr>
          <w:b/>
          <w:sz w:val="24"/>
        </w:rPr>
        <w:t>Table 2: Estimated Annualized Burden Costs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2238"/>
        <w:gridCol w:w="2174"/>
        <w:gridCol w:w="3206"/>
      </w:tblGrid>
      <w:tr w14:paraId="6DFBA122" w14:textId="77777777" w:rsidTr="00A32C02">
        <w:tblPrEx>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7" w:type="dxa"/>
            <w:vAlign w:val="center"/>
          </w:tcPr>
          <w:p w:rsidR="005F0537" w:rsidRPr="00E73EB6" w:rsidP="00DC5740" w14:paraId="6330A830" w14:textId="77777777">
            <w:pPr>
              <w:jc w:val="center"/>
              <w:rPr>
                <w:sz w:val="24"/>
              </w:rPr>
            </w:pPr>
            <w:r w:rsidRPr="00E73EB6">
              <w:rPr>
                <w:sz w:val="24"/>
              </w:rPr>
              <w:t>Form Name</w:t>
            </w:r>
          </w:p>
        </w:tc>
        <w:tc>
          <w:tcPr>
            <w:tcW w:w="2238" w:type="dxa"/>
            <w:vAlign w:val="center"/>
          </w:tcPr>
          <w:p w:rsidR="005F0537" w:rsidRPr="00E73EB6" w:rsidP="00DC5740" w14:paraId="5CB128BE" w14:textId="77777777">
            <w:pPr>
              <w:jc w:val="center"/>
              <w:rPr>
                <w:sz w:val="24"/>
              </w:rPr>
            </w:pPr>
            <w:r w:rsidRPr="00E73EB6">
              <w:rPr>
                <w:sz w:val="24"/>
              </w:rPr>
              <w:t>Total Burden Hours</w:t>
            </w:r>
          </w:p>
        </w:tc>
        <w:tc>
          <w:tcPr>
            <w:tcW w:w="2174" w:type="dxa"/>
            <w:vAlign w:val="center"/>
          </w:tcPr>
          <w:p w:rsidR="005F0537" w:rsidRPr="00E73EB6" w:rsidP="00DC5740" w14:paraId="1374E761" w14:textId="77777777">
            <w:pPr>
              <w:jc w:val="center"/>
              <w:rPr>
                <w:sz w:val="24"/>
              </w:rPr>
            </w:pPr>
            <w:r w:rsidRPr="00E73EB6">
              <w:rPr>
                <w:sz w:val="24"/>
              </w:rPr>
              <w:t>Hourly Wage Rate</w:t>
            </w:r>
          </w:p>
        </w:tc>
        <w:tc>
          <w:tcPr>
            <w:tcW w:w="3206" w:type="dxa"/>
            <w:vAlign w:val="center"/>
          </w:tcPr>
          <w:p w:rsidR="005F0537" w:rsidRPr="00E73EB6" w:rsidP="00DC5740" w14:paraId="06DD2C5D" w14:textId="77777777">
            <w:pPr>
              <w:jc w:val="center"/>
              <w:rPr>
                <w:sz w:val="24"/>
              </w:rPr>
            </w:pPr>
            <w:r w:rsidRPr="00E73EB6">
              <w:rPr>
                <w:sz w:val="24"/>
              </w:rPr>
              <w:t>Total Respondents Costs</w:t>
            </w:r>
          </w:p>
        </w:tc>
      </w:tr>
      <w:tr w14:paraId="501672E5" w14:textId="77777777" w:rsidTr="003C6448">
        <w:tblPrEx>
          <w:tblW w:w="9245" w:type="dxa"/>
          <w:tblLook w:val="04A0"/>
        </w:tblPrEx>
        <w:trPr>
          <w:trHeight w:val="359"/>
        </w:trPr>
        <w:tc>
          <w:tcPr>
            <w:tcW w:w="1627"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69617BC7" w14:textId="4903B874">
            <w:pPr>
              <w:jc w:val="center"/>
              <w:rPr>
                <w:sz w:val="24"/>
              </w:rPr>
            </w:pPr>
            <w:r w:rsidRPr="00E73EB6">
              <w:rPr>
                <w:sz w:val="24"/>
              </w:rPr>
              <w:t xml:space="preserve">Recipient </w:t>
            </w:r>
            <w:r w:rsidRPr="00E73EB6">
              <w:rPr>
                <w:sz w:val="24"/>
              </w:rPr>
              <w:t>Report</w:t>
            </w:r>
          </w:p>
        </w:tc>
        <w:tc>
          <w:tcPr>
            <w:tcW w:w="2238"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5BD666D2" w14:textId="74150717">
            <w:pPr>
              <w:jc w:val="center"/>
              <w:rPr>
                <w:sz w:val="24"/>
              </w:rPr>
            </w:pPr>
            <w:r w:rsidRPr="00E73EB6">
              <w:rPr>
                <w:sz w:val="24"/>
              </w:rPr>
              <w:t>324</w:t>
            </w:r>
          </w:p>
        </w:tc>
        <w:tc>
          <w:tcPr>
            <w:tcW w:w="2174"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4B3364D9" w14:textId="6170E62A">
            <w:pPr>
              <w:jc w:val="center"/>
              <w:rPr>
                <w:sz w:val="24"/>
              </w:rPr>
            </w:pPr>
            <w:r w:rsidRPr="00E73EB6">
              <w:rPr>
                <w:sz w:val="24"/>
              </w:rPr>
              <w:t>$</w:t>
            </w:r>
            <w:r w:rsidRPr="00E73EB6" w:rsidR="00500DB2">
              <w:rPr>
                <w:sz w:val="24"/>
              </w:rPr>
              <w:t>19.56</w:t>
            </w:r>
          </w:p>
        </w:tc>
        <w:tc>
          <w:tcPr>
            <w:tcW w:w="3206"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0DB0BB84" w14:textId="3AB8ECC1">
            <w:pPr>
              <w:jc w:val="center"/>
              <w:rPr>
                <w:sz w:val="24"/>
              </w:rPr>
            </w:pPr>
            <w:r w:rsidRPr="00E73EB6">
              <w:rPr>
                <w:sz w:val="24"/>
              </w:rPr>
              <w:t>$</w:t>
            </w:r>
            <w:r w:rsidRPr="00E73EB6" w:rsidR="00500DB2">
              <w:rPr>
                <w:sz w:val="24"/>
              </w:rPr>
              <w:t>6,337.44</w:t>
            </w:r>
          </w:p>
        </w:tc>
      </w:tr>
      <w:tr w14:paraId="322FAD24" w14:textId="77777777" w:rsidTr="003C6448">
        <w:tblPrEx>
          <w:tblW w:w="9245" w:type="dxa"/>
          <w:tblLook w:val="04A0"/>
        </w:tblPrEx>
        <w:trPr>
          <w:trHeight w:val="215"/>
        </w:trPr>
        <w:tc>
          <w:tcPr>
            <w:tcW w:w="1627"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0842A106" w14:textId="28F7B11A">
            <w:pPr>
              <w:jc w:val="center"/>
              <w:rPr>
                <w:sz w:val="24"/>
              </w:rPr>
            </w:pPr>
            <w:r w:rsidRPr="00E73EB6">
              <w:rPr>
                <w:sz w:val="24"/>
              </w:rPr>
              <w:t>Client Report</w:t>
            </w:r>
          </w:p>
        </w:tc>
        <w:tc>
          <w:tcPr>
            <w:tcW w:w="2238"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7F2810E2" w14:textId="275B7672">
            <w:pPr>
              <w:jc w:val="center"/>
              <w:rPr>
                <w:sz w:val="24"/>
              </w:rPr>
            </w:pPr>
            <w:r w:rsidRPr="00E73EB6">
              <w:rPr>
                <w:sz w:val="24"/>
              </w:rPr>
              <w:t>4,374</w:t>
            </w:r>
          </w:p>
        </w:tc>
        <w:tc>
          <w:tcPr>
            <w:tcW w:w="2174"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3F1CA6A9" w14:textId="635F7DFB">
            <w:pPr>
              <w:jc w:val="center"/>
              <w:rPr>
                <w:sz w:val="24"/>
              </w:rPr>
            </w:pPr>
            <w:r w:rsidRPr="00E73EB6">
              <w:rPr>
                <w:sz w:val="24"/>
              </w:rPr>
              <w:t>$</w:t>
            </w:r>
            <w:r w:rsidRPr="00E73EB6" w:rsidR="00500DB2">
              <w:rPr>
                <w:sz w:val="24"/>
              </w:rPr>
              <w:t>19.56</w:t>
            </w:r>
          </w:p>
        </w:tc>
        <w:tc>
          <w:tcPr>
            <w:tcW w:w="3206"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49328546" w14:textId="0AD8D03A">
            <w:pPr>
              <w:jc w:val="center"/>
              <w:rPr>
                <w:sz w:val="24"/>
              </w:rPr>
            </w:pPr>
            <w:r w:rsidRPr="00E73EB6">
              <w:rPr>
                <w:sz w:val="24"/>
              </w:rPr>
              <w:t>$</w:t>
            </w:r>
            <w:r w:rsidRPr="00E73EB6" w:rsidR="006C17ED">
              <w:rPr>
                <w:sz w:val="24"/>
              </w:rPr>
              <w:t>85,555.44</w:t>
            </w:r>
          </w:p>
        </w:tc>
      </w:tr>
      <w:tr w14:paraId="6A5F4B0C" w14:textId="77777777" w:rsidTr="00A32C02">
        <w:tblPrEx>
          <w:tblW w:w="9245" w:type="dxa"/>
          <w:tblLook w:val="04A0"/>
        </w:tblPrEx>
        <w:trPr>
          <w:trHeight w:val="782"/>
        </w:trPr>
        <w:tc>
          <w:tcPr>
            <w:tcW w:w="1627"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69150991" w14:textId="77777777">
            <w:pPr>
              <w:jc w:val="center"/>
              <w:rPr>
                <w:b/>
                <w:bCs/>
                <w:sz w:val="24"/>
              </w:rPr>
            </w:pPr>
            <w:r w:rsidRPr="00E73EB6">
              <w:rPr>
                <w:b/>
                <w:bCs/>
                <w:sz w:val="24"/>
              </w:rPr>
              <w:t>Total</w:t>
            </w:r>
          </w:p>
        </w:tc>
        <w:tc>
          <w:tcPr>
            <w:tcW w:w="2238"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671CF11D" w14:textId="433ACD3F">
            <w:pPr>
              <w:jc w:val="center"/>
              <w:rPr>
                <w:b/>
                <w:bCs/>
                <w:sz w:val="24"/>
              </w:rPr>
            </w:pPr>
            <w:r w:rsidRPr="00E73EB6">
              <w:rPr>
                <w:b/>
                <w:bCs/>
                <w:sz w:val="24"/>
              </w:rPr>
              <w:t>4,698</w:t>
            </w:r>
          </w:p>
        </w:tc>
        <w:tc>
          <w:tcPr>
            <w:tcW w:w="2174" w:type="dxa"/>
            <w:tcBorders>
              <w:top w:val="single" w:sz="4" w:space="0" w:color="auto"/>
              <w:left w:val="single" w:sz="4" w:space="0" w:color="auto"/>
              <w:bottom w:val="single" w:sz="4" w:space="0" w:color="auto"/>
              <w:right w:val="single" w:sz="4" w:space="0" w:color="auto"/>
            </w:tcBorders>
            <w:vAlign w:val="center"/>
          </w:tcPr>
          <w:p w:rsidR="005F0537" w:rsidRPr="00E73EB6" w:rsidP="00DC5740" w14:paraId="5C5AE5E3" w14:textId="77777777">
            <w:pPr>
              <w:jc w:val="center"/>
              <w:rPr>
                <w:sz w:val="24"/>
              </w:rPr>
            </w:pPr>
          </w:p>
        </w:tc>
        <w:tc>
          <w:tcPr>
            <w:tcW w:w="3206" w:type="dxa"/>
            <w:tcBorders>
              <w:top w:val="single" w:sz="4" w:space="0" w:color="auto"/>
              <w:left w:val="single" w:sz="4" w:space="0" w:color="auto"/>
              <w:bottom w:val="single" w:sz="4" w:space="0" w:color="auto"/>
              <w:right w:val="single" w:sz="4" w:space="0" w:color="auto"/>
            </w:tcBorders>
            <w:vAlign w:val="center"/>
          </w:tcPr>
          <w:p w:rsidR="0074188F" w:rsidRPr="00E73EB6" w:rsidP="0074188F" w14:paraId="2C347F12" w14:textId="61DE51DF">
            <w:pPr>
              <w:jc w:val="center"/>
              <w:rPr>
                <w:bCs/>
                <w:sz w:val="24"/>
              </w:rPr>
            </w:pPr>
            <w:bookmarkStart w:id="1" w:name="_Hlk26440871"/>
            <w:r w:rsidRPr="00E73EB6">
              <w:rPr>
                <w:bCs/>
                <w:sz w:val="24"/>
              </w:rPr>
              <w:t>$91</w:t>
            </w:r>
            <w:r w:rsidRPr="00E73EB6" w:rsidR="009759D2">
              <w:rPr>
                <w:bCs/>
                <w:sz w:val="24"/>
              </w:rPr>
              <w:t>,</w:t>
            </w:r>
            <w:r w:rsidRPr="00E73EB6">
              <w:rPr>
                <w:bCs/>
                <w:sz w:val="24"/>
              </w:rPr>
              <w:t>8</w:t>
            </w:r>
            <w:r w:rsidRPr="00E73EB6" w:rsidR="00A32C02">
              <w:rPr>
                <w:bCs/>
                <w:sz w:val="24"/>
              </w:rPr>
              <w:t>92.88</w:t>
            </w:r>
            <w:bookmarkEnd w:id="1"/>
            <w:r w:rsidRPr="00E73EB6" w:rsidR="009759D2">
              <w:rPr>
                <w:bCs/>
                <w:sz w:val="24"/>
              </w:rPr>
              <w:t xml:space="preserve"> </w:t>
            </w:r>
            <w:r w:rsidRPr="00E73EB6">
              <w:rPr>
                <w:bCs/>
                <w:sz w:val="24"/>
              </w:rPr>
              <w:t>x 2 (overhead/fringe) =</w:t>
            </w:r>
          </w:p>
          <w:p w:rsidR="005F0537" w:rsidRPr="00E73EB6" w:rsidP="00DC5740" w14:paraId="26321513" w14:textId="4B56F413">
            <w:pPr>
              <w:jc w:val="center"/>
              <w:rPr>
                <w:b/>
                <w:bCs/>
                <w:sz w:val="24"/>
              </w:rPr>
            </w:pPr>
            <w:r w:rsidRPr="00E73EB6">
              <w:rPr>
                <w:b/>
                <w:bCs/>
                <w:sz w:val="24"/>
              </w:rPr>
              <w:t>$</w:t>
            </w:r>
            <w:r w:rsidRPr="00E73EB6" w:rsidR="009759D2">
              <w:rPr>
                <w:b/>
                <w:bCs/>
                <w:sz w:val="24"/>
              </w:rPr>
              <w:t>183</w:t>
            </w:r>
            <w:r w:rsidRPr="00E73EB6" w:rsidR="00A32C02">
              <w:rPr>
                <w:b/>
                <w:bCs/>
                <w:sz w:val="24"/>
              </w:rPr>
              <w:t>,785.76</w:t>
            </w:r>
          </w:p>
        </w:tc>
      </w:tr>
    </w:tbl>
    <w:p w:rsidR="00517CB6" w:rsidRPr="00E73EB6" w:rsidP="00517CB6" w14:paraId="551EB370" w14:textId="77777777">
      <w:pPr>
        <w:tabs>
          <w:tab w:val="num" w:pos="720"/>
        </w:tabs>
        <w:spacing w:before="120"/>
        <w:rPr>
          <w:bCs/>
          <w:i/>
          <w:iCs/>
          <w:sz w:val="24"/>
        </w:rPr>
      </w:pPr>
      <w:r w:rsidRPr="00E73EB6">
        <w:rPr>
          <w:bCs/>
          <w:i/>
          <w:iCs/>
          <w:sz w:val="24"/>
        </w:rPr>
        <w:t>Planned frequency of information collection:</w:t>
      </w:r>
    </w:p>
    <w:p w:rsidR="003C6448" w:rsidP="000676B1" w14:paraId="1FC1C281" w14:textId="38566D9E">
      <w:pPr>
        <w:tabs>
          <w:tab w:val="num" w:pos="720"/>
        </w:tabs>
        <w:spacing w:before="120"/>
        <w:rPr>
          <w:spacing w:val="1"/>
          <w:w w:val="105"/>
          <w:sz w:val="24"/>
        </w:rPr>
      </w:pPr>
      <w:r w:rsidRPr="00E73EB6">
        <w:rPr>
          <w:bCs/>
          <w:sz w:val="24"/>
        </w:rPr>
        <w:t xml:space="preserve">The ADR submission occurs once a year while data collection is </w:t>
      </w:r>
      <w:r w:rsidR="00990D54">
        <w:rPr>
          <w:bCs/>
          <w:sz w:val="24"/>
        </w:rPr>
        <w:t>an on-on going</w:t>
      </w:r>
      <w:r w:rsidRPr="00E73EB6">
        <w:rPr>
          <w:bCs/>
          <w:sz w:val="24"/>
        </w:rPr>
        <w:t xml:space="preserve"> process throughout the year. The EHB which houses the ADR will be open to </w:t>
      </w:r>
      <w:r w:rsidRPr="00E73EB6">
        <w:rPr>
          <w:spacing w:val="1"/>
          <w:w w:val="105"/>
          <w:sz w:val="24"/>
        </w:rPr>
        <w:t xml:space="preserve">recipients in April and the submission deadline is in June. </w:t>
      </w:r>
    </w:p>
    <w:p w:rsidR="00B50A61" w:rsidRPr="00E73EB6" w:rsidP="00C0107A" w14:paraId="7D9D7AA9" w14:textId="1E725D30">
      <w:pPr>
        <w:numPr>
          <w:ilvl w:val="0"/>
          <w:numId w:val="1"/>
        </w:numPr>
        <w:spacing w:before="240"/>
        <w:rPr>
          <w:b/>
          <w:sz w:val="24"/>
        </w:rPr>
      </w:pPr>
      <w:r w:rsidRPr="00E73EB6">
        <w:rPr>
          <w:b/>
          <w:sz w:val="24"/>
          <w:u w:val="single"/>
        </w:rPr>
        <w:t>Estimates of Annual</w:t>
      </w:r>
      <w:r w:rsidRPr="00E73EB6" w:rsidR="00E63714">
        <w:rPr>
          <w:b/>
          <w:sz w:val="24"/>
          <w:u w:val="single"/>
        </w:rPr>
        <w:t>ized</w:t>
      </w:r>
      <w:r w:rsidRPr="00E73EB6">
        <w:rPr>
          <w:b/>
          <w:sz w:val="24"/>
          <w:u w:val="single"/>
        </w:rPr>
        <w:t xml:space="preserve"> Cost Burden to Respondents</w:t>
      </w:r>
    </w:p>
    <w:p w:rsidR="003C6448" w:rsidRPr="00E73EB6" w:rsidP="00B50A61" w14:paraId="7C0FDA21" w14:textId="63C71F95">
      <w:pPr>
        <w:spacing w:before="240"/>
        <w:rPr>
          <w:sz w:val="24"/>
        </w:rPr>
      </w:pPr>
      <w:r w:rsidRPr="00E73EB6">
        <w:rPr>
          <w:rStyle w:val="BodyTextFi"/>
          <w:sz w:val="24"/>
        </w:rPr>
        <w:t>There are no direct costs to respondents other than their time in participating in the data collection and quality assurance.</w:t>
      </w:r>
    </w:p>
    <w:p w:rsidR="00B50A61" w:rsidRPr="00E73EB6" w:rsidP="00C0107A" w14:paraId="62304F9E" w14:textId="156936ED">
      <w:pPr>
        <w:numPr>
          <w:ilvl w:val="0"/>
          <w:numId w:val="1"/>
        </w:numPr>
        <w:spacing w:before="240"/>
        <w:rPr>
          <w:b/>
          <w:sz w:val="24"/>
        </w:rPr>
      </w:pPr>
      <w:r w:rsidRPr="00E73EB6">
        <w:rPr>
          <w:b/>
          <w:sz w:val="24"/>
          <w:u w:val="single"/>
        </w:rPr>
        <w:t xml:space="preserve">Estimates of </w:t>
      </w:r>
      <w:r w:rsidRPr="00E73EB6" w:rsidR="009B3794">
        <w:rPr>
          <w:b/>
          <w:sz w:val="24"/>
          <w:u w:val="single"/>
        </w:rPr>
        <w:t>Annualized Cost to</w:t>
      </w:r>
      <w:r w:rsidRPr="00E73EB6">
        <w:rPr>
          <w:b/>
          <w:sz w:val="24"/>
          <w:u w:val="single"/>
        </w:rPr>
        <w:t xml:space="preserve"> the</w:t>
      </w:r>
      <w:r w:rsidRPr="00E73EB6" w:rsidR="009B3794">
        <w:rPr>
          <w:b/>
          <w:sz w:val="24"/>
          <w:u w:val="single"/>
        </w:rPr>
        <w:t xml:space="preserve"> Government</w:t>
      </w:r>
      <w:r w:rsidRPr="00E73EB6" w:rsidR="00BA3E25">
        <w:rPr>
          <w:b/>
          <w:sz w:val="24"/>
          <w:u w:val="single"/>
        </w:rPr>
        <w:br/>
      </w:r>
    </w:p>
    <w:p w:rsidR="00637446" w:rsidRPr="00E73EB6" w:rsidP="001B1F4B" w14:paraId="731F561B" w14:textId="211E5371">
      <w:pPr>
        <w:rPr>
          <w:sz w:val="24"/>
        </w:rPr>
      </w:pPr>
      <w:r w:rsidRPr="00E73EB6">
        <w:rPr>
          <w:rStyle w:val="BodyTextFi"/>
          <w:sz w:val="24"/>
        </w:rPr>
        <w:t xml:space="preserve">HRSA has maintained a contract to provide technical assistance, distribute the OMB-approved </w:t>
      </w:r>
      <w:r w:rsidRPr="00E73EB6">
        <w:rPr>
          <w:sz w:val="24"/>
        </w:rPr>
        <w:t xml:space="preserve">HRSA </w:t>
      </w:r>
      <w:r w:rsidR="002C3367">
        <w:rPr>
          <w:sz w:val="24"/>
        </w:rPr>
        <w:t>RWHAP</w:t>
      </w:r>
      <w:r w:rsidRPr="00E73EB6" w:rsidR="00136393">
        <w:rPr>
          <w:sz w:val="24"/>
        </w:rPr>
        <w:t xml:space="preserve"> </w:t>
      </w:r>
      <w:r w:rsidRPr="00E73EB6" w:rsidR="009759D2">
        <w:rPr>
          <w:sz w:val="24"/>
        </w:rPr>
        <w:t>ADR</w:t>
      </w:r>
      <w:r w:rsidRPr="00E73EB6">
        <w:rPr>
          <w:rStyle w:val="BodyTextFi"/>
          <w:sz w:val="24"/>
        </w:rPr>
        <w:t>, and perform data entry and analysis. For</w:t>
      </w:r>
      <w:r w:rsidRPr="00E73EB6" w:rsidR="00F23D81">
        <w:rPr>
          <w:rStyle w:val="BodyTextFi"/>
          <w:sz w:val="24"/>
        </w:rPr>
        <w:t xml:space="preserve"> FY</w:t>
      </w:r>
      <w:r w:rsidR="00CF41CA">
        <w:rPr>
          <w:rStyle w:val="BodyTextFi"/>
          <w:sz w:val="24"/>
        </w:rPr>
        <w:t xml:space="preserve"> </w:t>
      </w:r>
      <w:r w:rsidRPr="00E73EB6" w:rsidR="00F23D81">
        <w:rPr>
          <w:rStyle w:val="BodyTextFi"/>
          <w:sz w:val="24"/>
        </w:rPr>
        <w:t>2023</w:t>
      </w:r>
      <w:r w:rsidRPr="00E73EB6">
        <w:rPr>
          <w:rStyle w:val="BodyTextFi"/>
          <w:sz w:val="24"/>
        </w:rPr>
        <w:t xml:space="preserve">, this contract </w:t>
      </w:r>
      <w:r w:rsidRPr="00E73EB6" w:rsidR="00136393">
        <w:rPr>
          <w:rStyle w:val="BodyTextFi"/>
          <w:sz w:val="24"/>
        </w:rPr>
        <w:t>is</w:t>
      </w:r>
      <w:r w:rsidRPr="00E73EB6">
        <w:rPr>
          <w:rStyle w:val="BodyTextFi"/>
          <w:sz w:val="24"/>
        </w:rPr>
        <w:t xml:space="preserve"> $1,7</w:t>
      </w:r>
      <w:r w:rsidRPr="00E73EB6" w:rsidR="00866262">
        <w:rPr>
          <w:rStyle w:val="BodyTextFi"/>
          <w:sz w:val="24"/>
        </w:rPr>
        <w:t>67</w:t>
      </w:r>
      <w:r w:rsidRPr="00E73EB6" w:rsidR="001B1F4B">
        <w:rPr>
          <w:rStyle w:val="BodyTextFi"/>
          <w:sz w:val="24"/>
        </w:rPr>
        <w:t>,253.26</w:t>
      </w:r>
      <w:r w:rsidRPr="00E73EB6">
        <w:rPr>
          <w:rStyle w:val="BodyTextFi"/>
          <w:sz w:val="24"/>
        </w:rPr>
        <w:t xml:space="preserve">.  </w:t>
      </w:r>
      <w:r w:rsidRPr="00E73EB6" w:rsidR="00C03940">
        <w:rPr>
          <w:rStyle w:val="BodyTextFi"/>
          <w:sz w:val="24"/>
        </w:rPr>
        <w:t xml:space="preserve">In addition, government personnel </w:t>
      </w:r>
      <w:r w:rsidRPr="00E73EB6" w:rsidR="00C03940">
        <w:rPr>
          <w:rStyle w:val="BodyTextFi"/>
          <w:sz w:val="24"/>
        </w:rPr>
        <w:t>requires</w:t>
      </w:r>
      <w:r w:rsidRPr="00E73EB6" w:rsidR="00C03940">
        <w:rPr>
          <w:rStyle w:val="BodyTextFi"/>
          <w:sz w:val="24"/>
        </w:rPr>
        <w:t xml:space="preserve"> 10% time of 1 FTE at a GS-13 level ($1</w:t>
      </w:r>
      <w:r w:rsidR="00C31D35">
        <w:rPr>
          <w:rStyle w:val="BodyTextFi"/>
          <w:sz w:val="24"/>
        </w:rPr>
        <w:t>12,015</w:t>
      </w:r>
      <w:r w:rsidRPr="00E73EB6" w:rsidR="00C03940">
        <w:rPr>
          <w:rStyle w:val="BodyTextFi"/>
          <w:sz w:val="24"/>
        </w:rPr>
        <w:t>) to review and prepare award notices (approximately $1</w:t>
      </w:r>
      <w:r w:rsidR="00C31D35">
        <w:rPr>
          <w:rStyle w:val="BodyTextFi"/>
          <w:sz w:val="24"/>
        </w:rPr>
        <w:t>1,201.50</w:t>
      </w:r>
      <w:r w:rsidRPr="00E73EB6" w:rsidR="00C03940">
        <w:rPr>
          <w:rStyle w:val="BodyTextFi"/>
          <w:sz w:val="24"/>
        </w:rPr>
        <w:t xml:space="preserve">).  The total estimated cost is </w:t>
      </w:r>
      <w:r w:rsidRPr="00E73EB6" w:rsidR="003F0924">
        <w:rPr>
          <w:rStyle w:val="BodyTextFi"/>
          <w:sz w:val="24"/>
        </w:rPr>
        <w:t>$</w:t>
      </w:r>
      <w:r w:rsidRPr="00C31D35" w:rsidR="00C31D35">
        <w:rPr>
          <w:rStyle w:val="BodyTextFi"/>
          <w:sz w:val="24"/>
        </w:rPr>
        <w:t>1,778,454.76</w:t>
      </w:r>
      <w:r w:rsidRPr="00E73EB6" w:rsidR="00C03940">
        <w:rPr>
          <w:rStyle w:val="BodyTextFi"/>
          <w:sz w:val="24"/>
        </w:rPr>
        <w:t>.</w:t>
      </w:r>
    </w:p>
    <w:p w:rsidR="007609F8" w:rsidRPr="00E73EB6" w:rsidP="007609F8" w14:paraId="1B4C124B" w14:textId="77777777">
      <w:pPr>
        <w:widowControl/>
        <w:autoSpaceDE/>
        <w:autoSpaceDN/>
        <w:adjustRightInd/>
        <w:spacing w:after="160" w:line="259" w:lineRule="auto"/>
        <w:contextualSpacing/>
        <w:rPr>
          <w:sz w:val="24"/>
        </w:rPr>
      </w:pPr>
    </w:p>
    <w:p w:rsidR="00B50A61" w:rsidRPr="00E73EB6" w:rsidP="00C0107A" w14:paraId="50668E81" w14:textId="766C6958">
      <w:pPr>
        <w:numPr>
          <w:ilvl w:val="0"/>
          <w:numId w:val="1"/>
        </w:numPr>
        <w:spacing w:before="240"/>
        <w:rPr>
          <w:b/>
          <w:sz w:val="24"/>
        </w:rPr>
      </w:pPr>
      <w:r w:rsidRPr="00E73EB6">
        <w:rPr>
          <w:b/>
          <w:sz w:val="24"/>
          <w:u w:val="single"/>
        </w:rPr>
        <w:t>Explanation for Program Changes or Adjustments</w:t>
      </w:r>
    </w:p>
    <w:p w:rsidR="00E070DB" w:rsidRPr="00E73EB6" w:rsidP="00E070DB" w14:paraId="76C881EB" w14:textId="77777777">
      <w:pPr>
        <w:pStyle w:val="ColorfulList-Accent11"/>
        <w:ind w:left="0"/>
        <w:rPr>
          <w:rFonts w:ascii="Times New Roman" w:hAnsi="Times New Roman"/>
          <w:sz w:val="24"/>
          <w:szCs w:val="24"/>
        </w:rPr>
      </w:pPr>
    </w:p>
    <w:p w:rsidR="00390BC6" w:rsidRPr="00E73EB6" w:rsidP="004F2035" w14:paraId="4A4477D5" w14:textId="33CC1A97">
      <w:pPr>
        <w:pStyle w:val="ColorfulList-Accent11"/>
        <w:ind w:left="0"/>
        <w:rPr>
          <w:rFonts w:ascii="Times New Roman" w:hAnsi="Times New Roman"/>
          <w:sz w:val="24"/>
          <w:szCs w:val="24"/>
        </w:rPr>
      </w:pPr>
      <w:r w:rsidRPr="00E73EB6">
        <w:rPr>
          <w:rFonts w:ascii="Times New Roman" w:hAnsi="Times New Roman"/>
          <w:sz w:val="24"/>
          <w:szCs w:val="24"/>
        </w:rPr>
        <w:t>The</w:t>
      </w:r>
      <w:r w:rsidRPr="00E73EB6" w:rsidR="000D19AE">
        <w:rPr>
          <w:rFonts w:ascii="Times New Roman" w:hAnsi="Times New Roman"/>
          <w:sz w:val="24"/>
          <w:szCs w:val="24"/>
        </w:rPr>
        <w:t xml:space="preserve"> </w:t>
      </w:r>
      <w:r w:rsidRPr="00E73EB6">
        <w:rPr>
          <w:rFonts w:ascii="Times New Roman" w:hAnsi="Times New Roman"/>
          <w:sz w:val="24"/>
          <w:szCs w:val="24"/>
        </w:rPr>
        <w:t>4,698</w:t>
      </w:r>
      <w:r w:rsidRPr="00E73EB6" w:rsidR="000D19AE">
        <w:rPr>
          <w:rFonts w:ascii="Times New Roman" w:hAnsi="Times New Roman"/>
          <w:sz w:val="24"/>
          <w:szCs w:val="24"/>
        </w:rPr>
        <w:t xml:space="preserve"> </w:t>
      </w:r>
      <w:r w:rsidRPr="00E73EB6">
        <w:rPr>
          <w:rFonts w:ascii="Times New Roman" w:hAnsi="Times New Roman"/>
          <w:sz w:val="24"/>
          <w:szCs w:val="24"/>
        </w:rPr>
        <w:t xml:space="preserve">burden </w:t>
      </w:r>
      <w:r w:rsidRPr="00E73EB6" w:rsidR="009759D2">
        <w:rPr>
          <w:rFonts w:ascii="Times New Roman" w:hAnsi="Times New Roman"/>
          <w:sz w:val="24"/>
          <w:szCs w:val="24"/>
        </w:rPr>
        <w:t xml:space="preserve">hours </w:t>
      </w:r>
      <w:r w:rsidRPr="00E73EB6">
        <w:rPr>
          <w:rFonts w:ascii="Times New Roman" w:hAnsi="Times New Roman"/>
          <w:sz w:val="24"/>
          <w:szCs w:val="24"/>
        </w:rPr>
        <w:t xml:space="preserve">estimate of this information collection request is the same as the currently approved burden inventory. </w:t>
      </w:r>
    </w:p>
    <w:p w:rsidR="00390BC6" w:rsidRPr="00E73EB6" w:rsidP="004F2035" w14:paraId="17736647" w14:textId="77777777">
      <w:pPr>
        <w:pStyle w:val="ColorfulList-Accent11"/>
        <w:ind w:left="0"/>
        <w:rPr>
          <w:rFonts w:ascii="Times New Roman" w:hAnsi="Times New Roman"/>
          <w:sz w:val="24"/>
          <w:szCs w:val="24"/>
        </w:rPr>
      </w:pPr>
    </w:p>
    <w:p w:rsidR="00825419" w:rsidRPr="00E73EB6" w:rsidP="004F2035" w14:paraId="4B87B64A" w14:textId="452FDC72">
      <w:pPr>
        <w:pStyle w:val="ColorfulList-Accent11"/>
        <w:ind w:left="0"/>
        <w:rPr>
          <w:rFonts w:ascii="Times New Roman" w:hAnsi="Times New Roman"/>
          <w:sz w:val="24"/>
          <w:szCs w:val="24"/>
        </w:rPr>
      </w:pPr>
      <w:r w:rsidRPr="00E73EB6">
        <w:rPr>
          <w:rFonts w:ascii="Times New Roman" w:hAnsi="Times New Roman"/>
          <w:sz w:val="24"/>
          <w:szCs w:val="24"/>
        </w:rPr>
        <w:t xml:space="preserve">The </w:t>
      </w:r>
      <w:r w:rsidRPr="00E73EB6" w:rsidR="00E031E7">
        <w:rPr>
          <w:rFonts w:ascii="Times New Roman" w:hAnsi="Times New Roman"/>
          <w:sz w:val="24"/>
          <w:szCs w:val="24"/>
        </w:rPr>
        <w:t xml:space="preserve">submitted ADR FRN </w:t>
      </w:r>
      <w:r w:rsidRPr="00E73EB6">
        <w:rPr>
          <w:rFonts w:ascii="Times New Roman" w:hAnsi="Times New Roman"/>
          <w:sz w:val="24"/>
          <w:szCs w:val="24"/>
        </w:rPr>
        <w:t>include</w:t>
      </w:r>
      <w:r w:rsidRPr="00E73EB6" w:rsidR="00E031E7">
        <w:rPr>
          <w:rFonts w:ascii="Times New Roman" w:hAnsi="Times New Roman"/>
          <w:sz w:val="24"/>
          <w:szCs w:val="24"/>
        </w:rPr>
        <w:t>s</w:t>
      </w:r>
      <w:r w:rsidRPr="00E73EB6">
        <w:rPr>
          <w:rFonts w:ascii="Times New Roman" w:hAnsi="Times New Roman"/>
          <w:sz w:val="24"/>
          <w:szCs w:val="24"/>
        </w:rPr>
        <w:t xml:space="preserve"> </w:t>
      </w:r>
      <w:r w:rsidRPr="00E73EB6">
        <w:rPr>
          <w:rFonts w:ascii="Times New Roman" w:hAnsi="Times New Roman"/>
          <w:sz w:val="24"/>
          <w:szCs w:val="24"/>
        </w:rPr>
        <w:t xml:space="preserve">three </w:t>
      </w:r>
      <w:r w:rsidRPr="00E73EB6" w:rsidR="006D3621">
        <w:rPr>
          <w:rFonts w:ascii="Times New Roman" w:hAnsi="Times New Roman"/>
          <w:sz w:val="24"/>
          <w:szCs w:val="24"/>
        </w:rPr>
        <w:t xml:space="preserve">proposed </w:t>
      </w:r>
      <w:r w:rsidRPr="00E73EB6" w:rsidR="00893FB4">
        <w:rPr>
          <w:rFonts w:ascii="Times New Roman" w:hAnsi="Times New Roman"/>
          <w:sz w:val="24"/>
          <w:szCs w:val="24"/>
        </w:rPr>
        <w:t>revisions</w:t>
      </w:r>
      <w:r w:rsidRPr="00E73EB6" w:rsidR="006D3621">
        <w:rPr>
          <w:rFonts w:ascii="Times New Roman" w:hAnsi="Times New Roman"/>
          <w:sz w:val="24"/>
          <w:szCs w:val="24"/>
        </w:rPr>
        <w:t>:</w:t>
      </w:r>
    </w:p>
    <w:p w:rsidR="00825419" w:rsidRPr="00E73EB6" w:rsidP="004F2035" w14:paraId="47DCD299" w14:textId="77777777">
      <w:pPr>
        <w:pStyle w:val="ColorfulList-Accent11"/>
        <w:ind w:left="0"/>
        <w:rPr>
          <w:rFonts w:ascii="Times New Roman" w:hAnsi="Times New Roman"/>
          <w:sz w:val="24"/>
          <w:szCs w:val="24"/>
        </w:rPr>
      </w:pPr>
    </w:p>
    <w:p w:rsidR="004F00C7" w:rsidRPr="00E73EB6" w:rsidP="006D3621" w14:paraId="06F8C639" w14:textId="17A9DD0B">
      <w:pPr>
        <w:pStyle w:val="ListParagraph"/>
        <w:numPr>
          <w:ilvl w:val="0"/>
          <w:numId w:val="7"/>
        </w:numPr>
        <w:contextualSpacing/>
        <w:rPr>
          <w:sz w:val="24"/>
        </w:rPr>
      </w:pPr>
      <w:r w:rsidRPr="00E73EB6">
        <w:rPr>
          <w:sz w:val="24"/>
        </w:rPr>
        <w:t xml:space="preserve">Replacement of the Recertification Date variable with the Last Date of Eligibility Confirmation will remove the previous 6-month recertification requirement, which is no longer required by policy, </w:t>
      </w:r>
      <w:r w:rsidRPr="00E73EB6">
        <w:rPr>
          <w:i/>
          <w:iCs/>
          <w:sz w:val="24"/>
        </w:rPr>
        <w:t>see</w:t>
      </w:r>
      <w:r w:rsidRPr="00E73EB6">
        <w:rPr>
          <w:sz w:val="24"/>
        </w:rPr>
        <w:t xml:space="preserve"> </w:t>
      </w:r>
      <w:hyperlink r:id="rId10" w:history="1">
        <w:r w:rsidRPr="00E73EB6">
          <w:rPr>
            <w:rStyle w:val="Hyperlink"/>
            <w:sz w:val="24"/>
          </w:rPr>
          <w:t>Policy Clarification Notice 21-02</w:t>
        </w:r>
      </w:hyperlink>
      <w:r w:rsidRPr="00E73EB6">
        <w:rPr>
          <w:sz w:val="24"/>
        </w:rPr>
        <w:t>, and allow</w:t>
      </w:r>
      <w:r w:rsidRPr="00E73EB6" w:rsidR="00E018BF">
        <w:rPr>
          <w:sz w:val="24"/>
        </w:rPr>
        <w:t>s</w:t>
      </w:r>
      <w:r w:rsidRPr="00E73EB6">
        <w:rPr>
          <w:sz w:val="24"/>
        </w:rPr>
        <w:t xml:space="preserve"> Recipients to report the latest eligibility confirmation date for existing clients;</w:t>
      </w:r>
    </w:p>
    <w:p w:rsidR="004F00C7" w:rsidRPr="00E73EB6" w:rsidP="006D3621" w14:paraId="10D91F4D" w14:textId="77777777">
      <w:pPr>
        <w:pStyle w:val="ListParagraph"/>
        <w:numPr>
          <w:ilvl w:val="0"/>
          <w:numId w:val="7"/>
        </w:numPr>
        <w:contextualSpacing/>
        <w:rPr>
          <w:sz w:val="24"/>
        </w:rPr>
      </w:pPr>
      <w:r w:rsidRPr="00E73EB6">
        <w:rPr>
          <w:sz w:val="24"/>
        </w:rPr>
        <w:t xml:space="preserve">Reinstate a question that was inadvertently removed from the 2021 ADR that is needed to assess the quality of medication </w:t>
      </w:r>
      <w:r w:rsidRPr="00E73EB6">
        <w:rPr>
          <w:sz w:val="24"/>
        </w:rPr>
        <w:t>data;</w:t>
      </w:r>
      <w:r w:rsidRPr="00E73EB6">
        <w:rPr>
          <w:sz w:val="24"/>
        </w:rPr>
        <w:t xml:space="preserve"> and</w:t>
      </w:r>
    </w:p>
    <w:p w:rsidR="00B50A61" w:rsidRPr="000676B1" w:rsidP="000676B1" w14:paraId="0489B044" w14:textId="0AF53FE4">
      <w:pPr>
        <w:pStyle w:val="ListParagraph"/>
        <w:numPr>
          <w:ilvl w:val="0"/>
          <w:numId w:val="7"/>
        </w:numPr>
        <w:contextualSpacing/>
        <w:rPr>
          <w:b/>
          <w:sz w:val="24"/>
        </w:rPr>
      </w:pPr>
      <w:r w:rsidRPr="000676B1">
        <w:rPr>
          <w:sz w:val="24"/>
        </w:rPr>
        <w:t xml:space="preserve">Change the DUNS number variable to Unique Entity Identifier (UEI). On April 4, 2022, the Federal Government stopped using DUNs numbers, </w:t>
      </w:r>
      <w:r w:rsidRPr="000676B1">
        <w:rPr>
          <w:color w:val="1B1B1B"/>
          <w:sz w:val="24"/>
          <w:shd w:val="clear" w:color="auto" w:fill="FFFFFF"/>
        </w:rPr>
        <w:t xml:space="preserve">making it less burdensome for entities to do </w:t>
      </w:r>
      <w:r w:rsidRPr="000676B1">
        <w:rPr>
          <w:sz w:val="24"/>
        </w:rPr>
        <w:t>business</w:t>
      </w:r>
      <w:r w:rsidRPr="000676B1">
        <w:rPr>
          <w:color w:val="1B1B1B"/>
          <w:sz w:val="24"/>
          <w:shd w:val="clear" w:color="auto" w:fill="FFFFFF"/>
        </w:rPr>
        <w:t xml:space="preserve"> with the federal government.</w:t>
      </w:r>
      <w:r w:rsidRPr="000676B1">
        <w:rPr>
          <w:sz w:val="24"/>
        </w:rPr>
        <w:t xml:space="preserve">  As a result, Recipients no longer </w:t>
      </w:r>
      <w:r w:rsidRPr="000676B1">
        <w:rPr>
          <w:sz w:val="24"/>
        </w:rPr>
        <w:t>have to</w:t>
      </w:r>
      <w:r w:rsidRPr="000676B1">
        <w:rPr>
          <w:sz w:val="24"/>
        </w:rPr>
        <w:t xml:space="preserve"> report the DUNs number in the ADR.</w:t>
      </w:r>
    </w:p>
    <w:p w:rsidR="00B50A61" w:rsidRPr="00E73EB6" w:rsidP="00C0107A" w14:paraId="313BDEBF" w14:textId="04AC8D06">
      <w:pPr>
        <w:numPr>
          <w:ilvl w:val="0"/>
          <w:numId w:val="1"/>
        </w:numPr>
        <w:spacing w:before="240"/>
        <w:rPr>
          <w:b/>
          <w:sz w:val="24"/>
        </w:rPr>
      </w:pPr>
      <w:r w:rsidRPr="00E73EB6">
        <w:rPr>
          <w:b/>
          <w:sz w:val="24"/>
          <w:u w:val="single"/>
        </w:rPr>
        <w:t xml:space="preserve">Plans for </w:t>
      </w:r>
      <w:r w:rsidRPr="00E73EB6" w:rsidR="0013248D">
        <w:rPr>
          <w:b/>
          <w:sz w:val="24"/>
          <w:u w:val="single"/>
        </w:rPr>
        <w:t>Tabulation, Publication, and Project Time Schedule</w:t>
      </w:r>
    </w:p>
    <w:p w:rsidR="000B13A0" w:rsidRPr="00E73EB6" w:rsidP="00EF3723" w14:paraId="2DC8FC25" w14:textId="467397F3">
      <w:pPr>
        <w:spacing w:before="120"/>
        <w:rPr>
          <w:sz w:val="24"/>
        </w:rPr>
      </w:pPr>
      <w:r w:rsidRPr="00E73EB6">
        <w:rPr>
          <w:rStyle w:val="BodyTextFi"/>
          <w:sz w:val="24"/>
        </w:rPr>
        <w:t xml:space="preserve">There are two different reporting periods for the ADR. The </w:t>
      </w:r>
      <w:r w:rsidRPr="00E73EB6" w:rsidR="00CE14B2">
        <w:rPr>
          <w:rStyle w:val="BodyTextFi"/>
          <w:sz w:val="24"/>
        </w:rPr>
        <w:t>Recipient</w:t>
      </w:r>
      <w:r w:rsidRPr="00E73EB6">
        <w:rPr>
          <w:rStyle w:val="BodyTextFi"/>
          <w:sz w:val="24"/>
        </w:rPr>
        <w:t xml:space="preserve"> Report is based on the grant year reporting period and the Client Report is based on the calendar year reporting period. The ADR is submitted in June. </w:t>
      </w:r>
      <w:r w:rsidRPr="00E73EB6">
        <w:rPr>
          <w:sz w:val="24"/>
          <w:lang w:eastAsia="ja-JP"/>
        </w:rPr>
        <w:t>HRSA compiles the data received from the ADAPs and produces an annual report for the Secretary of HHS and Congress.</w:t>
      </w:r>
      <w:r w:rsidRPr="00E73EB6" w:rsidR="002606B5">
        <w:rPr>
          <w:sz w:val="24"/>
          <w:lang w:eastAsia="ja-JP"/>
        </w:rPr>
        <w:t xml:space="preserve">  </w:t>
      </w:r>
    </w:p>
    <w:p w:rsidR="00B50A61" w:rsidRPr="00E73EB6" w:rsidP="00C0107A" w14:paraId="4E7322F0" w14:textId="1C7A215E">
      <w:pPr>
        <w:numPr>
          <w:ilvl w:val="0"/>
          <w:numId w:val="1"/>
        </w:numPr>
        <w:spacing w:before="240"/>
        <w:rPr>
          <w:b/>
          <w:sz w:val="24"/>
        </w:rPr>
      </w:pPr>
      <w:bookmarkStart w:id="2" w:name="_Ryan_White_HIV/AIDS"/>
      <w:bookmarkEnd w:id="2"/>
      <w:r w:rsidRPr="00E73EB6">
        <w:rPr>
          <w:b/>
          <w:sz w:val="24"/>
          <w:u w:val="single"/>
        </w:rPr>
        <w:t>Reason(s) Display of OMB Expiration Date is Inappropriate</w:t>
      </w:r>
    </w:p>
    <w:p w:rsidR="003C6448" w:rsidRPr="00E73EB6" w:rsidP="00B50A61" w14:paraId="74456C03" w14:textId="496D2566">
      <w:pPr>
        <w:spacing w:before="240"/>
        <w:rPr>
          <w:sz w:val="24"/>
        </w:rPr>
      </w:pPr>
      <w:r w:rsidRPr="00E73EB6">
        <w:rPr>
          <w:sz w:val="24"/>
        </w:rPr>
        <w:t>No exemption is being requested. The expiration date will be displayed</w:t>
      </w:r>
      <w:r w:rsidRPr="00E73EB6" w:rsidR="00EF3723">
        <w:rPr>
          <w:sz w:val="24"/>
        </w:rPr>
        <w:t xml:space="preserve"> appropriately.</w:t>
      </w:r>
    </w:p>
    <w:p w:rsidR="00B50A61" w:rsidRPr="00E73EB6" w:rsidP="00C0107A" w14:paraId="496B7BB0" w14:textId="386F07ED">
      <w:pPr>
        <w:numPr>
          <w:ilvl w:val="0"/>
          <w:numId w:val="1"/>
        </w:numPr>
        <w:spacing w:before="240"/>
        <w:rPr>
          <w:b/>
          <w:sz w:val="24"/>
        </w:rPr>
      </w:pPr>
      <w:r w:rsidRPr="00E73EB6">
        <w:rPr>
          <w:b/>
          <w:sz w:val="24"/>
          <w:u w:val="single"/>
        </w:rPr>
        <w:t>Exceptions to Certifications for Paperwork Reduction Act Submissions</w:t>
      </w:r>
    </w:p>
    <w:p w:rsidR="004F2035" w:rsidRPr="00E73EB6" w:rsidP="004F2035" w14:paraId="01100CA1" w14:textId="77777777">
      <w:pPr>
        <w:tabs>
          <w:tab w:val="left" w:pos="-720"/>
        </w:tabs>
        <w:rPr>
          <w:b/>
          <w:sz w:val="24"/>
        </w:rPr>
      </w:pPr>
    </w:p>
    <w:p w:rsidR="009E7063" w:rsidRPr="00E73EB6" w:rsidP="00CF41CA" w14:paraId="676A52FB" w14:textId="2E7395A5">
      <w:pPr>
        <w:tabs>
          <w:tab w:val="left" w:pos="-720"/>
        </w:tabs>
      </w:pPr>
      <w:r w:rsidRPr="00E73EB6">
        <w:rPr>
          <w:sz w:val="24"/>
        </w:rPr>
        <w:t xml:space="preserve">This information collection activity will comply with the requirements in 5 CFR 1320.9. </w:t>
      </w:r>
    </w:p>
    <w:p w:rsidR="009E7063" w:rsidRPr="00E73EB6" w14:paraId="19887682" w14:textId="77777777">
      <w:pPr>
        <w:pStyle w:val="BodyTextIndent"/>
        <w:spacing w:before="120"/>
        <w:ind w:left="360"/>
        <w:rPr>
          <w:rFonts w:ascii="Times New Roman" w:hAnsi="Times New Roman"/>
        </w:rPr>
      </w:pP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E1D" w14:paraId="59560D5A" w14:textId="77777777">
    <w:pPr>
      <w:spacing w:line="240" w:lineRule="exact"/>
    </w:pPr>
  </w:p>
  <w:p w:rsidR="00D92E1D" w14:paraId="554B28A2" w14:textId="00EA283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10C15">
      <w:rPr>
        <w:noProof/>
        <w:sz w:val="24"/>
      </w:rPr>
      <w:t>7</w:t>
    </w:r>
    <w:r>
      <w:rPr>
        <w:sz w:val="24"/>
      </w:rPr>
      <w:fldChar w:fldCharType="end"/>
    </w:r>
  </w:p>
  <w:p w:rsidR="00D92E1D" w14:paraId="3F62C11E"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274C" w14:paraId="5A4B8939" w14:textId="77777777">
      <w:r>
        <w:separator/>
      </w:r>
    </w:p>
  </w:footnote>
  <w:footnote w:type="continuationSeparator" w:id="1">
    <w:p w:rsidR="00DA274C" w14:paraId="7F88EDA6" w14:textId="77777777">
      <w:r>
        <w:continuationSeparator/>
      </w:r>
    </w:p>
  </w:footnote>
  <w:footnote w:id="2">
    <w:p w:rsidR="00A475BA" w:rsidRPr="00362F98" w:rsidP="00A475BA" w14:paraId="69C67CD6" w14:textId="77777777">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November 2017</w:t>
      </w:r>
      <w:r w:rsidRPr="00362F98">
        <w:t xml:space="preserve">. Accessed </w:t>
      </w:r>
      <w:r>
        <w:t>July 20, 2018</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877CFE"/>
    <w:multiLevelType w:val="hybridMultilevel"/>
    <w:tmpl w:val="C99C1A04"/>
    <w:lvl w:ilvl="0">
      <w:start w:val="1"/>
      <w:numFmt w:val="decimal"/>
      <w:lvlText w:val="(%1)"/>
      <w:lvlJc w:val="left"/>
      <w:pPr>
        <w:ind w:left="1512" w:hanging="360"/>
      </w:pPr>
      <w:rPr>
        <w:rFonts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
    <w:nsid w:val="35930EFE"/>
    <w:multiLevelType w:val="hybridMultilevel"/>
    <w:tmpl w:val="53568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DD2E70"/>
    <w:multiLevelType w:val="hybridMultilevel"/>
    <w:tmpl w:val="9B188F18"/>
    <w:lvl w:ilvl="0">
      <w:start w:val="1"/>
      <w:numFmt w:val="decimal"/>
      <w:lvlText w:val="(%1)"/>
      <w:lvlJc w:val="left"/>
      <w:pPr>
        <w:ind w:left="1512" w:hanging="360"/>
      </w:pPr>
      <w:rPr>
        <w:rFonts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
    <w:nsid w:val="4A1D7109"/>
    <w:multiLevelType w:val="hybridMultilevel"/>
    <w:tmpl w:val="2D3A5FC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4140"/>
        </w:tabs>
        <w:ind w:left="-4140" w:hanging="360"/>
      </w:pPr>
    </w:lvl>
    <w:lvl w:ilvl="2">
      <w:start w:val="1"/>
      <w:numFmt w:val="lowerRoman"/>
      <w:lvlText w:val="%3."/>
      <w:lvlJc w:val="right"/>
      <w:pPr>
        <w:tabs>
          <w:tab w:val="num" w:pos="-3420"/>
        </w:tabs>
        <w:ind w:left="-3420" w:hanging="180"/>
      </w:pPr>
    </w:lvl>
    <w:lvl w:ilvl="3">
      <w:start w:val="1"/>
      <w:numFmt w:val="bullet"/>
      <w:lvlText w:val=""/>
      <w:lvlJc w:val="left"/>
      <w:pPr>
        <w:tabs>
          <w:tab w:val="num" w:pos="-2700"/>
        </w:tabs>
        <w:ind w:left="-2700" w:hanging="360"/>
      </w:pPr>
      <w:rPr>
        <w:rFonts w:ascii="Symbol" w:hAnsi="Symbol" w:hint="default"/>
      </w:rPr>
    </w:lvl>
    <w:lvl w:ilvl="4">
      <w:start w:val="2"/>
      <w:numFmt w:val="upperLetter"/>
      <w:lvlText w:val="%5."/>
      <w:lvlJc w:val="left"/>
      <w:pPr>
        <w:tabs>
          <w:tab w:val="num" w:pos="-1980"/>
        </w:tabs>
        <w:ind w:left="-1980" w:hanging="360"/>
      </w:pPr>
      <w:rPr>
        <w:rFonts w:hint="default"/>
      </w:rPr>
    </w:lvl>
    <w:lvl w:ilvl="5">
      <w:start w:val="1"/>
      <w:numFmt w:val="lowerRoman"/>
      <w:lvlText w:val="%6."/>
      <w:lvlJc w:val="right"/>
      <w:pPr>
        <w:tabs>
          <w:tab w:val="num" w:pos="-1260"/>
        </w:tabs>
        <w:ind w:left="-1260" w:hanging="180"/>
      </w:pPr>
    </w:lvl>
    <w:lvl w:ilvl="6" w:tentative="1">
      <w:start w:val="1"/>
      <w:numFmt w:val="decimal"/>
      <w:lvlText w:val="%7."/>
      <w:lvlJc w:val="left"/>
      <w:pPr>
        <w:tabs>
          <w:tab w:val="num" w:pos="-540"/>
        </w:tabs>
        <w:ind w:left="-540" w:hanging="360"/>
      </w:pPr>
    </w:lvl>
    <w:lvl w:ilvl="7" w:tentative="1">
      <w:start w:val="1"/>
      <w:numFmt w:val="lowerLetter"/>
      <w:lvlText w:val="%8."/>
      <w:lvlJc w:val="left"/>
      <w:pPr>
        <w:tabs>
          <w:tab w:val="num" w:pos="180"/>
        </w:tabs>
        <w:ind w:left="180" w:hanging="360"/>
      </w:pPr>
    </w:lvl>
    <w:lvl w:ilvl="8" w:tentative="1">
      <w:start w:val="1"/>
      <w:numFmt w:val="lowerRoman"/>
      <w:lvlText w:val="%9."/>
      <w:lvlJc w:val="right"/>
      <w:pPr>
        <w:tabs>
          <w:tab w:val="num" w:pos="900"/>
        </w:tabs>
        <w:ind w:left="900" w:hanging="180"/>
      </w:pPr>
    </w:lvl>
  </w:abstractNum>
  <w:abstractNum w:abstractNumId="4">
    <w:nsid w:val="4BC92DC7"/>
    <w:multiLevelType w:val="hybridMultilevel"/>
    <w:tmpl w:val="98A0A7B8"/>
    <w:lvl w:ilvl="0">
      <w:start w:val="1"/>
      <w:numFmt w:val="bullet"/>
      <w:lvlText w:val=""/>
      <w:lvlJc w:val="left"/>
      <w:pPr>
        <w:ind w:left="1080" w:hanging="360"/>
      </w:pPr>
      <w:rPr>
        <w:rFonts w:ascii="Symbol" w:hAnsi="Symbol" w:cs="Cambria" w:hint="default"/>
      </w:rPr>
    </w:lvl>
    <w:lvl w:ilvl="1">
      <w:start w:val="1"/>
      <w:numFmt w:val="bullet"/>
      <w:lvlText w:val="o"/>
      <w:lvlJc w:val="left"/>
      <w:pPr>
        <w:ind w:left="1800" w:hanging="360"/>
      </w:pPr>
      <w:rPr>
        <w:rFonts w:ascii="Courier New" w:hAnsi="Courier New" w:cs="Symbol"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Cambria" w:hint="default"/>
      </w:rPr>
    </w:lvl>
    <w:lvl w:ilvl="4">
      <w:start w:val="1"/>
      <w:numFmt w:val="bullet"/>
      <w:lvlText w:val="o"/>
      <w:lvlJc w:val="left"/>
      <w:pPr>
        <w:ind w:left="3960" w:hanging="360"/>
      </w:pPr>
      <w:rPr>
        <w:rFonts w:ascii="Courier New" w:hAnsi="Courier New" w:cs="Symbol"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Cambria" w:hint="default"/>
      </w:rPr>
    </w:lvl>
    <w:lvl w:ilvl="7">
      <w:start w:val="1"/>
      <w:numFmt w:val="bullet"/>
      <w:lvlText w:val="o"/>
      <w:lvlJc w:val="left"/>
      <w:pPr>
        <w:ind w:left="6120" w:hanging="360"/>
      </w:pPr>
      <w:rPr>
        <w:rFonts w:ascii="Courier New" w:hAnsi="Courier New" w:cs="Symbol" w:hint="default"/>
      </w:rPr>
    </w:lvl>
    <w:lvl w:ilvl="8">
      <w:start w:val="1"/>
      <w:numFmt w:val="bullet"/>
      <w:lvlText w:val=""/>
      <w:lvlJc w:val="left"/>
      <w:pPr>
        <w:ind w:left="6840" w:hanging="360"/>
      </w:pPr>
      <w:rPr>
        <w:rFonts w:ascii="Wingdings" w:hAnsi="Wingdings" w:cs="Wingdings" w:hint="default"/>
      </w:rPr>
    </w:lvl>
  </w:abstractNum>
  <w:abstractNum w:abstractNumId="5">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abstractNumId w:val="3"/>
  </w:num>
  <w:num w:numId="2">
    <w:abstractNumId w:val="5"/>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
    <w:abstractNumId w:val="5"/>
  </w:num>
  <w:num w:numId="4">
    <w:abstractNumId w:val="2"/>
  </w:num>
  <w:num w:numId="5">
    <w:abstractNumId w:val="0"/>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048"/>
    <w:rsid w:val="000110C3"/>
    <w:rsid w:val="000115D6"/>
    <w:rsid w:val="00011980"/>
    <w:rsid w:val="00015505"/>
    <w:rsid w:val="00016680"/>
    <w:rsid w:val="000238F6"/>
    <w:rsid w:val="000240A6"/>
    <w:rsid w:val="000246DF"/>
    <w:rsid w:val="00024D97"/>
    <w:rsid w:val="00027642"/>
    <w:rsid w:val="0003279E"/>
    <w:rsid w:val="00033FCA"/>
    <w:rsid w:val="00042120"/>
    <w:rsid w:val="000437A0"/>
    <w:rsid w:val="00047180"/>
    <w:rsid w:val="0005047E"/>
    <w:rsid w:val="000608A4"/>
    <w:rsid w:val="00065F11"/>
    <w:rsid w:val="000676B1"/>
    <w:rsid w:val="00070B44"/>
    <w:rsid w:val="00071111"/>
    <w:rsid w:val="00071249"/>
    <w:rsid w:val="00083F28"/>
    <w:rsid w:val="00085A53"/>
    <w:rsid w:val="00090374"/>
    <w:rsid w:val="000919E9"/>
    <w:rsid w:val="00092428"/>
    <w:rsid w:val="00094FE1"/>
    <w:rsid w:val="00096B09"/>
    <w:rsid w:val="000A1541"/>
    <w:rsid w:val="000A599B"/>
    <w:rsid w:val="000A59F0"/>
    <w:rsid w:val="000B13A0"/>
    <w:rsid w:val="000B45BA"/>
    <w:rsid w:val="000C1D61"/>
    <w:rsid w:val="000C32F2"/>
    <w:rsid w:val="000C5507"/>
    <w:rsid w:val="000C5A79"/>
    <w:rsid w:val="000C6B62"/>
    <w:rsid w:val="000D19AE"/>
    <w:rsid w:val="000D7C74"/>
    <w:rsid w:val="000E4A4D"/>
    <w:rsid w:val="000E6886"/>
    <w:rsid w:val="000F04C6"/>
    <w:rsid w:val="00101CF2"/>
    <w:rsid w:val="0010494F"/>
    <w:rsid w:val="00104D3D"/>
    <w:rsid w:val="00112CCF"/>
    <w:rsid w:val="00117672"/>
    <w:rsid w:val="0012256A"/>
    <w:rsid w:val="0012347F"/>
    <w:rsid w:val="00124F2A"/>
    <w:rsid w:val="00125655"/>
    <w:rsid w:val="0012593B"/>
    <w:rsid w:val="00130629"/>
    <w:rsid w:val="00131520"/>
    <w:rsid w:val="0013248D"/>
    <w:rsid w:val="001325B2"/>
    <w:rsid w:val="001342F4"/>
    <w:rsid w:val="00135524"/>
    <w:rsid w:val="00136393"/>
    <w:rsid w:val="00144E48"/>
    <w:rsid w:val="00146B01"/>
    <w:rsid w:val="001551D8"/>
    <w:rsid w:val="00161F96"/>
    <w:rsid w:val="0016236A"/>
    <w:rsid w:val="001626D0"/>
    <w:rsid w:val="001702CB"/>
    <w:rsid w:val="00175A0B"/>
    <w:rsid w:val="0018037C"/>
    <w:rsid w:val="00181CDC"/>
    <w:rsid w:val="0018593F"/>
    <w:rsid w:val="001920C3"/>
    <w:rsid w:val="00194E8C"/>
    <w:rsid w:val="001B1F4B"/>
    <w:rsid w:val="001B3699"/>
    <w:rsid w:val="001B6020"/>
    <w:rsid w:val="001B6D8D"/>
    <w:rsid w:val="001C0BDC"/>
    <w:rsid w:val="001C11B1"/>
    <w:rsid w:val="001C1338"/>
    <w:rsid w:val="001C4131"/>
    <w:rsid w:val="001D3113"/>
    <w:rsid w:val="001D3642"/>
    <w:rsid w:val="001D4856"/>
    <w:rsid w:val="001E1E25"/>
    <w:rsid w:val="001E445B"/>
    <w:rsid w:val="00203B93"/>
    <w:rsid w:val="00204ADB"/>
    <w:rsid w:val="002118B4"/>
    <w:rsid w:val="00213E7E"/>
    <w:rsid w:val="00221E31"/>
    <w:rsid w:val="0022334B"/>
    <w:rsid w:val="00227E82"/>
    <w:rsid w:val="00231B15"/>
    <w:rsid w:val="00242F15"/>
    <w:rsid w:val="0025025B"/>
    <w:rsid w:val="00251A3F"/>
    <w:rsid w:val="00251BBA"/>
    <w:rsid w:val="002531C8"/>
    <w:rsid w:val="0025663C"/>
    <w:rsid w:val="002576CB"/>
    <w:rsid w:val="0026022A"/>
    <w:rsid w:val="002606B5"/>
    <w:rsid w:val="00260E0A"/>
    <w:rsid w:val="002640E7"/>
    <w:rsid w:val="00265DCE"/>
    <w:rsid w:val="0027122D"/>
    <w:rsid w:val="00273A4C"/>
    <w:rsid w:val="002765A9"/>
    <w:rsid w:val="002775B8"/>
    <w:rsid w:val="0028667D"/>
    <w:rsid w:val="00287962"/>
    <w:rsid w:val="00287B4E"/>
    <w:rsid w:val="0029389D"/>
    <w:rsid w:val="00296419"/>
    <w:rsid w:val="002A0B3A"/>
    <w:rsid w:val="002A136D"/>
    <w:rsid w:val="002B5121"/>
    <w:rsid w:val="002B56C6"/>
    <w:rsid w:val="002B690C"/>
    <w:rsid w:val="002C1719"/>
    <w:rsid w:val="002C3033"/>
    <w:rsid w:val="002C3367"/>
    <w:rsid w:val="002D6C09"/>
    <w:rsid w:val="002E3C01"/>
    <w:rsid w:val="002F12CF"/>
    <w:rsid w:val="00301E7F"/>
    <w:rsid w:val="003036AF"/>
    <w:rsid w:val="003061EB"/>
    <w:rsid w:val="003061FF"/>
    <w:rsid w:val="003119BC"/>
    <w:rsid w:val="0031232D"/>
    <w:rsid w:val="00315CBC"/>
    <w:rsid w:val="00322313"/>
    <w:rsid w:val="00322600"/>
    <w:rsid w:val="003272E8"/>
    <w:rsid w:val="0033303C"/>
    <w:rsid w:val="00341684"/>
    <w:rsid w:val="0034366C"/>
    <w:rsid w:val="00346459"/>
    <w:rsid w:val="00350DC2"/>
    <w:rsid w:val="00362F98"/>
    <w:rsid w:val="00363700"/>
    <w:rsid w:val="00363AB5"/>
    <w:rsid w:val="00373F4C"/>
    <w:rsid w:val="00390A25"/>
    <w:rsid w:val="00390BC6"/>
    <w:rsid w:val="00391E16"/>
    <w:rsid w:val="003A184C"/>
    <w:rsid w:val="003A1EE6"/>
    <w:rsid w:val="003A2F62"/>
    <w:rsid w:val="003A301B"/>
    <w:rsid w:val="003A478F"/>
    <w:rsid w:val="003A51A8"/>
    <w:rsid w:val="003B09BB"/>
    <w:rsid w:val="003B1CDB"/>
    <w:rsid w:val="003B5B6B"/>
    <w:rsid w:val="003B7B6C"/>
    <w:rsid w:val="003C41A6"/>
    <w:rsid w:val="003C6448"/>
    <w:rsid w:val="003D0684"/>
    <w:rsid w:val="003D0B28"/>
    <w:rsid w:val="003D1326"/>
    <w:rsid w:val="003D23B1"/>
    <w:rsid w:val="003D2AC6"/>
    <w:rsid w:val="003E187D"/>
    <w:rsid w:val="003E320A"/>
    <w:rsid w:val="003F0924"/>
    <w:rsid w:val="003F350E"/>
    <w:rsid w:val="00410B21"/>
    <w:rsid w:val="0042392C"/>
    <w:rsid w:val="004262D1"/>
    <w:rsid w:val="0042716A"/>
    <w:rsid w:val="00430A5B"/>
    <w:rsid w:val="00430DD5"/>
    <w:rsid w:val="004369D3"/>
    <w:rsid w:val="00444973"/>
    <w:rsid w:val="00444B57"/>
    <w:rsid w:val="004459F9"/>
    <w:rsid w:val="0044792D"/>
    <w:rsid w:val="004536A7"/>
    <w:rsid w:val="00457273"/>
    <w:rsid w:val="00460872"/>
    <w:rsid w:val="0046221A"/>
    <w:rsid w:val="00472847"/>
    <w:rsid w:val="004746CA"/>
    <w:rsid w:val="00474916"/>
    <w:rsid w:val="00490720"/>
    <w:rsid w:val="004A114B"/>
    <w:rsid w:val="004A69B8"/>
    <w:rsid w:val="004B07C8"/>
    <w:rsid w:val="004C1127"/>
    <w:rsid w:val="004D4514"/>
    <w:rsid w:val="004E12C9"/>
    <w:rsid w:val="004E66AD"/>
    <w:rsid w:val="004E687D"/>
    <w:rsid w:val="004F00C7"/>
    <w:rsid w:val="004F042B"/>
    <w:rsid w:val="004F2035"/>
    <w:rsid w:val="004F2955"/>
    <w:rsid w:val="004F2E49"/>
    <w:rsid w:val="004F352C"/>
    <w:rsid w:val="004F64B0"/>
    <w:rsid w:val="00500DB2"/>
    <w:rsid w:val="00501BBF"/>
    <w:rsid w:val="00502ABD"/>
    <w:rsid w:val="00503BAB"/>
    <w:rsid w:val="00503C21"/>
    <w:rsid w:val="00507712"/>
    <w:rsid w:val="00511E35"/>
    <w:rsid w:val="00514749"/>
    <w:rsid w:val="00517AFB"/>
    <w:rsid w:val="00517BFF"/>
    <w:rsid w:val="00517CB6"/>
    <w:rsid w:val="00526932"/>
    <w:rsid w:val="00537B15"/>
    <w:rsid w:val="00541281"/>
    <w:rsid w:val="00541A22"/>
    <w:rsid w:val="00545990"/>
    <w:rsid w:val="00546644"/>
    <w:rsid w:val="0055275E"/>
    <w:rsid w:val="0057440A"/>
    <w:rsid w:val="00575CBB"/>
    <w:rsid w:val="005778B9"/>
    <w:rsid w:val="00587717"/>
    <w:rsid w:val="005909CC"/>
    <w:rsid w:val="00592B4E"/>
    <w:rsid w:val="00593206"/>
    <w:rsid w:val="00596558"/>
    <w:rsid w:val="005A3839"/>
    <w:rsid w:val="005B46C1"/>
    <w:rsid w:val="005B7309"/>
    <w:rsid w:val="005C1AA2"/>
    <w:rsid w:val="005C1E0C"/>
    <w:rsid w:val="005D7407"/>
    <w:rsid w:val="005D7625"/>
    <w:rsid w:val="005E1765"/>
    <w:rsid w:val="005F0537"/>
    <w:rsid w:val="005F20BC"/>
    <w:rsid w:val="005F24EE"/>
    <w:rsid w:val="005F5342"/>
    <w:rsid w:val="005F5BAF"/>
    <w:rsid w:val="0060155C"/>
    <w:rsid w:val="00602080"/>
    <w:rsid w:val="006022AD"/>
    <w:rsid w:val="0060475A"/>
    <w:rsid w:val="00605B28"/>
    <w:rsid w:val="00610704"/>
    <w:rsid w:val="00621242"/>
    <w:rsid w:val="00624019"/>
    <w:rsid w:val="00626DFE"/>
    <w:rsid w:val="00627FFD"/>
    <w:rsid w:val="00630736"/>
    <w:rsid w:val="00635D43"/>
    <w:rsid w:val="00636A01"/>
    <w:rsid w:val="00637446"/>
    <w:rsid w:val="00644B21"/>
    <w:rsid w:val="00651333"/>
    <w:rsid w:val="00652FAB"/>
    <w:rsid w:val="00656CBD"/>
    <w:rsid w:val="0065724B"/>
    <w:rsid w:val="00664765"/>
    <w:rsid w:val="00666244"/>
    <w:rsid w:val="0067753E"/>
    <w:rsid w:val="006800EF"/>
    <w:rsid w:val="00680D76"/>
    <w:rsid w:val="00682811"/>
    <w:rsid w:val="00690ABA"/>
    <w:rsid w:val="00694352"/>
    <w:rsid w:val="006A46CD"/>
    <w:rsid w:val="006A70E1"/>
    <w:rsid w:val="006B5199"/>
    <w:rsid w:val="006B7477"/>
    <w:rsid w:val="006B7658"/>
    <w:rsid w:val="006C17ED"/>
    <w:rsid w:val="006C4E81"/>
    <w:rsid w:val="006C76F7"/>
    <w:rsid w:val="006D2080"/>
    <w:rsid w:val="006D3332"/>
    <w:rsid w:val="006D3621"/>
    <w:rsid w:val="006D403E"/>
    <w:rsid w:val="006E3BEA"/>
    <w:rsid w:val="006F17CC"/>
    <w:rsid w:val="006F3C28"/>
    <w:rsid w:val="006F7A09"/>
    <w:rsid w:val="00702D42"/>
    <w:rsid w:val="0070633B"/>
    <w:rsid w:val="00711958"/>
    <w:rsid w:val="00711E45"/>
    <w:rsid w:val="00711E5D"/>
    <w:rsid w:val="00713422"/>
    <w:rsid w:val="00714D99"/>
    <w:rsid w:val="0072098A"/>
    <w:rsid w:val="00721CDA"/>
    <w:rsid w:val="00726141"/>
    <w:rsid w:val="00726F0F"/>
    <w:rsid w:val="00731033"/>
    <w:rsid w:val="0073114C"/>
    <w:rsid w:val="007327FA"/>
    <w:rsid w:val="007340D4"/>
    <w:rsid w:val="0074188F"/>
    <w:rsid w:val="007418C2"/>
    <w:rsid w:val="00742ACE"/>
    <w:rsid w:val="00742E1D"/>
    <w:rsid w:val="007532F4"/>
    <w:rsid w:val="00757E7F"/>
    <w:rsid w:val="007601AF"/>
    <w:rsid w:val="00760675"/>
    <w:rsid w:val="007609F8"/>
    <w:rsid w:val="007662FB"/>
    <w:rsid w:val="0078165A"/>
    <w:rsid w:val="00787F43"/>
    <w:rsid w:val="00792722"/>
    <w:rsid w:val="00793440"/>
    <w:rsid w:val="00794604"/>
    <w:rsid w:val="00796E05"/>
    <w:rsid w:val="007A56F2"/>
    <w:rsid w:val="007B2649"/>
    <w:rsid w:val="007C0AA7"/>
    <w:rsid w:val="007D16D9"/>
    <w:rsid w:val="007D2138"/>
    <w:rsid w:val="007D3E8D"/>
    <w:rsid w:val="007E2135"/>
    <w:rsid w:val="007E32C1"/>
    <w:rsid w:val="007E570A"/>
    <w:rsid w:val="007F047A"/>
    <w:rsid w:val="007F50AE"/>
    <w:rsid w:val="007F54E6"/>
    <w:rsid w:val="008002AB"/>
    <w:rsid w:val="00811781"/>
    <w:rsid w:val="008175F1"/>
    <w:rsid w:val="00822A7D"/>
    <w:rsid w:val="00825419"/>
    <w:rsid w:val="008415EC"/>
    <w:rsid w:val="00843689"/>
    <w:rsid w:val="0085547F"/>
    <w:rsid w:val="00856A67"/>
    <w:rsid w:val="008576F1"/>
    <w:rsid w:val="00863B69"/>
    <w:rsid w:val="00864747"/>
    <w:rsid w:val="00866262"/>
    <w:rsid w:val="008670D2"/>
    <w:rsid w:val="00870152"/>
    <w:rsid w:val="00875272"/>
    <w:rsid w:val="008841EE"/>
    <w:rsid w:val="0089266C"/>
    <w:rsid w:val="00893FB4"/>
    <w:rsid w:val="00894030"/>
    <w:rsid w:val="008A63F6"/>
    <w:rsid w:val="008A6CC5"/>
    <w:rsid w:val="008A7F9F"/>
    <w:rsid w:val="008B04CA"/>
    <w:rsid w:val="008B20DC"/>
    <w:rsid w:val="008C2269"/>
    <w:rsid w:val="008C2FD2"/>
    <w:rsid w:val="008C41FD"/>
    <w:rsid w:val="008D0995"/>
    <w:rsid w:val="008D2D67"/>
    <w:rsid w:val="008D2D6D"/>
    <w:rsid w:val="008E3387"/>
    <w:rsid w:val="008E5E75"/>
    <w:rsid w:val="008E7007"/>
    <w:rsid w:val="008F27BA"/>
    <w:rsid w:val="008F3881"/>
    <w:rsid w:val="008F6ABC"/>
    <w:rsid w:val="009005D3"/>
    <w:rsid w:val="00901386"/>
    <w:rsid w:val="00905E2F"/>
    <w:rsid w:val="009168FA"/>
    <w:rsid w:val="00917A06"/>
    <w:rsid w:val="00917C8E"/>
    <w:rsid w:val="00922453"/>
    <w:rsid w:val="009234BF"/>
    <w:rsid w:val="00926D9E"/>
    <w:rsid w:val="00927D02"/>
    <w:rsid w:val="00931E16"/>
    <w:rsid w:val="00932F8A"/>
    <w:rsid w:val="0093315E"/>
    <w:rsid w:val="00935E77"/>
    <w:rsid w:val="0094016F"/>
    <w:rsid w:val="009404B1"/>
    <w:rsid w:val="00940E0E"/>
    <w:rsid w:val="009424C3"/>
    <w:rsid w:val="00942532"/>
    <w:rsid w:val="00947EB3"/>
    <w:rsid w:val="009515FD"/>
    <w:rsid w:val="009526A5"/>
    <w:rsid w:val="00956DA6"/>
    <w:rsid w:val="00962C52"/>
    <w:rsid w:val="00970090"/>
    <w:rsid w:val="009759D2"/>
    <w:rsid w:val="0098139F"/>
    <w:rsid w:val="00983221"/>
    <w:rsid w:val="00985937"/>
    <w:rsid w:val="00990D54"/>
    <w:rsid w:val="00992F66"/>
    <w:rsid w:val="009958DF"/>
    <w:rsid w:val="009A1BCF"/>
    <w:rsid w:val="009A42DD"/>
    <w:rsid w:val="009B19E1"/>
    <w:rsid w:val="009B3794"/>
    <w:rsid w:val="009B4E25"/>
    <w:rsid w:val="009B7E4D"/>
    <w:rsid w:val="009C429A"/>
    <w:rsid w:val="009C6C60"/>
    <w:rsid w:val="009C7D9D"/>
    <w:rsid w:val="009D0491"/>
    <w:rsid w:val="009D1D98"/>
    <w:rsid w:val="009E2540"/>
    <w:rsid w:val="009E7063"/>
    <w:rsid w:val="009F29D8"/>
    <w:rsid w:val="00A022A0"/>
    <w:rsid w:val="00A02E68"/>
    <w:rsid w:val="00A030F3"/>
    <w:rsid w:val="00A05151"/>
    <w:rsid w:val="00A110CF"/>
    <w:rsid w:val="00A1574A"/>
    <w:rsid w:val="00A15956"/>
    <w:rsid w:val="00A1688A"/>
    <w:rsid w:val="00A16E52"/>
    <w:rsid w:val="00A21648"/>
    <w:rsid w:val="00A24530"/>
    <w:rsid w:val="00A27D7E"/>
    <w:rsid w:val="00A317C2"/>
    <w:rsid w:val="00A32C02"/>
    <w:rsid w:val="00A33D6C"/>
    <w:rsid w:val="00A37AFB"/>
    <w:rsid w:val="00A46DFC"/>
    <w:rsid w:val="00A475BA"/>
    <w:rsid w:val="00A5782C"/>
    <w:rsid w:val="00A57FAC"/>
    <w:rsid w:val="00A65424"/>
    <w:rsid w:val="00A66DE6"/>
    <w:rsid w:val="00A743FA"/>
    <w:rsid w:val="00A744DD"/>
    <w:rsid w:val="00A8118A"/>
    <w:rsid w:val="00A86E4F"/>
    <w:rsid w:val="00A922E9"/>
    <w:rsid w:val="00A925ED"/>
    <w:rsid w:val="00A92CAB"/>
    <w:rsid w:val="00AA1C83"/>
    <w:rsid w:val="00AA4BB2"/>
    <w:rsid w:val="00AA6360"/>
    <w:rsid w:val="00AC7B84"/>
    <w:rsid w:val="00AD3527"/>
    <w:rsid w:val="00AD59FC"/>
    <w:rsid w:val="00AE20B9"/>
    <w:rsid w:val="00AE2856"/>
    <w:rsid w:val="00AE7154"/>
    <w:rsid w:val="00AE7C2E"/>
    <w:rsid w:val="00AF11DF"/>
    <w:rsid w:val="00B14629"/>
    <w:rsid w:val="00B15462"/>
    <w:rsid w:val="00B201D1"/>
    <w:rsid w:val="00B21328"/>
    <w:rsid w:val="00B27525"/>
    <w:rsid w:val="00B309BE"/>
    <w:rsid w:val="00B3733C"/>
    <w:rsid w:val="00B47E67"/>
    <w:rsid w:val="00B50A61"/>
    <w:rsid w:val="00B50F23"/>
    <w:rsid w:val="00B5279F"/>
    <w:rsid w:val="00B52D86"/>
    <w:rsid w:val="00B56CE6"/>
    <w:rsid w:val="00B57C17"/>
    <w:rsid w:val="00B605C2"/>
    <w:rsid w:val="00B62FF7"/>
    <w:rsid w:val="00B655C6"/>
    <w:rsid w:val="00B65A61"/>
    <w:rsid w:val="00B65DE1"/>
    <w:rsid w:val="00B704EE"/>
    <w:rsid w:val="00B70828"/>
    <w:rsid w:val="00B733F9"/>
    <w:rsid w:val="00B7575B"/>
    <w:rsid w:val="00B80B35"/>
    <w:rsid w:val="00B84E19"/>
    <w:rsid w:val="00B84F63"/>
    <w:rsid w:val="00B87067"/>
    <w:rsid w:val="00B92701"/>
    <w:rsid w:val="00BA1A0C"/>
    <w:rsid w:val="00BA2AF1"/>
    <w:rsid w:val="00BA3E25"/>
    <w:rsid w:val="00BB1EFC"/>
    <w:rsid w:val="00BC223B"/>
    <w:rsid w:val="00BC6596"/>
    <w:rsid w:val="00BD1534"/>
    <w:rsid w:val="00BD20E3"/>
    <w:rsid w:val="00BD495E"/>
    <w:rsid w:val="00BF360A"/>
    <w:rsid w:val="00BF66A8"/>
    <w:rsid w:val="00C00605"/>
    <w:rsid w:val="00C0107A"/>
    <w:rsid w:val="00C01CA6"/>
    <w:rsid w:val="00C03940"/>
    <w:rsid w:val="00C11D28"/>
    <w:rsid w:val="00C1432C"/>
    <w:rsid w:val="00C15985"/>
    <w:rsid w:val="00C25A62"/>
    <w:rsid w:val="00C2606E"/>
    <w:rsid w:val="00C30E82"/>
    <w:rsid w:val="00C311FB"/>
    <w:rsid w:val="00C31D35"/>
    <w:rsid w:val="00C33744"/>
    <w:rsid w:val="00C37452"/>
    <w:rsid w:val="00C37813"/>
    <w:rsid w:val="00C40421"/>
    <w:rsid w:val="00C45431"/>
    <w:rsid w:val="00C455BC"/>
    <w:rsid w:val="00C60EC8"/>
    <w:rsid w:val="00C72B1A"/>
    <w:rsid w:val="00C743EA"/>
    <w:rsid w:val="00C74B86"/>
    <w:rsid w:val="00C75DCC"/>
    <w:rsid w:val="00C77046"/>
    <w:rsid w:val="00C772AE"/>
    <w:rsid w:val="00C86ADE"/>
    <w:rsid w:val="00C879B1"/>
    <w:rsid w:val="00C9409B"/>
    <w:rsid w:val="00C94F1F"/>
    <w:rsid w:val="00CA0190"/>
    <w:rsid w:val="00CA0D35"/>
    <w:rsid w:val="00CA3DA6"/>
    <w:rsid w:val="00CA49ED"/>
    <w:rsid w:val="00CB1FAF"/>
    <w:rsid w:val="00CC026E"/>
    <w:rsid w:val="00CC1A51"/>
    <w:rsid w:val="00CC7754"/>
    <w:rsid w:val="00CD36E7"/>
    <w:rsid w:val="00CD7C47"/>
    <w:rsid w:val="00CE0085"/>
    <w:rsid w:val="00CE14B2"/>
    <w:rsid w:val="00CE17F2"/>
    <w:rsid w:val="00CE41BD"/>
    <w:rsid w:val="00CE44C9"/>
    <w:rsid w:val="00CE5AA9"/>
    <w:rsid w:val="00CF06D2"/>
    <w:rsid w:val="00CF196A"/>
    <w:rsid w:val="00CF41CA"/>
    <w:rsid w:val="00D01C19"/>
    <w:rsid w:val="00D04CC7"/>
    <w:rsid w:val="00D10B10"/>
    <w:rsid w:val="00D11CA3"/>
    <w:rsid w:val="00D12B23"/>
    <w:rsid w:val="00D12BC9"/>
    <w:rsid w:val="00D15144"/>
    <w:rsid w:val="00D15E17"/>
    <w:rsid w:val="00D261E6"/>
    <w:rsid w:val="00D40B45"/>
    <w:rsid w:val="00D45383"/>
    <w:rsid w:val="00D46313"/>
    <w:rsid w:val="00D47748"/>
    <w:rsid w:val="00D5169C"/>
    <w:rsid w:val="00D52997"/>
    <w:rsid w:val="00D56CC2"/>
    <w:rsid w:val="00D600D8"/>
    <w:rsid w:val="00D62C33"/>
    <w:rsid w:val="00D73F8B"/>
    <w:rsid w:val="00D74B86"/>
    <w:rsid w:val="00D7682D"/>
    <w:rsid w:val="00D77DD7"/>
    <w:rsid w:val="00D808D0"/>
    <w:rsid w:val="00D8097F"/>
    <w:rsid w:val="00D919E7"/>
    <w:rsid w:val="00D92E1D"/>
    <w:rsid w:val="00D9616E"/>
    <w:rsid w:val="00D96A00"/>
    <w:rsid w:val="00D97684"/>
    <w:rsid w:val="00DA274C"/>
    <w:rsid w:val="00DA2D9D"/>
    <w:rsid w:val="00DB46D6"/>
    <w:rsid w:val="00DB7224"/>
    <w:rsid w:val="00DC40FA"/>
    <w:rsid w:val="00DC5740"/>
    <w:rsid w:val="00DC6536"/>
    <w:rsid w:val="00DC7EF3"/>
    <w:rsid w:val="00DD56A5"/>
    <w:rsid w:val="00DE0096"/>
    <w:rsid w:val="00DE162D"/>
    <w:rsid w:val="00DE3A45"/>
    <w:rsid w:val="00E009AD"/>
    <w:rsid w:val="00E00CEE"/>
    <w:rsid w:val="00E018BF"/>
    <w:rsid w:val="00E02159"/>
    <w:rsid w:val="00E031E7"/>
    <w:rsid w:val="00E0525B"/>
    <w:rsid w:val="00E05B51"/>
    <w:rsid w:val="00E0634F"/>
    <w:rsid w:val="00E070DB"/>
    <w:rsid w:val="00E10B01"/>
    <w:rsid w:val="00E1198B"/>
    <w:rsid w:val="00E14F85"/>
    <w:rsid w:val="00E203FA"/>
    <w:rsid w:val="00E216DB"/>
    <w:rsid w:val="00E246C9"/>
    <w:rsid w:val="00E310E4"/>
    <w:rsid w:val="00E33F4F"/>
    <w:rsid w:val="00E3406B"/>
    <w:rsid w:val="00E3460D"/>
    <w:rsid w:val="00E34A1F"/>
    <w:rsid w:val="00E36A9F"/>
    <w:rsid w:val="00E5473F"/>
    <w:rsid w:val="00E63714"/>
    <w:rsid w:val="00E73EB6"/>
    <w:rsid w:val="00E77AF4"/>
    <w:rsid w:val="00E84DDF"/>
    <w:rsid w:val="00E85837"/>
    <w:rsid w:val="00E87554"/>
    <w:rsid w:val="00E915C6"/>
    <w:rsid w:val="00E922B9"/>
    <w:rsid w:val="00E939A1"/>
    <w:rsid w:val="00E962DB"/>
    <w:rsid w:val="00EA01D9"/>
    <w:rsid w:val="00EA47CB"/>
    <w:rsid w:val="00EB5161"/>
    <w:rsid w:val="00EB7B24"/>
    <w:rsid w:val="00EB7D9D"/>
    <w:rsid w:val="00EC38CD"/>
    <w:rsid w:val="00EC4ABF"/>
    <w:rsid w:val="00EC596B"/>
    <w:rsid w:val="00EC62FE"/>
    <w:rsid w:val="00EC7636"/>
    <w:rsid w:val="00ED18EA"/>
    <w:rsid w:val="00ED3E47"/>
    <w:rsid w:val="00EE10AE"/>
    <w:rsid w:val="00EE529C"/>
    <w:rsid w:val="00EE73DD"/>
    <w:rsid w:val="00EF16A2"/>
    <w:rsid w:val="00EF2A0E"/>
    <w:rsid w:val="00EF3723"/>
    <w:rsid w:val="00EF7B58"/>
    <w:rsid w:val="00F00977"/>
    <w:rsid w:val="00F01A94"/>
    <w:rsid w:val="00F036C2"/>
    <w:rsid w:val="00F10C15"/>
    <w:rsid w:val="00F23D81"/>
    <w:rsid w:val="00F2623F"/>
    <w:rsid w:val="00F4221E"/>
    <w:rsid w:val="00F43269"/>
    <w:rsid w:val="00F43CA7"/>
    <w:rsid w:val="00F502D7"/>
    <w:rsid w:val="00F52F78"/>
    <w:rsid w:val="00F7196E"/>
    <w:rsid w:val="00F77DBD"/>
    <w:rsid w:val="00F8108D"/>
    <w:rsid w:val="00F86BA1"/>
    <w:rsid w:val="00F948FE"/>
    <w:rsid w:val="00F96010"/>
    <w:rsid w:val="00FA31CF"/>
    <w:rsid w:val="00FA4292"/>
    <w:rsid w:val="00FA4A62"/>
    <w:rsid w:val="00FA60F7"/>
    <w:rsid w:val="00FC7F32"/>
    <w:rsid w:val="00FD19F0"/>
    <w:rsid w:val="00FD2562"/>
    <w:rsid w:val="00FD7046"/>
    <w:rsid w:val="00FE0109"/>
    <w:rsid w:val="00FE6C30"/>
    <w:rsid w:val="00FE7D30"/>
    <w:rsid w:val="00FF1737"/>
    <w:rsid w:val="00FF262C"/>
    <w:rsid w:val="16CFC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4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6A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A27D7E"/>
    <w:pPr>
      <w:spacing w:after="120"/>
    </w:pPr>
  </w:style>
  <w:style w:type="character" w:customStyle="1" w:styleId="BodyTextChar">
    <w:name w:val="Body Text Char"/>
    <w:basedOn w:val="DefaultParagraphFont"/>
    <w:link w:val="BodyText"/>
    <w:semiHidden/>
    <w:rsid w:val="00A27D7E"/>
    <w:rPr>
      <w:szCs w:val="24"/>
    </w:rPr>
  </w:style>
  <w:style w:type="character" w:styleId="CommentReference">
    <w:name w:val="annotation reference"/>
    <w:basedOn w:val="DefaultParagraphFont"/>
    <w:semiHidden/>
    <w:unhideWhenUsed/>
    <w:rsid w:val="006022AD"/>
    <w:rPr>
      <w:sz w:val="16"/>
      <w:szCs w:val="16"/>
    </w:rPr>
  </w:style>
  <w:style w:type="paragraph" w:styleId="CommentText">
    <w:name w:val="annotation text"/>
    <w:basedOn w:val="Normal"/>
    <w:link w:val="CommentTextChar"/>
    <w:unhideWhenUsed/>
    <w:rsid w:val="006022AD"/>
    <w:rPr>
      <w:szCs w:val="20"/>
    </w:rPr>
  </w:style>
  <w:style w:type="character" w:customStyle="1" w:styleId="CommentTextChar">
    <w:name w:val="Comment Text Char"/>
    <w:basedOn w:val="DefaultParagraphFont"/>
    <w:link w:val="CommentText"/>
    <w:rsid w:val="006022AD"/>
  </w:style>
  <w:style w:type="paragraph" w:styleId="CommentSubject">
    <w:name w:val="annotation subject"/>
    <w:basedOn w:val="CommentText"/>
    <w:next w:val="CommentText"/>
    <w:link w:val="CommentSubjectChar"/>
    <w:semiHidden/>
    <w:unhideWhenUsed/>
    <w:rsid w:val="006022AD"/>
    <w:rPr>
      <w:b/>
      <w:bCs/>
    </w:rPr>
  </w:style>
  <w:style w:type="character" w:customStyle="1" w:styleId="CommentSubjectChar">
    <w:name w:val="Comment Subject Char"/>
    <w:basedOn w:val="CommentTextChar"/>
    <w:link w:val="CommentSubject"/>
    <w:semiHidden/>
    <w:rsid w:val="006022AD"/>
    <w:rPr>
      <w:b/>
      <w:bCs/>
    </w:rPr>
  </w:style>
  <w:style w:type="paragraph" w:styleId="FootnoteText">
    <w:name w:val="footnote text"/>
    <w:aliases w:val=" Char,Char,F1"/>
    <w:basedOn w:val="Normal"/>
    <w:link w:val="FootnoteTextChar"/>
    <w:uiPriority w:val="99"/>
    <w:unhideWhenUsed/>
    <w:qFormat/>
    <w:rsid w:val="002A136D"/>
    <w:rPr>
      <w:szCs w:val="20"/>
    </w:rPr>
  </w:style>
  <w:style w:type="character" w:customStyle="1" w:styleId="FootnoteTextChar">
    <w:name w:val="Footnote Text Char"/>
    <w:aliases w:val=" Char Char,Char Char,F1 Char"/>
    <w:basedOn w:val="DefaultParagraphFont"/>
    <w:link w:val="FootnoteText"/>
    <w:uiPriority w:val="99"/>
    <w:rsid w:val="002A136D"/>
  </w:style>
  <w:style w:type="character" w:styleId="FollowedHyperlink">
    <w:name w:val="FollowedHyperlink"/>
    <w:basedOn w:val="DefaultParagraphFont"/>
    <w:semiHidden/>
    <w:unhideWhenUsed/>
    <w:rsid w:val="007609F8"/>
    <w:rPr>
      <w:color w:val="800080" w:themeColor="followedHyperlink"/>
      <w:u w:val="single"/>
    </w:rPr>
  </w:style>
  <w:style w:type="paragraph" w:customStyle="1" w:styleId="Answerbulleted">
    <w:name w:val="Answer bulleted"/>
    <w:basedOn w:val="Normal"/>
    <w:rsid w:val="000238F6"/>
    <w:pPr>
      <w:numPr>
        <w:numId w:val="2"/>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0238F6"/>
    <w:pPr>
      <w:numPr>
        <w:numId w:val="3"/>
      </w:numPr>
    </w:pPr>
  </w:style>
  <w:style w:type="paragraph" w:customStyle="1" w:styleId="ColorfulList-Accent11">
    <w:name w:val="Colorful List - Accent 11"/>
    <w:basedOn w:val="Normal"/>
    <w:link w:val="ColorfulList-Accent1Char"/>
    <w:uiPriority w:val="99"/>
    <w:qFormat/>
    <w:rsid w:val="000238F6"/>
    <w:pPr>
      <w:autoSpaceDE/>
      <w:autoSpaceDN/>
      <w:adjustRightInd/>
      <w:ind w:left="720"/>
    </w:pPr>
    <w:rPr>
      <w:rFonts w:ascii="Calibri" w:hAnsi="Calibri"/>
      <w:spacing w:val="-1"/>
      <w:szCs w:val="20"/>
    </w:rPr>
  </w:style>
  <w:style w:type="character" w:customStyle="1" w:styleId="ColorfulList-Accent1Char">
    <w:name w:val="Colorful List - Accent 1 Char"/>
    <w:link w:val="ColorfulList-Accent11"/>
    <w:uiPriority w:val="99"/>
    <w:locked/>
    <w:rsid w:val="000238F6"/>
    <w:rPr>
      <w:rFonts w:ascii="Calibri" w:hAnsi="Calibri"/>
      <w:spacing w:val="-1"/>
    </w:rPr>
  </w:style>
  <w:style w:type="character" w:customStyle="1" w:styleId="BodyTextFi">
    <w:name w:val="Body Text Fi"/>
    <w:rsid w:val="006D2080"/>
  </w:style>
  <w:style w:type="paragraph" w:styleId="BodyText2">
    <w:name w:val="Body Text 2"/>
    <w:basedOn w:val="Normal"/>
    <w:link w:val="BodyText2Char"/>
    <w:semiHidden/>
    <w:unhideWhenUsed/>
    <w:rsid w:val="00A110CF"/>
    <w:pPr>
      <w:spacing w:after="120" w:line="480" w:lineRule="auto"/>
    </w:pPr>
  </w:style>
  <w:style w:type="character" w:customStyle="1" w:styleId="BodyText2Char">
    <w:name w:val="Body Text 2 Char"/>
    <w:basedOn w:val="DefaultParagraphFont"/>
    <w:link w:val="BodyText2"/>
    <w:semiHidden/>
    <w:rsid w:val="00A110CF"/>
    <w:rPr>
      <w:szCs w:val="24"/>
    </w:rPr>
  </w:style>
  <w:style w:type="paragraph" w:styleId="TOC1">
    <w:name w:val="toc 1"/>
    <w:basedOn w:val="Normal"/>
    <w:next w:val="Normal"/>
    <w:autoRedefine/>
    <w:uiPriority w:val="39"/>
    <w:semiHidden/>
    <w:rsid w:val="00726141"/>
    <w:pPr>
      <w:widowControl/>
      <w:tabs>
        <w:tab w:val="left" w:pos="432"/>
      </w:tabs>
      <w:autoSpaceDE/>
      <w:autoSpaceDN/>
      <w:adjustRightInd/>
    </w:pPr>
    <w:rPr>
      <w:sz w:val="24"/>
      <w:szCs w:val="20"/>
    </w:rPr>
  </w:style>
  <w:style w:type="paragraph" w:customStyle="1" w:styleId="Center">
    <w:name w:val="Center"/>
    <w:basedOn w:val="Normal"/>
    <w:rsid w:val="00726141"/>
    <w:pPr>
      <w:widowControl/>
      <w:tabs>
        <w:tab w:val="left" w:pos="432"/>
      </w:tabs>
      <w:autoSpaceDE/>
      <w:autoSpaceDN/>
      <w:adjustRightInd/>
      <w:spacing w:line="480" w:lineRule="auto"/>
      <w:jc w:val="center"/>
    </w:pPr>
    <w:rPr>
      <w:sz w:val="24"/>
      <w:szCs w:val="20"/>
    </w:rPr>
  </w:style>
  <w:style w:type="character" w:customStyle="1" w:styleId="BalloonTextChar">
    <w:name w:val="Balloon Text Char"/>
    <w:basedOn w:val="DefaultParagraphFont"/>
    <w:link w:val="BalloonText"/>
    <w:uiPriority w:val="99"/>
    <w:semiHidden/>
    <w:rsid w:val="003E187D"/>
    <w:rPr>
      <w:rFonts w:ascii="Tahoma" w:hAnsi="Tahoma" w:cs="Tahoma"/>
      <w:sz w:val="16"/>
      <w:szCs w:val="16"/>
    </w:rPr>
  </w:style>
  <w:style w:type="character" w:customStyle="1" w:styleId="UnresolvedMention1">
    <w:name w:val="Unresolved Mention1"/>
    <w:basedOn w:val="DefaultParagraphFont"/>
    <w:uiPriority w:val="99"/>
    <w:semiHidden/>
    <w:unhideWhenUsed/>
    <w:rsid w:val="00DD56A5"/>
    <w:rPr>
      <w:color w:val="605E5C"/>
      <w:shd w:val="clear" w:color="auto" w:fill="E1DFDD"/>
    </w:rPr>
  </w:style>
  <w:style w:type="paragraph" w:styleId="Header">
    <w:name w:val="header"/>
    <w:basedOn w:val="Normal"/>
    <w:link w:val="HeaderChar"/>
    <w:unhideWhenUsed/>
    <w:rsid w:val="00E10B01"/>
    <w:pPr>
      <w:tabs>
        <w:tab w:val="center" w:pos="4680"/>
        <w:tab w:val="right" w:pos="9360"/>
      </w:tabs>
    </w:pPr>
  </w:style>
  <w:style w:type="character" w:customStyle="1" w:styleId="HeaderChar">
    <w:name w:val="Header Char"/>
    <w:basedOn w:val="DefaultParagraphFont"/>
    <w:link w:val="Header"/>
    <w:rsid w:val="00E10B01"/>
    <w:rPr>
      <w:szCs w:val="24"/>
    </w:rPr>
  </w:style>
  <w:style w:type="paragraph" w:styleId="Footer">
    <w:name w:val="footer"/>
    <w:basedOn w:val="Normal"/>
    <w:link w:val="FooterChar"/>
    <w:unhideWhenUsed/>
    <w:rsid w:val="00E10B01"/>
    <w:pPr>
      <w:tabs>
        <w:tab w:val="center" w:pos="4680"/>
        <w:tab w:val="right" w:pos="9360"/>
      </w:tabs>
    </w:pPr>
  </w:style>
  <w:style w:type="character" w:customStyle="1" w:styleId="FooterChar">
    <w:name w:val="Footer Char"/>
    <w:basedOn w:val="DefaultParagraphFont"/>
    <w:link w:val="Footer"/>
    <w:rsid w:val="00E10B01"/>
    <w:rPr>
      <w:szCs w:val="24"/>
    </w:rPr>
  </w:style>
  <w:style w:type="character" w:styleId="Strong">
    <w:name w:val="Strong"/>
    <w:qFormat/>
    <w:rsid w:val="00794604"/>
    <w:rPr>
      <w:b/>
      <w:bCs/>
      <w:spacing w:val="0"/>
    </w:rPr>
  </w:style>
  <w:style w:type="character" w:customStyle="1" w:styleId="BulletInden">
    <w:name w:val="Bullet Inden"/>
    <w:rsid w:val="00794604"/>
  </w:style>
  <w:style w:type="character" w:styleId="UnresolvedMention">
    <w:name w:val="Unresolved Mention"/>
    <w:basedOn w:val="DefaultParagraphFont"/>
    <w:uiPriority w:val="99"/>
    <w:semiHidden/>
    <w:unhideWhenUsed/>
    <w:rsid w:val="0081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yanwhite.hrsa.gov/sites/default/files/ryanwhite/grants/pcn-21-02-determining-eligibility-polr.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hab.hrsa.gov/data/data-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1993b8-963c-40f8-bb77-721e51881077">DYXX3KQPS52K-1114335524-84862</_dlc_DocId>
    <_dlc_DocIdUrl xmlns="721993b8-963c-40f8-bb77-721e51881077">
      <Url>https://ogcintranet.hhs.gov/sites/DocumentCenter/_layouts/15/DocIdRedir.aspx?ID=DYXX3KQPS52K-1114335524-84862</Url>
      <Description>DYXX3KQPS52K-1114335524-84862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18260a793ecc04d83f4e03bcefdaff78">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B6BB-0898-4D9C-B2FF-32AD4C578957}">
  <ds:schemaRefs>
    <ds:schemaRef ds:uri="http://purl.org/dc/terms/"/>
    <ds:schemaRef ds:uri="http://schemas.openxmlformats.org/package/2006/metadata/core-properties"/>
    <ds:schemaRef ds:uri="http://schemas.microsoft.com/office/2006/documentManagement/types"/>
    <ds:schemaRef ds:uri="721993b8-963c-40f8-bb77-721e51881077"/>
    <ds:schemaRef ds:uri="http://purl.org/dc/elements/1.1/"/>
    <ds:schemaRef ds:uri="http://schemas.microsoft.com/office/2006/metadata/properties"/>
    <ds:schemaRef ds:uri="0da5d3f8-c2bc-48c1-9c46-6ed74271674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2F708A-DE50-4951-9970-6F3E6CF9C46A}">
  <ds:schemaRefs>
    <ds:schemaRef ds:uri="http://schemas.microsoft.com/sharepoint/v3/contenttype/forms"/>
  </ds:schemaRefs>
</ds:datastoreItem>
</file>

<file path=customXml/itemProps3.xml><?xml version="1.0" encoding="utf-8"?>
<ds:datastoreItem xmlns:ds="http://schemas.openxmlformats.org/officeDocument/2006/customXml" ds:itemID="{BE3D8FFC-BC33-459F-BAF1-FCF19684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4B764-E56E-4A1B-A3A1-CB3ACD5F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2023-01-10T15:33:00Z</dcterms:created>
  <dcterms:modified xsi:type="dcterms:W3CDTF">2023-01-31T16:25:00Z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GrammarlyDocumentId">
    <vt:lpwstr>9cd6671cf22d6c373e9bda9284f9f738aab5fad0d0ff3f15950101f668754b3f</vt:lpwstr>
  </property>
  <property fmtid="{D5CDD505-2E9C-101B-9397-08002B2CF9AE}" pid="4" name="_dlc_DocIdItemGuid">
    <vt:lpwstr>7e3da1d2-97ad-43a5-8fb9-44fbfdcf33e4</vt:lpwstr>
  </property>
</Properties>
</file>