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92B6C" w:rsidRPr="00B92B6C" w:rsidP="00B92B6C" w14:paraId="7BB40C3E" w14:textId="340F4E47">
      <w:pPr>
        <w:spacing w:after="200" w:line="276" w:lineRule="auto"/>
        <w:rPr>
          <w:rFonts w:eastAsia="Calibri"/>
        </w:rPr>
      </w:pPr>
      <w:r w:rsidRPr="013982C6">
        <w:rPr>
          <w:rFonts w:eastAsia="Calibri"/>
          <w:b/>
          <w:bCs/>
        </w:rPr>
        <w:t>DATE:</w:t>
      </w:r>
      <w:r>
        <w:tab/>
      </w:r>
      <w:r>
        <w:tab/>
      </w:r>
      <w:r w:rsidRPr="013982C6" w:rsidR="001B523B">
        <w:rPr>
          <w:rFonts w:eastAsia="Calibri"/>
        </w:rPr>
        <w:t xml:space="preserve">December </w:t>
      </w:r>
      <w:r w:rsidR="00FC2CCF">
        <w:rPr>
          <w:rFonts w:eastAsia="Calibri"/>
        </w:rPr>
        <w:t>30</w:t>
      </w:r>
      <w:r w:rsidRPr="00FC2CCF" w:rsidR="00C33C03">
        <w:rPr>
          <w:rFonts w:eastAsia="Calibri"/>
        </w:rPr>
        <w:t xml:space="preserve">, </w:t>
      </w:r>
      <w:r w:rsidRPr="013982C6" w:rsidR="00C33C03">
        <w:rPr>
          <w:rFonts w:eastAsia="Calibri"/>
        </w:rPr>
        <w:t>202</w:t>
      </w:r>
      <w:r w:rsidRPr="013982C6" w:rsidR="00FF1544">
        <w:rPr>
          <w:rFonts w:eastAsia="Calibri"/>
        </w:rPr>
        <w:t>5</w:t>
      </w:r>
    </w:p>
    <w:p w:rsidR="00B92B6C" w:rsidRPr="00FE38A9" w:rsidP="00B92B6C" w14:paraId="4546AFDE" w14:textId="72C00D70">
      <w:pPr>
        <w:spacing w:after="200" w:line="276" w:lineRule="auto"/>
        <w:rPr>
          <w:rFonts w:eastAsia="Calibri"/>
        </w:rPr>
      </w:pPr>
      <w:r w:rsidRPr="00B92B6C">
        <w:rPr>
          <w:rFonts w:eastAsia="Calibri"/>
          <w:b/>
        </w:rPr>
        <w:t>TO:</w:t>
      </w:r>
      <w:r w:rsidRPr="00B92B6C">
        <w:rPr>
          <w:rFonts w:eastAsia="Calibri"/>
        </w:rPr>
        <w:tab/>
      </w:r>
      <w:r w:rsidRPr="00B92B6C">
        <w:rPr>
          <w:rFonts w:eastAsia="Calibri"/>
        </w:rPr>
        <w:tab/>
      </w:r>
      <w:r w:rsidRPr="00B92B6C">
        <w:rPr>
          <w:rFonts w:eastAsia="Calibri"/>
        </w:rPr>
        <w:tab/>
      </w:r>
      <w:r w:rsidRPr="00FE38A9" w:rsidR="00FE38A9">
        <w:rPr>
          <w:rFonts w:eastAsia="Calibri"/>
        </w:rPr>
        <w:t>Dan Cline, Desk Officer, Office of Management and Budget</w:t>
      </w:r>
    </w:p>
    <w:p w:rsidR="00B92B6C" w:rsidRPr="00B92B6C" w:rsidP="00FE38A9" w14:paraId="77BC1D71" w14:textId="7AF7A158">
      <w:pPr>
        <w:spacing w:after="200" w:line="276" w:lineRule="auto"/>
        <w:ind w:left="2160" w:hanging="2160"/>
        <w:rPr>
          <w:rFonts w:eastAsia="Calibri"/>
        </w:rPr>
      </w:pPr>
      <w:r w:rsidRPr="00FE38A9">
        <w:rPr>
          <w:rFonts w:eastAsia="Calibri"/>
          <w:b/>
        </w:rPr>
        <w:t>FROM:</w:t>
      </w:r>
      <w:r w:rsidRPr="00FE38A9">
        <w:rPr>
          <w:rFonts w:eastAsia="Calibri"/>
        </w:rPr>
        <w:tab/>
      </w:r>
      <w:r w:rsidRPr="00FE38A9" w:rsidR="00FE38A9">
        <w:rPr>
          <w:rFonts w:eastAsia="Calibri"/>
        </w:rPr>
        <w:t>Samantha Miller, Information Collection Clearance Officer, Office of Planning, Analysis and Evaluation, Health Resources and Services Administration</w:t>
      </w:r>
    </w:p>
    <w:p w:rsidR="00B92B6C" w:rsidRPr="00B92B6C" w:rsidP="00B92B6C" w14:paraId="06C26FDD" w14:textId="77777777">
      <w:pPr>
        <w:spacing w:after="200" w:line="276" w:lineRule="auto"/>
        <w:ind w:left="2160" w:hanging="2160"/>
        <w:rPr>
          <w:rFonts w:eastAsia="Calibri"/>
          <w:b/>
        </w:rPr>
      </w:pPr>
      <w:r w:rsidRPr="00B92B6C">
        <w:rPr>
          <w:rFonts w:eastAsia="Calibri"/>
          <w:b/>
        </w:rPr>
        <w:t>______________________________________________________________________________</w:t>
      </w:r>
    </w:p>
    <w:p w:rsidR="00B92B6C" w:rsidRPr="00B92B6C" w:rsidP="00B92B6C" w14:paraId="6C4A35D8" w14:textId="29E20AC9">
      <w:pPr>
        <w:spacing w:after="200" w:line="276" w:lineRule="auto"/>
        <w:ind w:left="2160" w:hanging="2160"/>
        <w:rPr>
          <w:rFonts w:eastAsia="Calibri"/>
        </w:rPr>
      </w:pPr>
      <w:r w:rsidRPr="6C867B1B">
        <w:rPr>
          <w:rFonts w:eastAsia="Calibri"/>
          <w:b/>
          <w:bCs/>
        </w:rPr>
        <w:t>Request</w:t>
      </w:r>
      <w:r w:rsidRPr="6C867B1B">
        <w:rPr>
          <w:rFonts w:eastAsia="Calibri"/>
        </w:rPr>
        <w:t xml:space="preserve">: </w:t>
      </w:r>
      <w:r>
        <w:tab/>
      </w:r>
      <w:r w:rsidRPr="6C867B1B">
        <w:rPr>
          <w:rFonts w:eastAsia="Calibri"/>
        </w:rPr>
        <w:t xml:space="preserve">The Health Resources and Services Administration (HRSA) </w:t>
      </w:r>
      <w:r w:rsidR="002C3684">
        <w:rPr>
          <w:rFonts w:eastAsia="Calibri"/>
        </w:rPr>
        <w:t xml:space="preserve">HIV/AIDS </w:t>
      </w:r>
      <w:r w:rsidRPr="6C867B1B" w:rsidR="07E4B64C">
        <w:rPr>
          <w:rFonts w:eastAsia="Calibri"/>
        </w:rPr>
        <w:t>Bureau</w:t>
      </w:r>
      <w:r w:rsidR="002C3684">
        <w:rPr>
          <w:rFonts w:eastAsia="Calibri"/>
        </w:rPr>
        <w:t xml:space="preserve"> (HAB)</w:t>
      </w:r>
      <w:r w:rsidRPr="6C867B1B" w:rsidR="07E4B64C">
        <w:rPr>
          <w:rFonts w:eastAsia="Calibri"/>
        </w:rPr>
        <w:t xml:space="preserve"> </w:t>
      </w:r>
      <w:r w:rsidRPr="6C867B1B">
        <w:rPr>
          <w:rFonts w:eastAsia="Calibri"/>
        </w:rPr>
        <w:t xml:space="preserve">requests approval for changes to the </w:t>
      </w:r>
      <w:r w:rsidRPr="00573582" w:rsidR="00573582">
        <w:rPr>
          <w:rFonts w:eastAsia="Calibri"/>
        </w:rPr>
        <w:t>HRSA AIDS Drug Assistance Program (ADAP) Data Report, OMB No. 0915-0345 Revision</w:t>
      </w:r>
      <w:r w:rsidRPr="6C867B1B">
        <w:rPr>
          <w:rFonts w:eastAsia="Calibri"/>
        </w:rPr>
        <w:t xml:space="preserve">. </w:t>
      </w:r>
    </w:p>
    <w:p w:rsidR="00AC4138" w:rsidRPr="00C75D20" w:rsidP="008A5F3D" w14:paraId="513B61F9" w14:textId="4AD83CCE">
      <w:pPr>
        <w:spacing w:after="200" w:line="276" w:lineRule="auto"/>
        <w:ind w:left="2160" w:hanging="2160"/>
        <w:rPr>
          <w:rFonts w:eastAsia="Calibri"/>
        </w:rPr>
      </w:pPr>
      <w:r w:rsidRPr="00B92B6C">
        <w:rPr>
          <w:rFonts w:eastAsia="Calibri"/>
          <w:b/>
        </w:rPr>
        <w:t>Purpose</w:t>
      </w:r>
      <w:r w:rsidRPr="00B92B6C">
        <w:rPr>
          <w:rFonts w:eastAsia="Calibri"/>
        </w:rPr>
        <w:t xml:space="preserve">: </w:t>
      </w:r>
      <w:r w:rsidRPr="00B92B6C">
        <w:rPr>
          <w:rFonts w:eastAsia="Calibri"/>
        </w:rPr>
        <w:tab/>
      </w:r>
      <w:r w:rsidRPr="00C75D20">
        <w:rPr>
          <w:rFonts w:eastAsia="Calibri"/>
        </w:rPr>
        <w:t>HRSA’s Ryan White HIV/AIDS Program (RWHAP) ADAP is authorized under Part B of the RWHAP legislation, codified in sections 2611 to 2631 of the Public Health Service Act, which provides grants to U.S. states and territories</w:t>
      </w:r>
      <w:r w:rsidR="00FC2CCF">
        <w:rPr>
          <w:rFonts w:eastAsia="Calibri"/>
        </w:rPr>
        <w:t xml:space="preserve">. </w:t>
      </w:r>
      <w:r w:rsidRPr="00C75D20">
        <w:rPr>
          <w:rFonts w:eastAsia="Calibri"/>
        </w:rPr>
        <w:t>RWHAP ADAP is a state and territory-administered program that provides Food and Drug Administration-approved medications to low-income people with HIV who have limited or no health coverage from private insurance, Medicaid, or Medicare</w:t>
      </w:r>
      <w:r w:rsidR="00FC2CCF">
        <w:rPr>
          <w:rFonts w:eastAsia="Calibri"/>
        </w:rPr>
        <w:t xml:space="preserve">. </w:t>
      </w:r>
      <w:r w:rsidRPr="00C75D20">
        <w:rPr>
          <w:rFonts w:eastAsia="Calibri"/>
        </w:rPr>
        <w:t>RWHAP ADAP funds may also be used to purchase health care coverage for eligible clients and for services that enhance access, adherence, and monitoring of drug treatments. </w:t>
      </w:r>
    </w:p>
    <w:p w:rsidR="00AC4138" w:rsidRPr="00C75D20" w:rsidP="00AC4138" w14:paraId="6E2A5DB4" w14:textId="61486CF6">
      <w:pPr>
        <w:spacing w:after="200" w:line="276" w:lineRule="auto"/>
        <w:ind w:left="2160"/>
        <w:rPr>
          <w:rFonts w:eastAsia="Calibri"/>
        </w:rPr>
      </w:pPr>
      <w:r w:rsidRPr="00C75D20">
        <w:rPr>
          <w:rFonts w:eastAsia="Calibri"/>
        </w:rPr>
        <w:t>All 50 states, the District of Columbia, Puerto Rico, Guam, the U.S. Virgin Islands, and the five U.S. Pacific Territories or Associated Jurisdictions receive RWHAP Part B grant awards, including funds for RWHAP ADAP</w:t>
      </w:r>
      <w:r w:rsidR="00FC2CCF">
        <w:rPr>
          <w:rFonts w:eastAsia="Calibri"/>
        </w:rPr>
        <w:t xml:space="preserve">. </w:t>
      </w:r>
      <w:r w:rsidRPr="00C75D20">
        <w:rPr>
          <w:rFonts w:eastAsia="Calibri"/>
        </w:rPr>
        <w:t>RWHAP Part B reporting requirements include the annual submission of an ADAP Data Report (ADR), including a Recipient Report and a Client Report</w:t>
      </w:r>
      <w:r w:rsidR="00FC2CCF">
        <w:rPr>
          <w:rFonts w:eastAsia="Calibri"/>
        </w:rPr>
        <w:t xml:space="preserve">. </w:t>
      </w:r>
      <w:r w:rsidRPr="00C75D20">
        <w:rPr>
          <w:rFonts w:eastAsia="Calibri"/>
        </w:rPr>
        <w:t>The Recipient Report is a collection of basic information about grant recipient characteristics and policies including program administration, purchasing mechanisms, funding, and expenditures</w:t>
      </w:r>
      <w:r w:rsidR="00FC2CCF">
        <w:rPr>
          <w:rFonts w:eastAsia="Calibri"/>
        </w:rPr>
        <w:t xml:space="preserve">. </w:t>
      </w:r>
      <w:r w:rsidRPr="00C75D20">
        <w:rPr>
          <w:rFonts w:eastAsia="Calibri"/>
        </w:rPr>
        <w:t xml:space="preserve">The Client Report is a collection of client-level records (one record for each client enrolled in the RWHAP ADAP), which includes the client’s encrypted unique identifier, basic demographic data, enrollment </w:t>
      </w:r>
      <w:r w:rsidR="007D1463">
        <w:rPr>
          <w:rFonts w:eastAsia="Calibri"/>
        </w:rPr>
        <w:t xml:space="preserve">and certification </w:t>
      </w:r>
      <w:r w:rsidRPr="00C75D20">
        <w:rPr>
          <w:rFonts w:eastAsia="Calibri"/>
        </w:rPr>
        <w:t xml:space="preserve">information, </w:t>
      </w:r>
      <w:r w:rsidRPr="00D8128B" w:rsidR="006F5AC3">
        <w:rPr>
          <w:rFonts w:eastAsia="Calibri"/>
        </w:rPr>
        <w:t xml:space="preserve">details on medication </w:t>
      </w:r>
      <w:r w:rsidR="00C228D5">
        <w:rPr>
          <w:rFonts w:eastAsia="Calibri"/>
        </w:rPr>
        <w:t>and/</w:t>
      </w:r>
      <w:r w:rsidRPr="00D8128B" w:rsidR="006F5AC3">
        <w:rPr>
          <w:rFonts w:eastAsia="Calibri"/>
        </w:rPr>
        <w:t>or health care coverage assistance received (including associated costs), and HIV clinical information</w:t>
      </w:r>
      <w:r w:rsidRPr="00C75D20">
        <w:rPr>
          <w:rFonts w:eastAsia="Calibri"/>
        </w:rPr>
        <w:t>. </w:t>
      </w:r>
    </w:p>
    <w:p w:rsidR="00AC4138" w:rsidRPr="00AC4138" w:rsidP="00AC4138" w14:paraId="0DE1D1B2" w14:textId="583FD5EB">
      <w:pPr>
        <w:spacing w:after="200" w:line="276" w:lineRule="auto"/>
        <w:ind w:left="2160"/>
        <w:rPr>
          <w:rFonts w:eastAsia="Calibri"/>
          <w:i/>
          <w:iCs/>
        </w:rPr>
      </w:pPr>
      <w:r w:rsidRPr="00C75D20">
        <w:rPr>
          <w:rFonts w:eastAsia="Calibri"/>
        </w:rPr>
        <w:t xml:space="preserve">HRSA is proposing </w:t>
      </w:r>
      <w:r w:rsidRPr="00C75D20" w:rsidR="008C779E">
        <w:rPr>
          <w:rFonts w:eastAsia="Calibri"/>
        </w:rPr>
        <w:t>three</w:t>
      </w:r>
      <w:r w:rsidRPr="00C75D20">
        <w:rPr>
          <w:rFonts w:eastAsia="Calibri"/>
        </w:rPr>
        <w:t xml:space="preserve"> revisions to the ADR Recipient and Client Reports</w:t>
      </w:r>
      <w:r w:rsidR="006C5E6B">
        <w:rPr>
          <w:rFonts w:eastAsia="Calibri"/>
        </w:rPr>
        <w:t xml:space="preserve">. These revisions are necessary to comply with </w:t>
      </w:r>
      <w:r w:rsidRPr="4E11C1EE" w:rsidR="006C5E6B">
        <w:t>Executive Order 14168</w:t>
      </w:r>
      <w:r w:rsidR="00CC60D9">
        <w:t xml:space="preserve">, </w:t>
      </w:r>
      <w:r w:rsidRPr="008A5F3D" w:rsidR="006C5E6B">
        <w:rPr>
          <w:i/>
          <w:iCs/>
        </w:rPr>
        <w:t xml:space="preserve">Defending Women </w:t>
      </w:r>
      <w:r w:rsidRPr="008A5F3D" w:rsidR="006C5E6B">
        <w:rPr>
          <w:i/>
          <w:iCs/>
        </w:rPr>
        <w:t>From</w:t>
      </w:r>
      <w:r w:rsidRPr="008A5F3D" w:rsidR="006C5E6B">
        <w:rPr>
          <w:i/>
          <w:iCs/>
        </w:rPr>
        <w:t xml:space="preserve"> Gender Ideology Extremism and Restoring Biological Truth to the Federal Government</w:t>
      </w:r>
      <w:r w:rsidR="006C5E6B">
        <w:rPr>
          <w:rFonts w:eastAsia="Calibri"/>
        </w:rPr>
        <w:t xml:space="preserve"> </w:t>
      </w:r>
      <w:r w:rsidR="00CC60D9">
        <w:rPr>
          <w:rFonts w:eastAsia="Calibri"/>
        </w:rPr>
        <w:t>(January 2025)</w:t>
      </w:r>
      <w:r w:rsidR="006B6335">
        <w:rPr>
          <w:rFonts w:eastAsia="Calibri"/>
        </w:rPr>
        <w:t>,</w:t>
      </w:r>
      <w:r w:rsidR="00CC60D9">
        <w:rPr>
          <w:rFonts w:eastAsia="Calibri"/>
        </w:rPr>
        <w:t xml:space="preserve"> </w:t>
      </w:r>
      <w:r w:rsidR="006C5E6B">
        <w:rPr>
          <w:rFonts w:eastAsia="Calibri"/>
        </w:rPr>
        <w:t>and</w:t>
      </w:r>
      <w:r w:rsidR="00051625">
        <w:rPr>
          <w:rFonts w:eastAsia="Calibri"/>
        </w:rPr>
        <w:t>/or</w:t>
      </w:r>
      <w:r w:rsidRPr="00C75D20">
        <w:rPr>
          <w:rFonts w:eastAsia="Calibri"/>
        </w:rPr>
        <w:t xml:space="preserve"> to </w:t>
      </w:r>
      <w:r w:rsidR="00CC60D9">
        <w:rPr>
          <w:rFonts w:eastAsia="Calibri"/>
        </w:rPr>
        <w:t>streamline data collection for RWHAP recipients</w:t>
      </w:r>
      <w:r w:rsidRPr="00AC4138">
        <w:rPr>
          <w:rFonts w:eastAsia="Calibri"/>
          <w:i/>
          <w:iCs/>
        </w:rPr>
        <w:t>.</w:t>
      </w:r>
    </w:p>
    <w:p w:rsidR="00C456A8" w:rsidP="00F7218F" w14:paraId="0571083A" w14:textId="47194461">
      <w:pPr>
        <w:spacing w:after="200" w:line="360" w:lineRule="auto"/>
        <w:ind w:left="2160"/>
        <w:rPr>
          <w:rFonts w:eastAsia="Calibri"/>
          <w:b/>
        </w:rPr>
      </w:pPr>
      <w:r>
        <w:rPr>
          <w:rFonts w:eastAsia="Calibri"/>
        </w:rPr>
        <w:t>T</w:t>
      </w:r>
      <w:r w:rsidRPr="00B92B6C">
        <w:rPr>
          <w:rFonts w:eastAsia="Calibri"/>
        </w:rPr>
        <w:t xml:space="preserve">his memo </w:t>
      </w:r>
      <w:r>
        <w:rPr>
          <w:rFonts w:eastAsia="Calibri"/>
        </w:rPr>
        <w:t>explains t</w:t>
      </w:r>
      <w:r w:rsidRPr="00B92B6C" w:rsidR="00B92B6C">
        <w:rPr>
          <w:rFonts w:eastAsia="Calibri"/>
        </w:rPr>
        <w:t xml:space="preserve">he changes and supporting rationale. </w:t>
      </w:r>
      <w:r>
        <w:rPr>
          <w:rFonts w:eastAsia="Calibri"/>
          <w:b/>
        </w:rPr>
        <w:tab/>
      </w:r>
    </w:p>
    <w:p w:rsidR="001B523B" w:rsidRPr="001B523B" w:rsidP="00F45CA0" w14:paraId="47F0B58C" w14:textId="4D932B25">
      <w:pPr>
        <w:spacing w:after="120"/>
        <w:ind w:left="2160" w:hanging="2160"/>
        <w:rPr>
          <w:rFonts w:eastAsia="Calibri"/>
        </w:rPr>
      </w:pPr>
      <w:r w:rsidRPr="00C456A8">
        <w:rPr>
          <w:rFonts w:eastAsia="Calibri"/>
          <w:b/>
          <w:bCs/>
        </w:rPr>
        <w:t>Changes:</w:t>
      </w:r>
      <w:r>
        <w:rPr>
          <w:rFonts w:eastAsia="Calibri"/>
          <w:b/>
          <w:bCs/>
        </w:rPr>
        <w:tab/>
      </w:r>
      <w:r w:rsidR="00581043">
        <w:rPr>
          <w:rFonts w:eastAsia="Calibri"/>
          <w:b/>
          <w:bCs/>
        </w:rPr>
        <w:t>1</w:t>
      </w:r>
      <w:r w:rsidR="00FC2CCF">
        <w:rPr>
          <w:rFonts w:eastAsia="Calibri"/>
          <w:b/>
          <w:bCs/>
        </w:rPr>
        <w:t xml:space="preserve">. </w:t>
      </w:r>
      <w:r w:rsidR="00F45CA0">
        <w:rPr>
          <w:rFonts w:eastAsia="Calibri"/>
          <w:b/>
          <w:bCs/>
        </w:rPr>
        <w:t xml:space="preserve"> </w:t>
      </w:r>
      <w:r w:rsidRPr="001B523B">
        <w:rPr>
          <w:rFonts w:eastAsia="Calibri"/>
        </w:rPr>
        <w:t xml:space="preserve">No longer collecting </w:t>
      </w:r>
      <w:r w:rsidRPr="001B523B">
        <w:rPr>
          <w:rFonts w:eastAsia="Calibri"/>
        </w:rPr>
        <w:t>GenderID</w:t>
      </w:r>
      <w:r w:rsidRPr="001B523B">
        <w:rPr>
          <w:rFonts w:eastAsia="Calibri"/>
        </w:rPr>
        <w:t xml:space="preserve"> in client-level file </w:t>
      </w:r>
    </w:p>
    <w:p w:rsidR="00F45CA0" w:rsidRPr="00F45CA0" w:rsidP="00F45CA0" w14:paraId="37BD2784" w14:textId="70D45B9B">
      <w:pPr>
        <w:pStyle w:val="ListParagraph"/>
        <w:numPr>
          <w:ilvl w:val="0"/>
          <w:numId w:val="8"/>
        </w:numPr>
        <w:spacing w:after="120"/>
        <w:rPr>
          <w:rFonts w:eastAsia="Calibri"/>
        </w:rPr>
      </w:pPr>
      <w:r w:rsidRPr="00581043">
        <w:rPr>
          <w:rFonts w:eastAsia="Calibri"/>
        </w:rPr>
        <w:t xml:space="preserve">Adding a response option to sex at birth to allow for “unknown” values </w:t>
      </w:r>
    </w:p>
    <w:p w:rsidR="001B523B" w:rsidP="00F45CA0" w14:paraId="3A0434A1" w14:textId="45A15F1A">
      <w:pPr>
        <w:pStyle w:val="ListParagraph"/>
        <w:numPr>
          <w:ilvl w:val="0"/>
          <w:numId w:val="8"/>
        </w:numPr>
        <w:spacing w:after="120"/>
        <w:rPr>
          <w:rFonts w:eastAsia="Calibri"/>
        </w:rPr>
      </w:pPr>
      <w:r w:rsidRPr="00581043">
        <w:rPr>
          <w:rFonts w:eastAsia="Calibri"/>
        </w:rPr>
        <w:t xml:space="preserve">Combining two distinct response options (“Full Premium Payment” and “Partial Premium Payment”) for </w:t>
      </w:r>
      <w:hyperlink w:anchor="_Toc212036042" w:history="1">
        <w:r w:rsidRPr="00581043">
          <w:rPr>
            <w:rStyle w:val="Hyperlink"/>
            <w:rFonts w:eastAsia="Calibri"/>
          </w:rPr>
          <w:t> InsuranceAssistanceTypeId  </w:t>
        </w:r>
      </w:hyperlink>
      <w:r w:rsidRPr="00581043">
        <w:rPr>
          <w:rFonts w:eastAsia="Calibri"/>
        </w:rPr>
        <w:t>into one new category “Full or Partial Premium Payment”</w:t>
      </w:r>
    </w:p>
    <w:p w:rsidR="00F7218F" w:rsidRPr="00581043" w:rsidP="00F7218F" w14:paraId="62E035D0" w14:textId="77777777">
      <w:pPr>
        <w:pStyle w:val="ListParagraph"/>
        <w:spacing w:after="120"/>
        <w:ind w:left="2520"/>
        <w:rPr>
          <w:rFonts w:eastAsia="Calibri"/>
        </w:rPr>
      </w:pPr>
    </w:p>
    <w:p w:rsidR="00B92B6C" w:rsidRPr="00B92B6C" w:rsidP="00C56093" w14:paraId="29473172" w14:textId="7B9DC42C">
      <w:pPr>
        <w:spacing w:after="200" w:line="276" w:lineRule="auto"/>
        <w:ind w:left="2160" w:hanging="2160"/>
        <w:rPr>
          <w:rFonts w:eastAsia="Calibri"/>
        </w:rPr>
      </w:pPr>
      <w:r w:rsidRPr="00B92B6C">
        <w:rPr>
          <w:rFonts w:eastAsia="Calibri"/>
          <w:b/>
        </w:rPr>
        <w:t>Time Sensitivity</w:t>
      </w:r>
      <w:r w:rsidR="00816253">
        <w:rPr>
          <w:rFonts w:eastAsia="Calibri"/>
        </w:rPr>
        <w:t xml:space="preserve">: </w:t>
      </w:r>
      <w:r w:rsidR="00816253">
        <w:rPr>
          <w:rFonts w:eastAsia="Calibri"/>
        </w:rPr>
        <w:tab/>
      </w:r>
      <w:r w:rsidRPr="00C56093" w:rsidR="00C56093">
        <w:rPr>
          <w:rFonts w:eastAsia="Calibri"/>
        </w:rPr>
        <w:t xml:space="preserve">The changes to data collection must be completed promptly to ensure their inclusion in the Fiscal Year 2026 </w:t>
      </w:r>
      <w:r w:rsidRPr="00573582" w:rsidR="00C56093">
        <w:rPr>
          <w:rFonts w:eastAsia="Calibri"/>
        </w:rPr>
        <w:t xml:space="preserve">ADAP </w:t>
      </w:r>
      <w:r w:rsidR="00C75D20">
        <w:rPr>
          <w:rFonts w:eastAsia="Calibri"/>
        </w:rPr>
        <w:t xml:space="preserve">ADR </w:t>
      </w:r>
      <w:r w:rsidRPr="00C56093" w:rsidR="00C56093">
        <w:rPr>
          <w:rFonts w:eastAsia="Calibri"/>
        </w:rPr>
        <w:t xml:space="preserve">collection form. Approval </w:t>
      </w:r>
      <w:r w:rsidRPr="00C56093" w:rsidR="009D78B1">
        <w:rPr>
          <w:rFonts w:eastAsia="Calibri"/>
        </w:rPr>
        <w:t>of</w:t>
      </w:r>
      <w:r w:rsidRPr="00C56093" w:rsidR="00C56093">
        <w:rPr>
          <w:rFonts w:eastAsia="Calibri"/>
        </w:rPr>
        <w:t xml:space="preserve"> these changes is needed as soon as possible, to allow for updates to the form and modifications to the data collection application system used by RWHAP recipients and providers for their annual data submissions</w:t>
      </w:r>
      <w:r w:rsidR="00FC2CCF">
        <w:rPr>
          <w:rFonts w:eastAsia="Calibri"/>
        </w:rPr>
        <w:t xml:space="preserve">. </w:t>
      </w:r>
    </w:p>
    <w:p w:rsidR="00B92B6C" w:rsidRPr="00B92B6C" w:rsidP="00CC0048" w14:paraId="2B40BE0E" w14:textId="5A2429D9">
      <w:pPr>
        <w:spacing w:after="200" w:line="276" w:lineRule="auto"/>
        <w:ind w:left="2160" w:hanging="2160"/>
        <w:rPr>
          <w:rFonts w:eastAsia="Calibri"/>
        </w:rPr>
      </w:pPr>
      <w:r w:rsidRPr="118A5B19">
        <w:rPr>
          <w:rFonts w:eastAsia="Calibri"/>
          <w:b/>
          <w:bCs/>
        </w:rPr>
        <w:t>Burden:</w:t>
      </w:r>
      <w:r>
        <w:tab/>
      </w:r>
      <w:r w:rsidRPr="00CC0048" w:rsidR="00CC0048">
        <w:rPr>
          <w:rFonts w:eastAsia="Calibri"/>
        </w:rPr>
        <w:t xml:space="preserve">The changes outlined here do not alter the estimated reporting burden for RWHAP providers. This burden is expected to remain consistent with the approved Notice of Office of Management and Budget Action (NOA) dated </w:t>
      </w:r>
      <w:r w:rsidR="0019540E">
        <w:rPr>
          <w:rFonts w:eastAsia="Calibri"/>
        </w:rPr>
        <w:t xml:space="preserve">February </w:t>
      </w:r>
      <w:r w:rsidR="00520200">
        <w:rPr>
          <w:rFonts w:eastAsia="Calibri"/>
        </w:rPr>
        <w:t>01</w:t>
      </w:r>
      <w:r w:rsidRPr="00CC0048" w:rsidR="00CC0048">
        <w:rPr>
          <w:rFonts w:eastAsia="Calibri"/>
        </w:rPr>
        <w:t>, 202</w:t>
      </w:r>
      <w:r w:rsidR="00520200">
        <w:rPr>
          <w:rFonts w:eastAsia="Calibri"/>
        </w:rPr>
        <w:t>3</w:t>
      </w:r>
      <w:r w:rsidRPr="118A5B19" w:rsidR="00816253">
        <w:rPr>
          <w:rFonts w:eastAsia="Calibri"/>
        </w:rPr>
        <w:t>.</w:t>
      </w:r>
    </w:p>
    <w:p w:rsidR="00BE0DC4" w:rsidP="00B92B6C" w14:paraId="78575C9A" w14:textId="77777777">
      <w:pPr>
        <w:spacing w:after="200" w:line="276" w:lineRule="auto"/>
        <w:rPr>
          <w:rFonts w:eastAsia="Calibri"/>
          <w:b/>
        </w:rPr>
      </w:pPr>
    </w:p>
    <w:p w:rsidR="00B92B6C" w:rsidP="00B92B6C" w14:paraId="2876826F" w14:textId="455F694C">
      <w:pPr>
        <w:spacing w:after="200" w:line="276" w:lineRule="auto"/>
        <w:rPr>
          <w:rFonts w:eastAsia="Calibri"/>
          <w:b/>
        </w:rPr>
      </w:pPr>
      <w:r w:rsidRPr="00B92B6C">
        <w:rPr>
          <w:rFonts w:eastAsia="Calibri"/>
          <w:b/>
        </w:rPr>
        <w:t xml:space="preserve">PROPOSED CLARIFICATIONS AND </w:t>
      </w:r>
      <w:r w:rsidR="005114FA">
        <w:rPr>
          <w:rFonts w:eastAsia="Calibri"/>
          <w:b/>
        </w:rPr>
        <w:t>NON-SUBSTANTIVE CHANGES</w:t>
      </w:r>
      <w:r w:rsidRPr="00B92B6C">
        <w:rPr>
          <w:rFonts w:eastAsia="Calibri"/>
          <w:b/>
        </w:rPr>
        <w:t>:</w:t>
      </w:r>
    </w:p>
    <w:p w:rsidR="00EF41AD" w:rsidP="00EF41AD" w14:paraId="2B4B0ED2" w14:textId="711533F7">
      <w:pPr>
        <w:spacing w:line="276" w:lineRule="auto"/>
        <w:outlineLvl w:val="0"/>
        <w:rPr>
          <w:b/>
          <w:u w:val="single"/>
        </w:rPr>
      </w:pPr>
      <w:r>
        <w:rPr>
          <w:b/>
          <w:u w:val="single"/>
        </w:rPr>
        <w:t>Table A</w:t>
      </w:r>
    </w:p>
    <w:p w:rsidR="00053774" w:rsidP="00EF41AD" w14:paraId="55778982" w14:textId="77777777">
      <w:pPr>
        <w:spacing w:line="276" w:lineRule="auto"/>
        <w:outlineLvl w:val="0"/>
        <w:rPr>
          <w:b/>
          <w:u w:val="single"/>
        </w:rPr>
      </w:pPr>
    </w:p>
    <w:tbl>
      <w:tblPr>
        <w:tblStyle w:val="TableGrid"/>
        <w:tblW w:w="9355" w:type="dxa"/>
        <w:tblInd w:w="-5" w:type="dxa"/>
        <w:tblLook w:val="04A0"/>
      </w:tblPr>
      <w:tblGrid>
        <w:gridCol w:w="2191"/>
        <w:gridCol w:w="1589"/>
        <w:gridCol w:w="2790"/>
        <w:gridCol w:w="2785"/>
      </w:tblGrid>
      <w:tr w14:paraId="277662DD" w14:textId="77777777" w:rsidTr="00440E14">
        <w:tblPrEx>
          <w:tblW w:w="9355" w:type="dxa"/>
          <w:tblInd w:w="-5" w:type="dxa"/>
          <w:tblLook w:val="04A0"/>
        </w:tblPrEx>
        <w:trPr>
          <w:trHeight w:val="242"/>
          <w:tblHeader/>
        </w:trPr>
        <w:tc>
          <w:tcPr>
            <w:tcW w:w="2191" w:type="dxa"/>
          </w:tcPr>
          <w:p w:rsidR="00053774" w:rsidRPr="00ED3751" w:rsidP="00A10ED6" w14:paraId="5EC80E86" w14:textId="77777777">
            <w:pPr>
              <w:spacing w:after="200" w:line="276" w:lineRule="auto"/>
              <w:rPr>
                <w:rFonts w:eastAsia="Calibri"/>
                <w:b/>
                <w:bCs/>
                <w:sz w:val="20"/>
                <w:szCs w:val="20"/>
              </w:rPr>
            </w:pPr>
            <w:r w:rsidRPr="00ED3751">
              <w:rPr>
                <w:rFonts w:eastAsia="Calibri"/>
                <w:b/>
                <w:bCs/>
                <w:sz w:val="20"/>
                <w:szCs w:val="20"/>
              </w:rPr>
              <w:t>Instrument</w:t>
            </w:r>
          </w:p>
        </w:tc>
        <w:tc>
          <w:tcPr>
            <w:tcW w:w="1589" w:type="dxa"/>
          </w:tcPr>
          <w:p w:rsidR="00053774" w:rsidRPr="00ED3751" w:rsidP="00A10ED6" w14:paraId="3BE21F58" w14:textId="77777777">
            <w:pPr>
              <w:spacing w:after="200" w:line="276" w:lineRule="auto"/>
              <w:rPr>
                <w:rFonts w:eastAsia="Calibri"/>
                <w:b/>
                <w:bCs/>
                <w:sz w:val="20"/>
                <w:szCs w:val="20"/>
              </w:rPr>
            </w:pPr>
            <w:r w:rsidRPr="00ED3751">
              <w:rPr>
                <w:rFonts w:eastAsia="Calibri"/>
                <w:b/>
                <w:bCs/>
                <w:sz w:val="20"/>
                <w:szCs w:val="20"/>
              </w:rPr>
              <w:t>Variable</w:t>
            </w:r>
          </w:p>
        </w:tc>
        <w:tc>
          <w:tcPr>
            <w:tcW w:w="2790" w:type="dxa"/>
          </w:tcPr>
          <w:p w:rsidR="00053774" w:rsidRPr="00ED3751" w:rsidP="00A10ED6" w14:paraId="6CD945B0" w14:textId="77777777">
            <w:pPr>
              <w:spacing w:after="200" w:line="276" w:lineRule="auto"/>
              <w:rPr>
                <w:rFonts w:eastAsia="Calibri"/>
                <w:b/>
                <w:bCs/>
                <w:sz w:val="20"/>
                <w:szCs w:val="20"/>
              </w:rPr>
            </w:pPr>
            <w:r w:rsidRPr="00ED3751">
              <w:rPr>
                <w:rFonts w:eastAsia="Calibri"/>
                <w:b/>
                <w:bCs/>
                <w:sz w:val="20"/>
                <w:szCs w:val="20"/>
              </w:rPr>
              <w:t>Change implemented</w:t>
            </w:r>
          </w:p>
        </w:tc>
        <w:tc>
          <w:tcPr>
            <w:tcW w:w="2785" w:type="dxa"/>
          </w:tcPr>
          <w:p w:rsidR="00053774" w:rsidRPr="00ED3751" w:rsidP="00A10ED6" w14:paraId="66535F28" w14:textId="77777777">
            <w:pPr>
              <w:spacing w:after="200" w:line="276" w:lineRule="auto"/>
              <w:rPr>
                <w:rFonts w:eastAsia="Calibri"/>
                <w:b/>
                <w:bCs/>
                <w:sz w:val="20"/>
                <w:szCs w:val="20"/>
              </w:rPr>
            </w:pPr>
            <w:r>
              <w:rPr>
                <w:rFonts w:eastAsia="Calibri"/>
                <w:b/>
                <w:bCs/>
                <w:sz w:val="20"/>
                <w:szCs w:val="20"/>
              </w:rPr>
              <w:t>Rationale</w:t>
            </w:r>
          </w:p>
        </w:tc>
      </w:tr>
      <w:tr w14:paraId="528C7299" w14:textId="77777777" w:rsidTr="284DAF5E">
        <w:tblPrEx>
          <w:tblW w:w="9355" w:type="dxa"/>
          <w:tblInd w:w="-5" w:type="dxa"/>
          <w:tblLook w:val="04A0"/>
        </w:tblPrEx>
        <w:tc>
          <w:tcPr>
            <w:tcW w:w="2191" w:type="dxa"/>
          </w:tcPr>
          <w:p w:rsidR="00565928" w:rsidRPr="0092035B" w:rsidP="00565928" w14:paraId="10AFF8F0" w14:textId="77777777">
            <w:pPr>
              <w:pStyle w:val="BodyText"/>
              <w:kinsoku w:val="0"/>
              <w:overflowPunct w:val="0"/>
              <w:spacing w:line="306" w:lineRule="exact"/>
              <w:ind w:left="20"/>
              <w:rPr>
                <w:spacing w:val="-4"/>
              </w:rPr>
            </w:pPr>
            <w:r w:rsidRPr="0092035B">
              <w:t>HRSA</w:t>
            </w:r>
            <w:r w:rsidRPr="0092035B">
              <w:rPr>
                <w:spacing w:val="-5"/>
              </w:rPr>
              <w:t xml:space="preserve"> </w:t>
            </w:r>
            <w:r w:rsidRPr="0092035B">
              <w:t>HAB’s</w:t>
            </w:r>
            <w:r w:rsidRPr="0092035B">
              <w:rPr>
                <w:spacing w:val="-4"/>
              </w:rPr>
              <w:t xml:space="preserve"> </w:t>
            </w:r>
            <w:r w:rsidRPr="0092035B">
              <w:t>AIDS</w:t>
            </w:r>
            <w:r w:rsidRPr="0092035B">
              <w:rPr>
                <w:spacing w:val="-5"/>
              </w:rPr>
              <w:t xml:space="preserve"> </w:t>
            </w:r>
            <w:r w:rsidRPr="0092035B">
              <w:t>Drug</w:t>
            </w:r>
            <w:r w:rsidRPr="0092035B">
              <w:rPr>
                <w:spacing w:val="-3"/>
              </w:rPr>
              <w:t xml:space="preserve"> </w:t>
            </w:r>
            <w:r w:rsidRPr="0092035B">
              <w:t>Assistance</w:t>
            </w:r>
            <w:r w:rsidRPr="0092035B">
              <w:rPr>
                <w:spacing w:val="-4"/>
              </w:rPr>
              <w:t xml:space="preserve"> </w:t>
            </w:r>
            <w:r w:rsidRPr="0092035B">
              <w:t>Program</w:t>
            </w:r>
            <w:r w:rsidRPr="0092035B">
              <w:rPr>
                <w:spacing w:val="-5"/>
              </w:rPr>
              <w:t xml:space="preserve"> </w:t>
            </w:r>
            <w:r w:rsidRPr="0092035B">
              <w:t>(ADAP)</w:t>
            </w:r>
            <w:r w:rsidRPr="0092035B">
              <w:rPr>
                <w:spacing w:val="-5"/>
              </w:rPr>
              <w:t xml:space="preserve"> </w:t>
            </w:r>
            <w:r w:rsidRPr="0092035B">
              <w:t>Data</w:t>
            </w:r>
            <w:r w:rsidRPr="0092035B">
              <w:rPr>
                <w:spacing w:val="-5"/>
              </w:rPr>
              <w:t xml:space="preserve"> </w:t>
            </w:r>
            <w:r w:rsidRPr="0092035B">
              <w:t>Report</w:t>
            </w:r>
            <w:r w:rsidRPr="0092035B">
              <w:rPr>
                <w:spacing w:val="-3"/>
              </w:rPr>
              <w:t xml:space="preserve"> </w:t>
            </w:r>
            <w:r w:rsidRPr="0092035B">
              <w:t>(ADR)</w:t>
            </w:r>
            <w:r w:rsidRPr="0092035B">
              <w:rPr>
                <w:spacing w:val="-5"/>
              </w:rPr>
              <w:t xml:space="preserve"> </w:t>
            </w:r>
            <w:r w:rsidRPr="0092035B">
              <w:t>Changes</w:t>
            </w:r>
            <w:r w:rsidRPr="0092035B">
              <w:rPr>
                <w:spacing w:val="-5"/>
              </w:rPr>
              <w:t xml:space="preserve"> </w:t>
            </w:r>
            <w:r w:rsidRPr="0092035B">
              <w:t>–</w:t>
            </w:r>
            <w:r w:rsidRPr="0092035B">
              <w:rPr>
                <w:spacing w:val="-4"/>
              </w:rPr>
              <w:t xml:space="preserve"> 2025</w:t>
            </w:r>
          </w:p>
          <w:p w:rsidR="00053774" w:rsidRPr="0092035B" w:rsidP="00A10ED6" w14:paraId="03BB9041" w14:textId="75EFEEFB">
            <w:pPr>
              <w:spacing w:after="200" w:line="276" w:lineRule="auto"/>
              <w:rPr>
                <w:rFonts w:eastAsia="Calibri"/>
                <w:sz w:val="20"/>
                <w:szCs w:val="20"/>
              </w:rPr>
            </w:pPr>
          </w:p>
        </w:tc>
        <w:tc>
          <w:tcPr>
            <w:tcW w:w="1589" w:type="dxa"/>
          </w:tcPr>
          <w:p w:rsidR="00053774" w:rsidRPr="008A5F3D" w:rsidP="284DAF5E" w14:paraId="4D99CA88" w14:textId="70CBDF95">
            <w:pPr>
              <w:spacing w:after="200" w:line="276" w:lineRule="auto"/>
              <w:rPr>
                <w:rFonts w:eastAsia="Calibri"/>
              </w:rPr>
            </w:pPr>
            <w:r w:rsidRPr="008A5F3D">
              <w:rPr>
                <w:rFonts w:eastAsia="Calibri"/>
              </w:rPr>
              <w:t>Gender</w:t>
            </w:r>
          </w:p>
        </w:tc>
        <w:tc>
          <w:tcPr>
            <w:tcW w:w="2790" w:type="dxa"/>
          </w:tcPr>
          <w:p w:rsidR="00053774" w:rsidRPr="008A5F3D" w:rsidP="284DAF5E" w14:paraId="1FFB90BC" w14:textId="3B17B652">
            <w:pPr>
              <w:spacing w:after="200" w:line="276" w:lineRule="auto"/>
              <w:rPr>
                <w:rFonts w:eastAsia="Calibri"/>
              </w:rPr>
            </w:pPr>
            <w:r w:rsidRPr="008A5F3D">
              <w:rPr>
                <w:rFonts w:eastAsia="Calibri"/>
              </w:rPr>
              <w:t>Remove variable</w:t>
            </w:r>
          </w:p>
        </w:tc>
        <w:tc>
          <w:tcPr>
            <w:tcW w:w="2785" w:type="dxa"/>
          </w:tcPr>
          <w:p w:rsidR="00053774" w:rsidRPr="008A5F3D" w:rsidP="284DAF5E" w14:paraId="10EC4129" w14:textId="7E9E3E0D">
            <w:pPr>
              <w:spacing w:after="200" w:line="276" w:lineRule="auto"/>
              <w:rPr>
                <w:rFonts w:eastAsia="Calibri"/>
              </w:rPr>
            </w:pPr>
            <w:r w:rsidRPr="008A5F3D">
              <w:rPr>
                <w:rFonts w:eastAsia="Calibri"/>
              </w:rPr>
              <w:t>Alignment with EO 14168</w:t>
            </w:r>
            <w:r w:rsidRPr="008A5F3D" w:rsidR="00D538F3">
              <w:rPr>
                <w:rFonts w:eastAsia="Calibri"/>
              </w:rPr>
              <w:t xml:space="preserve"> (</w:t>
            </w:r>
            <w:r w:rsidRPr="008A5F3D" w:rsidR="00A10ED6">
              <w:rPr>
                <w:rFonts w:eastAsia="Calibri"/>
              </w:rPr>
              <w:t>January 2025)</w:t>
            </w:r>
            <w:r w:rsidRPr="008A5F3D" w:rsidR="004B36DD">
              <w:rPr>
                <w:rFonts w:eastAsia="Calibri"/>
              </w:rPr>
              <w:t>.</w:t>
            </w:r>
            <w:r w:rsidRPr="008A5F3D">
              <w:rPr>
                <w:rFonts w:eastAsia="Calibri"/>
              </w:rPr>
              <w:t> </w:t>
            </w:r>
          </w:p>
        </w:tc>
      </w:tr>
      <w:tr w14:paraId="63602FB2" w14:textId="77777777" w:rsidTr="284DAF5E">
        <w:tblPrEx>
          <w:tblW w:w="9355" w:type="dxa"/>
          <w:tblInd w:w="-5" w:type="dxa"/>
          <w:tblLook w:val="04A0"/>
        </w:tblPrEx>
        <w:tc>
          <w:tcPr>
            <w:tcW w:w="2191" w:type="dxa"/>
          </w:tcPr>
          <w:p w:rsidR="001A6A25" w:rsidRPr="0092035B" w:rsidP="001A6A25" w14:paraId="6609D42F" w14:textId="77777777">
            <w:pPr>
              <w:pStyle w:val="BodyText"/>
              <w:kinsoku w:val="0"/>
              <w:overflowPunct w:val="0"/>
              <w:spacing w:line="306" w:lineRule="exact"/>
              <w:ind w:left="20"/>
              <w:rPr>
                <w:spacing w:val="-4"/>
              </w:rPr>
            </w:pPr>
            <w:r w:rsidRPr="0092035B">
              <w:t>HRSA</w:t>
            </w:r>
            <w:r w:rsidRPr="0092035B">
              <w:rPr>
                <w:spacing w:val="-5"/>
              </w:rPr>
              <w:t xml:space="preserve"> </w:t>
            </w:r>
            <w:r w:rsidRPr="0092035B">
              <w:t>HAB’s</w:t>
            </w:r>
            <w:r w:rsidRPr="0092035B">
              <w:rPr>
                <w:spacing w:val="-4"/>
              </w:rPr>
              <w:t xml:space="preserve"> </w:t>
            </w:r>
            <w:r w:rsidRPr="0092035B">
              <w:t>AIDS</w:t>
            </w:r>
            <w:r w:rsidRPr="0092035B">
              <w:rPr>
                <w:spacing w:val="-5"/>
              </w:rPr>
              <w:t xml:space="preserve"> </w:t>
            </w:r>
            <w:r w:rsidRPr="0092035B">
              <w:t>Drug</w:t>
            </w:r>
            <w:r w:rsidRPr="0092035B">
              <w:rPr>
                <w:spacing w:val="-3"/>
              </w:rPr>
              <w:t xml:space="preserve"> </w:t>
            </w:r>
            <w:r w:rsidRPr="0092035B">
              <w:t>Assistance</w:t>
            </w:r>
            <w:r w:rsidRPr="0092035B">
              <w:rPr>
                <w:spacing w:val="-4"/>
              </w:rPr>
              <w:t xml:space="preserve"> </w:t>
            </w:r>
            <w:r w:rsidRPr="0092035B">
              <w:t>Program</w:t>
            </w:r>
            <w:r w:rsidRPr="0092035B">
              <w:rPr>
                <w:spacing w:val="-5"/>
              </w:rPr>
              <w:t xml:space="preserve"> </w:t>
            </w:r>
            <w:r w:rsidRPr="0092035B">
              <w:t>(ADAP)</w:t>
            </w:r>
            <w:r w:rsidRPr="0092035B">
              <w:rPr>
                <w:spacing w:val="-5"/>
              </w:rPr>
              <w:t xml:space="preserve"> </w:t>
            </w:r>
            <w:r w:rsidRPr="0092035B">
              <w:t>Data</w:t>
            </w:r>
            <w:r w:rsidRPr="0092035B">
              <w:rPr>
                <w:spacing w:val="-5"/>
              </w:rPr>
              <w:t xml:space="preserve"> </w:t>
            </w:r>
            <w:r w:rsidRPr="0092035B">
              <w:t>Report</w:t>
            </w:r>
            <w:r w:rsidRPr="0092035B">
              <w:rPr>
                <w:spacing w:val="-3"/>
              </w:rPr>
              <w:t xml:space="preserve"> </w:t>
            </w:r>
            <w:r w:rsidRPr="0092035B">
              <w:t>(ADR)</w:t>
            </w:r>
            <w:r w:rsidRPr="0092035B">
              <w:rPr>
                <w:spacing w:val="-5"/>
              </w:rPr>
              <w:t xml:space="preserve"> </w:t>
            </w:r>
            <w:r w:rsidRPr="0092035B">
              <w:t>Changes</w:t>
            </w:r>
            <w:r w:rsidRPr="0092035B">
              <w:rPr>
                <w:spacing w:val="-5"/>
              </w:rPr>
              <w:t xml:space="preserve"> </w:t>
            </w:r>
            <w:r w:rsidRPr="0092035B">
              <w:t>–</w:t>
            </w:r>
            <w:r w:rsidRPr="0092035B">
              <w:rPr>
                <w:spacing w:val="-4"/>
              </w:rPr>
              <w:t xml:space="preserve"> 2025</w:t>
            </w:r>
          </w:p>
          <w:p w:rsidR="003F7128" w:rsidRPr="0092035B" w:rsidP="00565928" w14:paraId="2813CBEB" w14:textId="77777777">
            <w:pPr>
              <w:pStyle w:val="BodyText"/>
              <w:kinsoku w:val="0"/>
              <w:overflowPunct w:val="0"/>
              <w:spacing w:line="306" w:lineRule="exact"/>
              <w:ind w:left="20"/>
            </w:pPr>
          </w:p>
        </w:tc>
        <w:tc>
          <w:tcPr>
            <w:tcW w:w="1589" w:type="dxa"/>
          </w:tcPr>
          <w:p w:rsidR="003F7128" w:rsidRPr="008A5F3D" w:rsidP="284DAF5E" w14:paraId="1A82D156" w14:textId="53C34F0D">
            <w:pPr>
              <w:spacing w:after="200" w:line="276" w:lineRule="auto"/>
              <w:rPr>
                <w:rFonts w:eastAsia="Calibri"/>
              </w:rPr>
            </w:pPr>
            <w:r w:rsidRPr="008A5F3D">
              <w:rPr>
                <w:rFonts w:eastAsia="Calibri"/>
              </w:rPr>
              <w:t>Sex-at-birth</w:t>
            </w:r>
          </w:p>
        </w:tc>
        <w:tc>
          <w:tcPr>
            <w:tcW w:w="2790" w:type="dxa"/>
          </w:tcPr>
          <w:p w:rsidR="003F7128" w:rsidRPr="008A5F3D" w:rsidP="284DAF5E" w14:paraId="27A5975A" w14:textId="5E432D30">
            <w:pPr>
              <w:spacing w:after="200" w:line="276" w:lineRule="auto"/>
              <w:rPr>
                <w:rFonts w:eastAsia="Calibri"/>
              </w:rPr>
            </w:pPr>
            <w:r w:rsidRPr="008A5F3D">
              <w:rPr>
                <w:rFonts w:eastAsia="Calibri"/>
              </w:rPr>
              <w:t xml:space="preserve">Add </w:t>
            </w:r>
            <w:r w:rsidRPr="008A5F3D" w:rsidR="001A6A25">
              <w:rPr>
                <w:rFonts w:eastAsia="Calibri"/>
              </w:rPr>
              <w:t>“Unknown” to the response option</w:t>
            </w:r>
          </w:p>
        </w:tc>
        <w:tc>
          <w:tcPr>
            <w:tcW w:w="2785" w:type="dxa"/>
          </w:tcPr>
          <w:p w:rsidR="003F7128" w:rsidRPr="004B36DD" w:rsidP="284DAF5E" w14:paraId="16AC19A3" w14:textId="450BB76D">
            <w:pPr>
              <w:spacing w:after="200" w:line="276" w:lineRule="auto"/>
              <w:rPr>
                <w:rFonts w:eastAsia="Calibri"/>
              </w:rPr>
            </w:pPr>
            <w:r w:rsidRPr="284DAF5E">
              <w:rPr>
                <w:rFonts w:eastAsia="Calibri"/>
              </w:rPr>
              <w:t>Provide reporters with an option to respond when information is missing or unknown.</w:t>
            </w:r>
          </w:p>
        </w:tc>
      </w:tr>
      <w:tr w14:paraId="281EB705" w14:textId="77777777" w:rsidTr="284DAF5E">
        <w:tblPrEx>
          <w:tblW w:w="9355" w:type="dxa"/>
          <w:tblInd w:w="-5" w:type="dxa"/>
          <w:tblLook w:val="04A0"/>
        </w:tblPrEx>
        <w:tc>
          <w:tcPr>
            <w:tcW w:w="2191" w:type="dxa"/>
          </w:tcPr>
          <w:p w:rsidR="0019011F" w:rsidRPr="0092035B" w:rsidP="0019011F" w14:paraId="15808DFF" w14:textId="77777777">
            <w:pPr>
              <w:pStyle w:val="BodyText"/>
              <w:kinsoku w:val="0"/>
              <w:overflowPunct w:val="0"/>
              <w:spacing w:line="306" w:lineRule="exact"/>
              <w:ind w:left="20"/>
              <w:rPr>
                <w:spacing w:val="-4"/>
              </w:rPr>
            </w:pPr>
            <w:r w:rsidRPr="0092035B">
              <w:t>HRSA</w:t>
            </w:r>
            <w:r w:rsidRPr="0092035B">
              <w:rPr>
                <w:spacing w:val="-5"/>
              </w:rPr>
              <w:t xml:space="preserve"> </w:t>
            </w:r>
            <w:r w:rsidRPr="0092035B">
              <w:t>HAB’s</w:t>
            </w:r>
            <w:r w:rsidRPr="0092035B">
              <w:rPr>
                <w:spacing w:val="-4"/>
              </w:rPr>
              <w:t xml:space="preserve"> </w:t>
            </w:r>
            <w:r w:rsidRPr="0092035B">
              <w:t>AIDS</w:t>
            </w:r>
            <w:r w:rsidRPr="0092035B">
              <w:rPr>
                <w:spacing w:val="-5"/>
              </w:rPr>
              <w:t xml:space="preserve"> </w:t>
            </w:r>
            <w:r w:rsidRPr="0092035B">
              <w:t>Drug</w:t>
            </w:r>
            <w:r w:rsidRPr="0092035B">
              <w:rPr>
                <w:spacing w:val="-3"/>
              </w:rPr>
              <w:t xml:space="preserve"> </w:t>
            </w:r>
            <w:r w:rsidRPr="0092035B">
              <w:t>Assistance</w:t>
            </w:r>
            <w:r w:rsidRPr="0092035B">
              <w:rPr>
                <w:spacing w:val="-4"/>
              </w:rPr>
              <w:t xml:space="preserve"> </w:t>
            </w:r>
            <w:r w:rsidRPr="0092035B">
              <w:t>Program</w:t>
            </w:r>
            <w:r w:rsidRPr="0092035B">
              <w:rPr>
                <w:spacing w:val="-5"/>
              </w:rPr>
              <w:t xml:space="preserve"> </w:t>
            </w:r>
            <w:r w:rsidRPr="0092035B">
              <w:t>(ADAP)</w:t>
            </w:r>
            <w:r w:rsidRPr="0092035B">
              <w:rPr>
                <w:spacing w:val="-5"/>
              </w:rPr>
              <w:t xml:space="preserve"> </w:t>
            </w:r>
            <w:r w:rsidRPr="0092035B">
              <w:t>Data</w:t>
            </w:r>
            <w:r w:rsidRPr="0092035B">
              <w:rPr>
                <w:spacing w:val="-5"/>
              </w:rPr>
              <w:t xml:space="preserve"> </w:t>
            </w:r>
            <w:r w:rsidRPr="0092035B">
              <w:t>Report</w:t>
            </w:r>
            <w:r w:rsidRPr="0092035B">
              <w:rPr>
                <w:spacing w:val="-3"/>
              </w:rPr>
              <w:t xml:space="preserve"> </w:t>
            </w:r>
            <w:r w:rsidRPr="0092035B">
              <w:t>(ADR)</w:t>
            </w:r>
            <w:r w:rsidRPr="0092035B">
              <w:rPr>
                <w:spacing w:val="-5"/>
              </w:rPr>
              <w:t xml:space="preserve"> </w:t>
            </w:r>
            <w:r w:rsidRPr="0092035B">
              <w:t>Changes</w:t>
            </w:r>
            <w:r w:rsidRPr="0092035B">
              <w:rPr>
                <w:spacing w:val="-5"/>
              </w:rPr>
              <w:t xml:space="preserve"> </w:t>
            </w:r>
            <w:r w:rsidRPr="0092035B">
              <w:t>–</w:t>
            </w:r>
            <w:r w:rsidRPr="0092035B">
              <w:rPr>
                <w:spacing w:val="-4"/>
              </w:rPr>
              <w:t xml:space="preserve"> 2025</w:t>
            </w:r>
          </w:p>
          <w:p w:rsidR="0019011F" w:rsidRPr="0092035B" w:rsidP="001A6A25" w14:paraId="43315AC4" w14:textId="77777777">
            <w:pPr>
              <w:pStyle w:val="BodyText"/>
              <w:kinsoku w:val="0"/>
              <w:overflowPunct w:val="0"/>
              <w:spacing w:line="306" w:lineRule="exact"/>
              <w:ind w:left="20"/>
            </w:pPr>
          </w:p>
        </w:tc>
        <w:tc>
          <w:tcPr>
            <w:tcW w:w="1589" w:type="dxa"/>
          </w:tcPr>
          <w:p w:rsidR="0019011F" w:rsidRPr="008A5F3D" w:rsidP="284DAF5E" w14:paraId="5773FB60" w14:textId="0AD25D7A">
            <w:pPr>
              <w:spacing w:after="200" w:line="276" w:lineRule="auto"/>
              <w:rPr>
                <w:rFonts w:eastAsia="Calibri"/>
              </w:rPr>
            </w:pPr>
            <w:r w:rsidRPr="008A5F3D">
              <w:rPr>
                <w:spacing w:val="-2"/>
              </w:rPr>
              <w:t xml:space="preserve">Insurance </w:t>
            </w:r>
            <w:r w:rsidRPr="008A5F3D">
              <w:t>Assistance</w:t>
            </w:r>
            <w:r w:rsidRPr="008A5F3D">
              <w:rPr>
                <w:spacing w:val="-13"/>
              </w:rPr>
              <w:t xml:space="preserve"> </w:t>
            </w:r>
            <w:r w:rsidRPr="008A5F3D">
              <w:t>Type</w:t>
            </w:r>
          </w:p>
        </w:tc>
        <w:tc>
          <w:tcPr>
            <w:tcW w:w="2790" w:type="dxa"/>
          </w:tcPr>
          <w:p w:rsidR="0019011F" w:rsidRPr="008A5F3D" w:rsidP="284DAF5E" w14:paraId="177F7A7A" w14:textId="6DA6C0B8">
            <w:pPr>
              <w:spacing w:after="200" w:line="276" w:lineRule="auto"/>
              <w:rPr>
                <w:rFonts w:eastAsia="Calibri"/>
              </w:rPr>
            </w:pPr>
            <w:r w:rsidRPr="284DAF5E">
              <w:rPr>
                <w:rFonts w:eastAsia="Calibri"/>
              </w:rPr>
              <w:t>Combining two distinct response options</w:t>
            </w:r>
          </w:p>
        </w:tc>
        <w:tc>
          <w:tcPr>
            <w:tcW w:w="2785" w:type="dxa"/>
          </w:tcPr>
          <w:p w:rsidR="0019011F" w:rsidRPr="004B36DD" w:rsidP="284DAF5E" w14:paraId="108A63AE" w14:textId="2BC9C867">
            <w:pPr>
              <w:spacing w:after="200" w:line="276" w:lineRule="auto"/>
              <w:rPr>
                <w:rFonts w:eastAsia="Calibri"/>
              </w:rPr>
            </w:pPr>
            <w:r w:rsidRPr="284DAF5E">
              <w:rPr>
                <w:rFonts w:eastAsia="Calibri"/>
              </w:rPr>
              <w:t>Clarify and s</w:t>
            </w:r>
            <w:r w:rsidRPr="284DAF5E" w:rsidR="009271FA">
              <w:rPr>
                <w:rFonts w:eastAsia="Calibri"/>
              </w:rPr>
              <w:t>implify</w:t>
            </w:r>
            <w:r w:rsidRPr="284DAF5E" w:rsidR="00F53115">
              <w:rPr>
                <w:rFonts w:eastAsia="Calibri"/>
              </w:rPr>
              <w:t xml:space="preserve"> the response option</w:t>
            </w:r>
            <w:r w:rsidRPr="284DAF5E">
              <w:rPr>
                <w:rFonts w:eastAsia="Calibri"/>
              </w:rPr>
              <w:t>.</w:t>
            </w:r>
          </w:p>
        </w:tc>
      </w:tr>
    </w:tbl>
    <w:p w:rsidR="00053774" w:rsidP="00EF41AD" w14:paraId="3F814F32" w14:textId="77777777">
      <w:pPr>
        <w:spacing w:line="276" w:lineRule="auto"/>
        <w:outlineLvl w:val="0"/>
        <w:rPr>
          <w:b/>
          <w:u w:val="single"/>
        </w:rPr>
      </w:pPr>
    </w:p>
    <w:p w:rsidR="00053774" w:rsidP="00EF41AD" w14:paraId="366B17AC" w14:textId="77777777">
      <w:pPr>
        <w:spacing w:line="276" w:lineRule="auto"/>
        <w:outlineLvl w:val="0"/>
        <w:rPr>
          <w:b/>
          <w:u w:val="single"/>
        </w:rPr>
      </w:pPr>
    </w:p>
    <w:p w:rsidR="00B92B6C" w:rsidRPr="00B92B6C" w:rsidP="00F8193D" w14:paraId="4A325EA8" w14:textId="3B98090C">
      <w:pPr>
        <w:spacing w:after="200" w:line="276" w:lineRule="auto"/>
        <w:ind w:left="720"/>
        <w:contextualSpacing/>
        <w:rPr>
          <w:rFonts w:ascii="Calibri" w:eastAsia="Calibri" w:hAnsi="Calibri"/>
          <w:sz w:val="22"/>
          <w:szCs w:val="22"/>
        </w:rPr>
      </w:pPr>
    </w:p>
    <w:p w:rsidR="00DE2FF6" w:rsidRPr="004F141B" w:rsidP="004F141B" w14:paraId="426306BE" w14:textId="7D9CB8C9">
      <w:pPr>
        <w:keepNext/>
        <w:spacing w:after="200" w:line="276" w:lineRule="auto"/>
        <w:rPr>
          <w:rFonts w:eastAsia="Calibri"/>
          <w:b/>
        </w:rPr>
      </w:pPr>
      <w:r w:rsidRPr="00B92B6C">
        <w:rPr>
          <w:rFonts w:eastAsia="Calibri"/>
          <w:b/>
        </w:rPr>
        <w:t>Attachments:</w:t>
      </w:r>
    </w:p>
    <w:p w:rsidR="00DE2FF6" w:rsidRPr="00DE2FF6" w:rsidP="00DE2FF6" w14:paraId="2F85B67B" w14:textId="77777777">
      <w:pPr>
        <w:spacing w:line="276" w:lineRule="auto"/>
        <w:outlineLvl w:val="0"/>
        <w:rPr>
          <w:bCs/>
        </w:rPr>
      </w:pPr>
    </w:p>
    <w:p w:rsidR="007B07DB" w:rsidRPr="004F141B" w:rsidP="004F141B" w14:paraId="774BBE30" w14:textId="7853E3ED">
      <w:pPr>
        <w:pStyle w:val="BodyText"/>
        <w:numPr>
          <w:ilvl w:val="0"/>
          <w:numId w:val="6"/>
        </w:numPr>
        <w:kinsoku w:val="0"/>
        <w:overflowPunct w:val="0"/>
        <w:spacing w:line="306" w:lineRule="exact"/>
        <w:rPr>
          <w:i/>
          <w:iCs/>
          <w:spacing w:val="-4"/>
        </w:rPr>
      </w:pPr>
      <w:r>
        <w:rPr>
          <w:i/>
          <w:iCs/>
        </w:rPr>
        <w:t>HRSA</w:t>
      </w:r>
      <w:r>
        <w:rPr>
          <w:i/>
          <w:iCs/>
          <w:spacing w:val="-5"/>
        </w:rPr>
        <w:t xml:space="preserve"> </w:t>
      </w:r>
      <w:r>
        <w:rPr>
          <w:i/>
          <w:iCs/>
        </w:rPr>
        <w:t>HAB’s</w:t>
      </w:r>
      <w:r>
        <w:rPr>
          <w:i/>
          <w:iCs/>
          <w:spacing w:val="-4"/>
        </w:rPr>
        <w:t xml:space="preserve"> </w:t>
      </w:r>
      <w:r>
        <w:rPr>
          <w:i/>
          <w:iCs/>
        </w:rPr>
        <w:t>AIDS</w:t>
      </w:r>
      <w:r>
        <w:rPr>
          <w:i/>
          <w:iCs/>
          <w:spacing w:val="-5"/>
        </w:rPr>
        <w:t xml:space="preserve"> </w:t>
      </w:r>
      <w:r>
        <w:rPr>
          <w:i/>
          <w:iCs/>
        </w:rPr>
        <w:t>Drug</w:t>
      </w:r>
      <w:r>
        <w:rPr>
          <w:i/>
          <w:iCs/>
          <w:spacing w:val="-3"/>
        </w:rPr>
        <w:t xml:space="preserve"> </w:t>
      </w:r>
      <w:r>
        <w:rPr>
          <w:i/>
          <w:iCs/>
        </w:rPr>
        <w:t>Assistance</w:t>
      </w:r>
      <w:r>
        <w:rPr>
          <w:i/>
          <w:iCs/>
          <w:spacing w:val="-4"/>
        </w:rPr>
        <w:t xml:space="preserve"> </w:t>
      </w:r>
      <w:r>
        <w:rPr>
          <w:i/>
          <w:iCs/>
        </w:rPr>
        <w:t>Program</w:t>
      </w:r>
      <w:r>
        <w:rPr>
          <w:i/>
          <w:iCs/>
          <w:spacing w:val="-5"/>
        </w:rPr>
        <w:t xml:space="preserve"> </w:t>
      </w:r>
      <w:r>
        <w:rPr>
          <w:i/>
          <w:iCs/>
        </w:rPr>
        <w:t>(ADAP)</w:t>
      </w:r>
      <w:r>
        <w:rPr>
          <w:i/>
          <w:iCs/>
          <w:spacing w:val="-5"/>
        </w:rPr>
        <w:t xml:space="preserve"> </w:t>
      </w:r>
      <w:r>
        <w:rPr>
          <w:i/>
          <w:iCs/>
        </w:rPr>
        <w:t>Data</w:t>
      </w:r>
      <w:r>
        <w:rPr>
          <w:i/>
          <w:iCs/>
          <w:spacing w:val="-5"/>
        </w:rPr>
        <w:t xml:space="preserve"> </w:t>
      </w:r>
      <w:r>
        <w:rPr>
          <w:i/>
          <w:iCs/>
        </w:rPr>
        <w:t>Report</w:t>
      </w:r>
      <w:r>
        <w:rPr>
          <w:i/>
          <w:iCs/>
          <w:spacing w:val="-3"/>
        </w:rPr>
        <w:t xml:space="preserve"> </w:t>
      </w:r>
      <w:r>
        <w:rPr>
          <w:i/>
          <w:iCs/>
        </w:rPr>
        <w:t>(ADR)</w:t>
      </w:r>
      <w:r>
        <w:rPr>
          <w:i/>
          <w:iCs/>
          <w:spacing w:val="-5"/>
        </w:rPr>
        <w:t xml:space="preserve"> </w:t>
      </w:r>
      <w:r>
        <w:rPr>
          <w:i/>
          <w:iCs/>
        </w:rPr>
        <w:t>Changes</w:t>
      </w:r>
      <w:r>
        <w:rPr>
          <w:i/>
          <w:iCs/>
          <w:spacing w:val="-5"/>
        </w:rPr>
        <w:t xml:space="preserve"> </w:t>
      </w:r>
      <w:r>
        <w:rPr>
          <w:i/>
          <w:iCs/>
        </w:rPr>
        <w:t>–</w:t>
      </w:r>
      <w:r>
        <w:rPr>
          <w:i/>
          <w:iCs/>
          <w:spacing w:val="-4"/>
        </w:rPr>
        <w:t xml:space="preserve"> 2025</w:t>
      </w:r>
    </w:p>
    <w:p w:rsidR="00D47431" w:rsidP="00D47431" w14:paraId="6161513E" w14:textId="6D76910F">
      <w:pPr>
        <w:spacing w:after="200" w:line="276" w:lineRule="auto"/>
        <w:rPr>
          <w:rFonts w:eastAsia="Calibri"/>
        </w:rPr>
      </w:pPr>
    </w:p>
    <w:sectPr w:rsidSect="00DB2ED0">
      <w:headerReference w:type="default" r:id="rId9"/>
      <w:footerReference w:type="default" r:id="rId10"/>
      <w:headerReference w:type="first" r:id="rId11"/>
      <w:pgSz w:w="12240" w:h="15840"/>
      <w:pgMar w:top="1440" w:right="1440" w:bottom="1440" w:left="1440" w:header="36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ova Cond">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90528990"/>
      <w:docPartObj>
        <w:docPartGallery w:val="Page Numbers (Bottom of Page)"/>
        <w:docPartUnique/>
      </w:docPartObj>
    </w:sdtPr>
    <w:sdtEndPr>
      <w:rPr>
        <w:noProof/>
      </w:rPr>
    </w:sdtEndPr>
    <w:sdtContent>
      <w:p w:rsidR="00B92B6C" w14:paraId="3701255B" w14:textId="4074B5D1">
        <w:pPr>
          <w:pStyle w:val="Footer"/>
          <w:jc w:val="center"/>
        </w:pPr>
        <w:r>
          <w:fldChar w:fldCharType="begin"/>
        </w:r>
        <w:r>
          <w:instrText xml:space="preserve"> PAGE   \* MERGEFORMAT </w:instrText>
        </w:r>
        <w:r>
          <w:fldChar w:fldCharType="separate"/>
        </w:r>
        <w:r w:rsidR="00573D0B">
          <w:rPr>
            <w:noProof/>
          </w:rPr>
          <w:t>7</w:t>
        </w:r>
        <w:r>
          <w:rPr>
            <w:noProof/>
          </w:rPr>
          <w:fldChar w:fldCharType="end"/>
        </w:r>
      </w:p>
    </w:sdtContent>
  </w:sdt>
  <w:p w:rsidR="00B92B6C" w14:paraId="03906C3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0EC9" w:rsidP="00E60EC9" w14:paraId="49DBEF95" w14:textId="50F795C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41D5" w:rsidP="00DF41D5" w14:paraId="3A758905" w14:textId="6C1B350C">
    <w:pPr>
      <w:widowControl w:val="0"/>
      <w:tabs>
        <w:tab w:val="left" w:pos="1540"/>
      </w:tabs>
      <w:autoSpaceDE w:val="0"/>
      <w:autoSpaceDN w:val="0"/>
      <w:spacing w:before="80"/>
      <w:ind w:left="-360" w:hanging="4"/>
      <w:outlineLvl w:val="0"/>
      <w:rPr>
        <w:rFonts w:ascii="Arial Nova Cond" w:hAnsi="Arial Nova Cond"/>
        <w:b/>
        <w:bCs/>
        <w:color w:val="000000" w:themeColor="text1"/>
        <w:sz w:val="20"/>
        <w:szCs w:val="20"/>
      </w:rPr>
    </w:pPr>
    <w:r w:rsidRPr="00146E41">
      <w:rPr>
        <w:rFonts w:eastAsia="Calibri"/>
        <w:noProof/>
      </w:rPr>
      <w:drawing>
        <wp:anchor distT="0" distB="0" distL="114300" distR="114300" simplePos="0" relativeHeight="251661312" behindDoc="1" locked="0" layoutInCell="1" allowOverlap="1">
          <wp:simplePos x="0" y="0"/>
          <wp:positionH relativeFrom="column">
            <wp:posOffset>5236422</wp:posOffset>
          </wp:positionH>
          <wp:positionV relativeFrom="paragraph">
            <wp:posOffset>-148590</wp:posOffset>
          </wp:positionV>
          <wp:extent cx="1033455" cy="1044269"/>
          <wp:effectExtent l="0" t="0" r="0" b="3810"/>
          <wp:wrapNone/>
          <wp:docPr id="9" name="Picture 9" descr="Department of Health and Human Services, U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95328733" descr="Department of Health and Human Services, USA"/>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3455" cy="104426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4058">
      <w:rPr>
        <w:rFonts w:eastAsia="Calibri"/>
        <w:noProof/>
        <w:sz w:val="20"/>
        <w:szCs w:val="20"/>
      </w:rPr>
      <w:drawing>
        <wp:anchor distT="0" distB="0" distL="114300" distR="114300" simplePos="0" relativeHeight="251660288" behindDoc="1" locked="0" layoutInCell="1" allowOverlap="1">
          <wp:simplePos x="0" y="0"/>
          <wp:positionH relativeFrom="margin">
            <wp:posOffset>-270722</wp:posOffset>
          </wp:positionH>
          <wp:positionV relativeFrom="paragraph">
            <wp:posOffset>-66675</wp:posOffset>
          </wp:positionV>
          <wp:extent cx="1536065" cy="590550"/>
          <wp:effectExtent l="0" t="0" r="6985" b="0"/>
          <wp:wrapNone/>
          <wp:docPr id="892768734" name="Picture 892768734" descr="Health Resources and Services Administration (HR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768734" name="Picture 892768734" descr="Health Resources and Services Administration (HRSA)"/>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a:stretch>
                </pic:blipFill>
                <pic:spPr>
                  <a:xfrm>
                    <a:off x="0" y="0"/>
                    <a:ext cx="1536065" cy="590550"/>
                  </a:xfrm>
                  <a:prstGeom prst="rect">
                    <a:avLst/>
                  </a:prstGeom>
                </pic:spPr>
              </pic:pic>
            </a:graphicData>
          </a:graphic>
        </wp:anchor>
      </w:drawing>
    </w:r>
  </w:p>
  <w:p w:rsidR="00DF41D5" w:rsidP="00DF41D5" w14:paraId="4A166998" w14:textId="0D9B4099">
    <w:pPr>
      <w:widowControl w:val="0"/>
      <w:tabs>
        <w:tab w:val="left" w:pos="1540"/>
      </w:tabs>
      <w:autoSpaceDE w:val="0"/>
      <w:autoSpaceDN w:val="0"/>
      <w:spacing w:before="80"/>
      <w:ind w:left="-360" w:hanging="4"/>
      <w:outlineLvl w:val="0"/>
      <w:rPr>
        <w:rFonts w:ascii="Arial Nova Cond" w:hAnsi="Arial Nova Cond"/>
        <w:b/>
        <w:bCs/>
        <w:color w:val="000000" w:themeColor="text1"/>
        <w:sz w:val="20"/>
        <w:szCs w:val="20"/>
      </w:rPr>
    </w:pPr>
  </w:p>
  <w:p w:rsidR="00DF41D5" w:rsidRPr="00D1135B" w:rsidP="00DF41D5" w14:paraId="58DDD1D2" w14:textId="77777777">
    <w:pPr>
      <w:widowControl w:val="0"/>
      <w:tabs>
        <w:tab w:val="left" w:pos="1540"/>
      </w:tabs>
      <w:autoSpaceDE w:val="0"/>
      <w:autoSpaceDN w:val="0"/>
      <w:outlineLvl w:val="0"/>
      <w:rPr>
        <w:rFonts w:ascii="Arial Nova Cond" w:hAnsi="Arial Nova Cond"/>
        <w:b/>
        <w:bCs/>
        <w:color w:val="000000" w:themeColor="text1"/>
        <w:sz w:val="20"/>
        <w:szCs w:val="20"/>
      </w:rPr>
    </w:pPr>
  </w:p>
  <w:p w:rsidR="00DF41D5" w:rsidP="00DF41D5" w14:paraId="50C74AD1" w14:textId="77777777">
    <w:pPr>
      <w:widowControl w:val="0"/>
      <w:tabs>
        <w:tab w:val="left" w:pos="1540"/>
      </w:tabs>
      <w:autoSpaceDE w:val="0"/>
      <w:autoSpaceDN w:val="0"/>
      <w:ind w:left="-360"/>
      <w:outlineLvl w:val="0"/>
      <w:rPr>
        <w:rFonts w:ascii="Arial Nova Cond" w:hAnsi="Arial Nova Cond"/>
        <w:color w:val="000000" w:themeColor="text1"/>
        <w:sz w:val="20"/>
        <w:szCs w:val="20"/>
      </w:rPr>
    </w:pPr>
    <w:r w:rsidRPr="00696C96">
      <w:rPr>
        <w:rFonts w:ascii="Arial Nova Cond" w:hAnsi="Arial Nova Cond"/>
        <w:color w:val="000000" w:themeColor="text1"/>
        <w:sz w:val="20"/>
        <w:szCs w:val="20"/>
      </w:rPr>
      <w:t>5600 Fishers Lane</w:t>
    </w:r>
  </w:p>
  <w:p w:rsidR="00DF41D5" w:rsidRPr="00971770" w:rsidP="00DF41D5" w14:paraId="088E127D" w14:textId="77777777">
    <w:pPr>
      <w:widowControl w:val="0"/>
      <w:tabs>
        <w:tab w:val="left" w:pos="1540"/>
      </w:tabs>
      <w:autoSpaceDE w:val="0"/>
      <w:autoSpaceDN w:val="0"/>
      <w:ind w:left="-360"/>
      <w:outlineLvl w:val="0"/>
      <w:rPr>
        <w:rFonts w:ascii="Arial Nova Cond" w:hAnsi="Arial Nova Cond"/>
        <w:color w:val="000000" w:themeColor="text1"/>
        <w:sz w:val="20"/>
        <w:szCs w:val="20"/>
      </w:rPr>
    </w:pPr>
    <w:r w:rsidRPr="00696C96">
      <w:rPr>
        <w:rFonts w:ascii="Arial Nova Cond" w:hAnsi="Arial Nova Cond"/>
        <w:color w:val="000000" w:themeColor="text1"/>
        <w:sz w:val="20"/>
        <w:szCs w:val="20"/>
      </w:rPr>
      <w:t>Rockville, MD 20857</w:t>
    </w:r>
  </w:p>
  <w:p w:rsidR="00E60EC9" w:rsidRPr="00DF41D5" w:rsidP="00DF41D5" w14:paraId="49DBEF9F" w14:textId="2F6BF67B">
    <w:pPr>
      <w:pStyle w:val="Header"/>
    </w:pPr>
    <w:r w:rsidRPr="001048BB">
      <w:rPr>
        <w:noProof/>
        <w:sz w:val="20"/>
        <w:szCs w:val="20"/>
      </w:rPr>
      <mc:AlternateContent>
        <mc:Choice Requires="wps">
          <w:drawing>
            <wp:anchor distT="0" distB="0" distL="0" distR="0" simplePos="0" relativeHeight="251658240" behindDoc="0" locked="1" layoutInCell="1" allowOverlap="1">
              <wp:simplePos x="0" y="0"/>
              <wp:positionH relativeFrom="column">
                <wp:posOffset>-233680</wp:posOffset>
              </wp:positionH>
              <wp:positionV relativeFrom="paragraph">
                <wp:posOffset>44450</wp:posOffset>
              </wp:positionV>
              <wp:extent cx="6553835" cy="45085"/>
              <wp:effectExtent l="0" t="0" r="0" b="0"/>
              <wp:wrapThrough wrapText="bothSides">
                <wp:wrapPolygon>
                  <wp:start x="0" y="0"/>
                  <wp:lineTo x="0" y="9127"/>
                  <wp:lineTo x="21535" y="9127"/>
                  <wp:lineTo x="21535" y="0"/>
                  <wp:lineTo x="0" y="0"/>
                </wp:wrapPolygon>
              </wp:wrapThrough>
              <wp:docPr id="4" name="Freeform 1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bwMode="auto">
                      <a:xfrm>
                        <a:off x="0" y="0"/>
                        <a:ext cx="6553835" cy="45085"/>
                      </a:xfrm>
                      <a:custGeom>
                        <a:avLst/>
                        <a:gdLst>
                          <a:gd name="T0" fmla="*/ 0 w 12206"/>
                          <a:gd name="T1" fmla="*/ 0 h 120"/>
                          <a:gd name="T2" fmla="*/ 0 w 12206"/>
                          <a:gd name="T3" fmla="*/ 119 h 120"/>
                          <a:gd name="T4" fmla="*/ 12205 w 12206"/>
                          <a:gd name="T5" fmla="*/ 119 h 120"/>
                          <a:gd name="T6" fmla="*/ 12205 w 12206"/>
                          <a:gd name="T7" fmla="*/ 0 h 120"/>
                          <a:gd name="T8" fmla="*/ 0 w 12206"/>
                          <a:gd name="T9" fmla="*/ 0 h 120"/>
                        </a:gdLst>
                        <a:cxnLst>
                          <a:cxn ang="0">
                            <a:pos x="T0" y="T1"/>
                          </a:cxn>
                          <a:cxn ang="0">
                            <a:pos x="T2" y="T3"/>
                          </a:cxn>
                          <a:cxn ang="0">
                            <a:pos x="T4" y="T5"/>
                          </a:cxn>
                          <a:cxn ang="0">
                            <a:pos x="T6" y="T7"/>
                          </a:cxn>
                          <a:cxn ang="0">
                            <a:pos x="T8" y="T9"/>
                          </a:cxn>
                        </a:cxnLst>
                        <a:rect l="0" t="0" r="r" b="b"/>
                        <a:pathLst>
                          <a:path fill="norm" h="120" w="12206" stroke="1">
                            <a:moveTo>
                              <a:pt x="0" y="0"/>
                            </a:moveTo>
                            <a:lnTo>
                              <a:pt x="0" y="119"/>
                            </a:lnTo>
                            <a:lnTo>
                              <a:pt x="12205" y="119"/>
                            </a:lnTo>
                            <a:lnTo>
                              <a:pt x="12205" y="0"/>
                            </a:lnTo>
                            <a:lnTo>
                              <a:pt x="0" y="0"/>
                            </a:lnTo>
                            <a:close/>
                          </a:path>
                        </a:pathLst>
                      </a:custGeom>
                      <a:solidFill>
                        <a:srgbClr val="00138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Freeform 13" o:spid="_x0000_s2049" alt="&quot;&quot;" style="width:516.05pt;height:3.55pt;margin-top:3.5pt;margin-left:-18.4pt;mso-height-percent:0;mso-height-relative:margin;mso-width-percent:0;mso-width-relative:margin;mso-wrap-distance-bottom:0;mso-wrap-distance-left:0;mso-wrap-distance-right:0;mso-wrap-distance-top:0;mso-wrap-style:square;position:absolute;visibility:visible;v-text-anchor:top;z-index:251659264" coordsize="12206,120" path="m,l,119l12205,119l12205,,,xe" fillcolor="#001388" stroked="f">
              <v:path arrowok="t" o:connecttype="custom" o:connectlocs="0,0;0,44709;6553298,44709;6553298,0;0,0" o:connectangles="0,0,0,0,0"/>
              <o:lock v:ext="edit" aspectratio="t"/>
              <w10:wrap type="through"/>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2922D1"/>
    <w:multiLevelType w:val="hybridMultilevel"/>
    <w:tmpl w:val="B1DE09D0"/>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1">
    <w:nsid w:val="2FB14D14"/>
    <w:multiLevelType w:val="hybridMultilevel"/>
    <w:tmpl w:val="3A88FCEE"/>
    <w:lvl w:ilvl="0">
      <w:start w:va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FD82945"/>
    <w:multiLevelType w:val="hybridMultilevel"/>
    <w:tmpl w:val="DE8A10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3F91A32"/>
    <w:multiLevelType w:val="hybridMultilevel"/>
    <w:tmpl w:val="B67E9FC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5AD604C"/>
    <w:multiLevelType w:val="hybridMultilevel"/>
    <w:tmpl w:val="214E28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8DC0DFE"/>
    <w:multiLevelType w:val="hybridMultilevel"/>
    <w:tmpl w:val="09601F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44B439D"/>
    <w:multiLevelType w:val="hybridMultilevel"/>
    <w:tmpl w:val="75408738"/>
    <w:lvl w:ilvl="0">
      <w:start w:val="1"/>
      <w:numFmt w:val="decimal"/>
      <w:lvlText w:val="%1."/>
      <w:lvlJc w:val="left"/>
      <w:pPr>
        <w:ind w:left="2520" w:hanging="360"/>
      </w:pPr>
      <w:rPr>
        <w:rFonts w:hint="default"/>
        <w:b/>
        <w:bCs/>
        <w:color w:val="auto"/>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7">
    <w:nsid w:val="53C32222"/>
    <w:multiLevelType w:val="hybridMultilevel"/>
    <w:tmpl w:val="640C7574"/>
    <w:lvl w:ilvl="0">
      <w:start w:val="2"/>
      <w:numFmt w:val="decimal"/>
      <w:lvlText w:val="%1."/>
      <w:lvlJc w:val="left"/>
      <w:pPr>
        <w:ind w:left="2520" w:hanging="360"/>
      </w:pPr>
      <w:rPr>
        <w:rFonts w:hint="default"/>
        <w:b/>
        <w:bCs/>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num w:numId="1" w16cid:durableId="1486777302">
    <w:abstractNumId w:val="1"/>
  </w:num>
  <w:num w:numId="2" w16cid:durableId="1189493300">
    <w:abstractNumId w:val="0"/>
  </w:num>
  <w:num w:numId="3" w16cid:durableId="1131703119">
    <w:abstractNumId w:val="4"/>
  </w:num>
  <w:num w:numId="4" w16cid:durableId="77140030">
    <w:abstractNumId w:val="5"/>
  </w:num>
  <w:num w:numId="5" w16cid:durableId="818227811">
    <w:abstractNumId w:val="2"/>
  </w:num>
  <w:num w:numId="6" w16cid:durableId="412043533">
    <w:abstractNumId w:val="3"/>
  </w:num>
  <w:num w:numId="7" w16cid:durableId="1944458429">
    <w:abstractNumId w:val="6"/>
  </w:num>
  <w:num w:numId="8" w16cid:durableId="5052870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AEE"/>
    <w:rsid w:val="00003763"/>
    <w:rsid w:val="000137E9"/>
    <w:rsid w:val="00045B42"/>
    <w:rsid w:val="00051625"/>
    <w:rsid w:val="00053774"/>
    <w:rsid w:val="00054659"/>
    <w:rsid w:val="00077FC4"/>
    <w:rsid w:val="00086224"/>
    <w:rsid w:val="00086A3E"/>
    <w:rsid w:val="000A7DE4"/>
    <w:rsid w:val="000B000E"/>
    <w:rsid w:val="000B2BCC"/>
    <w:rsid w:val="000D2751"/>
    <w:rsid w:val="000D4ED8"/>
    <w:rsid w:val="000E7CCD"/>
    <w:rsid w:val="000F2103"/>
    <w:rsid w:val="00122B02"/>
    <w:rsid w:val="00126866"/>
    <w:rsid w:val="001301B2"/>
    <w:rsid w:val="00141E59"/>
    <w:rsid w:val="00142733"/>
    <w:rsid w:val="00161207"/>
    <w:rsid w:val="00161D18"/>
    <w:rsid w:val="001626D3"/>
    <w:rsid w:val="001709E2"/>
    <w:rsid w:val="00170FE4"/>
    <w:rsid w:val="00184624"/>
    <w:rsid w:val="0019011F"/>
    <w:rsid w:val="00190C2F"/>
    <w:rsid w:val="00191CE9"/>
    <w:rsid w:val="00193E7F"/>
    <w:rsid w:val="0019540E"/>
    <w:rsid w:val="0019560D"/>
    <w:rsid w:val="001A2E2A"/>
    <w:rsid w:val="001A5F8A"/>
    <w:rsid w:val="001A6A25"/>
    <w:rsid w:val="001B523B"/>
    <w:rsid w:val="001C250A"/>
    <w:rsid w:val="001D2181"/>
    <w:rsid w:val="001E08B7"/>
    <w:rsid w:val="001E257B"/>
    <w:rsid w:val="001F7458"/>
    <w:rsid w:val="00204028"/>
    <w:rsid w:val="0023046F"/>
    <w:rsid w:val="00230B12"/>
    <w:rsid w:val="00233631"/>
    <w:rsid w:val="00252FB4"/>
    <w:rsid w:val="00254744"/>
    <w:rsid w:val="002558F1"/>
    <w:rsid w:val="00255B93"/>
    <w:rsid w:val="0025694D"/>
    <w:rsid w:val="00270D9F"/>
    <w:rsid w:val="00270FE3"/>
    <w:rsid w:val="002774D5"/>
    <w:rsid w:val="0028617B"/>
    <w:rsid w:val="002940FF"/>
    <w:rsid w:val="002975C8"/>
    <w:rsid w:val="002A30D5"/>
    <w:rsid w:val="002B17DB"/>
    <w:rsid w:val="002B1E19"/>
    <w:rsid w:val="002B2C62"/>
    <w:rsid w:val="002C3684"/>
    <w:rsid w:val="002E72C0"/>
    <w:rsid w:val="00301C0B"/>
    <w:rsid w:val="00310E49"/>
    <w:rsid w:val="003232AF"/>
    <w:rsid w:val="00332A0C"/>
    <w:rsid w:val="00332AC4"/>
    <w:rsid w:val="00334D1E"/>
    <w:rsid w:val="003544DE"/>
    <w:rsid w:val="0037258C"/>
    <w:rsid w:val="003747B2"/>
    <w:rsid w:val="00383ECD"/>
    <w:rsid w:val="003901DB"/>
    <w:rsid w:val="00392576"/>
    <w:rsid w:val="00393F7C"/>
    <w:rsid w:val="003A6602"/>
    <w:rsid w:val="003B1FE5"/>
    <w:rsid w:val="003B2616"/>
    <w:rsid w:val="003B3248"/>
    <w:rsid w:val="003B4364"/>
    <w:rsid w:val="003C1266"/>
    <w:rsid w:val="003D33F5"/>
    <w:rsid w:val="003D4040"/>
    <w:rsid w:val="003E0442"/>
    <w:rsid w:val="003F0F33"/>
    <w:rsid w:val="003F7128"/>
    <w:rsid w:val="00427F6E"/>
    <w:rsid w:val="00436943"/>
    <w:rsid w:val="00440E14"/>
    <w:rsid w:val="004418A1"/>
    <w:rsid w:val="00441EE8"/>
    <w:rsid w:val="004473B6"/>
    <w:rsid w:val="00456345"/>
    <w:rsid w:val="00467E88"/>
    <w:rsid w:val="004870F0"/>
    <w:rsid w:val="00493F65"/>
    <w:rsid w:val="004A289E"/>
    <w:rsid w:val="004A3B9D"/>
    <w:rsid w:val="004B36DD"/>
    <w:rsid w:val="004C5BA6"/>
    <w:rsid w:val="004E329B"/>
    <w:rsid w:val="004E6DD2"/>
    <w:rsid w:val="004E733E"/>
    <w:rsid w:val="004F141B"/>
    <w:rsid w:val="005114FA"/>
    <w:rsid w:val="00512102"/>
    <w:rsid w:val="00512E18"/>
    <w:rsid w:val="00520200"/>
    <w:rsid w:val="005302CD"/>
    <w:rsid w:val="005439D1"/>
    <w:rsid w:val="00544BBF"/>
    <w:rsid w:val="0055021B"/>
    <w:rsid w:val="00565928"/>
    <w:rsid w:val="005725D4"/>
    <w:rsid w:val="00573582"/>
    <w:rsid w:val="00573D0B"/>
    <w:rsid w:val="00574FDB"/>
    <w:rsid w:val="0057786D"/>
    <w:rsid w:val="00581043"/>
    <w:rsid w:val="005950E5"/>
    <w:rsid w:val="005A529B"/>
    <w:rsid w:val="005B1738"/>
    <w:rsid w:val="005B3157"/>
    <w:rsid w:val="005E064E"/>
    <w:rsid w:val="006113F5"/>
    <w:rsid w:val="0061313F"/>
    <w:rsid w:val="00614C26"/>
    <w:rsid w:val="006166C5"/>
    <w:rsid w:val="00616B50"/>
    <w:rsid w:val="006215A9"/>
    <w:rsid w:val="006272EB"/>
    <w:rsid w:val="0063324E"/>
    <w:rsid w:val="006408E7"/>
    <w:rsid w:val="006562F9"/>
    <w:rsid w:val="00657689"/>
    <w:rsid w:val="00657C22"/>
    <w:rsid w:val="00671F80"/>
    <w:rsid w:val="00680233"/>
    <w:rsid w:val="006934A4"/>
    <w:rsid w:val="00696C96"/>
    <w:rsid w:val="006A0213"/>
    <w:rsid w:val="006A28A4"/>
    <w:rsid w:val="006A4E88"/>
    <w:rsid w:val="006A5A87"/>
    <w:rsid w:val="006B6335"/>
    <w:rsid w:val="006C099B"/>
    <w:rsid w:val="006C1BAB"/>
    <w:rsid w:val="006C5E6B"/>
    <w:rsid w:val="006D6D68"/>
    <w:rsid w:val="006F5AC3"/>
    <w:rsid w:val="0071449B"/>
    <w:rsid w:val="00714AC6"/>
    <w:rsid w:val="007177BC"/>
    <w:rsid w:val="0072161F"/>
    <w:rsid w:val="007261EE"/>
    <w:rsid w:val="007279C1"/>
    <w:rsid w:val="00754D00"/>
    <w:rsid w:val="00765705"/>
    <w:rsid w:val="00782ABF"/>
    <w:rsid w:val="00783738"/>
    <w:rsid w:val="0078631F"/>
    <w:rsid w:val="0079084A"/>
    <w:rsid w:val="00791085"/>
    <w:rsid w:val="00793E52"/>
    <w:rsid w:val="007A3FC7"/>
    <w:rsid w:val="007B07DB"/>
    <w:rsid w:val="007B6733"/>
    <w:rsid w:val="007D1463"/>
    <w:rsid w:val="007E3379"/>
    <w:rsid w:val="007F4058"/>
    <w:rsid w:val="007F713B"/>
    <w:rsid w:val="0081548F"/>
    <w:rsid w:val="00816253"/>
    <w:rsid w:val="00827ADF"/>
    <w:rsid w:val="00853F69"/>
    <w:rsid w:val="00865C53"/>
    <w:rsid w:val="00867179"/>
    <w:rsid w:val="008672A0"/>
    <w:rsid w:val="00873737"/>
    <w:rsid w:val="00875450"/>
    <w:rsid w:val="00880E19"/>
    <w:rsid w:val="00887E83"/>
    <w:rsid w:val="00890683"/>
    <w:rsid w:val="0089448C"/>
    <w:rsid w:val="008A09BF"/>
    <w:rsid w:val="008A3EF2"/>
    <w:rsid w:val="008A415A"/>
    <w:rsid w:val="008A5F3D"/>
    <w:rsid w:val="008B6272"/>
    <w:rsid w:val="008C5FD9"/>
    <w:rsid w:val="008C779E"/>
    <w:rsid w:val="008C7857"/>
    <w:rsid w:val="008D25BE"/>
    <w:rsid w:val="008D35DB"/>
    <w:rsid w:val="008D4322"/>
    <w:rsid w:val="008D5DDD"/>
    <w:rsid w:val="008E1E20"/>
    <w:rsid w:val="008E6BB9"/>
    <w:rsid w:val="0090482D"/>
    <w:rsid w:val="009079C5"/>
    <w:rsid w:val="00907BDE"/>
    <w:rsid w:val="00914F17"/>
    <w:rsid w:val="0092035B"/>
    <w:rsid w:val="00920EE1"/>
    <w:rsid w:val="009271FA"/>
    <w:rsid w:val="00942426"/>
    <w:rsid w:val="00943979"/>
    <w:rsid w:val="0094649B"/>
    <w:rsid w:val="00971770"/>
    <w:rsid w:val="00993B6F"/>
    <w:rsid w:val="009A60CA"/>
    <w:rsid w:val="009B017F"/>
    <w:rsid w:val="009B37A2"/>
    <w:rsid w:val="009B6957"/>
    <w:rsid w:val="009C3060"/>
    <w:rsid w:val="009C34AD"/>
    <w:rsid w:val="009C61FB"/>
    <w:rsid w:val="009D2370"/>
    <w:rsid w:val="009D78B1"/>
    <w:rsid w:val="009E2112"/>
    <w:rsid w:val="009E2189"/>
    <w:rsid w:val="009E6D0C"/>
    <w:rsid w:val="009F0CA9"/>
    <w:rsid w:val="009F1FA3"/>
    <w:rsid w:val="00A06906"/>
    <w:rsid w:val="00A10ED6"/>
    <w:rsid w:val="00A1536E"/>
    <w:rsid w:val="00A30171"/>
    <w:rsid w:val="00A31978"/>
    <w:rsid w:val="00A31D65"/>
    <w:rsid w:val="00A4469E"/>
    <w:rsid w:val="00A60A57"/>
    <w:rsid w:val="00A63A31"/>
    <w:rsid w:val="00A73790"/>
    <w:rsid w:val="00AA4C43"/>
    <w:rsid w:val="00AA569D"/>
    <w:rsid w:val="00AA5859"/>
    <w:rsid w:val="00AC4138"/>
    <w:rsid w:val="00AC73BA"/>
    <w:rsid w:val="00AF3431"/>
    <w:rsid w:val="00AF6A02"/>
    <w:rsid w:val="00B0690E"/>
    <w:rsid w:val="00B1243A"/>
    <w:rsid w:val="00B2307A"/>
    <w:rsid w:val="00B25482"/>
    <w:rsid w:val="00B30E77"/>
    <w:rsid w:val="00B50762"/>
    <w:rsid w:val="00B66486"/>
    <w:rsid w:val="00B6725E"/>
    <w:rsid w:val="00B727B5"/>
    <w:rsid w:val="00B81189"/>
    <w:rsid w:val="00B820BA"/>
    <w:rsid w:val="00B86A41"/>
    <w:rsid w:val="00B92B6C"/>
    <w:rsid w:val="00BB3521"/>
    <w:rsid w:val="00BD0FD5"/>
    <w:rsid w:val="00BE0DC4"/>
    <w:rsid w:val="00C02E93"/>
    <w:rsid w:val="00C06EF5"/>
    <w:rsid w:val="00C13C3B"/>
    <w:rsid w:val="00C228D5"/>
    <w:rsid w:val="00C23BA3"/>
    <w:rsid w:val="00C251B3"/>
    <w:rsid w:val="00C33C03"/>
    <w:rsid w:val="00C456A8"/>
    <w:rsid w:val="00C46224"/>
    <w:rsid w:val="00C5131A"/>
    <w:rsid w:val="00C51FB0"/>
    <w:rsid w:val="00C527C6"/>
    <w:rsid w:val="00C56093"/>
    <w:rsid w:val="00C6196F"/>
    <w:rsid w:val="00C638B5"/>
    <w:rsid w:val="00C65821"/>
    <w:rsid w:val="00C66891"/>
    <w:rsid w:val="00C75D20"/>
    <w:rsid w:val="00C76C18"/>
    <w:rsid w:val="00C80514"/>
    <w:rsid w:val="00C863D6"/>
    <w:rsid w:val="00C91D3D"/>
    <w:rsid w:val="00CA0734"/>
    <w:rsid w:val="00CA30CB"/>
    <w:rsid w:val="00CA698A"/>
    <w:rsid w:val="00CB586F"/>
    <w:rsid w:val="00CB6679"/>
    <w:rsid w:val="00CC0048"/>
    <w:rsid w:val="00CC60D9"/>
    <w:rsid w:val="00CD3335"/>
    <w:rsid w:val="00CD382D"/>
    <w:rsid w:val="00CD6D52"/>
    <w:rsid w:val="00CF3D1C"/>
    <w:rsid w:val="00D00DA9"/>
    <w:rsid w:val="00D030FA"/>
    <w:rsid w:val="00D07DD8"/>
    <w:rsid w:val="00D1135B"/>
    <w:rsid w:val="00D27455"/>
    <w:rsid w:val="00D3225E"/>
    <w:rsid w:val="00D44246"/>
    <w:rsid w:val="00D46292"/>
    <w:rsid w:val="00D47431"/>
    <w:rsid w:val="00D538F3"/>
    <w:rsid w:val="00D561ED"/>
    <w:rsid w:val="00D66D58"/>
    <w:rsid w:val="00D72BAB"/>
    <w:rsid w:val="00D8128B"/>
    <w:rsid w:val="00D8185D"/>
    <w:rsid w:val="00D91EA3"/>
    <w:rsid w:val="00D972E0"/>
    <w:rsid w:val="00DA561F"/>
    <w:rsid w:val="00DB2D70"/>
    <w:rsid w:val="00DB2ED0"/>
    <w:rsid w:val="00DB44FF"/>
    <w:rsid w:val="00DC13B0"/>
    <w:rsid w:val="00DD0EDB"/>
    <w:rsid w:val="00DE2FF6"/>
    <w:rsid w:val="00DF0F00"/>
    <w:rsid w:val="00DF2527"/>
    <w:rsid w:val="00DF2945"/>
    <w:rsid w:val="00DF4076"/>
    <w:rsid w:val="00DF41D5"/>
    <w:rsid w:val="00E03B62"/>
    <w:rsid w:val="00E10C70"/>
    <w:rsid w:val="00E14FD5"/>
    <w:rsid w:val="00E25523"/>
    <w:rsid w:val="00E25B6C"/>
    <w:rsid w:val="00E40EEC"/>
    <w:rsid w:val="00E471B0"/>
    <w:rsid w:val="00E47B16"/>
    <w:rsid w:val="00E54EEA"/>
    <w:rsid w:val="00E60EC9"/>
    <w:rsid w:val="00E712E8"/>
    <w:rsid w:val="00E7389F"/>
    <w:rsid w:val="00E76C0F"/>
    <w:rsid w:val="00E84899"/>
    <w:rsid w:val="00E90041"/>
    <w:rsid w:val="00E92D90"/>
    <w:rsid w:val="00E974A7"/>
    <w:rsid w:val="00EB1D65"/>
    <w:rsid w:val="00EC7B82"/>
    <w:rsid w:val="00ED3264"/>
    <w:rsid w:val="00ED3751"/>
    <w:rsid w:val="00EE0242"/>
    <w:rsid w:val="00EE3B20"/>
    <w:rsid w:val="00EE676F"/>
    <w:rsid w:val="00EF41AD"/>
    <w:rsid w:val="00F0330E"/>
    <w:rsid w:val="00F10F32"/>
    <w:rsid w:val="00F15689"/>
    <w:rsid w:val="00F224C2"/>
    <w:rsid w:val="00F23997"/>
    <w:rsid w:val="00F25576"/>
    <w:rsid w:val="00F30B12"/>
    <w:rsid w:val="00F44001"/>
    <w:rsid w:val="00F45CA0"/>
    <w:rsid w:val="00F53115"/>
    <w:rsid w:val="00F609B2"/>
    <w:rsid w:val="00F7218F"/>
    <w:rsid w:val="00F8193D"/>
    <w:rsid w:val="00F90AEE"/>
    <w:rsid w:val="00FB215E"/>
    <w:rsid w:val="00FB4481"/>
    <w:rsid w:val="00FC1E4D"/>
    <w:rsid w:val="00FC2CCF"/>
    <w:rsid w:val="00FE38A9"/>
    <w:rsid w:val="00FE6659"/>
    <w:rsid w:val="00FF1544"/>
    <w:rsid w:val="00FF6024"/>
    <w:rsid w:val="00FF7CF0"/>
    <w:rsid w:val="013982C6"/>
    <w:rsid w:val="07E4B64C"/>
    <w:rsid w:val="118A5B19"/>
    <w:rsid w:val="121F4586"/>
    <w:rsid w:val="284DAF5E"/>
    <w:rsid w:val="29F4B346"/>
    <w:rsid w:val="325B9DE3"/>
    <w:rsid w:val="357CC5CD"/>
    <w:rsid w:val="3C8F4FD9"/>
    <w:rsid w:val="49617F70"/>
    <w:rsid w:val="4BA32E73"/>
    <w:rsid w:val="4E11C1EE"/>
    <w:rsid w:val="55C7734F"/>
    <w:rsid w:val="585C1C21"/>
    <w:rsid w:val="66B1907D"/>
    <w:rsid w:val="67CA327D"/>
    <w:rsid w:val="6C867B1B"/>
    <w:rsid w:val="79D15F06"/>
    <w:rsid w:val="7A451A6E"/>
  </w:rsids>
  <w:docVars>
    <w:docVar w:name="__Grammarly_42___1" w:val="H4sIAAAAAAAEAKtWcslP9kxRslIyNDYyMjM1NjGzNDI2MDU2NTZU0lEKTi0uzszPAykwrAUANQ+YY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DBEF66"/>
  <w15:docId w15:val="{51EBB40A-147C-4F01-BF30-A2039AD5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0EC9"/>
    <w:pPr>
      <w:spacing w:after="0" w:line="240" w:lineRule="auto"/>
    </w:pPr>
    <w:rPr>
      <w:rFonts w:ascii="Times New Roman" w:eastAsia="Times New Roman" w:hAnsi="Times New Roman" w:cs="Times New Roman"/>
      <w:sz w:val="24"/>
      <w:szCs w:val="24"/>
    </w:rPr>
  </w:style>
  <w:style w:type="paragraph" w:styleId="Heading2">
    <w:name w:val="heading 2"/>
    <w:basedOn w:val="Heading3"/>
    <w:next w:val="Normal"/>
    <w:link w:val="Heading2Char"/>
    <w:autoRedefine/>
    <w:unhideWhenUsed/>
    <w:qFormat/>
    <w:rsid w:val="00E60EC9"/>
    <w:pPr>
      <w:keepLines w:val="0"/>
      <w:spacing w:before="0"/>
      <w:outlineLvl w:val="1"/>
    </w:pPr>
    <w:rPr>
      <w:rFonts w:ascii="Times New Roman" w:eastAsia="Times New Roman" w:hAnsi="Times New Roman" w:cs="Times New Roman"/>
      <w:color w:val="auto"/>
      <w:szCs w:val="26"/>
      <w:u w:val="single"/>
    </w:rPr>
  </w:style>
  <w:style w:type="paragraph" w:styleId="Heading3">
    <w:name w:val="heading 3"/>
    <w:basedOn w:val="Normal"/>
    <w:next w:val="Normal"/>
    <w:link w:val="Heading3Char"/>
    <w:uiPriority w:val="9"/>
    <w:semiHidden/>
    <w:unhideWhenUsed/>
    <w:qFormat/>
    <w:rsid w:val="00E60EC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0AEE"/>
    <w:pPr>
      <w:tabs>
        <w:tab w:val="center" w:pos="4680"/>
        <w:tab w:val="right" w:pos="9360"/>
      </w:tabs>
    </w:pPr>
  </w:style>
  <w:style w:type="character" w:customStyle="1" w:styleId="HeaderChar">
    <w:name w:val="Header Char"/>
    <w:basedOn w:val="DefaultParagraphFont"/>
    <w:link w:val="Header"/>
    <w:uiPriority w:val="99"/>
    <w:rsid w:val="00F90AEE"/>
  </w:style>
  <w:style w:type="paragraph" w:styleId="Footer">
    <w:name w:val="footer"/>
    <w:basedOn w:val="Normal"/>
    <w:link w:val="FooterChar"/>
    <w:uiPriority w:val="99"/>
    <w:unhideWhenUsed/>
    <w:rsid w:val="00F90AEE"/>
    <w:pPr>
      <w:tabs>
        <w:tab w:val="center" w:pos="4680"/>
        <w:tab w:val="right" w:pos="9360"/>
      </w:tabs>
    </w:pPr>
  </w:style>
  <w:style w:type="character" w:customStyle="1" w:styleId="FooterChar">
    <w:name w:val="Footer Char"/>
    <w:basedOn w:val="DefaultParagraphFont"/>
    <w:link w:val="Footer"/>
    <w:uiPriority w:val="99"/>
    <w:rsid w:val="00F90AEE"/>
  </w:style>
  <w:style w:type="paragraph" w:styleId="BalloonText">
    <w:name w:val="Balloon Text"/>
    <w:basedOn w:val="Normal"/>
    <w:link w:val="BalloonTextChar"/>
    <w:uiPriority w:val="99"/>
    <w:semiHidden/>
    <w:unhideWhenUsed/>
    <w:rsid w:val="00F90AEE"/>
    <w:rPr>
      <w:rFonts w:ascii="Tahoma" w:hAnsi="Tahoma" w:cs="Tahoma"/>
      <w:sz w:val="16"/>
      <w:szCs w:val="16"/>
    </w:rPr>
  </w:style>
  <w:style w:type="character" w:customStyle="1" w:styleId="BalloonTextChar">
    <w:name w:val="Balloon Text Char"/>
    <w:basedOn w:val="DefaultParagraphFont"/>
    <w:link w:val="BalloonText"/>
    <w:uiPriority w:val="99"/>
    <w:semiHidden/>
    <w:rsid w:val="00F90AEE"/>
    <w:rPr>
      <w:rFonts w:ascii="Tahoma" w:hAnsi="Tahoma" w:cs="Tahoma"/>
      <w:sz w:val="16"/>
      <w:szCs w:val="16"/>
    </w:rPr>
  </w:style>
  <w:style w:type="character" w:customStyle="1" w:styleId="Heading2Char">
    <w:name w:val="Heading 2 Char"/>
    <w:basedOn w:val="DefaultParagraphFont"/>
    <w:link w:val="Heading2"/>
    <w:rsid w:val="00E60EC9"/>
    <w:rPr>
      <w:rFonts w:ascii="Times New Roman" w:eastAsia="Times New Roman" w:hAnsi="Times New Roman" w:cs="Times New Roman"/>
      <w:b/>
      <w:bCs/>
      <w:sz w:val="24"/>
      <w:szCs w:val="26"/>
      <w:u w:val="single"/>
    </w:rPr>
  </w:style>
  <w:style w:type="paragraph" w:styleId="BodyText">
    <w:name w:val="Body Text"/>
    <w:basedOn w:val="Normal"/>
    <w:link w:val="BodyTextChar"/>
    <w:unhideWhenUsed/>
    <w:rsid w:val="00E60EC9"/>
  </w:style>
  <w:style w:type="character" w:customStyle="1" w:styleId="BodyTextChar">
    <w:name w:val="Body Text Char"/>
    <w:basedOn w:val="DefaultParagraphFont"/>
    <w:link w:val="BodyText"/>
    <w:rsid w:val="00E60EC9"/>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E60EC9"/>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uiPriority w:val="99"/>
    <w:unhideWhenUsed/>
    <w:rsid w:val="00E974A7"/>
    <w:rPr>
      <w:color w:val="0000FF" w:themeColor="hyperlink"/>
      <w:u w:val="single"/>
    </w:rPr>
  </w:style>
  <w:style w:type="paragraph" w:styleId="Subtitle">
    <w:name w:val="Subtitle"/>
    <w:basedOn w:val="Normal"/>
    <w:next w:val="Normal"/>
    <w:link w:val="SubtitleChar"/>
    <w:uiPriority w:val="11"/>
    <w:qFormat/>
    <w:rsid w:val="00B92B6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92B6C"/>
    <w:rPr>
      <w:rFonts w:eastAsiaTheme="minorEastAsia"/>
      <w:color w:val="5A5A5A" w:themeColor="text1" w:themeTint="A5"/>
      <w:spacing w:val="15"/>
    </w:rPr>
  </w:style>
  <w:style w:type="paragraph" w:customStyle="1" w:styleId="FootnoteText1">
    <w:name w:val="Footnote Text1"/>
    <w:basedOn w:val="Normal"/>
    <w:next w:val="FootnoteText"/>
    <w:link w:val="FootnoteTextChar"/>
    <w:uiPriority w:val="99"/>
    <w:semiHidden/>
    <w:unhideWhenUsed/>
    <w:rsid w:val="00B92B6C"/>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1"/>
    <w:uiPriority w:val="99"/>
    <w:semiHidden/>
    <w:rsid w:val="00B92B6C"/>
    <w:rPr>
      <w:sz w:val="20"/>
      <w:szCs w:val="20"/>
    </w:rPr>
  </w:style>
  <w:style w:type="character" w:styleId="FootnoteReference">
    <w:name w:val="footnote reference"/>
    <w:basedOn w:val="DefaultParagraphFont"/>
    <w:uiPriority w:val="99"/>
    <w:semiHidden/>
    <w:unhideWhenUsed/>
    <w:rsid w:val="00B92B6C"/>
    <w:rPr>
      <w:vertAlign w:val="superscript"/>
    </w:rPr>
  </w:style>
  <w:style w:type="paragraph" w:styleId="FootnoteText">
    <w:name w:val="footnote text"/>
    <w:basedOn w:val="Normal"/>
    <w:link w:val="FootnoteTextChar1"/>
    <w:uiPriority w:val="99"/>
    <w:semiHidden/>
    <w:unhideWhenUsed/>
    <w:rsid w:val="00B92B6C"/>
    <w:rPr>
      <w:sz w:val="20"/>
      <w:szCs w:val="20"/>
    </w:rPr>
  </w:style>
  <w:style w:type="character" w:customStyle="1" w:styleId="FootnoteTextChar1">
    <w:name w:val="Footnote Text Char1"/>
    <w:basedOn w:val="DefaultParagraphFont"/>
    <w:link w:val="FootnoteText"/>
    <w:uiPriority w:val="99"/>
    <w:semiHidden/>
    <w:rsid w:val="00B92B6C"/>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D46292"/>
    <w:rPr>
      <w:sz w:val="16"/>
      <w:szCs w:val="16"/>
    </w:rPr>
  </w:style>
  <w:style w:type="paragraph" w:styleId="CommentText">
    <w:name w:val="annotation text"/>
    <w:basedOn w:val="Normal"/>
    <w:link w:val="CommentTextChar"/>
    <w:uiPriority w:val="99"/>
    <w:unhideWhenUsed/>
    <w:rsid w:val="00D46292"/>
    <w:rPr>
      <w:sz w:val="20"/>
      <w:szCs w:val="20"/>
    </w:rPr>
  </w:style>
  <w:style w:type="character" w:customStyle="1" w:styleId="CommentTextChar">
    <w:name w:val="Comment Text Char"/>
    <w:basedOn w:val="DefaultParagraphFont"/>
    <w:link w:val="CommentText"/>
    <w:uiPriority w:val="99"/>
    <w:rsid w:val="00D4629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6292"/>
    <w:rPr>
      <w:b/>
      <w:bCs/>
    </w:rPr>
  </w:style>
  <w:style w:type="character" w:customStyle="1" w:styleId="CommentSubjectChar">
    <w:name w:val="Comment Subject Char"/>
    <w:basedOn w:val="CommentTextChar"/>
    <w:link w:val="CommentSubject"/>
    <w:uiPriority w:val="99"/>
    <w:semiHidden/>
    <w:rsid w:val="00D46292"/>
    <w:rPr>
      <w:rFonts w:ascii="Times New Roman" w:eastAsia="Times New Roman" w:hAnsi="Times New Roman" w:cs="Times New Roman"/>
      <w:b/>
      <w:bCs/>
      <w:sz w:val="20"/>
      <w:szCs w:val="20"/>
    </w:rPr>
  </w:style>
  <w:style w:type="table" w:styleId="TableGrid">
    <w:name w:val="Table Grid"/>
    <w:basedOn w:val="TableNormal"/>
    <w:uiPriority w:val="59"/>
    <w:rsid w:val="003F0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2FF6"/>
    <w:pPr>
      <w:ind w:left="720"/>
      <w:contextualSpacing/>
    </w:pPr>
  </w:style>
  <w:style w:type="character" w:styleId="UnresolvedMention">
    <w:name w:val="Unresolved Mention"/>
    <w:basedOn w:val="DefaultParagraphFont"/>
    <w:uiPriority w:val="99"/>
    <w:semiHidden/>
    <w:unhideWhenUsed/>
    <w:rsid w:val="001B523B"/>
    <w:rPr>
      <w:color w:val="605E5C"/>
      <w:shd w:val="clear" w:color="auto" w:fill="E1DFDD"/>
    </w:rPr>
  </w:style>
  <w:style w:type="paragraph" w:styleId="Revision">
    <w:name w:val="Revision"/>
    <w:hidden/>
    <w:uiPriority w:val="99"/>
    <w:semiHidden/>
    <w:rsid w:val="001B523B"/>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_dlc_DocId xmlns="68c2e6f3-6ea4-42c3-835e-44e49d8f3a1e">YEJUMFDJ6KMC-483555117-46677</_dlc_DocId>
    <_dlc_DocIdUrl xmlns="68c2e6f3-6ea4-42c3-835e-44e49d8f3a1e">
      <Url>https://nih.sharepoint.com/sites/HRSA-OA-OPAE/Teams/officeofexternalengagement/_layouts/15/DocIdRedir.aspx?ID=YEJUMFDJ6KMC-483555117-46677</Url>
      <Description>YEJUMFDJ6KMC-483555117-46677</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9" ma:contentTypeDescription="Create a new document." ma:contentTypeScope="" ma:versionID="221848ec8bd0d59bd9239aceb0a24cca">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6ddb8407a9b8f5783eedc1d2f829b106"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indexed="true"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1FA58D-00DC-41A1-9F58-38753BD3A2B8}">
  <ds:schemaRefs>
    <ds:schemaRef ds:uri="http://schemas.microsoft.com/sharepoint/v3/contenttype/forms"/>
  </ds:schemaRefs>
</ds:datastoreItem>
</file>

<file path=customXml/itemProps2.xml><?xml version="1.0" encoding="utf-8"?>
<ds:datastoreItem xmlns:ds="http://schemas.openxmlformats.org/officeDocument/2006/customXml" ds:itemID="{1E8CBF77-6372-4304-AA4D-BDF3FD9952C9}">
  <ds:schemaRefs>
    <ds:schemaRef ds:uri="http://schemas.microsoft.com/office/2006/metadata/properties"/>
    <ds:schemaRef ds:uri="c71486f8-5eed-4db0-b63d-7b8098263e78"/>
    <ds:schemaRef ds:uri="ee770a27-72eb-4bf9-a5bb-5bfe92e4fae0"/>
    <ds:schemaRef ds:uri="744fc02e-2c05-446f-beee-5e46cc4a14b7"/>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http://purl.org/dc/elements/1.1/"/>
    <ds:schemaRef ds:uri="67db86a1-9af1-43d3-bfc7-627a4d2f08a0"/>
    <ds:schemaRef ds:uri="68c2e6f3-6ea4-42c3-835e-44e49d8f3a1e"/>
  </ds:schemaRefs>
</ds:datastoreItem>
</file>

<file path=customXml/itemProps3.xml><?xml version="1.0" encoding="utf-8"?>
<ds:datastoreItem xmlns:ds="http://schemas.openxmlformats.org/officeDocument/2006/customXml" ds:itemID="{D87E0DAA-641A-4646-BF7E-9261765F793F}">
  <ds:schemaRefs>
    <ds:schemaRef ds:uri="http://schemas.microsoft.com/sharepoint/events"/>
  </ds:schemaRefs>
</ds:datastoreItem>
</file>

<file path=customXml/itemProps4.xml><?xml version="1.0" encoding="utf-8"?>
<ds:datastoreItem xmlns:ds="http://schemas.openxmlformats.org/officeDocument/2006/customXml" ds:itemID="{A423F02D-0C66-448F-93F0-4A55349BA243}">
  <ds:schemaRefs>
    <ds:schemaRef ds:uri="http://schemas.openxmlformats.org/officeDocument/2006/bibliography"/>
  </ds:schemaRefs>
</ds:datastoreItem>
</file>

<file path=customXml/itemProps5.xml><?xml version="1.0" encoding="utf-8"?>
<ds:datastoreItem xmlns:ds="http://schemas.openxmlformats.org/officeDocument/2006/customXml" ds:itemID="{CE964A24-A6CC-47B7-B42F-A14A8E4352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2e6f3-6ea4-42c3-835e-44e49d8f3a1e"/>
    <ds:schemaRef ds:uri="67db86a1-9af1-43d3-bfc7-627a4d2f0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600</Words>
  <Characters>3616</Characters>
  <Application>Microsoft Office Word</Application>
  <DocSecurity>0</DocSecurity>
  <Lines>109</Lines>
  <Paragraphs>39</Paragraphs>
  <ScaleCrop>false</ScaleCrop>
  <Company>HRSA</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memo</dc:title>
  <dc:creator>Windows User</dc:creator>
  <cp:lastModifiedBy>HRSA</cp:lastModifiedBy>
  <cp:revision>6</cp:revision>
  <cp:lastPrinted>2015-10-27T16:28:00Z</cp:lastPrinted>
  <dcterms:created xsi:type="dcterms:W3CDTF">2025-12-19T17:27:00Z</dcterms:created>
  <dcterms:modified xsi:type="dcterms:W3CDTF">2025-12-30T16:24:00Z</dcterms:modified>
  <cp:category>Memo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Non-Substantive Change Memo</vt:lpwstr>
  </property>
  <property fmtid="{D5CDD505-2E9C-101B-9397-08002B2CF9AE}" pid="3" name="ComplianceAssetId">
    <vt:lpwstr/>
  </property>
  <property fmtid="{D5CDD505-2E9C-101B-9397-08002B2CF9AE}" pid="4" name="ContentTypeId">
    <vt:lpwstr>0x01010095FF7B7FA2AFEB499C29ED11FCDA9ADA</vt:lpwstr>
  </property>
  <property fmtid="{D5CDD505-2E9C-101B-9397-08002B2CF9AE}" pid="5" name="DocumentType">
    <vt:lpwstr>Template</vt:lpwstr>
  </property>
  <property fmtid="{D5CDD505-2E9C-101B-9397-08002B2CF9AE}" pid="6" name="MediaServiceImageTags">
    <vt:lpwstr/>
  </property>
  <property fmtid="{D5CDD505-2E9C-101B-9397-08002B2CF9AE}" pid="7" name="Order">
    <vt:r8>2100</vt:r8>
  </property>
  <property fmtid="{D5CDD505-2E9C-101B-9397-08002B2CF9AE}" pid="8" name="TemplateUrl">
    <vt:lpwstr/>
  </property>
  <property fmtid="{D5CDD505-2E9C-101B-9397-08002B2CF9AE}" pid="9" name="TriggerFlowInfo">
    <vt:lpwstr/>
  </property>
  <property fmtid="{D5CDD505-2E9C-101B-9397-08002B2CF9AE}" pid="10" name="xd_ProgID">
    <vt:lpwstr/>
  </property>
  <property fmtid="{D5CDD505-2E9C-101B-9397-08002B2CF9AE}" pid="11" name="xd_Signature">
    <vt:bool>false</vt:bool>
  </property>
  <property fmtid="{D5CDD505-2E9C-101B-9397-08002B2CF9AE}" pid="12" name="_dlc_DocIdItemGuid">
    <vt:lpwstr>cc07fb95-36d6-4a89-b6f3-b585145e6ec6</vt:lpwstr>
  </property>
  <property fmtid="{D5CDD505-2E9C-101B-9397-08002B2CF9AE}" pid="13" name="_ExtendedDescription">
    <vt:lpwstr/>
  </property>
</Properties>
</file>