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6CD" w:rsidRPr="00C756CD" w:rsidP="00C756CD" w14:paraId="6C409C3F" w14:textId="4ED2AC47">
      <w:pPr>
        <w:contextualSpacing/>
        <w:jc w:val="center"/>
        <w:rPr>
          <w:b/>
          <w:bCs/>
          <w:szCs w:val="24"/>
        </w:rPr>
      </w:pPr>
      <w:bookmarkStart w:id="0" w:name="_Hlk49762440"/>
      <w:r w:rsidRPr="00C756CD">
        <w:rPr>
          <w:b/>
          <w:bCs/>
          <w:szCs w:val="24"/>
        </w:rPr>
        <w:t>The Greater Access and Impact with NAT (GAIN) Study: Improving HIV Diagnosis, Linkage to Care, and Prevention Services with HIV Point-of-Care Nucleic Acid Tests</w:t>
      </w:r>
      <w:r w:rsidR="00EA5483">
        <w:rPr>
          <w:b/>
          <w:bCs/>
          <w:szCs w:val="24"/>
        </w:rPr>
        <w:t xml:space="preserve"> </w:t>
      </w:r>
      <w:r w:rsidRPr="00C756CD">
        <w:rPr>
          <w:b/>
          <w:bCs/>
          <w:szCs w:val="24"/>
        </w:rPr>
        <w:t>(NATs)</w:t>
      </w:r>
    </w:p>
    <w:bookmarkEnd w:id="0"/>
    <w:p w:rsidR="000A4126" w:rsidP="000A4126" w14:paraId="19E73478" w14:textId="77777777">
      <w:pPr>
        <w:contextualSpacing/>
        <w:jc w:val="center"/>
        <w:rPr>
          <w:b/>
          <w:bCs/>
          <w:szCs w:val="24"/>
        </w:rPr>
      </w:pPr>
    </w:p>
    <w:p w:rsidR="00C756CD" w:rsidRPr="008E531C" w:rsidP="000A4126" w14:paraId="1548A5CF" w14:textId="77777777">
      <w:pPr>
        <w:contextualSpacing/>
        <w:jc w:val="center"/>
        <w:rPr>
          <w:b/>
          <w:bCs/>
          <w:szCs w:val="24"/>
        </w:rPr>
      </w:pPr>
    </w:p>
    <w:p w:rsidR="0057496C" w:rsidP="000A4126" w14:paraId="3BF12D29" w14:textId="6500E4AD">
      <w:pPr>
        <w:jc w:val="center"/>
        <w:rPr>
          <w:b/>
          <w:szCs w:val="24"/>
        </w:rPr>
      </w:pPr>
      <w:r>
        <w:rPr>
          <w:b/>
          <w:szCs w:val="24"/>
        </w:rPr>
        <w:t xml:space="preserve"> </w:t>
      </w:r>
      <w:r w:rsidR="00EF1F90">
        <w:rPr>
          <w:b/>
          <w:szCs w:val="24"/>
        </w:rPr>
        <w:t xml:space="preserve">Reinstatement </w:t>
      </w:r>
      <w:r w:rsidR="00F15CC3">
        <w:rPr>
          <w:b/>
          <w:szCs w:val="24"/>
        </w:rPr>
        <w:t>With Changes</w:t>
      </w:r>
    </w:p>
    <w:p w:rsidR="0057496C" w:rsidP="000A4126" w14:paraId="738102AA" w14:textId="77777777">
      <w:pPr>
        <w:jc w:val="center"/>
        <w:rPr>
          <w:b/>
          <w:szCs w:val="24"/>
        </w:rPr>
      </w:pPr>
    </w:p>
    <w:p w:rsidR="000A4126" w:rsidRPr="00EC7997" w:rsidP="000A4126" w14:paraId="55D4ADE5" w14:textId="23AAA1F0">
      <w:pPr>
        <w:jc w:val="center"/>
        <w:rPr>
          <w:b/>
          <w:szCs w:val="24"/>
        </w:rPr>
      </w:pPr>
      <w:r>
        <w:rPr>
          <w:b/>
          <w:szCs w:val="24"/>
        </w:rPr>
        <w:t>OMB</w:t>
      </w:r>
      <w:r w:rsidR="00BB5027">
        <w:rPr>
          <w:b/>
          <w:szCs w:val="24"/>
        </w:rPr>
        <w:t xml:space="preserve"> No.</w:t>
      </w:r>
      <w:r w:rsidRPr="00EC7997">
        <w:rPr>
          <w:b/>
          <w:szCs w:val="24"/>
        </w:rPr>
        <w:t xml:space="preserve"> </w:t>
      </w:r>
      <w:r w:rsidRPr="00191214">
        <w:rPr>
          <w:b/>
          <w:szCs w:val="24"/>
        </w:rPr>
        <w:t>0920-</w:t>
      </w:r>
      <w:r w:rsidR="009D0C90">
        <w:rPr>
          <w:b/>
          <w:szCs w:val="24"/>
        </w:rPr>
        <w:t>13</w:t>
      </w:r>
      <w:r w:rsidR="0057496C">
        <w:rPr>
          <w:b/>
          <w:szCs w:val="24"/>
        </w:rPr>
        <w:t>57</w:t>
      </w:r>
    </w:p>
    <w:p w:rsidR="000A4126" w:rsidP="000A4126" w14:paraId="5B1FFCE9" w14:textId="77777777">
      <w:pPr>
        <w:jc w:val="center"/>
        <w:rPr>
          <w:b/>
          <w:szCs w:val="24"/>
        </w:rPr>
      </w:pPr>
    </w:p>
    <w:p w:rsidR="00C756CD" w:rsidP="000A4126" w14:paraId="23EA0C55" w14:textId="77777777">
      <w:pPr>
        <w:jc w:val="center"/>
        <w:rPr>
          <w:b/>
          <w:szCs w:val="24"/>
        </w:rPr>
      </w:pPr>
    </w:p>
    <w:p w:rsidR="000A4126" w:rsidP="000A4126" w14:paraId="753664DC" w14:textId="77777777">
      <w:pPr>
        <w:jc w:val="center"/>
        <w:rPr>
          <w:b/>
          <w:szCs w:val="24"/>
        </w:rPr>
      </w:pPr>
      <w:r>
        <w:rPr>
          <w:b/>
          <w:szCs w:val="24"/>
        </w:rPr>
        <w:t>Section A: Supporting Statement</w:t>
      </w:r>
    </w:p>
    <w:p w:rsidR="000A4126" w:rsidP="000A4126" w14:paraId="42C8538B" w14:textId="77777777">
      <w:pPr>
        <w:jc w:val="center"/>
        <w:rPr>
          <w:b/>
          <w:szCs w:val="24"/>
        </w:rPr>
      </w:pPr>
    </w:p>
    <w:p w:rsidR="000A4126" w:rsidP="000A4126" w14:paraId="1A39CCA5" w14:textId="3BDB0C2E">
      <w:pPr>
        <w:jc w:val="center"/>
        <w:rPr>
          <w:b/>
          <w:szCs w:val="24"/>
        </w:rPr>
      </w:pPr>
      <w:r>
        <w:rPr>
          <w:b/>
          <w:szCs w:val="24"/>
        </w:rPr>
        <w:t>September</w:t>
      </w:r>
      <w:r w:rsidR="00BE5843">
        <w:rPr>
          <w:b/>
          <w:szCs w:val="24"/>
        </w:rPr>
        <w:t xml:space="preserve"> </w:t>
      </w:r>
      <w:r w:rsidR="001B5BD4">
        <w:rPr>
          <w:b/>
          <w:szCs w:val="24"/>
        </w:rPr>
        <w:t>28</w:t>
      </w:r>
      <w:r w:rsidR="009D0C90">
        <w:rPr>
          <w:b/>
          <w:szCs w:val="24"/>
        </w:rPr>
        <w:t>, 202</w:t>
      </w:r>
      <w:r w:rsidR="00B15200">
        <w:rPr>
          <w:b/>
          <w:szCs w:val="24"/>
        </w:rPr>
        <w:t>5</w:t>
      </w:r>
    </w:p>
    <w:p w:rsidR="000A4126" w:rsidP="000A4126" w14:paraId="366CA4EB" w14:textId="77777777">
      <w:pPr>
        <w:jc w:val="center"/>
        <w:rPr>
          <w:b/>
          <w:szCs w:val="24"/>
        </w:rPr>
      </w:pPr>
    </w:p>
    <w:p w:rsidR="000A4126" w:rsidP="000A4126" w14:paraId="00FF9016" w14:textId="77777777">
      <w:pPr>
        <w:jc w:val="center"/>
        <w:rPr>
          <w:b/>
          <w:szCs w:val="24"/>
        </w:rPr>
      </w:pPr>
    </w:p>
    <w:p w:rsidR="00C756CD" w:rsidP="000A4126" w14:paraId="2DB3F86B" w14:textId="77777777">
      <w:pPr>
        <w:jc w:val="center"/>
        <w:rPr>
          <w:b/>
          <w:szCs w:val="24"/>
        </w:rPr>
      </w:pPr>
    </w:p>
    <w:p w:rsidR="00C756CD" w:rsidP="000A4126" w14:paraId="05673780" w14:textId="77777777">
      <w:pPr>
        <w:jc w:val="center"/>
        <w:rPr>
          <w:b/>
          <w:szCs w:val="24"/>
        </w:rPr>
      </w:pPr>
    </w:p>
    <w:p w:rsidR="00C756CD" w:rsidP="000A4126" w14:paraId="2DFA1BAA" w14:textId="77777777">
      <w:pPr>
        <w:jc w:val="center"/>
        <w:rPr>
          <w:b/>
          <w:szCs w:val="24"/>
        </w:rPr>
      </w:pPr>
    </w:p>
    <w:p w:rsidR="000A4126" w:rsidRPr="008E531C" w:rsidP="000A4126" w14:paraId="67473EC2" w14:textId="77777777">
      <w:pPr>
        <w:jc w:val="center"/>
        <w:rPr>
          <w:b/>
          <w:szCs w:val="24"/>
        </w:rPr>
      </w:pPr>
    </w:p>
    <w:p w:rsidR="000A4126" w:rsidRPr="00191214" w:rsidP="000A4126" w14:paraId="333F7D1C" w14:textId="77777777">
      <w:pPr>
        <w:jc w:val="center"/>
        <w:rPr>
          <w:b/>
          <w:szCs w:val="24"/>
        </w:rPr>
      </w:pPr>
      <w:r>
        <w:rPr>
          <w:b/>
          <w:szCs w:val="24"/>
        </w:rPr>
        <w:t>CONTACT</w:t>
      </w:r>
    </w:p>
    <w:p w:rsidR="000A4126" w:rsidP="000A4126" w14:paraId="25AF57F1" w14:textId="36F60D63">
      <w:pPr>
        <w:jc w:val="center"/>
        <w:rPr>
          <w:bCs/>
          <w:szCs w:val="24"/>
        </w:rPr>
      </w:pPr>
      <w:r>
        <w:rPr>
          <w:bCs/>
          <w:szCs w:val="24"/>
        </w:rPr>
        <w:t>Karen Hoover, MD, MPH</w:t>
      </w:r>
    </w:p>
    <w:p w:rsidR="000A4126" w:rsidRPr="007A2BC9" w:rsidP="000A4126" w14:paraId="52CD77F0" w14:textId="77777777">
      <w:pPr>
        <w:jc w:val="center"/>
        <w:rPr>
          <w:bCs/>
          <w:szCs w:val="24"/>
        </w:rPr>
      </w:pPr>
      <w:r>
        <w:rPr>
          <w:bCs/>
          <w:szCs w:val="24"/>
        </w:rPr>
        <w:t>Project Officer</w:t>
      </w:r>
    </w:p>
    <w:p w:rsidR="000A4126" w:rsidRPr="007A2BC9" w:rsidP="000A4126" w14:paraId="2F7F25A7" w14:textId="77777777">
      <w:pPr>
        <w:jc w:val="center"/>
        <w:rPr>
          <w:bCs/>
          <w:szCs w:val="24"/>
        </w:rPr>
      </w:pPr>
      <w:r w:rsidRPr="007A2BC9">
        <w:rPr>
          <w:bCs/>
          <w:szCs w:val="24"/>
        </w:rPr>
        <w:t>Centers for Disease Control and Prevention</w:t>
      </w:r>
    </w:p>
    <w:p w:rsidR="000A4126" w:rsidRPr="007A2BC9" w:rsidP="000A4126" w14:paraId="3BD44DFC" w14:textId="77777777">
      <w:pPr>
        <w:jc w:val="center"/>
        <w:rPr>
          <w:bCs/>
          <w:szCs w:val="24"/>
        </w:rPr>
      </w:pPr>
      <w:r w:rsidRPr="007A2BC9">
        <w:rPr>
          <w:bCs/>
          <w:szCs w:val="24"/>
        </w:rPr>
        <w:t>Division of HIV/AIDS Prevention</w:t>
      </w:r>
    </w:p>
    <w:p w:rsidR="000A4126" w:rsidRPr="007A2BC9" w:rsidP="000A4126" w14:paraId="5AC09FFA" w14:textId="30C54B75">
      <w:pPr>
        <w:jc w:val="center"/>
        <w:rPr>
          <w:bCs/>
          <w:szCs w:val="24"/>
        </w:rPr>
      </w:pPr>
      <w:r>
        <w:rPr>
          <w:bCs/>
          <w:szCs w:val="24"/>
        </w:rPr>
        <w:t>HIV</w:t>
      </w:r>
      <w:r w:rsidRPr="007A2BC9">
        <w:rPr>
          <w:bCs/>
          <w:szCs w:val="24"/>
        </w:rPr>
        <w:t xml:space="preserve"> Research Branch</w:t>
      </w:r>
    </w:p>
    <w:p w:rsidR="000A4126" w:rsidRPr="007A2BC9" w:rsidP="000A4126" w14:paraId="2AC61516" w14:textId="5B24FEFC">
      <w:pPr>
        <w:jc w:val="center"/>
        <w:rPr>
          <w:bCs/>
          <w:szCs w:val="24"/>
        </w:rPr>
      </w:pPr>
      <w:r w:rsidRPr="007A2BC9">
        <w:rPr>
          <w:bCs/>
          <w:szCs w:val="24"/>
        </w:rPr>
        <w:t xml:space="preserve">1600 Clifton Rd, NE, Mailstop </w:t>
      </w:r>
      <w:r w:rsidR="004C4E40">
        <w:rPr>
          <w:bCs/>
          <w:szCs w:val="24"/>
        </w:rPr>
        <w:t>H24-5</w:t>
      </w:r>
      <w:r w:rsidRPr="007A2BC9">
        <w:rPr>
          <w:bCs/>
          <w:szCs w:val="24"/>
        </w:rPr>
        <w:br/>
        <w:t xml:space="preserve">Atlanta, GA </w:t>
      </w:r>
      <w:r w:rsidRPr="007A2BC9" w:rsidR="004C4E40">
        <w:rPr>
          <w:bCs/>
          <w:szCs w:val="24"/>
        </w:rPr>
        <w:t>303</w:t>
      </w:r>
      <w:r w:rsidR="00294859">
        <w:rPr>
          <w:bCs/>
          <w:szCs w:val="24"/>
        </w:rPr>
        <w:t>33</w:t>
      </w:r>
    </w:p>
    <w:p w:rsidR="000A4126" w:rsidRPr="007A2BC9" w:rsidP="000A4126" w14:paraId="0C23A99D" w14:textId="77777777">
      <w:pPr>
        <w:jc w:val="center"/>
        <w:rPr>
          <w:bCs/>
          <w:szCs w:val="24"/>
        </w:rPr>
      </w:pPr>
    </w:p>
    <w:p w:rsidR="000A4126" w:rsidRPr="007A2BC9" w:rsidP="000A4126" w14:paraId="4F2E9D7D" w14:textId="084A4177">
      <w:pPr>
        <w:jc w:val="center"/>
        <w:rPr>
          <w:bCs/>
          <w:szCs w:val="24"/>
        </w:rPr>
      </w:pPr>
      <w:r w:rsidRPr="007A2BC9">
        <w:rPr>
          <w:bCs/>
          <w:szCs w:val="24"/>
        </w:rPr>
        <w:t>Telephone: 404-639-</w:t>
      </w:r>
      <w:r w:rsidR="009D0C90">
        <w:rPr>
          <w:bCs/>
          <w:szCs w:val="24"/>
        </w:rPr>
        <w:t>8534</w:t>
      </w:r>
      <w:r w:rsidRPr="007A2BC9">
        <w:rPr>
          <w:bCs/>
          <w:szCs w:val="24"/>
        </w:rPr>
        <w:br/>
        <w:t>Fax: 404-639-</w:t>
      </w:r>
      <w:r w:rsidR="009D0C90">
        <w:rPr>
          <w:bCs/>
          <w:szCs w:val="24"/>
        </w:rPr>
        <w:t>6127</w:t>
      </w:r>
      <w:r w:rsidRPr="007A2BC9">
        <w:rPr>
          <w:bCs/>
          <w:szCs w:val="24"/>
        </w:rPr>
        <w:br/>
        <w:t xml:space="preserve">E-mail: </w:t>
      </w:r>
      <w:r w:rsidR="009D0C90">
        <w:rPr>
          <w:bCs/>
          <w:szCs w:val="24"/>
        </w:rPr>
        <w:t>ffw6</w:t>
      </w:r>
      <w:r w:rsidRPr="007A2BC9">
        <w:rPr>
          <w:bCs/>
          <w:szCs w:val="24"/>
        </w:rPr>
        <w:t>@cdc.gov</w:t>
      </w:r>
    </w:p>
    <w:p w:rsidR="00DE0036" w14:paraId="05FB9939" w14:textId="4FFF1AEB"/>
    <w:p w:rsidR="000A4126" w14:paraId="08B8774D" w14:textId="27C574DB"/>
    <w:p w:rsidR="000A4126" w14:paraId="5D20ABA8" w14:textId="49662B6A"/>
    <w:p w:rsidR="000A4126" w14:paraId="6F9C641C" w14:textId="5DB987DF"/>
    <w:p w:rsidR="000A4126" w14:paraId="319E6009" w14:textId="23D713EF"/>
    <w:p w:rsidR="000A4126" w14:paraId="0D24896D" w14:textId="4DB8C6A8"/>
    <w:p w:rsidR="000A4126" w14:paraId="44A9ED61" w14:textId="46046D9E"/>
    <w:p w:rsidR="000A4126" w14:paraId="32EE15E6" w14:textId="72CAE7AD"/>
    <w:p w:rsidR="000A4126" w14:paraId="6D26D0DB" w14:textId="052748E3"/>
    <w:p w:rsidR="000A4126" w14:paraId="4F23F286" w14:textId="311BD227"/>
    <w:p w:rsidR="000A4126" w14:paraId="1359E2FC" w14:textId="7A659597"/>
    <w:p w:rsidR="000A4126" w14:paraId="2628BCF7" w14:textId="03E613FE"/>
    <w:p w:rsidR="000A4126" w14:paraId="2C99BCF5" w14:textId="20F2D9FF"/>
    <w:p w:rsidR="000A4126" w14:paraId="1FA1E10F" w14:textId="2043B2A0"/>
    <w:p w:rsidR="000A4126" w14:paraId="6028641D" w14:textId="08958B06"/>
    <w:p w:rsidR="000A4126" w14:paraId="68377AB9" w14:textId="336BED70"/>
    <w:p w:rsidR="000A4126" w:rsidRPr="0050702C" w:rsidP="00DA6ACB" w14:paraId="3817F5B9" w14:textId="2A2AD404">
      <w:pPr>
        <w:pBdr>
          <w:bottom w:val="single" w:sz="4" w:space="1" w:color="auto"/>
        </w:pBdr>
        <w:tabs>
          <w:tab w:val="left" w:pos="3240"/>
        </w:tabs>
        <w:rPr>
          <w:rFonts w:eastAsia="Calibri"/>
          <w:b/>
          <w:szCs w:val="22"/>
        </w:rPr>
      </w:pPr>
      <w:r w:rsidRPr="0050702C">
        <w:rPr>
          <w:rFonts w:eastAsia="Calibri"/>
          <w:b/>
          <w:szCs w:val="22"/>
        </w:rPr>
        <w:t>TABLE OF CONTENTS</w:t>
      </w:r>
      <w:r w:rsidR="00DA6ACB">
        <w:rPr>
          <w:rFonts w:eastAsia="Calibri"/>
          <w:b/>
          <w:szCs w:val="22"/>
        </w:rPr>
        <w:tab/>
      </w:r>
    </w:p>
    <w:p w:rsidR="000A4126" w:rsidRPr="0050702C" w:rsidP="000A4126" w14:paraId="0A3A8CEE" w14:textId="77777777">
      <w:pPr>
        <w:rPr>
          <w:rFonts w:eastAsia="Calibri"/>
          <w:b/>
          <w:szCs w:val="22"/>
        </w:rPr>
      </w:pPr>
    </w:p>
    <w:sdt>
      <w:sdtPr>
        <w:rPr>
          <w:szCs w:val="24"/>
        </w:rPr>
        <w:id w:val="1602600070"/>
        <w:docPartObj>
          <w:docPartGallery w:val="Table of Contents"/>
          <w:docPartUnique/>
        </w:docPartObj>
      </w:sdtPr>
      <w:sdtEndPr>
        <w:rPr>
          <w:b/>
          <w:bCs/>
          <w:noProof/>
        </w:rPr>
      </w:sdtEndPr>
      <w:sdtContent>
        <w:p w:rsidR="000A4126" w:rsidP="000A4126" w14:paraId="033D4E52" w14:textId="702DE06F">
          <w:pPr>
            <w:tabs>
              <w:tab w:val="left" w:pos="480"/>
              <w:tab w:val="right" w:leader="dot" w:pos="10070"/>
            </w:tabs>
            <w:spacing w:after="100"/>
            <w:rPr>
              <w:noProof/>
              <w:szCs w:val="24"/>
            </w:rPr>
          </w:pPr>
          <w:r w:rsidRPr="0050702C">
            <w:rPr>
              <w:szCs w:val="24"/>
            </w:rPr>
            <w:fldChar w:fldCharType="begin"/>
          </w:r>
          <w:r w:rsidRPr="0050702C">
            <w:rPr>
              <w:szCs w:val="24"/>
            </w:rPr>
            <w:instrText xml:space="preserve"> TOC \o "1-3" \h \z \u </w:instrText>
          </w:r>
          <w:r w:rsidRPr="0050702C">
            <w:rPr>
              <w:szCs w:val="24"/>
            </w:rPr>
            <w:fldChar w:fldCharType="separate"/>
          </w:r>
          <w:hyperlink w:anchor="Circumstances1" w:history="1">
            <w:r w:rsidRPr="005F0E61">
              <w:rPr>
                <w:rFonts w:eastAsiaTheme="majorEastAsia"/>
                <w:noProof/>
                <w:szCs w:val="24"/>
              </w:rPr>
              <w:t>1.</w:t>
            </w:r>
            <w:r w:rsidRPr="005F0E61">
              <w:rPr>
                <w:rFonts w:ascii="Calibri" w:hAnsi="Calibri"/>
                <w:noProof/>
                <w:sz w:val="22"/>
                <w:szCs w:val="22"/>
              </w:rPr>
              <w:t xml:space="preserve"> </w:t>
            </w:r>
            <w:r w:rsidRPr="005F0E61">
              <w:rPr>
                <w:rFonts w:eastAsiaTheme="majorEastAsia"/>
                <w:noProof/>
                <w:szCs w:val="24"/>
              </w:rPr>
              <w:t>Circumstances Making the Collection of Information Necessary</w:t>
            </w:r>
            <w:bookmarkStart w:id="1" w:name="_Hlk191471727"/>
            <w:r w:rsidRPr="005F0E61">
              <w:rPr>
                <w:noProof/>
                <w:webHidden/>
                <w:szCs w:val="24"/>
              </w:rPr>
              <w:tab/>
            </w:r>
            <w:bookmarkEnd w:id="1"/>
            <w:r w:rsidRPr="005F0E61">
              <w:rPr>
                <w:noProof/>
                <w:webHidden/>
                <w:szCs w:val="24"/>
              </w:rPr>
              <w:fldChar w:fldCharType="begin"/>
            </w:r>
            <w:r w:rsidRPr="005F0E61">
              <w:rPr>
                <w:noProof/>
                <w:webHidden/>
                <w:szCs w:val="24"/>
              </w:rPr>
              <w:instrText xml:space="preserve"> PAGEREF _Toc485202295 \h </w:instrText>
            </w:r>
            <w:r w:rsidRPr="005F0E61">
              <w:rPr>
                <w:noProof/>
                <w:webHidden/>
                <w:szCs w:val="24"/>
              </w:rPr>
              <w:fldChar w:fldCharType="separate"/>
            </w:r>
            <w:r w:rsidR="00322EA0">
              <w:rPr>
                <w:noProof/>
                <w:webHidden/>
                <w:szCs w:val="24"/>
              </w:rPr>
              <w:t>4</w:t>
            </w:r>
            <w:r w:rsidRPr="005F0E61">
              <w:rPr>
                <w:noProof/>
                <w:webHidden/>
                <w:szCs w:val="24"/>
              </w:rPr>
              <w:fldChar w:fldCharType="end"/>
            </w:r>
          </w:hyperlink>
        </w:p>
        <w:p w:rsidR="00BE520E" w:rsidRPr="0050702C" w:rsidP="00D5305C" w14:paraId="0A69B062" w14:textId="4D69E47C">
          <w:pPr>
            <w:tabs>
              <w:tab w:val="left" w:pos="480"/>
              <w:tab w:val="right" w:leader="dot" w:pos="10070"/>
            </w:tabs>
            <w:spacing w:after="100"/>
            <w:ind w:left="245"/>
            <w:rPr>
              <w:rFonts w:ascii="Calibri" w:hAnsi="Calibri"/>
              <w:noProof/>
              <w:sz w:val="22"/>
              <w:szCs w:val="22"/>
            </w:rPr>
          </w:pPr>
          <w:hyperlink w:anchor="Status1A" w:history="1">
            <w:r w:rsidRPr="00A03568">
              <w:rPr>
                <w:rStyle w:val="Hyperlink"/>
                <w:noProof/>
                <w:szCs w:val="24"/>
              </w:rPr>
              <w:t>1A. Status of the GAIN Information Collection</w:t>
            </w:r>
            <w:r w:rsidRPr="00A03568" w:rsidR="00D5305C">
              <w:rPr>
                <w:rStyle w:val="Hyperlink"/>
                <w:noProof/>
                <w:webHidden/>
                <w:szCs w:val="24"/>
              </w:rPr>
              <w:tab/>
            </w:r>
            <w:r w:rsidRPr="00A03568">
              <w:rPr>
                <w:rStyle w:val="Hyperlink"/>
                <w:noProof/>
                <w:szCs w:val="24"/>
              </w:rPr>
              <w:t>5</w:t>
            </w:r>
          </w:hyperlink>
        </w:p>
        <w:bookmarkStart w:id="2" w:name="Purpose2"/>
        <w:p w:rsidR="000A4126" w:rsidRPr="005F0E61" w:rsidP="000A4126" w14:paraId="61F25AAE" w14:textId="55A2B5C0">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begin"/>
          </w:r>
          <w:r w:rsidR="00A03568">
            <w:rPr>
              <w:rFonts w:eastAsiaTheme="majorEastAsia"/>
              <w:noProof/>
              <w:szCs w:val="24"/>
              <w:u w:val="single"/>
            </w:rPr>
            <w:instrText>HYPERLINK  \l "Purpose2"</w:instrText>
          </w:r>
          <w:r>
            <w:rPr>
              <w:rFonts w:eastAsiaTheme="majorEastAsia"/>
              <w:noProof/>
              <w:szCs w:val="24"/>
              <w:u w:val="single"/>
            </w:rPr>
            <w:fldChar w:fldCharType="separate"/>
          </w:r>
          <w:r w:rsidRPr="005F0E61">
            <w:rPr>
              <w:rStyle w:val="Hyperlink"/>
              <w:rFonts w:eastAsiaTheme="majorEastAsia"/>
              <w:noProof/>
              <w:szCs w:val="24"/>
            </w:rPr>
            <w:t>2.</w:t>
          </w:r>
          <w:r w:rsidRPr="005F0E61">
            <w:rPr>
              <w:rStyle w:val="Hyperlink"/>
              <w:rFonts w:ascii="Calibri" w:hAnsi="Calibri"/>
              <w:noProof/>
              <w:sz w:val="22"/>
              <w:szCs w:val="22"/>
            </w:rPr>
            <w:t xml:space="preserve"> </w:t>
          </w:r>
          <w:r w:rsidRPr="005F0E61">
            <w:rPr>
              <w:rStyle w:val="Hyperlink"/>
              <w:rFonts w:eastAsiaTheme="majorEastAsia"/>
              <w:noProof/>
              <w:szCs w:val="24"/>
            </w:rPr>
            <w:t>Purpose and Use of the Information Collection</w:t>
          </w:r>
          <w:r w:rsidRPr="005F0E61">
            <w:rPr>
              <w:rStyle w:val="Hyperlink"/>
              <w:noProof/>
              <w:webHidden/>
              <w:szCs w:val="24"/>
            </w:rPr>
            <w:tab/>
          </w:r>
          <w:r w:rsidR="00C57989">
            <w:rPr>
              <w:rStyle w:val="Hyperlink"/>
              <w:noProof/>
              <w:webHidden/>
              <w:szCs w:val="24"/>
            </w:rPr>
            <w:t>7</w:t>
          </w:r>
        </w:p>
        <w:p w:rsidR="000A4126" w:rsidRPr="005F0E61" w:rsidP="000A4126" w14:paraId="298DBC93" w14:textId="75F47B63">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bookmarkEnd w:id="2"/>
          <w:r>
            <w:rPr>
              <w:rFonts w:eastAsiaTheme="majorEastAsia"/>
              <w:noProof/>
              <w:szCs w:val="24"/>
              <w:u w:val="single"/>
            </w:rPr>
            <w:fldChar w:fldCharType="begin"/>
          </w:r>
          <w:r w:rsidR="00A03568">
            <w:rPr>
              <w:rFonts w:eastAsiaTheme="majorEastAsia"/>
              <w:noProof/>
              <w:szCs w:val="24"/>
              <w:u w:val="single"/>
            </w:rPr>
            <w:instrText>HYPERLINK  \l "ImprovedInfoTech3"</w:instrText>
          </w:r>
          <w:r>
            <w:rPr>
              <w:rFonts w:eastAsiaTheme="majorEastAsia"/>
              <w:noProof/>
              <w:szCs w:val="24"/>
              <w:u w:val="single"/>
            </w:rPr>
            <w:fldChar w:fldCharType="separate"/>
          </w:r>
          <w:r w:rsidRPr="005F0E61">
            <w:rPr>
              <w:rStyle w:val="Hyperlink"/>
              <w:rFonts w:eastAsiaTheme="majorEastAsia"/>
              <w:noProof/>
              <w:szCs w:val="24"/>
            </w:rPr>
            <w:t>3.</w:t>
          </w:r>
          <w:r w:rsidRPr="005F0E61">
            <w:rPr>
              <w:rStyle w:val="Hyperlink"/>
              <w:rFonts w:ascii="Calibri" w:hAnsi="Calibri"/>
              <w:noProof/>
              <w:sz w:val="22"/>
              <w:szCs w:val="22"/>
            </w:rPr>
            <w:t xml:space="preserve"> </w:t>
          </w:r>
          <w:r w:rsidRPr="005F0E61">
            <w:rPr>
              <w:rStyle w:val="Hyperlink"/>
              <w:rFonts w:eastAsiaTheme="majorEastAsia"/>
              <w:noProof/>
              <w:szCs w:val="24"/>
            </w:rPr>
            <w:t>Use of Improved Information Technology and Burden Reduction</w:t>
          </w:r>
          <w:r w:rsidRPr="005F0E61">
            <w:rPr>
              <w:rStyle w:val="Hyperlink"/>
              <w:noProof/>
              <w:webHidden/>
              <w:szCs w:val="24"/>
            </w:rPr>
            <w:tab/>
          </w:r>
          <w:r w:rsidR="00F92652">
            <w:rPr>
              <w:rStyle w:val="Hyperlink"/>
              <w:noProof/>
              <w:webHidden/>
              <w:szCs w:val="24"/>
            </w:rPr>
            <w:t>8</w:t>
          </w:r>
        </w:p>
        <w:p w:rsidR="000A4126" w:rsidRPr="005F0E61" w:rsidP="000A4126" w14:paraId="3D882B72" w14:textId="76A65524">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"EffortsToIdentifyDuplication4"</w:instrText>
          </w:r>
          <w:r>
            <w:rPr>
              <w:rFonts w:eastAsiaTheme="majorEastAsia"/>
              <w:noProof/>
              <w:szCs w:val="24"/>
              <w:u w:val="single"/>
            </w:rPr>
            <w:fldChar w:fldCharType="separate"/>
          </w:r>
          <w:r w:rsidRPr="005F0E61">
            <w:rPr>
              <w:rStyle w:val="Hyperlink"/>
              <w:rFonts w:eastAsiaTheme="majorEastAsia"/>
              <w:noProof/>
              <w:szCs w:val="24"/>
            </w:rPr>
            <w:t>4.</w:t>
          </w:r>
          <w:r w:rsidRPr="005F0E61">
            <w:rPr>
              <w:rStyle w:val="Hyperlink"/>
              <w:rFonts w:ascii="Calibri" w:hAnsi="Calibri"/>
              <w:noProof/>
              <w:sz w:val="22"/>
              <w:szCs w:val="22"/>
            </w:rPr>
            <w:t xml:space="preserve"> </w:t>
          </w:r>
          <w:r w:rsidRPr="005F0E61">
            <w:rPr>
              <w:rStyle w:val="Hyperlink"/>
              <w:rFonts w:eastAsiaTheme="majorEastAsia"/>
              <w:noProof/>
              <w:szCs w:val="24"/>
            </w:rPr>
            <w:t>Efforts to Identify Duplication and Use of Similar Information</w:t>
          </w:r>
          <w:r w:rsidRPr="005F0E61">
            <w:rPr>
              <w:rStyle w:val="Hyperlink"/>
              <w:noProof/>
              <w:webHidden/>
              <w:szCs w:val="24"/>
            </w:rPr>
            <w:tab/>
          </w:r>
          <w:r w:rsidR="00F92652">
            <w:rPr>
              <w:rStyle w:val="Hyperlink"/>
              <w:noProof/>
              <w:webHidden/>
              <w:szCs w:val="24"/>
            </w:rPr>
            <w:t>8</w:t>
          </w:r>
        </w:p>
        <w:p w:rsidR="000A4126" w:rsidRPr="005F0E61" w:rsidP="000A4126" w14:paraId="2BF7784D" w14:textId="0B0CF61E">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"ImpactOnSmallBusinesses5"</w:instrText>
          </w:r>
          <w:r>
            <w:rPr>
              <w:rFonts w:eastAsiaTheme="majorEastAsia"/>
              <w:noProof/>
              <w:szCs w:val="24"/>
              <w:u w:val="single"/>
            </w:rPr>
            <w:fldChar w:fldCharType="separate"/>
          </w:r>
          <w:r w:rsidRPr="005F0E61">
            <w:rPr>
              <w:rStyle w:val="Hyperlink"/>
              <w:rFonts w:eastAsiaTheme="majorEastAsia"/>
              <w:noProof/>
              <w:szCs w:val="24"/>
            </w:rPr>
            <w:t>5.</w:t>
          </w:r>
          <w:r w:rsidRPr="005F0E61">
            <w:rPr>
              <w:rStyle w:val="Hyperlink"/>
              <w:rFonts w:ascii="Calibri" w:hAnsi="Calibri"/>
              <w:noProof/>
              <w:sz w:val="22"/>
              <w:szCs w:val="22"/>
            </w:rPr>
            <w:t xml:space="preserve"> </w:t>
          </w:r>
          <w:r w:rsidRPr="005F0E61">
            <w:rPr>
              <w:rStyle w:val="Hyperlink"/>
              <w:rFonts w:eastAsiaTheme="majorEastAsia"/>
              <w:noProof/>
              <w:szCs w:val="24"/>
            </w:rPr>
            <w:t>Impact on Small Businesses or Other Small Entities</w:t>
          </w:r>
          <w:r w:rsidRPr="005F0E61">
            <w:rPr>
              <w:rStyle w:val="Hyperlink"/>
              <w:noProof/>
              <w:webHidden/>
              <w:szCs w:val="24"/>
            </w:rPr>
            <w:tab/>
          </w:r>
          <w:r w:rsidR="00F92652">
            <w:rPr>
              <w:rStyle w:val="Hyperlink"/>
              <w:noProof/>
              <w:webHidden/>
              <w:szCs w:val="24"/>
            </w:rPr>
            <w:t>9</w:t>
          </w:r>
        </w:p>
        <w:p w:rsidR="000A4126" w:rsidRPr="005F0E61" w:rsidP="000A4126" w14:paraId="4FCEEB2D" w14:textId="47AE17BE">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"Consequences6"</w:instrText>
          </w:r>
          <w:r>
            <w:rPr>
              <w:rFonts w:eastAsiaTheme="majorEastAsia"/>
              <w:noProof/>
              <w:szCs w:val="24"/>
              <w:u w:val="single"/>
            </w:rPr>
            <w:fldChar w:fldCharType="separate"/>
          </w:r>
          <w:r w:rsidRPr="005F0E61">
            <w:rPr>
              <w:rStyle w:val="Hyperlink"/>
              <w:rFonts w:eastAsiaTheme="majorEastAsia"/>
              <w:noProof/>
              <w:szCs w:val="24"/>
            </w:rPr>
            <w:t>6.</w:t>
          </w:r>
          <w:r w:rsidRPr="005F0E61">
            <w:rPr>
              <w:rStyle w:val="Hyperlink"/>
              <w:rFonts w:ascii="Calibri" w:hAnsi="Calibri"/>
              <w:noProof/>
              <w:sz w:val="22"/>
              <w:szCs w:val="22"/>
            </w:rPr>
            <w:t xml:space="preserve"> </w:t>
          </w:r>
          <w:r w:rsidRPr="005F0E61">
            <w:rPr>
              <w:rStyle w:val="Hyperlink"/>
              <w:rFonts w:eastAsiaTheme="majorEastAsia"/>
              <w:noProof/>
              <w:szCs w:val="24"/>
            </w:rPr>
            <w:t>Consequences of Collecting the Information Less Frequently</w:t>
          </w:r>
          <w:r w:rsidRPr="005F0E61">
            <w:rPr>
              <w:rStyle w:val="Hyperlink"/>
              <w:noProof/>
              <w:webHidden/>
              <w:szCs w:val="24"/>
            </w:rPr>
            <w:tab/>
          </w:r>
          <w:r w:rsidR="00F92652">
            <w:rPr>
              <w:rStyle w:val="Hyperlink"/>
              <w:noProof/>
              <w:webHidden/>
              <w:szCs w:val="24"/>
            </w:rPr>
            <w:t>9</w:t>
          </w:r>
        </w:p>
        <w:p w:rsidR="000A4126" w:rsidRPr="005F0E61" w:rsidP="000A4126" w14:paraId="502108F2" w14:textId="1510118D">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"SpecialCircumstances7"</w:instrText>
          </w:r>
          <w:r>
            <w:rPr>
              <w:rFonts w:eastAsiaTheme="majorEastAsia"/>
              <w:noProof/>
              <w:szCs w:val="24"/>
              <w:u w:val="single"/>
            </w:rPr>
            <w:fldChar w:fldCharType="separate"/>
          </w:r>
          <w:r w:rsidRPr="005F0E61">
            <w:rPr>
              <w:rStyle w:val="Hyperlink"/>
              <w:rFonts w:eastAsiaTheme="majorEastAsia"/>
              <w:noProof/>
              <w:szCs w:val="24"/>
            </w:rPr>
            <w:t>7.</w:t>
          </w:r>
          <w:r w:rsidRPr="005F0E61">
            <w:rPr>
              <w:rStyle w:val="Hyperlink"/>
              <w:rFonts w:ascii="Calibri" w:hAnsi="Calibri"/>
              <w:noProof/>
              <w:sz w:val="22"/>
              <w:szCs w:val="22"/>
            </w:rPr>
            <w:t xml:space="preserve"> </w:t>
          </w:r>
          <w:r w:rsidRPr="005F0E61">
            <w:rPr>
              <w:rStyle w:val="Hyperlink"/>
              <w:rFonts w:eastAsiaTheme="majorEastAsia"/>
              <w:noProof/>
              <w:szCs w:val="24"/>
            </w:rPr>
            <w:t>Special Circumstances Relating to the Guidelines of 5 CFR 1320.5</w:t>
          </w:r>
          <w:r w:rsidRPr="005F0E61">
            <w:rPr>
              <w:rStyle w:val="Hyperlink"/>
              <w:noProof/>
              <w:webHidden/>
              <w:szCs w:val="24"/>
            </w:rPr>
            <w:tab/>
          </w:r>
          <w:r w:rsidR="00F92652">
            <w:rPr>
              <w:rStyle w:val="Hyperlink"/>
              <w:noProof/>
              <w:webHidden/>
              <w:szCs w:val="24"/>
            </w:rPr>
            <w:t>9</w:t>
          </w:r>
        </w:p>
        <w:p w:rsidR="000A4126" w:rsidRPr="005F0E61" w:rsidP="000A4126" w14:paraId="1E60FF76" w14:textId="1438DD7E">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"FRNcomments8"</w:instrText>
          </w:r>
          <w:r>
            <w:rPr>
              <w:rFonts w:eastAsiaTheme="majorEastAsia"/>
              <w:noProof/>
              <w:szCs w:val="24"/>
              <w:u w:val="single"/>
            </w:rPr>
            <w:fldChar w:fldCharType="separate"/>
          </w:r>
          <w:r w:rsidRPr="005F0E61">
            <w:rPr>
              <w:rStyle w:val="Hyperlink"/>
              <w:rFonts w:eastAsiaTheme="majorEastAsia"/>
              <w:noProof/>
              <w:szCs w:val="24"/>
            </w:rPr>
            <w:t>8.</w:t>
          </w:r>
          <w:r w:rsidRPr="005F0E61">
            <w:rPr>
              <w:rStyle w:val="Hyperlink"/>
              <w:rFonts w:ascii="Calibri" w:hAnsi="Calibri"/>
              <w:noProof/>
              <w:sz w:val="22"/>
              <w:szCs w:val="22"/>
            </w:rPr>
            <w:t xml:space="preserve"> </w:t>
          </w:r>
          <w:r w:rsidRPr="005F0E61">
            <w:rPr>
              <w:rStyle w:val="Hyperlink"/>
              <w:rFonts w:eastAsiaTheme="majorEastAsia"/>
              <w:noProof/>
              <w:szCs w:val="24"/>
            </w:rPr>
            <w:t>Comments in Response to the Federal Register Notice and Efforts to Consult Outside the Agency</w:t>
          </w:r>
          <w:r w:rsidRPr="005F0E61">
            <w:rPr>
              <w:rStyle w:val="Hyperlink"/>
              <w:noProof/>
              <w:webHidden/>
              <w:szCs w:val="24"/>
            </w:rPr>
            <w:tab/>
          </w:r>
          <w:r w:rsidR="00F92652">
            <w:rPr>
              <w:rStyle w:val="Hyperlink"/>
              <w:noProof/>
              <w:webHidden/>
              <w:szCs w:val="24"/>
            </w:rPr>
            <w:t>9</w:t>
          </w:r>
        </w:p>
        <w:p w:rsidR="000A4126" w:rsidRPr="005F0E61" w:rsidP="000A4126" w14:paraId="0A3519A7" w14:textId="63F7D4DE">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"PaymentGift9"</w:instrText>
          </w:r>
          <w:r>
            <w:rPr>
              <w:rFonts w:eastAsiaTheme="majorEastAsia"/>
              <w:noProof/>
              <w:szCs w:val="24"/>
              <w:u w:val="single"/>
            </w:rPr>
            <w:fldChar w:fldCharType="separate"/>
          </w:r>
          <w:r w:rsidRPr="005F0E61">
            <w:rPr>
              <w:rStyle w:val="Hyperlink"/>
              <w:rFonts w:eastAsiaTheme="majorEastAsia"/>
              <w:noProof/>
              <w:szCs w:val="24"/>
            </w:rPr>
            <w:t>9.</w:t>
          </w:r>
          <w:r w:rsidRPr="005F0E61">
            <w:rPr>
              <w:rStyle w:val="Hyperlink"/>
              <w:rFonts w:ascii="Calibri" w:hAnsi="Calibri"/>
              <w:noProof/>
              <w:sz w:val="22"/>
              <w:szCs w:val="22"/>
            </w:rPr>
            <w:t xml:space="preserve"> </w:t>
          </w:r>
          <w:r w:rsidRPr="005F0E61">
            <w:rPr>
              <w:rStyle w:val="Hyperlink"/>
              <w:rFonts w:eastAsiaTheme="majorEastAsia"/>
              <w:noProof/>
              <w:szCs w:val="24"/>
            </w:rPr>
            <w:t>Explanation of Any Payment or Gift to Respondents</w:t>
          </w:r>
          <w:r w:rsidRPr="005F0E61">
            <w:rPr>
              <w:rStyle w:val="Hyperlink"/>
              <w:noProof/>
              <w:webHidden/>
              <w:szCs w:val="24"/>
            </w:rPr>
            <w:tab/>
          </w:r>
          <w:r w:rsidR="00BE520E">
            <w:rPr>
              <w:rStyle w:val="Hyperlink"/>
              <w:noProof/>
              <w:webHidden/>
              <w:szCs w:val="24"/>
            </w:rPr>
            <w:t>1</w:t>
          </w:r>
          <w:r w:rsidR="00F92652">
            <w:rPr>
              <w:rStyle w:val="Hyperlink"/>
              <w:noProof/>
              <w:webHidden/>
              <w:szCs w:val="24"/>
            </w:rPr>
            <w:t>0</w:t>
          </w:r>
        </w:p>
        <w:p w:rsidR="000A4126" w:rsidRPr="005F0E61" w:rsidP="000A4126" w14:paraId="3225CF98" w14:textId="490CB72C">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"ProtectionOfThePrivacy10"</w:instrText>
          </w:r>
          <w:r>
            <w:rPr>
              <w:rFonts w:eastAsiaTheme="majorEastAsia"/>
              <w:noProof/>
              <w:szCs w:val="24"/>
              <w:u w:val="single"/>
            </w:rPr>
            <w:fldChar w:fldCharType="separate"/>
          </w:r>
          <w:r w:rsidRPr="005F0E61">
            <w:rPr>
              <w:rStyle w:val="Hyperlink"/>
              <w:rFonts w:eastAsiaTheme="majorEastAsia"/>
              <w:noProof/>
              <w:szCs w:val="24"/>
            </w:rPr>
            <w:t>10.</w:t>
          </w:r>
          <w:r w:rsidRPr="005F0E61">
            <w:rPr>
              <w:rStyle w:val="Hyperlink"/>
              <w:rFonts w:ascii="Calibri" w:hAnsi="Calibri"/>
              <w:noProof/>
              <w:sz w:val="22"/>
              <w:szCs w:val="22"/>
            </w:rPr>
            <w:t xml:space="preserve"> </w:t>
          </w:r>
          <w:r w:rsidRPr="005F0E61">
            <w:rPr>
              <w:rStyle w:val="Hyperlink"/>
              <w:rFonts w:eastAsiaTheme="majorEastAsia"/>
              <w:noProof/>
              <w:szCs w:val="24"/>
            </w:rPr>
            <w:t>Protection of the Privacy and Confidentiality of Information Provided by Respondents</w:t>
          </w:r>
          <w:r w:rsidRPr="005F0E61">
            <w:rPr>
              <w:rStyle w:val="Hyperlink"/>
              <w:noProof/>
              <w:webHidden/>
              <w:szCs w:val="24"/>
            </w:rPr>
            <w:tab/>
          </w:r>
          <w:r w:rsidR="00BC0309">
            <w:rPr>
              <w:rStyle w:val="Hyperlink"/>
              <w:noProof/>
              <w:webHidden/>
              <w:szCs w:val="24"/>
            </w:rPr>
            <w:t>12</w:t>
          </w:r>
        </w:p>
        <w:p w:rsidR="000A4126" w:rsidRPr="005F0E61" w:rsidP="000A4126" w14:paraId="6F99CF56" w14:textId="006D4C84">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"IRB11"</w:instrText>
          </w:r>
          <w:r>
            <w:rPr>
              <w:rFonts w:eastAsiaTheme="majorEastAsia"/>
              <w:noProof/>
              <w:szCs w:val="24"/>
              <w:u w:val="single"/>
            </w:rPr>
            <w:fldChar w:fldCharType="separate"/>
          </w:r>
          <w:r w:rsidRPr="005F0E61">
            <w:rPr>
              <w:rStyle w:val="Hyperlink"/>
              <w:rFonts w:eastAsiaTheme="majorEastAsia"/>
              <w:noProof/>
              <w:szCs w:val="24"/>
            </w:rPr>
            <w:t>11.</w:t>
          </w:r>
          <w:r w:rsidRPr="005F0E61">
            <w:rPr>
              <w:rStyle w:val="Hyperlink"/>
              <w:rFonts w:ascii="Calibri" w:hAnsi="Calibri"/>
              <w:noProof/>
              <w:sz w:val="22"/>
              <w:szCs w:val="22"/>
            </w:rPr>
            <w:t xml:space="preserve"> </w:t>
          </w:r>
          <w:r w:rsidRPr="005F0E61">
            <w:rPr>
              <w:rStyle w:val="Hyperlink"/>
              <w:rFonts w:eastAsiaTheme="majorEastAsia"/>
              <w:noProof/>
              <w:szCs w:val="24"/>
            </w:rPr>
            <w:t>Institutional Review Board (IRB) and Justification for Sensitive Questions</w:t>
          </w:r>
          <w:r w:rsidRPr="005F0E61">
            <w:rPr>
              <w:rStyle w:val="Hyperlink"/>
              <w:noProof/>
              <w:webHidden/>
              <w:szCs w:val="24"/>
            </w:rPr>
            <w:tab/>
          </w:r>
          <w:r w:rsidR="00BC0309">
            <w:rPr>
              <w:rStyle w:val="Hyperlink"/>
              <w:noProof/>
              <w:webHidden/>
              <w:szCs w:val="24"/>
            </w:rPr>
            <w:t>13</w:t>
          </w:r>
        </w:p>
        <w:p w:rsidR="000A4126" w:rsidRPr="005F0E61" w:rsidP="000A4126" w14:paraId="7AB3FD44" w14:textId="32AB39A8">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"Burden12"</w:instrText>
          </w:r>
          <w:r>
            <w:rPr>
              <w:rFonts w:eastAsiaTheme="majorEastAsia"/>
              <w:noProof/>
              <w:szCs w:val="24"/>
              <w:u w:val="single"/>
            </w:rPr>
            <w:fldChar w:fldCharType="separate"/>
          </w:r>
          <w:r w:rsidRPr="005F0E61">
            <w:rPr>
              <w:rStyle w:val="Hyperlink"/>
              <w:rFonts w:eastAsiaTheme="majorEastAsia"/>
              <w:noProof/>
              <w:szCs w:val="24"/>
            </w:rPr>
            <w:t>12.</w:t>
          </w:r>
          <w:r w:rsidRPr="005F0E61">
            <w:rPr>
              <w:rStyle w:val="Hyperlink"/>
              <w:rFonts w:ascii="Calibri" w:hAnsi="Calibri"/>
              <w:noProof/>
              <w:sz w:val="22"/>
              <w:szCs w:val="22"/>
            </w:rPr>
            <w:t xml:space="preserve"> </w:t>
          </w:r>
          <w:r w:rsidRPr="005F0E61">
            <w:rPr>
              <w:rStyle w:val="Hyperlink"/>
              <w:rFonts w:eastAsiaTheme="majorEastAsia"/>
              <w:noProof/>
              <w:szCs w:val="24"/>
            </w:rPr>
            <w:t>Estimates of Annualized Burden Hours and Costs</w:t>
          </w:r>
          <w:r w:rsidRPr="005F0E61">
            <w:rPr>
              <w:rStyle w:val="Hyperlink"/>
              <w:noProof/>
              <w:webHidden/>
              <w:szCs w:val="24"/>
            </w:rPr>
            <w:tab/>
          </w:r>
          <w:r w:rsidR="00BC0309">
            <w:rPr>
              <w:rStyle w:val="Hyperlink"/>
              <w:noProof/>
              <w:webHidden/>
              <w:szCs w:val="24"/>
            </w:rPr>
            <w:t>14</w:t>
          </w:r>
        </w:p>
        <w:bookmarkStart w:id="3" w:name="_Hlk485203109"/>
        <w:p w:rsidR="000A4126" w:rsidRPr="005F0E61" w:rsidP="000A4126" w14:paraId="6608109D" w14:textId="5302E73B">
          <w:pPr>
            <w:tabs>
              <w:tab w:val="left" w:pos="1100"/>
              <w:tab w:val="right" w:leader="dot" w:pos="10070"/>
            </w:tabs>
            <w:spacing w:after="100"/>
            <w:ind w:left="240"/>
            <w:rPr>
              <w:rFonts w:eastAsiaTheme="majorEastAsia"/>
              <w:noProof/>
              <w:szCs w:val="24"/>
            </w:rPr>
          </w:pPr>
          <w:r>
            <w:rPr>
              <w:rFonts w:eastAsiaTheme="majorEastAsia"/>
              <w:noProof/>
              <w:szCs w:val="24"/>
              <w:u w:val="single"/>
            </w:rPr>
            <w:fldChar w:fldCharType="end"/>
          </w:r>
          <w:r w:rsidRPr="005F0E61">
            <w:rPr>
              <w:rFonts w:eastAsiaTheme="majorEastAsia"/>
              <w:noProof/>
              <w:szCs w:val="24"/>
            </w:rPr>
            <w:fldChar w:fldCharType="begin"/>
          </w:r>
          <w:r w:rsidR="00A03568">
            <w:rPr>
              <w:rFonts w:eastAsiaTheme="majorEastAsia"/>
              <w:noProof/>
              <w:szCs w:val="24"/>
            </w:rPr>
            <w:instrText>HYPERLINK  \l "Section12AHours"</w:instrText>
          </w:r>
          <w:r w:rsidRPr="005F0E61">
            <w:rPr>
              <w:rFonts w:eastAsiaTheme="majorEastAsia"/>
              <w:noProof/>
              <w:szCs w:val="24"/>
            </w:rPr>
            <w:fldChar w:fldCharType="separate"/>
          </w:r>
          <w:r w:rsidRPr="005F0E61">
            <w:rPr>
              <w:rFonts w:eastAsiaTheme="majorEastAsia"/>
              <w:noProof/>
              <w:szCs w:val="24"/>
            </w:rPr>
            <w:t>12A.</w:t>
          </w:r>
          <w:r w:rsidRPr="005F0E61">
            <w:rPr>
              <w:rFonts w:ascii="Calibri" w:hAnsi="Calibri"/>
              <w:noProof/>
              <w:sz w:val="22"/>
              <w:szCs w:val="22"/>
            </w:rPr>
            <w:t xml:space="preserve"> </w:t>
          </w:r>
          <w:r w:rsidRPr="005F0E61">
            <w:rPr>
              <w:rFonts w:eastAsiaTheme="majorEastAsia"/>
              <w:noProof/>
              <w:szCs w:val="24"/>
            </w:rPr>
            <w:t>Estimated Annualized Burden Hours</w:t>
          </w:r>
          <w:r w:rsidRPr="005F0E61">
            <w:rPr>
              <w:rFonts w:eastAsiaTheme="majorEastAsia"/>
              <w:noProof/>
              <w:webHidden/>
              <w:szCs w:val="24"/>
            </w:rPr>
            <w:tab/>
          </w:r>
          <w:r w:rsidR="00B57A91">
            <w:rPr>
              <w:rFonts w:eastAsiaTheme="majorEastAsia"/>
              <w:noProof/>
              <w:webHidden/>
              <w:szCs w:val="24"/>
            </w:rPr>
            <w:t>1</w:t>
          </w:r>
          <w:r w:rsidR="00BC0309">
            <w:rPr>
              <w:rFonts w:eastAsiaTheme="majorEastAsia"/>
              <w:noProof/>
              <w:webHidden/>
              <w:szCs w:val="24"/>
            </w:rPr>
            <w:t>4</w:t>
          </w:r>
        </w:p>
        <w:p w:rsidR="000A4126" w:rsidRPr="005F0E61" w:rsidP="000A4126" w14:paraId="5E723B10" w14:textId="6E6F9D17">
          <w:pPr>
            <w:tabs>
              <w:tab w:val="left" w:pos="1100"/>
              <w:tab w:val="right" w:leader="dot" w:pos="10070"/>
            </w:tabs>
            <w:spacing w:after="100"/>
            <w:ind w:left="240"/>
            <w:rPr>
              <w:rFonts w:eastAsiaTheme="majorEastAsia"/>
              <w:noProof/>
              <w:szCs w:val="24"/>
            </w:rPr>
          </w:pPr>
          <w:r w:rsidRPr="005F0E61">
            <w:rPr>
              <w:rFonts w:eastAsiaTheme="majorEastAsia"/>
              <w:noProof/>
              <w:szCs w:val="24"/>
            </w:rPr>
            <w:fldChar w:fldCharType="end"/>
          </w:r>
          <w:r w:rsidRPr="005F0E61">
            <w:rPr>
              <w:rFonts w:eastAsiaTheme="majorEastAsia"/>
              <w:noProof/>
              <w:szCs w:val="24"/>
            </w:rPr>
            <w:fldChar w:fldCharType="begin"/>
          </w:r>
          <w:r w:rsidR="00A03568">
            <w:rPr>
              <w:rFonts w:eastAsiaTheme="majorEastAsia"/>
              <w:noProof/>
              <w:szCs w:val="24"/>
            </w:rPr>
            <w:instrText>HYPERLINK  \l "BurdenCost12B"</w:instrText>
          </w:r>
          <w:r w:rsidRPr="005F0E61">
            <w:rPr>
              <w:rFonts w:eastAsiaTheme="majorEastAsia"/>
              <w:noProof/>
              <w:szCs w:val="24"/>
            </w:rPr>
            <w:fldChar w:fldCharType="separate"/>
          </w:r>
          <w:r w:rsidRPr="005F0E61">
            <w:rPr>
              <w:rFonts w:eastAsiaTheme="majorEastAsia"/>
              <w:noProof/>
              <w:szCs w:val="24"/>
            </w:rPr>
            <w:t>12B.</w:t>
          </w:r>
          <w:r w:rsidRPr="005F0E61">
            <w:rPr>
              <w:rFonts w:ascii="Calibri" w:hAnsi="Calibri"/>
              <w:noProof/>
              <w:sz w:val="22"/>
              <w:szCs w:val="22"/>
            </w:rPr>
            <w:t xml:space="preserve"> </w:t>
          </w:r>
          <w:r w:rsidRPr="005F0E61">
            <w:rPr>
              <w:rFonts w:eastAsiaTheme="majorEastAsia"/>
              <w:noProof/>
              <w:szCs w:val="24"/>
            </w:rPr>
            <w:t>Estimated Annualized Burden Costs</w:t>
          </w:r>
          <w:r w:rsidRPr="005F0E61">
            <w:rPr>
              <w:rFonts w:eastAsiaTheme="majorEastAsia"/>
              <w:noProof/>
              <w:webHidden/>
              <w:szCs w:val="24"/>
            </w:rPr>
            <w:tab/>
          </w:r>
          <w:bookmarkEnd w:id="3"/>
          <w:r w:rsidR="00BC0309">
            <w:rPr>
              <w:rFonts w:eastAsiaTheme="majorEastAsia"/>
              <w:noProof/>
              <w:webHidden/>
              <w:szCs w:val="24"/>
            </w:rPr>
            <w:t>1</w:t>
          </w:r>
          <w:r w:rsidR="000C18B4">
            <w:rPr>
              <w:rFonts w:eastAsiaTheme="majorEastAsia"/>
              <w:noProof/>
              <w:webHidden/>
              <w:szCs w:val="24"/>
            </w:rPr>
            <w:t>5</w:t>
          </w:r>
        </w:p>
        <w:p w:rsidR="000A4126" w:rsidRPr="005F0E61" w:rsidP="000A4126" w14:paraId="5F50C175" w14:textId="4F8AF248">
          <w:pPr>
            <w:tabs>
              <w:tab w:val="left" w:pos="660"/>
              <w:tab w:val="right" w:leader="dot" w:pos="10070"/>
            </w:tabs>
            <w:spacing w:after="100"/>
            <w:rPr>
              <w:rStyle w:val="Hyperlink"/>
              <w:rFonts w:ascii="Calibri" w:hAnsi="Calibri"/>
              <w:noProof/>
              <w:sz w:val="22"/>
              <w:szCs w:val="22"/>
            </w:rPr>
          </w:pPr>
          <w:r w:rsidRPr="005F0E61">
            <w:rPr>
              <w:rFonts w:eastAsiaTheme="majorEastAsia"/>
              <w:noProof/>
              <w:szCs w:val="24"/>
            </w:rPr>
            <w:fldChar w:fldCharType="end"/>
          </w:r>
          <w:r w:rsidR="005F0E61">
            <w:rPr>
              <w:rFonts w:eastAsiaTheme="majorEastAsia"/>
              <w:noProof/>
              <w:szCs w:val="24"/>
              <w:u w:val="single"/>
            </w:rPr>
            <w:fldChar w:fldCharType="begin"/>
          </w:r>
          <w:r w:rsidR="00A03568">
            <w:rPr>
              <w:rFonts w:eastAsiaTheme="majorEastAsia"/>
              <w:noProof/>
              <w:szCs w:val="24"/>
              <w:u w:val="single"/>
            </w:rPr>
            <w:instrText>HYPERLINK  \l "OtherBurden13"</w:instrText>
          </w:r>
          <w:r w:rsidR="005F0E61">
            <w:rPr>
              <w:rFonts w:eastAsiaTheme="majorEastAsia"/>
              <w:noProof/>
              <w:szCs w:val="24"/>
              <w:u w:val="single"/>
            </w:rPr>
            <w:fldChar w:fldCharType="separate"/>
          </w:r>
          <w:r w:rsidRPr="005F0E61">
            <w:rPr>
              <w:rStyle w:val="Hyperlink"/>
              <w:rFonts w:eastAsiaTheme="majorEastAsia"/>
              <w:noProof/>
              <w:szCs w:val="24"/>
            </w:rPr>
            <w:t>13.</w:t>
          </w:r>
          <w:r w:rsidRPr="005F0E61">
            <w:rPr>
              <w:rStyle w:val="Hyperlink"/>
              <w:rFonts w:ascii="Calibri" w:hAnsi="Calibri"/>
              <w:noProof/>
              <w:sz w:val="22"/>
              <w:szCs w:val="22"/>
            </w:rPr>
            <w:t xml:space="preserve"> </w:t>
          </w:r>
          <w:r w:rsidRPr="005F0E61">
            <w:rPr>
              <w:rStyle w:val="Hyperlink"/>
              <w:rFonts w:eastAsiaTheme="majorEastAsia"/>
              <w:noProof/>
              <w:szCs w:val="24"/>
            </w:rPr>
            <w:t>Estimates of Other Total Annual Cost Burden to Respondents and Record Keepers</w:t>
          </w:r>
          <w:r w:rsidRPr="005F0E61">
            <w:rPr>
              <w:rStyle w:val="Hyperlink"/>
              <w:noProof/>
              <w:webHidden/>
              <w:szCs w:val="24"/>
            </w:rPr>
            <w:tab/>
          </w:r>
          <w:r w:rsidR="003875B2">
            <w:rPr>
              <w:rStyle w:val="Hyperlink"/>
              <w:noProof/>
              <w:webHidden/>
              <w:szCs w:val="24"/>
            </w:rPr>
            <w:t>16</w:t>
          </w:r>
        </w:p>
        <w:p w:rsidR="000A4126" w:rsidRPr="005F0E61" w:rsidP="000A4126" w14:paraId="381A8DE1" w14:textId="1F4B3D71">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"CosttoFed14"</w:instrText>
          </w:r>
          <w:r>
            <w:rPr>
              <w:rFonts w:eastAsiaTheme="majorEastAsia"/>
              <w:noProof/>
              <w:szCs w:val="24"/>
              <w:u w:val="single"/>
            </w:rPr>
            <w:fldChar w:fldCharType="separate"/>
          </w:r>
          <w:r w:rsidRPr="005F0E61">
            <w:rPr>
              <w:rStyle w:val="Hyperlink"/>
              <w:rFonts w:eastAsiaTheme="majorEastAsia"/>
              <w:noProof/>
              <w:szCs w:val="24"/>
            </w:rPr>
            <w:t>14.</w:t>
          </w:r>
          <w:r w:rsidRPr="005F0E61">
            <w:rPr>
              <w:rStyle w:val="Hyperlink"/>
              <w:rFonts w:ascii="Calibri" w:hAnsi="Calibri"/>
              <w:noProof/>
              <w:sz w:val="22"/>
              <w:szCs w:val="22"/>
            </w:rPr>
            <w:t xml:space="preserve"> </w:t>
          </w:r>
          <w:r w:rsidRPr="005F0E61">
            <w:rPr>
              <w:rStyle w:val="Hyperlink"/>
              <w:rFonts w:eastAsiaTheme="majorEastAsia"/>
              <w:noProof/>
              <w:szCs w:val="24"/>
            </w:rPr>
            <w:t>Annualized Cost to the Federal Government</w:t>
          </w:r>
          <w:r w:rsidRPr="005F0E61">
            <w:rPr>
              <w:rStyle w:val="Hyperlink"/>
              <w:noProof/>
              <w:webHidden/>
              <w:szCs w:val="24"/>
            </w:rPr>
            <w:tab/>
          </w:r>
          <w:r w:rsidR="003875B2">
            <w:rPr>
              <w:rStyle w:val="Hyperlink"/>
              <w:noProof/>
              <w:webHidden/>
              <w:szCs w:val="24"/>
            </w:rPr>
            <w:t>1</w:t>
          </w:r>
          <w:r w:rsidR="000C18B4">
            <w:rPr>
              <w:rStyle w:val="Hyperlink"/>
              <w:noProof/>
              <w:webHidden/>
              <w:szCs w:val="24"/>
            </w:rPr>
            <w:t>6</w:t>
          </w:r>
        </w:p>
        <w:p w:rsidR="000A4126" w:rsidRPr="005F0E61" w:rsidP="000A4126" w14:paraId="6DC1CB8D" w14:textId="21433059">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"ExplanationChanges15"</w:instrText>
          </w:r>
          <w:r>
            <w:rPr>
              <w:rFonts w:eastAsiaTheme="majorEastAsia"/>
              <w:noProof/>
              <w:szCs w:val="24"/>
              <w:u w:val="single"/>
            </w:rPr>
            <w:fldChar w:fldCharType="separate"/>
          </w:r>
          <w:r w:rsidRPr="005F0E61">
            <w:rPr>
              <w:rStyle w:val="Hyperlink"/>
              <w:rFonts w:eastAsiaTheme="majorEastAsia"/>
              <w:noProof/>
              <w:szCs w:val="24"/>
            </w:rPr>
            <w:t>15.</w:t>
          </w:r>
          <w:r w:rsidRPr="005F0E61">
            <w:rPr>
              <w:rStyle w:val="Hyperlink"/>
              <w:rFonts w:ascii="Calibri" w:hAnsi="Calibri"/>
              <w:noProof/>
              <w:sz w:val="22"/>
              <w:szCs w:val="22"/>
            </w:rPr>
            <w:t xml:space="preserve"> </w:t>
          </w:r>
          <w:r w:rsidRPr="005F0E61">
            <w:rPr>
              <w:rStyle w:val="Hyperlink"/>
              <w:rFonts w:eastAsiaTheme="majorEastAsia"/>
              <w:noProof/>
              <w:szCs w:val="24"/>
            </w:rPr>
            <w:t>Explanation for Program Changes or Adjustments</w:t>
          </w:r>
          <w:r w:rsidRPr="005F0E61">
            <w:rPr>
              <w:rStyle w:val="Hyperlink"/>
              <w:noProof/>
              <w:webHidden/>
              <w:szCs w:val="24"/>
            </w:rPr>
            <w:tab/>
          </w:r>
          <w:r w:rsidR="003875B2">
            <w:rPr>
              <w:rStyle w:val="Hyperlink"/>
              <w:noProof/>
              <w:webHidden/>
              <w:szCs w:val="24"/>
            </w:rPr>
            <w:t>17</w:t>
          </w:r>
        </w:p>
        <w:p w:rsidR="000A4126" w:rsidRPr="005F0E61" w:rsidP="000A4126" w14:paraId="3EAABFC2" w14:textId="2BA55AAB">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"PlansForTabulation16"</w:instrText>
          </w:r>
          <w:r>
            <w:rPr>
              <w:rFonts w:eastAsiaTheme="majorEastAsia"/>
              <w:noProof/>
              <w:szCs w:val="24"/>
              <w:u w:val="single"/>
            </w:rPr>
            <w:fldChar w:fldCharType="separate"/>
          </w:r>
          <w:r w:rsidRPr="005F0E61">
            <w:rPr>
              <w:rStyle w:val="Hyperlink"/>
              <w:rFonts w:eastAsiaTheme="majorEastAsia"/>
              <w:noProof/>
              <w:szCs w:val="24"/>
            </w:rPr>
            <w:t>16.</w:t>
          </w:r>
          <w:r w:rsidRPr="005F0E61">
            <w:rPr>
              <w:rStyle w:val="Hyperlink"/>
              <w:rFonts w:ascii="Calibri" w:hAnsi="Calibri"/>
              <w:noProof/>
              <w:sz w:val="22"/>
              <w:szCs w:val="22"/>
            </w:rPr>
            <w:t xml:space="preserve"> </w:t>
          </w:r>
          <w:r w:rsidRPr="005F0E61">
            <w:rPr>
              <w:rStyle w:val="Hyperlink"/>
              <w:rFonts w:eastAsiaTheme="majorEastAsia"/>
              <w:noProof/>
              <w:szCs w:val="24"/>
            </w:rPr>
            <w:t>Plans for Tabulation and Publication and Project Time Schedule</w:t>
          </w:r>
          <w:r w:rsidRPr="005F0E61">
            <w:rPr>
              <w:rStyle w:val="Hyperlink"/>
              <w:noProof/>
              <w:webHidden/>
              <w:szCs w:val="24"/>
            </w:rPr>
            <w:tab/>
          </w:r>
          <w:r w:rsidR="003875B2">
            <w:rPr>
              <w:rStyle w:val="Hyperlink"/>
              <w:noProof/>
              <w:webHidden/>
              <w:szCs w:val="24"/>
            </w:rPr>
            <w:t>17</w:t>
          </w:r>
        </w:p>
        <w:p w:rsidR="000A4126" w:rsidRPr="005F0E61" w:rsidP="000A4126" w14:paraId="378B3FBB" w14:textId="7E71102A">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"OMBExpiration17"</w:instrText>
          </w:r>
          <w:r>
            <w:rPr>
              <w:rFonts w:eastAsiaTheme="majorEastAsia"/>
              <w:noProof/>
              <w:szCs w:val="24"/>
              <w:u w:val="single"/>
            </w:rPr>
            <w:fldChar w:fldCharType="separate"/>
          </w:r>
          <w:r w:rsidRPr="005F0E61">
            <w:rPr>
              <w:rStyle w:val="Hyperlink"/>
              <w:rFonts w:eastAsiaTheme="majorEastAsia"/>
              <w:noProof/>
              <w:szCs w:val="24"/>
            </w:rPr>
            <w:t>17.</w:t>
          </w:r>
          <w:r w:rsidRPr="005F0E61">
            <w:rPr>
              <w:rStyle w:val="Hyperlink"/>
              <w:rFonts w:ascii="Calibri" w:hAnsi="Calibri"/>
              <w:noProof/>
              <w:sz w:val="22"/>
              <w:szCs w:val="22"/>
            </w:rPr>
            <w:t xml:space="preserve"> </w:t>
          </w:r>
          <w:r w:rsidRPr="005F0E61">
            <w:rPr>
              <w:rStyle w:val="Hyperlink"/>
              <w:rFonts w:eastAsiaTheme="majorEastAsia"/>
              <w:noProof/>
              <w:szCs w:val="24"/>
            </w:rPr>
            <w:t>Reason(s) Display of OMB Expiration Date is Inappropriate</w:t>
          </w:r>
          <w:r w:rsidRPr="005F0E61">
            <w:rPr>
              <w:rStyle w:val="Hyperlink"/>
              <w:noProof/>
              <w:webHidden/>
              <w:szCs w:val="24"/>
            </w:rPr>
            <w:tab/>
          </w:r>
          <w:r w:rsidR="003875B2">
            <w:rPr>
              <w:rStyle w:val="Hyperlink"/>
              <w:noProof/>
              <w:webHidden/>
              <w:szCs w:val="24"/>
            </w:rPr>
            <w:t>1</w:t>
          </w:r>
          <w:r w:rsidR="000C18B4">
            <w:rPr>
              <w:rStyle w:val="Hyperlink"/>
              <w:noProof/>
              <w:webHidden/>
              <w:szCs w:val="24"/>
            </w:rPr>
            <w:t>7</w:t>
          </w:r>
        </w:p>
        <w:p w:rsidR="000A4126" w:rsidRPr="005F0E61" w:rsidP="000A4126" w14:paraId="7418C2FF" w14:textId="7E766893">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"Exceptions18"</w:instrText>
          </w:r>
          <w:r>
            <w:rPr>
              <w:rFonts w:eastAsiaTheme="majorEastAsia"/>
              <w:noProof/>
              <w:szCs w:val="24"/>
              <w:u w:val="single"/>
            </w:rPr>
            <w:fldChar w:fldCharType="separate"/>
          </w:r>
          <w:r w:rsidRPr="005F0E61">
            <w:rPr>
              <w:rStyle w:val="Hyperlink"/>
              <w:rFonts w:eastAsiaTheme="majorEastAsia"/>
              <w:noProof/>
              <w:szCs w:val="24"/>
            </w:rPr>
            <w:t>18.</w:t>
          </w:r>
          <w:r w:rsidRPr="005F0E61">
            <w:rPr>
              <w:rStyle w:val="Hyperlink"/>
              <w:rFonts w:ascii="Calibri" w:hAnsi="Calibri"/>
              <w:noProof/>
              <w:sz w:val="22"/>
              <w:szCs w:val="22"/>
            </w:rPr>
            <w:t xml:space="preserve"> </w:t>
          </w:r>
          <w:r w:rsidRPr="005F0E61">
            <w:rPr>
              <w:rStyle w:val="Hyperlink"/>
              <w:rFonts w:eastAsiaTheme="majorEastAsia"/>
              <w:noProof/>
              <w:szCs w:val="24"/>
            </w:rPr>
            <w:t>Exceptions to Certification for Paperwork Reduction Act Submissions</w:t>
          </w:r>
          <w:r w:rsidRPr="005F0E61">
            <w:rPr>
              <w:rStyle w:val="Hyperlink"/>
              <w:noProof/>
              <w:webHidden/>
              <w:szCs w:val="24"/>
            </w:rPr>
            <w:tab/>
          </w:r>
          <w:r w:rsidR="00B57A91">
            <w:rPr>
              <w:rStyle w:val="Hyperlink"/>
              <w:noProof/>
              <w:webHidden/>
              <w:szCs w:val="24"/>
            </w:rPr>
            <w:t>1</w:t>
          </w:r>
          <w:r w:rsidR="000C18B4">
            <w:rPr>
              <w:rStyle w:val="Hyperlink"/>
              <w:noProof/>
              <w:webHidden/>
              <w:szCs w:val="24"/>
            </w:rPr>
            <w:t>7</w:t>
          </w:r>
        </w:p>
        <w:p w:rsidR="000A4126" w:rsidRPr="005F0E61" w:rsidP="000A4126" w14:paraId="74FD9736" w14:textId="63A4D142">
          <w:pPr>
            <w:tabs>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sidR="00A03568">
            <w:rPr>
              <w:rFonts w:eastAsiaTheme="majorEastAsia"/>
              <w:noProof/>
              <w:szCs w:val="24"/>
              <w:u w:val="single"/>
            </w:rPr>
            <w:instrText>HYPERLINK  \l "References"</w:instrText>
          </w:r>
          <w:r>
            <w:rPr>
              <w:rFonts w:eastAsiaTheme="majorEastAsia"/>
              <w:noProof/>
              <w:szCs w:val="24"/>
              <w:u w:val="single"/>
            </w:rPr>
            <w:fldChar w:fldCharType="separate"/>
          </w:r>
          <w:r w:rsidRPr="005F0E61">
            <w:rPr>
              <w:rStyle w:val="Hyperlink"/>
              <w:rFonts w:eastAsiaTheme="majorEastAsia"/>
              <w:noProof/>
              <w:szCs w:val="24"/>
            </w:rPr>
            <w:t>References:</w:t>
          </w:r>
          <w:r w:rsidRPr="005F0E61">
            <w:rPr>
              <w:rStyle w:val="Hyperlink"/>
              <w:noProof/>
              <w:webHidden/>
              <w:szCs w:val="24"/>
            </w:rPr>
            <w:tab/>
          </w:r>
          <w:r w:rsidR="00B57A91">
            <w:rPr>
              <w:rStyle w:val="Hyperlink"/>
              <w:noProof/>
              <w:webHidden/>
              <w:szCs w:val="24"/>
            </w:rPr>
            <w:t>1</w:t>
          </w:r>
          <w:r w:rsidR="003875B2">
            <w:rPr>
              <w:rStyle w:val="Hyperlink"/>
              <w:noProof/>
              <w:webHidden/>
              <w:szCs w:val="24"/>
            </w:rPr>
            <w:t>8</w:t>
          </w:r>
        </w:p>
        <w:p w:rsidR="000A4126" w:rsidP="000A4126" w14:paraId="20A94795" w14:textId="4FB53CFC">
          <w:r>
            <w:rPr>
              <w:rFonts w:eastAsiaTheme="majorEastAsia"/>
              <w:noProof/>
              <w:szCs w:val="24"/>
              <w:u w:val="single"/>
            </w:rPr>
            <w:fldChar w:fldCharType="end"/>
          </w:r>
          <w:r w:rsidRPr="0050702C">
            <w:rPr>
              <w:bCs/>
              <w:noProof/>
              <w:szCs w:val="24"/>
            </w:rPr>
            <w:fldChar w:fldCharType="end"/>
          </w:r>
        </w:p>
      </w:sdtContent>
    </w:sdt>
    <w:p w:rsidR="000A4126" w14:paraId="445A7207" w14:textId="5CD5552D"/>
    <w:p w:rsidR="000A4126" w:rsidRPr="000F2DF5" w:rsidP="000A4126" w14:paraId="4CDF137B" w14:textId="77777777">
      <w:pPr>
        <w:pStyle w:val="NoSpacing"/>
        <w:pBdr>
          <w:bottom w:val="single" w:sz="4" w:space="1" w:color="auto"/>
        </w:pBdr>
        <w:rPr>
          <w:rFonts w:cs="Times New Roman"/>
          <w:b/>
        </w:rPr>
      </w:pPr>
      <w:r w:rsidRPr="000F2DF5">
        <w:rPr>
          <w:rFonts w:cs="Times New Roman"/>
          <w:b/>
        </w:rPr>
        <w:t>EXHIBITS</w:t>
      </w:r>
    </w:p>
    <w:p w:rsidR="000A4126" w:rsidP="000A4126" w14:paraId="52ABA13D" w14:textId="1FD35889">
      <w:pPr>
        <w:pStyle w:val="TableofFigures"/>
        <w:tabs>
          <w:tab w:val="right" w:leader="dot" w:pos="10070"/>
        </w:tabs>
        <w:rPr>
          <w:rFonts w:asciiTheme="minorHAnsi" w:eastAsiaTheme="minorEastAsia" w:hAnsiTheme="minorHAnsi"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p>
    <w:bookmarkStart w:id="4" w:name="_Hlk132727818"/>
    <w:p w:rsidR="000A4126" w:rsidRPr="00D16552" w:rsidP="00832529" w14:paraId="1D558FC2" w14:textId="317EA88F">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begin"/>
      </w:r>
      <w:r w:rsidR="00A03568">
        <w:rPr>
          <w:noProof/>
        </w:rPr>
        <w:instrText>HYPERLINK  \l "ExhibitHours121"</w:instrText>
      </w:r>
      <w:r>
        <w:rPr>
          <w:noProof/>
        </w:rPr>
        <w:fldChar w:fldCharType="separate"/>
      </w:r>
      <w:r w:rsidRPr="00D16552">
        <w:rPr>
          <w:rStyle w:val="Hyperlink"/>
          <w:rFonts w:eastAsiaTheme="majorEastAsia"/>
          <w:noProof/>
        </w:rPr>
        <w:t>Exhibit 12.1: Estimated Annualized Burden Hours</w:t>
      </w:r>
      <w:bookmarkStart w:id="5" w:name="_Hlk485202657"/>
      <w:r w:rsidRPr="00D16552">
        <w:rPr>
          <w:rStyle w:val="Hyperlink"/>
          <w:rFonts w:eastAsiaTheme="majorEastAsia"/>
          <w:noProof/>
          <w:webHidden/>
        </w:rPr>
        <w:tab/>
      </w:r>
      <w:bookmarkEnd w:id="5"/>
      <w:r w:rsidRPr="00D16552">
        <w:rPr>
          <w:rStyle w:val="Hyperlink"/>
          <w:rFonts w:eastAsiaTheme="majorEastAsia"/>
          <w:noProof/>
          <w:webHidden/>
        </w:rPr>
        <w:t>1</w:t>
      </w:r>
      <w:r w:rsidR="003875B2">
        <w:rPr>
          <w:rStyle w:val="Hyperlink"/>
          <w:rFonts w:eastAsiaTheme="majorEastAsia"/>
          <w:noProof/>
          <w:webHidden/>
        </w:rPr>
        <w:t>5</w:t>
      </w:r>
    </w:p>
    <w:p w:rsidR="000A4126" w:rsidRPr="00D16552" w:rsidP="000A4126" w14:paraId="7678BCD8" w14:textId="3F86B963">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bookmarkEnd w:id="4"/>
      <w:r>
        <w:rPr>
          <w:noProof/>
        </w:rPr>
        <w:fldChar w:fldCharType="begin"/>
      </w:r>
      <w:r w:rsidR="00A03568">
        <w:rPr>
          <w:noProof/>
        </w:rPr>
        <w:instrText>HYPERLINK  \l "ExhibitCosts122"</w:instrText>
      </w:r>
      <w:r>
        <w:rPr>
          <w:noProof/>
        </w:rPr>
        <w:fldChar w:fldCharType="separate"/>
      </w:r>
      <w:r w:rsidRPr="00D16552">
        <w:rPr>
          <w:rStyle w:val="Hyperlink"/>
          <w:rFonts w:eastAsiaTheme="majorEastAsia"/>
          <w:noProof/>
        </w:rPr>
        <w:t>Exhibit 12.2: Estimated Annualized Burden Costs</w:t>
      </w:r>
      <w:r w:rsidRPr="00D16552">
        <w:rPr>
          <w:rStyle w:val="Hyperlink"/>
          <w:rFonts w:eastAsiaTheme="majorEastAsia"/>
          <w:noProof/>
          <w:webHidden/>
        </w:rPr>
        <w:tab/>
        <w:t>1</w:t>
      </w:r>
      <w:r w:rsidR="003875B2">
        <w:rPr>
          <w:rStyle w:val="Hyperlink"/>
          <w:rFonts w:eastAsiaTheme="majorEastAsia"/>
          <w:noProof/>
          <w:webHidden/>
        </w:rPr>
        <w:t>6</w:t>
      </w:r>
    </w:p>
    <w:p w:rsidR="000A4126" w:rsidRPr="00D16552" w:rsidP="000A4126" w14:paraId="10F1B397" w14:textId="7050F055">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A03568">
        <w:rPr>
          <w:noProof/>
        </w:rPr>
        <w:instrText>HYPERLINK  \l "Exhibit141"</w:instrText>
      </w:r>
      <w:r>
        <w:rPr>
          <w:noProof/>
        </w:rPr>
        <w:fldChar w:fldCharType="separate"/>
      </w:r>
      <w:r w:rsidRPr="00D16552">
        <w:rPr>
          <w:rStyle w:val="Hyperlink"/>
          <w:rFonts w:eastAsiaTheme="majorEastAsia"/>
          <w:noProof/>
        </w:rPr>
        <w:t>Exhibit 14.1: Annualized Cost to the Government</w:t>
      </w:r>
      <w:r w:rsidRPr="00D16552">
        <w:rPr>
          <w:rStyle w:val="Hyperlink"/>
          <w:rFonts w:eastAsiaTheme="majorEastAsia"/>
          <w:noProof/>
          <w:webHidden/>
        </w:rPr>
        <w:tab/>
        <w:t>1</w:t>
      </w:r>
      <w:r w:rsidR="003875B2">
        <w:rPr>
          <w:rStyle w:val="Hyperlink"/>
          <w:rFonts w:eastAsiaTheme="majorEastAsia"/>
          <w:noProof/>
          <w:webHidden/>
        </w:rPr>
        <w:t>7</w:t>
      </w:r>
    </w:p>
    <w:p w:rsidR="000A4126" w:rsidRPr="00D16552" w:rsidP="000A4126" w14:paraId="23836AEB" w14:textId="41C78355">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A03568">
        <w:rPr>
          <w:noProof/>
        </w:rPr>
        <w:instrText>HYPERLINK  \l "Exhibit161"</w:instrText>
      </w:r>
      <w:r>
        <w:rPr>
          <w:noProof/>
        </w:rPr>
        <w:fldChar w:fldCharType="separate"/>
      </w:r>
      <w:r w:rsidRPr="00D16552">
        <w:rPr>
          <w:rStyle w:val="Hyperlink"/>
          <w:rFonts w:eastAsiaTheme="majorEastAsia"/>
          <w:noProof/>
        </w:rPr>
        <w:t>Exhibit 16.1: Project Time Schedule</w:t>
      </w:r>
      <w:r w:rsidRPr="00D16552">
        <w:rPr>
          <w:rStyle w:val="Hyperlink"/>
          <w:rFonts w:eastAsiaTheme="majorEastAsia"/>
          <w:noProof/>
          <w:webHidden/>
        </w:rPr>
        <w:tab/>
        <w:t>1</w:t>
      </w:r>
      <w:r w:rsidR="003875B2">
        <w:rPr>
          <w:rStyle w:val="Hyperlink"/>
          <w:rFonts w:eastAsiaTheme="majorEastAsia"/>
          <w:noProof/>
          <w:webHidden/>
        </w:rPr>
        <w:t>7</w:t>
      </w:r>
    </w:p>
    <w:p w:rsidR="000A4126" w:rsidP="000A4126" w14:paraId="7F3188FE" w14:textId="35E5F3D7">
      <w:r>
        <w:rPr>
          <w:noProof/>
          <w:szCs w:val="24"/>
        </w:rPr>
        <w:fldChar w:fldCharType="end"/>
      </w:r>
      <w:r w:rsidRPr="000F2DF5">
        <w:fldChar w:fldCharType="end"/>
      </w:r>
    </w:p>
    <w:p w:rsidR="000A4126" w:rsidRPr="000F2DF5" w:rsidP="000A4126" w14:paraId="5265ECB6" w14:textId="77777777">
      <w:pPr>
        <w:pStyle w:val="NoSpacing"/>
        <w:pBdr>
          <w:bottom w:val="single" w:sz="4" w:space="1" w:color="auto"/>
        </w:pBdr>
        <w:rPr>
          <w:rFonts w:cs="Times New Roman"/>
          <w:b/>
        </w:rPr>
      </w:pPr>
      <w:r w:rsidRPr="000F2DF5">
        <w:rPr>
          <w:rFonts w:cs="Times New Roman"/>
          <w:b/>
        </w:rPr>
        <w:t>LIST OF ATTACHMENTS</w:t>
      </w:r>
    </w:p>
    <w:p w:rsidR="000A4126" w:rsidRPr="000F2DF5" w:rsidP="000A4126" w14:paraId="2B36F3C9" w14:textId="77777777">
      <w:pPr>
        <w:pStyle w:val="NoSpacing"/>
        <w:rPr>
          <w:rFonts w:cs="Times New Roman"/>
        </w:rPr>
      </w:pPr>
    </w:p>
    <w:p w:rsidR="000A4126" w:rsidRPr="000F2DF5" w:rsidP="000A4126" w14:paraId="76332E8C"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0A4126" w:rsidRPr="000F2DF5" w:rsidP="000A4126" w14:paraId="248DAA78" w14:textId="77777777">
      <w:pPr>
        <w:pStyle w:val="NoSpacing"/>
        <w:tabs>
          <w:tab w:val="left" w:pos="360"/>
        </w:tabs>
        <w:rPr>
          <w:rFonts w:cs="Times New Roman"/>
        </w:rPr>
      </w:pPr>
    </w:p>
    <w:p w:rsidR="000A4126" w:rsidP="000A4126" w14:paraId="69D18FF0" w14:textId="7BF9B0FA">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D2435C" w:rsidP="000A4126" w14:paraId="0B49A43B" w14:textId="35706956">
      <w:pPr>
        <w:pStyle w:val="NoSpacing"/>
        <w:tabs>
          <w:tab w:val="left" w:pos="360"/>
        </w:tabs>
        <w:rPr>
          <w:rFonts w:cs="Times New Roman"/>
        </w:rPr>
      </w:pPr>
      <w:r>
        <w:rPr>
          <w:rFonts w:cs="Times New Roman"/>
        </w:rPr>
        <w:tab/>
        <w:t>2a. 60-Day FRN publication</w:t>
      </w:r>
    </w:p>
    <w:p w:rsidR="000A4126" w:rsidP="000A4126" w14:paraId="278BDBEE" w14:textId="77777777">
      <w:pPr>
        <w:pStyle w:val="NoSpacing"/>
        <w:tabs>
          <w:tab w:val="left" w:pos="360"/>
        </w:tabs>
        <w:rPr>
          <w:rFonts w:cs="Times New Roman"/>
        </w:rPr>
      </w:pPr>
    </w:p>
    <w:p w:rsidR="003F4C7D" w:rsidRPr="00421D94" w:rsidP="000C4665" w14:paraId="22CB7D34" w14:textId="043D4E69">
      <w:pPr>
        <w:pStyle w:val="NoSpacing"/>
        <w:tabs>
          <w:tab w:val="left" w:pos="360"/>
        </w:tabs>
        <w:rPr>
          <w:rFonts w:cs="Times New Roman"/>
        </w:rPr>
      </w:pPr>
      <w:r w:rsidRPr="00421D94">
        <w:rPr>
          <w:rFonts w:cs="Times New Roman"/>
          <w:b/>
        </w:rPr>
        <w:t>Attachment 3</w:t>
      </w:r>
      <w:r w:rsidRPr="00421D94">
        <w:rPr>
          <w:rFonts w:cs="Times New Roman"/>
        </w:rPr>
        <w:t xml:space="preserve"> Recruitment Materials</w:t>
      </w:r>
      <w:r w:rsidRPr="00421D94" w:rsidR="000C4665">
        <w:rPr>
          <w:rFonts w:cs="Times New Roman"/>
        </w:rPr>
        <w:t xml:space="preserve"> </w:t>
      </w:r>
    </w:p>
    <w:p w:rsidR="000A4126" w:rsidRPr="00250A47" w:rsidP="000A4126" w14:paraId="6041947D" w14:textId="77777777">
      <w:pPr>
        <w:pStyle w:val="NoSpacing"/>
        <w:tabs>
          <w:tab w:val="left" w:pos="360"/>
        </w:tabs>
        <w:rPr>
          <w:rFonts w:cs="Times New Roman"/>
          <w:b/>
          <w:color w:val="4472C4" w:themeColor="accent1"/>
        </w:rPr>
      </w:pPr>
    </w:p>
    <w:p w:rsidR="000A4126" w:rsidRPr="00F15CC3" w:rsidP="000A4126" w14:paraId="4EEA786B" w14:textId="77777777">
      <w:pPr>
        <w:pStyle w:val="NoSpacing"/>
        <w:tabs>
          <w:tab w:val="left" w:pos="360"/>
        </w:tabs>
        <w:rPr>
          <w:rFonts w:cs="Times New Roman"/>
        </w:rPr>
      </w:pPr>
      <w:r w:rsidRPr="00F15CC3">
        <w:rPr>
          <w:rFonts w:cs="Times New Roman"/>
          <w:b/>
        </w:rPr>
        <w:t xml:space="preserve">Attachment 4 </w:t>
      </w:r>
      <w:r w:rsidRPr="00F15CC3">
        <w:rPr>
          <w:rFonts w:cs="Times New Roman"/>
        </w:rPr>
        <w:t>Data Collection Instruments</w:t>
      </w:r>
    </w:p>
    <w:p w:rsidR="007E32AA" w:rsidRPr="00F15CC3" w:rsidP="000A4126" w14:paraId="254FA873" w14:textId="3EA0EBA3">
      <w:pPr>
        <w:pStyle w:val="NoSpacing"/>
        <w:tabs>
          <w:tab w:val="left" w:pos="360"/>
        </w:tabs>
        <w:rPr>
          <w:rFonts w:cs="Times New Roman"/>
        </w:rPr>
      </w:pPr>
      <w:r w:rsidRPr="00F15CC3">
        <w:rPr>
          <w:rFonts w:cs="Times New Roman"/>
        </w:rPr>
        <w:tab/>
        <w:t xml:space="preserve">4a. </w:t>
      </w:r>
      <w:r w:rsidR="00F15CC3">
        <w:rPr>
          <w:rFonts w:cs="Times New Roman"/>
        </w:rPr>
        <w:t>Screen and Link</w:t>
      </w:r>
    </w:p>
    <w:p w:rsidR="007E32AA" w:rsidRPr="00F15CC3" w:rsidP="000A4126" w14:paraId="57EE9414" w14:textId="1A71C864">
      <w:pPr>
        <w:pStyle w:val="NoSpacing"/>
        <w:tabs>
          <w:tab w:val="left" w:pos="360"/>
        </w:tabs>
        <w:rPr>
          <w:rFonts w:cs="Times New Roman"/>
        </w:rPr>
      </w:pPr>
      <w:r w:rsidRPr="00F15CC3">
        <w:rPr>
          <w:rFonts w:cs="Times New Roman"/>
        </w:rPr>
        <w:tab/>
        <w:t>4</w:t>
      </w:r>
      <w:r w:rsidRPr="00F15CC3" w:rsidR="00E23D2D">
        <w:rPr>
          <w:rFonts w:cs="Times New Roman"/>
        </w:rPr>
        <w:t>b</w:t>
      </w:r>
      <w:r w:rsidRPr="00F15CC3">
        <w:rPr>
          <w:rFonts w:cs="Times New Roman"/>
        </w:rPr>
        <w:t xml:space="preserve">. </w:t>
      </w:r>
      <w:r w:rsidR="00F15CC3">
        <w:rPr>
          <w:rFonts w:cs="Times New Roman"/>
        </w:rPr>
        <w:t xml:space="preserve">Release of Information </w:t>
      </w:r>
    </w:p>
    <w:p w:rsidR="009A487A" w:rsidRPr="00F15CC3" w:rsidP="009A487A" w14:paraId="2C1D65D1" w14:textId="4B6CDC97">
      <w:pPr>
        <w:pStyle w:val="NoSpacing"/>
        <w:tabs>
          <w:tab w:val="left" w:pos="360"/>
        </w:tabs>
        <w:rPr>
          <w:rFonts w:cs="Times New Roman"/>
        </w:rPr>
      </w:pPr>
      <w:r w:rsidRPr="00F15CC3">
        <w:rPr>
          <w:rFonts w:cs="Times New Roman"/>
        </w:rPr>
        <w:tab/>
        <w:t>4</w:t>
      </w:r>
      <w:r w:rsidRPr="00F15CC3" w:rsidR="00E23D2D">
        <w:rPr>
          <w:rFonts w:cs="Times New Roman"/>
        </w:rPr>
        <w:t>c</w:t>
      </w:r>
      <w:r w:rsidRPr="00F15CC3">
        <w:rPr>
          <w:rFonts w:cs="Times New Roman"/>
        </w:rPr>
        <w:t xml:space="preserve">. </w:t>
      </w:r>
      <w:r w:rsidR="00F15CC3">
        <w:rPr>
          <w:rFonts w:cs="Times New Roman"/>
        </w:rPr>
        <w:t>Study Visit Survey</w:t>
      </w:r>
    </w:p>
    <w:p w:rsidR="001F472F" w:rsidRPr="00F15CC3" w:rsidP="000A4126" w14:paraId="21FE7433" w14:textId="1E9BA7D2">
      <w:pPr>
        <w:pStyle w:val="NoSpacing"/>
        <w:tabs>
          <w:tab w:val="left" w:pos="360"/>
        </w:tabs>
        <w:rPr>
          <w:rFonts w:cs="Times New Roman"/>
        </w:rPr>
      </w:pPr>
      <w:r w:rsidRPr="00F15CC3">
        <w:rPr>
          <w:rFonts w:cs="Times New Roman"/>
        </w:rPr>
        <w:tab/>
        <w:t>4</w:t>
      </w:r>
      <w:r w:rsidRPr="00F15CC3" w:rsidR="00E23D2D">
        <w:rPr>
          <w:rFonts w:cs="Times New Roman"/>
        </w:rPr>
        <w:t>d</w:t>
      </w:r>
      <w:r w:rsidRPr="00F15CC3">
        <w:rPr>
          <w:rFonts w:cs="Times New Roman"/>
        </w:rPr>
        <w:t xml:space="preserve">. </w:t>
      </w:r>
      <w:r w:rsidR="00F15CC3">
        <w:rPr>
          <w:rFonts w:cs="Times New Roman"/>
        </w:rPr>
        <w:t>Acceptability Survey</w:t>
      </w:r>
    </w:p>
    <w:p w:rsidR="001F472F" w:rsidP="000A4126" w14:paraId="3047F19A" w14:textId="5D9BA63A">
      <w:pPr>
        <w:pStyle w:val="NoSpacing"/>
        <w:tabs>
          <w:tab w:val="left" w:pos="360"/>
        </w:tabs>
        <w:rPr>
          <w:rFonts w:cs="Times New Roman"/>
        </w:rPr>
      </w:pPr>
      <w:r w:rsidRPr="00F15CC3">
        <w:rPr>
          <w:rFonts w:cs="Times New Roman"/>
        </w:rPr>
        <w:tab/>
        <w:t>4</w:t>
      </w:r>
      <w:r w:rsidR="0080252B">
        <w:rPr>
          <w:rFonts w:cs="Times New Roman"/>
        </w:rPr>
        <w:t>e</w:t>
      </w:r>
      <w:r w:rsidRPr="00F15CC3">
        <w:rPr>
          <w:rFonts w:cs="Times New Roman"/>
        </w:rPr>
        <w:t xml:space="preserve">. </w:t>
      </w:r>
      <w:r w:rsidR="00F15CC3">
        <w:rPr>
          <w:rFonts w:cs="Times New Roman"/>
        </w:rPr>
        <w:t xml:space="preserve">Participant Focus Group </w:t>
      </w:r>
      <w:r w:rsidR="00462B22">
        <w:rPr>
          <w:rFonts w:cs="Times New Roman"/>
        </w:rPr>
        <w:t xml:space="preserve">and Interview </w:t>
      </w:r>
      <w:r w:rsidR="00F15CC3">
        <w:rPr>
          <w:rFonts w:cs="Times New Roman"/>
        </w:rPr>
        <w:t>Guide</w:t>
      </w:r>
    </w:p>
    <w:p w:rsidR="000E30EC" w:rsidRPr="00F15CC3" w:rsidP="000A4126" w14:paraId="7385A7B0" w14:textId="36B9D769">
      <w:pPr>
        <w:pStyle w:val="NoSpacing"/>
        <w:tabs>
          <w:tab w:val="left" w:pos="360"/>
        </w:tabs>
        <w:rPr>
          <w:rFonts w:cs="Times New Roman"/>
        </w:rPr>
      </w:pPr>
      <w:r>
        <w:rPr>
          <w:rFonts w:cs="Times New Roman"/>
        </w:rPr>
        <w:tab/>
      </w:r>
      <w:r w:rsidRPr="000E30EC">
        <w:rPr>
          <w:rFonts w:cs="Times New Roman"/>
        </w:rPr>
        <w:t>4</w:t>
      </w:r>
      <w:r w:rsidR="00940302">
        <w:rPr>
          <w:rFonts w:cs="Times New Roman"/>
        </w:rPr>
        <w:t>f</w:t>
      </w:r>
      <w:r w:rsidRPr="000E30EC">
        <w:rPr>
          <w:rFonts w:cs="Times New Roman"/>
        </w:rPr>
        <w:t>. Follow Up Phone Call Survey</w:t>
      </w:r>
    </w:p>
    <w:p w:rsidR="001F472F" w:rsidRPr="00F15CC3" w:rsidP="000A4126" w14:paraId="1A5C515D" w14:textId="43011CD2">
      <w:pPr>
        <w:pStyle w:val="NoSpacing"/>
        <w:tabs>
          <w:tab w:val="left" w:pos="360"/>
        </w:tabs>
        <w:rPr>
          <w:rFonts w:cs="Times New Roman"/>
        </w:rPr>
      </w:pPr>
      <w:r w:rsidRPr="00F15CC3">
        <w:rPr>
          <w:rFonts w:cs="Times New Roman"/>
        </w:rPr>
        <w:tab/>
        <w:t>4</w:t>
      </w:r>
      <w:r w:rsidRPr="00F15CC3" w:rsidR="00E23D2D">
        <w:rPr>
          <w:rFonts w:cs="Times New Roman"/>
        </w:rPr>
        <w:t>g</w:t>
      </w:r>
      <w:r w:rsidRPr="00F15CC3">
        <w:rPr>
          <w:rFonts w:cs="Times New Roman"/>
        </w:rPr>
        <w:t xml:space="preserve">. </w:t>
      </w:r>
      <w:r w:rsidR="00F15CC3">
        <w:rPr>
          <w:rFonts w:cs="Times New Roman"/>
        </w:rPr>
        <w:t>Provider Interview Guide</w:t>
      </w:r>
    </w:p>
    <w:p w:rsidR="00F15CC3" w:rsidP="000A4126" w14:paraId="7768E445" w14:textId="32C75F97">
      <w:pPr>
        <w:pStyle w:val="NoSpacing"/>
        <w:tabs>
          <w:tab w:val="left" w:pos="360"/>
        </w:tabs>
        <w:rPr>
          <w:rFonts w:cs="Times New Roman"/>
        </w:rPr>
      </w:pPr>
      <w:r w:rsidRPr="00F15CC3">
        <w:rPr>
          <w:rFonts w:cs="Times New Roman"/>
        </w:rPr>
        <w:tab/>
        <w:t>4</w:t>
      </w:r>
      <w:r w:rsidRPr="00F15CC3" w:rsidR="00E23D2D">
        <w:rPr>
          <w:rFonts w:cs="Times New Roman"/>
        </w:rPr>
        <w:t>h</w:t>
      </w:r>
      <w:r w:rsidRPr="00F15CC3">
        <w:rPr>
          <w:rFonts w:cs="Times New Roman"/>
        </w:rPr>
        <w:t xml:space="preserve">. </w:t>
      </w:r>
      <w:r>
        <w:rPr>
          <w:rFonts w:cs="Times New Roman"/>
        </w:rPr>
        <w:t xml:space="preserve">Madison Clinic Data Collection </w:t>
      </w:r>
    </w:p>
    <w:p w:rsidR="00686E7F" w:rsidRPr="00F15CC3" w:rsidP="000A4126" w14:paraId="59E3B197" w14:textId="0256C8A0">
      <w:pPr>
        <w:pStyle w:val="NoSpacing"/>
        <w:tabs>
          <w:tab w:val="left" w:pos="360"/>
        </w:tabs>
        <w:rPr>
          <w:rFonts w:cs="Times New Roman"/>
        </w:rPr>
      </w:pPr>
      <w:r>
        <w:rPr>
          <w:rFonts w:cs="Times New Roman"/>
        </w:rPr>
        <w:tab/>
        <w:t xml:space="preserve">4i. </w:t>
      </w:r>
      <w:r w:rsidR="00045C10">
        <w:rPr>
          <w:rFonts w:cs="Times New Roman"/>
        </w:rPr>
        <w:t>Gay City</w:t>
      </w:r>
      <w:r>
        <w:rPr>
          <w:rFonts w:cs="Times New Roman"/>
        </w:rPr>
        <w:t xml:space="preserve"> Data Collection  </w:t>
      </w:r>
      <w:r w:rsidRPr="00F15CC3">
        <w:rPr>
          <w:rFonts w:cs="Times New Roman"/>
        </w:rPr>
        <w:t xml:space="preserve"> </w:t>
      </w:r>
    </w:p>
    <w:p w:rsidR="000A4126" w:rsidRPr="00250A47" w:rsidP="000A4126" w14:paraId="15884E56" w14:textId="77777777">
      <w:pPr>
        <w:pStyle w:val="NoSpacing"/>
        <w:tabs>
          <w:tab w:val="left" w:pos="360"/>
        </w:tabs>
        <w:rPr>
          <w:rFonts w:cs="Times New Roman"/>
          <w:color w:val="4472C4" w:themeColor="accent1"/>
        </w:rPr>
      </w:pPr>
    </w:p>
    <w:p w:rsidR="007E32AA" w:rsidRPr="00F15CC3" w:rsidP="00F15CC3" w14:paraId="238A4FDA" w14:textId="70E93103">
      <w:pPr>
        <w:pStyle w:val="NoSpacing"/>
        <w:tabs>
          <w:tab w:val="left" w:pos="360"/>
        </w:tabs>
        <w:rPr>
          <w:rFonts w:cs="Times New Roman"/>
        </w:rPr>
      </w:pPr>
      <w:r w:rsidRPr="00F15CC3">
        <w:rPr>
          <w:rFonts w:cs="Times New Roman"/>
          <w:b/>
        </w:rPr>
        <w:t>Attachment 5</w:t>
      </w:r>
      <w:r w:rsidRPr="00F15CC3">
        <w:rPr>
          <w:rFonts w:cs="Times New Roman"/>
        </w:rPr>
        <w:t xml:space="preserve"> Consent Form</w:t>
      </w:r>
    </w:p>
    <w:p w:rsidR="000A4126" w:rsidRPr="00250A47" w:rsidP="000A4126" w14:paraId="26762EC6" w14:textId="77777777">
      <w:pPr>
        <w:pStyle w:val="NoSpacing"/>
        <w:tabs>
          <w:tab w:val="left" w:pos="360"/>
        </w:tabs>
        <w:rPr>
          <w:rFonts w:cs="Times New Roman"/>
          <w:color w:val="4472C4" w:themeColor="accent1"/>
        </w:rPr>
      </w:pPr>
      <w:r w:rsidRPr="00250A47">
        <w:rPr>
          <w:rFonts w:cs="Times New Roman"/>
          <w:color w:val="4472C4" w:themeColor="accent1"/>
        </w:rPr>
        <w:tab/>
      </w:r>
    </w:p>
    <w:p w:rsidR="000A4126" w:rsidRPr="00030D69" w:rsidP="000A4126" w14:paraId="1EED2884" w14:textId="77777777">
      <w:pPr>
        <w:pStyle w:val="NoSpacing"/>
        <w:tabs>
          <w:tab w:val="left" w:pos="360"/>
        </w:tabs>
        <w:rPr>
          <w:rFonts w:cs="Times New Roman"/>
        </w:rPr>
      </w:pPr>
      <w:r w:rsidRPr="00030D69">
        <w:rPr>
          <w:rFonts w:cs="Times New Roman"/>
          <w:b/>
        </w:rPr>
        <w:t>Attachment 6</w:t>
      </w:r>
      <w:r w:rsidRPr="00030D69">
        <w:rPr>
          <w:rFonts w:cs="Times New Roman"/>
        </w:rPr>
        <w:t xml:space="preserve"> Human Subjects Approvals</w:t>
      </w:r>
    </w:p>
    <w:p w:rsidR="000A4126" w:rsidRPr="00030D69" w:rsidP="000A4126" w14:paraId="0B38077B" w14:textId="66129136">
      <w:pPr>
        <w:pStyle w:val="NoSpacing"/>
        <w:tabs>
          <w:tab w:val="left" w:pos="360"/>
        </w:tabs>
        <w:rPr>
          <w:rFonts w:cs="Times New Roman"/>
        </w:rPr>
      </w:pPr>
      <w:r w:rsidRPr="00030D69">
        <w:rPr>
          <w:rFonts w:cs="Times New Roman"/>
        </w:rPr>
        <w:tab/>
        <w:t xml:space="preserve">6a. </w:t>
      </w:r>
      <w:r w:rsidR="00030D69">
        <w:rPr>
          <w:rFonts w:cs="Times New Roman"/>
        </w:rPr>
        <w:t>UW IRB Approval Initial</w:t>
      </w:r>
    </w:p>
    <w:p w:rsidR="000A4126" w:rsidRPr="00030D69" w:rsidP="00030D69" w14:paraId="7743CA55" w14:textId="415A0733">
      <w:pPr>
        <w:pStyle w:val="NoSpacing"/>
        <w:tabs>
          <w:tab w:val="left" w:pos="360"/>
        </w:tabs>
        <w:rPr>
          <w:rFonts w:cs="Times New Roman"/>
        </w:rPr>
      </w:pPr>
      <w:r w:rsidRPr="00030D69">
        <w:rPr>
          <w:rFonts w:cs="Times New Roman"/>
        </w:rPr>
        <w:tab/>
        <w:t xml:space="preserve">6b. </w:t>
      </w:r>
      <w:r w:rsidR="00030D69">
        <w:rPr>
          <w:rFonts w:cs="Times New Roman"/>
        </w:rPr>
        <w:t xml:space="preserve">UW IRB Approval </w:t>
      </w:r>
      <w:r w:rsidR="000C1E46">
        <w:rPr>
          <w:rFonts w:cs="Times New Roman"/>
        </w:rPr>
        <w:t>Continuing</w:t>
      </w:r>
    </w:p>
    <w:p w:rsidR="000A4126" w:rsidRPr="00250A47" w:rsidP="000A4126" w14:paraId="7EB627C5" w14:textId="77777777">
      <w:pPr>
        <w:pStyle w:val="NoSpacing"/>
        <w:tabs>
          <w:tab w:val="left" w:pos="360"/>
        </w:tabs>
        <w:rPr>
          <w:rFonts w:cs="Times New Roman"/>
          <w:color w:val="4472C4" w:themeColor="accent1"/>
        </w:rPr>
      </w:pPr>
    </w:p>
    <w:p w:rsidR="00150C23" w:rsidP="000A4126" w14:paraId="5B167C3A" w14:textId="357D231E">
      <w:pPr>
        <w:pStyle w:val="NoSpacing"/>
        <w:tabs>
          <w:tab w:val="left" w:pos="360"/>
        </w:tabs>
        <w:rPr>
          <w:rFonts w:cs="Times New Roman"/>
          <w:bCs/>
        </w:rPr>
      </w:pPr>
      <w:r>
        <w:rPr>
          <w:rFonts w:cs="Times New Roman"/>
          <w:b/>
        </w:rPr>
        <w:t xml:space="preserve">Attachment 7 </w:t>
      </w:r>
      <w:r w:rsidR="00BE16CC">
        <w:rPr>
          <w:rFonts w:cs="Times New Roman"/>
          <w:bCs/>
        </w:rPr>
        <w:t>OMB NOA New Collection Approved</w:t>
      </w:r>
      <w:r w:rsidR="008223BB">
        <w:rPr>
          <w:rFonts w:cs="Times New Roman"/>
          <w:bCs/>
        </w:rPr>
        <w:t xml:space="preserve"> (2021)</w:t>
      </w:r>
    </w:p>
    <w:p w:rsidR="00B52F87" w:rsidRPr="000C1E46" w:rsidP="000A4126" w14:paraId="18909DCC" w14:textId="2D602D3B">
      <w:pPr>
        <w:pStyle w:val="NoSpacing"/>
        <w:tabs>
          <w:tab w:val="left" w:pos="360"/>
        </w:tabs>
        <w:rPr>
          <w:rFonts w:cs="Times New Roman"/>
        </w:rPr>
      </w:pPr>
      <w:r w:rsidRPr="000C1E46">
        <w:rPr>
          <w:rFonts w:cs="Times New Roman"/>
          <w:b/>
        </w:rPr>
        <w:t xml:space="preserve">Attachment </w:t>
      </w:r>
      <w:r w:rsidR="00BE16CC">
        <w:rPr>
          <w:rFonts w:cs="Times New Roman"/>
          <w:b/>
        </w:rPr>
        <w:t>8</w:t>
      </w:r>
      <w:r w:rsidRPr="000C1E46">
        <w:rPr>
          <w:rFonts w:cs="Times New Roman"/>
          <w:b/>
        </w:rPr>
        <w:t xml:space="preserve"> </w:t>
      </w:r>
      <w:r w:rsidRPr="000C1E46">
        <w:rPr>
          <w:rFonts w:cs="Times New Roman"/>
        </w:rPr>
        <w:t xml:space="preserve">Privacy Impact Assessment </w:t>
      </w:r>
    </w:p>
    <w:p w:rsidR="00B52F87" w:rsidP="000A4126" w14:paraId="5B31B24B" w14:textId="26E570E4">
      <w:pPr>
        <w:pStyle w:val="NoSpacing"/>
        <w:tabs>
          <w:tab w:val="left" w:pos="360"/>
        </w:tabs>
        <w:rPr>
          <w:rFonts w:cs="Times New Roman"/>
        </w:rPr>
      </w:pPr>
      <w:r w:rsidRPr="007071E3">
        <w:rPr>
          <w:rFonts w:cs="Times New Roman"/>
          <w:b/>
          <w:bCs/>
        </w:rPr>
        <w:t xml:space="preserve">Attachment </w:t>
      </w:r>
      <w:r w:rsidR="00BE16CC">
        <w:rPr>
          <w:rFonts w:cs="Times New Roman"/>
          <w:b/>
          <w:bCs/>
        </w:rPr>
        <w:t>9</w:t>
      </w:r>
      <w:r>
        <w:rPr>
          <w:rFonts w:cs="Times New Roman"/>
        </w:rPr>
        <w:t xml:space="preserve"> </w:t>
      </w:r>
      <w:r w:rsidR="007071E3">
        <w:rPr>
          <w:rFonts w:cs="Times New Roman"/>
        </w:rPr>
        <w:t>Monthly Study Report Form</w:t>
      </w:r>
    </w:p>
    <w:p w:rsidR="00B52F87" w:rsidP="000A4126" w14:paraId="092C999B" w14:textId="09D7D8C5">
      <w:pPr>
        <w:pStyle w:val="NoSpacing"/>
        <w:tabs>
          <w:tab w:val="left" w:pos="360"/>
        </w:tabs>
        <w:rPr>
          <w:rFonts w:cs="Times New Roman"/>
        </w:rPr>
      </w:pPr>
      <w:r w:rsidRPr="00A03568">
        <w:rPr>
          <w:rFonts w:cs="Times New Roman"/>
          <w:b/>
          <w:bCs/>
        </w:rPr>
        <w:t>Attachment 10</w:t>
      </w:r>
      <w:r>
        <w:rPr>
          <w:rFonts w:cs="Times New Roman"/>
        </w:rPr>
        <w:t xml:space="preserve"> </w:t>
      </w:r>
      <w:r w:rsidR="003C2C49">
        <w:rPr>
          <w:rFonts w:cs="Times New Roman"/>
        </w:rPr>
        <w:t xml:space="preserve">Detail of Changes </w:t>
      </w:r>
      <w:r w:rsidR="00DD2C47">
        <w:rPr>
          <w:rFonts w:cs="Times New Roman"/>
        </w:rPr>
        <w:t>to Data Collection Instrument</w:t>
      </w:r>
      <w:r w:rsidR="003410BD">
        <w:rPr>
          <w:rFonts w:cs="Times New Roman"/>
        </w:rPr>
        <w:t>s</w:t>
      </w:r>
    </w:p>
    <w:p w:rsidR="00DD2C47" w:rsidP="000A4126" w14:paraId="1FB9FFDD" w14:textId="6451B90A">
      <w:pPr>
        <w:pStyle w:val="NoSpacing"/>
        <w:tabs>
          <w:tab w:val="left" w:pos="360"/>
        </w:tabs>
        <w:rPr>
          <w:rFonts w:cs="Times New Roman"/>
        </w:rPr>
      </w:pPr>
      <w:r w:rsidRPr="00A03568">
        <w:rPr>
          <w:rFonts w:cs="Times New Roman"/>
          <w:b/>
          <w:bCs/>
        </w:rPr>
        <w:t>Attachment 11</w:t>
      </w:r>
      <w:r>
        <w:rPr>
          <w:rFonts w:cs="Times New Roman"/>
        </w:rPr>
        <w:t xml:space="preserve"> Detail of Changes to </w:t>
      </w:r>
      <w:r w:rsidR="00F74F9D">
        <w:rPr>
          <w:rFonts w:cs="Times New Roman"/>
        </w:rPr>
        <w:t>Annualized Burden Hours</w:t>
      </w:r>
    </w:p>
    <w:p w:rsidR="00DD2C47" w:rsidP="000A4126" w14:paraId="2E0D9F49" w14:textId="4E0207AB">
      <w:pPr>
        <w:pStyle w:val="NoSpacing"/>
        <w:tabs>
          <w:tab w:val="left" w:pos="360"/>
        </w:tabs>
        <w:rPr>
          <w:rFonts w:cs="Times New Roman"/>
        </w:rPr>
      </w:pPr>
      <w:r w:rsidRPr="00A03568">
        <w:rPr>
          <w:rFonts w:cs="Times New Roman"/>
          <w:b/>
          <w:bCs/>
        </w:rPr>
        <w:t>Attachment 12</w:t>
      </w:r>
      <w:r>
        <w:rPr>
          <w:rFonts w:cs="Times New Roman"/>
        </w:rPr>
        <w:t xml:space="preserve"> Detail of Changes </w:t>
      </w:r>
      <w:r w:rsidR="00F74F9D">
        <w:rPr>
          <w:rFonts w:cs="Times New Roman"/>
        </w:rPr>
        <w:t xml:space="preserve">to Annualized </w:t>
      </w:r>
      <w:r w:rsidR="00D12454">
        <w:rPr>
          <w:rFonts w:cs="Times New Roman"/>
        </w:rPr>
        <w:t>Burden Costs</w:t>
      </w:r>
    </w:p>
    <w:p w:rsidR="00D12454" w:rsidP="000A4126" w14:paraId="273A33A7" w14:textId="7D271F9D">
      <w:pPr>
        <w:pStyle w:val="NoSpacing"/>
        <w:tabs>
          <w:tab w:val="left" w:pos="360"/>
        </w:tabs>
        <w:rPr>
          <w:rFonts w:cs="Times New Roman"/>
        </w:rPr>
      </w:pPr>
      <w:r w:rsidRPr="00A03568">
        <w:rPr>
          <w:rFonts w:cs="Times New Roman"/>
          <w:b/>
          <w:bCs/>
        </w:rPr>
        <w:t>Attachment 13</w:t>
      </w:r>
      <w:r>
        <w:rPr>
          <w:rFonts w:cs="Times New Roman"/>
        </w:rPr>
        <w:t xml:space="preserve"> Detail of Changes to Annualized Cost to Government </w:t>
      </w:r>
    </w:p>
    <w:p w:rsidR="00B52F87" w:rsidP="000A4126" w14:paraId="147EC946" w14:textId="5EFC2E7C">
      <w:pPr>
        <w:pStyle w:val="NoSpacing"/>
        <w:tabs>
          <w:tab w:val="left" w:pos="360"/>
        </w:tabs>
        <w:rPr>
          <w:rFonts w:cs="Times New Roman"/>
        </w:rPr>
      </w:pPr>
    </w:p>
    <w:p w:rsidR="00B52F87" w:rsidP="000A4126" w14:paraId="0B9043C3" w14:textId="388434DB">
      <w:pPr>
        <w:pStyle w:val="NoSpacing"/>
        <w:tabs>
          <w:tab w:val="left" w:pos="360"/>
        </w:tabs>
        <w:rPr>
          <w:rFonts w:cs="Times New Roman"/>
        </w:rPr>
      </w:pPr>
    </w:p>
    <w:p w:rsidR="00B52F87" w:rsidP="000A4126" w14:paraId="42EC850F" w14:textId="06B95F94">
      <w:pPr>
        <w:pStyle w:val="NoSpacing"/>
        <w:tabs>
          <w:tab w:val="left" w:pos="360"/>
        </w:tabs>
        <w:rPr>
          <w:rFonts w:cs="Times New Roman"/>
        </w:rPr>
      </w:pPr>
    </w:p>
    <w:p w:rsidR="00B52F87" w:rsidP="000A4126" w14:paraId="10945D0D" w14:textId="26C27C9D">
      <w:pPr>
        <w:pStyle w:val="NoSpacing"/>
        <w:tabs>
          <w:tab w:val="left" w:pos="360"/>
        </w:tabs>
        <w:rPr>
          <w:rFonts w:cs="Times New Roman"/>
        </w:rPr>
      </w:pPr>
    </w:p>
    <w:p w:rsidR="00B52F87" w:rsidP="000A4126" w14:paraId="0E33520E" w14:textId="61DF8D58">
      <w:pPr>
        <w:pStyle w:val="NoSpacing"/>
        <w:tabs>
          <w:tab w:val="left" w:pos="360"/>
        </w:tabs>
        <w:rPr>
          <w:rFonts w:cs="Times New Roman"/>
        </w:rPr>
      </w:pPr>
    </w:p>
    <w:p w:rsidR="00B52F87" w:rsidP="000A4126" w14:paraId="583E53E4" w14:textId="6A253362">
      <w:pPr>
        <w:pStyle w:val="NoSpacing"/>
        <w:tabs>
          <w:tab w:val="left" w:pos="360"/>
        </w:tabs>
        <w:rPr>
          <w:rFonts w:cs="Times New Roman"/>
        </w:rPr>
      </w:pPr>
    </w:p>
    <w:p w:rsidR="00B52F87" w:rsidP="000A4126" w14:paraId="0F179A34" w14:textId="77777777">
      <w:pPr>
        <w:pStyle w:val="NoSpacing"/>
        <w:tabs>
          <w:tab w:val="left" w:pos="360"/>
        </w:tabs>
        <w:rPr>
          <w:rFonts w:cs="Times New Roman"/>
        </w:rPr>
        <w:sectPr w:rsidSect="00B52F87">
          <w:headerReference w:type="even" r:id="rId5"/>
          <w:headerReference w:type="default" r:id="rId6"/>
          <w:footerReference w:type="even" r:id="rId7"/>
          <w:footerReference w:type="default" r:id="rId8"/>
          <w:headerReference w:type="first" r:id="rId9"/>
          <w:footerReference w:type="first" r:id="rId10"/>
          <w:pgSz w:w="12240" w:h="15840"/>
          <w:pgMar w:top="1440" w:right="1152" w:bottom="1440" w:left="1152" w:header="720" w:footer="720" w:gutter="0"/>
          <w:cols w:space="720"/>
          <w:docGrid w:linePitch="360"/>
        </w:sectPr>
      </w:pPr>
    </w:p>
    <w:tbl>
      <w:tblPr>
        <w:tblStyle w:val="TableGrid"/>
        <w:tblW w:w="0" w:type="auto"/>
        <w:tblLook w:val="04A0"/>
      </w:tblPr>
      <w:tblGrid>
        <w:gridCol w:w="9350"/>
      </w:tblGrid>
      <w:tr w14:paraId="1FBD8432" w14:textId="77777777" w:rsidTr="003E3747">
        <w:tblPrEx>
          <w:tblW w:w="0" w:type="auto"/>
          <w:tblLook w:val="04A0"/>
        </w:tblPrEx>
        <w:trPr>
          <w:trHeight w:val="3860"/>
        </w:trPr>
        <w:tc>
          <w:tcPr>
            <w:tcW w:w="10070" w:type="dxa"/>
          </w:tcPr>
          <w:p w:rsidR="00202822" w:rsidRPr="00101531" w:rsidP="00101531" w14:paraId="0F6EB24B" w14:textId="202908D5">
            <w:pPr>
              <w:pStyle w:val="NoSpacing"/>
              <w:numPr>
                <w:ilvl w:val="0"/>
                <w:numId w:val="1"/>
              </w:numPr>
              <w:ind w:left="504"/>
              <w:rPr>
                <w:rFonts w:cs="Times New Roman"/>
                <w:b/>
              </w:rPr>
            </w:pPr>
            <w:r w:rsidRPr="000F2DF5">
              <w:rPr>
                <w:rFonts w:cs="Times New Roman"/>
                <w:b/>
              </w:rPr>
              <w:t>Goals of the study:</w:t>
            </w:r>
            <w:r>
              <w:rPr>
                <w:rFonts w:cs="Times New Roman"/>
                <w:b/>
              </w:rPr>
              <w:t xml:space="preserve"> </w:t>
            </w:r>
            <w:r w:rsidR="00427F85">
              <w:rPr>
                <w:rFonts w:cs="Times New Roman"/>
                <w:bCs/>
              </w:rPr>
              <w:t xml:space="preserve">GAIN is an implementation study to </w:t>
            </w:r>
            <w:bookmarkStart w:id="6" w:name="_Hlk185261279"/>
            <w:r w:rsidR="00F63971">
              <w:rPr>
                <w:rFonts w:cs="Times New Roman"/>
                <w:bCs/>
              </w:rPr>
              <w:t xml:space="preserve">assess the </w:t>
            </w:r>
            <w:r w:rsidR="00AF5283">
              <w:rPr>
                <w:rFonts w:cs="Times New Roman"/>
                <w:bCs/>
              </w:rPr>
              <w:t>feasibility and acceptability of</w:t>
            </w:r>
            <w:r w:rsidR="00427F85">
              <w:rPr>
                <w:rFonts w:cs="Times New Roman"/>
                <w:bCs/>
              </w:rPr>
              <w:t xml:space="preserve"> point-of-care </w:t>
            </w:r>
            <w:r w:rsidR="008D5153">
              <w:rPr>
                <w:rFonts w:cs="Times New Roman"/>
                <w:bCs/>
              </w:rPr>
              <w:t xml:space="preserve">(POC) </w:t>
            </w:r>
            <w:r w:rsidR="00756B17">
              <w:rPr>
                <w:rFonts w:cs="Times New Roman"/>
                <w:bCs/>
              </w:rPr>
              <w:t xml:space="preserve">HIV </w:t>
            </w:r>
            <w:r w:rsidR="00427F85">
              <w:rPr>
                <w:rFonts w:cs="Times New Roman"/>
                <w:bCs/>
              </w:rPr>
              <w:t>nucleic acid test</w:t>
            </w:r>
            <w:r w:rsidR="00756B17">
              <w:rPr>
                <w:rFonts w:cs="Times New Roman"/>
                <w:bCs/>
              </w:rPr>
              <w:t>s</w:t>
            </w:r>
            <w:r w:rsidR="00427F85">
              <w:rPr>
                <w:rFonts w:cs="Times New Roman"/>
                <w:bCs/>
              </w:rPr>
              <w:t xml:space="preserve"> (</w:t>
            </w:r>
            <w:r w:rsidR="008D5153">
              <w:rPr>
                <w:rFonts w:cs="Times New Roman"/>
                <w:bCs/>
              </w:rPr>
              <w:t>N</w:t>
            </w:r>
            <w:r w:rsidR="00427F85">
              <w:rPr>
                <w:rFonts w:cs="Times New Roman"/>
                <w:bCs/>
              </w:rPr>
              <w:t xml:space="preserve">AT) </w:t>
            </w:r>
            <w:r w:rsidR="00AF5283">
              <w:rPr>
                <w:rFonts w:cs="Times New Roman"/>
                <w:bCs/>
              </w:rPr>
              <w:t xml:space="preserve">in community and clinic settings. </w:t>
            </w:r>
          </w:p>
          <w:bookmarkEnd w:id="6"/>
          <w:p w:rsidR="00202822" w:rsidP="00B52F87" w14:paraId="1E8D5D6D" w14:textId="696114B9">
            <w:pPr>
              <w:pStyle w:val="NoSpacing"/>
              <w:numPr>
                <w:ilvl w:val="0"/>
                <w:numId w:val="1"/>
              </w:numPr>
              <w:ind w:left="504"/>
              <w:rPr>
                <w:rFonts w:cs="Times New Roman"/>
                <w:b/>
              </w:rPr>
            </w:pPr>
            <w:r w:rsidRPr="000F2DF5">
              <w:rPr>
                <w:rFonts w:cs="Times New Roman"/>
                <w:b/>
              </w:rPr>
              <w:t xml:space="preserve">Intended use: </w:t>
            </w:r>
            <w:r w:rsidR="00427F85">
              <w:rPr>
                <w:rFonts w:cs="Times New Roman"/>
                <w:bCs/>
              </w:rPr>
              <w:t xml:space="preserve">These data will be analyzed and disseminated to describe the real-world clinical effectiveness and performance of POC NAT testing technology. This study will develop functional models to integrate POC NAT testing technology into HIV testing, prevention, and treatment services. </w:t>
            </w:r>
          </w:p>
          <w:p w:rsidR="00B52F87" w:rsidRPr="0043290D" w:rsidP="0043290D" w14:paraId="61A334AF" w14:textId="6F9E91E2">
            <w:pPr>
              <w:pStyle w:val="NoSpacing"/>
              <w:numPr>
                <w:ilvl w:val="0"/>
                <w:numId w:val="1"/>
              </w:numPr>
              <w:ind w:left="504"/>
              <w:rPr>
                <w:rFonts w:cs="Times New Roman"/>
                <w:b/>
              </w:rPr>
            </w:pPr>
            <w:r w:rsidRPr="000F2DF5">
              <w:rPr>
                <w:rFonts w:cs="Times New Roman"/>
                <w:b/>
              </w:rPr>
              <w:t xml:space="preserve">Methods to be used to collect data: </w:t>
            </w:r>
            <w:r w:rsidR="0043290D">
              <w:rPr>
                <w:rFonts w:cs="Times New Roman"/>
                <w:bCs/>
              </w:rPr>
              <w:t>Participants will complete quantitative surveys. Interviews and focus groups will be conducted with a subset of study participants. Test results and other clinical data will be extracted from electronic health records. Clinic data will be used to assess the feasibility and cost of implementing POC NAT</w:t>
            </w:r>
            <w:r w:rsidRPr="0043290D">
              <w:rPr>
                <w:rFonts w:cs="Times New Roman"/>
                <w:color w:val="4472C4" w:themeColor="accent1"/>
              </w:rPr>
              <w:t xml:space="preserve">. </w:t>
            </w:r>
          </w:p>
          <w:p w:rsidR="00452682" w:rsidRPr="00CB4314" w:rsidP="00A41DB0" w14:paraId="7268F385" w14:textId="3F4CE90A">
            <w:pPr>
              <w:pStyle w:val="NoSpacing"/>
              <w:numPr>
                <w:ilvl w:val="0"/>
                <w:numId w:val="1"/>
              </w:numPr>
              <w:ind w:left="504"/>
              <w:rPr>
                <w:rFonts w:cs="Times New Roman"/>
                <w:b/>
              </w:rPr>
            </w:pPr>
            <w:r w:rsidRPr="00CB4314">
              <w:rPr>
                <w:rFonts w:cs="Times New Roman"/>
                <w:b/>
              </w:rPr>
              <w:t>The subpopulation to be studied:</w:t>
            </w:r>
            <w:r w:rsidRPr="00CB4314" w:rsidR="00202822">
              <w:rPr>
                <w:rFonts w:cs="Times New Roman"/>
                <w:b/>
              </w:rPr>
              <w:t xml:space="preserve"> </w:t>
            </w:r>
            <w:r w:rsidR="00217050">
              <w:rPr>
                <w:rFonts w:cs="Times New Roman"/>
                <w:bCs/>
              </w:rPr>
              <w:t>Persons seeking HIV/STI testing, prevention,</w:t>
            </w:r>
            <w:r w:rsidR="0043290D">
              <w:rPr>
                <w:rFonts w:cs="Times New Roman"/>
                <w:bCs/>
              </w:rPr>
              <w:t xml:space="preserve"> </w:t>
            </w:r>
            <w:r w:rsidR="00217050">
              <w:rPr>
                <w:rFonts w:cs="Times New Roman"/>
                <w:bCs/>
              </w:rPr>
              <w:t xml:space="preserve">treatment services at the </w:t>
            </w:r>
            <w:r w:rsidR="00AF25B1">
              <w:rPr>
                <w:rFonts w:cs="Times New Roman"/>
                <w:bCs/>
              </w:rPr>
              <w:t>Gay City</w:t>
            </w:r>
            <w:r w:rsidR="00217050">
              <w:rPr>
                <w:rFonts w:cs="Times New Roman"/>
                <w:bCs/>
              </w:rPr>
              <w:t xml:space="preserve"> </w:t>
            </w:r>
            <w:r w:rsidR="0043290D">
              <w:rPr>
                <w:rFonts w:cs="Times New Roman"/>
                <w:bCs/>
              </w:rPr>
              <w:t>and the</w:t>
            </w:r>
            <w:r w:rsidR="00217050">
              <w:rPr>
                <w:rFonts w:cs="Times New Roman"/>
                <w:bCs/>
              </w:rPr>
              <w:t xml:space="preserve"> Madison </w:t>
            </w:r>
            <w:r w:rsidR="00AF25B1">
              <w:rPr>
                <w:rFonts w:cs="Times New Roman"/>
                <w:bCs/>
              </w:rPr>
              <w:t>c</w:t>
            </w:r>
            <w:r w:rsidR="008A1A75">
              <w:rPr>
                <w:rFonts w:cs="Times New Roman"/>
                <w:bCs/>
              </w:rPr>
              <w:t>linic</w:t>
            </w:r>
            <w:r w:rsidR="00AF25B1">
              <w:rPr>
                <w:rFonts w:cs="Times New Roman"/>
                <w:bCs/>
              </w:rPr>
              <w:t>s</w:t>
            </w:r>
            <w:r w:rsidR="00217050">
              <w:rPr>
                <w:rFonts w:cs="Times New Roman"/>
                <w:bCs/>
              </w:rPr>
              <w:t xml:space="preserve"> in Seattle, WA. P</w:t>
            </w:r>
            <w:r w:rsidRPr="00CB4314">
              <w:rPr>
                <w:rFonts w:cs="Times New Roman"/>
                <w:bCs/>
              </w:rPr>
              <w:t xml:space="preserve">roviders of HIV </w:t>
            </w:r>
            <w:r w:rsidRPr="00CB4314" w:rsidR="00CB4314">
              <w:rPr>
                <w:rFonts w:cs="Times New Roman"/>
                <w:bCs/>
              </w:rPr>
              <w:t xml:space="preserve">testing, prevention and </w:t>
            </w:r>
            <w:r w:rsidRPr="00CB4314">
              <w:rPr>
                <w:rFonts w:cs="Times New Roman"/>
                <w:bCs/>
              </w:rPr>
              <w:t xml:space="preserve">treatment services </w:t>
            </w:r>
            <w:r w:rsidR="00217050">
              <w:rPr>
                <w:rFonts w:cs="Times New Roman"/>
                <w:bCs/>
              </w:rPr>
              <w:t xml:space="preserve">at these facilities </w:t>
            </w:r>
            <w:r w:rsidRPr="00CB4314">
              <w:rPr>
                <w:rFonts w:cs="Times New Roman"/>
                <w:bCs/>
              </w:rPr>
              <w:t>will also be recruited.</w:t>
            </w:r>
            <w:r w:rsidRPr="00CB4314">
              <w:rPr>
                <w:rFonts w:cs="Times New Roman"/>
                <w:b/>
              </w:rPr>
              <w:t xml:space="preserve"> </w:t>
            </w:r>
          </w:p>
          <w:p w:rsidR="00B52F87" w:rsidRPr="0043290D" w:rsidP="00442205" w14:paraId="3C7997B3" w14:textId="4C64E249">
            <w:pPr>
              <w:pStyle w:val="NoSpacing"/>
              <w:numPr>
                <w:ilvl w:val="0"/>
                <w:numId w:val="1"/>
              </w:numPr>
              <w:spacing w:after="120"/>
              <w:ind w:left="504"/>
              <w:rPr>
                <w:rFonts w:cs="Times New Roman"/>
                <w:b/>
              </w:rPr>
            </w:pPr>
            <w:r w:rsidRPr="0043290D">
              <w:rPr>
                <w:rFonts w:cs="Times New Roman"/>
                <w:b/>
              </w:rPr>
              <w:t xml:space="preserve">How data will be analyzed: </w:t>
            </w:r>
            <w:r w:rsidRPr="0043290D" w:rsidR="0043290D">
              <w:rPr>
                <w:rFonts w:cs="Times New Roman"/>
                <w:bCs/>
              </w:rPr>
              <w:t xml:space="preserve">Quantitative analyses will be conducted to evaluate the impact of POC NAT on 1) PrEP-related clinical outcomes, 2) HIV care continuum outcomes, and 3) time to virologic suppression. Qualitative analyses will be conducted to </w:t>
            </w:r>
            <w:r w:rsidR="008A57DE">
              <w:rPr>
                <w:rFonts w:cs="Times New Roman"/>
                <w:bCs/>
              </w:rPr>
              <w:t>assess</w:t>
            </w:r>
            <w:r w:rsidRPr="0043290D" w:rsidR="0043290D">
              <w:rPr>
                <w:rFonts w:cs="Times New Roman"/>
                <w:bCs/>
              </w:rPr>
              <w:t xml:space="preserve"> the acceptability and feasibility of POC NAT among clients and providers.</w:t>
            </w:r>
          </w:p>
        </w:tc>
      </w:tr>
    </w:tbl>
    <w:p w:rsidR="00B52F87" w:rsidP="000A4126" w14:paraId="30312379" w14:textId="01873F20">
      <w:pPr>
        <w:pStyle w:val="NoSpacing"/>
        <w:tabs>
          <w:tab w:val="left" w:pos="360"/>
        </w:tabs>
        <w:rPr>
          <w:rFonts w:cs="Times New Roman"/>
        </w:rPr>
      </w:pPr>
    </w:p>
    <w:p w:rsidR="00B52F87" w:rsidRPr="00B52F87" w:rsidP="00B52F87" w14:paraId="6A63CE77" w14:textId="77777777">
      <w:pPr>
        <w:rPr>
          <w:rFonts w:eastAsia="Calibri"/>
          <w:b/>
          <w:szCs w:val="22"/>
        </w:rPr>
      </w:pPr>
      <w:r w:rsidRPr="00B52F87">
        <w:rPr>
          <w:rFonts w:eastAsia="Calibri"/>
          <w:b/>
          <w:szCs w:val="22"/>
        </w:rPr>
        <w:t xml:space="preserve">A. </w:t>
      </w:r>
      <w:r w:rsidRPr="00B52F87">
        <w:rPr>
          <w:rFonts w:eastAsia="Calibri"/>
          <w:b/>
          <w:szCs w:val="22"/>
          <w:u w:val="single"/>
        </w:rPr>
        <w:t>Justification</w:t>
      </w:r>
    </w:p>
    <w:p w:rsidR="00B52F87" w:rsidRPr="00B52F87" w:rsidP="00B52F87" w14:paraId="11F48B11" w14:textId="2BE595D4">
      <w:pPr>
        <w:keepNext/>
        <w:keepLines/>
        <w:spacing w:before="240"/>
        <w:ind w:left="432" w:hanging="432"/>
        <w:outlineLvl w:val="0"/>
        <w:rPr>
          <w:b/>
          <w:szCs w:val="32"/>
        </w:rPr>
      </w:pPr>
      <w:bookmarkStart w:id="7" w:name="_Toc485202295"/>
      <w:bookmarkStart w:id="8" w:name="Circumstances1"/>
      <w:r>
        <w:rPr>
          <w:b/>
          <w:szCs w:val="32"/>
        </w:rPr>
        <w:t xml:space="preserve">1. </w:t>
      </w:r>
      <w:r w:rsidRPr="00B52F87">
        <w:rPr>
          <w:b/>
          <w:szCs w:val="32"/>
        </w:rPr>
        <w:t>Circumstances Making the Collection of Information Necessary</w:t>
      </w:r>
      <w:bookmarkEnd w:id="7"/>
      <w:bookmarkEnd w:id="8"/>
      <w:r w:rsidR="005F0E61">
        <w:rPr>
          <w:b/>
          <w:szCs w:val="32"/>
        </w:rPr>
        <w:t xml:space="preserve"> </w:t>
      </w:r>
    </w:p>
    <w:p w:rsidR="00B52F87" w:rsidRPr="00B52F87" w:rsidP="00B52F87" w14:paraId="6D87CADD" w14:textId="77777777">
      <w:pPr>
        <w:rPr>
          <w:szCs w:val="24"/>
        </w:rPr>
      </w:pPr>
    </w:p>
    <w:p w:rsidR="0043290D" w:rsidP="00B52F87" w14:paraId="3B33AC31" w14:textId="55A76C60">
      <w:pPr>
        <w:rPr>
          <w:szCs w:val="24"/>
        </w:rPr>
      </w:pPr>
      <w:r w:rsidRPr="00B52F87">
        <w:rPr>
          <w:szCs w:val="24"/>
        </w:rPr>
        <w:t>The Centers for Disease Control and Prevention’s (CDC) Division of HIV</w:t>
      </w:r>
      <w:r w:rsidR="00E94749">
        <w:rPr>
          <w:szCs w:val="24"/>
        </w:rPr>
        <w:t xml:space="preserve"> </w:t>
      </w:r>
      <w:r w:rsidRPr="00B52F87">
        <w:rPr>
          <w:szCs w:val="24"/>
        </w:rPr>
        <w:t xml:space="preserve">Prevention (DHP) requests </w:t>
      </w:r>
      <w:r>
        <w:rPr>
          <w:szCs w:val="24"/>
        </w:rPr>
        <w:t xml:space="preserve">a </w:t>
      </w:r>
      <w:r w:rsidR="00376989">
        <w:rPr>
          <w:szCs w:val="24"/>
        </w:rPr>
        <w:t>R</w:t>
      </w:r>
      <w:r>
        <w:rPr>
          <w:szCs w:val="24"/>
        </w:rPr>
        <w:t>einstatement of the research study entitled “</w:t>
      </w:r>
      <w:r w:rsidRPr="0043290D">
        <w:rPr>
          <w:szCs w:val="24"/>
        </w:rPr>
        <w:t>The Greater Access and Impact with NAT (GAIN) Study: Improving HIV Diagnosis, Linkage to Care, and Prevention Services with HIV Point-of-Care Nucleic Acid Tests</w:t>
      </w:r>
      <w:r>
        <w:rPr>
          <w:szCs w:val="24"/>
        </w:rPr>
        <w:t xml:space="preserve"> </w:t>
      </w:r>
      <w:r w:rsidRPr="0043290D">
        <w:rPr>
          <w:szCs w:val="24"/>
        </w:rPr>
        <w:t>(NATs)</w:t>
      </w:r>
      <w:r>
        <w:rPr>
          <w:szCs w:val="24"/>
        </w:rPr>
        <w:t xml:space="preserve">, OMB# 0920-1357, for a period of </w:t>
      </w:r>
      <w:r w:rsidR="00AF25B1">
        <w:rPr>
          <w:szCs w:val="24"/>
        </w:rPr>
        <w:t>36</w:t>
      </w:r>
      <w:r>
        <w:rPr>
          <w:szCs w:val="24"/>
        </w:rPr>
        <w:t xml:space="preserve"> months. This project is funded under </w:t>
      </w:r>
      <w:bookmarkStart w:id="9" w:name="_Hlk184912903"/>
      <w:r>
        <w:rPr>
          <w:szCs w:val="24"/>
        </w:rPr>
        <w:t xml:space="preserve">Cooperative Agreement </w:t>
      </w:r>
      <w:r w:rsidR="006A4027">
        <w:rPr>
          <w:szCs w:val="24"/>
        </w:rPr>
        <w:t>#U01PS005196</w:t>
      </w:r>
      <w:bookmarkEnd w:id="9"/>
      <w:r w:rsidR="00831D2F">
        <w:rPr>
          <w:szCs w:val="24"/>
        </w:rPr>
        <w:t>,</w:t>
      </w:r>
      <w:r w:rsidR="00F33147">
        <w:rPr>
          <w:szCs w:val="24"/>
        </w:rPr>
        <w:t xml:space="preserve"> Department of Health and Human Services, Centers for Disease Control and Prevention. </w:t>
      </w:r>
    </w:p>
    <w:p w:rsidR="0043290D" w:rsidP="00B52F87" w14:paraId="649D31C7" w14:textId="77777777">
      <w:pPr>
        <w:rPr>
          <w:szCs w:val="24"/>
        </w:rPr>
      </w:pPr>
    </w:p>
    <w:p w:rsidR="007966BC" w:rsidRPr="007966BC" w:rsidP="007966BC" w14:paraId="0DABA7C7" w14:textId="4C9FB328">
      <w:pPr>
        <w:rPr>
          <w:szCs w:val="24"/>
          <w:vertAlign w:val="superscript"/>
        </w:rPr>
      </w:pPr>
      <w:r w:rsidRPr="007966BC">
        <w:rPr>
          <w:szCs w:val="24"/>
        </w:rPr>
        <w:t xml:space="preserve">In 2022, </w:t>
      </w:r>
      <w:r w:rsidR="003A3041">
        <w:rPr>
          <w:szCs w:val="24"/>
        </w:rPr>
        <w:t>human immunodeficiency virus (</w:t>
      </w:r>
      <w:r w:rsidRPr="007966BC">
        <w:rPr>
          <w:szCs w:val="24"/>
        </w:rPr>
        <w:t>HIV</w:t>
      </w:r>
      <w:r w:rsidR="003A3041">
        <w:rPr>
          <w:szCs w:val="24"/>
        </w:rPr>
        <w:t>)</w:t>
      </w:r>
      <w:r w:rsidRPr="007966BC">
        <w:rPr>
          <w:szCs w:val="24"/>
        </w:rPr>
        <w:t xml:space="preserve"> infection was diagnosed in more than 38,000 people in the United States, with 70% of these diagnoses among gay, bisexual, and other men who have sex with men (MSM). Among MSM, Black or African American (Black) (34%) and Hispanic or Latino (Latino) (36%) MSM were disproportionately affected.</w:t>
      </w:r>
      <w:r w:rsidR="00473BAE">
        <w:rPr>
          <w:szCs w:val="24"/>
          <w:vertAlign w:val="superscript"/>
        </w:rPr>
        <w:t>1</w:t>
      </w:r>
      <w:r w:rsidRPr="007966BC">
        <w:rPr>
          <w:szCs w:val="24"/>
        </w:rPr>
        <w:t xml:space="preserve"> Preexposure prophylaxis (PrEP) can prevent HIV acquisition among persons at risk.</w:t>
      </w:r>
      <w:r w:rsidR="00473BAE">
        <w:rPr>
          <w:szCs w:val="24"/>
          <w:vertAlign w:val="superscript"/>
        </w:rPr>
        <w:t>2</w:t>
      </w:r>
      <w:r w:rsidRPr="007966BC">
        <w:rPr>
          <w:szCs w:val="24"/>
        </w:rPr>
        <w:t xml:space="preserve"> To prevent the emergence of drug-resistant HIV strains, prior to initiating PrEP, persons must be tested for HIV to ensure that they are not infected. Current rapid point-of-care (POC) technologies do not reliably detect the earliest HIV infections and lab-based testing can introduce delays while patients wait for test results. During this time, patients can drop out of care and are still at high-risk to become HIV infected. Direct molecular detection of HIV through nucleic acid tests (NATs) can identify early HIV infections, which have high potential for transmission. NATs that are used at the point-of-care (POC NAT) can provide results in 60 to 90 minutes. Obtaining timely molecular test results from a POC NAT in clinics or community settings can expand prevention as well as HIV treatment services, improve our reach into disproportionately affected populations, and provide opportunities to approach the goal of no new HIV infections.</w:t>
      </w:r>
      <w:r w:rsidR="00473BAE">
        <w:rPr>
          <w:szCs w:val="24"/>
          <w:vertAlign w:val="superscript"/>
        </w:rPr>
        <w:t>3-4</w:t>
      </w:r>
    </w:p>
    <w:p w:rsidR="007966BC" w:rsidP="007966BC" w14:paraId="37BC42F6" w14:textId="77777777">
      <w:pPr>
        <w:rPr>
          <w:szCs w:val="24"/>
        </w:rPr>
      </w:pPr>
    </w:p>
    <w:p w:rsidR="007966BC" w:rsidRPr="00737A6A" w:rsidP="007966BC" w14:paraId="0D502921" w14:textId="2C1EBFE5">
      <w:pPr>
        <w:rPr>
          <w:szCs w:val="24"/>
        </w:rPr>
      </w:pPr>
      <w:r w:rsidRPr="00737A6A">
        <w:rPr>
          <w:szCs w:val="24"/>
        </w:rPr>
        <w:t xml:space="preserve">In 2015, the U.S. Food and Drug Administration (FDA) </w:t>
      </w:r>
      <w:r w:rsidR="003A3041">
        <w:rPr>
          <w:szCs w:val="24"/>
        </w:rPr>
        <w:t>licensed the NAT systems to be used for screening plasma donors for HIV and HCV (hepatitis C virus)</w:t>
      </w:r>
      <w:r w:rsidRPr="004C1BB8" w:rsidR="004C1BB8">
        <w:rPr>
          <w:szCs w:val="24"/>
          <w:vertAlign w:val="superscript"/>
        </w:rPr>
        <w:t>5</w:t>
      </w:r>
      <w:r w:rsidRPr="00737A6A">
        <w:rPr>
          <w:szCs w:val="24"/>
        </w:rPr>
        <w:t>. Outside of the U.S., several POC NAT platforms are approved for HIV diagnosis and viral load quantification. However, in the United States (U.S.), available POC testing with FDA-approved tests can only detect HIV p24 antigen and antibodies</w:t>
      </w:r>
      <w:r w:rsidR="00EC1791">
        <w:rPr>
          <w:szCs w:val="24"/>
        </w:rPr>
        <w:t xml:space="preserve">. The earliest an antigen antibody test can detect HIV is 18 days after infection. However, NATs are able to detect HIV within 10 days of infection, making this an important tool for early diagnosis and ending the HIV epidemic. </w:t>
      </w:r>
      <w:r w:rsidRPr="00737A6A">
        <w:rPr>
          <w:szCs w:val="24"/>
        </w:rPr>
        <w:t xml:space="preserve">In the future, it is anticipated that the FDA will approve HIV POC NATs to diagnose and monitor HIV infections in the U.S.; until then, these tests can be used in a research capacity in community and clinical settings. </w:t>
      </w:r>
    </w:p>
    <w:p w:rsidR="007966BC" w:rsidRPr="00737A6A" w:rsidP="007966BC" w14:paraId="59E97AA9" w14:textId="77777777">
      <w:pPr>
        <w:rPr>
          <w:szCs w:val="24"/>
        </w:rPr>
      </w:pPr>
    </w:p>
    <w:p w:rsidR="007966BC" w:rsidRPr="00737A6A" w:rsidP="007966BC" w14:paraId="5746946E" w14:textId="4C61AAFD">
      <w:pPr>
        <w:rPr>
          <w:szCs w:val="24"/>
        </w:rPr>
      </w:pPr>
      <w:r w:rsidRPr="00737A6A">
        <w:rPr>
          <w:szCs w:val="24"/>
        </w:rPr>
        <w:t>In PrEP clinics, systematic use of an HIV POC NAT to test at-risk persons, regardless of whether they have symptoms of acute HIV infection or not, would facilitate the identification of uninfected individuals who would benefit from initiating PrEP within a single care visit. To expedite PrEP initiation, rapid creatinine tests could also be implemented to assess renal function (a recommended safety test). HIV POC NATs could also facilitate more expedient treatment for persons diagnosed with an HIV infection.</w:t>
      </w:r>
    </w:p>
    <w:p w:rsidR="007966BC" w:rsidRPr="00737A6A" w:rsidP="007966BC" w14:paraId="1F7818CF" w14:textId="77777777">
      <w:pPr>
        <w:rPr>
          <w:szCs w:val="24"/>
        </w:rPr>
      </w:pPr>
    </w:p>
    <w:p w:rsidR="007966BC" w:rsidRPr="007966BC" w:rsidP="007966BC" w14:paraId="49B917B4" w14:textId="6D137B8F">
      <w:pPr>
        <w:rPr>
          <w:szCs w:val="24"/>
        </w:rPr>
      </w:pPr>
      <w:r w:rsidRPr="00737A6A">
        <w:rPr>
          <w:szCs w:val="24"/>
        </w:rPr>
        <w:t>Community-based settings can reach populations at disproportionate risk for HIV, such as Black and Hispanic MSM, who may not regularly access HIV testing in clinical settings. The use of HIV POC NATs may reduce the time between testing and PrEP initiation among persons at high risk and may reduce the time between testing and treatment initiation or re-engagement for those who are diagnosed with HIV. Further, an HIV POC NAT to detect viral load at the time of diagnosis may provide information on the risk of progression of disease, and for transmission to sex and drug-sharing partners, that might improve motivation to link to HIV treatment.</w:t>
      </w:r>
    </w:p>
    <w:p w:rsidR="007966BC" w:rsidP="007966BC" w14:paraId="3FD11DB5" w14:textId="77777777">
      <w:pPr>
        <w:rPr>
          <w:szCs w:val="24"/>
        </w:rPr>
      </w:pPr>
    </w:p>
    <w:p w:rsidR="00442205" w:rsidRPr="00442205" w:rsidP="00442205" w14:paraId="2632281C" w14:textId="296537D5">
      <w:pPr>
        <w:rPr>
          <w:b/>
          <w:bCs/>
          <w:szCs w:val="24"/>
        </w:rPr>
      </w:pPr>
      <w:bookmarkStart w:id="10" w:name="Status1A"/>
      <w:r w:rsidRPr="00442205">
        <w:rPr>
          <w:b/>
          <w:bCs/>
          <w:szCs w:val="24"/>
        </w:rPr>
        <w:t xml:space="preserve">1A. Status of the GAIN </w:t>
      </w:r>
      <w:r w:rsidR="00BE520E">
        <w:rPr>
          <w:b/>
          <w:bCs/>
          <w:szCs w:val="24"/>
        </w:rPr>
        <w:t>Information</w:t>
      </w:r>
      <w:r w:rsidRPr="00442205">
        <w:rPr>
          <w:b/>
          <w:bCs/>
          <w:szCs w:val="24"/>
        </w:rPr>
        <w:t xml:space="preserve"> Collection</w:t>
      </w:r>
      <w:bookmarkEnd w:id="10"/>
    </w:p>
    <w:p w:rsidR="00442205" w:rsidP="007966BC" w14:paraId="56D5331B" w14:textId="77777777">
      <w:pPr>
        <w:rPr>
          <w:szCs w:val="24"/>
        </w:rPr>
      </w:pPr>
    </w:p>
    <w:p w:rsidR="00D5305C" w:rsidRPr="00B32A6A" w:rsidP="00D5305C" w14:paraId="4E82463D" w14:textId="77777777">
      <w:pPr>
        <w:pStyle w:val="NoSpacing"/>
        <w:tabs>
          <w:tab w:val="left" w:pos="360"/>
        </w:tabs>
        <w:rPr>
          <w:rFonts w:cs="Times New Roman"/>
          <w:szCs w:val="24"/>
        </w:rPr>
      </w:pPr>
      <w:r>
        <w:rPr>
          <w:szCs w:val="24"/>
        </w:rPr>
        <w:t xml:space="preserve">The GAIN Information Collection (0920-1357) was approved by the Office of Management and Budget on December 3, 2021. In 2024, CDC approved an extension to the Cooperative Agreement #U01PS005196 so that the GAIN project could continue work into 2025. GAIN Project Officers at CDC also planned to submit an Extension ICR with OMB in 2024; however, as a result of an unplanned staffing change at CDC, a key deadline was missed and the 6-month window for submitting an Extension ICR closed and OMB approval for GAIN expired on December 31, 2024. The GAIN project has been successful in meeting several project goals and has shared study information through manuscripts published in scientific journals and presentations at scientific </w:t>
      </w:r>
      <w:r w:rsidRPr="00D44207">
        <w:rPr>
          <w:szCs w:val="24"/>
        </w:rPr>
        <w:t>conferences</w:t>
      </w:r>
      <w:r>
        <w:rPr>
          <w:szCs w:val="24"/>
        </w:rPr>
        <w:t>.</w:t>
      </w:r>
      <w:r w:rsidRPr="00D44207">
        <w:rPr>
          <w:szCs w:val="24"/>
          <w:vertAlign w:val="superscript"/>
        </w:rPr>
        <w:t>6-7</w:t>
      </w:r>
      <w:r>
        <w:rPr>
          <w:szCs w:val="24"/>
        </w:rPr>
        <w:t xml:space="preserve"> GAIN is on track to reach remaining enrollment targets and successfully conclude this important information collection if the study is reinstated. </w:t>
      </w:r>
    </w:p>
    <w:p w:rsidR="00D5305C" w:rsidP="00D5305C" w14:paraId="76CD803A" w14:textId="77777777">
      <w:pPr>
        <w:rPr>
          <w:szCs w:val="24"/>
        </w:rPr>
      </w:pPr>
    </w:p>
    <w:p w:rsidR="00D5305C" w:rsidP="00D5305C" w14:paraId="44BD2AC1" w14:textId="77777777">
      <w:pPr>
        <w:rPr>
          <w:szCs w:val="24"/>
        </w:rPr>
      </w:pPr>
      <w:r>
        <w:rPr>
          <w:szCs w:val="24"/>
        </w:rPr>
        <w:t>The GAIN study has five objectives:</w:t>
      </w:r>
    </w:p>
    <w:p w:rsidR="00D5305C" w:rsidRPr="00091A63" w:rsidP="00D5305C" w14:paraId="281E075B" w14:textId="77777777">
      <w:pPr>
        <w:pStyle w:val="ListParagraph"/>
        <w:numPr>
          <w:ilvl w:val="0"/>
          <w:numId w:val="12"/>
        </w:numPr>
        <w:rPr>
          <w:rFonts w:ascii="Times New Roman" w:hAnsi="Times New Roman"/>
          <w:sz w:val="24"/>
          <w:szCs w:val="24"/>
        </w:rPr>
      </w:pPr>
      <w:bookmarkStart w:id="11" w:name="_Hlk185261895"/>
      <w:r>
        <w:rPr>
          <w:rFonts w:ascii="Times New Roman" w:hAnsi="Times New Roman"/>
          <w:bCs/>
          <w:sz w:val="24"/>
          <w:szCs w:val="24"/>
        </w:rPr>
        <w:t>Aim 1 evaluates the impact of POC NAT on pre-exposure prophylaxis (PrEP) uptake and persistence among persons testing HIV-negative</w:t>
      </w:r>
    </w:p>
    <w:p w:rsidR="00D5305C" w:rsidRPr="009545F8" w:rsidP="00D5305C" w14:paraId="230CEE59" w14:textId="77777777">
      <w:pPr>
        <w:pStyle w:val="ListParagraph"/>
        <w:numPr>
          <w:ilvl w:val="0"/>
          <w:numId w:val="12"/>
        </w:numPr>
        <w:rPr>
          <w:rFonts w:ascii="Times New Roman" w:hAnsi="Times New Roman"/>
          <w:sz w:val="24"/>
          <w:szCs w:val="24"/>
        </w:rPr>
      </w:pPr>
      <w:r>
        <w:rPr>
          <w:rFonts w:ascii="Times New Roman" w:hAnsi="Times New Roman"/>
          <w:bCs/>
          <w:sz w:val="24"/>
          <w:szCs w:val="24"/>
        </w:rPr>
        <w:t xml:space="preserve">Aim 2 evaluates the impact of HIV RNA POC NAT on HIV clinical care outcomes among persons testing HIV-positive </w:t>
      </w:r>
    </w:p>
    <w:p w:rsidR="00D5305C" w:rsidRPr="009545F8" w:rsidP="00D5305C" w14:paraId="4220A054" w14:textId="01AF98CB">
      <w:pPr>
        <w:pStyle w:val="ListParagraph"/>
        <w:numPr>
          <w:ilvl w:val="0"/>
          <w:numId w:val="12"/>
        </w:numPr>
        <w:rPr>
          <w:rFonts w:ascii="Times New Roman" w:hAnsi="Times New Roman"/>
          <w:sz w:val="24"/>
          <w:szCs w:val="24"/>
        </w:rPr>
      </w:pPr>
      <w:r w:rsidRPr="009545F8">
        <w:rPr>
          <w:rFonts w:ascii="Times New Roman" w:hAnsi="Times New Roman"/>
          <w:bCs/>
          <w:sz w:val="24"/>
          <w:szCs w:val="24"/>
        </w:rPr>
        <w:t xml:space="preserve">Aim 3 </w:t>
      </w:r>
      <w:r>
        <w:rPr>
          <w:rFonts w:ascii="Times New Roman" w:hAnsi="Times New Roman"/>
          <w:bCs/>
          <w:sz w:val="24"/>
          <w:szCs w:val="24"/>
        </w:rPr>
        <w:t>implements</w:t>
      </w:r>
      <w:r w:rsidRPr="009545F8">
        <w:rPr>
          <w:rFonts w:ascii="Times New Roman" w:hAnsi="Times New Roman"/>
          <w:bCs/>
          <w:sz w:val="24"/>
          <w:szCs w:val="24"/>
        </w:rPr>
        <w:t xml:space="preserve"> a POC NAT-tailored behavioral intervention to evaluate impact on time to virologic suppression among </w:t>
      </w:r>
      <w:r>
        <w:rPr>
          <w:rFonts w:ascii="Times New Roman" w:hAnsi="Times New Roman"/>
          <w:bCs/>
          <w:sz w:val="24"/>
          <w:szCs w:val="24"/>
        </w:rPr>
        <w:t>persons living with HIV (</w:t>
      </w:r>
      <w:r w:rsidRPr="009545F8">
        <w:rPr>
          <w:rFonts w:ascii="Times New Roman" w:hAnsi="Times New Roman"/>
          <w:bCs/>
          <w:sz w:val="24"/>
          <w:szCs w:val="24"/>
        </w:rPr>
        <w:t>PLWH</w:t>
      </w:r>
      <w:r>
        <w:rPr>
          <w:rFonts w:ascii="Times New Roman" w:hAnsi="Times New Roman"/>
          <w:bCs/>
          <w:sz w:val="24"/>
          <w:szCs w:val="24"/>
        </w:rPr>
        <w:t>)</w:t>
      </w:r>
      <w:r w:rsidRPr="009545F8">
        <w:rPr>
          <w:rFonts w:ascii="Times New Roman" w:hAnsi="Times New Roman"/>
          <w:bCs/>
          <w:sz w:val="24"/>
          <w:szCs w:val="24"/>
        </w:rPr>
        <w:t xml:space="preserve"> receiving </w:t>
      </w:r>
      <w:r>
        <w:rPr>
          <w:rFonts w:ascii="Times New Roman" w:hAnsi="Times New Roman"/>
          <w:bCs/>
          <w:sz w:val="24"/>
          <w:szCs w:val="24"/>
        </w:rPr>
        <w:t>antiretroviral therapy (</w:t>
      </w:r>
      <w:r w:rsidRPr="009545F8">
        <w:rPr>
          <w:rFonts w:ascii="Times New Roman" w:hAnsi="Times New Roman"/>
          <w:bCs/>
          <w:sz w:val="24"/>
          <w:szCs w:val="24"/>
        </w:rPr>
        <w:t>ART</w:t>
      </w:r>
      <w:r>
        <w:rPr>
          <w:rFonts w:ascii="Times New Roman" w:hAnsi="Times New Roman"/>
          <w:bCs/>
          <w:sz w:val="24"/>
          <w:szCs w:val="24"/>
        </w:rPr>
        <w:t>)</w:t>
      </w:r>
      <w:r w:rsidRPr="009545F8">
        <w:rPr>
          <w:rFonts w:ascii="Times New Roman" w:hAnsi="Times New Roman"/>
          <w:bCs/>
          <w:sz w:val="24"/>
          <w:szCs w:val="24"/>
        </w:rPr>
        <w:t xml:space="preserve"> </w:t>
      </w:r>
    </w:p>
    <w:p w:rsidR="00D5305C" w:rsidRPr="009545F8" w:rsidP="00D5305C" w14:paraId="78B381BE" w14:textId="77777777">
      <w:pPr>
        <w:pStyle w:val="ListParagraph"/>
        <w:numPr>
          <w:ilvl w:val="0"/>
          <w:numId w:val="12"/>
        </w:numPr>
        <w:rPr>
          <w:rFonts w:ascii="Times New Roman" w:hAnsi="Times New Roman"/>
          <w:sz w:val="24"/>
          <w:szCs w:val="24"/>
        </w:rPr>
      </w:pPr>
      <w:r w:rsidRPr="009545F8">
        <w:rPr>
          <w:rFonts w:ascii="Times New Roman" w:hAnsi="Times New Roman"/>
          <w:bCs/>
          <w:sz w:val="24"/>
          <w:szCs w:val="24"/>
        </w:rPr>
        <w:t>Aim 4 will quantify the acceptability and feasibility of implementation of POC NAT in community and clinical settings</w:t>
      </w:r>
      <w:r>
        <w:rPr>
          <w:rFonts w:ascii="Times New Roman" w:hAnsi="Times New Roman"/>
          <w:bCs/>
          <w:sz w:val="24"/>
          <w:szCs w:val="24"/>
        </w:rPr>
        <w:t xml:space="preserve">. </w:t>
      </w:r>
    </w:p>
    <w:bookmarkEnd w:id="11"/>
    <w:p w:rsidR="00D5305C" w:rsidRPr="00342785" w:rsidP="00D5305C" w14:paraId="19853DF4" w14:textId="77777777">
      <w:pPr>
        <w:pStyle w:val="ListParagraph"/>
        <w:numPr>
          <w:ilvl w:val="0"/>
          <w:numId w:val="12"/>
        </w:numPr>
        <w:rPr>
          <w:rFonts w:ascii="Times New Roman" w:hAnsi="Times New Roman"/>
          <w:sz w:val="24"/>
          <w:szCs w:val="24"/>
        </w:rPr>
      </w:pPr>
      <w:r w:rsidRPr="009545F8">
        <w:rPr>
          <w:rFonts w:ascii="Times New Roman" w:hAnsi="Times New Roman"/>
          <w:bCs/>
          <w:sz w:val="24"/>
          <w:szCs w:val="24"/>
        </w:rPr>
        <w:t>Aim 5</w:t>
      </w:r>
      <w:r>
        <w:rPr>
          <w:rFonts w:ascii="Times New Roman" w:hAnsi="Times New Roman"/>
          <w:bCs/>
          <w:sz w:val="24"/>
          <w:szCs w:val="24"/>
        </w:rPr>
        <w:t xml:space="preserve"> compares </w:t>
      </w:r>
      <w:r w:rsidRPr="009545F8">
        <w:rPr>
          <w:rFonts w:ascii="Times New Roman" w:hAnsi="Times New Roman"/>
          <w:bCs/>
          <w:sz w:val="24"/>
          <w:szCs w:val="24"/>
        </w:rPr>
        <w:t>the sensitivity, specificity, and agreement of multiple POC NATs over a range of HIV RNA levels.</w:t>
      </w:r>
    </w:p>
    <w:p w:rsidR="00D5305C" w:rsidP="00D5305C" w14:paraId="27A66AB8" w14:textId="77777777">
      <w:pPr>
        <w:pStyle w:val="NoSpacing"/>
        <w:tabs>
          <w:tab w:val="left" w:pos="360"/>
        </w:tabs>
        <w:rPr>
          <w:szCs w:val="24"/>
        </w:rPr>
      </w:pPr>
      <w:r>
        <w:rPr>
          <w:szCs w:val="24"/>
        </w:rPr>
        <w:t xml:space="preserve">Since the OMB approved the GAIN data collection in December 2021, the project has succeeded in meeting several goals. Enrollment for Aims 1, 2, and 3 was completed at the Gay City study location. Enrollment for Aims 1 and 2 was completed at the Madison Clinic. Aim 5 was also completed. </w:t>
      </w:r>
    </w:p>
    <w:p w:rsidR="00D5305C" w:rsidP="00D5305C" w14:paraId="3658EDB6" w14:textId="77777777">
      <w:pPr>
        <w:pStyle w:val="NoSpacing"/>
        <w:tabs>
          <w:tab w:val="left" w:pos="360"/>
        </w:tabs>
        <w:rPr>
          <w:szCs w:val="24"/>
        </w:rPr>
      </w:pPr>
    </w:p>
    <w:p w:rsidR="00D5305C" w:rsidRPr="00534A58" w:rsidP="00D5305C" w14:paraId="0CA422EE" w14:textId="77777777">
      <w:pPr>
        <w:pStyle w:val="NoSpacing"/>
        <w:tabs>
          <w:tab w:val="left" w:pos="360"/>
        </w:tabs>
        <w:rPr>
          <w:b/>
          <w:bCs/>
          <w:szCs w:val="24"/>
        </w:rPr>
      </w:pPr>
      <w:r>
        <w:rPr>
          <w:szCs w:val="24"/>
        </w:rPr>
        <w:t xml:space="preserve">      </w:t>
      </w:r>
      <w:r w:rsidRPr="00534A58">
        <w:rPr>
          <w:b/>
          <w:bCs/>
          <w:szCs w:val="24"/>
        </w:rPr>
        <w:t xml:space="preserve">Study </w:t>
      </w:r>
      <w:r>
        <w:rPr>
          <w:b/>
          <w:bCs/>
          <w:szCs w:val="24"/>
        </w:rPr>
        <w:t>objectives</w:t>
      </w:r>
      <w:r w:rsidRPr="00534A58">
        <w:rPr>
          <w:b/>
          <w:bCs/>
          <w:szCs w:val="24"/>
        </w:rPr>
        <w:t xml:space="preserve"> completed prior to study expiration:</w:t>
      </w:r>
    </w:p>
    <w:p w:rsidR="00D5305C" w:rsidRPr="00976929" w:rsidP="00D5305C" w14:paraId="0FDCC6B3" w14:textId="77777777">
      <w:pPr>
        <w:pStyle w:val="NoSpacing"/>
        <w:numPr>
          <w:ilvl w:val="0"/>
          <w:numId w:val="13"/>
        </w:numPr>
        <w:tabs>
          <w:tab w:val="left" w:pos="360"/>
        </w:tabs>
        <w:rPr>
          <w:szCs w:val="24"/>
          <w:lang w:val="x-none"/>
        </w:rPr>
      </w:pPr>
      <w:r w:rsidRPr="00976929">
        <w:rPr>
          <w:szCs w:val="24"/>
          <w:lang w:val="x-none"/>
        </w:rPr>
        <w:t xml:space="preserve">Aim </w:t>
      </w:r>
      <w:bookmarkStart w:id="12" w:name="_Hlk190175497"/>
      <w:r w:rsidRPr="00976929">
        <w:rPr>
          <w:szCs w:val="24"/>
          <w:lang w:val="x-none"/>
        </w:rPr>
        <w:t xml:space="preserve">1 enrollment was completed at </w:t>
      </w:r>
      <w:bookmarkEnd w:id="12"/>
      <w:r w:rsidRPr="00976929">
        <w:rPr>
          <w:szCs w:val="24"/>
          <w:lang w:val="x-none"/>
        </w:rPr>
        <w:t>both study locations</w:t>
      </w:r>
    </w:p>
    <w:p w:rsidR="00D5305C" w:rsidRPr="00976929" w:rsidP="00D5305C" w14:paraId="23BF8A62" w14:textId="77777777">
      <w:pPr>
        <w:pStyle w:val="NoSpacing"/>
        <w:numPr>
          <w:ilvl w:val="0"/>
          <w:numId w:val="13"/>
        </w:numPr>
        <w:tabs>
          <w:tab w:val="left" w:pos="360"/>
        </w:tabs>
        <w:rPr>
          <w:szCs w:val="24"/>
        </w:rPr>
      </w:pPr>
      <w:r w:rsidRPr="00976929">
        <w:rPr>
          <w:szCs w:val="24"/>
        </w:rPr>
        <w:t>Aim 2 enrollment was completed at both study locations</w:t>
      </w:r>
    </w:p>
    <w:p w:rsidR="00D5305C" w:rsidRPr="00976929" w:rsidP="00D5305C" w14:paraId="062CA4C7" w14:textId="77777777">
      <w:pPr>
        <w:pStyle w:val="NoSpacing"/>
        <w:numPr>
          <w:ilvl w:val="0"/>
          <w:numId w:val="13"/>
        </w:numPr>
        <w:tabs>
          <w:tab w:val="left" w:pos="360"/>
        </w:tabs>
        <w:rPr>
          <w:szCs w:val="24"/>
        </w:rPr>
      </w:pPr>
      <w:r w:rsidRPr="00976929">
        <w:rPr>
          <w:szCs w:val="24"/>
        </w:rPr>
        <w:t>Aim 3 enrollment was completed at the Gay City location</w:t>
      </w:r>
    </w:p>
    <w:p w:rsidR="00D5305C" w:rsidRPr="00976929" w:rsidP="00D5305C" w14:paraId="79BA0B3B" w14:textId="77777777">
      <w:pPr>
        <w:pStyle w:val="NoSpacing"/>
        <w:numPr>
          <w:ilvl w:val="0"/>
          <w:numId w:val="13"/>
        </w:numPr>
        <w:tabs>
          <w:tab w:val="left" w:pos="360"/>
        </w:tabs>
        <w:rPr>
          <w:szCs w:val="24"/>
        </w:rPr>
      </w:pPr>
      <w:r w:rsidRPr="00976929">
        <w:rPr>
          <w:szCs w:val="24"/>
        </w:rPr>
        <w:t>Aim 5 was completed</w:t>
      </w:r>
    </w:p>
    <w:p w:rsidR="00D5305C" w:rsidP="00D5305C" w14:paraId="714DC553" w14:textId="77777777">
      <w:pPr>
        <w:pStyle w:val="NoSpacing"/>
        <w:tabs>
          <w:tab w:val="left" w:pos="360"/>
        </w:tabs>
        <w:rPr>
          <w:szCs w:val="24"/>
        </w:rPr>
      </w:pPr>
    </w:p>
    <w:p w:rsidR="00D5305C" w:rsidP="00D5305C" w14:paraId="4F97FAC3" w14:textId="2FC48021">
      <w:pPr>
        <w:pStyle w:val="NoSpacing"/>
        <w:tabs>
          <w:tab w:val="left" w:pos="360"/>
        </w:tabs>
        <w:rPr>
          <w:szCs w:val="24"/>
        </w:rPr>
      </w:pPr>
      <w:r>
        <w:rPr>
          <w:szCs w:val="24"/>
        </w:rPr>
        <w:t>GAIN has successfully met many study goals and there are a limited number of data collection activities to be completed; therefore, the burden hours needed to complete this study are greatly reduced from the initial, new ICR. We estimate it will take 4</w:t>
      </w:r>
      <w:r w:rsidR="003C49B9">
        <w:rPr>
          <w:szCs w:val="24"/>
        </w:rPr>
        <w:t>9</w:t>
      </w:r>
      <w:r>
        <w:rPr>
          <w:szCs w:val="24"/>
        </w:rPr>
        <w:t xml:space="preserve"> annual burden hours (135 total burden hours across the three-year collection) to complete all remaining data collection for the GAIN study.</w:t>
      </w:r>
      <w:r w:rsidR="00F972E5">
        <w:rPr>
          <w:szCs w:val="24"/>
        </w:rPr>
        <w:t xml:space="preserve"> The annualized burden hours are detailed in </w:t>
      </w:r>
      <w:hyperlink w:anchor="ExhibitHours121" w:history="1">
        <w:r w:rsidRPr="00007801" w:rsidR="00514BA2">
          <w:rPr>
            <w:rStyle w:val="Hyperlink"/>
            <w:szCs w:val="24"/>
          </w:rPr>
          <w:t xml:space="preserve">Exhibit </w:t>
        </w:r>
        <w:r w:rsidRPr="00007801" w:rsidR="00292C81">
          <w:rPr>
            <w:rStyle w:val="Hyperlink"/>
            <w:szCs w:val="24"/>
          </w:rPr>
          <w:t>12.1</w:t>
        </w:r>
      </w:hyperlink>
      <w:r w:rsidR="00292C81">
        <w:rPr>
          <w:szCs w:val="24"/>
        </w:rPr>
        <w:t xml:space="preserve">. </w:t>
      </w:r>
      <w:r w:rsidR="00A03568">
        <w:rPr>
          <w:szCs w:val="24"/>
        </w:rPr>
        <w:t xml:space="preserve">The study activities that remain to be completed are listed below. </w:t>
      </w:r>
    </w:p>
    <w:p w:rsidR="00D5305C" w:rsidRPr="00720A8E" w:rsidP="00D5305C" w14:paraId="147BDD30" w14:textId="77777777">
      <w:pPr>
        <w:pStyle w:val="NoSpacing"/>
        <w:tabs>
          <w:tab w:val="left" w:pos="360"/>
        </w:tabs>
        <w:rPr>
          <w:szCs w:val="24"/>
        </w:rPr>
      </w:pPr>
    </w:p>
    <w:p w:rsidR="00D5305C" w:rsidRPr="00720A8E" w:rsidP="00D5305C" w14:paraId="6EE145D0" w14:textId="77777777">
      <w:pPr>
        <w:pStyle w:val="NoSpacing"/>
        <w:tabs>
          <w:tab w:val="left" w:pos="360"/>
        </w:tabs>
        <w:rPr>
          <w:b/>
          <w:bCs/>
          <w:szCs w:val="24"/>
        </w:rPr>
      </w:pPr>
      <w:r>
        <w:rPr>
          <w:szCs w:val="24"/>
        </w:rPr>
        <w:t xml:space="preserve">      </w:t>
      </w:r>
      <w:r w:rsidRPr="00534A58">
        <w:rPr>
          <w:b/>
          <w:bCs/>
          <w:szCs w:val="24"/>
        </w:rPr>
        <w:t>Study activities t</w:t>
      </w:r>
      <w:r w:rsidRPr="00720A8E">
        <w:rPr>
          <w:b/>
          <w:bCs/>
          <w:szCs w:val="24"/>
        </w:rPr>
        <w:t>o be completed</w:t>
      </w:r>
      <w:r w:rsidRPr="00534A58">
        <w:rPr>
          <w:b/>
          <w:bCs/>
          <w:szCs w:val="24"/>
        </w:rPr>
        <w:t xml:space="preserve"> following reinstatement</w:t>
      </w:r>
      <w:r w:rsidRPr="00720A8E">
        <w:rPr>
          <w:b/>
          <w:bCs/>
          <w:szCs w:val="24"/>
        </w:rPr>
        <w:t xml:space="preserve">: </w:t>
      </w:r>
    </w:p>
    <w:p w:rsidR="00D5305C" w:rsidP="00D5305C" w14:paraId="5340326D" w14:textId="1FBAECA1">
      <w:pPr>
        <w:pStyle w:val="NoSpacing"/>
        <w:numPr>
          <w:ilvl w:val="0"/>
          <w:numId w:val="14"/>
        </w:numPr>
        <w:tabs>
          <w:tab w:val="left" w:pos="360"/>
        </w:tabs>
        <w:rPr>
          <w:szCs w:val="24"/>
        </w:rPr>
      </w:pPr>
      <w:r w:rsidRPr="00720A8E">
        <w:rPr>
          <w:szCs w:val="24"/>
        </w:rPr>
        <w:t xml:space="preserve">Aim 3 enrollment at Madison </w:t>
      </w:r>
      <w:r>
        <w:rPr>
          <w:szCs w:val="24"/>
        </w:rPr>
        <w:t>C</w:t>
      </w:r>
      <w:r w:rsidRPr="00720A8E">
        <w:rPr>
          <w:szCs w:val="24"/>
        </w:rPr>
        <w:t xml:space="preserve">linic </w:t>
      </w:r>
    </w:p>
    <w:p w:rsidR="00A03568" w:rsidRPr="00720A8E" w:rsidP="00D5305C" w14:paraId="100F1BB1" w14:textId="381BEBE9">
      <w:pPr>
        <w:pStyle w:val="NoSpacing"/>
        <w:numPr>
          <w:ilvl w:val="0"/>
          <w:numId w:val="14"/>
        </w:numPr>
        <w:tabs>
          <w:tab w:val="left" w:pos="360"/>
        </w:tabs>
        <w:rPr>
          <w:szCs w:val="24"/>
        </w:rPr>
      </w:pPr>
      <w:r>
        <w:rPr>
          <w:szCs w:val="24"/>
        </w:rPr>
        <w:t>Study visit survey and acceptability survey collection at Madison Clinic</w:t>
      </w:r>
    </w:p>
    <w:p w:rsidR="00D5305C" w:rsidP="00D5305C" w14:paraId="60DB4ECC" w14:textId="77777777">
      <w:pPr>
        <w:pStyle w:val="NoSpacing"/>
        <w:numPr>
          <w:ilvl w:val="0"/>
          <w:numId w:val="14"/>
        </w:numPr>
        <w:tabs>
          <w:tab w:val="left" w:pos="360"/>
        </w:tabs>
        <w:rPr>
          <w:szCs w:val="24"/>
        </w:rPr>
      </w:pPr>
      <w:r w:rsidRPr="00720A8E">
        <w:rPr>
          <w:szCs w:val="24"/>
        </w:rPr>
        <w:t xml:space="preserve">Focus groups </w:t>
      </w:r>
      <w:r>
        <w:rPr>
          <w:szCs w:val="24"/>
        </w:rPr>
        <w:t>or</w:t>
      </w:r>
      <w:r w:rsidRPr="00720A8E">
        <w:rPr>
          <w:szCs w:val="24"/>
        </w:rPr>
        <w:t xml:space="preserve"> interviews among </w:t>
      </w:r>
      <w:r>
        <w:rPr>
          <w:szCs w:val="24"/>
        </w:rPr>
        <w:t xml:space="preserve">a subset of </w:t>
      </w:r>
      <w:r w:rsidRPr="00720A8E">
        <w:rPr>
          <w:szCs w:val="24"/>
        </w:rPr>
        <w:t xml:space="preserve">Madison </w:t>
      </w:r>
      <w:r>
        <w:rPr>
          <w:szCs w:val="24"/>
        </w:rPr>
        <w:t xml:space="preserve">client </w:t>
      </w:r>
      <w:r w:rsidRPr="00720A8E">
        <w:rPr>
          <w:szCs w:val="24"/>
        </w:rPr>
        <w:t xml:space="preserve">participants </w:t>
      </w:r>
    </w:p>
    <w:p w:rsidR="00D5305C" w:rsidP="00D5305C" w14:paraId="586AC1B9" w14:textId="6411F398">
      <w:pPr>
        <w:pStyle w:val="NoSpacing"/>
        <w:numPr>
          <w:ilvl w:val="0"/>
          <w:numId w:val="14"/>
        </w:numPr>
        <w:tabs>
          <w:tab w:val="left" w:pos="360"/>
        </w:tabs>
        <w:rPr>
          <w:szCs w:val="24"/>
        </w:rPr>
      </w:pPr>
      <w:r>
        <w:rPr>
          <w:szCs w:val="24"/>
        </w:rPr>
        <w:t xml:space="preserve">Interviews with Madison </w:t>
      </w:r>
      <w:r w:rsidR="00A03568">
        <w:rPr>
          <w:szCs w:val="24"/>
        </w:rPr>
        <w:t xml:space="preserve">Clinic </w:t>
      </w:r>
      <w:r>
        <w:rPr>
          <w:szCs w:val="24"/>
        </w:rPr>
        <w:t>health care providers</w:t>
      </w:r>
    </w:p>
    <w:p w:rsidR="00D5305C" w:rsidRPr="00720A8E" w:rsidP="00D5305C" w14:paraId="1296B957" w14:textId="77777777">
      <w:pPr>
        <w:pStyle w:val="NoSpacing"/>
        <w:numPr>
          <w:ilvl w:val="0"/>
          <w:numId w:val="14"/>
        </w:numPr>
        <w:tabs>
          <w:tab w:val="left" w:pos="360"/>
        </w:tabs>
        <w:rPr>
          <w:szCs w:val="24"/>
        </w:rPr>
      </w:pPr>
      <w:r>
        <w:rPr>
          <w:szCs w:val="24"/>
        </w:rPr>
        <w:t xml:space="preserve">Follow up phone calls to Gay City participants </w:t>
      </w:r>
    </w:p>
    <w:p w:rsidR="00D5305C" w:rsidRPr="00720A8E" w:rsidP="00D5305C" w14:paraId="3B50FDFF" w14:textId="77777777">
      <w:pPr>
        <w:pStyle w:val="NoSpacing"/>
        <w:numPr>
          <w:ilvl w:val="0"/>
          <w:numId w:val="14"/>
        </w:numPr>
        <w:tabs>
          <w:tab w:val="left" w:pos="360"/>
        </w:tabs>
        <w:rPr>
          <w:szCs w:val="24"/>
        </w:rPr>
      </w:pPr>
      <w:r>
        <w:rPr>
          <w:szCs w:val="24"/>
        </w:rPr>
        <w:t>Medical record</w:t>
      </w:r>
      <w:r w:rsidRPr="00720A8E">
        <w:rPr>
          <w:szCs w:val="24"/>
        </w:rPr>
        <w:t xml:space="preserve"> data collection at Gay City and Madison </w:t>
      </w:r>
      <w:r>
        <w:rPr>
          <w:szCs w:val="24"/>
        </w:rPr>
        <w:t>Clinic</w:t>
      </w:r>
      <w:r w:rsidRPr="00720A8E">
        <w:rPr>
          <w:szCs w:val="24"/>
        </w:rPr>
        <w:t xml:space="preserve"> </w:t>
      </w:r>
    </w:p>
    <w:p w:rsidR="00D5305C" w:rsidP="00D5305C" w14:paraId="2D2CECBD" w14:textId="77777777">
      <w:pPr>
        <w:pStyle w:val="NoSpacing"/>
        <w:tabs>
          <w:tab w:val="left" w:pos="360"/>
        </w:tabs>
        <w:rPr>
          <w:szCs w:val="24"/>
        </w:rPr>
      </w:pPr>
    </w:p>
    <w:p w:rsidR="009244E5" w:rsidP="009244E5" w14:paraId="23D6079D" w14:textId="5BB86709">
      <w:pPr>
        <w:rPr>
          <w:color w:val="000000"/>
        </w:rPr>
      </w:pPr>
      <w:r>
        <w:rPr>
          <w:color w:val="000000"/>
        </w:rPr>
        <w:t>GAIN</w:t>
      </w:r>
      <w:r>
        <w:rPr>
          <w:color w:val="000000"/>
        </w:rPr>
        <w:t xml:space="preserve"> was awarded </w:t>
      </w:r>
      <w:r w:rsidR="003F7A89">
        <w:rPr>
          <w:szCs w:val="24"/>
        </w:rPr>
        <w:t>an extension to Cooperative Agreement #U01PS005196</w:t>
      </w:r>
      <w:r w:rsidR="002F23A5">
        <w:rPr>
          <w:szCs w:val="24"/>
        </w:rPr>
        <w:t xml:space="preserve"> </w:t>
      </w:r>
      <w:r>
        <w:rPr>
          <w:color w:val="000000"/>
        </w:rPr>
        <w:t xml:space="preserve">to complete the critical data collection described above. This information is necessary for CDC to understand </w:t>
      </w:r>
      <w:r w:rsidR="00B14563">
        <w:rPr>
          <w:color w:val="000000"/>
        </w:rPr>
        <w:t xml:space="preserve">the </w:t>
      </w:r>
      <w:r>
        <w:rPr>
          <w:color w:val="000000"/>
        </w:rPr>
        <w:t>implementation of point-of-care NATs</w:t>
      </w:r>
      <w:r w:rsidR="001A6D8C">
        <w:rPr>
          <w:color w:val="000000"/>
        </w:rPr>
        <w:t>; therefore</w:t>
      </w:r>
      <w:r>
        <w:rPr>
          <w:color w:val="000000"/>
        </w:rPr>
        <w:t xml:space="preserve">, </w:t>
      </w:r>
      <w:r w:rsidR="00E20471">
        <w:rPr>
          <w:color w:val="000000"/>
        </w:rPr>
        <w:t xml:space="preserve">we request </w:t>
      </w:r>
      <w:r>
        <w:rPr>
          <w:color w:val="000000"/>
        </w:rPr>
        <w:t xml:space="preserve">a reinstatement so </w:t>
      </w:r>
      <w:r w:rsidR="00BB0E41">
        <w:rPr>
          <w:color w:val="000000"/>
        </w:rPr>
        <w:t xml:space="preserve">that we may successfully complete this </w:t>
      </w:r>
      <w:r w:rsidR="00905089">
        <w:rPr>
          <w:color w:val="000000"/>
        </w:rPr>
        <w:t xml:space="preserve">information collection. </w:t>
      </w:r>
    </w:p>
    <w:p w:rsidR="0005082F" w:rsidP="00D5305C" w14:paraId="2C8989A1" w14:textId="77777777">
      <w:pPr>
        <w:pStyle w:val="NoSpacing"/>
        <w:tabs>
          <w:tab w:val="left" w:pos="360"/>
        </w:tabs>
        <w:rPr>
          <w:szCs w:val="24"/>
        </w:rPr>
      </w:pPr>
    </w:p>
    <w:p w:rsidR="00D5305C" w:rsidP="00D5305C" w14:paraId="2F82E4FB" w14:textId="5AB97AD0">
      <w:pPr>
        <w:pStyle w:val="NoSpacing"/>
        <w:tabs>
          <w:tab w:val="left" w:pos="360"/>
        </w:tabs>
        <w:rPr>
          <w:szCs w:val="24"/>
        </w:rPr>
      </w:pPr>
      <w:r>
        <w:rPr>
          <w:szCs w:val="24"/>
        </w:rPr>
        <w:t>To reduce burden and improve data quality, w</w:t>
      </w:r>
      <w:r w:rsidRPr="00720A8E">
        <w:rPr>
          <w:szCs w:val="24"/>
        </w:rPr>
        <w:t>e will use a combination of previously approved, revised, and new</w:t>
      </w:r>
      <w:r>
        <w:rPr>
          <w:szCs w:val="24"/>
        </w:rPr>
        <w:t xml:space="preserve"> </w:t>
      </w:r>
      <w:r w:rsidRPr="00720A8E">
        <w:rPr>
          <w:szCs w:val="24"/>
        </w:rPr>
        <w:t xml:space="preserve">data collection instruments to complete these study activities. </w:t>
      </w:r>
      <w:r w:rsidR="00DE3FD5">
        <w:rPr>
          <w:szCs w:val="24"/>
        </w:rPr>
        <w:t xml:space="preserve">Data collection instruments </w:t>
      </w:r>
      <w:r>
        <w:rPr>
          <w:szCs w:val="24"/>
        </w:rPr>
        <w:t>GAIN s</w:t>
      </w:r>
      <w:r w:rsidRPr="00B41689">
        <w:rPr>
          <w:szCs w:val="24"/>
        </w:rPr>
        <w:t xml:space="preserve">tudy stakeholders noted several opportunities to improve our understanding of POC NAT </w:t>
      </w:r>
      <w:r>
        <w:rPr>
          <w:szCs w:val="24"/>
        </w:rPr>
        <w:t>performance and acceptability</w:t>
      </w:r>
      <w:r w:rsidRPr="00B41689">
        <w:rPr>
          <w:szCs w:val="24"/>
        </w:rPr>
        <w:t xml:space="preserve"> by refining existing tools and collecting additional data; therefore, we </w:t>
      </w:r>
      <w:r>
        <w:rPr>
          <w:szCs w:val="24"/>
        </w:rPr>
        <w:t>propose</w:t>
      </w:r>
      <w:r w:rsidRPr="00B41689">
        <w:rPr>
          <w:szCs w:val="24"/>
        </w:rPr>
        <w:t xml:space="preserve"> </w:t>
      </w:r>
      <w:r>
        <w:rPr>
          <w:szCs w:val="24"/>
        </w:rPr>
        <w:t xml:space="preserve">non-substantive </w:t>
      </w:r>
      <w:r w:rsidRPr="00B41689">
        <w:rPr>
          <w:szCs w:val="24"/>
        </w:rPr>
        <w:t xml:space="preserve">revisions to </w:t>
      </w:r>
      <w:r>
        <w:rPr>
          <w:szCs w:val="24"/>
        </w:rPr>
        <w:t>four</w:t>
      </w:r>
      <w:r w:rsidRPr="00B41689">
        <w:rPr>
          <w:szCs w:val="24"/>
        </w:rPr>
        <w:t xml:space="preserve"> study instruments and the addition </w:t>
      </w:r>
      <w:r w:rsidRPr="00B41689">
        <w:rPr>
          <w:szCs w:val="24"/>
        </w:rPr>
        <w:t xml:space="preserve">of three new study instruments. </w:t>
      </w:r>
      <w:r w:rsidR="00292C81">
        <w:rPr>
          <w:szCs w:val="24"/>
        </w:rPr>
        <w:t xml:space="preserve">Details </w:t>
      </w:r>
      <w:r w:rsidR="00F31F54">
        <w:rPr>
          <w:szCs w:val="24"/>
        </w:rPr>
        <w:t xml:space="preserve">about the changes to study instruments can be found in </w:t>
      </w:r>
      <w:r w:rsidRPr="00007801" w:rsidR="00F31F54">
        <w:rPr>
          <w:b/>
          <w:bCs/>
          <w:szCs w:val="24"/>
        </w:rPr>
        <w:t xml:space="preserve">Attachment </w:t>
      </w:r>
      <w:r w:rsidRPr="00007801" w:rsidR="00C55E8C">
        <w:rPr>
          <w:b/>
          <w:bCs/>
          <w:szCs w:val="24"/>
        </w:rPr>
        <w:t>10 Detail of Changes to Data Collection Instruments</w:t>
      </w:r>
      <w:r w:rsidR="00C55E8C">
        <w:rPr>
          <w:szCs w:val="24"/>
        </w:rPr>
        <w:t xml:space="preserve">. </w:t>
      </w:r>
    </w:p>
    <w:p w:rsidR="00D5305C" w:rsidP="00D5305C" w14:paraId="4B972E40" w14:textId="77777777">
      <w:pPr>
        <w:pStyle w:val="NoSpacing"/>
        <w:tabs>
          <w:tab w:val="left" w:pos="360"/>
        </w:tabs>
        <w:rPr>
          <w:szCs w:val="24"/>
        </w:rPr>
      </w:pPr>
    </w:p>
    <w:p w:rsidR="00D5305C" w:rsidP="00D5305C" w14:paraId="48BFA83D" w14:textId="77777777">
      <w:pPr>
        <w:pStyle w:val="ListParagraph"/>
        <w:spacing w:after="0" w:line="240" w:lineRule="auto"/>
        <w:ind w:left="0"/>
        <w:contextualSpacing w:val="0"/>
        <w:rPr>
          <w:rFonts w:ascii="Times New Roman" w:hAnsi="Times New Roman" w:eastAsiaTheme="minorHAnsi"/>
          <w:sz w:val="24"/>
          <w:szCs w:val="24"/>
          <w:lang w:val="en-US" w:eastAsia="en-US"/>
        </w:rPr>
      </w:pPr>
    </w:p>
    <w:p w:rsidR="00D5305C" w:rsidRPr="0005082F" w:rsidP="0005082F" w14:paraId="3C115C1F" w14:textId="40B1B648">
      <w:pPr>
        <w:pStyle w:val="ListParagraph"/>
        <w:spacing w:after="0" w:line="240" w:lineRule="auto"/>
        <w:ind w:left="0"/>
        <w:contextualSpacing w:val="0"/>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The study consent form </w:t>
      </w:r>
      <w:r w:rsidRPr="00081ADA">
        <w:rPr>
          <w:rFonts w:ascii="Times New Roman" w:hAnsi="Times New Roman" w:eastAsiaTheme="minorHAnsi"/>
          <w:sz w:val="24"/>
          <w:szCs w:val="24"/>
          <w:lang w:val="en-US" w:eastAsia="en-US"/>
        </w:rPr>
        <w:t xml:space="preserve">and all data collection instruments have been approved by the </w:t>
      </w:r>
      <w:r>
        <w:rPr>
          <w:rFonts w:ascii="Times New Roman" w:hAnsi="Times New Roman" w:eastAsiaTheme="minorHAnsi"/>
          <w:sz w:val="24"/>
          <w:szCs w:val="24"/>
          <w:lang w:val="en-US" w:eastAsia="en-US"/>
        </w:rPr>
        <w:t>University of Washington (UW)</w:t>
      </w:r>
      <w:r w:rsidRPr="00081ADA">
        <w:rPr>
          <w:rFonts w:ascii="Times New Roman" w:hAnsi="Times New Roman" w:eastAsiaTheme="minorHAnsi"/>
          <w:sz w:val="24"/>
          <w:szCs w:val="24"/>
          <w:lang w:val="en-US" w:eastAsia="en-US"/>
        </w:rPr>
        <w:t xml:space="preserve"> Institutional Review Board (IRB) (</w:t>
      </w:r>
      <w:r w:rsidRPr="00081ADA">
        <w:rPr>
          <w:rFonts w:ascii="Times New Roman" w:hAnsi="Times New Roman" w:eastAsiaTheme="minorHAnsi"/>
          <w:b/>
          <w:sz w:val="24"/>
          <w:szCs w:val="24"/>
          <w:lang w:val="en-US" w:eastAsia="en-US"/>
        </w:rPr>
        <w:t>Attachment 6</w:t>
      </w:r>
      <w:r>
        <w:rPr>
          <w:rFonts w:ascii="Times New Roman" w:hAnsi="Times New Roman" w:eastAsiaTheme="minorHAnsi"/>
          <w:b/>
          <w:sz w:val="24"/>
          <w:szCs w:val="24"/>
          <w:lang w:val="en-US" w:eastAsia="en-US"/>
        </w:rPr>
        <w:t>a and 6b</w:t>
      </w:r>
      <w:r w:rsidRPr="00081ADA">
        <w:rPr>
          <w:rFonts w:ascii="Times New Roman" w:hAnsi="Times New Roman" w:eastAsiaTheme="minorHAnsi"/>
          <w:sz w:val="24"/>
          <w:szCs w:val="24"/>
          <w:lang w:val="en-US" w:eastAsia="en-US"/>
        </w:rPr>
        <w:t xml:space="preserve">). </w:t>
      </w:r>
    </w:p>
    <w:p w:rsidR="002C5246" w:rsidP="000A4126" w14:paraId="2CDE325C" w14:textId="6F671004">
      <w:pPr>
        <w:pStyle w:val="NoSpacing"/>
        <w:tabs>
          <w:tab w:val="left" w:pos="360"/>
        </w:tabs>
        <w:rPr>
          <w:rFonts w:cs="Times New Roman"/>
        </w:rPr>
      </w:pPr>
    </w:p>
    <w:p w:rsidR="002C5246" w:rsidP="000A4126" w14:paraId="5FDE6323" w14:textId="492BAF01">
      <w:pPr>
        <w:pStyle w:val="NoSpacing"/>
        <w:tabs>
          <w:tab w:val="left" w:pos="360"/>
        </w:tabs>
        <w:rPr>
          <w:rFonts w:cs="Times New Roman"/>
          <w:b/>
          <w:bCs/>
        </w:rPr>
      </w:pPr>
      <w:r w:rsidRPr="002C5246">
        <w:rPr>
          <w:rFonts w:cs="Times New Roman"/>
          <w:b/>
          <w:bCs/>
        </w:rPr>
        <w:t>2.</w:t>
      </w:r>
      <w:r w:rsidRPr="002C5246">
        <w:rPr>
          <w:rFonts w:cs="Times New Roman"/>
          <w:b/>
          <w:bCs/>
        </w:rPr>
        <w:tab/>
        <w:t>Purpose and Use of the Information Collection</w:t>
      </w:r>
      <w:r w:rsidR="005F0E61">
        <w:rPr>
          <w:rFonts w:cs="Times New Roman"/>
          <w:b/>
          <w:bCs/>
        </w:rPr>
        <w:t xml:space="preserve"> </w:t>
      </w:r>
    </w:p>
    <w:p w:rsidR="002C5246" w:rsidP="0089092A" w14:paraId="48BA7E95" w14:textId="3596F192">
      <w:pPr>
        <w:pStyle w:val="NoSpacing"/>
        <w:tabs>
          <w:tab w:val="left" w:pos="360"/>
        </w:tabs>
        <w:rPr>
          <w:rFonts w:cs="Times New Roman"/>
          <w:b/>
          <w:bCs/>
        </w:rPr>
      </w:pPr>
    </w:p>
    <w:p w:rsidR="00081FFA" w:rsidP="0089092A" w14:paraId="5C89B1E2" w14:textId="357D62D4">
      <w:pPr>
        <w:pStyle w:val="NoSpacing"/>
        <w:tabs>
          <w:tab w:val="left" w:pos="360"/>
        </w:tabs>
        <w:rPr>
          <w:szCs w:val="24"/>
        </w:rPr>
      </w:pPr>
      <w:r>
        <w:rPr>
          <w:szCs w:val="24"/>
        </w:rPr>
        <w:t xml:space="preserve">The purpose of this information collection </w:t>
      </w:r>
      <w:r w:rsidRPr="00CD0AFC">
        <w:rPr>
          <w:szCs w:val="24"/>
        </w:rPr>
        <w:t xml:space="preserve">is to determine the acceptability and feasibility </w:t>
      </w:r>
      <w:r w:rsidR="00B43195">
        <w:rPr>
          <w:szCs w:val="24"/>
        </w:rPr>
        <w:t xml:space="preserve">of </w:t>
      </w:r>
      <w:r w:rsidRPr="00CD0AFC">
        <w:rPr>
          <w:szCs w:val="24"/>
        </w:rPr>
        <w:t xml:space="preserve">POC NAT </w:t>
      </w:r>
      <w:r w:rsidR="00B43195">
        <w:rPr>
          <w:szCs w:val="24"/>
        </w:rPr>
        <w:t>implementation</w:t>
      </w:r>
      <w:r w:rsidRPr="00CD0AFC">
        <w:rPr>
          <w:szCs w:val="24"/>
        </w:rPr>
        <w:t xml:space="preserve"> in clinical and community setting</w:t>
      </w:r>
      <w:r w:rsidR="0052707B">
        <w:rPr>
          <w:szCs w:val="24"/>
        </w:rPr>
        <w:t>s</w:t>
      </w:r>
      <w:r w:rsidRPr="00CD0AFC">
        <w:rPr>
          <w:szCs w:val="24"/>
        </w:rPr>
        <w:t xml:space="preserve">. POC NATs have the potential to help address some of the remaining challenges to ending the HIV epidemic in the United States by assisting with early detection of acute HIV infection and by providing a more </w:t>
      </w:r>
      <w:r w:rsidR="00A139D3">
        <w:rPr>
          <w:szCs w:val="24"/>
        </w:rPr>
        <w:t>efficient</w:t>
      </w:r>
      <w:r w:rsidRPr="00CD0AFC">
        <w:rPr>
          <w:szCs w:val="24"/>
        </w:rPr>
        <w:t xml:space="preserve"> viral load monitoring tool for people living with HIV. This study is the first of its kind in the US and is critical to </w:t>
      </w:r>
      <w:bookmarkStart w:id="13" w:name="_Hlk190438124"/>
      <w:r w:rsidRPr="00CD0AFC">
        <w:rPr>
          <w:szCs w:val="24"/>
        </w:rPr>
        <w:t>understanding the utility of POC NAT and provider and patient perspectives on its use in the US.</w:t>
      </w:r>
    </w:p>
    <w:bookmarkEnd w:id="13"/>
    <w:p w:rsidR="00B03544" w:rsidP="0089092A" w14:paraId="1585DF42" w14:textId="77777777">
      <w:pPr>
        <w:pStyle w:val="NoSpacing"/>
        <w:tabs>
          <w:tab w:val="left" w:pos="360"/>
        </w:tabs>
        <w:rPr>
          <w:szCs w:val="24"/>
        </w:rPr>
      </w:pPr>
    </w:p>
    <w:p w:rsidR="0052707B" w:rsidP="0052707B" w14:paraId="486CFDF0" w14:textId="5D93EAC7">
      <w:pPr>
        <w:pStyle w:val="NoSpacing"/>
        <w:tabs>
          <w:tab w:val="left" w:pos="360"/>
        </w:tabs>
        <w:rPr>
          <w:bCs/>
          <w:szCs w:val="24"/>
        </w:rPr>
      </w:pPr>
      <w:r>
        <w:rPr>
          <w:szCs w:val="24"/>
        </w:rPr>
        <w:t xml:space="preserve">Data collected during this study will be used to evaluate </w:t>
      </w:r>
      <w:r w:rsidRPr="00FD2541">
        <w:rPr>
          <w:bCs/>
          <w:szCs w:val="24"/>
        </w:rPr>
        <w:t xml:space="preserve">the performance of POC NAT and associated clinical outcomes, patient and provider perspectives regarding acceptability and feasibility, </w:t>
      </w:r>
      <w:r w:rsidRPr="000C18B4">
        <w:rPr>
          <w:bCs/>
          <w:szCs w:val="24"/>
        </w:rPr>
        <w:t>and implementation science outcomes</w:t>
      </w:r>
      <w:r w:rsidRPr="00FD2541">
        <w:rPr>
          <w:bCs/>
          <w:szCs w:val="24"/>
        </w:rPr>
        <w:t xml:space="preserve">. </w:t>
      </w:r>
      <w:r w:rsidRPr="0052707B">
        <w:rPr>
          <w:bCs/>
          <w:szCs w:val="24"/>
        </w:rPr>
        <w:t>The GAIN study will develop, implement, and evaluate models for use of POC NAT among HIV-negative persons seeking HIV testing, PEP, and PrEP and HIV-positive persons in community and clinical settings.</w:t>
      </w:r>
      <w:r>
        <w:rPr>
          <w:bCs/>
          <w:szCs w:val="24"/>
        </w:rPr>
        <w:t xml:space="preserve"> </w:t>
      </w:r>
      <w:r w:rsidRPr="0052707B">
        <w:rPr>
          <w:bCs/>
          <w:szCs w:val="24"/>
        </w:rPr>
        <w:t>Study findings will be disseminated through community forums, academic and community conference presentations, and peer-reviewed publications.</w:t>
      </w:r>
    </w:p>
    <w:p w:rsidR="00442205" w:rsidP="0089092A" w14:paraId="4E93D521" w14:textId="77777777">
      <w:pPr>
        <w:pStyle w:val="NoSpacing"/>
        <w:tabs>
          <w:tab w:val="left" w:pos="360"/>
        </w:tabs>
        <w:rPr>
          <w:rFonts w:cs="Times New Roman"/>
          <w:szCs w:val="24"/>
        </w:rPr>
      </w:pPr>
    </w:p>
    <w:p w:rsidR="00442205" w:rsidRPr="00A03B6B" w:rsidP="00442205" w14:paraId="54472453" w14:textId="77777777">
      <w:pPr>
        <w:pStyle w:val="NoSpacing"/>
        <w:tabs>
          <w:tab w:val="left" w:pos="360"/>
        </w:tabs>
        <w:rPr>
          <w:rFonts w:cs="Times New Roman"/>
        </w:rPr>
      </w:pPr>
      <w:r w:rsidRPr="00A03B6B">
        <w:rPr>
          <w:rFonts w:cs="Times New Roman"/>
        </w:rPr>
        <w:t>This project is in alignment with the following goals and objectives of the National HIV/AIDS Strategy (2022-2025)</w:t>
      </w:r>
      <w:r>
        <w:rPr>
          <w:rFonts w:cs="Times New Roman"/>
          <w:vertAlign w:val="superscript"/>
        </w:rPr>
        <w:t>8</w:t>
      </w:r>
      <w:r w:rsidRPr="00A03B6B">
        <w:rPr>
          <w:rFonts w:cs="Times New Roman"/>
        </w:rPr>
        <w:t xml:space="preserve">: </w:t>
      </w:r>
    </w:p>
    <w:p w:rsidR="00442205" w:rsidP="00442205" w14:paraId="48496688" w14:textId="77777777">
      <w:pPr>
        <w:pStyle w:val="NoSpacing"/>
        <w:numPr>
          <w:ilvl w:val="0"/>
          <w:numId w:val="8"/>
        </w:numPr>
        <w:tabs>
          <w:tab w:val="left" w:pos="360"/>
        </w:tabs>
        <w:ind w:left="504"/>
        <w:rPr>
          <w:rFonts w:cs="Times New Roman"/>
        </w:rPr>
      </w:pPr>
      <w:r w:rsidRPr="00A03B6B">
        <w:rPr>
          <w:rFonts w:cs="Times New Roman"/>
        </w:rPr>
        <w:t>Goal 1: Prevent New HIV Infections</w:t>
      </w:r>
    </w:p>
    <w:p w:rsidR="00442205" w:rsidP="00442205" w14:paraId="42EF5C34" w14:textId="77777777">
      <w:pPr>
        <w:pStyle w:val="NoSpacing"/>
        <w:numPr>
          <w:ilvl w:val="1"/>
          <w:numId w:val="8"/>
        </w:numPr>
        <w:tabs>
          <w:tab w:val="left" w:pos="360"/>
        </w:tabs>
        <w:ind w:left="648"/>
        <w:rPr>
          <w:rFonts w:cs="Times New Roman"/>
        </w:rPr>
      </w:pPr>
      <w:r w:rsidRPr="00DD2EBA">
        <w:rPr>
          <w:rFonts w:cs="Times New Roman"/>
        </w:rPr>
        <w:t>Objective 1.</w:t>
      </w:r>
      <w:r>
        <w:rPr>
          <w:rFonts w:cs="Times New Roman"/>
        </w:rPr>
        <w:t>2</w:t>
      </w:r>
      <w:r w:rsidRPr="00DD2EBA">
        <w:rPr>
          <w:rFonts w:cs="Times New Roman"/>
        </w:rPr>
        <w:t xml:space="preserve">: </w:t>
      </w:r>
      <w:r>
        <w:rPr>
          <w:rFonts w:cs="Times New Roman"/>
        </w:rPr>
        <w:t>Increase knowledge of HIV status</w:t>
      </w:r>
    </w:p>
    <w:p w:rsidR="00442205" w:rsidRPr="00DD2EBA" w:rsidP="00442205" w14:paraId="73B106D6" w14:textId="77777777">
      <w:pPr>
        <w:pStyle w:val="NoSpacing"/>
        <w:numPr>
          <w:ilvl w:val="1"/>
          <w:numId w:val="8"/>
        </w:numPr>
        <w:tabs>
          <w:tab w:val="left" w:pos="360"/>
        </w:tabs>
        <w:ind w:left="648"/>
        <w:rPr>
          <w:rFonts w:cs="Times New Roman"/>
        </w:rPr>
      </w:pPr>
      <w:r>
        <w:rPr>
          <w:rFonts w:cs="Times New Roman"/>
        </w:rPr>
        <w:t>Objective 1.4: Increase the diversity and capacity of health care delivery systems, community health, public health, and the health workforce to prevent and diagnose HIV</w:t>
      </w:r>
    </w:p>
    <w:p w:rsidR="00442205" w:rsidP="00442205" w14:paraId="696038AD" w14:textId="77777777">
      <w:pPr>
        <w:pStyle w:val="NoSpacing"/>
        <w:numPr>
          <w:ilvl w:val="0"/>
          <w:numId w:val="8"/>
        </w:numPr>
        <w:tabs>
          <w:tab w:val="left" w:pos="360"/>
        </w:tabs>
        <w:ind w:left="504"/>
        <w:rPr>
          <w:rFonts w:cs="Times New Roman"/>
        </w:rPr>
      </w:pPr>
      <w:r w:rsidRPr="00A03B6B">
        <w:rPr>
          <w:rFonts w:cs="Times New Roman"/>
        </w:rPr>
        <w:t xml:space="preserve">Goal 3: </w:t>
      </w:r>
      <w:r>
        <w:rPr>
          <w:rFonts w:cs="Times New Roman"/>
        </w:rPr>
        <w:t>Improve HIV-related health outcomes of people with HIV</w:t>
      </w:r>
    </w:p>
    <w:p w:rsidR="00442205" w:rsidRPr="00DD2EBA" w:rsidP="00442205" w14:paraId="2B6B2548" w14:textId="77777777">
      <w:pPr>
        <w:pStyle w:val="NoSpacing"/>
        <w:numPr>
          <w:ilvl w:val="1"/>
          <w:numId w:val="8"/>
        </w:numPr>
        <w:tabs>
          <w:tab w:val="left" w:pos="360"/>
        </w:tabs>
        <w:ind w:left="648"/>
        <w:rPr>
          <w:rFonts w:cs="Times New Roman"/>
        </w:rPr>
      </w:pPr>
      <w:r w:rsidRPr="00DD2EBA">
        <w:rPr>
          <w:rFonts w:cs="Times New Roman"/>
        </w:rPr>
        <w:t xml:space="preserve">Objective </w:t>
      </w:r>
      <w:r>
        <w:rPr>
          <w:rFonts w:cs="Times New Roman"/>
        </w:rPr>
        <w:t>2.4:</w:t>
      </w:r>
      <w:r w:rsidRPr="00DD2EBA">
        <w:rPr>
          <w:rFonts w:cs="Times New Roman"/>
        </w:rPr>
        <w:t xml:space="preserve"> </w:t>
      </w:r>
      <w:r>
        <w:rPr>
          <w:rFonts w:cs="Times New Roman"/>
        </w:rPr>
        <w:t>Increase the capacity of the public health, health care delivery systems, and health care workforce to effectively identify, diagnose, and provide holistic care and treatment for people with HIV</w:t>
      </w:r>
    </w:p>
    <w:p w:rsidR="00442205" w:rsidP="00442205" w14:paraId="48820C3A" w14:textId="77777777">
      <w:pPr>
        <w:pStyle w:val="NoSpacing"/>
        <w:tabs>
          <w:tab w:val="left" w:pos="360"/>
        </w:tabs>
        <w:rPr>
          <w:rFonts w:cs="Times New Roman"/>
        </w:rPr>
      </w:pPr>
    </w:p>
    <w:p w:rsidR="00442205" w:rsidRPr="00C312AC" w:rsidP="00442205" w14:paraId="401BFB71" w14:textId="77777777">
      <w:pPr>
        <w:pStyle w:val="NoSpacing"/>
        <w:tabs>
          <w:tab w:val="left" w:pos="360"/>
        </w:tabs>
      </w:pPr>
      <w:r w:rsidRPr="00A03B6B">
        <w:rPr>
          <w:rFonts w:cs="Times New Roma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w:t>
      </w:r>
      <w:r>
        <w:rPr>
          <w:rFonts w:cs="Times New Roman"/>
        </w:rPr>
        <w:t>,</w:t>
      </w:r>
      <w:r w:rsidRPr="00A03B6B">
        <w:rPr>
          <w:rFonts w:cs="Times New Roman"/>
        </w:rPr>
        <w:t xml:space="preserve"> and Respond Quickly</w:t>
      </w:r>
      <w:r>
        <w:rPr>
          <w:rFonts w:cs="Times New Roman"/>
        </w:rPr>
        <w:t>.</w:t>
      </w:r>
      <w:r>
        <w:rPr>
          <w:rFonts w:cs="Times New Roman"/>
          <w:vertAlign w:val="superscript"/>
        </w:rPr>
        <w:t>9</w:t>
      </w:r>
      <w:r w:rsidRPr="00A03B6B">
        <w:rPr>
          <w:rFonts w:cs="Times New Roman"/>
        </w:rPr>
        <w:t xml:space="preserve"> </w:t>
      </w:r>
      <w:r>
        <w:rPr>
          <w:rFonts w:cs="Times New Roman"/>
        </w:rPr>
        <w:t xml:space="preserve">The aim of this research is to develop an implementation model for using HIV POC NATs to reduce time between HIV testing and linkage to HIV prevention and HIV treatment and care. </w:t>
      </w:r>
    </w:p>
    <w:p w:rsidR="00442205" w:rsidRPr="00A03B6B" w:rsidP="00442205" w14:paraId="0C89E6E2" w14:textId="77777777">
      <w:pPr>
        <w:pStyle w:val="NoSpacing"/>
        <w:tabs>
          <w:tab w:val="left" w:pos="360"/>
        </w:tabs>
        <w:rPr>
          <w:rFonts w:cs="Times New Roman"/>
        </w:rPr>
      </w:pPr>
    </w:p>
    <w:p w:rsidR="00442205" w:rsidRPr="00A03B6B" w:rsidP="00442205" w14:paraId="216B34DC" w14:textId="77777777">
      <w:pPr>
        <w:pStyle w:val="NoSpacing"/>
        <w:tabs>
          <w:tab w:val="left" w:pos="360"/>
        </w:tabs>
        <w:rPr>
          <w:rFonts w:cs="Times New Roman"/>
        </w:rPr>
      </w:pPr>
      <w:r w:rsidRPr="00A03B6B">
        <w:rPr>
          <w:rFonts w:cs="Times New Roman"/>
        </w:rPr>
        <w:t xml:space="preserve">This project will involve interaction with human participants and intends to collect new individually identifiable data and biospecimens from the participants. This project is considered human subjects research and will be covered by the Paperwork Reduction Act. </w:t>
      </w:r>
    </w:p>
    <w:p w:rsidR="00442205" w:rsidRPr="00A03B6B" w:rsidP="00442205" w14:paraId="28D79DB6" w14:textId="77777777">
      <w:pPr>
        <w:pStyle w:val="NoSpacing"/>
        <w:tabs>
          <w:tab w:val="left" w:pos="360"/>
        </w:tabs>
        <w:rPr>
          <w:rFonts w:cs="Times New Roman"/>
        </w:rPr>
      </w:pPr>
    </w:p>
    <w:p w:rsidR="00181718" w:rsidRPr="00BE520E" w:rsidP="0089092A" w14:paraId="43348824" w14:textId="7786E514">
      <w:pPr>
        <w:pStyle w:val="NoSpacing"/>
        <w:tabs>
          <w:tab w:val="left" w:pos="360"/>
        </w:tabs>
        <w:rPr>
          <w:rFonts w:cs="Times New Roman"/>
        </w:rPr>
      </w:pPr>
      <w:r w:rsidRPr="00A03B6B">
        <w:rPr>
          <w:rFonts w:cs="Times New Roman"/>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A03B6B">
        <w:rPr>
          <w:rFonts w:cs="Times New Roman"/>
          <w:b/>
          <w:bCs/>
        </w:rPr>
        <w:t>Attachment 1</w:t>
      </w:r>
      <w:r w:rsidRPr="00A03B6B">
        <w:rPr>
          <w:rFonts w:cs="Times New Roman"/>
        </w:rPr>
        <w:t>)</w:t>
      </w:r>
    </w:p>
    <w:p w:rsidR="002C5246" w:rsidP="002C5246" w14:paraId="4307958C" w14:textId="23A5CD90">
      <w:pPr>
        <w:pStyle w:val="Heading1"/>
        <w:numPr>
          <w:ilvl w:val="0"/>
          <w:numId w:val="0"/>
        </w:numPr>
        <w:rPr>
          <w:rFonts w:cs="Times New Roman"/>
        </w:rPr>
      </w:pPr>
      <w:bookmarkStart w:id="14" w:name="_3.__"/>
      <w:bookmarkStart w:id="15" w:name="_Toc485202297"/>
      <w:bookmarkStart w:id="16" w:name="ImprovedInfoTech3"/>
      <w:bookmarkEnd w:id="14"/>
      <w:r>
        <w:rPr>
          <w:rFonts w:cs="Times New Roman"/>
        </w:rPr>
        <w:t xml:space="preserve">3.   </w:t>
      </w:r>
      <w:r w:rsidRPr="00C469CA">
        <w:rPr>
          <w:rFonts w:cs="Times New Roman"/>
        </w:rPr>
        <w:t>Use of Improved Information Technology and Burden Reduction</w:t>
      </w:r>
      <w:bookmarkEnd w:id="15"/>
    </w:p>
    <w:bookmarkEnd w:id="16"/>
    <w:p w:rsidR="003F136D" w:rsidP="00200035" w14:paraId="426FBFF5" w14:textId="77777777"/>
    <w:p w:rsidR="00A41B39" w:rsidP="00200035" w14:paraId="2C59B87C" w14:textId="3B7B313E">
      <w:r>
        <w:t xml:space="preserve">Participant surveys (study visit survey and post-visit acceptability survey) will be </w:t>
      </w:r>
      <w:r w:rsidR="00E959DF">
        <w:t xml:space="preserve">delivered </w:t>
      </w:r>
      <w:r w:rsidR="00FA53AF">
        <w:t>using</w:t>
      </w:r>
      <w:r w:rsidR="00E959DF">
        <w:t xml:space="preserve"> computer-assisted self-administered</w:t>
      </w:r>
      <w:r w:rsidR="00FA53AF">
        <w:t xml:space="preserve"> instruments. Using computer-assisted technology to conduct the assessments</w:t>
      </w:r>
      <w:r w:rsidR="00171EC9">
        <w:t xml:space="preserve"> will allow the study to build in computer-generated skip patterns, significantly cutting down on respondent burden. </w:t>
      </w:r>
      <w:r w:rsidR="00792243">
        <w:t>In addition, data collected through computer application can be used to automatically generate the study database, reducing data entry burden</w:t>
      </w:r>
      <w:r w:rsidR="006438DF">
        <w:t xml:space="preserve"> and potential interviewers and data coding errors. Computer assisted </w:t>
      </w:r>
      <w:r w:rsidR="005408AA">
        <w:t xml:space="preserve">surveys also evoke a greater sense of privacy than surveys that involve personal interviewing, thereby encouraging participants to answer more sensitive personal questions. </w:t>
      </w:r>
      <w:r w:rsidR="00932460">
        <w:t>Participant surveys will be conducted during in-person visits</w:t>
      </w:r>
      <w:r w:rsidR="00280174">
        <w:t xml:space="preserve"> and study staff will be available to assist them or answer questions. The study will provide laptops for participants to complete the assessments</w:t>
      </w:r>
      <w:r w:rsidR="004D16C1">
        <w:t xml:space="preserve">. </w:t>
      </w:r>
      <w:r w:rsidR="00235F83">
        <w:t>Participants will have the option to complete the</w:t>
      </w:r>
      <w:r w:rsidR="00CB788A">
        <w:t xml:space="preserve"> f</w:t>
      </w:r>
      <w:r w:rsidR="00D76A78">
        <w:t xml:space="preserve">ollow up </w:t>
      </w:r>
      <w:r w:rsidR="00CB788A">
        <w:t>call survey</w:t>
      </w:r>
      <w:r w:rsidR="00D76A78">
        <w:t xml:space="preserve"> </w:t>
      </w:r>
      <w:r w:rsidR="004206BA">
        <w:t>either by</w:t>
      </w:r>
      <w:r w:rsidR="00D76A78">
        <w:t xml:space="preserve"> telephone or </w:t>
      </w:r>
      <w:r w:rsidR="00E602F9">
        <w:t xml:space="preserve">virtual </w:t>
      </w:r>
      <w:r w:rsidR="00146F6F">
        <w:t xml:space="preserve">call </w:t>
      </w:r>
      <w:r w:rsidR="00D50269">
        <w:t>(Zoom)</w:t>
      </w:r>
      <w:r w:rsidR="002024EF">
        <w:t xml:space="preserve">, </w:t>
      </w:r>
      <w:r w:rsidRPr="003F136D" w:rsidR="00B84CFD">
        <w:t xml:space="preserve">This will allow participants to complete the </w:t>
      </w:r>
      <w:r w:rsidR="00B84CFD">
        <w:t>follow up survey</w:t>
      </w:r>
      <w:r w:rsidRPr="003F136D" w:rsidR="00B84CFD">
        <w:t xml:space="preserve"> at a place and time that is most </w:t>
      </w:r>
      <w:r w:rsidR="00B84CFD">
        <w:t xml:space="preserve">secure and </w:t>
      </w:r>
      <w:r w:rsidRPr="003F136D" w:rsidR="00B84CFD">
        <w:t>convenient to them.</w:t>
      </w:r>
    </w:p>
    <w:p w:rsidR="00B84CFD" w:rsidP="00200035" w14:paraId="734445FD" w14:textId="77777777"/>
    <w:p w:rsidR="000D76D3" w:rsidP="00200035" w14:paraId="370DAF29" w14:textId="67874825">
      <w:r>
        <w:t xml:space="preserve">The GAIN study will use Research Electronic Data Capture (REDCap), a secure, HIPAA compliant, web-based survey application hosted by the awardee (University of Washington), to support direct electronic data capture for research studies, </w:t>
      </w:r>
      <w:r w:rsidRPr="00754433">
        <w:t>providing user-friendly web-based case report forms, real-time data entry validation (e.g., for data types and range checks), audit trails, and a de-identified data export mechanism to common statistical packages. All REDCap accounts are role-based, and password protected.</w:t>
      </w:r>
    </w:p>
    <w:p w:rsidR="000D76D3" w:rsidP="00200035" w14:paraId="199360D9" w14:textId="77777777"/>
    <w:p w:rsidR="00BA578D" w:rsidP="00200035" w14:paraId="22A78F4B" w14:textId="0DBC4258">
      <w:r>
        <w:t>R</w:t>
      </w:r>
      <w:r w:rsidR="00182D2E">
        <w:t xml:space="preserve">espondents </w:t>
      </w:r>
      <w:r w:rsidR="000315FE">
        <w:t>(</w:t>
      </w:r>
      <w:r w:rsidR="00363CB0">
        <w:t>patient</w:t>
      </w:r>
      <w:r w:rsidR="000315FE">
        <w:t xml:space="preserve"> and providers) will have the option to complete </w:t>
      </w:r>
      <w:r>
        <w:t>the study</w:t>
      </w:r>
      <w:r w:rsidR="000315FE">
        <w:t xml:space="preserve"> </w:t>
      </w:r>
      <w:r w:rsidR="0005082F">
        <w:t xml:space="preserve">focus groups or </w:t>
      </w:r>
      <w:r w:rsidR="000315FE">
        <w:t>interview</w:t>
      </w:r>
      <w:r w:rsidR="0005082F">
        <w:t>s</w:t>
      </w:r>
      <w:r w:rsidR="000315FE">
        <w:t xml:space="preserve"> either </w:t>
      </w:r>
      <w:r w:rsidR="006D618D">
        <w:t xml:space="preserve">in-person or </w:t>
      </w:r>
      <w:r w:rsidR="00FA77DF">
        <w:t>virtually</w:t>
      </w:r>
      <w:r w:rsidR="000315FE">
        <w:t xml:space="preserve"> (via Zoom)</w:t>
      </w:r>
      <w:r w:rsidR="0065098D">
        <w:t xml:space="preserve">. This will allow respondents to complete the </w:t>
      </w:r>
      <w:r w:rsidR="0005082F">
        <w:t>collection</w:t>
      </w:r>
      <w:r w:rsidR="0065098D">
        <w:t xml:space="preserve"> in a setting and time that is most </w:t>
      </w:r>
      <w:r w:rsidR="00BA00A2">
        <w:t xml:space="preserve">comfortable and </w:t>
      </w:r>
      <w:r w:rsidR="0065098D">
        <w:t>convenient to their schedules</w:t>
      </w:r>
      <w:r w:rsidR="00BA00A2">
        <w:t xml:space="preserve">. All interviews </w:t>
      </w:r>
      <w:r w:rsidR="00D3167D">
        <w:t xml:space="preserve">will be audio-recorded. </w:t>
      </w:r>
      <w:r w:rsidRPr="00F9604A" w:rsidR="00F9604A">
        <w:t>This limits burden on the interviewer (the interviewer does not have to take handwritten notes), allows researchers to accurately capture participant responses, and allows the interviewer or focus group moderator to concentrate on building and maintaining rapport with the respondent.</w:t>
      </w:r>
    </w:p>
    <w:p w:rsidR="002C5246" w:rsidRPr="002C5246" w:rsidP="00200035" w14:paraId="2B8EB9AB" w14:textId="77777777"/>
    <w:p w:rsidR="009C2F13" w:rsidP="009C2F13" w14:paraId="1480826D" w14:textId="77777777">
      <w:pPr>
        <w:pStyle w:val="ListParagraph"/>
        <w:spacing w:after="0" w:line="240" w:lineRule="auto"/>
        <w:ind w:left="0"/>
        <w:contextualSpacing w:val="0"/>
        <w:rPr>
          <w:rFonts w:ascii="Times New Roman" w:hAnsi="Times New Roman" w:eastAsiaTheme="minorHAnsi"/>
          <w:b/>
          <w:bCs/>
          <w:sz w:val="24"/>
          <w:szCs w:val="24"/>
          <w:lang w:val="en-US" w:eastAsia="en-US"/>
        </w:rPr>
      </w:pPr>
      <w:bookmarkStart w:id="17" w:name="EffortsToIdentifyDuplication4"/>
      <w:r w:rsidRPr="00872253">
        <w:rPr>
          <w:rFonts w:ascii="Times New Roman" w:hAnsi="Times New Roman" w:eastAsiaTheme="minorHAnsi"/>
          <w:b/>
          <w:bCs/>
          <w:sz w:val="24"/>
          <w:szCs w:val="24"/>
          <w:lang w:val="en-US" w:eastAsia="en-US"/>
        </w:rPr>
        <w:t>4.    Efforts to Identify Duplication and Use of Similar Information</w:t>
      </w:r>
      <w:bookmarkStart w:id="18" w:name="_Toc485202299"/>
    </w:p>
    <w:bookmarkEnd w:id="17"/>
    <w:p w:rsidR="004305E4" w:rsidP="009C2F13" w14:paraId="7FC5B55C" w14:textId="77777777">
      <w:pPr>
        <w:pStyle w:val="ListParagraph"/>
        <w:spacing w:after="0" w:line="240" w:lineRule="auto"/>
        <w:ind w:left="0"/>
        <w:contextualSpacing w:val="0"/>
        <w:rPr>
          <w:rFonts w:eastAsiaTheme="minorHAnsi"/>
          <w:szCs w:val="24"/>
        </w:rPr>
      </w:pPr>
    </w:p>
    <w:p w:rsidR="000C18B4" w:rsidP="000C18B4" w14:paraId="2D9AA9E2" w14:textId="77777777">
      <w:pPr>
        <w:pStyle w:val="ListParagraph"/>
        <w:spacing w:after="0" w:line="240" w:lineRule="auto"/>
        <w:ind w:left="0"/>
        <w:contextualSpacing w:val="0"/>
        <w:rPr>
          <w:rFonts w:ascii="Times New Roman" w:hAnsi="Times New Roman" w:eastAsiaTheme="minorHAnsi"/>
          <w:sz w:val="24"/>
          <w:szCs w:val="24"/>
        </w:rPr>
      </w:pPr>
      <w:r w:rsidRPr="004305E4">
        <w:rPr>
          <w:rFonts w:ascii="Times New Roman" w:hAnsi="Times New Roman" w:eastAsiaTheme="minorHAnsi"/>
          <w:sz w:val="24"/>
          <w:szCs w:val="24"/>
        </w:rPr>
        <w:t xml:space="preserve">Due diligence was applied to identify duplication of study objectives and planned data collection. HIV POC Nat tests are not yet approved by the FDA for clinical use outside of a research capacity in community and clinical settings. The need for these data drove the development of the study objectives. </w:t>
      </w:r>
      <w:r w:rsidR="0000715D">
        <w:rPr>
          <w:rFonts w:ascii="Times New Roman" w:hAnsi="Times New Roman" w:eastAsiaTheme="minorHAnsi"/>
          <w:sz w:val="24"/>
          <w:szCs w:val="24"/>
        </w:rPr>
        <w:t>The awardee, University of Washington,</w:t>
      </w:r>
      <w:r w:rsidRPr="004305E4">
        <w:rPr>
          <w:rFonts w:ascii="Times New Roman" w:hAnsi="Times New Roman" w:eastAsiaTheme="minorHAnsi"/>
          <w:sz w:val="24"/>
          <w:szCs w:val="24"/>
        </w:rPr>
        <w:t xml:space="preserve"> </w:t>
      </w:r>
      <w:r w:rsidR="00870A40">
        <w:rPr>
          <w:rFonts w:ascii="Times New Roman" w:hAnsi="Times New Roman" w:eastAsiaTheme="minorHAnsi"/>
          <w:sz w:val="24"/>
          <w:szCs w:val="24"/>
        </w:rPr>
        <w:t>was</w:t>
      </w:r>
      <w:r w:rsidRPr="004305E4">
        <w:rPr>
          <w:rFonts w:ascii="Times New Roman" w:hAnsi="Times New Roman" w:eastAsiaTheme="minorHAnsi"/>
          <w:sz w:val="24"/>
          <w:szCs w:val="24"/>
        </w:rPr>
        <w:t xml:space="preserve"> not collecting these data for other purposes prior to study initiation, the data will be collected to address the study’s unique objectives.</w:t>
      </w:r>
    </w:p>
    <w:p w:rsidR="000C18B4" w:rsidP="000C18B4" w14:paraId="799C13DD" w14:textId="77777777">
      <w:pPr>
        <w:pStyle w:val="ListParagraph"/>
        <w:spacing w:after="0" w:line="240" w:lineRule="auto"/>
        <w:ind w:left="0"/>
        <w:contextualSpacing w:val="0"/>
        <w:rPr>
          <w:rFonts w:ascii="Times New Roman" w:hAnsi="Times New Roman" w:eastAsiaTheme="minorHAnsi"/>
          <w:sz w:val="24"/>
          <w:szCs w:val="24"/>
        </w:rPr>
      </w:pPr>
    </w:p>
    <w:p w:rsidR="00132B11" w:rsidRPr="000C18B4" w:rsidP="000C18B4" w14:paraId="6037CBD3" w14:textId="2173FC20">
      <w:pPr>
        <w:pStyle w:val="ListParagraph"/>
        <w:spacing w:after="0" w:line="240" w:lineRule="auto"/>
        <w:ind w:left="0"/>
        <w:contextualSpacing w:val="0"/>
        <w:rPr>
          <w:rFonts w:ascii="Times New Roman" w:hAnsi="Times New Roman" w:eastAsiaTheme="minorHAnsi"/>
          <w:b/>
          <w:bCs/>
          <w:sz w:val="24"/>
          <w:szCs w:val="24"/>
          <w:lang w:val="en-US" w:eastAsia="en-US"/>
        </w:rPr>
      </w:pPr>
      <w:r w:rsidRPr="000C18B4">
        <w:rPr>
          <w:rFonts w:ascii="Times New Roman" w:hAnsi="Times New Roman" w:eastAsiaTheme="minorHAnsi"/>
          <w:sz w:val="24"/>
          <w:szCs w:val="24"/>
        </w:rPr>
        <w:t>The Agency believes no other survey data collection effort has been conducted or has been planned to collect similar information for this population. CDC conducted a review of similar studies prior to the issuance of the Cooperative Agreement</w:t>
      </w:r>
      <w:r w:rsidRPr="000C18B4" w:rsidR="00D44207">
        <w:rPr>
          <w:rFonts w:ascii="Times New Roman" w:hAnsi="Times New Roman" w:eastAsiaTheme="minorHAnsi"/>
          <w:sz w:val="24"/>
          <w:szCs w:val="24"/>
          <w:vertAlign w:val="superscript"/>
        </w:rPr>
        <w:t>10</w:t>
      </w:r>
      <w:r w:rsidRPr="000C18B4">
        <w:rPr>
          <w:rFonts w:ascii="Times New Roman" w:hAnsi="Times New Roman" w:eastAsiaTheme="minorHAnsi"/>
          <w:sz w:val="24"/>
          <w:szCs w:val="24"/>
        </w:rPr>
        <w:t xml:space="preserve"> and determined that this study is collecting unique information from the population. Therefore, our evaluation requires the collection of this new primary data. </w:t>
      </w:r>
    </w:p>
    <w:p w:rsidR="00872253" w:rsidRPr="00081ADA" w:rsidP="00872253" w14:paraId="14B7FA4A" w14:textId="398FE458">
      <w:pPr>
        <w:keepNext/>
        <w:keepLines/>
        <w:spacing w:before="240"/>
        <w:outlineLvl w:val="0"/>
        <w:rPr>
          <w:b/>
          <w:szCs w:val="24"/>
        </w:rPr>
      </w:pPr>
      <w:bookmarkStart w:id="19" w:name="ImpactOnSmallBusinesses5"/>
      <w:r w:rsidRPr="00081ADA">
        <w:rPr>
          <w:b/>
          <w:szCs w:val="24"/>
        </w:rPr>
        <w:t>5.    Impact on Small Businesses or Other Small Entities</w:t>
      </w:r>
      <w:bookmarkEnd w:id="18"/>
    </w:p>
    <w:bookmarkEnd w:id="19"/>
    <w:p w:rsidR="00872253" w:rsidRPr="00081ADA" w:rsidP="00872253" w14:paraId="7109B83B" w14:textId="77777777">
      <w:pPr>
        <w:rPr>
          <w:szCs w:val="24"/>
        </w:rPr>
      </w:pPr>
    </w:p>
    <w:p w:rsidR="00872253" w:rsidRPr="00081ADA" w:rsidP="00872253" w14:paraId="1CED96FD" w14:textId="77777777">
      <w:pPr>
        <w:rPr>
          <w:szCs w:val="24"/>
        </w:rPr>
      </w:pPr>
      <w:r w:rsidRPr="00081ADA">
        <w:rPr>
          <w:szCs w:val="24"/>
        </w:rPr>
        <w:t>This collection request does not involve burden to small businesses or other small entities.</w:t>
      </w:r>
    </w:p>
    <w:p w:rsidR="00872253" w:rsidRPr="00081ADA" w:rsidP="00872253" w14:paraId="61C61C95" w14:textId="5591E7FE">
      <w:pPr>
        <w:keepNext/>
        <w:keepLines/>
        <w:spacing w:before="240"/>
        <w:outlineLvl w:val="0"/>
        <w:rPr>
          <w:b/>
          <w:szCs w:val="24"/>
        </w:rPr>
      </w:pPr>
      <w:bookmarkStart w:id="20" w:name="_Toc485202300"/>
      <w:r w:rsidRPr="00081ADA">
        <w:rPr>
          <w:b/>
          <w:szCs w:val="24"/>
        </w:rPr>
        <w:t xml:space="preserve">6.    </w:t>
      </w:r>
      <w:bookmarkStart w:id="21" w:name="Consequences6"/>
      <w:r w:rsidRPr="00081ADA">
        <w:rPr>
          <w:b/>
          <w:szCs w:val="24"/>
        </w:rPr>
        <w:t>Consequences of Collecting the Information Less Frequently</w:t>
      </w:r>
      <w:bookmarkEnd w:id="20"/>
      <w:bookmarkEnd w:id="21"/>
    </w:p>
    <w:p w:rsidR="00872253" w:rsidRPr="00081ADA" w:rsidP="00872253" w14:paraId="08437492" w14:textId="0734D162">
      <w:pPr>
        <w:rPr>
          <w:szCs w:val="24"/>
        </w:rPr>
      </w:pPr>
    </w:p>
    <w:p w:rsidR="00D2374E" w:rsidP="00872253" w14:paraId="2CBEE934" w14:textId="6D87AC86">
      <w:pPr>
        <w:rPr>
          <w:szCs w:val="24"/>
        </w:rPr>
      </w:pPr>
      <w:r>
        <w:rPr>
          <w:szCs w:val="24"/>
        </w:rPr>
        <w:t xml:space="preserve">This study will provide the quantitative and qualitative data needed to </w:t>
      </w:r>
      <w:r w:rsidRPr="00785F2B">
        <w:rPr>
          <w:szCs w:val="24"/>
        </w:rPr>
        <w:t xml:space="preserve">assess the feasibility and acceptability of point-of-care nucleic acid HIV </w:t>
      </w:r>
      <w:r w:rsidR="00681BF0">
        <w:rPr>
          <w:szCs w:val="24"/>
        </w:rPr>
        <w:t>tests</w:t>
      </w:r>
      <w:r w:rsidRPr="00785F2B">
        <w:rPr>
          <w:szCs w:val="24"/>
        </w:rPr>
        <w:t xml:space="preserve"> in community and clinic settings</w:t>
      </w:r>
      <w:r>
        <w:rPr>
          <w:szCs w:val="24"/>
        </w:rPr>
        <w:t xml:space="preserve">. </w:t>
      </w:r>
      <w:r w:rsidR="004D7CD8">
        <w:rPr>
          <w:szCs w:val="24"/>
        </w:rPr>
        <w:t xml:space="preserve">Data will be collected over a </w:t>
      </w:r>
      <w:r w:rsidR="005E7829">
        <w:rPr>
          <w:szCs w:val="24"/>
        </w:rPr>
        <w:t>three-year</w:t>
      </w:r>
      <w:r w:rsidR="004D7CD8">
        <w:rPr>
          <w:szCs w:val="24"/>
        </w:rPr>
        <w:t xml:space="preserve"> period. </w:t>
      </w:r>
      <w:r w:rsidR="00C50C84">
        <w:rPr>
          <w:szCs w:val="24"/>
        </w:rPr>
        <w:t>Screen and Link data (</w:t>
      </w:r>
      <w:r w:rsidR="007E7C9D">
        <w:rPr>
          <w:b/>
          <w:bCs/>
          <w:szCs w:val="24"/>
        </w:rPr>
        <w:t>Attachment</w:t>
      </w:r>
      <w:r w:rsidRPr="00B41689" w:rsidR="007E7C9D">
        <w:rPr>
          <w:b/>
          <w:bCs/>
          <w:szCs w:val="24"/>
        </w:rPr>
        <w:t xml:space="preserve"> </w:t>
      </w:r>
      <w:r w:rsidRPr="0012015F" w:rsidR="00C50C84">
        <w:rPr>
          <w:b/>
          <w:bCs/>
          <w:szCs w:val="24"/>
        </w:rPr>
        <w:t>4a</w:t>
      </w:r>
      <w:r w:rsidR="00C50C84">
        <w:rPr>
          <w:szCs w:val="24"/>
        </w:rPr>
        <w:t>) and the Release of Information (</w:t>
      </w:r>
      <w:r w:rsidR="007E7C9D">
        <w:rPr>
          <w:b/>
          <w:bCs/>
          <w:szCs w:val="24"/>
        </w:rPr>
        <w:t>Attachment</w:t>
      </w:r>
      <w:r w:rsidRPr="00B41689" w:rsidR="007E7C9D">
        <w:rPr>
          <w:b/>
          <w:bCs/>
          <w:szCs w:val="24"/>
        </w:rPr>
        <w:t xml:space="preserve"> </w:t>
      </w:r>
      <w:r w:rsidRPr="0012015F" w:rsidR="00C50C84">
        <w:rPr>
          <w:b/>
          <w:bCs/>
          <w:szCs w:val="24"/>
        </w:rPr>
        <w:t>4b</w:t>
      </w:r>
      <w:r w:rsidR="00C50C84">
        <w:rPr>
          <w:szCs w:val="24"/>
        </w:rPr>
        <w:t xml:space="preserve">) will be collected once. </w:t>
      </w:r>
      <w:r w:rsidR="00FE0B1A">
        <w:rPr>
          <w:szCs w:val="24"/>
        </w:rPr>
        <w:t>Data from t</w:t>
      </w:r>
      <w:r w:rsidR="00C50C84">
        <w:rPr>
          <w:szCs w:val="24"/>
        </w:rPr>
        <w:t>he Study Visit Survey (</w:t>
      </w:r>
      <w:r w:rsidR="007E7C9D">
        <w:rPr>
          <w:b/>
          <w:bCs/>
          <w:szCs w:val="24"/>
        </w:rPr>
        <w:t>Attachment</w:t>
      </w:r>
      <w:r w:rsidRPr="00B41689" w:rsidR="007E7C9D">
        <w:rPr>
          <w:b/>
          <w:bCs/>
          <w:szCs w:val="24"/>
        </w:rPr>
        <w:t xml:space="preserve"> </w:t>
      </w:r>
      <w:r w:rsidRPr="0012015F" w:rsidR="00C50C84">
        <w:rPr>
          <w:b/>
          <w:bCs/>
          <w:szCs w:val="24"/>
        </w:rPr>
        <w:t>4c</w:t>
      </w:r>
      <w:r w:rsidR="00C50C84">
        <w:rPr>
          <w:szCs w:val="24"/>
        </w:rPr>
        <w:t xml:space="preserve">) and the Acceptability </w:t>
      </w:r>
      <w:r w:rsidR="005C066C">
        <w:rPr>
          <w:szCs w:val="24"/>
        </w:rPr>
        <w:t xml:space="preserve">Survey </w:t>
      </w:r>
      <w:r w:rsidR="00A24510">
        <w:rPr>
          <w:szCs w:val="24"/>
        </w:rPr>
        <w:t>(</w:t>
      </w:r>
      <w:r w:rsidR="007E7C9D">
        <w:rPr>
          <w:b/>
          <w:bCs/>
          <w:szCs w:val="24"/>
        </w:rPr>
        <w:t>Attachment</w:t>
      </w:r>
      <w:r w:rsidRPr="00B41689" w:rsidR="007E7C9D">
        <w:rPr>
          <w:b/>
          <w:bCs/>
          <w:szCs w:val="24"/>
        </w:rPr>
        <w:t xml:space="preserve"> </w:t>
      </w:r>
      <w:r w:rsidRPr="0012015F" w:rsidR="00C50C84">
        <w:rPr>
          <w:b/>
          <w:bCs/>
          <w:szCs w:val="24"/>
        </w:rPr>
        <w:t>4d</w:t>
      </w:r>
      <w:r w:rsidR="002F2802">
        <w:rPr>
          <w:szCs w:val="24"/>
        </w:rPr>
        <w:t xml:space="preserve">) will be collected </w:t>
      </w:r>
      <w:r w:rsidR="009677DF">
        <w:rPr>
          <w:szCs w:val="24"/>
        </w:rPr>
        <w:t>once</w:t>
      </w:r>
      <w:r w:rsidR="001957CC">
        <w:rPr>
          <w:szCs w:val="24"/>
        </w:rPr>
        <w:t xml:space="preserve">. </w:t>
      </w:r>
      <w:r w:rsidR="00FE0B1A">
        <w:rPr>
          <w:szCs w:val="24"/>
        </w:rPr>
        <w:t>Th</w:t>
      </w:r>
      <w:r w:rsidR="00C50C84">
        <w:rPr>
          <w:szCs w:val="24"/>
        </w:rPr>
        <w:t>e Follow Up Phone Call Survey (</w:t>
      </w:r>
      <w:r w:rsidR="007E7C9D">
        <w:rPr>
          <w:b/>
          <w:bCs/>
          <w:szCs w:val="24"/>
        </w:rPr>
        <w:t>Attachment</w:t>
      </w:r>
      <w:r w:rsidRPr="00B41689" w:rsidR="007E7C9D">
        <w:rPr>
          <w:b/>
          <w:bCs/>
          <w:szCs w:val="24"/>
        </w:rPr>
        <w:t xml:space="preserve"> </w:t>
      </w:r>
      <w:r w:rsidRPr="0012015F" w:rsidR="00C50C84">
        <w:rPr>
          <w:b/>
          <w:bCs/>
          <w:szCs w:val="24"/>
        </w:rPr>
        <w:t>4</w:t>
      </w:r>
      <w:r w:rsidR="00940302">
        <w:rPr>
          <w:b/>
          <w:bCs/>
          <w:szCs w:val="24"/>
        </w:rPr>
        <w:t>f</w:t>
      </w:r>
      <w:r w:rsidR="00C50C84">
        <w:rPr>
          <w:szCs w:val="24"/>
        </w:rPr>
        <w:t xml:space="preserve">) </w:t>
      </w:r>
      <w:r w:rsidR="00FE0B1A">
        <w:rPr>
          <w:szCs w:val="24"/>
        </w:rPr>
        <w:t>is conducted three times after the study visit</w:t>
      </w:r>
      <w:r w:rsidR="00C50C84">
        <w:rPr>
          <w:szCs w:val="24"/>
        </w:rPr>
        <w:t xml:space="preserve">. </w:t>
      </w:r>
      <w:r w:rsidR="00FE0B1A">
        <w:rPr>
          <w:szCs w:val="24"/>
        </w:rPr>
        <w:t>The purpose of the survey is to determine the outcome of the study visit. Conducting this information less frequently would not allow us to determine the immediate, short- and longer-term effects of the visit. Data from the participant focus group or interview (</w:t>
      </w:r>
      <w:r w:rsidR="007E7C9D">
        <w:rPr>
          <w:b/>
          <w:bCs/>
          <w:szCs w:val="24"/>
        </w:rPr>
        <w:t>Attachment</w:t>
      </w:r>
      <w:r w:rsidRPr="00B41689" w:rsidR="007E7C9D">
        <w:rPr>
          <w:b/>
          <w:bCs/>
          <w:szCs w:val="24"/>
        </w:rPr>
        <w:t xml:space="preserve"> </w:t>
      </w:r>
      <w:r w:rsidRPr="006B4411" w:rsidR="00FE0B1A">
        <w:rPr>
          <w:b/>
          <w:bCs/>
          <w:szCs w:val="24"/>
        </w:rPr>
        <w:t>4</w:t>
      </w:r>
      <w:r w:rsidR="002C795D">
        <w:rPr>
          <w:b/>
          <w:bCs/>
          <w:szCs w:val="24"/>
        </w:rPr>
        <w:t>e</w:t>
      </w:r>
      <w:r w:rsidRPr="006B4411" w:rsidR="00FE0B1A">
        <w:rPr>
          <w:b/>
          <w:bCs/>
          <w:szCs w:val="24"/>
        </w:rPr>
        <w:t xml:space="preserve"> Participant Focus Group and Interview Guide</w:t>
      </w:r>
      <w:r w:rsidR="00FE0B1A">
        <w:rPr>
          <w:szCs w:val="24"/>
        </w:rPr>
        <w:t>) is collected once. Provider Interviews will be conducted three times with health care providers at the Madison Clinic</w:t>
      </w:r>
      <w:r w:rsidR="0013254E">
        <w:rPr>
          <w:szCs w:val="24"/>
        </w:rPr>
        <w:t xml:space="preserve"> (</w:t>
      </w:r>
      <w:r w:rsidR="007E7C9D">
        <w:rPr>
          <w:b/>
          <w:bCs/>
          <w:szCs w:val="24"/>
        </w:rPr>
        <w:t>Attachment</w:t>
      </w:r>
      <w:r w:rsidRPr="00B41689" w:rsidR="007E7C9D">
        <w:rPr>
          <w:b/>
          <w:bCs/>
          <w:szCs w:val="24"/>
        </w:rPr>
        <w:t xml:space="preserve"> </w:t>
      </w:r>
      <w:r w:rsidRPr="0013254E" w:rsidR="0013254E">
        <w:rPr>
          <w:b/>
          <w:bCs/>
          <w:szCs w:val="24"/>
        </w:rPr>
        <w:t>4g Provider Interview Guide</w:t>
      </w:r>
      <w:r w:rsidR="0013254E">
        <w:rPr>
          <w:szCs w:val="24"/>
        </w:rPr>
        <w:t>)</w:t>
      </w:r>
      <w:r w:rsidR="00FE0B1A">
        <w:rPr>
          <w:szCs w:val="24"/>
        </w:rPr>
        <w:t xml:space="preserve">. The purpose of the provider interviews is to understand how providers perceive the feasibility and acceptability of POC NAT testing. This perception may change over time with different clients </w:t>
      </w:r>
      <w:r w:rsidR="00AE2ACD">
        <w:rPr>
          <w:szCs w:val="24"/>
        </w:rPr>
        <w:t>and</w:t>
      </w:r>
      <w:r w:rsidR="00FE0B1A">
        <w:rPr>
          <w:szCs w:val="24"/>
        </w:rPr>
        <w:t xml:space="preserve"> </w:t>
      </w:r>
      <w:r w:rsidR="0005082F">
        <w:rPr>
          <w:szCs w:val="24"/>
        </w:rPr>
        <w:t xml:space="preserve">changing </w:t>
      </w:r>
      <w:r w:rsidR="00AE2ACD">
        <w:rPr>
          <w:szCs w:val="24"/>
        </w:rPr>
        <w:t>needs</w:t>
      </w:r>
      <w:r w:rsidR="00FE0B1A">
        <w:rPr>
          <w:szCs w:val="24"/>
        </w:rPr>
        <w:t xml:space="preserve">. </w:t>
      </w:r>
      <w:r w:rsidR="00C50C84">
        <w:rPr>
          <w:szCs w:val="24"/>
        </w:rPr>
        <w:t xml:space="preserve"> </w:t>
      </w:r>
      <w:r w:rsidR="00FE0B1A">
        <w:rPr>
          <w:szCs w:val="24"/>
        </w:rPr>
        <w:t xml:space="preserve">Collecting this interview data less frequently would limit our ability to </w:t>
      </w:r>
      <w:r w:rsidR="00B66203">
        <w:rPr>
          <w:szCs w:val="24"/>
        </w:rPr>
        <w:t xml:space="preserve">assess the impact of POC NAT on the provider experience over time and in varying clinical scenarios. Health record data will be collected from Madison Clinic </w:t>
      </w:r>
      <w:r w:rsidR="0005082F">
        <w:rPr>
          <w:szCs w:val="24"/>
        </w:rPr>
        <w:t>every other month</w:t>
      </w:r>
      <w:r w:rsidR="00B66203">
        <w:rPr>
          <w:szCs w:val="24"/>
        </w:rPr>
        <w:t xml:space="preserve"> to capture health data from newly enrolled participants at the clinic</w:t>
      </w:r>
      <w:r w:rsidR="0013254E">
        <w:rPr>
          <w:szCs w:val="24"/>
        </w:rPr>
        <w:t xml:space="preserve"> (</w:t>
      </w:r>
      <w:r w:rsidR="007E7C9D">
        <w:rPr>
          <w:b/>
          <w:bCs/>
          <w:szCs w:val="24"/>
        </w:rPr>
        <w:t>Attachment</w:t>
      </w:r>
      <w:r w:rsidRPr="00B41689" w:rsidR="007E7C9D">
        <w:rPr>
          <w:b/>
          <w:bCs/>
          <w:szCs w:val="24"/>
        </w:rPr>
        <w:t xml:space="preserve"> </w:t>
      </w:r>
      <w:r w:rsidRPr="00180CDC" w:rsidR="00222103">
        <w:rPr>
          <w:b/>
          <w:bCs/>
          <w:szCs w:val="24"/>
        </w:rPr>
        <w:t>4h Madison Clinic Data Collection</w:t>
      </w:r>
      <w:r w:rsidR="00222103">
        <w:rPr>
          <w:szCs w:val="24"/>
        </w:rPr>
        <w:t>)</w:t>
      </w:r>
      <w:r w:rsidR="00B66203">
        <w:rPr>
          <w:szCs w:val="24"/>
        </w:rPr>
        <w:t xml:space="preserve">. Health record data will be collected </w:t>
      </w:r>
      <w:r w:rsidR="00AA035E">
        <w:rPr>
          <w:szCs w:val="24"/>
        </w:rPr>
        <w:t>biannually</w:t>
      </w:r>
      <w:r w:rsidR="00B66203">
        <w:rPr>
          <w:szCs w:val="24"/>
        </w:rPr>
        <w:t xml:space="preserve"> from Gay City in order to complete the collection of health record data from participants who were enrolled in the study at Gay City immediately prior to the study expiration</w:t>
      </w:r>
      <w:r w:rsidR="00222103">
        <w:rPr>
          <w:szCs w:val="24"/>
        </w:rPr>
        <w:t xml:space="preserve"> (</w:t>
      </w:r>
      <w:r w:rsidR="007E7C9D">
        <w:rPr>
          <w:b/>
          <w:bCs/>
          <w:szCs w:val="24"/>
        </w:rPr>
        <w:t>Attachment</w:t>
      </w:r>
      <w:r w:rsidRPr="00B41689" w:rsidR="007E7C9D">
        <w:rPr>
          <w:b/>
          <w:bCs/>
          <w:szCs w:val="24"/>
        </w:rPr>
        <w:t xml:space="preserve"> </w:t>
      </w:r>
      <w:r w:rsidRPr="00180CDC" w:rsidR="00222103">
        <w:rPr>
          <w:b/>
          <w:bCs/>
          <w:szCs w:val="24"/>
        </w:rPr>
        <w:t xml:space="preserve">4i </w:t>
      </w:r>
      <w:r w:rsidRPr="00180CDC" w:rsidR="00180CDC">
        <w:rPr>
          <w:b/>
          <w:bCs/>
          <w:szCs w:val="24"/>
        </w:rPr>
        <w:t>Gay City Data Collection</w:t>
      </w:r>
      <w:r w:rsidR="00180CDC">
        <w:rPr>
          <w:szCs w:val="24"/>
        </w:rPr>
        <w:t>)</w:t>
      </w:r>
      <w:r w:rsidR="00B66203">
        <w:rPr>
          <w:szCs w:val="24"/>
        </w:rPr>
        <w:t xml:space="preserve">. </w:t>
      </w:r>
      <w:r>
        <w:rPr>
          <w:szCs w:val="24"/>
        </w:rPr>
        <w:t xml:space="preserve">Collecting data less frequently would limit our ability to monitor the impact of POC NAT on 1) PrEP uptake and persistence among person testing HIV-negative, 2) time from testing to linkage to care among persons testing HIV-positive, </w:t>
      </w:r>
      <w:r w:rsidR="00B66203">
        <w:rPr>
          <w:szCs w:val="24"/>
        </w:rPr>
        <w:t xml:space="preserve">and </w:t>
      </w:r>
      <w:r>
        <w:rPr>
          <w:szCs w:val="24"/>
        </w:rPr>
        <w:t xml:space="preserve">3) time to virologic suppression among PLWH receiving anti-retroviral therapy (ART). The number of collections is the minimum required to ensure timely and accurate information capture, analysis, and interpretation. </w:t>
      </w:r>
    </w:p>
    <w:p w:rsidR="00AA78EA" w:rsidRPr="00081ADA" w:rsidP="00AA78EA" w14:paraId="2F5F38BC" w14:textId="0544EE91">
      <w:pPr>
        <w:pStyle w:val="Heading1"/>
        <w:numPr>
          <w:ilvl w:val="0"/>
          <w:numId w:val="0"/>
        </w:numPr>
        <w:rPr>
          <w:rFonts w:cs="Times New Roman"/>
          <w:szCs w:val="24"/>
        </w:rPr>
      </w:pPr>
      <w:bookmarkStart w:id="22" w:name="_7.__"/>
      <w:bookmarkStart w:id="23" w:name="_Toc485202301"/>
      <w:bookmarkStart w:id="24" w:name="SpecialCircumstances7"/>
      <w:bookmarkEnd w:id="22"/>
      <w:r w:rsidRPr="00081ADA">
        <w:rPr>
          <w:rFonts w:cs="Times New Roman"/>
          <w:szCs w:val="24"/>
        </w:rPr>
        <w:t>7.    Special Circumstances Relating to the Guidelines of 5 CFR 1320.5</w:t>
      </w:r>
      <w:bookmarkEnd w:id="23"/>
    </w:p>
    <w:bookmarkEnd w:id="24"/>
    <w:p w:rsidR="00AA78EA" w:rsidRPr="00081ADA" w:rsidP="00AA78EA" w14:paraId="731055AB" w14:textId="77777777">
      <w:pPr>
        <w:rPr>
          <w:szCs w:val="24"/>
        </w:rPr>
      </w:pPr>
    </w:p>
    <w:p w:rsidR="0014704E" w:rsidRPr="00081ADA" w:rsidP="008D4A91" w14:paraId="776171C7" w14:textId="15AE89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bookmarkStart w:id="25" w:name="_8.__"/>
      <w:bookmarkStart w:id="26" w:name="_Toc485202302"/>
      <w:bookmarkEnd w:id="25"/>
      <w:r w:rsidRPr="00081ADA">
        <w:rPr>
          <w:szCs w:val="24"/>
        </w:rPr>
        <w:t xml:space="preserve">There are no special circumstances. The message testing activities fully comply with the regulations and guidelines in 5 CFR 1320.5.  </w:t>
      </w:r>
    </w:p>
    <w:p w:rsidR="00AA78EA" w:rsidRPr="00081ADA" w:rsidP="00AA78EA" w14:paraId="01368FCA" w14:textId="430C0C10">
      <w:pPr>
        <w:pStyle w:val="Heading1"/>
        <w:numPr>
          <w:ilvl w:val="0"/>
          <w:numId w:val="0"/>
        </w:numPr>
        <w:rPr>
          <w:rFonts w:cs="Times New Roman"/>
          <w:szCs w:val="24"/>
        </w:rPr>
      </w:pPr>
      <w:bookmarkStart w:id="27" w:name="FRNcomments8"/>
      <w:r w:rsidRPr="00081ADA">
        <w:rPr>
          <w:rFonts w:cs="Times New Roman"/>
          <w:szCs w:val="24"/>
        </w:rPr>
        <w:t>8.   Comments in Response to the Federal Register Notice and Efforts to Consult Outside the Agency</w:t>
      </w:r>
      <w:bookmarkEnd w:id="26"/>
    </w:p>
    <w:bookmarkEnd w:id="27"/>
    <w:p w:rsidR="007455AE" w:rsidP="00EC4AB4" w14:paraId="36E606D6" w14:textId="77777777">
      <w:pPr>
        <w:rPr>
          <w:rFonts w:eastAsia="Calibri"/>
          <w:szCs w:val="24"/>
        </w:rPr>
      </w:pPr>
    </w:p>
    <w:p w:rsidR="00AA78EA" w:rsidRPr="000C18B4" w:rsidP="00EC4AB4" w14:paraId="45B89778" w14:textId="0EABAD14">
      <w:pPr>
        <w:rPr>
          <w:szCs w:val="24"/>
        </w:rPr>
      </w:pPr>
      <w:r w:rsidRPr="00081ADA">
        <w:rPr>
          <w:szCs w:val="24"/>
        </w:rPr>
        <w:t xml:space="preserve">A </w:t>
      </w:r>
      <w:r w:rsidR="007455AE">
        <w:rPr>
          <w:szCs w:val="24"/>
        </w:rPr>
        <w:t xml:space="preserve">60-Day </w:t>
      </w:r>
      <w:r w:rsidRPr="00081ADA">
        <w:rPr>
          <w:szCs w:val="24"/>
        </w:rPr>
        <w:t xml:space="preserve">Federal Register Notice </w:t>
      </w:r>
      <w:r w:rsidR="007455AE">
        <w:rPr>
          <w:szCs w:val="24"/>
        </w:rPr>
        <w:t xml:space="preserve">to solicit public comments </w:t>
      </w:r>
      <w:r w:rsidRPr="00081ADA">
        <w:rPr>
          <w:szCs w:val="24"/>
        </w:rPr>
        <w:t xml:space="preserve">was published on </w:t>
      </w:r>
      <w:r w:rsidR="00974656">
        <w:rPr>
          <w:szCs w:val="24"/>
        </w:rPr>
        <w:t>01/08/2025</w:t>
      </w:r>
      <w:r w:rsidRPr="00081ADA">
        <w:rPr>
          <w:szCs w:val="24"/>
        </w:rPr>
        <w:t xml:space="preserve">, Vol. </w:t>
      </w:r>
      <w:r w:rsidR="00974656">
        <w:rPr>
          <w:szCs w:val="24"/>
        </w:rPr>
        <w:t>90</w:t>
      </w:r>
      <w:r w:rsidRPr="00081ADA">
        <w:rPr>
          <w:szCs w:val="24"/>
        </w:rPr>
        <w:t xml:space="preserve">, No. </w:t>
      </w:r>
      <w:r w:rsidR="00974656">
        <w:rPr>
          <w:szCs w:val="24"/>
        </w:rPr>
        <w:t>5</w:t>
      </w:r>
      <w:r w:rsidRPr="00081ADA">
        <w:rPr>
          <w:szCs w:val="24"/>
        </w:rPr>
        <w:t xml:space="preserve">, page </w:t>
      </w:r>
      <w:r w:rsidRPr="00974656" w:rsidR="00974656">
        <w:rPr>
          <w:szCs w:val="24"/>
        </w:rPr>
        <w:t>1501</w:t>
      </w:r>
      <w:r w:rsidRPr="00974656">
        <w:rPr>
          <w:szCs w:val="24"/>
        </w:rPr>
        <w:t xml:space="preserve"> (</w:t>
      </w:r>
      <w:r w:rsidRPr="00974656">
        <w:rPr>
          <w:b/>
          <w:szCs w:val="24"/>
        </w:rPr>
        <w:t>Attachment 2</w:t>
      </w:r>
      <w:r w:rsidRPr="00974656" w:rsidR="007455AE">
        <w:rPr>
          <w:b/>
          <w:szCs w:val="24"/>
        </w:rPr>
        <w:t>a</w:t>
      </w:r>
      <w:r w:rsidRPr="00974656">
        <w:rPr>
          <w:szCs w:val="24"/>
        </w:rPr>
        <w:t xml:space="preserve">). </w:t>
      </w:r>
      <w:r w:rsidRPr="000C18B4" w:rsidR="009B11A9">
        <w:rPr>
          <w:szCs w:val="24"/>
        </w:rPr>
        <w:t xml:space="preserve">CDC received </w:t>
      </w:r>
      <w:r w:rsidR="000C18B4">
        <w:rPr>
          <w:szCs w:val="24"/>
        </w:rPr>
        <w:t>no</w:t>
      </w:r>
      <w:r w:rsidRPr="000C18B4" w:rsidR="009A5775">
        <w:rPr>
          <w:szCs w:val="24"/>
        </w:rPr>
        <w:t xml:space="preserve"> comments during the 60-day notice period</w:t>
      </w:r>
      <w:r w:rsidR="000C18B4">
        <w:rPr>
          <w:szCs w:val="24"/>
        </w:rPr>
        <w:t>.</w:t>
      </w:r>
    </w:p>
    <w:p w:rsidR="001839F7" w:rsidRPr="00081ADA" w:rsidP="00EC4AB4" w14:paraId="2CB3FD42" w14:textId="77777777">
      <w:pPr>
        <w:pStyle w:val="ListParagraph"/>
        <w:spacing w:after="0" w:line="240" w:lineRule="auto"/>
        <w:ind w:left="0"/>
        <w:contextualSpacing w:val="0"/>
        <w:rPr>
          <w:rFonts w:ascii="Times New Roman" w:hAnsi="Times New Roman" w:eastAsiaTheme="minorHAnsi"/>
          <w:b/>
          <w:bCs/>
          <w:sz w:val="24"/>
          <w:szCs w:val="24"/>
          <w:lang w:val="en-US" w:eastAsia="en-US"/>
        </w:rPr>
      </w:pPr>
    </w:p>
    <w:p w:rsidR="00B01C8F" w:rsidRPr="00081ADA" w:rsidP="00EC4AB4" w14:paraId="0FFE74A4" w14:textId="7806D03E">
      <w:pPr>
        <w:pStyle w:val="ListParagraph"/>
        <w:spacing w:after="0" w:line="240" w:lineRule="auto"/>
        <w:ind w:left="0"/>
        <w:contextualSpacing w:val="0"/>
        <w:rPr>
          <w:rFonts w:ascii="Times New Roman" w:hAnsi="Times New Roman" w:eastAsiaTheme="minorHAnsi"/>
          <w:sz w:val="24"/>
          <w:szCs w:val="24"/>
          <w:lang w:val="en-US" w:eastAsia="en-US"/>
        </w:rPr>
      </w:pPr>
      <w:r w:rsidRPr="00081ADA">
        <w:rPr>
          <w:rFonts w:ascii="Times New Roman" w:hAnsi="Times New Roman" w:eastAsiaTheme="minorHAnsi"/>
          <w:sz w:val="24"/>
          <w:szCs w:val="24"/>
          <w:lang w:val="en-US" w:eastAsia="en-US"/>
        </w:rPr>
        <w:t>In addition</w:t>
      </w:r>
      <w:r w:rsidR="00531E20">
        <w:rPr>
          <w:rFonts w:ascii="Times New Roman" w:hAnsi="Times New Roman" w:eastAsiaTheme="minorHAnsi"/>
          <w:sz w:val="24"/>
          <w:szCs w:val="24"/>
          <w:lang w:val="en-US" w:eastAsia="en-US"/>
        </w:rPr>
        <w:t xml:space="preserve"> to CDC staff</w:t>
      </w:r>
      <w:r w:rsidRPr="00081ADA">
        <w:rPr>
          <w:rFonts w:ascii="Times New Roman" w:hAnsi="Times New Roman" w:eastAsiaTheme="minorHAnsi"/>
          <w:sz w:val="24"/>
          <w:szCs w:val="24"/>
          <w:lang w:val="en-US" w:eastAsia="en-US"/>
        </w:rPr>
        <w:t>,</w:t>
      </w:r>
      <w:r w:rsidR="002F7544">
        <w:rPr>
          <w:rFonts w:ascii="Times New Roman" w:hAnsi="Times New Roman" w:eastAsiaTheme="minorHAnsi"/>
          <w:sz w:val="24"/>
          <w:szCs w:val="24"/>
          <w:lang w:val="en-US" w:eastAsia="en-US"/>
        </w:rPr>
        <w:t xml:space="preserve"> University of Washington</w:t>
      </w:r>
      <w:r w:rsidRPr="00081ADA" w:rsidR="00AC4B1B">
        <w:rPr>
          <w:rFonts w:ascii="Times New Roman" w:hAnsi="Times New Roman" w:eastAsiaTheme="minorHAnsi"/>
          <w:sz w:val="24"/>
          <w:szCs w:val="24"/>
          <w:lang w:val="en-US" w:eastAsia="en-US"/>
        </w:rPr>
        <w:t xml:space="preserve"> </w:t>
      </w:r>
      <w:r w:rsidR="002F7544">
        <w:rPr>
          <w:rFonts w:ascii="Times New Roman" w:hAnsi="Times New Roman" w:eastAsiaTheme="minorHAnsi"/>
          <w:sz w:val="24"/>
          <w:szCs w:val="24"/>
          <w:lang w:val="en-US" w:eastAsia="en-US"/>
        </w:rPr>
        <w:t>was</w:t>
      </w:r>
      <w:r w:rsidRPr="00081ADA" w:rsidR="005B1416">
        <w:rPr>
          <w:rFonts w:ascii="Times New Roman" w:hAnsi="Times New Roman" w:eastAsiaTheme="minorHAnsi"/>
          <w:sz w:val="24"/>
          <w:szCs w:val="24"/>
          <w:lang w:val="en-US" w:eastAsia="en-US"/>
        </w:rPr>
        <w:t xml:space="preserve"> </w:t>
      </w:r>
      <w:r w:rsidR="00184053">
        <w:rPr>
          <w:rFonts w:ascii="Times New Roman" w:hAnsi="Times New Roman" w:eastAsiaTheme="minorHAnsi"/>
          <w:sz w:val="24"/>
          <w:szCs w:val="24"/>
          <w:lang w:val="en-US" w:eastAsia="en-US"/>
        </w:rPr>
        <w:t>involved in</w:t>
      </w:r>
      <w:r w:rsidRPr="00081ADA" w:rsidR="005B1416">
        <w:rPr>
          <w:rFonts w:ascii="Times New Roman" w:hAnsi="Times New Roman" w:eastAsiaTheme="minorHAnsi"/>
          <w:sz w:val="24"/>
          <w:szCs w:val="24"/>
          <w:lang w:val="en-US" w:eastAsia="en-US"/>
        </w:rPr>
        <w:t xml:space="preserve"> the development of this study in 202</w:t>
      </w:r>
      <w:r w:rsidR="00531E20">
        <w:rPr>
          <w:rFonts w:ascii="Times New Roman" w:hAnsi="Times New Roman" w:eastAsiaTheme="minorHAnsi"/>
          <w:sz w:val="24"/>
          <w:szCs w:val="24"/>
          <w:lang w:val="en-US" w:eastAsia="en-US"/>
        </w:rPr>
        <w:t>0</w:t>
      </w:r>
      <w:r w:rsidRPr="00081ADA" w:rsidR="005B1416">
        <w:rPr>
          <w:rFonts w:ascii="Times New Roman" w:hAnsi="Times New Roman" w:eastAsiaTheme="minorHAnsi"/>
          <w:sz w:val="24"/>
          <w:szCs w:val="24"/>
          <w:lang w:val="en-US" w:eastAsia="en-US"/>
        </w:rPr>
        <w:t xml:space="preserve"> and 202</w:t>
      </w:r>
      <w:r w:rsidR="00531E20">
        <w:rPr>
          <w:rFonts w:ascii="Times New Roman" w:hAnsi="Times New Roman" w:eastAsiaTheme="minorHAnsi"/>
          <w:sz w:val="24"/>
          <w:szCs w:val="24"/>
          <w:lang w:val="en-US" w:eastAsia="en-US"/>
        </w:rPr>
        <w:t>1</w:t>
      </w:r>
      <w:r w:rsidRPr="00081ADA" w:rsidR="005B1416">
        <w:rPr>
          <w:rFonts w:ascii="Times New Roman" w:hAnsi="Times New Roman" w:eastAsiaTheme="minorHAnsi"/>
          <w:sz w:val="24"/>
          <w:szCs w:val="24"/>
          <w:lang w:val="en-US" w:eastAsia="en-US"/>
        </w:rPr>
        <w:t xml:space="preserve">. </w:t>
      </w:r>
      <w:r w:rsidRPr="00081ADA" w:rsidR="00387D57">
        <w:rPr>
          <w:rFonts w:ascii="Times New Roman" w:hAnsi="Times New Roman" w:eastAsiaTheme="minorHAnsi"/>
          <w:sz w:val="24"/>
          <w:szCs w:val="24"/>
          <w:lang w:val="en-US" w:eastAsia="en-US"/>
        </w:rPr>
        <w:t xml:space="preserve">There were no unresolved issues associated with the </w:t>
      </w:r>
      <w:r w:rsidR="00676843">
        <w:rPr>
          <w:rFonts w:ascii="Times New Roman" w:hAnsi="Times New Roman" w:eastAsiaTheme="minorHAnsi"/>
          <w:sz w:val="24"/>
          <w:szCs w:val="24"/>
          <w:lang w:val="en-US" w:eastAsia="en-US"/>
        </w:rPr>
        <w:t>development</w:t>
      </w:r>
      <w:r w:rsidRPr="00081ADA" w:rsidR="00676843">
        <w:rPr>
          <w:rFonts w:ascii="Times New Roman" w:hAnsi="Times New Roman" w:eastAsiaTheme="minorHAnsi"/>
          <w:sz w:val="24"/>
          <w:szCs w:val="24"/>
          <w:lang w:val="en-US" w:eastAsia="en-US"/>
        </w:rPr>
        <w:t xml:space="preserve"> </w:t>
      </w:r>
      <w:r w:rsidRPr="00081ADA" w:rsidR="00387D57">
        <w:rPr>
          <w:rFonts w:ascii="Times New Roman" w:hAnsi="Times New Roman" w:eastAsiaTheme="minorHAnsi"/>
          <w:sz w:val="24"/>
          <w:szCs w:val="24"/>
          <w:lang w:val="en-US" w:eastAsia="en-US"/>
        </w:rPr>
        <w:t>process</w:t>
      </w:r>
      <w:r w:rsidRPr="00081ADA" w:rsidR="00F06D60">
        <w:rPr>
          <w:rFonts w:ascii="Times New Roman" w:hAnsi="Times New Roman" w:eastAsiaTheme="minorHAnsi"/>
          <w:sz w:val="24"/>
          <w:szCs w:val="24"/>
          <w:lang w:val="en-US" w:eastAsia="en-US"/>
        </w:rPr>
        <w:t xml:space="preserve">.  </w:t>
      </w:r>
    </w:p>
    <w:p w:rsidR="008C0E73" w:rsidRPr="00081ADA" w:rsidP="00EC4AB4" w14:paraId="1324FB8D" w14:textId="0CD30B58">
      <w:pPr>
        <w:pStyle w:val="ListParagraph"/>
        <w:spacing w:after="0" w:line="240" w:lineRule="auto"/>
        <w:ind w:left="0"/>
        <w:contextualSpacing w:val="0"/>
        <w:rPr>
          <w:rFonts w:ascii="Times New Roman" w:hAnsi="Times New Roman" w:eastAsiaTheme="minorHAnsi"/>
          <w:sz w:val="24"/>
          <w:szCs w:val="24"/>
          <w:lang w:val="en-US" w:eastAsia="en-US"/>
        </w:rPr>
      </w:pPr>
    </w:p>
    <w:tbl>
      <w:tblPr>
        <w:tblStyle w:val="TableGrid"/>
        <w:tblW w:w="0" w:type="auto"/>
        <w:tblLook w:val="04A0"/>
      </w:tblPr>
      <w:tblGrid>
        <w:gridCol w:w="4662"/>
        <w:gridCol w:w="4688"/>
      </w:tblGrid>
      <w:tr w14:paraId="43D47E6E" w14:textId="77777777" w:rsidTr="008B5B9C">
        <w:tblPrEx>
          <w:tblW w:w="0" w:type="auto"/>
          <w:tblLook w:val="04A0"/>
        </w:tblPrEx>
        <w:tc>
          <w:tcPr>
            <w:tcW w:w="4662" w:type="dxa"/>
          </w:tcPr>
          <w:p w:rsidR="00434994" w:rsidRPr="00830A60" w:rsidP="008B5B9C" w14:paraId="5DC1A251" w14:textId="58B1688E">
            <w:r>
              <w:t>Joanne D. Stekler</w:t>
            </w:r>
            <w:r w:rsidRPr="00830A60">
              <w:t>, Principal Investigator</w:t>
            </w:r>
          </w:p>
          <w:p w:rsidR="00434994" w:rsidRPr="00830A60" w:rsidP="008B5B9C" w14:paraId="687CD936" w14:textId="1B7D892D">
            <w:r>
              <w:t>University of Washington</w:t>
            </w:r>
          </w:p>
          <w:p w:rsidR="00434994" w:rsidRPr="00830A60" w:rsidP="008B5B9C" w14:paraId="18A5DA04" w14:textId="7B3229BC">
            <w:r>
              <w:t>325 9</w:t>
            </w:r>
            <w:r w:rsidRPr="00CE7BE7">
              <w:rPr>
                <w:vertAlign w:val="superscript"/>
              </w:rPr>
              <w:t>th</w:t>
            </w:r>
            <w:r>
              <w:t xml:space="preserve"> Ave, Box 359931</w:t>
            </w:r>
          </w:p>
          <w:p w:rsidR="00434994" w:rsidRPr="00830A60" w:rsidP="008B5B9C" w14:paraId="2DA9866C" w14:textId="3738D911">
            <w:r>
              <w:t xml:space="preserve">Seattle, WA </w:t>
            </w:r>
            <w:r w:rsidR="007A6FB8">
              <w:t>98104</w:t>
            </w:r>
          </w:p>
          <w:p w:rsidR="00434994" w:rsidRPr="00830A60" w:rsidP="008B5B9C" w14:paraId="5B96B533" w14:textId="1D04F0CB">
            <w:r>
              <w:t>206.744.8312</w:t>
            </w:r>
          </w:p>
          <w:p w:rsidR="00434994" w:rsidRPr="00B80F52" w:rsidP="008B5B9C" w14:paraId="3FB248CF" w14:textId="5D06B709">
            <w:r>
              <w:t>jstekler@uw.edu</w:t>
            </w:r>
          </w:p>
        </w:tc>
        <w:tc>
          <w:tcPr>
            <w:tcW w:w="4688" w:type="dxa"/>
          </w:tcPr>
          <w:p w:rsidR="001E130B" w:rsidP="008B5B9C" w14:paraId="319D8D58" w14:textId="77777777">
            <w:r>
              <w:t>Lisa A. Niemann, Research Coordinator</w:t>
            </w:r>
          </w:p>
          <w:p w:rsidR="001E130B" w:rsidRPr="00830A60" w:rsidP="001E130B" w14:paraId="3011F271" w14:textId="5213991F">
            <w:r>
              <w:t>University of Washington</w:t>
            </w:r>
          </w:p>
          <w:p w:rsidR="001E130B" w:rsidRPr="00830A60" w:rsidP="001E130B" w14:paraId="3B8EA15B" w14:textId="77777777">
            <w:r>
              <w:t>325 9</w:t>
            </w:r>
            <w:r w:rsidRPr="00CE7BE7">
              <w:rPr>
                <w:vertAlign w:val="superscript"/>
              </w:rPr>
              <w:t>th</w:t>
            </w:r>
            <w:r>
              <w:t xml:space="preserve"> Ave, Box 359931</w:t>
            </w:r>
          </w:p>
          <w:p w:rsidR="001E130B" w:rsidRPr="00830A60" w:rsidP="001E130B" w14:paraId="69D104C3" w14:textId="77777777">
            <w:r>
              <w:t>Seattle, WA 98104</w:t>
            </w:r>
          </w:p>
          <w:p w:rsidR="00434994" w:rsidP="008B5B9C" w14:paraId="1F7690E6" w14:textId="77777777">
            <w:r>
              <w:t>206.744.8887</w:t>
            </w:r>
          </w:p>
          <w:p w:rsidR="00B1019C" w:rsidRPr="00B80F52" w:rsidP="008B5B9C" w14:paraId="1FC42BE4" w14:textId="7145D71D">
            <w:r>
              <w:t>niemal@uw.edu</w:t>
            </w:r>
          </w:p>
        </w:tc>
      </w:tr>
      <w:tr w14:paraId="4190E1AE" w14:textId="77777777" w:rsidTr="008B5B9C">
        <w:tblPrEx>
          <w:tblW w:w="0" w:type="auto"/>
          <w:tblLook w:val="04A0"/>
        </w:tblPrEx>
        <w:tc>
          <w:tcPr>
            <w:tcW w:w="4662" w:type="dxa"/>
          </w:tcPr>
          <w:p w:rsidR="004A4F12" w:rsidP="004A4F12" w14:paraId="30EEC480" w14:textId="1D0438F6">
            <w:r>
              <w:t>Lauren R. Violette, Research Consultant</w:t>
            </w:r>
          </w:p>
          <w:p w:rsidR="004A4F12" w:rsidRPr="00830A60" w:rsidP="004A4F12" w14:paraId="52F51D5B" w14:textId="77777777">
            <w:r>
              <w:t>University of Washington</w:t>
            </w:r>
          </w:p>
          <w:p w:rsidR="004A4F12" w:rsidRPr="00830A60" w:rsidP="004A4F12" w14:paraId="20740CC1" w14:textId="77777777">
            <w:r>
              <w:t>325 9</w:t>
            </w:r>
            <w:r w:rsidRPr="00CE7BE7">
              <w:rPr>
                <w:vertAlign w:val="superscript"/>
              </w:rPr>
              <w:t>th</w:t>
            </w:r>
            <w:r>
              <w:t xml:space="preserve"> Ave, Box 359931</w:t>
            </w:r>
          </w:p>
          <w:p w:rsidR="004A4F12" w:rsidRPr="00830A60" w:rsidP="004A4F12" w14:paraId="1F1A1E6F" w14:textId="77777777">
            <w:r>
              <w:t>Seattle, WA 98104</w:t>
            </w:r>
          </w:p>
          <w:p w:rsidR="004A4F12" w:rsidP="004A4F12" w14:paraId="480E4564" w14:textId="54A19B8E">
            <w:r>
              <w:t>603.630.2755</w:t>
            </w:r>
          </w:p>
          <w:p w:rsidR="00857E07" w:rsidRPr="00B80F52" w:rsidP="004A4F12" w14:paraId="03659BFE" w14:textId="68B19EED">
            <w:r>
              <w:t>lvio@uw.edu</w:t>
            </w:r>
          </w:p>
        </w:tc>
        <w:tc>
          <w:tcPr>
            <w:tcW w:w="4688" w:type="dxa"/>
          </w:tcPr>
          <w:p w:rsidR="00434994" w:rsidRPr="00B80F52" w:rsidP="004A4F12" w14:paraId="546F0147" w14:textId="3CBE9D8F"/>
        </w:tc>
      </w:tr>
    </w:tbl>
    <w:p w:rsidR="00AA78EA" w:rsidRPr="00081ADA" w:rsidP="00AA78EA" w14:paraId="266C4874" w14:textId="2AA276B5">
      <w:pPr>
        <w:pStyle w:val="Heading1"/>
        <w:numPr>
          <w:ilvl w:val="0"/>
          <w:numId w:val="0"/>
        </w:numPr>
        <w:rPr>
          <w:rFonts w:cs="Times New Roman"/>
          <w:szCs w:val="24"/>
        </w:rPr>
      </w:pPr>
      <w:bookmarkStart w:id="28" w:name="_9.__"/>
      <w:bookmarkStart w:id="29" w:name="_Toc485202303"/>
      <w:bookmarkStart w:id="30" w:name="PaymentGift9"/>
      <w:bookmarkEnd w:id="28"/>
      <w:r w:rsidRPr="00081ADA">
        <w:rPr>
          <w:rFonts w:cs="Times New Roman"/>
          <w:szCs w:val="24"/>
        </w:rPr>
        <w:t>9.   Explanation of Any Payment or Gift to Respondents</w:t>
      </w:r>
      <w:bookmarkEnd w:id="29"/>
    </w:p>
    <w:bookmarkEnd w:id="30"/>
    <w:p w:rsidR="002C5246" w:rsidRPr="00081ADA" w:rsidP="00EC4AB4" w14:paraId="32A9D693" w14:textId="45F3534E">
      <w:pPr>
        <w:pStyle w:val="NoSpacing"/>
        <w:tabs>
          <w:tab w:val="left" w:pos="360"/>
        </w:tabs>
        <w:rPr>
          <w:rFonts w:cs="Times New Roman"/>
          <w:szCs w:val="24"/>
        </w:rPr>
      </w:pPr>
    </w:p>
    <w:p w:rsidR="000D544E" w:rsidP="00EC4AB4" w14:paraId="67ACE4F9" w14:textId="46020421">
      <w:pPr>
        <w:rPr>
          <w:szCs w:val="24"/>
        </w:rPr>
      </w:pPr>
      <w:r>
        <w:rPr>
          <w:szCs w:val="24"/>
        </w:rPr>
        <w:t xml:space="preserve">Following reinstatement, GAIN will enroll 61 </w:t>
      </w:r>
      <w:r w:rsidR="00AA035E">
        <w:rPr>
          <w:szCs w:val="24"/>
        </w:rPr>
        <w:t>PLWH</w:t>
      </w:r>
      <w:r>
        <w:rPr>
          <w:szCs w:val="24"/>
        </w:rPr>
        <w:t xml:space="preserve"> from Madison Clinic to complete Aim 3 of the study. </w:t>
      </w:r>
      <w:r w:rsidR="00AE4967">
        <w:rPr>
          <w:szCs w:val="24"/>
        </w:rPr>
        <w:t>Upon enrollment and completion of the study visit survey, client participants will receive $</w:t>
      </w:r>
      <w:r w:rsidR="007232FB">
        <w:rPr>
          <w:szCs w:val="24"/>
        </w:rPr>
        <w:t>4</w:t>
      </w:r>
      <w:r w:rsidR="00AE4967">
        <w:rPr>
          <w:szCs w:val="24"/>
        </w:rPr>
        <w:t xml:space="preserve">0 and a $5 food voucher redeemable at the Harborview Medical Center cafeteria adjacent to Madison Clinic. Participants will also receive a $10 Amazon gift card upon </w:t>
      </w:r>
      <w:r w:rsidR="00845B50">
        <w:rPr>
          <w:szCs w:val="24"/>
        </w:rPr>
        <w:t xml:space="preserve">SSA </w:t>
      </w:r>
      <w:r w:rsidR="00AE4967">
        <w:rPr>
          <w:szCs w:val="24"/>
        </w:rPr>
        <w:t xml:space="preserve">completion of the acceptability survey. A subset of participants (N=12) will be selected to participate in a 60-minute focus group or interview. These respondents will receive $40 for their participation. </w:t>
      </w:r>
      <w:r>
        <w:rPr>
          <w:szCs w:val="24"/>
        </w:rPr>
        <w:t xml:space="preserve">GAIN will also engage 18 health care providers from Madison Clinic to participate in an interview. </w:t>
      </w:r>
      <w:r w:rsidR="00E37711">
        <w:rPr>
          <w:szCs w:val="24"/>
        </w:rPr>
        <w:t>Health providers will receive a $5 gift card for each interview</w:t>
      </w:r>
      <w:r w:rsidR="00AE4967">
        <w:rPr>
          <w:szCs w:val="24"/>
        </w:rPr>
        <w:t xml:space="preserve"> and may complete up to three interviews for a total of $15</w:t>
      </w:r>
      <w:r w:rsidR="00E37711">
        <w:rPr>
          <w:szCs w:val="24"/>
        </w:rPr>
        <w:t xml:space="preserve">. </w:t>
      </w:r>
    </w:p>
    <w:p w:rsidR="000D544E" w:rsidP="00EC4AB4" w14:paraId="199A0D81" w14:textId="77777777">
      <w:pPr>
        <w:rPr>
          <w:szCs w:val="24"/>
        </w:rPr>
      </w:pPr>
    </w:p>
    <w:p w:rsidR="00377FE8" w:rsidRPr="00AE4967" w:rsidP="00EC4AB4" w14:paraId="10CED2C1" w14:textId="7B0940A7">
      <w:pPr>
        <w:rPr>
          <w:b/>
          <w:bCs/>
          <w:szCs w:val="24"/>
        </w:rPr>
      </w:pPr>
      <w:bookmarkStart w:id="31" w:name="_Hlk191043902"/>
      <w:r w:rsidRPr="00AE4967">
        <w:rPr>
          <w:b/>
          <w:bCs/>
          <w:szCs w:val="24"/>
        </w:rPr>
        <w:t>GAIN Incentives for Health Providers</w:t>
      </w:r>
    </w:p>
    <w:tbl>
      <w:tblPr>
        <w:tblStyle w:val="TableGrid"/>
        <w:tblW w:w="0" w:type="auto"/>
        <w:tblLook w:val="04A0"/>
      </w:tblPr>
      <w:tblGrid>
        <w:gridCol w:w="4225"/>
        <w:gridCol w:w="1350"/>
        <w:gridCol w:w="2160"/>
        <w:gridCol w:w="1615"/>
      </w:tblGrid>
      <w:tr w14:paraId="6DF05170" w14:textId="77777777" w:rsidTr="00AE4967">
        <w:tblPrEx>
          <w:tblW w:w="0" w:type="auto"/>
          <w:tblLook w:val="04A0"/>
        </w:tblPrEx>
        <w:tc>
          <w:tcPr>
            <w:tcW w:w="4225" w:type="dxa"/>
            <w:shd w:val="clear" w:color="auto" w:fill="AEAAAA" w:themeFill="background2" w:themeFillShade="BF"/>
          </w:tcPr>
          <w:p w:rsidR="00AE4967" w:rsidRPr="00AE4967" w:rsidP="00EC4AB4" w14:paraId="69BFF7DF" w14:textId="12FB7DD2">
            <w:pPr>
              <w:rPr>
                <w:b/>
                <w:bCs/>
                <w:szCs w:val="24"/>
              </w:rPr>
            </w:pPr>
            <w:r w:rsidRPr="00AE4967">
              <w:rPr>
                <w:b/>
                <w:bCs/>
                <w:szCs w:val="24"/>
              </w:rPr>
              <w:t>Data collection activity</w:t>
            </w:r>
          </w:p>
        </w:tc>
        <w:tc>
          <w:tcPr>
            <w:tcW w:w="1350" w:type="dxa"/>
            <w:shd w:val="clear" w:color="auto" w:fill="AEAAAA" w:themeFill="background2" w:themeFillShade="BF"/>
          </w:tcPr>
          <w:p w:rsidR="00AE4967" w:rsidRPr="00AE4967" w:rsidP="00AE4967" w14:paraId="04951FD9" w14:textId="3FFD83B7">
            <w:pPr>
              <w:jc w:val="center"/>
              <w:rPr>
                <w:b/>
                <w:bCs/>
                <w:szCs w:val="24"/>
              </w:rPr>
            </w:pPr>
            <w:r w:rsidRPr="00AE4967">
              <w:rPr>
                <w:b/>
                <w:bCs/>
                <w:szCs w:val="24"/>
              </w:rPr>
              <w:t>Incentive amount</w:t>
            </w:r>
          </w:p>
        </w:tc>
        <w:tc>
          <w:tcPr>
            <w:tcW w:w="2160" w:type="dxa"/>
            <w:shd w:val="clear" w:color="auto" w:fill="AEAAAA" w:themeFill="background2" w:themeFillShade="BF"/>
          </w:tcPr>
          <w:p w:rsidR="00AE4967" w:rsidRPr="00AE4967" w:rsidP="00AE4967" w14:paraId="67F388A5" w14:textId="49BA7A5E">
            <w:pPr>
              <w:jc w:val="center"/>
              <w:rPr>
                <w:b/>
                <w:bCs/>
                <w:szCs w:val="24"/>
              </w:rPr>
            </w:pPr>
            <w:r w:rsidRPr="00AE4967">
              <w:rPr>
                <w:b/>
                <w:bCs/>
                <w:szCs w:val="24"/>
              </w:rPr>
              <w:t>Total number of times administered</w:t>
            </w:r>
          </w:p>
        </w:tc>
        <w:tc>
          <w:tcPr>
            <w:tcW w:w="1615" w:type="dxa"/>
            <w:shd w:val="clear" w:color="auto" w:fill="AEAAAA" w:themeFill="background2" w:themeFillShade="BF"/>
          </w:tcPr>
          <w:p w:rsidR="00AE4967" w:rsidRPr="00AE4967" w:rsidP="00AE4967" w14:paraId="04CE005B" w14:textId="510F04BA">
            <w:pPr>
              <w:jc w:val="center"/>
              <w:rPr>
                <w:b/>
                <w:bCs/>
                <w:szCs w:val="24"/>
              </w:rPr>
            </w:pPr>
            <w:r w:rsidRPr="00AE4967">
              <w:rPr>
                <w:b/>
                <w:bCs/>
                <w:szCs w:val="24"/>
              </w:rPr>
              <w:t>Maximum incentive</w:t>
            </w:r>
          </w:p>
        </w:tc>
      </w:tr>
      <w:tr w14:paraId="2DC8FB35" w14:textId="77777777" w:rsidTr="00AE4967">
        <w:tblPrEx>
          <w:tblW w:w="0" w:type="auto"/>
          <w:tblLook w:val="04A0"/>
        </w:tblPrEx>
        <w:tc>
          <w:tcPr>
            <w:tcW w:w="4225" w:type="dxa"/>
            <w:shd w:val="clear" w:color="auto" w:fill="D0CECE" w:themeFill="background2" w:themeFillShade="E6"/>
          </w:tcPr>
          <w:p w:rsidR="00AE4967" w:rsidP="00EC4AB4" w14:paraId="2B866FDC" w14:textId="0288231F">
            <w:pPr>
              <w:rPr>
                <w:szCs w:val="24"/>
              </w:rPr>
            </w:pPr>
            <w:r>
              <w:rPr>
                <w:szCs w:val="24"/>
              </w:rPr>
              <w:t xml:space="preserve">Provider </w:t>
            </w:r>
            <w:r>
              <w:rPr>
                <w:szCs w:val="24"/>
              </w:rPr>
              <w:t xml:space="preserve">Interview </w:t>
            </w:r>
          </w:p>
        </w:tc>
        <w:tc>
          <w:tcPr>
            <w:tcW w:w="1350" w:type="dxa"/>
            <w:shd w:val="clear" w:color="auto" w:fill="D0CECE" w:themeFill="background2" w:themeFillShade="E6"/>
          </w:tcPr>
          <w:p w:rsidR="00AE4967" w:rsidP="00AE4967" w14:paraId="5F7E24AF" w14:textId="7645848E">
            <w:pPr>
              <w:jc w:val="center"/>
              <w:rPr>
                <w:szCs w:val="24"/>
              </w:rPr>
            </w:pPr>
            <w:r>
              <w:rPr>
                <w:szCs w:val="24"/>
              </w:rPr>
              <w:t>$5</w:t>
            </w:r>
          </w:p>
        </w:tc>
        <w:tc>
          <w:tcPr>
            <w:tcW w:w="2160" w:type="dxa"/>
            <w:shd w:val="clear" w:color="auto" w:fill="D0CECE" w:themeFill="background2" w:themeFillShade="E6"/>
          </w:tcPr>
          <w:p w:rsidR="00AE4967" w:rsidP="00AE4967" w14:paraId="05523EA5" w14:textId="63FB39C3">
            <w:pPr>
              <w:jc w:val="center"/>
              <w:rPr>
                <w:szCs w:val="24"/>
              </w:rPr>
            </w:pPr>
            <w:r>
              <w:rPr>
                <w:szCs w:val="24"/>
              </w:rPr>
              <w:t>3</w:t>
            </w:r>
          </w:p>
        </w:tc>
        <w:tc>
          <w:tcPr>
            <w:tcW w:w="1615" w:type="dxa"/>
            <w:shd w:val="clear" w:color="auto" w:fill="D0CECE" w:themeFill="background2" w:themeFillShade="E6"/>
          </w:tcPr>
          <w:p w:rsidR="00AE4967" w:rsidP="00AE4967" w14:paraId="3F39F717" w14:textId="773CC111">
            <w:pPr>
              <w:jc w:val="center"/>
              <w:rPr>
                <w:szCs w:val="24"/>
              </w:rPr>
            </w:pPr>
            <w:r>
              <w:rPr>
                <w:szCs w:val="24"/>
              </w:rPr>
              <w:t>$15</w:t>
            </w:r>
          </w:p>
        </w:tc>
      </w:tr>
      <w:bookmarkEnd w:id="31"/>
    </w:tbl>
    <w:p w:rsidR="00AE4967" w:rsidP="00EC4AB4" w14:paraId="2E14C8F7" w14:textId="77777777">
      <w:pPr>
        <w:rPr>
          <w:szCs w:val="24"/>
        </w:rPr>
      </w:pPr>
    </w:p>
    <w:p w:rsidR="00AE4967" w:rsidRPr="00AE4967" w:rsidP="00AE4967" w14:paraId="1374A1B0" w14:textId="017548E8">
      <w:pPr>
        <w:rPr>
          <w:b/>
          <w:bCs/>
          <w:szCs w:val="24"/>
        </w:rPr>
      </w:pPr>
      <w:r w:rsidRPr="00AE4967">
        <w:rPr>
          <w:b/>
          <w:bCs/>
          <w:szCs w:val="24"/>
        </w:rPr>
        <w:t xml:space="preserve">GAIN Incentives for Client Participants </w:t>
      </w:r>
    </w:p>
    <w:tbl>
      <w:tblPr>
        <w:tblStyle w:val="TableGrid"/>
        <w:tblW w:w="0" w:type="auto"/>
        <w:tblLook w:val="04A0"/>
      </w:tblPr>
      <w:tblGrid>
        <w:gridCol w:w="4225"/>
        <w:gridCol w:w="1350"/>
        <w:gridCol w:w="2250"/>
        <w:gridCol w:w="1525"/>
      </w:tblGrid>
      <w:tr w14:paraId="7A6E25E8" w14:textId="77777777" w:rsidTr="00AE4967">
        <w:tblPrEx>
          <w:tblW w:w="0" w:type="auto"/>
          <w:tblLook w:val="04A0"/>
        </w:tblPrEx>
        <w:tc>
          <w:tcPr>
            <w:tcW w:w="4225" w:type="dxa"/>
            <w:shd w:val="clear" w:color="auto" w:fill="AEAAAA" w:themeFill="background2" w:themeFillShade="BF"/>
          </w:tcPr>
          <w:p w:rsidR="00AE4967" w:rsidRPr="00AE4967" w:rsidP="00603087" w14:paraId="7C6BA47E" w14:textId="77777777">
            <w:pPr>
              <w:rPr>
                <w:b/>
                <w:bCs/>
                <w:szCs w:val="24"/>
              </w:rPr>
            </w:pPr>
            <w:r w:rsidRPr="00AE4967">
              <w:rPr>
                <w:b/>
                <w:bCs/>
                <w:szCs w:val="24"/>
              </w:rPr>
              <w:t>Data collection activity</w:t>
            </w:r>
          </w:p>
        </w:tc>
        <w:tc>
          <w:tcPr>
            <w:tcW w:w="1350" w:type="dxa"/>
            <w:shd w:val="clear" w:color="auto" w:fill="AEAAAA" w:themeFill="background2" w:themeFillShade="BF"/>
          </w:tcPr>
          <w:p w:rsidR="00AE4967" w:rsidRPr="00AE4967" w:rsidP="00AE4967" w14:paraId="48926185" w14:textId="77777777">
            <w:pPr>
              <w:jc w:val="center"/>
              <w:rPr>
                <w:b/>
                <w:bCs/>
                <w:szCs w:val="24"/>
              </w:rPr>
            </w:pPr>
            <w:r w:rsidRPr="00AE4967">
              <w:rPr>
                <w:b/>
                <w:bCs/>
                <w:szCs w:val="24"/>
              </w:rPr>
              <w:t>Incentive amount</w:t>
            </w:r>
          </w:p>
        </w:tc>
        <w:tc>
          <w:tcPr>
            <w:tcW w:w="2250" w:type="dxa"/>
            <w:shd w:val="clear" w:color="auto" w:fill="AEAAAA" w:themeFill="background2" w:themeFillShade="BF"/>
          </w:tcPr>
          <w:p w:rsidR="00AE4967" w:rsidRPr="00AE4967" w:rsidP="00AE4967" w14:paraId="32B40CF3" w14:textId="77777777">
            <w:pPr>
              <w:jc w:val="center"/>
              <w:rPr>
                <w:b/>
                <w:bCs/>
                <w:szCs w:val="24"/>
              </w:rPr>
            </w:pPr>
            <w:r w:rsidRPr="00AE4967">
              <w:rPr>
                <w:b/>
                <w:bCs/>
                <w:szCs w:val="24"/>
              </w:rPr>
              <w:t>Total number of times administered</w:t>
            </w:r>
          </w:p>
        </w:tc>
        <w:tc>
          <w:tcPr>
            <w:tcW w:w="1525" w:type="dxa"/>
            <w:shd w:val="clear" w:color="auto" w:fill="AEAAAA" w:themeFill="background2" w:themeFillShade="BF"/>
          </w:tcPr>
          <w:p w:rsidR="00AE4967" w:rsidRPr="00AE4967" w:rsidP="00AE4967" w14:paraId="406193C1" w14:textId="483535BA">
            <w:pPr>
              <w:jc w:val="center"/>
              <w:rPr>
                <w:b/>
                <w:bCs/>
                <w:szCs w:val="24"/>
              </w:rPr>
            </w:pPr>
            <w:r w:rsidRPr="00AE4967">
              <w:rPr>
                <w:b/>
                <w:bCs/>
                <w:szCs w:val="24"/>
              </w:rPr>
              <w:t>Maximum incentive</w:t>
            </w:r>
          </w:p>
        </w:tc>
      </w:tr>
      <w:tr w14:paraId="1571F628" w14:textId="77777777" w:rsidTr="00AE4967">
        <w:tblPrEx>
          <w:tblW w:w="0" w:type="auto"/>
          <w:tblLook w:val="04A0"/>
        </w:tblPrEx>
        <w:tc>
          <w:tcPr>
            <w:tcW w:w="4225" w:type="dxa"/>
            <w:shd w:val="clear" w:color="auto" w:fill="D0CECE" w:themeFill="background2" w:themeFillShade="E6"/>
          </w:tcPr>
          <w:p w:rsidR="00AE4967" w:rsidP="00603087" w14:paraId="35817CD5" w14:textId="77777777">
            <w:pPr>
              <w:rPr>
                <w:szCs w:val="24"/>
              </w:rPr>
            </w:pPr>
            <w:r>
              <w:rPr>
                <w:szCs w:val="24"/>
              </w:rPr>
              <w:t>Study Visit Survey</w:t>
            </w:r>
          </w:p>
        </w:tc>
        <w:tc>
          <w:tcPr>
            <w:tcW w:w="1350" w:type="dxa"/>
            <w:shd w:val="clear" w:color="auto" w:fill="D0CECE" w:themeFill="background2" w:themeFillShade="E6"/>
          </w:tcPr>
          <w:p w:rsidR="00AE4967" w:rsidP="00AE4967" w14:paraId="439ED2DE" w14:textId="5F05340F">
            <w:pPr>
              <w:jc w:val="center"/>
              <w:rPr>
                <w:szCs w:val="24"/>
              </w:rPr>
            </w:pPr>
            <w:r>
              <w:rPr>
                <w:szCs w:val="24"/>
              </w:rPr>
              <w:t>$</w:t>
            </w:r>
            <w:r w:rsidR="007232FB">
              <w:rPr>
                <w:szCs w:val="24"/>
              </w:rPr>
              <w:t>4</w:t>
            </w:r>
            <w:r>
              <w:rPr>
                <w:szCs w:val="24"/>
              </w:rPr>
              <w:t>5*</w:t>
            </w:r>
          </w:p>
        </w:tc>
        <w:tc>
          <w:tcPr>
            <w:tcW w:w="2250" w:type="dxa"/>
            <w:shd w:val="clear" w:color="auto" w:fill="D0CECE" w:themeFill="background2" w:themeFillShade="E6"/>
          </w:tcPr>
          <w:p w:rsidR="00AE4967" w:rsidP="00AE4967" w14:paraId="3F0C602C" w14:textId="095A7300">
            <w:pPr>
              <w:jc w:val="center"/>
              <w:rPr>
                <w:szCs w:val="24"/>
              </w:rPr>
            </w:pPr>
            <w:r>
              <w:rPr>
                <w:szCs w:val="24"/>
              </w:rPr>
              <w:t>1</w:t>
            </w:r>
          </w:p>
        </w:tc>
        <w:tc>
          <w:tcPr>
            <w:tcW w:w="1525" w:type="dxa"/>
            <w:shd w:val="clear" w:color="auto" w:fill="D0CECE" w:themeFill="background2" w:themeFillShade="E6"/>
          </w:tcPr>
          <w:p w:rsidR="00AE4967" w:rsidP="00AE4967" w14:paraId="58D24370" w14:textId="309E95C6">
            <w:pPr>
              <w:jc w:val="center"/>
              <w:rPr>
                <w:szCs w:val="24"/>
              </w:rPr>
            </w:pPr>
            <w:r>
              <w:rPr>
                <w:szCs w:val="24"/>
              </w:rPr>
              <w:t>$</w:t>
            </w:r>
            <w:r w:rsidR="007232FB">
              <w:rPr>
                <w:szCs w:val="24"/>
              </w:rPr>
              <w:t>4</w:t>
            </w:r>
            <w:r>
              <w:rPr>
                <w:szCs w:val="24"/>
              </w:rPr>
              <w:t>5</w:t>
            </w:r>
          </w:p>
        </w:tc>
      </w:tr>
      <w:tr w14:paraId="11E75833" w14:textId="77777777" w:rsidTr="00AE4967">
        <w:tblPrEx>
          <w:tblW w:w="0" w:type="auto"/>
          <w:tblLook w:val="04A0"/>
        </w:tblPrEx>
        <w:tc>
          <w:tcPr>
            <w:tcW w:w="4225" w:type="dxa"/>
            <w:shd w:val="clear" w:color="auto" w:fill="D0CECE" w:themeFill="background2" w:themeFillShade="E6"/>
          </w:tcPr>
          <w:p w:rsidR="00AE4967" w:rsidP="00603087" w14:paraId="4FFD2789" w14:textId="77777777">
            <w:pPr>
              <w:rPr>
                <w:szCs w:val="24"/>
              </w:rPr>
            </w:pPr>
            <w:r>
              <w:rPr>
                <w:szCs w:val="24"/>
              </w:rPr>
              <w:t>Acceptability Survey</w:t>
            </w:r>
          </w:p>
        </w:tc>
        <w:tc>
          <w:tcPr>
            <w:tcW w:w="1350" w:type="dxa"/>
            <w:shd w:val="clear" w:color="auto" w:fill="D0CECE" w:themeFill="background2" w:themeFillShade="E6"/>
          </w:tcPr>
          <w:p w:rsidR="00AE4967" w:rsidP="00AE4967" w14:paraId="3DE285CA" w14:textId="3D77FC8C">
            <w:pPr>
              <w:jc w:val="center"/>
              <w:rPr>
                <w:szCs w:val="24"/>
              </w:rPr>
            </w:pPr>
            <w:r>
              <w:rPr>
                <w:szCs w:val="24"/>
              </w:rPr>
              <w:t>$10</w:t>
            </w:r>
          </w:p>
        </w:tc>
        <w:tc>
          <w:tcPr>
            <w:tcW w:w="2250" w:type="dxa"/>
            <w:shd w:val="clear" w:color="auto" w:fill="D0CECE" w:themeFill="background2" w:themeFillShade="E6"/>
          </w:tcPr>
          <w:p w:rsidR="00AE4967" w:rsidP="00AE4967" w14:paraId="36337A1D" w14:textId="3F205E4D">
            <w:pPr>
              <w:jc w:val="center"/>
              <w:rPr>
                <w:szCs w:val="24"/>
              </w:rPr>
            </w:pPr>
            <w:r>
              <w:rPr>
                <w:szCs w:val="24"/>
              </w:rPr>
              <w:t>1</w:t>
            </w:r>
          </w:p>
        </w:tc>
        <w:tc>
          <w:tcPr>
            <w:tcW w:w="1525" w:type="dxa"/>
            <w:shd w:val="clear" w:color="auto" w:fill="D0CECE" w:themeFill="background2" w:themeFillShade="E6"/>
          </w:tcPr>
          <w:p w:rsidR="00AE4967" w:rsidP="00AE4967" w14:paraId="6FE07B4E" w14:textId="0B59F09C">
            <w:pPr>
              <w:jc w:val="center"/>
              <w:rPr>
                <w:szCs w:val="24"/>
              </w:rPr>
            </w:pPr>
            <w:r>
              <w:rPr>
                <w:szCs w:val="24"/>
              </w:rPr>
              <w:t>$10</w:t>
            </w:r>
          </w:p>
        </w:tc>
      </w:tr>
      <w:tr w14:paraId="2402DA2C" w14:textId="77777777" w:rsidTr="00AE4967">
        <w:tblPrEx>
          <w:tblW w:w="0" w:type="auto"/>
          <w:tblLook w:val="04A0"/>
        </w:tblPrEx>
        <w:tc>
          <w:tcPr>
            <w:tcW w:w="7825" w:type="dxa"/>
            <w:gridSpan w:val="3"/>
            <w:shd w:val="clear" w:color="auto" w:fill="D0CECE" w:themeFill="background2" w:themeFillShade="E6"/>
          </w:tcPr>
          <w:p w:rsidR="00AE4967" w:rsidP="00AE4967" w14:paraId="54239F50" w14:textId="18BFD23B">
            <w:pPr>
              <w:jc w:val="center"/>
              <w:rPr>
                <w:szCs w:val="24"/>
              </w:rPr>
            </w:pPr>
            <w:r>
              <w:rPr>
                <w:szCs w:val="24"/>
              </w:rPr>
              <w:t>Total for survey group (N=49)</w:t>
            </w:r>
          </w:p>
        </w:tc>
        <w:tc>
          <w:tcPr>
            <w:tcW w:w="1525" w:type="dxa"/>
            <w:shd w:val="clear" w:color="auto" w:fill="D0CECE" w:themeFill="background2" w:themeFillShade="E6"/>
          </w:tcPr>
          <w:p w:rsidR="00AE4967" w:rsidP="00AE4967" w14:paraId="75A3B27A" w14:textId="3285E045">
            <w:pPr>
              <w:jc w:val="center"/>
              <w:rPr>
                <w:szCs w:val="24"/>
              </w:rPr>
            </w:pPr>
            <w:r>
              <w:rPr>
                <w:szCs w:val="24"/>
              </w:rPr>
              <w:t>$</w:t>
            </w:r>
            <w:r w:rsidR="007232FB">
              <w:rPr>
                <w:szCs w:val="24"/>
              </w:rPr>
              <w:t>5</w:t>
            </w:r>
            <w:r>
              <w:rPr>
                <w:szCs w:val="24"/>
              </w:rPr>
              <w:t>5</w:t>
            </w:r>
          </w:p>
        </w:tc>
      </w:tr>
      <w:tr w14:paraId="5EB3A134" w14:textId="77777777" w:rsidTr="00AE4967">
        <w:tblPrEx>
          <w:tblW w:w="0" w:type="auto"/>
          <w:tblLook w:val="04A0"/>
        </w:tblPrEx>
        <w:tc>
          <w:tcPr>
            <w:tcW w:w="4225" w:type="dxa"/>
            <w:shd w:val="clear" w:color="auto" w:fill="E7E6E6" w:themeFill="background2"/>
          </w:tcPr>
          <w:p w:rsidR="00AE4967" w:rsidP="00603087" w14:paraId="1C789A89" w14:textId="076AEE01">
            <w:pPr>
              <w:rPr>
                <w:szCs w:val="24"/>
              </w:rPr>
            </w:pPr>
            <w:r>
              <w:rPr>
                <w:szCs w:val="24"/>
              </w:rPr>
              <w:t xml:space="preserve">Participant </w:t>
            </w:r>
            <w:r>
              <w:rPr>
                <w:szCs w:val="24"/>
              </w:rPr>
              <w:t>Focus Group or Interview</w:t>
            </w:r>
          </w:p>
        </w:tc>
        <w:tc>
          <w:tcPr>
            <w:tcW w:w="1350" w:type="dxa"/>
            <w:shd w:val="clear" w:color="auto" w:fill="E7E6E6" w:themeFill="background2"/>
          </w:tcPr>
          <w:p w:rsidR="00AE4967" w:rsidP="00AE4967" w14:paraId="59CD375C" w14:textId="76192DA2">
            <w:pPr>
              <w:jc w:val="center"/>
              <w:rPr>
                <w:szCs w:val="24"/>
              </w:rPr>
            </w:pPr>
            <w:r>
              <w:rPr>
                <w:szCs w:val="24"/>
              </w:rPr>
              <w:t>$40</w:t>
            </w:r>
          </w:p>
        </w:tc>
        <w:tc>
          <w:tcPr>
            <w:tcW w:w="2250" w:type="dxa"/>
            <w:shd w:val="clear" w:color="auto" w:fill="E7E6E6" w:themeFill="background2"/>
          </w:tcPr>
          <w:p w:rsidR="00AE4967" w:rsidP="00AE4967" w14:paraId="30D1AA1A" w14:textId="3EF886E1">
            <w:pPr>
              <w:jc w:val="center"/>
              <w:rPr>
                <w:szCs w:val="24"/>
              </w:rPr>
            </w:pPr>
            <w:r>
              <w:rPr>
                <w:szCs w:val="24"/>
              </w:rPr>
              <w:t>1</w:t>
            </w:r>
          </w:p>
        </w:tc>
        <w:tc>
          <w:tcPr>
            <w:tcW w:w="1525" w:type="dxa"/>
            <w:shd w:val="clear" w:color="auto" w:fill="E7E6E6" w:themeFill="background2"/>
          </w:tcPr>
          <w:p w:rsidR="00AE4967" w:rsidP="00AE4967" w14:paraId="76776D93" w14:textId="7BBA71A2">
            <w:pPr>
              <w:jc w:val="center"/>
              <w:rPr>
                <w:szCs w:val="24"/>
              </w:rPr>
            </w:pPr>
            <w:r>
              <w:rPr>
                <w:szCs w:val="24"/>
              </w:rPr>
              <w:t>$40</w:t>
            </w:r>
          </w:p>
        </w:tc>
      </w:tr>
      <w:tr w14:paraId="7945C670" w14:textId="77777777" w:rsidTr="00AE4967">
        <w:tblPrEx>
          <w:tblW w:w="0" w:type="auto"/>
          <w:tblLook w:val="04A0"/>
        </w:tblPrEx>
        <w:tc>
          <w:tcPr>
            <w:tcW w:w="7825" w:type="dxa"/>
            <w:gridSpan w:val="3"/>
            <w:shd w:val="clear" w:color="auto" w:fill="E7E6E6" w:themeFill="background2"/>
          </w:tcPr>
          <w:p w:rsidR="00AE4967" w:rsidP="00AE4967" w14:paraId="6B513510" w14:textId="340DEFA9">
            <w:pPr>
              <w:jc w:val="center"/>
              <w:rPr>
                <w:szCs w:val="24"/>
              </w:rPr>
            </w:pPr>
            <w:r>
              <w:rPr>
                <w:szCs w:val="24"/>
              </w:rPr>
              <w:t>Total for survey and interview (N=12)</w:t>
            </w:r>
          </w:p>
        </w:tc>
        <w:tc>
          <w:tcPr>
            <w:tcW w:w="1525" w:type="dxa"/>
            <w:shd w:val="clear" w:color="auto" w:fill="E7E6E6" w:themeFill="background2"/>
          </w:tcPr>
          <w:p w:rsidR="00AE4967" w:rsidP="00AE4967" w14:paraId="256D9DA7" w14:textId="01FFEB13">
            <w:pPr>
              <w:jc w:val="center"/>
              <w:rPr>
                <w:szCs w:val="24"/>
              </w:rPr>
            </w:pPr>
            <w:r>
              <w:rPr>
                <w:szCs w:val="24"/>
              </w:rPr>
              <w:t>$</w:t>
            </w:r>
            <w:r w:rsidR="007232FB">
              <w:rPr>
                <w:szCs w:val="24"/>
              </w:rPr>
              <w:t>9</w:t>
            </w:r>
            <w:r>
              <w:rPr>
                <w:szCs w:val="24"/>
              </w:rPr>
              <w:t>5</w:t>
            </w:r>
          </w:p>
        </w:tc>
      </w:tr>
    </w:tbl>
    <w:p w:rsidR="000D544E" w:rsidP="00EC4AB4" w14:paraId="2AE3E75F" w14:textId="6FBA83E6">
      <w:pPr>
        <w:rPr>
          <w:szCs w:val="24"/>
        </w:rPr>
      </w:pPr>
      <w:r>
        <w:rPr>
          <w:szCs w:val="24"/>
        </w:rPr>
        <w:t>*$</w:t>
      </w:r>
      <w:r w:rsidR="007232FB">
        <w:rPr>
          <w:szCs w:val="24"/>
        </w:rPr>
        <w:t>4</w:t>
      </w:r>
      <w:r>
        <w:rPr>
          <w:szCs w:val="24"/>
        </w:rPr>
        <w:t>0 and a $5 food voucher</w:t>
      </w:r>
    </w:p>
    <w:p w:rsidR="000D544E" w:rsidP="00EC4AB4" w14:paraId="3FF2F3E7" w14:textId="77777777">
      <w:pPr>
        <w:rPr>
          <w:szCs w:val="24"/>
        </w:rPr>
      </w:pPr>
    </w:p>
    <w:p w:rsidR="00327C26" w:rsidP="00EC4AB4" w14:paraId="6C3F05C2" w14:textId="0E509A4C">
      <w:pPr>
        <w:rPr>
          <w:szCs w:val="24"/>
        </w:rPr>
      </w:pPr>
      <w:r>
        <w:rPr>
          <w:szCs w:val="24"/>
        </w:rPr>
        <w:t>The proposed incentive</w:t>
      </w:r>
      <w:r w:rsidR="007232FB">
        <w:rPr>
          <w:szCs w:val="24"/>
        </w:rPr>
        <w:t>s</w:t>
      </w:r>
      <w:r>
        <w:rPr>
          <w:szCs w:val="24"/>
        </w:rPr>
        <w:t xml:space="preserve"> for </w:t>
      </w:r>
      <w:r w:rsidR="007232FB">
        <w:rPr>
          <w:szCs w:val="24"/>
        </w:rPr>
        <w:t>the Acceptability Survey and Participant Focus Group or Interview were</w:t>
      </w:r>
      <w:r>
        <w:rPr>
          <w:szCs w:val="24"/>
        </w:rPr>
        <w:t xml:space="preserve"> approved by the Office of Management and Budget (OMB) </w:t>
      </w:r>
      <w:r w:rsidR="00150C23">
        <w:rPr>
          <w:szCs w:val="24"/>
        </w:rPr>
        <w:t>on December 3, 2021 (</w:t>
      </w:r>
      <w:r w:rsidRPr="00BE16CC" w:rsidR="00150C23">
        <w:rPr>
          <w:b/>
          <w:bCs/>
          <w:szCs w:val="24"/>
        </w:rPr>
        <w:t>Attachment</w:t>
      </w:r>
      <w:r w:rsidRPr="00BE16CC" w:rsidR="00BE16CC">
        <w:rPr>
          <w:b/>
          <w:bCs/>
          <w:szCs w:val="24"/>
        </w:rPr>
        <w:t xml:space="preserve"> 7</w:t>
      </w:r>
      <w:r w:rsidR="00BE16CC">
        <w:rPr>
          <w:szCs w:val="24"/>
        </w:rPr>
        <w:t>).</w:t>
      </w:r>
      <w:r w:rsidR="00CB4FB0">
        <w:rPr>
          <w:szCs w:val="24"/>
        </w:rPr>
        <w:t xml:space="preserve"> </w:t>
      </w:r>
      <w:r w:rsidR="007232FB">
        <w:rPr>
          <w:szCs w:val="24"/>
        </w:rPr>
        <w:t>The incentive for enrollment and completion of the Study Visit Survey was approved by OMB in the amount of $25. We are requesting to increase this incentive to $45</w:t>
      </w:r>
      <w:r w:rsidR="00074930">
        <w:rPr>
          <w:szCs w:val="24"/>
        </w:rPr>
        <w:t xml:space="preserve"> following reinstatement</w:t>
      </w:r>
      <w:r w:rsidR="007232FB">
        <w:rPr>
          <w:szCs w:val="24"/>
        </w:rPr>
        <w:t xml:space="preserve">. </w:t>
      </w:r>
      <w:r w:rsidR="00074930">
        <w:rPr>
          <w:szCs w:val="24"/>
        </w:rPr>
        <w:t xml:space="preserve">We are proposing this increase due to low enrollment among Aim 3 participants at Madison Clinic prior to study expiration. Upon reinstatement, GAIN will focus efforts to enroll Aim 3 Madison participants in order to complete our proposed data collection and achieve our scientific goals. </w:t>
      </w:r>
      <w:r w:rsidR="00CB4FB0">
        <w:rPr>
          <w:szCs w:val="24"/>
        </w:rPr>
        <w:t xml:space="preserve">The health provider interview is a new proposed data collection activity, and the incentive amount ($5) has not yet been reviewed by OMB. All incentives were approved by the University of Washington </w:t>
      </w:r>
      <w:r w:rsidR="000959DC">
        <w:rPr>
          <w:szCs w:val="24"/>
        </w:rPr>
        <w:t xml:space="preserve">(UW) </w:t>
      </w:r>
      <w:r w:rsidR="00CB4FB0">
        <w:rPr>
          <w:szCs w:val="24"/>
        </w:rPr>
        <w:t>Institutional Review Board (IRB) (</w:t>
      </w:r>
      <w:r w:rsidRPr="00CB4FB0" w:rsidR="00CB4FB0">
        <w:rPr>
          <w:b/>
          <w:bCs/>
          <w:szCs w:val="24"/>
        </w:rPr>
        <w:t>Attachment 6</w:t>
      </w:r>
      <w:r w:rsidR="00CB4FB0">
        <w:rPr>
          <w:szCs w:val="24"/>
        </w:rPr>
        <w:t xml:space="preserve">). </w:t>
      </w:r>
    </w:p>
    <w:p w:rsidR="00CB4FB0" w:rsidP="00EC4AB4" w14:paraId="3F8EEAEF" w14:textId="77777777">
      <w:pPr>
        <w:rPr>
          <w:szCs w:val="24"/>
        </w:rPr>
      </w:pPr>
    </w:p>
    <w:p w:rsidR="004D186D" w:rsidP="00EC4AB4" w14:paraId="0ACFB58D" w14:textId="1158B0CA">
      <w:pPr>
        <w:rPr>
          <w:szCs w:val="24"/>
        </w:rPr>
      </w:pPr>
      <w:r w:rsidRPr="004D186D">
        <w:rPr>
          <w:szCs w:val="24"/>
        </w:rPr>
        <w:t>Similar tokens of appreciation have been demonstrated to increase study participation, as in the National Survey on Drug Use and Health, conducted by the Substance Abuse and Mental Health Services Administration (SAMHSA), where participants receiving no token of appreciation had a participation rate of 69%, compared to 79% among those receiving $20, and 83% among those who receiving $40 (OMB No. 0930-0110, exp. 10/31/2022)</w:t>
      </w:r>
      <w:r w:rsidR="00C02C28">
        <w:rPr>
          <w:szCs w:val="24"/>
        </w:rPr>
        <w:t>.</w:t>
      </w:r>
      <w:r w:rsidR="00C02C28">
        <w:rPr>
          <w:szCs w:val="24"/>
          <w:vertAlign w:val="superscript"/>
        </w:rPr>
        <w:t>11</w:t>
      </w:r>
      <w:r w:rsidRPr="004D186D">
        <w:rPr>
          <w:szCs w:val="24"/>
        </w:rPr>
        <w:t xml:space="preserve">  Additionally, a randomized controlled trial demonstrated that offering nominal tokens of appreciation (&lt;$50) to persons recruited to complete online surveys yielded greater response rates and decreases response time compared to no tokens of appreciation.</w:t>
      </w:r>
      <w:r w:rsidR="00C02C28">
        <w:rPr>
          <w:szCs w:val="24"/>
          <w:vertAlign w:val="superscript"/>
        </w:rPr>
        <w:t>12</w:t>
      </w:r>
      <w:r w:rsidRPr="004D186D">
        <w:rPr>
          <w:szCs w:val="24"/>
        </w:rPr>
        <w:t xml:space="preserve">  </w:t>
      </w:r>
    </w:p>
    <w:p w:rsidR="00047D50" w:rsidRPr="00081ADA" w:rsidP="00EC4AB4" w14:paraId="5157BAB7" w14:textId="77777777">
      <w:pPr>
        <w:rPr>
          <w:szCs w:val="24"/>
        </w:rPr>
      </w:pPr>
    </w:p>
    <w:p w:rsidR="00C02C28" w:rsidRPr="00081ADA" w:rsidP="00C02C28" w14:paraId="2CD47684" w14:textId="4709ADA2">
      <w:pPr>
        <w:rPr>
          <w:szCs w:val="24"/>
        </w:rPr>
      </w:pPr>
      <w:r w:rsidRPr="00081ADA">
        <w:rPr>
          <w:szCs w:val="24"/>
        </w:rPr>
        <w:t xml:space="preserve">Remuneration has been used in other </w:t>
      </w:r>
      <w:r w:rsidR="00513577">
        <w:rPr>
          <w:szCs w:val="24"/>
        </w:rPr>
        <w:t xml:space="preserve">similar </w:t>
      </w:r>
      <w:r w:rsidRPr="00081ADA">
        <w:rPr>
          <w:szCs w:val="24"/>
        </w:rPr>
        <w:t>HIV-related CDC data collection efforts</w:t>
      </w:r>
      <w:r w:rsidR="00C9208F">
        <w:rPr>
          <w:szCs w:val="24"/>
        </w:rPr>
        <w:t xml:space="preserve"> including the</w:t>
      </w:r>
      <w:r w:rsidRPr="00081ADA">
        <w:rPr>
          <w:szCs w:val="24"/>
        </w:rPr>
        <w:t xml:space="preserve"> National HIV Behavioral Surveillance (OMB 0920-0770, exp. 5/31/2014), the </w:t>
      </w:r>
      <w:r w:rsidR="00175DA2">
        <w:rPr>
          <w:szCs w:val="24"/>
        </w:rPr>
        <w:t>Expanding PrEP in Communities of Color (EPICC) study</w:t>
      </w:r>
      <w:r w:rsidRPr="00081ADA">
        <w:rPr>
          <w:szCs w:val="24"/>
        </w:rPr>
        <w:t xml:space="preserve"> (OMB 0920-</w:t>
      </w:r>
      <w:r w:rsidR="00175DA2">
        <w:rPr>
          <w:szCs w:val="24"/>
        </w:rPr>
        <w:t>1423</w:t>
      </w:r>
      <w:r w:rsidRPr="00081ADA">
        <w:rPr>
          <w:szCs w:val="24"/>
        </w:rPr>
        <w:t>, exp. 12/31/20</w:t>
      </w:r>
      <w:r w:rsidR="00175DA2">
        <w:rPr>
          <w:szCs w:val="24"/>
        </w:rPr>
        <w:t>26</w:t>
      </w:r>
      <w:r w:rsidRPr="00081ADA">
        <w:rPr>
          <w:szCs w:val="24"/>
        </w:rPr>
        <w:t xml:space="preserve">), the </w:t>
      </w:r>
      <w:r w:rsidR="001620B7">
        <w:rPr>
          <w:szCs w:val="24"/>
        </w:rPr>
        <w:t>mChoice: Improving PrEP Uptake and Adherence study</w:t>
      </w:r>
      <w:r w:rsidRPr="00081ADA">
        <w:rPr>
          <w:szCs w:val="24"/>
        </w:rPr>
        <w:t xml:space="preserve"> (OMB 0920-1</w:t>
      </w:r>
      <w:r w:rsidR="001620B7">
        <w:rPr>
          <w:szCs w:val="24"/>
        </w:rPr>
        <w:t>428</w:t>
      </w:r>
      <w:r w:rsidRPr="00081ADA">
        <w:rPr>
          <w:szCs w:val="24"/>
        </w:rPr>
        <w:t>, exp. 1/31/20</w:t>
      </w:r>
      <w:r w:rsidR="001620B7">
        <w:rPr>
          <w:szCs w:val="24"/>
        </w:rPr>
        <w:t>27</w:t>
      </w:r>
      <w:r w:rsidRPr="00081ADA">
        <w:rPr>
          <w:szCs w:val="24"/>
        </w:rPr>
        <w:t xml:space="preserve">), </w:t>
      </w:r>
      <w:r w:rsidR="001620B7">
        <w:rPr>
          <w:szCs w:val="24"/>
        </w:rPr>
        <w:t xml:space="preserve">and the </w:t>
      </w:r>
      <w:r w:rsidR="00C9208F">
        <w:rPr>
          <w:szCs w:val="24"/>
        </w:rPr>
        <w:t>Understanding HIV/STD Risk and Enhancing PrEP Implementation Messaging study (OMB 0920-1421, exp. 11/30/2026),</w:t>
      </w:r>
      <w:r w:rsidR="001620B7">
        <w:rPr>
          <w:szCs w:val="24"/>
        </w:rPr>
        <w:t xml:space="preserve"> </w:t>
      </w:r>
      <w:r w:rsidRPr="00081ADA">
        <w:rPr>
          <w:szCs w:val="24"/>
        </w:rPr>
        <w:t>all of which included hard-to-reach populations and had a similar length of time for completing the client interview as in this proposed research. </w:t>
      </w:r>
      <w:r>
        <w:rPr>
          <w:szCs w:val="24"/>
        </w:rPr>
        <w:t xml:space="preserve"> </w:t>
      </w:r>
      <w:r w:rsidRPr="00B5654F">
        <w:rPr>
          <w:szCs w:val="24"/>
        </w:rPr>
        <w:t xml:space="preserve">In each of these projects, tokens of appreciation </w:t>
      </w:r>
      <w:r>
        <w:rPr>
          <w:szCs w:val="24"/>
        </w:rPr>
        <w:t>helped to</w:t>
      </w:r>
      <w:r w:rsidRPr="00B5654F">
        <w:rPr>
          <w:szCs w:val="24"/>
        </w:rPr>
        <w:t xml:space="preserve"> increase </w:t>
      </w:r>
      <w:r>
        <w:rPr>
          <w:szCs w:val="24"/>
        </w:rPr>
        <w:t xml:space="preserve">and maintain </w:t>
      </w:r>
      <w:r w:rsidRPr="00B5654F">
        <w:rPr>
          <w:szCs w:val="24"/>
        </w:rPr>
        <w:t>participation rates.</w:t>
      </w:r>
    </w:p>
    <w:p w:rsidR="00C02C28" w:rsidP="00C117EC" w14:paraId="7C9380CB" w14:textId="77777777">
      <w:pPr>
        <w:rPr>
          <w:szCs w:val="24"/>
        </w:rPr>
      </w:pPr>
    </w:p>
    <w:p w:rsidR="0062681B" w:rsidRPr="00081ADA" w:rsidP="00BE520E" w14:paraId="23B0D730" w14:textId="3CE85153">
      <w:pPr>
        <w:rPr>
          <w:szCs w:val="24"/>
        </w:rPr>
      </w:pPr>
      <w:r w:rsidRPr="00081ADA">
        <w:rPr>
          <w:szCs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006F73BA">
        <w:rPr>
          <w:szCs w:val="24"/>
          <w:vertAlign w:val="superscript"/>
        </w:rPr>
        <w:t>1</w:t>
      </w:r>
      <w:r w:rsidR="00774EC4">
        <w:rPr>
          <w:szCs w:val="24"/>
          <w:vertAlign w:val="superscript"/>
        </w:rPr>
        <w:t>3</w:t>
      </w:r>
      <w:r w:rsidRPr="00081ADA">
        <w:rPr>
          <w:szCs w:val="24"/>
        </w:rPr>
        <w:t xml:space="preserve"> The use of tokens of appreciation in the proposed research is appropriate according to this guidance. The primary goal of the project is to develop and assess the potential impact </w:t>
      </w:r>
      <w:r w:rsidR="006F73BA">
        <w:rPr>
          <w:szCs w:val="24"/>
        </w:rPr>
        <w:t>of POC NAT technologies on persons seeking HIV and STI testing, and persons receiving HIV treatment and care</w:t>
      </w:r>
      <w:r w:rsidRPr="00081ADA">
        <w:rPr>
          <w:szCs w:val="24"/>
        </w:rPr>
        <w:t xml:space="preserve">. This study seeks to recruit, enroll, and follow </w:t>
      </w:r>
      <w:r w:rsidRPr="00081ADA" w:rsidR="00F934A5">
        <w:rPr>
          <w:szCs w:val="24"/>
        </w:rPr>
        <w:t>a</w:t>
      </w:r>
      <w:r w:rsidRPr="00081ADA">
        <w:rPr>
          <w:szCs w:val="24"/>
        </w:rPr>
        <w:t xml:space="preserve"> </w:t>
      </w:r>
      <w:r w:rsidRPr="00081ADA" w:rsidR="00D36843">
        <w:rPr>
          <w:szCs w:val="24"/>
        </w:rPr>
        <w:t>stigmatized population</w:t>
      </w:r>
      <w:r w:rsidRPr="00081ADA">
        <w:rPr>
          <w:szCs w:val="24"/>
        </w:rPr>
        <w:t xml:space="preserve">, while also asking highly sensitive questions about issues such as </w:t>
      </w:r>
      <w:r w:rsidRPr="00081ADA" w:rsidR="004A51BE">
        <w:rPr>
          <w:szCs w:val="24"/>
        </w:rPr>
        <w:t>PrEP use</w:t>
      </w:r>
      <w:r w:rsidRPr="00081ADA">
        <w:rPr>
          <w:szCs w:val="24"/>
        </w:rPr>
        <w:t>,</w:t>
      </w:r>
      <w:r w:rsidR="006F73BA">
        <w:rPr>
          <w:szCs w:val="24"/>
        </w:rPr>
        <w:t xml:space="preserve"> </w:t>
      </w:r>
      <w:r w:rsidRPr="00081ADA" w:rsidR="00F20EAC">
        <w:rPr>
          <w:szCs w:val="24"/>
        </w:rPr>
        <w:t xml:space="preserve">HIV and STIs, and </w:t>
      </w:r>
      <w:r w:rsidR="006F73BA">
        <w:rPr>
          <w:szCs w:val="24"/>
        </w:rPr>
        <w:t>HIV status and care</w:t>
      </w:r>
      <w:r w:rsidRPr="00081ADA">
        <w:rPr>
          <w:szCs w:val="24"/>
        </w:rPr>
        <w:t xml:space="preserve">.  </w:t>
      </w:r>
      <w:r w:rsidR="00C9208F">
        <w:rPr>
          <w:szCs w:val="24"/>
        </w:rPr>
        <w:t>Moreover</w:t>
      </w:r>
      <w:r w:rsidR="006F73BA">
        <w:rPr>
          <w:szCs w:val="24"/>
        </w:rPr>
        <w:t>, o</w:t>
      </w:r>
      <w:r w:rsidRPr="00081ADA" w:rsidR="003C2D2C">
        <w:rPr>
          <w:szCs w:val="24"/>
        </w:rPr>
        <w:t xml:space="preserve">ffering tokens of appreciation is </w:t>
      </w:r>
      <w:r w:rsidRPr="00081ADA" w:rsidR="00AC7A7E">
        <w:rPr>
          <w:szCs w:val="24"/>
        </w:rPr>
        <w:t xml:space="preserve">critical when </w:t>
      </w:r>
      <w:r w:rsidRPr="00081ADA" w:rsidR="00726FC8">
        <w:rPr>
          <w:szCs w:val="24"/>
        </w:rPr>
        <w:t>recruiting</w:t>
      </w:r>
      <w:r w:rsidRPr="00081ADA" w:rsidR="003C2D2C">
        <w:rPr>
          <w:szCs w:val="24"/>
        </w:rPr>
        <w:t xml:space="preserve"> historically underrepresented groups in research.</w:t>
      </w:r>
      <w:r w:rsidRPr="00081ADA" w:rsidR="005E00F9">
        <w:rPr>
          <w:szCs w:val="24"/>
        </w:rPr>
        <w:t xml:space="preserve"> </w:t>
      </w:r>
    </w:p>
    <w:p w:rsidR="002C5246" w:rsidRPr="00081ADA" w:rsidP="00EC4AB4" w14:paraId="7CD36D4B" w14:textId="5614C9C9">
      <w:pPr>
        <w:pStyle w:val="NoSpacing"/>
        <w:tabs>
          <w:tab w:val="left" w:pos="360"/>
        </w:tabs>
        <w:rPr>
          <w:rFonts w:cs="Times New Roman"/>
          <w:szCs w:val="24"/>
        </w:rPr>
      </w:pPr>
    </w:p>
    <w:p w:rsidR="000C18B4" w:rsidP="000A4126" w14:paraId="6F30797F" w14:textId="77777777">
      <w:pPr>
        <w:pStyle w:val="NoSpacing"/>
        <w:tabs>
          <w:tab w:val="left" w:pos="360"/>
        </w:tabs>
        <w:rPr>
          <w:rFonts w:cs="Times New Roman"/>
          <w:b/>
          <w:bCs/>
          <w:szCs w:val="24"/>
        </w:rPr>
      </w:pPr>
    </w:p>
    <w:p w:rsidR="000C18B4" w:rsidP="000A4126" w14:paraId="117C64F2" w14:textId="77777777">
      <w:pPr>
        <w:pStyle w:val="NoSpacing"/>
        <w:tabs>
          <w:tab w:val="left" w:pos="360"/>
        </w:tabs>
        <w:rPr>
          <w:rFonts w:cs="Times New Roman"/>
          <w:b/>
          <w:bCs/>
          <w:szCs w:val="24"/>
        </w:rPr>
      </w:pPr>
    </w:p>
    <w:p w:rsidR="002C5246" w:rsidRPr="00081ADA" w:rsidP="000A4126" w14:paraId="768E0174" w14:textId="31B1EA75">
      <w:pPr>
        <w:pStyle w:val="NoSpacing"/>
        <w:tabs>
          <w:tab w:val="left" w:pos="360"/>
        </w:tabs>
        <w:rPr>
          <w:rFonts w:cs="Times New Roman"/>
          <w:b/>
          <w:bCs/>
          <w:szCs w:val="24"/>
        </w:rPr>
      </w:pPr>
      <w:r w:rsidRPr="00081ADA">
        <w:rPr>
          <w:rFonts w:cs="Times New Roman"/>
          <w:b/>
          <w:bCs/>
          <w:szCs w:val="24"/>
        </w:rPr>
        <w:t>10.</w:t>
      </w:r>
      <w:r w:rsidRPr="00081ADA">
        <w:rPr>
          <w:rFonts w:cs="Times New Roman"/>
          <w:b/>
          <w:bCs/>
          <w:szCs w:val="24"/>
        </w:rPr>
        <w:tab/>
        <w:t xml:space="preserve"> </w:t>
      </w:r>
      <w:bookmarkStart w:id="32" w:name="ProtectionOfThePrivacy10"/>
      <w:r w:rsidRPr="00081ADA">
        <w:rPr>
          <w:rFonts w:cs="Times New Roman"/>
          <w:b/>
          <w:bCs/>
          <w:szCs w:val="24"/>
        </w:rPr>
        <w:t>Protection of the Privacy and Confidentiality of Information Provided by Respondents</w:t>
      </w:r>
      <w:bookmarkEnd w:id="32"/>
    </w:p>
    <w:p w:rsidR="00C10799" w:rsidP="00EC4AB4" w14:paraId="20323B21" w14:textId="77777777">
      <w:pPr>
        <w:pStyle w:val="NoSpacing"/>
        <w:tabs>
          <w:tab w:val="left" w:pos="360"/>
        </w:tabs>
        <w:rPr>
          <w:rFonts w:cs="Times New Roman"/>
          <w:b/>
          <w:bCs/>
        </w:rPr>
      </w:pPr>
    </w:p>
    <w:p w:rsidR="00052270" w:rsidRPr="00EC4AB4" w:rsidP="00EC4AB4" w14:paraId="1F5E069B" w14:textId="5CC8D097">
      <w:pPr>
        <w:rPr>
          <w:rFonts w:eastAsia="Calibri"/>
          <w:szCs w:val="24"/>
        </w:rPr>
      </w:pPr>
      <w:r w:rsidRPr="00EC4AB4">
        <w:rPr>
          <w:rFonts w:eastAsia="Calibri"/>
          <w:szCs w:val="24"/>
        </w:rPr>
        <w:t xml:space="preserve">The </w:t>
      </w:r>
      <w:r w:rsidR="00AF6F75">
        <w:rPr>
          <w:rFonts w:eastAsia="Calibri"/>
          <w:szCs w:val="24"/>
        </w:rPr>
        <w:t xml:space="preserve">CDC National Center for HIV, </w:t>
      </w:r>
      <w:r w:rsidR="009D73CC">
        <w:rPr>
          <w:rFonts w:eastAsia="Calibri"/>
          <w:szCs w:val="24"/>
        </w:rPr>
        <w:t xml:space="preserve">Viral </w:t>
      </w:r>
      <w:r w:rsidR="00AF6F75">
        <w:rPr>
          <w:rFonts w:eastAsia="Calibri"/>
          <w:szCs w:val="24"/>
        </w:rPr>
        <w:t>Hepatitis</w:t>
      </w:r>
      <w:r w:rsidR="009D73CC">
        <w:rPr>
          <w:rFonts w:eastAsia="Calibri"/>
          <w:szCs w:val="24"/>
        </w:rPr>
        <w:t>, STD, and TB Prevention (</w:t>
      </w:r>
      <w:r w:rsidRPr="00EC4AB4">
        <w:rPr>
          <w:rFonts w:eastAsia="Calibri"/>
          <w:szCs w:val="24"/>
        </w:rPr>
        <w:t>NCHHSTP</w:t>
      </w:r>
      <w:r w:rsidR="009D73CC">
        <w:rPr>
          <w:rFonts w:eastAsia="Calibri"/>
          <w:szCs w:val="24"/>
        </w:rPr>
        <w:t>)</w:t>
      </w:r>
      <w:r w:rsidRPr="00EC4AB4">
        <w:rPr>
          <w:rFonts w:eastAsia="Calibri"/>
          <w:szCs w:val="24"/>
        </w:rPr>
        <w:t xml:space="preserve"> Associate Director for Science Office has reviewed this project.  </w:t>
      </w:r>
      <w:r w:rsidRPr="00EC4AB4" w:rsidR="00C42A6C">
        <w:rPr>
          <w:rFonts w:eastAsia="Calibri"/>
          <w:szCs w:val="24"/>
        </w:rPr>
        <w:t xml:space="preserve">A Privacy Impact Assessment </w:t>
      </w:r>
      <w:r w:rsidRPr="00EC4AB4" w:rsidR="004F554F">
        <w:rPr>
          <w:rFonts w:eastAsia="Calibri"/>
          <w:szCs w:val="24"/>
        </w:rPr>
        <w:t>has been</w:t>
      </w:r>
      <w:r w:rsidRPr="00EC4AB4" w:rsidR="002F5832">
        <w:rPr>
          <w:rFonts w:eastAsia="Calibri"/>
          <w:szCs w:val="24"/>
        </w:rPr>
        <w:t xml:space="preserve"> conducted </w:t>
      </w:r>
      <w:r w:rsidRPr="00EC4AB4" w:rsidR="000D2401">
        <w:rPr>
          <w:rFonts w:eastAsia="Calibri"/>
          <w:szCs w:val="24"/>
        </w:rPr>
        <w:t>(</w:t>
      </w:r>
      <w:r w:rsidRPr="00EC4AB4" w:rsidR="000D2401">
        <w:rPr>
          <w:rFonts w:eastAsia="Calibri"/>
          <w:b/>
          <w:bCs/>
          <w:szCs w:val="24"/>
        </w:rPr>
        <w:t>Attachment 8</w:t>
      </w:r>
      <w:r w:rsidRPr="00EC4AB4" w:rsidR="000D2401">
        <w:rPr>
          <w:rFonts w:eastAsia="Calibri"/>
          <w:szCs w:val="24"/>
        </w:rPr>
        <w:t>)</w:t>
      </w:r>
      <w:r w:rsidRPr="00EC4AB4">
        <w:rPr>
          <w:rFonts w:eastAsia="Calibri"/>
          <w:szCs w:val="24"/>
        </w:rPr>
        <w:t>.</w:t>
      </w:r>
      <w:r w:rsidRPr="00EC4AB4" w:rsidR="000D2401">
        <w:rPr>
          <w:rFonts w:eastAsia="Calibri"/>
          <w:szCs w:val="24"/>
        </w:rPr>
        <w:t xml:space="preserve"> </w:t>
      </w:r>
    </w:p>
    <w:p w:rsidR="00CA507C" w:rsidRPr="00081ADA" w:rsidP="00EC4AB4" w14:paraId="36BA3362" w14:textId="4721C8CB">
      <w:pPr>
        <w:rPr>
          <w:rFonts w:eastAsia="Calibri"/>
          <w:szCs w:val="24"/>
        </w:rPr>
      </w:pPr>
    </w:p>
    <w:p w:rsidR="004F554F" w:rsidRPr="00081ADA" w:rsidP="00EC4AB4" w14:paraId="63A378F4" w14:textId="123619D3">
      <w:pPr>
        <w:rPr>
          <w:rFonts w:eastAsia="Calibri"/>
          <w:szCs w:val="24"/>
        </w:rPr>
      </w:pPr>
      <w:r w:rsidRPr="00081ADA">
        <w:rPr>
          <w:rFonts w:eastAsia="Calibri"/>
          <w:szCs w:val="24"/>
        </w:rPr>
        <w:t xml:space="preserve">The awardee, </w:t>
      </w:r>
      <w:r w:rsidR="006F73BA">
        <w:rPr>
          <w:rFonts w:eastAsia="Calibri"/>
          <w:szCs w:val="24"/>
        </w:rPr>
        <w:t>University of Washington</w:t>
      </w:r>
      <w:r w:rsidRPr="00081ADA">
        <w:rPr>
          <w:rFonts w:eastAsia="Calibri"/>
          <w:szCs w:val="24"/>
        </w:rPr>
        <w:t xml:space="preserve"> University, will be responsible for collecting all data for this study. </w:t>
      </w:r>
      <w:r w:rsidRPr="00081ADA">
        <w:rPr>
          <w:rFonts w:eastAsia="Calibri"/>
          <w:szCs w:val="24"/>
        </w:rPr>
        <w:t xml:space="preserve">Personally identifiable information will not be shared with CDC. </w:t>
      </w:r>
    </w:p>
    <w:p w:rsidR="004F554F" w:rsidRPr="00081ADA" w:rsidP="00EC4AB4" w14:paraId="2CC0DF20" w14:textId="116406E7">
      <w:pPr>
        <w:rPr>
          <w:rFonts w:eastAsia="Calibri"/>
          <w:szCs w:val="24"/>
        </w:rPr>
      </w:pPr>
      <w:r w:rsidRPr="00081ADA">
        <w:rPr>
          <w:rFonts w:eastAsia="Calibri"/>
          <w:szCs w:val="24"/>
        </w:rPr>
        <w:t xml:space="preserve"> </w:t>
      </w:r>
    </w:p>
    <w:p w:rsidR="00380339" w:rsidRPr="00081ADA" w:rsidP="00EC4AB4" w14:paraId="51F4245C" w14:textId="64518129">
      <w:pPr>
        <w:rPr>
          <w:szCs w:val="24"/>
        </w:rPr>
      </w:pPr>
      <w:r w:rsidRPr="00081ADA">
        <w:rPr>
          <w:rFonts w:eastAsia="Calibri"/>
          <w:szCs w:val="24"/>
        </w:rPr>
        <w:t>T</w:t>
      </w:r>
      <w:r w:rsidRPr="00081ADA" w:rsidR="004F554F">
        <w:rPr>
          <w:rFonts w:eastAsia="Calibri"/>
          <w:szCs w:val="24"/>
        </w:rPr>
        <w:t>he t</w:t>
      </w:r>
      <w:r w:rsidRPr="00081ADA">
        <w:rPr>
          <w:rFonts w:eastAsia="Calibri"/>
          <w:szCs w:val="24"/>
        </w:rPr>
        <w:t>erms of the CDC Cooperative Agreement authorizing data collection require the grantee to maintain the privacy of all information collected. Section 301(d) of the Public Health Service (PHS) Act, as amended by Section 2012 of the 21</w:t>
      </w:r>
      <w:r w:rsidRPr="00081ADA">
        <w:rPr>
          <w:rFonts w:eastAsia="Calibri"/>
          <w:szCs w:val="24"/>
          <w:vertAlign w:val="superscript"/>
        </w:rPr>
        <w:t>st</w:t>
      </w:r>
      <w:r w:rsidRPr="00081ADA">
        <w:rPr>
          <w:rFonts w:eastAsia="Calibri"/>
          <w:szCs w:val="24"/>
        </w:rPr>
        <w:t xml:space="preserve"> Century Cure Act, P.L. 114-255 (42 U.S.C. 241(d), </w:t>
      </w:r>
      <w:r w:rsidRPr="00081ADA">
        <w:rPr>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081ADA">
        <w:rPr>
          <w:rFonts w:eastAsia="Calibri"/>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380339" w:rsidRPr="00081ADA" w:rsidP="00EC4AB4" w14:paraId="7620DDD9" w14:textId="17DD5E0A">
      <w:pPr>
        <w:rPr>
          <w:rFonts w:eastAsia="Calibri"/>
          <w:szCs w:val="24"/>
        </w:rPr>
      </w:pPr>
    </w:p>
    <w:p w:rsidR="00FF1D65" w:rsidP="00EC4AB4" w14:paraId="4F993E45" w14:textId="17A1AF46">
      <w:pPr>
        <w:rPr>
          <w:rFonts w:eastAsia="Calibri"/>
          <w:szCs w:val="24"/>
        </w:rPr>
      </w:pPr>
      <w:r w:rsidRPr="00DB7165">
        <w:rPr>
          <w:rFonts w:eastAsia="Calibri"/>
          <w:szCs w:val="24"/>
        </w:rPr>
        <w:t xml:space="preserve">To minimize risks to confidentiality, we will provide study data with all appropriate physical and operational security protections. </w:t>
      </w:r>
      <w:r w:rsidR="00E32C7E">
        <w:rPr>
          <w:rFonts w:eastAsia="Calibri"/>
          <w:szCs w:val="24"/>
        </w:rPr>
        <w:t>A</w:t>
      </w:r>
      <w:r w:rsidRPr="00DB7165">
        <w:rPr>
          <w:rFonts w:eastAsia="Calibri"/>
          <w:szCs w:val="24"/>
        </w:rPr>
        <w:t xml:space="preserve">ll identifiable data collected regarding study participants will be maintained separately from all other information, </w:t>
      </w:r>
      <w:r w:rsidRPr="00DB7165" w:rsidR="007062DA">
        <w:rPr>
          <w:rFonts w:eastAsia="Calibri"/>
          <w:szCs w:val="24"/>
        </w:rPr>
        <w:t>including</w:t>
      </w:r>
      <w:r w:rsidRPr="00DB7165">
        <w:rPr>
          <w:rFonts w:eastAsia="Calibri"/>
          <w:szCs w:val="24"/>
        </w:rPr>
        <w:t xml:space="preserve"> </w:t>
      </w:r>
      <w:r w:rsidR="006F73BA">
        <w:rPr>
          <w:rFonts w:eastAsia="Calibri"/>
          <w:szCs w:val="24"/>
        </w:rPr>
        <w:t>screen and link</w:t>
      </w:r>
      <w:r w:rsidRPr="00DB7165">
        <w:rPr>
          <w:rFonts w:eastAsia="Calibri"/>
          <w:szCs w:val="24"/>
        </w:rPr>
        <w:t xml:space="preserve"> responses, </w:t>
      </w:r>
      <w:r w:rsidR="006F73BA">
        <w:rPr>
          <w:rFonts w:eastAsia="Calibri"/>
          <w:szCs w:val="24"/>
        </w:rPr>
        <w:t>study visit, acceptability and phone surveys, focus group and interview data, and medical record data</w:t>
      </w:r>
      <w:r w:rsidRPr="00DB7165">
        <w:rPr>
          <w:rFonts w:eastAsia="Calibri"/>
          <w:szCs w:val="24"/>
        </w:rPr>
        <w:t>. All participants will be assigned a unique identification</w:t>
      </w:r>
      <w:r w:rsidR="00904D75">
        <w:rPr>
          <w:rFonts w:eastAsia="Calibri"/>
          <w:szCs w:val="24"/>
        </w:rPr>
        <w:t xml:space="preserve"> (ID)</w:t>
      </w:r>
      <w:r w:rsidRPr="00DB7165">
        <w:rPr>
          <w:rFonts w:eastAsia="Calibri"/>
          <w:szCs w:val="24"/>
        </w:rPr>
        <w:t xml:space="preserve"> number</w:t>
      </w:r>
      <w:r>
        <w:rPr>
          <w:rFonts w:eastAsia="Calibri"/>
          <w:szCs w:val="24"/>
        </w:rPr>
        <w:t xml:space="preserve"> which will be unrelated to the participants’ name or other uniquely identifying information.</w:t>
      </w:r>
      <w:r w:rsidRPr="00DB7165">
        <w:rPr>
          <w:rFonts w:eastAsia="Calibri"/>
          <w:szCs w:val="24"/>
        </w:rPr>
        <w:t xml:space="preserve"> </w:t>
      </w:r>
      <w:r>
        <w:rPr>
          <w:rFonts w:eastAsia="Calibri"/>
          <w:szCs w:val="24"/>
        </w:rPr>
        <w:t>Documents containing personally identifying information (PII) and the document linking PII and the study ID number will be maintained separately from study data in password protected files stored within a restricted folder on a secured server</w:t>
      </w:r>
      <w:r w:rsidRPr="00DB7165">
        <w:rPr>
          <w:rFonts w:eastAsia="Calibri"/>
          <w:szCs w:val="24"/>
        </w:rPr>
        <w:t xml:space="preserve">. </w:t>
      </w:r>
      <w:r w:rsidR="005A2F3C">
        <w:rPr>
          <w:rFonts w:eastAsia="Calibri"/>
          <w:szCs w:val="24"/>
        </w:rPr>
        <w:t xml:space="preserve">These confidential files </w:t>
      </w:r>
      <w:r w:rsidRPr="00DB7165">
        <w:rPr>
          <w:rFonts w:eastAsia="Calibri"/>
          <w:szCs w:val="24"/>
        </w:rPr>
        <w:t xml:space="preserve">will </w:t>
      </w:r>
      <w:r w:rsidR="005A2F3C">
        <w:rPr>
          <w:rFonts w:eastAsia="Calibri"/>
          <w:szCs w:val="24"/>
        </w:rPr>
        <w:t xml:space="preserve">only </w:t>
      </w:r>
      <w:r w:rsidRPr="00DB7165">
        <w:rPr>
          <w:rFonts w:eastAsia="Calibri"/>
          <w:szCs w:val="24"/>
        </w:rPr>
        <w:t xml:space="preserve">be accessible only to </w:t>
      </w:r>
      <w:r w:rsidR="006F73BA">
        <w:rPr>
          <w:rFonts w:eastAsia="Calibri"/>
          <w:szCs w:val="24"/>
        </w:rPr>
        <w:t>the Principal Investigator, Study Manager</w:t>
      </w:r>
      <w:r w:rsidRPr="00DB7165">
        <w:rPr>
          <w:rFonts w:eastAsia="Calibri"/>
          <w:szCs w:val="24"/>
        </w:rPr>
        <w:t xml:space="preserve">, and other staff who </w:t>
      </w:r>
      <w:r w:rsidR="00EC4AB4">
        <w:rPr>
          <w:rFonts w:eastAsia="Calibri"/>
          <w:szCs w:val="24"/>
        </w:rPr>
        <w:t xml:space="preserve">will </w:t>
      </w:r>
      <w:r w:rsidRPr="00DB7165">
        <w:rPr>
          <w:rFonts w:eastAsia="Calibri"/>
          <w:szCs w:val="24"/>
        </w:rPr>
        <w:t xml:space="preserve">undergo training in data security procedures. </w:t>
      </w:r>
    </w:p>
    <w:p w:rsidR="00FF1D65" w:rsidP="00EC4AB4" w14:paraId="496901B8" w14:textId="77777777">
      <w:pPr>
        <w:rPr>
          <w:rFonts w:eastAsia="Calibri"/>
          <w:szCs w:val="24"/>
        </w:rPr>
      </w:pPr>
    </w:p>
    <w:p w:rsidR="004F554F" w:rsidRPr="00DB7165" w:rsidP="00EC4AB4" w14:paraId="3840D1EF" w14:textId="4133D5ED">
      <w:pPr>
        <w:rPr>
          <w:rFonts w:eastAsia="Calibri"/>
          <w:szCs w:val="24"/>
        </w:rPr>
      </w:pPr>
      <w:r w:rsidRPr="00DB7165">
        <w:rPr>
          <w:rFonts w:eastAsia="Calibri"/>
          <w:szCs w:val="24"/>
        </w:rPr>
        <w:t xml:space="preserve">All web survey data will be collected using </w:t>
      </w:r>
      <w:r w:rsidR="005A2F3C">
        <w:rPr>
          <w:rFonts w:eastAsia="Calibri"/>
          <w:szCs w:val="24"/>
        </w:rPr>
        <w:t>REDCap</w:t>
      </w:r>
      <w:r w:rsidRPr="00DB7165">
        <w:rPr>
          <w:rFonts w:eastAsia="Calibri"/>
          <w:szCs w:val="24"/>
        </w:rPr>
        <w:t xml:space="preserve">, a </w:t>
      </w:r>
      <w:r w:rsidR="00D8135C">
        <w:rPr>
          <w:rFonts w:eastAsia="Calibri"/>
          <w:szCs w:val="24"/>
        </w:rPr>
        <w:t xml:space="preserve">HIPPA-compliant, </w:t>
      </w:r>
      <w:r w:rsidRPr="00DB7165">
        <w:rPr>
          <w:rFonts w:eastAsia="Calibri"/>
          <w:szCs w:val="24"/>
        </w:rPr>
        <w:t xml:space="preserve">secure, encrypted electronic platform </w:t>
      </w:r>
      <w:r w:rsidR="005A2F3C">
        <w:rPr>
          <w:rFonts w:eastAsia="Calibri"/>
          <w:szCs w:val="24"/>
        </w:rPr>
        <w:t>maintained by the University of Washington</w:t>
      </w:r>
      <w:r w:rsidRPr="00DB7165">
        <w:rPr>
          <w:rFonts w:eastAsia="Calibri"/>
          <w:szCs w:val="24"/>
        </w:rPr>
        <w:t xml:space="preserve">. Study data stored by </w:t>
      </w:r>
      <w:r w:rsidR="005A2F3C">
        <w:rPr>
          <w:rFonts w:eastAsia="Calibri"/>
          <w:szCs w:val="24"/>
        </w:rPr>
        <w:t>REDCap</w:t>
      </w:r>
      <w:r w:rsidRPr="00DB7165">
        <w:rPr>
          <w:rFonts w:eastAsia="Calibri"/>
          <w:szCs w:val="24"/>
        </w:rPr>
        <w:t xml:space="preserve"> are maintained on a dedicated secure server. Data collected via </w:t>
      </w:r>
      <w:r w:rsidR="005A2F3C">
        <w:rPr>
          <w:rFonts w:eastAsia="Calibri"/>
          <w:szCs w:val="24"/>
        </w:rPr>
        <w:t>REDCap</w:t>
      </w:r>
      <w:r w:rsidRPr="00DB7165">
        <w:rPr>
          <w:rFonts w:eastAsia="Calibri"/>
          <w:szCs w:val="24"/>
        </w:rPr>
        <w:t xml:space="preserve"> are automatically encrypted, with the coded access only available to the Project Director and the PIs. </w:t>
      </w:r>
      <w:r w:rsidRPr="00DB7165">
        <w:rPr>
          <w:rFonts w:eastAsia="Calibri"/>
          <w:szCs w:val="24"/>
        </w:rPr>
        <w:t>All data will be secured during transmission by using a 256-bit SSL encryption or higher, and the SSL certificate will be from a reputable provider (</w:t>
      </w:r>
      <w:r w:rsidRPr="00DB7165" w:rsidR="002C78BF">
        <w:rPr>
          <w:rFonts w:eastAsia="Calibri"/>
          <w:szCs w:val="24"/>
        </w:rPr>
        <w:t>e.g.,</w:t>
      </w:r>
      <w:r w:rsidRPr="00DB7165">
        <w:rPr>
          <w:rFonts w:eastAsia="Calibri"/>
          <w:szCs w:val="24"/>
        </w:rPr>
        <w:t xml:space="preserve"> VeriSign).</w:t>
      </w:r>
    </w:p>
    <w:p w:rsidR="00FF1D65" w:rsidRPr="00DB7165" w:rsidP="00EC4AB4" w14:paraId="56BDFD3A" w14:textId="77777777">
      <w:pPr>
        <w:rPr>
          <w:rFonts w:eastAsia="Calibri"/>
          <w:szCs w:val="24"/>
        </w:rPr>
      </w:pPr>
    </w:p>
    <w:p w:rsidR="004F554F" w:rsidRPr="00DB7165" w:rsidP="00EC4AB4" w14:paraId="27895A38" w14:textId="32CF69D1">
      <w:pPr>
        <w:rPr>
          <w:rFonts w:eastAsia="Calibri"/>
          <w:szCs w:val="24"/>
        </w:rPr>
      </w:pPr>
      <w:r w:rsidRPr="00DB7165">
        <w:rPr>
          <w:rFonts w:eastAsia="Calibri"/>
          <w:szCs w:val="24"/>
        </w:rPr>
        <w:t xml:space="preserve">All electronic files and records will be </w:t>
      </w:r>
      <w:r w:rsidR="005A2F3C">
        <w:rPr>
          <w:rFonts w:eastAsia="Calibri"/>
          <w:szCs w:val="24"/>
        </w:rPr>
        <w:t>maintained</w:t>
      </w:r>
      <w:r w:rsidRPr="00DB7165">
        <w:rPr>
          <w:rFonts w:eastAsia="Calibri"/>
          <w:szCs w:val="24"/>
        </w:rPr>
        <w:t xml:space="preserve"> in a firewall-protected, encrypted server at University</w:t>
      </w:r>
      <w:r w:rsidR="005A2F3C">
        <w:rPr>
          <w:rFonts w:eastAsia="Calibri"/>
          <w:szCs w:val="24"/>
        </w:rPr>
        <w:t xml:space="preserve"> of Washington</w:t>
      </w:r>
      <w:r w:rsidRPr="00DB7165">
        <w:rPr>
          <w:rFonts w:eastAsia="Calibri"/>
          <w:szCs w:val="24"/>
        </w:rPr>
        <w:t xml:space="preserve">. Access to printed or electronic data will be on a role-based standard; only those study staff who require access to identifying data to complete their study-related roles </w:t>
      </w:r>
      <w:r w:rsidRPr="00DB7165">
        <w:rPr>
          <w:rFonts w:eastAsia="Calibri"/>
          <w:szCs w:val="24"/>
        </w:rPr>
        <w:t xml:space="preserve">will be allowed access. All study staff will be trained in security and confidentiality procedures and will sign a confidentiality agreement before receiving access to any participant data. </w:t>
      </w:r>
    </w:p>
    <w:p w:rsidR="00FF1D65" w:rsidRPr="00081ADA" w:rsidP="00EC4AB4" w14:paraId="2EDFF64C" w14:textId="77777777">
      <w:pPr>
        <w:rPr>
          <w:rFonts w:eastAsia="Calibri"/>
          <w:szCs w:val="24"/>
          <w:highlight w:val="yellow"/>
        </w:rPr>
      </w:pPr>
    </w:p>
    <w:p w:rsidR="00FF1D65" w:rsidP="00EC4AB4" w14:paraId="749000D5" w14:textId="60F12F2C">
      <w:pPr>
        <w:rPr>
          <w:rFonts w:eastAsia="Calibri"/>
          <w:szCs w:val="24"/>
        </w:rPr>
      </w:pPr>
      <w:r w:rsidRPr="009E7718">
        <w:rPr>
          <w:rFonts w:eastAsia="Calibri"/>
          <w:iCs/>
          <w:szCs w:val="24"/>
        </w:rPr>
        <w:t xml:space="preserve">The study will </w:t>
      </w:r>
      <w:r w:rsidRPr="009E7718" w:rsidR="00884AA6">
        <w:rPr>
          <w:rFonts w:eastAsia="Calibri"/>
          <w:iCs/>
          <w:szCs w:val="24"/>
        </w:rPr>
        <w:t>rely</w:t>
      </w:r>
      <w:r w:rsidRPr="009E7718">
        <w:rPr>
          <w:rFonts w:eastAsia="Calibri"/>
          <w:iCs/>
          <w:szCs w:val="24"/>
        </w:rPr>
        <w:t xml:space="preserve"> on the </w:t>
      </w:r>
      <w:r>
        <w:rPr>
          <w:rFonts w:eastAsia="Calibri"/>
          <w:iCs/>
          <w:szCs w:val="24"/>
        </w:rPr>
        <w:t xml:space="preserve">HIPPA-compliant </w:t>
      </w:r>
      <w:r w:rsidRPr="009E7718">
        <w:rPr>
          <w:rFonts w:eastAsia="Calibri"/>
          <w:iCs/>
          <w:szCs w:val="24"/>
        </w:rPr>
        <w:t>Zoom video chat service to conduct in-depth</w:t>
      </w:r>
      <w:r w:rsidRPr="009E7718" w:rsidR="00126573">
        <w:rPr>
          <w:rFonts w:eastAsia="Calibri"/>
          <w:iCs/>
          <w:szCs w:val="24"/>
        </w:rPr>
        <w:t xml:space="preserve"> interviews and focus</w:t>
      </w:r>
      <w:r w:rsidRPr="009E7718" w:rsidR="00C166A6">
        <w:rPr>
          <w:rFonts w:eastAsia="Calibri"/>
          <w:iCs/>
          <w:szCs w:val="24"/>
        </w:rPr>
        <w:t xml:space="preserve"> </w:t>
      </w:r>
      <w:r w:rsidRPr="009E7718" w:rsidR="00126573">
        <w:rPr>
          <w:rFonts w:eastAsia="Calibri"/>
          <w:iCs/>
          <w:szCs w:val="24"/>
        </w:rPr>
        <w:t xml:space="preserve">group discussions. </w:t>
      </w:r>
      <w:r w:rsidRPr="009E7718" w:rsidR="004F554F">
        <w:rPr>
          <w:rFonts w:eastAsia="Calibri"/>
          <w:szCs w:val="24"/>
        </w:rPr>
        <w:t xml:space="preserve">Zoom </w:t>
      </w:r>
      <w:r>
        <w:rPr>
          <w:rFonts w:eastAsia="Calibri"/>
          <w:szCs w:val="24"/>
        </w:rPr>
        <w:t>provides end-to-end encryption using</w:t>
      </w:r>
      <w:r w:rsidRPr="009E7718" w:rsidR="004F554F">
        <w:rPr>
          <w:rFonts w:eastAsia="Calibri"/>
          <w:szCs w:val="24"/>
        </w:rPr>
        <w:t xml:space="preserve"> Advance Encryption Standard (AES) 256-bit algorithm, or similar. Session keys are generated with device unique hardware ID to avoid data being read from other devices. This ensures that the consultation cannot be eavesdropped or tampered with. These qualitative assessments will be recorded and retained on the secure study server. The recordings from the qualitative assessments will be transcribed </w:t>
      </w:r>
      <w:r>
        <w:rPr>
          <w:rFonts w:eastAsia="Calibri"/>
          <w:szCs w:val="24"/>
        </w:rPr>
        <w:t>and during the transcription process all uniquely identifying information will be removed.</w:t>
      </w:r>
      <w:r w:rsidRPr="009E7718" w:rsidR="004F554F">
        <w:rPr>
          <w:rFonts w:eastAsia="Calibri"/>
          <w:szCs w:val="24"/>
        </w:rPr>
        <w:t xml:space="preserve"> </w:t>
      </w:r>
    </w:p>
    <w:p w:rsidR="00FF1D65" w:rsidP="00EC4AB4" w14:paraId="57122881" w14:textId="77777777">
      <w:pPr>
        <w:rPr>
          <w:rFonts w:eastAsia="Calibri"/>
          <w:szCs w:val="24"/>
        </w:rPr>
      </w:pPr>
    </w:p>
    <w:p w:rsidR="00FF1D65" w:rsidRPr="00DB7165" w:rsidP="00FF1D65" w14:paraId="1DA8106B" w14:textId="3EC8EE3F">
      <w:pPr>
        <w:rPr>
          <w:rFonts w:eastAsia="Calibri"/>
          <w:szCs w:val="24"/>
        </w:rPr>
      </w:pPr>
      <w:r>
        <w:rPr>
          <w:rFonts w:eastAsia="Calibri"/>
          <w:szCs w:val="24"/>
        </w:rPr>
        <w:t>Study staff will be trained to</w:t>
      </w:r>
      <w:r w:rsidRPr="00DB7165">
        <w:rPr>
          <w:rFonts w:eastAsia="Calibri"/>
          <w:szCs w:val="24"/>
        </w:rPr>
        <w:t xml:space="preserve"> follow regulations for mandatory reporting of breaches in confidentiality or adverse events. All study personnel will have completed </w:t>
      </w:r>
      <w:r>
        <w:rPr>
          <w:rFonts w:eastAsia="Calibri"/>
          <w:szCs w:val="24"/>
        </w:rPr>
        <w:t>human research protections (</w:t>
      </w:r>
      <w:r w:rsidRPr="00DB7165">
        <w:rPr>
          <w:rFonts w:eastAsia="Calibri"/>
          <w:szCs w:val="24"/>
        </w:rPr>
        <w:t>CITI</w:t>
      </w:r>
      <w:r>
        <w:rPr>
          <w:rFonts w:eastAsia="Calibri"/>
          <w:szCs w:val="24"/>
        </w:rPr>
        <w:t>)</w:t>
      </w:r>
      <w:r w:rsidRPr="00DB7165">
        <w:rPr>
          <w:rFonts w:eastAsia="Calibri"/>
          <w:szCs w:val="24"/>
        </w:rPr>
        <w:t xml:space="preserve"> training.</w:t>
      </w:r>
      <w:r>
        <w:rPr>
          <w:rFonts w:eastAsia="Calibri"/>
          <w:szCs w:val="24"/>
        </w:rPr>
        <w:t xml:space="preserve"> </w:t>
      </w:r>
      <w:r w:rsidRPr="00DB7165">
        <w:rPr>
          <w:rFonts w:eastAsia="Calibri"/>
          <w:szCs w:val="24"/>
        </w:rPr>
        <w:t xml:space="preserve">All study staff will be trained to recognize, document, and report any unusual events or circumstances that occur during data collection immediately to the </w:t>
      </w:r>
      <w:r w:rsidR="009D73CC">
        <w:rPr>
          <w:rFonts w:eastAsia="Calibri"/>
          <w:szCs w:val="24"/>
        </w:rPr>
        <w:t>Principal Investigator (</w:t>
      </w:r>
      <w:r w:rsidRPr="00DB7165">
        <w:rPr>
          <w:rFonts w:eastAsia="Calibri"/>
          <w:szCs w:val="24"/>
        </w:rPr>
        <w:t>PI</w:t>
      </w:r>
      <w:r w:rsidR="009D73CC">
        <w:rPr>
          <w:rFonts w:eastAsia="Calibri"/>
          <w:szCs w:val="24"/>
        </w:rPr>
        <w:t>)</w:t>
      </w:r>
      <w:r w:rsidRPr="00DB7165">
        <w:rPr>
          <w:rFonts w:eastAsia="Calibri"/>
          <w:szCs w:val="24"/>
        </w:rPr>
        <w:t xml:space="preserve"> and </w:t>
      </w:r>
      <w:r w:rsidR="005A2F3C">
        <w:rPr>
          <w:rFonts w:eastAsia="Calibri"/>
          <w:szCs w:val="24"/>
        </w:rPr>
        <w:t>the University of Washington</w:t>
      </w:r>
      <w:r w:rsidRPr="00DB7165">
        <w:rPr>
          <w:rFonts w:eastAsia="Calibri"/>
          <w:szCs w:val="24"/>
        </w:rPr>
        <w:t xml:space="preserve"> IRB. If an adverse event appears to be research-related, it will be reported to the </w:t>
      </w:r>
      <w:r w:rsidR="00731B9F">
        <w:rPr>
          <w:rFonts w:eastAsia="Calibri"/>
          <w:szCs w:val="24"/>
        </w:rPr>
        <w:t xml:space="preserve">Office </w:t>
      </w:r>
      <w:r w:rsidR="00A76A2A">
        <w:rPr>
          <w:rFonts w:eastAsia="Calibri"/>
          <w:szCs w:val="24"/>
        </w:rPr>
        <w:t>for</w:t>
      </w:r>
      <w:r w:rsidR="00731B9F">
        <w:rPr>
          <w:rFonts w:eastAsia="Calibri"/>
          <w:szCs w:val="24"/>
        </w:rPr>
        <w:t xml:space="preserve"> Human </w:t>
      </w:r>
      <w:r w:rsidR="00A76A2A">
        <w:rPr>
          <w:rFonts w:eastAsia="Calibri"/>
          <w:szCs w:val="24"/>
        </w:rPr>
        <w:t>Research Protections</w:t>
      </w:r>
      <w:r w:rsidRPr="00DB7165">
        <w:rPr>
          <w:rFonts w:eastAsia="Calibri"/>
          <w:szCs w:val="24"/>
        </w:rPr>
        <w:t xml:space="preserve"> along with summaries of discussions concerning the event. </w:t>
      </w:r>
      <w:r>
        <w:rPr>
          <w:rFonts w:eastAsia="Calibri"/>
          <w:szCs w:val="24"/>
        </w:rPr>
        <w:t>CDC</w:t>
      </w:r>
      <w:r w:rsidRPr="00DB7165">
        <w:rPr>
          <w:rFonts w:eastAsia="Calibri"/>
          <w:szCs w:val="24"/>
        </w:rPr>
        <w:t xml:space="preserve"> will be informed of any </w:t>
      </w:r>
      <w:r w:rsidR="00C9208F">
        <w:rPr>
          <w:rFonts w:eastAsia="Calibri"/>
          <w:szCs w:val="24"/>
        </w:rPr>
        <w:t>IRB</w:t>
      </w:r>
      <w:r w:rsidRPr="00DB7165">
        <w:rPr>
          <w:rFonts w:eastAsia="Calibri"/>
          <w:szCs w:val="24"/>
        </w:rPr>
        <w:t xml:space="preserve"> action taken concerning any adverse event. The Principal Investigators and Project </w:t>
      </w:r>
      <w:r w:rsidR="005A2F3C">
        <w:rPr>
          <w:rFonts w:eastAsia="Calibri"/>
          <w:szCs w:val="24"/>
        </w:rPr>
        <w:t>Manager</w:t>
      </w:r>
      <w:r w:rsidRPr="00DB7165">
        <w:rPr>
          <w:rFonts w:eastAsia="Calibri"/>
          <w:szCs w:val="24"/>
        </w:rPr>
        <w:t xml:space="preserve"> will monitor staff closely. S</w:t>
      </w:r>
      <w:r w:rsidR="00C9208F">
        <w:rPr>
          <w:rFonts w:eastAsia="Calibri"/>
          <w:szCs w:val="24"/>
        </w:rPr>
        <w:t>tudy s</w:t>
      </w:r>
      <w:r w:rsidRPr="00DB7165">
        <w:rPr>
          <w:rFonts w:eastAsia="Calibri"/>
          <w:szCs w:val="24"/>
        </w:rPr>
        <w:t xml:space="preserve">taff </w:t>
      </w:r>
      <w:r w:rsidR="00C9208F">
        <w:rPr>
          <w:rFonts w:eastAsia="Calibri"/>
          <w:szCs w:val="24"/>
        </w:rPr>
        <w:t>will be</w:t>
      </w:r>
      <w:r w:rsidRPr="00DB7165">
        <w:rPr>
          <w:rFonts w:eastAsia="Calibri"/>
          <w:szCs w:val="24"/>
        </w:rPr>
        <w:t xml:space="preserve"> closely monitored for </w:t>
      </w:r>
      <w:r w:rsidR="00C9208F">
        <w:rPr>
          <w:rFonts w:eastAsia="Calibri"/>
          <w:szCs w:val="24"/>
        </w:rPr>
        <w:t>adherence</w:t>
      </w:r>
      <w:r w:rsidRPr="00DB7165">
        <w:rPr>
          <w:rFonts w:eastAsia="Calibri"/>
          <w:szCs w:val="24"/>
        </w:rPr>
        <w:t xml:space="preserve"> </w:t>
      </w:r>
      <w:r w:rsidR="00C9208F">
        <w:rPr>
          <w:rFonts w:eastAsia="Calibri"/>
          <w:szCs w:val="24"/>
        </w:rPr>
        <w:t xml:space="preserve">to the </w:t>
      </w:r>
      <w:r w:rsidRPr="00DB7165">
        <w:rPr>
          <w:rFonts w:eastAsia="Calibri"/>
          <w:szCs w:val="24"/>
        </w:rPr>
        <w:t>protocols and procedures</w:t>
      </w:r>
      <w:r w:rsidR="00C9208F">
        <w:rPr>
          <w:rFonts w:eastAsia="Calibri"/>
          <w:szCs w:val="24"/>
        </w:rPr>
        <w:t xml:space="preserve"> that maintain participant privacy and confidentiality and staff who are deficient in any aspect of performance will be re-trained or terminated.</w:t>
      </w:r>
    </w:p>
    <w:p w:rsidR="00FF1D65" w:rsidRPr="00081ADA" w:rsidP="00EC4AB4" w14:paraId="1140CD94" w14:textId="77777777">
      <w:pPr>
        <w:rPr>
          <w:rFonts w:eastAsia="Calibri"/>
          <w:szCs w:val="24"/>
        </w:rPr>
      </w:pPr>
    </w:p>
    <w:p w:rsidR="0032418B" w:rsidP="00CA6E88" w14:paraId="0DEA8D28" w14:textId="77777777">
      <w:pPr>
        <w:rPr>
          <w:bCs/>
          <w:szCs w:val="24"/>
        </w:rPr>
      </w:pPr>
      <w:r w:rsidRPr="00CA6E88">
        <w:rPr>
          <w:bCs/>
          <w:szCs w:val="24"/>
        </w:rPr>
        <w:t>University of Washington (UW) will follow UW Institutional Review Board (IRB) procedures for handling personal information. Six years after the study is completed, all study ID numbers will be de-linked from personally identifying information. De-linked study data will be retained for a period in accordance with all applicable state and federal laws and regulations relating to the preservation and destruction of information created and received by the University and University policies including the University’s General Records Retention Schedule.</w:t>
      </w:r>
      <w:r>
        <w:rPr>
          <w:bCs/>
          <w:szCs w:val="24"/>
        </w:rPr>
        <w:t xml:space="preserve"> </w:t>
      </w:r>
    </w:p>
    <w:p w:rsidR="0032418B" w:rsidP="00CA6E88" w14:paraId="7FED4FC2" w14:textId="77777777">
      <w:pPr>
        <w:rPr>
          <w:bCs/>
          <w:szCs w:val="24"/>
        </w:rPr>
      </w:pPr>
    </w:p>
    <w:p w:rsidR="00304135" w:rsidRPr="00CA6E88" w:rsidP="00CA6E88" w14:paraId="3B0F8FCD" w14:textId="4F25E5EC">
      <w:pPr>
        <w:rPr>
          <w:bCs/>
          <w:szCs w:val="24"/>
        </w:rPr>
      </w:pPr>
      <w:r w:rsidRPr="00081ADA">
        <w:rPr>
          <w:rFonts w:eastAsia="Calibri"/>
          <w:color w:val="000000"/>
          <w:szCs w:val="24"/>
          <w:shd w:val="clear" w:color="auto" w:fill="FFFFFF"/>
        </w:rPr>
        <w:t xml:space="preserve">CDC will store de-identified data on a secure server that is accessible through the Division of HIV Prevention, HIV Research Branch for </w:t>
      </w:r>
      <w:r w:rsidR="0032418B">
        <w:rPr>
          <w:rFonts w:eastAsia="Calibri"/>
          <w:color w:val="000000"/>
          <w:szCs w:val="24"/>
          <w:shd w:val="clear" w:color="auto" w:fill="FFFFFF"/>
        </w:rPr>
        <w:t>six</w:t>
      </w:r>
      <w:r w:rsidRPr="00081ADA">
        <w:rPr>
          <w:rFonts w:eastAsia="Calibri"/>
          <w:color w:val="000000"/>
          <w:szCs w:val="24"/>
          <w:shd w:val="clear" w:color="auto" w:fill="FFFFFF"/>
        </w:rPr>
        <w:t xml:space="preserve"> years; after which time, the data will be archived according to guidance set forth by CDC Records Management Policy, Policy # CDC-GA-2005-07 (updated 9/14/2021). </w:t>
      </w:r>
      <w:r w:rsidRPr="00081ADA">
        <w:rPr>
          <w:rFonts w:eastAsia="Calibri"/>
          <w:szCs w:val="24"/>
        </w:rPr>
        <w:t>D</w:t>
      </w:r>
      <w:r w:rsidR="00CA6E88">
        <w:rPr>
          <w:rFonts w:eastAsia="Calibri"/>
          <w:szCs w:val="24"/>
        </w:rPr>
        <w:t>e</w:t>
      </w:r>
      <w:r w:rsidRPr="00081ADA">
        <w:rPr>
          <w:rFonts w:eastAsia="Calibri"/>
          <w:szCs w:val="24"/>
        </w:rPr>
        <w:t xml:space="preserve">-identified, summary data may be used in manuscripts, presentations and reports that highlight the activities and successes of this program. </w:t>
      </w:r>
    </w:p>
    <w:p w:rsidR="00AA78EA" w:rsidRPr="00081ADA" w:rsidP="00AA78EA" w14:paraId="2DE8F2EC" w14:textId="1D4F51A7">
      <w:pPr>
        <w:pStyle w:val="Heading1"/>
        <w:numPr>
          <w:ilvl w:val="0"/>
          <w:numId w:val="0"/>
        </w:numPr>
        <w:rPr>
          <w:rFonts w:cs="Times New Roman"/>
          <w:szCs w:val="24"/>
        </w:rPr>
      </w:pPr>
      <w:bookmarkStart w:id="33" w:name="_11.__"/>
      <w:bookmarkStart w:id="34" w:name="_Toc485202305"/>
      <w:bookmarkStart w:id="35" w:name="IRB11"/>
      <w:bookmarkEnd w:id="33"/>
      <w:r w:rsidRPr="00081ADA">
        <w:rPr>
          <w:rFonts w:cs="Times New Roman"/>
          <w:szCs w:val="24"/>
        </w:rPr>
        <w:t>11.   Institutional Review Board (IRB) and Justification for Sensitive Questions</w:t>
      </w:r>
      <w:bookmarkEnd w:id="34"/>
      <w:r w:rsidRPr="00081ADA" w:rsidR="007D3EFB">
        <w:rPr>
          <w:rFonts w:cs="Times New Roman"/>
          <w:szCs w:val="24"/>
        </w:rPr>
        <w:t xml:space="preserve"> </w:t>
      </w:r>
    </w:p>
    <w:bookmarkEnd w:id="35"/>
    <w:p w:rsidR="00AA78EA" w:rsidRPr="00081ADA" w:rsidP="00A76A2A" w14:paraId="5CBC12BC" w14:textId="77777777">
      <w:pPr>
        <w:rPr>
          <w:szCs w:val="24"/>
        </w:rPr>
      </w:pPr>
    </w:p>
    <w:p w:rsidR="00F84233" w:rsidRPr="00081ADA" w:rsidP="00A76A2A" w14:paraId="33587D11" w14:textId="77777777">
      <w:pPr>
        <w:rPr>
          <w:szCs w:val="24"/>
        </w:rPr>
      </w:pPr>
      <w:r w:rsidRPr="00081ADA">
        <w:rPr>
          <w:szCs w:val="24"/>
        </w:rPr>
        <w:t>IRB Approval</w:t>
      </w:r>
    </w:p>
    <w:p w:rsidR="00F84233" w:rsidRPr="00081ADA" w:rsidP="00A76A2A" w14:paraId="64C2D1C9" w14:textId="77777777">
      <w:pPr>
        <w:rPr>
          <w:szCs w:val="24"/>
        </w:rPr>
      </w:pPr>
    </w:p>
    <w:p w:rsidR="00F84233" w:rsidRPr="00081ADA" w:rsidP="00A76A2A" w14:paraId="20F6F958" w14:textId="20EF90E1">
      <w:pPr>
        <w:rPr>
          <w:szCs w:val="24"/>
        </w:rPr>
      </w:pPr>
      <w:r w:rsidRPr="00081ADA">
        <w:rPr>
          <w:szCs w:val="24"/>
        </w:rPr>
        <w:t xml:space="preserve">The study protocol, the data collection instruments, and all accompanying documents have been reviewed and approved by </w:t>
      </w:r>
      <w:r w:rsidR="00CA6E88">
        <w:rPr>
          <w:szCs w:val="24"/>
        </w:rPr>
        <w:t>University of Washington</w:t>
      </w:r>
      <w:r w:rsidRPr="00081ADA">
        <w:rPr>
          <w:szCs w:val="24"/>
        </w:rPr>
        <w:t xml:space="preserve"> IRB</w:t>
      </w:r>
      <w:r w:rsidR="00CA6E88">
        <w:rPr>
          <w:szCs w:val="24"/>
        </w:rPr>
        <w:t xml:space="preserve">. GAIN receive initial IRB approval in </w:t>
      </w:r>
      <w:r w:rsidR="008F6163">
        <w:rPr>
          <w:szCs w:val="24"/>
        </w:rPr>
        <w:t>June 2020</w:t>
      </w:r>
      <w:r w:rsidRPr="00081ADA">
        <w:rPr>
          <w:szCs w:val="24"/>
        </w:rPr>
        <w:t xml:space="preserve"> (</w:t>
      </w:r>
      <w:r w:rsidRPr="00081ADA">
        <w:rPr>
          <w:b/>
          <w:szCs w:val="24"/>
        </w:rPr>
        <w:t>Attachment 6a</w:t>
      </w:r>
      <w:r w:rsidR="008F6163">
        <w:rPr>
          <w:b/>
          <w:szCs w:val="24"/>
        </w:rPr>
        <w:t xml:space="preserve">) </w:t>
      </w:r>
      <w:r w:rsidRPr="008F6163" w:rsidR="008F6163">
        <w:rPr>
          <w:bCs/>
          <w:szCs w:val="24"/>
        </w:rPr>
        <w:t xml:space="preserve">and has </w:t>
      </w:r>
      <w:r w:rsidR="008F6163">
        <w:rPr>
          <w:bCs/>
          <w:szCs w:val="24"/>
        </w:rPr>
        <w:t xml:space="preserve">received annual continuation approvals since that time. The most recent IRB approval </w:t>
      </w:r>
      <w:r w:rsidR="0032418B">
        <w:rPr>
          <w:bCs/>
          <w:szCs w:val="24"/>
        </w:rPr>
        <w:t>from UW IRB was received in August 2024</w:t>
      </w:r>
      <w:r w:rsidR="00CA6E88">
        <w:rPr>
          <w:b/>
          <w:szCs w:val="24"/>
        </w:rPr>
        <w:t xml:space="preserve"> </w:t>
      </w:r>
      <w:r w:rsidRPr="0032418B" w:rsidR="0032418B">
        <w:rPr>
          <w:bCs/>
          <w:szCs w:val="24"/>
        </w:rPr>
        <w:t>(</w:t>
      </w:r>
      <w:r w:rsidR="0032418B">
        <w:rPr>
          <w:b/>
          <w:szCs w:val="24"/>
        </w:rPr>
        <w:t xml:space="preserve">Attachment </w:t>
      </w:r>
      <w:r w:rsidR="00CA6E88">
        <w:rPr>
          <w:b/>
          <w:szCs w:val="24"/>
        </w:rPr>
        <w:t>6b</w:t>
      </w:r>
      <w:r w:rsidRPr="00081ADA">
        <w:rPr>
          <w:szCs w:val="24"/>
        </w:rPr>
        <w:t xml:space="preserve">). </w:t>
      </w:r>
    </w:p>
    <w:p w:rsidR="00F84233" w:rsidRPr="00081ADA" w:rsidP="00A76A2A" w14:paraId="3DC858F8" w14:textId="77777777">
      <w:pPr>
        <w:rPr>
          <w:szCs w:val="24"/>
        </w:rPr>
      </w:pPr>
    </w:p>
    <w:p w:rsidR="00F84233" w:rsidRPr="00081ADA" w:rsidP="00A76A2A" w14:paraId="4A09FE2E" w14:textId="77777777">
      <w:pPr>
        <w:rPr>
          <w:szCs w:val="24"/>
        </w:rPr>
      </w:pPr>
      <w:r w:rsidRPr="00081ADA">
        <w:rPr>
          <w:szCs w:val="24"/>
        </w:rPr>
        <w:t>Sensitive Questions</w:t>
      </w:r>
    </w:p>
    <w:p w:rsidR="008214F1" w:rsidRPr="00081ADA" w:rsidP="00A76A2A" w14:paraId="192F8BE7" w14:textId="77777777">
      <w:pPr>
        <w:rPr>
          <w:szCs w:val="24"/>
        </w:rPr>
      </w:pPr>
    </w:p>
    <w:p w:rsidR="00AA78EA" w:rsidRPr="00081ADA" w:rsidP="00A76A2A" w14:paraId="4E199B5F" w14:textId="5CC8622F">
      <w:pPr>
        <w:rPr>
          <w:szCs w:val="24"/>
        </w:rPr>
      </w:pPr>
      <w:r w:rsidRPr="00081ADA">
        <w:rPr>
          <w:szCs w:val="24"/>
        </w:rPr>
        <w:t xml:space="preserve">This study is designed to </w:t>
      </w:r>
      <w:r w:rsidRPr="00081ADA" w:rsidR="001F62EE">
        <w:rPr>
          <w:szCs w:val="24"/>
        </w:rPr>
        <w:t>collect information about PrEP use and adherence</w:t>
      </w:r>
      <w:r w:rsidR="0032418B">
        <w:rPr>
          <w:szCs w:val="24"/>
        </w:rPr>
        <w:t xml:space="preserve"> </w:t>
      </w:r>
      <w:r w:rsidRPr="00081ADA" w:rsidR="003D72B9">
        <w:rPr>
          <w:szCs w:val="24"/>
        </w:rPr>
        <w:t xml:space="preserve">and </w:t>
      </w:r>
      <w:r w:rsidR="0032418B">
        <w:rPr>
          <w:szCs w:val="24"/>
        </w:rPr>
        <w:t>HIV treatment and care</w:t>
      </w:r>
      <w:r w:rsidRPr="00081ADA">
        <w:rPr>
          <w:szCs w:val="24"/>
        </w:rPr>
        <w:t xml:space="preserve">. As such, our study entails the collection of sensitive information. All study staff will be trained to provide respondents with referrals to sources of prevention and care, such as mental health organizations, as needed. Sensitive questions will be asked </w:t>
      </w:r>
      <w:r w:rsidRPr="00081ADA" w:rsidR="00AE6603">
        <w:rPr>
          <w:szCs w:val="24"/>
        </w:rPr>
        <w:t xml:space="preserve">about </w:t>
      </w:r>
      <w:r w:rsidRPr="00081ADA" w:rsidR="001902DB">
        <w:rPr>
          <w:szCs w:val="24"/>
        </w:rPr>
        <w:t xml:space="preserve">PrEP use, </w:t>
      </w:r>
      <w:r w:rsidR="0032418B">
        <w:rPr>
          <w:szCs w:val="24"/>
        </w:rPr>
        <w:t>HIV care</w:t>
      </w:r>
      <w:r w:rsidRPr="00081ADA" w:rsidR="006627E0">
        <w:rPr>
          <w:szCs w:val="24"/>
        </w:rPr>
        <w:t xml:space="preserve">, and </w:t>
      </w:r>
      <w:r w:rsidRPr="00081ADA" w:rsidR="00150BEF">
        <w:rPr>
          <w:szCs w:val="24"/>
        </w:rPr>
        <w:t>substance use</w:t>
      </w:r>
      <w:r w:rsidRPr="00081ADA">
        <w:rPr>
          <w:szCs w:val="24"/>
        </w:rPr>
        <w:t xml:space="preserve">. We will inform all participants that they may skip any question or </w:t>
      </w:r>
      <w:r w:rsidR="00AC5987">
        <w:rPr>
          <w:szCs w:val="24"/>
        </w:rPr>
        <w:t>end their</w:t>
      </w:r>
      <w:r w:rsidRPr="00081ADA">
        <w:rPr>
          <w:szCs w:val="24"/>
        </w:rPr>
        <w:t xml:space="preserve"> participation </w:t>
      </w:r>
      <w:r w:rsidR="00AC5987">
        <w:rPr>
          <w:szCs w:val="24"/>
        </w:rPr>
        <w:t xml:space="preserve">in the study </w:t>
      </w:r>
      <w:r w:rsidRPr="00081ADA">
        <w:rPr>
          <w:szCs w:val="24"/>
        </w:rPr>
        <w:t xml:space="preserve">at any time for any reason.  </w:t>
      </w:r>
    </w:p>
    <w:p w:rsidR="00AA78EA" w:rsidRPr="0083376C" w:rsidP="00AA78EA" w14:paraId="02201B66" w14:textId="2DE76905">
      <w:pPr>
        <w:pStyle w:val="Heading1"/>
        <w:numPr>
          <w:ilvl w:val="0"/>
          <w:numId w:val="0"/>
        </w:numPr>
        <w:rPr>
          <w:rFonts w:cs="Times New Roman"/>
          <w:szCs w:val="24"/>
        </w:rPr>
      </w:pPr>
      <w:bookmarkStart w:id="36" w:name="_12.__"/>
      <w:bookmarkStart w:id="37" w:name="_Toc485202306"/>
      <w:bookmarkStart w:id="38" w:name="Burden12"/>
      <w:bookmarkEnd w:id="36"/>
      <w:r w:rsidRPr="00081ADA">
        <w:rPr>
          <w:rFonts w:cs="Times New Roman"/>
          <w:szCs w:val="24"/>
        </w:rPr>
        <w:t xml:space="preserve">12.   </w:t>
      </w:r>
      <w:r w:rsidRPr="0083376C">
        <w:rPr>
          <w:rFonts w:cs="Times New Roman"/>
          <w:szCs w:val="24"/>
        </w:rPr>
        <w:t>Estimates of Annualized Burden Hours and Costs</w:t>
      </w:r>
      <w:bookmarkEnd w:id="37"/>
      <w:bookmarkEnd w:id="38"/>
    </w:p>
    <w:p w:rsidR="00AA78EA" w:rsidRPr="0083376C" w:rsidP="00AA78EA" w14:paraId="24C7DB44" w14:textId="77777777">
      <w:pPr>
        <w:rPr>
          <w:szCs w:val="24"/>
        </w:rPr>
      </w:pPr>
    </w:p>
    <w:p w:rsidR="00AA78EA" w:rsidRPr="00081ADA" w:rsidP="00AA78EA" w14:paraId="223396ED" w14:textId="77777777">
      <w:pPr>
        <w:rPr>
          <w:szCs w:val="24"/>
        </w:rPr>
      </w:pPr>
      <w:bookmarkStart w:id="39" w:name="Section12AHours"/>
      <w:bookmarkEnd w:id="39"/>
      <w:r w:rsidRPr="0083376C">
        <w:rPr>
          <w:b/>
          <w:szCs w:val="24"/>
        </w:rPr>
        <w:t>12A. Estimates of Annualized Burden Hours</w:t>
      </w:r>
    </w:p>
    <w:p w:rsidR="00AA78EA" w:rsidP="000A4126" w14:paraId="69C1C9E9" w14:textId="18D66A25">
      <w:pPr>
        <w:pStyle w:val="NoSpacing"/>
        <w:tabs>
          <w:tab w:val="left" w:pos="360"/>
        </w:tabs>
        <w:rPr>
          <w:rFonts w:cs="Times New Roman"/>
          <w:b/>
          <w:bCs/>
        </w:rPr>
      </w:pPr>
    </w:p>
    <w:p w:rsidR="00C9208F" w:rsidP="000A4126" w14:paraId="268F8469" w14:textId="089B10BC">
      <w:pPr>
        <w:pStyle w:val="NoSpacing"/>
        <w:tabs>
          <w:tab w:val="left" w:pos="360"/>
        </w:tabs>
        <w:rPr>
          <w:rFonts w:cs="Times New Roman"/>
        </w:rPr>
      </w:pPr>
      <w:r>
        <w:rPr>
          <w:rFonts w:cs="Times New Roman"/>
        </w:rPr>
        <w:t>The requested data collection period is 36 months.</w:t>
      </w:r>
      <w:r w:rsidR="00461610">
        <w:rPr>
          <w:rFonts w:cs="Times New Roman"/>
        </w:rPr>
        <w:t xml:space="preserve"> </w:t>
      </w:r>
      <w:r w:rsidR="00E51655">
        <w:rPr>
          <w:rFonts w:cs="Times New Roman"/>
        </w:rPr>
        <w:t xml:space="preserve">Upon reinstatement, </w:t>
      </w:r>
      <w:r>
        <w:rPr>
          <w:rFonts w:cs="Times New Roman"/>
        </w:rPr>
        <w:t>GAIN will enroll</w:t>
      </w:r>
      <w:r w:rsidR="00984B6D">
        <w:rPr>
          <w:rFonts w:cs="Times New Roman"/>
        </w:rPr>
        <w:t xml:space="preserve"> a total of</w:t>
      </w:r>
      <w:r>
        <w:rPr>
          <w:rFonts w:cs="Times New Roman"/>
        </w:rPr>
        <w:t xml:space="preserve"> </w:t>
      </w:r>
      <w:r w:rsidR="00461610">
        <w:rPr>
          <w:rFonts w:cs="Times New Roman"/>
        </w:rPr>
        <w:t xml:space="preserve">61 </w:t>
      </w:r>
      <w:r>
        <w:rPr>
          <w:rFonts w:cs="Times New Roman"/>
        </w:rPr>
        <w:t xml:space="preserve">PLWH </w:t>
      </w:r>
      <w:r w:rsidRPr="000C18B4">
        <w:rPr>
          <w:rFonts w:cs="Times New Roman"/>
        </w:rPr>
        <w:t>seeking or</w:t>
      </w:r>
      <w:r w:rsidRPr="00F46244">
        <w:rPr>
          <w:rFonts w:cs="Times New Roman"/>
          <w:color w:val="FF0000"/>
        </w:rPr>
        <w:t xml:space="preserve"> </w:t>
      </w:r>
      <w:r>
        <w:rPr>
          <w:rFonts w:cs="Times New Roman"/>
        </w:rPr>
        <w:t xml:space="preserve">receiving care at Madison Clinic. We will also interview </w:t>
      </w:r>
      <w:r w:rsidR="00533E72">
        <w:rPr>
          <w:rFonts w:cs="Times New Roman"/>
        </w:rPr>
        <w:t>18</w:t>
      </w:r>
      <w:r w:rsidR="00B6314F">
        <w:rPr>
          <w:rFonts w:cs="Times New Roman"/>
        </w:rPr>
        <w:t xml:space="preserve"> </w:t>
      </w:r>
      <w:r w:rsidR="00F14E27">
        <w:rPr>
          <w:rFonts w:cs="Times New Roman"/>
        </w:rPr>
        <w:t xml:space="preserve">health providers at the Madison </w:t>
      </w:r>
      <w:r>
        <w:rPr>
          <w:rFonts w:cs="Times New Roman"/>
        </w:rPr>
        <w:t>C</w:t>
      </w:r>
      <w:r w:rsidR="00F14E27">
        <w:rPr>
          <w:rFonts w:cs="Times New Roman"/>
        </w:rPr>
        <w:t xml:space="preserve">linic. </w:t>
      </w:r>
      <w:r w:rsidR="000C2FD7">
        <w:rPr>
          <w:rFonts w:cs="Times New Roman"/>
        </w:rPr>
        <w:t xml:space="preserve">In addition, </w:t>
      </w:r>
      <w:r>
        <w:rPr>
          <w:rFonts w:cs="Times New Roman"/>
        </w:rPr>
        <w:t xml:space="preserve">100 clients who were previously enrolled at Gay City prior to study expiration (12/31/2024) will participate in </w:t>
      </w:r>
      <w:r w:rsidR="00984B6D">
        <w:rPr>
          <w:rFonts w:cs="Times New Roman"/>
        </w:rPr>
        <w:t xml:space="preserve">up to three </w:t>
      </w:r>
      <w:r>
        <w:rPr>
          <w:rFonts w:cs="Times New Roman"/>
        </w:rPr>
        <w:t xml:space="preserve">brief, </w:t>
      </w:r>
      <w:r w:rsidR="00984B6D">
        <w:rPr>
          <w:rFonts w:cs="Times New Roman"/>
        </w:rPr>
        <w:t>five</w:t>
      </w:r>
      <w:r>
        <w:rPr>
          <w:rFonts w:cs="Times New Roman"/>
        </w:rPr>
        <w:t>-minute telephone survey</w:t>
      </w:r>
      <w:r w:rsidR="00984B6D">
        <w:rPr>
          <w:rFonts w:cs="Times New Roman"/>
        </w:rPr>
        <w:t>s</w:t>
      </w:r>
      <w:r>
        <w:rPr>
          <w:rFonts w:cs="Times New Roman"/>
        </w:rPr>
        <w:t xml:space="preserve">. Finally, </w:t>
      </w:r>
      <w:r w:rsidR="000C2FD7">
        <w:rPr>
          <w:rFonts w:cs="Times New Roman"/>
        </w:rPr>
        <w:t>o</w:t>
      </w:r>
      <w:r w:rsidR="00365117">
        <w:rPr>
          <w:rFonts w:cs="Times New Roman"/>
        </w:rPr>
        <w:t xml:space="preserve">ne employee each at the Madison </w:t>
      </w:r>
      <w:r>
        <w:rPr>
          <w:rFonts w:cs="Times New Roman"/>
        </w:rPr>
        <w:t>C</w:t>
      </w:r>
      <w:r w:rsidR="00365117">
        <w:rPr>
          <w:rFonts w:cs="Times New Roman"/>
        </w:rPr>
        <w:t xml:space="preserve">linic and Gay City Center will be engaged to collect </w:t>
      </w:r>
      <w:r w:rsidR="00E42A31">
        <w:rPr>
          <w:rFonts w:cs="Times New Roman"/>
        </w:rPr>
        <w:t xml:space="preserve">electronic health record data. </w:t>
      </w:r>
    </w:p>
    <w:p w:rsidR="00C9208F" w:rsidP="000A4126" w14:paraId="6762B669" w14:textId="77777777">
      <w:pPr>
        <w:pStyle w:val="NoSpacing"/>
        <w:tabs>
          <w:tab w:val="left" w:pos="360"/>
        </w:tabs>
        <w:rPr>
          <w:rFonts w:cs="Times New Roman"/>
        </w:rPr>
      </w:pPr>
    </w:p>
    <w:p w:rsidR="000E0FDE" w:rsidP="000A4126" w14:paraId="67F4F4CB" w14:textId="3485E933">
      <w:pPr>
        <w:pStyle w:val="NoSpacing"/>
        <w:tabs>
          <w:tab w:val="left" w:pos="360"/>
        </w:tabs>
        <w:rPr>
          <w:rFonts w:cs="Times New Roman"/>
        </w:rPr>
      </w:pPr>
      <w:r>
        <w:rPr>
          <w:rFonts w:cs="Times New Roman"/>
        </w:rPr>
        <w:t xml:space="preserve">For </w:t>
      </w:r>
      <w:r w:rsidR="00C9208F">
        <w:rPr>
          <w:rFonts w:cs="Times New Roman"/>
        </w:rPr>
        <w:t>PLWH participants</w:t>
      </w:r>
      <w:r>
        <w:rPr>
          <w:rFonts w:cs="Times New Roman"/>
        </w:rPr>
        <w:t xml:space="preserve">, </w:t>
      </w:r>
      <w:r w:rsidRPr="009146C3">
        <w:rPr>
          <w:rFonts w:cs="Times New Roman"/>
        </w:rPr>
        <w:t xml:space="preserve">we anticipate that 50% of participants screened will be eligible and choose to enroll in the GAIN study; therefore, we expected to screen </w:t>
      </w:r>
      <w:r w:rsidRPr="009146C3" w:rsidR="002D6883">
        <w:rPr>
          <w:rFonts w:cs="Times New Roman"/>
        </w:rPr>
        <w:t>41</w:t>
      </w:r>
      <w:r w:rsidRPr="009146C3" w:rsidR="00B85525">
        <w:rPr>
          <w:rFonts w:cs="Times New Roman"/>
        </w:rPr>
        <w:t xml:space="preserve"> </w:t>
      </w:r>
      <w:r w:rsidR="00C9208F">
        <w:rPr>
          <w:rFonts w:cs="Times New Roman"/>
        </w:rPr>
        <w:t>respondents</w:t>
      </w:r>
      <w:r w:rsidRPr="009146C3" w:rsidR="00B85525">
        <w:rPr>
          <w:rFonts w:cs="Times New Roman"/>
        </w:rPr>
        <w:t xml:space="preserve"> annually. </w:t>
      </w:r>
      <w:r w:rsidR="002D3D30">
        <w:rPr>
          <w:rFonts w:cs="Times New Roman"/>
        </w:rPr>
        <w:t>E</w:t>
      </w:r>
      <w:r w:rsidRPr="009146C3" w:rsidR="00B85525">
        <w:rPr>
          <w:rFonts w:cs="Times New Roman"/>
        </w:rPr>
        <w:t xml:space="preserve">ligibility screening </w:t>
      </w:r>
      <w:r w:rsidR="0030578D">
        <w:rPr>
          <w:rFonts w:cs="Times New Roman"/>
        </w:rPr>
        <w:t xml:space="preserve">will occur once and </w:t>
      </w:r>
      <w:r w:rsidRPr="009146C3" w:rsidR="00B85525">
        <w:rPr>
          <w:rFonts w:cs="Times New Roman"/>
        </w:rPr>
        <w:t>is anticipated to take five minutes (</w:t>
      </w:r>
      <w:r w:rsidRPr="00A35CDB" w:rsidR="00B85525">
        <w:rPr>
          <w:rFonts w:cs="Times New Roman"/>
          <w:b/>
          <w:bCs/>
        </w:rPr>
        <w:t xml:space="preserve">Attachment </w:t>
      </w:r>
      <w:r w:rsidRPr="00A35CDB" w:rsidR="00A35CDB">
        <w:rPr>
          <w:rFonts w:cs="Times New Roman"/>
          <w:b/>
          <w:bCs/>
        </w:rPr>
        <w:t>4a</w:t>
      </w:r>
      <w:r w:rsidR="00A35CDB">
        <w:rPr>
          <w:rFonts w:cs="Times New Roman"/>
        </w:rPr>
        <w:t>).</w:t>
      </w:r>
      <w:r w:rsidR="00C9208F">
        <w:rPr>
          <w:rFonts w:cs="Times New Roman"/>
        </w:rPr>
        <w:t xml:space="preserve"> Following enrollment, each year up to 21 </w:t>
      </w:r>
      <w:r w:rsidR="003B2E26">
        <w:rPr>
          <w:rFonts w:cs="Times New Roman"/>
        </w:rPr>
        <w:t>participants will complete</w:t>
      </w:r>
      <w:r w:rsidR="002902FA">
        <w:rPr>
          <w:rFonts w:cs="Times New Roman"/>
        </w:rPr>
        <w:t xml:space="preserve"> </w:t>
      </w:r>
      <w:r w:rsidR="000456B8">
        <w:rPr>
          <w:rFonts w:cs="Times New Roman"/>
        </w:rPr>
        <w:t>a Release of Information</w:t>
      </w:r>
      <w:r w:rsidR="002F1C20">
        <w:rPr>
          <w:rFonts w:cs="Times New Roman"/>
        </w:rPr>
        <w:t xml:space="preserve"> which</w:t>
      </w:r>
      <w:r w:rsidR="000456B8">
        <w:rPr>
          <w:rFonts w:cs="Times New Roman"/>
        </w:rPr>
        <w:t xml:space="preserve"> </w:t>
      </w:r>
      <w:r w:rsidR="004A7D84">
        <w:rPr>
          <w:rFonts w:cs="Times New Roman"/>
        </w:rPr>
        <w:t>will</w:t>
      </w:r>
      <w:r w:rsidR="000456B8">
        <w:rPr>
          <w:rFonts w:cs="Times New Roman"/>
        </w:rPr>
        <w:t xml:space="preserve"> take </w:t>
      </w:r>
      <w:r w:rsidR="00121910">
        <w:rPr>
          <w:rFonts w:cs="Times New Roman"/>
        </w:rPr>
        <w:t xml:space="preserve">five minutes </w:t>
      </w:r>
      <w:r w:rsidR="00C9208F">
        <w:rPr>
          <w:rFonts w:cs="Times New Roman"/>
        </w:rPr>
        <w:t xml:space="preserve">to complete </w:t>
      </w:r>
      <w:r w:rsidR="00121910">
        <w:rPr>
          <w:rFonts w:cs="Times New Roman"/>
        </w:rPr>
        <w:t>(</w:t>
      </w:r>
      <w:r w:rsidRPr="00343475" w:rsidR="00121910">
        <w:rPr>
          <w:rFonts w:cs="Times New Roman"/>
          <w:b/>
          <w:bCs/>
        </w:rPr>
        <w:t>Attachment 4b</w:t>
      </w:r>
      <w:r w:rsidR="00121910">
        <w:rPr>
          <w:rFonts w:cs="Times New Roman"/>
        </w:rPr>
        <w:t>)</w:t>
      </w:r>
      <w:r w:rsidR="00924EAE">
        <w:rPr>
          <w:rFonts w:cs="Times New Roman"/>
        </w:rPr>
        <w:t>; a study visit survey (</w:t>
      </w:r>
      <w:r w:rsidRPr="00343475" w:rsidR="00924EAE">
        <w:rPr>
          <w:rFonts w:cs="Times New Roman"/>
          <w:b/>
          <w:bCs/>
        </w:rPr>
        <w:t>Attachment 4c</w:t>
      </w:r>
      <w:r w:rsidR="00924EAE">
        <w:rPr>
          <w:rFonts w:cs="Times New Roman"/>
        </w:rPr>
        <w:t>)</w:t>
      </w:r>
      <w:r w:rsidR="00AF360E">
        <w:rPr>
          <w:rFonts w:cs="Times New Roman"/>
        </w:rPr>
        <w:t xml:space="preserve"> which </w:t>
      </w:r>
      <w:r w:rsidR="00D51912">
        <w:rPr>
          <w:rFonts w:cs="Times New Roman"/>
        </w:rPr>
        <w:t>will take approximately 15 minutes</w:t>
      </w:r>
      <w:r w:rsidR="00C9208F">
        <w:rPr>
          <w:rFonts w:cs="Times New Roman"/>
        </w:rPr>
        <w:t xml:space="preserve"> to complete</w:t>
      </w:r>
      <w:r w:rsidR="00924EAE">
        <w:rPr>
          <w:rFonts w:cs="Times New Roman"/>
        </w:rPr>
        <w:t xml:space="preserve">; and an acceptability survey </w:t>
      </w:r>
      <w:r w:rsidR="00D51912">
        <w:rPr>
          <w:rFonts w:cs="Times New Roman"/>
        </w:rPr>
        <w:t>(</w:t>
      </w:r>
      <w:r w:rsidRPr="00343475" w:rsidR="00D51912">
        <w:rPr>
          <w:rFonts w:cs="Times New Roman"/>
          <w:b/>
          <w:bCs/>
        </w:rPr>
        <w:t>Attachment 4d</w:t>
      </w:r>
      <w:r w:rsidR="00D51912">
        <w:rPr>
          <w:rFonts w:cs="Times New Roman"/>
        </w:rPr>
        <w:t xml:space="preserve">) which is estimated to </w:t>
      </w:r>
      <w:r w:rsidR="005E134B">
        <w:rPr>
          <w:rFonts w:cs="Times New Roman"/>
        </w:rPr>
        <w:t xml:space="preserve">take 20 minutes to complete. </w:t>
      </w:r>
      <w:r w:rsidR="00804E39">
        <w:rPr>
          <w:rFonts w:cs="Times New Roman"/>
        </w:rPr>
        <w:t>A subset of enrolled clients</w:t>
      </w:r>
      <w:r w:rsidR="0096044A">
        <w:rPr>
          <w:rFonts w:cs="Times New Roman"/>
        </w:rPr>
        <w:t xml:space="preserve"> (12 total, 4 annually) </w:t>
      </w:r>
      <w:r w:rsidR="00A70E6F">
        <w:rPr>
          <w:rFonts w:cs="Times New Roman"/>
        </w:rPr>
        <w:t xml:space="preserve">will take part in </w:t>
      </w:r>
      <w:r w:rsidR="005763D1">
        <w:rPr>
          <w:rFonts w:cs="Times New Roman"/>
        </w:rPr>
        <w:t xml:space="preserve">a focus group or interview </w:t>
      </w:r>
      <w:r w:rsidR="00A8038D">
        <w:rPr>
          <w:rFonts w:cs="Times New Roman"/>
        </w:rPr>
        <w:t>(</w:t>
      </w:r>
      <w:r w:rsidRPr="00A8038D" w:rsidR="00A8038D">
        <w:rPr>
          <w:rFonts w:cs="Times New Roman"/>
          <w:b/>
          <w:bCs/>
        </w:rPr>
        <w:t>Attachment 4e</w:t>
      </w:r>
      <w:r w:rsidR="00A8038D">
        <w:rPr>
          <w:rFonts w:cs="Times New Roman"/>
        </w:rPr>
        <w:t>)</w:t>
      </w:r>
      <w:r w:rsidR="00DE469E">
        <w:rPr>
          <w:rFonts w:cs="Times New Roman"/>
        </w:rPr>
        <w:t xml:space="preserve">, </w:t>
      </w:r>
      <w:r w:rsidR="00C9208F">
        <w:rPr>
          <w:rFonts w:cs="Times New Roman"/>
        </w:rPr>
        <w:t xml:space="preserve">both of </w:t>
      </w:r>
      <w:r w:rsidR="00DE469E">
        <w:rPr>
          <w:rFonts w:cs="Times New Roman"/>
        </w:rPr>
        <w:t xml:space="preserve">which are estimated to take </w:t>
      </w:r>
      <w:r w:rsidR="00136FB7">
        <w:rPr>
          <w:rFonts w:cs="Times New Roman"/>
        </w:rPr>
        <w:t xml:space="preserve">60 minutes </w:t>
      </w:r>
      <w:r w:rsidR="00DE469E">
        <w:rPr>
          <w:rFonts w:cs="Times New Roman"/>
        </w:rPr>
        <w:t>to complete</w:t>
      </w:r>
      <w:r w:rsidR="00136FB7">
        <w:rPr>
          <w:rFonts w:cs="Times New Roman"/>
        </w:rPr>
        <w:t xml:space="preserve">. </w:t>
      </w:r>
      <w:r w:rsidR="00534E97">
        <w:rPr>
          <w:rFonts w:cs="Times New Roman"/>
        </w:rPr>
        <w:t>Upon reinstatement, GAIN will also con</w:t>
      </w:r>
      <w:r w:rsidR="00410D7D">
        <w:rPr>
          <w:rFonts w:cs="Times New Roman"/>
        </w:rPr>
        <w:t xml:space="preserve">duct follow up </w:t>
      </w:r>
      <w:r w:rsidR="00C9208F">
        <w:rPr>
          <w:rFonts w:cs="Times New Roman"/>
        </w:rPr>
        <w:t>tele</w:t>
      </w:r>
      <w:r w:rsidR="00410D7D">
        <w:rPr>
          <w:rFonts w:cs="Times New Roman"/>
        </w:rPr>
        <w:t xml:space="preserve">phone </w:t>
      </w:r>
      <w:r w:rsidR="00C9208F">
        <w:rPr>
          <w:rFonts w:cs="Times New Roman"/>
        </w:rPr>
        <w:t>surveys</w:t>
      </w:r>
      <w:r w:rsidR="00410D7D">
        <w:rPr>
          <w:rFonts w:cs="Times New Roman"/>
        </w:rPr>
        <w:t xml:space="preserve"> (</w:t>
      </w:r>
      <w:r w:rsidRPr="00FF2B1F" w:rsidR="00410D7D">
        <w:rPr>
          <w:rFonts w:cs="Times New Roman"/>
          <w:b/>
          <w:bCs/>
        </w:rPr>
        <w:t>Attachment 4f</w:t>
      </w:r>
      <w:r w:rsidR="00410D7D">
        <w:rPr>
          <w:rFonts w:cs="Times New Roman"/>
        </w:rPr>
        <w:t>)</w:t>
      </w:r>
      <w:r w:rsidR="006530AB">
        <w:rPr>
          <w:rFonts w:cs="Times New Roman"/>
        </w:rPr>
        <w:t xml:space="preserve"> with participants enrolled at the Gay City Center </w:t>
      </w:r>
      <w:r w:rsidR="009067B9">
        <w:rPr>
          <w:rFonts w:cs="Times New Roman"/>
        </w:rPr>
        <w:t>prior to study expiration</w:t>
      </w:r>
      <w:r w:rsidR="00C9208F">
        <w:rPr>
          <w:rFonts w:cs="Times New Roman"/>
        </w:rPr>
        <w:t xml:space="preserve"> (100 total, 34 annually)</w:t>
      </w:r>
      <w:r w:rsidR="009067B9">
        <w:rPr>
          <w:rFonts w:cs="Times New Roman"/>
        </w:rPr>
        <w:t xml:space="preserve">. </w:t>
      </w:r>
      <w:r w:rsidR="00C9208F">
        <w:rPr>
          <w:rFonts w:cs="Times New Roman"/>
        </w:rPr>
        <w:t>The tele</w:t>
      </w:r>
      <w:r w:rsidR="009067B9">
        <w:rPr>
          <w:rFonts w:cs="Times New Roman"/>
        </w:rPr>
        <w:t xml:space="preserve">phone </w:t>
      </w:r>
      <w:r w:rsidR="00C9208F">
        <w:rPr>
          <w:rFonts w:cs="Times New Roman"/>
        </w:rPr>
        <w:t>surveys</w:t>
      </w:r>
      <w:r w:rsidR="009067B9">
        <w:rPr>
          <w:rFonts w:cs="Times New Roman"/>
        </w:rPr>
        <w:t xml:space="preserve"> are estimated to take </w:t>
      </w:r>
      <w:r w:rsidR="0087178E">
        <w:rPr>
          <w:rFonts w:cs="Times New Roman"/>
        </w:rPr>
        <w:t xml:space="preserve">five minutes </w:t>
      </w:r>
      <w:r w:rsidR="00C9208F">
        <w:rPr>
          <w:rFonts w:cs="Times New Roman"/>
        </w:rPr>
        <w:t xml:space="preserve">to </w:t>
      </w:r>
      <w:r w:rsidR="00984B6D">
        <w:rPr>
          <w:rFonts w:cs="Times New Roman"/>
        </w:rPr>
        <w:t>complete, and participants may be contacted up to three times</w:t>
      </w:r>
      <w:r w:rsidR="000778E0">
        <w:rPr>
          <w:rFonts w:cs="Times New Roman"/>
        </w:rPr>
        <w:t>.</w:t>
      </w:r>
      <w:r w:rsidR="009F4A96">
        <w:rPr>
          <w:rFonts w:cs="Times New Roman"/>
        </w:rPr>
        <w:t xml:space="preserve"> </w:t>
      </w:r>
      <w:r w:rsidR="0071399B">
        <w:rPr>
          <w:rFonts w:cs="Times New Roman"/>
        </w:rPr>
        <w:t xml:space="preserve">Annually, </w:t>
      </w:r>
      <w:r w:rsidR="00C9208F">
        <w:rPr>
          <w:rFonts w:cs="Times New Roman"/>
        </w:rPr>
        <w:t>six</w:t>
      </w:r>
      <w:r w:rsidR="00CE4547">
        <w:rPr>
          <w:rFonts w:cs="Times New Roman"/>
        </w:rPr>
        <w:t xml:space="preserve"> health providers at</w:t>
      </w:r>
      <w:r w:rsidR="0071399B">
        <w:rPr>
          <w:rFonts w:cs="Times New Roman"/>
        </w:rPr>
        <w:t xml:space="preserve"> from the Madison clinic, will </w:t>
      </w:r>
      <w:r w:rsidR="00475CD6">
        <w:rPr>
          <w:rFonts w:cs="Times New Roman"/>
        </w:rPr>
        <w:t xml:space="preserve">take part in </w:t>
      </w:r>
      <w:r w:rsidR="002B6443">
        <w:rPr>
          <w:rFonts w:cs="Times New Roman"/>
        </w:rPr>
        <w:t xml:space="preserve">45-minute </w:t>
      </w:r>
      <w:r w:rsidR="00475CD6">
        <w:rPr>
          <w:rFonts w:cs="Times New Roman"/>
        </w:rPr>
        <w:t>interviews (</w:t>
      </w:r>
      <w:r w:rsidRPr="00FF2B1F" w:rsidR="00475CD6">
        <w:rPr>
          <w:rFonts w:cs="Times New Roman"/>
          <w:b/>
          <w:bCs/>
        </w:rPr>
        <w:t xml:space="preserve">Attachment </w:t>
      </w:r>
      <w:r w:rsidRPr="00FF2B1F" w:rsidR="002B6443">
        <w:rPr>
          <w:rFonts w:cs="Times New Roman"/>
          <w:b/>
          <w:bCs/>
        </w:rPr>
        <w:t>4g</w:t>
      </w:r>
      <w:r w:rsidR="002B6443">
        <w:rPr>
          <w:rFonts w:cs="Times New Roman"/>
        </w:rPr>
        <w:t xml:space="preserve">). </w:t>
      </w:r>
      <w:r w:rsidR="00FF2B1F">
        <w:rPr>
          <w:rFonts w:cs="Times New Roman"/>
        </w:rPr>
        <w:t xml:space="preserve">Each provider may complete up to three interviews over the course of the study. </w:t>
      </w:r>
      <w:r w:rsidR="00BA01FF">
        <w:rPr>
          <w:rFonts w:cs="Times New Roman"/>
        </w:rPr>
        <w:t xml:space="preserve">Finally, </w:t>
      </w:r>
      <w:r w:rsidR="00645AB0">
        <w:rPr>
          <w:rFonts w:cs="Times New Roman"/>
        </w:rPr>
        <w:t>one</w:t>
      </w:r>
      <w:r w:rsidR="00BA01FF">
        <w:rPr>
          <w:rFonts w:cs="Times New Roman"/>
        </w:rPr>
        <w:t xml:space="preserve"> </w:t>
      </w:r>
      <w:r w:rsidR="00645AB0">
        <w:rPr>
          <w:rFonts w:cs="Times New Roman"/>
        </w:rPr>
        <w:t>clinic employee at each of the two study sites</w:t>
      </w:r>
      <w:r w:rsidR="00BA01FF">
        <w:rPr>
          <w:rFonts w:cs="Times New Roman"/>
        </w:rPr>
        <w:t xml:space="preserve"> will be engaged to collect </w:t>
      </w:r>
      <w:r w:rsidR="00645AB0">
        <w:rPr>
          <w:rFonts w:cs="Times New Roman"/>
        </w:rPr>
        <w:t xml:space="preserve">electronic medical record data. </w:t>
      </w:r>
      <w:r w:rsidR="003A7926">
        <w:rPr>
          <w:rFonts w:cs="Times New Roman"/>
        </w:rPr>
        <w:t>The Madison Clinic data collection</w:t>
      </w:r>
      <w:r w:rsidR="00E60752">
        <w:rPr>
          <w:rFonts w:cs="Times New Roman"/>
        </w:rPr>
        <w:t xml:space="preserve"> (</w:t>
      </w:r>
      <w:r w:rsidRPr="009D4A53" w:rsidR="00E60752">
        <w:rPr>
          <w:rFonts w:cs="Times New Roman"/>
          <w:b/>
          <w:bCs/>
        </w:rPr>
        <w:t xml:space="preserve">Attachment </w:t>
      </w:r>
      <w:r w:rsidRPr="009D4A53" w:rsidR="00D77F30">
        <w:rPr>
          <w:rFonts w:cs="Times New Roman"/>
          <w:b/>
          <w:bCs/>
        </w:rPr>
        <w:t>4h</w:t>
      </w:r>
      <w:r w:rsidR="00D77F30">
        <w:rPr>
          <w:rFonts w:cs="Times New Roman"/>
        </w:rPr>
        <w:t>)</w:t>
      </w:r>
      <w:r w:rsidR="003A7926">
        <w:rPr>
          <w:rFonts w:cs="Times New Roman"/>
        </w:rPr>
        <w:t>, an automated data collection, is estimated to take five minutes to complete</w:t>
      </w:r>
      <w:r w:rsidR="00F25C3A">
        <w:rPr>
          <w:rFonts w:cs="Times New Roman"/>
        </w:rPr>
        <w:t xml:space="preserve"> and data will be collected</w:t>
      </w:r>
      <w:r w:rsidR="00B07E99">
        <w:rPr>
          <w:rFonts w:cs="Times New Roman"/>
        </w:rPr>
        <w:t xml:space="preserve"> once</w:t>
      </w:r>
      <w:r w:rsidR="00F25C3A">
        <w:rPr>
          <w:rFonts w:cs="Times New Roman"/>
        </w:rPr>
        <w:t xml:space="preserve"> </w:t>
      </w:r>
      <w:r w:rsidR="00E60752">
        <w:rPr>
          <w:rFonts w:cs="Times New Roman"/>
        </w:rPr>
        <w:t>every two months</w:t>
      </w:r>
      <w:r w:rsidR="00984B6D">
        <w:rPr>
          <w:rFonts w:cs="Times New Roman"/>
        </w:rPr>
        <w:t xml:space="preserve"> (six times annually)</w:t>
      </w:r>
      <w:r w:rsidR="00E60752">
        <w:rPr>
          <w:rFonts w:cs="Times New Roman"/>
        </w:rPr>
        <w:t xml:space="preserve">. </w:t>
      </w:r>
      <w:r w:rsidR="00D77F30">
        <w:rPr>
          <w:rFonts w:cs="Times New Roman"/>
        </w:rPr>
        <w:t>The Gay City data collection</w:t>
      </w:r>
      <w:r w:rsidR="00B07E99">
        <w:rPr>
          <w:rFonts w:cs="Times New Roman"/>
        </w:rPr>
        <w:t xml:space="preserve"> (</w:t>
      </w:r>
      <w:r w:rsidRPr="009D4A53" w:rsidR="00B07E99">
        <w:rPr>
          <w:rFonts w:cs="Times New Roman"/>
          <w:b/>
          <w:bCs/>
        </w:rPr>
        <w:t>Attachment 4i</w:t>
      </w:r>
      <w:r w:rsidR="00B07E99">
        <w:rPr>
          <w:rFonts w:cs="Times New Roman"/>
        </w:rPr>
        <w:t>)</w:t>
      </w:r>
      <w:r w:rsidR="00D77F30">
        <w:rPr>
          <w:rFonts w:cs="Times New Roman"/>
        </w:rPr>
        <w:t xml:space="preserve">, a manual data pull, </w:t>
      </w:r>
      <w:r w:rsidR="00B07E99">
        <w:rPr>
          <w:rFonts w:cs="Times New Roman"/>
        </w:rPr>
        <w:t>is estimated to take 60 minutes and data will be collected once every six months</w:t>
      </w:r>
      <w:r w:rsidR="00984B6D">
        <w:rPr>
          <w:rFonts w:cs="Times New Roman"/>
        </w:rPr>
        <w:t xml:space="preserve"> (twice annually). </w:t>
      </w:r>
    </w:p>
    <w:p w:rsidR="005C20E9" w:rsidP="000A4126" w14:paraId="64ECEA6C" w14:textId="6FEA1D81">
      <w:pPr>
        <w:pStyle w:val="NoSpacing"/>
        <w:tabs>
          <w:tab w:val="left" w:pos="360"/>
        </w:tabs>
        <w:rPr>
          <w:rFonts w:cs="Times New Roman"/>
        </w:rPr>
      </w:pPr>
    </w:p>
    <w:p w:rsidR="005C20E9" w:rsidRPr="00DF4B9D" w:rsidP="000A4126" w14:paraId="037AC9C4" w14:textId="06C9073D">
      <w:pPr>
        <w:pStyle w:val="NoSpacing"/>
        <w:tabs>
          <w:tab w:val="left" w:pos="360"/>
        </w:tabs>
        <w:rPr>
          <w:rFonts w:cs="Times New Roman"/>
        </w:rPr>
      </w:pPr>
      <w:r>
        <w:rPr>
          <w:rFonts w:cs="Times New Roman"/>
        </w:rPr>
        <w:t xml:space="preserve">There are no costs to the participant other than their time. The total number of burden hours </w:t>
      </w:r>
      <w:r w:rsidR="00522A5C">
        <w:rPr>
          <w:rFonts w:cs="Times New Roman"/>
        </w:rPr>
        <w:t xml:space="preserve">(rounded </w:t>
      </w:r>
      <w:r w:rsidR="00823F6C">
        <w:rPr>
          <w:rFonts w:cs="Times New Roman"/>
        </w:rPr>
        <w:t xml:space="preserve">up </w:t>
      </w:r>
      <w:r w:rsidR="00522A5C">
        <w:rPr>
          <w:rFonts w:cs="Times New Roman"/>
        </w:rPr>
        <w:t>to the near</w:t>
      </w:r>
      <w:r w:rsidR="0061165D">
        <w:rPr>
          <w:rFonts w:cs="Times New Roman"/>
        </w:rPr>
        <w:t xml:space="preserve">est whole hour) </w:t>
      </w:r>
      <w:r>
        <w:rPr>
          <w:rFonts w:cs="Times New Roman"/>
        </w:rPr>
        <w:t xml:space="preserve">is </w:t>
      </w:r>
      <w:r w:rsidR="008C6C1B">
        <w:rPr>
          <w:rFonts w:cs="Times New Roman"/>
        </w:rPr>
        <w:t>135</w:t>
      </w:r>
      <w:r w:rsidR="00B348A8">
        <w:rPr>
          <w:rFonts w:cs="Times New Roman"/>
        </w:rPr>
        <w:t xml:space="preserve"> </w:t>
      </w:r>
      <w:r w:rsidR="004A61E2">
        <w:rPr>
          <w:rFonts w:cs="Times New Roman"/>
        </w:rPr>
        <w:t>across</w:t>
      </w:r>
      <w:r w:rsidR="00B96BC8">
        <w:rPr>
          <w:rFonts w:cs="Times New Roman"/>
        </w:rPr>
        <w:t xml:space="preserve"> </w:t>
      </w:r>
      <w:r w:rsidR="00FD397D">
        <w:rPr>
          <w:rFonts w:cs="Times New Roman"/>
        </w:rPr>
        <w:t>three years</w:t>
      </w:r>
      <w:r w:rsidR="00B96BC8">
        <w:rPr>
          <w:rFonts w:cs="Times New Roman"/>
        </w:rPr>
        <w:t xml:space="preserve"> of data collection. The total estimated annualized burden hours are </w:t>
      </w:r>
      <w:r w:rsidR="008C6C1B">
        <w:rPr>
          <w:rFonts w:cs="Times New Roman"/>
        </w:rPr>
        <w:t>4</w:t>
      </w:r>
      <w:r w:rsidR="003C49B9">
        <w:rPr>
          <w:rFonts w:cs="Times New Roman"/>
        </w:rPr>
        <w:t>9</w:t>
      </w:r>
      <w:r w:rsidR="00CA0494">
        <w:rPr>
          <w:rFonts w:cs="Times New Roman"/>
        </w:rPr>
        <w:t xml:space="preserve">. </w:t>
      </w:r>
      <w:r w:rsidR="009878C9">
        <w:rPr>
          <w:rFonts w:cs="Times New Roman"/>
        </w:rPr>
        <w:t xml:space="preserve">Annualized burden was calculated by dividing the total burden hours for each data collection activity by three and working back to calculate the number of respondents and responses needed to arrive at the annualized amount equal to one-third of the total burden. </w:t>
      </w:r>
      <w:r w:rsidR="00E51655">
        <w:rPr>
          <w:rFonts w:cs="Times New Roman"/>
        </w:rPr>
        <w:t xml:space="preserve">Total number of respondents </w:t>
      </w:r>
      <w:r w:rsidR="00984B6D">
        <w:rPr>
          <w:rFonts w:cs="Times New Roman"/>
        </w:rPr>
        <w:t>are</w:t>
      </w:r>
      <w:r w:rsidR="00E51655">
        <w:rPr>
          <w:rFonts w:cs="Times New Roman"/>
        </w:rPr>
        <w:t xml:space="preserve"> rounded up to the nearest whole number. </w:t>
      </w:r>
      <w:r w:rsidR="00CA0494">
        <w:rPr>
          <w:rFonts w:cs="Times New Roman"/>
        </w:rPr>
        <w:t xml:space="preserve">Total burden </w:t>
      </w:r>
      <w:r w:rsidR="0061165D">
        <w:rPr>
          <w:rFonts w:cs="Times New Roman"/>
        </w:rPr>
        <w:t xml:space="preserve">hours </w:t>
      </w:r>
      <w:r w:rsidR="00CA0494">
        <w:rPr>
          <w:rFonts w:cs="Times New Roman"/>
        </w:rPr>
        <w:t xml:space="preserve">for each activity </w:t>
      </w:r>
      <w:r w:rsidR="00391BBF">
        <w:rPr>
          <w:rFonts w:cs="Times New Roman"/>
        </w:rPr>
        <w:t>are</w:t>
      </w:r>
      <w:r w:rsidR="00CA0494">
        <w:rPr>
          <w:rFonts w:cs="Times New Roman"/>
        </w:rPr>
        <w:t xml:space="preserve"> rounded </w:t>
      </w:r>
      <w:r w:rsidR="0040120F">
        <w:rPr>
          <w:rFonts w:cs="Times New Roman"/>
        </w:rPr>
        <w:t xml:space="preserve">up </w:t>
      </w:r>
      <w:r w:rsidR="007371FA">
        <w:rPr>
          <w:rFonts w:cs="Times New Roman"/>
        </w:rPr>
        <w:t>to the nearest</w:t>
      </w:r>
      <w:r w:rsidR="00CA0494">
        <w:rPr>
          <w:rFonts w:cs="Times New Roman"/>
        </w:rPr>
        <w:t xml:space="preserve"> whole hour. </w:t>
      </w:r>
    </w:p>
    <w:p w:rsidR="001D5CFF" w:rsidP="000A4126" w14:paraId="23ED344D" w14:textId="77777777">
      <w:pPr>
        <w:pStyle w:val="NoSpacing"/>
        <w:tabs>
          <w:tab w:val="left" w:pos="360"/>
        </w:tabs>
        <w:rPr>
          <w:rFonts w:cs="Times New Roman"/>
          <w:b/>
          <w:bCs/>
        </w:rPr>
      </w:pPr>
    </w:p>
    <w:p w:rsidR="00AA78EA" w:rsidRPr="006D318A" w:rsidP="006D318A" w14:paraId="2D454D3D" w14:textId="535D8895">
      <w:pPr>
        <w:pStyle w:val="Caption"/>
      </w:pPr>
      <w:bookmarkStart w:id="40" w:name="_Toc462246534"/>
      <w:r w:rsidRPr="00B80F52">
        <w:rPr>
          <w:sz w:val="24"/>
          <w:szCs w:val="24"/>
        </w:rPr>
        <w:t xml:space="preserve">Exhibit </w:t>
      </w:r>
      <w:r w:rsidR="00B57A91">
        <w:rPr>
          <w:sz w:val="24"/>
          <w:szCs w:val="24"/>
        </w:rPr>
        <w:t>12</w:t>
      </w:r>
      <w:r>
        <w:rPr>
          <w:sz w:val="24"/>
          <w:szCs w:val="24"/>
        </w:rPr>
        <w:t>.1</w:t>
      </w:r>
      <w:r w:rsidRPr="00B80F52">
        <w:rPr>
          <w:sz w:val="24"/>
          <w:szCs w:val="24"/>
        </w:rPr>
        <w:t xml:space="preserve">: </w:t>
      </w:r>
      <w:bookmarkStart w:id="41" w:name="ExhibitHours121"/>
      <w:r w:rsidRPr="00B80F52">
        <w:rPr>
          <w:sz w:val="24"/>
          <w:szCs w:val="24"/>
        </w:rPr>
        <w:t xml:space="preserve">Estimated </w:t>
      </w:r>
      <w:r w:rsidRPr="006A33D7">
        <w:rPr>
          <w:sz w:val="24"/>
          <w:szCs w:val="24"/>
        </w:rPr>
        <w:t>Annualized</w:t>
      </w:r>
      <w:r w:rsidRPr="00B80F52">
        <w:rPr>
          <w:sz w:val="24"/>
          <w:szCs w:val="24"/>
        </w:rPr>
        <w:t xml:space="preserve"> Burden Hours</w:t>
      </w:r>
      <w:bookmarkEnd w:id="40"/>
      <w:bookmarkEnd w:id="41"/>
    </w:p>
    <w:tbl>
      <w:tblPr>
        <w:tblW w:w="9447" w:type="dxa"/>
        <w:tblLayout w:type="fixed"/>
        <w:tblCellMar>
          <w:left w:w="129" w:type="dxa"/>
          <w:right w:w="129" w:type="dxa"/>
        </w:tblCellMar>
        <w:tblLook w:val="0000"/>
      </w:tblPr>
      <w:tblGrid>
        <w:gridCol w:w="1527"/>
        <w:gridCol w:w="1980"/>
        <w:gridCol w:w="1620"/>
        <w:gridCol w:w="1530"/>
        <w:gridCol w:w="1710"/>
        <w:gridCol w:w="1080"/>
      </w:tblGrid>
      <w:tr w14:paraId="76838CC2"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nil"/>
              <w:right w:val="nil"/>
            </w:tcBorders>
          </w:tcPr>
          <w:p w:rsidR="00AA78EA" w:rsidRPr="00AF06FC" w:rsidP="003E3747" w14:paraId="528D24E8" w14:textId="77777777">
            <w:pPr>
              <w:rPr>
                <w:b/>
                <w:szCs w:val="24"/>
              </w:rPr>
            </w:pPr>
            <w:r w:rsidRPr="00AF06FC">
              <w:rPr>
                <w:b/>
                <w:szCs w:val="24"/>
              </w:rPr>
              <w:t>Type of Respondent</w:t>
            </w:r>
          </w:p>
        </w:tc>
        <w:tc>
          <w:tcPr>
            <w:tcW w:w="1980" w:type="dxa"/>
            <w:tcBorders>
              <w:top w:val="single" w:sz="2" w:space="0" w:color="000000"/>
              <w:left w:val="single" w:sz="2" w:space="0" w:color="000000"/>
              <w:bottom w:val="nil"/>
              <w:right w:val="nil"/>
            </w:tcBorders>
          </w:tcPr>
          <w:p w:rsidR="00AA78EA" w:rsidRPr="00AF06FC" w:rsidP="003E3747" w14:paraId="0BCDA84F" w14:textId="77777777">
            <w:pPr>
              <w:rPr>
                <w:b/>
                <w:szCs w:val="24"/>
              </w:rPr>
            </w:pPr>
            <w:r w:rsidRPr="00AF06FC">
              <w:rPr>
                <w:b/>
                <w:szCs w:val="24"/>
              </w:rPr>
              <w:t>Form Name</w:t>
            </w:r>
          </w:p>
        </w:tc>
        <w:tc>
          <w:tcPr>
            <w:tcW w:w="1620" w:type="dxa"/>
            <w:tcBorders>
              <w:top w:val="single" w:sz="2" w:space="0" w:color="000000"/>
              <w:left w:val="single" w:sz="2" w:space="0" w:color="000000"/>
              <w:bottom w:val="nil"/>
              <w:right w:val="nil"/>
            </w:tcBorders>
          </w:tcPr>
          <w:p w:rsidR="00AA78EA" w:rsidRPr="00AF06FC" w:rsidP="003E3747" w14:paraId="6BBE91DF" w14:textId="77777777">
            <w:pPr>
              <w:rPr>
                <w:b/>
                <w:szCs w:val="24"/>
              </w:rPr>
            </w:pPr>
            <w:r w:rsidRPr="00AF06FC">
              <w:rPr>
                <w:b/>
                <w:szCs w:val="24"/>
              </w:rPr>
              <w:t>No. of Respondents</w:t>
            </w:r>
          </w:p>
        </w:tc>
        <w:tc>
          <w:tcPr>
            <w:tcW w:w="1530" w:type="dxa"/>
            <w:tcBorders>
              <w:top w:val="single" w:sz="2" w:space="0" w:color="000000"/>
              <w:left w:val="single" w:sz="2" w:space="0" w:color="000000"/>
              <w:bottom w:val="nil"/>
              <w:right w:val="nil"/>
            </w:tcBorders>
          </w:tcPr>
          <w:p w:rsidR="00AA78EA" w:rsidRPr="00AF06FC" w:rsidP="003E3747" w14:paraId="08EF1A8A" w14:textId="77777777">
            <w:pPr>
              <w:rPr>
                <w:b/>
                <w:szCs w:val="24"/>
              </w:rPr>
            </w:pPr>
            <w:r w:rsidRPr="00AF06FC">
              <w:rPr>
                <w:b/>
                <w:szCs w:val="24"/>
              </w:rPr>
              <w:t>No. of Responses Per Respondent</w:t>
            </w:r>
          </w:p>
        </w:tc>
        <w:tc>
          <w:tcPr>
            <w:tcW w:w="1710" w:type="dxa"/>
            <w:tcBorders>
              <w:top w:val="single" w:sz="2" w:space="0" w:color="000000"/>
              <w:left w:val="single" w:sz="2" w:space="0" w:color="000000"/>
              <w:bottom w:val="nil"/>
              <w:right w:val="single" w:sz="2" w:space="0" w:color="000000"/>
            </w:tcBorders>
          </w:tcPr>
          <w:p w:rsidR="00AA78EA" w:rsidRPr="00AF06FC" w:rsidP="003E3747" w14:paraId="57D9E3CB" w14:textId="77777777">
            <w:pPr>
              <w:rPr>
                <w:b/>
                <w:szCs w:val="24"/>
              </w:rPr>
            </w:pPr>
            <w:r w:rsidRPr="00AF06FC">
              <w:rPr>
                <w:b/>
                <w:szCs w:val="24"/>
              </w:rPr>
              <w:t xml:space="preserve">Average Burden Per Response (in Hours) </w:t>
            </w:r>
          </w:p>
        </w:tc>
        <w:tc>
          <w:tcPr>
            <w:tcW w:w="1080" w:type="dxa"/>
            <w:tcBorders>
              <w:top w:val="single" w:sz="2" w:space="0" w:color="000000"/>
              <w:left w:val="single" w:sz="2" w:space="0" w:color="000000"/>
              <w:bottom w:val="nil"/>
              <w:right w:val="single" w:sz="2" w:space="0" w:color="000000"/>
            </w:tcBorders>
          </w:tcPr>
          <w:p w:rsidR="00AA78EA" w:rsidRPr="00AF06FC" w:rsidP="003E3747" w14:paraId="5D04BD68" w14:textId="77777777">
            <w:pPr>
              <w:rPr>
                <w:b/>
                <w:szCs w:val="24"/>
              </w:rPr>
            </w:pPr>
            <w:r w:rsidRPr="00AF06FC">
              <w:rPr>
                <w:b/>
                <w:szCs w:val="24"/>
              </w:rPr>
              <w:t xml:space="preserve">Total </w:t>
            </w:r>
          </w:p>
          <w:p w:rsidR="00AA78EA" w:rsidRPr="00AF06FC" w:rsidP="003E3747" w14:paraId="19E336BE" w14:textId="77777777">
            <w:pPr>
              <w:rPr>
                <w:b/>
                <w:szCs w:val="24"/>
              </w:rPr>
            </w:pPr>
            <w:r w:rsidRPr="00AF06FC">
              <w:rPr>
                <w:b/>
                <w:szCs w:val="24"/>
              </w:rPr>
              <w:t>Burden</w:t>
            </w:r>
          </w:p>
          <w:p w:rsidR="00AA78EA" w:rsidRPr="00AF06FC" w:rsidP="003E3747" w14:paraId="3CB7E972" w14:textId="77777777">
            <w:pPr>
              <w:rPr>
                <w:b/>
                <w:szCs w:val="24"/>
              </w:rPr>
            </w:pPr>
            <w:r w:rsidRPr="00AF06FC">
              <w:rPr>
                <w:b/>
                <w:szCs w:val="24"/>
              </w:rPr>
              <w:t>Hours</w:t>
            </w:r>
          </w:p>
        </w:tc>
      </w:tr>
      <w:tr w14:paraId="75A85F3D"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right w:val="nil"/>
            </w:tcBorders>
          </w:tcPr>
          <w:p w:rsidR="0045533D" w:rsidRPr="00AF06FC" w:rsidP="0045533D" w14:paraId="2FBBE03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559593FE" w14:textId="3228BBAF">
            <w:pPr>
              <w:ind w:left="-39" w:right="51"/>
              <w:rPr>
                <w:szCs w:val="24"/>
              </w:rPr>
            </w:pPr>
            <w:r>
              <w:rPr>
                <w:iCs/>
                <w:szCs w:val="24"/>
              </w:rPr>
              <w:t>Screen and Link</w:t>
            </w:r>
            <w:r w:rsidRPr="00AF06FC">
              <w:rPr>
                <w:iCs/>
                <w:szCs w:val="24"/>
              </w:rPr>
              <w:t xml:space="preserve"> (Att. 4a)</w:t>
            </w:r>
          </w:p>
        </w:tc>
        <w:tc>
          <w:tcPr>
            <w:tcW w:w="1620" w:type="dxa"/>
            <w:tcBorders>
              <w:top w:val="single" w:sz="2" w:space="0" w:color="000000"/>
              <w:left w:val="single" w:sz="2" w:space="0" w:color="000000"/>
              <w:bottom w:val="single" w:sz="2" w:space="0" w:color="000000"/>
              <w:right w:val="nil"/>
            </w:tcBorders>
            <w:vAlign w:val="center"/>
          </w:tcPr>
          <w:p w:rsidR="0045533D" w:rsidRPr="009146C3" w:rsidP="0045533D" w14:paraId="665B5455" w14:textId="60416E30">
            <w:pPr>
              <w:jc w:val="center"/>
              <w:rPr>
                <w:szCs w:val="24"/>
              </w:rPr>
            </w:pPr>
            <w:r w:rsidRPr="009146C3">
              <w:rPr>
                <w:szCs w:val="24"/>
              </w:rPr>
              <w:t>4</w:t>
            </w:r>
            <w:r w:rsidRPr="009146C3" w:rsidR="00D70094">
              <w:rPr>
                <w:szCs w:val="24"/>
              </w:rPr>
              <w:t>1</w:t>
            </w:r>
          </w:p>
        </w:tc>
        <w:tc>
          <w:tcPr>
            <w:tcW w:w="1530" w:type="dxa"/>
            <w:tcBorders>
              <w:top w:val="single" w:sz="2" w:space="0" w:color="000000"/>
              <w:left w:val="single" w:sz="2" w:space="0" w:color="000000"/>
              <w:bottom w:val="single" w:sz="2" w:space="0" w:color="000000"/>
              <w:right w:val="nil"/>
            </w:tcBorders>
            <w:vAlign w:val="center"/>
          </w:tcPr>
          <w:p w:rsidR="0045533D" w:rsidRPr="009146C3" w:rsidP="0045533D" w14:paraId="58BF31A5" w14:textId="39D16285">
            <w:pPr>
              <w:ind w:right="-39"/>
              <w:jc w:val="center"/>
              <w:rPr>
                <w:szCs w:val="24"/>
              </w:rPr>
            </w:pPr>
            <w:r w:rsidRPr="009146C3">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9146C3" w:rsidP="0045533D" w14:paraId="39E06EF1" w14:textId="03C2218F">
            <w:pPr>
              <w:ind w:right="-39"/>
              <w:jc w:val="center"/>
              <w:rPr>
                <w:szCs w:val="24"/>
              </w:rPr>
            </w:pPr>
            <w:r w:rsidRPr="009146C3">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D75F1E" w:rsidRPr="009146C3" w:rsidP="008A33C2" w14:paraId="720CF1E2" w14:textId="78CCF11B">
            <w:pPr>
              <w:jc w:val="center"/>
              <w:rPr>
                <w:szCs w:val="24"/>
              </w:rPr>
            </w:pPr>
            <w:r>
              <w:rPr>
                <w:szCs w:val="24"/>
              </w:rPr>
              <w:t>4</w:t>
            </w:r>
          </w:p>
        </w:tc>
      </w:tr>
      <w:tr w14:paraId="28920F67"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575A95FA" w14:textId="77777777">
            <w:pPr>
              <w:jc w:val="both"/>
              <w:rPr>
                <w:szCs w:val="24"/>
              </w:rPr>
            </w:pPr>
            <w:r w:rsidRPr="00AF06FC">
              <w:rPr>
                <w:szCs w:val="24"/>
              </w:rPr>
              <w:t>General Public-Adults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49388A89" w14:textId="1E64E088">
            <w:pPr>
              <w:ind w:left="-39" w:right="51"/>
              <w:rPr>
                <w:szCs w:val="24"/>
              </w:rPr>
            </w:pPr>
            <w:r>
              <w:rPr>
                <w:szCs w:val="24"/>
              </w:rPr>
              <w:t>Release of Information</w:t>
            </w:r>
            <w:r w:rsidRPr="00AF06FC">
              <w:rPr>
                <w:szCs w:val="24"/>
              </w:rPr>
              <w:t xml:space="preserve"> (Att. 4</w:t>
            </w:r>
            <w:r w:rsidR="00FF729A">
              <w:rPr>
                <w:szCs w:val="24"/>
              </w:rPr>
              <w:t>b</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19278722" w14:textId="1ABAC276">
            <w:pPr>
              <w:jc w:val="center"/>
              <w:rPr>
                <w:szCs w:val="24"/>
              </w:rPr>
            </w:pPr>
            <w:r>
              <w:rPr>
                <w:szCs w:val="24"/>
              </w:rPr>
              <w:t>2</w:t>
            </w:r>
            <w:r w:rsidR="00072315">
              <w:rPr>
                <w:szCs w:val="24"/>
              </w:rPr>
              <w:t>1</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1C77E345"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3E567F38" w14:textId="6C20CE0B">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0A4258" w14:paraId="175B672E" w14:textId="25B5B8D8">
            <w:pPr>
              <w:jc w:val="center"/>
              <w:rPr>
                <w:szCs w:val="24"/>
              </w:rPr>
            </w:pPr>
            <w:r>
              <w:rPr>
                <w:szCs w:val="24"/>
              </w:rPr>
              <w:t>2</w:t>
            </w:r>
          </w:p>
        </w:tc>
      </w:tr>
      <w:tr w14:paraId="4FE15ACF"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0665A50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0478E9BE" w14:textId="69A803AD">
            <w:pPr>
              <w:ind w:left="-39" w:right="51"/>
              <w:rPr>
                <w:szCs w:val="24"/>
              </w:rPr>
            </w:pPr>
            <w:r>
              <w:rPr>
                <w:szCs w:val="24"/>
              </w:rPr>
              <w:t>Study Visit Survey</w:t>
            </w:r>
            <w:r w:rsidRPr="00AF06FC">
              <w:rPr>
                <w:szCs w:val="24"/>
              </w:rPr>
              <w:t xml:space="preserve"> (Att. 4</w:t>
            </w:r>
            <w:r w:rsidR="00FF729A">
              <w:rPr>
                <w:szCs w:val="24"/>
              </w:rPr>
              <w:t>c</w:t>
            </w:r>
            <w:r w:rsidRPr="00AF06FC">
              <w:rPr>
                <w:szCs w:val="24"/>
              </w:rPr>
              <w:t>)</w:t>
            </w:r>
          </w:p>
        </w:tc>
        <w:tc>
          <w:tcPr>
            <w:tcW w:w="1620" w:type="dxa"/>
            <w:tcBorders>
              <w:top w:val="single" w:sz="2" w:space="0" w:color="000000"/>
              <w:left w:val="single" w:sz="2" w:space="0" w:color="000000"/>
              <w:bottom w:val="single" w:sz="4" w:space="0" w:color="auto"/>
              <w:right w:val="nil"/>
            </w:tcBorders>
            <w:vAlign w:val="center"/>
          </w:tcPr>
          <w:p w:rsidR="0045533D" w:rsidRPr="00AF06FC" w:rsidP="0045533D" w14:paraId="2DABDC97" w14:textId="16AB09B1">
            <w:pPr>
              <w:jc w:val="center"/>
              <w:rPr>
                <w:szCs w:val="24"/>
              </w:rPr>
            </w:pPr>
            <w:r>
              <w:rPr>
                <w:szCs w:val="24"/>
              </w:rPr>
              <w:t>2</w:t>
            </w:r>
            <w:r w:rsidR="00072315">
              <w:rPr>
                <w:szCs w:val="24"/>
              </w:rPr>
              <w:t>1</w:t>
            </w:r>
          </w:p>
        </w:tc>
        <w:tc>
          <w:tcPr>
            <w:tcW w:w="1530" w:type="dxa"/>
            <w:tcBorders>
              <w:top w:val="single" w:sz="2" w:space="0" w:color="000000"/>
              <w:left w:val="single" w:sz="2" w:space="0" w:color="000000"/>
              <w:bottom w:val="single" w:sz="4" w:space="0" w:color="auto"/>
              <w:right w:val="nil"/>
            </w:tcBorders>
            <w:vAlign w:val="center"/>
          </w:tcPr>
          <w:p w:rsidR="0045533D" w:rsidRPr="00AF06FC" w:rsidP="0045533D" w14:paraId="353A5A08" w14:textId="6C37AC87">
            <w:pPr>
              <w:ind w:right="-39"/>
              <w:jc w:val="center"/>
              <w:rPr>
                <w:szCs w:val="24"/>
              </w:rPr>
            </w:pPr>
            <w:r>
              <w:rPr>
                <w:szCs w:val="24"/>
              </w:rPr>
              <w:t>1</w:t>
            </w:r>
          </w:p>
        </w:tc>
        <w:tc>
          <w:tcPr>
            <w:tcW w:w="1710" w:type="dxa"/>
            <w:tcBorders>
              <w:top w:val="single" w:sz="2" w:space="0" w:color="000000"/>
              <w:left w:val="single" w:sz="2" w:space="0" w:color="000000"/>
              <w:bottom w:val="single" w:sz="4" w:space="0" w:color="auto"/>
              <w:right w:val="single" w:sz="2" w:space="0" w:color="000000"/>
            </w:tcBorders>
            <w:vAlign w:val="center"/>
          </w:tcPr>
          <w:p w:rsidR="0045533D" w:rsidRPr="00AF06FC" w:rsidP="0045533D" w14:paraId="1A9CC232" w14:textId="24F52D13">
            <w:pPr>
              <w:ind w:right="-39"/>
              <w:jc w:val="center"/>
              <w:rPr>
                <w:szCs w:val="24"/>
              </w:rPr>
            </w:pPr>
            <w:r>
              <w:rPr>
                <w:szCs w:val="24"/>
              </w:rPr>
              <w:t>15</w:t>
            </w:r>
            <w:r w:rsidRPr="00AF06FC">
              <w:rPr>
                <w:szCs w:val="24"/>
              </w:rPr>
              <w:t>/60</w:t>
            </w:r>
          </w:p>
        </w:tc>
        <w:tc>
          <w:tcPr>
            <w:tcW w:w="1080" w:type="dxa"/>
            <w:tcBorders>
              <w:top w:val="single" w:sz="2" w:space="0" w:color="000000"/>
              <w:left w:val="single" w:sz="2" w:space="0" w:color="000000"/>
              <w:bottom w:val="single" w:sz="4" w:space="0" w:color="auto"/>
              <w:right w:val="single" w:sz="2" w:space="0" w:color="000000"/>
            </w:tcBorders>
            <w:vAlign w:val="center"/>
          </w:tcPr>
          <w:p w:rsidR="0045533D" w:rsidRPr="00AF06FC" w:rsidP="00624D81" w14:paraId="0AD2B11D" w14:textId="6F4149CC">
            <w:pPr>
              <w:jc w:val="center"/>
              <w:rPr>
                <w:szCs w:val="24"/>
              </w:rPr>
            </w:pPr>
            <w:r>
              <w:rPr>
                <w:szCs w:val="24"/>
              </w:rPr>
              <w:t>6</w:t>
            </w:r>
          </w:p>
        </w:tc>
      </w:tr>
      <w:tr w14:paraId="77DC9DC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136596A9"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3B51949B" w14:textId="19CFA028">
            <w:pPr>
              <w:ind w:left="-39" w:right="51"/>
              <w:rPr>
                <w:szCs w:val="24"/>
              </w:rPr>
            </w:pPr>
            <w:r>
              <w:rPr>
                <w:szCs w:val="24"/>
              </w:rPr>
              <w:t>Acceptability Survey</w:t>
            </w:r>
            <w:r w:rsidRPr="00AF06FC">
              <w:rPr>
                <w:szCs w:val="24"/>
              </w:rPr>
              <w:t xml:space="preserve"> (Att. 4</w:t>
            </w:r>
            <w:r w:rsidR="00FF729A">
              <w:rPr>
                <w:szCs w:val="24"/>
              </w:rPr>
              <w:t>d</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43BED586" w14:textId="148761B1">
            <w:pPr>
              <w:jc w:val="center"/>
              <w:rPr>
                <w:szCs w:val="24"/>
              </w:rPr>
            </w:pPr>
            <w:r>
              <w:rPr>
                <w:szCs w:val="24"/>
              </w:rPr>
              <w:t>2</w:t>
            </w:r>
            <w:r w:rsidR="00072315">
              <w:rPr>
                <w:szCs w:val="24"/>
              </w:rPr>
              <w:t>1</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B126002"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5AF9D689" w14:textId="0D6943C9">
            <w:pPr>
              <w:ind w:right="-39"/>
              <w:jc w:val="center"/>
              <w:rPr>
                <w:szCs w:val="24"/>
              </w:rPr>
            </w:pPr>
            <w:r>
              <w:rPr>
                <w:szCs w:val="24"/>
              </w:rPr>
              <w:t>20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3DA82D3F" w14:textId="39002A8D">
            <w:pPr>
              <w:jc w:val="center"/>
              <w:rPr>
                <w:szCs w:val="24"/>
              </w:rPr>
            </w:pPr>
            <w:r>
              <w:rPr>
                <w:szCs w:val="24"/>
              </w:rPr>
              <w:t>7</w:t>
            </w:r>
          </w:p>
        </w:tc>
      </w:tr>
      <w:tr w14:paraId="46D6945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2E22337D" w14:textId="4E2E029A">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711E0911" w14:textId="682B1799">
            <w:pPr>
              <w:ind w:left="-39" w:right="51"/>
              <w:rPr>
                <w:szCs w:val="24"/>
              </w:rPr>
            </w:pPr>
            <w:r>
              <w:rPr>
                <w:szCs w:val="24"/>
              </w:rPr>
              <w:t>Participant Focus Group and</w:t>
            </w:r>
            <w:r w:rsidR="008C78D6">
              <w:rPr>
                <w:szCs w:val="24"/>
              </w:rPr>
              <w:t xml:space="preserve"> Interview Guide</w:t>
            </w:r>
            <w:r w:rsidRPr="00AF06FC">
              <w:rPr>
                <w:szCs w:val="24"/>
              </w:rPr>
              <w:t xml:space="preserve"> (Att. 4</w:t>
            </w:r>
            <w:r w:rsidR="004113BD">
              <w:rPr>
                <w:szCs w:val="24"/>
              </w:rPr>
              <w:t>e</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A3DC2" w14:paraId="284EB608" w14:textId="679037CE">
            <w:pPr>
              <w:jc w:val="center"/>
              <w:rPr>
                <w:szCs w:val="24"/>
              </w:rPr>
            </w:pPr>
            <w:r>
              <w:rPr>
                <w:szCs w:val="24"/>
              </w:rPr>
              <w:t>4</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6EAA1743" w14:textId="17AF3269">
            <w:pPr>
              <w:ind w:right="-39"/>
              <w:jc w:val="center"/>
              <w:rPr>
                <w:szCs w:val="24"/>
              </w:rPr>
            </w:pPr>
            <w:r>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0E4B54B0" w14:textId="0C8800CB">
            <w:pPr>
              <w:ind w:right="-39"/>
              <w:jc w:val="center"/>
              <w:rPr>
                <w:szCs w:val="24"/>
              </w:rPr>
            </w:pPr>
            <w:r>
              <w:rPr>
                <w:szCs w:val="24"/>
              </w:rPr>
              <w:t>60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7AFC946A" w14:textId="35E3B678">
            <w:pPr>
              <w:jc w:val="center"/>
              <w:rPr>
                <w:szCs w:val="24"/>
              </w:rPr>
            </w:pPr>
            <w:r>
              <w:rPr>
                <w:szCs w:val="24"/>
              </w:rPr>
              <w:t>4</w:t>
            </w:r>
          </w:p>
        </w:tc>
      </w:tr>
      <w:tr w14:paraId="123CA001"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0E30EC" w:rsidRPr="00AF06FC" w:rsidP="000E30EC" w14:paraId="7FEA2212" w14:textId="591C34D0">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0E30EC" w:rsidP="000E30EC" w14:paraId="542A06AC" w14:textId="10680194">
            <w:pPr>
              <w:ind w:left="-39" w:right="51"/>
              <w:rPr>
                <w:szCs w:val="24"/>
              </w:rPr>
            </w:pPr>
            <w:r>
              <w:rPr>
                <w:szCs w:val="24"/>
              </w:rPr>
              <w:t>Follow Up Phone Call</w:t>
            </w:r>
            <w:r w:rsidRPr="00AF06FC">
              <w:rPr>
                <w:szCs w:val="24"/>
              </w:rPr>
              <w:t xml:space="preserve"> </w:t>
            </w:r>
            <w:r>
              <w:rPr>
                <w:szCs w:val="24"/>
              </w:rPr>
              <w:t xml:space="preserve">Survey </w:t>
            </w:r>
            <w:r w:rsidRPr="00AF06FC">
              <w:rPr>
                <w:szCs w:val="24"/>
              </w:rPr>
              <w:t>(Att. 4</w:t>
            </w:r>
            <w:r w:rsidR="004D221E">
              <w:rPr>
                <w:szCs w:val="24"/>
              </w:rPr>
              <w:t>f</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0E30EC" w:rsidP="000E30EC" w14:paraId="6B4ED151" w14:textId="1B0A2771">
            <w:pPr>
              <w:jc w:val="center"/>
              <w:rPr>
                <w:szCs w:val="24"/>
              </w:rPr>
            </w:pPr>
            <w:r>
              <w:rPr>
                <w:szCs w:val="24"/>
              </w:rPr>
              <w:t>34</w:t>
            </w:r>
          </w:p>
        </w:tc>
        <w:tc>
          <w:tcPr>
            <w:tcW w:w="1530" w:type="dxa"/>
            <w:tcBorders>
              <w:top w:val="single" w:sz="2" w:space="0" w:color="000000"/>
              <w:left w:val="single" w:sz="2" w:space="0" w:color="000000"/>
              <w:bottom w:val="single" w:sz="2" w:space="0" w:color="000000"/>
              <w:right w:val="nil"/>
            </w:tcBorders>
            <w:vAlign w:val="center"/>
          </w:tcPr>
          <w:p w:rsidR="000E30EC" w:rsidP="000E30EC" w14:paraId="49C112A7" w14:textId="6F97E1D4">
            <w:pPr>
              <w:ind w:right="-39"/>
              <w:jc w:val="center"/>
              <w:rPr>
                <w:szCs w:val="24"/>
              </w:rPr>
            </w:pPr>
            <w:r>
              <w:rPr>
                <w:szCs w:val="24"/>
              </w:rPr>
              <w:t>3</w:t>
            </w:r>
          </w:p>
        </w:tc>
        <w:tc>
          <w:tcPr>
            <w:tcW w:w="1710" w:type="dxa"/>
            <w:tcBorders>
              <w:top w:val="single" w:sz="2" w:space="0" w:color="000000"/>
              <w:left w:val="single" w:sz="2" w:space="0" w:color="000000"/>
              <w:bottom w:val="single" w:sz="2" w:space="0" w:color="000000"/>
              <w:right w:val="single" w:sz="2" w:space="0" w:color="000000"/>
            </w:tcBorders>
            <w:vAlign w:val="center"/>
          </w:tcPr>
          <w:p w:rsidR="000E30EC" w:rsidP="000E30EC" w14:paraId="0EF55ED2" w14:textId="30BF82AB">
            <w:pPr>
              <w:ind w:right="-39"/>
              <w:jc w:val="center"/>
              <w:rPr>
                <w:szCs w:val="24"/>
              </w:rPr>
            </w:pPr>
            <w:r>
              <w:rPr>
                <w:szCs w:val="24"/>
              </w:rPr>
              <w:t>5</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0E30EC" w:rsidP="000E30EC" w14:paraId="76436312" w14:textId="3E04AF51">
            <w:pPr>
              <w:jc w:val="center"/>
              <w:rPr>
                <w:szCs w:val="24"/>
              </w:rPr>
            </w:pPr>
            <w:r>
              <w:rPr>
                <w:szCs w:val="24"/>
              </w:rPr>
              <w:t>9</w:t>
            </w:r>
          </w:p>
        </w:tc>
      </w:tr>
      <w:tr w14:paraId="48E2C16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0E30EC" w:rsidRPr="00AF06FC" w:rsidP="000E30EC" w14:paraId="0827067D" w14:textId="1F20E720">
            <w:pPr>
              <w:jc w:val="both"/>
              <w:rPr>
                <w:szCs w:val="24"/>
              </w:rPr>
            </w:pPr>
            <w:r>
              <w:rPr>
                <w:szCs w:val="24"/>
              </w:rPr>
              <w:t>Health Practitioners</w:t>
            </w:r>
          </w:p>
        </w:tc>
        <w:tc>
          <w:tcPr>
            <w:tcW w:w="1980" w:type="dxa"/>
            <w:tcBorders>
              <w:top w:val="single" w:sz="2" w:space="0" w:color="000000"/>
              <w:left w:val="single" w:sz="2" w:space="0" w:color="000000"/>
              <w:bottom w:val="single" w:sz="2" w:space="0" w:color="000000"/>
              <w:right w:val="nil"/>
            </w:tcBorders>
            <w:vAlign w:val="center"/>
          </w:tcPr>
          <w:p w:rsidR="000E30EC" w:rsidRPr="00AF06FC" w:rsidP="000E30EC" w14:paraId="5C309A43" w14:textId="5CA4204B">
            <w:pPr>
              <w:ind w:left="-39" w:right="51"/>
              <w:rPr>
                <w:szCs w:val="24"/>
              </w:rPr>
            </w:pPr>
            <w:r>
              <w:rPr>
                <w:szCs w:val="24"/>
              </w:rPr>
              <w:t>Provider Interview Guide</w:t>
            </w:r>
            <w:r w:rsidRPr="00AF06FC">
              <w:rPr>
                <w:szCs w:val="24"/>
              </w:rPr>
              <w:t xml:space="preserve"> (Att. 4</w:t>
            </w:r>
            <w:r>
              <w:rPr>
                <w:szCs w:val="24"/>
              </w:rPr>
              <w:t>g</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0E30EC" w:rsidRPr="00AF06FC" w:rsidP="000E30EC" w14:paraId="4F9AE6AA" w14:textId="247CC968">
            <w:pPr>
              <w:jc w:val="center"/>
              <w:rPr>
                <w:szCs w:val="24"/>
              </w:rPr>
            </w:pPr>
            <w:r>
              <w:rPr>
                <w:szCs w:val="24"/>
              </w:rPr>
              <w:t>6</w:t>
            </w:r>
          </w:p>
        </w:tc>
        <w:tc>
          <w:tcPr>
            <w:tcW w:w="1530" w:type="dxa"/>
            <w:tcBorders>
              <w:top w:val="single" w:sz="2" w:space="0" w:color="000000"/>
              <w:left w:val="single" w:sz="2" w:space="0" w:color="000000"/>
              <w:bottom w:val="single" w:sz="2" w:space="0" w:color="000000"/>
              <w:right w:val="nil"/>
            </w:tcBorders>
            <w:vAlign w:val="center"/>
          </w:tcPr>
          <w:p w:rsidR="000E30EC" w:rsidRPr="00AF06FC" w:rsidP="000E30EC" w14:paraId="048FD7EF" w14:textId="34E952BD">
            <w:pPr>
              <w:ind w:right="-39"/>
              <w:jc w:val="center"/>
              <w:rPr>
                <w:szCs w:val="24"/>
              </w:rPr>
            </w:pPr>
            <w:r>
              <w:rPr>
                <w:szCs w:val="24"/>
              </w:rPr>
              <w:t>3</w:t>
            </w:r>
          </w:p>
        </w:tc>
        <w:tc>
          <w:tcPr>
            <w:tcW w:w="1710" w:type="dxa"/>
            <w:tcBorders>
              <w:top w:val="single" w:sz="2" w:space="0" w:color="000000"/>
              <w:left w:val="single" w:sz="2" w:space="0" w:color="000000"/>
              <w:bottom w:val="single" w:sz="2" w:space="0" w:color="000000"/>
              <w:right w:val="single" w:sz="2" w:space="0" w:color="000000"/>
            </w:tcBorders>
            <w:vAlign w:val="center"/>
          </w:tcPr>
          <w:p w:rsidR="000E30EC" w:rsidRPr="00AF06FC" w:rsidP="000E30EC" w14:paraId="1D5BACF0" w14:textId="4FE0ACC1">
            <w:pPr>
              <w:ind w:right="-39"/>
              <w:jc w:val="center"/>
              <w:rPr>
                <w:szCs w:val="24"/>
              </w:rPr>
            </w:pPr>
            <w:r>
              <w:rPr>
                <w:szCs w:val="24"/>
              </w:rPr>
              <w:t>45</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0E30EC" w:rsidRPr="00AF06FC" w:rsidP="000E30EC" w14:paraId="6106471B" w14:textId="388A6146">
            <w:pPr>
              <w:jc w:val="center"/>
              <w:rPr>
                <w:szCs w:val="24"/>
              </w:rPr>
            </w:pPr>
            <w:r>
              <w:rPr>
                <w:szCs w:val="24"/>
              </w:rPr>
              <w:t>1</w:t>
            </w:r>
            <w:r w:rsidR="003C49B9">
              <w:rPr>
                <w:szCs w:val="24"/>
              </w:rPr>
              <w:t>4</w:t>
            </w:r>
          </w:p>
        </w:tc>
      </w:tr>
      <w:tr w14:paraId="080A9DC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0E30EC" w:rsidRPr="00AF06FC" w:rsidP="000E30EC" w14:paraId="4B673CCA" w14:textId="072756A5">
            <w:pPr>
              <w:jc w:val="both"/>
              <w:rPr>
                <w:szCs w:val="24"/>
              </w:rPr>
            </w:pPr>
            <w:r>
              <w:rPr>
                <w:szCs w:val="24"/>
              </w:rPr>
              <w:t>Health Practitioners</w:t>
            </w:r>
          </w:p>
        </w:tc>
        <w:tc>
          <w:tcPr>
            <w:tcW w:w="1980" w:type="dxa"/>
            <w:tcBorders>
              <w:top w:val="single" w:sz="2" w:space="0" w:color="000000"/>
              <w:left w:val="single" w:sz="2" w:space="0" w:color="000000"/>
              <w:bottom w:val="single" w:sz="2" w:space="0" w:color="000000"/>
              <w:right w:val="nil"/>
            </w:tcBorders>
            <w:vAlign w:val="center"/>
          </w:tcPr>
          <w:p w:rsidR="000E30EC" w:rsidRPr="00AF06FC" w:rsidP="000E30EC" w14:paraId="5293E334" w14:textId="57DB478B">
            <w:pPr>
              <w:ind w:left="-39" w:right="51"/>
              <w:rPr>
                <w:szCs w:val="24"/>
              </w:rPr>
            </w:pPr>
            <w:r>
              <w:rPr>
                <w:szCs w:val="24"/>
              </w:rPr>
              <w:t>Madison Clinic Data Collection</w:t>
            </w:r>
            <w:r w:rsidRPr="00AF06FC">
              <w:rPr>
                <w:szCs w:val="24"/>
              </w:rPr>
              <w:t xml:space="preserve"> (Att. 4</w:t>
            </w:r>
            <w:r>
              <w:rPr>
                <w:szCs w:val="24"/>
              </w:rPr>
              <w:t>h</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0E30EC" w:rsidRPr="00AF06FC" w:rsidP="000E30EC" w14:paraId="0E802938" w14:textId="6CEC3AA9">
            <w:pPr>
              <w:jc w:val="center"/>
              <w:rPr>
                <w:szCs w:val="24"/>
              </w:rPr>
            </w:pPr>
            <w:r>
              <w:rPr>
                <w:szCs w:val="24"/>
              </w:rPr>
              <w:t>1</w:t>
            </w:r>
          </w:p>
        </w:tc>
        <w:tc>
          <w:tcPr>
            <w:tcW w:w="1530" w:type="dxa"/>
            <w:tcBorders>
              <w:top w:val="single" w:sz="2" w:space="0" w:color="000000"/>
              <w:left w:val="single" w:sz="2" w:space="0" w:color="000000"/>
              <w:bottom w:val="single" w:sz="2" w:space="0" w:color="000000"/>
              <w:right w:val="nil"/>
            </w:tcBorders>
            <w:vAlign w:val="center"/>
          </w:tcPr>
          <w:p w:rsidR="000E30EC" w:rsidRPr="00AF06FC" w:rsidP="000E30EC" w14:paraId="65BA0F53" w14:textId="5F7AB530">
            <w:pPr>
              <w:ind w:right="-39"/>
              <w:jc w:val="center"/>
              <w:rPr>
                <w:szCs w:val="24"/>
              </w:rPr>
            </w:pPr>
            <w:r>
              <w:rPr>
                <w:szCs w:val="24"/>
              </w:rPr>
              <w:t>6</w:t>
            </w:r>
          </w:p>
        </w:tc>
        <w:tc>
          <w:tcPr>
            <w:tcW w:w="1710" w:type="dxa"/>
            <w:tcBorders>
              <w:top w:val="single" w:sz="2" w:space="0" w:color="000000"/>
              <w:left w:val="single" w:sz="2" w:space="0" w:color="000000"/>
              <w:bottom w:val="single" w:sz="2" w:space="0" w:color="000000"/>
              <w:right w:val="single" w:sz="2" w:space="0" w:color="000000"/>
            </w:tcBorders>
            <w:vAlign w:val="center"/>
          </w:tcPr>
          <w:p w:rsidR="000E30EC" w:rsidRPr="00AF06FC" w:rsidP="000E30EC" w14:paraId="2DEAD605" w14:textId="49D33262">
            <w:pPr>
              <w:ind w:right="-39"/>
              <w:jc w:val="center"/>
              <w:rPr>
                <w:szCs w:val="24"/>
              </w:rPr>
            </w:pPr>
            <w:r>
              <w:rPr>
                <w:szCs w:val="24"/>
              </w:rPr>
              <w:t>5</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0E30EC" w:rsidRPr="00AF06FC" w:rsidP="000E30EC" w14:paraId="252142C1" w14:textId="0C560BDE">
            <w:pPr>
              <w:jc w:val="center"/>
              <w:rPr>
                <w:szCs w:val="24"/>
              </w:rPr>
            </w:pPr>
            <w:r>
              <w:rPr>
                <w:szCs w:val="24"/>
              </w:rPr>
              <w:t>1</w:t>
            </w:r>
          </w:p>
        </w:tc>
      </w:tr>
      <w:tr w14:paraId="76809852"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0E30EC" w:rsidRPr="00AF06FC" w:rsidP="000E30EC" w14:paraId="1EFFAB45" w14:textId="5F2C3091">
            <w:pPr>
              <w:jc w:val="both"/>
              <w:rPr>
                <w:szCs w:val="24"/>
              </w:rPr>
            </w:pPr>
            <w:r>
              <w:rPr>
                <w:szCs w:val="24"/>
              </w:rPr>
              <w:t>Health Practitioners</w:t>
            </w:r>
          </w:p>
        </w:tc>
        <w:tc>
          <w:tcPr>
            <w:tcW w:w="1980" w:type="dxa"/>
            <w:tcBorders>
              <w:top w:val="single" w:sz="2" w:space="0" w:color="000000"/>
              <w:left w:val="single" w:sz="2" w:space="0" w:color="000000"/>
              <w:bottom w:val="single" w:sz="2" w:space="0" w:color="000000"/>
              <w:right w:val="nil"/>
            </w:tcBorders>
            <w:vAlign w:val="center"/>
          </w:tcPr>
          <w:p w:rsidR="000E30EC" w:rsidP="000E30EC" w14:paraId="515A390D" w14:textId="7626F2AA">
            <w:pPr>
              <w:ind w:left="-39" w:right="51"/>
              <w:rPr>
                <w:szCs w:val="24"/>
              </w:rPr>
            </w:pPr>
            <w:r>
              <w:rPr>
                <w:szCs w:val="24"/>
              </w:rPr>
              <w:t>Gay City Data Collection (Att. 4i)</w:t>
            </w:r>
          </w:p>
        </w:tc>
        <w:tc>
          <w:tcPr>
            <w:tcW w:w="1620" w:type="dxa"/>
            <w:tcBorders>
              <w:top w:val="single" w:sz="2" w:space="0" w:color="000000"/>
              <w:left w:val="single" w:sz="2" w:space="0" w:color="000000"/>
              <w:bottom w:val="single" w:sz="2" w:space="0" w:color="000000"/>
              <w:right w:val="nil"/>
            </w:tcBorders>
            <w:vAlign w:val="center"/>
          </w:tcPr>
          <w:p w:rsidR="000E30EC" w:rsidP="000E30EC" w14:paraId="0D4B9067" w14:textId="3D935916">
            <w:pPr>
              <w:jc w:val="center"/>
              <w:rPr>
                <w:szCs w:val="24"/>
              </w:rPr>
            </w:pPr>
            <w:r>
              <w:rPr>
                <w:szCs w:val="24"/>
              </w:rPr>
              <w:t>1</w:t>
            </w:r>
          </w:p>
        </w:tc>
        <w:tc>
          <w:tcPr>
            <w:tcW w:w="1530" w:type="dxa"/>
            <w:tcBorders>
              <w:top w:val="single" w:sz="2" w:space="0" w:color="000000"/>
              <w:left w:val="single" w:sz="2" w:space="0" w:color="000000"/>
              <w:bottom w:val="single" w:sz="2" w:space="0" w:color="000000"/>
              <w:right w:val="nil"/>
            </w:tcBorders>
            <w:vAlign w:val="center"/>
          </w:tcPr>
          <w:p w:rsidR="000E30EC" w:rsidP="000E30EC" w14:paraId="26EF6961" w14:textId="0185E7C8">
            <w:pPr>
              <w:ind w:right="-39"/>
              <w:jc w:val="center"/>
              <w:rPr>
                <w:szCs w:val="24"/>
              </w:rPr>
            </w:pPr>
            <w:r>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0E30EC" w:rsidP="000E30EC" w14:paraId="49AA7D4A" w14:textId="5BB7EA64">
            <w:pPr>
              <w:ind w:right="-39"/>
              <w:jc w:val="center"/>
              <w:rPr>
                <w:szCs w:val="24"/>
              </w:rPr>
            </w:pPr>
            <w:r>
              <w:rPr>
                <w:szCs w:val="24"/>
              </w:rPr>
              <w:t>60/60</w:t>
            </w:r>
          </w:p>
        </w:tc>
        <w:tc>
          <w:tcPr>
            <w:tcW w:w="1080" w:type="dxa"/>
            <w:tcBorders>
              <w:top w:val="single" w:sz="2" w:space="0" w:color="000000"/>
              <w:left w:val="single" w:sz="2" w:space="0" w:color="000000"/>
              <w:bottom w:val="single" w:sz="2" w:space="0" w:color="000000"/>
              <w:right w:val="single" w:sz="2" w:space="0" w:color="000000"/>
            </w:tcBorders>
            <w:vAlign w:val="center"/>
          </w:tcPr>
          <w:p w:rsidR="000E30EC" w:rsidP="000E30EC" w14:paraId="2C954B90" w14:textId="5C11F447">
            <w:pPr>
              <w:jc w:val="center"/>
              <w:rPr>
                <w:szCs w:val="24"/>
              </w:rPr>
            </w:pPr>
            <w:r>
              <w:rPr>
                <w:szCs w:val="24"/>
              </w:rPr>
              <w:t>2</w:t>
            </w:r>
          </w:p>
        </w:tc>
      </w:tr>
      <w:tr w14:paraId="3329DE16" w14:textId="77777777" w:rsidTr="001D5CFF">
        <w:tblPrEx>
          <w:tblW w:w="9447" w:type="dxa"/>
          <w:tblLayout w:type="fixed"/>
          <w:tblCellMar>
            <w:left w:w="129" w:type="dxa"/>
            <w:right w:w="129" w:type="dxa"/>
          </w:tblCellMar>
          <w:tblLook w:val="0000"/>
        </w:tblPrEx>
        <w:tc>
          <w:tcPr>
            <w:tcW w:w="8367" w:type="dxa"/>
            <w:gridSpan w:val="5"/>
            <w:tcBorders>
              <w:top w:val="single" w:sz="2" w:space="0" w:color="000000"/>
              <w:left w:val="single" w:sz="2" w:space="0" w:color="000000"/>
              <w:bottom w:val="single" w:sz="2" w:space="0" w:color="000000"/>
              <w:right w:val="single" w:sz="2" w:space="0" w:color="000000"/>
            </w:tcBorders>
          </w:tcPr>
          <w:p w:rsidR="000E30EC" w:rsidRPr="00AF06FC" w:rsidP="000E30EC" w14:paraId="659ED275" w14:textId="77777777">
            <w:pPr>
              <w:ind w:right="224"/>
              <w:jc w:val="right"/>
              <w:rPr>
                <w:b/>
                <w:szCs w:val="24"/>
              </w:rPr>
            </w:pPr>
            <w:r w:rsidRPr="00AF06FC">
              <w:rPr>
                <w:b/>
                <w:szCs w:val="24"/>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rsidR="000E30EC" w:rsidRPr="00AF06FC" w:rsidP="000E30EC" w14:paraId="18FCBEA1" w14:textId="5AF0C3D3">
            <w:pPr>
              <w:jc w:val="center"/>
              <w:rPr>
                <w:b/>
                <w:szCs w:val="24"/>
              </w:rPr>
            </w:pPr>
            <w:r>
              <w:rPr>
                <w:b/>
                <w:szCs w:val="24"/>
              </w:rPr>
              <w:t>4</w:t>
            </w:r>
            <w:r w:rsidR="003C49B9">
              <w:rPr>
                <w:b/>
                <w:szCs w:val="24"/>
              </w:rPr>
              <w:t>9</w:t>
            </w:r>
          </w:p>
        </w:tc>
      </w:tr>
    </w:tbl>
    <w:p w:rsidR="00BE520E" w:rsidP="000A4126" w14:paraId="62A6EDBB" w14:textId="77777777">
      <w:pPr>
        <w:pStyle w:val="NoSpacing"/>
        <w:tabs>
          <w:tab w:val="left" w:pos="360"/>
        </w:tabs>
        <w:rPr>
          <w:rFonts w:cs="Times New Roman"/>
          <w:b/>
          <w:bCs/>
        </w:rPr>
      </w:pPr>
    </w:p>
    <w:p w:rsidR="0045573A" w:rsidRPr="0045573A" w:rsidP="000A4126" w14:paraId="46E8FFF6" w14:textId="041FDC23">
      <w:pPr>
        <w:pStyle w:val="NoSpacing"/>
        <w:tabs>
          <w:tab w:val="left" w:pos="360"/>
        </w:tabs>
        <w:rPr>
          <w:rFonts w:cs="Times New Roman"/>
        </w:rPr>
      </w:pPr>
      <w:bookmarkStart w:id="42" w:name="_Hlk192000608"/>
      <w:r w:rsidRPr="0045573A">
        <w:rPr>
          <w:rFonts w:cs="Times New Roman"/>
        </w:rPr>
        <w:t xml:space="preserve">A detailed </w:t>
      </w:r>
      <w:r>
        <w:rPr>
          <w:rFonts w:cs="Times New Roman"/>
        </w:rPr>
        <w:t xml:space="preserve">description of the changes proposed </w:t>
      </w:r>
      <w:r w:rsidR="000C18B4">
        <w:rPr>
          <w:rFonts w:cs="Times New Roman"/>
        </w:rPr>
        <w:t>by</w:t>
      </w:r>
      <w:r>
        <w:rPr>
          <w:rFonts w:cs="Times New Roman"/>
        </w:rPr>
        <w:t xml:space="preserve"> this reinstatement ICR to the </w:t>
      </w:r>
      <w:r w:rsidR="000C18B4">
        <w:rPr>
          <w:rFonts w:cs="Times New Roman"/>
        </w:rPr>
        <w:t>original</w:t>
      </w:r>
      <w:r>
        <w:rPr>
          <w:rFonts w:cs="Times New Roman"/>
        </w:rPr>
        <w:t xml:space="preserve"> annualized burden hours can be found in </w:t>
      </w:r>
      <w:r w:rsidRPr="0045573A">
        <w:rPr>
          <w:rFonts w:cs="Times New Roman"/>
          <w:b/>
          <w:bCs/>
        </w:rPr>
        <w:t>Attachment 11</w:t>
      </w:r>
      <w:r>
        <w:rPr>
          <w:rFonts w:cs="Times New Roman"/>
        </w:rPr>
        <w:t xml:space="preserve"> </w:t>
      </w:r>
      <w:r w:rsidRPr="00984B6D">
        <w:rPr>
          <w:rFonts w:cs="Times New Roman"/>
          <w:b/>
          <w:bCs/>
        </w:rPr>
        <w:t>Detail of Changes to Annualized Burden Hours</w:t>
      </w:r>
      <w:r>
        <w:rPr>
          <w:rFonts w:cs="Times New Roman"/>
        </w:rPr>
        <w:t xml:space="preserve">. </w:t>
      </w:r>
    </w:p>
    <w:bookmarkEnd w:id="42"/>
    <w:p w:rsidR="0045573A" w:rsidP="000A4126" w14:paraId="4E59623F" w14:textId="77777777">
      <w:pPr>
        <w:pStyle w:val="NoSpacing"/>
        <w:tabs>
          <w:tab w:val="left" w:pos="360"/>
        </w:tabs>
        <w:rPr>
          <w:rFonts w:cs="Times New Roman"/>
          <w:b/>
          <w:bCs/>
        </w:rPr>
      </w:pPr>
    </w:p>
    <w:p w:rsidR="00AA78EA" w:rsidP="000A4126" w14:paraId="0D6C1BBE" w14:textId="73B0527C">
      <w:pPr>
        <w:pStyle w:val="NoSpacing"/>
        <w:tabs>
          <w:tab w:val="left" w:pos="360"/>
        </w:tabs>
        <w:rPr>
          <w:rFonts w:cs="Times New Roman"/>
          <w:b/>
          <w:bCs/>
        </w:rPr>
      </w:pPr>
      <w:r w:rsidRPr="00AA78EA">
        <w:rPr>
          <w:rFonts w:cs="Times New Roman"/>
          <w:b/>
          <w:bCs/>
        </w:rPr>
        <w:t>12B</w:t>
      </w:r>
      <w:bookmarkStart w:id="43" w:name="BurdenCost12B"/>
      <w:r w:rsidRPr="00AA78EA">
        <w:rPr>
          <w:rFonts w:cs="Times New Roman"/>
          <w:b/>
          <w:bCs/>
        </w:rPr>
        <w:t>. Estimated Annualized Burden Costs</w:t>
      </w:r>
      <w:bookmarkEnd w:id="43"/>
    </w:p>
    <w:p w:rsidR="00AA78EA" w:rsidP="000A4126" w14:paraId="6ED4C498" w14:textId="0AA396D6">
      <w:pPr>
        <w:pStyle w:val="NoSpacing"/>
        <w:tabs>
          <w:tab w:val="left" w:pos="360"/>
        </w:tabs>
        <w:rPr>
          <w:rFonts w:cs="Times New Roman"/>
          <w:b/>
          <w:bCs/>
        </w:rPr>
      </w:pPr>
    </w:p>
    <w:p w:rsidR="00064C19" w:rsidRPr="00064C19" w:rsidP="00064C19" w14:paraId="40DE5008" w14:textId="549A600C">
      <w:pPr>
        <w:rPr>
          <w:szCs w:val="24"/>
        </w:rPr>
      </w:pPr>
      <w:r w:rsidRPr="00535C58">
        <w:rPr>
          <w:szCs w:val="24"/>
        </w:rPr>
        <w:t>The annualized costs to the respondents are described in Exhibit 12.2. The United States Bureau of Labor Statistics’ employment and wages estimates from May</w:t>
      </w:r>
      <w:r w:rsidR="00672195">
        <w:rPr>
          <w:szCs w:val="24"/>
        </w:rPr>
        <w:t xml:space="preserve"> 2023 </w:t>
      </w:r>
      <w:r w:rsidRPr="00535C58">
        <w:rPr>
          <w:szCs w:val="24"/>
        </w:rPr>
        <w:t xml:space="preserve"> (</w:t>
      </w:r>
      <w:hyperlink r:id="rId11" w:history="1">
        <w:r w:rsidRPr="00535C58">
          <w:rPr>
            <w:rStyle w:val="Hyperlink"/>
            <w:szCs w:val="24"/>
          </w:rPr>
          <w:t>http://www.bls.gov/oes/current/oes_nat.htm</w:t>
        </w:r>
      </w:hyperlink>
      <w:r w:rsidRPr="00535C58">
        <w:rPr>
          <w:szCs w:val="24"/>
        </w:rPr>
        <w:t>)</w:t>
      </w:r>
      <w:r w:rsidRPr="00535C58">
        <w:rPr>
          <w:color w:val="0070C0"/>
          <w:szCs w:val="24"/>
        </w:rPr>
        <w:t xml:space="preserve"> </w:t>
      </w:r>
      <w:hyperlink w:history="1"/>
      <w:r w:rsidRPr="00535C58">
        <w:rPr>
          <w:szCs w:val="24"/>
        </w:rPr>
        <w:t>were used to estimate the hourly wage rate</w:t>
      </w:r>
      <w:r w:rsidR="00672195">
        <w:rPr>
          <w:szCs w:val="24"/>
        </w:rPr>
        <w:t>s</w:t>
      </w:r>
      <w:r w:rsidRPr="00535C58">
        <w:rPr>
          <w:szCs w:val="24"/>
        </w:rPr>
        <w:t xml:space="preserve"> for the for the purpose of this request. The estimated annualized burden cost is $</w:t>
      </w:r>
      <w:r w:rsidR="008C6C1B">
        <w:rPr>
          <w:szCs w:val="24"/>
        </w:rPr>
        <w:t>1,</w:t>
      </w:r>
      <w:r w:rsidR="003C49B9">
        <w:rPr>
          <w:szCs w:val="24"/>
        </w:rPr>
        <w:t>771.77</w:t>
      </w:r>
      <w:r w:rsidRPr="00535C58">
        <w:rPr>
          <w:szCs w:val="24"/>
        </w:rPr>
        <w:t xml:space="preserve">. This cost represents the total </w:t>
      </w:r>
      <w:r w:rsidR="00491ED0">
        <w:rPr>
          <w:szCs w:val="24"/>
        </w:rPr>
        <w:t xml:space="preserve">annual </w:t>
      </w:r>
      <w:r w:rsidRPr="00535C58">
        <w:rPr>
          <w:szCs w:val="24"/>
        </w:rPr>
        <w:t xml:space="preserve">burden hours of respondents multiplied by the average hourly wage </w:t>
      </w:r>
      <w:r w:rsidRPr="00535C58">
        <w:rPr>
          <w:szCs w:val="24"/>
        </w:rPr>
        <w:t xml:space="preserve">rate </w:t>
      </w:r>
      <w:r w:rsidR="00672195">
        <w:rPr>
          <w:szCs w:val="24"/>
        </w:rPr>
        <w:t>for each respondent type (General Public – Adults, $31.48; Healthcare Practitioners and Technical Occupations, $49.07; and Medical Records Specialists, $25.81)</w:t>
      </w:r>
      <w:r w:rsidRPr="00535C58">
        <w:rPr>
          <w:szCs w:val="24"/>
        </w:rPr>
        <w:t xml:space="preserve">. </w:t>
      </w:r>
    </w:p>
    <w:p w:rsidR="00064C19" w:rsidP="000A4126" w14:paraId="43C86725" w14:textId="77777777">
      <w:pPr>
        <w:pStyle w:val="NoSpacing"/>
        <w:tabs>
          <w:tab w:val="left" w:pos="360"/>
        </w:tabs>
        <w:rPr>
          <w:rFonts w:cs="Times New Roman"/>
          <w:b/>
          <w:bCs/>
        </w:rPr>
      </w:pPr>
    </w:p>
    <w:p w:rsidR="00AA78EA" w:rsidP="000A4126" w14:paraId="1A7F85F8" w14:textId="264AB308">
      <w:pPr>
        <w:pStyle w:val="NoSpacing"/>
        <w:tabs>
          <w:tab w:val="left" w:pos="360"/>
        </w:tabs>
        <w:rPr>
          <w:rFonts w:cs="Times New Roman"/>
          <w:b/>
          <w:bCs/>
        </w:rPr>
      </w:pPr>
      <w:r w:rsidRPr="00AA78EA">
        <w:rPr>
          <w:rFonts w:cs="Times New Roman"/>
          <w:b/>
          <w:bCs/>
        </w:rPr>
        <w:t xml:space="preserve">Exhibit 12.2: </w:t>
      </w:r>
      <w:bookmarkStart w:id="44" w:name="ExhibitCosts122"/>
      <w:r w:rsidRPr="00AA78EA">
        <w:rPr>
          <w:rFonts w:cs="Times New Roman"/>
          <w:b/>
          <w:bCs/>
        </w:rPr>
        <w:t>Estimated Annualized Burden Costs</w:t>
      </w:r>
      <w:bookmarkEnd w:id="44"/>
    </w:p>
    <w:p w:rsidR="00AA78EA" w:rsidP="000A4126" w14:paraId="1AC3109A" w14:textId="134BDA46">
      <w:pPr>
        <w:pStyle w:val="NoSpacing"/>
        <w:tabs>
          <w:tab w:val="left" w:pos="360"/>
        </w:tabs>
        <w:rPr>
          <w:rFonts w:cs="Times New Roman"/>
          <w:b/>
          <w:bCs/>
        </w:rPr>
      </w:pPr>
    </w:p>
    <w:tbl>
      <w:tblPr>
        <w:tblW w:w="9447" w:type="dxa"/>
        <w:tblLayout w:type="fixed"/>
        <w:tblCellMar>
          <w:left w:w="129" w:type="dxa"/>
          <w:right w:w="129" w:type="dxa"/>
        </w:tblCellMar>
        <w:tblLook w:val="0000"/>
      </w:tblPr>
      <w:tblGrid>
        <w:gridCol w:w="2195"/>
        <w:gridCol w:w="2392"/>
        <w:gridCol w:w="990"/>
        <w:gridCol w:w="1980"/>
        <w:gridCol w:w="1890"/>
      </w:tblGrid>
      <w:tr w14:paraId="7FDAA84B" w14:textId="77777777" w:rsidTr="004E50E9">
        <w:tblPrEx>
          <w:tblW w:w="9447" w:type="dxa"/>
          <w:tblLayout w:type="fixed"/>
          <w:tblCellMar>
            <w:left w:w="129" w:type="dxa"/>
            <w:right w:w="129" w:type="dxa"/>
          </w:tblCellMar>
          <w:tblLook w:val="0000"/>
        </w:tblPrEx>
        <w:trPr>
          <w:cantSplit/>
          <w:trHeight w:val="685"/>
          <w:tblHeader/>
        </w:trPr>
        <w:tc>
          <w:tcPr>
            <w:tcW w:w="2195" w:type="dxa"/>
            <w:tcBorders>
              <w:top w:val="single" w:sz="2" w:space="0" w:color="000000"/>
              <w:left w:val="single" w:sz="2" w:space="0" w:color="000000"/>
              <w:bottom w:val="nil"/>
              <w:right w:val="nil"/>
            </w:tcBorders>
          </w:tcPr>
          <w:p w:rsidR="00AA78EA" w:rsidRPr="00AF06FC" w:rsidP="003E3747" w14:paraId="1CB322A2" w14:textId="77777777">
            <w:pPr>
              <w:rPr>
                <w:b/>
                <w:szCs w:val="24"/>
              </w:rPr>
            </w:pPr>
            <w:r w:rsidRPr="00AF06FC">
              <w:rPr>
                <w:b/>
                <w:szCs w:val="24"/>
              </w:rPr>
              <w:t>Type of Respondent</w:t>
            </w:r>
          </w:p>
        </w:tc>
        <w:tc>
          <w:tcPr>
            <w:tcW w:w="2392" w:type="dxa"/>
            <w:tcBorders>
              <w:top w:val="single" w:sz="2" w:space="0" w:color="000000"/>
              <w:left w:val="single" w:sz="2" w:space="0" w:color="000000"/>
              <w:bottom w:val="nil"/>
              <w:right w:val="nil"/>
            </w:tcBorders>
          </w:tcPr>
          <w:p w:rsidR="00AA78EA" w:rsidRPr="00AF06FC" w:rsidP="003E3747" w14:paraId="1F44524E" w14:textId="77777777">
            <w:pPr>
              <w:rPr>
                <w:b/>
                <w:szCs w:val="24"/>
              </w:rPr>
            </w:pPr>
            <w:r w:rsidRPr="00AF06FC">
              <w:rPr>
                <w:b/>
                <w:szCs w:val="24"/>
              </w:rPr>
              <w:t>Form Name</w:t>
            </w:r>
          </w:p>
        </w:tc>
        <w:tc>
          <w:tcPr>
            <w:tcW w:w="990" w:type="dxa"/>
            <w:tcBorders>
              <w:top w:val="single" w:sz="2" w:space="0" w:color="000000"/>
              <w:left w:val="single" w:sz="2" w:space="0" w:color="000000"/>
              <w:bottom w:val="nil"/>
              <w:right w:val="nil"/>
            </w:tcBorders>
          </w:tcPr>
          <w:p w:rsidR="00AA78EA" w:rsidRPr="00AF06FC" w:rsidP="003E3747" w14:paraId="1B164FAF" w14:textId="77777777">
            <w:pPr>
              <w:rPr>
                <w:b/>
                <w:szCs w:val="24"/>
              </w:rPr>
            </w:pPr>
            <w:r w:rsidRPr="00AF06FC">
              <w:rPr>
                <w:b/>
                <w:szCs w:val="24"/>
              </w:rPr>
              <w:t>Burden</w:t>
            </w:r>
          </w:p>
          <w:p w:rsidR="00AA78EA" w:rsidRPr="00AF06FC" w:rsidP="003E3747" w14:paraId="41FB9BC7" w14:textId="77777777">
            <w:pPr>
              <w:rPr>
                <w:b/>
                <w:szCs w:val="24"/>
              </w:rPr>
            </w:pPr>
            <w:r w:rsidRPr="00AF06FC">
              <w:rPr>
                <w:b/>
                <w:szCs w:val="24"/>
              </w:rPr>
              <w:t>Hours</w:t>
            </w:r>
          </w:p>
        </w:tc>
        <w:tc>
          <w:tcPr>
            <w:tcW w:w="1980" w:type="dxa"/>
            <w:tcBorders>
              <w:top w:val="single" w:sz="2" w:space="0" w:color="000000"/>
              <w:left w:val="single" w:sz="2" w:space="0" w:color="000000"/>
              <w:bottom w:val="nil"/>
              <w:right w:val="nil"/>
            </w:tcBorders>
          </w:tcPr>
          <w:p w:rsidR="00AA78EA" w:rsidRPr="00AF06FC" w:rsidP="003E3747" w14:paraId="6C940BC4" w14:textId="77777777">
            <w:pPr>
              <w:rPr>
                <w:b/>
                <w:szCs w:val="24"/>
              </w:rPr>
            </w:pPr>
            <w:r w:rsidRPr="00AF06FC">
              <w:rPr>
                <w:b/>
                <w:szCs w:val="24"/>
              </w:rPr>
              <w:t>Hourly Wage Rate</w:t>
            </w:r>
          </w:p>
        </w:tc>
        <w:tc>
          <w:tcPr>
            <w:tcW w:w="1890" w:type="dxa"/>
            <w:tcBorders>
              <w:top w:val="single" w:sz="2" w:space="0" w:color="000000"/>
              <w:left w:val="single" w:sz="2" w:space="0" w:color="000000"/>
              <w:bottom w:val="nil"/>
              <w:right w:val="single" w:sz="2" w:space="0" w:color="000000"/>
            </w:tcBorders>
          </w:tcPr>
          <w:p w:rsidR="00AA78EA" w:rsidRPr="00AF06FC" w:rsidP="003E3747" w14:paraId="06943C51" w14:textId="77777777">
            <w:pPr>
              <w:rPr>
                <w:b/>
                <w:szCs w:val="24"/>
              </w:rPr>
            </w:pPr>
            <w:r w:rsidRPr="00AF06FC">
              <w:rPr>
                <w:b/>
                <w:szCs w:val="24"/>
              </w:rPr>
              <w:t>Respondent Costs</w:t>
            </w:r>
          </w:p>
        </w:tc>
      </w:tr>
      <w:tr w14:paraId="6C145718" w14:textId="77777777" w:rsidTr="004E50E9">
        <w:tblPrEx>
          <w:tblW w:w="9447" w:type="dxa"/>
          <w:tblLayout w:type="fixed"/>
          <w:tblCellMar>
            <w:left w:w="129" w:type="dxa"/>
            <w:right w:w="129" w:type="dxa"/>
          </w:tblCellMar>
          <w:tblLook w:val="0000"/>
        </w:tblPrEx>
        <w:trPr>
          <w:cantSplit/>
          <w:trHeight w:val="557"/>
        </w:trPr>
        <w:tc>
          <w:tcPr>
            <w:tcW w:w="2195" w:type="dxa"/>
            <w:tcBorders>
              <w:top w:val="single" w:sz="2" w:space="0" w:color="000000"/>
              <w:left w:val="single" w:sz="2" w:space="0" w:color="000000"/>
              <w:right w:val="nil"/>
            </w:tcBorders>
          </w:tcPr>
          <w:p w:rsidR="00672195" w:rsidRPr="00AF06FC" w:rsidP="00672195" w14:paraId="02774048" w14:textId="4780D11C">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672195" w:rsidRPr="00AF06FC" w:rsidP="00672195" w14:paraId="33E9C786" w14:textId="48535CBD">
            <w:pPr>
              <w:ind w:left="-39" w:right="51"/>
              <w:rPr>
                <w:szCs w:val="24"/>
              </w:rPr>
            </w:pPr>
            <w:r>
              <w:rPr>
                <w:iCs/>
                <w:szCs w:val="24"/>
              </w:rPr>
              <w:t>Screen and Link</w:t>
            </w:r>
            <w:r w:rsidRPr="00AF06FC">
              <w:rPr>
                <w:iCs/>
                <w:szCs w:val="24"/>
              </w:rPr>
              <w:t xml:space="preserve"> (Att. 4a)</w:t>
            </w:r>
          </w:p>
        </w:tc>
        <w:tc>
          <w:tcPr>
            <w:tcW w:w="9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2A983075" w14:textId="31B3557B">
            <w:pPr>
              <w:jc w:val="center"/>
              <w:rPr>
                <w:szCs w:val="24"/>
              </w:rPr>
            </w:pPr>
            <w:r>
              <w:rPr>
                <w:szCs w:val="24"/>
              </w:rPr>
              <w:t>4</w:t>
            </w:r>
          </w:p>
        </w:tc>
        <w:tc>
          <w:tcPr>
            <w:tcW w:w="1980" w:type="dxa"/>
            <w:tcBorders>
              <w:top w:val="single" w:sz="2" w:space="0" w:color="000000"/>
              <w:left w:val="single" w:sz="2" w:space="0" w:color="000000"/>
              <w:bottom w:val="single" w:sz="2" w:space="0" w:color="000000"/>
              <w:right w:val="nil"/>
            </w:tcBorders>
            <w:vAlign w:val="center"/>
          </w:tcPr>
          <w:p w:rsidR="00672195" w:rsidRPr="00AF06FC" w:rsidP="00672195" w14:paraId="2B87BBA4" w14:textId="44ADF9BA">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672195" w:rsidRPr="00D32546" w:rsidP="00672195" w14:paraId="113652D4" w14:textId="2C2CC66B">
            <w:pPr>
              <w:jc w:val="center"/>
              <w:rPr>
                <w:szCs w:val="24"/>
              </w:rPr>
            </w:pPr>
            <w:r w:rsidRPr="00AF06FC">
              <w:rPr>
                <w:szCs w:val="24"/>
              </w:rPr>
              <w:t>$</w:t>
            </w:r>
            <w:r w:rsidR="009146C3">
              <w:rPr>
                <w:szCs w:val="24"/>
              </w:rPr>
              <w:t>125.92</w:t>
            </w:r>
          </w:p>
        </w:tc>
      </w:tr>
      <w:tr w14:paraId="4F61483E" w14:textId="77777777" w:rsidTr="004E50E9">
        <w:tblPrEx>
          <w:tblW w:w="9447" w:type="dxa"/>
          <w:tblLayout w:type="fixed"/>
          <w:tblCellMar>
            <w:left w:w="129" w:type="dxa"/>
            <w:right w:w="129" w:type="dxa"/>
          </w:tblCellMar>
          <w:tblLook w:val="0000"/>
        </w:tblPrEx>
        <w:trPr>
          <w:cantSplit/>
          <w:trHeight w:val="530"/>
        </w:trPr>
        <w:tc>
          <w:tcPr>
            <w:tcW w:w="2195" w:type="dxa"/>
            <w:tcBorders>
              <w:top w:val="single" w:sz="2" w:space="0" w:color="000000"/>
              <w:left w:val="single" w:sz="2" w:space="0" w:color="000000"/>
              <w:bottom w:val="single" w:sz="4" w:space="0" w:color="auto"/>
              <w:right w:val="nil"/>
            </w:tcBorders>
          </w:tcPr>
          <w:p w:rsidR="00672195" w:rsidRPr="00AF06FC" w:rsidP="00672195" w14:paraId="2E7987D0" w14:textId="07A7082A">
            <w:pPr>
              <w:rPr>
                <w:szCs w:val="24"/>
              </w:rPr>
            </w:pPr>
            <w:r w:rsidRPr="00AF06FC">
              <w:rPr>
                <w:szCs w:val="24"/>
              </w:rPr>
              <w:t>General Public-Adults</w:t>
            </w:r>
          </w:p>
        </w:tc>
        <w:tc>
          <w:tcPr>
            <w:tcW w:w="2392" w:type="dxa"/>
            <w:tcBorders>
              <w:top w:val="single" w:sz="2" w:space="0" w:color="000000"/>
              <w:left w:val="single" w:sz="2" w:space="0" w:color="000000"/>
              <w:bottom w:val="single" w:sz="2" w:space="0" w:color="000000"/>
              <w:right w:val="nil"/>
            </w:tcBorders>
          </w:tcPr>
          <w:p w:rsidR="00672195" w:rsidRPr="00AF06FC" w:rsidP="006A1488" w14:paraId="075BFFB2" w14:textId="1FDC1A1C">
            <w:pPr>
              <w:ind w:right="51"/>
              <w:rPr>
                <w:szCs w:val="24"/>
              </w:rPr>
            </w:pPr>
            <w:r>
              <w:rPr>
                <w:szCs w:val="24"/>
              </w:rPr>
              <w:t>Release of Information</w:t>
            </w:r>
            <w:r w:rsidRPr="00AF06FC">
              <w:rPr>
                <w:szCs w:val="24"/>
              </w:rPr>
              <w:t xml:space="preserve"> (Att. 4</w:t>
            </w:r>
            <w:r>
              <w:rPr>
                <w:szCs w:val="24"/>
              </w:rPr>
              <w:t>b</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6F6D0DED" w14:textId="4B91E31B">
            <w:pPr>
              <w:jc w:val="center"/>
              <w:rPr>
                <w:szCs w:val="24"/>
              </w:rPr>
            </w:pPr>
            <w:r>
              <w:rPr>
                <w:szCs w:val="24"/>
              </w:rPr>
              <w:t>2</w:t>
            </w:r>
          </w:p>
        </w:tc>
        <w:tc>
          <w:tcPr>
            <w:tcW w:w="1980" w:type="dxa"/>
            <w:tcBorders>
              <w:top w:val="single" w:sz="2" w:space="0" w:color="000000"/>
              <w:left w:val="single" w:sz="2" w:space="0" w:color="000000"/>
              <w:bottom w:val="single" w:sz="2" w:space="0" w:color="000000"/>
              <w:right w:val="nil"/>
            </w:tcBorders>
            <w:vAlign w:val="center"/>
          </w:tcPr>
          <w:p w:rsidR="00672195" w:rsidRPr="00AF06FC" w:rsidP="00672195" w14:paraId="45BC3B21" w14:textId="6807EB50">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6135288B" w14:textId="1FFDBA98">
            <w:pPr>
              <w:jc w:val="center"/>
              <w:rPr>
                <w:color w:val="000000"/>
                <w:szCs w:val="24"/>
              </w:rPr>
            </w:pPr>
            <w:r w:rsidRPr="00AF06FC">
              <w:rPr>
                <w:szCs w:val="24"/>
              </w:rPr>
              <w:t>$</w:t>
            </w:r>
            <w:r w:rsidR="005D7EAA">
              <w:rPr>
                <w:szCs w:val="24"/>
              </w:rPr>
              <w:t>62.96</w:t>
            </w:r>
          </w:p>
        </w:tc>
      </w:tr>
      <w:tr w14:paraId="13849B90" w14:textId="77777777" w:rsidTr="004E50E9">
        <w:tblPrEx>
          <w:tblW w:w="9447" w:type="dxa"/>
          <w:tblLayout w:type="fixed"/>
          <w:tblCellMar>
            <w:left w:w="129" w:type="dxa"/>
            <w:right w:w="129" w:type="dxa"/>
          </w:tblCellMar>
          <w:tblLook w:val="0000"/>
        </w:tblPrEx>
        <w:trPr>
          <w:cantSplit/>
          <w:trHeight w:val="710"/>
        </w:trPr>
        <w:tc>
          <w:tcPr>
            <w:tcW w:w="2195" w:type="dxa"/>
            <w:tcBorders>
              <w:top w:val="single" w:sz="2" w:space="0" w:color="000000"/>
              <w:left w:val="single" w:sz="2" w:space="0" w:color="000000"/>
              <w:bottom w:val="single" w:sz="4" w:space="0" w:color="auto"/>
              <w:right w:val="nil"/>
            </w:tcBorders>
          </w:tcPr>
          <w:p w:rsidR="00672195" w:rsidRPr="00AF06FC" w:rsidP="00672195" w14:paraId="621D5401" w14:textId="7F76D602">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672195" w:rsidRPr="00AF06FC" w:rsidP="00672195" w14:paraId="1A2C9045" w14:textId="17E85238">
            <w:pPr>
              <w:ind w:left="-39" w:right="51"/>
              <w:rPr>
                <w:szCs w:val="24"/>
              </w:rPr>
            </w:pPr>
            <w:r>
              <w:rPr>
                <w:szCs w:val="24"/>
              </w:rPr>
              <w:t>Study Visit Survey</w:t>
            </w:r>
            <w:r w:rsidRPr="00AF06FC">
              <w:rPr>
                <w:szCs w:val="24"/>
              </w:rPr>
              <w:t xml:space="preserve"> (Att. 4</w:t>
            </w:r>
            <w:r>
              <w:rPr>
                <w:szCs w:val="24"/>
              </w:rPr>
              <w:t>c</w:t>
            </w:r>
            <w:r w:rsidRPr="00AF06FC">
              <w:rPr>
                <w:szCs w:val="24"/>
              </w:rPr>
              <w:t>)</w:t>
            </w:r>
          </w:p>
        </w:tc>
        <w:tc>
          <w:tcPr>
            <w:tcW w:w="990" w:type="dxa"/>
            <w:tcBorders>
              <w:top w:val="single" w:sz="2" w:space="0" w:color="000000"/>
              <w:left w:val="single" w:sz="2" w:space="0" w:color="000000"/>
              <w:bottom w:val="single" w:sz="4" w:space="0" w:color="auto"/>
              <w:right w:val="single" w:sz="2" w:space="0" w:color="000000"/>
            </w:tcBorders>
            <w:vAlign w:val="center"/>
          </w:tcPr>
          <w:p w:rsidR="00672195" w:rsidRPr="00AF06FC" w:rsidP="00672195" w14:paraId="3AA75BBE" w14:textId="558EA962">
            <w:pPr>
              <w:jc w:val="center"/>
              <w:rPr>
                <w:szCs w:val="24"/>
              </w:rPr>
            </w:pPr>
            <w:r>
              <w:rPr>
                <w:szCs w:val="24"/>
              </w:rPr>
              <w:t>6</w:t>
            </w:r>
          </w:p>
        </w:tc>
        <w:tc>
          <w:tcPr>
            <w:tcW w:w="1980" w:type="dxa"/>
            <w:tcBorders>
              <w:top w:val="single" w:sz="2" w:space="0" w:color="000000"/>
              <w:left w:val="single" w:sz="2" w:space="0" w:color="000000"/>
              <w:bottom w:val="single" w:sz="2" w:space="0" w:color="000000"/>
              <w:right w:val="nil"/>
            </w:tcBorders>
            <w:vAlign w:val="center"/>
          </w:tcPr>
          <w:p w:rsidR="00672195" w:rsidRPr="00AF06FC" w:rsidP="00672195" w14:paraId="41775619" w14:textId="042A7CF2">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1A2EE144" w14:textId="18142FA5">
            <w:pPr>
              <w:jc w:val="center"/>
              <w:rPr>
                <w:color w:val="000000"/>
                <w:szCs w:val="24"/>
              </w:rPr>
            </w:pPr>
            <w:r w:rsidRPr="00AF06FC">
              <w:rPr>
                <w:szCs w:val="24"/>
              </w:rPr>
              <w:t>$</w:t>
            </w:r>
            <w:r w:rsidR="00391BBF">
              <w:rPr>
                <w:szCs w:val="24"/>
              </w:rPr>
              <w:t>188.88</w:t>
            </w:r>
          </w:p>
        </w:tc>
      </w:tr>
      <w:tr w14:paraId="1AD4440C"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672195" w:rsidRPr="00AF06FC" w:rsidP="00672195" w14:paraId="61509D15" w14:textId="23A5F157">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672195" w:rsidRPr="00AF06FC" w:rsidP="00672195" w14:paraId="6CA70A30" w14:textId="306EC8AB">
            <w:pPr>
              <w:ind w:left="-39" w:right="51"/>
              <w:rPr>
                <w:szCs w:val="24"/>
              </w:rPr>
            </w:pPr>
            <w:r>
              <w:rPr>
                <w:szCs w:val="24"/>
              </w:rPr>
              <w:t>Acceptability Survey</w:t>
            </w:r>
            <w:r w:rsidRPr="00AF06FC">
              <w:rPr>
                <w:szCs w:val="24"/>
              </w:rPr>
              <w:t xml:space="preserve"> (Att. 4</w:t>
            </w:r>
            <w:r>
              <w:rPr>
                <w:szCs w:val="24"/>
              </w:rPr>
              <w:t>d</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5F3ED24A" w14:textId="5B09EB39">
            <w:pPr>
              <w:jc w:val="center"/>
              <w:rPr>
                <w:szCs w:val="24"/>
              </w:rPr>
            </w:pPr>
            <w:r>
              <w:rPr>
                <w:szCs w:val="24"/>
              </w:rPr>
              <w:t>7</w:t>
            </w:r>
          </w:p>
        </w:tc>
        <w:tc>
          <w:tcPr>
            <w:tcW w:w="1980" w:type="dxa"/>
            <w:tcBorders>
              <w:top w:val="single" w:sz="2" w:space="0" w:color="000000"/>
              <w:left w:val="single" w:sz="2" w:space="0" w:color="000000"/>
              <w:bottom w:val="single" w:sz="2" w:space="0" w:color="000000"/>
              <w:right w:val="nil"/>
            </w:tcBorders>
            <w:vAlign w:val="center"/>
          </w:tcPr>
          <w:p w:rsidR="00672195" w:rsidRPr="00AF06FC" w:rsidP="00672195" w14:paraId="08164EA8" w14:textId="62A73702">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5AD43A7A" w14:textId="110408EA">
            <w:pPr>
              <w:jc w:val="center"/>
              <w:rPr>
                <w:color w:val="000000"/>
                <w:szCs w:val="24"/>
              </w:rPr>
            </w:pPr>
            <w:r w:rsidRPr="00AF06FC">
              <w:rPr>
                <w:szCs w:val="24"/>
              </w:rPr>
              <w:t>$</w:t>
            </w:r>
            <w:r w:rsidR="00D64888">
              <w:rPr>
                <w:szCs w:val="24"/>
              </w:rPr>
              <w:t>220.36</w:t>
            </w:r>
          </w:p>
        </w:tc>
      </w:tr>
      <w:tr w14:paraId="32489CD8"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672195" w:rsidRPr="00AF06FC" w:rsidP="00672195" w14:paraId="4A0B4DA4" w14:textId="6AF8CFA8">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672195" w:rsidRPr="00AF06FC" w:rsidP="00672195" w14:paraId="2EAE770D" w14:textId="0DD1A8BB">
            <w:pPr>
              <w:ind w:left="-39" w:right="51"/>
              <w:rPr>
                <w:szCs w:val="24"/>
              </w:rPr>
            </w:pPr>
            <w:r>
              <w:rPr>
                <w:szCs w:val="24"/>
              </w:rPr>
              <w:t xml:space="preserve">Participant Focus Group and </w:t>
            </w:r>
            <w:r>
              <w:rPr>
                <w:szCs w:val="24"/>
              </w:rPr>
              <w:t>Interview Guide</w:t>
            </w:r>
            <w:r w:rsidRPr="00AF06FC">
              <w:rPr>
                <w:szCs w:val="24"/>
              </w:rPr>
              <w:t xml:space="preserve"> (Att. 4</w:t>
            </w:r>
            <w:r w:rsidR="004113BD">
              <w:rPr>
                <w:szCs w:val="24"/>
              </w:rPr>
              <w:t>e</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761A0BD4" w14:textId="4366283E">
            <w:pPr>
              <w:jc w:val="center"/>
              <w:rPr>
                <w:szCs w:val="24"/>
              </w:rPr>
            </w:pPr>
            <w:r>
              <w:rPr>
                <w:szCs w:val="24"/>
              </w:rPr>
              <w:t>4</w:t>
            </w:r>
          </w:p>
        </w:tc>
        <w:tc>
          <w:tcPr>
            <w:tcW w:w="1980" w:type="dxa"/>
            <w:tcBorders>
              <w:top w:val="single" w:sz="2" w:space="0" w:color="000000"/>
              <w:left w:val="single" w:sz="2" w:space="0" w:color="000000"/>
              <w:bottom w:val="single" w:sz="2" w:space="0" w:color="000000"/>
              <w:right w:val="nil"/>
            </w:tcBorders>
            <w:vAlign w:val="center"/>
          </w:tcPr>
          <w:p w:rsidR="00672195" w:rsidRPr="00AF06FC" w:rsidP="00672195" w14:paraId="6044C99C" w14:textId="1B7C7DEB">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672195" w:rsidRPr="00AF06FC" w:rsidP="00672195" w14:paraId="49F760C7" w14:textId="1968C168">
            <w:pPr>
              <w:jc w:val="center"/>
              <w:rPr>
                <w:color w:val="000000"/>
                <w:szCs w:val="24"/>
              </w:rPr>
            </w:pPr>
            <w:r w:rsidRPr="00AF06FC">
              <w:rPr>
                <w:szCs w:val="24"/>
              </w:rPr>
              <w:t>$</w:t>
            </w:r>
            <w:r w:rsidR="00D64888">
              <w:rPr>
                <w:szCs w:val="24"/>
              </w:rPr>
              <w:t>125.92</w:t>
            </w:r>
          </w:p>
        </w:tc>
      </w:tr>
      <w:tr w14:paraId="42DF5B1E"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D221E" w:rsidRPr="00AF06FC" w:rsidP="004D221E" w14:paraId="020846FD" w14:textId="259E4D58">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D221E" w:rsidP="004D221E" w14:paraId="1297F788" w14:textId="3F0D7929">
            <w:pPr>
              <w:ind w:left="-39" w:right="51"/>
              <w:rPr>
                <w:szCs w:val="24"/>
              </w:rPr>
            </w:pPr>
            <w:r>
              <w:rPr>
                <w:szCs w:val="24"/>
              </w:rPr>
              <w:t>Follow Up Phone Call</w:t>
            </w:r>
            <w:r w:rsidRPr="00AF06FC">
              <w:rPr>
                <w:szCs w:val="24"/>
              </w:rPr>
              <w:t xml:space="preserve"> </w:t>
            </w:r>
            <w:r>
              <w:rPr>
                <w:szCs w:val="24"/>
              </w:rPr>
              <w:t xml:space="preserve">Survey </w:t>
            </w:r>
            <w:r w:rsidRPr="00AF06FC">
              <w:rPr>
                <w:szCs w:val="24"/>
              </w:rPr>
              <w:t>(Att. 4</w:t>
            </w:r>
            <w:r w:rsidR="00C92CCE">
              <w:rPr>
                <w:szCs w:val="24"/>
              </w:rPr>
              <w:t>f</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D221E" w:rsidP="004D221E" w14:paraId="6AFFE8E8" w14:textId="2A404636">
            <w:pPr>
              <w:jc w:val="center"/>
              <w:rPr>
                <w:szCs w:val="24"/>
              </w:rPr>
            </w:pPr>
            <w:r>
              <w:rPr>
                <w:szCs w:val="24"/>
              </w:rPr>
              <w:t>9</w:t>
            </w:r>
          </w:p>
        </w:tc>
        <w:tc>
          <w:tcPr>
            <w:tcW w:w="1980" w:type="dxa"/>
            <w:tcBorders>
              <w:top w:val="single" w:sz="2" w:space="0" w:color="000000"/>
              <w:left w:val="single" w:sz="2" w:space="0" w:color="000000"/>
              <w:bottom w:val="single" w:sz="2" w:space="0" w:color="000000"/>
              <w:right w:val="nil"/>
            </w:tcBorders>
            <w:vAlign w:val="center"/>
          </w:tcPr>
          <w:p w:rsidR="004D221E" w:rsidP="004D221E" w14:paraId="76970E94" w14:textId="7ED25470">
            <w:pPr>
              <w:ind w:right="-39"/>
              <w:jc w:val="center"/>
              <w:rPr>
                <w:szCs w:val="24"/>
              </w:rPr>
            </w:pPr>
            <w:r>
              <w:rPr>
                <w:szCs w:val="24"/>
              </w:rPr>
              <w:t>$31.48</w:t>
            </w:r>
          </w:p>
        </w:tc>
        <w:tc>
          <w:tcPr>
            <w:tcW w:w="18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1C173F2D" w14:textId="65FE502F">
            <w:pPr>
              <w:jc w:val="center"/>
              <w:rPr>
                <w:szCs w:val="24"/>
              </w:rPr>
            </w:pPr>
            <w:r w:rsidRPr="00AF06FC">
              <w:rPr>
                <w:szCs w:val="24"/>
              </w:rPr>
              <w:t>$</w:t>
            </w:r>
            <w:r>
              <w:rPr>
                <w:szCs w:val="24"/>
              </w:rPr>
              <w:t>283.32</w:t>
            </w:r>
          </w:p>
        </w:tc>
      </w:tr>
      <w:tr w14:paraId="746A905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D221E" w:rsidRPr="00AF06FC" w:rsidP="004D221E" w14:paraId="238779C1" w14:textId="5D8BA0E4">
            <w:pPr>
              <w:rPr>
                <w:szCs w:val="24"/>
              </w:rPr>
            </w:pPr>
            <w:r>
              <w:rPr>
                <w:szCs w:val="24"/>
              </w:rPr>
              <w:t>Health Practitioners</w:t>
            </w:r>
          </w:p>
        </w:tc>
        <w:tc>
          <w:tcPr>
            <w:tcW w:w="2392" w:type="dxa"/>
            <w:tcBorders>
              <w:top w:val="single" w:sz="2" w:space="0" w:color="000000"/>
              <w:left w:val="single" w:sz="2" w:space="0" w:color="000000"/>
              <w:bottom w:val="single" w:sz="2" w:space="0" w:color="000000"/>
              <w:right w:val="nil"/>
            </w:tcBorders>
            <w:vAlign w:val="center"/>
          </w:tcPr>
          <w:p w:rsidR="004D221E" w:rsidRPr="00AF06FC" w:rsidP="004D221E" w14:paraId="1F569FD5" w14:textId="6B7568B7">
            <w:pPr>
              <w:ind w:left="-39" w:right="51"/>
              <w:rPr>
                <w:szCs w:val="24"/>
              </w:rPr>
            </w:pPr>
            <w:r>
              <w:rPr>
                <w:szCs w:val="24"/>
              </w:rPr>
              <w:t>Provider Interview Guide</w:t>
            </w:r>
            <w:r w:rsidRPr="00AF06FC">
              <w:rPr>
                <w:szCs w:val="24"/>
              </w:rPr>
              <w:t xml:space="preserve"> (Att. 4</w:t>
            </w:r>
            <w:r>
              <w:rPr>
                <w:szCs w:val="24"/>
              </w:rPr>
              <w:t>g</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593E6321" w14:textId="54F8C12C">
            <w:pPr>
              <w:jc w:val="center"/>
              <w:rPr>
                <w:szCs w:val="24"/>
              </w:rPr>
            </w:pPr>
            <w:r>
              <w:rPr>
                <w:szCs w:val="24"/>
              </w:rPr>
              <w:t>1</w:t>
            </w:r>
            <w:r w:rsidR="003C49B9">
              <w:rPr>
                <w:szCs w:val="24"/>
              </w:rPr>
              <w:t>4</w:t>
            </w:r>
          </w:p>
        </w:tc>
        <w:tc>
          <w:tcPr>
            <w:tcW w:w="1980" w:type="dxa"/>
            <w:tcBorders>
              <w:top w:val="single" w:sz="2" w:space="0" w:color="000000"/>
              <w:left w:val="single" w:sz="2" w:space="0" w:color="000000"/>
              <w:bottom w:val="single" w:sz="2" w:space="0" w:color="000000"/>
              <w:right w:val="nil"/>
            </w:tcBorders>
            <w:vAlign w:val="center"/>
          </w:tcPr>
          <w:p w:rsidR="004D221E" w:rsidRPr="00AF06FC" w:rsidP="004D221E" w14:paraId="496DBE08" w14:textId="27D35590">
            <w:pPr>
              <w:ind w:right="-39"/>
              <w:jc w:val="center"/>
              <w:rPr>
                <w:szCs w:val="24"/>
              </w:rPr>
            </w:pPr>
            <w:r w:rsidRPr="00D41F09">
              <w:rPr>
                <w:szCs w:val="24"/>
              </w:rPr>
              <w:t>$</w:t>
            </w:r>
            <w:r>
              <w:rPr>
                <w:szCs w:val="24"/>
              </w:rPr>
              <w:t>49.07</w:t>
            </w:r>
          </w:p>
        </w:tc>
        <w:tc>
          <w:tcPr>
            <w:tcW w:w="18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122018F8" w14:textId="763318E5">
            <w:pPr>
              <w:jc w:val="center"/>
              <w:rPr>
                <w:color w:val="000000"/>
                <w:szCs w:val="24"/>
              </w:rPr>
            </w:pPr>
            <w:r w:rsidRPr="00AF06FC">
              <w:rPr>
                <w:szCs w:val="24"/>
              </w:rPr>
              <w:t>$</w:t>
            </w:r>
            <w:r w:rsidR="003C49B9">
              <w:rPr>
                <w:szCs w:val="24"/>
              </w:rPr>
              <w:t>686.98</w:t>
            </w:r>
          </w:p>
        </w:tc>
      </w:tr>
      <w:tr w14:paraId="47D7D52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D221E" w:rsidRPr="00AF06FC" w:rsidP="004D221E" w14:paraId="08EFB8B2" w14:textId="7E625DD5">
            <w:pPr>
              <w:rPr>
                <w:szCs w:val="24"/>
              </w:rPr>
            </w:pPr>
            <w:r>
              <w:rPr>
                <w:szCs w:val="24"/>
              </w:rPr>
              <w:t>Health Practitioners – Medical Record Specialists</w:t>
            </w:r>
          </w:p>
        </w:tc>
        <w:tc>
          <w:tcPr>
            <w:tcW w:w="2392" w:type="dxa"/>
            <w:tcBorders>
              <w:top w:val="single" w:sz="2" w:space="0" w:color="000000"/>
              <w:left w:val="single" w:sz="2" w:space="0" w:color="000000"/>
              <w:bottom w:val="single" w:sz="2" w:space="0" w:color="000000"/>
              <w:right w:val="nil"/>
            </w:tcBorders>
            <w:vAlign w:val="center"/>
          </w:tcPr>
          <w:p w:rsidR="004D221E" w:rsidRPr="00AF06FC" w:rsidP="004D221E" w14:paraId="6F8D37C3" w14:textId="2DFABB5E">
            <w:pPr>
              <w:ind w:left="-39" w:right="51"/>
              <w:rPr>
                <w:szCs w:val="24"/>
              </w:rPr>
            </w:pPr>
            <w:r>
              <w:rPr>
                <w:szCs w:val="24"/>
              </w:rPr>
              <w:t>Madison Clinic Data Collection</w:t>
            </w:r>
            <w:r w:rsidRPr="00AF06FC">
              <w:rPr>
                <w:szCs w:val="24"/>
              </w:rPr>
              <w:t xml:space="preserve"> (Att. 4</w:t>
            </w:r>
            <w:r>
              <w:rPr>
                <w:szCs w:val="24"/>
              </w:rPr>
              <w:t>h</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17A12F66" w14:textId="1113CADB">
            <w:pPr>
              <w:jc w:val="center"/>
              <w:rPr>
                <w:szCs w:val="24"/>
              </w:rPr>
            </w:pPr>
            <w:r>
              <w:rPr>
                <w:szCs w:val="24"/>
              </w:rPr>
              <w:t>1</w:t>
            </w:r>
          </w:p>
        </w:tc>
        <w:tc>
          <w:tcPr>
            <w:tcW w:w="1980" w:type="dxa"/>
            <w:tcBorders>
              <w:top w:val="single" w:sz="2" w:space="0" w:color="000000"/>
              <w:left w:val="single" w:sz="2" w:space="0" w:color="000000"/>
              <w:bottom w:val="single" w:sz="2" w:space="0" w:color="000000"/>
              <w:right w:val="nil"/>
            </w:tcBorders>
            <w:vAlign w:val="center"/>
          </w:tcPr>
          <w:p w:rsidR="004D221E" w:rsidRPr="00AF06FC" w:rsidP="004D221E" w14:paraId="1DA423C3" w14:textId="78F3E066">
            <w:pPr>
              <w:ind w:right="-39"/>
              <w:jc w:val="center"/>
              <w:rPr>
                <w:szCs w:val="24"/>
              </w:rPr>
            </w:pPr>
            <w:r w:rsidRPr="00D41F09">
              <w:rPr>
                <w:szCs w:val="24"/>
              </w:rPr>
              <w:t>$2</w:t>
            </w:r>
            <w:r>
              <w:rPr>
                <w:szCs w:val="24"/>
              </w:rPr>
              <w:t>5.81</w:t>
            </w:r>
          </w:p>
        </w:tc>
        <w:tc>
          <w:tcPr>
            <w:tcW w:w="18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3CFCC329" w14:textId="0F917151">
            <w:pPr>
              <w:jc w:val="center"/>
              <w:rPr>
                <w:color w:val="000000"/>
                <w:szCs w:val="24"/>
              </w:rPr>
            </w:pPr>
            <w:r w:rsidRPr="00AF06FC">
              <w:rPr>
                <w:szCs w:val="24"/>
              </w:rPr>
              <w:t>$</w:t>
            </w:r>
            <w:r>
              <w:rPr>
                <w:szCs w:val="24"/>
              </w:rPr>
              <w:t>25.81</w:t>
            </w:r>
          </w:p>
        </w:tc>
      </w:tr>
      <w:tr w14:paraId="7341EDC7"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D221E" w:rsidRPr="00AF06FC" w:rsidP="004D221E" w14:paraId="77AA6AE3" w14:textId="24A7B940">
            <w:pPr>
              <w:rPr>
                <w:szCs w:val="24"/>
              </w:rPr>
            </w:pPr>
            <w:r>
              <w:rPr>
                <w:szCs w:val="24"/>
              </w:rPr>
              <w:t>Health Practitioners – Medical Record Specialists</w:t>
            </w:r>
          </w:p>
        </w:tc>
        <w:tc>
          <w:tcPr>
            <w:tcW w:w="2392" w:type="dxa"/>
            <w:tcBorders>
              <w:top w:val="single" w:sz="2" w:space="0" w:color="000000"/>
              <w:left w:val="single" w:sz="2" w:space="0" w:color="000000"/>
              <w:bottom w:val="single" w:sz="2" w:space="0" w:color="000000"/>
              <w:right w:val="nil"/>
            </w:tcBorders>
            <w:vAlign w:val="center"/>
          </w:tcPr>
          <w:p w:rsidR="004D221E" w:rsidRPr="00AF06FC" w:rsidP="004D221E" w14:paraId="5FD3749C" w14:textId="1ECB97AE">
            <w:pPr>
              <w:ind w:left="-39" w:right="51"/>
              <w:rPr>
                <w:szCs w:val="24"/>
              </w:rPr>
            </w:pPr>
            <w:r>
              <w:rPr>
                <w:szCs w:val="24"/>
              </w:rPr>
              <w:t>Gay City Data Collection (Att. 4i)</w:t>
            </w:r>
          </w:p>
        </w:tc>
        <w:tc>
          <w:tcPr>
            <w:tcW w:w="990" w:type="dxa"/>
            <w:tcBorders>
              <w:top w:val="single" w:sz="2" w:space="0" w:color="000000"/>
              <w:left w:val="single" w:sz="2" w:space="0" w:color="000000"/>
              <w:bottom w:val="single" w:sz="2" w:space="0" w:color="000000"/>
              <w:right w:val="single" w:sz="2" w:space="0" w:color="000000"/>
            </w:tcBorders>
            <w:vAlign w:val="center"/>
          </w:tcPr>
          <w:p w:rsidR="004D221E" w:rsidP="004D221E" w14:paraId="4E2D5F1C" w14:textId="3F59F306">
            <w:pPr>
              <w:jc w:val="center"/>
              <w:rPr>
                <w:szCs w:val="24"/>
              </w:rPr>
            </w:pPr>
            <w:r>
              <w:rPr>
                <w:szCs w:val="24"/>
              </w:rPr>
              <w:t>2</w:t>
            </w:r>
          </w:p>
        </w:tc>
        <w:tc>
          <w:tcPr>
            <w:tcW w:w="1980" w:type="dxa"/>
            <w:tcBorders>
              <w:top w:val="single" w:sz="2" w:space="0" w:color="000000"/>
              <w:left w:val="single" w:sz="2" w:space="0" w:color="000000"/>
              <w:bottom w:val="single" w:sz="2" w:space="0" w:color="000000"/>
              <w:right w:val="nil"/>
            </w:tcBorders>
            <w:vAlign w:val="center"/>
          </w:tcPr>
          <w:p w:rsidR="004D221E" w:rsidRPr="00D41F09" w:rsidP="004D221E" w14:paraId="3DA6983A" w14:textId="7117D6BC">
            <w:pPr>
              <w:ind w:right="-39"/>
              <w:jc w:val="center"/>
              <w:rPr>
                <w:szCs w:val="24"/>
              </w:rPr>
            </w:pPr>
            <w:r>
              <w:rPr>
                <w:szCs w:val="24"/>
              </w:rPr>
              <w:t>$25.81</w:t>
            </w:r>
          </w:p>
        </w:tc>
        <w:tc>
          <w:tcPr>
            <w:tcW w:w="1890" w:type="dxa"/>
            <w:tcBorders>
              <w:top w:val="single" w:sz="2" w:space="0" w:color="000000"/>
              <w:left w:val="single" w:sz="2" w:space="0" w:color="000000"/>
              <w:bottom w:val="single" w:sz="2" w:space="0" w:color="000000"/>
              <w:right w:val="single" w:sz="2" w:space="0" w:color="000000"/>
            </w:tcBorders>
            <w:vAlign w:val="center"/>
          </w:tcPr>
          <w:p w:rsidR="004D221E" w:rsidRPr="00AF06FC" w:rsidP="004D221E" w14:paraId="3B2AC7DB" w14:textId="65A3EC71">
            <w:pPr>
              <w:jc w:val="center"/>
              <w:rPr>
                <w:szCs w:val="24"/>
              </w:rPr>
            </w:pPr>
            <w:r>
              <w:rPr>
                <w:szCs w:val="24"/>
              </w:rPr>
              <w:t>$51.62</w:t>
            </w:r>
          </w:p>
        </w:tc>
      </w:tr>
      <w:tr w14:paraId="1ADA76E3" w14:textId="77777777" w:rsidTr="00AA78EA">
        <w:tblPrEx>
          <w:tblW w:w="9447" w:type="dxa"/>
          <w:tblLayout w:type="fixed"/>
          <w:tblCellMar>
            <w:left w:w="129" w:type="dxa"/>
            <w:right w:w="129" w:type="dxa"/>
          </w:tblCellMar>
          <w:tblLook w:val="0000"/>
        </w:tblPrEx>
        <w:trPr>
          <w:cantSplit/>
          <w:trHeight w:val="228"/>
        </w:trPr>
        <w:tc>
          <w:tcPr>
            <w:tcW w:w="9447" w:type="dxa"/>
            <w:gridSpan w:val="5"/>
            <w:tcBorders>
              <w:top w:val="single" w:sz="2" w:space="0" w:color="000000"/>
              <w:left w:val="single" w:sz="2" w:space="0" w:color="000000"/>
              <w:bottom w:val="single" w:sz="2" w:space="0" w:color="000000"/>
              <w:right w:val="single" w:sz="2" w:space="0" w:color="000000"/>
            </w:tcBorders>
          </w:tcPr>
          <w:p w:rsidR="004D221E" w:rsidRPr="00AF06FC" w:rsidP="004D221E" w14:paraId="5C433F26" w14:textId="45E0110D">
            <w:pPr>
              <w:ind w:right="224"/>
              <w:jc w:val="right"/>
              <w:rPr>
                <w:b/>
                <w:szCs w:val="24"/>
              </w:rPr>
            </w:pPr>
            <w:r w:rsidRPr="00AF06FC">
              <w:rPr>
                <w:b/>
                <w:szCs w:val="24"/>
              </w:rPr>
              <w:t>Total $</w:t>
            </w:r>
            <w:r>
              <w:rPr>
                <w:b/>
                <w:szCs w:val="24"/>
              </w:rPr>
              <w:t>1,</w:t>
            </w:r>
            <w:r w:rsidR="003C49B9">
              <w:rPr>
                <w:b/>
                <w:szCs w:val="24"/>
              </w:rPr>
              <w:t>771.77</w:t>
            </w:r>
          </w:p>
        </w:tc>
      </w:tr>
    </w:tbl>
    <w:p w:rsidR="00AA78EA" w:rsidP="000A4126" w14:paraId="60016228" w14:textId="77777777">
      <w:pPr>
        <w:pStyle w:val="NoSpacing"/>
        <w:tabs>
          <w:tab w:val="left" w:pos="360"/>
        </w:tabs>
        <w:rPr>
          <w:rFonts w:cs="Times New Roman"/>
          <w:b/>
          <w:bCs/>
          <w:szCs w:val="24"/>
        </w:rPr>
      </w:pPr>
    </w:p>
    <w:p w:rsidR="0045573A" w:rsidRPr="00513577" w:rsidP="0045573A" w14:paraId="4AF7A105" w14:textId="7FBE9744">
      <w:pPr>
        <w:pStyle w:val="NoSpacing"/>
        <w:tabs>
          <w:tab w:val="left" w:pos="360"/>
        </w:tabs>
        <w:rPr>
          <w:rFonts w:cs="Times New Roman"/>
          <w:b/>
          <w:bCs/>
        </w:rPr>
      </w:pPr>
      <w:bookmarkStart w:id="45" w:name="_Hlk192000662"/>
      <w:r w:rsidRPr="0045573A">
        <w:rPr>
          <w:rFonts w:cs="Times New Roman"/>
        </w:rPr>
        <w:t xml:space="preserve">A detailed </w:t>
      </w:r>
      <w:r>
        <w:rPr>
          <w:rFonts w:cs="Times New Roman"/>
        </w:rPr>
        <w:t xml:space="preserve">description of the changes proposed in this reinstatement ICR to the estimated annualized burden costs can be found in </w:t>
      </w:r>
      <w:r w:rsidRPr="0045573A">
        <w:rPr>
          <w:rFonts w:cs="Times New Roman"/>
          <w:b/>
          <w:bCs/>
        </w:rPr>
        <w:t>Attachment 1</w:t>
      </w:r>
      <w:r>
        <w:rPr>
          <w:rFonts w:cs="Times New Roman"/>
          <w:b/>
          <w:bCs/>
        </w:rPr>
        <w:t>2</w:t>
      </w:r>
      <w:r>
        <w:rPr>
          <w:rFonts w:cs="Times New Roman"/>
        </w:rPr>
        <w:t xml:space="preserve"> </w:t>
      </w:r>
      <w:r w:rsidRPr="00513577">
        <w:rPr>
          <w:rFonts w:cs="Times New Roman"/>
          <w:b/>
          <w:bCs/>
        </w:rPr>
        <w:t xml:space="preserve">Detail of Changes to Annualized Burden Costs. </w:t>
      </w:r>
    </w:p>
    <w:bookmarkEnd w:id="45"/>
    <w:p w:rsidR="0045573A" w:rsidRPr="00FF7010" w:rsidP="000A4126" w14:paraId="49E21C46" w14:textId="77777777">
      <w:pPr>
        <w:pStyle w:val="NoSpacing"/>
        <w:tabs>
          <w:tab w:val="left" w:pos="360"/>
        </w:tabs>
        <w:rPr>
          <w:rFonts w:cs="Times New Roman"/>
          <w:b/>
          <w:bCs/>
          <w:szCs w:val="24"/>
        </w:rPr>
      </w:pPr>
    </w:p>
    <w:p w:rsidR="00AA78EA" w:rsidRPr="00FF7010" w:rsidP="00BE2055" w14:paraId="2BA9C9B5" w14:textId="12E69521">
      <w:pPr>
        <w:pStyle w:val="Heading1"/>
        <w:numPr>
          <w:ilvl w:val="0"/>
          <w:numId w:val="0"/>
        </w:numPr>
        <w:spacing w:before="0"/>
        <w:rPr>
          <w:rFonts w:cs="Times New Roman"/>
          <w:szCs w:val="24"/>
        </w:rPr>
      </w:pPr>
      <w:bookmarkStart w:id="46" w:name="_13.__"/>
      <w:bookmarkStart w:id="47" w:name="_Toc485202308"/>
      <w:bookmarkStart w:id="48" w:name="OtherBurden13"/>
      <w:bookmarkEnd w:id="46"/>
      <w:r w:rsidRPr="00FF7010">
        <w:rPr>
          <w:rFonts w:cs="Times New Roman"/>
          <w:szCs w:val="24"/>
        </w:rPr>
        <w:t>13.   Estimates of Other Total Annual Cost Burden to Respondents and Record Keepers</w:t>
      </w:r>
      <w:bookmarkEnd w:id="47"/>
    </w:p>
    <w:bookmarkEnd w:id="48"/>
    <w:p w:rsidR="00AA78EA" w:rsidRPr="00FF7010" w:rsidP="00BE2055" w14:paraId="2BABEF4F" w14:textId="77777777">
      <w:pPr>
        <w:rPr>
          <w:szCs w:val="24"/>
        </w:rPr>
      </w:pPr>
    </w:p>
    <w:p w:rsidR="00AA78EA" w:rsidRPr="00FF7010" w:rsidP="00AA78EA" w14:paraId="7E087945" w14:textId="77777777">
      <w:pPr>
        <w:rPr>
          <w:szCs w:val="24"/>
        </w:rPr>
      </w:pPr>
      <w:r w:rsidRPr="00FF7010">
        <w:rPr>
          <w:szCs w:val="24"/>
        </w:rPr>
        <w:t>There are no other costs to respondents for participating in this survey.</w:t>
      </w:r>
    </w:p>
    <w:p w:rsidR="00AA78EA" w:rsidRPr="00FF7010" w:rsidP="00AA78EA" w14:paraId="26214886" w14:textId="77777777">
      <w:pPr>
        <w:rPr>
          <w:szCs w:val="24"/>
        </w:rPr>
      </w:pPr>
    </w:p>
    <w:p w:rsidR="00AA78EA" w:rsidRPr="00FF7010" w:rsidP="00BE2055" w14:paraId="65E80B47" w14:textId="0299F372">
      <w:pPr>
        <w:pStyle w:val="Heading1"/>
        <w:numPr>
          <w:ilvl w:val="0"/>
          <w:numId w:val="0"/>
        </w:numPr>
        <w:spacing w:before="0"/>
        <w:rPr>
          <w:rFonts w:cs="Times New Roman"/>
          <w:szCs w:val="24"/>
        </w:rPr>
      </w:pPr>
      <w:bookmarkStart w:id="49" w:name="_14.__"/>
      <w:bookmarkStart w:id="50" w:name="_Toc485202309"/>
      <w:bookmarkStart w:id="51" w:name="CosttoFed14"/>
      <w:bookmarkEnd w:id="49"/>
      <w:r w:rsidRPr="00FF7010">
        <w:rPr>
          <w:rFonts w:cs="Times New Roman"/>
          <w:szCs w:val="24"/>
        </w:rPr>
        <w:t>14.   Annualized Cost to the Federal Government</w:t>
      </w:r>
      <w:bookmarkEnd w:id="50"/>
    </w:p>
    <w:bookmarkEnd w:id="51"/>
    <w:p w:rsidR="00AA78EA" w:rsidRPr="00FF7010" w:rsidP="00AA78EA" w14:paraId="12059164" w14:textId="77777777">
      <w:pPr>
        <w:rPr>
          <w:szCs w:val="24"/>
        </w:rPr>
      </w:pPr>
    </w:p>
    <w:p w:rsidR="00672195" w:rsidP="00540BBC" w14:paraId="60153232" w14:textId="75935A01">
      <w:pPr>
        <w:autoSpaceDE w:val="0"/>
        <w:autoSpaceDN w:val="0"/>
        <w:adjustRightInd w:val="0"/>
        <w:contextualSpacing/>
        <w:rPr>
          <w:szCs w:val="24"/>
        </w:rPr>
      </w:pPr>
      <w:r w:rsidRPr="00FF7010">
        <w:rPr>
          <w:szCs w:val="24"/>
        </w:rPr>
        <w:t>The annual cost to the government for the data collection is estimated to be $</w:t>
      </w:r>
      <w:r w:rsidR="00C16E59">
        <w:rPr>
          <w:szCs w:val="24"/>
        </w:rPr>
        <w:t>346</w:t>
      </w:r>
      <w:r w:rsidR="008C6C1B">
        <w:rPr>
          <w:szCs w:val="24"/>
        </w:rPr>
        <w:t>,</w:t>
      </w:r>
      <w:r w:rsidR="00C16E59">
        <w:rPr>
          <w:szCs w:val="24"/>
        </w:rPr>
        <w:t>459</w:t>
      </w:r>
      <w:r w:rsidRPr="00FF7010">
        <w:rPr>
          <w:szCs w:val="24"/>
        </w:rPr>
        <w:t xml:space="preserve"> (Exhibit 14.1). </w:t>
      </w:r>
    </w:p>
    <w:p w:rsidR="0045573A" w:rsidRPr="00FF7010" w:rsidP="00540BBC" w14:paraId="27CF0E1F" w14:textId="77777777">
      <w:pPr>
        <w:autoSpaceDE w:val="0"/>
        <w:autoSpaceDN w:val="0"/>
        <w:adjustRightInd w:val="0"/>
        <w:contextualSpacing/>
        <w:rPr>
          <w:szCs w:val="24"/>
        </w:rPr>
      </w:pPr>
    </w:p>
    <w:p w:rsidR="00AA78EA" w:rsidRPr="00FF7010" w:rsidP="00AA78EA" w14:paraId="1F469EDA" w14:textId="77777777">
      <w:pPr>
        <w:rPr>
          <w:b/>
          <w:szCs w:val="24"/>
        </w:rPr>
      </w:pPr>
      <w:bookmarkStart w:id="52" w:name="Exhibit141"/>
      <w:bookmarkEnd w:id="52"/>
      <w:r w:rsidRPr="00FF7010">
        <w:rPr>
          <w:b/>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10"/>
        <w:gridCol w:w="6030"/>
        <w:gridCol w:w="1615"/>
      </w:tblGrid>
      <w:tr w14:paraId="3D42B3A1" w14:textId="77777777" w:rsidTr="00BD71ED">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10" w:type="dxa"/>
          </w:tcPr>
          <w:p w:rsidR="00B87058" w:rsidRPr="00FF7010" w:rsidP="003E3747" w14:paraId="3D2B0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FF7010">
              <w:rPr>
                <w:b/>
                <w:bCs/>
                <w:szCs w:val="24"/>
              </w:rPr>
              <w:t>Expense Type</w:t>
            </w:r>
          </w:p>
        </w:tc>
        <w:tc>
          <w:tcPr>
            <w:tcW w:w="6030" w:type="dxa"/>
          </w:tcPr>
          <w:p w:rsidR="00B87058" w:rsidRPr="00FF7010" w:rsidP="003E3747" w14:paraId="3637C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bCs/>
                <w:szCs w:val="24"/>
              </w:rPr>
              <w:t>Expense Explanation</w:t>
            </w:r>
          </w:p>
        </w:tc>
        <w:tc>
          <w:tcPr>
            <w:tcW w:w="1615" w:type="dxa"/>
          </w:tcPr>
          <w:p w:rsidR="00B87058" w:rsidRPr="00FF7010" w:rsidP="003E3747" w14:paraId="152BB7F4" w14:textId="77777777">
            <w:pPr>
              <w:tabs>
                <w:tab w:val="center" w:pos="4320"/>
                <w:tab w:val="right" w:pos="8640"/>
              </w:tabs>
              <w:spacing w:line="50" w:lineRule="exact"/>
              <w:rPr>
                <w:szCs w:val="24"/>
              </w:rPr>
            </w:pPr>
          </w:p>
          <w:p w:rsidR="00B87058" w:rsidRPr="00FF7010" w:rsidP="003E3747" w14:paraId="493CD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bCs/>
                <w:szCs w:val="24"/>
              </w:rPr>
              <w:t>Annual Costs (dollars)</w:t>
            </w:r>
          </w:p>
        </w:tc>
      </w:tr>
      <w:tr w14:paraId="260179AC" w14:textId="77777777" w:rsidTr="00BD71ED">
        <w:tblPrEx>
          <w:tblW w:w="0" w:type="auto"/>
          <w:tblInd w:w="-5" w:type="dxa"/>
          <w:tblLook w:val="01E0"/>
        </w:tblPrEx>
        <w:tc>
          <w:tcPr>
            <w:tcW w:w="1710" w:type="dxa"/>
            <w:vMerge w:val="restart"/>
          </w:tcPr>
          <w:p w:rsidR="0099456B" w:rsidRPr="00FF7010" w:rsidP="003E3747" w14:paraId="42F1EC6C" w14:textId="4DF18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Direct Costs to the Federal Government</w:t>
            </w:r>
            <w:r w:rsidRPr="00053983" w:rsidR="00053983">
              <w:rPr>
                <w:szCs w:val="24"/>
                <w:vertAlign w:val="superscript"/>
              </w:rPr>
              <w:t>14</w:t>
            </w:r>
          </w:p>
        </w:tc>
        <w:tc>
          <w:tcPr>
            <w:tcW w:w="6030" w:type="dxa"/>
            <w:vAlign w:val="center"/>
          </w:tcPr>
          <w:p w:rsidR="0099456B" w:rsidRPr="00FF7010" w:rsidP="003E3747" w14:paraId="5607C945" w14:textId="39FF7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Project Officer (GS-14</w:t>
            </w:r>
            <w:r w:rsidR="00672195">
              <w:rPr>
                <w:szCs w:val="24"/>
              </w:rPr>
              <w:t>,</w:t>
            </w:r>
            <w:r w:rsidRPr="00FF7010">
              <w:rPr>
                <w:szCs w:val="24"/>
              </w:rPr>
              <w:t xml:space="preserve"> 0.</w:t>
            </w:r>
            <w:r w:rsidR="0000288B">
              <w:rPr>
                <w:szCs w:val="24"/>
              </w:rPr>
              <w:t>3</w:t>
            </w:r>
            <w:r w:rsidRPr="00FF7010">
              <w:rPr>
                <w:szCs w:val="24"/>
              </w:rPr>
              <w:t>0 FTE)</w:t>
            </w:r>
          </w:p>
        </w:tc>
        <w:tc>
          <w:tcPr>
            <w:tcW w:w="1615" w:type="dxa"/>
            <w:vAlign w:val="center"/>
          </w:tcPr>
          <w:p w:rsidR="0099456B" w:rsidRPr="00FF7010" w:rsidP="003E3747" w14:paraId="03C13456" w14:textId="7C064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w:t>
            </w:r>
            <w:r w:rsidR="0000288B">
              <w:rPr>
                <w:szCs w:val="24"/>
              </w:rPr>
              <w:t>3</w:t>
            </w:r>
            <w:r w:rsidR="00BD71ED">
              <w:rPr>
                <w:szCs w:val="24"/>
              </w:rPr>
              <w:t>9</w:t>
            </w:r>
            <w:r w:rsidR="0000288B">
              <w:rPr>
                <w:szCs w:val="24"/>
              </w:rPr>
              <w:t>,</w:t>
            </w:r>
            <w:r w:rsidR="00BD71ED">
              <w:rPr>
                <w:szCs w:val="24"/>
              </w:rPr>
              <w:t>507</w:t>
            </w:r>
          </w:p>
        </w:tc>
      </w:tr>
      <w:tr w14:paraId="561DBFC0" w14:textId="77777777" w:rsidTr="00BD71ED">
        <w:tblPrEx>
          <w:tblW w:w="0" w:type="auto"/>
          <w:tblInd w:w="-5" w:type="dxa"/>
          <w:tblLook w:val="01E0"/>
        </w:tblPrEx>
        <w:tc>
          <w:tcPr>
            <w:tcW w:w="1710" w:type="dxa"/>
            <w:vMerge/>
          </w:tcPr>
          <w:p w:rsidR="0099456B" w:rsidRPr="00FF7010" w:rsidP="003E3747" w14:paraId="21A57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6030" w:type="dxa"/>
            <w:vAlign w:val="center"/>
          </w:tcPr>
          <w:p w:rsidR="0099456B" w:rsidRPr="00FF7010" w:rsidP="003E3747" w14:paraId="6405F4DF" w14:textId="013CD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CDC </w:t>
            </w:r>
            <w:r w:rsidR="00CE032B">
              <w:rPr>
                <w:szCs w:val="24"/>
              </w:rPr>
              <w:t>Data Analyst</w:t>
            </w:r>
            <w:r w:rsidRPr="00FF7010">
              <w:rPr>
                <w:szCs w:val="24"/>
              </w:rPr>
              <w:t xml:space="preserve"> (GS-1</w:t>
            </w:r>
            <w:r w:rsidR="00BD71ED">
              <w:rPr>
                <w:szCs w:val="24"/>
              </w:rPr>
              <w:t>3</w:t>
            </w:r>
            <w:r w:rsidRPr="00FF7010">
              <w:rPr>
                <w:szCs w:val="24"/>
              </w:rPr>
              <w:t>, 0.20 FTE)</w:t>
            </w:r>
          </w:p>
        </w:tc>
        <w:tc>
          <w:tcPr>
            <w:tcW w:w="1615" w:type="dxa"/>
            <w:vAlign w:val="center"/>
          </w:tcPr>
          <w:p w:rsidR="0099456B" w:rsidRPr="00FF7010" w:rsidP="003E3747" w14:paraId="538FFE5B" w14:textId="640F9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$2</w:t>
            </w:r>
            <w:r w:rsidR="0000288B">
              <w:rPr>
                <w:szCs w:val="24"/>
              </w:rPr>
              <w:t>2</w:t>
            </w:r>
            <w:r w:rsidRPr="00FF7010">
              <w:rPr>
                <w:szCs w:val="24"/>
              </w:rPr>
              <w:t>,</w:t>
            </w:r>
            <w:r w:rsidR="00BD71ED">
              <w:rPr>
                <w:szCs w:val="24"/>
              </w:rPr>
              <w:t>28</w:t>
            </w:r>
            <w:r w:rsidR="00B14C06">
              <w:rPr>
                <w:szCs w:val="24"/>
              </w:rPr>
              <w:t>8</w:t>
            </w:r>
          </w:p>
        </w:tc>
      </w:tr>
      <w:tr w14:paraId="3167A0FA" w14:textId="77777777" w:rsidTr="00BD71ED">
        <w:tblPrEx>
          <w:tblW w:w="0" w:type="auto"/>
          <w:tblInd w:w="-5" w:type="dxa"/>
          <w:tblLook w:val="01E0"/>
        </w:tblPrEx>
        <w:tc>
          <w:tcPr>
            <w:tcW w:w="1710" w:type="dxa"/>
            <w:vMerge/>
          </w:tcPr>
          <w:p w:rsidR="0099456B" w:rsidRPr="00FF7010" w:rsidP="003E3747" w14:paraId="4E520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6030" w:type="dxa"/>
            <w:vAlign w:val="center"/>
          </w:tcPr>
          <w:p w:rsidR="0099456B" w:rsidRPr="00FF7010" w:rsidP="003E3747" w14:paraId="3C23020D" w14:textId="4A0FC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Project Coordinator</w:t>
            </w:r>
            <w:r w:rsidR="00CE032B">
              <w:rPr>
                <w:szCs w:val="24"/>
              </w:rPr>
              <w:t xml:space="preserve">/Data Manager </w:t>
            </w:r>
            <w:r w:rsidRPr="00FF7010">
              <w:rPr>
                <w:szCs w:val="24"/>
              </w:rPr>
              <w:t>(GS-12, 0.</w:t>
            </w:r>
            <w:r w:rsidR="00B14C06">
              <w:rPr>
                <w:szCs w:val="24"/>
              </w:rPr>
              <w:t>3</w:t>
            </w:r>
            <w:r w:rsidRPr="00FF7010">
              <w:rPr>
                <w:szCs w:val="24"/>
              </w:rPr>
              <w:t xml:space="preserve">0 FTE) </w:t>
            </w:r>
          </w:p>
        </w:tc>
        <w:tc>
          <w:tcPr>
            <w:tcW w:w="1615" w:type="dxa"/>
            <w:vAlign w:val="center"/>
          </w:tcPr>
          <w:p w:rsidR="0099456B" w:rsidRPr="00FF7010" w:rsidP="003E3747" w14:paraId="26129194" w14:textId="20ECA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w:t>
            </w:r>
            <w:r w:rsidR="00B14C06">
              <w:rPr>
                <w:szCs w:val="24"/>
              </w:rPr>
              <w:t>28,115</w:t>
            </w:r>
          </w:p>
        </w:tc>
      </w:tr>
      <w:tr w14:paraId="4FEF936F" w14:textId="77777777" w:rsidTr="00BD71ED">
        <w:tblPrEx>
          <w:tblW w:w="0" w:type="auto"/>
          <w:tblInd w:w="-5" w:type="dxa"/>
          <w:tblLook w:val="01E0"/>
        </w:tblPrEx>
        <w:tc>
          <w:tcPr>
            <w:tcW w:w="1710" w:type="dxa"/>
            <w:vMerge/>
          </w:tcPr>
          <w:p w:rsidR="0099456B" w:rsidRPr="00FF7010" w:rsidP="003E3747" w14:paraId="6F975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6030" w:type="dxa"/>
            <w:vAlign w:val="center"/>
          </w:tcPr>
          <w:p w:rsidR="0099456B" w:rsidRPr="00FF7010" w:rsidP="003E3747" w14:paraId="1B2C6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b/>
                <w:szCs w:val="24"/>
              </w:rPr>
              <w:t xml:space="preserve">           Subtotal, Direct Costs</w:t>
            </w:r>
          </w:p>
        </w:tc>
        <w:tc>
          <w:tcPr>
            <w:tcW w:w="1615" w:type="dxa"/>
            <w:vAlign w:val="center"/>
          </w:tcPr>
          <w:p w:rsidR="0099456B" w:rsidRPr="00FF7010" w:rsidP="003E3747" w14:paraId="11F3C595" w14:textId="215B8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b/>
                <w:szCs w:val="24"/>
              </w:rPr>
              <w:t>$</w:t>
            </w:r>
            <w:r w:rsidR="0000288B">
              <w:rPr>
                <w:b/>
                <w:szCs w:val="24"/>
              </w:rPr>
              <w:t>8</w:t>
            </w:r>
            <w:r w:rsidR="00B14C06">
              <w:rPr>
                <w:b/>
                <w:szCs w:val="24"/>
              </w:rPr>
              <w:t>9,910</w:t>
            </w:r>
          </w:p>
        </w:tc>
      </w:tr>
      <w:tr w14:paraId="68DC35C7" w14:textId="77777777" w:rsidTr="00BD71ED">
        <w:tblPrEx>
          <w:tblW w:w="0" w:type="auto"/>
          <w:tblInd w:w="-5" w:type="dxa"/>
          <w:tblLook w:val="01E0"/>
        </w:tblPrEx>
        <w:tc>
          <w:tcPr>
            <w:tcW w:w="1710" w:type="dxa"/>
          </w:tcPr>
          <w:p w:rsidR="00B87058" w:rsidRPr="00FF7010" w:rsidP="003E3747" w14:paraId="34F7E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Cooperative Agreement Costs </w:t>
            </w:r>
          </w:p>
        </w:tc>
        <w:tc>
          <w:tcPr>
            <w:tcW w:w="6030" w:type="dxa"/>
            <w:vAlign w:val="center"/>
          </w:tcPr>
          <w:p w:rsidR="00B87058" w:rsidRPr="00FF7010" w:rsidP="003E3747" w14:paraId="2648431F" w14:textId="60CF7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 xml:space="preserve">Annual Cooperative Agreement </w:t>
            </w:r>
            <w:r w:rsidRPr="008C7ED9" w:rsidR="008C7ED9">
              <w:rPr>
                <w:b/>
                <w:szCs w:val="24"/>
              </w:rPr>
              <w:t>#U01PS005196</w:t>
            </w:r>
            <w:r w:rsidR="008C7ED9">
              <w:rPr>
                <w:b/>
                <w:szCs w:val="24"/>
              </w:rPr>
              <w:t xml:space="preserve"> </w:t>
            </w:r>
            <w:r w:rsidRPr="00FF7010">
              <w:rPr>
                <w:b/>
                <w:szCs w:val="24"/>
              </w:rPr>
              <w:t xml:space="preserve">Costs                 </w:t>
            </w:r>
          </w:p>
        </w:tc>
        <w:tc>
          <w:tcPr>
            <w:tcW w:w="1615" w:type="dxa"/>
            <w:vAlign w:val="center"/>
          </w:tcPr>
          <w:p w:rsidR="00B87058" w:rsidRPr="00491ED0" w:rsidP="003E3747" w14:paraId="3D43B0A3" w14:textId="0AF37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491ED0">
              <w:rPr>
                <w:b/>
                <w:szCs w:val="24"/>
              </w:rPr>
              <w:t>$</w:t>
            </w:r>
            <w:r w:rsidR="00EA3C07">
              <w:rPr>
                <w:b/>
                <w:szCs w:val="24"/>
              </w:rPr>
              <w:t>256,549</w:t>
            </w:r>
          </w:p>
        </w:tc>
      </w:tr>
      <w:tr w14:paraId="1E5595DB" w14:textId="77777777" w:rsidTr="00BD71ED">
        <w:tblPrEx>
          <w:tblW w:w="0" w:type="auto"/>
          <w:tblInd w:w="-5" w:type="dxa"/>
          <w:tblLook w:val="01E0"/>
        </w:tblPrEx>
        <w:tc>
          <w:tcPr>
            <w:tcW w:w="1710" w:type="dxa"/>
          </w:tcPr>
          <w:p w:rsidR="00B87058" w:rsidRPr="00FF7010" w:rsidP="003E3747" w14:paraId="63080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6030" w:type="dxa"/>
          </w:tcPr>
          <w:p w:rsidR="00B87058" w:rsidRPr="00FF7010" w:rsidP="003E3747" w14:paraId="46261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ANNUALIZED COST TO THE GOVERNMENT</w:t>
            </w:r>
          </w:p>
        </w:tc>
        <w:tc>
          <w:tcPr>
            <w:tcW w:w="1615" w:type="dxa"/>
          </w:tcPr>
          <w:p w:rsidR="00B87058" w:rsidRPr="00FF7010" w:rsidP="003E3747" w14:paraId="3DF5EB6D" w14:textId="6B98B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szCs w:val="24"/>
              </w:rPr>
              <w:t>$</w:t>
            </w:r>
            <w:r w:rsidR="00B14C06">
              <w:rPr>
                <w:b/>
                <w:szCs w:val="24"/>
              </w:rPr>
              <w:t>346,459</w:t>
            </w:r>
          </w:p>
        </w:tc>
      </w:tr>
    </w:tbl>
    <w:p w:rsidR="00A75BBC" w:rsidP="000A4126" w14:paraId="02CC94DE" w14:textId="77777777">
      <w:pPr>
        <w:pStyle w:val="NoSpacing"/>
        <w:tabs>
          <w:tab w:val="left" w:pos="360"/>
        </w:tabs>
        <w:rPr>
          <w:rFonts w:cs="Times New Roman"/>
          <w:b/>
          <w:bCs/>
          <w:szCs w:val="24"/>
        </w:rPr>
      </w:pPr>
    </w:p>
    <w:p w:rsidR="0045573A" w:rsidRPr="00513577" w:rsidP="0045573A" w14:paraId="24525130" w14:textId="7FB2EB55">
      <w:pPr>
        <w:pStyle w:val="NoSpacing"/>
        <w:tabs>
          <w:tab w:val="left" w:pos="360"/>
        </w:tabs>
        <w:rPr>
          <w:rFonts w:cs="Times New Roman"/>
          <w:b/>
          <w:bCs/>
        </w:rPr>
      </w:pPr>
      <w:r w:rsidRPr="0045573A">
        <w:rPr>
          <w:rFonts w:cs="Times New Roman"/>
        </w:rPr>
        <w:t xml:space="preserve">A detailed </w:t>
      </w:r>
      <w:r>
        <w:rPr>
          <w:rFonts w:cs="Times New Roman"/>
        </w:rPr>
        <w:t xml:space="preserve">description of the changes proposed in this reinstatement ICR to the annualized cost to the government can be found in </w:t>
      </w:r>
      <w:r w:rsidRPr="0045573A">
        <w:rPr>
          <w:rFonts w:cs="Times New Roman"/>
          <w:b/>
          <w:bCs/>
        </w:rPr>
        <w:t>Attachment 1</w:t>
      </w:r>
      <w:r>
        <w:rPr>
          <w:rFonts w:cs="Times New Roman"/>
          <w:b/>
          <w:bCs/>
        </w:rPr>
        <w:t>3</w:t>
      </w:r>
      <w:r>
        <w:rPr>
          <w:rFonts w:cs="Times New Roman"/>
        </w:rPr>
        <w:t xml:space="preserve"> </w:t>
      </w:r>
      <w:r w:rsidRPr="00513577">
        <w:rPr>
          <w:rFonts w:cs="Times New Roman"/>
          <w:b/>
          <w:bCs/>
        </w:rPr>
        <w:t xml:space="preserve">Detail of Changes to Annualized Cost to Government. </w:t>
      </w:r>
    </w:p>
    <w:p w:rsidR="0045573A" w:rsidRPr="00FF7010" w:rsidP="000A4126" w14:paraId="137A9BED" w14:textId="77777777">
      <w:pPr>
        <w:pStyle w:val="NoSpacing"/>
        <w:tabs>
          <w:tab w:val="left" w:pos="360"/>
        </w:tabs>
        <w:rPr>
          <w:rFonts w:cs="Times New Roman"/>
          <w:b/>
          <w:bCs/>
          <w:szCs w:val="24"/>
        </w:rPr>
      </w:pPr>
    </w:p>
    <w:p w:rsidR="00B87058" w:rsidRPr="00FF7010" w:rsidP="00B87058" w14:paraId="751C1183" w14:textId="5957B8D1">
      <w:pPr>
        <w:pStyle w:val="NoSpacing"/>
        <w:tabs>
          <w:tab w:val="left" w:pos="360"/>
        </w:tabs>
        <w:rPr>
          <w:rFonts w:cs="Times New Roman"/>
          <w:b/>
          <w:bCs/>
          <w:szCs w:val="24"/>
        </w:rPr>
      </w:pPr>
      <w:r w:rsidRPr="00FF7010">
        <w:rPr>
          <w:rFonts w:cs="Times New Roman"/>
          <w:b/>
          <w:bCs/>
          <w:szCs w:val="24"/>
        </w:rPr>
        <w:t>15.</w:t>
      </w:r>
      <w:r w:rsidRPr="00FF7010">
        <w:rPr>
          <w:rFonts w:cs="Times New Roman"/>
          <w:b/>
          <w:bCs/>
          <w:szCs w:val="24"/>
        </w:rPr>
        <w:tab/>
        <w:t xml:space="preserve"> </w:t>
      </w:r>
      <w:bookmarkStart w:id="53" w:name="ExplanationChanges15"/>
      <w:r w:rsidRPr="00FF7010">
        <w:rPr>
          <w:rFonts w:cs="Times New Roman"/>
          <w:b/>
          <w:bCs/>
          <w:szCs w:val="24"/>
        </w:rPr>
        <w:t>Explanation for Program Changes or Adjustments</w:t>
      </w:r>
    </w:p>
    <w:bookmarkEnd w:id="53"/>
    <w:p w:rsidR="00B87058" w:rsidRPr="00FF7010" w:rsidP="00B87058" w14:paraId="50D8B40B" w14:textId="77777777">
      <w:pPr>
        <w:pStyle w:val="NoSpacing"/>
        <w:tabs>
          <w:tab w:val="left" w:pos="360"/>
        </w:tabs>
        <w:rPr>
          <w:rFonts w:cs="Times New Roman"/>
          <w:b/>
          <w:bCs/>
          <w:szCs w:val="24"/>
        </w:rPr>
      </w:pPr>
    </w:p>
    <w:p w:rsidR="00B32A6A" w:rsidRPr="00B32A6A" w:rsidP="00D5305C" w14:paraId="02D64F33" w14:textId="3C23400B">
      <w:pPr>
        <w:pStyle w:val="NoSpacing"/>
        <w:tabs>
          <w:tab w:val="left" w:pos="360"/>
        </w:tabs>
        <w:rPr>
          <w:szCs w:val="24"/>
        </w:rPr>
      </w:pPr>
      <w:r w:rsidRPr="00FF7010">
        <w:rPr>
          <w:rFonts w:cs="Times New Roman"/>
          <w:szCs w:val="24"/>
        </w:rPr>
        <w:t xml:space="preserve">This is a </w:t>
      </w:r>
      <w:r w:rsidR="002560EA">
        <w:rPr>
          <w:rFonts w:cs="Times New Roman"/>
          <w:szCs w:val="24"/>
        </w:rPr>
        <w:t xml:space="preserve">request for </w:t>
      </w:r>
      <w:r>
        <w:rPr>
          <w:rFonts w:cs="Times New Roman"/>
          <w:szCs w:val="24"/>
        </w:rPr>
        <w:t>reinstatement</w:t>
      </w:r>
      <w:r w:rsidRPr="00FF7010">
        <w:rPr>
          <w:rFonts w:cs="Times New Roman"/>
          <w:szCs w:val="24"/>
        </w:rPr>
        <w:t xml:space="preserve"> </w:t>
      </w:r>
      <w:r w:rsidR="002560EA">
        <w:rPr>
          <w:rFonts w:cs="Times New Roman"/>
          <w:szCs w:val="24"/>
        </w:rPr>
        <w:t>with changes</w:t>
      </w:r>
      <w:r w:rsidRPr="00FF7010">
        <w:rPr>
          <w:rFonts w:cs="Times New Roman"/>
          <w:szCs w:val="24"/>
        </w:rPr>
        <w:t xml:space="preserve"> </w:t>
      </w:r>
      <w:r w:rsidR="002560EA">
        <w:rPr>
          <w:rFonts w:cs="Times New Roman"/>
          <w:szCs w:val="24"/>
        </w:rPr>
        <w:t xml:space="preserve">for OMB 0920-1357, exp. 12/31/2024. </w:t>
      </w:r>
    </w:p>
    <w:p w:rsidR="00AA78EA" w:rsidRPr="00FF7010" w:rsidP="000A4126" w14:paraId="5A08C17C" w14:textId="155A03B1">
      <w:pPr>
        <w:pStyle w:val="NoSpacing"/>
        <w:tabs>
          <w:tab w:val="left" w:pos="360"/>
        </w:tabs>
        <w:rPr>
          <w:rFonts w:cs="Times New Roman"/>
          <w:b/>
          <w:bCs/>
          <w:szCs w:val="24"/>
        </w:rPr>
      </w:pPr>
    </w:p>
    <w:p w:rsidR="0033183A" w:rsidRPr="004E4DA8" w:rsidP="0033183A" w14:paraId="6BA0AD77" w14:textId="0F20BB3A">
      <w:pPr>
        <w:pStyle w:val="NoSpacing"/>
        <w:tabs>
          <w:tab w:val="left" w:pos="360"/>
        </w:tabs>
        <w:rPr>
          <w:rFonts w:cs="Times New Roman"/>
          <w:b/>
          <w:bCs/>
          <w:szCs w:val="24"/>
        </w:rPr>
      </w:pPr>
      <w:r w:rsidRPr="00FF7010">
        <w:rPr>
          <w:rFonts w:cs="Times New Roman"/>
          <w:b/>
          <w:bCs/>
          <w:szCs w:val="24"/>
        </w:rPr>
        <w:t>16.</w:t>
      </w:r>
      <w:r w:rsidRPr="00FF7010">
        <w:rPr>
          <w:rFonts w:cs="Times New Roman"/>
          <w:b/>
          <w:bCs/>
          <w:szCs w:val="24"/>
        </w:rPr>
        <w:tab/>
        <w:t xml:space="preserve"> </w:t>
      </w:r>
      <w:bookmarkStart w:id="54" w:name="PlansForTabulation16"/>
      <w:r w:rsidRPr="00FF7010">
        <w:rPr>
          <w:rFonts w:cs="Times New Roman"/>
          <w:b/>
          <w:bCs/>
          <w:szCs w:val="24"/>
        </w:rPr>
        <w:t>Plans for Tabulation and Publication and Project Time Schedule</w:t>
      </w:r>
      <w:bookmarkEnd w:id="54"/>
      <w:r w:rsidRPr="00FF7010">
        <w:rPr>
          <w:rFonts w:cs="Times New Roman"/>
          <w:szCs w:val="24"/>
        </w:rPr>
        <w:t xml:space="preserve">  </w:t>
      </w:r>
    </w:p>
    <w:p w:rsidR="00045F86" w:rsidP="000A4126" w14:paraId="2343059D" w14:textId="77777777">
      <w:pPr>
        <w:pStyle w:val="NoSpacing"/>
        <w:tabs>
          <w:tab w:val="left" w:pos="360"/>
        </w:tabs>
        <w:rPr>
          <w:rFonts w:eastAsia="Times New Roman" w:cs="Times New Roman"/>
          <w:szCs w:val="24"/>
        </w:rPr>
      </w:pPr>
    </w:p>
    <w:p w:rsidR="008440BC" w:rsidRPr="00FF7010" w:rsidP="000A4126" w14:paraId="3654C9B1" w14:textId="787FA9F8">
      <w:pPr>
        <w:pStyle w:val="NoSpacing"/>
        <w:tabs>
          <w:tab w:val="left" w:pos="360"/>
        </w:tabs>
        <w:rPr>
          <w:rFonts w:cs="Times New Roman"/>
          <w:szCs w:val="24"/>
        </w:rPr>
      </w:pPr>
      <w:r w:rsidRPr="00FF7010">
        <w:rPr>
          <w:rFonts w:cs="Times New Roman"/>
          <w:szCs w:val="24"/>
        </w:rPr>
        <w:t xml:space="preserve">Data collection will occur over a period of 36 months, beginning </w:t>
      </w:r>
      <w:r w:rsidR="004E4DA8">
        <w:rPr>
          <w:rFonts w:cs="Times New Roman"/>
          <w:szCs w:val="24"/>
        </w:rPr>
        <w:t>immediately</w:t>
      </w:r>
      <w:r w:rsidRPr="00FF7010">
        <w:rPr>
          <w:rFonts w:cs="Times New Roman"/>
          <w:szCs w:val="24"/>
        </w:rPr>
        <w:t xml:space="preserve"> after</w:t>
      </w:r>
      <w:r w:rsidR="004E4DA8">
        <w:rPr>
          <w:rFonts w:cs="Times New Roman"/>
          <w:szCs w:val="24"/>
        </w:rPr>
        <w:t xml:space="preserve"> </w:t>
      </w:r>
      <w:r w:rsidR="002560EA">
        <w:rPr>
          <w:rFonts w:cs="Times New Roman"/>
          <w:szCs w:val="24"/>
        </w:rPr>
        <w:t>r</w:t>
      </w:r>
      <w:r w:rsidR="004E4DA8">
        <w:rPr>
          <w:rFonts w:cs="Times New Roman"/>
          <w:szCs w:val="24"/>
        </w:rPr>
        <w:t>einstatem</w:t>
      </w:r>
      <w:r w:rsidR="007C76F2">
        <w:rPr>
          <w:rFonts w:cs="Times New Roman"/>
          <w:szCs w:val="24"/>
        </w:rPr>
        <w:t>ent</w:t>
      </w:r>
      <w:r w:rsidRPr="00FF7010" w:rsidR="001331FB">
        <w:rPr>
          <w:rFonts w:cs="Times New Roman"/>
          <w:szCs w:val="24"/>
        </w:rPr>
        <w:t xml:space="preserve">. </w:t>
      </w:r>
      <w:r w:rsidR="009D1B16">
        <w:rPr>
          <w:rFonts w:cs="Times New Roman"/>
          <w:szCs w:val="24"/>
        </w:rPr>
        <w:t>If</w:t>
      </w:r>
      <w:r w:rsidRPr="00FF7010" w:rsidR="001331FB">
        <w:rPr>
          <w:rFonts w:cs="Times New Roman"/>
          <w:szCs w:val="24"/>
        </w:rPr>
        <w:t xml:space="preserve"> OMB </w:t>
      </w:r>
      <w:r w:rsidR="009D1B16">
        <w:rPr>
          <w:rFonts w:cs="Times New Roman"/>
          <w:szCs w:val="24"/>
        </w:rPr>
        <w:t>approves</w:t>
      </w:r>
      <w:r w:rsidRPr="00FF7010" w:rsidR="001331FB">
        <w:rPr>
          <w:rFonts w:cs="Times New Roman"/>
          <w:szCs w:val="24"/>
        </w:rPr>
        <w:t xml:space="preserve"> </w:t>
      </w:r>
      <w:r w:rsidR="002560EA">
        <w:rPr>
          <w:rFonts w:cs="Times New Roman"/>
          <w:szCs w:val="24"/>
        </w:rPr>
        <w:t>this request for</w:t>
      </w:r>
      <w:r w:rsidRPr="00FF7010" w:rsidR="00C17F86">
        <w:rPr>
          <w:rFonts w:cs="Times New Roman"/>
          <w:szCs w:val="24"/>
        </w:rPr>
        <w:t xml:space="preserve"> </w:t>
      </w:r>
      <w:r w:rsidR="002560EA">
        <w:rPr>
          <w:rFonts w:cs="Times New Roman"/>
          <w:szCs w:val="24"/>
        </w:rPr>
        <w:t>r</w:t>
      </w:r>
      <w:r w:rsidR="007C76F2">
        <w:rPr>
          <w:rFonts w:cs="Times New Roman"/>
          <w:szCs w:val="24"/>
        </w:rPr>
        <w:t>einstatement by June 2025</w:t>
      </w:r>
      <w:r w:rsidRPr="00FF7010" w:rsidR="00C76751">
        <w:rPr>
          <w:rFonts w:cs="Times New Roman"/>
          <w:szCs w:val="24"/>
        </w:rPr>
        <w:t xml:space="preserve">, </w:t>
      </w:r>
      <w:r w:rsidRPr="00FF7010">
        <w:rPr>
          <w:rFonts w:cs="Times New Roman"/>
          <w:szCs w:val="24"/>
        </w:rPr>
        <w:t xml:space="preserve">analysis </w:t>
      </w:r>
      <w:r w:rsidRPr="00FF7010" w:rsidR="00EF48F6">
        <w:rPr>
          <w:rFonts w:cs="Times New Roman"/>
          <w:szCs w:val="24"/>
        </w:rPr>
        <w:t xml:space="preserve">and report writing </w:t>
      </w:r>
      <w:r w:rsidRPr="00FF7010">
        <w:rPr>
          <w:rFonts w:cs="Times New Roman"/>
          <w:szCs w:val="24"/>
        </w:rPr>
        <w:t xml:space="preserve">will be carried out </w:t>
      </w:r>
      <w:r w:rsidRPr="00FF7010" w:rsidR="00B12F4A">
        <w:rPr>
          <w:rFonts w:cs="Times New Roman"/>
          <w:szCs w:val="24"/>
        </w:rPr>
        <w:t xml:space="preserve">from </w:t>
      </w:r>
      <w:r w:rsidR="00E162C7">
        <w:rPr>
          <w:rFonts w:cs="Times New Roman"/>
          <w:szCs w:val="24"/>
        </w:rPr>
        <w:t>March</w:t>
      </w:r>
      <w:r w:rsidRPr="00FF7010" w:rsidR="00EF48F6">
        <w:rPr>
          <w:rFonts w:cs="Times New Roman"/>
          <w:szCs w:val="24"/>
        </w:rPr>
        <w:t xml:space="preserve"> </w:t>
      </w:r>
      <w:r w:rsidRPr="00FF7010" w:rsidR="0036383D">
        <w:rPr>
          <w:rFonts w:cs="Times New Roman"/>
          <w:szCs w:val="24"/>
        </w:rPr>
        <w:t xml:space="preserve">to </w:t>
      </w:r>
      <w:r w:rsidR="001A3093">
        <w:rPr>
          <w:rFonts w:cs="Times New Roman"/>
          <w:szCs w:val="24"/>
        </w:rPr>
        <w:t>September</w:t>
      </w:r>
      <w:r w:rsidRPr="00FF7010" w:rsidR="00EF48F6">
        <w:rPr>
          <w:rFonts w:cs="Times New Roman"/>
          <w:szCs w:val="24"/>
        </w:rPr>
        <w:t xml:space="preserve"> 202</w:t>
      </w:r>
      <w:r w:rsidR="00E162C7">
        <w:rPr>
          <w:rFonts w:cs="Times New Roman"/>
          <w:szCs w:val="24"/>
        </w:rPr>
        <w:t>8</w:t>
      </w:r>
      <w:r w:rsidRPr="00FF7010" w:rsidR="007A5685">
        <w:rPr>
          <w:rFonts w:cs="Times New Roman"/>
          <w:szCs w:val="24"/>
        </w:rPr>
        <w:t xml:space="preserve">. We are requesting approval for </w:t>
      </w:r>
      <w:r w:rsidR="00206865">
        <w:rPr>
          <w:rFonts w:cs="Times New Roman"/>
          <w:szCs w:val="24"/>
        </w:rPr>
        <w:t>three (3)</w:t>
      </w:r>
      <w:r w:rsidRPr="00FF7010" w:rsidR="007A5685">
        <w:rPr>
          <w:rFonts w:cs="Times New Roman"/>
          <w:szCs w:val="24"/>
        </w:rPr>
        <w:t xml:space="preserve"> years of data collection. The project timeline is detailed in exhibit 16.1. </w:t>
      </w:r>
    </w:p>
    <w:p w:rsidR="000B04E4" w:rsidRPr="00FF7010" w:rsidP="000A4126" w14:paraId="37DE9219" w14:textId="77777777">
      <w:pPr>
        <w:pStyle w:val="NoSpacing"/>
        <w:tabs>
          <w:tab w:val="left" w:pos="360"/>
        </w:tabs>
        <w:rPr>
          <w:rFonts w:cs="Times New Roman"/>
          <w:b/>
          <w:bCs/>
          <w:szCs w:val="24"/>
        </w:rPr>
      </w:pPr>
    </w:p>
    <w:p w:rsidR="00B87058" w:rsidRPr="00FF7010" w:rsidP="000A4126" w14:paraId="2504B49A" w14:textId="11D70FD2">
      <w:pPr>
        <w:pStyle w:val="NoSpacing"/>
        <w:tabs>
          <w:tab w:val="left" w:pos="360"/>
        </w:tabs>
        <w:rPr>
          <w:rFonts w:cs="Times New Roman"/>
          <w:b/>
          <w:bCs/>
          <w:szCs w:val="24"/>
        </w:rPr>
      </w:pPr>
      <w:bookmarkStart w:id="55" w:name="Exhibit161"/>
      <w:r w:rsidRPr="00FF7010">
        <w:rPr>
          <w:rFonts w:cs="Times New Roman"/>
          <w:b/>
          <w:bCs/>
          <w:szCs w:val="24"/>
        </w:rPr>
        <w:t>Exhibit 16.1: Project Time Schedule</w:t>
      </w:r>
    </w:p>
    <w:tbl>
      <w:tblPr>
        <w:tblW w:w="0" w:type="auto"/>
        <w:jc w:val="center"/>
        <w:tblCellMar>
          <w:left w:w="0" w:type="dxa"/>
          <w:right w:w="0" w:type="dxa"/>
        </w:tblCellMar>
        <w:tblLook w:val="04A0"/>
      </w:tblPr>
      <w:tblGrid>
        <w:gridCol w:w="3480"/>
        <w:gridCol w:w="3660"/>
      </w:tblGrid>
      <w:tr w14:paraId="488D1D68" w14:textId="77777777" w:rsidTr="003E3747">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55"/>
          <w:p w:rsidR="00B87058" w:rsidRPr="00FF7010" w:rsidP="0040535B" w14:paraId="1FB1626F" w14:textId="77777777">
            <w:pPr>
              <w:rPr>
                <w:szCs w:val="24"/>
              </w:rPr>
            </w:pPr>
            <w:r w:rsidRPr="00FF7010">
              <w:rPr>
                <w:szCs w:val="24"/>
              </w:rPr>
              <w:t> </w:t>
            </w:r>
          </w:p>
          <w:p w:rsidR="00B87058" w:rsidRPr="00FF7010" w:rsidP="0040535B" w14:paraId="7319EDED" w14:textId="77777777">
            <w:pPr>
              <w:rPr>
                <w:szCs w:val="24"/>
              </w:rPr>
            </w:pPr>
            <w:r w:rsidRPr="00FF7010">
              <w:rPr>
                <w:b/>
                <w:bCs/>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7058" w:rsidRPr="00FF7010" w:rsidP="0040535B" w14:paraId="44C98061" w14:textId="77777777">
            <w:pPr>
              <w:jc w:val="center"/>
              <w:rPr>
                <w:szCs w:val="24"/>
              </w:rPr>
            </w:pPr>
            <w:r w:rsidRPr="00FF7010">
              <w:rPr>
                <w:szCs w:val="24"/>
              </w:rPr>
              <w:t> </w:t>
            </w:r>
          </w:p>
          <w:p w:rsidR="00B87058" w:rsidRPr="00FF7010" w:rsidP="0040535B" w14:paraId="014ED6A5" w14:textId="77777777">
            <w:pPr>
              <w:rPr>
                <w:szCs w:val="24"/>
              </w:rPr>
            </w:pPr>
            <w:r w:rsidRPr="00FF7010">
              <w:rPr>
                <w:b/>
                <w:bCs/>
                <w:szCs w:val="24"/>
              </w:rPr>
              <w:t>Time Schedule</w:t>
            </w:r>
          </w:p>
        </w:tc>
      </w:tr>
      <w:tr w14:paraId="514D105A" w14:textId="77777777" w:rsidTr="0051357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A820C2" w:rsidP="003E3747" w14:paraId="57AA8D2E" w14:textId="00C7F930">
            <w:pPr>
              <w:spacing w:before="100" w:beforeAutospacing="1" w:after="100" w:afterAutospacing="1"/>
              <w:rPr>
                <w:szCs w:val="24"/>
              </w:rPr>
            </w:pPr>
            <w:r>
              <w:rPr>
                <w:szCs w:val="24"/>
              </w:rPr>
              <w:t>OMB Approval</w:t>
            </w:r>
            <w:r w:rsidR="00BE520E">
              <w:rPr>
                <w:szCs w:val="24"/>
              </w:rPr>
              <w:t xml:space="preserve"> (New ICR)</w:t>
            </w:r>
          </w:p>
        </w:tc>
        <w:tc>
          <w:tcPr>
            <w:tcW w:w="3660" w:type="dxa"/>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A820C2" w:rsidP="003E3747" w14:paraId="44F6F620" w14:textId="61C015AF">
            <w:pPr>
              <w:spacing w:before="100" w:beforeAutospacing="1" w:after="100" w:afterAutospacing="1"/>
              <w:rPr>
                <w:szCs w:val="24"/>
              </w:rPr>
            </w:pPr>
            <w:r>
              <w:rPr>
                <w:szCs w:val="24"/>
              </w:rPr>
              <w:t>December 3, 2021</w:t>
            </w:r>
          </w:p>
        </w:tc>
      </w:tr>
      <w:tr w14:paraId="39CC88A4" w14:textId="77777777" w:rsidTr="0051357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7C76F2" w:rsidRPr="00FF7010" w:rsidP="003E3747" w14:paraId="5299621E" w14:textId="15D35759">
            <w:pPr>
              <w:spacing w:before="100" w:beforeAutospacing="1" w:after="100" w:afterAutospacing="1"/>
              <w:rPr>
                <w:szCs w:val="24"/>
              </w:rPr>
            </w:pPr>
            <w:r>
              <w:rPr>
                <w:szCs w:val="24"/>
              </w:rPr>
              <w:t>Data Collection</w:t>
            </w:r>
          </w:p>
        </w:tc>
        <w:tc>
          <w:tcPr>
            <w:tcW w:w="3660" w:type="dxa"/>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7C76F2" w:rsidRPr="00FF7010" w:rsidP="003E3747" w14:paraId="6155F608" w14:textId="313A5107">
            <w:pPr>
              <w:spacing w:before="100" w:beforeAutospacing="1" w:after="100" w:afterAutospacing="1"/>
              <w:rPr>
                <w:szCs w:val="24"/>
              </w:rPr>
            </w:pPr>
            <w:r>
              <w:rPr>
                <w:szCs w:val="24"/>
              </w:rPr>
              <w:t>December 2021 - 2024</w:t>
            </w:r>
          </w:p>
        </w:tc>
      </w:tr>
      <w:tr w14:paraId="4769B4E1" w14:textId="77777777" w:rsidTr="0051357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7C76F2" w:rsidRPr="00FF7010" w:rsidP="003E3747" w14:paraId="13974DDB" w14:textId="75276CDF">
            <w:pPr>
              <w:spacing w:before="100" w:beforeAutospacing="1" w:after="100" w:afterAutospacing="1"/>
              <w:rPr>
                <w:szCs w:val="24"/>
              </w:rPr>
            </w:pPr>
            <w:r>
              <w:rPr>
                <w:szCs w:val="24"/>
              </w:rPr>
              <w:t xml:space="preserve">ICR </w:t>
            </w:r>
            <w:r>
              <w:rPr>
                <w:szCs w:val="24"/>
              </w:rPr>
              <w:t>Expiration</w:t>
            </w:r>
          </w:p>
        </w:tc>
        <w:tc>
          <w:tcPr>
            <w:tcW w:w="3660" w:type="dxa"/>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7C76F2" w:rsidRPr="00FF7010" w:rsidP="003E3747" w14:paraId="2E928E4C" w14:textId="2C9758FA">
            <w:pPr>
              <w:spacing w:before="100" w:beforeAutospacing="1" w:after="100" w:afterAutospacing="1"/>
              <w:rPr>
                <w:szCs w:val="24"/>
              </w:rPr>
            </w:pPr>
            <w:r>
              <w:rPr>
                <w:szCs w:val="24"/>
              </w:rPr>
              <w:t xml:space="preserve">December </w:t>
            </w:r>
            <w:r w:rsidR="00A820C2">
              <w:rPr>
                <w:szCs w:val="24"/>
              </w:rPr>
              <w:t xml:space="preserve">31, </w:t>
            </w:r>
            <w:r>
              <w:rPr>
                <w:szCs w:val="24"/>
              </w:rPr>
              <w:t>2024</w:t>
            </w:r>
          </w:p>
        </w:tc>
      </w:tr>
      <w:tr w14:paraId="14B1B887" w14:textId="77777777" w:rsidTr="00A820C2">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20C2" w:rsidP="00A820C2" w14:paraId="1D9EBCB4" w14:textId="57C07705">
            <w:pPr>
              <w:spacing w:before="100" w:beforeAutospacing="1" w:after="100" w:afterAutospacing="1"/>
              <w:rPr>
                <w:szCs w:val="24"/>
              </w:rPr>
            </w:pPr>
            <w:r>
              <w:rPr>
                <w:szCs w:val="24"/>
              </w:rPr>
              <w:t>Reinstatement submitted</w:t>
            </w:r>
          </w:p>
        </w:tc>
        <w:tc>
          <w:tcPr>
            <w:tcW w:w="3660" w:type="dxa"/>
            <w:tcBorders>
              <w:top w:val="nil"/>
              <w:left w:val="single" w:sz="8" w:space="0" w:color="auto"/>
              <w:bottom w:val="single" w:sz="8" w:space="0" w:color="auto"/>
              <w:right w:val="single" w:sz="8" w:space="0" w:color="auto"/>
            </w:tcBorders>
            <w:vAlign w:val="center"/>
          </w:tcPr>
          <w:p w:rsidR="00A820C2" w:rsidP="00A820C2" w14:paraId="4191E2AC" w14:textId="14E6FD01">
            <w:pPr>
              <w:spacing w:before="100" w:beforeAutospacing="1" w:after="100" w:afterAutospacing="1"/>
              <w:rPr>
                <w:szCs w:val="24"/>
              </w:rPr>
            </w:pPr>
            <w:r>
              <w:rPr>
                <w:szCs w:val="24"/>
              </w:rPr>
              <w:t xml:space="preserve">  </w:t>
            </w:r>
            <w:r w:rsidR="00757430">
              <w:rPr>
                <w:szCs w:val="24"/>
              </w:rPr>
              <w:t>September</w:t>
            </w:r>
            <w:r>
              <w:rPr>
                <w:szCs w:val="24"/>
              </w:rPr>
              <w:t xml:space="preserve"> 2025</w:t>
            </w:r>
          </w:p>
        </w:tc>
      </w:tr>
      <w:tr w14:paraId="4C773D38"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BF478B2" w14:textId="77777777">
            <w:pPr>
              <w:spacing w:before="100" w:beforeAutospacing="1" w:after="100" w:afterAutospacing="1"/>
              <w:rPr>
                <w:szCs w:val="24"/>
              </w:rPr>
            </w:pPr>
            <w:r w:rsidRPr="00FF7010">
              <w:rPr>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0CC714D7" w14:textId="77777777">
            <w:pPr>
              <w:spacing w:before="100" w:beforeAutospacing="1" w:after="100" w:afterAutospacing="1"/>
              <w:rPr>
                <w:szCs w:val="24"/>
              </w:rPr>
            </w:pPr>
            <w:r w:rsidRPr="00FF7010">
              <w:rPr>
                <w:szCs w:val="24"/>
              </w:rPr>
              <w:t>1 month after OMB Approval</w:t>
            </w:r>
          </w:p>
        </w:tc>
      </w:tr>
      <w:tr w14:paraId="7DBD9669"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5746144" w14:textId="77777777">
            <w:pPr>
              <w:spacing w:before="100" w:beforeAutospacing="1" w:after="100" w:afterAutospacing="1"/>
              <w:rPr>
                <w:szCs w:val="24"/>
              </w:rPr>
            </w:pPr>
            <w:r w:rsidRPr="00FF7010">
              <w:rPr>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2CC431F7" w14:textId="1EB5B414">
            <w:pPr>
              <w:spacing w:before="100" w:beforeAutospacing="1" w:after="100" w:afterAutospacing="1"/>
              <w:rPr>
                <w:szCs w:val="24"/>
              </w:rPr>
            </w:pPr>
            <w:r>
              <w:rPr>
                <w:szCs w:val="24"/>
              </w:rPr>
              <w:t>1</w:t>
            </w:r>
            <w:r w:rsidRPr="00FF7010">
              <w:rPr>
                <w:szCs w:val="24"/>
              </w:rPr>
              <w:t>-</w:t>
            </w:r>
            <w:r w:rsidRPr="00FF7010" w:rsidR="00883D2E">
              <w:rPr>
                <w:szCs w:val="24"/>
              </w:rPr>
              <w:t>36</w:t>
            </w:r>
            <w:r w:rsidRPr="00FF7010">
              <w:rPr>
                <w:szCs w:val="24"/>
              </w:rPr>
              <w:t xml:space="preserve"> months after OMB Approval</w:t>
            </w:r>
          </w:p>
        </w:tc>
      </w:tr>
      <w:tr w14:paraId="6F4C39DA"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6D40377F" w14:textId="77777777">
            <w:pPr>
              <w:spacing w:before="100" w:beforeAutospacing="1" w:after="100" w:afterAutospacing="1"/>
              <w:rPr>
                <w:szCs w:val="24"/>
              </w:rPr>
            </w:pPr>
            <w:r w:rsidRPr="00FF7010">
              <w:rPr>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539DFEFE" w14:textId="6485D4EE">
            <w:pPr>
              <w:spacing w:before="100" w:beforeAutospacing="1" w:after="100" w:afterAutospacing="1"/>
              <w:rPr>
                <w:szCs w:val="24"/>
              </w:rPr>
            </w:pPr>
            <w:r w:rsidRPr="00FF7010">
              <w:rPr>
                <w:szCs w:val="24"/>
              </w:rPr>
              <w:t>33-39</w:t>
            </w:r>
            <w:r w:rsidRPr="00FF7010">
              <w:rPr>
                <w:szCs w:val="24"/>
              </w:rPr>
              <w:t xml:space="preserve"> months after OMB Approval</w:t>
            </w:r>
          </w:p>
        </w:tc>
      </w:tr>
      <w:tr w14:paraId="38E88E87"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5A544965" w14:textId="77777777">
            <w:pPr>
              <w:spacing w:before="100" w:beforeAutospacing="1" w:after="100" w:afterAutospacing="1"/>
              <w:rPr>
                <w:szCs w:val="24"/>
              </w:rPr>
            </w:pPr>
            <w:r w:rsidRPr="00FF7010">
              <w:rPr>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6E90826D" w14:textId="530C641C">
            <w:pPr>
              <w:spacing w:before="100" w:beforeAutospacing="1" w:after="100" w:afterAutospacing="1"/>
              <w:rPr>
                <w:szCs w:val="24"/>
              </w:rPr>
            </w:pPr>
            <w:r w:rsidRPr="00FF7010">
              <w:rPr>
                <w:szCs w:val="24"/>
              </w:rPr>
              <w:t>39</w:t>
            </w:r>
            <w:r w:rsidRPr="00FF7010">
              <w:rPr>
                <w:szCs w:val="24"/>
              </w:rPr>
              <w:t xml:space="preserve"> months after OMB Approval </w:t>
            </w:r>
          </w:p>
        </w:tc>
      </w:tr>
    </w:tbl>
    <w:p w:rsidR="00C21B5A" w:rsidRPr="00FF7010" w:rsidP="000A4126" w14:paraId="346D9636" w14:textId="3B6DD411">
      <w:pPr>
        <w:pStyle w:val="NoSpacing"/>
        <w:tabs>
          <w:tab w:val="left" w:pos="360"/>
        </w:tabs>
        <w:rPr>
          <w:rFonts w:cs="Times New Roman"/>
          <w:b/>
          <w:bCs/>
          <w:szCs w:val="24"/>
        </w:rPr>
      </w:pPr>
    </w:p>
    <w:p w:rsidR="00B87058" w:rsidRPr="00FF7010" w:rsidP="00B87058" w14:paraId="1F64B448" w14:textId="77777777">
      <w:pPr>
        <w:pStyle w:val="NoSpacing"/>
        <w:tabs>
          <w:tab w:val="left" w:pos="360"/>
        </w:tabs>
        <w:rPr>
          <w:rFonts w:cs="Times New Roman"/>
          <w:b/>
          <w:bCs/>
          <w:szCs w:val="24"/>
        </w:rPr>
      </w:pPr>
      <w:r w:rsidRPr="00FF7010">
        <w:rPr>
          <w:rFonts w:cs="Times New Roman"/>
          <w:b/>
          <w:bCs/>
          <w:szCs w:val="24"/>
        </w:rPr>
        <w:t>17.</w:t>
      </w:r>
      <w:r w:rsidRPr="00FF7010">
        <w:rPr>
          <w:rFonts w:cs="Times New Roman"/>
          <w:b/>
          <w:bCs/>
          <w:szCs w:val="24"/>
        </w:rPr>
        <w:tab/>
      </w:r>
      <w:bookmarkStart w:id="56" w:name="OMBExpiration17"/>
      <w:r w:rsidRPr="00FF7010">
        <w:rPr>
          <w:rFonts w:cs="Times New Roman"/>
          <w:b/>
          <w:bCs/>
          <w:szCs w:val="24"/>
        </w:rPr>
        <w:t>Reason(s) Display of OMB Expiration Date is Inappropriate</w:t>
      </w:r>
      <w:bookmarkEnd w:id="56"/>
    </w:p>
    <w:p w:rsidR="00B87058" w:rsidRPr="00FF7010" w:rsidP="00B87058" w14:paraId="7564E407" w14:textId="77777777">
      <w:pPr>
        <w:pStyle w:val="NoSpacing"/>
        <w:tabs>
          <w:tab w:val="left" w:pos="360"/>
        </w:tabs>
        <w:rPr>
          <w:rFonts w:cs="Times New Roman"/>
          <w:b/>
          <w:bCs/>
          <w:szCs w:val="24"/>
        </w:rPr>
      </w:pPr>
    </w:p>
    <w:p w:rsidR="00B87058" w:rsidRPr="00FF7010" w:rsidP="00B87058" w14:paraId="3A8CD163" w14:textId="32F0CD78">
      <w:pPr>
        <w:pStyle w:val="NoSpacing"/>
        <w:tabs>
          <w:tab w:val="left" w:pos="360"/>
        </w:tabs>
        <w:rPr>
          <w:rFonts w:cs="Times New Roman"/>
          <w:szCs w:val="24"/>
        </w:rPr>
      </w:pPr>
      <w:r w:rsidRPr="00FF7010">
        <w:rPr>
          <w:rFonts w:cs="Times New Roman"/>
          <w:szCs w:val="24"/>
        </w:rPr>
        <w:t xml:space="preserve">We do not seek approval to eliminate the expiration date. </w:t>
      </w:r>
    </w:p>
    <w:p w:rsidR="00B87058" w:rsidRPr="00FF7010" w:rsidP="00B87058" w14:paraId="5B0744B1" w14:textId="77777777">
      <w:pPr>
        <w:pStyle w:val="NoSpacing"/>
        <w:tabs>
          <w:tab w:val="left" w:pos="360"/>
        </w:tabs>
        <w:rPr>
          <w:rFonts w:cs="Times New Roman"/>
          <w:b/>
          <w:bCs/>
          <w:szCs w:val="24"/>
        </w:rPr>
      </w:pPr>
    </w:p>
    <w:p w:rsidR="00B87058" w:rsidRPr="00FF7010" w:rsidP="00B87058" w14:paraId="47498BB8" w14:textId="77777777">
      <w:pPr>
        <w:pStyle w:val="NoSpacing"/>
        <w:tabs>
          <w:tab w:val="left" w:pos="360"/>
        </w:tabs>
        <w:rPr>
          <w:rFonts w:cs="Times New Roman"/>
          <w:b/>
          <w:bCs/>
          <w:szCs w:val="24"/>
        </w:rPr>
      </w:pPr>
      <w:r w:rsidRPr="00FF7010">
        <w:rPr>
          <w:rFonts w:cs="Times New Roman"/>
          <w:b/>
          <w:bCs/>
          <w:szCs w:val="24"/>
        </w:rPr>
        <w:t>18.</w:t>
      </w:r>
      <w:r w:rsidRPr="00FF7010">
        <w:rPr>
          <w:rFonts w:cs="Times New Roman"/>
          <w:b/>
          <w:bCs/>
          <w:szCs w:val="24"/>
        </w:rPr>
        <w:tab/>
      </w:r>
      <w:bookmarkStart w:id="57" w:name="Exceptions18"/>
      <w:r w:rsidRPr="00FF7010">
        <w:rPr>
          <w:rFonts w:cs="Times New Roman"/>
          <w:b/>
          <w:bCs/>
          <w:szCs w:val="24"/>
        </w:rPr>
        <w:t>Exceptions to Certification for Paperwork Reduction Act Submissions</w:t>
      </w:r>
      <w:bookmarkEnd w:id="57"/>
    </w:p>
    <w:p w:rsidR="00B87058" w:rsidRPr="00FF7010" w:rsidP="00B87058" w14:paraId="6B81F9FE" w14:textId="77777777">
      <w:pPr>
        <w:pStyle w:val="NoSpacing"/>
        <w:tabs>
          <w:tab w:val="left" w:pos="360"/>
        </w:tabs>
        <w:rPr>
          <w:rFonts w:cs="Times New Roman"/>
          <w:b/>
          <w:bCs/>
          <w:szCs w:val="24"/>
        </w:rPr>
      </w:pPr>
    </w:p>
    <w:p w:rsidR="005B5646" w:rsidRPr="00BE520E" w:rsidP="00B87058" w14:paraId="50E371A5" w14:textId="467606E3">
      <w:pPr>
        <w:pStyle w:val="NoSpacing"/>
        <w:tabs>
          <w:tab w:val="left" w:pos="360"/>
        </w:tabs>
        <w:rPr>
          <w:rFonts w:cs="Times New Roman"/>
          <w:szCs w:val="24"/>
        </w:rPr>
      </w:pPr>
      <w:r w:rsidRPr="00FF7010">
        <w:rPr>
          <w:rFonts w:cs="Times New Roman"/>
          <w:szCs w:val="24"/>
        </w:rPr>
        <w:t>There are no exemptions to the certification.</w:t>
      </w:r>
      <w:bookmarkStart w:id="58" w:name="References"/>
    </w:p>
    <w:p w:rsidR="00B32A6A" w:rsidP="00B87058" w14:paraId="7F5643FB" w14:textId="77777777">
      <w:pPr>
        <w:pStyle w:val="NoSpacing"/>
        <w:tabs>
          <w:tab w:val="left" w:pos="360"/>
        </w:tabs>
        <w:rPr>
          <w:rFonts w:cs="Times New Roman"/>
          <w:b/>
          <w:bCs/>
          <w:szCs w:val="24"/>
          <w:u w:val="single"/>
        </w:rPr>
      </w:pPr>
    </w:p>
    <w:p w:rsidR="00B32A6A" w:rsidP="00B87058" w14:paraId="27126AE2" w14:textId="77777777">
      <w:pPr>
        <w:pStyle w:val="NoSpacing"/>
        <w:tabs>
          <w:tab w:val="left" w:pos="360"/>
        </w:tabs>
        <w:rPr>
          <w:rFonts w:cs="Times New Roman"/>
          <w:b/>
          <w:bCs/>
          <w:szCs w:val="24"/>
          <w:u w:val="single"/>
        </w:rPr>
      </w:pPr>
    </w:p>
    <w:p w:rsidR="00F9406C" w:rsidP="00B87058" w14:paraId="6B482A0B" w14:textId="2B7AF4E9">
      <w:pPr>
        <w:pStyle w:val="NoSpacing"/>
        <w:tabs>
          <w:tab w:val="left" w:pos="360"/>
        </w:tabs>
        <w:rPr>
          <w:rFonts w:cs="Times New Roman"/>
          <w:b/>
          <w:bCs/>
          <w:szCs w:val="24"/>
          <w:u w:val="single"/>
        </w:rPr>
      </w:pPr>
      <w:r>
        <w:rPr>
          <w:rFonts w:cs="Times New Roman"/>
          <w:b/>
          <w:bCs/>
          <w:szCs w:val="24"/>
          <w:u w:val="single"/>
        </w:rPr>
        <w:t>References:</w:t>
      </w:r>
    </w:p>
    <w:p w:rsidR="00C312AC" w:rsidP="00C312AC" w14:paraId="1BDD8C74" w14:textId="39C3E645">
      <w:pPr>
        <w:pStyle w:val="NoSpacing"/>
        <w:numPr>
          <w:ilvl w:val="0"/>
          <w:numId w:val="11"/>
        </w:numPr>
        <w:tabs>
          <w:tab w:val="left" w:pos="360"/>
        </w:tabs>
        <w:ind w:left="0" w:firstLine="0"/>
        <w:rPr>
          <w:szCs w:val="24"/>
        </w:rPr>
      </w:pPr>
      <w:r w:rsidRPr="00C312AC">
        <w:rPr>
          <w:szCs w:val="24"/>
        </w:rPr>
        <w:t xml:space="preserve">Centers for Disease Control and Prevention. HIV Surveillance Report: Diagnoses of HIV Infection in the United States and Dependent Areas, 2022. Volume 35. Available from: </w:t>
      </w:r>
      <w:hyperlink r:id="rId12" w:history="1">
        <w:r w:rsidRPr="00C312AC">
          <w:rPr>
            <w:rStyle w:val="Hyperlink"/>
            <w:szCs w:val="24"/>
          </w:rPr>
          <w:t>https://stacks.cdc.gov/view/cdc/156509</w:t>
        </w:r>
      </w:hyperlink>
      <w:r w:rsidRPr="00C312AC">
        <w:rPr>
          <w:szCs w:val="24"/>
        </w:rPr>
        <w:t>.</w:t>
      </w:r>
    </w:p>
    <w:p w:rsidR="00C312AC" w:rsidP="00C312AC" w14:paraId="11811C30" w14:textId="5B4AFD81">
      <w:pPr>
        <w:pStyle w:val="NoSpacing"/>
        <w:numPr>
          <w:ilvl w:val="0"/>
          <w:numId w:val="11"/>
        </w:numPr>
        <w:tabs>
          <w:tab w:val="left" w:pos="360"/>
        </w:tabs>
        <w:ind w:left="0" w:firstLine="0"/>
        <w:rPr>
          <w:szCs w:val="24"/>
        </w:rPr>
      </w:pPr>
      <w:r w:rsidRPr="00C312AC">
        <w:rPr>
          <w:szCs w:val="24"/>
        </w:rPr>
        <w:t xml:space="preserve">Centers for Disease Control and Prevention. US Public Health Service: Pre-exposure prophylaxis for the prevention of HIV infection in the United States—2021 Update: a clinical practice guideline 2021. Available from: </w:t>
      </w:r>
      <w:hyperlink r:id="rId13" w:history="1">
        <w:r w:rsidRPr="00C312AC">
          <w:rPr>
            <w:rStyle w:val="Hyperlink"/>
            <w:szCs w:val="24"/>
          </w:rPr>
          <w:t>https://www.cdc.gov/hiv/pdf/risk/prep/cdc-hiv-prep-guidelines-2021.pdf</w:t>
        </w:r>
      </w:hyperlink>
      <w:r w:rsidRPr="00C312AC">
        <w:rPr>
          <w:szCs w:val="24"/>
        </w:rPr>
        <w:t>.</w:t>
      </w:r>
    </w:p>
    <w:p w:rsidR="00C312AC" w:rsidRPr="00C312AC" w:rsidP="00C312AC" w14:paraId="627B4B41" w14:textId="77777777">
      <w:pPr>
        <w:pStyle w:val="NoSpacing"/>
        <w:numPr>
          <w:ilvl w:val="0"/>
          <w:numId w:val="11"/>
        </w:numPr>
        <w:tabs>
          <w:tab w:val="left" w:pos="360"/>
        </w:tabs>
        <w:ind w:left="0" w:firstLine="0"/>
        <w:rPr>
          <w:szCs w:val="24"/>
        </w:rPr>
      </w:pPr>
      <w:r w:rsidRPr="00C312AC">
        <w:rPr>
          <w:szCs w:val="24"/>
        </w:rPr>
        <w:t xml:space="preserve">   Skarbinski J, Rosenberg E, Paz-Bailey G, Hall HI, Rose CE, Viall AH, et al. Human immunodeficiency virus transmission at each step of the care continuum in the United States. JAMA Internal Medicine. 2015;175(4):588-96.</w:t>
      </w:r>
    </w:p>
    <w:p w:rsidR="00C312AC" w:rsidP="00C312AC" w14:paraId="2398F098" w14:textId="2F02DE9F">
      <w:pPr>
        <w:pStyle w:val="NoSpacing"/>
        <w:numPr>
          <w:ilvl w:val="0"/>
          <w:numId w:val="11"/>
        </w:numPr>
        <w:tabs>
          <w:tab w:val="left" w:pos="360"/>
        </w:tabs>
        <w:ind w:left="0" w:firstLine="0"/>
        <w:rPr>
          <w:szCs w:val="24"/>
        </w:rPr>
      </w:pPr>
      <w:r w:rsidRPr="00C312AC">
        <w:rPr>
          <w:szCs w:val="24"/>
        </w:rPr>
        <w:t xml:space="preserve">   Gopalappa C, Farnham PG, Chen YH, Sansom SL. Progression and Transmission of HIV/AIDS (PATH 2.0). Med Decis Making. 2017;37(2):224-33.</w:t>
      </w:r>
    </w:p>
    <w:p w:rsidR="004C1BB8" w:rsidP="00B746FA" w14:paraId="5F99F4BC" w14:textId="64B66EB9">
      <w:pPr>
        <w:pStyle w:val="NoSpacing"/>
        <w:numPr>
          <w:ilvl w:val="0"/>
          <w:numId w:val="11"/>
        </w:numPr>
        <w:tabs>
          <w:tab w:val="left" w:pos="360"/>
        </w:tabs>
        <w:ind w:left="0" w:firstLine="0"/>
        <w:rPr>
          <w:szCs w:val="24"/>
        </w:rPr>
      </w:pPr>
      <w:r>
        <w:rPr>
          <w:szCs w:val="24"/>
        </w:rPr>
        <w:t xml:space="preserve">    </w:t>
      </w:r>
      <w:r>
        <w:rPr>
          <w:szCs w:val="24"/>
        </w:rPr>
        <w:t>FDA Approves First Nucleic Acid Test for HIV and HCV. Infection Control &amp; Hospital Epidemiology. 2015; December 2001;22(12):788-789.</w:t>
      </w:r>
    </w:p>
    <w:p w:rsidR="00B746FA" w:rsidP="00B746FA" w14:paraId="502F0468" w14:textId="77777777">
      <w:pPr>
        <w:numPr>
          <w:ilvl w:val="0"/>
          <w:numId w:val="11"/>
        </w:numPr>
        <w:ind w:left="0" w:firstLine="0"/>
        <w:rPr>
          <w:sz w:val="22"/>
        </w:rPr>
      </w:pPr>
      <w:r>
        <w:t xml:space="preserve">Atkins DL, Violette L, Neimann L, Tanner M, Hoover K, et al. (2022) Provider perspectives on the use of motivational interviewing and problem-solving counseling paired with the point-of-care nucleic acid test for HIV care. PLOS ONE 17(6): e0270302. </w:t>
      </w:r>
      <w:hyperlink r:id="rId14" w:history="1">
        <w:r>
          <w:rPr>
            <w:rStyle w:val="Hyperlink"/>
          </w:rPr>
          <w:t>https://doi.org/10.1371/journal.pone.0270302</w:t>
        </w:r>
      </w:hyperlink>
      <w:r>
        <w:t> </w:t>
      </w:r>
    </w:p>
    <w:p w:rsidR="00EA51A6" w:rsidRPr="00D44207" w:rsidP="00D44207" w14:paraId="4AF982B9" w14:textId="13BC4B3A">
      <w:pPr>
        <w:numPr>
          <w:ilvl w:val="0"/>
          <w:numId w:val="11"/>
        </w:numPr>
        <w:ind w:left="0" w:firstLine="0"/>
        <w:rPr>
          <w:sz w:val="22"/>
        </w:rPr>
      </w:pPr>
      <w:r>
        <w:t xml:space="preserve">Lisa A. Niemann MSW/MPH, Lauren R. Violette MPH, Andy Cornelius-Hudson BA, Dana L. Atkins MPH, Jehan Z. Budak M, Shireesha Dhanireddy MD, Anjuli D. Wagner PhD MPH, Joanne D. Stekler MD MPH (2022, March 29 – April 1) </w:t>
      </w:r>
      <w:r>
        <w:rPr>
          <w:i/>
          <w:iCs/>
        </w:rPr>
        <w:t xml:space="preserve">patient flow assessed in preparation for point-of-care HIV nucleic acid testing (POC NAT) implementation at a large HIV clinic in Seattle, Washington </w:t>
      </w:r>
      <w:r>
        <w:t>[Poster Abstract]</w:t>
      </w:r>
      <w:r>
        <w:rPr>
          <w:i/>
          <w:iCs/>
        </w:rPr>
        <w:t xml:space="preserve">. </w:t>
      </w:r>
      <w:r>
        <w:t>Advancing HIV STI and Viral Hepatitis Testing Conferences. </w:t>
      </w:r>
    </w:p>
    <w:p w:rsidR="00C312AC" w:rsidP="00C312AC" w14:paraId="76116639" w14:textId="77777777">
      <w:pPr>
        <w:pStyle w:val="paragraph"/>
        <w:numPr>
          <w:ilvl w:val="0"/>
          <w:numId w:val="11"/>
        </w:numPr>
        <w:shd w:val="clear" w:color="auto" w:fill="FFFFFF"/>
        <w:spacing w:before="0" w:beforeAutospacing="0" w:after="0" w:afterAutospacing="0"/>
        <w:ind w:left="0" w:firstLine="0"/>
        <w:textAlignment w:val="baseline"/>
      </w:pPr>
      <w:r w:rsidRPr="0013387C">
        <w:t xml:space="preserve">HIV.gov. National HIV/AIDS Strategy (2022-2025). Available at: </w:t>
      </w:r>
      <w:hyperlink r:id="rId15" w:history="1">
        <w:r w:rsidRPr="00614E2B">
          <w:rPr>
            <w:rStyle w:val="Hyperlink"/>
          </w:rPr>
          <w:t>http://www.hiv.gov/federal-response/national-hiv-aids-strategy/national-hiv-aids-strategy-2022-2025</w:t>
        </w:r>
      </w:hyperlink>
      <w:r>
        <w:t xml:space="preserve">. Published </w:t>
      </w:r>
      <w:r w:rsidRPr="00926825">
        <w:t>August 29, 2022</w:t>
      </w:r>
      <w:r>
        <w:t xml:space="preserve">. </w:t>
      </w:r>
      <w:r w:rsidRPr="0013387C">
        <w:t xml:space="preserve">Accessed: </w:t>
      </w:r>
      <w:r>
        <w:t>December 29</w:t>
      </w:r>
      <w:r w:rsidRPr="0013387C">
        <w:t>, 2022.</w:t>
      </w:r>
    </w:p>
    <w:p w:rsidR="00C312AC" w:rsidP="00C312AC" w14:paraId="148B849B" w14:textId="77777777">
      <w:pPr>
        <w:pStyle w:val="paragraph"/>
        <w:numPr>
          <w:ilvl w:val="0"/>
          <w:numId w:val="11"/>
        </w:numPr>
        <w:shd w:val="clear" w:color="auto" w:fill="FFFFFF"/>
        <w:spacing w:before="0" w:beforeAutospacing="0" w:after="0" w:afterAutospacing="0"/>
        <w:ind w:left="0" w:firstLine="0"/>
        <w:textAlignment w:val="baseline"/>
      </w:pPr>
      <w:r w:rsidRPr="00627099">
        <w:t xml:space="preserve">HIV.gov. What is ‘Ending the HIV Epidemic: A Plan for America’? Available at: </w:t>
      </w:r>
      <w:hyperlink r:id="rId16" w:history="1">
        <w:r w:rsidRPr="00612248">
          <w:rPr>
            <w:color w:val="0563C1"/>
            <w:u w:val="single"/>
          </w:rPr>
          <w:t>https://www.hiv.gov/federal-response/ending-the-hiv-epidemic/overview</w:t>
        </w:r>
      </w:hyperlink>
      <w:r w:rsidRPr="00627099">
        <w:t>. Updated July 01, 2022. Accessed: December 5, 202</w:t>
      </w:r>
      <w:r>
        <w:t>2</w:t>
      </w:r>
      <w:r w:rsidRPr="00627099">
        <w:t>.</w:t>
      </w:r>
    </w:p>
    <w:p w:rsidR="00432CF0" w:rsidP="00C312AC" w14:paraId="5C0DC4C1" w14:textId="62BA4201">
      <w:pPr>
        <w:pStyle w:val="paragraph"/>
        <w:numPr>
          <w:ilvl w:val="0"/>
          <w:numId w:val="11"/>
        </w:numPr>
        <w:shd w:val="clear" w:color="auto" w:fill="FFFFFF"/>
        <w:spacing w:before="0" w:beforeAutospacing="0" w:after="0" w:afterAutospacing="0"/>
        <w:ind w:left="0" w:firstLine="0"/>
        <w:textAlignment w:val="baseline"/>
      </w:pPr>
      <w:r>
        <w:t xml:space="preserve">Grants.gov. </w:t>
      </w:r>
      <w:r w:rsidR="00276746">
        <w:t>RFA</w:t>
      </w:r>
      <w:r w:rsidR="00185207">
        <w:t>-PS-19-001</w:t>
      </w:r>
      <w:r w:rsidR="00481C94">
        <w:t xml:space="preserve"> </w:t>
      </w:r>
      <w:r w:rsidRPr="00826329">
        <w:t>The GAIN (Greater Access and Impact with NAT) Study: Improving HIV Diagnosis, Linkage to Care, and Prevention Services with HIV Point-of-Care Nucleic Acid Tests (NATs)</w:t>
      </w:r>
      <w:r>
        <w:t xml:space="preserve">. Available at: </w:t>
      </w:r>
      <w:hyperlink r:id="rId17" w:history="1">
        <w:r w:rsidRPr="00BB26F9" w:rsidR="000B3B38">
          <w:rPr>
            <w:rStyle w:val="Hyperlink"/>
          </w:rPr>
          <w:t>https://www.grants.gov/search-results-detail/308535</w:t>
        </w:r>
      </w:hyperlink>
      <w:r w:rsidR="000B3B38">
        <w:t xml:space="preserve">. Accessed December 16, 2024. </w:t>
      </w:r>
    </w:p>
    <w:p w:rsidR="004D186D" w:rsidP="00C312AC" w14:paraId="6BE52CDC" w14:textId="17156D2E">
      <w:pPr>
        <w:pStyle w:val="paragraph"/>
        <w:numPr>
          <w:ilvl w:val="0"/>
          <w:numId w:val="11"/>
        </w:numPr>
        <w:shd w:val="clear" w:color="auto" w:fill="FFFFFF"/>
        <w:spacing w:before="0" w:beforeAutospacing="0" w:after="0" w:afterAutospacing="0"/>
        <w:ind w:left="0" w:firstLine="0"/>
        <w:textAlignment w:val="baseline"/>
      </w:pPr>
      <w:r>
        <w:t xml:space="preserve">Kennet J, Groerer KR, Bowman, et al. Evaluating and improving methods used in the National Sruvey on Drug Use and Health. Substance Abuse and Mental Health Services Administration, Rockville, MD. 2005. </w:t>
      </w:r>
      <w:hyperlink r:id="rId18" w:anchor="v=onepage&amp;q&amp;f=false" w:history="1">
        <w:r w:rsidRPr="00C02C28" w:rsidR="00C02C28">
          <w:rPr>
            <w:rStyle w:val="Hyperlink"/>
          </w:rPr>
          <w:t>https://books.google.com/books?hl=en&amp;lr=&amp;id=phs7YtaK3zcC&amp;oi=fnd&amp;pg=PA1&amp;ots=DZ9MWKBJQp&amp;sig=BVjJ7wXEJYSGPvt5Vb1es3GQ_as#v=onepage&amp;q&amp;f=false</w:t>
        </w:r>
      </w:hyperlink>
    </w:p>
    <w:p w:rsidR="00C02C28" w:rsidP="00C312AC" w14:paraId="69215BB9" w14:textId="08BA3637">
      <w:pPr>
        <w:pStyle w:val="paragraph"/>
        <w:numPr>
          <w:ilvl w:val="0"/>
          <w:numId w:val="11"/>
        </w:numPr>
        <w:shd w:val="clear" w:color="auto" w:fill="FFFFFF"/>
        <w:spacing w:before="0" w:beforeAutospacing="0" w:after="0" w:afterAutospacing="0"/>
        <w:ind w:left="0" w:firstLine="0"/>
        <w:textAlignment w:val="baseline"/>
      </w:pPr>
      <w:r>
        <w:t>Turnbull AE, O’Connor CL, Lau B, Halpern SD, Needham DM. Allowing physicians to choose the value of compensation for participation in a web-based survey: a randomized controlled trail. 2005. J Med Internet Res 17,7:1-10.</w:t>
      </w:r>
    </w:p>
    <w:p w:rsidR="006F73BA" w:rsidP="00C312AC" w14:paraId="3899B06B" w14:textId="271159BD">
      <w:pPr>
        <w:pStyle w:val="paragraph"/>
        <w:numPr>
          <w:ilvl w:val="0"/>
          <w:numId w:val="11"/>
        </w:numPr>
        <w:shd w:val="clear" w:color="auto" w:fill="FFFFFF"/>
        <w:spacing w:before="0" w:beforeAutospacing="0" w:after="0" w:afterAutospacing="0"/>
        <w:ind w:left="0" w:firstLine="0"/>
        <w:textAlignment w:val="baseline"/>
      </w:pPr>
      <w:r>
        <w:t xml:space="preserve">Office of Information and </w:t>
      </w:r>
      <w:r w:rsidRPr="008E5769">
        <w:t>Regulatory Affairs O</w:t>
      </w:r>
      <w:r>
        <w:t xml:space="preserve">ffice of Management and Budget. Questions and </w:t>
      </w:r>
      <w:r w:rsidRPr="008E5769">
        <w:t>Answers When Designing Surveys for Information Collections. Washington, DC</w:t>
      </w:r>
      <w:r>
        <w:t xml:space="preserve">. </w:t>
      </w:r>
      <w:r w:rsidRPr="008E5769">
        <w:t>Jan 2006 (Last Modified Oct 2016).</w:t>
      </w:r>
      <w:r>
        <w:t xml:space="preserve"> Available at:</w:t>
      </w:r>
      <w:r w:rsidR="008C7ED9">
        <w:t xml:space="preserve"> </w:t>
      </w:r>
      <w:hyperlink r:id="rId19" w:history="1">
        <w:r w:rsidRPr="00D46FD0" w:rsidR="008C7ED9">
          <w:rPr>
            <w:rStyle w:val="Hyperlink"/>
          </w:rPr>
          <w:t>https://obamawhitehouse.archives.gov/sites/default/files/omb/inforeg/pmc_survey_guidance_2006.pdf</w:t>
        </w:r>
      </w:hyperlink>
      <w:r w:rsidR="008C7ED9">
        <w:t xml:space="preserve">. </w:t>
      </w:r>
      <w:r w:rsidRPr="00E32C7E" w:rsidR="008C7ED9">
        <w:t>Accessed January 14</w:t>
      </w:r>
      <w:r w:rsidR="008C7ED9">
        <w:t>, 2023</w:t>
      </w:r>
    </w:p>
    <w:p w:rsidR="00053983" w:rsidP="008C7ED9" w14:paraId="35A8F735" w14:textId="650E3A1C">
      <w:pPr>
        <w:pStyle w:val="paragraph"/>
        <w:numPr>
          <w:ilvl w:val="0"/>
          <w:numId w:val="11"/>
        </w:numPr>
        <w:shd w:val="clear" w:color="auto" w:fill="FFFFFF"/>
        <w:spacing w:before="0" w:beforeAutospacing="0" w:after="0" w:afterAutospacing="0"/>
        <w:ind w:left="0" w:firstLine="0"/>
        <w:textAlignment w:val="baseline"/>
      </w:pPr>
      <w:r>
        <w:t xml:space="preserve">U.S. Office of Personnel Management. 2025 General Schedule (GS) Pay Tables. </w:t>
      </w:r>
      <w:hyperlink r:id="rId20" w:history="1">
        <w:r w:rsidRPr="00F84170" w:rsidR="008C7ED9">
          <w:rPr>
            <w:rStyle w:val="Hyperlink"/>
          </w:rPr>
          <w:t>https://www.opm.gov/policy-data-oversight/pay-leave/salaries-wages/2025/general-schedule/</w:t>
        </w:r>
      </w:hyperlink>
    </w:p>
    <w:bookmarkEnd w:id="58"/>
    <w:p w:rsidR="003A5C4E" w:rsidRPr="00BE520E" w:rsidP="00BE520E" w14:paraId="36752B73" w14:textId="1FEE608A">
      <w:pPr>
        <w:pStyle w:val="paragraph"/>
        <w:shd w:val="clear" w:color="auto" w:fill="FFFFFF"/>
        <w:spacing w:before="0" w:beforeAutospacing="0" w:after="0" w:afterAutospacing="0"/>
        <w:textAlignment w:val="baseline"/>
      </w:pPr>
    </w:p>
    <w:sectPr w:rsidSect="00B52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37F85E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350112"/>
      <w:docPartObj>
        <w:docPartGallery w:val="Page Numbers (Bottom of Page)"/>
        <w:docPartUnique/>
      </w:docPartObj>
    </w:sdtPr>
    <w:sdtEndPr>
      <w:rPr>
        <w:noProof/>
      </w:rPr>
    </w:sdtEndPr>
    <w:sdtContent>
      <w:p w:rsidR="00851E5E" w14:paraId="5B888317" w14:textId="3A145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45494" w14:paraId="6601C5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413D91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18D9AE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6DBB2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2A958E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616CD"/>
    <w:multiLevelType w:val="hybridMultilevel"/>
    <w:tmpl w:val="F962BB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D605D3"/>
    <w:multiLevelType w:val="hybridMultilevel"/>
    <w:tmpl w:val="00FE8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880DA8"/>
    <w:multiLevelType w:val="hybridMultilevel"/>
    <w:tmpl w:val="48E02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546667"/>
    <w:multiLevelType w:val="hybridMultilevel"/>
    <w:tmpl w:val="00F8836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25F9"/>
    <w:multiLevelType w:val="hybridMultilevel"/>
    <w:tmpl w:val="D162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8519E5"/>
    <w:multiLevelType w:val="hybridMultilevel"/>
    <w:tmpl w:val="69D80BD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DB03C5"/>
    <w:multiLevelType w:val="hybridMultilevel"/>
    <w:tmpl w:val="AF68D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A301B6"/>
    <w:multiLevelType w:val="hybridMultilevel"/>
    <w:tmpl w:val="A29E1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55448F"/>
    <w:multiLevelType w:val="hybridMultilevel"/>
    <w:tmpl w:val="DB107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D760A3"/>
    <w:multiLevelType w:val="hybridMultilevel"/>
    <w:tmpl w:val="0C2A0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541CEA"/>
    <w:multiLevelType w:val="hybridMultilevel"/>
    <w:tmpl w:val="F6301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4B1390"/>
    <w:multiLevelType w:val="hybridMultilevel"/>
    <w:tmpl w:val="C3760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7A1CAE"/>
    <w:multiLevelType w:val="hybridMultilevel"/>
    <w:tmpl w:val="12524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893748"/>
    <w:multiLevelType w:val="multilevel"/>
    <w:tmpl w:val="148C9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6661AAA"/>
    <w:multiLevelType w:val="hybridMultilevel"/>
    <w:tmpl w:val="671C00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CA968F9"/>
    <w:multiLevelType w:val="multilevel"/>
    <w:tmpl w:val="DCF2D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ED06F80"/>
    <w:multiLevelType w:val="hybridMultilevel"/>
    <w:tmpl w:val="847AE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49519898">
    <w:abstractNumId w:val="17"/>
  </w:num>
  <w:num w:numId="2" w16cid:durableId="161165419">
    <w:abstractNumId w:val="8"/>
  </w:num>
  <w:num w:numId="3" w16cid:durableId="1944848428">
    <w:abstractNumId w:val="18"/>
  </w:num>
  <w:num w:numId="4" w16cid:durableId="1023633590">
    <w:abstractNumId w:val="11"/>
  </w:num>
  <w:num w:numId="5" w16cid:durableId="1845318843">
    <w:abstractNumId w:val="15"/>
  </w:num>
  <w:num w:numId="6" w16cid:durableId="1812668237">
    <w:abstractNumId w:val="0"/>
  </w:num>
  <w:num w:numId="7" w16cid:durableId="1440222949">
    <w:abstractNumId w:val="5"/>
  </w:num>
  <w:num w:numId="8" w16cid:durableId="1723558293">
    <w:abstractNumId w:val="6"/>
  </w:num>
  <w:num w:numId="9" w16cid:durableId="490176110">
    <w:abstractNumId w:val="3"/>
  </w:num>
  <w:num w:numId="10" w16cid:durableId="161237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0099361">
    <w:abstractNumId w:val="12"/>
  </w:num>
  <w:num w:numId="12" w16cid:durableId="505052933">
    <w:abstractNumId w:val="9"/>
  </w:num>
  <w:num w:numId="13" w16cid:durableId="1744720876">
    <w:abstractNumId w:val="13"/>
  </w:num>
  <w:num w:numId="14" w16cid:durableId="731195255">
    <w:abstractNumId w:val="10"/>
  </w:num>
  <w:num w:numId="15" w16cid:durableId="2136174260">
    <w:abstractNumId w:val="7"/>
  </w:num>
  <w:num w:numId="16" w16cid:durableId="837306577">
    <w:abstractNumId w:val="4"/>
  </w:num>
  <w:num w:numId="17" w16cid:durableId="2098289066">
    <w:abstractNumId w:val="2"/>
  </w:num>
  <w:num w:numId="18" w16cid:durableId="1990279961">
    <w:abstractNumId w:val="16"/>
  </w:num>
  <w:num w:numId="19" w16cid:durableId="7803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26"/>
    <w:rsid w:val="00001547"/>
    <w:rsid w:val="00001F1C"/>
    <w:rsid w:val="00002369"/>
    <w:rsid w:val="0000288B"/>
    <w:rsid w:val="00003036"/>
    <w:rsid w:val="0000359F"/>
    <w:rsid w:val="00004ECD"/>
    <w:rsid w:val="00006C01"/>
    <w:rsid w:val="0000715D"/>
    <w:rsid w:val="00007801"/>
    <w:rsid w:val="00011090"/>
    <w:rsid w:val="00011CFC"/>
    <w:rsid w:val="0001229C"/>
    <w:rsid w:val="000135CE"/>
    <w:rsid w:val="000170A5"/>
    <w:rsid w:val="000209A2"/>
    <w:rsid w:val="00020B91"/>
    <w:rsid w:val="00021E11"/>
    <w:rsid w:val="00022143"/>
    <w:rsid w:val="0002450C"/>
    <w:rsid w:val="00030D69"/>
    <w:rsid w:val="00030DB8"/>
    <w:rsid w:val="000315FE"/>
    <w:rsid w:val="00033997"/>
    <w:rsid w:val="0003456E"/>
    <w:rsid w:val="0004390B"/>
    <w:rsid w:val="00044978"/>
    <w:rsid w:val="00044FA5"/>
    <w:rsid w:val="000456B8"/>
    <w:rsid w:val="00045C10"/>
    <w:rsid w:val="00045F86"/>
    <w:rsid w:val="00046328"/>
    <w:rsid w:val="00046D8C"/>
    <w:rsid w:val="00047929"/>
    <w:rsid w:val="00047D50"/>
    <w:rsid w:val="00050143"/>
    <w:rsid w:val="000501B0"/>
    <w:rsid w:val="0005082F"/>
    <w:rsid w:val="00050857"/>
    <w:rsid w:val="00052270"/>
    <w:rsid w:val="00053983"/>
    <w:rsid w:val="00056B3C"/>
    <w:rsid w:val="000635E6"/>
    <w:rsid w:val="00064C19"/>
    <w:rsid w:val="000716FA"/>
    <w:rsid w:val="0007184F"/>
    <w:rsid w:val="00072315"/>
    <w:rsid w:val="00072AD1"/>
    <w:rsid w:val="00072CE8"/>
    <w:rsid w:val="00074930"/>
    <w:rsid w:val="000765CD"/>
    <w:rsid w:val="000769EC"/>
    <w:rsid w:val="000778E0"/>
    <w:rsid w:val="000801C4"/>
    <w:rsid w:val="00080941"/>
    <w:rsid w:val="00080AD2"/>
    <w:rsid w:val="00081822"/>
    <w:rsid w:val="00081ADA"/>
    <w:rsid w:val="00081FFA"/>
    <w:rsid w:val="00082225"/>
    <w:rsid w:val="000837B8"/>
    <w:rsid w:val="00083AA9"/>
    <w:rsid w:val="00084D06"/>
    <w:rsid w:val="00084D46"/>
    <w:rsid w:val="00086519"/>
    <w:rsid w:val="00090532"/>
    <w:rsid w:val="000906AC"/>
    <w:rsid w:val="00090F20"/>
    <w:rsid w:val="00091A63"/>
    <w:rsid w:val="00091ABC"/>
    <w:rsid w:val="00091EE7"/>
    <w:rsid w:val="00092023"/>
    <w:rsid w:val="00093AD1"/>
    <w:rsid w:val="0009502D"/>
    <w:rsid w:val="000959CF"/>
    <w:rsid w:val="000959DC"/>
    <w:rsid w:val="000A0950"/>
    <w:rsid w:val="000A2D7F"/>
    <w:rsid w:val="000A404D"/>
    <w:rsid w:val="000A4126"/>
    <w:rsid w:val="000A4258"/>
    <w:rsid w:val="000A495D"/>
    <w:rsid w:val="000A63CA"/>
    <w:rsid w:val="000A6C83"/>
    <w:rsid w:val="000B04E4"/>
    <w:rsid w:val="000B363B"/>
    <w:rsid w:val="000B3B38"/>
    <w:rsid w:val="000B3F1A"/>
    <w:rsid w:val="000B69FE"/>
    <w:rsid w:val="000B6A1C"/>
    <w:rsid w:val="000B7FE2"/>
    <w:rsid w:val="000C18B4"/>
    <w:rsid w:val="000C1E46"/>
    <w:rsid w:val="000C1F40"/>
    <w:rsid w:val="000C2FD7"/>
    <w:rsid w:val="000C429C"/>
    <w:rsid w:val="000C4665"/>
    <w:rsid w:val="000D04FD"/>
    <w:rsid w:val="000D2401"/>
    <w:rsid w:val="000D3202"/>
    <w:rsid w:val="000D3362"/>
    <w:rsid w:val="000D3C89"/>
    <w:rsid w:val="000D3E94"/>
    <w:rsid w:val="000D40C1"/>
    <w:rsid w:val="000D47D1"/>
    <w:rsid w:val="000D4A87"/>
    <w:rsid w:val="000D544E"/>
    <w:rsid w:val="000D642C"/>
    <w:rsid w:val="000D76D3"/>
    <w:rsid w:val="000D77EB"/>
    <w:rsid w:val="000E07AD"/>
    <w:rsid w:val="000E0FDE"/>
    <w:rsid w:val="000E1A66"/>
    <w:rsid w:val="000E30EC"/>
    <w:rsid w:val="000E3667"/>
    <w:rsid w:val="000E4082"/>
    <w:rsid w:val="000E47FA"/>
    <w:rsid w:val="000E5481"/>
    <w:rsid w:val="000E5CBD"/>
    <w:rsid w:val="000E5F00"/>
    <w:rsid w:val="000E6AC9"/>
    <w:rsid w:val="000E708B"/>
    <w:rsid w:val="000E71A9"/>
    <w:rsid w:val="000F1903"/>
    <w:rsid w:val="000F29D6"/>
    <w:rsid w:val="000F2DF5"/>
    <w:rsid w:val="000F33D7"/>
    <w:rsid w:val="000F7E88"/>
    <w:rsid w:val="00101531"/>
    <w:rsid w:val="00105EEC"/>
    <w:rsid w:val="00106DB7"/>
    <w:rsid w:val="001104EA"/>
    <w:rsid w:val="00110A86"/>
    <w:rsid w:val="0011109F"/>
    <w:rsid w:val="00112F36"/>
    <w:rsid w:val="0011595E"/>
    <w:rsid w:val="00116E2C"/>
    <w:rsid w:val="0012015F"/>
    <w:rsid w:val="00121910"/>
    <w:rsid w:val="00126573"/>
    <w:rsid w:val="00131272"/>
    <w:rsid w:val="00131E2D"/>
    <w:rsid w:val="00131F49"/>
    <w:rsid w:val="0013254E"/>
    <w:rsid w:val="00132B11"/>
    <w:rsid w:val="001331FB"/>
    <w:rsid w:val="0013387C"/>
    <w:rsid w:val="001351EB"/>
    <w:rsid w:val="00136FB7"/>
    <w:rsid w:val="00142281"/>
    <w:rsid w:val="00143D28"/>
    <w:rsid w:val="00144D46"/>
    <w:rsid w:val="001456E8"/>
    <w:rsid w:val="00146F6F"/>
    <w:rsid w:val="0014704E"/>
    <w:rsid w:val="001475B6"/>
    <w:rsid w:val="00147958"/>
    <w:rsid w:val="00147F3C"/>
    <w:rsid w:val="00147F69"/>
    <w:rsid w:val="00150BEF"/>
    <w:rsid w:val="00150C23"/>
    <w:rsid w:val="00151346"/>
    <w:rsid w:val="00151BD9"/>
    <w:rsid w:val="001525A5"/>
    <w:rsid w:val="00152919"/>
    <w:rsid w:val="0015320C"/>
    <w:rsid w:val="00155717"/>
    <w:rsid w:val="0016021F"/>
    <w:rsid w:val="001616A8"/>
    <w:rsid w:val="00161E34"/>
    <w:rsid w:val="001620B7"/>
    <w:rsid w:val="00162395"/>
    <w:rsid w:val="00162FE7"/>
    <w:rsid w:val="00163FBE"/>
    <w:rsid w:val="00164849"/>
    <w:rsid w:val="001653D8"/>
    <w:rsid w:val="001663FD"/>
    <w:rsid w:val="0016726C"/>
    <w:rsid w:val="00170226"/>
    <w:rsid w:val="00171EC9"/>
    <w:rsid w:val="00172A79"/>
    <w:rsid w:val="00173F27"/>
    <w:rsid w:val="00175D6B"/>
    <w:rsid w:val="00175DA2"/>
    <w:rsid w:val="0017648B"/>
    <w:rsid w:val="00176BBC"/>
    <w:rsid w:val="00180377"/>
    <w:rsid w:val="0018056B"/>
    <w:rsid w:val="00180CB5"/>
    <w:rsid w:val="00180CDC"/>
    <w:rsid w:val="001816F2"/>
    <w:rsid w:val="00181718"/>
    <w:rsid w:val="00182617"/>
    <w:rsid w:val="00182D2E"/>
    <w:rsid w:val="00183574"/>
    <w:rsid w:val="001839F7"/>
    <w:rsid w:val="00183EE0"/>
    <w:rsid w:val="00184053"/>
    <w:rsid w:val="00184745"/>
    <w:rsid w:val="00184D0D"/>
    <w:rsid w:val="00185207"/>
    <w:rsid w:val="0018692E"/>
    <w:rsid w:val="001879C8"/>
    <w:rsid w:val="0019010E"/>
    <w:rsid w:val="001902DB"/>
    <w:rsid w:val="00191214"/>
    <w:rsid w:val="00191592"/>
    <w:rsid w:val="0019413D"/>
    <w:rsid w:val="00194516"/>
    <w:rsid w:val="001957CC"/>
    <w:rsid w:val="00195F77"/>
    <w:rsid w:val="00196CA7"/>
    <w:rsid w:val="00197212"/>
    <w:rsid w:val="0019777D"/>
    <w:rsid w:val="00197A15"/>
    <w:rsid w:val="001A11E7"/>
    <w:rsid w:val="001A122F"/>
    <w:rsid w:val="001A3093"/>
    <w:rsid w:val="001A4909"/>
    <w:rsid w:val="001A5BFB"/>
    <w:rsid w:val="001A660C"/>
    <w:rsid w:val="001A6C0C"/>
    <w:rsid w:val="001A6D8C"/>
    <w:rsid w:val="001A74F9"/>
    <w:rsid w:val="001A7921"/>
    <w:rsid w:val="001B0A7F"/>
    <w:rsid w:val="001B2065"/>
    <w:rsid w:val="001B55DD"/>
    <w:rsid w:val="001B58F7"/>
    <w:rsid w:val="001B5BD4"/>
    <w:rsid w:val="001C05BA"/>
    <w:rsid w:val="001C32A0"/>
    <w:rsid w:val="001C7219"/>
    <w:rsid w:val="001C76A9"/>
    <w:rsid w:val="001D19D7"/>
    <w:rsid w:val="001D2547"/>
    <w:rsid w:val="001D52D8"/>
    <w:rsid w:val="001D5B80"/>
    <w:rsid w:val="001D5CFF"/>
    <w:rsid w:val="001D7201"/>
    <w:rsid w:val="001D7491"/>
    <w:rsid w:val="001D7774"/>
    <w:rsid w:val="001D7970"/>
    <w:rsid w:val="001E130B"/>
    <w:rsid w:val="001E273C"/>
    <w:rsid w:val="001E3E30"/>
    <w:rsid w:val="001E57F5"/>
    <w:rsid w:val="001E7ACE"/>
    <w:rsid w:val="001E7E6C"/>
    <w:rsid w:val="001F03F5"/>
    <w:rsid w:val="001F0DE5"/>
    <w:rsid w:val="001F270E"/>
    <w:rsid w:val="001F30DB"/>
    <w:rsid w:val="001F472F"/>
    <w:rsid w:val="001F4A38"/>
    <w:rsid w:val="001F62EE"/>
    <w:rsid w:val="001F7AD7"/>
    <w:rsid w:val="00200035"/>
    <w:rsid w:val="002024EF"/>
    <w:rsid w:val="00202822"/>
    <w:rsid w:val="00206136"/>
    <w:rsid w:val="00206865"/>
    <w:rsid w:val="0021006C"/>
    <w:rsid w:val="002152A0"/>
    <w:rsid w:val="00217050"/>
    <w:rsid w:val="002170E3"/>
    <w:rsid w:val="0022013C"/>
    <w:rsid w:val="00222103"/>
    <w:rsid w:val="002230D4"/>
    <w:rsid w:val="00224F2C"/>
    <w:rsid w:val="0022597A"/>
    <w:rsid w:val="00226500"/>
    <w:rsid w:val="00226ECD"/>
    <w:rsid w:val="002278C8"/>
    <w:rsid w:val="00232858"/>
    <w:rsid w:val="00232AE5"/>
    <w:rsid w:val="00233523"/>
    <w:rsid w:val="0023525B"/>
    <w:rsid w:val="00235EEC"/>
    <w:rsid w:val="00235F83"/>
    <w:rsid w:val="00236B1A"/>
    <w:rsid w:val="002374A1"/>
    <w:rsid w:val="00237B79"/>
    <w:rsid w:val="00241888"/>
    <w:rsid w:val="00241E59"/>
    <w:rsid w:val="00242AE9"/>
    <w:rsid w:val="00243043"/>
    <w:rsid w:val="0024440F"/>
    <w:rsid w:val="00250A47"/>
    <w:rsid w:val="0025123D"/>
    <w:rsid w:val="002516C7"/>
    <w:rsid w:val="00251702"/>
    <w:rsid w:val="00251D74"/>
    <w:rsid w:val="002522EC"/>
    <w:rsid w:val="002524B8"/>
    <w:rsid w:val="0025425E"/>
    <w:rsid w:val="002560EA"/>
    <w:rsid w:val="00256B53"/>
    <w:rsid w:val="00257672"/>
    <w:rsid w:val="00260374"/>
    <w:rsid w:val="002638C6"/>
    <w:rsid w:val="0026567C"/>
    <w:rsid w:val="00266566"/>
    <w:rsid w:val="00266F80"/>
    <w:rsid w:val="002706A0"/>
    <w:rsid w:val="0027197C"/>
    <w:rsid w:val="00276746"/>
    <w:rsid w:val="00280174"/>
    <w:rsid w:val="0028129E"/>
    <w:rsid w:val="00281306"/>
    <w:rsid w:val="00283DC4"/>
    <w:rsid w:val="002853AD"/>
    <w:rsid w:val="002902FA"/>
    <w:rsid w:val="00292C81"/>
    <w:rsid w:val="00294812"/>
    <w:rsid w:val="0029483E"/>
    <w:rsid w:val="00294859"/>
    <w:rsid w:val="00295054"/>
    <w:rsid w:val="002A3C8F"/>
    <w:rsid w:val="002A6108"/>
    <w:rsid w:val="002B0E46"/>
    <w:rsid w:val="002B2EDB"/>
    <w:rsid w:val="002B3680"/>
    <w:rsid w:val="002B48BD"/>
    <w:rsid w:val="002B6443"/>
    <w:rsid w:val="002C0A19"/>
    <w:rsid w:val="002C182C"/>
    <w:rsid w:val="002C24CD"/>
    <w:rsid w:val="002C3D3D"/>
    <w:rsid w:val="002C4050"/>
    <w:rsid w:val="002C5246"/>
    <w:rsid w:val="002C6FF0"/>
    <w:rsid w:val="002C759B"/>
    <w:rsid w:val="002C78BF"/>
    <w:rsid w:val="002C795D"/>
    <w:rsid w:val="002D00C3"/>
    <w:rsid w:val="002D3D30"/>
    <w:rsid w:val="002D53EA"/>
    <w:rsid w:val="002D5B70"/>
    <w:rsid w:val="002D6883"/>
    <w:rsid w:val="002D72DD"/>
    <w:rsid w:val="002D74B3"/>
    <w:rsid w:val="002D76C6"/>
    <w:rsid w:val="002E00C0"/>
    <w:rsid w:val="002E376F"/>
    <w:rsid w:val="002E3CF7"/>
    <w:rsid w:val="002F0A96"/>
    <w:rsid w:val="002F1C20"/>
    <w:rsid w:val="002F23A5"/>
    <w:rsid w:val="002F269B"/>
    <w:rsid w:val="002F2802"/>
    <w:rsid w:val="002F3AFB"/>
    <w:rsid w:val="002F407B"/>
    <w:rsid w:val="002F4837"/>
    <w:rsid w:val="002F483F"/>
    <w:rsid w:val="002F5832"/>
    <w:rsid w:val="002F6795"/>
    <w:rsid w:val="002F7544"/>
    <w:rsid w:val="00300A88"/>
    <w:rsid w:val="003013FC"/>
    <w:rsid w:val="00301EB4"/>
    <w:rsid w:val="003027F4"/>
    <w:rsid w:val="00304135"/>
    <w:rsid w:val="0030578D"/>
    <w:rsid w:val="00305943"/>
    <w:rsid w:val="00305F76"/>
    <w:rsid w:val="00306628"/>
    <w:rsid w:val="00306679"/>
    <w:rsid w:val="0030682F"/>
    <w:rsid w:val="00307EF3"/>
    <w:rsid w:val="003140BD"/>
    <w:rsid w:val="0031412E"/>
    <w:rsid w:val="00317179"/>
    <w:rsid w:val="0032002A"/>
    <w:rsid w:val="003209F1"/>
    <w:rsid w:val="003223B4"/>
    <w:rsid w:val="00322EA0"/>
    <w:rsid w:val="0032412C"/>
    <w:rsid w:val="0032418B"/>
    <w:rsid w:val="00325C27"/>
    <w:rsid w:val="00327C26"/>
    <w:rsid w:val="00327D42"/>
    <w:rsid w:val="00330662"/>
    <w:rsid w:val="00330D98"/>
    <w:rsid w:val="0033183A"/>
    <w:rsid w:val="003321E2"/>
    <w:rsid w:val="0033524F"/>
    <w:rsid w:val="003367A2"/>
    <w:rsid w:val="003401AB"/>
    <w:rsid w:val="00340D5E"/>
    <w:rsid w:val="003410BD"/>
    <w:rsid w:val="0034183F"/>
    <w:rsid w:val="00342785"/>
    <w:rsid w:val="00343475"/>
    <w:rsid w:val="00353C40"/>
    <w:rsid w:val="00353EB5"/>
    <w:rsid w:val="003553B8"/>
    <w:rsid w:val="003602C0"/>
    <w:rsid w:val="00360F88"/>
    <w:rsid w:val="003620C8"/>
    <w:rsid w:val="003630E1"/>
    <w:rsid w:val="0036383D"/>
    <w:rsid w:val="00363CB0"/>
    <w:rsid w:val="00365117"/>
    <w:rsid w:val="00365930"/>
    <w:rsid w:val="003662A2"/>
    <w:rsid w:val="003678B9"/>
    <w:rsid w:val="003737E2"/>
    <w:rsid w:val="00373DFE"/>
    <w:rsid w:val="00374054"/>
    <w:rsid w:val="003753F0"/>
    <w:rsid w:val="00375E11"/>
    <w:rsid w:val="00376989"/>
    <w:rsid w:val="00377857"/>
    <w:rsid w:val="00377FE8"/>
    <w:rsid w:val="00380339"/>
    <w:rsid w:val="00381598"/>
    <w:rsid w:val="00381DA4"/>
    <w:rsid w:val="00383BA0"/>
    <w:rsid w:val="00384FE5"/>
    <w:rsid w:val="003875B2"/>
    <w:rsid w:val="00387D57"/>
    <w:rsid w:val="00390DDD"/>
    <w:rsid w:val="0039143C"/>
    <w:rsid w:val="00391BBF"/>
    <w:rsid w:val="003927F1"/>
    <w:rsid w:val="00393B60"/>
    <w:rsid w:val="003973E2"/>
    <w:rsid w:val="003A0B25"/>
    <w:rsid w:val="003A1259"/>
    <w:rsid w:val="003A1789"/>
    <w:rsid w:val="003A1B0F"/>
    <w:rsid w:val="003A3041"/>
    <w:rsid w:val="003A49A8"/>
    <w:rsid w:val="003A5979"/>
    <w:rsid w:val="003A5C4E"/>
    <w:rsid w:val="003A6E46"/>
    <w:rsid w:val="003A7926"/>
    <w:rsid w:val="003B2E26"/>
    <w:rsid w:val="003B44F3"/>
    <w:rsid w:val="003B54EF"/>
    <w:rsid w:val="003B5E0E"/>
    <w:rsid w:val="003B6711"/>
    <w:rsid w:val="003B68AC"/>
    <w:rsid w:val="003B6D18"/>
    <w:rsid w:val="003B7EBB"/>
    <w:rsid w:val="003C01B5"/>
    <w:rsid w:val="003C0380"/>
    <w:rsid w:val="003C14F8"/>
    <w:rsid w:val="003C2C49"/>
    <w:rsid w:val="003C2D2C"/>
    <w:rsid w:val="003C49B9"/>
    <w:rsid w:val="003C4B3B"/>
    <w:rsid w:val="003C5453"/>
    <w:rsid w:val="003C585C"/>
    <w:rsid w:val="003C640D"/>
    <w:rsid w:val="003C6FEB"/>
    <w:rsid w:val="003D1C9E"/>
    <w:rsid w:val="003D1E01"/>
    <w:rsid w:val="003D33DD"/>
    <w:rsid w:val="003D5CA2"/>
    <w:rsid w:val="003D5FD5"/>
    <w:rsid w:val="003D6B66"/>
    <w:rsid w:val="003D72B9"/>
    <w:rsid w:val="003E01A0"/>
    <w:rsid w:val="003E15AB"/>
    <w:rsid w:val="003E2F97"/>
    <w:rsid w:val="003E3747"/>
    <w:rsid w:val="003F1219"/>
    <w:rsid w:val="003F136D"/>
    <w:rsid w:val="003F1D21"/>
    <w:rsid w:val="003F43ED"/>
    <w:rsid w:val="003F4C7D"/>
    <w:rsid w:val="003F5162"/>
    <w:rsid w:val="003F558C"/>
    <w:rsid w:val="003F5E5C"/>
    <w:rsid w:val="003F7A89"/>
    <w:rsid w:val="0040120F"/>
    <w:rsid w:val="0040535B"/>
    <w:rsid w:val="00405DE1"/>
    <w:rsid w:val="00407113"/>
    <w:rsid w:val="0040796A"/>
    <w:rsid w:val="00410D7D"/>
    <w:rsid w:val="00410DC4"/>
    <w:rsid w:val="004113BD"/>
    <w:rsid w:val="004114F2"/>
    <w:rsid w:val="00412447"/>
    <w:rsid w:val="00413837"/>
    <w:rsid w:val="00415B2F"/>
    <w:rsid w:val="0041703E"/>
    <w:rsid w:val="00417466"/>
    <w:rsid w:val="00417C15"/>
    <w:rsid w:val="004206BA"/>
    <w:rsid w:val="00421D94"/>
    <w:rsid w:val="00425526"/>
    <w:rsid w:val="004259C2"/>
    <w:rsid w:val="00427457"/>
    <w:rsid w:val="00427F85"/>
    <w:rsid w:val="004305E4"/>
    <w:rsid w:val="004308AA"/>
    <w:rsid w:val="004321D4"/>
    <w:rsid w:val="004325ED"/>
    <w:rsid w:val="0043290D"/>
    <w:rsid w:val="00432CF0"/>
    <w:rsid w:val="00433AB8"/>
    <w:rsid w:val="00433B7F"/>
    <w:rsid w:val="00434292"/>
    <w:rsid w:val="00434994"/>
    <w:rsid w:val="00434CAE"/>
    <w:rsid w:val="004411CF"/>
    <w:rsid w:val="00441387"/>
    <w:rsid w:val="00441B56"/>
    <w:rsid w:val="00442205"/>
    <w:rsid w:val="00442317"/>
    <w:rsid w:val="00444929"/>
    <w:rsid w:val="00444DBB"/>
    <w:rsid w:val="0045004B"/>
    <w:rsid w:val="00452682"/>
    <w:rsid w:val="004538FD"/>
    <w:rsid w:val="0045533D"/>
    <w:rsid w:val="0045573A"/>
    <w:rsid w:val="004559EB"/>
    <w:rsid w:val="00461610"/>
    <w:rsid w:val="0046181C"/>
    <w:rsid w:val="00461A86"/>
    <w:rsid w:val="004622AD"/>
    <w:rsid w:val="00462B22"/>
    <w:rsid w:val="004632C7"/>
    <w:rsid w:val="004647E2"/>
    <w:rsid w:val="00464A98"/>
    <w:rsid w:val="00464E5C"/>
    <w:rsid w:val="00465200"/>
    <w:rsid w:val="00470CD1"/>
    <w:rsid w:val="00472726"/>
    <w:rsid w:val="00473BAE"/>
    <w:rsid w:val="00473F4E"/>
    <w:rsid w:val="00475700"/>
    <w:rsid w:val="00475CD6"/>
    <w:rsid w:val="0047660C"/>
    <w:rsid w:val="004779D2"/>
    <w:rsid w:val="00477DFB"/>
    <w:rsid w:val="00480DAE"/>
    <w:rsid w:val="004813A0"/>
    <w:rsid w:val="00481BB3"/>
    <w:rsid w:val="00481C94"/>
    <w:rsid w:val="00483F5F"/>
    <w:rsid w:val="004850CC"/>
    <w:rsid w:val="004860D2"/>
    <w:rsid w:val="004900BD"/>
    <w:rsid w:val="00490A2A"/>
    <w:rsid w:val="00490A8E"/>
    <w:rsid w:val="00491ED0"/>
    <w:rsid w:val="00492AC7"/>
    <w:rsid w:val="00492CA3"/>
    <w:rsid w:val="00492CC7"/>
    <w:rsid w:val="0049440B"/>
    <w:rsid w:val="00495055"/>
    <w:rsid w:val="00496789"/>
    <w:rsid w:val="004A16E9"/>
    <w:rsid w:val="004A3DC2"/>
    <w:rsid w:val="004A4F12"/>
    <w:rsid w:val="004A51BE"/>
    <w:rsid w:val="004A586C"/>
    <w:rsid w:val="004A5D6A"/>
    <w:rsid w:val="004A61E2"/>
    <w:rsid w:val="004A7063"/>
    <w:rsid w:val="004A7D84"/>
    <w:rsid w:val="004B0DC5"/>
    <w:rsid w:val="004B2AD6"/>
    <w:rsid w:val="004B3570"/>
    <w:rsid w:val="004B43D6"/>
    <w:rsid w:val="004B5FDF"/>
    <w:rsid w:val="004B68A1"/>
    <w:rsid w:val="004B7DC1"/>
    <w:rsid w:val="004B7F48"/>
    <w:rsid w:val="004C128E"/>
    <w:rsid w:val="004C1BB8"/>
    <w:rsid w:val="004C3056"/>
    <w:rsid w:val="004C3865"/>
    <w:rsid w:val="004C4E40"/>
    <w:rsid w:val="004C5BE2"/>
    <w:rsid w:val="004C7633"/>
    <w:rsid w:val="004D16C1"/>
    <w:rsid w:val="004D186D"/>
    <w:rsid w:val="004D1D16"/>
    <w:rsid w:val="004D221E"/>
    <w:rsid w:val="004D2BF3"/>
    <w:rsid w:val="004D2F2D"/>
    <w:rsid w:val="004D5AC8"/>
    <w:rsid w:val="004D72D4"/>
    <w:rsid w:val="004D7CD8"/>
    <w:rsid w:val="004E05E0"/>
    <w:rsid w:val="004E4DA8"/>
    <w:rsid w:val="004E50E9"/>
    <w:rsid w:val="004F46F6"/>
    <w:rsid w:val="004F554F"/>
    <w:rsid w:val="004F6265"/>
    <w:rsid w:val="0050074F"/>
    <w:rsid w:val="00505C11"/>
    <w:rsid w:val="0050702C"/>
    <w:rsid w:val="005070C4"/>
    <w:rsid w:val="0050768B"/>
    <w:rsid w:val="005078F5"/>
    <w:rsid w:val="0051136C"/>
    <w:rsid w:val="0051219C"/>
    <w:rsid w:val="00513577"/>
    <w:rsid w:val="005136A9"/>
    <w:rsid w:val="00514BA2"/>
    <w:rsid w:val="00516FE5"/>
    <w:rsid w:val="00517B56"/>
    <w:rsid w:val="005227C3"/>
    <w:rsid w:val="00522A5C"/>
    <w:rsid w:val="005243AA"/>
    <w:rsid w:val="005254CF"/>
    <w:rsid w:val="0052707B"/>
    <w:rsid w:val="005300C0"/>
    <w:rsid w:val="00530266"/>
    <w:rsid w:val="00531E20"/>
    <w:rsid w:val="00532BEE"/>
    <w:rsid w:val="00533938"/>
    <w:rsid w:val="00533E72"/>
    <w:rsid w:val="0053413F"/>
    <w:rsid w:val="005349A1"/>
    <w:rsid w:val="00534A58"/>
    <w:rsid w:val="00534E97"/>
    <w:rsid w:val="00535C58"/>
    <w:rsid w:val="00535D64"/>
    <w:rsid w:val="005367DA"/>
    <w:rsid w:val="005408AA"/>
    <w:rsid w:val="00540902"/>
    <w:rsid w:val="00540BBC"/>
    <w:rsid w:val="00541DF8"/>
    <w:rsid w:val="00543778"/>
    <w:rsid w:val="00546EFB"/>
    <w:rsid w:val="00550F0A"/>
    <w:rsid w:val="005520F8"/>
    <w:rsid w:val="00553D0F"/>
    <w:rsid w:val="0055432C"/>
    <w:rsid w:val="00554892"/>
    <w:rsid w:val="00555598"/>
    <w:rsid w:val="00556237"/>
    <w:rsid w:val="005602BB"/>
    <w:rsid w:val="00560722"/>
    <w:rsid w:val="005629EE"/>
    <w:rsid w:val="005631FC"/>
    <w:rsid w:val="00564666"/>
    <w:rsid w:val="005712E1"/>
    <w:rsid w:val="005713B3"/>
    <w:rsid w:val="00571A72"/>
    <w:rsid w:val="00572861"/>
    <w:rsid w:val="00573CF3"/>
    <w:rsid w:val="0057496C"/>
    <w:rsid w:val="005763D1"/>
    <w:rsid w:val="00580319"/>
    <w:rsid w:val="005808CC"/>
    <w:rsid w:val="00582497"/>
    <w:rsid w:val="005825F2"/>
    <w:rsid w:val="00583765"/>
    <w:rsid w:val="0058403E"/>
    <w:rsid w:val="00586658"/>
    <w:rsid w:val="005875D9"/>
    <w:rsid w:val="00587CBD"/>
    <w:rsid w:val="0059065E"/>
    <w:rsid w:val="005907A3"/>
    <w:rsid w:val="00591D44"/>
    <w:rsid w:val="00591FEC"/>
    <w:rsid w:val="0059202F"/>
    <w:rsid w:val="00595D6C"/>
    <w:rsid w:val="00596916"/>
    <w:rsid w:val="005A23E6"/>
    <w:rsid w:val="005A2575"/>
    <w:rsid w:val="005A2684"/>
    <w:rsid w:val="005A2F3C"/>
    <w:rsid w:val="005A38CB"/>
    <w:rsid w:val="005A4C1C"/>
    <w:rsid w:val="005A4EAF"/>
    <w:rsid w:val="005A5DFE"/>
    <w:rsid w:val="005B0E8D"/>
    <w:rsid w:val="005B1416"/>
    <w:rsid w:val="005B2718"/>
    <w:rsid w:val="005B4C54"/>
    <w:rsid w:val="005B5646"/>
    <w:rsid w:val="005B5F18"/>
    <w:rsid w:val="005B6056"/>
    <w:rsid w:val="005B645E"/>
    <w:rsid w:val="005B6D33"/>
    <w:rsid w:val="005C066C"/>
    <w:rsid w:val="005C0F50"/>
    <w:rsid w:val="005C1013"/>
    <w:rsid w:val="005C133A"/>
    <w:rsid w:val="005C20E9"/>
    <w:rsid w:val="005C23EA"/>
    <w:rsid w:val="005C54B6"/>
    <w:rsid w:val="005C6267"/>
    <w:rsid w:val="005C68B4"/>
    <w:rsid w:val="005C6A96"/>
    <w:rsid w:val="005D154A"/>
    <w:rsid w:val="005D1AEE"/>
    <w:rsid w:val="005D2CC0"/>
    <w:rsid w:val="005D2D09"/>
    <w:rsid w:val="005D4F8A"/>
    <w:rsid w:val="005D550C"/>
    <w:rsid w:val="005D61B9"/>
    <w:rsid w:val="005D70C1"/>
    <w:rsid w:val="005D7EAA"/>
    <w:rsid w:val="005E00F9"/>
    <w:rsid w:val="005E0354"/>
    <w:rsid w:val="005E134B"/>
    <w:rsid w:val="005E1844"/>
    <w:rsid w:val="005E33D2"/>
    <w:rsid w:val="005E4EE6"/>
    <w:rsid w:val="005E66B9"/>
    <w:rsid w:val="005E7829"/>
    <w:rsid w:val="005F071A"/>
    <w:rsid w:val="005F0E61"/>
    <w:rsid w:val="005F31C4"/>
    <w:rsid w:val="005F46EF"/>
    <w:rsid w:val="005F47F8"/>
    <w:rsid w:val="005F4D30"/>
    <w:rsid w:val="005F5D3B"/>
    <w:rsid w:val="005F78DF"/>
    <w:rsid w:val="00600414"/>
    <w:rsid w:val="006020B5"/>
    <w:rsid w:val="00602B56"/>
    <w:rsid w:val="00603087"/>
    <w:rsid w:val="00603552"/>
    <w:rsid w:val="006060DE"/>
    <w:rsid w:val="00610CD4"/>
    <w:rsid w:val="00610D55"/>
    <w:rsid w:val="0061165D"/>
    <w:rsid w:val="00612248"/>
    <w:rsid w:val="00612CA1"/>
    <w:rsid w:val="00613C5F"/>
    <w:rsid w:val="00614E2B"/>
    <w:rsid w:val="006172EA"/>
    <w:rsid w:val="00617723"/>
    <w:rsid w:val="00620DAA"/>
    <w:rsid w:val="006222FF"/>
    <w:rsid w:val="00622633"/>
    <w:rsid w:val="006230FD"/>
    <w:rsid w:val="00624324"/>
    <w:rsid w:val="00624695"/>
    <w:rsid w:val="00624980"/>
    <w:rsid w:val="00624D81"/>
    <w:rsid w:val="006266A4"/>
    <w:rsid w:val="0062681B"/>
    <w:rsid w:val="00627099"/>
    <w:rsid w:val="00630F1C"/>
    <w:rsid w:val="006332AC"/>
    <w:rsid w:val="00634D48"/>
    <w:rsid w:val="00640215"/>
    <w:rsid w:val="0064285A"/>
    <w:rsid w:val="006438DF"/>
    <w:rsid w:val="00643FB1"/>
    <w:rsid w:val="006440CC"/>
    <w:rsid w:val="006449F8"/>
    <w:rsid w:val="00645472"/>
    <w:rsid w:val="00645AB0"/>
    <w:rsid w:val="00646C0D"/>
    <w:rsid w:val="006478BB"/>
    <w:rsid w:val="0065098D"/>
    <w:rsid w:val="00651EAD"/>
    <w:rsid w:val="006530AB"/>
    <w:rsid w:val="006544D0"/>
    <w:rsid w:val="0065451D"/>
    <w:rsid w:val="00656F36"/>
    <w:rsid w:val="00657FD0"/>
    <w:rsid w:val="00660C0F"/>
    <w:rsid w:val="006627E0"/>
    <w:rsid w:val="0066325B"/>
    <w:rsid w:val="006645AC"/>
    <w:rsid w:val="00666675"/>
    <w:rsid w:val="006711AC"/>
    <w:rsid w:val="00672195"/>
    <w:rsid w:val="00673AB9"/>
    <w:rsid w:val="00674730"/>
    <w:rsid w:val="00675E2D"/>
    <w:rsid w:val="00676427"/>
    <w:rsid w:val="00676843"/>
    <w:rsid w:val="0068034E"/>
    <w:rsid w:val="006810C5"/>
    <w:rsid w:val="00681199"/>
    <w:rsid w:val="00681BF0"/>
    <w:rsid w:val="0068336C"/>
    <w:rsid w:val="006836B8"/>
    <w:rsid w:val="0068566F"/>
    <w:rsid w:val="006863D8"/>
    <w:rsid w:val="00686E7F"/>
    <w:rsid w:val="00686FD1"/>
    <w:rsid w:val="006902C0"/>
    <w:rsid w:val="00693B44"/>
    <w:rsid w:val="00693D38"/>
    <w:rsid w:val="00694ADD"/>
    <w:rsid w:val="0069595C"/>
    <w:rsid w:val="006A1488"/>
    <w:rsid w:val="006A33D7"/>
    <w:rsid w:val="006A4027"/>
    <w:rsid w:val="006A5E71"/>
    <w:rsid w:val="006A69F2"/>
    <w:rsid w:val="006A72C2"/>
    <w:rsid w:val="006B0206"/>
    <w:rsid w:val="006B4411"/>
    <w:rsid w:val="006B4749"/>
    <w:rsid w:val="006B5CE4"/>
    <w:rsid w:val="006B6318"/>
    <w:rsid w:val="006B754D"/>
    <w:rsid w:val="006C0E01"/>
    <w:rsid w:val="006C1351"/>
    <w:rsid w:val="006C2498"/>
    <w:rsid w:val="006C2FBC"/>
    <w:rsid w:val="006C30D7"/>
    <w:rsid w:val="006C48BB"/>
    <w:rsid w:val="006C5DA1"/>
    <w:rsid w:val="006D1173"/>
    <w:rsid w:val="006D281A"/>
    <w:rsid w:val="006D318A"/>
    <w:rsid w:val="006D31A6"/>
    <w:rsid w:val="006D5F91"/>
    <w:rsid w:val="006D618D"/>
    <w:rsid w:val="006E0AF2"/>
    <w:rsid w:val="006E1C5E"/>
    <w:rsid w:val="006E23DD"/>
    <w:rsid w:val="006E3A3C"/>
    <w:rsid w:val="006E4CB3"/>
    <w:rsid w:val="006E6804"/>
    <w:rsid w:val="006F0691"/>
    <w:rsid w:val="006F0C80"/>
    <w:rsid w:val="006F0E09"/>
    <w:rsid w:val="006F1EA4"/>
    <w:rsid w:val="006F228D"/>
    <w:rsid w:val="006F2699"/>
    <w:rsid w:val="006F73BA"/>
    <w:rsid w:val="006F78F3"/>
    <w:rsid w:val="0070034C"/>
    <w:rsid w:val="00701A35"/>
    <w:rsid w:val="007033B4"/>
    <w:rsid w:val="00704477"/>
    <w:rsid w:val="00705DEF"/>
    <w:rsid w:val="007062DA"/>
    <w:rsid w:val="00706FD6"/>
    <w:rsid w:val="007071E3"/>
    <w:rsid w:val="007078DD"/>
    <w:rsid w:val="0071048D"/>
    <w:rsid w:val="00711FC2"/>
    <w:rsid w:val="0071399B"/>
    <w:rsid w:val="007151BE"/>
    <w:rsid w:val="00715DD2"/>
    <w:rsid w:val="00717782"/>
    <w:rsid w:val="00717FEF"/>
    <w:rsid w:val="00720A8E"/>
    <w:rsid w:val="00720F50"/>
    <w:rsid w:val="00721FCB"/>
    <w:rsid w:val="00723078"/>
    <w:rsid w:val="00723120"/>
    <w:rsid w:val="007232FB"/>
    <w:rsid w:val="0072407F"/>
    <w:rsid w:val="00726B2C"/>
    <w:rsid w:val="00726FC8"/>
    <w:rsid w:val="007316E7"/>
    <w:rsid w:val="00731B9F"/>
    <w:rsid w:val="007335AA"/>
    <w:rsid w:val="00735585"/>
    <w:rsid w:val="007365FD"/>
    <w:rsid w:val="00736BE9"/>
    <w:rsid w:val="007371FA"/>
    <w:rsid w:val="00737A6A"/>
    <w:rsid w:val="007412BD"/>
    <w:rsid w:val="007455AE"/>
    <w:rsid w:val="007456C3"/>
    <w:rsid w:val="00746780"/>
    <w:rsid w:val="00750B57"/>
    <w:rsid w:val="00751E71"/>
    <w:rsid w:val="007523E8"/>
    <w:rsid w:val="00752D47"/>
    <w:rsid w:val="00753785"/>
    <w:rsid w:val="00754231"/>
    <w:rsid w:val="00754433"/>
    <w:rsid w:val="007549CC"/>
    <w:rsid w:val="00755971"/>
    <w:rsid w:val="007562F0"/>
    <w:rsid w:val="00756797"/>
    <w:rsid w:val="00756B17"/>
    <w:rsid w:val="00757430"/>
    <w:rsid w:val="007607D4"/>
    <w:rsid w:val="007619D2"/>
    <w:rsid w:val="00762FB1"/>
    <w:rsid w:val="00766BFD"/>
    <w:rsid w:val="0076747F"/>
    <w:rsid w:val="0077103F"/>
    <w:rsid w:val="0077167D"/>
    <w:rsid w:val="00771D24"/>
    <w:rsid w:val="00774EC4"/>
    <w:rsid w:val="007819DA"/>
    <w:rsid w:val="00783641"/>
    <w:rsid w:val="00784E72"/>
    <w:rsid w:val="0078545F"/>
    <w:rsid w:val="00785F2B"/>
    <w:rsid w:val="007878E2"/>
    <w:rsid w:val="00792243"/>
    <w:rsid w:val="00792E89"/>
    <w:rsid w:val="007933E2"/>
    <w:rsid w:val="007951A2"/>
    <w:rsid w:val="00796661"/>
    <w:rsid w:val="007966B0"/>
    <w:rsid w:val="007966BC"/>
    <w:rsid w:val="00797CB3"/>
    <w:rsid w:val="007A02A0"/>
    <w:rsid w:val="007A1EC2"/>
    <w:rsid w:val="007A2787"/>
    <w:rsid w:val="007A2BC9"/>
    <w:rsid w:val="007A402A"/>
    <w:rsid w:val="007A43E1"/>
    <w:rsid w:val="007A5685"/>
    <w:rsid w:val="007A5C8D"/>
    <w:rsid w:val="007A606E"/>
    <w:rsid w:val="007A6FB8"/>
    <w:rsid w:val="007B1481"/>
    <w:rsid w:val="007B282A"/>
    <w:rsid w:val="007B35FF"/>
    <w:rsid w:val="007B49F4"/>
    <w:rsid w:val="007B49FC"/>
    <w:rsid w:val="007C1FD8"/>
    <w:rsid w:val="007C28B4"/>
    <w:rsid w:val="007C4E71"/>
    <w:rsid w:val="007C76F2"/>
    <w:rsid w:val="007D1C85"/>
    <w:rsid w:val="007D3EFB"/>
    <w:rsid w:val="007D524F"/>
    <w:rsid w:val="007D5282"/>
    <w:rsid w:val="007D5FEF"/>
    <w:rsid w:val="007D64B7"/>
    <w:rsid w:val="007D6E44"/>
    <w:rsid w:val="007E09B5"/>
    <w:rsid w:val="007E32AA"/>
    <w:rsid w:val="007E3F9D"/>
    <w:rsid w:val="007E4D6D"/>
    <w:rsid w:val="007E7C9D"/>
    <w:rsid w:val="007F022D"/>
    <w:rsid w:val="007F0E0F"/>
    <w:rsid w:val="007F3721"/>
    <w:rsid w:val="007F40E1"/>
    <w:rsid w:val="007F6C21"/>
    <w:rsid w:val="0080181E"/>
    <w:rsid w:val="0080252B"/>
    <w:rsid w:val="00802C87"/>
    <w:rsid w:val="008044B5"/>
    <w:rsid w:val="00804E39"/>
    <w:rsid w:val="00805540"/>
    <w:rsid w:val="008102FD"/>
    <w:rsid w:val="0081073B"/>
    <w:rsid w:val="008124CE"/>
    <w:rsid w:val="00813D8C"/>
    <w:rsid w:val="0081536E"/>
    <w:rsid w:val="00817680"/>
    <w:rsid w:val="00820496"/>
    <w:rsid w:val="008214F1"/>
    <w:rsid w:val="008223BB"/>
    <w:rsid w:val="00822F5D"/>
    <w:rsid w:val="0082393F"/>
    <w:rsid w:val="00823AF2"/>
    <w:rsid w:val="00823F6C"/>
    <w:rsid w:val="00826329"/>
    <w:rsid w:val="00826EDF"/>
    <w:rsid w:val="0082706B"/>
    <w:rsid w:val="008307D4"/>
    <w:rsid w:val="00830A60"/>
    <w:rsid w:val="00831D2F"/>
    <w:rsid w:val="008323BF"/>
    <w:rsid w:val="00832529"/>
    <w:rsid w:val="0083376C"/>
    <w:rsid w:val="00833C4D"/>
    <w:rsid w:val="00837474"/>
    <w:rsid w:val="00837B91"/>
    <w:rsid w:val="0084097C"/>
    <w:rsid w:val="00841FB6"/>
    <w:rsid w:val="0084306A"/>
    <w:rsid w:val="008440BC"/>
    <w:rsid w:val="008456EB"/>
    <w:rsid w:val="00845B50"/>
    <w:rsid w:val="008517A0"/>
    <w:rsid w:val="00851E5E"/>
    <w:rsid w:val="00852879"/>
    <w:rsid w:val="008547F8"/>
    <w:rsid w:val="008552E0"/>
    <w:rsid w:val="008564CC"/>
    <w:rsid w:val="00856C7C"/>
    <w:rsid w:val="00857E07"/>
    <w:rsid w:val="0086236A"/>
    <w:rsid w:val="00863108"/>
    <w:rsid w:val="00863E50"/>
    <w:rsid w:val="00866228"/>
    <w:rsid w:val="00866507"/>
    <w:rsid w:val="00870929"/>
    <w:rsid w:val="00870A40"/>
    <w:rsid w:val="0087178E"/>
    <w:rsid w:val="00872253"/>
    <w:rsid w:val="008723CF"/>
    <w:rsid w:val="00873290"/>
    <w:rsid w:val="00874608"/>
    <w:rsid w:val="008757E8"/>
    <w:rsid w:val="00876C1F"/>
    <w:rsid w:val="00877181"/>
    <w:rsid w:val="00877F5A"/>
    <w:rsid w:val="00880351"/>
    <w:rsid w:val="00880BB6"/>
    <w:rsid w:val="00881983"/>
    <w:rsid w:val="00881E6B"/>
    <w:rsid w:val="00881FA0"/>
    <w:rsid w:val="0088320E"/>
    <w:rsid w:val="0088337E"/>
    <w:rsid w:val="0088374E"/>
    <w:rsid w:val="008837AE"/>
    <w:rsid w:val="00883D2E"/>
    <w:rsid w:val="0088453E"/>
    <w:rsid w:val="00884AA6"/>
    <w:rsid w:val="00886825"/>
    <w:rsid w:val="0089092A"/>
    <w:rsid w:val="0089161E"/>
    <w:rsid w:val="00891B22"/>
    <w:rsid w:val="0089295A"/>
    <w:rsid w:val="00895486"/>
    <w:rsid w:val="008957DF"/>
    <w:rsid w:val="00896F9E"/>
    <w:rsid w:val="00897361"/>
    <w:rsid w:val="008A03B4"/>
    <w:rsid w:val="008A073A"/>
    <w:rsid w:val="008A1A75"/>
    <w:rsid w:val="008A2F45"/>
    <w:rsid w:val="008A33C2"/>
    <w:rsid w:val="008A3983"/>
    <w:rsid w:val="008A3C52"/>
    <w:rsid w:val="008A57DE"/>
    <w:rsid w:val="008A6B93"/>
    <w:rsid w:val="008A71C0"/>
    <w:rsid w:val="008B1064"/>
    <w:rsid w:val="008B14E7"/>
    <w:rsid w:val="008B22EA"/>
    <w:rsid w:val="008B4B3D"/>
    <w:rsid w:val="008B5086"/>
    <w:rsid w:val="008B5092"/>
    <w:rsid w:val="008B5B9C"/>
    <w:rsid w:val="008B7C68"/>
    <w:rsid w:val="008C0E73"/>
    <w:rsid w:val="008C1841"/>
    <w:rsid w:val="008C577A"/>
    <w:rsid w:val="008C65A9"/>
    <w:rsid w:val="008C6C1B"/>
    <w:rsid w:val="008C73C0"/>
    <w:rsid w:val="008C78D6"/>
    <w:rsid w:val="008C7ED9"/>
    <w:rsid w:val="008D4A91"/>
    <w:rsid w:val="008D5153"/>
    <w:rsid w:val="008D59DD"/>
    <w:rsid w:val="008D5FF6"/>
    <w:rsid w:val="008D6F9C"/>
    <w:rsid w:val="008D7B27"/>
    <w:rsid w:val="008D7F97"/>
    <w:rsid w:val="008E3229"/>
    <w:rsid w:val="008E531C"/>
    <w:rsid w:val="008E5769"/>
    <w:rsid w:val="008E594E"/>
    <w:rsid w:val="008E6D60"/>
    <w:rsid w:val="008E7760"/>
    <w:rsid w:val="008F2CBB"/>
    <w:rsid w:val="008F3AC9"/>
    <w:rsid w:val="008F46BC"/>
    <w:rsid w:val="008F5E56"/>
    <w:rsid w:val="008F6163"/>
    <w:rsid w:val="008F7186"/>
    <w:rsid w:val="00901581"/>
    <w:rsid w:val="00901D13"/>
    <w:rsid w:val="009038E4"/>
    <w:rsid w:val="00904D75"/>
    <w:rsid w:val="00905089"/>
    <w:rsid w:val="00905CEF"/>
    <w:rsid w:val="009067B9"/>
    <w:rsid w:val="00907379"/>
    <w:rsid w:val="009103D8"/>
    <w:rsid w:val="00911FB6"/>
    <w:rsid w:val="00912980"/>
    <w:rsid w:val="00913430"/>
    <w:rsid w:val="009142E7"/>
    <w:rsid w:val="009146C3"/>
    <w:rsid w:val="0091545B"/>
    <w:rsid w:val="00916A64"/>
    <w:rsid w:val="00920365"/>
    <w:rsid w:val="009205B1"/>
    <w:rsid w:val="009218F0"/>
    <w:rsid w:val="00923BC5"/>
    <w:rsid w:val="009244E5"/>
    <w:rsid w:val="00924EAE"/>
    <w:rsid w:val="009251DB"/>
    <w:rsid w:val="00925D70"/>
    <w:rsid w:val="00925FB6"/>
    <w:rsid w:val="00926825"/>
    <w:rsid w:val="00926CC0"/>
    <w:rsid w:val="00932460"/>
    <w:rsid w:val="00932625"/>
    <w:rsid w:val="00932B63"/>
    <w:rsid w:val="00936C41"/>
    <w:rsid w:val="00937B15"/>
    <w:rsid w:val="00940302"/>
    <w:rsid w:val="0094042E"/>
    <w:rsid w:val="009407E5"/>
    <w:rsid w:val="00940A84"/>
    <w:rsid w:val="00942896"/>
    <w:rsid w:val="00943A57"/>
    <w:rsid w:val="009443AF"/>
    <w:rsid w:val="009446F4"/>
    <w:rsid w:val="00945021"/>
    <w:rsid w:val="009450A4"/>
    <w:rsid w:val="00950B3E"/>
    <w:rsid w:val="00950D24"/>
    <w:rsid w:val="00951487"/>
    <w:rsid w:val="00954121"/>
    <w:rsid w:val="009545F8"/>
    <w:rsid w:val="00955F9A"/>
    <w:rsid w:val="00956DF6"/>
    <w:rsid w:val="00957836"/>
    <w:rsid w:val="00960021"/>
    <w:rsid w:val="0096044A"/>
    <w:rsid w:val="00964766"/>
    <w:rsid w:val="00964778"/>
    <w:rsid w:val="00964C08"/>
    <w:rsid w:val="009666BA"/>
    <w:rsid w:val="00966B4B"/>
    <w:rsid w:val="00966B9D"/>
    <w:rsid w:val="009677DF"/>
    <w:rsid w:val="00971B4D"/>
    <w:rsid w:val="0097400C"/>
    <w:rsid w:val="0097417B"/>
    <w:rsid w:val="00974656"/>
    <w:rsid w:val="00975938"/>
    <w:rsid w:val="00975BDD"/>
    <w:rsid w:val="009766DD"/>
    <w:rsid w:val="00976929"/>
    <w:rsid w:val="009809EF"/>
    <w:rsid w:val="0098193A"/>
    <w:rsid w:val="00981BF1"/>
    <w:rsid w:val="00981C5C"/>
    <w:rsid w:val="00982461"/>
    <w:rsid w:val="00982ABE"/>
    <w:rsid w:val="00983011"/>
    <w:rsid w:val="0098372D"/>
    <w:rsid w:val="00983773"/>
    <w:rsid w:val="009849E8"/>
    <w:rsid w:val="00984B6D"/>
    <w:rsid w:val="00986C8F"/>
    <w:rsid w:val="00987254"/>
    <w:rsid w:val="009878C9"/>
    <w:rsid w:val="00991FC4"/>
    <w:rsid w:val="0099456B"/>
    <w:rsid w:val="00994C26"/>
    <w:rsid w:val="00997F8D"/>
    <w:rsid w:val="009A2A8A"/>
    <w:rsid w:val="009A35B5"/>
    <w:rsid w:val="009A40C1"/>
    <w:rsid w:val="009A487A"/>
    <w:rsid w:val="009A5775"/>
    <w:rsid w:val="009A59B6"/>
    <w:rsid w:val="009A6583"/>
    <w:rsid w:val="009A6956"/>
    <w:rsid w:val="009A6C40"/>
    <w:rsid w:val="009B11A9"/>
    <w:rsid w:val="009B1A60"/>
    <w:rsid w:val="009B1E57"/>
    <w:rsid w:val="009B2158"/>
    <w:rsid w:val="009B2600"/>
    <w:rsid w:val="009B519F"/>
    <w:rsid w:val="009B7BA4"/>
    <w:rsid w:val="009C2F13"/>
    <w:rsid w:val="009C7077"/>
    <w:rsid w:val="009D0C90"/>
    <w:rsid w:val="009D1B16"/>
    <w:rsid w:val="009D4A53"/>
    <w:rsid w:val="009D569E"/>
    <w:rsid w:val="009D73CC"/>
    <w:rsid w:val="009D78DC"/>
    <w:rsid w:val="009E01B0"/>
    <w:rsid w:val="009E4685"/>
    <w:rsid w:val="009E61B7"/>
    <w:rsid w:val="009E6BB1"/>
    <w:rsid w:val="009E7380"/>
    <w:rsid w:val="009E7718"/>
    <w:rsid w:val="009F0329"/>
    <w:rsid w:val="009F1A49"/>
    <w:rsid w:val="009F27D3"/>
    <w:rsid w:val="009F30D5"/>
    <w:rsid w:val="009F4A96"/>
    <w:rsid w:val="009F59C0"/>
    <w:rsid w:val="009F5E21"/>
    <w:rsid w:val="009F61A1"/>
    <w:rsid w:val="00A0213C"/>
    <w:rsid w:val="00A03568"/>
    <w:rsid w:val="00A03B6B"/>
    <w:rsid w:val="00A04ACE"/>
    <w:rsid w:val="00A04C32"/>
    <w:rsid w:val="00A05C43"/>
    <w:rsid w:val="00A1041C"/>
    <w:rsid w:val="00A11ED8"/>
    <w:rsid w:val="00A139D3"/>
    <w:rsid w:val="00A1406A"/>
    <w:rsid w:val="00A148CE"/>
    <w:rsid w:val="00A15752"/>
    <w:rsid w:val="00A15EBF"/>
    <w:rsid w:val="00A22D0C"/>
    <w:rsid w:val="00A242B1"/>
    <w:rsid w:val="00A24510"/>
    <w:rsid w:val="00A26376"/>
    <w:rsid w:val="00A30B59"/>
    <w:rsid w:val="00A3151E"/>
    <w:rsid w:val="00A319A0"/>
    <w:rsid w:val="00A31B30"/>
    <w:rsid w:val="00A31F3C"/>
    <w:rsid w:val="00A33BB1"/>
    <w:rsid w:val="00A3493B"/>
    <w:rsid w:val="00A35CDB"/>
    <w:rsid w:val="00A370D7"/>
    <w:rsid w:val="00A37B36"/>
    <w:rsid w:val="00A4003F"/>
    <w:rsid w:val="00A41B39"/>
    <w:rsid w:val="00A41DB0"/>
    <w:rsid w:val="00A42494"/>
    <w:rsid w:val="00A442C2"/>
    <w:rsid w:val="00A44916"/>
    <w:rsid w:val="00A456F9"/>
    <w:rsid w:val="00A4773E"/>
    <w:rsid w:val="00A5292C"/>
    <w:rsid w:val="00A52EAC"/>
    <w:rsid w:val="00A53512"/>
    <w:rsid w:val="00A53929"/>
    <w:rsid w:val="00A54019"/>
    <w:rsid w:val="00A55423"/>
    <w:rsid w:val="00A60457"/>
    <w:rsid w:val="00A610A0"/>
    <w:rsid w:val="00A6132C"/>
    <w:rsid w:val="00A62B81"/>
    <w:rsid w:val="00A62CD6"/>
    <w:rsid w:val="00A62F09"/>
    <w:rsid w:val="00A63011"/>
    <w:rsid w:val="00A70E6F"/>
    <w:rsid w:val="00A71FE9"/>
    <w:rsid w:val="00A72751"/>
    <w:rsid w:val="00A72845"/>
    <w:rsid w:val="00A72C44"/>
    <w:rsid w:val="00A72EDC"/>
    <w:rsid w:val="00A75BBC"/>
    <w:rsid w:val="00A76A2A"/>
    <w:rsid w:val="00A77C6F"/>
    <w:rsid w:val="00A8038D"/>
    <w:rsid w:val="00A81BBB"/>
    <w:rsid w:val="00A81BBC"/>
    <w:rsid w:val="00A820C2"/>
    <w:rsid w:val="00A853D7"/>
    <w:rsid w:val="00A860BB"/>
    <w:rsid w:val="00A876C3"/>
    <w:rsid w:val="00A90F95"/>
    <w:rsid w:val="00A913EE"/>
    <w:rsid w:val="00A960C6"/>
    <w:rsid w:val="00A96173"/>
    <w:rsid w:val="00AA0188"/>
    <w:rsid w:val="00AA035E"/>
    <w:rsid w:val="00AA0506"/>
    <w:rsid w:val="00AA0E25"/>
    <w:rsid w:val="00AA1E40"/>
    <w:rsid w:val="00AA1EDD"/>
    <w:rsid w:val="00AA2BE1"/>
    <w:rsid w:val="00AA3276"/>
    <w:rsid w:val="00AA6E05"/>
    <w:rsid w:val="00AA741C"/>
    <w:rsid w:val="00AA78EA"/>
    <w:rsid w:val="00AB1F93"/>
    <w:rsid w:val="00AB1F96"/>
    <w:rsid w:val="00AB29BE"/>
    <w:rsid w:val="00AB4C00"/>
    <w:rsid w:val="00AB4D67"/>
    <w:rsid w:val="00AB576B"/>
    <w:rsid w:val="00AB620F"/>
    <w:rsid w:val="00AC1A0E"/>
    <w:rsid w:val="00AC279E"/>
    <w:rsid w:val="00AC3605"/>
    <w:rsid w:val="00AC3B4B"/>
    <w:rsid w:val="00AC3D8C"/>
    <w:rsid w:val="00AC4B1B"/>
    <w:rsid w:val="00AC53A8"/>
    <w:rsid w:val="00AC5987"/>
    <w:rsid w:val="00AC6164"/>
    <w:rsid w:val="00AC7A7E"/>
    <w:rsid w:val="00AD24D1"/>
    <w:rsid w:val="00AD2DAD"/>
    <w:rsid w:val="00AD3DEB"/>
    <w:rsid w:val="00AD4576"/>
    <w:rsid w:val="00AD6342"/>
    <w:rsid w:val="00AD6427"/>
    <w:rsid w:val="00AD6E91"/>
    <w:rsid w:val="00AD7885"/>
    <w:rsid w:val="00AE0BB5"/>
    <w:rsid w:val="00AE1EDA"/>
    <w:rsid w:val="00AE2ACD"/>
    <w:rsid w:val="00AE4967"/>
    <w:rsid w:val="00AE6603"/>
    <w:rsid w:val="00AE6931"/>
    <w:rsid w:val="00AE7149"/>
    <w:rsid w:val="00AE79D9"/>
    <w:rsid w:val="00AF0484"/>
    <w:rsid w:val="00AF06FC"/>
    <w:rsid w:val="00AF0893"/>
    <w:rsid w:val="00AF25B1"/>
    <w:rsid w:val="00AF3226"/>
    <w:rsid w:val="00AF360E"/>
    <w:rsid w:val="00AF5283"/>
    <w:rsid w:val="00AF5822"/>
    <w:rsid w:val="00AF6F75"/>
    <w:rsid w:val="00B00444"/>
    <w:rsid w:val="00B00E97"/>
    <w:rsid w:val="00B01672"/>
    <w:rsid w:val="00B01C8F"/>
    <w:rsid w:val="00B02F9C"/>
    <w:rsid w:val="00B03544"/>
    <w:rsid w:val="00B045E9"/>
    <w:rsid w:val="00B05055"/>
    <w:rsid w:val="00B05186"/>
    <w:rsid w:val="00B055D8"/>
    <w:rsid w:val="00B07C8E"/>
    <w:rsid w:val="00B07E99"/>
    <w:rsid w:val="00B1019C"/>
    <w:rsid w:val="00B12F4A"/>
    <w:rsid w:val="00B14563"/>
    <w:rsid w:val="00B14C06"/>
    <w:rsid w:val="00B14C4E"/>
    <w:rsid w:val="00B15200"/>
    <w:rsid w:val="00B15A9E"/>
    <w:rsid w:val="00B16A25"/>
    <w:rsid w:val="00B17006"/>
    <w:rsid w:val="00B176AD"/>
    <w:rsid w:val="00B17B32"/>
    <w:rsid w:val="00B22298"/>
    <w:rsid w:val="00B236AD"/>
    <w:rsid w:val="00B23B14"/>
    <w:rsid w:val="00B23E04"/>
    <w:rsid w:val="00B27EDB"/>
    <w:rsid w:val="00B30F86"/>
    <w:rsid w:val="00B32A6A"/>
    <w:rsid w:val="00B34731"/>
    <w:rsid w:val="00B348A8"/>
    <w:rsid w:val="00B35789"/>
    <w:rsid w:val="00B41689"/>
    <w:rsid w:val="00B42190"/>
    <w:rsid w:val="00B43195"/>
    <w:rsid w:val="00B432D3"/>
    <w:rsid w:val="00B46D7F"/>
    <w:rsid w:val="00B5066D"/>
    <w:rsid w:val="00B506B6"/>
    <w:rsid w:val="00B5141F"/>
    <w:rsid w:val="00B5251B"/>
    <w:rsid w:val="00B52F87"/>
    <w:rsid w:val="00B53EEA"/>
    <w:rsid w:val="00B56101"/>
    <w:rsid w:val="00B5654F"/>
    <w:rsid w:val="00B56CBF"/>
    <w:rsid w:val="00B57A91"/>
    <w:rsid w:val="00B60947"/>
    <w:rsid w:val="00B60A5E"/>
    <w:rsid w:val="00B629B8"/>
    <w:rsid w:val="00B62D58"/>
    <w:rsid w:val="00B6314F"/>
    <w:rsid w:val="00B6320F"/>
    <w:rsid w:val="00B63EEB"/>
    <w:rsid w:val="00B64750"/>
    <w:rsid w:val="00B6511B"/>
    <w:rsid w:val="00B66203"/>
    <w:rsid w:val="00B70387"/>
    <w:rsid w:val="00B72112"/>
    <w:rsid w:val="00B72A2E"/>
    <w:rsid w:val="00B746FA"/>
    <w:rsid w:val="00B74B05"/>
    <w:rsid w:val="00B750D5"/>
    <w:rsid w:val="00B80F52"/>
    <w:rsid w:val="00B8303B"/>
    <w:rsid w:val="00B83D79"/>
    <w:rsid w:val="00B83EED"/>
    <w:rsid w:val="00B845A0"/>
    <w:rsid w:val="00B84CFD"/>
    <w:rsid w:val="00B85525"/>
    <w:rsid w:val="00B85B02"/>
    <w:rsid w:val="00B860AD"/>
    <w:rsid w:val="00B87058"/>
    <w:rsid w:val="00B9139B"/>
    <w:rsid w:val="00B929F3"/>
    <w:rsid w:val="00B95493"/>
    <w:rsid w:val="00B96BC8"/>
    <w:rsid w:val="00BA00A2"/>
    <w:rsid w:val="00BA01FF"/>
    <w:rsid w:val="00BA2872"/>
    <w:rsid w:val="00BA292F"/>
    <w:rsid w:val="00BA3C1C"/>
    <w:rsid w:val="00BA4BD5"/>
    <w:rsid w:val="00BA578D"/>
    <w:rsid w:val="00BA74BE"/>
    <w:rsid w:val="00BB02E1"/>
    <w:rsid w:val="00BB0E41"/>
    <w:rsid w:val="00BB2047"/>
    <w:rsid w:val="00BB26F9"/>
    <w:rsid w:val="00BB34F1"/>
    <w:rsid w:val="00BB5027"/>
    <w:rsid w:val="00BB5349"/>
    <w:rsid w:val="00BB6352"/>
    <w:rsid w:val="00BB651F"/>
    <w:rsid w:val="00BB7140"/>
    <w:rsid w:val="00BC0309"/>
    <w:rsid w:val="00BC4240"/>
    <w:rsid w:val="00BC5889"/>
    <w:rsid w:val="00BC649B"/>
    <w:rsid w:val="00BD0A0E"/>
    <w:rsid w:val="00BD1985"/>
    <w:rsid w:val="00BD280F"/>
    <w:rsid w:val="00BD55C9"/>
    <w:rsid w:val="00BD6342"/>
    <w:rsid w:val="00BD6842"/>
    <w:rsid w:val="00BD71ED"/>
    <w:rsid w:val="00BE1040"/>
    <w:rsid w:val="00BE13BB"/>
    <w:rsid w:val="00BE16CC"/>
    <w:rsid w:val="00BE19A0"/>
    <w:rsid w:val="00BE2055"/>
    <w:rsid w:val="00BE40E4"/>
    <w:rsid w:val="00BE520E"/>
    <w:rsid w:val="00BE5843"/>
    <w:rsid w:val="00BE6184"/>
    <w:rsid w:val="00BE71F3"/>
    <w:rsid w:val="00BE7220"/>
    <w:rsid w:val="00BE763B"/>
    <w:rsid w:val="00BF1FAC"/>
    <w:rsid w:val="00BF4884"/>
    <w:rsid w:val="00BF601B"/>
    <w:rsid w:val="00BF60CA"/>
    <w:rsid w:val="00BF6934"/>
    <w:rsid w:val="00BF726C"/>
    <w:rsid w:val="00C02C28"/>
    <w:rsid w:val="00C030AA"/>
    <w:rsid w:val="00C05832"/>
    <w:rsid w:val="00C05A2D"/>
    <w:rsid w:val="00C10799"/>
    <w:rsid w:val="00C117EC"/>
    <w:rsid w:val="00C12B2E"/>
    <w:rsid w:val="00C1322F"/>
    <w:rsid w:val="00C166A6"/>
    <w:rsid w:val="00C16E59"/>
    <w:rsid w:val="00C17DE3"/>
    <w:rsid w:val="00C17F86"/>
    <w:rsid w:val="00C20F69"/>
    <w:rsid w:val="00C21B5A"/>
    <w:rsid w:val="00C21E21"/>
    <w:rsid w:val="00C227F7"/>
    <w:rsid w:val="00C240CA"/>
    <w:rsid w:val="00C24432"/>
    <w:rsid w:val="00C25E10"/>
    <w:rsid w:val="00C2692E"/>
    <w:rsid w:val="00C30FD6"/>
    <w:rsid w:val="00C312AC"/>
    <w:rsid w:val="00C33D63"/>
    <w:rsid w:val="00C35C27"/>
    <w:rsid w:val="00C41606"/>
    <w:rsid w:val="00C41624"/>
    <w:rsid w:val="00C42178"/>
    <w:rsid w:val="00C42640"/>
    <w:rsid w:val="00C42823"/>
    <w:rsid w:val="00C42A6C"/>
    <w:rsid w:val="00C44B5A"/>
    <w:rsid w:val="00C45CD7"/>
    <w:rsid w:val="00C469CA"/>
    <w:rsid w:val="00C46ABE"/>
    <w:rsid w:val="00C47CE0"/>
    <w:rsid w:val="00C50C84"/>
    <w:rsid w:val="00C51E68"/>
    <w:rsid w:val="00C53B45"/>
    <w:rsid w:val="00C54EF1"/>
    <w:rsid w:val="00C558D2"/>
    <w:rsid w:val="00C55E8C"/>
    <w:rsid w:val="00C56C2B"/>
    <w:rsid w:val="00C57989"/>
    <w:rsid w:val="00C6058F"/>
    <w:rsid w:val="00C60DF2"/>
    <w:rsid w:val="00C6323B"/>
    <w:rsid w:val="00C63330"/>
    <w:rsid w:val="00C65D8E"/>
    <w:rsid w:val="00C66F3E"/>
    <w:rsid w:val="00C7386F"/>
    <w:rsid w:val="00C73943"/>
    <w:rsid w:val="00C73D70"/>
    <w:rsid w:val="00C73DBC"/>
    <w:rsid w:val="00C756CD"/>
    <w:rsid w:val="00C75FB4"/>
    <w:rsid w:val="00C760B7"/>
    <w:rsid w:val="00C76550"/>
    <w:rsid w:val="00C76751"/>
    <w:rsid w:val="00C77A2A"/>
    <w:rsid w:val="00C80560"/>
    <w:rsid w:val="00C821C9"/>
    <w:rsid w:val="00C844D4"/>
    <w:rsid w:val="00C84DE4"/>
    <w:rsid w:val="00C91407"/>
    <w:rsid w:val="00C9208F"/>
    <w:rsid w:val="00C92AA3"/>
    <w:rsid w:val="00C92CCE"/>
    <w:rsid w:val="00C930FB"/>
    <w:rsid w:val="00C9346B"/>
    <w:rsid w:val="00C93BE2"/>
    <w:rsid w:val="00C9495B"/>
    <w:rsid w:val="00C94CF9"/>
    <w:rsid w:val="00CA0494"/>
    <w:rsid w:val="00CA06AB"/>
    <w:rsid w:val="00CA10D1"/>
    <w:rsid w:val="00CA18D2"/>
    <w:rsid w:val="00CA2A9B"/>
    <w:rsid w:val="00CA2C1E"/>
    <w:rsid w:val="00CA3564"/>
    <w:rsid w:val="00CA36BD"/>
    <w:rsid w:val="00CA415C"/>
    <w:rsid w:val="00CA507C"/>
    <w:rsid w:val="00CA6BAA"/>
    <w:rsid w:val="00CA6E88"/>
    <w:rsid w:val="00CA76C5"/>
    <w:rsid w:val="00CA7CBE"/>
    <w:rsid w:val="00CB0075"/>
    <w:rsid w:val="00CB0A15"/>
    <w:rsid w:val="00CB0E5D"/>
    <w:rsid w:val="00CB21AE"/>
    <w:rsid w:val="00CB24D8"/>
    <w:rsid w:val="00CB4314"/>
    <w:rsid w:val="00CB4F51"/>
    <w:rsid w:val="00CB4FB0"/>
    <w:rsid w:val="00CB5C36"/>
    <w:rsid w:val="00CB788A"/>
    <w:rsid w:val="00CC0DB1"/>
    <w:rsid w:val="00CC36C3"/>
    <w:rsid w:val="00CC495F"/>
    <w:rsid w:val="00CC49BF"/>
    <w:rsid w:val="00CC638D"/>
    <w:rsid w:val="00CC71B8"/>
    <w:rsid w:val="00CC74C6"/>
    <w:rsid w:val="00CC7C9A"/>
    <w:rsid w:val="00CD0922"/>
    <w:rsid w:val="00CD0AFC"/>
    <w:rsid w:val="00CD26A2"/>
    <w:rsid w:val="00CD308B"/>
    <w:rsid w:val="00CD31FF"/>
    <w:rsid w:val="00CD3A3F"/>
    <w:rsid w:val="00CD3AF2"/>
    <w:rsid w:val="00CD4178"/>
    <w:rsid w:val="00CD4FF8"/>
    <w:rsid w:val="00CD5506"/>
    <w:rsid w:val="00CD5C45"/>
    <w:rsid w:val="00CD6CA9"/>
    <w:rsid w:val="00CE032B"/>
    <w:rsid w:val="00CE129C"/>
    <w:rsid w:val="00CE1CF5"/>
    <w:rsid w:val="00CE4436"/>
    <w:rsid w:val="00CE4547"/>
    <w:rsid w:val="00CE73BA"/>
    <w:rsid w:val="00CE7BE7"/>
    <w:rsid w:val="00CF120B"/>
    <w:rsid w:val="00CF37CC"/>
    <w:rsid w:val="00CF5914"/>
    <w:rsid w:val="00CF5BF4"/>
    <w:rsid w:val="00CF6146"/>
    <w:rsid w:val="00D00ACD"/>
    <w:rsid w:val="00D030A3"/>
    <w:rsid w:val="00D03CC1"/>
    <w:rsid w:val="00D0431C"/>
    <w:rsid w:val="00D0484E"/>
    <w:rsid w:val="00D04A75"/>
    <w:rsid w:val="00D059B3"/>
    <w:rsid w:val="00D10AA5"/>
    <w:rsid w:val="00D10BDD"/>
    <w:rsid w:val="00D12454"/>
    <w:rsid w:val="00D12E5A"/>
    <w:rsid w:val="00D150A0"/>
    <w:rsid w:val="00D16064"/>
    <w:rsid w:val="00D16552"/>
    <w:rsid w:val="00D17B29"/>
    <w:rsid w:val="00D2374E"/>
    <w:rsid w:val="00D2435C"/>
    <w:rsid w:val="00D24626"/>
    <w:rsid w:val="00D251F1"/>
    <w:rsid w:val="00D303F3"/>
    <w:rsid w:val="00D3167D"/>
    <w:rsid w:val="00D317CB"/>
    <w:rsid w:val="00D3199B"/>
    <w:rsid w:val="00D31CA0"/>
    <w:rsid w:val="00D32285"/>
    <w:rsid w:val="00D32546"/>
    <w:rsid w:val="00D32BBB"/>
    <w:rsid w:val="00D33962"/>
    <w:rsid w:val="00D35EE0"/>
    <w:rsid w:val="00D36186"/>
    <w:rsid w:val="00D36843"/>
    <w:rsid w:val="00D37145"/>
    <w:rsid w:val="00D3734B"/>
    <w:rsid w:val="00D4030D"/>
    <w:rsid w:val="00D41CA0"/>
    <w:rsid w:val="00D41F09"/>
    <w:rsid w:val="00D44207"/>
    <w:rsid w:val="00D4590E"/>
    <w:rsid w:val="00D46FD0"/>
    <w:rsid w:val="00D50269"/>
    <w:rsid w:val="00D50F52"/>
    <w:rsid w:val="00D51206"/>
    <w:rsid w:val="00D51912"/>
    <w:rsid w:val="00D5305C"/>
    <w:rsid w:val="00D53E4F"/>
    <w:rsid w:val="00D548D7"/>
    <w:rsid w:val="00D54C16"/>
    <w:rsid w:val="00D54CFD"/>
    <w:rsid w:val="00D55B8A"/>
    <w:rsid w:val="00D56D0E"/>
    <w:rsid w:val="00D570D0"/>
    <w:rsid w:val="00D60D39"/>
    <w:rsid w:val="00D61687"/>
    <w:rsid w:val="00D61793"/>
    <w:rsid w:val="00D61998"/>
    <w:rsid w:val="00D64888"/>
    <w:rsid w:val="00D65B01"/>
    <w:rsid w:val="00D6665D"/>
    <w:rsid w:val="00D66C01"/>
    <w:rsid w:val="00D70094"/>
    <w:rsid w:val="00D71290"/>
    <w:rsid w:val="00D714CD"/>
    <w:rsid w:val="00D7196A"/>
    <w:rsid w:val="00D722F7"/>
    <w:rsid w:val="00D72749"/>
    <w:rsid w:val="00D73759"/>
    <w:rsid w:val="00D75F1E"/>
    <w:rsid w:val="00D764C9"/>
    <w:rsid w:val="00D76A78"/>
    <w:rsid w:val="00D77F30"/>
    <w:rsid w:val="00D8135C"/>
    <w:rsid w:val="00D833AD"/>
    <w:rsid w:val="00D85161"/>
    <w:rsid w:val="00D85D5D"/>
    <w:rsid w:val="00D8722F"/>
    <w:rsid w:val="00D93673"/>
    <w:rsid w:val="00D93C9C"/>
    <w:rsid w:val="00D96C05"/>
    <w:rsid w:val="00DA064F"/>
    <w:rsid w:val="00DA27A0"/>
    <w:rsid w:val="00DA3501"/>
    <w:rsid w:val="00DA44B7"/>
    <w:rsid w:val="00DA6759"/>
    <w:rsid w:val="00DA6ACB"/>
    <w:rsid w:val="00DA6F38"/>
    <w:rsid w:val="00DA7A66"/>
    <w:rsid w:val="00DB16CB"/>
    <w:rsid w:val="00DB2B4E"/>
    <w:rsid w:val="00DB3F84"/>
    <w:rsid w:val="00DB4096"/>
    <w:rsid w:val="00DB432A"/>
    <w:rsid w:val="00DB7165"/>
    <w:rsid w:val="00DC03D9"/>
    <w:rsid w:val="00DC2AEC"/>
    <w:rsid w:val="00DC675C"/>
    <w:rsid w:val="00DD0BC3"/>
    <w:rsid w:val="00DD1132"/>
    <w:rsid w:val="00DD2AD7"/>
    <w:rsid w:val="00DD2C47"/>
    <w:rsid w:val="00DD2EBA"/>
    <w:rsid w:val="00DD4256"/>
    <w:rsid w:val="00DD512D"/>
    <w:rsid w:val="00DD59C3"/>
    <w:rsid w:val="00DD72E8"/>
    <w:rsid w:val="00DD7538"/>
    <w:rsid w:val="00DE0036"/>
    <w:rsid w:val="00DE1600"/>
    <w:rsid w:val="00DE197E"/>
    <w:rsid w:val="00DE3EA0"/>
    <w:rsid w:val="00DE3FD5"/>
    <w:rsid w:val="00DE469E"/>
    <w:rsid w:val="00DE6C36"/>
    <w:rsid w:val="00DE7CE4"/>
    <w:rsid w:val="00DF0519"/>
    <w:rsid w:val="00DF2A0C"/>
    <w:rsid w:val="00DF46A1"/>
    <w:rsid w:val="00DF49D5"/>
    <w:rsid w:val="00DF4B9D"/>
    <w:rsid w:val="00E01598"/>
    <w:rsid w:val="00E01EA8"/>
    <w:rsid w:val="00E05427"/>
    <w:rsid w:val="00E05D7A"/>
    <w:rsid w:val="00E1088C"/>
    <w:rsid w:val="00E10BDA"/>
    <w:rsid w:val="00E1190F"/>
    <w:rsid w:val="00E11D50"/>
    <w:rsid w:val="00E13B5F"/>
    <w:rsid w:val="00E155AD"/>
    <w:rsid w:val="00E162C7"/>
    <w:rsid w:val="00E20471"/>
    <w:rsid w:val="00E21ACB"/>
    <w:rsid w:val="00E2269C"/>
    <w:rsid w:val="00E22A50"/>
    <w:rsid w:val="00E23620"/>
    <w:rsid w:val="00E23D2D"/>
    <w:rsid w:val="00E23E95"/>
    <w:rsid w:val="00E24804"/>
    <w:rsid w:val="00E30AFF"/>
    <w:rsid w:val="00E3100E"/>
    <w:rsid w:val="00E321C5"/>
    <w:rsid w:val="00E32C7E"/>
    <w:rsid w:val="00E33A61"/>
    <w:rsid w:val="00E34E77"/>
    <w:rsid w:val="00E36F62"/>
    <w:rsid w:val="00E37711"/>
    <w:rsid w:val="00E401C3"/>
    <w:rsid w:val="00E41134"/>
    <w:rsid w:val="00E42A31"/>
    <w:rsid w:val="00E44632"/>
    <w:rsid w:val="00E45916"/>
    <w:rsid w:val="00E47998"/>
    <w:rsid w:val="00E50519"/>
    <w:rsid w:val="00E51655"/>
    <w:rsid w:val="00E51759"/>
    <w:rsid w:val="00E51CF7"/>
    <w:rsid w:val="00E51F10"/>
    <w:rsid w:val="00E5299A"/>
    <w:rsid w:val="00E561CD"/>
    <w:rsid w:val="00E56B3C"/>
    <w:rsid w:val="00E573B3"/>
    <w:rsid w:val="00E602F9"/>
    <w:rsid w:val="00E60564"/>
    <w:rsid w:val="00E60752"/>
    <w:rsid w:val="00E61298"/>
    <w:rsid w:val="00E6184B"/>
    <w:rsid w:val="00E628E3"/>
    <w:rsid w:val="00E62C0A"/>
    <w:rsid w:val="00E709BD"/>
    <w:rsid w:val="00E713DB"/>
    <w:rsid w:val="00E720E0"/>
    <w:rsid w:val="00E7278F"/>
    <w:rsid w:val="00E74774"/>
    <w:rsid w:val="00E75027"/>
    <w:rsid w:val="00E768C8"/>
    <w:rsid w:val="00E807D7"/>
    <w:rsid w:val="00E82045"/>
    <w:rsid w:val="00E833C6"/>
    <w:rsid w:val="00E847CF"/>
    <w:rsid w:val="00E87133"/>
    <w:rsid w:val="00E876F1"/>
    <w:rsid w:val="00E87B7B"/>
    <w:rsid w:val="00E87E03"/>
    <w:rsid w:val="00E87FE6"/>
    <w:rsid w:val="00E927FD"/>
    <w:rsid w:val="00E94178"/>
    <w:rsid w:val="00E94749"/>
    <w:rsid w:val="00E959DF"/>
    <w:rsid w:val="00E97E36"/>
    <w:rsid w:val="00EA1336"/>
    <w:rsid w:val="00EA14F4"/>
    <w:rsid w:val="00EA3C07"/>
    <w:rsid w:val="00EA4D9C"/>
    <w:rsid w:val="00EA51A6"/>
    <w:rsid w:val="00EA5483"/>
    <w:rsid w:val="00EA725B"/>
    <w:rsid w:val="00EB000D"/>
    <w:rsid w:val="00EB25E7"/>
    <w:rsid w:val="00EB4014"/>
    <w:rsid w:val="00EB42CB"/>
    <w:rsid w:val="00EC05B9"/>
    <w:rsid w:val="00EC0958"/>
    <w:rsid w:val="00EC09C8"/>
    <w:rsid w:val="00EC0C1C"/>
    <w:rsid w:val="00EC0D36"/>
    <w:rsid w:val="00EC1791"/>
    <w:rsid w:val="00EC2A1C"/>
    <w:rsid w:val="00EC2FDC"/>
    <w:rsid w:val="00EC4AB4"/>
    <w:rsid w:val="00EC7648"/>
    <w:rsid w:val="00EC7997"/>
    <w:rsid w:val="00ED06F9"/>
    <w:rsid w:val="00ED19E4"/>
    <w:rsid w:val="00ED293D"/>
    <w:rsid w:val="00ED43AA"/>
    <w:rsid w:val="00ED667A"/>
    <w:rsid w:val="00EE0CFB"/>
    <w:rsid w:val="00EE1A48"/>
    <w:rsid w:val="00EE2847"/>
    <w:rsid w:val="00EE5EB7"/>
    <w:rsid w:val="00EE6288"/>
    <w:rsid w:val="00EE7D70"/>
    <w:rsid w:val="00EF0683"/>
    <w:rsid w:val="00EF1317"/>
    <w:rsid w:val="00EF1D50"/>
    <w:rsid w:val="00EF1F90"/>
    <w:rsid w:val="00EF3D6D"/>
    <w:rsid w:val="00EF44BA"/>
    <w:rsid w:val="00EF48F6"/>
    <w:rsid w:val="00EF5511"/>
    <w:rsid w:val="00EF677D"/>
    <w:rsid w:val="00EF6A95"/>
    <w:rsid w:val="00F01495"/>
    <w:rsid w:val="00F01626"/>
    <w:rsid w:val="00F02113"/>
    <w:rsid w:val="00F034C6"/>
    <w:rsid w:val="00F06177"/>
    <w:rsid w:val="00F06D60"/>
    <w:rsid w:val="00F10A77"/>
    <w:rsid w:val="00F114F8"/>
    <w:rsid w:val="00F11FAD"/>
    <w:rsid w:val="00F123EC"/>
    <w:rsid w:val="00F12F1E"/>
    <w:rsid w:val="00F134D0"/>
    <w:rsid w:val="00F14E27"/>
    <w:rsid w:val="00F1506A"/>
    <w:rsid w:val="00F15CC3"/>
    <w:rsid w:val="00F20EAC"/>
    <w:rsid w:val="00F22A24"/>
    <w:rsid w:val="00F233F1"/>
    <w:rsid w:val="00F2571A"/>
    <w:rsid w:val="00F25C3A"/>
    <w:rsid w:val="00F25CF5"/>
    <w:rsid w:val="00F27484"/>
    <w:rsid w:val="00F30646"/>
    <w:rsid w:val="00F31666"/>
    <w:rsid w:val="00F31F54"/>
    <w:rsid w:val="00F33147"/>
    <w:rsid w:val="00F33BFA"/>
    <w:rsid w:val="00F3719F"/>
    <w:rsid w:val="00F45494"/>
    <w:rsid w:val="00F46244"/>
    <w:rsid w:val="00F4737F"/>
    <w:rsid w:val="00F47E20"/>
    <w:rsid w:val="00F50456"/>
    <w:rsid w:val="00F5569F"/>
    <w:rsid w:val="00F564DA"/>
    <w:rsid w:val="00F56D73"/>
    <w:rsid w:val="00F56F99"/>
    <w:rsid w:val="00F601E4"/>
    <w:rsid w:val="00F60FB6"/>
    <w:rsid w:val="00F61416"/>
    <w:rsid w:val="00F61F40"/>
    <w:rsid w:val="00F63971"/>
    <w:rsid w:val="00F63AE8"/>
    <w:rsid w:val="00F664A3"/>
    <w:rsid w:val="00F66712"/>
    <w:rsid w:val="00F71A1D"/>
    <w:rsid w:val="00F71C70"/>
    <w:rsid w:val="00F72440"/>
    <w:rsid w:val="00F73249"/>
    <w:rsid w:val="00F74B6F"/>
    <w:rsid w:val="00F74F81"/>
    <w:rsid w:val="00F74F9D"/>
    <w:rsid w:val="00F767E9"/>
    <w:rsid w:val="00F83921"/>
    <w:rsid w:val="00F84170"/>
    <w:rsid w:val="00F84233"/>
    <w:rsid w:val="00F874FE"/>
    <w:rsid w:val="00F9187A"/>
    <w:rsid w:val="00F92652"/>
    <w:rsid w:val="00F934A5"/>
    <w:rsid w:val="00F9406C"/>
    <w:rsid w:val="00F942FB"/>
    <w:rsid w:val="00F9443C"/>
    <w:rsid w:val="00F9604A"/>
    <w:rsid w:val="00F972E5"/>
    <w:rsid w:val="00FA0D29"/>
    <w:rsid w:val="00FA1461"/>
    <w:rsid w:val="00FA1F07"/>
    <w:rsid w:val="00FA273A"/>
    <w:rsid w:val="00FA3220"/>
    <w:rsid w:val="00FA3F2F"/>
    <w:rsid w:val="00FA53AF"/>
    <w:rsid w:val="00FA77DF"/>
    <w:rsid w:val="00FB0445"/>
    <w:rsid w:val="00FB314B"/>
    <w:rsid w:val="00FB3D2E"/>
    <w:rsid w:val="00FB3E10"/>
    <w:rsid w:val="00FB4CBE"/>
    <w:rsid w:val="00FB5B2D"/>
    <w:rsid w:val="00FB6556"/>
    <w:rsid w:val="00FC01FF"/>
    <w:rsid w:val="00FC3355"/>
    <w:rsid w:val="00FC3A29"/>
    <w:rsid w:val="00FC4FD5"/>
    <w:rsid w:val="00FC63DC"/>
    <w:rsid w:val="00FC6A15"/>
    <w:rsid w:val="00FD1003"/>
    <w:rsid w:val="00FD2541"/>
    <w:rsid w:val="00FD397D"/>
    <w:rsid w:val="00FD3EFE"/>
    <w:rsid w:val="00FD5F52"/>
    <w:rsid w:val="00FD67E0"/>
    <w:rsid w:val="00FD6D46"/>
    <w:rsid w:val="00FE0156"/>
    <w:rsid w:val="00FE0B1A"/>
    <w:rsid w:val="00FE2221"/>
    <w:rsid w:val="00FE313E"/>
    <w:rsid w:val="00FE3208"/>
    <w:rsid w:val="00FE52D1"/>
    <w:rsid w:val="00FE6184"/>
    <w:rsid w:val="00FF08C6"/>
    <w:rsid w:val="00FF0C06"/>
    <w:rsid w:val="00FF0F35"/>
    <w:rsid w:val="00FF1D65"/>
    <w:rsid w:val="00FF2B1F"/>
    <w:rsid w:val="00FF3083"/>
    <w:rsid w:val="00FF333B"/>
    <w:rsid w:val="00FF3D34"/>
    <w:rsid w:val="00FF5E24"/>
    <w:rsid w:val="00FF7010"/>
    <w:rsid w:val="00FF729A"/>
    <w:rsid w:val="00FF7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B8A03"/>
  <w15:chartTrackingRefBased/>
  <w15:docId w15:val="{CCC6EAE3-90EC-4CF2-8BA2-8AC3656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1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5246"/>
    <w:pPr>
      <w:keepNext/>
      <w:keepLines/>
      <w:numPr>
        <w:numId w:val="3"/>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5246"/>
    <w:pPr>
      <w:keepNext/>
      <w:keepLines/>
      <w:numPr>
        <w:ilvl w:val="1"/>
        <w:numId w:val="3"/>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5246"/>
    <w:pPr>
      <w:keepNext/>
      <w:keepLines/>
      <w:numPr>
        <w:ilvl w:val="2"/>
        <w:numId w:val="3"/>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C5246"/>
    <w:pPr>
      <w:keepNext/>
      <w:keepLines/>
      <w:numPr>
        <w:ilvl w:val="3"/>
        <w:numId w:val="3"/>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2C5246"/>
    <w:pPr>
      <w:keepNext/>
      <w:keepLines/>
      <w:numPr>
        <w:ilvl w:val="4"/>
        <w:numId w:val="3"/>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2C5246"/>
    <w:pPr>
      <w:keepNext/>
      <w:keepLines/>
      <w:numPr>
        <w:ilvl w:val="5"/>
        <w:numId w:val="3"/>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2C5246"/>
    <w:pPr>
      <w:keepNext/>
      <w:keepLines/>
      <w:numPr>
        <w:ilvl w:val="6"/>
        <w:numId w:val="3"/>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2C524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524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126"/>
    <w:pPr>
      <w:spacing w:after="0" w:line="240" w:lineRule="auto"/>
    </w:pPr>
    <w:rPr>
      <w:rFonts w:ascii="Times New Roman" w:hAnsi="Times New Roman"/>
      <w:sz w:val="24"/>
    </w:rPr>
  </w:style>
  <w:style w:type="character" w:styleId="Hyperlink">
    <w:name w:val="Hyperlink"/>
    <w:basedOn w:val="DefaultParagraphFont"/>
    <w:uiPriority w:val="99"/>
    <w:unhideWhenUsed/>
    <w:rsid w:val="000A4126"/>
    <w:rPr>
      <w:color w:val="0563C1" w:themeColor="hyperlink"/>
      <w:u w:val="single"/>
    </w:rPr>
  </w:style>
  <w:style w:type="paragraph" w:styleId="TableofFigures">
    <w:name w:val="table of figures"/>
    <w:basedOn w:val="Normal"/>
    <w:next w:val="Normal"/>
    <w:uiPriority w:val="99"/>
    <w:unhideWhenUsed/>
    <w:rsid w:val="000A4126"/>
    <w:rPr>
      <w:szCs w:val="24"/>
    </w:rPr>
  </w:style>
  <w:style w:type="table" w:styleId="TableGrid">
    <w:name w:val="Table Grid"/>
    <w:basedOn w:val="TableNormal"/>
    <w:uiPriority w:val="39"/>
    <w:rsid w:val="00B5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C524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2C5246"/>
    <w:rPr>
      <w:rFonts w:ascii="Calibri" w:eastAsia="Times New Roman" w:hAnsi="Calibri" w:cs="Times New Roman"/>
      <w:lang w:val="x-none" w:eastAsia="x-none"/>
    </w:rPr>
  </w:style>
  <w:style w:type="character" w:customStyle="1" w:styleId="Heading1Char">
    <w:name w:val="Heading 1 Char"/>
    <w:basedOn w:val="DefaultParagraphFont"/>
    <w:link w:val="Heading1"/>
    <w:uiPriority w:val="9"/>
    <w:rsid w:val="002C5246"/>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2C5246"/>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C524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2C524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C524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2C52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524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qFormat/>
    <w:rsid w:val="00AA78EA"/>
    <w:rPr>
      <w:b/>
      <w:bCs/>
      <w:sz w:val="20"/>
    </w:rPr>
  </w:style>
  <w:style w:type="paragraph" w:styleId="Header">
    <w:name w:val="header"/>
    <w:basedOn w:val="Normal"/>
    <w:link w:val="HeaderChar"/>
    <w:uiPriority w:val="99"/>
    <w:unhideWhenUsed/>
    <w:rsid w:val="00F45494"/>
    <w:pPr>
      <w:tabs>
        <w:tab w:val="center" w:pos="4680"/>
        <w:tab w:val="right" w:pos="9360"/>
      </w:tabs>
    </w:pPr>
  </w:style>
  <w:style w:type="character" w:customStyle="1" w:styleId="HeaderChar">
    <w:name w:val="Header Char"/>
    <w:basedOn w:val="DefaultParagraphFont"/>
    <w:link w:val="Header"/>
    <w:uiPriority w:val="99"/>
    <w:rsid w:val="00F454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5494"/>
    <w:pPr>
      <w:tabs>
        <w:tab w:val="center" w:pos="4680"/>
        <w:tab w:val="right" w:pos="9360"/>
      </w:tabs>
    </w:pPr>
  </w:style>
  <w:style w:type="character" w:customStyle="1" w:styleId="FooterChar">
    <w:name w:val="Footer Char"/>
    <w:basedOn w:val="DefaultParagraphFont"/>
    <w:link w:val="Footer"/>
    <w:uiPriority w:val="99"/>
    <w:rsid w:val="00F4549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F0E61"/>
    <w:rPr>
      <w:color w:val="605E5C"/>
      <w:shd w:val="clear" w:color="auto" w:fill="E1DFDD"/>
    </w:rPr>
  </w:style>
  <w:style w:type="paragraph" w:customStyle="1" w:styleId="paragraph">
    <w:name w:val="paragraph"/>
    <w:basedOn w:val="Normal"/>
    <w:rsid w:val="0088337E"/>
    <w:pPr>
      <w:spacing w:before="100" w:beforeAutospacing="1" w:after="100" w:afterAutospacing="1"/>
    </w:pPr>
    <w:rPr>
      <w:szCs w:val="24"/>
    </w:rPr>
  </w:style>
  <w:style w:type="paragraph" w:customStyle="1" w:styleId="Default">
    <w:name w:val="Default"/>
    <w:link w:val="DefaultChar"/>
    <w:rsid w:val="00A81B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A81BBB"/>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8A71C0"/>
  </w:style>
  <w:style w:type="character" w:styleId="FollowedHyperlink">
    <w:name w:val="FollowedHyperlink"/>
    <w:basedOn w:val="DefaultParagraphFont"/>
    <w:uiPriority w:val="99"/>
    <w:semiHidden/>
    <w:unhideWhenUsed/>
    <w:rsid w:val="00064C19"/>
    <w:rPr>
      <w:color w:val="954F72" w:themeColor="followedHyperlink"/>
      <w:u w:val="single"/>
    </w:rPr>
  </w:style>
  <w:style w:type="character" w:styleId="CommentReference">
    <w:name w:val="annotation reference"/>
    <w:basedOn w:val="DefaultParagraphFont"/>
    <w:uiPriority w:val="99"/>
    <w:semiHidden/>
    <w:unhideWhenUsed/>
    <w:rsid w:val="00C21B5A"/>
    <w:rPr>
      <w:sz w:val="16"/>
      <w:szCs w:val="16"/>
    </w:rPr>
  </w:style>
  <w:style w:type="paragraph" w:styleId="CommentText">
    <w:name w:val="annotation text"/>
    <w:basedOn w:val="Normal"/>
    <w:link w:val="CommentTextChar"/>
    <w:uiPriority w:val="99"/>
    <w:unhideWhenUsed/>
    <w:rsid w:val="00AD6E91"/>
    <w:rPr>
      <w:sz w:val="20"/>
    </w:rPr>
  </w:style>
  <w:style w:type="character" w:customStyle="1" w:styleId="CommentTextChar">
    <w:name w:val="Comment Text Char"/>
    <w:basedOn w:val="DefaultParagraphFont"/>
    <w:link w:val="CommentText"/>
    <w:uiPriority w:val="99"/>
    <w:rsid w:val="00AD6E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E91"/>
    <w:rPr>
      <w:b/>
      <w:bCs/>
    </w:rPr>
  </w:style>
  <w:style w:type="character" w:customStyle="1" w:styleId="CommentSubjectChar">
    <w:name w:val="Comment Subject Char"/>
    <w:basedOn w:val="CommentTextChar"/>
    <w:link w:val="CommentSubject"/>
    <w:uiPriority w:val="99"/>
    <w:semiHidden/>
    <w:rsid w:val="00AD6E91"/>
    <w:rPr>
      <w:rFonts w:ascii="Times New Roman" w:eastAsia="Times New Roman" w:hAnsi="Times New Roman" w:cs="Times New Roman"/>
      <w:b/>
      <w:bCs/>
      <w:sz w:val="20"/>
      <w:szCs w:val="20"/>
    </w:rPr>
  </w:style>
  <w:style w:type="character" w:customStyle="1" w:styleId="element-citation">
    <w:name w:val="element-citation"/>
    <w:basedOn w:val="DefaultParagraphFont"/>
    <w:rsid w:val="005A2684"/>
  </w:style>
  <w:style w:type="character" w:customStyle="1" w:styleId="ref-journal">
    <w:name w:val="ref-journal"/>
    <w:basedOn w:val="DefaultParagraphFont"/>
    <w:rsid w:val="005A2684"/>
  </w:style>
  <w:style w:type="character" w:customStyle="1" w:styleId="ref-vol">
    <w:name w:val="ref-vol"/>
    <w:basedOn w:val="DefaultParagraphFont"/>
    <w:rsid w:val="005A2684"/>
  </w:style>
  <w:style w:type="character" w:customStyle="1" w:styleId="nowrap">
    <w:name w:val="nowrap"/>
    <w:basedOn w:val="DefaultParagraphFont"/>
    <w:rsid w:val="005A2684"/>
  </w:style>
  <w:style w:type="table" w:customStyle="1" w:styleId="TableGrid1">
    <w:name w:val="Table Grid1"/>
    <w:basedOn w:val="TableNormal"/>
    <w:next w:val="TableGrid"/>
    <w:rsid w:val="004D2F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749"/>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7966BC"/>
    <w:rPr>
      <w:rFonts w:ascii="Calibri" w:hAnsi="Calibri" w:eastAsiaTheme="minorHAnsi"/>
      <w:sz w:val="20"/>
    </w:rPr>
  </w:style>
  <w:style w:type="character" w:customStyle="1" w:styleId="FootnoteTextChar">
    <w:name w:val="Footnote Text Char"/>
    <w:basedOn w:val="DefaultParagraphFont"/>
    <w:link w:val="FootnoteText"/>
    <w:uiPriority w:val="99"/>
    <w:semiHidden/>
    <w:rsid w:val="007966BC"/>
    <w:rPr>
      <w:rFonts w:ascii="Calibri" w:hAnsi="Calibri" w:cs="Times New Roman"/>
      <w:sz w:val="20"/>
      <w:szCs w:val="20"/>
    </w:rPr>
  </w:style>
  <w:style w:type="character" w:styleId="FootnoteReference">
    <w:name w:val="footnote reference"/>
    <w:basedOn w:val="DefaultParagraphFont"/>
    <w:uiPriority w:val="99"/>
    <w:semiHidden/>
    <w:unhideWhenUsed/>
    <w:rsid w:val="007966BC"/>
    <w:rPr>
      <w:vertAlign w:val="superscript"/>
    </w:rPr>
  </w:style>
  <w:style w:type="paragraph" w:styleId="EndnoteText">
    <w:name w:val="endnote text"/>
    <w:basedOn w:val="Normal"/>
    <w:link w:val="EndnoteTextChar"/>
    <w:uiPriority w:val="99"/>
    <w:semiHidden/>
    <w:unhideWhenUsed/>
    <w:rsid w:val="0019413D"/>
    <w:rPr>
      <w:sz w:val="20"/>
    </w:rPr>
  </w:style>
  <w:style w:type="character" w:customStyle="1" w:styleId="EndnoteTextChar">
    <w:name w:val="Endnote Text Char"/>
    <w:basedOn w:val="DefaultParagraphFont"/>
    <w:link w:val="EndnoteText"/>
    <w:uiPriority w:val="99"/>
    <w:semiHidden/>
    <w:rsid w:val="0019413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413D"/>
    <w:rPr>
      <w:vertAlign w:val="superscript"/>
    </w:rPr>
  </w:style>
  <w:style w:type="paragraph" w:styleId="TOC1">
    <w:name w:val="toc 1"/>
    <w:basedOn w:val="Normal"/>
    <w:next w:val="Normal"/>
    <w:autoRedefine/>
    <w:uiPriority w:val="39"/>
    <w:unhideWhenUsed/>
    <w:rsid w:val="0019451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bls.gov/oes/current/oes_nat.htm" TargetMode="External" /><Relationship Id="rId12" Type="http://schemas.openxmlformats.org/officeDocument/2006/relationships/hyperlink" Target="https://stacks.cdc.gov/view/cdc/156509" TargetMode="External" /><Relationship Id="rId13" Type="http://schemas.openxmlformats.org/officeDocument/2006/relationships/hyperlink" Target="https://www.cdc.gov/hiv/pdf/risk/prep/cdc-hiv-prep-guidelines-2021.pdf" TargetMode="External" /><Relationship Id="rId14" Type="http://schemas.openxmlformats.org/officeDocument/2006/relationships/hyperlink" Target="https://doi.org/10.1371/journal.pone.0270302" TargetMode="External" /><Relationship Id="rId15" Type="http://schemas.openxmlformats.org/officeDocument/2006/relationships/hyperlink" Target="http://www.hiv.gov/federal-response/national-hiv-aids-strategy/national-hiv-aids-strategy-2022-2025" TargetMode="External" /><Relationship Id="rId16" Type="http://schemas.openxmlformats.org/officeDocument/2006/relationships/hyperlink" Target="https://www.hiv.gov/federal-response/ending-the-hiv-epidemic/overview" TargetMode="External" /><Relationship Id="rId17" Type="http://schemas.openxmlformats.org/officeDocument/2006/relationships/hyperlink" Target="https://www.grants.gov/search-results-detail/308535" TargetMode="External" /><Relationship Id="rId18" Type="http://schemas.openxmlformats.org/officeDocument/2006/relationships/hyperlink" Target="https://books.google.com/books?hl=en&amp;lr=&amp;id=phs7YtaK3zcC&amp;oi=fnd&amp;pg=PA1&amp;ots=DZ9MWKBJQp&amp;sig=BVjJ7wXEJYSGPvt5Vb1es3GQ_as" TargetMode="External" /><Relationship Id="rId19" Type="http://schemas.openxmlformats.org/officeDocument/2006/relationships/hyperlink" Target="https://obamawhitehouse.archives.gov/sites/default/files/omb/inforeg/pmc_survey_guidance_2006.pdf" TargetMode="External" /><Relationship Id="rId2" Type="http://schemas.openxmlformats.org/officeDocument/2006/relationships/webSettings" Target="webSettings.xml" /><Relationship Id="rId20" Type="http://schemas.openxmlformats.org/officeDocument/2006/relationships/hyperlink" Target="https://www.opm.gov/policy-data-oversight/pay-leave/salaries-wages/2025/general-schedule/"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FBE0-C1F3-4316-A43D-D1DFD80F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Bessler</dc:creator>
  <cp:lastModifiedBy>Cody, Aisha (CDC/NCHHSTP/OD)</cp:lastModifiedBy>
  <cp:revision>23</cp:revision>
  <cp:lastPrinted>2025-03-03T15:33:00Z</cp:lastPrinted>
  <dcterms:created xsi:type="dcterms:W3CDTF">2025-03-19T17:27:00Z</dcterms:created>
  <dcterms:modified xsi:type="dcterms:W3CDTF">2025-09-29T13:27:00Z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48b8dc6c-1a69-4142-b3d9-0ee58ff30a9f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2023-02-07T23:05:09Z</vt:lpwstr>
  </property>
  <property fmtid="{D5CDD505-2E9C-101B-9397-08002B2CF9AE}" pid="8" name="MSIP_Label_7b94a7b8-f06c-4dfe-bdcc-9b548fd58c31_SiteId">
    <vt:lpwstr>9ce70869-60db-44fd-abe8-d2767077fc8f</vt:lpwstr>
  </property>
</Properties>
</file>