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3054" w:rsidRPr="00022A54" w:rsidP="00B47B1C" w14:paraId="3FA54AFD" w14:textId="77777777">
      <w:pPr>
        <w:jc w:val="center"/>
        <w:rPr>
          <w:b/>
        </w:rPr>
      </w:pPr>
    </w:p>
    <w:p w:rsidR="00F03054" w:rsidP="00B47B1C" w14:paraId="433A9A0F" w14:textId="77777777">
      <w:pPr>
        <w:jc w:val="center"/>
        <w:rPr>
          <w:b/>
        </w:rPr>
      </w:pPr>
      <w:r w:rsidRPr="00022A54">
        <w:rPr>
          <w:b/>
        </w:rPr>
        <w:t>Generic Clearance</w:t>
      </w:r>
      <w:r w:rsidR="00330F92">
        <w:rPr>
          <w:b/>
        </w:rPr>
        <w:t xml:space="preserve"> for CDC/ATSDR</w:t>
      </w:r>
    </w:p>
    <w:p w:rsidR="00662F81" w:rsidP="00B47B1C" w14:paraId="3A351C99" w14:textId="77777777">
      <w:pPr>
        <w:jc w:val="center"/>
        <w:rPr>
          <w:b/>
        </w:rPr>
      </w:pPr>
      <w:r w:rsidRPr="00022A54">
        <w:rPr>
          <w:b/>
        </w:rPr>
        <w:t xml:space="preserve">Formative </w:t>
      </w:r>
      <w:r w:rsidRPr="00022A54">
        <w:rPr>
          <w:b/>
        </w:rPr>
        <w:t>Research</w:t>
      </w:r>
      <w:r w:rsidRPr="00022A54">
        <w:rPr>
          <w:b/>
        </w:rPr>
        <w:t xml:space="preserve"> </w:t>
      </w:r>
      <w:r w:rsidRPr="00022A54" w:rsidR="00FE436A">
        <w:rPr>
          <w:b/>
        </w:rPr>
        <w:t xml:space="preserve">and </w:t>
      </w:r>
      <w:r w:rsidRPr="00022A54">
        <w:rPr>
          <w:b/>
        </w:rPr>
        <w:t>Tool</w:t>
      </w:r>
      <w:r w:rsidRPr="00022A54">
        <w:rPr>
          <w:b/>
        </w:rPr>
        <w:t xml:space="preserve"> Development</w:t>
      </w:r>
    </w:p>
    <w:p w:rsidR="009E3AC6" w:rsidP="00B47B1C" w14:paraId="2296E9AF" w14:textId="77777777">
      <w:pPr>
        <w:jc w:val="center"/>
        <w:rPr>
          <w:b/>
        </w:rPr>
      </w:pPr>
      <w:r>
        <w:rPr>
          <w:b/>
        </w:rPr>
        <w:t>Extension</w:t>
      </w:r>
    </w:p>
    <w:p w:rsidR="009E3AC6" w:rsidRPr="00022A54" w:rsidP="00B47B1C" w14:paraId="128F98B9" w14:textId="77777777">
      <w:pPr>
        <w:jc w:val="center"/>
        <w:rPr>
          <w:b/>
        </w:rPr>
      </w:pPr>
      <w:r>
        <w:rPr>
          <w:b/>
        </w:rPr>
        <w:t>0920-1154</w:t>
      </w:r>
    </w:p>
    <w:p w:rsidR="00662F81" w:rsidRPr="00022A54" w:rsidP="00B47B1C" w14:paraId="29E2A2E3" w14:textId="77777777"/>
    <w:p w:rsidR="00662F81" w:rsidRPr="00022A54" w:rsidP="00662F81" w14:paraId="768FA25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rPr>
      </w:pPr>
    </w:p>
    <w:p w:rsidR="00F03054" w:rsidRPr="00022A54" w:rsidP="00B47B1C" w14:paraId="7F541FE6" w14:textId="77777777">
      <w:pPr>
        <w:jc w:val="center"/>
        <w:rPr>
          <w:lang w:val="fr-FR"/>
        </w:rPr>
      </w:pPr>
    </w:p>
    <w:p w:rsidR="00F03054" w:rsidRPr="00022A54" w:rsidP="00B47B1C" w14:paraId="5958A63A" w14:textId="77777777">
      <w:pPr>
        <w:jc w:val="center"/>
        <w:rPr>
          <w:lang w:val="fr-FR"/>
        </w:rPr>
      </w:pPr>
    </w:p>
    <w:p w:rsidR="00F03054" w:rsidRPr="00022A54" w:rsidP="00B47B1C" w14:paraId="38EDD9A9" w14:textId="77777777">
      <w:pPr>
        <w:jc w:val="center"/>
        <w:rPr>
          <w:lang w:val="fr-FR"/>
        </w:rPr>
      </w:pPr>
    </w:p>
    <w:p w:rsidR="00F03054" w:rsidRPr="00022A54" w:rsidP="00B47B1C" w14:paraId="17C3F307" w14:textId="346AA404">
      <w:pPr>
        <w:jc w:val="center"/>
        <w:rPr>
          <w:lang w:val="fr-FR"/>
        </w:rPr>
      </w:pPr>
      <w:r>
        <w:rPr>
          <w:lang w:val="fr-FR"/>
        </w:rPr>
        <w:t xml:space="preserve">August </w:t>
      </w:r>
      <w:r w:rsidR="009F4FD7">
        <w:rPr>
          <w:lang w:val="fr-FR"/>
        </w:rPr>
        <w:t>25</w:t>
      </w:r>
      <w:r w:rsidR="006A0C13">
        <w:rPr>
          <w:lang w:val="fr-FR"/>
        </w:rPr>
        <w:t xml:space="preserve">, </w:t>
      </w:r>
      <w:r>
        <w:rPr>
          <w:lang w:val="fr-FR"/>
        </w:rPr>
        <w:t>202</w:t>
      </w:r>
      <w:r w:rsidR="009F4FD7">
        <w:rPr>
          <w:lang w:val="fr-FR"/>
        </w:rPr>
        <w:t>5</w:t>
      </w:r>
    </w:p>
    <w:p w:rsidR="00F03054" w:rsidRPr="00022A54" w:rsidP="00B47B1C" w14:paraId="534F03B9" w14:textId="77777777">
      <w:pPr>
        <w:jc w:val="center"/>
        <w:rPr>
          <w:lang w:val="fr-FR"/>
        </w:rPr>
      </w:pPr>
    </w:p>
    <w:p w:rsidR="00F03054" w:rsidRPr="00022A54" w:rsidP="00B47B1C" w14:paraId="194EA22E" w14:textId="77777777">
      <w:pPr>
        <w:jc w:val="center"/>
        <w:rPr>
          <w:lang w:val="fr-FR"/>
        </w:rPr>
      </w:pPr>
    </w:p>
    <w:p w:rsidR="00F03054" w:rsidRPr="00022A54" w:rsidP="00B47B1C" w14:paraId="78B08D9B" w14:textId="77777777">
      <w:pPr>
        <w:jc w:val="center"/>
        <w:rPr>
          <w:lang w:val="fr-FR"/>
        </w:rPr>
      </w:pPr>
    </w:p>
    <w:p w:rsidR="00F03054" w:rsidRPr="00022A54" w:rsidP="00B47B1C" w14:paraId="28357DC7" w14:textId="77777777">
      <w:pPr>
        <w:jc w:val="center"/>
        <w:rPr>
          <w:lang w:val="fr-FR"/>
        </w:rPr>
      </w:pPr>
    </w:p>
    <w:p w:rsidR="00662F81" w:rsidRPr="00022A54" w:rsidP="00B47B1C" w14:paraId="2727088C" w14:textId="77777777">
      <w:pPr>
        <w:jc w:val="center"/>
        <w:rPr>
          <w:lang w:val="fr-FR"/>
        </w:rPr>
      </w:pPr>
      <w:r w:rsidRPr="00022A54">
        <w:rPr>
          <w:lang w:val="fr-FR"/>
        </w:rPr>
        <w:t xml:space="preserve">Contact </w:t>
      </w:r>
      <w:r w:rsidRPr="00022A54">
        <w:rPr>
          <w:lang w:val="fr-FR"/>
        </w:rPr>
        <w:t>Information:</w:t>
      </w:r>
    </w:p>
    <w:p w:rsidR="00662F81" w:rsidRPr="00022A54" w:rsidP="00B47B1C" w14:paraId="1F7FA0C1" w14:textId="77777777">
      <w:pPr>
        <w:jc w:val="center"/>
        <w:rPr>
          <w:lang w:val="fr-FR"/>
        </w:rPr>
      </w:pPr>
    </w:p>
    <w:p w:rsidR="00C6416D" w:rsidP="00AD3B70" w14:paraId="7E46C0EF" w14:textId="274A47EE">
      <w:pPr>
        <w:spacing w:after="60"/>
        <w:jc w:val="center"/>
      </w:pPr>
      <w:r>
        <w:t>Jeffrey M. Zirger, Ph.D.</w:t>
      </w:r>
    </w:p>
    <w:p w:rsidR="009F4FD7" w:rsidP="00AD3B70" w14:paraId="530B0853" w14:textId="150C4592">
      <w:pPr>
        <w:spacing w:after="60"/>
        <w:jc w:val="center"/>
      </w:pPr>
      <w:r>
        <w:t>Information Collection Review Office (</w:t>
      </w:r>
      <w:r w:rsidR="00C6416D">
        <w:t>ICRO</w:t>
      </w:r>
      <w:r>
        <w:t>)</w:t>
      </w:r>
      <w:r w:rsidR="00C6416D">
        <w:t xml:space="preserve"> </w:t>
      </w:r>
    </w:p>
    <w:p w:rsidR="00C6416D" w:rsidP="00AD3B70" w14:paraId="7B649332" w14:textId="0DE991E1">
      <w:pPr>
        <w:spacing w:after="60"/>
        <w:jc w:val="center"/>
      </w:pPr>
      <w:r>
        <w:t>O</w:t>
      </w:r>
      <w:r w:rsidR="00CA572A">
        <w:t xml:space="preserve">ffice of </w:t>
      </w:r>
      <w:r>
        <w:t>S</w:t>
      </w:r>
      <w:r w:rsidR="00CA572A">
        <w:t>cience</w:t>
      </w:r>
      <w:r w:rsidR="009F4FD7">
        <w:t xml:space="preserve"> (OS)</w:t>
      </w:r>
      <w:r w:rsidR="00CA572A">
        <w:t xml:space="preserve"> </w:t>
      </w:r>
    </w:p>
    <w:p w:rsidR="00662F81" w:rsidP="00AD3B70" w14:paraId="5C6FE777" w14:textId="77777777">
      <w:pPr>
        <w:spacing w:after="60"/>
        <w:jc w:val="center"/>
      </w:pPr>
      <w:r>
        <w:t>Centers for Disease Control and Prevention (</w:t>
      </w:r>
      <w:r w:rsidRPr="00022A54">
        <w:t>CDC</w:t>
      </w:r>
      <w:r>
        <w:t>)</w:t>
      </w:r>
    </w:p>
    <w:p w:rsidR="00330F92" w:rsidP="009B493D" w14:paraId="4C0F9546" w14:textId="36425EDF">
      <w:pPr>
        <w:spacing w:after="60"/>
      </w:pPr>
    </w:p>
    <w:p w:rsidR="00C6416D" w:rsidRPr="00022A54" w:rsidP="00AD3B70" w14:paraId="0CDE7E7E" w14:textId="77777777">
      <w:pPr>
        <w:spacing w:after="60"/>
        <w:jc w:val="center"/>
      </w:pPr>
      <w:r>
        <w:br w:type="page"/>
      </w:r>
    </w:p>
    <w:p w:rsidR="000B3F98" w:rsidRPr="00FC301A" w:rsidP="00FC301A" w14:paraId="4EA7560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rsidR="000B3F98" w:rsidRPr="00FC301A" w:rsidP="000B3F98" w14:paraId="049B40FB" w14:textId="77777777">
      <w:pPr>
        <w:rPr>
          <w:b/>
        </w:rPr>
      </w:pPr>
      <w:r w:rsidRPr="00FC301A">
        <w:rPr>
          <w:b/>
        </w:rPr>
        <w:t>Section</w:t>
      </w:r>
      <w:r w:rsidRPr="00FC301A">
        <w:rPr>
          <w:b/>
        </w:rPr>
        <w:tab/>
      </w:r>
    </w:p>
    <w:p w:rsidR="000B3F98" w:rsidRPr="00FC301A" w:rsidP="000B3F98" w14:paraId="53187DC7" w14:textId="77777777">
      <w:pPr>
        <w:rPr>
          <w:b/>
        </w:rPr>
      </w:pPr>
      <w:r w:rsidRPr="00FC301A">
        <w:rPr>
          <w:b/>
        </w:rPr>
        <w:t>A.</w:t>
      </w:r>
      <w:r w:rsidRPr="00FC301A">
        <w:rPr>
          <w:b/>
        </w:rPr>
        <w:tab/>
        <w:t>Justification</w:t>
      </w:r>
    </w:p>
    <w:p w:rsidR="00AD3B70" w:rsidRPr="00951BC8" w:rsidP="00B06EB4" w14:paraId="6D9E15A7" w14:textId="77777777">
      <w:pPr>
        <w:numPr>
          <w:ilvl w:val="0"/>
          <w:numId w:val="38"/>
        </w:numPr>
        <w:spacing w:after="0"/>
        <w:rPr>
          <w:bCs/>
        </w:rPr>
      </w:pPr>
      <w:r w:rsidRPr="00951BC8">
        <w:rPr>
          <w:bCs/>
        </w:rPr>
        <w:t>Circumstances Making the Collection of Information Necessary</w:t>
      </w:r>
    </w:p>
    <w:p w:rsidR="00AD3B70" w:rsidRPr="00951BC8" w:rsidP="00B06EB4" w14:paraId="64B1AA1E" w14:textId="77777777">
      <w:pPr>
        <w:numPr>
          <w:ilvl w:val="0"/>
          <w:numId w:val="38"/>
        </w:numPr>
        <w:spacing w:after="0"/>
        <w:rPr>
          <w:bCs/>
        </w:rPr>
      </w:pPr>
      <w:r w:rsidRPr="00951BC8">
        <w:rPr>
          <w:bCs/>
        </w:rPr>
        <w:t>Purpose and Use of the Information Collection</w:t>
      </w:r>
    </w:p>
    <w:p w:rsidR="00AD3B70" w:rsidRPr="00951BC8" w:rsidP="00B06EB4" w14:paraId="0ED823E2" w14:textId="77777777">
      <w:pPr>
        <w:numPr>
          <w:ilvl w:val="0"/>
          <w:numId w:val="38"/>
        </w:numPr>
        <w:spacing w:after="0"/>
        <w:rPr>
          <w:bCs/>
        </w:rPr>
      </w:pPr>
      <w:r w:rsidRPr="00951BC8">
        <w:rPr>
          <w:bCs/>
        </w:rPr>
        <w:t>Use of Improved Information Technology and Burden Reduction</w:t>
      </w:r>
    </w:p>
    <w:p w:rsidR="00AD3B70" w:rsidRPr="00951BC8" w:rsidP="00B06EB4" w14:paraId="14E5468F" w14:textId="77777777">
      <w:pPr>
        <w:numPr>
          <w:ilvl w:val="0"/>
          <w:numId w:val="38"/>
        </w:numPr>
        <w:spacing w:after="0"/>
        <w:rPr>
          <w:bCs/>
        </w:rPr>
      </w:pPr>
      <w:r w:rsidRPr="00951BC8">
        <w:rPr>
          <w:bCs/>
        </w:rPr>
        <w:t>Efforts to Identify Duplication and Use of Similar Information</w:t>
      </w:r>
    </w:p>
    <w:p w:rsidR="00AD3B70" w:rsidRPr="00951BC8" w:rsidP="00B06EB4" w14:paraId="3AD08AEE" w14:textId="77777777">
      <w:pPr>
        <w:numPr>
          <w:ilvl w:val="0"/>
          <w:numId w:val="38"/>
        </w:numPr>
        <w:spacing w:after="0"/>
        <w:rPr>
          <w:bCs/>
        </w:rPr>
      </w:pPr>
      <w:r w:rsidRPr="00951BC8">
        <w:rPr>
          <w:bCs/>
        </w:rPr>
        <w:t>Impact on Small Businesses or Other Small Entities</w:t>
      </w:r>
    </w:p>
    <w:p w:rsidR="00AD3B70" w:rsidRPr="00951BC8" w:rsidP="00B06EB4" w14:paraId="6D6EA207" w14:textId="77777777">
      <w:pPr>
        <w:numPr>
          <w:ilvl w:val="0"/>
          <w:numId w:val="38"/>
        </w:numPr>
        <w:spacing w:after="0"/>
        <w:rPr>
          <w:bCs/>
        </w:rPr>
      </w:pPr>
      <w:r w:rsidRPr="00951BC8">
        <w:rPr>
          <w:bCs/>
        </w:rPr>
        <w:t xml:space="preserve">Consequences of Collecting </w:t>
      </w:r>
      <w:r w:rsidRPr="00951BC8">
        <w:rPr>
          <w:bCs/>
        </w:rPr>
        <w:t>the Information</w:t>
      </w:r>
      <w:r w:rsidRPr="00951BC8">
        <w:rPr>
          <w:bCs/>
        </w:rPr>
        <w:t xml:space="preserve"> Less Frequently</w:t>
      </w:r>
    </w:p>
    <w:p w:rsidR="00AD3B70" w:rsidRPr="00951BC8" w:rsidP="00B06EB4" w14:paraId="484AD104" w14:textId="77777777">
      <w:pPr>
        <w:numPr>
          <w:ilvl w:val="0"/>
          <w:numId w:val="38"/>
        </w:numPr>
        <w:spacing w:after="0"/>
        <w:rPr>
          <w:bCs/>
        </w:rPr>
      </w:pPr>
      <w:r w:rsidRPr="00951BC8">
        <w:rPr>
          <w:bCs/>
        </w:rPr>
        <w:t>Special Circumstances Relating to the Guidelines of 5 CFR 1320.5</w:t>
      </w:r>
    </w:p>
    <w:p w:rsidR="00AD3B70" w:rsidRPr="00951BC8" w:rsidP="00B06EB4" w14:paraId="794164A3" w14:textId="77777777">
      <w:pPr>
        <w:numPr>
          <w:ilvl w:val="0"/>
          <w:numId w:val="38"/>
        </w:numPr>
        <w:spacing w:after="0"/>
        <w:rPr>
          <w:bCs/>
        </w:rPr>
      </w:pPr>
      <w:r w:rsidRPr="00951BC8">
        <w:rPr>
          <w:bCs/>
        </w:rPr>
        <w:t>Comments in Response to the Federal Register Notice and Efforts to Consult Outside the Agency</w:t>
      </w:r>
    </w:p>
    <w:p w:rsidR="00AD3B70" w:rsidRPr="00951BC8" w:rsidP="00B06EB4" w14:paraId="5CBEA76A" w14:textId="77777777">
      <w:pPr>
        <w:numPr>
          <w:ilvl w:val="0"/>
          <w:numId w:val="38"/>
        </w:numPr>
        <w:spacing w:after="0"/>
        <w:rPr>
          <w:bCs/>
        </w:rPr>
      </w:pPr>
      <w:r w:rsidRPr="00951BC8">
        <w:rPr>
          <w:bCs/>
        </w:rPr>
        <w:t>Explanation of Any Payment or Gift to Respondents</w:t>
      </w:r>
    </w:p>
    <w:p w:rsidR="00AD3B70" w:rsidRPr="00951BC8" w:rsidP="00B06EB4" w14:paraId="1929846C" w14:textId="77777777">
      <w:pPr>
        <w:numPr>
          <w:ilvl w:val="0"/>
          <w:numId w:val="38"/>
        </w:numPr>
        <w:spacing w:after="0"/>
        <w:rPr>
          <w:bCs/>
        </w:rPr>
      </w:pPr>
      <w:r w:rsidRPr="00951BC8">
        <w:rPr>
          <w:bCs/>
        </w:rPr>
        <w:t xml:space="preserve">Protection of </w:t>
      </w:r>
      <w:r w:rsidRPr="00951BC8">
        <w:rPr>
          <w:bCs/>
        </w:rPr>
        <w:t>the Privacy</w:t>
      </w:r>
      <w:r w:rsidRPr="00951BC8">
        <w:rPr>
          <w:bCs/>
        </w:rPr>
        <w:t xml:space="preserve"> and Confidentiality of Information Provided </w:t>
      </w:r>
      <w:r w:rsidR="00C6416D">
        <w:rPr>
          <w:bCs/>
        </w:rPr>
        <w:t>to</w:t>
      </w:r>
      <w:r w:rsidRPr="00951BC8">
        <w:rPr>
          <w:bCs/>
        </w:rPr>
        <w:t xml:space="preserve"> Respondents</w:t>
      </w:r>
    </w:p>
    <w:p w:rsidR="00AD3B70" w:rsidRPr="00951BC8" w:rsidP="00B06EB4" w14:paraId="68C9E0D3" w14:textId="77777777">
      <w:pPr>
        <w:numPr>
          <w:ilvl w:val="0"/>
          <w:numId w:val="38"/>
        </w:numPr>
        <w:spacing w:after="0"/>
        <w:rPr>
          <w:bCs/>
        </w:rPr>
      </w:pPr>
      <w:r w:rsidRPr="00951BC8">
        <w:rPr>
          <w:bCs/>
        </w:rPr>
        <w:t>Institutional Review Board (IRB) and Justification for Sensitive Questions</w:t>
      </w:r>
    </w:p>
    <w:p w:rsidR="00AD3B70" w:rsidRPr="00951BC8" w:rsidP="00B06EB4" w14:paraId="23C2E455" w14:textId="77777777">
      <w:pPr>
        <w:numPr>
          <w:ilvl w:val="0"/>
          <w:numId w:val="38"/>
        </w:numPr>
        <w:spacing w:after="0"/>
        <w:rPr>
          <w:bCs/>
        </w:rPr>
      </w:pPr>
      <w:r w:rsidRPr="00951BC8">
        <w:rPr>
          <w:bCs/>
        </w:rPr>
        <w:t>Estimates of Annualized Burden Hours and Costs</w:t>
      </w:r>
    </w:p>
    <w:p w:rsidR="00AD3B70" w:rsidRPr="00951BC8" w:rsidP="00B06EB4" w14:paraId="06BE5704" w14:textId="77777777">
      <w:pPr>
        <w:numPr>
          <w:ilvl w:val="0"/>
          <w:numId w:val="38"/>
        </w:numPr>
        <w:spacing w:after="0"/>
        <w:rPr>
          <w:bCs/>
        </w:rPr>
      </w:pPr>
      <w:r w:rsidRPr="00951BC8">
        <w:rPr>
          <w:bCs/>
        </w:rPr>
        <w:t>Estimates of Other Total Annual Cost Burden to Respondents and Record Keepers</w:t>
      </w:r>
    </w:p>
    <w:p w:rsidR="00AD3B70" w:rsidRPr="00951BC8" w:rsidP="00B06EB4" w14:paraId="4F1CE887" w14:textId="77777777">
      <w:pPr>
        <w:numPr>
          <w:ilvl w:val="0"/>
          <w:numId w:val="38"/>
        </w:numPr>
        <w:spacing w:after="0"/>
        <w:rPr>
          <w:bCs/>
        </w:rPr>
      </w:pPr>
      <w:r w:rsidRPr="00951BC8">
        <w:rPr>
          <w:bCs/>
        </w:rPr>
        <w:t>Annualized Cost to the Federal Government</w:t>
      </w:r>
    </w:p>
    <w:p w:rsidR="00AD3B70" w:rsidRPr="00951BC8" w:rsidP="00B06EB4" w14:paraId="2311661A" w14:textId="77777777">
      <w:pPr>
        <w:numPr>
          <w:ilvl w:val="0"/>
          <w:numId w:val="38"/>
        </w:numPr>
        <w:spacing w:after="0"/>
        <w:rPr>
          <w:bCs/>
        </w:rPr>
      </w:pPr>
      <w:r w:rsidRPr="00951BC8">
        <w:rPr>
          <w:bCs/>
        </w:rPr>
        <w:t>Explanation for Program Changes or Adjustments</w:t>
      </w:r>
    </w:p>
    <w:p w:rsidR="00AD3B70" w:rsidRPr="00951BC8" w:rsidP="00B06EB4" w14:paraId="6D86ABDD" w14:textId="77777777">
      <w:pPr>
        <w:numPr>
          <w:ilvl w:val="0"/>
          <w:numId w:val="38"/>
        </w:numPr>
        <w:spacing w:after="0"/>
        <w:rPr>
          <w:bCs/>
        </w:rPr>
      </w:pPr>
      <w:r w:rsidRPr="00951BC8">
        <w:rPr>
          <w:bCs/>
        </w:rPr>
        <w:t>Plans for Tabulation and Publication and Project Time Schedule</w:t>
      </w:r>
    </w:p>
    <w:p w:rsidR="00AD3B70" w:rsidRPr="00951BC8" w:rsidP="00B06EB4" w14:paraId="627C34DE" w14:textId="77777777">
      <w:pPr>
        <w:numPr>
          <w:ilvl w:val="0"/>
          <w:numId w:val="38"/>
        </w:numPr>
        <w:spacing w:after="0"/>
        <w:rPr>
          <w:bCs/>
        </w:rPr>
      </w:pPr>
      <w:r w:rsidRPr="00951BC8">
        <w:rPr>
          <w:bCs/>
        </w:rPr>
        <w:t>Reason(s) Display of OMB Expiration Date is Inappropriate</w:t>
      </w:r>
    </w:p>
    <w:p w:rsidR="00AD3B70" w:rsidRPr="00951BC8" w:rsidP="00B06EB4" w14:paraId="520524F4" w14:textId="77777777">
      <w:pPr>
        <w:numPr>
          <w:ilvl w:val="0"/>
          <w:numId w:val="38"/>
        </w:numPr>
        <w:spacing w:after="0"/>
        <w:rPr>
          <w:bCs/>
        </w:rPr>
      </w:pPr>
      <w:r w:rsidRPr="00951BC8">
        <w:rPr>
          <w:bCs/>
        </w:rPr>
        <w:t>Exceptions to Certification for Paperwork Reduction Act Submissions</w:t>
      </w:r>
    </w:p>
    <w:p w:rsidR="000B3F98" w:rsidRPr="00022A54" w:rsidP="00AD3B70" w14:paraId="2A678B98" w14:textId="77777777">
      <w:pPr>
        <w:spacing w:after="0"/>
      </w:pPr>
      <w:r w:rsidRPr="00022A54">
        <w:fldChar w:fldCharType="begin"/>
      </w:r>
      <w:r w:rsidRPr="00022A54">
        <w:instrText xml:space="preserve"> TOC \t "Exhibit Title,5" </w:instrText>
      </w:r>
      <w:r w:rsidRPr="00022A54">
        <w:fldChar w:fldCharType="separate"/>
      </w:r>
    </w:p>
    <w:p w:rsidR="00465034" w:rsidRPr="007272EC" w:rsidP="00AD3B70" w14:paraId="61630FB9" w14:textId="77777777">
      <w:pPr>
        <w:spacing w:after="0"/>
        <w:rPr>
          <w:b/>
        </w:rPr>
      </w:pPr>
      <w:r w:rsidRPr="007272EC">
        <w:rPr>
          <w:b/>
        </w:rPr>
        <w:t>Attachments</w:t>
      </w:r>
      <w:r w:rsidRPr="007272EC">
        <w:rPr>
          <w:b/>
        </w:rPr>
        <w:tab/>
      </w:r>
      <w:r w:rsidRPr="007272EC">
        <w:rPr>
          <w:b/>
        </w:rPr>
        <w:tab/>
      </w:r>
    </w:p>
    <w:p w:rsidR="00465034" w:rsidRPr="00022A54" w:rsidP="00AD3B70" w14:paraId="305F0D51" w14:textId="77777777">
      <w:pPr>
        <w:spacing w:after="0"/>
      </w:pPr>
    </w:p>
    <w:p w:rsidR="00465034" w:rsidRPr="00022A54" w:rsidP="00AD3B70" w14:paraId="498E9F7D" w14:textId="77777777">
      <w:pPr>
        <w:spacing w:after="0"/>
      </w:pPr>
      <w:r w:rsidRPr="00022A54">
        <w:t>Att 1</w:t>
      </w:r>
      <w:r w:rsidRPr="00022A54">
        <w:tab/>
        <w:t>Authorizing Legislation</w:t>
      </w:r>
    </w:p>
    <w:p w:rsidR="00465034" w:rsidP="00AD3B70" w14:paraId="7F8947B0" w14:textId="77777777">
      <w:pPr>
        <w:spacing w:after="0"/>
      </w:pPr>
      <w:r w:rsidRPr="00022A54">
        <w:t>Att 2</w:t>
      </w:r>
      <w:r w:rsidRPr="00022A54">
        <w:tab/>
        <w:t>60 D</w:t>
      </w:r>
      <w:r w:rsidR="007272EC">
        <w:t>ay Federal Register Notice</w:t>
      </w:r>
    </w:p>
    <w:p w:rsidR="00465034" w:rsidP="00465034" w14:paraId="50901D81" w14:textId="12D5930C">
      <w:r>
        <w:t>Att 3</w:t>
      </w:r>
      <w:r>
        <w:tab/>
      </w:r>
      <w:r w:rsidR="009B493D">
        <w:t>G</w:t>
      </w:r>
      <w:r>
        <w:t>enIC template</w:t>
      </w:r>
    </w:p>
    <w:p w:rsidR="00F61A44" w:rsidRPr="00022A54" w:rsidP="00465034" w14:paraId="43C8AD5D" w14:textId="77777777">
      <w:r>
        <w:br w:type="page"/>
      </w:r>
    </w:p>
    <w:p w:rsidR="00465034" w:rsidRPr="00022A54" w:rsidP="00465034" w14:paraId="04AF97EA" w14:textId="77777777"/>
    <w:p w:rsidR="0092767B" w:rsidP="007272EC" w14:paraId="5F63984A" w14:textId="717D6223">
      <w:pPr>
        <w:jc w:val="center"/>
        <w:rPr>
          <w:rFonts w:ascii="Courier New" w:hAnsi="Courier New" w:cs="Courier New"/>
          <w:b/>
        </w:rPr>
      </w:pPr>
      <w:r>
        <w:rPr>
          <w:noProof/>
        </w:rPr>
        <mc:AlternateContent>
          <mc:Choice Requires="wps">
            <w:drawing>
              <wp:anchor distT="0" distB="0" distL="114300" distR="114300" simplePos="0" relativeHeight="251658240" behindDoc="0" locked="0" layoutInCell="1" allowOverlap="1">
                <wp:simplePos x="0" y="0"/>
                <wp:positionH relativeFrom="column">
                  <wp:posOffset>-327660</wp:posOffset>
                </wp:positionH>
                <wp:positionV relativeFrom="paragraph">
                  <wp:posOffset>167005</wp:posOffset>
                </wp:positionV>
                <wp:extent cx="6490335" cy="6523355"/>
                <wp:effectExtent l="0" t="0" r="5715" b="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90335" cy="6523355"/>
                        </a:xfrm>
                        <a:prstGeom prst="rect">
                          <a:avLst/>
                        </a:prstGeom>
                        <a:solidFill>
                          <a:srgbClr val="FFFFFF"/>
                        </a:solidFill>
                        <a:ln w="9525">
                          <a:solidFill>
                            <a:srgbClr val="000000"/>
                          </a:solidFill>
                          <a:miter lim="800000"/>
                          <a:headEnd/>
                          <a:tailEnd/>
                        </a:ln>
                      </wps:spPr>
                      <wps:txbx>
                        <w:txbxContent>
                          <w:p w:rsidR="002F5077" w:rsidRPr="00896231" w:rsidP="00896231" w14:textId="7768DB72">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CA572A">
                              <w:rPr>
                                <w:sz w:val="22"/>
                                <w:szCs w:val="22"/>
                              </w:rPr>
                              <w:t xml:space="preserve">extension to the </w:t>
                            </w:r>
                            <w:r>
                              <w:rPr>
                                <w:sz w:val="22"/>
                                <w:szCs w:val="22"/>
                              </w:rPr>
                              <w:t>generic information collection request</w:t>
                            </w:r>
                            <w:r w:rsidRPr="00896231">
                              <w:rPr>
                                <w:sz w:val="22"/>
                                <w:szCs w:val="22"/>
                              </w:rPr>
                              <w:t xml:space="preserve"> is to enable </w:t>
                            </w:r>
                            <w:r>
                              <w:rPr>
                                <w:sz w:val="22"/>
                                <w:szCs w:val="22"/>
                              </w:rPr>
                              <w:t xml:space="preserve">CDC/ATSDR </w:t>
                            </w:r>
                            <w:r w:rsidRPr="00896231">
                              <w:rPr>
                                <w:sz w:val="22"/>
                                <w:szCs w:val="22"/>
                              </w:rPr>
                              <w:t xml:space="preserve">to conduct formative research for developing new tools and methodologies </w:t>
                            </w:r>
                            <w:r w:rsidR="00F61A44">
                              <w:rPr>
                                <w:sz w:val="22"/>
                                <w:szCs w:val="22"/>
                              </w:rPr>
                              <w:t>supporting</w:t>
                            </w:r>
                            <w:r w:rsidRPr="00896231">
                              <w:rPr>
                                <w:sz w:val="22"/>
                                <w:szCs w:val="22"/>
                              </w:rPr>
                              <w:t xml:space="preserve"> </w:t>
                            </w:r>
                            <w:r w:rsidR="00F61A44">
                              <w:rPr>
                                <w:sz w:val="22"/>
                                <w:szCs w:val="22"/>
                              </w:rPr>
                              <w:t xml:space="preserve">CDC/ATSDR’s </w:t>
                            </w:r>
                            <w:r w:rsidRPr="00896231">
                              <w:rPr>
                                <w:sz w:val="22"/>
                                <w:szCs w:val="22"/>
                              </w:rPr>
                              <w:t>research</w:t>
                            </w:r>
                            <w:r>
                              <w:rPr>
                                <w:sz w:val="22"/>
                                <w:szCs w:val="22"/>
                              </w:rPr>
                              <w:t xml:space="preserve">, </w:t>
                            </w:r>
                            <w:r w:rsidR="00F61A44">
                              <w:rPr>
                                <w:sz w:val="22"/>
                                <w:szCs w:val="22"/>
                              </w:rPr>
                              <w:t xml:space="preserve">surveillance, and program evaluation activities, and the </w:t>
                            </w:r>
                            <w:r w:rsidR="003A5A2F">
                              <w:rPr>
                                <w:sz w:val="22"/>
                                <w:szCs w:val="22"/>
                              </w:rPr>
                              <w:t>development and assessment of multi-use tools</w:t>
                            </w:r>
                            <w:r w:rsidR="00F61A44">
                              <w:rPr>
                                <w:sz w:val="22"/>
                                <w:szCs w:val="22"/>
                              </w:rPr>
                              <w:t xml:space="preserve"> when practicable. </w:t>
                            </w:r>
                            <w:r w:rsidR="00867875">
                              <w:rPr>
                                <w:sz w:val="22"/>
                                <w:szCs w:val="22"/>
                              </w:rPr>
                              <w:t xml:space="preserve">The information </w:t>
                            </w:r>
                            <w:r w:rsidR="00F61A44">
                              <w:rPr>
                                <w:sz w:val="22"/>
                                <w:szCs w:val="22"/>
                              </w:rPr>
                              <w:t xml:space="preserve">collection will </w:t>
                            </w:r>
                            <w:r>
                              <w:rPr>
                                <w:sz w:val="22"/>
                                <w:szCs w:val="22"/>
                              </w:rPr>
                              <w:t>includ</w:t>
                            </w:r>
                            <w:r w:rsidR="00F61A44">
                              <w:rPr>
                                <w:sz w:val="22"/>
                                <w:szCs w:val="22"/>
                              </w:rPr>
                              <w:t>e</w:t>
                            </w:r>
                            <w:r w:rsidRPr="00896231">
                              <w:rPr>
                                <w:sz w:val="22"/>
                                <w:szCs w:val="22"/>
                              </w:rPr>
                              <w:t xml:space="preserve"> </w:t>
                            </w:r>
                            <w:r w:rsidR="00867875">
                              <w:rPr>
                                <w:sz w:val="22"/>
                                <w:szCs w:val="22"/>
                              </w:rPr>
                              <w:t>short-term</w:t>
                            </w:r>
                            <w:r w:rsidRPr="00896231">
                              <w:rPr>
                                <w:sz w:val="22"/>
                                <w:szCs w:val="22"/>
                              </w:rPr>
                              <w:t xml:space="preserve"> qualitative interviewing and cognitive research techniques to develop scientifically valid and population-appropriate methods, interventions, and instruments</w:t>
                            </w:r>
                            <w:r w:rsidR="0018474A">
                              <w:rPr>
                                <w:sz w:val="22"/>
                                <w:szCs w:val="22"/>
                              </w:rPr>
                              <w:t xml:space="preserve"> that are up-to-date with respect to</w:t>
                            </w:r>
                            <w:r w:rsidR="00443C44">
                              <w:rPr>
                                <w:sz w:val="22"/>
                                <w:szCs w:val="22"/>
                              </w:rPr>
                              <w:t xml:space="preserve"> terminology, </w:t>
                            </w:r>
                            <w:r w:rsidR="0018474A">
                              <w:rPr>
                                <w:sz w:val="22"/>
                                <w:szCs w:val="22"/>
                              </w:rPr>
                              <w:t>health care practice</w:t>
                            </w:r>
                            <w:r w:rsidR="00443C44">
                              <w:rPr>
                                <w:sz w:val="22"/>
                                <w:szCs w:val="22"/>
                              </w:rPr>
                              <w:t>, etc</w:t>
                            </w:r>
                            <w:r w:rsidRPr="00896231">
                              <w:rPr>
                                <w:sz w:val="22"/>
                                <w:szCs w:val="22"/>
                              </w:rPr>
                              <w:t>.</w:t>
                            </w:r>
                          </w:p>
                          <w:p w:rsidR="002F5077" w:rsidRPr="00896231" w:rsidP="00896231"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in the development of interventions, new or improved tools, methodologies, concept development</w:t>
                            </w:r>
                            <w:r w:rsidR="00867875">
                              <w:rPr>
                                <w:sz w:val="22"/>
                                <w:szCs w:val="22"/>
                              </w:rPr>
                              <w:t>,</w:t>
                            </w:r>
                            <w:r w:rsidRPr="00896231">
                              <w:rPr>
                                <w:sz w:val="22"/>
                                <w:szCs w:val="22"/>
                              </w:rPr>
                              <w:t xml:space="preserve"> and</w:t>
                            </w:r>
                            <w:r>
                              <w:rPr>
                                <w:sz w:val="22"/>
                                <w:szCs w:val="22"/>
                              </w:rPr>
                              <w:t>/</w:t>
                            </w:r>
                            <w:r w:rsidRPr="00896231">
                              <w:rPr>
                                <w:sz w:val="22"/>
                                <w:szCs w:val="22"/>
                              </w:rPr>
                              <w:t>or product development and testing</w:t>
                            </w:r>
                            <w:r w:rsidR="000901A5">
                              <w:rPr>
                                <w:sz w:val="22"/>
                                <w:szCs w:val="22"/>
                              </w:rPr>
                              <w:t xml:space="preserve">.  </w:t>
                            </w:r>
                            <w:r w:rsidR="009032A9">
                              <w:rPr>
                                <w:sz w:val="22"/>
                                <w:szCs w:val="22"/>
                              </w:rPr>
                              <w:t>In some cases</w:t>
                            </w:r>
                            <w:r w:rsidR="00867875">
                              <w:rPr>
                                <w:sz w:val="22"/>
                                <w:szCs w:val="22"/>
                              </w:rPr>
                              <w:t>,</w:t>
                            </w:r>
                            <w:r w:rsidR="009032A9">
                              <w:rPr>
                                <w:sz w:val="22"/>
                                <w:szCs w:val="22"/>
                              </w:rPr>
                              <w:t xml:space="preserve"> a variety of similar questions are in use by various CDC/ATSDR programs</w:t>
                            </w:r>
                            <w:r w:rsidR="005F1840">
                              <w:rPr>
                                <w:sz w:val="22"/>
                                <w:szCs w:val="22"/>
                              </w:rPr>
                              <w:t xml:space="preserve"> and partner organizations</w:t>
                            </w:r>
                            <w:r w:rsidR="009032A9">
                              <w:rPr>
                                <w:sz w:val="22"/>
                                <w:szCs w:val="22"/>
                              </w:rPr>
                              <w:t xml:space="preserve">.  </w:t>
                            </w:r>
                            <w:r w:rsidR="000901A5">
                              <w:rPr>
                                <w:sz w:val="22"/>
                                <w:szCs w:val="22"/>
                              </w:rPr>
                              <w:t>Formative research a</w:t>
                            </w:r>
                            <w:r w:rsidR="009032A9">
                              <w:rPr>
                                <w:sz w:val="22"/>
                                <w:szCs w:val="22"/>
                              </w:rPr>
                              <w:t>nd instrument testing will help CDC/ATSDR clarify how respondents interpret questions and response options; compare respondent perceptions of different versions of similar questions</w:t>
                            </w:r>
                            <w:r w:rsidR="00611F95">
                              <w:rPr>
                                <w:sz w:val="22"/>
                                <w:szCs w:val="22"/>
                              </w:rPr>
                              <w:t xml:space="preserve"> or response options</w:t>
                            </w:r>
                            <w:r w:rsidR="009032A9">
                              <w:rPr>
                                <w:sz w:val="22"/>
                                <w:szCs w:val="22"/>
                              </w:rPr>
                              <w:t>; and inform the selection of which version of a question to use</w:t>
                            </w:r>
                            <w:r w:rsidR="00B21268">
                              <w:rPr>
                                <w:sz w:val="22"/>
                                <w:szCs w:val="22"/>
                              </w:rPr>
                              <w:t xml:space="preserve"> in a specific</w:t>
                            </w:r>
                            <w:r w:rsidR="009032A9">
                              <w:rPr>
                                <w:sz w:val="22"/>
                                <w:szCs w:val="22"/>
                              </w:rPr>
                              <w:t xml:space="preserve"> information collection context</w:t>
                            </w:r>
                            <w:r w:rsidR="007A43F4">
                              <w:rPr>
                                <w:sz w:val="22"/>
                                <w:szCs w:val="22"/>
                              </w:rPr>
                              <w:t xml:space="preserve"> (mode of data collection, subpopulation, or research/surveillance/program evaluation activity)</w:t>
                            </w:r>
                            <w:r w:rsidR="009032A9">
                              <w:rPr>
                                <w:sz w:val="22"/>
                                <w:szCs w:val="22"/>
                              </w:rPr>
                              <w:t>.</w:t>
                            </w:r>
                            <w:r w:rsidR="00443C44">
                              <w:rPr>
                                <w:sz w:val="22"/>
                                <w:szCs w:val="22"/>
                              </w:rPr>
                              <w:t xml:space="preserve">  Formative research and cognitive testing may also be conducted to support</w:t>
                            </w:r>
                            <w:r w:rsidR="00FE7A28">
                              <w:rPr>
                                <w:sz w:val="22"/>
                                <w:szCs w:val="22"/>
                              </w:rPr>
                              <w:t xml:space="preserve"> the translation of questions,</w:t>
                            </w:r>
                            <w:r w:rsidR="00443C44">
                              <w:rPr>
                                <w:sz w:val="22"/>
                                <w:szCs w:val="22"/>
                              </w:rPr>
                              <w:t xml:space="preserve"> instruments </w:t>
                            </w:r>
                            <w:r w:rsidR="00FE7A28">
                              <w:rPr>
                                <w:sz w:val="22"/>
                                <w:szCs w:val="22"/>
                              </w:rPr>
                              <w:t xml:space="preserve">or supplementary materials (e.g., consent forms) </w:t>
                            </w:r>
                            <w:r w:rsidR="00443C44">
                              <w:rPr>
                                <w:sz w:val="22"/>
                                <w:szCs w:val="22"/>
                              </w:rPr>
                              <w:t>into a variety of languages.</w:t>
                            </w:r>
                          </w:p>
                          <w:p w:rsidR="002F5077" w:rsidRPr="00896231" w:rsidP="00896231" w14:textId="781CC23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w:t>
                            </w:r>
                            <w:r w:rsidR="00867875">
                              <w:rPr>
                                <w:sz w:val="22"/>
                                <w:szCs w:val="22"/>
                              </w:rPr>
                              <w:t>–</w:t>
                            </w:r>
                            <w:r w:rsidRPr="00896231">
                              <w:rPr>
                                <w:sz w:val="22"/>
                                <w:szCs w:val="22"/>
                              </w:rPr>
                              <w:t xml:space="preserve"> individual interviews or focus group interviews, methodological research, usability testing of technology-based instruments and materials, field testing of new methodologies and materials and or testing of </w:t>
                            </w:r>
                            <w:r w:rsidRPr="00867875" w:rsidR="00867875">
                              <w:rPr>
                                <w:sz w:val="22"/>
                                <w:szCs w:val="22"/>
                              </w:rPr>
                              <w:t>mental models approach to risk communication</w:t>
                            </w:r>
                            <w:r w:rsidRPr="00896231">
                              <w:rPr>
                                <w:sz w:val="22"/>
                                <w:szCs w:val="22"/>
                              </w:rPr>
                              <w:t xml:space="preserve">. </w:t>
                            </w:r>
                          </w:p>
                          <w:p w:rsidR="002F5077" w:rsidRPr="00896231" w:rsidP="007A3CF4" w14:textId="2EDD1B53">
                            <w:pPr>
                              <w:pStyle w:val="ListParagraph"/>
                              <w:numPr>
                                <w:ilvl w:val="0"/>
                                <w:numId w:val="34"/>
                              </w:numPr>
                              <w:spacing w:before="120"/>
                              <w:contextualSpacing w:val="0"/>
                              <w:rPr>
                                <w:sz w:val="22"/>
                                <w:szCs w:val="22"/>
                              </w:rPr>
                            </w:pPr>
                            <w:r>
                              <w:rPr>
                                <w:sz w:val="22"/>
                                <w:szCs w:val="22"/>
                              </w:rPr>
                              <w:t xml:space="preserve">Respondents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xml:space="preserve">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w:t>
                            </w:r>
                            <w:r w:rsidR="00867875">
                              <w:rPr>
                                <w:sz w:val="22"/>
                                <w:szCs w:val="22"/>
                              </w:rPr>
                              <w:t xml:space="preserve">LGBTQIA </w:t>
                            </w:r>
                            <w:r>
                              <w:rPr>
                                <w:sz w:val="22"/>
                                <w:szCs w:val="22"/>
                              </w:rPr>
                              <w:t xml:space="preserve">persons, </w:t>
                            </w:r>
                            <w:r w:rsidR="00867875">
                              <w:rPr>
                                <w:sz w:val="22"/>
                                <w:szCs w:val="22"/>
                              </w:rPr>
                              <w:t xml:space="preserve">persons of minority populations, </w:t>
                            </w:r>
                            <w:r>
                              <w:rPr>
                                <w:sz w:val="22"/>
                                <w:szCs w:val="22"/>
                              </w:rPr>
                              <w:t xml:space="preserve">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0B5579" w:rsidRPr="00AF084B" w:rsidP="000B5579" w14:textId="77777777">
                            <w:pPr>
                              <w:pStyle w:val="ListParagraph"/>
                              <w:numPr>
                                <w:ilvl w:val="0"/>
                                <w:numId w:val="34"/>
                              </w:numPr>
                              <w:spacing w:before="120"/>
                              <w:contextualSpacing w:val="0"/>
                            </w:pPr>
                            <w:r w:rsidRPr="00896231">
                              <w:rPr>
                                <w:sz w:val="22"/>
                                <w:szCs w:val="22"/>
                              </w:rPr>
                              <w:t>The data will be analyzed using various methods t</w:t>
                            </w:r>
                            <w:r>
                              <w:rPr>
                                <w:sz w:val="22"/>
                                <w:szCs w:val="22"/>
                              </w:rPr>
                              <w:t>o</w:t>
                            </w:r>
                            <w:r w:rsidRPr="00896231">
                              <w:rPr>
                                <w:sz w:val="22"/>
                                <w:szCs w:val="22"/>
                              </w:rPr>
                              <w:t xml:space="preserve"> be further defined for individual projects submitted under the Generic Clearance</w:t>
                            </w:r>
                            <w:r>
                              <w:rPr>
                                <w:sz w:val="22"/>
                                <w:szCs w:val="22"/>
                              </w:rPr>
                              <w:t>.</w:t>
                            </w:r>
                          </w:p>
                          <w:p w:rsidR="00AF084B" w:rsidRPr="00AF084B" w:rsidP="000B5579" w14:textId="5E889F0F">
                            <w:pPr>
                              <w:pStyle w:val="ListParagraph"/>
                              <w:numPr>
                                <w:ilvl w:val="0"/>
                                <w:numId w:val="34"/>
                              </w:numPr>
                              <w:spacing w:before="120"/>
                              <w:contextualSpacing w:val="0"/>
                            </w:pPr>
                            <w:r>
                              <w:rPr>
                                <w:sz w:val="22"/>
                                <w:szCs w:val="22"/>
                              </w:rPr>
                              <w:t xml:space="preserve">In addition to submission of the instruments utilized, all collections submitted under this generic pathway will also include a full supporting statement Part A that describes the tool/method/intervention under development, identifies the targeted respondent populations, includes a justification for any incentives offered, assesses </w:t>
                            </w:r>
                            <w:r w:rsidR="00867875">
                              <w:rPr>
                                <w:sz w:val="22"/>
                                <w:szCs w:val="22"/>
                              </w:rPr>
                              <w:t xml:space="preserve">the </w:t>
                            </w:r>
                            <w:r>
                              <w:rPr>
                                <w:sz w:val="22"/>
                                <w:szCs w:val="22"/>
                              </w:rPr>
                              <w:t>applicability of the Privacy Act and includ</w:t>
                            </w:r>
                            <w:r w:rsidR="00867875">
                              <w:rPr>
                                <w:sz w:val="22"/>
                                <w:szCs w:val="22"/>
                              </w:rPr>
                              <w:t>ing</w:t>
                            </w:r>
                            <w:r>
                              <w:rPr>
                                <w:sz w:val="22"/>
                                <w:szCs w:val="22"/>
                              </w:rPr>
                              <w:t xml:space="preserve"> a </w:t>
                            </w:r>
                            <w:r w:rsidR="00867875">
                              <w:rPr>
                                <w:sz w:val="22"/>
                                <w:szCs w:val="22"/>
                              </w:rPr>
                              <w:t xml:space="preserve">comprehensive </w:t>
                            </w:r>
                            <w:r>
                              <w:rPr>
                                <w:sz w:val="22"/>
                                <w:szCs w:val="22"/>
                              </w:rPr>
                              <w:t>Privacy Impact Assessment if necessary, and an accompanying Supporting Statement Part B if any statistical methods are employed for sampling or analyses in the study.</w:t>
                            </w:r>
                            <w:r>
                              <w:rPr>
                                <w:sz w:val="22"/>
                                <w:szCs w:val="22"/>
                              </w:rPr>
                              <w:t xml:space="preserve"> </w:t>
                            </w:r>
                          </w:p>
                          <w:p w:rsidR="000B5579" w:rsidRPr="00874CD6" w:rsidP="000B5579" w14:textId="77777777">
                            <w:pPr>
                              <w:pStyle w:val="ListParagraph"/>
                              <w:numPr>
                                <w:ilvl w:val="0"/>
                                <w:numId w:val="34"/>
                              </w:numPr>
                              <w:spacing w:before="120"/>
                              <w:contextualSpacing w:val="0"/>
                            </w:pPr>
                            <w:r>
                              <w:t>O</w:t>
                            </w:r>
                            <w:r w:rsidRPr="000B5579">
                              <w:rPr>
                                <w:sz w:val="22"/>
                                <w:szCs w:val="22"/>
                              </w:rPr>
                              <w:t xml:space="preserve">utcomes collected under this generic pathway are intended for internal </w:t>
                            </w:r>
                            <w:r w:rsidR="00AF084B">
                              <w:rPr>
                                <w:sz w:val="22"/>
                                <w:szCs w:val="22"/>
                              </w:rPr>
                              <w:t>CDC/</w:t>
                            </w:r>
                            <w:r w:rsidRPr="000B5579">
                              <w:rPr>
                                <w:sz w:val="22"/>
                                <w:szCs w:val="22"/>
                              </w:rPr>
                              <w:t>ATSDR use only and will not be generalized beyond the scope of each study or to broader populations.</w:t>
                            </w:r>
                          </w:p>
                          <w:p w:rsidR="002F5077" w:rsidRPr="00896231" w:rsidP="00AF084B" w14:textId="77777777">
                            <w:pPr>
                              <w:pStyle w:val="ListParagraph"/>
                              <w:spacing w:before="120"/>
                              <w:ind w:left="360" w:firstLine="0"/>
                              <w:contextualSpacing w:val="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1.05pt;height:513.65pt;margin-top:13.15pt;margin-left:-25.8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2F5077" w:rsidRPr="00896231" w:rsidP="00896231" w14:paraId="406DF0BB" w14:textId="7768DB72">
                      <w:pPr>
                        <w:pStyle w:val="ListParagraph"/>
                        <w:numPr>
                          <w:ilvl w:val="0"/>
                          <w:numId w:val="34"/>
                        </w:numPr>
                        <w:spacing w:before="120"/>
                        <w:contextualSpacing w:val="0"/>
                        <w:rPr>
                          <w:sz w:val="22"/>
                          <w:szCs w:val="22"/>
                        </w:rPr>
                      </w:pPr>
                      <w:r w:rsidRPr="00896231">
                        <w:rPr>
                          <w:sz w:val="22"/>
                          <w:szCs w:val="22"/>
                        </w:rPr>
                        <w:t>The goal of th</w:t>
                      </w:r>
                      <w:r>
                        <w:rPr>
                          <w:sz w:val="22"/>
                          <w:szCs w:val="22"/>
                        </w:rPr>
                        <w:t xml:space="preserve">is </w:t>
                      </w:r>
                      <w:r w:rsidR="00CA572A">
                        <w:rPr>
                          <w:sz w:val="22"/>
                          <w:szCs w:val="22"/>
                        </w:rPr>
                        <w:t xml:space="preserve">extension to the </w:t>
                      </w:r>
                      <w:r>
                        <w:rPr>
                          <w:sz w:val="22"/>
                          <w:szCs w:val="22"/>
                        </w:rPr>
                        <w:t>generic information collection request</w:t>
                      </w:r>
                      <w:r w:rsidRPr="00896231">
                        <w:rPr>
                          <w:sz w:val="22"/>
                          <w:szCs w:val="22"/>
                        </w:rPr>
                        <w:t xml:space="preserve"> is to enable </w:t>
                      </w:r>
                      <w:r>
                        <w:rPr>
                          <w:sz w:val="22"/>
                          <w:szCs w:val="22"/>
                        </w:rPr>
                        <w:t xml:space="preserve">CDC/ATSDR </w:t>
                      </w:r>
                      <w:r w:rsidRPr="00896231">
                        <w:rPr>
                          <w:sz w:val="22"/>
                          <w:szCs w:val="22"/>
                        </w:rPr>
                        <w:t xml:space="preserve">to conduct formative research for developing new tools and methodologies </w:t>
                      </w:r>
                      <w:r w:rsidR="00F61A44">
                        <w:rPr>
                          <w:sz w:val="22"/>
                          <w:szCs w:val="22"/>
                        </w:rPr>
                        <w:t>supporting</w:t>
                      </w:r>
                      <w:r w:rsidRPr="00896231">
                        <w:rPr>
                          <w:sz w:val="22"/>
                          <w:szCs w:val="22"/>
                        </w:rPr>
                        <w:t xml:space="preserve"> </w:t>
                      </w:r>
                      <w:r w:rsidR="00F61A44">
                        <w:rPr>
                          <w:sz w:val="22"/>
                          <w:szCs w:val="22"/>
                        </w:rPr>
                        <w:t xml:space="preserve">CDC/ATSDR’s </w:t>
                      </w:r>
                      <w:r w:rsidRPr="00896231">
                        <w:rPr>
                          <w:sz w:val="22"/>
                          <w:szCs w:val="22"/>
                        </w:rPr>
                        <w:t>research</w:t>
                      </w:r>
                      <w:r>
                        <w:rPr>
                          <w:sz w:val="22"/>
                          <w:szCs w:val="22"/>
                        </w:rPr>
                        <w:t xml:space="preserve">, </w:t>
                      </w:r>
                      <w:r w:rsidR="00F61A44">
                        <w:rPr>
                          <w:sz w:val="22"/>
                          <w:szCs w:val="22"/>
                        </w:rPr>
                        <w:t xml:space="preserve">surveillance, and program evaluation activities, and the </w:t>
                      </w:r>
                      <w:r w:rsidR="003A5A2F">
                        <w:rPr>
                          <w:sz w:val="22"/>
                          <w:szCs w:val="22"/>
                        </w:rPr>
                        <w:t>development and assessment of multi-use tools</w:t>
                      </w:r>
                      <w:r w:rsidR="00F61A44">
                        <w:rPr>
                          <w:sz w:val="22"/>
                          <w:szCs w:val="22"/>
                        </w:rPr>
                        <w:t xml:space="preserve"> when practicable. </w:t>
                      </w:r>
                      <w:r w:rsidR="00867875">
                        <w:rPr>
                          <w:sz w:val="22"/>
                          <w:szCs w:val="22"/>
                        </w:rPr>
                        <w:t xml:space="preserve">The information </w:t>
                      </w:r>
                      <w:r w:rsidR="00F61A44">
                        <w:rPr>
                          <w:sz w:val="22"/>
                          <w:szCs w:val="22"/>
                        </w:rPr>
                        <w:t xml:space="preserve">collection will </w:t>
                      </w:r>
                      <w:r>
                        <w:rPr>
                          <w:sz w:val="22"/>
                          <w:szCs w:val="22"/>
                        </w:rPr>
                        <w:t>includ</w:t>
                      </w:r>
                      <w:r w:rsidR="00F61A44">
                        <w:rPr>
                          <w:sz w:val="22"/>
                          <w:szCs w:val="22"/>
                        </w:rPr>
                        <w:t>e</w:t>
                      </w:r>
                      <w:r w:rsidRPr="00896231">
                        <w:rPr>
                          <w:sz w:val="22"/>
                          <w:szCs w:val="22"/>
                        </w:rPr>
                        <w:t xml:space="preserve"> </w:t>
                      </w:r>
                      <w:r w:rsidR="00867875">
                        <w:rPr>
                          <w:sz w:val="22"/>
                          <w:szCs w:val="22"/>
                        </w:rPr>
                        <w:t>short-term</w:t>
                      </w:r>
                      <w:r w:rsidRPr="00896231">
                        <w:rPr>
                          <w:sz w:val="22"/>
                          <w:szCs w:val="22"/>
                        </w:rPr>
                        <w:t xml:space="preserve"> qualitative interviewing and cognitive research techniques to develop scientifically valid and population-appropriate methods, interventions, and instruments</w:t>
                      </w:r>
                      <w:r w:rsidR="0018474A">
                        <w:rPr>
                          <w:sz w:val="22"/>
                          <w:szCs w:val="22"/>
                        </w:rPr>
                        <w:t xml:space="preserve"> that are up-to-date with respect to</w:t>
                      </w:r>
                      <w:r w:rsidR="00443C44">
                        <w:rPr>
                          <w:sz w:val="22"/>
                          <w:szCs w:val="22"/>
                        </w:rPr>
                        <w:t xml:space="preserve"> terminology, </w:t>
                      </w:r>
                      <w:r w:rsidR="0018474A">
                        <w:rPr>
                          <w:sz w:val="22"/>
                          <w:szCs w:val="22"/>
                        </w:rPr>
                        <w:t>health care practice</w:t>
                      </w:r>
                      <w:r w:rsidR="00443C44">
                        <w:rPr>
                          <w:sz w:val="22"/>
                          <w:szCs w:val="22"/>
                        </w:rPr>
                        <w:t>, etc</w:t>
                      </w:r>
                      <w:r w:rsidRPr="00896231">
                        <w:rPr>
                          <w:sz w:val="22"/>
                          <w:szCs w:val="22"/>
                        </w:rPr>
                        <w:t>.</w:t>
                      </w:r>
                    </w:p>
                    <w:p w:rsidR="002F5077" w:rsidRPr="00896231" w:rsidP="00896231" w14:paraId="54B90D26" w14:textId="77777777">
                      <w:pPr>
                        <w:pStyle w:val="ListParagraph"/>
                        <w:numPr>
                          <w:ilvl w:val="0"/>
                          <w:numId w:val="34"/>
                        </w:numPr>
                        <w:spacing w:before="120"/>
                        <w:contextualSpacing w:val="0"/>
                        <w:rPr>
                          <w:sz w:val="22"/>
                          <w:szCs w:val="22"/>
                        </w:rPr>
                      </w:pPr>
                      <w:r w:rsidRPr="00896231">
                        <w:rPr>
                          <w:sz w:val="22"/>
                          <w:szCs w:val="22"/>
                        </w:rPr>
                        <w:t>The resulting data will benefit the federal government in the development of interventions, new or improved tools, methodologies, concept development</w:t>
                      </w:r>
                      <w:r w:rsidR="00867875">
                        <w:rPr>
                          <w:sz w:val="22"/>
                          <w:szCs w:val="22"/>
                        </w:rPr>
                        <w:t>,</w:t>
                      </w:r>
                      <w:r w:rsidRPr="00896231">
                        <w:rPr>
                          <w:sz w:val="22"/>
                          <w:szCs w:val="22"/>
                        </w:rPr>
                        <w:t xml:space="preserve"> and</w:t>
                      </w:r>
                      <w:r>
                        <w:rPr>
                          <w:sz w:val="22"/>
                          <w:szCs w:val="22"/>
                        </w:rPr>
                        <w:t>/</w:t>
                      </w:r>
                      <w:r w:rsidRPr="00896231">
                        <w:rPr>
                          <w:sz w:val="22"/>
                          <w:szCs w:val="22"/>
                        </w:rPr>
                        <w:t>or product development and testing</w:t>
                      </w:r>
                      <w:r w:rsidR="000901A5">
                        <w:rPr>
                          <w:sz w:val="22"/>
                          <w:szCs w:val="22"/>
                        </w:rPr>
                        <w:t xml:space="preserve">.  </w:t>
                      </w:r>
                      <w:r w:rsidR="009032A9">
                        <w:rPr>
                          <w:sz w:val="22"/>
                          <w:szCs w:val="22"/>
                        </w:rPr>
                        <w:t>In some cases</w:t>
                      </w:r>
                      <w:r w:rsidR="00867875">
                        <w:rPr>
                          <w:sz w:val="22"/>
                          <w:szCs w:val="22"/>
                        </w:rPr>
                        <w:t>,</w:t>
                      </w:r>
                      <w:r w:rsidR="009032A9">
                        <w:rPr>
                          <w:sz w:val="22"/>
                          <w:szCs w:val="22"/>
                        </w:rPr>
                        <w:t xml:space="preserve"> a variety of similar questions are in use by various CDC/ATSDR programs</w:t>
                      </w:r>
                      <w:r w:rsidR="005F1840">
                        <w:rPr>
                          <w:sz w:val="22"/>
                          <w:szCs w:val="22"/>
                        </w:rPr>
                        <w:t xml:space="preserve"> and partner organizations</w:t>
                      </w:r>
                      <w:r w:rsidR="009032A9">
                        <w:rPr>
                          <w:sz w:val="22"/>
                          <w:szCs w:val="22"/>
                        </w:rPr>
                        <w:t xml:space="preserve">.  </w:t>
                      </w:r>
                      <w:r w:rsidR="000901A5">
                        <w:rPr>
                          <w:sz w:val="22"/>
                          <w:szCs w:val="22"/>
                        </w:rPr>
                        <w:t>Formative research a</w:t>
                      </w:r>
                      <w:r w:rsidR="009032A9">
                        <w:rPr>
                          <w:sz w:val="22"/>
                          <w:szCs w:val="22"/>
                        </w:rPr>
                        <w:t>nd instrument testing will help CDC/ATSDR clarify how respondents interpret questions and response options; compare respondent perceptions of different versions of similar questions</w:t>
                      </w:r>
                      <w:r w:rsidR="00611F95">
                        <w:rPr>
                          <w:sz w:val="22"/>
                          <w:szCs w:val="22"/>
                        </w:rPr>
                        <w:t xml:space="preserve"> or response options</w:t>
                      </w:r>
                      <w:r w:rsidR="009032A9">
                        <w:rPr>
                          <w:sz w:val="22"/>
                          <w:szCs w:val="22"/>
                        </w:rPr>
                        <w:t>; and inform the selection of which version of a question to use</w:t>
                      </w:r>
                      <w:r w:rsidR="00B21268">
                        <w:rPr>
                          <w:sz w:val="22"/>
                          <w:szCs w:val="22"/>
                        </w:rPr>
                        <w:t xml:space="preserve"> in a specific</w:t>
                      </w:r>
                      <w:r w:rsidR="009032A9">
                        <w:rPr>
                          <w:sz w:val="22"/>
                          <w:szCs w:val="22"/>
                        </w:rPr>
                        <w:t xml:space="preserve"> information collection context</w:t>
                      </w:r>
                      <w:r w:rsidR="007A43F4">
                        <w:rPr>
                          <w:sz w:val="22"/>
                          <w:szCs w:val="22"/>
                        </w:rPr>
                        <w:t xml:space="preserve"> (mode of data collection, subpopulation, or research/surveillance/program evaluation activity)</w:t>
                      </w:r>
                      <w:r w:rsidR="009032A9">
                        <w:rPr>
                          <w:sz w:val="22"/>
                          <w:szCs w:val="22"/>
                        </w:rPr>
                        <w:t>.</w:t>
                      </w:r>
                      <w:r w:rsidR="00443C44">
                        <w:rPr>
                          <w:sz w:val="22"/>
                          <w:szCs w:val="22"/>
                        </w:rPr>
                        <w:t xml:space="preserve">  Formative research and cognitive testing may also be conducted to support</w:t>
                      </w:r>
                      <w:r w:rsidR="00FE7A28">
                        <w:rPr>
                          <w:sz w:val="22"/>
                          <w:szCs w:val="22"/>
                        </w:rPr>
                        <w:t xml:space="preserve"> the translation of questions,</w:t>
                      </w:r>
                      <w:r w:rsidR="00443C44">
                        <w:rPr>
                          <w:sz w:val="22"/>
                          <w:szCs w:val="22"/>
                        </w:rPr>
                        <w:t xml:space="preserve"> instruments </w:t>
                      </w:r>
                      <w:r w:rsidR="00FE7A28">
                        <w:rPr>
                          <w:sz w:val="22"/>
                          <w:szCs w:val="22"/>
                        </w:rPr>
                        <w:t xml:space="preserve">or supplementary materials (e.g., consent forms) </w:t>
                      </w:r>
                      <w:r w:rsidR="00443C44">
                        <w:rPr>
                          <w:sz w:val="22"/>
                          <w:szCs w:val="22"/>
                        </w:rPr>
                        <w:t>into a variety of languages.</w:t>
                      </w:r>
                    </w:p>
                    <w:p w:rsidR="002F5077" w:rsidRPr="00896231" w:rsidP="00896231" w14:paraId="5A3A5520" w14:textId="781CC237">
                      <w:pPr>
                        <w:pStyle w:val="ListParagraph"/>
                        <w:numPr>
                          <w:ilvl w:val="0"/>
                          <w:numId w:val="34"/>
                        </w:numPr>
                        <w:spacing w:before="120"/>
                        <w:contextualSpacing w:val="0"/>
                        <w:rPr>
                          <w:sz w:val="22"/>
                          <w:szCs w:val="22"/>
                        </w:rPr>
                      </w:pPr>
                      <w:r w:rsidRPr="00896231">
                        <w:rPr>
                          <w:sz w:val="22"/>
                          <w:szCs w:val="22"/>
                        </w:rPr>
                        <w:t xml:space="preserve">The methods used to collect the information will </w:t>
                      </w:r>
                      <w:r>
                        <w:rPr>
                          <w:sz w:val="22"/>
                          <w:szCs w:val="22"/>
                        </w:rPr>
                        <w:t>include</w:t>
                      </w:r>
                      <w:r w:rsidRPr="00896231">
                        <w:rPr>
                          <w:sz w:val="22"/>
                          <w:szCs w:val="22"/>
                        </w:rPr>
                        <w:t xml:space="preserve"> </w:t>
                      </w:r>
                      <w:r>
                        <w:rPr>
                          <w:sz w:val="22"/>
                          <w:szCs w:val="22"/>
                        </w:rPr>
                        <w:t>q</w:t>
                      </w:r>
                      <w:r w:rsidRPr="00896231">
                        <w:rPr>
                          <w:sz w:val="22"/>
                          <w:szCs w:val="22"/>
                        </w:rPr>
                        <w:t>ualitative interview</w:t>
                      </w:r>
                      <w:r>
                        <w:rPr>
                          <w:sz w:val="22"/>
                          <w:szCs w:val="22"/>
                        </w:rPr>
                        <w:t>s</w:t>
                      </w:r>
                      <w:r w:rsidRPr="00896231">
                        <w:rPr>
                          <w:sz w:val="22"/>
                          <w:szCs w:val="22"/>
                        </w:rPr>
                        <w:t xml:space="preserve">, cognitive and in-depth interviews among the consumer clients or the implementers </w:t>
                      </w:r>
                      <w:r w:rsidR="00867875">
                        <w:rPr>
                          <w:sz w:val="22"/>
                          <w:szCs w:val="22"/>
                        </w:rPr>
                        <w:t>–</w:t>
                      </w:r>
                      <w:r w:rsidRPr="00896231">
                        <w:rPr>
                          <w:sz w:val="22"/>
                          <w:szCs w:val="22"/>
                        </w:rPr>
                        <w:t xml:space="preserve"> individual interviews or focus group interviews, methodological research, usability testing of technology-based instruments and materials, field testing of new methodologies and materials and or testing of </w:t>
                      </w:r>
                      <w:r w:rsidRPr="00867875" w:rsidR="00867875">
                        <w:rPr>
                          <w:sz w:val="22"/>
                          <w:szCs w:val="22"/>
                        </w:rPr>
                        <w:t>mental models approach to risk communication</w:t>
                      </w:r>
                      <w:r w:rsidRPr="00896231">
                        <w:rPr>
                          <w:sz w:val="22"/>
                          <w:szCs w:val="22"/>
                        </w:rPr>
                        <w:t xml:space="preserve">. </w:t>
                      </w:r>
                    </w:p>
                    <w:p w:rsidR="002F5077" w:rsidRPr="00896231" w:rsidP="007A3CF4" w14:paraId="0AE0A32A" w14:textId="2EDD1B53">
                      <w:pPr>
                        <w:pStyle w:val="ListParagraph"/>
                        <w:numPr>
                          <w:ilvl w:val="0"/>
                          <w:numId w:val="34"/>
                        </w:numPr>
                        <w:spacing w:before="120"/>
                        <w:contextualSpacing w:val="0"/>
                        <w:rPr>
                          <w:sz w:val="22"/>
                          <w:szCs w:val="22"/>
                        </w:rPr>
                      </w:pPr>
                      <w:r>
                        <w:rPr>
                          <w:sz w:val="22"/>
                          <w:szCs w:val="22"/>
                        </w:rPr>
                        <w:t xml:space="preserve">Respondents include persons in </w:t>
                      </w:r>
                      <w:r w:rsidRPr="00896231">
                        <w:rPr>
                          <w:sz w:val="22"/>
                          <w:szCs w:val="22"/>
                        </w:rPr>
                        <w:t>the general population</w:t>
                      </w:r>
                      <w:r>
                        <w:rPr>
                          <w:sz w:val="22"/>
                          <w:szCs w:val="22"/>
                        </w:rPr>
                        <w:t xml:space="preserve"> or from specific subpopulations</w:t>
                      </w:r>
                      <w:r w:rsidRPr="00896231">
                        <w:rPr>
                          <w:sz w:val="22"/>
                          <w:szCs w:val="22"/>
                        </w:rPr>
                        <w:t>,</w:t>
                      </w:r>
                      <w:r>
                        <w:rPr>
                          <w:sz w:val="22"/>
                          <w:szCs w:val="22"/>
                        </w:rPr>
                        <w:t xml:space="preserve"> such as </w:t>
                      </w:r>
                      <w:r w:rsidRPr="002C2D2E">
                        <w:rPr>
                          <w:sz w:val="22"/>
                          <w:szCs w:val="22"/>
                        </w:rPr>
                        <w:t>persons with or at risk for certain medical conditions</w:t>
                      </w:r>
                      <w:r>
                        <w:rPr>
                          <w:sz w:val="22"/>
                          <w:szCs w:val="22"/>
                        </w:rPr>
                        <w:t>, adolescents and/or</w:t>
                      </w:r>
                      <w:r w:rsidRPr="00896231">
                        <w:rPr>
                          <w:sz w:val="22"/>
                          <w:szCs w:val="22"/>
                        </w:rPr>
                        <w:t xml:space="preserve"> adults</w:t>
                      </w:r>
                      <w:r>
                        <w:rPr>
                          <w:sz w:val="22"/>
                          <w:szCs w:val="22"/>
                        </w:rPr>
                        <w:t>,</w:t>
                      </w:r>
                      <w:r w:rsidRPr="00896231">
                        <w:rPr>
                          <w:sz w:val="22"/>
                          <w:szCs w:val="22"/>
                        </w:rPr>
                        <w:t xml:space="preserve"> male</w:t>
                      </w:r>
                      <w:r>
                        <w:rPr>
                          <w:sz w:val="22"/>
                          <w:szCs w:val="22"/>
                        </w:rPr>
                        <w:t>s</w:t>
                      </w:r>
                      <w:r w:rsidRPr="00896231">
                        <w:rPr>
                          <w:sz w:val="22"/>
                          <w:szCs w:val="22"/>
                        </w:rPr>
                        <w:t>, female</w:t>
                      </w:r>
                      <w:r>
                        <w:rPr>
                          <w:sz w:val="22"/>
                          <w:szCs w:val="22"/>
                        </w:rPr>
                        <w:t>s</w:t>
                      </w:r>
                      <w:r w:rsidRPr="00896231">
                        <w:rPr>
                          <w:sz w:val="22"/>
                          <w:szCs w:val="22"/>
                        </w:rPr>
                        <w:t>, and</w:t>
                      </w:r>
                      <w:r>
                        <w:rPr>
                          <w:sz w:val="22"/>
                          <w:szCs w:val="22"/>
                        </w:rPr>
                        <w:t>/or</w:t>
                      </w:r>
                      <w:r w:rsidRPr="00896231">
                        <w:rPr>
                          <w:sz w:val="22"/>
                          <w:szCs w:val="22"/>
                        </w:rPr>
                        <w:t xml:space="preserve"> </w:t>
                      </w:r>
                      <w:r w:rsidR="00867875">
                        <w:rPr>
                          <w:sz w:val="22"/>
                          <w:szCs w:val="22"/>
                        </w:rPr>
                        <w:t xml:space="preserve">LGBTQIA </w:t>
                      </w:r>
                      <w:r>
                        <w:rPr>
                          <w:sz w:val="22"/>
                          <w:szCs w:val="22"/>
                        </w:rPr>
                        <w:t xml:space="preserve">persons, </w:t>
                      </w:r>
                      <w:r w:rsidR="00867875">
                        <w:rPr>
                          <w:sz w:val="22"/>
                          <w:szCs w:val="22"/>
                        </w:rPr>
                        <w:t xml:space="preserve">persons of minority populations, </w:t>
                      </w:r>
                      <w:r>
                        <w:rPr>
                          <w:sz w:val="22"/>
                          <w:szCs w:val="22"/>
                        </w:rPr>
                        <w:t xml:space="preserve">persons of specific </w:t>
                      </w:r>
                      <w:r w:rsidRPr="00896231">
                        <w:rPr>
                          <w:sz w:val="22"/>
                          <w:szCs w:val="22"/>
                        </w:rPr>
                        <w:t>race</w:t>
                      </w:r>
                      <w:r>
                        <w:rPr>
                          <w:sz w:val="22"/>
                          <w:szCs w:val="22"/>
                        </w:rPr>
                        <w:t>s/ethnicities,</w:t>
                      </w:r>
                      <w:r w:rsidRPr="007A3CF4">
                        <w:t xml:space="preserve"> </w:t>
                      </w:r>
                      <w:r>
                        <w:t xml:space="preserve">and </w:t>
                      </w:r>
                      <w:r w:rsidRPr="007A3CF4">
                        <w:rPr>
                          <w:sz w:val="22"/>
                          <w:szCs w:val="22"/>
                        </w:rPr>
                        <w:t xml:space="preserve">persons residing in rural and/or urban locations, and/or in specific regions or health jurisdictions.  </w:t>
                      </w:r>
                      <w:r w:rsidRPr="00896231">
                        <w:rPr>
                          <w:sz w:val="22"/>
                          <w:szCs w:val="22"/>
                        </w:rPr>
                        <w:t>Other respondents</w:t>
                      </w:r>
                      <w:r>
                        <w:rPr>
                          <w:sz w:val="22"/>
                          <w:szCs w:val="22"/>
                        </w:rPr>
                        <w:t xml:space="preserve"> may</w:t>
                      </w:r>
                      <w:r w:rsidRPr="00896231">
                        <w:rPr>
                          <w:sz w:val="22"/>
                          <w:szCs w:val="22"/>
                        </w:rPr>
                        <w:t xml:space="preserve"> include health care providers, health department personnel and others engaged in </w:t>
                      </w:r>
                      <w:r>
                        <w:rPr>
                          <w:sz w:val="22"/>
                          <w:szCs w:val="22"/>
                        </w:rPr>
                        <w:t xml:space="preserve">public health </w:t>
                      </w:r>
                      <w:r w:rsidRPr="00896231">
                        <w:rPr>
                          <w:sz w:val="22"/>
                          <w:szCs w:val="22"/>
                        </w:rPr>
                        <w:t>activities</w:t>
                      </w:r>
                      <w:r>
                        <w:rPr>
                          <w:sz w:val="22"/>
                          <w:szCs w:val="22"/>
                        </w:rPr>
                        <w:t xml:space="preserve"> promoted by CDC</w:t>
                      </w:r>
                      <w:r w:rsidRPr="00896231">
                        <w:rPr>
                          <w:sz w:val="22"/>
                          <w:szCs w:val="22"/>
                        </w:rPr>
                        <w:t>.</w:t>
                      </w:r>
                      <w:r w:rsidRPr="002C2D2E">
                        <w:t xml:space="preserve"> </w:t>
                      </w:r>
                    </w:p>
                    <w:p w:rsidR="000B5579" w:rsidRPr="00AF084B" w:rsidP="000B5579" w14:paraId="66E0435E" w14:textId="77777777">
                      <w:pPr>
                        <w:pStyle w:val="ListParagraph"/>
                        <w:numPr>
                          <w:ilvl w:val="0"/>
                          <w:numId w:val="34"/>
                        </w:numPr>
                        <w:spacing w:before="120"/>
                        <w:contextualSpacing w:val="0"/>
                      </w:pPr>
                      <w:r w:rsidRPr="00896231">
                        <w:rPr>
                          <w:sz w:val="22"/>
                          <w:szCs w:val="22"/>
                        </w:rPr>
                        <w:t>The data will be analyzed using various methods t</w:t>
                      </w:r>
                      <w:r>
                        <w:rPr>
                          <w:sz w:val="22"/>
                          <w:szCs w:val="22"/>
                        </w:rPr>
                        <w:t>o</w:t>
                      </w:r>
                      <w:r w:rsidRPr="00896231">
                        <w:rPr>
                          <w:sz w:val="22"/>
                          <w:szCs w:val="22"/>
                        </w:rPr>
                        <w:t xml:space="preserve"> be further defined for individual projects submitted under the Generic Clearance</w:t>
                      </w:r>
                      <w:r>
                        <w:rPr>
                          <w:sz w:val="22"/>
                          <w:szCs w:val="22"/>
                        </w:rPr>
                        <w:t>.</w:t>
                      </w:r>
                    </w:p>
                    <w:p w:rsidR="00AF084B" w:rsidRPr="00AF084B" w:rsidP="000B5579" w14:paraId="4485676E" w14:textId="5E889F0F">
                      <w:pPr>
                        <w:pStyle w:val="ListParagraph"/>
                        <w:numPr>
                          <w:ilvl w:val="0"/>
                          <w:numId w:val="34"/>
                        </w:numPr>
                        <w:spacing w:before="120"/>
                        <w:contextualSpacing w:val="0"/>
                      </w:pPr>
                      <w:r>
                        <w:rPr>
                          <w:sz w:val="22"/>
                          <w:szCs w:val="22"/>
                        </w:rPr>
                        <w:t xml:space="preserve">In addition to submission of the instruments utilized, all collections submitted under this generic pathway will also include a full supporting statement Part A that describes the tool/method/intervention under development, identifies the targeted respondent populations, includes a justification for any incentives offered, assesses </w:t>
                      </w:r>
                      <w:r w:rsidR="00867875">
                        <w:rPr>
                          <w:sz w:val="22"/>
                          <w:szCs w:val="22"/>
                        </w:rPr>
                        <w:t xml:space="preserve">the </w:t>
                      </w:r>
                      <w:r>
                        <w:rPr>
                          <w:sz w:val="22"/>
                          <w:szCs w:val="22"/>
                        </w:rPr>
                        <w:t>applicability of the Privacy Act and includ</w:t>
                      </w:r>
                      <w:r w:rsidR="00867875">
                        <w:rPr>
                          <w:sz w:val="22"/>
                          <w:szCs w:val="22"/>
                        </w:rPr>
                        <w:t>ing</w:t>
                      </w:r>
                      <w:r>
                        <w:rPr>
                          <w:sz w:val="22"/>
                          <w:szCs w:val="22"/>
                        </w:rPr>
                        <w:t xml:space="preserve"> a </w:t>
                      </w:r>
                      <w:r w:rsidR="00867875">
                        <w:rPr>
                          <w:sz w:val="22"/>
                          <w:szCs w:val="22"/>
                        </w:rPr>
                        <w:t xml:space="preserve">comprehensive </w:t>
                      </w:r>
                      <w:r>
                        <w:rPr>
                          <w:sz w:val="22"/>
                          <w:szCs w:val="22"/>
                        </w:rPr>
                        <w:t>Privacy Impact Assessment if necessary, and an accompanying Supporting Statement Part B if any statistical methods are employed for sampling or analyses in the study.</w:t>
                      </w:r>
                      <w:r>
                        <w:rPr>
                          <w:sz w:val="22"/>
                          <w:szCs w:val="22"/>
                        </w:rPr>
                        <w:t xml:space="preserve"> </w:t>
                      </w:r>
                    </w:p>
                    <w:p w:rsidR="000B5579" w:rsidRPr="00874CD6" w:rsidP="000B5579" w14:paraId="4CDDD195" w14:textId="77777777">
                      <w:pPr>
                        <w:pStyle w:val="ListParagraph"/>
                        <w:numPr>
                          <w:ilvl w:val="0"/>
                          <w:numId w:val="34"/>
                        </w:numPr>
                        <w:spacing w:before="120"/>
                        <w:contextualSpacing w:val="0"/>
                      </w:pPr>
                      <w:r>
                        <w:t>O</w:t>
                      </w:r>
                      <w:r w:rsidRPr="000B5579">
                        <w:rPr>
                          <w:sz w:val="22"/>
                          <w:szCs w:val="22"/>
                        </w:rPr>
                        <w:t xml:space="preserve">utcomes collected under this generic pathway are intended for internal </w:t>
                      </w:r>
                      <w:r w:rsidR="00AF084B">
                        <w:rPr>
                          <w:sz w:val="22"/>
                          <w:szCs w:val="22"/>
                        </w:rPr>
                        <w:t>CDC/</w:t>
                      </w:r>
                      <w:r w:rsidRPr="000B5579">
                        <w:rPr>
                          <w:sz w:val="22"/>
                          <w:szCs w:val="22"/>
                        </w:rPr>
                        <w:t>ATSDR use only and will not be generalized beyond the scope of each study or to broader populations.</w:t>
                      </w:r>
                    </w:p>
                    <w:p w:rsidR="002F5077" w:rsidRPr="00896231" w:rsidP="00AF084B" w14:paraId="74BE2D2C" w14:textId="77777777">
                      <w:pPr>
                        <w:pStyle w:val="ListParagraph"/>
                        <w:spacing w:before="120"/>
                        <w:ind w:left="360" w:firstLine="0"/>
                        <w:contextualSpacing w:val="0"/>
                      </w:pPr>
                    </w:p>
                  </w:txbxContent>
                </v:textbox>
              </v:shape>
            </w:pict>
          </mc:Fallback>
        </mc:AlternateContent>
      </w:r>
      <w:r w:rsidRPr="00022A54" w:rsidR="000B3F98">
        <w:fldChar w:fldCharType="end"/>
      </w:r>
    </w:p>
    <w:p w:rsidR="0092767B" w:rsidP="0092767B" w14:paraId="0AD63623" w14:textId="77777777">
      <w:pPr>
        <w:rPr>
          <w:rFonts w:ascii="Courier New" w:hAnsi="Courier New" w:cs="Courier New"/>
          <w:b/>
        </w:rPr>
      </w:pPr>
    </w:p>
    <w:p w:rsidR="0092767B" w:rsidP="0092767B" w14:paraId="56E79BBA" w14:textId="77777777">
      <w:pPr>
        <w:rPr>
          <w:rFonts w:ascii="Courier New" w:hAnsi="Courier New" w:cs="Courier New"/>
          <w:b/>
        </w:rPr>
      </w:pPr>
    </w:p>
    <w:p w:rsidR="0092767B" w:rsidP="0092767B" w14:paraId="0E4E258F" w14:textId="77777777">
      <w:pPr>
        <w:rPr>
          <w:rFonts w:ascii="Courier New" w:hAnsi="Courier New" w:cs="Courier New"/>
          <w:b/>
        </w:rPr>
      </w:pPr>
    </w:p>
    <w:p w:rsidR="0092767B" w:rsidP="0092767B" w14:paraId="6703A382" w14:textId="77777777">
      <w:pPr>
        <w:rPr>
          <w:rFonts w:ascii="Courier New" w:hAnsi="Courier New" w:cs="Courier New"/>
          <w:b/>
        </w:rPr>
      </w:pPr>
    </w:p>
    <w:p w:rsidR="0092767B" w:rsidP="0092767B" w14:paraId="11A493C9" w14:textId="77777777">
      <w:pPr>
        <w:rPr>
          <w:rFonts w:ascii="Courier New" w:hAnsi="Courier New" w:cs="Courier New"/>
          <w:b/>
        </w:rPr>
      </w:pPr>
    </w:p>
    <w:p w:rsidR="0092767B" w:rsidP="0092767B" w14:paraId="71C64C86" w14:textId="77777777">
      <w:pPr>
        <w:rPr>
          <w:rFonts w:ascii="Courier New" w:hAnsi="Courier New" w:cs="Courier New"/>
          <w:b/>
        </w:rPr>
      </w:pPr>
    </w:p>
    <w:p w:rsidR="0092767B" w:rsidP="0092767B" w14:paraId="5F72ADF5" w14:textId="77777777">
      <w:pPr>
        <w:rPr>
          <w:rFonts w:ascii="Courier New" w:hAnsi="Courier New" w:cs="Courier New"/>
          <w:b/>
        </w:rPr>
      </w:pPr>
    </w:p>
    <w:p w:rsidR="0092767B" w:rsidP="0092767B" w14:paraId="4D8884D1" w14:textId="77777777">
      <w:pPr>
        <w:rPr>
          <w:rFonts w:ascii="Courier New" w:hAnsi="Courier New" w:cs="Courier New"/>
          <w:b/>
        </w:rPr>
      </w:pPr>
    </w:p>
    <w:p w:rsidR="0092767B" w:rsidP="0092767B" w14:paraId="095C2696" w14:textId="77777777">
      <w:pPr>
        <w:rPr>
          <w:rFonts w:ascii="Courier New" w:hAnsi="Courier New" w:cs="Courier New"/>
          <w:b/>
        </w:rPr>
      </w:pPr>
    </w:p>
    <w:p w:rsidR="00662F81" w:rsidRPr="00022A54" w:rsidP="00662F81" w14:paraId="2F41081C" w14:textId="77777777">
      <w:pPr>
        <w:tabs>
          <w:tab w:val="left" w:pos="-1440"/>
        </w:tabs>
        <w:ind w:left="720" w:hanging="720"/>
        <w:rPr>
          <w:b/>
          <w:bCs/>
        </w:rPr>
      </w:pPr>
      <w:r>
        <w:rPr>
          <w:b/>
          <w:bCs/>
        </w:rPr>
        <w:br w:type="page"/>
      </w:r>
      <w:r w:rsidRPr="00022A54">
        <w:rPr>
          <w:b/>
          <w:bCs/>
        </w:rPr>
        <w:t>A.</w:t>
      </w:r>
      <w:r w:rsidRPr="00022A54">
        <w:rPr>
          <w:b/>
          <w:bCs/>
        </w:rPr>
        <w:tab/>
        <w:t>JUSTIFICATION</w:t>
      </w:r>
    </w:p>
    <w:p w:rsidR="00662F81" w:rsidRPr="00022A54" w:rsidP="00662F81" w14:paraId="6CE0D5D0" w14:textId="77777777">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rsidR="0052066C" w:rsidP="00D357B4" w14:paraId="08777CE2" w14:textId="6F15149D">
      <w:pPr>
        <w:spacing w:after="0"/>
        <w:ind w:left="0" w:firstLine="0"/>
      </w:pPr>
      <w:bookmarkStart w:id="0" w:name="OLE_LINK5"/>
      <w:bookmarkStart w:id="1" w:name="OLE_LINK6"/>
      <w:r w:rsidRPr="00022A54">
        <w:t xml:space="preserve">The Centers for Disease Control and Prevention </w:t>
      </w:r>
      <w:r w:rsidRPr="00022A54" w:rsidR="00C1390D">
        <w:t xml:space="preserve">(CDC) </w:t>
      </w:r>
      <w:r w:rsidRPr="00022A54">
        <w:t xml:space="preserve">requests </w:t>
      </w:r>
      <w:r w:rsidR="009B493D">
        <w:t>three</w:t>
      </w:r>
      <w:r w:rsidR="002F0966">
        <w:t xml:space="preserve"> </w:t>
      </w:r>
      <w:r w:rsidRPr="00022A54" w:rsidR="00A14C7C">
        <w:t>year</w:t>
      </w:r>
      <w:r w:rsidR="00D407D4">
        <w:t>s</w:t>
      </w:r>
      <w:r w:rsidR="00A14C7C">
        <w:t xml:space="preserve"> </w:t>
      </w:r>
      <w:bookmarkStart w:id="2" w:name="OLE_LINK1"/>
      <w:bookmarkStart w:id="3" w:name="OLE_LINK2"/>
      <w:r w:rsidR="007272EC">
        <w:t xml:space="preserve">of </w:t>
      </w:r>
      <w:r w:rsidR="007F50E3">
        <w:t xml:space="preserve">additional </w:t>
      </w:r>
      <w:r w:rsidR="00D407D4">
        <w:t xml:space="preserve">approval for </w:t>
      </w:r>
      <w:r w:rsidR="007F50E3">
        <w:t xml:space="preserve">an </w:t>
      </w:r>
      <w:r w:rsidR="009B493D">
        <w:t>E</w:t>
      </w:r>
      <w:r w:rsidR="007F50E3">
        <w:t xml:space="preserve">xtension of </w:t>
      </w:r>
      <w:r w:rsidR="00D407D4">
        <w:t>a</w:t>
      </w:r>
      <w:r w:rsidR="00D357B4">
        <w:t xml:space="preserve"> </w:t>
      </w:r>
      <w:r w:rsidR="009B493D">
        <w:t>G</w:t>
      </w:r>
      <w:r w:rsidRPr="00022A54" w:rsidR="006A2310">
        <w:t xml:space="preserve">eneric </w:t>
      </w:r>
      <w:r w:rsidR="009B493D">
        <w:t>I</w:t>
      </w:r>
      <w:r w:rsidRPr="00022A54" w:rsidR="006A2310">
        <w:t xml:space="preserve">nformation </w:t>
      </w:r>
      <w:r w:rsidR="009B493D">
        <w:t>C</w:t>
      </w:r>
      <w:r w:rsidRPr="00022A54" w:rsidR="006A2310">
        <w:t>ollection</w:t>
      </w:r>
      <w:r w:rsidR="00D407D4">
        <w:t xml:space="preserve"> </w:t>
      </w:r>
      <w:r w:rsidR="009B493D">
        <w:t xml:space="preserve">Request (ICR) </w:t>
      </w:r>
      <w:r w:rsidR="00D407D4">
        <w:t xml:space="preserve">titled </w:t>
      </w:r>
      <w:r w:rsidR="002F0966">
        <w:t xml:space="preserve">Generic Clearance for CDC/ATSDR </w:t>
      </w:r>
      <w:r w:rsidRPr="00022A54">
        <w:t>Formative Research and Tool Development</w:t>
      </w:r>
      <w:r w:rsidR="00A14C7C">
        <w:t>. The information collection</w:t>
      </w:r>
      <w:r w:rsidRPr="00022A54" w:rsidR="00B47B1C">
        <w:t xml:space="preserve"> support</w:t>
      </w:r>
      <w:r w:rsidR="00A14C7C">
        <w:t>s</w:t>
      </w:r>
      <w:r w:rsidRPr="00022A54" w:rsidR="00B47B1C">
        <w:t xml:space="preserve"> </w:t>
      </w:r>
      <w:r w:rsidRPr="00022A54" w:rsidR="004C7332">
        <w:t xml:space="preserve">formative research </w:t>
      </w:r>
      <w:r w:rsidRPr="00022A54" w:rsidR="00633F07">
        <w:t xml:space="preserve">for the development </w:t>
      </w:r>
      <w:r w:rsidR="007272EC">
        <w:t>or</w:t>
      </w:r>
      <w:r w:rsidR="00D357B4">
        <w:t xml:space="preserve"> </w:t>
      </w:r>
      <w:r w:rsidRPr="00022A54" w:rsidR="000E3FAB">
        <w:t xml:space="preserve">improvement of </w:t>
      </w:r>
      <w:r w:rsidRPr="00022A54" w:rsidR="00633F07">
        <w:t xml:space="preserve">interventions and tools </w:t>
      </w:r>
      <w:bookmarkEnd w:id="2"/>
      <w:bookmarkEnd w:id="3"/>
      <w:r w:rsidR="00D407D4">
        <w:t>for CDC</w:t>
      </w:r>
      <w:r w:rsidR="00E8463B">
        <w:t>/ATSDR</w:t>
      </w:r>
      <w:r w:rsidR="00D407D4">
        <w:t>.</w:t>
      </w:r>
      <w:r w:rsidR="00353925">
        <w:t xml:space="preserve"> </w:t>
      </w:r>
      <w:r w:rsidR="00124A5C">
        <w:t>We</w:t>
      </w:r>
      <w:r w:rsidRPr="00022A54" w:rsidR="009742D0">
        <w:t xml:space="preserve"> estimate that approximately </w:t>
      </w:r>
      <w:r w:rsidR="009B493D">
        <w:t>30</w:t>
      </w:r>
      <w:r w:rsidR="0060645E">
        <w:t xml:space="preserve"> individual</w:t>
      </w:r>
      <w:r w:rsidRPr="00022A54" w:rsidR="004F3C1E">
        <w:t xml:space="preserve"> projects </w:t>
      </w:r>
      <w:r w:rsidRPr="00022A54" w:rsidR="009742D0">
        <w:t xml:space="preserve">will be completed each year. </w:t>
      </w:r>
    </w:p>
    <w:p w:rsidR="00800C22" w:rsidRPr="00022A54" w:rsidP="00D357B4" w14:paraId="6AFEA85D" w14:textId="77777777">
      <w:pPr>
        <w:spacing w:after="0"/>
        <w:ind w:left="0" w:firstLine="0"/>
      </w:pPr>
    </w:p>
    <w:p w:rsidR="00A00BA3" w:rsidRPr="00A00BA3" w:rsidP="00A00BA3" w14:paraId="468DF5D1" w14:textId="77777777">
      <w:pPr>
        <w:ind w:left="0" w:firstLine="0"/>
      </w:pPr>
      <w:r>
        <w:t>CDC</w:t>
      </w:r>
      <w:r w:rsidRPr="00022A54" w:rsidR="004C7332">
        <w:t xml:space="preserve"> conducts formative research for developing </w:t>
      </w:r>
      <w:r w:rsidRPr="00022A54" w:rsidR="00C1390D">
        <w:t xml:space="preserve">and testing </w:t>
      </w:r>
      <w:r w:rsidRPr="00022A54" w:rsidR="004C7332">
        <w:t xml:space="preserve">new tools and methodologies </w:t>
      </w:r>
      <w:r w:rsidRPr="00022A54" w:rsidR="00C1390D">
        <w:t xml:space="preserve">or to build upon existing tools and methodologies </w:t>
      </w:r>
      <w:r w:rsidRPr="00022A54" w:rsidR="004C7332">
        <w:t xml:space="preserve">that </w:t>
      </w:r>
      <w:r>
        <w:t xml:space="preserve">are used in </w:t>
      </w:r>
      <w:r w:rsidRPr="00022A54" w:rsidR="004C7332">
        <w:t>respon</w:t>
      </w:r>
      <w:r>
        <w:t>se</w:t>
      </w:r>
      <w:r w:rsidRPr="00022A54" w:rsidR="004C7332">
        <w:t xml:space="preserve"> to </w:t>
      </w:r>
      <w:r>
        <w:t>public health issues</w:t>
      </w:r>
      <w:r w:rsidR="00223B66">
        <w:t>.</w:t>
      </w:r>
      <w:r w:rsidR="00800C22">
        <w:t xml:space="preserve"> </w:t>
      </w:r>
      <w:r w:rsidR="00FA29E8">
        <w:t>T</w:t>
      </w:r>
      <w:r>
        <w:t xml:space="preserve">he use of this </w:t>
      </w:r>
      <w:r w:rsidR="00FA29E8">
        <w:t xml:space="preserve">generic </w:t>
      </w:r>
      <w:r>
        <w:t xml:space="preserve">mechanism </w:t>
      </w:r>
      <w:r w:rsidR="00FA29E8">
        <w:t xml:space="preserve">will allow </w:t>
      </w:r>
      <w:r>
        <w:t>CDC</w:t>
      </w:r>
      <w:r w:rsidR="00FA29E8">
        <w:t xml:space="preserve"> to further develop </w:t>
      </w:r>
      <w:r>
        <w:t xml:space="preserve">collections necessary to </w:t>
      </w:r>
      <w:r w:rsidRPr="00A00BA3">
        <w:t>help</w:t>
      </w:r>
      <w:r>
        <w:t xml:space="preserve"> CDC</w:t>
      </w:r>
      <w:r w:rsidRPr="00A00BA3">
        <w:t xml:space="preserve"> understand the interests, attributes and needs of </w:t>
      </w:r>
      <w:r>
        <w:t xml:space="preserve">the various </w:t>
      </w:r>
      <w:r w:rsidRPr="00A00BA3">
        <w:t xml:space="preserve">populations and </w:t>
      </w:r>
      <w:r w:rsidRPr="00A00BA3">
        <w:t>persons</w:t>
      </w:r>
      <w:r w:rsidRPr="00A00BA3">
        <w:t xml:space="preserve"> </w:t>
      </w:r>
      <w:r>
        <w:t xml:space="preserve">that we serve </w:t>
      </w:r>
      <w:r w:rsidR="00172CA4">
        <w:t>within</w:t>
      </w:r>
      <w:r w:rsidRPr="00A00BA3">
        <w:t xml:space="preserve"> </w:t>
      </w:r>
      <w:r w:rsidR="00172CA4">
        <w:t xml:space="preserve">the </w:t>
      </w:r>
      <w:r w:rsidRPr="00A00BA3">
        <w:t xml:space="preserve">community. </w:t>
      </w:r>
      <w:r w:rsidR="00172CA4">
        <w:t xml:space="preserve">The formative research and tool development activities </w:t>
      </w:r>
      <w:r w:rsidRPr="00A00BA3">
        <w:t>occur before program</w:t>
      </w:r>
      <w:r w:rsidR="00172CA4">
        <w:t xml:space="preserve">s are </w:t>
      </w:r>
      <w:r w:rsidRPr="00A00BA3">
        <w:t>designed and implemented, or while a program is being</w:t>
      </w:r>
      <w:r w:rsidR="00172CA4">
        <w:t xml:space="preserve"> </w:t>
      </w:r>
      <w:r w:rsidRPr="00A00BA3">
        <w:t>co</w:t>
      </w:r>
      <w:r w:rsidR="00172CA4">
        <w:t>nducted. Formative research activities are beneficial in:</w:t>
      </w:r>
    </w:p>
    <w:p w:rsidR="00A00BA3" w:rsidRPr="00A00BA3" w:rsidP="00A00BA3" w14:paraId="4F1C1A7B" w14:textId="77777777">
      <w:pPr>
        <w:ind w:left="0" w:firstLine="0"/>
      </w:pPr>
      <w:r w:rsidRPr="00A00BA3">
        <w:t>• defin</w:t>
      </w:r>
      <w:r w:rsidR="00172CA4">
        <w:t>ing</w:t>
      </w:r>
      <w:r w:rsidRPr="00A00BA3">
        <w:t xml:space="preserve"> and understand</w:t>
      </w:r>
      <w:r w:rsidR="00172CA4">
        <w:t xml:space="preserve">ing </w:t>
      </w:r>
      <w:r w:rsidRPr="00A00BA3">
        <w:t xml:space="preserve">populations at greatest risk for </w:t>
      </w:r>
      <w:r w:rsidR="000403E5">
        <w:t>specif</w:t>
      </w:r>
      <w:r w:rsidR="00223B66">
        <w:t>i</w:t>
      </w:r>
      <w:r w:rsidR="000403E5">
        <w:t>c health issues</w:t>
      </w:r>
      <w:r w:rsidRPr="00A00BA3">
        <w:br/>
        <w:t>• creat</w:t>
      </w:r>
      <w:r w:rsidR="00172CA4">
        <w:t>ing</w:t>
      </w:r>
      <w:r w:rsidRPr="00A00BA3">
        <w:t xml:space="preserve"> programs that are specific to the needs of those populations</w:t>
      </w:r>
      <w:r w:rsidRPr="00A00BA3">
        <w:br/>
        <w:t>• ensur</w:t>
      </w:r>
      <w:r w:rsidR="00172CA4">
        <w:t>ing</w:t>
      </w:r>
      <w:r w:rsidRPr="00A00BA3">
        <w:t xml:space="preserve"> programs are acceptable and feasible to clients before launching</w:t>
      </w:r>
      <w:r w:rsidRPr="00A00BA3">
        <w:br/>
        <w:t>• improv</w:t>
      </w:r>
      <w:r w:rsidR="00172CA4">
        <w:t>ing</w:t>
      </w:r>
      <w:r w:rsidR="00A82DA5">
        <w:t xml:space="preserve"> </w:t>
      </w:r>
      <w:r w:rsidRPr="00A00BA3">
        <w:t>the relationship between clients and agencies</w:t>
      </w:r>
      <w:r w:rsidR="00A82DA5">
        <w:t xml:space="preserve"> that provide necessary services</w:t>
      </w:r>
      <w:r w:rsidRPr="00A00BA3">
        <w:t>.</w:t>
      </w:r>
    </w:p>
    <w:p w:rsidR="00D357B4" w:rsidP="00817E1F" w14:paraId="0430CC6F" w14:textId="77777777">
      <w:pPr>
        <w:ind w:left="0" w:firstLine="0"/>
      </w:pPr>
    </w:p>
    <w:p w:rsidR="0013173E" w:rsidRPr="00773361" w:rsidP="00662F81" w14:paraId="5F1F7971" w14:textId="77777777">
      <w:pPr>
        <w:tabs>
          <w:tab w:val="left" w:pos="-1440"/>
        </w:tabs>
        <w:ind w:left="720" w:hanging="720"/>
      </w:pPr>
      <w:r w:rsidRPr="00773361">
        <w:t>Background</w:t>
      </w:r>
    </w:p>
    <w:p w:rsidR="00E351A4" w:rsidRPr="00022A54" w:rsidP="00817E1F" w14:paraId="5582C9F4" w14:textId="77777777">
      <w:pPr>
        <w:ind w:left="0" w:firstLine="0"/>
      </w:pPr>
      <w:r w:rsidRPr="00022A54">
        <w:t xml:space="preserve">CDC conducts surveillance and prevention research projects as part of its response to </w:t>
      </w:r>
      <w:r w:rsidR="00E12805">
        <w:t>current</w:t>
      </w:r>
      <w:r w:rsidRPr="00022A54" w:rsidR="00E12805">
        <w:t xml:space="preserve"> </w:t>
      </w:r>
      <w:r w:rsidR="00E12805">
        <w:t xml:space="preserve">public health issues. Many of these projects provide the basis for the recommendations and guidelines that CDC provides. </w:t>
      </w:r>
    </w:p>
    <w:p w:rsidR="00E23E09" w:rsidRPr="00022A54" w:rsidP="00817E1F" w14:paraId="158A70AE" w14:textId="77777777">
      <w:pPr>
        <w:ind w:left="0" w:firstLine="0"/>
      </w:pPr>
      <w:r w:rsidRPr="00022A54">
        <w:t xml:space="preserve">Disease Specific </w:t>
      </w:r>
      <w:r w:rsidRPr="00022A54" w:rsidR="00E351A4">
        <w:t xml:space="preserve">Advisory Committees </w:t>
      </w:r>
      <w:r w:rsidRPr="00022A54">
        <w:t>that debate and approve the national recommendations and guidelines proposed by CDC require that each process and hypothesis is based on scientific evidence and are acceptable to the community and the local health care providers. Formative research is the mechanism by which this evidence is</w:t>
      </w:r>
      <w:r w:rsidRPr="00022A54" w:rsidR="00484684">
        <w:t xml:space="preserve"> obtained.  The data collection and evidence</w:t>
      </w:r>
      <w:r w:rsidRPr="00022A54" w:rsidR="00E351A4">
        <w:t xml:space="preserve"> are</w:t>
      </w:r>
      <w:r w:rsidRPr="00022A54" w:rsidR="004C7332">
        <w:t xml:space="preserve"> </w:t>
      </w:r>
      <w:r w:rsidRPr="00022A54" w:rsidR="00662F81">
        <w:t xml:space="preserve">developed using </w:t>
      </w:r>
      <w:r w:rsidR="00FC0178">
        <w:t>various</w:t>
      </w:r>
      <w:r w:rsidRPr="00022A54" w:rsidR="00662F81">
        <w:t xml:space="preserve"> </w:t>
      </w:r>
      <w:r w:rsidRPr="00022A54" w:rsidR="008A652E">
        <w:t xml:space="preserve">information </w:t>
      </w:r>
      <w:r w:rsidRPr="00022A54" w:rsidR="00B82C38">
        <w:t>sources</w:t>
      </w:r>
      <w:r w:rsidRPr="00022A54" w:rsidR="004703AB">
        <w:t xml:space="preserve"> including </w:t>
      </w:r>
      <w:r w:rsidRPr="00022A54" w:rsidR="00E351A4">
        <w:t xml:space="preserve">internal and external </w:t>
      </w:r>
      <w:r w:rsidRPr="00022A54" w:rsidR="004703AB">
        <w:t>subject matter expert</w:t>
      </w:r>
      <w:r w:rsidRPr="00022A54" w:rsidR="00E351A4">
        <w:t>s</w:t>
      </w:r>
      <w:r w:rsidRPr="00022A54" w:rsidR="004703AB">
        <w:t xml:space="preserve">, </w:t>
      </w:r>
      <w:r w:rsidRPr="00022A54" w:rsidR="00662F81">
        <w:t>field experience, consultation</w:t>
      </w:r>
      <w:r w:rsidRPr="00022A54" w:rsidR="004703AB">
        <w:t xml:space="preserve"> with external colleagues</w:t>
      </w:r>
      <w:r w:rsidRPr="00022A54" w:rsidR="00E351A4">
        <w:t>,</w:t>
      </w:r>
      <w:r w:rsidRPr="00022A54" w:rsidR="004703AB">
        <w:t xml:space="preserve"> </w:t>
      </w:r>
      <w:r w:rsidRPr="00022A54" w:rsidR="00662F81">
        <w:t>piloting activities, and formal evaluations.  Th</w:t>
      </w:r>
      <w:r w:rsidRPr="00022A54" w:rsidR="00C11B50">
        <w:t>e involvement of external and internal subject matter experts</w:t>
      </w:r>
      <w:r w:rsidRPr="00022A54" w:rsidR="00662F81">
        <w:t xml:space="preserve"> produce</w:t>
      </w:r>
      <w:r w:rsidRPr="00022A54" w:rsidR="00C11B50">
        <w:t xml:space="preserve">s </w:t>
      </w:r>
      <w:r w:rsidRPr="00022A54" w:rsidR="00662F81">
        <w:t>scientifically valid instruments</w:t>
      </w:r>
      <w:r w:rsidRPr="00022A54" w:rsidR="00533C10">
        <w:t>, interventions,</w:t>
      </w:r>
      <w:r w:rsidRPr="00022A54" w:rsidR="00C11B50">
        <w:t xml:space="preserve"> and methods that enable CDC to be responsive to the changing epidemiology and community needs of </w:t>
      </w:r>
      <w:r w:rsidR="00FC0178">
        <w:t>the affected populations.</w:t>
      </w:r>
    </w:p>
    <w:p w:rsidR="00480A80" w:rsidRPr="00022A54" w:rsidP="00817E1F" w14:paraId="7B119148" w14:textId="77777777">
      <w:pPr>
        <w:ind w:left="0" w:firstLine="0"/>
      </w:pPr>
      <w:r w:rsidRPr="00022A54">
        <w:t xml:space="preserve">For health communications, </w:t>
      </w:r>
      <w:r w:rsidRPr="00022A54">
        <w:t xml:space="preserve">target audience members or representatives provide the information for developing clear and influential </w:t>
      </w:r>
      <w:r w:rsidRPr="00022A54">
        <w:t>health messages</w:t>
      </w:r>
      <w:r w:rsidRPr="00022A54" w:rsidR="005B5F63">
        <w:t xml:space="preserve">. </w:t>
      </w:r>
      <w:r w:rsidR="000009BA">
        <w:t>Health message development is typically an iterative process that be</w:t>
      </w:r>
      <w:r w:rsidR="00E21496">
        <w:t>gin</w:t>
      </w:r>
      <w:r w:rsidR="000009BA">
        <w:t>s with f</w:t>
      </w:r>
      <w:r w:rsidR="00C555E4">
        <w:t>ormative research to identify the priorities, concerns</w:t>
      </w:r>
      <w:r w:rsidR="00403CFB">
        <w:t>,</w:t>
      </w:r>
      <w:r w:rsidR="00C555E4">
        <w:t xml:space="preserve"> themes </w:t>
      </w:r>
      <w:r w:rsidR="00403CFB">
        <w:t>or gaps in knowledge</w:t>
      </w:r>
      <w:r w:rsidR="00C555E4">
        <w:t xml:space="preserve"> that are most relevant to a target population</w:t>
      </w:r>
      <w:r w:rsidR="00403CFB">
        <w:t xml:space="preserve"> and the development of </w:t>
      </w:r>
      <w:r w:rsidR="00F84227">
        <w:t>message platforms and the overall health</w:t>
      </w:r>
      <w:r w:rsidR="00403CFB">
        <w:t xml:space="preserve"> communication plan</w:t>
      </w:r>
      <w:r w:rsidR="00C555E4">
        <w:t xml:space="preserve">.  </w:t>
      </w:r>
      <w:r w:rsidR="000009BA">
        <w:t>During</w:t>
      </w:r>
      <w:r w:rsidR="009109FD">
        <w:t xml:space="preserve"> the</w:t>
      </w:r>
      <w:r w:rsidR="000009BA">
        <w:t xml:space="preserve"> initial </w:t>
      </w:r>
      <w:r w:rsidR="00403CFB">
        <w:t xml:space="preserve">formative </w:t>
      </w:r>
      <w:r w:rsidR="000009BA">
        <w:t xml:space="preserve">phase of message development </w:t>
      </w:r>
      <w:r w:rsidR="00403CFB">
        <w:t xml:space="preserve">CDC may also collect </w:t>
      </w:r>
      <w:r w:rsidR="000009BA">
        <w:t xml:space="preserve">information to assess </w:t>
      </w:r>
      <w:r w:rsidR="00403CFB">
        <w:t xml:space="preserve">which communication channels are most likely to be effective in reaching </w:t>
      </w:r>
      <w:r w:rsidR="000009BA">
        <w:t>the target audience</w:t>
      </w:r>
      <w:r w:rsidR="00F84227">
        <w:t>, as well as demographic infor</w:t>
      </w:r>
      <w:r w:rsidR="00E21496">
        <w:t xml:space="preserve">mation to assess </w:t>
      </w:r>
      <w:r w:rsidR="009F42DF">
        <w:t>whether needs vary across s</w:t>
      </w:r>
      <w:r w:rsidR="00E21496">
        <w:t>ubpopulations</w:t>
      </w:r>
      <w:r w:rsidR="00403CFB">
        <w:t xml:space="preserve">. </w:t>
      </w:r>
      <w:r w:rsidR="000009BA">
        <w:t xml:space="preserve"> Successive phases of message development include </w:t>
      </w:r>
      <w:r w:rsidR="000009BA">
        <w:t>testing of</w:t>
      </w:r>
      <w:r w:rsidR="00C555E4">
        <w:t xml:space="preserve"> p</w:t>
      </w:r>
      <w:r w:rsidRPr="00022A54" w:rsidR="005B5F63">
        <w:t>rovisional versions of the message</w:t>
      </w:r>
      <w:r w:rsidR="000009BA">
        <w:t>(</w:t>
      </w:r>
      <w:r w:rsidRPr="00022A54" w:rsidR="005B5F63">
        <w:t>s</w:t>
      </w:r>
      <w:r w:rsidR="000009BA">
        <w:t>)</w:t>
      </w:r>
      <w:r w:rsidRPr="00022A54" w:rsidR="005B5F63">
        <w:t xml:space="preserve"> with members of the target audience</w:t>
      </w:r>
      <w:r w:rsidR="000009BA">
        <w:t xml:space="preserve">, </w:t>
      </w:r>
      <w:r w:rsidR="000009BA">
        <w:t xml:space="preserve">and/or testing of draft messages for </w:t>
      </w:r>
      <w:r w:rsidR="00403CFB">
        <w:t xml:space="preserve">dissemination through </w:t>
      </w:r>
      <w:r w:rsidR="000009BA">
        <w:t>various communication channels including television, radi</w:t>
      </w:r>
      <w:r w:rsidR="00403CFB">
        <w:t>o, print, and social media</w:t>
      </w:r>
      <w:r w:rsidRPr="00022A54" w:rsidR="00484684">
        <w:t>.</w:t>
      </w:r>
      <w:r w:rsidRPr="00022A54" w:rsidR="005B5F63">
        <w:t xml:space="preserve"> </w:t>
      </w:r>
    </w:p>
    <w:p w:rsidR="00124A5C" w:rsidP="00124A5C" w14:paraId="6BFF81B2" w14:textId="77777777">
      <w:pPr>
        <w:ind w:left="0" w:firstLine="0"/>
      </w:pPr>
      <w:r>
        <w:t>T</w:t>
      </w:r>
      <w:r w:rsidRPr="00022A54" w:rsidR="00480A80">
        <w:t xml:space="preserve">o reduce the burden of </w:t>
      </w:r>
      <w:r w:rsidR="00FC0178">
        <w:t>disease</w:t>
      </w:r>
      <w:r>
        <w:t>,</w:t>
      </w:r>
      <w:r w:rsidRPr="00022A54" w:rsidR="00480A80">
        <w:t xml:space="preserve"> CDC invests in public education campaigns and social marketing strategies to integrate population-level interventions</w:t>
      </w:r>
      <w:r w:rsidRPr="00022A54" w:rsidR="00480A80">
        <w:rPr>
          <w:color w:val="000000"/>
        </w:rPr>
        <w:t>.</w:t>
      </w:r>
      <w:r w:rsidRPr="00022A54" w:rsidR="00480A80">
        <w:t xml:space="preserve"> An integrated research effort is needed to fill in the gaps of knowledge, awareness, screening, and prevention behaviors</w:t>
      </w:r>
      <w:r>
        <w:t xml:space="preserve"> </w:t>
      </w:r>
      <w:r>
        <w:t>and</w:t>
      </w:r>
      <w:r w:rsidRPr="00022A54" w:rsidR="00480A80">
        <w:t xml:space="preserve"> work</w:t>
      </w:r>
      <w:r w:rsidRPr="00022A54" w:rsidR="00480A80">
        <w:t xml:space="preserve"> to reduce stigma surrounding these topics within special populations, explore cultural issues, and increase the demand for, and uptake of screening by health care providers.</w:t>
      </w:r>
    </w:p>
    <w:p w:rsidR="00662F81" w:rsidP="00124A5C" w14:paraId="441F8452" w14:textId="5D44317E">
      <w:pPr>
        <w:ind w:left="0" w:firstLine="0"/>
      </w:pPr>
      <w:r w:rsidRPr="00022A54">
        <w:t>Short</w:t>
      </w:r>
      <w:r w:rsidR="00867875">
        <w:t>-</w:t>
      </w:r>
      <w:r w:rsidRPr="00022A54">
        <w:t>term q</w:t>
      </w:r>
      <w:r w:rsidRPr="00022A54">
        <w:t>ualitative interview</w:t>
      </w:r>
      <w:r w:rsidR="00867875">
        <w:t>s</w:t>
      </w:r>
      <w:r w:rsidRPr="00022A54">
        <w:t xml:space="preserve"> and cognitive research techniques have previously proven invaluable in the development of scientifically valid and population-appropriate methods</w:t>
      </w:r>
      <w:r w:rsidRPr="00022A54" w:rsidR="00533C10">
        <w:t>, interventions,</w:t>
      </w:r>
      <w:r w:rsidRPr="00022A54">
        <w:t xml:space="preserve"> and instruments.  These activities will be used to inform many aspects of surveillance</w:t>
      </w:r>
      <w:r w:rsidRPr="00022A54" w:rsidR="006A2310">
        <w:t>, communications, health promotion,</w:t>
      </w:r>
      <w:r w:rsidRPr="00022A54">
        <w:t xml:space="preserve"> and research project development</w:t>
      </w:r>
      <w:r w:rsidRPr="00022A54" w:rsidR="006A2310">
        <w:t>.  The activities include</w:t>
      </w:r>
      <w:r w:rsidRPr="00022A54">
        <w:t xml:space="preserve"> </w:t>
      </w:r>
      <w:r w:rsidR="00124A5C">
        <w:t xml:space="preserve">determining </w:t>
      </w:r>
      <w:r w:rsidRPr="00022A54">
        <w:t xml:space="preserve">the utility and acceptability of recruitment methods, </w:t>
      </w:r>
      <w:r w:rsidR="00124A5C">
        <w:t xml:space="preserve">assessing </w:t>
      </w:r>
      <w:r w:rsidRPr="00022A54" w:rsidR="00533C10">
        <w:t xml:space="preserve">intervention contents and delivery, </w:t>
      </w:r>
      <w:r w:rsidR="00124A5C">
        <w:t xml:space="preserve">identifying </w:t>
      </w:r>
      <w:r w:rsidRPr="00022A54">
        <w:t>questionnaire domains</w:t>
      </w:r>
      <w:r w:rsidR="00124A5C">
        <w:t xml:space="preserve"> and</w:t>
      </w:r>
      <w:r w:rsidRPr="00022A54">
        <w:t xml:space="preserve"> individual questions, </w:t>
      </w:r>
      <w:r w:rsidR="00124A5C">
        <w:t xml:space="preserve">documenting </w:t>
      </w:r>
      <w:r w:rsidRPr="00022A54">
        <w:t xml:space="preserve">interactions with project staff </w:t>
      </w:r>
      <w:r w:rsidR="00124A5C">
        <w:t>and/</w:t>
      </w:r>
      <w:r w:rsidRPr="00022A54">
        <w:t xml:space="preserve">or </w:t>
      </w:r>
      <w:r w:rsidR="00124A5C">
        <w:t xml:space="preserve">ascertaining </w:t>
      </w:r>
      <w:r w:rsidRPr="00022A54">
        <w:t>electronic data collection equipment.  These activities will also provide information about how respondents answer questions and ways in which question response bias and error can be reduced.  Overall, these development</w:t>
      </w:r>
      <w:r w:rsidR="00124A5C">
        <w:t>al</w:t>
      </w:r>
      <w:r w:rsidRPr="00022A54">
        <w:t xml:space="preserve"> activities are intended to provide information that will increase the success of the surveillance or research project through increasing response rates and decreasing response </w:t>
      </w:r>
      <w:r w:rsidRPr="00022A54">
        <w:t>error</w:t>
      </w:r>
      <w:r w:rsidRPr="00022A54">
        <w:t xml:space="preserve"> thereby decreasing future data collection burden to the public.  </w:t>
      </w:r>
      <w:r w:rsidRPr="00E401E3" w:rsidR="00E401E3">
        <w:t xml:space="preserve">This ongoing data collection activity benefits the Federal Government by providing CDC with data to determine how to best manage and improve the health of </w:t>
      </w:r>
      <w:r w:rsidR="00F97C0D">
        <w:t>persons</w:t>
      </w:r>
      <w:r w:rsidR="00F97C0D">
        <w:t xml:space="preserve"> with </w:t>
      </w:r>
      <w:r w:rsidR="00124A5C">
        <w:t xml:space="preserve">various </w:t>
      </w:r>
      <w:r w:rsidR="00F97C0D">
        <w:t>health conditions.</w:t>
      </w:r>
      <w:r w:rsidR="00397380">
        <w:t xml:space="preserve"> </w:t>
      </w:r>
      <w:r w:rsidRPr="00397380" w:rsidR="00397380">
        <w:t>These</w:t>
      </w:r>
      <w:r w:rsidRPr="00397380" w:rsidR="00397380">
        <w:t xml:space="preserve"> data also </w:t>
      </w:r>
      <w:r w:rsidR="00124A5C">
        <w:t xml:space="preserve">will </w:t>
      </w:r>
      <w:r w:rsidRPr="00397380" w:rsidR="00397380">
        <w:t xml:space="preserve">be used to enhance </w:t>
      </w:r>
      <w:r w:rsidR="00F97C0D">
        <w:t>disease</w:t>
      </w:r>
      <w:r w:rsidRPr="00397380" w:rsidR="00397380">
        <w:t xml:space="preserve"> prevention programs </w:t>
      </w:r>
      <w:r w:rsidR="00397380">
        <w:t>and to test new methodologies and techniques used to increase awareness</w:t>
      </w:r>
      <w:r w:rsidR="00061916">
        <w:t xml:space="preserve"> and</w:t>
      </w:r>
      <w:r w:rsidR="00397380">
        <w:t xml:space="preserve"> testing. </w:t>
      </w:r>
    </w:p>
    <w:p w:rsidR="00513B8B" w:rsidP="00C54140" w14:paraId="082424F8" w14:textId="77777777">
      <w:pPr>
        <w:ind w:left="0" w:firstLine="0"/>
        <w:rPr>
          <w:bCs/>
        </w:rPr>
      </w:pPr>
      <w:r w:rsidRPr="00022A54">
        <w:t xml:space="preserve">Data collection for this project is authorized under 42 U.S.C. 241, </w:t>
      </w:r>
      <w:r w:rsidRPr="00022A54" w:rsidR="00132B15">
        <w:t xml:space="preserve">Chapter 6a - Public Health Service; Subchapter </w:t>
      </w:r>
      <w:r w:rsidRPr="00022A54" w:rsidR="00132B15">
        <w:t>Ii</w:t>
      </w:r>
      <w:r w:rsidRPr="00022A54" w:rsidR="00132B15">
        <w:t xml:space="preserve"> - General Powers and Duties </w:t>
      </w:r>
      <w:r w:rsidRPr="00022A54">
        <w:t>Part A - Research and Investigations</w:t>
      </w:r>
      <w:r w:rsidRPr="00022A54" w:rsidR="00DC407C">
        <w:t xml:space="preserve"> (</w:t>
      </w:r>
      <w:r w:rsidRPr="00022A54" w:rsidR="00DC407C">
        <w:rPr>
          <w:b/>
        </w:rPr>
        <w:t xml:space="preserve">Attachment </w:t>
      </w:r>
      <w:r w:rsidRPr="00022A54" w:rsidR="002936BD">
        <w:rPr>
          <w:b/>
        </w:rPr>
        <w:t>1</w:t>
      </w:r>
      <w:r w:rsidRPr="00022A54">
        <w:t xml:space="preserve">). </w:t>
      </w:r>
    </w:p>
    <w:p w:rsidR="00066529" w:rsidRPr="00022A54" w:rsidP="00817E1F" w14:paraId="6DAAF623" w14:textId="77777777">
      <w:pPr>
        <w:ind w:left="0" w:firstLine="0"/>
      </w:pPr>
      <w:r w:rsidRPr="00885754">
        <w:t xml:space="preserve">The </w:t>
      </w:r>
      <w:r>
        <w:t xml:space="preserve">information collection activities are </w:t>
      </w:r>
      <w:r w:rsidRPr="00885754">
        <w:t>limited to formative work that will result in the development of interventions, new or improved tools, methodologies, concept development and</w:t>
      </w:r>
      <w:r w:rsidR="00C54140">
        <w:t>/</w:t>
      </w:r>
      <w:r w:rsidRPr="00885754">
        <w:t>or product development and testing.</w:t>
      </w:r>
      <w:r w:rsidR="00246997">
        <w:t xml:space="preserve"> </w:t>
      </w:r>
      <w:r w:rsidRPr="00022A54" w:rsidR="001B5CC2">
        <w:t xml:space="preserve">The </w:t>
      </w:r>
      <w:r w:rsidRPr="00022A54">
        <w:t>types of information collection activities inclu</w:t>
      </w:r>
      <w:r w:rsidRPr="00022A54" w:rsidR="001B5CC2">
        <w:t>ded in this generic package are</w:t>
      </w:r>
      <w:r w:rsidRPr="00022A54">
        <w:t>:</w:t>
      </w:r>
    </w:p>
    <w:p w:rsidR="00066529" w:rsidRPr="00022A54" w:rsidP="00066529" w14:paraId="52B197D2" w14:textId="77777777"/>
    <w:p w:rsidR="00D357B4" w:rsidP="00D357B4" w14:paraId="021A3DEB" w14:textId="77777777">
      <w:pPr>
        <w:numPr>
          <w:ilvl w:val="0"/>
          <w:numId w:val="27"/>
        </w:numPr>
        <w:tabs>
          <w:tab w:val="left" w:pos="-1440"/>
        </w:tabs>
        <w:ind w:hanging="720"/>
      </w:pPr>
      <w:r w:rsidRPr="00022A54">
        <w:t>Qualitative interviewing</w:t>
      </w:r>
      <w:r w:rsidRPr="00022A54" w:rsidR="001B5CC2">
        <w:t xml:space="preserve"> will use volunteer respondents </w:t>
      </w:r>
      <w:r w:rsidRPr="00022A54">
        <w:t>for exploratory and formative research</w:t>
      </w:r>
      <w:r w:rsidRPr="00022A54" w:rsidR="00726CCC">
        <w:t xml:space="preserve"> to either develop and or </w:t>
      </w:r>
      <w:r w:rsidRPr="00022A54" w:rsidR="00726CCC">
        <w:t>improve upon</w:t>
      </w:r>
      <w:r w:rsidRPr="00022A54" w:rsidR="00726CCC">
        <w:t xml:space="preserve"> existing</w:t>
      </w:r>
      <w:r w:rsidRPr="00022A54">
        <w:t xml:space="preserve"> intervention methods, concept, material, and product development and testing.  </w:t>
      </w:r>
      <w:r w:rsidRPr="00022A54" w:rsidR="001B5CC2">
        <w:t xml:space="preserve">Interviews </w:t>
      </w:r>
      <w:r w:rsidRPr="00022A54">
        <w:t xml:space="preserve">may be </w:t>
      </w:r>
      <w:r w:rsidR="00C54140">
        <w:t xml:space="preserve">carried out with </w:t>
      </w:r>
      <w:r w:rsidRPr="00022A54">
        <w:t>individual</w:t>
      </w:r>
      <w:r w:rsidR="00C54140">
        <w:t>s</w:t>
      </w:r>
      <w:r w:rsidRPr="00022A54">
        <w:t xml:space="preserve"> or group</w:t>
      </w:r>
      <w:r w:rsidR="00C54140">
        <w:t>s,</w:t>
      </w:r>
      <w:r w:rsidRPr="00022A54">
        <w:t xml:space="preserve"> conducted in-person, on the telephone, or via the internet (i.e. internet focus groups)</w:t>
      </w:r>
      <w:r w:rsidRPr="00022A54" w:rsidR="001B5CC2">
        <w:t>.</w:t>
      </w:r>
      <w:r w:rsidRPr="00022A54">
        <w:t xml:space="preserve"> Results of qualitative interviews </w:t>
      </w:r>
      <w:r w:rsidRPr="00022A54" w:rsidR="00726CCC">
        <w:t xml:space="preserve">will be </w:t>
      </w:r>
      <w:r w:rsidRPr="00022A54">
        <w:t xml:space="preserve">used to develop </w:t>
      </w:r>
      <w:r w:rsidRPr="00022A54" w:rsidR="00726CCC">
        <w:t>and</w:t>
      </w:r>
      <w:r w:rsidR="00C54140">
        <w:t>/</w:t>
      </w:r>
      <w:r w:rsidRPr="00022A54" w:rsidR="00726CCC">
        <w:t xml:space="preserve">or improve upon </w:t>
      </w:r>
      <w:r w:rsidRPr="00022A54">
        <w:t>population-appropriate methods, interventions, messages, products, campaigns,</w:t>
      </w:r>
      <w:r w:rsidRPr="00022A54" w:rsidR="00E37D59">
        <w:t xml:space="preserve"> </w:t>
      </w:r>
      <w:r w:rsidRPr="00022A54">
        <w:t>and data collection materials for current and future projects.</w:t>
      </w:r>
      <w:r w:rsidRPr="00022A54" w:rsidR="00B5293F">
        <w:t xml:space="preserve">  </w:t>
      </w:r>
    </w:p>
    <w:p w:rsidR="00B5293F" w:rsidRPr="00022A54" w:rsidP="00D357B4" w14:paraId="43C5FFB1" w14:textId="1C2B9E0B">
      <w:pPr>
        <w:numPr>
          <w:ilvl w:val="0"/>
          <w:numId w:val="27"/>
        </w:numPr>
        <w:tabs>
          <w:tab w:val="left" w:pos="-1440"/>
        </w:tabs>
        <w:ind w:hanging="720"/>
      </w:pPr>
      <w:r w:rsidRPr="00022A54">
        <w:t xml:space="preserve">Cognitive interviewing </w:t>
      </w:r>
      <w:r w:rsidRPr="00022A54" w:rsidR="008A53E9">
        <w:t>and in-depth interviews</w:t>
      </w:r>
      <w:r w:rsidRPr="00022A54" w:rsidR="004E4DEB">
        <w:t xml:space="preserve"> </w:t>
      </w:r>
      <w:r w:rsidRPr="00022A54" w:rsidR="008A53E9">
        <w:t>(IDIs</w:t>
      </w:r>
      <w:r w:rsidRPr="00022A54" w:rsidR="004E4DEB">
        <w:t>) may</w:t>
      </w:r>
      <w:r w:rsidRPr="00022A54" w:rsidR="00356F00">
        <w:t xml:space="preserve"> be conducted among the co</w:t>
      </w:r>
      <w:r w:rsidR="006053A3">
        <w:t>nsumer clients or the implemente</w:t>
      </w:r>
      <w:r w:rsidRPr="00022A54" w:rsidR="00356F00">
        <w:t>rs.  These may be individual interviews</w:t>
      </w:r>
      <w:r w:rsidR="000360CC">
        <w:t>,</w:t>
      </w:r>
      <w:r w:rsidRPr="00022A54" w:rsidR="00356F00">
        <w:t xml:space="preserve"> focus group interviews</w:t>
      </w:r>
      <w:r w:rsidR="000360CC">
        <w:t>, or online interviews</w:t>
      </w:r>
      <w:r w:rsidR="00BC2627">
        <w:t>, usually conducted in a controlled setting</w:t>
      </w:r>
      <w:r w:rsidRPr="00022A54" w:rsidR="00356F00">
        <w:t xml:space="preserve">.  Cognitive interviews </w:t>
      </w:r>
      <w:r w:rsidRPr="00022A54" w:rsidR="001B5CC2">
        <w:t xml:space="preserve">are commonly used </w:t>
      </w:r>
      <w:r w:rsidRPr="00022A54">
        <w:t xml:space="preserve">for </w:t>
      </w:r>
      <w:r w:rsidR="008E323D">
        <w:t xml:space="preserve">the </w:t>
      </w:r>
      <w:r w:rsidRPr="00022A54">
        <w:t>development and testing of specific data collection instruments</w:t>
      </w:r>
      <w:r w:rsidRPr="00022A54" w:rsidR="004E4DEB">
        <w:t xml:space="preserve"> and frequently involve</w:t>
      </w:r>
      <w:r w:rsidRPr="00022A54" w:rsidR="00356F00">
        <w:t xml:space="preserve"> s</w:t>
      </w:r>
      <w:r w:rsidRPr="00022A54" w:rsidR="001B5CC2">
        <w:t xml:space="preserve">everal </w:t>
      </w:r>
      <w:r w:rsidRPr="00022A54">
        <w:t>rounds of cognitive interviews</w:t>
      </w:r>
      <w:r w:rsidRPr="00022A54" w:rsidR="00204C4B">
        <w:t>,</w:t>
      </w:r>
      <w:r w:rsidRPr="00022A54" w:rsidR="00356F00">
        <w:t xml:space="preserve"> with each </w:t>
      </w:r>
      <w:r w:rsidRPr="00022A54" w:rsidR="00356F00">
        <w:t>iteration of the product</w:t>
      </w:r>
      <w:r w:rsidRPr="00022A54">
        <w:t xml:space="preserve">.  </w:t>
      </w:r>
      <w:r w:rsidR="00E8463B">
        <w:t xml:space="preserve">Questionnaire development includes testing of non-English language translations or testing of phrasing, order, response options, or other question design elements. </w:t>
      </w:r>
      <w:r w:rsidRPr="00022A54">
        <w:t>Results of cognitive interviews</w:t>
      </w:r>
      <w:r w:rsidRPr="00022A54" w:rsidR="00204C4B">
        <w:t xml:space="preserve"> help researchers understand how respondents interpret and answer questions</w:t>
      </w:r>
      <w:r w:rsidRPr="00022A54">
        <w:t xml:space="preserve"> </w:t>
      </w:r>
      <w:r w:rsidRPr="00022A54" w:rsidR="00204C4B">
        <w:t xml:space="preserve">and </w:t>
      </w:r>
      <w:r w:rsidRPr="00022A54">
        <w:t>are</w:t>
      </w:r>
      <w:r w:rsidRPr="00022A54" w:rsidR="00204C4B">
        <w:t xml:space="preserve"> </w:t>
      </w:r>
      <w:r w:rsidRPr="00022A54">
        <w:t>used to make instrument design decisions that minimize response error and reduce burden to the public.</w:t>
      </w:r>
      <w:r w:rsidR="008E323D">
        <w:t xml:space="preserve"> </w:t>
      </w:r>
      <w:r w:rsidR="000360CC">
        <w:t xml:space="preserve">Cognitive testing may also be conducted to inform the optimal order </w:t>
      </w:r>
      <w:r w:rsidR="00617333">
        <w:t xml:space="preserve">of questions in an interview </w:t>
      </w:r>
      <w:r w:rsidR="000360CC">
        <w:t xml:space="preserve">or </w:t>
      </w:r>
      <w:r w:rsidR="00617333">
        <w:t xml:space="preserve">optimal </w:t>
      </w:r>
      <w:r w:rsidR="000360CC">
        <w:t>placement of questions on a data collection form.</w:t>
      </w:r>
    </w:p>
    <w:p w:rsidR="00B5293F" w:rsidRPr="00022A54" w:rsidP="00B5293F" w14:paraId="1DEF004C" w14:textId="77777777">
      <w:pPr>
        <w:numPr>
          <w:ilvl w:val="0"/>
          <w:numId w:val="27"/>
        </w:numPr>
        <w:tabs>
          <w:tab w:val="left" w:pos="-1440"/>
        </w:tabs>
        <w:ind w:hanging="720"/>
      </w:pPr>
      <w:r w:rsidRPr="00022A54">
        <w:t>Methodological</w:t>
      </w:r>
      <w:r w:rsidRPr="00022A54" w:rsidR="007C1577">
        <w:t xml:space="preserve"> research </w:t>
      </w:r>
      <w:r w:rsidRPr="00022A54" w:rsidR="007977C4">
        <w:t>may</w:t>
      </w:r>
      <w:r w:rsidRPr="00022A54" w:rsidR="007C1577">
        <w:t xml:space="preserve"> be conducted wi</w:t>
      </w:r>
      <w:r w:rsidRPr="00022A54" w:rsidR="007977C4">
        <w:t xml:space="preserve">th consumers or implementers to evaluate alternative instrument design, non-response, perceptions of enrollment procedures, and other general methodological research questions. Procedures used for this research are </w:t>
      </w:r>
      <w:r w:rsidRPr="00022A54" w:rsidR="007977C4">
        <w:t>similar to</w:t>
      </w:r>
      <w:r w:rsidRPr="00022A54" w:rsidR="007977C4">
        <w:t xml:space="preserve"> testing of surveys and </w:t>
      </w:r>
      <w:r w:rsidRPr="00022A54" w:rsidR="007977C4">
        <w:t>materials, but</w:t>
      </w:r>
      <w:r w:rsidRPr="00022A54" w:rsidR="007977C4">
        <w:t xml:space="preserve"> focus</w:t>
      </w:r>
      <w:r w:rsidR="006053A3">
        <w:t xml:space="preserve"> more</w:t>
      </w:r>
      <w:r w:rsidRPr="00022A54" w:rsidR="007977C4">
        <w:t xml:space="preserve"> on the methods of enrollment and administration</w:t>
      </w:r>
      <w:r w:rsidRPr="00022A54" w:rsidR="00E9533E">
        <w:t xml:space="preserve"> and less on the content of the materials themselves</w:t>
      </w:r>
      <w:r w:rsidRPr="00022A54" w:rsidR="007977C4">
        <w:t xml:space="preserve">. The purpose of the research </w:t>
      </w:r>
      <w:r w:rsidR="006053A3">
        <w:t>is</w:t>
      </w:r>
      <w:r w:rsidRPr="00022A54" w:rsidR="007977C4">
        <w:t xml:space="preserve"> to enhance understanding of the psychology of participation and response, to develop better standards for project methodology and instrument design, or to improve data collection and other study procedures.</w:t>
      </w:r>
      <w:r w:rsidR="00561EE6">
        <w:t xml:space="preserve">  Cognitive tests and field tests may help CDC/ATSDR determine whether cultural interpretations affect responses to questions; whether items already in use are appropriate for use in multiple modes of information collection; or whether questions developed for a personal interview format can be successfully used in telephone interviews.</w:t>
      </w:r>
    </w:p>
    <w:p w:rsidR="00B5293F" w:rsidRPr="00022A54" w:rsidP="00B5293F" w14:paraId="74EB29AA" w14:textId="77777777">
      <w:pPr>
        <w:numPr>
          <w:ilvl w:val="0"/>
          <w:numId w:val="27"/>
        </w:numPr>
        <w:tabs>
          <w:tab w:val="left" w:pos="-1440"/>
        </w:tabs>
        <w:ind w:hanging="720"/>
      </w:pPr>
      <w:r w:rsidRPr="00022A54">
        <w:t xml:space="preserve">Usability testing of technology-based instruments and materials may be conducted </w:t>
      </w:r>
      <w:r w:rsidRPr="00022A54" w:rsidR="00E9699F">
        <w:t xml:space="preserve">with end-users who may be consumers or implementers. This testing </w:t>
      </w:r>
      <w:r w:rsidRPr="00022A54" w:rsidR="00031D85">
        <w:t>would use</w:t>
      </w:r>
      <w:r w:rsidRPr="00022A54" w:rsidR="00E9699F">
        <w:t xml:space="preserve"> qualitative and quantitative data collection methods with volunteer respondents to assess the design and use of technology-based instruments and materials. </w:t>
      </w:r>
      <w:r w:rsidRPr="00022A54" w:rsidR="004E4DEB">
        <w:t xml:space="preserve">The </w:t>
      </w:r>
      <w:r w:rsidRPr="00022A54" w:rsidR="00E9699F">
        <w:t>purpose of this testing is to develop new methods that</w:t>
      </w:r>
      <w:r w:rsidRPr="00022A54">
        <w:t xml:space="preserve"> address t</w:t>
      </w:r>
      <w:r w:rsidRPr="00022A54" w:rsidR="004E4DEB">
        <w:t xml:space="preserve">he rapid evolution of </w:t>
      </w:r>
      <w:r w:rsidRPr="00022A54" w:rsidR="00C76BE6">
        <w:t xml:space="preserve">technology-based </w:t>
      </w:r>
      <w:r w:rsidRPr="00022A54" w:rsidR="004E4DEB">
        <w:t>survey</w:t>
      </w:r>
      <w:r w:rsidRPr="00022A54" w:rsidR="00C76BE6">
        <w:t>s, interventions, and communications</w:t>
      </w:r>
      <w:r w:rsidRPr="00022A54" w:rsidR="00E9699F">
        <w:t xml:space="preserve"> and use those</w:t>
      </w:r>
      <w:r w:rsidRPr="00022A54" w:rsidR="004E4DEB">
        <w:t xml:space="preserve"> technologies </w:t>
      </w:r>
      <w:r w:rsidRPr="00022A54" w:rsidR="00E9699F">
        <w:t>to enhance CDC’s projects and reduce burden of future data collections</w:t>
      </w:r>
      <w:r w:rsidRPr="00022A54">
        <w:t>.</w:t>
      </w:r>
      <w:r w:rsidR="00BC2627">
        <w:t xml:space="preserve">  Usability testing may be conducted to evaluat</w:t>
      </w:r>
      <w:r w:rsidR="00BE3525">
        <w:t>e</w:t>
      </w:r>
      <w:r w:rsidR="00BC2627">
        <w:t xml:space="preserve"> presentation bias or visual bias.</w:t>
      </w:r>
    </w:p>
    <w:p w:rsidR="00B5293F" w:rsidRPr="00022A54" w:rsidP="00B5293F" w14:paraId="7CAA5896" w14:textId="77777777">
      <w:pPr>
        <w:numPr>
          <w:ilvl w:val="0"/>
          <w:numId w:val="27"/>
        </w:numPr>
        <w:tabs>
          <w:tab w:val="left" w:pos="-1440"/>
        </w:tabs>
        <w:ind w:hanging="720"/>
      </w:pPr>
      <w:r w:rsidRPr="00022A54">
        <w:t xml:space="preserve">Field testing </w:t>
      </w:r>
      <w:r w:rsidR="00BC2627">
        <w:t xml:space="preserve">is typically conducted after formative research and cognitive testing.  Field testing </w:t>
      </w:r>
      <w:r w:rsidRPr="00022A54">
        <w:t xml:space="preserve">of </w:t>
      </w:r>
      <w:r w:rsidRPr="00022A54" w:rsidR="00031D85">
        <w:t>new</w:t>
      </w:r>
      <w:r w:rsidRPr="00022A54">
        <w:t xml:space="preserve"> methodologies and materials may be conducted with a small number of participants using </w:t>
      </w:r>
      <w:r w:rsidRPr="00022A54">
        <w:t>the</w:t>
      </w:r>
      <w:r w:rsidRPr="00022A54" w:rsidR="00E9533E">
        <w:t xml:space="preserve"> enrollment</w:t>
      </w:r>
      <w:r w:rsidRPr="00022A54" w:rsidR="00031D85">
        <w:t>,</w:t>
      </w:r>
      <w:r w:rsidRPr="00022A54" w:rsidR="000703D6">
        <w:t xml:space="preserve"> </w:t>
      </w:r>
      <w:r w:rsidRPr="00022A54" w:rsidR="00E9533E">
        <w:t xml:space="preserve">study methods and observations by </w:t>
      </w:r>
      <w:r w:rsidRPr="00022A54" w:rsidR="00031D85">
        <w:t>experienced</w:t>
      </w:r>
      <w:r w:rsidRPr="00022A54" w:rsidR="00E9533E">
        <w:t xml:space="preserve"> study methodologists. Unlike full pilots of data collection activities, the purpose of a field pilot </w:t>
      </w:r>
      <w:r w:rsidRPr="00022A54" w:rsidR="00031D85">
        <w:t>will be</w:t>
      </w:r>
      <w:r w:rsidRPr="00022A54" w:rsidR="00E9533E">
        <w:t xml:space="preserve"> to </w:t>
      </w:r>
      <w:r w:rsidRPr="00022A54">
        <w:t>evaluate project</w:t>
      </w:r>
      <w:r w:rsidRPr="00022A54" w:rsidR="00E9533E">
        <w:t xml:space="preserve"> methods and materials </w:t>
      </w:r>
      <w:r w:rsidRPr="00022A54" w:rsidR="00031D85">
        <w:t xml:space="preserve">not yet used by CDC </w:t>
      </w:r>
      <w:r w:rsidRPr="00022A54" w:rsidR="00E9533E">
        <w:t>on a limited scale</w:t>
      </w:r>
      <w:r w:rsidRPr="00022A54" w:rsidR="00031D85">
        <w:t xml:space="preserve">.  </w:t>
      </w:r>
      <w:r w:rsidRPr="00022A54" w:rsidR="00E9533E">
        <w:t>Information from field testing can be used to improve methods, materials,</w:t>
      </w:r>
      <w:r w:rsidR="00BC2627">
        <w:t xml:space="preserve"> instructions to interviewers or other data collectors, technical documentation,</w:t>
      </w:r>
      <w:r w:rsidRPr="00022A54" w:rsidR="00E9533E">
        <w:t xml:space="preserve"> and interventions to reduce the burden of future data collections. </w:t>
      </w:r>
    </w:p>
    <w:p w:rsidR="00A73821" w:rsidRPr="00022A54" w:rsidP="00B5293F" w14:paraId="2E15802F" w14:textId="77777777">
      <w:pPr>
        <w:numPr>
          <w:ilvl w:val="0"/>
          <w:numId w:val="27"/>
        </w:numPr>
        <w:tabs>
          <w:tab w:val="left" w:pos="-1440"/>
        </w:tabs>
        <w:ind w:hanging="720"/>
      </w:pPr>
      <w:r w:rsidRPr="00022A54">
        <w:rPr>
          <w:bCs/>
        </w:rPr>
        <w:t>Mental</w:t>
      </w:r>
      <w:r w:rsidRPr="00022A54" w:rsidR="008A53E9">
        <w:rPr>
          <w:bCs/>
        </w:rPr>
        <w:t xml:space="preserve"> model</w:t>
      </w:r>
      <w:r w:rsidRPr="00022A54" w:rsidR="00E25218">
        <w:rPr>
          <w:bCs/>
        </w:rPr>
        <w:t>s</w:t>
      </w:r>
      <w:r w:rsidRPr="00022A54">
        <w:rPr>
          <w:bCs/>
        </w:rPr>
        <w:t xml:space="preserve"> </w:t>
      </w:r>
      <w:r w:rsidRPr="00022A54" w:rsidR="00AB6721">
        <w:rPr>
          <w:bCs/>
        </w:rPr>
        <w:t>elicitation</w:t>
      </w:r>
      <w:r w:rsidRPr="00022A54">
        <w:rPr>
          <w:bCs/>
        </w:rPr>
        <w:t xml:space="preserve"> and communication frames</w:t>
      </w:r>
      <w:r w:rsidRPr="00022A54" w:rsidR="002F4EE4">
        <w:rPr>
          <w:bCs/>
        </w:rPr>
        <w:t>.</w:t>
      </w:r>
      <w:r w:rsidRPr="00022A54" w:rsidR="00E25218">
        <w:rPr>
          <w:bCs/>
        </w:rPr>
        <w:t xml:space="preserve"> </w:t>
      </w:r>
      <w:r w:rsidRPr="00022A54">
        <w:rPr>
          <w:bCs/>
        </w:rPr>
        <w:t xml:space="preserve"> </w:t>
      </w:r>
    </w:p>
    <w:p w:rsidR="00B5293F" w:rsidRPr="00022A54" w:rsidP="00D357B4" w14:paraId="09E35123" w14:textId="55AF719A">
      <w:pPr>
        <w:tabs>
          <w:tab w:val="left" w:pos="-1440"/>
        </w:tabs>
        <w:ind w:left="720" w:firstLine="0"/>
      </w:pPr>
      <w:r w:rsidRPr="00022A54">
        <w:t xml:space="preserve">Schema theory from the cognitive sciences describes processes and </w:t>
      </w:r>
      <w:r w:rsidRPr="00022A54" w:rsidR="00D54C20">
        <w:t>i</w:t>
      </w:r>
      <w:r w:rsidRPr="00022A54">
        <w:t xml:space="preserve">nterpretative mental structures that </w:t>
      </w:r>
      <w:r w:rsidRPr="00022A54" w:rsidR="002F4EE4">
        <w:t xml:space="preserve">a </w:t>
      </w:r>
      <w:r w:rsidRPr="00022A54">
        <w:t xml:space="preserve">person uses to </w:t>
      </w:r>
      <w:r w:rsidRPr="00022A54" w:rsidR="00D54C20">
        <w:t xml:space="preserve">organize </w:t>
      </w:r>
      <w:r w:rsidRPr="00022A54">
        <w:t xml:space="preserve">their experience. These </w:t>
      </w:r>
      <w:r w:rsidRPr="00022A54" w:rsidR="002E2357">
        <w:t>intrinsic internal representation</w:t>
      </w:r>
      <w:r w:rsidRPr="00022A54">
        <w:t xml:space="preserve"> systems</w:t>
      </w:r>
      <w:r w:rsidRPr="00022A54" w:rsidR="002E2357">
        <w:t xml:space="preserve"> play a role </w:t>
      </w:r>
      <w:r w:rsidRPr="00022A54" w:rsidR="00D54C20">
        <w:t xml:space="preserve">in </w:t>
      </w:r>
      <w:r w:rsidRPr="00022A54" w:rsidR="00111BE6">
        <w:t xml:space="preserve">health </w:t>
      </w:r>
      <w:r w:rsidRPr="00022A54" w:rsidR="002E2357">
        <w:t>decision-making</w:t>
      </w:r>
      <w:r w:rsidRPr="00022A54" w:rsidR="00D54C20">
        <w:t>. T</w:t>
      </w:r>
      <w:r w:rsidRPr="00022A54" w:rsidR="00603514">
        <w:t xml:space="preserve">he purpose of </w:t>
      </w:r>
      <w:r w:rsidRPr="00022A54" w:rsidR="00FF192D">
        <w:t xml:space="preserve">health </w:t>
      </w:r>
      <w:r w:rsidRPr="00022A54" w:rsidR="00603514">
        <w:t>communication mental modeling</w:t>
      </w:r>
      <w:r w:rsidRPr="00022A54" w:rsidR="00F3056A">
        <w:t xml:space="preserve"> is to </w:t>
      </w:r>
      <w:r w:rsidRPr="00022A54">
        <w:t xml:space="preserve">understand mental models of health by </w:t>
      </w:r>
      <w:r w:rsidRPr="00022A54" w:rsidR="00F3056A">
        <w:t>elicit</w:t>
      </w:r>
      <w:r w:rsidRPr="00022A54">
        <w:t>ing</w:t>
      </w:r>
      <w:r w:rsidRPr="00022A54" w:rsidR="00F3056A">
        <w:t xml:space="preserve"> information </w:t>
      </w:r>
      <w:r w:rsidRPr="00022A54">
        <w:t>on how individual</w:t>
      </w:r>
      <w:r w:rsidR="00A81414">
        <w:t>s</w:t>
      </w:r>
      <w:r w:rsidRPr="00022A54">
        <w:t xml:space="preserve"> and groups see relationships among health</w:t>
      </w:r>
      <w:r w:rsidRPr="00022A54" w:rsidR="00AB6721">
        <w:t>, health</w:t>
      </w:r>
      <w:r w:rsidRPr="00022A54">
        <w:t xml:space="preserve"> </w:t>
      </w:r>
      <w:r w:rsidRPr="00022A54" w:rsidR="00AB6721">
        <w:t xml:space="preserve">determinants, health risk, and good health </w:t>
      </w:r>
      <w:r w:rsidRPr="00022A54">
        <w:t>for specif</w:t>
      </w:r>
      <w:r w:rsidRPr="00022A54" w:rsidR="00AB6721">
        <w:t>i</w:t>
      </w:r>
      <w:r w:rsidRPr="00022A54">
        <w:t>c health topics</w:t>
      </w:r>
      <w:r w:rsidRPr="00022A54" w:rsidR="00D54C20">
        <w:t>,</w:t>
      </w:r>
      <w:r w:rsidRPr="00022A54">
        <w:t xml:space="preserve"> and </w:t>
      </w:r>
      <w:r w:rsidRPr="00022A54" w:rsidR="00AB6721">
        <w:t xml:space="preserve">the relationships </w:t>
      </w:r>
      <w:r w:rsidRPr="00022A54">
        <w:t xml:space="preserve">among health </w:t>
      </w:r>
      <w:r w:rsidRPr="00022A54" w:rsidR="00AB6721">
        <w:t>issues</w:t>
      </w:r>
      <w:r w:rsidRPr="00022A54">
        <w:t xml:space="preserve"> and other factors. This enables better message design as one </w:t>
      </w:r>
      <w:r w:rsidRPr="00022A54" w:rsidR="00D54C20">
        <w:t xml:space="preserve">can address more accurately </w:t>
      </w:r>
      <w:r w:rsidRPr="00022A54">
        <w:t>health risk factors</w:t>
      </w:r>
      <w:r w:rsidRPr="00022A54" w:rsidR="00D54C20">
        <w:t xml:space="preserve"> and outcomes in terms of, for example: </w:t>
      </w:r>
      <w:r w:rsidRPr="00022A54" w:rsidR="00F3056A">
        <w:t xml:space="preserve">1) </w:t>
      </w:r>
      <w:r w:rsidRPr="00022A54" w:rsidR="00D54C20">
        <w:t>how</w:t>
      </w:r>
      <w:r w:rsidRPr="00022A54" w:rsidR="00D54C20">
        <w:rPr>
          <w:color w:val="FF0000"/>
        </w:rPr>
        <w:t xml:space="preserve"> </w:t>
      </w:r>
      <w:r w:rsidRPr="00022A54" w:rsidR="00D54C20">
        <w:t>persons</w:t>
      </w:r>
      <w:r w:rsidRPr="00022A54" w:rsidR="00D54C20">
        <w:t xml:space="preserve"> can </w:t>
      </w:r>
      <w:r w:rsidRPr="00022A54" w:rsidR="00D54C20">
        <w:t>take action</w:t>
      </w:r>
      <w:r w:rsidRPr="00022A54" w:rsidR="00D54C20">
        <w:t xml:space="preserve">, </w:t>
      </w:r>
      <w:r w:rsidRPr="00022A54" w:rsidR="00F3056A">
        <w:t>2)</w:t>
      </w:r>
      <w:r w:rsidRPr="00022A54" w:rsidR="00AB6721">
        <w:t xml:space="preserve"> </w:t>
      </w:r>
      <w:r w:rsidRPr="00022A54" w:rsidR="00D54C20">
        <w:t xml:space="preserve">if health is seen as </w:t>
      </w:r>
      <w:r w:rsidRPr="00022A54" w:rsidR="00F3056A">
        <w:t>collectivist or individualistic oriented</w:t>
      </w:r>
      <w:r w:rsidRPr="00022A54" w:rsidR="00AB6721">
        <w:t>. By understanding mental models, one can</w:t>
      </w:r>
      <w:r w:rsidRPr="00022A54" w:rsidR="002E2357">
        <w:t xml:space="preserve"> </w:t>
      </w:r>
      <w:r w:rsidRPr="00022A54" w:rsidR="00D54C20">
        <w:t xml:space="preserve">also take into account in message design </w:t>
      </w:r>
      <w:r w:rsidRPr="00022A54" w:rsidR="00F3056A">
        <w:t xml:space="preserve">3) </w:t>
      </w:r>
      <w:r w:rsidRPr="00022A54" w:rsidR="00D54C20">
        <w:t xml:space="preserve">decision points </w:t>
      </w:r>
      <w:r w:rsidRPr="00022A54" w:rsidR="008A53E9">
        <w:t xml:space="preserve">at-risk </w:t>
      </w:r>
      <w:r w:rsidRPr="00022A54" w:rsidR="00603514">
        <w:t xml:space="preserve">individuals </w:t>
      </w:r>
      <w:r w:rsidRPr="00022A54" w:rsidR="007E7D10">
        <w:t>(</w:t>
      </w:r>
      <w:r w:rsidRPr="00022A54" w:rsidR="00603514">
        <w:t>or groups</w:t>
      </w:r>
      <w:r w:rsidRPr="00022A54" w:rsidR="007E7D10">
        <w:t>)</w:t>
      </w:r>
      <w:r w:rsidRPr="00022A54" w:rsidR="00603514">
        <w:t xml:space="preserve"> under</w:t>
      </w:r>
      <w:r w:rsidRPr="00022A54" w:rsidR="00AB6721">
        <w:t>go</w:t>
      </w:r>
      <w:r w:rsidRPr="00022A54" w:rsidR="006B4C5B">
        <w:t xml:space="preserve"> when they move </w:t>
      </w:r>
      <w:r w:rsidRPr="00022A54" w:rsidR="00AB6721">
        <w:t xml:space="preserve">between </w:t>
      </w:r>
      <w:r w:rsidRPr="00022A54" w:rsidR="006B4C5B">
        <w:t xml:space="preserve">internal-based reality (e.g., intra-personal attitudes, knowledge, values, </w:t>
      </w:r>
      <w:r w:rsidRPr="00022A54" w:rsidR="00E37D59">
        <w:t xml:space="preserve">perceived stigma, racism, discrimination, sexism, </w:t>
      </w:r>
      <w:r w:rsidRPr="00022A54" w:rsidR="006B4C5B">
        <w:t xml:space="preserve">beliefs and skills) </w:t>
      </w:r>
      <w:r w:rsidRPr="00022A54" w:rsidR="00AB6721">
        <w:t xml:space="preserve">and </w:t>
      </w:r>
      <w:r w:rsidRPr="00022A54" w:rsidR="006B4C5B">
        <w:t>external-based, actionable reality (e.g., outward behaviors</w:t>
      </w:r>
      <w:r w:rsidRPr="00022A54" w:rsidR="00B53725">
        <w:t xml:space="preserve">, environmental constraints, health </w:t>
      </w:r>
      <w:r w:rsidR="00A9447A">
        <w:t>bias</w:t>
      </w:r>
      <w:r w:rsidRPr="00022A54" w:rsidR="006B4C5B">
        <w:t>)</w:t>
      </w:r>
      <w:r w:rsidRPr="00022A54">
        <w:t xml:space="preserve">. </w:t>
      </w:r>
    </w:p>
    <w:p w:rsidR="00F427CF" w:rsidRPr="00022A54" w:rsidP="00977108" w14:paraId="70AC58D2" w14:textId="712D4089">
      <w:pPr>
        <w:tabs>
          <w:tab w:val="left" w:pos="-1440"/>
        </w:tabs>
        <w:ind w:left="0" w:firstLine="0"/>
        <w:rPr>
          <w:bCs/>
        </w:rPr>
      </w:pPr>
      <w:r w:rsidRPr="00022A54">
        <w:t>The information collected by local implement</w:t>
      </w:r>
      <w:r w:rsidR="002E3155">
        <w:t>e</w:t>
      </w:r>
      <w:r w:rsidRPr="00022A54">
        <w:t>rs may contain personally identifiable information such as name, address, medical information, referred individuals</w:t>
      </w:r>
      <w:r w:rsidR="002E3155">
        <w:t>,</w:t>
      </w:r>
      <w:r w:rsidRPr="00022A54">
        <w:t xml:space="preserve"> etc. </w:t>
      </w:r>
      <w:r w:rsidRPr="00022A54">
        <w:rPr>
          <w:bCs/>
        </w:rPr>
        <w:t xml:space="preserve">Projects that involve Respondent Driven Sampling (RDS) or other risk-based surveys or interviews with affected </w:t>
      </w:r>
      <w:r w:rsidRPr="00022A54">
        <w:rPr>
          <w:bCs/>
        </w:rPr>
        <w:t>persons</w:t>
      </w:r>
      <w:r w:rsidRPr="00022A54">
        <w:rPr>
          <w:bCs/>
        </w:rPr>
        <w:t xml:space="preserve"> will include personal information that the local implement</w:t>
      </w:r>
      <w:r w:rsidR="002E3155">
        <w:rPr>
          <w:bCs/>
        </w:rPr>
        <w:t>e</w:t>
      </w:r>
      <w:r w:rsidRPr="00022A54">
        <w:rPr>
          <w:bCs/>
        </w:rPr>
        <w:t xml:space="preserve">rs will need to provide continuity of service, follow-up of referrals, and other outreach activities. </w:t>
      </w:r>
      <w:r w:rsidRPr="00022A54" w:rsidR="00D02CA7">
        <w:rPr>
          <w:bCs/>
        </w:rPr>
        <w:t xml:space="preserve">Personally identifiable information </w:t>
      </w:r>
      <w:r w:rsidR="008E323D">
        <w:rPr>
          <w:bCs/>
        </w:rPr>
        <w:t xml:space="preserve">(PII) </w:t>
      </w:r>
      <w:r w:rsidRPr="00022A54" w:rsidR="00D02CA7">
        <w:rPr>
          <w:bCs/>
        </w:rPr>
        <w:t xml:space="preserve">will be kept in a separate location and accessible only to the </w:t>
      </w:r>
      <w:r w:rsidR="002E3155">
        <w:rPr>
          <w:bCs/>
        </w:rPr>
        <w:t>project-specific research staff</w:t>
      </w:r>
      <w:r w:rsidRPr="00022A54" w:rsidR="00D02CA7">
        <w:rPr>
          <w:bCs/>
        </w:rPr>
        <w:t xml:space="preserve">.  This information will be destroyed </w:t>
      </w:r>
      <w:r w:rsidRPr="00022A54" w:rsidR="0022229C">
        <w:rPr>
          <w:bCs/>
        </w:rPr>
        <w:t xml:space="preserve">when the client’s contribution to the project has ended. </w:t>
      </w:r>
    </w:p>
    <w:p w:rsidR="00F427CF" w:rsidRPr="00022A54" w:rsidP="00817E1F" w14:paraId="1ED85778" w14:textId="2B8C95A2">
      <w:pPr>
        <w:spacing w:before="120"/>
        <w:ind w:left="0" w:firstLine="0"/>
      </w:pPr>
      <w:r w:rsidRPr="00022A54">
        <w:t>The information collect</w:t>
      </w:r>
      <w:r w:rsidR="00FC1626">
        <w:t xml:space="preserve">ed for a </w:t>
      </w:r>
      <w:r w:rsidRPr="00022A54" w:rsidR="0022229C">
        <w:t>project</w:t>
      </w:r>
      <w:r w:rsidRPr="00022A54">
        <w:t xml:space="preserve"> will be maintained</w:t>
      </w:r>
      <w:r w:rsidRPr="00022A54" w:rsidR="00C45881">
        <w:t xml:space="preserve"> or </w:t>
      </w:r>
      <w:r w:rsidRPr="00022A54">
        <w:t>stored locally under strict access controls limited to the local project leader/manager or his/her designate</w:t>
      </w:r>
      <w:r w:rsidR="002E3155">
        <w:t>.</w:t>
      </w:r>
      <w:r w:rsidRPr="00022A54">
        <w:t xml:space="preserve"> Under no circumstances will an individual be identified using a combination of variables such as </w:t>
      </w:r>
      <w:r w:rsidR="00BE7EAC">
        <w:t>sex</w:t>
      </w:r>
      <w:r w:rsidRPr="00022A54">
        <w:t xml:space="preserve">, race, birth date, and/or other descriptors.  </w:t>
      </w:r>
    </w:p>
    <w:p w:rsidR="005809A4" w:rsidRPr="00022A54" w:rsidP="00977108" w14:paraId="6CA04EB6" w14:textId="77777777">
      <w:pPr>
        <w:spacing w:before="120"/>
        <w:ind w:left="0" w:firstLine="0"/>
        <w:rPr>
          <w:bCs/>
        </w:rPr>
      </w:pPr>
      <w:r w:rsidRPr="00022A54">
        <w:rPr>
          <w:bCs/>
        </w:rPr>
        <w:t>Because this request include</w:t>
      </w:r>
      <w:r w:rsidRPr="00022A54" w:rsidR="00036E5B">
        <w:rPr>
          <w:bCs/>
        </w:rPr>
        <w:t xml:space="preserve">s a wide range of studies, specific </w:t>
      </w:r>
      <w:r w:rsidRPr="00022A54">
        <w:rPr>
          <w:bCs/>
        </w:rPr>
        <w:t>request</w:t>
      </w:r>
      <w:r w:rsidRPr="00022A54" w:rsidR="00036E5B">
        <w:rPr>
          <w:bCs/>
        </w:rPr>
        <w:t>s</w:t>
      </w:r>
      <w:r w:rsidRPr="00022A54">
        <w:rPr>
          <w:bCs/>
        </w:rPr>
        <w:t xml:space="preserve"> </w:t>
      </w:r>
      <w:r w:rsidRPr="00022A54" w:rsidR="00D24412">
        <w:rPr>
          <w:bCs/>
        </w:rPr>
        <w:t>will include</w:t>
      </w:r>
      <w:r w:rsidRPr="00022A54" w:rsidR="0022229C">
        <w:rPr>
          <w:bCs/>
        </w:rPr>
        <w:t xml:space="preserve"> </w:t>
      </w:r>
      <w:r w:rsidRPr="00022A54">
        <w:rPr>
          <w:bCs/>
        </w:rPr>
        <w:t>items of information to be collected</w:t>
      </w:r>
      <w:r w:rsidRPr="00022A54" w:rsidR="002F4EE4">
        <w:rPr>
          <w:bCs/>
        </w:rPr>
        <w:t xml:space="preserve"> and</w:t>
      </w:r>
      <w:r w:rsidRPr="00022A54" w:rsidR="0022229C">
        <w:rPr>
          <w:bCs/>
        </w:rPr>
        <w:t xml:space="preserve"> copies of the data collection instruments</w:t>
      </w:r>
      <w:r w:rsidRPr="00022A54">
        <w:rPr>
          <w:bCs/>
        </w:rPr>
        <w:t>.</w:t>
      </w:r>
      <w:r w:rsidR="00977108">
        <w:rPr>
          <w:bCs/>
        </w:rPr>
        <w:t xml:space="preserve">  </w:t>
      </w:r>
      <w:bookmarkEnd w:id="0"/>
      <w:bookmarkEnd w:id="1"/>
      <w:r w:rsidRPr="00022A54" w:rsidR="00AE6727">
        <w:rPr>
          <w:bCs/>
        </w:rPr>
        <w:t xml:space="preserve">Web-based methods for survey or intervention delivery may involve the </w:t>
      </w:r>
      <w:r w:rsidRPr="00022A54">
        <w:rPr>
          <w:bCs/>
        </w:rPr>
        <w:t xml:space="preserve">creation of </w:t>
      </w:r>
      <w:r w:rsidRPr="00022A54" w:rsidR="00AE6727">
        <w:rPr>
          <w:bCs/>
        </w:rPr>
        <w:t>a website</w:t>
      </w:r>
      <w:r w:rsidRPr="00022A54">
        <w:rPr>
          <w:bCs/>
        </w:rPr>
        <w:t xml:space="preserve"> with controlled access.  Web-based investigations will include surveys, and components of formative research collecting public evaluations of health communication messages or materials.  Under no circumstances will CDC sponsored websites be directed at children under 13 years of age. </w:t>
      </w:r>
      <w:r w:rsidRPr="00022A54" w:rsidR="00AE6727">
        <w:rPr>
          <w:bCs/>
        </w:rPr>
        <w:t xml:space="preserve">Individual collection requests submitted under this generic approval will describe any web-based material involved. </w:t>
      </w:r>
    </w:p>
    <w:p w:rsidR="00B95A61" w:rsidP="00CA1AF9" w14:paraId="5CF89E31" w14:textId="77777777">
      <w:pPr>
        <w:tabs>
          <w:tab w:val="left" w:pos="-1440"/>
        </w:tabs>
        <w:rPr>
          <w:b/>
          <w:bCs/>
        </w:rPr>
      </w:pPr>
    </w:p>
    <w:p w:rsidR="00CA1AF9" w:rsidRPr="00022A54" w:rsidP="00CA1AF9" w14:paraId="48D9A43A" w14:textId="77777777">
      <w:pPr>
        <w:tabs>
          <w:tab w:val="left" w:pos="-1440"/>
        </w:tabs>
        <w:rPr>
          <w:b/>
          <w:bCs/>
        </w:rPr>
      </w:pPr>
      <w:r w:rsidRPr="00022A54">
        <w:rPr>
          <w:b/>
          <w:bCs/>
        </w:rPr>
        <w:t>2.</w:t>
      </w:r>
      <w:r w:rsidRPr="00022A54">
        <w:rPr>
          <w:b/>
          <w:bCs/>
        </w:rPr>
        <w:tab/>
        <w:t>Purpose and Use of Information Collection</w:t>
      </w:r>
      <w:r w:rsidRPr="00022A54" w:rsidR="00726F05">
        <w:rPr>
          <w:b/>
          <w:bCs/>
        </w:rPr>
        <w:t xml:space="preserve">  </w:t>
      </w:r>
    </w:p>
    <w:p w:rsidR="00CB1E7A" w:rsidRPr="00022A54" w:rsidP="00817E1F" w14:paraId="607E2A86" w14:textId="77777777">
      <w:pPr>
        <w:tabs>
          <w:tab w:val="left" w:pos="-1440"/>
        </w:tabs>
        <w:ind w:left="0" w:firstLine="0"/>
      </w:pPr>
      <w:r w:rsidRPr="00022A54">
        <w:t>Many questionnaire design recommendations are based on cogni</w:t>
      </w:r>
      <w:r w:rsidR="002E3155">
        <w:t xml:space="preserve">tive testing; others are based </w:t>
      </w:r>
      <w:r w:rsidRPr="00022A54">
        <w:t xml:space="preserve">on </w:t>
      </w:r>
      <w:r w:rsidRPr="00022A54">
        <w:t>past experience</w:t>
      </w:r>
      <w:r w:rsidRPr="00022A54">
        <w:t xml:space="preserve"> or general principles of questionnaire design. Changes to the structure of a question based on existing theories make it easier to understand and more efficient to administer.  Field experiments where </w:t>
      </w:r>
      <w:r w:rsidRPr="00022A54" w:rsidR="0022229C">
        <w:t>original and alternative versions of a question are</w:t>
      </w:r>
      <w:r w:rsidRPr="00022A54">
        <w:t xml:space="preserve"> each administered to half of a sample are a proven method to test the theory in the environment where the change is needed.</w:t>
      </w:r>
      <w:r w:rsidR="00561EE6">
        <w:t xml:space="preserve">  For example, cognitive testing and field testing may be conducted to help CDC/ATSDR promote collaborative</w:t>
      </w:r>
      <w:r w:rsidRPr="00022A54">
        <w:t xml:space="preserve"> </w:t>
      </w:r>
      <w:r w:rsidR="00561EE6">
        <w:t>efforts and efficient use of surveillance infrastructure.</w:t>
      </w:r>
      <w:r w:rsidRPr="00022A54">
        <w:t xml:space="preserve"> </w:t>
      </w:r>
    </w:p>
    <w:p w:rsidR="00886A38" w:rsidRPr="00022A54" w:rsidP="00817E1F" w14:paraId="63322E45" w14:textId="77777777">
      <w:pPr>
        <w:tabs>
          <w:tab w:val="left" w:pos="-1440"/>
        </w:tabs>
        <w:ind w:left="0" w:firstLine="0"/>
        <w:rPr>
          <w:b/>
        </w:rPr>
      </w:pPr>
      <w:r w:rsidRPr="00022A54">
        <w:t xml:space="preserve">Because of CDC’s need to respond rapidly to changes in the </w:t>
      </w:r>
      <w:r w:rsidRPr="00022A54" w:rsidR="00CB1E7A">
        <w:t xml:space="preserve">epidemiology of </w:t>
      </w:r>
      <w:r w:rsidR="005C6EDC">
        <w:t>various</w:t>
      </w:r>
      <w:r w:rsidRPr="00022A54" w:rsidR="00CB1E7A">
        <w:t xml:space="preserve"> diseases </w:t>
      </w:r>
      <w:r w:rsidRPr="00022A54">
        <w:t>through development of new projects, the exact nature of every activity is not always known until just prior to the need for its development.</w:t>
      </w:r>
      <w:r w:rsidRPr="00022A54" w:rsidR="00CB1E7A">
        <w:t xml:space="preserve">  It is </w:t>
      </w:r>
      <w:r w:rsidR="00D15EFA">
        <w:t>l</w:t>
      </w:r>
      <w:r w:rsidRPr="00022A54" w:rsidR="00CB1E7A">
        <w:t xml:space="preserve">ikely that a combination of the listed </w:t>
      </w:r>
      <w:r w:rsidR="00D15EFA">
        <w:t>methods</w:t>
      </w:r>
      <w:r w:rsidRPr="00022A54" w:rsidR="00CB1E7A">
        <w:t xml:space="preserve"> will be employed. For example, focus groups and interviews </w:t>
      </w:r>
      <w:r w:rsidR="00A72BB1">
        <w:t xml:space="preserve">conducted by recipients of CDC funding or contractors selected to perform specific activities </w:t>
      </w:r>
      <w:r w:rsidRPr="00022A54" w:rsidR="00CB1E7A">
        <w:t>will provide the information to make the changes which then need to be tested both qualitatively and quantitatively to ensure that the changed instrument is acceptable to the target audience</w:t>
      </w:r>
      <w:r w:rsidR="00527974">
        <w:t>,</w:t>
      </w:r>
      <w:r w:rsidRPr="00022A54" w:rsidR="00CB1E7A">
        <w:t xml:space="preserve"> but is also more efficient than the existing version in providing the needed information.</w:t>
      </w:r>
    </w:p>
    <w:p w:rsidR="002F4EE4" w:rsidRPr="00022A54" w:rsidP="00527974" w14:paraId="1725F3DF" w14:textId="77777777">
      <w:pPr>
        <w:spacing w:before="120"/>
        <w:ind w:left="0" w:firstLine="0"/>
      </w:pPr>
      <w:r w:rsidRPr="00022A54">
        <w:t>CDC</w:t>
      </w:r>
      <w:r w:rsidR="00B702C2">
        <w:t xml:space="preserve"> needs the</w:t>
      </w:r>
      <w:r w:rsidRPr="00022A54">
        <w:t xml:space="preserve"> ability to </w:t>
      </w:r>
      <w:r w:rsidR="00B702C2">
        <w:t xml:space="preserve">process and/or integrate </w:t>
      </w:r>
      <w:r w:rsidRPr="00022A54">
        <w:t>information into on-going nati</w:t>
      </w:r>
      <w:r w:rsidR="00527974">
        <w:t>onal program</w:t>
      </w:r>
      <w:r w:rsidR="00832AE9">
        <w:t>s</w:t>
      </w:r>
      <w:r w:rsidR="00527974">
        <w:t xml:space="preserve"> in a </w:t>
      </w:r>
      <w:r w:rsidRPr="00022A54" w:rsidR="00CB1E7A">
        <w:t>timely manner.</w:t>
      </w:r>
      <w:r w:rsidR="00527974">
        <w:t xml:space="preserve"> </w:t>
      </w:r>
      <w:r w:rsidRPr="00022A54" w:rsidR="00CB1E7A">
        <w:t xml:space="preserve">Formative research is an integral part of the operations research and surveillance </w:t>
      </w:r>
      <w:r w:rsidRPr="00022A54" w:rsidR="00CB1E7A">
        <w:t xml:space="preserve">activities at </w:t>
      </w:r>
      <w:r w:rsidR="005C6EDC">
        <w:t>CDC</w:t>
      </w:r>
      <w:r w:rsidRPr="00022A54" w:rsidR="00CB1E7A">
        <w:t xml:space="preserve"> because they are dependent upon the consumers and the health department staff to obtain the data needed to monitor changes in disease epidemiology and design more efficient interventions.  </w:t>
      </w:r>
    </w:p>
    <w:p w:rsidR="00C46C52" w:rsidP="00527974" w14:paraId="26096D95" w14:textId="745D63D8">
      <w:pPr>
        <w:spacing w:before="120"/>
        <w:ind w:left="0" w:firstLine="0"/>
      </w:pPr>
      <w:r w:rsidRPr="00022A54">
        <w:t xml:space="preserve">None of the studies proposed intend to produce results that can be generalized </w:t>
      </w:r>
      <w:r w:rsidRPr="00022A54" w:rsidR="00D24412">
        <w:t>beyond the scope of each study</w:t>
      </w:r>
      <w:r w:rsidR="00FF4807">
        <w:t>.</w:t>
      </w:r>
      <w:r w:rsidRPr="00022A54">
        <w:t xml:space="preserve"> The objective of this request is to enable </w:t>
      </w:r>
      <w:r w:rsidR="005C6EDC">
        <w:t>CDC</w:t>
      </w:r>
      <w:r w:rsidRPr="00022A54" w:rsidR="005C6EDC">
        <w:t xml:space="preserve"> </w:t>
      </w:r>
      <w:r w:rsidRPr="00022A54">
        <w:t>to improve</w:t>
      </w:r>
      <w:r w:rsidRPr="00022A54">
        <w:rPr>
          <w:i/>
        </w:rPr>
        <w:t xml:space="preserve"> </w:t>
      </w:r>
      <w:r w:rsidRPr="00022A54">
        <w:t>the quality of the data collection systems and respond to the needs of the affected persons and the community in a timely manner. The improved timeliness of this development will improve data quality, increase the efficiency of data collection, and decrease burden to the public.</w:t>
      </w:r>
    </w:p>
    <w:p w:rsidR="00642BCE" w:rsidRPr="00642BCE" w:rsidP="00642BCE" w14:paraId="52BDB01D" w14:textId="1A0DE158">
      <w:pPr>
        <w:spacing w:before="120"/>
        <w:ind w:left="0" w:firstLine="0"/>
      </w:pPr>
      <w:r>
        <w:t xml:space="preserve">An </w:t>
      </w:r>
      <w:r w:rsidR="00867875">
        <w:t>equivalent</w:t>
      </w:r>
      <w:r>
        <w:t xml:space="preserve"> </w:t>
      </w:r>
      <w:r w:rsidRPr="00642BCE">
        <w:t xml:space="preserve">generic clearance </w:t>
      </w:r>
      <w:r w:rsidR="00B702C2">
        <w:t>(0920-0840)</w:t>
      </w:r>
      <w:r w:rsidRPr="00642BCE">
        <w:t xml:space="preserve"> has allowed </w:t>
      </w:r>
      <w:r>
        <w:t>CDC</w:t>
      </w:r>
      <w:r w:rsidRPr="00642BCE">
        <w:t xml:space="preserve"> to conduct formative research studies to develop and pilot test a new health communication intervention tool using an HIV and STD themed motion comic designed to reduce HIV/AIDS among young people and identify the mobile technology needs of users, mobile application design preferences, a</w:t>
      </w:r>
      <w:r w:rsidR="00B702C2">
        <w:t>nd</w:t>
      </w:r>
      <w:r w:rsidRPr="00642BCE">
        <w:t xml:space="preserve"> the barriers and facilitators that prohibit or encourage the uptake and sustained use of mobile apps for HIV prevention. </w:t>
      </w:r>
      <w:r>
        <w:t>CDC</w:t>
      </w:r>
      <w:r w:rsidRPr="00642BCE">
        <w:t xml:space="preserve"> ha</w:t>
      </w:r>
      <w:r>
        <w:t>s</w:t>
      </w:r>
      <w:r w:rsidRPr="00642BCE">
        <w:t xml:space="preserve"> used this </w:t>
      </w:r>
      <w:r w:rsidR="00B702C2">
        <w:t>clearance mechanism</w:t>
      </w:r>
      <w:r w:rsidRPr="00642BCE">
        <w:t xml:space="preserve"> </w:t>
      </w:r>
      <w:r>
        <w:t xml:space="preserve">to </w:t>
      </w:r>
      <w:r w:rsidRPr="00642BCE">
        <w:t>conduct in-depth interviews with health care providers and social service providers for the development of the Prevention Is Care (PIC) social marketing campaign to develop and pretest draft materials for the PIC campaign and to obtain reactions regarding appropriateness, usability, and relevance of the materials to the participant’s clinical practice. In addition to developing and testing messages and materials, investigating new technology to promote public health and disseminate information, this mechanism facilitate</w:t>
      </w:r>
      <w:r w:rsidR="00B702C2">
        <w:t>s</w:t>
      </w:r>
      <w:r w:rsidRPr="00642BCE">
        <w:t xml:space="preserve"> self-testing, treatment, and linkage to care activities among at-risk populations. </w:t>
      </w:r>
    </w:p>
    <w:p w:rsidR="00726F05" w:rsidRPr="00022A54" w:rsidP="009F5FD9" w14:paraId="521A3136" w14:textId="77777777">
      <w:pPr>
        <w:ind w:left="0" w:firstLine="0"/>
      </w:pPr>
      <w:r w:rsidRPr="009F5FD9">
        <w:t>Qualitative interviewing for surveillance and research for the development and</w:t>
      </w:r>
      <w:r w:rsidR="0072304F">
        <w:t>/</w:t>
      </w:r>
      <w:r w:rsidRPr="009F5FD9">
        <w:t xml:space="preserve">or improvement of interventions, tools, and materials </w:t>
      </w:r>
      <w:r w:rsidRPr="00022A54">
        <w:t>use</w:t>
      </w:r>
      <w:r w:rsidR="009F5FD9">
        <w:t>s</w:t>
      </w:r>
      <w:r w:rsidRPr="00022A54">
        <w:t xml:space="preserve"> qualitative interviewing methods to identify appropriate project methods, intervention content and delivery, and instrument domains and questions.  </w:t>
      </w:r>
      <w:r w:rsidR="005C6EDC">
        <w:t>CDC</w:t>
      </w:r>
      <w:r w:rsidRPr="00022A54" w:rsidR="005C6EDC">
        <w:t xml:space="preserve"> </w:t>
      </w:r>
      <w:r w:rsidRPr="00022A54">
        <w:t xml:space="preserve">will conduct qualitative interviews with volunteer respondents, either individually or in groups, using standardized methods. Results of qualitative interviews </w:t>
      </w:r>
      <w:r w:rsidR="005C6EDC">
        <w:t>are</w:t>
      </w:r>
      <w:r w:rsidRPr="00022A54">
        <w:t xml:space="preserve"> used in conjunction with other information to develop the most appropriate and successful surveillance or research methods, interventions, and data collection instruments for current and future projects.</w:t>
      </w:r>
    </w:p>
    <w:p w:rsidR="00726F05" w:rsidRPr="00022A54" w:rsidP="00817E1F" w14:paraId="51DEB4F1" w14:textId="77777777">
      <w:pPr>
        <w:tabs>
          <w:tab w:val="left" w:pos="-1440"/>
        </w:tabs>
        <w:ind w:left="0" w:firstLine="0"/>
      </w:pPr>
      <w:r w:rsidRPr="00022A54">
        <w:t xml:space="preserve">Field </w:t>
      </w:r>
      <w:r w:rsidRPr="00022A54" w:rsidR="0090145A">
        <w:t>experience with prototype data collection instruments is</w:t>
      </w:r>
      <w:r w:rsidRPr="00022A54">
        <w:t xml:space="preserve"> crucial for the development </w:t>
      </w:r>
      <w:r w:rsidRPr="00022A54" w:rsidR="00AB462A">
        <w:t>and</w:t>
      </w:r>
      <w:r w:rsidR="0072304F">
        <w:t>/</w:t>
      </w:r>
      <w:r w:rsidRPr="00022A54" w:rsidR="00AB462A">
        <w:t xml:space="preserve">or improvement </w:t>
      </w:r>
      <w:r w:rsidRPr="00022A54">
        <w:t xml:space="preserve">of methods, interventions, and instruments </w:t>
      </w:r>
      <w:r w:rsidRPr="00022A54" w:rsidR="00031D85">
        <w:t xml:space="preserve">that may improve </w:t>
      </w:r>
      <w:r w:rsidRPr="00022A54">
        <w:t xml:space="preserve">surveillance and </w:t>
      </w:r>
      <w:r w:rsidRPr="00022A54" w:rsidR="00031D85">
        <w:t xml:space="preserve">other </w:t>
      </w:r>
      <w:r w:rsidRPr="00022A54">
        <w:t xml:space="preserve">research projects.  In a few instances, open discussions with members of the target population with opportunities to provide input on project methods, interventions, and instruments assure success in implementation. The combined methods are especially relevant for projects intending to reach vulnerable populations or to explore novel areas </w:t>
      </w:r>
      <w:r w:rsidR="0015392C">
        <w:t>of</w:t>
      </w:r>
      <w:r w:rsidRPr="00022A54">
        <w:t xml:space="preserve"> research. </w:t>
      </w:r>
    </w:p>
    <w:p w:rsidR="00726F05" w:rsidRPr="00022A54" w:rsidP="009F5FD9" w14:paraId="67D05099" w14:textId="218AB14E">
      <w:pPr>
        <w:tabs>
          <w:tab w:val="left" w:pos="-1440"/>
        </w:tabs>
        <w:ind w:left="0" w:firstLine="0"/>
      </w:pPr>
      <w:r w:rsidRPr="009F5FD9">
        <w:t>Cognitive interviewing for development of specific data collection instruments use</w:t>
      </w:r>
      <w:r w:rsidRPr="009F5FD9" w:rsidR="009F5FD9">
        <w:t>s</w:t>
      </w:r>
      <w:r w:rsidRPr="009F5FD9">
        <w:t xml:space="preserve"> cognitive</w:t>
      </w:r>
      <w:r w:rsidRPr="00022A54">
        <w:t xml:space="preserve"> interviewing methodology to identify and correct instrument flaws, such as questions which are vague or ambiguous, cannot be answered readily or accurately, or otherwise contribute to the non-sampling errors of the data collection instrument. The methods used will vary depending on the stage of development of the various data collection instruments to be studied.  When questions have been used successfully in earlier surveys, testing will </w:t>
      </w:r>
      <w:r w:rsidRPr="00022A54" w:rsidR="00867875">
        <w:t>assess</w:t>
      </w:r>
      <w:r w:rsidRPr="00022A54">
        <w:t xml:space="preserve"> whether the questions function appropriately in the new context.  In cases where there is evidence that previously developed questions were not entirely reliable or valid, more extensive evaluation will be conducted.  The most extensive instrument development activities will be applied to untested draft questions and undeveloped lists of data objectives.  </w:t>
      </w:r>
    </w:p>
    <w:p w:rsidR="0059004E" w:rsidRPr="00022A54" w:rsidP="0059004E" w14:paraId="3DB0EFA0" w14:textId="77777777">
      <w:pPr>
        <w:tabs>
          <w:tab w:val="left" w:pos="-1440"/>
        </w:tabs>
        <w:ind w:left="720" w:hanging="720"/>
      </w:pPr>
      <w:r w:rsidRPr="00022A54">
        <w:rPr>
          <w:bCs/>
        </w:rPr>
        <w:t>Methodological Research</w:t>
      </w:r>
    </w:p>
    <w:p w:rsidR="00726F05" w:rsidRPr="00022A54" w:rsidP="00726F05" w14:paraId="47E59222" w14:textId="77777777">
      <w:pPr>
        <w:tabs>
          <w:tab w:val="left" w:pos="-1440"/>
        </w:tabs>
        <w:ind w:left="720" w:hanging="720"/>
      </w:pPr>
      <w:r w:rsidRPr="00022A54">
        <w:rPr>
          <w:b/>
          <w:bCs/>
        </w:rPr>
        <w:t>a)</w:t>
      </w:r>
      <w:r w:rsidRPr="00022A54">
        <w:rPr>
          <w:b/>
          <w:bCs/>
        </w:rPr>
        <w:tab/>
      </w:r>
      <w:r w:rsidRPr="00022A54">
        <w:rPr>
          <w:bCs/>
          <w:i/>
        </w:rPr>
        <w:t>Research on the effects of alternative instrument designs</w:t>
      </w:r>
      <w:r w:rsidRPr="00022A54">
        <w:t xml:space="preserve">  </w:t>
      </w:r>
    </w:p>
    <w:p w:rsidR="00726F05" w:rsidRPr="00022A54" w:rsidP="00726F05" w14:paraId="4D24075B" w14:textId="59E3047E">
      <w:pPr>
        <w:tabs>
          <w:tab w:val="left" w:pos="-1440"/>
        </w:tabs>
        <w:ind w:left="720" w:hanging="720"/>
      </w:pPr>
      <w:r w:rsidRPr="00022A54">
        <w:rPr>
          <w:b/>
          <w:bCs/>
        </w:rPr>
        <w:tab/>
      </w:r>
      <w:r w:rsidRPr="00022A54">
        <w:t>Many instrument design recommendations are based on cognitive testing; others are based on</w:t>
      </w:r>
      <w:r w:rsidR="008E323D">
        <w:t xml:space="preserve"> previous</w:t>
      </w:r>
      <w:r w:rsidRPr="00022A54">
        <w:t xml:space="preserve"> experience or general principles of questionnaire design. </w:t>
      </w:r>
      <w:r w:rsidR="0072304F">
        <w:t>I</w:t>
      </w:r>
      <w:r w:rsidRPr="00022A54">
        <w:t>t is often advantageous to quantify how these design decisions affect data collection in the field.  For example, we may develop theories that certain changes to the structure of a question will make it easier to understand and more efficient to administer. One way to explore this possibility is to conduct field experiments where original and alternative versions of a question are each administered to half of a sample of respondents.</w:t>
      </w:r>
      <w:r w:rsidR="008E323D">
        <w:t xml:space="preserve"> </w:t>
      </w:r>
      <w:r w:rsidRPr="00022A54">
        <w:t xml:space="preserve">In addition to comparing response distributions of the two versions, interviews can be </w:t>
      </w:r>
      <w:r w:rsidRPr="00022A54" w:rsidR="008E323D">
        <w:t>tape</w:t>
      </w:r>
      <w:r w:rsidR="008E323D">
        <w:t>-</w:t>
      </w:r>
      <w:r w:rsidRPr="00022A54">
        <w:t xml:space="preserve">recorded and coded so that a variety of interviewer and respondent behaviors can be compared.  Such experiments may focus on </w:t>
      </w:r>
      <w:r w:rsidR="008E323D">
        <w:t xml:space="preserve">the </w:t>
      </w:r>
      <w:r w:rsidRPr="00022A54">
        <w:t xml:space="preserve">grammatical structure of questions, number of questions used to measure a particular concept, context of the question, and similar design decisions.  This research may be embedded into field surveys, conducted as a separate project, or some combination of the two.  Research may also be conducted by comparing survey data to other data sources such as external records or detailed respondent diaries.  </w:t>
      </w:r>
    </w:p>
    <w:p w:rsidR="00726F05" w:rsidRPr="00022A54" w:rsidP="00726F05" w14:paraId="7A3B0233" w14:textId="77777777">
      <w:pPr>
        <w:tabs>
          <w:tab w:val="left" w:pos="-1440"/>
        </w:tabs>
        <w:ind w:left="720" w:hanging="720"/>
      </w:pPr>
      <w:r w:rsidRPr="00022A54">
        <w:rPr>
          <w:b/>
          <w:bCs/>
        </w:rPr>
        <w:t>b)</w:t>
      </w:r>
      <w:r w:rsidRPr="00022A54">
        <w:rPr>
          <w:b/>
          <w:bCs/>
        </w:rPr>
        <w:tab/>
      </w:r>
      <w:r w:rsidRPr="00022A54">
        <w:rPr>
          <w:bCs/>
          <w:i/>
        </w:rPr>
        <w:t>Research on cognitive aspects of non-response</w:t>
      </w:r>
      <w:r w:rsidRPr="00022A54">
        <w:rPr>
          <w:i/>
        </w:rPr>
        <w:t xml:space="preserve">  </w:t>
      </w:r>
    </w:p>
    <w:p w:rsidR="00726F05" w:rsidRPr="00022A54" w:rsidP="00726F05" w14:paraId="44D05E0E" w14:textId="77777777">
      <w:pPr>
        <w:tabs>
          <w:tab w:val="left" w:pos="-1440"/>
        </w:tabs>
        <w:ind w:left="720" w:hanging="720"/>
      </w:pPr>
      <w:r w:rsidRPr="00022A54">
        <w:rPr>
          <w:b/>
          <w:bCs/>
        </w:rPr>
        <w:tab/>
      </w:r>
      <w:r w:rsidRPr="00022A54">
        <w:t xml:space="preserve">Non-response creates numerous analytic difficulties for surveillance and research projects.  Minimizing this problem requires a greater understanding of the cognitive processes that lead respondents to not answer </w:t>
      </w:r>
      <w:r w:rsidRPr="00022A54">
        <w:t>particular questions</w:t>
      </w:r>
      <w:r w:rsidRPr="00022A54">
        <w:t xml:space="preserve">.  </w:t>
      </w:r>
      <w:r w:rsidR="003C40AE">
        <w:t>CDC</w:t>
      </w:r>
      <w:r w:rsidRPr="00022A54" w:rsidR="003C40AE">
        <w:t xml:space="preserve"> </w:t>
      </w:r>
      <w:r w:rsidRPr="00022A54">
        <w:t xml:space="preserve">may conduct cognitive interviews using a </w:t>
      </w:r>
      <w:r w:rsidRPr="00022A54">
        <w:t>variety of types</w:t>
      </w:r>
      <w:r w:rsidRPr="00022A54">
        <w:t xml:space="preserve"> of survey questions </w:t>
      </w:r>
      <w:r w:rsidRPr="00022A54">
        <w:t>in order to</w:t>
      </w:r>
      <w:r w:rsidRPr="00022A54">
        <w:t xml:space="preserve"> explore these decision processes further.  Survey non-response will be explored through examination of reasons that non-responders provide for their unwillingness or inability to complete surveys.  It is also possible that data will be collected through research questionnaires that explore the effect of various design decisions on item non-response. </w:t>
      </w:r>
    </w:p>
    <w:p w:rsidR="00726F05" w:rsidRPr="00022A54" w:rsidP="00726F05" w14:paraId="08B51EEC" w14:textId="77777777">
      <w:pPr>
        <w:tabs>
          <w:tab w:val="left" w:pos="-1440"/>
        </w:tabs>
        <w:ind w:left="720" w:hanging="720"/>
      </w:pPr>
      <w:r w:rsidRPr="00022A54">
        <w:rPr>
          <w:b/>
          <w:bCs/>
        </w:rPr>
        <w:t>c</w:t>
      </w:r>
      <w:r w:rsidRPr="00022A54">
        <w:rPr>
          <w:b/>
        </w:rPr>
        <w:t>)</w:t>
      </w:r>
      <w:r w:rsidRPr="00022A54">
        <w:rPr>
          <w:b/>
          <w:bCs/>
        </w:rPr>
        <w:tab/>
      </w:r>
      <w:r w:rsidRPr="00022A54">
        <w:rPr>
          <w:bCs/>
          <w:i/>
        </w:rPr>
        <w:t>Respondent perceptions of enrollment procedures</w:t>
      </w:r>
      <w:r w:rsidRPr="00022A54">
        <w:rPr>
          <w:i/>
        </w:rPr>
        <w:t xml:space="preserve"> </w:t>
      </w:r>
    </w:p>
    <w:p w:rsidR="00726F05" w:rsidRPr="00022A54" w:rsidP="00726F05" w14:paraId="2770036D" w14:textId="77777777">
      <w:pPr>
        <w:tabs>
          <w:tab w:val="left" w:pos="-1440"/>
        </w:tabs>
        <w:ind w:left="720" w:hanging="720"/>
      </w:pPr>
      <w:r w:rsidRPr="00022A54">
        <w:rPr>
          <w:b/>
          <w:bCs/>
        </w:rPr>
        <w:tab/>
      </w:r>
      <w:r w:rsidRPr="00022A54">
        <w:t xml:space="preserve">To encourage participation and protect the rights of respondents in projects, </w:t>
      </w:r>
      <w:r w:rsidR="003C40AE">
        <w:t>CDC</w:t>
      </w:r>
      <w:r w:rsidRPr="00022A54">
        <w:t xml:space="preserve"> often </w:t>
      </w:r>
      <w:r w:rsidR="003C40AE">
        <w:t>uses</w:t>
      </w:r>
      <w:r w:rsidRPr="00022A54" w:rsidR="003C40AE">
        <w:t xml:space="preserve"> </w:t>
      </w:r>
      <w:r w:rsidRPr="00022A54">
        <w:t xml:space="preserve">standard consent forms and respondent enrollment procedures.  However, it is not known how well they are generally understood and believed by respondents.  </w:t>
      </w:r>
      <w:r w:rsidR="003C40AE">
        <w:t xml:space="preserve">CDC </w:t>
      </w:r>
      <w:r w:rsidRPr="00022A54">
        <w:t>may conduct interviews to examine comprehension and attitudes regarding respondent enrollment procedures.  The results will be used to propose modifications to procedures used to communicate key issues related to informed consent, and to explain the need and purpose for the data collection in a way intended to increase participation.</w:t>
      </w:r>
    </w:p>
    <w:p w:rsidR="00726F05" w:rsidRPr="00022A54" w:rsidP="00726F05" w14:paraId="0F402F36" w14:textId="77777777">
      <w:r w:rsidRPr="00022A54">
        <w:rPr>
          <w:b/>
          <w:bCs/>
        </w:rPr>
        <w:t>d)</w:t>
      </w:r>
      <w:r w:rsidRPr="00022A54">
        <w:rPr>
          <w:b/>
          <w:bCs/>
        </w:rPr>
        <w:tab/>
      </w:r>
      <w:r w:rsidRPr="00022A54">
        <w:rPr>
          <w:bCs/>
          <w:i/>
        </w:rPr>
        <w:t>General methodological research</w:t>
      </w:r>
      <w:r w:rsidRPr="00022A54">
        <w:t xml:space="preserve"> </w:t>
      </w:r>
    </w:p>
    <w:p w:rsidR="00726F05" w:rsidRPr="00022A54" w:rsidP="00291FB8" w14:paraId="2C5FF074" w14:textId="77777777">
      <w:pPr>
        <w:ind w:firstLine="0"/>
      </w:pPr>
      <w:r>
        <w:t xml:space="preserve">CDC </w:t>
      </w:r>
      <w:r w:rsidRPr="00022A54">
        <w:t xml:space="preserve">regularly evaluates and refines surveillance and research methods, especially in response to advances in current methodologies or changes in the epidemic itself.  </w:t>
      </w:r>
      <w:r w:rsidRPr="00022A54">
        <w:t>In order to</w:t>
      </w:r>
      <w:r w:rsidRPr="00022A54">
        <w:t xml:space="preserve"> meet this need, </w:t>
      </w:r>
      <w:r>
        <w:t>CDC may</w:t>
      </w:r>
      <w:r w:rsidRPr="00022A54">
        <w:t xml:space="preserve"> conduct research on the development of these new methods. The issues examined during these activities may include, but are not limited to: 1) differences between interviewer-administered and self-administered interviewing, 2) differences between in-person interviewing and telephone interviewing, 3) reactions of both survey respondents and survey interviewers to the use of different forms of survey administration, and 4) social, cultural and linguistic factors in the response process.  Procedures for each of these activities will be </w:t>
      </w:r>
      <w:r w:rsidRPr="00022A54">
        <w:t>similar to</w:t>
      </w:r>
      <w:r w:rsidRPr="00022A54">
        <w:t xml:space="preserve"> those applied in the usual testing of survey questions.  For example, current questionnaires may be evaluated using several of the techniques described above. Different versions of a </w:t>
      </w:r>
      <w:r w:rsidRPr="00022A54">
        <w:t xml:space="preserve">survey question could be developed and the variants administered to separate groups of respondents to study the cognitive processes that account for the differences in responses </w:t>
      </w:r>
      <w:r>
        <w:t>from</w:t>
      </w:r>
      <w:r w:rsidRPr="00022A54">
        <w:t xml:space="preserve"> different versions. The results of these studies will be applied to our specific questionnaire development activities to improve the methods that we use to conduct questionnaire testing, and to guide questionnaire design in general. </w:t>
      </w:r>
    </w:p>
    <w:p w:rsidR="00726F05" w:rsidRPr="00022A54" w:rsidP="00BC18BB" w14:paraId="779850B4" w14:textId="77777777">
      <w:pPr>
        <w:tabs>
          <w:tab w:val="left" w:pos="-1440"/>
        </w:tabs>
        <w:ind w:firstLine="0"/>
      </w:pPr>
      <w:r w:rsidRPr="00022A54">
        <w:t>U</w:t>
      </w:r>
      <w:r w:rsidRPr="00022A54" w:rsidR="0059004E">
        <w:t xml:space="preserve">sability testing of </w:t>
      </w:r>
      <w:r w:rsidRPr="00022A54" w:rsidR="007977C4">
        <w:t>technology-based</w:t>
      </w:r>
      <w:r w:rsidRPr="00022A54" w:rsidR="0059004E">
        <w:t xml:space="preserve"> instruments</w:t>
      </w:r>
      <w:r w:rsidRPr="00022A54" w:rsidR="007977C4">
        <w:t xml:space="preserve"> and materials</w:t>
      </w:r>
      <w:r w:rsidR="00BC18BB">
        <w:t xml:space="preserve"> research </w:t>
      </w:r>
      <w:r w:rsidRPr="00022A54">
        <w:t xml:space="preserve">examines how questions, instructions, and supplemental information are presented on computer instruments (e.g., Computer Assisted Personal Interview (CAPI), Computer Assisted Self Interview (CASI), </w:t>
      </w:r>
      <w:r w:rsidR="00A81414">
        <w:t xml:space="preserve">Audio Computer Assisted Self Interview (ACASI), </w:t>
      </w:r>
      <w:r w:rsidRPr="00022A54">
        <w:t xml:space="preserve">or Web-based instruments), and investigates how the presentation affects the ability of users to effectively </w:t>
      </w:r>
      <w:r w:rsidRPr="00022A54" w:rsidR="00097D05">
        <w:t>u</w:t>
      </w:r>
      <w:r w:rsidR="00097D05">
        <w:t>se</w:t>
      </w:r>
      <w:r w:rsidRPr="00022A54" w:rsidR="00097D05">
        <w:t xml:space="preserve"> </w:t>
      </w:r>
      <w:r w:rsidRPr="00022A54">
        <w:t>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rsidR="00726F05" w:rsidRPr="00022A54" w:rsidP="00291FB8" w14:paraId="295CFCEF" w14:textId="75303621">
      <w:pPr>
        <w:ind w:firstLine="0"/>
      </w:pPr>
      <w:r w:rsidRPr="00022A54">
        <w:t xml:space="preserve">Usability testing has many similarities and shares the same main purpose as questionnaire-based cognitive interviewing, since it focuses on the ability of individuals to understand and process information </w:t>
      </w:r>
      <w:r w:rsidRPr="00022A54">
        <w:t>in order to</w:t>
      </w:r>
      <w:r w:rsidRPr="00022A54">
        <w:t xml:space="preserve"> accurately complete survey data collection.  It is also somewhat different, in that the typical user can be a staff interviewer (in the case of CAPI instruments) as well as a survey respondent (in the case of CASI or Web-based instruments).   It also focuses more heavily on matters of formatting and presentation of information than traditional cognitive testing does.</w:t>
      </w:r>
    </w:p>
    <w:p w:rsidR="00726F05" w:rsidRPr="00022A54" w:rsidP="00BC18BB" w14:paraId="6F6013E5" w14:textId="7CE1D4B4">
      <w:pPr>
        <w:tabs>
          <w:tab w:val="left" w:pos="-1440"/>
        </w:tabs>
        <w:ind w:firstLine="0"/>
      </w:pPr>
      <w:r w:rsidRPr="00022A54">
        <w:t xml:space="preserve">Field testing of </w:t>
      </w:r>
      <w:r w:rsidRPr="00022A54" w:rsidR="0090145A">
        <w:t xml:space="preserve">new </w:t>
      </w:r>
      <w:r w:rsidRPr="00022A54">
        <w:t>methodologies and materials</w:t>
      </w:r>
      <w:r w:rsidRPr="00022A54" w:rsidR="0059004E">
        <w:t xml:space="preserve"> </w:t>
      </w:r>
      <w:r w:rsidR="00BC18BB">
        <w:t xml:space="preserve">is used </w:t>
      </w:r>
      <w:r w:rsidRPr="00022A54">
        <w:t xml:space="preserve">to conduct </w:t>
      </w:r>
      <w:r w:rsidRPr="00022A54" w:rsidR="005B56EE">
        <w:t xml:space="preserve">field tests of </w:t>
      </w:r>
      <w:r w:rsidRPr="00022A54" w:rsidR="0090145A">
        <w:t>new</w:t>
      </w:r>
      <w:r w:rsidRPr="00022A54" w:rsidR="005B56EE">
        <w:t xml:space="preserve"> </w:t>
      </w:r>
      <w:r w:rsidRPr="00022A54">
        <w:t>methods</w:t>
      </w:r>
      <w:r w:rsidRPr="00022A54" w:rsidR="005B56EE">
        <w:t>, interventions</w:t>
      </w:r>
      <w:r w:rsidRPr="00022A54">
        <w:t xml:space="preserve"> and data collection instruments</w:t>
      </w:r>
      <w:r w:rsidRPr="00022A54" w:rsidR="005B56EE">
        <w:t>; also referred to as pilot testing</w:t>
      </w:r>
      <w:r w:rsidRPr="00022A54">
        <w:t xml:space="preserve">. </w:t>
      </w:r>
      <w:r w:rsidRPr="00022A54" w:rsidR="005B56EE">
        <w:t xml:space="preserve">Pilot testing in this instance </w:t>
      </w:r>
      <w:r w:rsidRPr="00022A54" w:rsidR="00031D85">
        <w:t xml:space="preserve">is defined as the evaluation of methods </w:t>
      </w:r>
      <w:r w:rsidRPr="00022A54" w:rsidR="00E877A3">
        <w:t>proposed by subject matter experts or published articles</w:t>
      </w:r>
      <w:r w:rsidR="00937702">
        <w:t>,</w:t>
      </w:r>
      <w:r w:rsidRPr="00022A54" w:rsidR="00E877A3">
        <w:t xml:space="preserve"> but new to CDC.  The objective of such pilot studies would be to evaluate the feasibility of the ‘new’ strategies in CDC-funded projects. </w:t>
      </w:r>
      <w:r w:rsidRPr="00022A54">
        <w:t xml:space="preserve">The </w:t>
      </w:r>
      <w:r w:rsidRPr="00022A54" w:rsidR="005B56EE">
        <w:t>pilot</w:t>
      </w:r>
      <w:r w:rsidRPr="00022A54">
        <w:t xml:space="preserve"> may also include two different versions of </w:t>
      </w:r>
      <w:r w:rsidRPr="00022A54">
        <w:t>particular questions</w:t>
      </w:r>
      <w:r w:rsidRPr="00022A54">
        <w:t xml:space="preserve"> </w:t>
      </w:r>
      <w:r w:rsidRPr="00022A54" w:rsidR="005B56EE">
        <w:t xml:space="preserve">or </w:t>
      </w:r>
      <w:r w:rsidRPr="00022A54" w:rsidR="00E877A3">
        <w:t xml:space="preserve">novel </w:t>
      </w:r>
      <w:r w:rsidRPr="00022A54" w:rsidR="005B56EE">
        <w:t xml:space="preserve">intervention components </w:t>
      </w:r>
      <w:r w:rsidRPr="00022A54">
        <w:t xml:space="preserve">of interest, </w:t>
      </w:r>
      <w:r w:rsidRPr="00022A54">
        <w:t>in order to</w:t>
      </w:r>
      <w:r w:rsidRPr="00022A54">
        <w:t xml:space="preserve"> determine which version functions better in the actual field environment. With </w:t>
      </w:r>
      <w:r w:rsidR="008E323D">
        <w:t xml:space="preserve">the </w:t>
      </w:r>
      <w:r w:rsidRPr="00022A54">
        <w:t xml:space="preserve">verbal consent of the respondents, pilot interviews </w:t>
      </w:r>
      <w:r w:rsidRPr="00022A54" w:rsidR="005B56EE">
        <w:t>or interventions</w:t>
      </w:r>
      <w:r w:rsidRPr="00022A54">
        <w:t xml:space="preserve"> may be unobtrusively observed by experienced methodologists who can objectively evaluate the process (e.g. proper survey</w:t>
      </w:r>
      <w:r w:rsidRPr="00022A54" w:rsidR="005B56EE">
        <w:t>/intervention</w:t>
      </w:r>
      <w:r w:rsidRPr="00022A54">
        <w:t xml:space="preserve"> administration and interviewer-respondent interaction).  Information from pilot </w:t>
      </w:r>
      <w:r w:rsidRPr="00022A54" w:rsidR="005B56EE">
        <w:t xml:space="preserve">testing </w:t>
      </w:r>
      <w:r w:rsidRPr="00022A54">
        <w:t xml:space="preserve">can be used to improve the </w:t>
      </w:r>
      <w:r w:rsidRPr="00022A54" w:rsidR="00E877A3">
        <w:t xml:space="preserve">existing </w:t>
      </w:r>
      <w:r w:rsidRPr="00022A54">
        <w:t>instrument</w:t>
      </w:r>
      <w:r w:rsidRPr="00022A54" w:rsidR="00E877A3">
        <w:t>s</w:t>
      </w:r>
      <w:r w:rsidRPr="00022A54">
        <w:t xml:space="preserve">, interviewer training materials, or survey </w:t>
      </w:r>
      <w:r w:rsidRPr="00022A54" w:rsidR="00291FB8">
        <w:t>methodologies that</w:t>
      </w:r>
      <w:r w:rsidRPr="00022A54" w:rsidR="00E877A3">
        <w:t xml:space="preserve"> would reduce the public burden</w:t>
      </w:r>
      <w:r w:rsidR="00BA5D0A">
        <w:t>.</w:t>
      </w:r>
    </w:p>
    <w:p w:rsidR="00287FB1" w:rsidRPr="00022A54" w:rsidP="00664292" w14:paraId="53E82570" w14:textId="77777777">
      <w:pPr>
        <w:tabs>
          <w:tab w:val="left" w:pos="-1440"/>
        </w:tabs>
        <w:ind w:firstLine="0"/>
      </w:pPr>
      <w:r w:rsidRPr="00022A54">
        <w:t>Testing</w:t>
      </w:r>
      <w:r w:rsidRPr="00022A54" w:rsidR="007C1577">
        <w:t xml:space="preserve"> of</w:t>
      </w:r>
      <w:r w:rsidRPr="00022A54">
        <w:t xml:space="preserve"> </w:t>
      </w:r>
      <w:r w:rsidRPr="00022A54">
        <w:t>Communication Mental Model</w:t>
      </w:r>
      <w:r w:rsidRPr="00022A54">
        <w:t>s</w:t>
      </w:r>
      <w:r w:rsidRPr="00022A54">
        <w:t xml:space="preserve"> is </w:t>
      </w:r>
      <w:r w:rsidR="00664292">
        <w:t xml:space="preserve">used </w:t>
      </w:r>
      <w:r w:rsidRPr="00022A54">
        <w:t xml:space="preserve">to </w:t>
      </w:r>
      <w:r w:rsidRPr="00022A54" w:rsidR="00E877A3">
        <w:t xml:space="preserve">develop and </w:t>
      </w:r>
      <w:r w:rsidRPr="00022A54">
        <w:t>test mental modeling methodolog</w:t>
      </w:r>
      <w:r w:rsidRPr="00022A54" w:rsidR="00341C66">
        <w:t xml:space="preserve">ies and protocols for qualitative methods </w:t>
      </w:r>
      <w:r w:rsidRPr="00022A54" w:rsidR="00192F40">
        <w:t xml:space="preserve">that may </w:t>
      </w:r>
      <w:r w:rsidRPr="00022A54" w:rsidR="00341C66">
        <w:t>include</w:t>
      </w:r>
      <w:r w:rsidRPr="00022A54" w:rsidR="00D211CD">
        <w:t>:</w:t>
      </w:r>
      <w:r w:rsidRPr="00022A54" w:rsidR="00341C66">
        <w:t xml:space="preserve"> </w:t>
      </w:r>
      <w:r w:rsidRPr="00022A54" w:rsidR="00AB6721">
        <w:t xml:space="preserve">elicitation guides, </w:t>
      </w:r>
      <w:r w:rsidRPr="00022A54" w:rsidR="00341C66">
        <w:t xml:space="preserve">Q methodology, </w:t>
      </w:r>
      <w:r w:rsidRPr="00022A54" w:rsidR="00235BDB">
        <w:t xml:space="preserve">mental models expressionism (e.g., hexagons, causal diagrams and flow diagrams), </w:t>
      </w:r>
      <w:r w:rsidRPr="00022A54" w:rsidR="00341C66">
        <w:t>card sorts,</w:t>
      </w:r>
      <w:r w:rsidRPr="00022A54" w:rsidR="00557E03">
        <w:t xml:space="preserve"> </w:t>
      </w:r>
      <w:r w:rsidRPr="00022A54" w:rsidR="00965824">
        <w:t xml:space="preserve">feedback, </w:t>
      </w:r>
      <w:r w:rsidRPr="00022A54" w:rsidR="00557E03">
        <w:t>single</w:t>
      </w:r>
      <w:r w:rsidRPr="00022A54" w:rsidR="00965824">
        <w:t>,</w:t>
      </w:r>
      <w:r w:rsidRPr="00022A54" w:rsidR="00557E03">
        <w:t xml:space="preserve"> or </w:t>
      </w:r>
      <w:r w:rsidRPr="00022A54" w:rsidR="00557E03">
        <w:t>double-loop</w:t>
      </w:r>
      <w:r w:rsidRPr="00022A54" w:rsidR="00557E03">
        <w:t xml:space="preserve"> learning</w:t>
      </w:r>
      <w:r w:rsidRPr="00022A54" w:rsidR="00341C66">
        <w:t xml:space="preserve"> </w:t>
      </w:r>
      <w:r w:rsidRPr="00022A54" w:rsidR="00192F40">
        <w:t xml:space="preserve">and </w:t>
      </w:r>
      <w:r w:rsidRPr="00022A54" w:rsidR="00341C66">
        <w:t>health risk or health prevention vignettes.  The information collected will be used to revise, augment or finalize communication</w:t>
      </w:r>
      <w:r w:rsidRPr="00022A54" w:rsidR="00192F40">
        <w:t xml:space="preserve"> campaign platforms and systems</w:t>
      </w:r>
      <w:r w:rsidRPr="00022A54" w:rsidR="00965824">
        <w:t xml:space="preserve"> within the context of the </w:t>
      </w:r>
      <w:r w:rsidRPr="00022A54" w:rsidR="00965824">
        <w:t>audiences’</w:t>
      </w:r>
      <w:r w:rsidRPr="00022A54" w:rsidR="00965824">
        <w:t xml:space="preserve"> sense of reality and how they may decide to act in accordance with how they plan to act. </w:t>
      </w:r>
    </w:p>
    <w:p w:rsidR="00662F81" w:rsidRPr="00022A54" w:rsidP="00662F81" w14:paraId="0BF10D3C" w14:textId="77777777">
      <w:pPr>
        <w:tabs>
          <w:tab w:val="left" w:pos="-1440"/>
        </w:tabs>
      </w:pPr>
      <w:r w:rsidRPr="00022A54">
        <w:rPr>
          <w:b/>
          <w:bCs/>
        </w:rPr>
        <w:t>3.</w:t>
      </w:r>
      <w:r w:rsidRPr="00022A54">
        <w:rPr>
          <w:b/>
          <w:bCs/>
        </w:rPr>
        <w:tab/>
        <w:t>Use of Improved Information Technology and Burden Reduction</w:t>
      </w:r>
    </w:p>
    <w:p w:rsidR="00662F81" w:rsidRPr="00022A54" w:rsidP="00291FB8" w14:paraId="39957E94" w14:textId="7EA9F32D">
      <w:pPr>
        <w:ind w:left="0" w:firstLine="0"/>
      </w:pPr>
      <w:r w:rsidRPr="00022A54">
        <w:t>Testing may be conducted using the most current modes of survey data collection, including CAPI/CASI</w:t>
      </w:r>
      <w:r w:rsidR="00F3076F">
        <w:t>/CATI</w:t>
      </w:r>
      <w:r w:rsidRPr="00022A54">
        <w:t xml:space="preserve">, </w:t>
      </w:r>
      <w:r w:rsidRPr="00022A54" w:rsidR="00923D16">
        <w:t xml:space="preserve">ACASI, </w:t>
      </w:r>
      <w:r w:rsidRPr="00022A54">
        <w:t xml:space="preserve">web-based surveys, or other modes applied to specific national surveys.  Though these technologies will be used by many of the individual projects in this data collection, the nature of many of these proposed activities typically requires direct interaction between </w:t>
      </w:r>
      <w:r w:rsidRPr="00022A54" w:rsidR="00B8394D">
        <w:t>respondent</w:t>
      </w:r>
      <w:r w:rsidRPr="00022A54">
        <w:t>s and project staff, especially in the case of qualitative interviewing and cognitive testing.</w:t>
      </w:r>
      <w:r w:rsidR="00286A5A">
        <w:t xml:space="preserve"> </w:t>
      </w:r>
      <w:r w:rsidR="00F3076F">
        <w:t xml:space="preserve">In some </w:t>
      </w:r>
      <w:r w:rsidR="008E323D">
        <w:t>instances,</w:t>
      </w:r>
      <w:r w:rsidR="00F3076F">
        <w:t xml:space="preserve"> cognitive interviews may be recorded to assist in the review and interpretation of findings.  </w:t>
      </w:r>
      <w:r w:rsidRPr="00E7599D" w:rsidR="00E7599D">
        <w:t xml:space="preserve">In situations where an electronic survey can be used, projects will reduce burden because this approach ensures data </w:t>
      </w:r>
      <w:r w:rsidRPr="00E7599D" w:rsidR="00E7599D">
        <w:t>quality</w:t>
      </w:r>
      <w:r w:rsidR="00937702">
        <w:t>,</w:t>
      </w:r>
      <w:r w:rsidRPr="00E7599D" w:rsidR="00E7599D">
        <w:t xml:space="preserve"> but</w:t>
      </w:r>
      <w:r w:rsidRPr="00E7599D" w:rsidR="00E7599D">
        <w:t xml:space="preserve"> decreases respondent burden with built-in skip logic.</w:t>
      </w:r>
      <w:r w:rsidR="00E7599D">
        <w:t xml:space="preserve"> </w:t>
      </w:r>
      <w:r w:rsidR="00286A5A">
        <w:t>The</w:t>
      </w:r>
      <w:r w:rsidRPr="00286A5A" w:rsidR="00286A5A">
        <w:t xml:space="preserve"> extent (% of responses), the collection of information involves the use of automated, electronic, mechanical, or other technological collection techniques or other forms of information technology (e.g., permitting electronic submission of responses) and the reason for adopting this means of collection</w:t>
      </w:r>
      <w:r w:rsidR="00286A5A">
        <w:t xml:space="preserve"> will be thoroughly discussed as projects are submitted. </w:t>
      </w:r>
    </w:p>
    <w:p w:rsidR="00662F81" w:rsidRPr="00022A54" w:rsidP="00B95A61" w14:paraId="3725CE0E" w14:textId="77777777">
      <w:pPr>
        <w:tabs>
          <w:tab w:val="left" w:pos="-1440"/>
        </w:tabs>
      </w:pPr>
      <w:r w:rsidRPr="00022A54">
        <w:rPr>
          <w:b/>
          <w:bCs/>
        </w:rPr>
        <w:t>4.</w:t>
      </w:r>
      <w:r w:rsidRPr="00022A54">
        <w:rPr>
          <w:b/>
          <w:bCs/>
        </w:rPr>
        <w:tab/>
        <w:t>Efforts to Identify Duplication and Use of Similar Information</w:t>
      </w:r>
    </w:p>
    <w:p w:rsidR="00B27EF4" w:rsidRPr="00022A54" w:rsidP="00291FB8" w14:paraId="405EC434" w14:textId="42A1D83F">
      <w:pPr>
        <w:ind w:left="0" w:firstLine="0"/>
      </w:pPr>
      <w:r w:rsidRPr="00022A54">
        <w:t xml:space="preserve">CDC has </w:t>
      </w:r>
      <w:r w:rsidR="00CE00C5">
        <w:t>t</w:t>
      </w:r>
      <w:r w:rsidR="00097D05">
        <w:t>hree</w:t>
      </w:r>
      <w:r w:rsidRPr="00022A54">
        <w:t xml:space="preserve"> </w:t>
      </w:r>
      <w:r w:rsidR="00937702">
        <w:t xml:space="preserve">approved </w:t>
      </w:r>
      <w:r w:rsidRPr="00022A54">
        <w:t xml:space="preserve">generic collections </w:t>
      </w:r>
      <w:r w:rsidRPr="00022A54" w:rsidR="00A3660B">
        <w:t>related to th</w:t>
      </w:r>
      <w:r w:rsidR="008E323D">
        <w:t xml:space="preserve">is </w:t>
      </w:r>
      <w:r w:rsidRPr="00022A54" w:rsidR="00A3660B">
        <w:t>proposed collection</w:t>
      </w:r>
      <w:r w:rsidRPr="00022A54">
        <w:t xml:space="preserve">. </w:t>
      </w:r>
      <w:r w:rsidRPr="00022A54" w:rsidR="00A3660B">
        <w:t xml:space="preserve">The </w:t>
      </w:r>
      <w:r w:rsidRPr="00022A54" w:rsidR="00DF2560">
        <w:t>NCHS Laboratory-based Questionnaire Research</w:t>
      </w:r>
      <w:r w:rsidR="00BA5D0A">
        <w:t xml:space="preserve"> (0</w:t>
      </w:r>
      <w:r w:rsidRPr="00022A54" w:rsidR="00DF2560">
        <w:t>920-0222</w:t>
      </w:r>
      <w:r w:rsidR="00BA5D0A">
        <w:t>)</w:t>
      </w:r>
      <w:r w:rsidR="009F38D8">
        <w:t xml:space="preserve"> </w:t>
      </w:r>
      <w:r w:rsidRPr="00022A54" w:rsidR="00DC0585">
        <w:t>provides</w:t>
      </w:r>
      <w:r w:rsidRPr="00022A54" w:rsidR="00A81D78">
        <w:t xml:space="preserve"> survey questionnaire development and testing based on cognitive interviewing methodology to be used in CDC, other federal agencies, or other academic or professional institutions. </w:t>
      </w:r>
      <w:r w:rsidRPr="00022A54">
        <w:t xml:space="preserve">The CDC </w:t>
      </w:r>
      <w:r w:rsidR="00BA5D0A">
        <w:t>/</w:t>
      </w:r>
      <w:r w:rsidRPr="00022A54">
        <w:t>ATSDR Health Message Testing System (0920-0572</w:t>
      </w:r>
      <w:r w:rsidRPr="00022A54">
        <w:t xml:space="preserve">) is designed to </w:t>
      </w:r>
      <w:r w:rsidRPr="00022A54" w:rsidR="007F3E6D">
        <w:t>refine message concepts and to test draft materials for clarity, salience, appeal, and persuasiveness with external audiences</w:t>
      </w:r>
      <w:r w:rsidRPr="00022A54">
        <w:t xml:space="preserve">. </w:t>
      </w:r>
      <w:r w:rsidR="00097D05">
        <w:t>NCHSTP’s Formativ</w:t>
      </w:r>
      <w:r w:rsidR="00BA5D0A">
        <w:t>e Research and Tool Development (</w:t>
      </w:r>
      <w:r w:rsidR="00097D05">
        <w:t>0920-0840</w:t>
      </w:r>
      <w:r w:rsidR="008E323D">
        <w:t>)</w:t>
      </w:r>
      <w:r w:rsidR="00A9447A">
        <w:t xml:space="preserve"> </w:t>
      </w:r>
      <w:r w:rsidR="00097D05">
        <w:t xml:space="preserve">is the clearance on which this generic ICR is based. It has been a successful mechanism for the Center to </w:t>
      </w:r>
      <w:r w:rsidR="00C31405">
        <w:t xml:space="preserve">conduct formative research to inform the development of campaigns for AIDS prevention activities.  </w:t>
      </w:r>
      <w:r w:rsidR="0096214D">
        <w:t>Ot</w:t>
      </w:r>
      <w:r w:rsidR="00C31405">
        <w:t>her Centers at CDC</w:t>
      </w:r>
      <w:r w:rsidR="0096214D">
        <w:t>/</w:t>
      </w:r>
      <w:r w:rsidR="00937702">
        <w:t>ATSDR</w:t>
      </w:r>
      <w:r w:rsidR="00C31405">
        <w:t xml:space="preserve"> would like to have a similar mechanism to facilitate and expedite their research. </w:t>
      </w:r>
    </w:p>
    <w:p w:rsidR="00662F81" w:rsidRPr="0090285F" w:rsidP="00B95A61" w14:paraId="0E99E5EC" w14:textId="77777777">
      <w:pPr>
        <w:tabs>
          <w:tab w:val="left" w:pos="-1440"/>
        </w:tabs>
      </w:pPr>
      <w:r w:rsidRPr="00022A54">
        <w:rPr>
          <w:b/>
          <w:bCs/>
        </w:rPr>
        <w:t>5.</w:t>
      </w:r>
      <w:r w:rsidRPr="00022A54">
        <w:rPr>
          <w:b/>
          <w:bCs/>
        </w:rPr>
        <w:tab/>
      </w:r>
      <w:r w:rsidRPr="0090285F">
        <w:rPr>
          <w:b/>
          <w:bCs/>
        </w:rPr>
        <w:t xml:space="preserve">Impact on Small Businesses </w:t>
      </w:r>
      <w:r w:rsidRPr="0090285F" w:rsidR="006C442F">
        <w:rPr>
          <w:b/>
          <w:bCs/>
        </w:rPr>
        <w:t xml:space="preserve">or </w:t>
      </w:r>
      <w:r w:rsidRPr="0090285F">
        <w:rPr>
          <w:b/>
          <w:bCs/>
        </w:rPr>
        <w:t>Other Small Entities</w:t>
      </w:r>
    </w:p>
    <w:p w:rsidR="000616B4" w:rsidRPr="000616B4" w:rsidP="000616B4" w14:paraId="411638D8" w14:textId="77777777">
      <w:pPr>
        <w:ind w:left="0" w:firstLine="0"/>
      </w:pPr>
      <w:r w:rsidRPr="00022A54">
        <w:t xml:space="preserve">Some surveillance or research activities involve data collection from small </w:t>
      </w:r>
      <w:r w:rsidRPr="00022A54">
        <w:t>business</w:t>
      </w:r>
      <w:r w:rsidRPr="00022A54">
        <w:t xml:space="preserve"> (e.g. medical offices) or small governmental entities; therefore, methods and instrument development activities may also be conducted with these groups. If such activities are conducted, these businesses will be approached in the same manner as the individuals we normally </w:t>
      </w:r>
      <w:r w:rsidRPr="00022A54">
        <w:t>recruit</w:t>
      </w:r>
      <w:r w:rsidRPr="00022A54" w:rsidR="00B8394D">
        <w:t>:</w:t>
      </w:r>
      <w:r w:rsidRPr="00022A54">
        <w:t xml:space="preserve"> we will ask the organization to identify the appropriate staff members with whom to conduct the activities.</w:t>
      </w:r>
      <w:r w:rsidR="002E274D">
        <w:t xml:space="preserve"> In some studies, n</w:t>
      </w:r>
      <w:r w:rsidRPr="002E274D" w:rsidR="002E274D">
        <w:t xml:space="preserve">o small businesses will be involved in </w:t>
      </w:r>
      <w:r w:rsidRPr="002E274D" w:rsidR="002E274D">
        <w:t>th</w:t>
      </w:r>
      <w:r w:rsidR="002E274D">
        <w:t>e</w:t>
      </w:r>
      <w:r w:rsidRPr="002E274D" w:rsidR="002E274D">
        <w:t xml:space="preserve"> data</w:t>
      </w:r>
      <w:r w:rsidRPr="002E274D" w:rsidR="002E274D">
        <w:t xml:space="preserve"> collection</w:t>
      </w:r>
      <w:r w:rsidR="002E274D">
        <w:t xml:space="preserve"> activities</w:t>
      </w:r>
      <w:r w:rsidRPr="002E274D" w:rsidR="002E274D">
        <w:t>.</w:t>
      </w:r>
      <w:r>
        <w:t xml:space="preserve"> The </w:t>
      </w:r>
      <w:r w:rsidRPr="000616B4">
        <w:t>methods used to minimize burden</w:t>
      </w:r>
      <w:r>
        <w:t xml:space="preserve"> </w:t>
      </w:r>
      <w:r w:rsidR="000B3000">
        <w:t>on s</w:t>
      </w:r>
      <w:r w:rsidRPr="000B3000" w:rsidR="000B3000">
        <w:t xml:space="preserve">mall </w:t>
      </w:r>
      <w:r w:rsidR="000B3000">
        <w:t>b</w:t>
      </w:r>
      <w:r w:rsidRPr="000B3000" w:rsidR="000B3000">
        <w:t xml:space="preserve">usinesses or </w:t>
      </w:r>
      <w:r w:rsidR="000B3000">
        <w:t>o</w:t>
      </w:r>
      <w:r w:rsidRPr="000B3000" w:rsidR="000B3000">
        <w:t xml:space="preserve">ther </w:t>
      </w:r>
      <w:r w:rsidR="000B3000">
        <w:t>s</w:t>
      </w:r>
      <w:r w:rsidRPr="000B3000" w:rsidR="000B3000">
        <w:t xml:space="preserve">mall </w:t>
      </w:r>
      <w:r w:rsidR="000B3000">
        <w:t>e</w:t>
      </w:r>
      <w:r w:rsidRPr="000B3000" w:rsidR="000B3000">
        <w:t xml:space="preserve">ntities </w:t>
      </w:r>
      <w:r>
        <w:t>will be explained in each study submitted under this generic</w:t>
      </w:r>
      <w:r w:rsidRPr="000616B4">
        <w:t>.</w:t>
      </w:r>
    </w:p>
    <w:p w:rsidR="003A6373" w:rsidRPr="00022A54" w:rsidP="00291FB8" w14:paraId="0C8F9375" w14:textId="77777777">
      <w:pPr>
        <w:ind w:left="0" w:firstLine="0"/>
      </w:pPr>
    </w:p>
    <w:p w:rsidR="00662F81" w:rsidRPr="00022A54" w:rsidP="00B95A61" w14:paraId="7B18B2F0" w14:textId="77777777">
      <w:pPr>
        <w:tabs>
          <w:tab w:val="left" w:pos="-1440"/>
        </w:tabs>
      </w:pPr>
      <w:r w:rsidRPr="00022A54">
        <w:rPr>
          <w:b/>
          <w:bCs/>
        </w:rPr>
        <w:t>6.</w:t>
      </w:r>
      <w:r w:rsidRPr="00022A54">
        <w:rPr>
          <w:b/>
          <w:bCs/>
        </w:rPr>
        <w:tab/>
      </w:r>
      <w:r w:rsidRPr="0016614F">
        <w:rPr>
          <w:b/>
          <w:bCs/>
        </w:rPr>
        <w:t>Consequences of Collecting the Information Less Frequently</w:t>
      </w:r>
    </w:p>
    <w:p w:rsidR="00662F81" w:rsidRPr="00022A54" w:rsidP="005A3B06" w14:paraId="7D958D4E" w14:textId="77777777">
      <w:pPr>
        <w:ind w:left="0" w:firstLine="0"/>
      </w:pPr>
      <w:r>
        <w:t>Because this generic clearance covers a wide range of studies, e</w:t>
      </w:r>
      <w:r w:rsidRPr="002850AC">
        <w:t>ach individual project submitted under this Generic Clearance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w:t>
      </w:r>
      <w:r w:rsidR="005A3B06">
        <w:t xml:space="preserve">. </w:t>
      </w:r>
      <w:r w:rsidRPr="00022A54">
        <w:t>There are no legal obstacles to reducing the burden.</w:t>
      </w:r>
    </w:p>
    <w:p w:rsidR="00384295" w:rsidP="00B95A61" w14:paraId="6D5AEDBB" w14:textId="77777777">
      <w:pPr>
        <w:tabs>
          <w:tab w:val="left" w:pos="-1440"/>
        </w:tabs>
        <w:rPr>
          <w:b/>
          <w:bCs/>
        </w:rPr>
      </w:pPr>
    </w:p>
    <w:p w:rsidR="00662F81" w:rsidRPr="00022A54" w:rsidP="00B95A61" w14:paraId="545F1DA3" w14:textId="77777777">
      <w:pPr>
        <w:tabs>
          <w:tab w:val="left" w:pos="-1440"/>
        </w:tabs>
      </w:pPr>
      <w:r w:rsidRPr="00022A54">
        <w:rPr>
          <w:b/>
          <w:bCs/>
        </w:rPr>
        <w:t>7.</w:t>
      </w:r>
      <w:r w:rsidRPr="00022A54">
        <w:rPr>
          <w:b/>
          <w:bCs/>
        </w:rPr>
        <w:tab/>
      </w:r>
      <w:r w:rsidRPr="00DD4C2D">
        <w:rPr>
          <w:b/>
          <w:bCs/>
        </w:rPr>
        <w:t xml:space="preserve">Special Circumstances Relating to </w:t>
      </w:r>
      <w:r w:rsidRPr="00DD4C2D" w:rsidR="006C442F">
        <w:rPr>
          <w:b/>
          <w:bCs/>
        </w:rPr>
        <w:t xml:space="preserve">the </w:t>
      </w:r>
      <w:r w:rsidRPr="00DD4C2D">
        <w:rPr>
          <w:b/>
          <w:bCs/>
        </w:rPr>
        <w:t>Guidelines of 5 CFR 1320.5</w:t>
      </w:r>
    </w:p>
    <w:p w:rsidR="00662F81" w:rsidRPr="00022A54" w:rsidP="00662F81" w14:paraId="6000D60C" w14:textId="77777777">
      <w:r w:rsidRPr="00022A54">
        <w:t xml:space="preserve">This request fully complies with </w:t>
      </w:r>
      <w:r w:rsidRPr="00022A54">
        <w:t>the regulation</w:t>
      </w:r>
      <w:r w:rsidRPr="00022A54">
        <w:t xml:space="preserve"> 5 CFR 1320.5.</w:t>
      </w:r>
    </w:p>
    <w:p w:rsidR="00384295" w:rsidP="00AC132E" w14:paraId="1B20706A" w14:textId="77777777">
      <w:pPr>
        <w:tabs>
          <w:tab w:val="left" w:pos="-1440"/>
        </w:tabs>
        <w:rPr>
          <w:b/>
          <w:bCs/>
        </w:rPr>
      </w:pPr>
    </w:p>
    <w:p w:rsidR="00662F81" w:rsidRPr="00022A54" w:rsidP="00AC132E" w14:paraId="4685551E" w14:textId="77777777">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rsidR="006D23F1" w:rsidP="00291FB8" w14:paraId="31D5E948" w14:textId="492A2F31">
      <w:pPr>
        <w:tabs>
          <w:tab w:val="left" w:pos="-1440"/>
        </w:tabs>
        <w:ind w:left="0" w:firstLine="0"/>
      </w:pPr>
      <w:r w:rsidRPr="00022A54">
        <w:t>The</w:t>
      </w:r>
      <w:r w:rsidRPr="00022A54" w:rsidR="00400FED">
        <w:t xml:space="preserve"> Federal Register notice w</w:t>
      </w:r>
      <w:r w:rsidRPr="00022A54">
        <w:t xml:space="preserve">as </w:t>
      </w:r>
      <w:r w:rsidRPr="00022A54" w:rsidR="00400FED">
        <w:t>published for this collection on</w:t>
      </w:r>
      <w:r w:rsidR="000D6277">
        <w:t xml:space="preserve"> </w:t>
      </w:r>
      <w:r w:rsidR="008E323D">
        <w:t xml:space="preserve">July </w:t>
      </w:r>
      <w:r w:rsidR="00064F87">
        <w:t>14</w:t>
      </w:r>
      <w:r w:rsidR="006A0C13">
        <w:t>, 20</w:t>
      </w:r>
      <w:r w:rsidR="008E323D">
        <w:t>2</w:t>
      </w:r>
      <w:r w:rsidR="00064F87">
        <w:t>5</w:t>
      </w:r>
      <w:r w:rsidR="00A26E81">
        <w:t xml:space="preserve">, </w:t>
      </w:r>
      <w:r w:rsidRPr="00A26E81" w:rsidR="00A26E81">
        <w:t>Vol.</w:t>
      </w:r>
      <w:r w:rsidR="000D6277">
        <w:t xml:space="preserve"> </w:t>
      </w:r>
      <w:r w:rsidR="00064F87">
        <w:t>90</w:t>
      </w:r>
      <w:r w:rsidRPr="00A26E81" w:rsidR="00A26E81">
        <w:t>, No.</w:t>
      </w:r>
      <w:r w:rsidR="004E5183">
        <w:t>132</w:t>
      </w:r>
      <w:r w:rsidR="000D6277">
        <w:t>,</w:t>
      </w:r>
      <w:r w:rsidRPr="00022A54" w:rsidR="00400FED">
        <w:t xml:space="preserve"> pp.</w:t>
      </w:r>
      <w:r w:rsidRPr="00022A54" w:rsidR="007B3B8F">
        <w:t xml:space="preserve"> </w:t>
      </w:r>
      <w:r w:rsidR="004E5183">
        <w:t>31206</w:t>
      </w:r>
      <w:r w:rsidR="000D6277">
        <w:t>.</w:t>
      </w:r>
      <w:r w:rsidRPr="00022A54" w:rsidR="00400FED">
        <w:t xml:space="preserve"> </w:t>
      </w:r>
      <w:r w:rsidRPr="00022A54">
        <w:t>(</w:t>
      </w:r>
      <w:r w:rsidRPr="00022A54" w:rsidR="00435717">
        <w:t>See</w:t>
      </w:r>
      <w:r w:rsidRPr="00022A54">
        <w:t xml:space="preserve"> </w:t>
      </w:r>
      <w:r w:rsidRPr="00022A54" w:rsidR="00400FED">
        <w:rPr>
          <w:b/>
        </w:rPr>
        <w:t>Attachment</w:t>
      </w:r>
      <w:r w:rsidR="009C2C7A">
        <w:rPr>
          <w:b/>
        </w:rPr>
        <w:t xml:space="preserve"> 2</w:t>
      </w:r>
      <w:r w:rsidRPr="00022A54" w:rsidR="00400FED">
        <w:t>)</w:t>
      </w:r>
      <w:r w:rsidR="004E5183">
        <w:t>.</w:t>
      </w:r>
      <w:r w:rsidRPr="00022A54" w:rsidR="00400FED">
        <w:t xml:space="preserve"> </w:t>
      </w:r>
      <w:r>
        <w:t xml:space="preserve">One </w:t>
      </w:r>
      <w:r w:rsidR="002F159A">
        <w:t xml:space="preserve">anonymous </w:t>
      </w:r>
      <w:r w:rsidRPr="00022A54">
        <w:t>public</w:t>
      </w:r>
      <w:r w:rsidR="0044048D">
        <w:t xml:space="preserve"> comment w</w:t>
      </w:r>
      <w:r>
        <w:t>as</w:t>
      </w:r>
      <w:r w:rsidR="0044048D">
        <w:t xml:space="preserve"> received</w:t>
      </w:r>
      <w:r w:rsidRPr="00022A54">
        <w:t xml:space="preserve">. </w:t>
      </w:r>
    </w:p>
    <w:p w:rsidR="00662F81" w:rsidP="00291FB8" w14:paraId="041F4C19" w14:textId="36FED3C6">
      <w:pPr>
        <w:tabs>
          <w:tab w:val="left" w:pos="-1440"/>
        </w:tabs>
        <w:ind w:left="0" w:firstLine="0"/>
      </w:pPr>
      <w:r>
        <w:t xml:space="preserve">This Generic data collection was developed by CDC </w:t>
      </w:r>
      <w:r>
        <w:t>as a way to</w:t>
      </w:r>
      <w:r>
        <w:t xml:space="preserve"> collect </w:t>
      </w:r>
      <w:r w:rsidRPr="006D23F1">
        <w:t xml:space="preserve">formative research </w:t>
      </w:r>
      <w:r>
        <w:t xml:space="preserve">data from its stakeholders to assist with </w:t>
      </w:r>
      <w:r w:rsidRPr="006D23F1">
        <w:t>develop</w:t>
      </w:r>
      <w:r>
        <w:t>ment</w:t>
      </w:r>
      <w:r w:rsidRPr="006D23F1">
        <w:t xml:space="preserve"> </w:t>
      </w:r>
      <w:r>
        <w:t xml:space="preserve">of </w:t>
      </w:r>
      <w:r w:rsidRPr="006D23F1">
        <w:t xml:space="preserve">new tools and methodologies </w:t>
      </w:r>
      <w:r>
        <w:t xml:space="preserve">that </w:t>
      </w:r>
      <w:r w:rsidRPr="006D23F1">
        <w:t>support CDC/ATSDR’s research, surveillance, and program evaluation activities</w:t>
      </w:r>
      <w:r>
        <w:t>. As such, there were no consultations outside of CDC.</w:t>
      </w:r>
    </w:p>
    <w:p w:rsidR="00937702" w:rsidP="004B3F6F" w14:paraId="341B9A7B" w14:textId="77777777">
      <w:pPr>
        <w:tabs>
          <w:tab w:val="left" w:pos="0"/>
        </w:tabs>
        <w:rPr>
          <w:b/>
          <w:bCs/>
        </w:rPr>
      </w:pPr>
    </w:p>
    <w:p w:rsidR="00662F81" w:rsidRPr="00022A54" w:rsidP="004B3F6F" w14:paraId="22021CEE" w14:textId="77777777">
      <w:pPr>
        <w:tabs>
          <w:tab w:val="left" w:pos="0"/>
        </w:tabs>
      </w:pPr>
      <w:r w:rsidRPr="00022A54">
        <w:rPr>
          <w:b/>
          <w:bCs/>
        </w:rPr>
        <w:t>9.</w:t>
      </w:r>
      <w:r w:rsidRPr="00022A54">
        <w:rPr>
          <w:b/>
          <w:bCs/>
        </w:rPr>
        <w:tab/>
      </w:r>
      <w:r w:rsidRPr="004B3F6F">
        <w:rPr>
          <w:b/>
          <w:bCs/>
        </w:rPr>
        <w:t>Explanation of Any</w:t>
      </w:r>
      <w:r w:rsidRPr="004B3F6F">
        <w:rPr>
          <w:b/>
          <w:bCs/>
        </w:rPr>
        <w:t xml:space="preserve"> Payment or Gift to Respondents</w:t>
      </w:r>
    </w:p>
    <w:p w:rsidR="00CD3BF7" w:rsidRPr="00022A54" w:rsidP="00291FB8" w14:paraId="461C8B6F" w14:textId="77777777">
      <w:pPr>
        <w:tabs>
          <w:tab w:val="left" w:pos="0"/>
        </w:tabs>
        <w:ind w:left="0" w:firstLine="0"/>
      </w:pPr>
      <w:r w:rsidRPr="00022A54">
        <w:t xml:space="preserve">A review of survey methodologists and practitioners in October, 1992, The “Symposium on Providing Incentives to Survey Respondents,” sponsored jointly by OMB and the Council of Professional Associations on Federal Statistics (COPAFS), considered a number of incentive-related issues, including the impacts on response rates, biases, and incentive types,  recommended OMB “seriously consider the use of incentives” for surveys that target difficult-to-engage respondent populations, surveys that are long or time consuming, surveys with items that are potentially sensitive or require detailed record keeping, surveys for which relatives serve as gatekeepers to respondent access, and surveys that are part of longitudinal panels.”  </w:t>
      </w:r>
    </w:p>
    <w:p w:rsidR="00AA25E3" w:rsidRPr="00022A54" w:rsidP="00291FB8" w14:paraId="501E0B46" w14:textId="77777777">
      <w:pPr>
        <w:tabs>
          <w:tab w:val="left" w:pos="0"/>
        </w:tabs>
        <w:ind w:left="0" w:firstLine="0"/>
      </w:pPr>
      <w:r w:rsidRPr="00022A54">
        <w:t xml:space="preserve">In many cases incentives will not be necessary, but when they are, incentives will not exceed $40 per hour for such intensive interviews </w:t>
      </w:r>
      <w:r w:rsidRPr="00022A54">
        <w:t>like</w:t>
      </w:r>
      <w:r w:rsidRPr="00022A54">
        <w:t xml:space="preserve"> focus groups and cognitive interviews unless compelling evidence is </w:t>
      </w:r>
      <w:r w:rsidRPr="00022A54">
        <w:t>provided that</w:t>
      </w:r>
      <w:r w:rsidRPr="00022A54">
        <w:t xml:space="preserve"> recruitment is very difficult for a particular subgroup.</w:t>
      </w:r>
    </w:p>
    <w:p w:rsidR="00CD3BF7" w:rsidRPr="00022A54" w:rsidP="00CD3BF7" w14:paraId="2BA35020" w14:textId="77777777">
      <w:pPr>
        <w:tabs>
          <w:tab w:val="left" w:pos="0"/>
        </w:tabs>
      </w:pPr>
      <w:r w:rsidRPr="00022A54">
        <w:t>Tokens of appreciation may be offered in cash or kind for these activities for several reasons:</w:t>
      </w:r>
    </w:p>
    <w:p w:rsidR="00CD3BF7" w:rsidRPr="00022A54" w:rsidP="00CD3BF7" w14:paraId="3345B158" w14:textId="77777777">
      <w:pPr>
        <w:pStyle w:val="a"/>
        <w:tabs>
          <w:tab w:val="left" w:pos="0"/>
        </w:tabs>
      </w:pPr>
      <w:r w:rsidRPr="00022A54">
        <w:rPr>
          <w:rFonts w:ascii="Symbol" w:hAnsi="Symbol"/>
        </w:rPr>
        <w:sym w:font="Symbol" w:char="F0B7"/>
      </w:r>
      <w:r w:rsidRPr="00022A54">
        <w:tab/>
        <w:t>Eligibility criteria for respondents are usually very specific.  Some of these criteria are determined by the subject matter of the survey or intervention study (e.g., questions or interventions may be relevant only to people with certain health conditions).  The more specific the subject matter</w:t>
      </w:r>
      <w:r w:rsidRPr="00022A54">
        <w:t>, the</w:t>
      </w:r>
      <w:r w:rsidRPr="00022A54">
        <w:t xml:space="preserve"> more difficult it is to recruit eligible respondents; </w:t>
      </w:r>
      <w:r w:rsidRPr="00022A54" w:rsidR="00C651E0">
        <w:t>tokens of appreciation may</w:t>
      </w:r>
      <w:r w:rsidRPr="00022A54">
        <w:t xml:space="preserve"> help to attract them.</w:t>
      </w:r>
    </w:p>
    <w:p w:rsidR="00CD3BF7" w:rsidRPr="00022A54" w:rsidP="00CD3BF7" w14:paraId="13B14F05" w14:textId="77777777">
      <w:pPr>
        <w:pStyle w:val="a"/>
        <w:tabs>
          <w:tab w:val="left" w:pos="0"/>
        </w:tabs>
      </w:pPr>
      <w:r w:rsidRPr="00022A54">
        <w:rPr>
          <w:rFonts w:ascii="Symbol" w:hAnsi="Symbol"/>
        </w:rPr>
        <w:sym w:font="Symbol" w:char="F0B7"/>
      </w:r>
      <w:r w:rsidRPr="00022A54">
        <w:tab/>
        <w:t xml:space="preserve">Qualitative and cognitive interviews require an unusual level of mental effort, as respondents are asked to explain their mental processes as they hear the question, discuss its meaning and point out any ambiguities, and evaluate the acceptability of response options that are provided. </w:t>
      </w:r>
    </w:p>
    <w:p w:rsidR="00CD3BF7" w:rsidRPr="00022A54" w:rsidP="00CD3BF7" w14:paraId="14312253" w14:textId="77777777">
      <w:pPr>
        <w:pStyle w:val="a"/>
        <w:tabs>
          <w:tab w:val="left" w:pos="0"/>
        </w:tabs>
      </w:pPr>
      <w:r w:rsidRPr="00022A54">
        <w:rPr>
          <w:rFonts w:ascii="Symbol" w:hAnsi="Symbol"/>
        </w:rPr>
        <w:sym w:font="Symbol" w:char="F0B7"/>
      </w:r>
      <w:r w:rsidRPr="00022A54">
        <w:tab/>
        <w:t xml:space="preserve">Respondents are usually asked to travel to an interview site, which involves transportation and parking expenses.  Many respondents may also incur additional expenses such as leaving their jobs during business hours or </w:t>
      </w:r>
      <w:r w:rsidRPr="00022A54">
        <w:t>making arrangements</w:t>
      </w:r>
      <w:r w:rsidRPr="00022A54">
        <w:t xml:space="preserve"> for </w:t>
      </w:r>
      <w:r w:rsidRPr="00022A54">
        <w:t>child care</w:t>
      </w:r>
      <w:r w:rsidRPr="00022A54">
        <w:t xml:space="preserve">.  This may be especially true of some key respondents who may be economically disadvantaged but would provide valuable information </w:t>
      </w:r>
      <w:r w:rsidRPr="00022A54">
        <w:t>in</w:t>
      </w:r>
      <w:r w:rsidRPr="00022A54">
        <w:t xml:space="preserve"> the development of these projects. </w:t>
      </w:r>
    </w:p>
    <w:p w:rsidR="00CD3BF7" w:rsidRPr="00022A54" w:rsidP="00CD3BF7" w14:paraId="3BFE83C6" w14:textId="77777777">
      <w:pPr>
        <w:pStyle w:val="a"/>
        <w:tabs>
          <w:tab w:val="left" w:pos="0"/>
        </w:tabs>
      </w:pPr>
      <w:r w:rsidRPr="00022A54">
        <w:rPr>
          <w:rFonts w:ascii="Symbol" w:hAnsi="Symbol"/>
        </w:rPr>
        <w:sym w:font="Symbol" w:char="F0B7"/>
      </w:r>
      <w:r w:rsidRPr="00022A54">
        <w:tab/>
        <w:t>Some major metropolitan areas may be highly saturated with other research activities (e.g., academic research initiatives), which typically provide remuneration and may compete for respondents’ time.</w:t>
      </w:r>
    </w:p>
    <w:p w:rsidR="00662F81" w:rsidRPr="00022A54" w:rsidP="00662F81" w14:paraId="2E12108F" w14:textId="77777777">
      <w:pPr>
        <w:tabs>
          <w:tab w:val="left" w:pos="0"/>
        </w:tabs>
        <w:ind w:left="720" w:hanging="720"/>
      </w:pPr>
      <w:r w:rsidRPr="00022A54">
        <w:rPr>
          <w:b/>
          <w:bCs/>
        </w:rPr>
        <w:t>10.</w:t>
      </w:r>
      <w:r w:rsidRPr="00022A54" w:rsidR="00B07B39">
        <w:rPr>
          <w:b/>
          <w:bCs/>
        </w:rPr>
        <w:t xml:space="preserve"> </w:t>
      </w:r>
      <w:r w:rsidRPr="003F4D22" w:rsidR="00880CE4">
        <w:rPr>
          <w:b/>
          <w:bCs/>
        </w:rPr>
        <w:t>Protection of the Privacy and Confidentiality of Information Provided by Respondents.</w:t>
      </w:r>
    </w:p>
    <w:p w:rsidR="00253472" w:rsidP="008D766F" w14:paraId="0611F852" w14:textId="77777777">
      <w:pPr>
        <w:spacing w:after="0"/>
        <w:ind w:left="0" w:firstLine="0"/>
        <w:rPr>
          <w:color w:val="000000"/>
        </w:rPr>
      </w:pPr>
      <w:r>
        <w:rPr>
          <w:color w:val="000000"/>
        </w:rPr>
        <w:t xml:space="preserve">Depending on the specifics of the individual data collection project, </w:t>
      </w:r>
      <w:r w:rsidRPr="006E68FD" w:rsidR="006E68FD">
        <w:rPr>
          <w:color w:val="000000"/>
        </w:rPr>
        <w:t xml:space="preserve">the Privacy Act </w:t>
      </w:r>
      <w:r>
        <w:rPr>
          <w:color w:val="000000"/>
        </w:rPr>
        <w:t>may or may not</w:t>
      </w:r>
      <w:r w:rsidRPr="006E68FD" w:rsidR="006E68FD">
        <w:rPr>
          <w:color w:val="000000"/>
        </w:rPr>
        <w:t xml:space="preserve"> apply to </w:t>
      </w:r>
      <w:r>
        <w:rPr>
          <w:color w:val="000000"/>
        </w:rPr>
        <w:t>an</w:t>
      </w:r>
      <w:r w:rsidRPr="006E68FD" w:rsidR="006E68FD">
        <w:rPr>
          <w:color w:val="000000"/>
        </w:rPr>
        <w:t xml:space="preserve"> information collection. Although personally identifiable infor</w:t>
      </w:r>
      <w:r w:rsidR="006E68FD">
        <w:rPr>
          <w:color w:val="000000"/>
        </w:rPr>
        <w:t xml:space="preserve">mation (PII) </w:t>
      </w:r>
      <w:r w:rsidR="00E365C4">
        <w:rPr>
          <w:color w:val="000000"/>
        </w:rPr>
        <w:t>may be</w:t>
      </w:r>
      <w:r w:rsidR="006E68FD">
        <w:rPr>
          <w:color w:val="000000"/>
        </w:rPr>
        <w:t xml:space="preserve"> collected,</w:t>
      </w:r>
      <w:r w:rsidRPr="006E68FD" w:rsidR="006E68FD">
        <w:rPr>
          <w:color w:val="000000"/>
        </w:rPr>
        <w:t xml:space="preserve"> </w:t>
      </w:r>
      <w:r>
        <w:rPr>
          <w:color w:val="000000"/>
        </w:rPr>
        <w:t xml:space="preserve">in some instances </w:t>
      </w:r>
      <w:r w:rsidRPr="006E68FD" w:rsidR="006E68FD">
        <w:rPr>
          <w:color w:val="000000"/>
        </w:rPr>
        <w:t xml:space="preserve">CDC </w:t>
      </w:r>
      <w:r w:rsidR="006E68FD">
        <w:rPr>
          <w:color w:val="000000"/>
        </w:rPr>
        <w:t xml:space="preserve">will </w:t>
      </w:r>
      <w:r w:rsidRPr="006E68FD" w:rsidR="006E68FD">
        <w:rPr>
          <w:color w:val="000000"/>
        </w:rPr>
        <w:t>not receiv</w:t>
      </w:r>
      <w:r w:rsidR="006E68FD">
        <w:rPr>
          <w:color w:val="000000"/>
        </w:rPr>
        <w:t>e</w:t>
      </w:r>
      <w:r w:rsidRPr="006E68FD" w:rsidR="006E68FD">
        <w:rPr>
          <w:color w:val="000000"/>
        </w:rPr>
        <w:t xml:space="preserve"> any identifiable information</w:t>
      </w:r>
      <w:r w:rsidR="00C9228B">
        <w:rPr>
          <w:color w:val="000000"/>
        </w:rPr>
        <w:t xml:space="preserve"> from any of the individual projects. </w:t>
      </w:r>
      <w:r>
        <w:rPr>
          <w:color w:val="000000"/>
        </w:rPr>
        <w:t xml:space="preserve">In such cases, when the </w:t>
      </w:r>
      <w:r w:rsidRPr="00022A54">
        <w:rPr>
          <w:color w:val="000000"/>
        </w:rPr>
        <w:t xml:space="preserve">individual data collection activities </w:t>
      </w:r>
      <w:r>
        <w:rPr>
          <w:color w:val="000000"/>
        </w:rPr>
        <w:t>do</w:t>
      </w:r>
      <w:r w:rsidRPr="00022A54">
        <w:rPr>
          <w:color w:val="000000"/>
        </w:rPr>
        <w:t xml:space="preserve"> require respon</w:t>
      </w:r>
      <w:r w:rsidR="009B589D">
        <w:rPr>
          <w:color w:val="000000"/>
        </w:rPr>
        <w:t xml:space="preserve">dents to provide </w:t>
      </w:r>
      <w:r w:rsidR="009B589D">
        <w:rPr>
          <w:color w:val="000000"/>
        </w:rPr>
        <w:t>identifying</w:t>
      </w:r>
      <w:r w:rsidR="009B589D">
        <w:rPr>
          <w:color w:val="000000"/>
        </w:rPr>
        <w:t xml:space="preserve"> or</w:t>
      </w:r>
      <w:r w:rsidR="008D766F">
        <w:rPr>
          <w:color w:val="000000"/>
        </w:rPr>
        <w:t xml:space="preserve"> </w:t>
      </w:r>
      <w:r w:rsidRPr="00022A54">
        <w:rPr>
          <w:color w:val="000000"/>
        </w:rPr>
        <w:t>potentially identifying informa</w:t>
      </w:r>
      <w:r>
        <w:rPr>
          <w:color w:val="000000"/>
        </w:rPr>
        <w:t xml:space="preserve">tion to local project staff and/or </w:t>
      </w:r>
      <w:r w:rsidRPr="00022A54">
        <w:rPr>
          <w:color w:val="000000"/>
        </w:rPr>
        <w:t>an</w:t>
      </w:r>
      <w:r w:rsidR="00AF71E8">
        <w:rPr>
          <w:color w:val="000000"/>
        </w:rPr>
        <w:t>swer sensitive questions</w:t>
      </w:r>
      <w:r>
        <w:rPr>
          <w:color w:val="000000"/>
        </w:rPr>
        <w:t>, the</w:t>
      </w:r>
      <w:r w:rsidR="008D766F">
        <w:rPr>
          <w:color w:val="000000"/>
        </w:rPr>
        <w:t xml:space="preserve"> </w:t>
      </w:r>
      <w:r w:rsidRPr="00022A54">
        <w:rPr>
          <w:color w:val="000000"/>
        </w:rPr>
        <w:t>information will be removed from any data sent to CDC, and CDC w</w:t>
      </w:r>
      <w:r w:rsidR="009B589D">
        <w:rPr>
          <w:color w:val="000000"/>
        </w:rPr>
        <w:t>ill, at no time, have access to</w:t>
      </w:r>
      <w:r w:rsidR="008D766F">
        <w:rPr>
          <w:color w:val="000000"/>
        </w:rPr>
        <w:t xml:space="preserve"> </w:t>
      </w:r>
      <w:r w:rsidRPr="00022A54">
        <w:rPr>
          <w:color w:val="000000"/>
        </w:rPr>
        <w:t>any local data that contains identifiers. Local project staff wi</w:t>
      </w:r>
      <w:r w:rsidR="009B589D">
        <w:rPr>
          <w:color w:val="000000"/>
        </w:rPr>
        <w:t>ll verify that any individually</w:t>
      </w:r>
      <w:r w:rsidR="008D766F">
        <w:rPr>
          <w:color w:val="000000"/>
        </w:rPr>
        <w:t xml:space="preserve"> </w:t>
      </w:r>
      <w:r w:rsidRPr="00022A54">
        <w:rPr>
          <w:color w:val="000000"/>
        </w:rPr>
        <w:t xml:space="preserve">identifiable information that has been collected </w:t>
      </w:r>
      <w:r w:rsidRPr="00022A54">
        <w:rPr>
          <w:color w:val="000000"/>
        </w:rPr>
        <w:t>during the cour</w:t>
      </w:r>
      <w:r w:rsidR="009B589D">
        <w:rPr>
          <w:color w:val="000000"/>
        </w:rPr>
        <w:t>se of</w:t>
      </w:r>
      <w:r w:rsidR="009B589D">
        <w:rPr>
          <w:color w:val="000000"/>
        </w:rPr>
        <w:t xml:space="preserve"> their activities has been</w:t>
      </w:r>
      <w:r w:rsidR="008D766F">
        <w:rPr>
          <w:color w:val="000000"/>
        </w:rPr>
        <w:t xml:space="preserve"> </w:t>
      </w:r>
      <w:r w:rsidRPr="00022A54">
        <w:rPr>
          <w:color w:val="000000"/>
        </w:rPr>
        <w:t>removed from information transmitted to or shared with CDC.</w:t>
      </w:r>
    </w:p>
    <w:p w:rsidR="008D766F" w:rsidRPr="00022A54" w:rsidP="008D766F" w14:paraId="7A70285E" w14:textId="77777777">
      <w:pPr>
        <w:spacing w:after="0"/>
        <w:rPr>
          <w:color w:val="000000"/>
        </w:rPr>
      </w:pPr>
    </w:p>
    <w:p w:rsidR="00E028BB" w:rsidP="008D766F" w14:paraId="3BC9A266" w14:textId="77777777">
      <w:pPr>
        <w:ind w:left="0" w:firstLine="0"/>
      </w:pPr>
      <w:r>
        <w:t xml:space="preserve">If CDC or its representative is receiving and/or storing personal identifiable information as a part of a specific project, then the Privacy Act may </w:t>
      </w:r>
      <w:r>
        <w:t>apply</w:t>
      </w:r>
      <w:r>
        <w:t xml:space="preserve"> and the specific actions required to ensure the </w:t>
      </w:r>
      <w:r w:rsidR="0027378A">
        <w:t>securit</w:t>
      </w:r>
      <w:r>
        <w:t xml:space="preserve">y of that information will be discussed in the documentation </w:t>
      </w:r>
      <w:r w:rsidR="0027378A">
        <w:t xml:space="preserve">for each project </w:t>
      </w:r>
      <w:r>
        <w:t xml:space="preserve">submission. </w:t>
      </w:r>
    </w:p>
    <w:p w:rsidR="00253472" w:rsidRPr="00022A54" w:rsidP="008D766F" w14:paraId="4167ED75" w14:textId="77777777">
      <w:pPr>
        <w:ind w:left="0" w:firstLine="0"/>
      </w:pPr>
      <w:r w:rsidRPr="00022A54">
        <w:t xml:space="preserve">Certificates of confidentiality may be sought for individual data collection </w:t>
      </w:r>
      <w:r w:rsidR="00AF71E8">
        <w:t>activities that involve</w:t>
      </w:r>
      <w:r w:rsidR="008D766F">
        <w:t xml:space="preserve"> </w:t>
      </w:r>
      <w:r w:rsidRPr="00022A54">
        <w:t>sensitive and potentially identifiable information at the local project l</w:t>
      </w:r>
      <w:r w:rsidR="00AF71E8">
        <w:t>evel</w:t>
      </w:r>
      <w:r w:rsidR="00C9228B">
        <w:t>.</w:t>
      </w:r>
      <w:r w:rsidR="00942473">
        <w:t xml:space="preserve"> Also, depending on the specifics of the project, the assurance of confidentiality afforded in accordance with Section 308(d) of the Public Health Service Act (42USC242m) and the Confidential Information Protection and Statistical Efficiency Act (PL-107-347) may apply. </w:t>
      </w:r>
    </w:p>
    <w:p w:rsidR="00253472" w:rsidRPr="00022A54" w:rsidP="008D766F" w14:paraId="4B0D8981" w14:textId="77777777">
      <w:pPr>
        <w:tabs>
          <w:tab w:val="left" w:pos="0"/>
        </w:tabs>
        <w:spacing w:after="0"/>
        <w:ind w:left="0" w:firstLine="0"/>
      </w:pPr>
      <w:r>
        <w:t>As</w:t>
      </w:r>
      <w:r w:rsidRPr="00022A54">
        <w:t xml:space="preserve"> </w:t>
      </w:r>
      <w:r w:rsidRPr="00022A54">
        <w:t>methods and materials may differ between individual proje</w:t>
      </w:r>
      <w:r w:rsidR="00AF71E8">
        <w:t>cts, appropriate human subjects</w:t>
      </w:r>
      <w:r w:rsidR="008D766F">
        <w:t xml:space="preserve"> </w:t>
      </w:r>
      <w:r w:rsidRPr="00022A54">
        <w:t xml:space="preserve">review procedures will be conducted for each project as they are developed. </w:t>
      </w:r>
      <w:r w:rsidR="00AF71E8">
        <w:t xml:space="preserve">Projects </w:t>
      </w:r>
      <w:r>
        <w:t>will acquire</w:t>
      </w:r>
      <w:r w:rsidR="005131F3">
        <w:t xml:space="preserve"> </w:t>
      </w:r>
      <w:r w:rsidR="00AF71E8">
        <w:t>IRB</w:t>
      </w:r>
      <w:r w:rsidR="008D766F">
        <w:t xml:space="preserve"> </w:t>
      </w:r>
      <w:r w:rsidRPr="00022A54">
        <w:t>approval w</w:t>
      </w:r>
      <w:r>
        <w:t>hen appropriate and submit documentation.</w:t>
      </w:r>
      <w:r w:rsidRPr="00022A54">
        <w:t xml:space="preserve"> </w:t>
      </w:r>
    </w:p>
    <w:p w:rsidR="00253472" w:rsidRPr="00022A54" w:rsidP="00253472" w14:paraId="6160F832" w14:textId="77777777">
      <w:pPr>
        <w:tabs>
          <w:tab w:val="left" w:pos="0"/>
        </w:tabs>
      </w:pPr>
    </w:p>
    <w:p w:rsidR="00253472" w:rsidRPr="00022A54" w:rsidP="008D766F" w14:paraId="601E8A4D" w14:textId="77777777">
      <w:pPr>
        <w:tabs>
          <w:tab w:val="left" w:pos="0"/>
        </w:tabs>
        <w:spacing w:after="0"/>
        <w:ind w:left="0" w:firstLine="0"/>
      </w:pPr>
      <w:r w:rsidRPr="00022A54">
        <w:t>Participation in development activities is strictly voluntary. Respo</w:t>
      </w:r>
      <w:r w:rsidR="00AF71E8">
        <w:t>ndents will be provided with an</w:t>
      </w:r>
      <w:r w:rsidR="008D766F">
        <w:t xml:space="preserve"> </w:t>
      </w:r>
      <w:r w:rsidRPr="00022A54">
        <w:t xml:space="preserve">informed consent form prior to the start of information </w:t>
      </w:r>
      <w:r w:rsidRPr="00022A54">
        <w:t>collect</w:t>
      </w:r>
      <w:r w:rsidR="00AF71E8">
        <w:t>ion, and</w:t>
      </w:r>
      <w:r w:rsidR="00AF71E8">
        <w:t xml:space="preserve"> will be allowed to ask</w:t>
      </w:r>
      <w:r w:rsidR="008D766F">
        <w:t xml:space="preserve"> </w:t>
      </w:r>
      <w:r w:rsidRPr="00022A54">
        <w:t>questions about the project before decidin</w:t>
      </w:r>
      <w:r w:rsidR="008214BF">
        <w:t>g whether to participate or not</w:t>
      </w:r>
      <w:r w:rsidRPr="00022A54">
        <w:t xml:space="preserve">. </w:t>
      </w:r>
      <w:r w:rsidR="008214BF">
        <w:t>These forms</w:t>
      </w:r>
      <w:r w:rsidRPr="00022A54">
        <w:t xml:space="preserve"> will be included in each individual c</w:t>
      </w:r>
      <w:r w:rsidR="00201240">
        <w:t xml:space="preserve">ollection request. </w:t>
      </w:r>
      <w:r w:rsidR="00AF71E8">
        <w:t>The consent</w:t>
      </w:r>
      <w:r w:rsidR="008D766F">
        <w:t xml:space="preserve"> </w:t>
      </w:r>
      <w:r w:rsidRPr="00022A54">
        <w:t>form describes the purpose of the study, specifies specific procedu</w:t>
      </w:r>
      <w:r w:rsidR="00AF71E8">
        <w:t>res that will be conducted, and</w:t>
      </w:r>
      <w:r w:rsidR="008D766F">
        <w:t xml:space="preserve"> </w:t>
      </w:r>
      <w:r w:rsidRPr="00022A54">
        <w:t xml:space="preserve">describes </w:t>
      </w:r>
      <w:r w:rsidRPr="00022A54">
        <w:t>protections</w:t>
      </w:r>
      <w:r w:rsidRPr="00022A54">
        <w:t xml:space="preserve"> for the respondent’s privacy and confidentiality.   </w:t>
      </w:r>
    </w:p>
    <w:p w:rsidR="00253472" w:rsidRPr="00022A54" w:rsidP="00253472" w14:paraId="0EAC9AA5" w14:textId="77777777">
      <w:pPr>
        <w:tabs>
          <w:tab w:val="left" w:pos="0"/>
        </w:tabs>
      </w:pPr>
    </w:p>
    <w:p w:rsidR="00253472" w:rsidRPr="00022A54" w:rsidP="008D766F" w14:paraId="0EB56A49" w14:textId="77777777">
      <w:pPr>
        <w:tabs>
          <w:tab w:val="left" w:pos="0"/>
        </w:tabs>
        <w:spacing w:after="0"/>
        <w:ind w:left="0" w:firstLine="0"/>
      </w:pPr>
      <w:r w:rsidRPr="00022A54">
        <w:t>On occasion, interviewing respondents about sensitive topics requires that we do not collect personal identifiers at</w:t>
      </w:r>
      <w:r w:rsidR="00AF71E8">
        <w:t xml:space="preserve"> any point. Collection of these</w:t>
      </w:r>
      <w:r w:rsidR="008D766F">
        <w:t xml:space="preserve"> </w:t>
      </w:r>
      <w:r w:rsidRPr="00022A54">
        <w:t>identifiers may place the respondent at risk of potentia</w:t>
      </w:r>
      <w:r w:rsidR="00AF71E8">
        <w:t>l harm resulting from breach of</w:t>
      </w:r>
      <w:r w:rsidR="008D766F">
        <w:t xml:space="preserve"> </w:t>
      </w:r>
      <w:r w:rsidRPr="00022A54">
        <w:t>confidentiality. In these cases, a waiver of documentation of informed</w:t>
      </w:r>
      <w:r w:rsidR="00AF71E8">
        <w:t xml:space="preserve"> consent is requested (i.e., no</w:t>
      </w:r>
      <w:r w:rsidR="008D766F">
        <w:t xml:space="preserve"> </w:t>
      </w:r>
      <w:r w:rsidRPr="00022A54">
        <w:t>respondent signatures on a consent form), but the same consent</w:t>
      </w:r>
      <w:r w:rsidR="00AF71E8">
        <w:t xml:space="preserve"> and confidentiality protection</w:t>
      </w:r>
      <w:r w:rsidR="008D766F">
        <w:t xml:space="preserve"> </w:t>
      </w:r>
      <w:r w:rsidRPr="00022A54">
        <w:t xml:space="preserve">information is still imparted to the respondent.  </w:t>
      </w:r>
    </w:p>
    <w:p w:rsidR="00A05118" w:rsidRPr="00022A54" w:rsidP="00291FB8" w14:paraId="60BB2ACA" w14:textId="77777777">
      <w:pPr>
        <w:ind w:left="0" w:firstLine="0"/>
      </w:pPr>
    </w:p>
    <w:p w:rsidR="00253472" w:rsidRPr="00022A54" w:rsidP="00291FB8" w14:paraId="07657109" w14:textId="77777777">
      <w:pPr>
        <w:ind w:left="0" w:firstLine="0"/>
      </w:pPr>
      <w:r w:rsidRPr="00022A54">
        <w:t>Persons</w:t>
      </w:r>
      <w:r w:rsidRPr="00022A54">
        <w:t xml:space="preserve"> participating in all projects conducted </w:t>
      </w:r>
      <w:r w:rsidR="00591899">
        <w:t xml:space="preserve">or sponsored </w:t>
      </w:r>
      <w:r w:rsidRPr="00022A54">
        <w:t xml:space="preserve">by </w:t>
      </w:r>
      <w:r w:rsidR="00AB6361">
        <w:t>CDC</w:t>
      </w:r>
      <w:r w:rsidRPr="00022A54">
        <w:t xml:space="preserve"> </w:t>
      </w:r>
      <w:r w:rsidRPr="00022A54">
        <w:t xml:space="preserve">will be informed that their data will be maintained in a </w:t>
      </w:r>
      <w:r w:rsidRPr="00022A54" w:rsidR="002F4EE4">
        <w:t>secure</w:t>
      </w:r>
      <w:r w:rsidRPr="00022A54">
        <w:t xml:space="preserve"> manner, and that the data will only be used for purposes stated in the consent form. Although the identities of respondents may be known to local project personnel who conduct interviews and interact with respondents, data</w:t>
      </w:r>
      <w:r w:rsidR="00AF5A4A">
        <w:t xml:space="preserve"> collected regarding such sensitive topics</w:t>
      </w:r>
      <w:r w:rsidRPr="00022A54">
        <w:t xml:space="preserve"> will </w:t>
      </w:r>
      <w:r w:rsidRPr="00022A54">
        <w:t xml:space="preserve">not be stored or accessed in a Privacy Act system of records, and the respondents’ identifying information will not be submitted to CDC. Only authorized project staff will be allowed to have access to study information (whether identifiable or not) and all information will be kept in a locked cabinet and/or locked office with limited access.  </w:t>
      </w:r>
    </w:p>
    <w:p w:rsidR="00253472" w:rsidRPr="00022A54" w:rsidP="00291FB8" w14:paraId="59AE1E17" w14:textId="77777777">
      <w:pPr>
        <w:spacing w:before="120"/>
        <w:ind w:left="0" w:firstLine="0"/>
      </w:pPr>
    </w:p>
    <w:p w:rsidR="006B5057" w:rsidP="006B5057" w14:paraId="07C53E90" w14:textId="77777777">
      <w:pPr>
        <w:ind w:left="0" w:firstLine="0"/>
      </w:pPr>
      <w:r>
        <w:t>Information might be collected electronically or on paper (depending on the individual information collection request). Electronic means include handheld devices, com</w:t>
      </w:r>
      <w:r w:rsidR="00AF5A4A">
        <w:t>puter-assisted self-interview (</w:t>
      </w:r>
      <w:r>
        <w:t xml:space="preserve">CASI), </w:t>
      </w:r>
      <w:r w:rsidR="00AF5A4A">
        <w:t xml:space="preserve">audio </w:t>
      </w:r>
      <w:r w:rsidRPr="00AF5A4A" w:rsidR="00AF5A4A">
        <w:t>computer-assisted self-interview (</w:t>
      </w:r>
      <w:r w:rsidR="00AF5A4A">
        <w:t>A</w:t>
      </w:r>
      <w:r w:rsidRPr="00AF5A4A" w:rsidR="00AF5A4A">
        <w:t xml:space="preserve">CASI), </w:t>
      </w:r>
      <w:r>
        <w:t>computer</w:t>
      </w:r>
      <w:r w:rsidR="00AF5A4A">
        <w:t>-</w:t>
      </w:r>
      <w:r>
        <w:t>assisted telephone interview (CATI), web-based surveys, or other point of service collection devices. Paper copies are the common mode for Focus group interviews.</w:t>
      </w:r>
    </w:p>
    <w:p w:rsidR="00253472" w:rsidP="00291FB8" w14:paraId="34FDC480" w14:textId="77777777">
      <w:pPr>
        <w:ind w:left="0" w:firstLine="0"/>
      </w:pPr>
      <w:r w:rsidRPr="00022A54">
        <w:t xml:space="preserve">Electronic data collection and data management systems used for these activities </w:t>
      </w:r>
      <w:r w:rsidR="006B5057">
        <w:t>will</w:t>
      </w:r>
      <w:r w:rsidRPr="00022A54">
        <w:t xml:space="preserve"> comply with the current encryption security standards from National Institute of Standards and Technology (NIST) Federal Information Processing Standards (FIPS), which meet or exceed Advanc</w:t>
      </w:r>
      <w:r w:rsidRPr="00022A54" w:rsidR="004F6688">
        <w:t>ed Encryption Standards (AES). Each individual request under this generic clearance will provide adequate descriptions of information systems that will be used in their study.</w:t>
      </w:r>
    </w:p>
    <w:p w:rsidR="006B5057" w:rsidP="006B5057" w14:paraId="06682018" w14:textId="77777777">
      <w:pPr>
        <w:ind w:left="0" w:firstLine="0"/>
      </w:pPr>
      <w:r w:rsidRPr="00D850E0">
        <w:t>If CDC, or its representative</w:t>
      </w:r>
      <w:r>
        <w:t>,</w:t>
      </w:r>
      <w:r w:rsidRPr="00D850E0">
        <w:t xml:space="preserve"> receiv</w:t>
      </w:r>
      <w:r>
        <w:t>es</w:t>
      </w:r>
      <w:r w:rsidRPr="00D850E0">
        <w:t xml:space="preserve"> and</w:t>
      </w:r>
      <w:r>
        <w:t>/</w:t>
      </w:r>
      <w:r w:rsidRPr="00D850E0">
        <w:t>or stor</w:t>
      </w:r>
      <w:r>
        <w:t xml:space="preserve">es </w:t>
      </w:r>
      <w:r w:rsidRPr="00D850E0">
        <w:t>personal identifiable information, then the Privacy Act may</w:t>
      </w:r>
      <w:r>
        <w:t xml:space="preserve"> or may not</w:t>
      </w:r>
      <w:r w:rsidRPr="00D850E0">
        <w:t xml:space="preserve"> apply.</w:t>
      </w:r>
      <w:r>
        <w:t xml:space="preserve"> </w:t>
      </w:r>
      <w:r w:rsidRPr="00D850E0">
        <w:t xml:space="preserve">Each </w:t>
      </w:r>
      <w:r>
        <w:t xml:space="preserve">individual </w:t>
      </w:r>
      <w:r w:rsidRPr="00D850E0">
        <w:t>collection will be evaluated separately.</w:t>
      </w:r>
      <w:r>
        <w:t xml:space="preserve"> </w:t>
      </w:r>
      <w:r>
        <w:t>Generally</w:t>
      </w:r>
      <w:r>
        <w:t xml:space="preserve"> a</w:t>
      </w:r>
      <w:r>
        <w:t xml:space="preserve">ll individually identifiable information collected by local partners would be unlinked or stripped from the </w:t>
      </w:r>
      <w:r>
        <w:t>data base</w:t>
      </w:r>
      <w:r>
        <w:t xml:space="preserve"> that is submitted to CDC. Web-based methods for survey or intervention delivery may also be evaluated under this generic </w:t>
      </w:r>
      <w:r>
        <w:t>approval, and</w:t>
      </w:r>
      <w:r>
        <w:t xml:space="preserve"> may involve the hosting of a website </w:t>
      </w:r>
      <w:r>
        <w:t>in order to</w:t>
      </w:r>
      <w:r>
        <w:t xml:space="preserve"> conduct the evaluation. There will be no websites or internet content directed at children under the age of 13. Individual collection requests submitted under this generic approval will describe any web-based material involved. </w:t>
      </w:r>
    </w:p>
    <w:p w:rsidR="002D76E5" w:rsidP="00662F81" w14:paraId="63A3F808" w14:textId="77777777">
      <w:pPr>
        <w:tabs>
          <w:tab w:val="left" w:pos="0"/>
        </w:tabs>
        <w:ind w:left="720" w:hanging="720"/>
        <w:rPr>
          <w:b/>
          <w:bCs/>
        </w:rPr>
      </w:pPr>
    </w:p>
    <w:p w:rsidR="00662F81" w:rsidRPr="00C56746" w:rsidP="002D76E5" w14:paraId="246F3768" w14:textId="77777777">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rsidR="00963C2F" w:rsidP="00291FB8" w14:paraId="59AD44DB" w14:textId="77777777">
      <w:pPr>
        <w:ind w:left="0" w:firstLine="0"/>
      </w:pPr>
      <w:bookmarkStart w:id="4" w:name="OLE_LINK9"/>
      <w:bookmarkStart w:id="5" w:name="OLE_LINK10"/>
      <w:r>
        <w:t>IRB Approval</w:t>
      </w:r>
    </w:p>
    <w:p w:rsidR="00963C2F" w:rsidP="00291FB8" w14:paraId="6737689D" w14:textId="6735E545">
      <w:pPr>
        <w:ind w:left="0" w:firstLine="0"/>
      </w:pPr>
      <w:r>
        <w:t xml:space="preserve">Studies submitted </w:t>
      </w:r>
      <w:r w:rsidR="00D40156">
        <w:t xml:space="preserve">under this Formative Research and Tool Development Generic Clearance ICR </w:t>
      </w:r>
      <w:r w:rsidR="007045F7">
        <w:t xml:space="preserve">can </w:t>
      </w:r>
      <w:r w:rsidR="0047092D">
        <w:t xml:space="preserve">consist of </w:t>
      </w:r>
      <w:r w:rsidR="007045F7">
        <w:t>activities</w:t>
      </w:r>
      <w:r w:rsidR="006E6DA9">
        <w:t xml:space="preserve"> that </w:t>
      </w:r>
      <w:r w:rsidR="0047092D">
        <w:t>i</w:t>
      </w:r>
      <w:r w:rsidR="00D40156">
        <w:t>nvolv</w:t>
      </w:r>
      <w:r w:rsidR="006E6DA9">
        <w:t>e</w:t>
      </w:r>
      <w:r w:rsidR="00D40156">
        <w:t xml:space="preserve"> or </w:t>
      </w:r>
      <w:r w:rsidR="006E6DA9">
        <w:t xml:space="preserve">do </w:t>
      </w:r>
      <w:r w:rsidR="00D40156">
        <w:t>not involv</w:t>
      </w:r>
      <w:r w:rsidR="006E6DA9">
        <w:t>e</w:t>
      </w:r>
      <w:r w:rsidR="00D40156">
        <w:t xml:space="preserve"> human subject</w:t>
      </w:r>
      <w:r w:rsidR="0047092D">
        <w:t>s</w:t>
      </w:r>
      <w:r w:rsidR="007045F7">
        <w:t>.</w:t>
      </w:r>
      <w:r w:rsidR="0047092D">
        <w:t xml:space="preserve"> Each </w:t>
      </w:r>
      <w:r w:rsidR="00C42CD9">
        <w:t xml:space="preserve">individual project </w:t>
      </w:r>
      <w:r w:rsidR="0047092D">
        <w:t>ICR will address human subject participation and IRB approval.</w:t>
      </w:r>
      <w:r w:rsidR="007045F7">
        <w:t xml:space="preserve"> </w:t>
      </w:r>
      <w:r w:rsidRPr="00FD1EC9" w:rsidR="00FD1EC9">
        <w:t xml:space="preserve">Because methods and materials may differ between individual projects, appropriate human subjects review procedures will be conducted for each project as they are developed. Projects that need IRB approval will be submitted with a </w:t>
      </w:r>
      <w:r w:rsidR="003A020B">
        <w:t xml:space="preserve">copy of the approval document.  </w:t>
      </w:r>
      <w:r w:rsidRPr="00C41149">
        <w:t xml:space="preserve">If the study has been determined to be exempt </w:t>
      </w:r>
      <w:r w:rsidR="00E34A1B">
        <w:t>from IRB,</w:t>
      </w:r>
      <w:r w:rsidRPr="00C41149">
        <w:t xml:space="preserve"> a copy of the exemption determination</w:t>
      </w:r>
      <w:r w:rsidRPr="007045F7" w:rsidR="007045F7">
        <w:t xml:space="preserve"> </w:t>
      </w:r>
      <w:r w:rsidR="007045F7">
        <w:t xml:space="preserve">will be </w:t>
      </w:r>
      <w:r w:rsidRPr="00C41149" w:rsidR="007045F7">
        <w:t>attached</w:t>
      </w:r>
      <w:r w:rsidR="005F1C86">
        <w:t>. If the appropriate CDC o</w:t>
      </w:r>
      <w:r w:rsidRPr="00C41149">
        <w:t>fficial has determined that the data/ information collection is not research involving human subjects,</w:t>
      </w:r>
      <w:r w:rsidR="007045F7">
        <w:t xml:space="preserve"> the information </w:t>
      </w:r>
      <w:r w:rsidR="007045F7">
        <w:t>collection</w:t>
      </w:r>
      <w:r w:rsidR="007045F7">
        <w:t xml:space="preserve"> submitted under this generic clearance will</w:t>
      </w:r>
      <w:r w:rsidRPr="00C41149">
        <w:t xml:space="preserve"> state that IRB approval is not required</w:t>
      </w:r>
      <w:r w:rsidR="002003D7">
        <w:t>.</w:t>
      </w:r>
      <w:r w:rsidRPr="00C41149">
        <w:t xml:space="preserve"> </w:t>
      </w:r>
    </w:p>
    <w:p w:rsidR="00963C2F" w:rsidP="00291FB8" w14:paraId="53B52DD2" w14:textId="77777777">
      <w:pPr>
        <w:ind w:left="0" w:firstLine="0"/>
      </w:pPr>
      <w:r>
        <w:t>Sensitive Questions</w:t>
      </w:r>
    </w:p>
    <w:p w:rsidR="00253472" w:rsidRPr="00022A54" w:rsidP="00291FB8" w14:paraId="68ABA282" w14:textId="77777777">
      <w:pPr>
        <w:ind w:left="0" w:firstLine="0"/>
      </w:pPr>
      <w:r>
        <w:t>At times t</w:t>
      </w:r>
      <w:r w:rsidRPr="00022A54">
        <w:t>he diseases that will be covered by th</w:t>
      </w:r>
      <w:r>
        <w:t>ese</w:t>
      </w:r>
      <w:r w:rsidR="006E0BD9">
        <w:t xml:space="preserve"> information collection</w:t>
      </w:r>
      <w:r>
        <w:t>s</w:t>
      </w:r>
      <w:r w:rsidRPr="00022A54">
        <w:t xml:space="preserve"> </w:t>
      </w:r>
      <w:r>
        <w:t xml:space="preserve">may </w:t>
      </w:r>
      <w:r w:rsidRPr="00022A54">
        <w:t xml:space="preserve">involve sexual attitudes and practices, use of illegal substances </w:t>
      </w:r>
      <w:r w:rsidR="002F5077">
        <w:t xml:space="preserve">or </w:t>
      </w:r>
      <w:r w:rsidRPr="00022A54">
        <w:t xml:space="preserve">other matters that are commonly considered private. Race and ethnicity data, as well as diagnoses of medical conditions that may affect employability or insurability may also be viewed as sensitive or even threatening by a portion of respondents. The reasons for collection of sensitive information and their application for the improvement of CDC’s prevention efforts for the specific population sub-group will be addressed </w:t>
      </w:r>
      <w:r w:rsidRPr="00022A54">
        <w:t xml:space="preserve">in specific requests.  The procedures used to obtain </w:t>
      </w:r>
      <w:r w:rsidRPr="00022A54">
        <w:t>consent</w:t>
      </w:r>
      <w:r w:rsidRPr="00022A54">
        <w:t xml:space="preserve"> and the content of the consent form will also be explained and justified.  In no case will a participant’s social security number be obtained.  </w:t>
      </w:r>
    </w:p>
    <w:bookmarkEnd w:id="4"/>
    <w:bookmarkEnd w:id="5"/>
    <w:p w:rsidR="00E049ED" w:rsidRPr="00022A54" w:rsidP="00E049ED" w14:paraId="1B865189" w14:textId="77777777">
      <w:pPr>
        <w:tabs>
          <w:tab w:val="left" w:pos="0"/>
        </w:tabs>
        <w:spacing w:before="120"/>
        <w:rPr>
          <w:b/>
          <w:bCs/>
        </w:rPr>
      </w:pPr>
      <w:r>
        <w:rPr>
          <w:b/>
          <w:bCs/>
        </w:rPr>
        <w:t xml:space="preserve">A.12. </w:t>
      </w:r>
      <w:r w:rsidRPr="00022A54">
        <w:rPr>
          <w:b/>
          <w:bCs/>
        </w:rPr>
        <w:t xml:space="preserve">Estimates of Annualized Burden Hours and Costs </w:t>
      </w:r>
    </w:p>
    <w:p w:rsidR="00061916" w:rsidP="002B49B4" w14:paraId="0AF2B55C" w14:textId="77777777">
      <w:pPr>
        <w:ind w:left="0" w:firstLine="0"/>
        <w:rPr>
          <w:snapToGrid w:val="0"/>
        </w:rPr>
      </w:pPr>
      <w:r w:rsidRPr="002B49B4">
        <w:rPr>
          <w:snapToGrid w:val="0"/>
        </w:rPr>
        <w:t xml:space="preserve">The annualized response burden is estimated at </w:t>
      </w:r>
      <w:r w:rsidR="002F5077">
        <w:rPr>
          <w:snapToGrid w:val="0"/>
        </w:rPr>
        <w:t>20</w:t>
      </w:r>
      <w:r w:rsidR="005131F3">
        <w:rPr>
          <w:snapToGrid w:val="0"/>
        </w:rPr>
        <w:t>,000</w:t>
      </w:r>
      <w:r w:rsidRPr="002B49B4">
        <w:rPr>
          <w:snapToGrid w:val="0"/>
        </w:rPr>
        <w:t xml:space="preserve"> hours. </w:t>
      </w:r>
    </w:p>
    <w:p w:rsidR="00885576" w:rsidRPr="002B49B4" w:rsidP="002B49B4" w14:paraId="1C2453EE" w14:textId="600B277C">
      <w:pPr>
        <w:ind w:left="0" w:firstLine="0"/>
        <w:rPr>
          <w:snapToGrid w:val="0"/>
        </w:rPr>
      </w:pPr>
      <w:r>
        <w:rPr>
          <w:snapToGrid w:val="0"/>
        </w:rPr>
        <w:t xml:space="preserve">We anticipate approximately </w:t>
      </w:r>
      <w:r w:rsidR="00A9447A">
        <w:rPr>
          <w:snapToGrid w:val="0"/>
        </w:rPr>
        <w:t>30</w:t>
      </w:r>
      <w:r w:rsidR="00061916">
        <w:rPr>
          <w:snapToGrid w:val="0"/>
        </w:rPr>
        <w:t xml:space="preserve"> information collections per year. These may include eligibility screening collections</w:t>
      </w:r>
      <w:r w:rsidR="002F5077">
        <w:rPr>
          <w:snapToGrid w:val="0"/>
        </w:rPr>
        <w:t xml:space="preserve">, </w:t>
      </w:r>
      <w:r w:rsidR="00061916">
        <w:rPr>
          <w:snapToGrid w:val="0"/>
        </w:rPr>
        <w:t>surveys or interviews, and focus groups</w:t>
      </w:r>
      <w:r w:rsidR="002F5077">
        <w:rPr>
          <w:snapToGrid w:val="0"/>
        </w:rPr>
        <w:t>.</w:t>
      </w:r>
      <w:r w:rsidR="00790E6D">
        <w:rPr>
          <w:snapToGrid w:val="0"/>
        </w:rPr>
        <w:t xml:space="preserve"> </w:t>
      </w:r>
    </w:p>
    <w:p w:rsidR="002B49B4" w:rsidRPr="002B49B4" w:rsidP="002B49B4" w14:paraId="38B48C35" w14:textId="12C03B74">
      <w:pPr>
        <w:keepNext/>
        <w:keepLines/>
        <w:spacing w:before="120"/>
        <w:ind w:left="1166" w:hanging="1166"/>
        <w:rPr>
          <w:b/>
          <w:snapToGrid w:val="0"/>
        </w:rPr>
      </w:pPr>
      <w:r w:rsidRPr="002B49B4">
        <w:rPr>
          <w:b/>
          <w:snapToGrid w:val="0"/>
        </w:rPr>
        <w:t>A.12.</w:t>
      </w:r>
      <w:r w:rsidR="004E5183">
        <w:rPr>
          <w:b/>
          <w:snapToGrid w:val="0"/>
        </w:rPr>
        <w:t xml:space="preserve">A - </w:t>
      </w:r>
      <w:r w:rsidRPr="002B49B4">
        <w:rPr>
          <w:b/>
          <w:snapToGrid w:val="0"/>
        </w:rPr>
        <w:t>Annualized Burden Hours</w:t>
      </w:r>
    </w:p>
    <w:tbl>
      <w:tblPr>
        <w:tblW w:w="9660" w:type="dxa"/>
        <w:tblLayout w:type="fixed"/>
        <w:tblCellMar>
          <w:left w:w="120" w:type="dxa"/>
          <w:right w:w="120" w:type="dxa"/>
        </w:tblCellMar>
        <w:tblLook w:val="0000"/>
      </w:tblPr>
      <w:tblGrid>
        <w:gridCol w:w="1650"/>
        <w:gridCol w:w="1620"/>
        <w:gridCol w:w="1530"/>
        <w:gridCol w:w="1440"/>
        <w:gridCol w:w="1350"/>
        <w:gridCol w:w="2070"/>
      </w:tblGrid>
      <w:tr w14:paraId="5920052F" w14:textId="77777777" w:rsidTr="00503BB4">
        <w:tblPrEx>
          <w:tblW w:w="9660" w:type="dxa"/>
          <w:tblLayout w:type="fixed"/>
          <w:tblCellMar>
            <w:left w:w="120" w:type="dxa"/>
            <w:right w:w="120" w:type="dxa"/>
          </w:tblCellMar>
          <w:tblLook w:val="0000"/>
        </w:tblPrEx>
        <w:trPr>
          <w:tblHeader/>
        </w:trPr>
        <w:tc>
          <w:tcPr>
            <w:tcW w:w="1650" w:type="dxa"/>
            <w:tcBorders>
              <w:top w:val="single" w:sz="7" w:space="0" w:color="000000"/>
              <w:left w:val="single" w:sz="7" w:space="0" w:color="000000"/>
              <w:bottom w:val="single" w:sz="7" w:space="0" w:color="000000"/>
              <w:right w:val="single" w:sz="7" w:space="0" w:color="000000"/>
            </w:tcBorders>
            <w:vAlign w:val="center"/>
          </w:tcPr>
          <w:p w:rsidR="00503BB4" w:rsidRPr="002B49B4" w:rsidP="002B49B4" w14:paraId="017390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Type of Respondent</w:t>
            </w:r>
          </w:p>
        </w:tc>
        <w:tc>
          <w:tcPr>
            <w:tcW w:w="1620" w:type="dxa"/>
            <w:tcBorders>
              <w:top w:val="single" w:sz="7" w:space="0" w:color="000000"/>
              <w:left w:val="single" w:sz="7" w:space="0" w:color="000000"/>
              <w:bottom w:val="single" w:sz="7" w:space="0" w:color="000000"/>
              <w:right w:val="single" w:sz="7" w:space="0" w:color="000000"/>
            </w:tcBorders>
            <w:vAlign w:val="center"/>
          </w:tcPr>
          <w:p w:rsidR="00503BB4" w:rsidRPr="002B49B4" w:rsidP="002B49B4" w14:paraId="49743CB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center"/>
              <w:rPr>
                <w:bCs/>
                <w:color w:val="000000"/>
              </w:rPr>
            </w:pPr>
            <w:r w:rsidRPr="002B49B4">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2B49B4" w14:paraId="0B49B7F6" w14:textId="77777777">
            <w:pPr>
              <w:widowControl w:val="0"/>
              <w:autoSpaceDE w:val="0"/>
              <w:autoSpaceDN w:val="0"/>
              <w:adjustRightInd w:val="0"/>
              <w:spacing w:after="0" w:line="120" w:lineRule="exact"/>
              <w:ind w:left="0" w:firstLine="0"/>
              <w:rPr>
                <w:bCs/>
                <w:color w:val="000000"/>
              </w:rPr>
            </w:pPr>
          </w:p>
          <w:p w:rsidR="00503BB4" w:rsidRPr="002B49B4" w:rsidP="002B49B4" w14:paraId="26230CE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503BB4" w:rsidRPr="002B49B4" w:rsidP="002B49B4" w14:paraId="29B26D5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Respondents</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2B49B4" w14:paraId="3D191BF0" w14:textId="77777777">
            <w:pPr>
              <w:widowControl w:val="0"/>
              <w:autoSpaceDE w:val="0"/>
              <w:autoSpaceDN w:val="0"/>
              <w:adjustRightInd w:val="0"/>
              <w:spacing w:after="0" w:line="120" w:lineRule="exact"/>
              <w:ind w:left="0" w:firstLine="0"/>
              <w:rPr>
                <w:bCs/>
                <w:color w:val="000000"/>
              </w:rPr>
            </w:pPr>
          </w:p>
          <w:p w:rsidR="00503BB4" w:rsidRPr="002B49B4" w:rsidP="002B49B4" w14:paraId="075199A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Number of</w:t>
            </w:r>
          </w:p>
          <w:p w:rsidR="00503BB4" w:rsidRPr="002B49B4" w:rsidP="002B49B4" w14:paraId="6080A93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Responses per</w:t>
            </w:r>
          </w:p>
          <w:p w:rsidR="00503BB4" w:rsidRPr="002B49B4" w:rsidP="002B49B4" w14:paraId="42E834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Respondent</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2B49B4" w14:paraId="61393280" w14:textId="77777777">
            <w:pPr>
              <w:widowControl w:val="0"/>
              <w:autoSpaceDE w:val="0"/>
              <w:autoSpaceDN w:val="0"/>
              <w:adjustRightInd w:val="0"/>
              <w:spacing w:after="0" w:line="120" w:lineRule="exact"/>
              <w:ind w:left="0" w:firstLine="0"/>
              <w:rPr>
                <w:bCs/>
                <w:color w:val="000000"/>
              </w:rPr>
            </w:pPr>
          </w:p>
          <w:p w:rsidR="00503BB4" w:rsidRPr="002B49B4" w:rsidP="002B49B4" w14:paraId="6A53430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Average Hours</w:t>
            </w:r>
          </w:p>
          <w:p w:rsidR="00503BB4" w:rsidRPr="002B49B4" w:rsidP="002B49B4" w14:paraId="1740087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Per Response</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2B49B4" w14:paraId="0E908BCE" w14:textId="77777777">
            <w:pPr>
              <w:widowControl w:val="0"/>
              <w:autoSpaceDE w:val="0"/>
              <w:autoSpaceDN w:val="0"/>
              <w:adjustRightInd w:val="0"/>
              <w:spacing w:after="0" w:line="120" w:lineRule="exact"/>
              <w:ind w:left="0" w:firstLine="0"/>
              <w:rPr>
                <w:bCs/>
                <w:color w:val="000000"/>
              </w:rPr>
            </w:pPr>
          </w:p>
          <w:p w:rsidR="00503BB4" w:rsidRPr="002B49B4" w:rsidP="002B49B4" w14:paraId="5A500C8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ind w:left="0" w:firstLine="0"/>
              <w:rPr>
                <w:bCs/>
                <w:color w:val="000000"/>
              </w:rPr>
            </w:pPr>
            <w:r w:rsidRPr="002B49B4">
              <w:rPr>
                <w:bCs/>
                <w:color w:val="000000"/>
              </w:rPr>
              <w:t>Total Response</w:t>
            </w:r>
          </w:p>
          <w:p w:rsidR="00503BB4" w:rsidRPr="002B49B4" w:rsidP="002B49B4" w14:paraId="4BFD040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Burden</w:t>
            </w:r>
          </w:p>
          <w:p w:rsidR="00503BB4" w:rsidRPr="002B49B4" w:rsidP="002B49B4" w14:paraId="448FBBA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Cs/>
                <w:color w:val="000000"/>
              </w:rPr>
            </w:pPr>
            <w:r w:rsidRPr="002B49B4">
              <w:rPr>
                <w:bCs/>
                <w:color w:val="000000"/>
              </w:rPr>
              <w:t>(Hours)</w:t>
            </w:r>
          </w:p>
        </w:tc>
      </w:tr>
      <w:tr w14:paraId="12931442" w14:textId="77777777" w:rsidTr="00F00C19">
        <w:tblPrEx>
          <w:tblW w:w="9660" w:type="dxa"/>
          <w:tblLayout w:type="fixed"/>
          <w:tblCellMar>
            <w:left w:w="120" w:type="dxa"/>
            <w:right w:w="120" w:type="dxa"/>
          </w:tblCellMar>
          <w:tblLook w:val="0000"/>
        </w:tblPrEx>
        <w:tc>
          <w:tcPr>
            <w:tcW w:w="1650" w:type="dxa"/>
            <w:vMerge w:val="restart"/>
            <w:tcBorders>
              <w:top w:val="single" w:sz="7" w:space="0" w:color="000000"/>
              <w:left w:val="single" w:sz="7" w:space="0" w:color="000000"/>
              <w:right w:val="single" w:sz="7" w:space="0" w:color="000000"/>
            </w:tcBorders>
          </w:tcPr>
          <w:p w:rsidR="00503BB4" w:rsidRPr="002B49B4" w:rsidP="00503BB4" w14:paraId="3C73C965" w14:textId="77777777">
            <w:pPr>
              <w:widowControl w:val="0"/>
              <w:autoSpaceDE w:val="0"/>
              <w:autoSpaceDN w:val="0"/>
              <w:adjustRightInd w:val="0"/>
              <w:spacing w:after="0"/>
              <w:ind w:left="0" w:firstLine="0"/>
              <w:rPr>
                <w:color w:val="000000"/>
              </w:rPr>
            </w:pPr>
            <w:r>
              <w:rPr>
                <w:color w:val="000000"/>
              </w:rPr>
              <w:t>General public or health care practitioners</w:t>
            </w: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4102020E" w14:textId="77777777">
            <w:pPr>
              <w:autoSpaceDE w:val="0"/>
              <w:autoSpaceDN w:val="0"/>
              <w:adjustRightInd w:val="0"/>
              <w:spacing w:after="58"/>
              <w:ind w:left="0" w:firstLine="0"/>
              <w:rPr>
                <w:color w:val="000000"/>
              </w:rPr>
            </w:pPr>
            <w:r>
              <w:rPr>
                <w:color w:val="000000"/>
              </w:rPr>
              <w:t>Screener</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0515AF2D" w14:textId="3ACBFB0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3</w:t>
            </w:r>
            <w:r w:rsidR="00665F61">
              <w:rPr>
                <w:color w:val="000000"/>
              </w:rPr>
              <w:t>0</w:t>
            </w:r>
            <w:r>
              <w:rPr>
                <w:color w:val="000000"/>
              </w:rPr>
              <w:t>,000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2BEE0DE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6697B4AC" w14:textId="3E6A86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5/60</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503BB4" w14:paraId="64FB2A4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2,500</w:t>
            </w:r>
          </w:p>
        </w:tc>
      </w:tr>
      <w:tr w14:paraId="0964A020" w14:textId="77777777" w:rsidTr="00503BB4">
        <w:tblPrEx>
          <w:tblW w:w="9660" w:type="dxa"/>
          <w:tblLayout w:type="fixed"/>
          <w:tblCellMar>
            <w:left w:w="120" w:type="dxa"/>
            <w:right w:w="120" w:type="dxa"/>
          </w:tblCellMar>
          <w:tblLook w:val="0000"/>
        </w:tblPrEx>
        <w:tc>
          <w:tcPr>
            <w:tcW w:w="1650" w:type="dxa"/>
            <w:vMerge/>
            <w:tcBorders>
              <w:left w:val="single" w:sz="7" w:space="0" w:color="000000"/>
              <w:right w:val="single" w:sz="7" w:space="0" w:color="000000"/>
            </w:tcBorders>
          </w:tcPr>
          <w:p w:rsidR="00503BB4" w:rsidRPr="002B49B4" w:rsidP="00503BB4" w14:paraId="2F7CEF9C" w14:textId="77777777">
            <w:pPr>
              <w:widowControl w:val="0"/>
              <w:autoSpaceDE w:val="0"/>
              <w:autoSpaceDN w:val="0"/>
              <w:adjustRightInd w:val="0"/>
              <w:spacing w:after="0"/>
              <w:ind w:left="0" w:firstLine="0"/>
              <w:rPr>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67010006" w14:textId="77777777">
            <w:pPr>
              <w:autoSpaceDE w:val="0"/>
              <w:autoSpaceDN w:val="0"/>
              <w:adjustRightInd w:val="0"/>
              <w:spacing w:after="58"/>
              <w:ind w:left="0" w:firstLine="0"/>
              <w:rPr>
                <w:color w:val="000000"/>
              </w:rPr>
            </w:pPr>
            <w:r w:rsidRPr="002B49B4">
              <w:rPr>
                <w:color w:val="000000"/>
              </w:rPr>
              <w:t>Interview</w:t>
            </w:r>
            <w:r>
              <w:rPr>
                <w:color w:val="000000"/>
              </w:rPr>
              <w:t xml:space="preserve"> </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2C6AC38B" w14:textId="6C32DED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16DC6B6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211172A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503BB4" w14:paraId="35689D3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5,000</w:t>
            </w:r>
          </w:p>
        </w:tc>
      </w:tr>
      <w:tr w14:paraId="7BC316EF" w14:textId="77777777" w:rsidTr="00503BB4">
        <w:tblPrEx>
          <w:tblW w:w="9660" w:type="dxa"/>
          <w:tblLayout w:type="fixed"/>
          <w:tblCellMar>
            <w:left w:w="120" w:type="dxa"/>
            <w:right w:w="120" w:type="dxa"/>
          </w:tblCellMar>
          <w:tblLook w:val="0000"/>
        </w:tblPrEx>
        <w:tc>
          <w:tcPr>
            <w:tcW w:w="1650" w:type="dxa"/>
            <w:vMerge/>
            <w:tcBorders>
              <w:left w:val="single" w:sz="7" w:space="0" w:color="000000"/>
              <w:right w:val="single" w:sz="7" w:space="0" w:color="000000"/>
            </w:tcBorders>
          </w:tcPr>
          <w:p w:rsidR="00503BB4" w:rsidRPr="002B49B4" w:rsidP="00503BB4" w14:paraId="745FAE3C" w14:textId="77777777">
            <w:pPr>
              <w:widowControl w:val="0"/>
              <w:autoSpaceDE w:val="0"/>
              <w:autoSpaceDN w:val="0"/>
              <w:adjustRightInd w:val="0"/>
              <w:spacing w:after="0"/>
              <w:ind w:left="0" w:firstLine="0"/>
              <w:rPr>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15AC1FFF" w14:textId="77777777">
            <w:pPr>
              <w:widowControl w:val="0"/>
              <w:autoSpaceDE w:val="0"/>
              <w:autoSpaceDN w:val="0"/>
              <w:adjustRightInd w:val="0"/>
              <w:spacing w:after="0" w:line="120" w:lineRule="exact"/>
              <w:ind w:left="0" w:firstLine="0"/>
              <w:rPr>
                <w:color w:val="000000"/>
              </w:rPr>
            </w:pPr>
          </w:p>
          <w:p w:rsidR="00503BB4" w:rsidRPr="002B49B4" w:rsidP="00503BB4" w14:paraId="07543835" w14:textId="77777777">
            <w:pPr>
              <w:autoSpaceDE w:val="0"/>
              <w:autoSpaceDN w:val="0"/>
              <w:adjustRightInd w:val="0"/>
              <w:spacing w:after="58"/>
              <w:ind w:left="0" w:firstLine="0"/>
              <w:rPr>
                <w:color w:val="000000"/>
              </w:rPr>
            </w:pPr>
            <w:r>
              <w:rPr>
                <w:color w:val="000000"/>
              </w:rPr>
              <w:t xml:space="preserve">Focus </w:t>
            </w:r>
            <w:r w:rsidRPr="002B49B4">
              <w:rPr>
                <w:color w:val="000000"/>
              </w:rPr>
              <w:t>Group</w:t>
            </w:r>
          </w:p>
          <w:p w:rsidR="00503BB4" w:rsidRPr="002B49B4" w:rsidP="00503BB4" w14:paraId="44FCF011" w14:textId="77777777">
            <w:pPr>
              <w:autoSpaceDE w:val="0"/>
              <w:autoSpaceDN w:val="0"/>
              <w:adjustRightInd w:val="0"/>
              <w:spacing w:after="58"/>
              <w:ind w:left="0" w:firstLine="0"/>
              <w:rPr>
                <w:color w:val="000000"/>
              </w:rPr>
            </w:pPr>
            <w:r w:rsidRPr="002B49B4">
              <w:rPr>
                <w:color w:val="000000"/>
              </w:rPr>
              <w:t>Interview</w:t>
            </w:r>
            <w:r>
              <w:rPr>
                <w:color w:val="000000"/>
              </w:rPr>
              <w:t xml:space="preserve"> </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36929976" w14:textId="3127F10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w:t>
            </w:r>
            <w:r>
              <w:rPr>
                <w:color w:val="000000"/>
              </w:rPr>
              <w:t>,000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3116232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sidRPr="002B49B4">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395050FC" w14:textId="191133D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503BB4" w14:paraId="593FB30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10,000</w:t>
            </w:r>
          </w:p>
        </w:tc>
      </w:tr>
      <w:tr w14:paraId="3104AA86" w14:textId="77777777" w:rsidTr="00503BB4">
        <w:tblPrEx>
          <w:tblW w:w="9660" w:type="dxa"/>
          <w:tblLayout w:type="fixed"/>
          <w:tblCellMar>
            <w:left w:w="120" w:type="dxa"/>
            <w:right w:w="120" w:type="dxa"/>
          </w:tblCellMar>
          <w:tblLook w:val="0000"/>
        </w:tblPrEx>
        <w:tc>
          <w:tcPr>
            <w:tcW w:w="1650" w:type="dxa"/>
            <w:vMerge/>
            <w:tcBorders>
              <w:left w:val="single" w:sz="7" w:space="0" w:color="000000"/>
              <w:bottom w:val="single" w:sz="7" w:space="0" w:color="000000"/>
              <w:right w:val="single" w:sz="7" w:space="0" w:color="000000"/>
            </w:tcBorders>
          </w:tcPr>
          <w:p w:rsidR="00503BB4" w:rsidRPr="002B49B4" w:rsidP="00503BB4" w14:paraId="0653CC68"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p>
        </w:tc>
        <w:tc>
          <w:tcPr>
            <w:tcW w:w="1620" w:type="dxa"/>
            <w:tcBorders>
              <w:top w:val="single" w:sz="7" w:space="0" w:color="000000"/>
              <w:left w:val="single" w:sz="7" w:space="0" w:color="000000"/>
              <w:bottom w:val="single" w:sz="7" w:space="0" w:color="000000"/>
              <w:right w:val="single" w:sz="7" w:space="0" w:color="000000"/>
            </w:tcBorders>
          </w:tcPr>
          <w:p w:rsidR="00503BB4" w:rsidRPr="002B49B4" w:rsidP="00503BB4" w14:paraId="57D575BD" w14:textId="7777777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outlineLvl w:val="0"/>
              <w:rPr>
                <w:color w:val="000000"/>
              </w:rPr>
            </w:pPr>
            <w:r>
              <w:rPr>
                <w:color w:val="000000"/>
              </w:rPr>
              <w:t>Survey</w:t>
            </w:r>
          </w:p>
        </w:tc>
        <w:tc>
          <w:tcPr>
            <w:tcW w:w="1530" w:type="dxa"/>
            <w:tcBorders>
              <w:top w:val="single" w:sz="7" w:space="0" w:color="000000"/>
              <w:left w:val="single" w:sz="7" w:space="0" w:color="000000"/>
              <w:bottom w:val="single" w:sz="7" w:space="0" w:color="000000"/>
              <w:right w:val="single" w:sz="7" w:space="0" w:color="000000"/>
            </w:tcBorders>
          </w:tcPr>
          <w:p w:rsidR="00503BB4" w:rsidRPr="002B49B4" w:rsidP="00503BB4" w14:paraId="3312CA33" w14:textId="0DB829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5,000</w:t>
            </w:r>
          </w:p>
        </w:tc>
        <w:tc>
          <w:tcPr>
            <w:tcW w:w="1440" w:type="dxa"/>
            <w:tcBorders>
              <w:top w:val="single" w:sz="7" w:space="0" w:color="000000"/>
              <w:left w:val="single" w:sz="7" w:space="0" w:color="000000"/>
              <w:bottom w:val="single" w:sz="7" w:space="0" w:color="000000"/>
              <w:right w:val="single" w:sz="7" w:space="0" w:color="000000"/>
            </w:tcBorders>
          </w:tcPr>
          <w:p w:rsidR="00503BB4" w:rsidRPr="002B49B4" w:rsidP="00503BB4" w14:paraId="72E3C7A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1</w:t>
            </w:r>
          </w:p>
        </w:tc>
        <w:tc>
          <w:tcPr>
            <w:tcW w:w="1350" w:type="dxa"/>
            <w:tcBorders>
              <w:top w:val="single" w:sz="7" w:space="0" w:color="000000"/>
              <w:left w:val="single" w:sz="7" w:space="0" w:color="000000"/>
              <w:bottom w:val="single" w:sz="7" w:space="0" w:color="000000"/>
              <w:right w:val="single" w:sz="7" w:space="0" w:color="000000"/>
            </w:tcBorders>
          </w:tcPr>
          <w:p w:rsidR="00503BB4" w:rsidRPr="002B49B4" w:rsidP="00503BB4" w14:paraId="276EB28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30/60</w:t>
            </w:r>
          </w:p>
        </w:tc>
        <w:tc>
          <w:tcPr>
            <w:tcW w:w="2070" w:type="dxa"/>
            <w:tcBorders>
              <w:top w:val="single" w:sz="7" w:space="0" w:color="000000"/>
              <w:left w:val="single" w:sz="7" w:space="0" w:color="000000"/>
              <w:bottom w:val="single" w:sz="7" w:space="0" w:color="000000"/>
              <w:right w:val="single" w:sz="7" w:space="0" w:color="000000"/>
            </w:tcBorders>
          </w:tcPr>
          <w:p w:rsidR="00503BB4" w:rsidRPr="002B49B4" w:rsidP="00942142" w14:paraId="5CC29CC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2,5</w:t>
            </w:r>
            <w:r>
              <w:rPr>
                <w:color w:val="000000"/>
              </w:rPr>
              <w:t>00</w:t>
            </w:r>
          </w:p>
        </w:tc>
      </w:tr>
      <w:tr w14:paraId="2BB2CF5E" w14:textId="77777777" w:rsidTr="00503BB4">
        <w:tblPrEx>
          <w:tblW w:w="9660" w:type="dxa"/>
          <w:tblLayout w:type="fixed"/>
          <w:tblCellMar>
            <w:left w:w="120" w:type="dxa"/>
            <w:right w:w="120" w:type="dxa"/>
          </w:tblCellMar>
          <w:tblLook w:val="0000"/>
        </w:tblPrEx>
        <w:tc>
          <w:tcPr>
            <w:tcW w:w="1650" w:type="dxa"/>
            <w:tcBorders>
              <w:top w:val="single" w:sz="8" w:space="0" w:color="000000"/>
              <w:left w:val="single" w:sz="7" w:space="0" w:color="000000"/>
              <w:bottom w:val="single" w:sz="7" w:space="0" w:color="000000"/>
              <w:right w:val="single" w:sz="7" w:space="0" w:color="000000"/>
            </w:tcBorders>
          </w:tcPr>
          <w:p w:rsidR="00503BB4" w:rsidRPr="002B49B4" w:rsidP="00503BB4" w14:paraId="1B0EADA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r w:rsidRPr="002B49B4">
              <w:rPr>
                <w:b/>
                <w:color w:val="000000"/>
              </w:rPr>
              <w:t>Total</w:t>
            </w:r>
          </w:p>
        </w:tc>
        <w:tc>
          <w:tcPr>
            <w:tcW w:w="1620" w:type="dxa"/>
            <w:tcBorders>
              <w:top w:val="single" w:sz="8" w:space="0" w:color="000000"/>
              <w:left w:val="single" w:sz="7" w:space="0" w:color="000000"/>
              <w:bottom w:val="single" w:sz="7" w:space="0" w:color="000000"/>
              <w:right w:val="single" w:sz="7" w:space="0" w:color="000000"/>
            </w:tcBorders>
          </w:tcPr>
          <w:p w:rsidR="00503BB4" w:rsidRPr="002B49B4" w:rsidP="00503BB4" w14:paraId="1D2974E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rsidR="00503BB4" w:rsidRPr="002B49B4" w:rsidP="00DC1889" w14:paraId="5A769E74" w14:textId="64565F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Pr>
                <w:b/>
                <w:color w:val="000000"/>
              </w:rPr>
              <w:t>5</w:t>
            </w:r>
            <w:r w:rsidR="00512EEC">
              <w:rPr>
                <w:b/>
                <w:color w:val="000000"/>
              </w:rPr>
              <w:t>0</w:t>
            </w:r>
            <w:r>
              <w:rPr>
                <w:b/>
                <w:color w:val="000000"/>
              </w:rPr>
              <w:t>,</w:t>
            </w:r>
            <w:r>
              <w:rPr>
                <w:b/>
                <w:color w:val="000000"/>
              </w:rPr>
              <w:t>000</w:t>
            </w:r>
          </w:p>
        </w:tc>
        <w:tc>
          <w:tcPr>
            <w:tcW w:w="1440" w:type="dxa"/>
            <w:tcBorders>
              <w:top w:val="single" w:sz="8" w:space="0" w:color="000000"/>
              <w:left w:val="single" w:sz="7" w:space="0" w:color="000000"/>
              <w:bottom w:val="single" w:sz="7" w:space="0" w:color="000000"/>
              <w:right w:val="single" w:sz="7" w:space="0" w:color="000000"/>
            </w:tcBorders>
          </w:tcPr>
          <w:p w:rsidR="00503BB4" w:rsidRPr="002B49B4" w:rsidP="00503BB4" w14:paraId="13A9AE7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1350" w:type="dxa"/>
            <w:tcBorders>
              <w:top w:val="single" w:sz="8" w:space="0" w:color="000000"/>
              <w:left w:val="single" w:sz="7" w:space="0" w:color="000000"/>
              <w:bottom w:val="single" w:sz="7" w:space="0" w:color="000000"/>
              <w:right w:val="single" w:sz="7" w:space="0" w:color="000000"/>
            </w:tcBorders>
          </w:tcPr>
          <w:p w:rsidR="00503BB4" w:rsidRPr="002B49B4" w:rsidP="00503BB4" w14:paraId="6F97F64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p>
        </w:tc>
        <w:tc>
          <w:tcPr>
            <w:tcW w:w="2070" w:type="dxa"/>
            <w:tcBorders>
              <w:top w:val="single" w:sz="8" w:space="0" w:color="000000"/>
              <w:left w:val="single" w:sz="7" w:space="0" w:color="000000"/>
              <w:bottom w:val="single" w:sz="7" w:space="0" w:color="000000"/>
              <w:right w:val="single" w:sz="7" w:space="0" w:color="000000"/>
            </w:tcBorders>
          </w:tcPr>
          <w:p w:rsidR="00503BB4" w:rsidRPr="002B49B4" w:rsidP="009C50AC" w14:paraId="33CF1DB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b/>
                <w:color w:val="000000"/>
              </w:rPr>
            </w:pPr>
            <w:r>
              <w:rPr>
                <w:b/>
                <w:color w:val="000000"/>
              </w:rPr>
              <w:t>20,000</w:t>
            </w:r>
          </w:p>
        </w:tc>
      </w:tr>
    </w:tbl>
    <w:p w:rsidR="00885576" w:rsidP="00291FB8" w14:paraId="05CA083E" w14:textId="77777777">
      <w:pPr>
        <w:pStyle w:val="BodyText1"/>
        <w:spacing w:line="240" w:lineRule="auto"/>
        <w:ind w:left="0" w:firstLine="0"/>
        <w:rPr>
          <w:b/>
          <w:szCs w:val="24"/>
        </w:rPr>
      </w:pPr>
    </w:p>
    <w:p w:rsidR="00E049ED" w:rsidRPr="00022A54" w:rsidP="00E049ED" w14:paraId="32AAE3C1" w14:textId="69550A4D">
      <w:pPr>
        <w:tabs>
          <w:tab w:val="left" w:pos="0"/>
        </w:tabs>
      </w:pPr>
      <w:r w:rsidRPr="00022A54">
        <w:rPr>
          <w:b/>
          <w:bCs/>
        </w:rPr>
        <w:t xml:space="preserve">A.12.B </w:t>
      </w:r>
      <w:r w:rsidR="004E5183">
        <w:rPr>
          <w:b/>
          <w:bCs/>
        </w:rPr>
        <w:t xml:space="preserve">- </w:t>
      </w:r>
      <w:r w:rsidRPr="00022A54">
        <w:rPr>
          <w:b/>
          <w:bCs/>
        </w:rPr>
        <w:t xml:space="preserve">Annualized </w:t>
      </w:r>
      <w:r w:rsidR="004E5183">
        <w:rPr>
          <w:b/>
          <w:bCs/>
        </w:rPr>
        <w:t xml:space="preserve">Burden </w:t>
      </w:r>
      <w:r w:rsidRPr="00022A54">
        <w:rPr>
          <w:b/>
          <w:bCs/>
        </w:rPr>
        <w:t xml:space="preserve">Costs </w:t>
      </w:r>
    </w:p>
    <w:p w:rsidR="00885576" w:rsidP="00885576" w14:paraId="60F0238D" w14:textId="77777777">
      <w:pPr>
        <w:pStyle w:val="BodyText1"/>
        <w:spacing w:line="240" w:lineRule="auto"/>
        <w:ind w:left="0" w:firstLine="0"/>
      </w:pPr>
      <w:r w:rsidRPr="002B49B4">
        <w:t xml:space="preserve">Collections by health jurisdictions are generally funded through cooperative grants and these will be noted in the specific collection requests.  The annualized cost to the respondent is segmented accordingly in Exhibit A.12.B.    </w:t>
      </w:r>
      <w:r>
        <w:t xml:space="preserve"> </w:t>
      </w:r>
    </w:p>
    <w:p w:rsidR="002B49B4" w:rsidRPr="002B49B4" w:rsidP="00885576" w14:paraId="7790BA27" w14:textId="073116F4">
      <w:pPr>
        <w:pStyle w:val="BodyText1"/>
        <w:spacing w:line="240" w:lineRule="auto"/>
        <w:ind w:left="0" w:firstLine="0"/>
        <w:rPr>
          <w:bCs/>
        </w:rPr>
      </w:pPr>
      <w:r>
        <w:t>T</w:t>
      </w:r>
      <w:r w:rsidRPr="002B49B4">
        <w:t>he United States Department of Labor, Bureau of Labor Statistics</w:t>
      </w:r>
      <w:r w:rsidR="0017776D">
        <w:t>,</w:t>
      </w:r>
      <w:r w:rsidRPr="002B49B4">
        <w:t xml:space="preserve"> May,</w:t>
      </w:r>
      <w:r w:rsidR="00D71D3D">
        <w:t xml:space="preserve"> </w:t>
      </w:r>
      <w:r w:rsidRPr="002B49B4" w:rsidR="00D71D3D">
        <w:t>20</w:t>
      </w:r>
      <w:r w:rsidR="00D71D3D">
        <w:t xml:space="preserve">21 </w:t>
      </w:r>
      <w:hyperlink r:id="rId5" w:history="1">
        <w:r w:rsidRPr="0017776D" w:rsidR="0017776D">
          <w:rPr>
            <w:rStyle w:val="Hyperlink"/>
          </w:rPr>
          <w:t>http://www.bls.gov/oes/current/oes_nat.htm</w:t>
        </w:r>
      </w:hyperlink>
      <w:r w:rsidRPr="002B49B4">
        <w:t xml:space="preserve">.) </w:t>
      </w:r>
      <w:r w:rsidR="009C50AC">
        <w:t xml:space="preserve">data </w:t>
      </w:r>
      <w:r w:rsidRPr="002B49B4">
        <w:t>w</w:t>
      </w:r>
      <w:r w:rsidR="009C50AC">
        <w:t>ere</w:t>
      </w:r>
      <w:r w:rsidRPr="002B49B4">
        <w:t xml:space="preserve"> used to estimate the hourly wage rate for the general public and for private providers for the purpose of this generic request.  Each project will have cost specific to the category of the respondents.  Because it is not known what the wage rate category will be appropriate for </w:t>
      </w:r>
      <w:r w:rsidRPr="002B49B4">
        <w:t>the specific</w:t>
      </w:r>
      <w:r w:rsidRPr="002B49B4">
        <w:t xml:space="preserve"> projects (or even whether they will be employed at all), the figure of $2</w:t>
      </w:r>
      <w:r w:rsidR="0017776D">
        <w:t>5</w:t>
      </w:r>
      <w:r w:rsidRPr="002B49B4">
        <w:t xml:space="preserve">.00 per hour was used as an estimate of average hourly wage across the country.   </w:t>
      </w:r>
    </w:p>
    <w:p w:rsidR="00E049ED" w:rsidRPr="00022A54" w:rsidP="00E049ED" w14:paraId="06425385" w14:textId="77777777">
      <w:pPr>
        <w:pStyle w:val="Exhibittitle"/>
        <w:rPr>
          <w:szCs w:val="24"/>
        </w:rPr>
      </w:pPr>
      <w:bookmarkStart w:id="6" w:name="_Toc173739005"/>
      <w:r w:rsidRPr="00022A54">
        <w:rPr>
          <w:szCs w:val="24"/>
        </w:rPr>
        <w:t>Exhibit A.12.B.</w:t>
      </w:r>
      <w:r w:rsidRPr="00022A54">
        <w:rPr>
          <w:szCs w:val="24"/>
        </w:rPr>
        <w:tab/>
        <w:t>Annualized Cost to Respondents</w:t>
      </w:r>
      <w:bookmarkEnd w:id="6"/>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2340"/>
        <w:gridCol w:w="1800"/>
        <w:gridCol w:w="2250"/>
      </w:tblGrid>
      <w:tr w14:paraId="25F42B3B" w14:textId="77777777" w:rsidTr="002B49B4">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610" w:type="dxa"/>
          </w:tcPr>
          <w:p w:rsidR="002B49B4" w:rsidRPr="002B49B4" w:rsidP="002B49B4" w14:paraId="398AD7C7" w14:textId="77777777">
            <w:pPr>
              <w:widowControl w:val="0"/>
              <w:autoSpaceDE w:val="0"/>
              <w:autoSpaceDN w:val="0"/>
              <w:adjustRightInd w:val="0"/>
              <w:spacing w:after="0"/>
              <w:ind w:left="0" w:firstLine="0"/>
              <w:rPr>
                <w:b/>
                <w:bCs/>
              </w:rPr>
            </w:pPr>
            <w:r w:rsidRPr="002B49B4">
              <w:rPr>
                <w:b/>
                <w:bCs/>
              </w:rPr>
              <w:t>Activity</w:t>
            </w:r>
          </w:p>
        </w:tc>
        <w:tc>
          <w:tcPr>
            <w:tcW w:w="2340" w:type="dxa"/>
          </w:tcPr>
          <w:p w:rsidR="002B49B4" w:rsidRPr="002B49B4" w:rsidP="002B49B4" w14:paraId="1E84CB8E" w14:textId="77777777">
            <w:pPr>
              <w:widowControl w:val="0"/>
              <w:autoSpaceDE w:val="0"/>
              <w:autoSpaceDN w:val="0"/>
              <w:adjustRightInd w:val="0"/>
              <w:spacing w:after="0"/>
              <w:ind w:left="0" w:firstLine="0"/>
              <w:jc w:val="center"/>
              <w:rPr>
                <w:b/>
                <w:bCs/>
              </w:rPr>
            </w:pPr>
            <w:r w:rsidRPr="002B49B4">
              <w:rPr>
                <w:b/>
                <w:bCs/>
              </w:rPr>
              <w:t>Total Burden Hours</w:t>
            </w:r>
          </w:p>
        </w:tc>
        <w:tc>
          <w:tcPr>
            <w:tcW w:w="1800" w:type="dxa"/>
          </w:tcPr>
          <w:p w:rsidR="002B49B4" w:rsidRPr="002B49B4" w:rsidP="002B49B4" w14:paraId="6781CD64" w14:textId="77777777">
            <w:pPr>
              <w:widowControl w:val="0"/>
              <w:autoSpaceDE w:val="0"/>
              <w:autoSpaceDN w:val="0"/>
              <w:adjustRightInd w:val="0"/>
              <w:spacing w:after="0"/>
              <w:ind w:left="0" w:firstLine="0"/>
              <w:jc w:val="center"/>
              <w:rPr>
                <w:b/>
                <w:bCs/>
              </w:rPr>
            </w:pPr>
            <w:r w:rsidRPr="002B49B4">
              <w:rPr>
                <w:b/>
                <w:bCs/>
              </w:rPr>
              <w:t>Hourly Wage Rate</w:t>
            </w:r>
          </w:p>
        </w:tc>
        <w:tc>
          <w:tcPr>
            <w:tcW w:w="2250" w:type="dxa"/>
          </w:tcPr>
          <w:p w:rsidR="002B49B4" w:rsidRPr="002B49B4" w:rsidP="002B49B4" w14:paraId="79B1681D" w14:textId="77777777">
            <w:pPr>
              <w:widowControl w:val="0"/>
              <w:autoSpaceDE w:val="0"/>
              <w:autoSpaceDN w:val="0"/>
              <w:adjustRightInd w:val="0"/>
              <w:spacing w:after="0"/>
              <w:ind w:left="0" w:firstLine="0"/>
              <w:jc w:val="center"/>
              <w:rPr>
                <w:b/>
                <w:bCs/>
              </w:rPr>
            </w:pPr>
            <w:r w:rsidRPr="002B49B4">
              <w:rPr>
                <w:b/>
                <w:bCs/>
              </w:rPr>
              <w:t>Total Respondent Cost</w:t>
            </w:r>
          </w:p>
        </w:tc>
      </w:tr>
      <w:tr w14:paraId="246C7E40" w14:textId="77777777" w:rsidTr="002B49B4">
        <w:tblPrEx>
          <w:tblW w:w="9000" w:type="dxa"/>
          <w:tblInd w:w="18" w:type="dxa"/>
          <w:tblLook w:val="0000"/>
        </w:tblPrEx>
        <w:trPr>
          <w:trHeight w:val="314"/>
        </w:trPr>
        <w:tc>
          <w:tcPr>
            <w:tcW w:w="2610" w:type="dxa"/>
          </w:tcPr>
          <w:p w:rsidR="002B49B4" w:rsidRPr="002B49B4" w:rsidP="005131F3" w14:paraId="232B324E" w14:textId="77777777">
            <w:pPr>
              <w:autoSpaceDE w:val="0"/>
              <w:autoSpaceDN w:val="0"/>
              <w:adjustRightInd w:val="0"/>
              <w:spacing w:after="58"/>
              <w:ind w:left="0" w:firstLine="0"/>
              <w:rPr>
                <w:color w:val="000000"/>
              </w:rPr>
            </w:pPr>
            <w:r>
              <w:rPr>
                <w:color w:val="000000"/>
              </w:rPr>
              <w:t xml:space="preserve">Data collection </w:t>
            </w:r>
          </w:p>
        </w:tc>
        <w:tc>
          <w:tcPr>
            <w:tcW w:w="2340" w:type="dxa"/>
          </w:tcPr>
          <w:p w:rsidR="002B49B4" w:rsidRPr="002B49B4" w:rsidP="009C50AC" w14:paraId="4B3592D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20,000</w:t>
            </w:r>
          </w:p>
        </w:tc>
        <w:tc>
          <w:tcPr>
            <w:tcW w:w="1800" w:type="dxa"/>
          </w:tcPr>
          <w:p w:rsidR="002B49B4" w:rsidRPr="002B49B4" w:rsidP="0017776D" w14:paraId="614ECD91" w14:textId="77777777">
            <w:pPr>
              <w:widowControl w:val="0"/>
              <w:autoSpaceDE w:val="0"/>
              <w:autoSpaceDN w:val="0"/>
              <w:adjustRightInd w:val="0"/>
              <w:spacing w:after="0"/>
              <w:ind w:left="0" w:firstLine="0"/>
              <w:jc w:val="right"/>
            </w:pPr>
            <w:r w:rsidRPr="002B49B4">
              <w:t>$2</w:t>
            </w:r>
            <w:r w:rsidR="0017776D">
              <w:t>5</w:t>
            </w:r>
            <w:r w:rsidRPr="002B49B4">
              <w:t>.00</w:t>
            </w:r>
          </w:p>
        </w:tc>
        <w:tc>
          <w:tcPr>
            <w:tcW w:w="2250" w:type="dxa"/>
          </w:tcPr>
          <w:p w:rsidR="002B49B4" w:rsidRPr="002B49B4" w:rsidP="0017776D" w14:paraId="27312BDD" w14:textId="77777777">
            <w:pPr>
              <w:widowControl w:val="0"/>
              <w:autoSpaceDE w:val="0"/>
              <w:autoSpaceDN w:val="0"/>
              <w:adjustRightInd w:val="0"/>
              <w:spacing w:after="0" w:line="480" w:lineRule="auto"/>
              <w:ind w:left="0" w:firstLine="0"/>
              <w:jc w:val="right"/>
            </w:pPr>
            <w:r>
              <w:t>$</w:t>
            </w:r>
            <w:r w:rsidR="0017776D">
              <w:t>5</w:t>
            </w:r>
            <w:r w:rsidR="00665F61">
              <w:t>00</w:t>
            </w:r>
            <w:r w:rsidR="009C50AC">
              <w:t>,000</w:t>
            </w:r>
          </w:p>
        </w:tc>
      </w:tr>
    </w:tbl>
    <w:p w:rsidR="00E049ED" w:rsidP="00E049ED" w14:paraId="7134233B" w14:textId="77777777">
      <w:pPr>
        <w:pStyle w:val="HTMLPreformatted"/>
        <w:rPr>
          <w:rFonts w:ascii="Times New Roman" w:hAnsi="Times New Roman" w:cs="Times New Roman"/>
          <w:sz w:val="24"/>
          <w:szCs w:val="24"/>
        </w:rPr>
      </w:pPr>
    </w:p>
    <w:p w:rsidR="00E049ED" w:rsidRPr="00022A54" w:rsidP="00E049ED" w14:paraId="7838814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rsidR="00E049ED" w:rsidRPr="00022A54" w:rsidP="00E049ED" w14:paraId="2AC52BF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022A54">
        <w:t>CDC does not anticipate providing start up or other related costs to private entities.</w:t>
      </w:r>
    </w:p>
    <w:p w:rsidR="00E049ED" w:rsidRPr="00022A54" w:rsidP="00E049ED" w14:paraId="69352142" w14:textId="77777777">
      <w:pPr>
        <w:tabs>
          <w:tab w:val="left" w:pos="0"/>
        </w:tabs>
      </w:pPr>
      <w:r w:rsidRPr="00022A54">
        <w:rPr>
          <w:b/>
          <w:bCs/>
        </w:rPr>
        <w:t>A.14</w:t>
      </w:r>
      <w:r w:rsidRPr="00022A54">
        <w:t>.</w:t>
      </w:r>
      <w:r w:rsidRPr="00022A54">
        <w:tab/>
      </w:r>
      <w:r w:rsidRPr="00022A54">
        <w:rPr>
          <w:b/>
          <w:bCs/>
          <w:u w:val="single"/>
        </w:rPr>
        <w:t xml:space="preserve">Annualized Costs to the Government   </w:t>
      </w:r>
    </w:p>
    <w:p w:rsidR="002A2784" w:rsidP="006E3A26" w14:paraId="3649E274" w14:textId="77777777">
      <w:pPr>
        <w:tabs>
          <w:tab w:val="left" w:pos="4320"/>
          <w:tab w:val="left" w:pos="6120"/>
          <w:tab w:val="right" w:pos="8280"/>
        </w:tabs>
        <w:ind w:left="0" w:firstLine="0"/>
      </w:pPr>
      <w:r w:rsidRPr="00022A54">
        <w:t>Actual annualized costs to the government will vary depending on the specific needs of the individual information collection activity.</w:t>
      </w:r>
      <w:r w:rsidRPr="00022A54" w:rsidR="00C651E0">
        <w:t xml:space="preserve"> </w:t>
      </w:r>
      <w:r w:rsidRPr="00022A54">
        <w:t>Generally, each development activity</w:t>
      </w:r>
      <w:r w:rsidRPr="00022A54" w:rsidR="00301939">
        <w:t xml:space="preserve"> will involve participation of </w:t>
      </w:r>
      <w:r w:rsidRPr="00022A54">
        <w:t>at least one CDC project officer (GS-12, 13 or 14 levels) who will be responsible for the project design, obtaining IRB approvals, providing project oversight, and analysis and dissemination of the results. The CDC project officer will provide remote and onsite technical assistance to the local areas implementing the data collection. Travel may be required to provide this technical assistance.</w:t>
      </w:r>
      <w:r w:rsidRPr="00022A54" w:rsidR="00C651E0">
        <w:t xml:space="preserve"> </w:t>
      </w:r>
      <w:r w:rsidRPr="00022A54">
        <w:t>In some cases, a CDC data manager’s (typically a contractor equivalent to GS</w:t>
      </w:r>
      <w:r w:rsidRPr="00022A54" w:rsidR="004B468F">
        <w:t xml:space="preserve">-9) time may also be required. </w:t>
      </w:r>
      <w:r w:rsidRPr="00022A54" w:rsidR="00232D54">
        <w:t>An estimated average cost per individual activity is listed below, but detailed costs will be submitted with each individual collection request.</w:t>
      </w:r>
    </w:p>
    <w:p w:rsidR="00232D54" w:rsidRPr="00022A54" w:rsidP="006E3A26" w14:paraId="4B81512F" w14:textId="77777777">
      <w:pPr>
        <w:tabs>
          <w:tab w:val="left" w:pos="4320"/>
          <w:tab w:val="left" w:pos="6120"/>
          <w:tab w:val="right" w:pos="8280"/>
        </w:tabs>
        <w:ind w:left="0" w:firstLine="0"/>
      </w:pPr>
      <w:r w:rsidRPr="00022A5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40"/>
        <w:gridCol w:w="1619"/>
      </w:tblGrid>
      <w:tr w14:paraId="5146285D" w14:textId="77777777" w:rsidTr="002D3EDE">
        <w:tblPrEx>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1" w:type="dxa"/>
          </w:tcPr>
          <w:p w:rsidR="00232D54" w:rsidRPr="00022A54" w:rsidP="00D83DA1" w14:paraId="3B1458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022A54">
              <w:rPr>
                <w:b/>
                <w:bCs/>
                <w:color w:val="000000"/>
              </w:rPr>
              <w:t>Expense Type</w:t>
            </w:r>
          </w:p>
        </w:tc>
        <w:tc>
          <w:tcPr>
            <w:tcW w:w="5040" w:type="dxa"/>
          </w:tcPr>
          <w:p w:rsidR="00232D54" w:rsidRPr="00022A54" w:rsidP="00D83DA1" w14:paraId="1685E4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highlight w:val="yellow"/>
              </w:rPr>
            </w:pPr>
            <w:r w:rsidRPr="00022A54">
              <w:rPr>
                <w:b/>
                <w:bCs/>
                <w:color w:val="000000"/>
              </w:rPr>
              <w:t>Expense Explanation</w:t>
            </w:r>
          </w:p>
        </w:tc>
        <w:tc>
          <w:tcPr>
            <w:tcW w:w="1619" w:type="dxa"/>
          </w:tcPr>
          <w:p w:rsidR="00232D54" w:rsidRPr="00022A54" w:rsidP="00D83DA1" w14:paraId="29ACF487" w14:textId="77777777">
            <w:pPr>
              <w:spacing w:line="50" w:lineRule="exact"/>
              <w:rPr>
                <w:b/>
                <w:color w:val="000000"/>
              </w:rPr>
            </w:pPr>
          </w:p>
          <w:p w:rsidR="00232D54" w:rsidRPr="00022A54" w:rsidP="00D83DA1" w14:paraId="6B2DA5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color w:val="000000"/>
              </w:rPr>
            </w:pPr>
            <w:r w:rsidRPr="00022A54">
              <w:rPr>
                <w:b/>
                <w:bCs/>
                <w:color w:val="000000"/>
              </w:rPr>
              <w:t>Annual Costs (dollars)</w:t>
            </w:r>
          </w:p>
        </w:tc>
      </w:tr>
      <w:tr w14:paraId="7800DA36" w14:textId="77777777" w:rsidTr="002D3EDE">
        <w:tblPrEx>
          <w:tblW w:w="0" w:type="auto"/>
          <w:tblInd w:w="108" w:type="dxa"/>
          <w:tblLook w:val="01E0"/>
        </w:tblPrEx>
        <w:tc>
          <w:tcPr>
            <w:tcW w:w="1801" w:type="dxa"/>
          </w:tcPr>
          <w:p w:rsidR="00232D54" w:rsidRPr="00022A54" w:rsidP="00D83DA1" w14:paraId="0B8754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Direct Costs to the Federal Government</w:t>
            </w:r>
          </w:p>
        </w:tc>
        <w:tc>
          <w:tcPr>
            <w:tcW w:w="5040" w:type="dxa"/>
            <w:vAlign w:val="center"/>
          </w:tcPr>
          <w:p w:rsidR="00232D54" w:rsidRPr="00022A54" w:rsidP="00D83DA1" w14:paraId="61AF3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1619" w:type="dxa"/>
            <w:vAlign w:val="center"/>
          </w:tcPr>
          <w:p w:rsidR="00232D54" w:rsidRPr="00022A54" w:rsidP="00D83DA1" w14:paraId="19840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color w:val="000000"/>
              </w:rPr>
            </w:pPr>
          </w:p>
        </w:tc>
      </w:tr>
      <w:tr w14:paraId="4E7646F6" w14:textId="77777777" w:rsidTr="002D3EDE">
        <w:tblPrEx>
          <w:tblW w:w="0" w:type="auto"/>
          <w:tblInd w:w="108" w:type="dxa"/>
          <w:tblLook w:val="01E0"/>
        </w:tblPrEx>
        <w:tc>
          <w:tcPr>
            <w:tcW w:w="1801" w:type="dxa"/>
          </w:tcPr>
          <w:p w:rsidR="00C0051C" w:rsidRPr="00022A54" w:rsidP="00C0051C" w14:paraId="53C03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C0051C" w14:paraId="111C63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Project Officer (GS-12/13, 0.5 FTE)</w:t>
            </w:r>
          </w:p>
        </w:tc>
        <w:tc>
          <w:tcPr>
            <w:tcW w:w="1619" w:type="dxa"/>
            <w:vAlign w:val="center"/>
          </w:tcPr>
          <w:p w:rsidR="00C0051C" w:rsidRPr="0000202D" w:rsidP="0000202D" w14:paraId="0916E5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w:t>
            </w:r>
            <w:r w:rsidRPr="0000202D">
              <w:rPr>
                <w:color w:val="000000"/>
              </w:rPr>
              <w:t>40,641</w:t>
            </w:r>
          </w:p>
        </w:tc>
      </w:tr>
      <w:tr w14:paraId="580569C8" w14:textId="77777777" w:rsidTr="002D3EDE">
        <w:tblPrEx>
          <w:tblW w:w="0" w:type="auto"/>
          <w:tblInd w:w="108" w:type="dxa"/>
          <w:tblLook w:val="01E0"/>
        </w:tblPrEx>
        <w:tc>
          <w:tcPr>
            <w:tcW w:w="1801" w:type="dxa"/>
          </w:tcPr>
          <w:p w:rsidR="00C0051C" w:rsidRPr="00022A54" w:rsidP="00C0051C" w14:paraId="2A8D2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C0051C" w14:paraId="03A296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Data Manager (GS-9/10, 0.25 FTE)</w:t>
            </w:r>
          </w:p>
        </w:tc>
        <w:tc>
          <w:tcPr>
            <w:tcW w:w="1619" w:type="dxa"/>
            <w:vAlign w:val="center"/>
          </w:tcPr>
          <w:p w:rsidR="00C0051C" w:rsidRPr="0000202D" w:rsidP="0000202D" w14:paraId="0F7008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Pr>
                <w:color w:val="000000"/>
              </w:rPr>
              <w:t>$13,450</w:t>
            </w:r>
          </w:p>
        </w:tc>
      </w:tr>
      <w:tr w14:paraId="6B55C036" w14:textId="77777777" w:rsidTr="002D3EDE">
        <w:tblPrEx>
          <w:tblW w:w="0" w:type="auto"/>
          <w:tblInd w:w="108" w:type="dxa"/>
          <w:tblLook w:val="01E0"/>
        </w:tblPrEx>
        <w:tc>
          <w:tcPr>
            <w:tcW w:w="1801" w:type="dxa"/>
          </w:tcPr>
          <w:p w:rsidR="00C0051C" w:rsidRPr="00022A54" w:rsidP="00C0051C" w14:paraId="62B805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5040" w:type="dxa"/>
            <w:vAlign w:val="center"/>
          </w:tcPr>
          <w:p w:rsidR="00C0051C" w:rsidRPr="00022A54" w:rsidP="002D3EDE" w14:paraId="48C95B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CDC Travel (1</w:t>
            </w:r>
            <w:r w:rsidR="002D3EDE">
              <w:rPr>
                <w:color w:val="000000"/>
              </w:rPr>
              <w:t>0</w:t>
            </w:r>
            <w:r w:rsidRPr="00022A54">
              <w:rPr>
                <w:color w:val="000000"/>
              </w:rPr>
              <w:t xml:space="preserve"> trips)</w:t>
            </w:r>
          </w:p>
        </w:tc>
        <w:tc>
          <w:tcPr>
            <w:tcW w:w="1619" w:type="dxa"/>
            <w:vAlign w:val="center"/>
          </w:tcPr>
          <w:p w:rsidR="00C0051C" w:rsidRPr="002D3EDE" w:rsidP="0000202D" w14:paraId="6FD57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2D3EDE">
              <w:rPr>
                <w:color w:val="000000"/>
              </w:rPr>
              <w:t>$20,000</w:t>
            </w:r>
          </w:p>
        </w:tc>
      </w:tr>
      <w:tr w14:paraId="574BC413" w14:textId="77777777" w:rsidTr="002D3EDE">
        <w:tblPrEx>
          <w:tblW w:w="0" w:type="auto"/>
          <w:tblInd w:w="108" w:type="dxa"/>
          <w:tblLook w:val="01E0"/>
        </w:tblPrEx>
        <w:tc>
          <w:tcPr>
            <w:tcW w:w="1801" w:type="dxa"/>
          </w:tcPr>
          <w:p w:rsidR="00C0051C" w:rsidRPr="00022A54" w:rsidP="00C0051C" w14:paraId="53BBD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vAlign w:val="center"/>
          </w:tcPr>
          <w:p w:rsidR="00C0051C" w:rsidRPr="007B6EE4" w:rsidP="00C0051C" w14:paraId="67DAAA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Subtotal, Direct costs</w:t>
            </w:r>
          </w:p>
        </w:tc>
        <w:tc>
          <w:tcPr>
            <w:tcW w:w="1619" w:type="dxa"/>
            <w:vAlign w:val="center"/>
          </w:tcPr>
          <w:p w:rsidR="00C0051C" w:rsidRPr="007B6EE4" w:rsidP="0000202D" w14:paraId="4ACA8B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rPr>
            </w:pPr>
            <w:r w:rsidRPr="007B6EE4">
              <w:rPr>
                <w:color w:val="000000"/>
              </w:rPr>
              <w:t>$7</w:t>
            </w:r>
            <w:r w:rsidRPr="007B6EE4" w:rsidR="0000202D">
              <w:rPr>
                <w:color w:val="000000"/>
              </w:rPr>
              <w:t>4,091</w:t>
            </w:r>
          </w:p>
        </w:tc>
      </w:tr>
      <w:tr w14:paraId="65751104" w14:textId="77777777" w:rsidTr="002D3EDE">
        <w:tblPrEx>
          <w:tblW w:w="0" w:type="auto"/>
          <w:tblInd w:w="108" w:type="dxa"/>
          <w:tblLook w:val="01E0"/>
        </w:tblPrEx>
        <w:tc>
          <w:tcPr>
            <w:tcW w:w="1801" w:type="dxa"/>
          </w:tcPr>
          <w:p w:rsidR="00C0051C" w:rsidRPr="00022A54" w:rsidP="00C0051C" w14:paraId="10ADF9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022A54">
              <w:rPr>
                <w:color w:val="000000"/>
              </w:rPr>
              <w:t>Cooperative Agreement or Contract</w:t>
            </w:r>
          </w:p>
        </w:tc>
        <w:tc>
          <w:tcPr>
            <w:tcW w:w="5040" w:type="dxa"/>
          </w:tcPr>
          <w:p w:rsidR="00C0051C" w:rsidRPr="00022A54" w:rsidP="00C0051C" w14:paraId="7D56D7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022A54">
              <w:rPr>
                <w:color w:val="000000"/>
              </w:rPr>
              <w:t xml:space="preserve">Cooperative Agreements, Task </w:t>
            </w:r>
            <w:r w:rsidRPr="00022A54">
              <w:rPr>
                <w:color w:val="000000"/>
              </w:rPr>
              <w:t>orders,  or</w:t>
            </w:r>
            <w:r w:rsidRPr="00022A54">
              <w:rPr>
                <w:color w:val="000000"/>
              </w:rPr>
              <w:t xml:space="preserve"> Contracts for implementation or information management </w:t>
            </w:r>
          </w:p>
        </w:tc>
        <w:tc>
          <w:tcPr>
            <w:tcW w:w="1619" w:type="dxa"/>
          </w:tcPr>
          <w:p w:rsidR="00C0051C" w:rsidRPr="002D3EDE" w:rsidP="0000202D" w14:paraId="079E78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2D3EDE">
              <w:rPr>
                <w:color w:val="000000"/>
              </w:rPr>
              <w:t>$</w:t>
            </w:r>
            <w:r>
              <w:rPr>
                <w:color w:val="000000"/>
              </w:rPr>
              <w:t>4</w:t>
            </w:r>
            <w:r w:rsidRPr="002D3EDE">
              <w:rPr>
                <w:color w:val="000000"/>
              </w:rPr>
              <w:t>00,000</w:t>
            </w:r>
          </w:p>
        </w:tc>
      </w:tr>
      <w:tr w14:paraId="7405FC61" w14:textId="77777777" w:rsidTr="002D3EDE">
        <w:tblPrEx>
          <w:tblW w:w="0" w:type="auto"/>
          <w:tblInd w:w="108" w:type="dxa"/>
          <w:tblLook w:val="01E0"/>
        </w:tblPrEx>
        <w:tc>
          <w:tcPr>
            <w:tcW w:w="1801" w:type="dxa"/>
          </w:tcPr>
          <w:p w:rsidR="00C0051C" w:rsidRPr="00022A54" w:rsidP="00C0051C" w14:paraId="571AA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tc>
        <w:tc>
          <w:tcPr>
            <w:tcW w:w="5040" w:type="dxa"/>
          </w:tcPr>
          <w:p w:rsidR="00C0051C" w:rsidRPr="007B6EE4" w:rsidP="00C0051C" w14:paraId="34CEC0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color w:val="000000"/>
              </w:rPr>
            </w:pPr>
            <w:r w:rsidRPr="007B6EE4">
              <w:rPr>
                <w:color w:val="000000"/>
              </w:rPr>
              <w:t>TOTAL COST TO THE GOVERNMENT</w:t>
            </w:r>
          </w:p>
        </w:tc>
        <w:tc>
          <w:tcPr>
            <w:tcW w:w="1619" w:type="dxa"/>
          </w:tcPr>
          <w:p w:rsidR="00C0051C" w:rsidRPr="007B6EE4" w:rsidP="0000202D" w14:paraId="7AAA58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color w:val="000000"/>
              </w:rPr>
            </w:pPr>
            <w:r w:rsidRPr="007B6EE4">
              <w:rPr>
                <w:color w:val="000000"/>
              </w:rPr>
              <w:t>$474,091</w:t>
            </w:r>
          </w:p>
        </w:tc>
      </w:tr>
    </w:tbl>
    <w:p w:rsidR="00161E86" w:rsidRPr="00022A54" w:rsidP="00662F81" w14:paraId="24B01871" w14:textId="77777777">
      <w:pPr>
        <w:tabs>
          <w:tab w:val="left" w:pos="4320"/>
          <w:tab w:val="left" w:pos="6120"/>
          <w:tab w:val="right" w:pos="8280"/>
        </w:tabs>
      </w:pPr>
      <w:r w:rsidRPr="00022A54">
        <w:t xml:space="preserve"> </w:t>
      </w:r>
    </w:p>
    <w:p w:rsidR="00662F81" w:rsidRPr="00022A54" w:rsidP="00662F81" w14:paraId="12A65CA1" w14:textId="77777777">
      <w:pPr>
        <w:tabs>
          <w:tab w:val="left" w:pos="0"/>
        </w:tabs>
        <w:ind w:left="720" w:hanging="720"/>
        <w:rPr>
          <w:color w:val="000000"/>
        </w:rPr>
      </w:pPr>
      <w:r w:rsidRPr="00022A54">
        <w:rPr>
          <w:b/>
          <w:bCs/>
          <w:color w:val="000000"/>
        </w:rPr>
        <w:t>A.15.</w:t>
      </w:r>
      <w:r w:rsidRPr="00022A54">
        <w:rPr>
          <w:b/>
          <w:bCs/>
          <w:color w:val="000000"/>
        </w:rPr>
        <w:t xml:space="preserve"> </w:t>
      </w:r>
      <w:r w:rsidRPr="00022A54">
        <w:rPr>
          <w:b/>
          <w:bCs/>
          <w:color w:val="000000"/>
          <w:u w:val="single"/>
        </w:rPr>
        <w:t>Explanation for Program Changes or Adjustments</w:t>
      </w:r>
    </w:p>
    <w:p w:rsidR="00662F81" w:rsidRPr="00022A54" w:rsidP="00662F81" w14:paraId="133C3B19" w14:textId="0220E455">
      <w:pPr>
        <w:tabs>
          <w:tab w:val="left" w:pos="0"/>
        </w:tabs>
        <w:rPr>
          <w:color w:val="000000"/>
        </w:rPr>
      </w:pPr>
      <w:r>
        <w:rPr>
          <w:color w:val="000000"/>
        </w:rPr>
        <w:t xml:space="preserve"> </w:t>
      </w:r>
      <w:r w:rsidRPr="009D5A35" w:rsidR="009D5A35">
        <w:rPr>
          <w:color w:val="000000"/>
        </w:rPr>
        <w:t xml:space="preserve">This Extension </w:t>
      </w:r>
      <w:r w:rsidR="00D71D3D">
        <w:rPr>
          <w:color w:val="000000"/>
        </w:rPr>
        <w:t>does not include any changes to the</w:t>
      </w:r>
      <w:r w:rsidRPr="009D5A35" w:rsidR="009D5A35">
        <w:rPr>
          <w:color w:val="000000"/>
        </w:rPr>
        <w:t xml:space="preserve"> burden hours from the previous approval</w:t>
      </w:r>
      <w:r w:rsidR="00D71D3D">
        <w:rPr>
          <w:color w:val="000000"/>
        </w:rPr>
        <w:t>.</w:t>
      </w:r>
    </w:p>
    <w:p w:rsidR="00985B22" w:rsidP="00662F81" w14:paraId="7EA12B76" w14:textId="77777777">
      <w:pPr>
        <w:tabs>
          <w:tab w:val="left" w:pos="0"/>
        </w:tabs>
        <w:ind w:left="720" w:hanging="720"/>
        <w:rPr>
          <w:b/>
          <w:bCs/>
          <w:color w:val="000000"/>
        </w:rPr>
      </w:pPr>
    </w:p>
    <w:p w:rsidR="00662F81" w:rsidRPr="00022A54" w:rsidP="00662F81" w14:paraId="08B3E0D0" w14:textId="03235C86">
      <w:pPr>
        <w:tabs>
          <w:tab w:val="left" w:pos="0"/>
        </w:tabs>
        <w:ind w:left="720" w:hanging="720"/>
        <w:rPr>
          <w:color w:val="000000"/>
        </w:rPr>
      </w:pPr>
      <w:r w:rsidRPr="00022A54">
        <w:rPr>
          <w:b/>
          <w:bCs/>
          <w:color w:val="000000"/>
        </w:rPr>
        <w:t>A.16.</w:t>
      </w:r>
      <w:r w:rsidRPr="00022A54" w:rsidR="007A0C9C">
        <w:rPr>
          <w:b/>
          <w:bCs/>
          <w:color w:val="000000"/>
        </w:rPr>
        <w:t xml:space="preserve"> </w:t>
      </w:r>
      <w:r w:rsidRPr="00022A54">
        <w:rPr>
          <w:b/>
          <w:bCs/>
          <w:color w:val="000000"/>
          <w:u w:val="single"/>
        </w:rPr>
        <w:t>Plans for Tabulation and Publication and Project Time Schedule</w:t>
      </w:r>
    </w:p>
    <w:p w:rsidR="00DF2A09" w:rsidRPr="00022A54" w:rsidP="006E3A26" w14:paraId="77C43DE9" w14:textId="77777777">
      <w:pPr>
        <w:tabs>
          <w:tab w:val="left" w:pos="0"/>
        </w:tabs>
        <w:ind w:left="0" w:firstLine="0"/>
        <w:rPr>
          <w:color w:val="000000"/>
        </w:rPr>
      </w:pPr>
      <w:r w:rsidRPr="00022A54">
        <w:rPr>
          <w:color w:val="000000"/>
        </w:rPr>
        <w:t>Individual data collections under this generic approval will be time-limited and generally conducted only once</w:t>
      </w:r>
      <w:r w:rsidRPr="00022A54" w:rsidR="005E02FC">
        <w:rPr>
          <w:color w:val="000000"/>
        </w:rPr>
        <w:t>, except in the cases of individual interviews conducted during pilot testing of interventions where respondents may have to be approached several times on the same or similar topic under evaluation</w:t>
      </w:r>
      <w:r w:rsidRPr="00022A54">
        <w:rPr>
          <w:color w:val="000000"/>
        </w:rPr>
        <w:t>.  No single data collection activity will take longer than 1 year to complete from inception</w:t>
      </w:r>
      <w:r w:rsidRPr="00022A54" w:rsidR="00BA48D5">
        <w:rPr>
          <w:color w:val="000000"/>
        </w:rPr>
        <w:t xml:space="preserve"> of information collection to </w:t>
      </w:r>
      <w:r w:rsidRPr="00022A54" w:rsidR="000B2411">
        <w:rPr>
          <w:color w:val="000000"/>
        </w:rPr>
        <w:t>the first report</w:t>
      </w:r>
      <w:r w:rsidRPr="00022A54">
        <w:rPr>
          <w:color w:val="000000"/>
        </w:rPr>
        <w:t xml:space="preserve"> of findings</w:t>
      </w:r>
      <w:r w:rsidRPr="00022A54" w:rsidR="00BA48D5">
        <w:rPr>
          <w:color w:val="000000"/>
        </w:rPr>
        <w:t>.</w:t>
      </w:r>
      <w:r w:rsidRPr="00022A54" w:rsidR="001E3984">
        <w:rPr>
          <w:color w:val="000000"/>
        </w:rPr>
        <w:t xml:space="preserve"> </w:t>
      </w:r>
      <w:r w:rsidRPr="00022A54">
        <w:rPr>
          <w:color w:val="000000"/>
        </w:rPr>
        <w:t xml:space="preserve">Proposed timelines will be submitted for each individual data collection activity.  </w:t>
      </w:r>
    </w:p>
    <w:p w:rsidR="00985B22" w:rsidP="00662F81" w14:paraId="7FD8240A" w14:textId="77777777">
      <w:pPr>
        <w:tabs>
          <w:tab w:val="left" w:pos="0"/>
        </w:tabs>
        <w:rPr>
          <w:b/>
          <w:bCs/>
          <w:color w:val="000000"/>
        </w:rPr>
      </w:pPr>
    </w:p>
    <w:p w:rsidR="00662F81" w:rsidRPr="00022A54" w:rsidP="00662F81" w14:paraId="3E88163F" w14:textId="080D4336">
      <w:pPr>
        <w:tabs>
          <w:tab w:val="left" w:pos="0"/>
        </w:tabs>
        <w:rPr>
          <w:color w:val="000000"/>
        </w:rPr>
      </w:pPr>
      <w:r w:rsidRPr="00022A54">
        <w:rPr>
          <w:b/>
          <w:bCs/>
          <w:color w:val="000000"/>
        </w:rPr>
        <w:t xml:space="preserve">A.17. </w:t>
      </w:r>
      <w:r w:rsidRPr="00022A54">
        <w:rPr>
          <w:b/>
          <w:bCs/>
          <w:color w:val="000000"/>
          <w:u w:val="single"/>
        </w:rPr>
        <w:t>Reason(s) Display of OMB Expiration Date is Inappropriate</w:t>
      </w:r>
    </w:p>
    <w:p w:rsidR="00662F81" w:rsidRPr="00022A54" w:rsidP="00662F81" w14:paraId="05CA3972" w14:textId="77777777">
      <w:pPr>
        <w:tabs>
          <w:tab w:val="left" w:pos="0"/>
        </w:tabs>
        <w:rPr>
          <w:color w:val="000000"/>
        </w:rPr>
      </w:pPr>
      <w:r>
        <w:rPr>
          <w:color w:val="000000"/>
        </w:rPr>
        <w:t xml:space="preserve">The display of the </w:t>
      </w:r>
      <w:r w:rsidRPr="00022A54" w:rsidR="00776240">
        <w:rPr>
          <w:color w:val="000000"/>
        </w:rPr>
        <w:t xml:space="preserve">OMB </w:t>
      </w:r>
      <w:r>
        <w:rPr>
          <w:color w:val="000000"/>
        </w:rPr>
        <w:t>e</w:t>
      </w:r>
      <w:r w:rsidRPr="00022A54">
        <w:rPr>
          <w:color w:val="000000"/>
        </w:rPr>
        <w:t xml:space="preserve">xpiration </w:t>
      </w:r>
      <w:r>
        <w:rPr>
          <w:color w:val="000000"/>
        </w:rPr>
        <w:t>d</w:t>
      </w:r>
      <w:r w:rsidRPr="00022A54">
        <w:rPr>
          <w:color w:val="000000"/>
        </w:rPr>
        <w:t xml:space="preserve">ate </w:t>
      </w:r>
      <w:r>
        <w:rPr>
          <w:color w:val="000000"/>
        </w:rPr>
        <w:t>is not inappropriate.</w:t>
      </w:r>
    </w:p>
    <w:p w:rsidR="00985B22" w:rsidP="00662F81" w14:paraId="62C1CADF" w14:textId="77777777">
      <w:pPr>
        <w:tabs>
          <w:tab w:val="left" w:pos="0"/>
        </w:tabs>
        <w:rPr>
          <w:b/>
          <w:bCs/>
          <w:color w:val="000000"/>
        </w:rPr>
      </w:pPr>
    </w:p>
    <w:p w:rsidR="00662F81" w:rsidRPr="00022A54" w:rsidP="00662F81" w14:paraId="3A0A73A0" w14:textId="21EB8108">
      <w:pPr>
        <w:tabs>
          <w:tab w:val="left" w:pos="0"/>
        </w:tabs>
        <w:rPr>
          <w:color w:val="000000"/>
        </w:rPr>
      </w:pPr>
      <w:r w:rsidRPr="00022A54">
        <w:rPr>
          <w:b/>
          <w:bCs/>
          <w:color w:val="000000"/>
        </w:rPr>
        <w:t xml:space="preserve">A.18. </w:t>
      </w:r>
      <w:r w:rsidRPr="00022A54">
        <w:rPr>
          <w:b/>
          <w:bCs/>
          <w:color w:val="000000"/>
          <w:u w:val="single"/>
        </w:rPr>
        <w:t>Exceptions to Certification for Paperwork Reduction Act Submissions</w:t>
      </w:r>
    </w:p>
    <w:p w:rsidR="00662F81" w:rsidP="00662F81" w14:paraId="3E029738" w14:textId="77777777">
      <w:pPr>
        <w:tabs>
          <w:tab w:val="left" w:pos="0"/>
        </w:tabs>
        <w:rPr>
          <w:color w:val="000000"/>
        </w:rPr>
      </w:pPr>
      <w:r w:rsidRPr="00022A54">
        <w:rPr>
          <w:color w:val="000000"/>
        </w:rPr>
        <w:t>There are no exceptions to the certification.</w:t>
      </w:r>
    </w:p>
    <w:p w:rsidR="000A4D5E" w:rsidP="00662F81" w14:paraId="04700DDF" w14:textId="77777777">
      <w:pPr>
        <w:tabs>
          <w:tab w:val="left" w:pos="0"/>
        </w:tabs>
        <w:rPr>
          <w:color w:val="000000"/>
        </w:rPr>
      </w:pPr>
    </w:p>
    <w:p w:rsidR="000A4D5E" w:rsidP="00662F81" w14:paraId="59D0E546" w14:textId="77777777">
      <w:pPr>
        <w:tabs>
          <w:tab w:val="left" w:pos="0"/>
        </w:tabs>
        <w:rPr>
          <w:color w:val="000000"/>
        </w:rPr>
      </w:pPr>
    </w:p>
    <w:p w:rsidR="000A4D5E" w:rsidP="00662F81" w14:paraId="3DF89049" w14:textId="77777777">
      <w:pPr>
        <w:tabs>
          <w:tab w:val="left" w:pos="0"/>
        </w:tabs>
        <w:rPr>
          <w:color w:val="000000"/>
        </w:rPr>
      </w:pPr>
    </w:p>
    <w:p w:rsidR="000A4D5E" w:rsidRPr="00985B22" w:rsidP="00985B22" w14:paraId="167BBE5A" w14:textId="1A35609C">
      <w:pPr>
        <w:tabs>
          <w:tab w:val="left" w:pos="0"/>
        </w:tabs>
        <w:rPr>
          <w:b/>
          <w:bCs/>
          <w:color w:val="000000"/>
          <w:u w:val="single"/>
        </w:rPr>
      </w:pPr>
      <w:r w:rsidRPr="00985B22">
        <w:rPr>
          <w:b/>
          <w:bCs/>
          <w:color w:val="000000"/>
          <w:u w:val="single"/>
        </w:rPr>
        <w:t>REFERENCE</w:t>
      </w:r>
      <w:r w:rsidR="00985B22">
        <w:rPr>
          <w:b/>
          <w:bCs/>
          <w:color w:val="000000"/>
          <w:u w:val="single"/>
        </w:rPr>
        <w:t>S</w:t>
      </w:r>
    </w:p>
    <w:p w:rsidR="000A4D5E" w:rsidP="00662F81" w14:paraId="244252A5" w14:textId="77777777">
      <w:pPr>
        <w:tabs>
          <w:tab w:val="left" w:pos="0"/>
        </w:tabs>
        <w:rPr>
          <w:color w:val="000000"/>
        </w:rPr>
      </w:pPr>
      <w:r>
        <w:rPr>
          <w:color w:val="000000"/>
        </w:rPr>
        <w:t>Office of Management and Budget, Statistical Policy Directive No. 2: Standards and Guidelines for Statistical Surveys; Addendum: Standards and Guidelines for Cognitive Interviews. Published in the Federal Register, October 12, 2016, vol. 81, no. 197, pp. 70586.</w:t>
      </w:r>
    </w:p>
    <w:sectPr w:rsidSect="00AF71DC">
      <w:headerReference w:type="even" r:id="rId6"/>
      <w:footerReference w:type="even" r:id="rId7"/>
      <w:footerReference w:type="default" r:id="rId8"/>
      <w:endnotePr>
        <w:numFmt w:val="decimal"/>
      </w:endnotePr>
      <w:type w:val="continuous"/>
      <w:pgSz w:w="12240" w:h="15840" w:code="1"/>
      <w:pgMar w:top="1440" w:right="1170" w:bottom="1440" w:left="1440" w:header="1152"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17C298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1F5F65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F15C6A" w14:paraId="5008E94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76D">
      <w:rPr>
        <w:rStyle w:val="PageNumber"/>
        <w:noProof/>
      </w:rPr>
      <w:t>16</w:t>
    </w:r>
    <w:r>
      <w:rPr>
        <w:rStyle w:val="PageNumber"/>
      </w:rPr>
      <w:fldChar w:fldCharType="end"/>
    </w:r>
  </w:p>
  <w:p w:rsidR="002F5077" w:rsidP="005B5F63" w14:paraId="00EB4E6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5077" w:rsidP="00742647" w14:paraId="638F655E"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F5077" w14:paraId="0F30A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5">
    <w:nsid w:val="012D55B9"/>
    <w:multiLevelType w:val="hybridMultilevel"/>
    <w:tmpl w:val="1E2854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5647A"/>
    <w:multiLevelType w:val="hybridMultilevel"/>
    <w:tmpl w:val="054EC7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4E03F7"/>
    <w:multiLevelType w:val="hybridMultilevel"/>
    <w:tmpl w:val="720A5686"/>
    <w:lvl w:ilvl="0">
      <w:start w:val="1"/>
      <w:numFmt w:val="decimal"/>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5841DA"/>
    <w:multiLevelType w:val="hybridMultilevel"/>
    <w:tmpl w:val="1D64021A"/>
    <w:lvl w:ilvl="0">
      <w:start w:val="1"/>
      <w:numFmt w:val="decimal"/>
      <w:lvlText w:val="%1."/>
      <w:lvlJc w:val="left"/>
      <w:pPr>
        <w:ind w:left="108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CFD6C59"/>
    <w:multiLevelType w:val="hybridMultilevel"/>
    <w:tmpl w:val="CA6E535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17B5982"/>
    <w:multiLevelType w:val="hybridMultilevel"/>
    <w:tmpl w:val="CFDCAF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4BB7676"/>
    <w:multiLevelType w:val="hybridMultilevel"/>
    <w:tmpl w:val="9AB0F61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1AD9C14D"/>
    <w:multiLevelType w:val="hybridMultilevel"/>
    <w:tmpl w:val="177A1E54"/>
    <w:lvl w:ilvl="0">
      <w:start w:val="1"/>
      <w:numFmt w:val="bullet"/>
      <w:lvlText w:val=""/>
      <w:lvlJc w:val="left"/>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E671EFC"/>
    <w:multiLevelType w:val="hybridMultilevel"/>
    <w:tmpl w:val="DF80AAE4"/>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5056DF"/>
    <w:multiLevelType w:val="hybridMultilevel"/>
    <w:tmpl w:val="AA96BF2E"/>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98900BF"/>
    <w:multiLevelType w:val="hybridMultilevel"/>
    <w:tmpl w:val="AC6073D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1BB64D3"/>
    <w:multiLevelType w:val="hybridMultilevel"/>
    <w:tmpl w:val="56324CE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5D19C8"/>
    <w:multiLevelType w:val="hybridMultilevel"/>
    <w:tmpl w:val="7BC0D17A"/>
    <w:name w:val="AutoList42"/>
    <w:lvl w:ilvl="0">
      <w:start w:val="3"/>
      <w:numFmt w:val="lowerRoman"/>
      <w:lvlText w:val="%1."/>
      <w:lvlJc w:val="right"/>
      <w:pPr>
        <w:tabs>
          <w:tab w:val="num" w:pos="720"/>
        </w:tabs>
        <w:ind w:left="720" w:hanging="1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8725517"/>
    <w:multiLevelType w:val="hybridMultilevel"/>
    <w:tmpl w:val="91389DC0"/>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F505AA"/>
    <w:multiLevelType w:val="hybridMultilevel"/>
    <w:tmpl w:val="D272D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DDA4391"/>
    <w:multiLevelType w:val="hybridMultilevel"/>
    <w:tmpl w:val="94DC2F06"/>
    <w:lvl w:ilvl="0">
      <w:start w:val="1"/>
      <w:numFmt w:val="decimal"/>
      <w:lvlText w:val="%1."/>
      <w:lvlJc w:val="left"/>
      <w:pPr>
        <w:ind w:left="216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DF42B28"/>
    <w:multiLevelType w:val="hybridMultilevel"/>
    <w:tmpl w:val="629A2A7C"/>
    <w:lvl w:ilvl="0">
      <w:start w:val="12"/>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DE3517"/>
    <w:multiLevelType w:val="hybridMultilevel"/>
    <w:tmpl w:val="F328F6EC"/>
    <w:lvl w:ilvl="0">
      <w:start w:val="1"/>
      <w:numFmt w:val="bullet"/>
      <w:lvlText w:val="o"/>
      <w:lvlJc w:val="left"/>
      <w:pPr>
        <w:tabs>
          <w:tab w:val="num" w:pos="540"/>
        </w:tabs>
        <w:ind w:left="5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0126F36"/>
    <w:multiLevelType w:val="hybridMultilevel"/>
    <w:tmpl w:val="78EEB42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34">
    <w:nsid w:val="677835A1"/>
    <w:multiLevelType w:val="hybridMultilevel"/>
    <w:tmpl w:val="2CB0A79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C693C10"/>
    <w:multiLevelType w:val="hybridMultilevel"/>
    <w:tmpl w:val="F8A206C0"/>
    <w:lvl w:ilvl="0">
      <w:start w:val="1"/>
      <w:numFmt w:val="upperRoman"/>
      <w:lvlText w:val="%1."/>
      <w:lvlJc w:val="right"/>
      <w:pPr>
        <w:tabs>
          <w:tab w:val="num" w:pos="900"/>
        </w:tabs>
        <w:ind w:left="900" w:hanging="18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6D226D71"/>
    <w:multiLevelType w:val="hybridMultilevel"/>
    <w:tmpl w:val="B5C846CE"/>
    <w:lvl w:ilvl="0">
      <w:start w:val="1"/>
      <w:numFmt w:val="decimal"/>
      <w:lvlText w:val="%1."/>
      <w:lvlJc w:val="left"/>
      <w:pPr>
        <w:ind w:left="360" w:hanging="360"/>
      </w:p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16cid:durableId="282156322">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823421295">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21323392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236214809">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89593112">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027870961">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730933050">
    <w:abstractNumId w:val="29"/>
  </w:num>
  <w:num w:numId="8" w16cid:durableId="2107732017">
    <w:abstractNumId w:val="15"/>
  </w:num>
  <w:num w:numId="9" w16cid:durableId="1732537823">
    <w:abstractNumId w:val="35"/>
  </w:num>
  <w:num w:numId="10" w16cid:durableId="22440803">
    <w:abstractNumId w:val="16"/>
  </w:num>
  <w:num w:numId="11" w16cid:durableId="491215298">
    <w:abstractNumId w:val="24"/>
  </w:num>
  <w:num w:numId="12" w16cid:durableId="1706907473">
    <w:abstractNumId w:val="27"/>
  </w:num>
  <w:num w:numId="13" w16cid:durableId="1956207596">
    <w:abstractNumId w:val="28"/>
  </w:num>
  <w:num w:numId="14" w16cid:durableId="1037660655">
    <w:abstractNumId w:val="19"/>
  </w:num>
  <w:num w:numId="15" w16cid:durableId="529414622">
    <w:abstractNumId w:val="10"/>
  </w:num>
  <w:num w:numId="16" w16cid:durableId="1774283181">
    <w:abstractNumId w:val="26"/>
  </w:num>
  <w:num w:numId="17" w16cid:durableId="117264259">
    <w:abstractNumId w:val="20"/>
  </w:num>
  <w:num w:numId="18" w16cid:durableId="325281759">
    <w:abstractNumId w:val="32"/>
  </w:num>
  <w:num w:numId="19" w16cid:durableId="487982450">
    <w:abstractNumId w:val="31"/>
  </w:num>
  <w:num w:numId="20" w16cid:durableId="1531382347">
    <w:abstractNumId w:val="23"/>
  </w:num>
  <w:num w:numId="21" w16cid:durableId="277109927">
    <w:abstractNumId w:val="17"/>
  </w:num>
  <w:num w:numId="22" w16cid:durableId="1959216033">
    <w:abstractNumId w:val="12"/>
  </w:num>
  <w:num w:numId="23" w16cid:durableId="24718634">
    <w:abstractNumId w:val="25"/>
  </w:num>
  <w:num w:numId="24" w16cid:durableId="1939559672">
    <w:abstractNumId w:val="8"/>
  </w:num>
  <w:num w:numId="25" w16cid:durableId="1078286378">
    <w:abstractNumId w:val="36"/>
  </w:num>
  <w:num w:numId="26" w16cid:durableId="1323657327">
    <w:abstractNumId w:val="7"/>
  </w:num>
  <w:num w:numId="27" w16cid:durableId="984941214">
    <w:abstractNumId w:val="6"/>
  </w:num>
  <w:num w:numId="28" w16cid:durableId="675957061">
    <w:abstractNumId w:val="33"/>
  </w:num>
  <w:num w:numId="29" w16cid:durableId="64227937">
    <w:abstractNumId w:val="13"/>
  </w:num>
  <w:num w:numId="30" w16cid:durableId="1572613550">
    <w:abstractNumId w:val="30"/>
  </w:num>
  <w:num w:numId="31" w16cid:durableId="1860504253">
    <w:abstractNumId w:val="9"/>
  </w:num>
  <w:num w:numId="32" w16cid:durableId="400714674">
    <w:abstractNumId w:val="34"/>
  </w:num>
  <w:num w:numId="33" w16cid:durableId="1531259796">
    <w:abstractNumId w:val="5"/>
  </w:num>
  <w:num w:numId="34" w16cid:durableId="478618022">
    <w:abstractNumId w:val="21"/>
  </w:num>
  <w:num w:numId="35" w16cid:durableId="905143021">
    <w:abstractNumId w:val="14"/>
  </w:num>
  <w:num w:numId="36" w16cid:durableId="1152411427">
    <w:abstractNumId w:val="22"/>
  </w:num>
  <w:num w:numId="37" w16cid:durableId="1098529348">
    <w:abstractNumId w:val="11"/>
  </w:num>
  <w:num w:numId="38" w16cid:durableId="142087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8B"/>
    <w:rsid w:val="000009BA"/>
    <w:rsid w:val="00000E7D"/>
    <w:rsid w:val="00001968"/>
    <w:rsid w:val="0000202D"/>
    <w:rsid w:val="00002764"/>
    <w:rsid w:val="00017B42"/>
    <w:rsid w:val="00022A54"/>
    <w:rsid w:val="000259DE"/>
    <w:rsid w:val="0002754E"/>
    <w:rsid w:val="00027ABA"/>
    <w:rsid w:val="00027B74"/>
    <w:rsid w:val="00030DA5"/>
    <w:rsid w:val="000315DB"/>
    <w:rsid w:val="00031D85"/>
    <w:rsid w:val="00032124"/>
    <w:rsid w:val="00033191"/>
    <w:rsid w:val="00035595"/>
    <w:rsid w:val="000360CC"/>
    <w:rsid w:val="00036E5B"/>
    <w:rsid w:val="000403E5"/>
    <w:rsid w:val="00043480"/>
    <w:rsid w:val="00043566"/>
    <w:rsid w:val="00044742"/>
    <w:rsid w:val="00045538"/>
    <w:rsid w:val="00045A69"/>
    <w:rsid w:val="00046FFA"/>
    <w:rsid w:val="00047045"/>
    <w:rsid w:val="00055B49"/>
    <w:rsid w:val="000616B4"/>
    <w:rsid w:val="00061916"/>
    <w:rsid w:val="000627FE"/>
    <w:rsid w:val="00064F87"/>
    <w:rsid w:val="00066529"/>
    <w:rsid w:val="0006668D"/>
    <w:rsid w:val="000703D6"/>
    <w:rsid w:val="0007072A"/>
    <w:rsid w:val="00075916"/>
    <w:rsid w:val="000773D3"/>
    <w:rsid w:val="000814C1"/>
    <w:rsid w:val="00082A36"/>
    <w:rsid w:val="00085603"/>
    <w:rsid w:val="000901A5"/>
    <w:rsid w:val="000907F7"/>
    <w:rsid w:val="00091D70"/>
    <w:rsid w:val="000928D4"/>
    <w:rsid w:val="00093C81"/>
    <w:rsid w:val="00097D05"/>
    <w:rsid w:val="000A1E14"/>
    <w:rsid w:val="000A2FF3"/>
    <w:rsid w:val="000A3385"/>
    <w:rsid w:val="000A4D5E"/>
    <w:rsid w:val="000A689B"/>
    <w:rsid w:val="000B03B1"/>
    <w:rsid w:val="000B2411"/>
    <w:rsid w:val="000B295F"/>
    <w:rsid w:val="000B3000"/>
    <w:rsid w:val="000B3F98"/>
    <w:rsid w:val="000B5579"/>
    <w:rsid w:val="000C166E"/>
    <w:rsid w:val="000C6292"/>
    <w:rsid w:val="000C7994"/>
    <w:rsid w:val="000D6277"/>
    <w:rsid w:val="000E2C9A"/>
    <w:rsid w:val="000E3FAB"/>
    <w:rsid w:val="000E5D00"/>
    <w:rsid w:val="000E79C3"/>
    <w:rsid w:val="000F5494"/>
    <w:rsid w:val="000F681D"/>
    <w:rsid w:val="001116B2"/>
    <w:rsid w:val="00111BE6"/>
    <w:rsid w:val="001121FF"/>
    <w:rsid w:val="001161EE"/>
    <w:rsid w:val="00116596"/>
    <w:rsid w:val="0012089D"/>
    <w:rsid w:val="00121AC4"/>
    <w:rsid w:val="00124A5C"/>
    <w:rsid w:val="0012573B"/>
    <w:rsid w:val="0013173E"/>
    <w:rsid w:val="00132B15"/>
    <w:rsid w:val="00133117"/>
    <w:rsid w:val="001363F9"/>
    <w:rsid w:val="00142D32"/>
    <w:rsid w:val="00144D39"/>
    <w:rsid w:val="00151EE0"/>
    <w:rsid w:val="0015392C"/>
    <w:rsid w:val="001561E1"/>
    <w:rsid w:val="00157B85"/>
    <w:rsid w:val="00161E86"/>
    <w:rsid w:val="001623D4"/>
    <w:rsid w:val="00163BC3"/>
    <w:rsid w:val="0016614F"/>
    <w:rsid w:val="00166593"/>
    <w:rsid w:val="00166A41"/>
    <w:rsid w:val="001715FA"/>
    <w:rsid w:val="00172CA4"/>
    <w:rsid w:val="00173868"/>
    <w:rsid w:val="001747FF"/>
    <w:rsid w:val="001756C0"/>
    <w:rsid w:val="0017776D"/>
    <w:rsid w:val="001802AD"/>
    <w:rsid w:val="0018216D"/>
    <w:rsid w:val="0018474A"/>
    <w:rsid w:val="00187C46"/>
    <w:rsid w:val="00192008"/>
    <w:rsid w:val="001929B8"/>
    <w:rsid w:val="00192F40"/>
    <w:rsid w:val="00193766"/>
    <w:rsid w:val="001A03B7"/>
    <w:rsid w:val="001A0DF0"/>
    <w:rsid w:val="001A278B"/>
    <w:rsid w:val="001A44B4"/>
    <w:rsid w:val="001A4ECC"/>
    <w:rsid w:val="001A58EA"/>
    <w:rsid w:val="001B5CC2"/>
    <w:rsid w:val="001B6931"/>
    <w:rsid w:val="001C03C4"/>
    <w:rsid w:val="001C0AFB"/>
    <w:rsid w:val="001C2EE3"/>
    <w:rsid w:val="001C5C15"/>
    <w:rsid w:val="001D1CE5"/>
    <w:rsid w:val="001D62A2"/>
    <w:rsid w:val="001D6452"/>
    <w:rsid w:val="001E3984"/>
    <w:rsid w:val="001E5449"/>
    <w:rsid w:val="001F244E"/>
    <w:rsid w:val="001F2663"/>
    <w:rsid w:val="001F2866"/>
    <w:rsid w:val="001F610D"/>
    <w:rsid w:val="001F772D"/>
    <w:rsid w:val="002003D7"/>
    <w:rsid w:val="00201240"/>
    <w:rsid w:val="00203971"/>
    <w:rsid w:val="00203E80"/>
    <w:rsid w:val="00204024"/>
    <w:rsid w:val="00204C4B"/>
    <w:rsid w:val="0020502A"/>
    <w:rsid w:val="002065ED"/>
    <w:rsid w:val="002105B9"/>
    <w:rsid w:val="00210D56"/>
    <w:rsid w:val="0021212E"/>
    <w:rsid w:val="002129E7"/>
    <w:rsid w:val="00216D94"/>
    <w:rsid w:val="00216FB9"/>
    <w:rsid w:val="002173D4"/>
    <w:rsid w:val="0022229C"/>
    <w:rsid w:val="00223911"/>
    <w:rsid w:val="00223B66"/>
    <w:rsid w:val="002266F7"/>
    <w:rsid w:val="00226BE0"/>
    <w:rsid w:val="0022752A"/>
    <w:rsid w:val="00227BF6"/>
    <w:rsid w:val="00232D54"/>
    <w:rsid w:val="0023517B"/>
    <w:rsid w:val="00235BDB"/>
    <w:rsid w:val="00236073"/>
    <w:rsid w:val="00244187"/>
    <w:rsid w:val="00246997"/>
    <w:rsid w:val="00247E74"/>
    <w:rsid w:val="00252C97"/>
    <w:rsid w:val="00253472"/>
    <w:rsid w:val="00254471"/>
    <w:rsid w:val="002567B0"/>
    <w:rsid w:val="002574A5"/>
    <w:rsid w:val="00261E27"/>
    <w:rsid w:val="0026704E"/>
    <w:rsid w:val="0027142C"/>
    <w:rsid w:val="00272BA4"/>
    <w:rsid w:val="0027378A"/>
    <w:rsid w:val="002850AC"/>
    <w:rsid w:val="00286A5A"/>
    <w:rsid w:val="00287FB1"/>
    <w:rsid w:val="00290452"/>
    <w:rsid w:val="00291FB8"/>
    <w:rsid w:val="002922F0"/>
    <w:rsid w:val="002936BD"/>
    <w:rsid w:val="002971A5"/>
    <w:rsid w:val="00297834"/>
    <w:rsid w:val="00297880"/>
    <w:rsid w:val="002A0EED"/>
    <w:rsid w:val="002A1D76"/>
    <w:rsid w:val="002A2784"/>
    <w:rsid w:val="002A66E3"/>
    <w:rsid w:val="002B3674"/>
    <w:rsid w:val="002B3CA1"/>
    <w:rsid w:val="002B49B4"/>
    <w:rsid w:val="002B763E"/>
    <w:rsid w:val="002C008B"/>
    <w:rsid w:val="002C2D2E"/>
    <w:rsid w:val="002C4B79"/>
    <w:rsid w:val="002C5A3C"/>
    <w:rsid w:val="002C60A8"/>
    <w:rsid w:val="002D09B6"/>
    <w:rsid w:val="002D3DED"/>
    <w:rsid w:val="002D3EDE"/>
    <w:rsid w:val="002D4341"/>
    <w:rsid w:val="002D5EE8"/>
    <w:rsid w:val="002D69D1"/>
    <w:rsid w:val="002D7213"/>
    <w:rsid w:val="002D76E5"/>
    <w:rsid w:val="002E1517"/>
    <w:rsid w:val="002E2357"/>
    <w:rsid w:val="002E274D"/>
    <w:rsid w:val="002E28BA"/>
    <w:rsid w:val="002E3155"/>
    <w:rsid w:val="002E5A05"/>
    <w:rsid w:val="002F0966"/>
    <w:rsid w:val="002F159A"/>
    <w:rsid w:val="002F4EE4"/>
    <w:rsid w:val="002F5077"/>
    <w:rsid w:val="002F58B9"/>
    <w:rsid w:val="00301939"/>
    <w:rsid w:val="00302801"/>
    <w:rsid w:val="0030685B"/>
    <w:rsid w:val="003070B6"/>
    <w:rsid w:val="00307AAF"/>
    <w:rsid w:val="00312CF4"/>
    <w:rsid w:val="0031692A"/>
    <w:rsid w:val="00317F8B"/>
    <w:rsid w:val="0032200A"/>
    <w:rsid w:val="00322265"/>
    <w:rsid w:val="00323FDE"/>
    <w:rsid w:val="00324858"/>
    <w:rsid w:val="003272C1"/>
    <w:rsid w:val="00327D53"/>
    <w:rsid w:val="00330F92"/>
    <w:rsid w:val="00332FB2"/>
    <w:rsid w:val="00333DB0"/>
    <w:rsid w:val="00335838"/>
    <w:rsid w:val="00336168"/>
    <w:rsid w:val="00336638"/>
    <w:rsid w:val="003369E6"/>
    <w:rsid w:val="00341C66"/>
    <w:rsid w:val="00342B6C"/>
    <w:rsid w:val="0034329D"/>
    <w:rsid w:val="003479C7"/>
    <w:rsid w:val="00350BDE"/>
    <w:rsid w:val="003519FE"/>
    <w:rsid w:val="00353925"/>
    <w:rsid w:val="00353BDB"/>
    <w:rsid w:val="00356F00"/>
    <w:rsid w:val="00360CD6"/>
    <w:rsid w:val="003701D5"/>
    <w:rsid w:val="00370ADF"/>
    <w:rsid w:val="00373838"/>
    <w:rsid w:val="0037421D"/>
    <w:rsid w:val="00375E73"/>
    <w:rsid w:val="0038183C"/>
    <w:rsid w:val="00383105"/>
    <w:rsid w:val="00384295"/>
    <w:rsid w:val="0038552D"/>
    <w:rsid w:val="003878C5"/>
    <w:rsid w:val="0039102B"/>
    <w:rsid w:val="00391B2A"/>
    <w:rsid w:val="00397380"/>
    <w:rsid w:val="003A020B"/>
    <w:rsid w:val="003A09AB"/>
    <w:rsid w:val="003A4192"/>
    <w:rsid w:val="003A5A2F"/>
    <w:rsid w:val="003A5AC9"/>
    <w:rsid w:val="003A6373"/>
    <w:rsid w:val="003B042F"/>
    <w:rsid w:val="003B0855"/>
    <w:rsid w:val="003B2F57"/>
    <w:rsid w:val="003B5740"/>
    <w:rsid w:val="003C2231"/>
    <w:rsid w:val="003C40AE"/>
    <w:rsid w:val="003C536F"/>
    <w:rsid w:val="003C539B"/>
    <w:rsid w:val="003C7F57"/>
    <w:rsid w:val="003D0E36"/>
    <w:rsid w:val="003D1382"/>
    <w:rsid w:val="003D1FDA"/>
    <w:rsid w:val="003D3646"/>
    <w:rsid w:val="003D4B1C"/>
    <w:rsid w:val="003D6657"/>
    <w:rsid w:val="003D6E02"/>
    <w:rsid w:val="003E2325"/>
    <w:rsid w:val="003E3A8D"/>
    <w:rsid w:val="003E5A93"/>
    <w:rsid w:val="003E6332"/>
    <w:rsid w:val="003E7A28"/>
    <w:rsid w:val="003F4D22"/>
    <w:rsid w:val="003F6CB2"/>
    <w:rsid w:val="003F7074"/>
    <w:rsid w:val="003F716B"/>
    <w:rsid w:val="00400FED"/>
    <w:rsid w:val="004031FA"/>
    <w:rsid w:val="00403CFB"/>
    <w:rsid w:val="004049CD"/>
    <w:rsid w:val="0040694B"/>
    <w:rsid w:val="00410C93"/>
    <w:rsid w:val="00412362"/>
    <w:rsid w:val="00412A3C"/>
    <w:rsid w:val="004141BE"/>
    <w:rsid w:val="00416793"/>
    <w:rsid w:val="00416C0B"/>
    <w:rsid w:val="00420156"/>
    <w:rsid w:val="00420C29"/>
    <w:rsid w:val="004217D2"/>
    <w:rsid w:val="00421A71"/>
    <w:rsid w:val="00423268"/>
    <w:rsid w:val="00430942"/>
    <w:rsid w:val="00435717"/>
    <w:rsid w:val="0043632C"/>
    <w:rsid w:val="0044048D"/>
    <w:rsid w:val="00443C44"/>
    <w:rsid w:val="0044466C"/>
    <w:rsid w:val="00444F0C"/>
    <w:rsid w:val="004454E2"/>
    <w:rsid w:val="004473A8"/>
    <w:rsid w:val="00447969"/>
    <w:rsid w:val="00450E88"/>
    <w:rsid w:val="00451737"/>
    <w:rsid w:val="00452251"/>
    <w:rsid w:val="00453CE1"/>
    <w:rsid w:val="00454060"/>
    <w:rsid w:val="004559B5"/>
    <w:rsid w:val="004578E8"/>
    <w:rsid w:val="00460A3A"/>
    <w:rsid w:val="00465034"/>
    <w:rsid w:val="0046629E"/>
    <w:rsid w:val="004703AB"/>
    <w:rsid w:val="0047092D"/>
    <w:rsid w:val="00474849"/>
    <w:rsid w:val="00480A80"/>
    <w:rsid w:val="00481BD2"/>
    <w:rsid w:val="0048277E"/>
    <w:rsid w:val="00484423"/>
    <w:rsid w:val="00484684"/>
    <w:rsid w:val="0048652D"/>
    <w:rsid w:val="00490440"/>
    <w:rsid w:val="0049315A"/>
    <w:rsid w:val="00493A00"/>
    <w:rsid w:val="004943FB"/>
    <w:rsid w:val="004945F6"/>
    <w:rsid w:val="00495927"/>
    <w:rsid w:val="00495B91"/>
    <w:rsid w:val="004A1D73"/>
    <w:rsid w:val="004A1DD7"/>
    <w:rsid w:val="004A7B77"/>
    <w:rsid w:val="004A7E4D"/>
    <w:rsid w:val="004B3F6F"/>
    <w:rsid w:val="004B468F"/>
    <w:rsid w:val="004B7499"/>
    <w:rsid w:val="004C0961"/>
    <w:rsid w:val="004C2700"/>
    <w:rsid w:val="004C45EF"/>
    <w:rsid w:val="004C5BF8"/>
    <w:rsid w:val="004C67DF"/>
    <w:rsid w:val="004C7332"/>
    <w:rsid w:val="004D70E7"/>
    <w:rsid w:val="004E0BA2"/>
    <w:rsid w:val="004E4DEB"/>
    <w:rsid w:val="004E5183"/>
    <w:rsid w:val="004E68D8"/>
    <w:rsid w:val="004E696B"/>
    <w:rsid w:val="004E741E"/>
    <w:rsid w:val="004F0B8F"/>
    <w:rsid w:val="004F3C1E"/>
    <w:rsid w:val="004F463C"/>
    <w:rsid w:val="004F4DEF"/>
    <w:rsid w:val="004F6688"/>
    <w:rsid w:val="00503BB4"/>
    <w:rsid w:val="00504858"/>
    <w:rsid w:val="00512EEC"/>
    <w:rsid w:val="005131F3"/>
    <w:rsid w:val="00513942"/>
    <w:rsid w:val="00513B8B"/>
    <w:rsid w:val="005163C3"/>
    <w:rsid w:val="0052066C"/>
    <w:rsid w:val="00521EA9"/>
    <w:rsid w:val="00522ED3"/>
    <w:rsid w:val="00524C30"/>
    <w:rsid w:val="00527974"/>
    <w:rsid w:val="005317FD"/>
    <w:rsid w:val="0053217D"/>
    <w:rsid w:val="0053314B"/>
    <w:rsid w:val="00533C10"/>
    <w:rsid w:val="00541C78"/>
    <w:rsid w:val="005431CB"/>
    <w:rsid w:val="005471AF"/>
    <w:rsid w:val="005502BF"/>
    <w:rsid w:val="005538AA"/>
    <w:rsid w:val="00554920"/>
    <w:rsid w:val="00557E03"/>
    <w:rsid w:val="00561EE6"/>
    <w:rsid w:val="0057212D"/>
    <w:rsid w:val="00572CCE"/>
    <w:rsid w:val="00573B53"/>
    <w:rsid w:val="00574489"/>
    <w:rsid w:val="00576A1E"/>
    <w:rsid w:val="005809A4"/>
    <w:rsid w:val="00585C1F"/>
    <w:rsid w:val="00586B8D"/>
    <w:rsid w:val="0059004E"/>
    <w:rsid w:val="00591899"/>
    <w:rsid w:val="00591927"/>
    <w:rsid w:val="00591F0C"/>
    <w:rsid w:val="005958B6"/>
    <w:rsid w:val="005A1A39"/>
    <w:rsid w:val="005A3B06"/>
    <w:rsid w:val="005A47E5"/>
    <w:rsid w:val="005A4AFD"/>
    <w:rsid w:val="005B1667"/>
    <w:rsid w:val="005B56EE"/>
    <w:rsid w:val="005B5F63"/>
    <w:rsid w:val="005B6CC3"/>
    <w:rsid w:val="005B6F4B"/>
    <w:rsid w:val="005C07A9"/>
    <w:rsid w:val="005C4BED"/>
    <w:rsid w:val="005C4D92"/>
    <w:rsid w:val="005C6EDC"/>
    <w:rsid w:val="005C799D"/>
    <w:rsid w:val="005D14BD"/>
    <w:rsid w:val="005D5A24"/>
    <w:rsid w:val="005E02FC"/>
    <w:rsid w:val="005E0C3A"/>
    <w:rsid w:val="005E2A2B"/>
    <w:rsid w:val="005E503F"/>
    <w:rsid w:val="005F1840"/>
    <w:rsid w:val="005F1C86"/>
    <w:rsid w:val="005F2661"/>
    <w:rsid w:val="005F42B7"/>
    <w:rsid w:val="005F5456"/>
    <w:rsid w:val="005F5993"/>
    <w:rsid w:val="00603514"/>
    <w:rsid w:val="00604D99"/>
    <w:rsid w:val="006053A3"/>
    <w:rsid w:val="00605919"/>
    <w:rsid w:val="00605D3B"/>
    <w:rsid w:val="0060645E"/>
    <w:rsid w:val="006074E5"/>
    <w:rsid w:val="00611F95"/>
    <w:rsid w:val="00616C66"/>
    <w:rsid w:val="00616F1C"/>
    <w:rsid w:val="00617333"/>
    <w:rsid w:val="006179E5"/>
    <w:rsid w:val="00622517"/>
    <w:rsid w:val="00623677"/>
    <w:rsid w:val="006259CB"/>
    <w:rsid w:val="00626BE8"/>
    <w:rsid w:val="00633542"/>
    <w:rsid w:val="00633F07"/>
    <w:rsid w:val="006400F9"/>
    <w:rsid w:val="00642B74"/>
    <w:rsid w:val="00642BCE"/>
    <w:rsid w:val="0064331B"/>
    <w:rsid w:val="00645A2A"/>
    <w:rsid w:val="00647037"/>
    <w:rsid w:val="00657BF3"/>
    <w:rsid w:val="00660E2D"/>
    <w:rsid w:val="00662786"/>
    <w:rsid w:val="00662F81"/>
    <w:rsid w:val="00663F64"/>
    <w:rsid w:val="00664292"/>
    <w:rsid w:val="00665F61"/>
    <w:rsid w:val="0066668A"/>
    <w:rsid w:val="006701E9"/>
    <w:rsid w:val="00675ED7"/>
    <w:rsid w:val="006774DA"/>
    <w:rsid w:val="006901BF"/>
    <w:rsid w:val="00690F7B"/>
    <w:rsid w:val="006914BA"/>
    <w:rsid w:val="006A0701"/>
    <w:rsid w:val="006A0C13"/>
    <w:rsid w:val="006A1272"/>
    <w:rsid w:val="006A2310"/>
    <w:rsid w:val="006A53A8"/>
    <w:rsid w:val="006A76F0"/>
    <w:rsid w:val="006B0171"/>
    <w:rsid w:val="006B2967"/>
    <w:rsid w:val="006B3B70"/>
    <w:rsid w:val="006B4C5B"/>
    <w:rsid w:val="006B5057"/>
    <w:rsid w:val="006B5A32"/>
    <w:rsid w:val="006B761C"/>
    <w:rsid w:val="006B7BFD"/>
    <w:rsid w:val="006C0D1F"/>
    <w:rsid w:val="006C163B"/>
    <w:rsid w:val="006C442F"/>
    <w:rsid w:val="006C450E"/>
    <w:rsid w:val="006D23F1"/>
    <w:rsid w:val="006D2E04"/>
    <w:rsid w:val="006E0BD9"/>
    <w:rsid w:val="006E3A26"/>
    <w:rsid w:val="006E50BF"/>
    <w:rsid w:val="006E68FD"/>
    <w:rsid w:val="006E6DA9"/>
    <w:rsid w:val="006F6536"/>
    <w:rsid w:val="007045F7"/>
    <w:rsid w:val="00712CAA"/>
    <w:rsid w:val="007149AD"/>
    <w:rsid w:val="00717FA5"/>
    <w:rsid w:val="007206CD"/>
    <w:rsid w:val="007214D8"/>
    <w:rsid w:val="0072304F"/>
    <w:rsid w:val="00726662"/>
    <w:rsid w:val="00726CCC"/>
    <w:rsid w:val="00726F05"/>
    <w:rsid w:val="007272EC"/>
    <w:rsid w:val="00727F34"/>
    <w:rsid w:val="007300AA"/>
    <w:rsid w:val="00732EC3"/>
    <w:rsid w:val="00737071"/>
    <w:rsid w:val="00741E24"/>
    <w:rsid w:val="00742131"/>
    <w:rsid w:val="00742647"/>
    <w:rsid w:val="0074268C"/>
    <w:rsid w:val="00743FA6"/>
    <w:rsid w:val="007455D4"/>
    <w:rsid w:val="007459DF"/>
    <w:rsid w:val="007514B3"/>
    <w:rsid w:val="00751B33"/>
    <w:rsid w:val="007526D4"/>
    <w:rsid w:val="0075634D"/>
    <w:rsid w:val="00756619"/>
    <w:rsid w:val="007627F2"/>
    <w:rsid w:val="00762956"/>
    <w:rsid w:val="00771FEE"/>
    <w:rsid w:val="00773361"/>
    <w:rsid w:val="00774561"/>
    <w:rsid w:val="00776240"/>
    <w:rsid w:val="00780647"/>
    <w:rsid w:val="00782542"/>
    <w:rsid w:val="0078618B"/>
    <w:rsid w:val="00790D75"/>
    <w:rsid w:val="00790E6D"/>
    <w:rsid w:val="0079529C"/>
    <w:rsid w:val="00795EF3"/>
    <w:rsid w:val="007977C4"/>
    <w:rsid w:val="007A0C9C"/>
    <w:rsid w:val="007A31F8"/>
    <w:rsid w:val="007A3CF4"/>
    <w:rsid w:val="007A43F4"/>
    <w:rsid w:val="007B0719"/>
    <w:rsid w:val="007B0A83"/>
    <w:rsid w:val="007B1B24"/>
    <w:rsid w:val="007B3B8F"/>
    <w:rsid w:val="007B50D6"/>
    <w:rsid w:val="007B546A"/>
    <w:rsid w:val="007B69A3"/>
    <w:rsid w:val="007B6EE4"/>
    <w:rsid w:val="007B763C"/>
    <w:rsid w:val="007C1577"/>
    <w:rsid w:val="007C207A"/>
    <w:rsid w:val="007C4179"/>
    <w:rsid w:val="007C77B8"/>
    <w:rsid w:val="007D19FA"/>
    <w:rsid w:val="007D383F"/>
    <w:rsid w:val="007E1152"/>
    <w:rsid w:val="007E1F24"/>
    <w:rsid w:val="007E2EE2"/>
    <w:rsid w:val="007E4E8A"/>
    <w:rsid w:val="007E5351"/>
    <w:rsid w:val="007E7D10"/>
    <w:rsid w:val="007F3E6D"/>
    <w:rsid w:val="007F50E3"/>
    <w:rsid w:val="00800C22"/>
    <w:rsid w:val="00801CED"/>
    <w:rsid w:val="008030BE"/>
    <w:rsid w:val="00810AE5"/>
    <w:rsid w:val="008135AF"/>
    <w:rsid w:val="008138AD"/>
    <w:rsid w:val="0081497D"/>
    <w:rsid w:val="0081573C"/>
    <w:rsid w:val="00817E1F"/>
    <w:rsid w:val="008214BF"/>
    <w:rsid w:val="0082274C"/>
    <w:rsid w:val="00831594"/>
    <w:rsid w:val="008316B5"/>
    <w:rsid w:val="00831E43"/>
    <w:rsid w:val="00832AE9"/>
    <w:rsid w:val="00835D5F"/>
    <w:rsid w:val="0083743A"/>
    <w:rsid w:val="00840464"/>
    <w:rsid w:val="00843D58"/>
    <w:rsid w:val="00852CFC"/>
    <w:rsid w:val="00853B29"/>
    <w:rsid w:val="00853D19"/>
    <w:rsid w:val="008570EC"/>
    <w:rsid w:val="008616D8"/>
    <w:rsid w:val="008624DA"/>
    <w:rsid w:val="00863136"/>
    <w:rsid w:val="00865AAE"/>
    <w:rsid w:val="00866969"/>
    <w:rsid w:val="00866F07"/>
    <w:rsid w:val="00867875"/>
    <w:rsid w:val="00867E5F"/>
    <w:rsid w:val="00874700"/>
    <w:rsid w:val="00874CD6"/>
    <w:rsid w:val="00880CE4"/>
    <w:rsid w:val="008848B7"/>
    <w:rsid w:val="00885576"/>
    <w:rsid w:val="00885754"/>
    <w:rsid w:val="00886A38"/>
    <w:rsid w:val="008923D2"/>
    <w:rsid w:val="00896231"/>
    <w:rsid w:val="00896987"/>
    <w:rsid w:val="00897C00"/>
    <w:rsid w:val="008A2806"/>
    <w:rsid w:val="008A2998"/>
    <w:rsid w:val="008A43EB"/>
    <w:rsid w:val="008A53E9"/>
    <w:rsid w:val="008A63B5"/>
    <w:rsid w:val="008A652E"/>
    <w:rsid w:val="008B4B55"/>
    <w:rsid w:val="008D036E"/>
    <w:rsid w:val="008D0C53"/>
    <w:rsid w:val="008D0FDC"/>
    <w:rsid w:val="008D101E"/>
    <w:rsid w:val="008D37D9"/>
    <w:rsid w:val="008D57C0"/>
    <w:rsid w:val="008D766F"/>
    <w:rsid w:val="008D79BA"/>
    <w:rsid w:val="008E23D5"/>
    <w:rsid w:val="008E323D"/>
    <w:rsid w:val="008E5341"/>
    <w:rsid w:val="008E56C5"/>
    <w:rsid w:val="008E59CC"/>
    <w:rsid w:val="008E6041"/>
    <w:rsid w:val="008E6691"/>
    <w:rsid w:val="008E6CBB"/>
    <w:rsid w:val="008F071F"/>
    <w:rsid w:val="008F2B85"/>
    <w:rsid w:val="008F639E"/>
    <w:rsid w:val="00900166"/>
    <w:rsid w:val="00900F2C"/>
    <w:rsid w:val="0090145A"/>
    <w:rsid w:val="00901570"/>
    <w:rsid w:val="00902671"/>
    <w:rsid w:val="0090285F"/>
    <w:rsid w:val="009032A9"/>
    <w:rsid w:val="00903ECC"/>
    <w:rsid w:val="009109FD"/>
    <w:rsid w:val="00911024"/>
    <w:rsid w:val="00911A62"/>
    <w:rsid w:val="00914C97"/>
    <w:rsid w:val="00923D16"/>
    <w:rsid w:val="00925E73"/>
    <w:rsid w:val="0092631E"/>
    <w:rsid w:val="0092723B"/>
    <w:rsid w:val="0092767B"/>
    <w:rsid w:val="00927B19"/>
    <w:rsid w:val="00931AA2"/>
    <w:rsid w:val="00932458"/>
    <w:rsid w:val="00932947"/>
    <w:rsid w:val="009339A3"/>
    <w:rsid w:val="00934EB1"/>
    <w:rsid w:val="009366C3"/>
    <w:rsid w:val="009369DB"/>
    <w:rsid w:val="0093752C"/>
    <w:rsid w:val="0093760C"/>
    <w:rsid w:val="00937702"/>
    <w:rsid w:val="00940FC5"/>
    <w:rsid w:val="00941322"/>
    <w:rsid w:val="00942142"/>
    <w:rsid w:val="00942473"/>
    <w:rsid w:val="00945476"/>
    <w:rsid w:val="009477FD"/>
    <w:rsid w:val="0095019F"/>
    <w:rsid w:val="00951BC8"/>
    <w:rsid w:val="00957BDB"/>
    <w:rsid w:val="00961E31"/>
    <w:rsid w:val="0096214D"/>
    <w:rsid w:val="00963C2F"/>
    <w:rsid w:val="00965824"/>
    <w:rsid w:val="00967294"/>
    <w:rsid w:val="00972D81"/>
    <w:rsid w:val="009742D0"/>
    <w:rsid w:val="00977108"/>
    <w:rsid w:val="00985B22"/>
    <w:rsid w:val="00992B17"/>
    <w:rsid w:val="009940DF"/>
    <w:rsid w:val="0099547E"/>
    <w:rsid w:val="009A2F72"/>
    <w:rsid w:val="009A405E"/>
    <w:rsid w:val="009A4647"/>
    <w:rsid w:val="009A4DB7"/>
    <w:rsid w:val="009A6DF8"/>
    <w:rsid w:val="009A7031"/>
    <w:rsid w:val="009B2D82"/>
    <w:rsid w:val="009B493D"/>
    <w:rsid w:val="009B4D83"/>
    <w:rsid w:val="009B589D"/>
    <w:rsid w:val="009B647C"/>
    <w:rsid w:val="009B7CD6"/>
    <w:rsid w:val="009C2C7A"/>
    <w:rsid w:val="009C50AC"/>
    <w:rsid w:val="009D0341"/>
    <w:rsid w:val="009D3982"/>
    <w:rsid w:val="009D5A35"/>
    <w:rsid w:val="009D5DCC"/>
    <w:rsid w:val="009D60EC"/>
    <w:rsid w:val="009D7515"/>
    <w:rsid w:val="009D7744"/>
    <w:rsid w:val="009E20C3"/>
    <w:rsid w:val="009E2F8A"/>
    <w:rsid w:val="009E3AC6"/>
    <w:rsid w:val="009E5980"/>
    <w:rsid w:val="009E5F11"/>
    <w:rsid w:val="009F05BD"/>
    <w:rsid w:val="009F0BDC"/>
    <w:rsid w:val="009F38D8"/>
    <w:rsid w:val="009F42DF"/>
    <w:rsid w:val="009F45E3"/>
    <w:rsid w:val="009F4FD7"/>
    <w:rsid w:val="009F5E00"/>
    <w:rsid w:val="009F5FD9"/>
    <w:rsid w:val="00A00072"/>
    <w:rsid w:val="00A00BA3"/>
    <w:rsid w:val="00A0144B"/>
    <w:rsid w:val="00A04501"/>
    <w:rsid w:val="00A05118"/>
    <w:rsid w:val="00A13150"/>
    <w:rsid w:val="00A143DB"/>
    <w:rsid w:val="00A148A7"/>
    <w:rsid w:val="00A14C7C"/>
    <w:rsid w:val="00A26E81"/>
    <w:rsid w:val="00A3098E"/>
    <w:rsid w:val="00A313F2"/>
    <w:rsid w:val="00A3660B"/>
    <w:rsid w:val="00A36D1E"/>
    <w:rsid w:val="00A370DA"/>
    <w:rsid w:val="00A43385"/>
    <w:rsid w:val="00A441DA"/>
    <w:rsid w:val="00A44FB7"/>
    <w:rsid w:val="00A54AB6"/>
    <w:rsid w:val="00A55400"/>
    <w:rsid w:val="00A56267"/>
    <w:rsid w:val="00A56453"/>
    <w:rsid w:val="00A60A3A"/>
    <w:rsid w:val="00A60F67"/>
    <w:rsid w:val="00A63A7A"/>
    <w:rsid w:val="00A65636"/>
    <w:rsid w:val="00A668F3"/>
    <w:rsid w:val="00A7249E"/>
    <w:rsid w:val="00A72BB1"/>
    <w:rsid w:val="00A73821"/>
    <w:rsid w:val="00A73EE7"/>
    <w:rsid w:val="00A76EEE"/>
    <w:rsid w:val="00A7798A"/>
    <w:rsid w:val="00A81414"/>
    <w:rsid w:val="00A81D78"/>
    <w:rsid w:val="00A8262E"/>
    <w:rsid w:val="00A82DA5"/>
    <w:rsid w:val="00A842EE"/>
    <w:rsid w:val="00A93282"/>
    <w:rsid w:val="00A9447A"/>
    <w:rsid w:val="00A96C90"/>
    <w:rsid w:val="00AA043E"/>
    <w:rsid w:val="00AA17C1"/>
    <w:rsid w:val="00AA19C9"/>
    <w:rsid w:val="00AA25E3"/>
    <w:rsid w:val="00AA4627"/>
    <w:rsid w:val="00AB06C5"/>
    <w:rsid w:val="00AB3EB1"/>
    <w:rsid w:val="00AB462A"/>
    <w:rsid w:val="00AB6361"/>
    <w:rsid w:val="00AB6721"/>
    <w:rsid w:val="00AC132E"/>
    <w:rsid w:val="00AC76DE"/>
    <w:rsid w:val="00AD09BA"/>
    <w:rsid w:val="00AD1077"/>
    <w:rsid w:val="00AD3B70"/>
    <w:rsid w:val="00AD3C03"/>
    <w:rsid w:val="00AD479F"/>
    <w:rsid w:val="00AE45FF"/>
    <w:rsid w:val="00AE6727"/>
    <w:rsid w:val="00AF084B"/>
    <w:rsid w:val="00AF1E5F"/>
    <w:rsid w:val="00AF3C1E"/>
    <w:rsid w:val="00AF5A4A"/>
    <w:rsid w:val="00AF71DC"/>
    <w:rsid w:val="00AF71E8"/>
    <w:rsid w:val="00B01A19"/>
    <w:rsid w:val="00B02C26"/>
    <w:rsid w:val="00B04655"/>
    <w:rsid w:val="00B06EB4"/>
    <w:rsid w:val="00B07B39"/>
    <w:rsid w:val="00B07ED2"/>
    <w:rsid w:val="00B14E17"/>
    <w:rsid w:val="00B15E1B"/>
    <w:rsid w:val="00B16D09"/>
    <w:rsid w:val="00B17494"/>
    <w:rsid w:val="00B178F7"/>
    <w:rsid w:val="00B21268"/>
    <w:rsid w:val="00B24ACE"/>
    <w:rsid w:val="00B257A4"/>
    <w:rsid w:val="00B27EF4"/>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3675"/>
    <w:rsid w:val="00B76BE7"/>
    <w:rsid w:val="00B800E5"/>
    <w:rsid w:val="00B8154D"/>
    <w:rsid w:val="00B82A72"/>
    <w:rsid w:val="00B82C38"/>
    <w:rsid w:val="00B8394D"/>
    <w:rsid w:val="00B839F3"/>
    <w:rsid w:val="00B846DF"/>
    <w:rsid w:val="00B86AFC"/>
    <w:rsid w:val="00B87DA7"/>
    <w:rsid w:val="00B900F0"/>
    <w:rsid w:val="00B93E4E"/>
    <w:rsid w:val="00B94682"/>
    <w:rsid w:val="00B94B8F"/>
    <w:rsid w:val="00B95264"/>
    <w:rsid w:val="00B95A61"/>
    <w:rsid w:val="00B97222"/>
    <w:rsid w:val="00BA48D5"/>
    <w:rsid w:val="00BA5D0A"/>
    <w:rsid w:val="00BB0A1A"/>
    <w:rsid w:val="00BB2DAD"/>
    <w:rsid w:val="00BB363C"/>
    <w:rsid w:val="00BB5773"/>
    <w:rsid w:val="00BC18BB"/>
    <w:rsid w:val="00BC2627"/>
    <w:rsid w:val="00BC42BC"/>
    <w:rsid w:val="00BC4B33"/>
    <w:rsid w:val="00BC5747"/>
    <w:rsid w:val="00BC66CD"/>
    <w:rsid w:val="00BD23FF"/>
    <w:rsid w:val="00BD6AF1"/>
    <w:rsid w:val="00BD7302"/>
    <w:rsid w:val="00BE0930"/>
    <w:rsid w:val="00BE1961"/>
    <w:rsid w:val="00BE3525"/>
    <w:rsid w:val="00BE36D5"/>
    <w:rsid w:val="00BE5E2A"/>
    <w:rsid w:val="00BE7EAC"/>
    <w:rsid w:val="00BF6C74"/>
    <w:rsid w:val="00C0001B"/>
    <w:rsid w:val="00C0051C"/>
    <w:rsid w:val="00C05E52"/>
    <w:rsid w:val="00C06643"/>
    <w:rsid w:val="00C11B50"/>
    <w:rsid w:val="00C1390D"/>
    <w:rsid w:val="00C1588E"/>
    <w:rsid w:val="00C207FE"/>
    <w:rsid w:val="00C2124C"/>
    <w:rsid w:val="00C22500"/>
    <w:rsid w:val="00C232BC"/>
    <w:rsid w:val="00C2555C"/>
    <w:rsid w:val="00C275C6"/>
    <w:rsid w:val="00C31405"/>
    <w:rsid w:val="00C3385D"/>
    <w:rsid w:val="00C3573C"/>
    <w:rsid w:val="00C37F93"/>
    <w:rsid w:val="00C40795"/>
    <w:rsid w:val="00C41149"/>
    <w:rsid w:val="00C41189"/>
    <w:rsid w:val="00C428DD"/>
    <w:rsid w:val="00C42CD9"/>
    <w:rsid w:val="00C45881"/>
    <w:rsid w:val="00C46C52"/>
    <w:rsid w:val="00C47B45"/>
    <w:rsid w:val="00C50667"/>
    <w:rsid w:val="00C50988"/>
    <w:rsid w:val="00C52433"/>
    <w:rsid w:val="00C524E4"/>
    <w:rsid w:val="00C52553"/>
    <w:rsid w:val="00C53FC2"/>
    <w:rsid w:val="00C54140"/>
    <w:rsid w:val="00C555E4"/>
    <w:rsid w:val="00C56746"/>
    <w:rsid w:val="00C56BB4"/>
    <w:rsid w:val="00C61182"/>
    <w:rsid w:val="00C62AD2"/>
    <w:rsid w:val="00C6416D"/>
    <w:rsid w:val="00C64171"/>
    <w:rsid w:val="00C651E0"/>
    <w:rsid w:val="00C65B19"/>
    <w:rsid w:val="00C74FF1"/>
    <w:rsid w:val="00C7585E"/>
    <w:rsid w:val="00C76BE6"/>
    <w:rsid w:val="00C8106E"/>
    <w:rsid w:val="00C824DE"/>
    <w:rsid w:val="00C85FF1"/>
    <w:rsid w:val="00C86D2F"/>
    <w:rsid w:val="00C9228B"/>
    <w:rsid w:val="00C931FD"/>
    <w:rsid w:val="00C94C4D"/>
    <w:rsid w:val="00CA1AF9"/>
    <w:rsid w:val="00CA1DD0"/>
    <w:rsid w:val="00CA2099"/>
    <w:rsid w:val="00CA572A"/>
    <w:rsid w:val="00CB1E7A"/>
    <w:rsid w:val="00CB2290"/>
    <w:rsid w:val="00CB4E1D"/>
    <w:rsid w:val="00CC1CA1"/>
    <w:rsid w:val="00CC2588"/>
    <w:rsid w:val="00CC536E"/>
    <w:rsid w:val="00CC5D88"/>
    <w:rsid w:val="00CC698C"/>
    <w:rsid w:val="00CD29B9"/>
    <w:rsid w:val="00CD3BF7"/>
    <w:rsid w:val="00CD3FB4"/>
    <w:rsid w:val="00CD4557"/>
    <w:rsid w:val="00CE00C5"/>
    <w:rsid w:val="00CE03AC"/>
    <w:rsid w:val="00CE14B5"/>
    <w:rsid w:val="00CE2B3F"/>
    <w:rsid w:val="00CE2F84"/>
    <w:rsid w:val="00CE767E"/>
    <w:rsid w:val="00CE7A52"/>
    <w:rsid w:val="00CE7BD4"/>
    <w:rsid w:val="00CF19EA"/>
    <w:rsid w:val="00D01A8C"/>
    <w:rsid w:val="00D02CA7"/>
    <w:rsid w:val="00D03328"/>
    <w:rsid w:val="00D03686"/>
    <w:rsid w:val="00D0369F"/>
    <w:rsid w:val="00D044DD"/>
    <w:rsid w:val="00D119D3"/>
    <w:rsid w:val="00D1389F"/>
    <w:rsid w:val="00D15EFA"/>
    <w:rsid w:val="00D16967"/>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EA5"/>
    <w:rsid w:val="00D42CD9"/>
    <w:rsid w:val="00D44456"/>
    <w:rsid w:val="00D46E5A"/>
    <w:rsid w:val="00D474E7"/>
    <w:rsid w:val="00D47549"/>
    <w:rsid w:val="00D53B63"/>
    <w:rsid w:val="00D5441D"/>
    <w:rsid w:val="00D54C20"/>
    <w:rsid w:val="00D561E8"/>
    <w:rsid w:val="00D5763C"/>
    <w:rsid w:val="00D60946"/>
    <w:rsid w:val="00D64635"/>
    <w:rsid w:val="00D70341"/>
    <w:rsid w:val="00D714A1"/>
    <w:rsid w:val="00D71D3D"/>
    <w:rsid w:val="00D76A08"/>
    <w:rsid w:val="00D8296B"/>
    <w:rsid w:val="00D83545"/>
    <w:rsid w:val="00D83DA1"/>
    <w:rsid w:val="00D850E0"/>
    <w:rsid w:val="00D85FE0"/>
    <w:rsid w:val="00D867C0"/>
    <w:rsid w:val="00D87D3F"/>
    <w:rsid w:val="00D87EAD"/>
    <w:rsid w:val="00D907C1"/>
    <w:rsid w:val="00D96313"/>
    <w:rsid w:val="00D9671A"/>
    <w:rsid w:val="00DA2426"/>
    <w:rsid w:val="00DA300D"/>
    <w:rsid w:val="00DA310E"/>
    <w:rsid w:val="00DA4FDF"/>
    <w:rsid w:val="00DA6246"/>
    <w:rsid w:val="00DB0A38"/>
    <w:rsid w:val="00DB277F"/>
    <w:rsid w:val="00DB41EA"/>
    <w:rsid w:val="00DC0585"/>
    <w:rsid w:val="00DC1889"/>
    <w:rsid w:val="00DC2724"/>
    <w:rsid w:val="00DC39F4"/>
    <w:rsid w:val="00DC407C"/>
    <w:rsid w:val="00DC4730"/>
    <w:rsid w:val="00DC5CE3"/>
    <w:rsid w:val="00DD087D"/>
    <w:rsid w:val="00DD2B69"/>
    <w:rsid w:val="00DD2E55"/>
    <w:rsid w:val="00DD4C2D"/>
    <w:rsid w:val="00DD60CD"/>
    <w:rsid w:val="00DE21FF"/>
    <w:rsid w:val="00DE555F"/>
    <w:rsid w:val="00DE66FC"/>
    <w:rsid w:val="00DF2560"/>
    <w:rsid w:val="00DF2A09"/>
    <w:rsid w:val="00DF34A6"/>
    <w:rsid w:val="00DF47A5"/>
    <w:rsid w:val="00E00318"/>
    <w:rsid w:val="00E028BB"/>
    <w:rsid w:val="00E049ED"/>
    <w:rsid w:val="00E122BA"/>
    <w:rsid w:val="00E12805"/>
    <w:rsid w:val="00E12A4F"/>
    <w:rsid w:val="00E14CF2"/>
    <w:rsid w:val="00E1790F"/>
    <w:rsid w:val="00E1794C"/>
    <w:rsid w:val="00E20BE0"/>
    <w:rsid w:val="00E21496"/>
    <w:rsid w:val="00E23E09"/>
    <w:rsid w:val="00E25218"/>
    <w:rsid w:val="00E27F93"/>
    <w:rsid w:val="00E306D7"/>
    <w:rsid w:val="00E31CD1"/>
    <w:rsid w:val="00E34A1B"/>
    <w:rsid w:val="00E34D29"/>
    <w:rsid w:val="00E351A4"/>
    <w:rsid w:val="00E35EE9"/>
    <w:rsid w:val="00E365C4"/>
    <w:rsid w:val="00E37D59"/>
    <w:rsid w:val="00E4005C"/>
    <w:rsid w:val="00E401E3"/>
    <w:rsid w:val="00E41136"/>
    <w:rsid w:val="00E41BE1"/>
    <w:rsid w:val="00E41CA4"/>
    <w:rsid w:val="00E50D8D"/>
    <w:rsid w:val="00E5255A"/>
    <w:rsid w:val="00E537D9"/>
    <w:rsid w:val="00E6144D"/>
    <w:rsid w:val="00E64CA1"/>
    <w:rsid w:val="00E65030"/>
    <w:rsid w:val="00E659CE"/>
    <w:rsid w:val="00E659F3"/>
    <w:rsid w:val="00E67766"/>
    <w:rsid w:val="00E67C96"/>
    <w:rsid w:val="00E71F8D"/>
    <w:rsid w:val="00E756AA"/>
    <w:rsid w:val="00E75942"/>
    <w:rsid w:val="00E7599D"/>
    <w:rsid w:val="00E8128A"/>
    <w:rsid w:val="00E8463B"/>
    <w:rsid w:val="00E85A15"/>
    <w:rsid w:val="00E87149"/>
    <w:rsid w:val="00E877A3"/>
    <w:rsid w:val="00E87FFD"/>
    <w:rsid w:val="00E9079B"/>
    <w:rsid w:val="00E91572"/>
    <w:rsid w:val="00E9533E"/>
    <w:rsid w:val="00E9696B"/>
    <w:rsid w:val="00E9699F"/>
    <w:rsid w:val="00EA5585"/>
    <w:rsid w:val="00EA6736"/>
    <w:rsid w:val="00EB073D"/>
    <w:rsid w:val="00EB1016"/>
    <w:rsid w:val="00EB5DD9"/>
    <w:rsid w:val="00EC1EAE"/>
    <w:rsid w:val="00EC3DDE"/>
    <w:rsid w:val="00EC4F59"/>
    <w:rsid w:val="00EC5A07"/>
    <w:rsid w:val="00ED1E68"/>
    <w:rsid w:val="00ED3E26"/>
    <w:rsid w:val="00ED442E"/>
    <w:rsid w:val="00ED4984"/>
    <w:rsid w:val="00ED6C27"/>
    <w:rsid w:val="00EE5BC0"/>
    <w:rsid w:val="00EF0492"/>
    <w:rsid w:val="00EF1559"/>
    <w:rsid w:val="00EF213E"/>
    <w:rsid w:val="00EF3221"/>
    <w:rsid w:val="00EF4D3A"/>
    <w:rsid w:val="00EF72E8"/>
    <w:rsid w:val="00F00C19"/>
    <w:rsid w:val="00F0266B"/>
    <w:rsid w:val="00F03054"/>
    <w:rsid w:val="00F04F5C"/>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7F14"/>
    <w:rsid w:val="00F50064"/>
    <w:rsid w:val="00F51A62"/>
    <w:rsid w:val="00F603ED"/>
    <w:rsid w:val="00F608CE"/>
    <w:rsid w:val="00F61A44"/>
    <w:rsid w:val="00F6699D"/>
    <w:rsid w:val="00F67DF5"/>
    <w:rsid w:val="00F704B7"/>
    <w:rsid w:val="00F70CE7"/>
    <w:rsid w:val="00F77A36"/>
    <w:rsid w:val="00F80FA9"/>
    <w:rsid w:val="00F81290"/>
    <w:rsid w:val="00F81BAC"/>
    <w:rsid w:val="00F8310A"/>
    <w:rsid w:val="00F83501"/>
    <w:rsid w:val="00F84227"/>
    <w:rsid w:val="00F848DE"/>
    <w:rsid w:val="00F85104"/>
    <w:rsid w:val="00F852A7"/>
    <w:rsid w:val="00F93D59"/>
    <w:rsid w:val="00F9545C"/>
    <w:rsid w:val="00F9662A"/>
    <w:rsid w:val="00F9742F"/>
    <w:rsid w:val="00F97C0D"/>
    <w:rsid w:val="00F97FBC"/>
    <w:rsid w:val="00FA11C2"/>
    <w:rsid w:val="00FA29E8"/>
    <w:rsid w:val="00FA5508"/>
    <w:rsid w:val="00FA665B"/>
    <w:rsid w:val="00FA6B94"/>
    <w:rsid w:val="00FB479D"/>
    <w:rsid w:val="00FB7342"/>
    <w:rsid w:val="00FC0178"/>
    <w:rsid w:val="00FC1626"/>
    <w:rsid w:val="00FC16A7"/>
    <w:rsid w:val="00FC2352"/>
    <w:rsid w:val="00FC301A"/>
    <w:rsid w:val="00FC3A8F"/>
    <w:rsid w:val="00FC5AF9"/>
    <w:rsid w:val="00FC643B"/>
    <w:rsid w:val="00FD10FB"/>
    <w:rsid w:val="00FD1EC9"/>
    <w:rsid w:val="00FD23DE"/>
    <w:rsid w:val="00FD3DE5"/>
    <w:rsid w:val="00FD4FE5"/>
    <w:rsid w:val="00FE3886"/>
    <w:rsid w:val="00FE3D90"/>
    <w:rsid w:val="00FE436A"/>
    <w:rsid w:val="00FE7A28"/>
    <w:rsid w:val="00FF09A7"/>
    <w:rsid w:val="00FF192D"/>
    <w:rsid w:val="00FF1D84"/>
    <w:rsid w:val="00FF2ECD"/>
    <w:rsid w:val="00FF4807"/>
    <w:rsid w:val="00FF4B08"/>
    <w:rsid w:val="00FF647D"/>
    <w:rsid w:val="00FF7C1D"/>
  </w:rsids>
  <w:docVars>
    <w:docVar w:name="__Grammarly_42___1" w:val="H4sIAAAAAAAEAKtWcslP9kxRslIyNDY2MDEwNDc1sDSxNDMwMzVV0lEKTi0uzszPAykwrgUA0GBvY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54F3B9"/>
  <w15:chartTrackingRefBased/>
  <w15:docId w15:val="{62AB2EF7-7893-470F-9F3E-A934B5CD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317F8B"/>
    <w:rPr>
      <w:color w:val="0000FF"/>
      <w:u w:val="single"/>
    </w:rPr>
  </w:style>
  <w:style w:type="character" w:styleId="CommentReference">
    <w:name w:val="annotation reference"/>
    <w:semiHidden/>
    <w:rsid w:val="00B900F0"/>
    <w:rPr>
      <w:sz w:val="16"/>
      <w:szCs w:val="16"/>
    </w:rPr>
  </w:style>
  <w:style w:type="paragraph" w:styleId="CommentText">
    <w:name w:val="annotation text"/>
    <w:basedOn w:val="Normal"/>
    <w:link w:val="CommentTextChar"/>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ody tx,bt,flush,indent,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Revision">
    <w:name w:val="Revision"/>
    <w:hidden/>
    <w:uiPriority w:val="99"/>
    <w:semiHidden/>
    <w:rsid w:val="00FD4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7FAF-5A88-45BE-BDD2-991B98C4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6568</Words>
  <Characters>39322</Characters>
  <Application>Microsoft Office Word</Application>
  <DocSecurity>0</DocSecurity>
  <Lines>702</Lines>
  <Paragraphs>235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Joyce, Kevin J. (CDC/OD/OS)</cp:lastModifiedBy>
  <cp:revision>3</cp:revision>
  <cp:lastPrinted>2019-08-05T16:03:00Z</cp:lastPrinted>
  <dcterms:created xsi:type="dcterms:W3CDTF">2026-01-29T12:09:00Z</dcterms:created>
  <dcterms:modified xsi:type="dcterms:W3CDTF">2026-01-29T12:11:00Z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93d3f6e5-88b9-4dbe-81ad-b009aa73c2d7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2026-01-29T12:11:54Z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y fmtid="{D5CDD505-2E9C-101B-9397-08002B2CF9AE}" pid="10" name="_DocHome">
    <vt:i4>972146359</vt:i4>
  </property>
  <property fmtid="{D5CDD505-2E9C-101B-9397-08002B2CF9AE}" pid="11" name="_EmailEntryID">
    <vt:lpwstr>00000000729029A0ACBDD111A2DD00A02461F7A00700F159D348C461D111A2D900A02461F7A000000034B1BE00008C88A0106170264C92F3E5F789C1B55C00004E4D83100000</vt:lpwstr>
  </property>
  <property fmtid="{D5CDD505-2E9C-101B-9397-08002B2CF9AE}" pid="12" name="_EmailStoreID0">
    <vt:lpwstr>0000000038A1BB1005E5101AA1BB08002B2A56C20000454D534D44422E444C4C00000000000000001B55FA20AA6611CD9BC800AA002FC45A0C00000073787732406364632E676F76002F6F3D4344432F6F753D45786368616E67652041646D696E6973747261746976652047726F7570202846594449424F484632335350444</vt:lpwstr>
  </property>
  <property fmtid="{D5CDD505-2E9C-101B-9397-08002B2CF9AE}" pid="13" name="_EmailStoreID1">
    <vt:lpwstr>C54292F636E3D526563697069656E74732F636E3D7378773200E94632F42C0000000200000010000000730078007700320040006300640063002E0067006F00760000000000</vt:lpwstr>
  </property>
  <property fmtid="{D5CDD505-2E9C-101B-9397-08002B2CF9AE}" pid="14" name="_NewReviewCycle">
    <vt:lpwstr/>
  </property>
  <property fmtid="{D5CDD505-2E9C-101B-9397-08002B2CF9AE}" pid="15" name="_TentativeReviewCycleID">
    <vt:i4>1309795231</vt:i4>
  </property>
</Properties>
</file>