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835" w:rsidP="00FC2835" w14:paraId="2E780B52" w14:textId="739072EB">
      <w:r w:rsidR="448155EC">
        <w:drawing>
          <wp:inline>
            <wp:extent cx="5944235" cy="433070"/>
            <wp:effectExtent l="0" t="0" r="0" b="5080"/>
            <wp:docPr id="123722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279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433070"/>
                    </a:xfrm>
                    <a:prstGeom prst="rect">
                      <a:avLst/>
                    </a:prstGeom>
                    <a:noFill/>
                  </pic:spPr>
                </pic:pic>
              </a:graphicData>
            </a:graphic>
          </wp:inline>
        </w:drawing>
      </w:r>
    </w:p>
    <w:p w:rsidR="66EA5912" w14:paraId="6437B138" w14:textId="06202918">
      <w:r>
        <w:t>At. 23</w:t>
      </w:r>
    </w:p>
    <w:p w:rsidR="00FC2835" w:rsidRPr="00FC2835" w:rsidP="00EA0098" w14:paraId="731D1F7D" w14:textId="58182ED6">
      <w:pPr>
        <w:autoSpaceDE w:val="0"/>
        <w:autoSpaceDN w:val="0"/>
        <w:adjustRightInd w:val="0"/>
        <w:spacing w:after="0" w:line="240" w:lineRule="auto"/>
        <w:rPr>
          <w:rFonts w:ascii="Calibri" w:eastAsia="Calibri" w:hAnsi="Calibri" w:cs="Times New Roman"/>
          <w:kern w:val="0"/>
          <w14:ligatures w14:val="none"/>
        </w:rPr>
      </w:pPr>
      <w:r w:rsidRPr="00FC2835">
        <w:rPr>
          <w:rFonts w:ascii="NimbusSanL-Regu" w:eastAsia="Calibri" w:hAnsi="NimbusSanL-Regu" w:cs="NimbusSanL-Regu"/>
          <w:kern w:val="0"/>
          <w:sz w:val="17"/>
          <w:szCs w:val="17"/>
          <w14:ligatures w14:val="none"/>
        </w:rPr>
        <w:t xml:space="preserve">Public reporting burden for this collection of information is estimated to average </w:t>
      </w:r>
      <w:r w:rsidR="004D6126">
        <w:rPr>
          <w:rFonts w:ascii="NimbusSanL-Regu" w:eastAsia="Calibri" w:hAnsi="NimbusSanL-Regu" w:cs="NimbusSanL-Regu"/>
          <w:kern w:val="0"/>
          <w:sz w:val="17"/>
          <w:szCs w:val="17"/>
          <w14:ligatures w14:val="none"/>
        </w:rPr>
        <w:t>5</w:t>
      </w:r>
      <w:r w:rsidR="006F121C">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hour per response, including the time for reviewing</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 xml:space="preserve">displays a currently valid OMB control number. Send comments regarding this burden estimate or any other aspect of this collection </w:t>
      </w:r>
      <w:r w:rsidRPr="00FC2835" w:rsidR="009E6C0B">
        <w:rPr>
          <w:rFonts w:ascii="NimbusSanL-Regu" w:eastAsia="Calibri" w:hAnsi="NimbusSanL-Regu" w:cs="NimbusSanL-Regu"/>
          <w:kern w:val="0"/>
          <w:sz w:val="17"/>
          <w:szCs w:val="17"/>
          <w14:ligatures w14:val="none"/>
        </w:rPr>
        <w:t>of</w:t>
      </w:r>
      <w:r w:rsidR="009E6C0B">
        <w:rPr>
          <w:rFonts w:ascii="NimbusSanL-Regu" w:eastAsia="Calibri" w:hAnsi="NimbusSanL-Regu" w:cs="NimbusSanL-Regu"/>
          <w:kern w:val="0"/>
          <w:sz w:val="17"/>
          <w:szCs w:val="17"/>
          <w14:ligatures w14:val="none"/>
        </w:rPr>
        <w:t xml:space="preserve"> information</w:t>
      </w:r>
      <w:r w:rsidRPr="00FC2835">
        <w:rPr>
          <w:rFonts w:ascii="NimbusSanL-Regu" w:eastAsia="Calibri" w:hAnsi="NimbusSanL-Regu" w:cs="NimbusSanL-Regu"/>
          <w:kern w:val="0"/>
          <w:sz w:val="17"/>
          <w:szCs w:val="17"/>
          <w14:ligatures w14:val="none"/>
        </w:rPr>
        <w:t>, including suggestions for reducing this burden, to: NIH, Project Clearance Branch, 6705 Rockledge Drive, MSC 7974,</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Bethesda, MD 20892-7974, ATTN: PRA (0925-0417). Do not return the completed form to this address.</w:t>
      </w:r>
    </w:p>
    <w:p w:rsidR="00FC2835" w:rsidRPr="00FC2835" w:rsidP="00FC2835" w14:paraId="3F4DE822" w14:textId="77777777">
      <w:pPr>
        <w:rPr>
          <w:rFonts w:ascii="Aptos" w:eastAsia="Aptos" w:hAnsi="Aptos" w:cs="Times New Roman"/>
        </w:rPr>
      </w:pPr>
    </w:p>
    <w:p w:rsidR="00544510" w:rsidP="00E33CF1" w14:paraId="6E25E055" w14:textId="47406650">
      <w:pPr>
        <w:rPr>
          <w:b/>
          <w:bCs/>
          <w:u w:val="single"/>
        </w:rPr>
      </w:pPr>
      <w:r>
        <w:rPr>
          <w:b/>
          <w:bCs/>
          <w:u w:val="single"/>
        </w:rPr>
        <w:t>Disclosure</w:t>
      </w:r>
      <w:r w:rsidR="005B6323">
        <w:rPr>
          <w:b/>
          <w:bCs/>
          <w:u w:val="single"/>
        </w:rPr>
        <w:t xml:space="preserve"> </w:t>
      </w:r>
      <w:r w:rsidR="00F43803">
        <w:rPr>
          <w:b/>
          <w:bCs/>
          <w:u w:val="single"/>
        </w:rPr>
        <w:t>from awardee Institutions</w:t>
      </w:r>
    </w:p>
    <w:p w:rsidR="005A4026" w:rsidRPr="0007161C" w:rsidP="005A4026" w14:paraId="00C56187" w14:textId="432604A7">
      <w:r>
        <w:rPr>
          <w:b/>
          <w:bCs/>
          <w:u w:val="single"/>
        </w:rPr>
        <w:t xml:space="preserve">42 CFR </w:t>
      </w:r>
      <w:r w:rsidRPr="005A4026">
        <w:rPr>
          <w:b/>
          <w:bCs/>
          <w:u w:val="single"/>
        </w:rPr>
        <w:t>§ 50.605 Management and reporting of financial conflicts of interest.</w:t>
      </w:r>
    </w:p>
    <w:p w:rsidR="005A4026" w:rsidP="004D6126" w14:paraId="50EB3709" w14:textId="1B1B1A66">
      <w:pPr>
        <w:pStyle w:val="ListParagraph"/>
        <w:numPr>
          <w:ilvl w:val="0"/>
          <w:numId w:val="2"/>
        </w:numPr>
      </w:pPr>
      <w:r w:rsidRPr="005A4026">
        <w:t>Management of financial conflicts of interest.</w:t>
      </w:r>
    </w:p>
    <w:p w:rsidR="00AE5795" w:rsidP="00AE5795" w14:paraId="7215D3E5" w14:textId="35CA6144">
      <w:pPr>
        <w:pStyle w:val="indent-3"/>
        <w:ind w:left="360"/>
      </w:pPr>
      <w:r>
        <w:rPr>
          <w:rStyle w:val="paren"/>
          <w:rFonts w:eastAsiaTheme="majorEastAsia"/>
        </w:rPr>
        <w:t xml:space="preserve">(5) </w:t>
      </w:r>
      <w:r>
        <w:rPr>
          <w:rStyle w:val="paren"/>
          <w:rFonts w:eastAsiaTheme="majorEastAsia"/>
        </w:rPr>
        <w:t>(</w:t>
      </w:r>
      <w:r>
        <w:rPr>
          <w:rStyle w:val="paragraph-hierarchy"/>
          <w:rFonts w:eastAsiaTheme="majorEastAsia"/>
        </w:rPr>
        <w:t>i</w:t>
      </w:r>
      <w:r>
        <w:rPr>
          <w:rStyle w:val="paren"/>
          <w:rFonts w:eastAsiaTheme="majorEastAsia"/>
        </w:rPr>
        <w:t>)</w:t>
      </w:r>
      <w:r>
        <w:t xml:space="preserve"> Prior to the Institution's expenditure of any funds under a PHS-funded research project, the Institution shall ensure public accessibility, via a publicly accessible Web site or written response to any requestor within five business days of a request, of information concerning any significant financial interest disclosed to the Institution that meets the following three criteria:</w:t>
      </w:r>
    </w:p>
    <w:p w:rsidR="00AE5795" w:rsidP="00436743" w14:paraId="4A6EF938" w14:textId="77777777">
      <w:pPr>
        <w:pStyle w:val="indent-4"/>
        <w:ind w:left="1440"/>
      </w:pPr>
      <w:r>
        <w:rPr>
          <w:rStyle w:val="paren"/>
          <w:rFonts w:eastAsiaTheme="majorEastAsia"/>
        </w:rPr>
        <w:t>(</w:t>
      </w:r>
      <w:r>
        <w:rPr>
          <w:rStyle w:val="paragraph-hierarchy"/>
          <w:rFonts w:eastAsiaTheme="majorEastAsia"/>
        </w:rPr>
        <w:t>A</w:t>
      </w:r>
      <w:r>
        <w:rPr>
          <w:rStyle w:val="paren"/>
          <w:rFonts w:eastAsiaTheme="majorEastAsia"/>
        </w:rPr>
        <w:t>)</w:t>
      </w:r>
      <w:r>
        <w:t xml:space="preserve"> The significant financial interest was disclosed and is still held by the senior/key personnel as defined by this subpart;</w:t>
      </w:r>
    </w:p>
    <w:p w:rsidR="00AE5795" w:rsidP="00436743" w14:paraId="1E5BAB18" w14:textId="77777777">
      <w:pPr>
        <w:pStyle w:val="indent-4"/>
        <w:ind w:left="1440"/>
      </w:pPr>
      <w:r>
        <w:rPr>
          <w:rStyle w:val="paren"/>
          <w:rFonts w:eastAsiaTheme="majorEastAsia"/>
        </w:rPr>
        <w:t>(</w:t>
      </w:r>
      <w:r>
        <w:rPr>
          <w:rStyle w:val="paragraph-hierarchy"/>
          <w:rFonts w:eastAsiaTheme="majorEastAsia"/>
        </w:rPr>
        <w:t>B</w:t>
      </w:r>
      <w:r>
        <w:rPr>
          <w:rStyle w:val="paren"/>
          <w:rFonts w:eastAsiaTheme="majorEastAsia"/>
        </w:rPr>
        <w:t>)</w:t>
      </w:r>
      <w:r>
        <w:t xml:space="preserve"> The Institution determines that the significant financial interest is related to the PHS-funded research; and</w:t>
      </w:r>
    </w:p>
    <w:p w:rsidR="00AE5795" w:rsidP="00436743" w14:paraId="3DBF71B7" w14:textId="77777777">
      <w:pPr>
        <w:pStyle w:val="indent-4"/>
        <w:ind w:left="1440"/>
      </w:pPr>
      <w:r>
        <w:rPr>
          <w:rStyle w:val="paren"/>
          <w:rFonts w:eastAsiaTheme="majorEastAsia"/>
        </w:rPr>
        <w:t>(</w:t>
      </w:r>
      <w:r>
        <w:rPr>
          <w:rStyle w:val="paragraph-hierarchy"/>
          <w:rFonts w:eastAsiaTheme="majorEastAsia"/>
        </w:rPr>
        <w:t>C</w:t>
      </w:r>
      <w:r>
        <w:rPr>
          <w:rStyle w:val="paren"/>
          <w:rFonts w:eastAsiaTheme="majorEastAsia"/>
        </w:rPr>
        <w:t>)</w:t>
      </w:r>
      <w:r>
        <w:t xml:space="preserve"> The Institution determines that the significant financial interest is a financial conflict of interest.</w:t>
      </w:r>
    </w:p>
    <w:p w:rsidR="00AE5795" w:rsidP="00AE5795" w14:paraId="747A4395" w14:textId="77777777">
      <w:pPr>
        <w:pStyle w:val="indent-3"/>
        <w:ind w:left="720"/>
      </w:pPr>
      <w:r>
        <w:rPr>
          <w:rStyle w:val="paren"/>
          <w:rFonts w:eastAsiaTheme="majorEastAsia"/>
        </w:rPr>
        <w:t>(</w:t>
      </w:r>
      <w:r>
        <w:rPr>
          <w:rStyle w:val="paragraph-hierarchy"/>
          <w:rFonts w:eastAsiaTheme="majorEastAsia"/>
        </w:rPr>
        <w:t>ii</w:t>
      </w:r>
      <w:r>
        <w:rPr>
          <w:rStyle w:val="paren"/>
          <w:rFonts w:eastAsiaTheme="majorEastAsia"/>
        </w:rPr>
        <w:t>)</w:t>
      </w:r>
      <w:r>
        <w:t xml:space="preserve"> The information that the Institution makes available via a publicly accessible Web site or written response to any requestor within five business days of a request, shall include, at a minimum, the following: the Investigator's name; the Investigator's title and role with respect to the research project; the name of the entity in which the significant financial interest is held; the nature of the significant financial interest; and the approximate dollar value of the significant financial interest (dollar ranges are permissible: $0-$4,999; $5,000-$9,999; $10,000-$19,999; amounts between $20,000-$100,000 by increments of $20,000; amounts above $100,000 by increments of $50,000), or a statement that the interest is one whose value cannot be readily determined through reference to public prices or other reasonable measures of fair market value.</w:t>
      </w:r>
    </w:p>
    <w:p w:rsidR="00AE5795" w:rsidP="00AE5795" w14:paraId="117F9D9F" w14:textId="77777777">
      <w:pPr>
        <w:pStyle w:val="indent-3"/>
        <w:ind w:left="720"/>
      </w:pPr>
      <w:r>
        <w:rPr>
          <w:rStyle w:val="paren"/>
          <w:rFonts w:eastAsiaTheme="majorEastAsia"/>
        </w:rPr>
        <w:t>(</w:t>
      </w:r>
      <w:r>
        <w:rPr>
          <w:rStyle w:val="paragraph-hierarchy"/>
          <w:rFonts w:eastAsiaTheme="majorEastAsia"/>
        </w:rPr>
        <w:t>iii</w:t>
      </w:r>
      <w:r>
        <w:rPr>
          <w:rStyle w:val="paren"/>
          <w:rFonts w:eastAsiaTheme="majorEastAsia"/>
        </w:rPr>
        <w:t>)</w:t>
      </w:r>
      <w:r>
        <w:t xml:space="preserve"> If the Institution uses a publicly accessible Web site for the purposes of this subsection, the information that the Institution posts shall be updated at least annually. In addition, the Institution shall update the Web site within sixty days of the Institution's receipt or identification of information concerning any additional significant financial interest of the senior/key personnel for the PHS-funded research project that was not </w:t>
      </w:r>
      <w:r>
        <w:t>previously disclosed, or upon the disclosure of a significant financial interest of senior/key personnel new to the PHS-funded research project, if the Institution determines that the significant financial interest is related to the PHS-funded research and is a financial conflict of interest. The Web site shall note that the information provided is current as of the date listed and is subject to updates, on at least an annual basis and within 60 days of the Institution's identification of a new financial conflict of interest. If the Institution responds to written requests for the purposes of this subsection, the Institution will note in its written response that the information provided is current as of the date of the correspondence and is subject to updates, on at least an annual basis and within 60 days of the Institution's identification of a new financial conflict of interest, which should be requested subsequently by the requestor.</w:t>
      </w:r>
    </w:p>
    <w:p w:rsidR="00AE5795" w:rsidP="00AE5795" w14:paraId="67CEA537" w14:textId="77777777">
      <w:pPr>
        <w:pStyle w:val="indent-3"/>
        <w:ind w:left="720"/>
      </w:pPr>
      <w:r>
        <w:rPr>
          <w:rStyle w:val="paren"/>
          <w:rFonts w:eastAsiaTheme="majorEastAsia"/>
        </w:rPr>
        <w:t>(</w:t>
      </w:r>
      <w:r>
        <w:rPr>
          <w:rStyle w:val="paragraph-hierarchy"/>
          <w:rFonts w:eastAsiaTheme="majorEastAsia"/>
        </w:rPr>
        <w:t>iv</w:t>
      </w:r>
      <w:r>
        <w:rPr>
          <w:rStyle w:val="paren"/>
          <w:rFonts w:eastAsiaTheme="majorEastAsia"/>
        </w:rPr>
        <w:t>)</w:t>
      </w:r>
      <w:r>
        <w:t xml:space="preserve"> Information concerning the significant financial interests of an individual subject to </w:t>
      </w:r>
      <w:hyperlink r:id="rId8" w:anchor="p-50.605(a)(5)" w:history="1">
        <w:r>
          <w:rPr>
            <w:rStyle w:val="Hyperlink"/>
            <w:rFonts w:eastAsiaTheme="majorEastAsia"/>
          </w:rPr>
          <w:t>paragraph (a)(5)</w:t>
        </w:r>
      </w:hyperlink>
      <w:r>
        <w:t xml:space="preserve"> of this section shall remain available, for responses to written requests or for posting via the Institution's publicly accessible Web site for at least three years from the date that the information was most recently updated.</w:t>
      </w:r>
    </w:p>
    <w:p w:rsidR="004D6126" w:rsidRPr="005A4026" w:rsidP="004D6126" w14:paraId="09F1C4E4" w14:textId="77777777">
      <w:pPr>
        <w:ind w:left="360"/>
      </w:pPr>
    </w:p>
    <w:p w:rsidR="0007161C" w:rsidP="005A4026" w14:paraId="447442A8" w14:textId="427FCF13">
      <w:pPr>
        <w:rPr>
          <w:b/>
          <w:bCs/>
          <w:u w:val="single"/>
        </w:rPr>
      </w:pPr>
      <w:r>
        <w:rPr>
          <w:b/>
          <w:bCs/>
          <w:u w:val="single"/>
        </w:rPr>
        <w:t xml:space="preserve">45 CFR </w:t>
      </w:r>
      <w:r w:rsidRPr="005A4026" w:rsidR="005A4026">
        <w:rPr>
          <w:b/>
          <w:bCs/>
          <w:u w:val="single"/>
        </w:rPr>
        <w:t>§ 94.5 Management and reporting of financial conflicts of interest.</w:t>
      </w:r>
    </w:p>
    <w:p w:rsidR="005A4026" w:rsidRPr="005A4026" w:rsidP="005A4026" w14:paraId="3CA5ECD7" w14:textId="77777777">
      <w:r w:rsidRPr="005A4026">
        <w:t>(a) Management of financial conflicts of interest.</w:t>
      </w:r>
    </w:p>
    <w:p w:rsidR="00436743" w:rsidRPr="00436743" w:rsidP="00436743" w14:paraId="1A63502E" w14:textId="03713773">
      <w:pPr>
        <w:spacing w:after="0"/>
        <w:ind w:left="720"/>
      </w:pPr>
      <w:r>
        <w:t>(5)</w:t>
      </w:r>
      <w:r w:rsidRPr="00436743">
        <w:t>(i) Prior to the Institution's expenditure of any funds under a PHS-funded research project, the Institution shall ensure public accessibility, via a publicly accessible Web site or written response to any requestor within five business days of a request, of information concerning any significant financial interest disclosed to the Institution that meets the following three criteria:</w:t>
      </w:r>
    </w:p>
    <w:p w:rsidR="00436743" w:rsidRPr="00436743" w:rsidP="00436743" w14:paraId="6F07C16F" w14:textId="77777777">
      <w:pPr>
        <w:spacing w:after="0"/>
        <w:ind w:left="1440"/>
      </w:pPr>
      <w:r w:rsidRPr="00436743">
        <w:t>(A) The significant financial interest was disclosed and is still held by key personnel as defined in this part;</w:t>
      </w:r>
    </w:p>
    <w:p w:rsidR="00436743" w:rsidRPr="00436743" w:rsidP="00436743" w14:paraId="1794BF88" w14:textId="77777777">
      <w:pPr>
        <w:spacing w:after="0"/>
        <w:ind w:left="1440"/>
      </w:pPr>
      <w:r w:rsidRPr="00436743">
        <w:t>(B) The Institution determines that the significant financial interest is related to the PHS-funded research; and</w:t>
      </w:r>
    </w:p>
    <w:p w:rsidR="00436743" w:rsidRPr="00436743" w:rsidP="00436743" w14:paraId="40846FCA" w14:textId="77777777">
      <w:pPr>
        <w:spacing w:after="0"/>
        <w:ind w:left="1440"/>
      </w:pPr>
      <w:r w:rsidRPr="00436743">
        <w:t>(C) The Institution determines that the significant financial interest is a financial conflict of interest.</w:t>
      </w:r>
    </w:p>
    <w:p w:rsidR="00436743" w:rsidRPr="00436743" w:rsidP="00436743" w14:paraId="33C178BE" w14:textId="77777777">
      <w:pPr>
        <w:spacing w:after="0"/>
        <w:ind w:left="720"/>
      </w:pPr>
      <w:r w:rsidRPr="00436743">
        <w:t xml:space="preserve">(ii) The information that the Institution makes available via a publicly accessible Web site or written response to any requestor within five business days of a request, shall include, at a minimum, the following: The Investigator's name; the Investigator's title and role with respect to the research project; the name of the entity in which the significant financial interest is held; the nature of the significant financial interest; and the approximate dollar value of the significant financial interest (dollar ranges are permissible: $0-$4,999; $5,000-$9,999; $10,000-$19,999; amounts between $20,000-$100,000 by increments of $20,000; amounts above $100,000 by increments of $50,000), or a statement that the interest is one whose </w:t>
      </w:r>
      <w:r w:rsidRPr="00436743">
        <w:t>value cannot be readily determined through reference to public prices or other reasonable measures of fair market value.</w:t>
      </w:r>
    </w:p>
    <w:p w:rsidR="00436743" w:rsidRPr="00436743" w:rsidP="00436743" w14:paraId="2041DB21" w14:textId="77777777">
      <w:pPr>
        <w:spacing w:after="0"/>
        <w:ind w:left="720"/>
      </w:pPr>
      <w:r w:rsidRPr="00436743">
        <w:t>(iii) If the Institution uses a publicly accessible Web site for the purposes of this subsection, the information that the Institution posts shall be updated at least annually. In addition, the Institution shall update the Web site within sixty days of the Institution's receipt or identification of information concerning any additional significant financial interest of the senior/key personnel for the PHS-funded research project that was not previously disclosed, or upon the disclosure of a significant financial interest of senior/key personnel new to the PHS-funded research project, if the Institution determines that the significant financial interest is related to the PHS-funded research and is a financial conflict of interest. The Web site shall note that the information provided is current as of the date listed and is subject to updates, on at least an annual basis and within 60 days of the Institution's identification of a new financial conflict of interest. If the Institution responds to written requests for the purposes of this subsection, the Institution will note in its written response that the information provided is current as of the date of the correspondence and is subject to updates, on at least an annual basis and within 60 days of the Institution's identification of a new financial conflict of interest, which should be requested subsequently by the requestor.</w:t>
      </w:r>
    </w:p>
    <w:p w:rsidR="00436743" w:rsidRPr="00436743" w:rsidP="00436743" w14:paraId="19804D1E" w14:textId="77777777">
      <w:pPr>
        <w:spacing w:after="0"/>
        <w:ind w:left="720"/>
      </w:pPr>
      <w:r w:rsidRPr="00436743">
        <w:t xml:space="preserve">(iv) Information concerning the significant financial interests of an individual subject to </w:t>
      </w:r>
      <w:hyperlink r:id="rId9" w:anchor="p-94.5(a)(5)" w:history="1">
        <w:r w:rsidRPr="00436743">
          <w:rPr>
            <w:rStyle w:val="Hyperlink"/>
          </w:rPr>
          <w:t>paragraph (a)(5)</w:t>
        </w:r>
      </w:hyperlink>
      <w:r w:rsidRPr="00436743">
        <w:t xml:space="preserve"> of this section shall remain available, for responses to written requests or for posting via the Institution's publicly accessible Web site for at least three years from the date that the information was most recently updated.</w:t>
      </w:r>
    </w:p>
    <w:p w:rsidR="00424925" w:rsidRPr="00424925" w:rsidP="00424925" w14:paraId="34B98497" w14:textId="250691E3">
      <w:pPr>
        <w:spacing w:after="0"/>
        <w:ind w:left="720"/>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67D3268"/>
    <w:multiLevelType w:val="hybridMultilevel"/>
    <w:tmpl w:val="A5F2B03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84F3423"/>
    <w:multiLevelType w:val="hybridMultilevel"/>
    <w:tmpl w:val="AEFA5B5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922047">
    <w:abstractNumId w:val="1"/>
  </w:num>
  <w:num w:numId="2" w16cid:durableId="1141649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35"/>
    <w:rsid w:val="0007161C"/>
    <w:rsid w:val="00087522"/>
    <w:rsid w:val="00102CDA"/>
    <w:rsid w:val="00181210"/>
    <w:rsid w:val="001E2791"/>
    <w:rsid w:val="0024515A"/>
    <w:rsid w:val="00267C86"/>
    <w:rsid w:val="003D32A3"/>
    <w:rsid w:val="00424925"/>
    <w:rsid w:val="00436743"/>
    <w:rsid w:val="0047796E"/>
    <w:rsid w:val="004D6126"/>
    <w:rsid w:val="00544510"/>
    <w:rsid w:val="005A4026"/>
    <w:rsid w:val="005B6323"/>
    <w:rsid w:val="006D23C1"/>
    <w:rsid w:val="006F121C"/>
    <w:rsid w:val="0073225B"/>
    <w:rsid w:val="00763958"/>
    <w:rsid w:val="008538DD"/>
    <w:rsid w:val="00907E87"/>
    <w:rsid w:val="009B220A"/>
    <w:rsid w:val="009E6C0B"/>
    <w:rsid w:val="00A1765D"/>
    <w:rsid w:val="00A61B04"/>
    <w:rsid w:val="00AE5795"/>
    <w:rsid w:val="00B3533A"/>
    <w:rsid w:val="00B35BDA"/>
    <w:rsid w:val="00B37937"/>
    <w:rsid w:val="00C22CD4"/>
    <w:rsid w:val="00D56C57"/>
    <w:rsid w:val="00DA4786"/>
    <w:rsid w:val="00E33CF1"/>
    <w:rsid w:val="00EA0098"/>
    <w:rsid w:val="00F43803"/>
    <w:rsid w:val="00F6291E"/>
    <w:rsid w:val="00FC2835"/>
    <w:rsid w:val="00FF1660"/>
    <w:rsid w:val="448155EC"/>
    <w:rsid w:val="5DBF0A8A"/>
    <w:rsid w:val="66EA591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E68D8"/>
  <w15:chartTrackingRefBased/>
  <w15:docId w15:val="{EDB00560-9FFF-4CE4-A829-D24C4C7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835"/>
    <w:rPr>
      <w:rFonts w:eastAsiaTheme="majorEastAsia" w:cstheme="majorBidi"/>
      <w:color w:val="272727" w:themeColor="text1" w:themeTint="D8"/>
    </w:rPr>
  </w:style>
  <w:style w:type="paragraph" w:styleId="Title">
    <w:name w:val="Title"/>
    <w:basedOn w:val="Normal"/>
    <w:next w:val="Normal"/>
    <w:link w:val="TitleChar"/>
    <w:uiPriority w:val="10"/>
    <w:qFormat/>
    <w:rsid w:val="00FC2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8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835"/>
    <w:rPr>
      <w:i/>
      <w:iCs/>
      <w:color w:val="404040" w:themeColor="text1" w:themeTint="BF"/>
    </w:rPr>
  </w:style>
  <w:style w:type="paragraph" w:styleId="ListParagraph">
    <w:name w:val="List Paragraph"/>
    <w:basedOn w:val="Normal"/>
    <w:uiPriority w:val="34"/>
    <w:qFormat/>
    <w:rsid w:val="00FC2835"/>
    <w:pPr>
      <w:ind w:left="720"/>
      <w:contextualSpacing/>
    </w:pPr>
  </w:style>
  <w:style w:type="character" w:styleId="IntenseEmphasis">
    <w:name w:val="Intense Emphasis"/>
    <w:basedOn w:val="DefaultParagraphFont"/>
    <w:uiPriority w:val="21"/>
    <w:qFormat/>
    <w:rsid w:val="00FC2835"/>
    <w:rPr>
      <w:i/>
      <w:iCs/>
      <w:color w:val="0F4761" w:themeColor="accent1" w:themeShade="BF"/>
    </w:rPr>
  </w:style>
  <w:style w:type="paragraph" w:styleId="IntenseQuote">
    <w:name w:val="Intense Quote"/>
    <w:basedOn w:val="Normal"/>
    <w:next w:val="Normal"/>
    <w:link w:val="IntenseQuoteChar"/>
    <w:uiPriority w:val="30"/>
    <w:qFormat/>
    <w:rsid w:val="00FC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835"/>
    <w:rPr>
      <w:i/>
      <w:iCs/>
      <w:color w:val="0F4761" w:themeColor="accent1" w:themeShade="BF"/>
    </w:rPr>
  </w:style>
  <w:style w:type="character" w:styleId="IntenseReference">
    <w:name w:val="Intense Reference"/>
    <w:basedOn w:val="DefaultParagraphFont"/>
    <w:uiPriority w:val="32"/>
    <w:qFormat/>
    <w:rsid w:val="00FC2835"/>
    <w:rPr>
      <w:b/>
      <w:bCs/>
      <w:smallCaps/>
      <w:color w:val="0F4761" w:themeColor="accent1" w:themeShade="BF"/>
      <w:spacing w:val="5"/>
    </w:rPr>
  </w:style>
  <w:style w:type="character" w:styleId="Hyperlink">
    <w:name w:val="Hyperlink"/>
    <w:basedOn w:val="DefaultParagraphFont"/>
    <w:uiPriority w:val="99"/>
    <w:unhideWhenUsed/>
    <w:rsid w:val="00FF1660"/>
    <w:rPr>
      <w:color w:val="467886" w:themeColor="hyperlink"/>
      <w:u w:val="single"/>
    </w:rPr>
  </w:style>
  <w:style w:type="character" w:styleId="UnresolvedMention">
    <w:name w:val="Unresolved Mention"/>
    <w:basedOn w:val="DefaultParagraphFont"/>
    <w:uiPriority w:val="99"/>
    <w:semiHidden/>
    <w:unhideWhenUsed/>
    <w:rsid w:val="00FF1660"/>
    <w:rPr>
      <w:color w:val="605E5C"/>
      <w:shd w:val="clear" w:color="auto" w:fill="E1DFDD"/>
    </w:rPr>
  </w:style>
  <w:style w:type="paragraph" w:customStyle="1" w:styleId="indent-3">
    <w:name w:val="indent-3"/>
    <w:basedOn w:val="Normal"/>
    <w:rsid w:val="00AE579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aragraph-hierarchy">
    <w:name w:val="paragraph-hierarchy"/>
    <w:basedOn w:val="DefaultParagraphFont"/>
    <w:rsid w:val="00AE5795"/>
  </w:style>
  <w:style w:type="character" w:customStyle="1" w:styleId="paren">
    <w:name w:val="paren"/>
    <w:basedOn w:val="DefaultParagraphFont"/>
    <w:rsid w:val="00AE5795"/>
  </w:style>
  <w:style w:type="paragraph" w:customStyle="1" w:styleId="indent-4">
    <w:name w:val="indent-4"/>
    <w:basedOn w:val="Normal"/>
    <w:rsid w:val="00AE579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yperlink" Target="https://www.ecfr.gov/current/title-42/section-50.605" TargetMode="External" /><Relationship Id="rId9" Type="http://schemas.openxmlformats.org/officeDocument/2006/relationships/hyperlink" Target="https://www.ecfr.gov/current/title-45/section-94.5"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Props1.xml><?xml version="1.0" encoding="utf-8"?>
<ds:datastoreItem xmlns:ds="http://schemas.openxmlformats.org/officeDocument/2006/customXml" ds:itemID="{6BFDDEBD-F508-474B-A213-D87C4D91588D}">
  <ds:schemaRefs/>
</ds:datastoreItem>
</file>

<file path=customXml/itemProps2.xml><?xml version="1.0" encoding="utf-8"?>
<ds:datastoreItem xmlns:ds="http://schemas.openxmlformats.org/officeDocument/2006/customXml" ds:itemID="{0F9B149B-37C1-4CCA-8D9C-AE2BB7BBA42C}">
  <ds:schemaRefs/>
</ds:datastoreItem>
</file>

<file path=customXml/itemProps3.xml><?xml version="1.0" encoding="utf-8"?>
<ds:datastoreItem xmlns:ds="http://schemas.openxmlformats.org/officeDocument/2006/customXml" ds:itemID="{2FFF9BC5-70DA-49BD-8303-B7695C60DCEA}">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Mikia (NIH/OD) [E]</dc:creator>
  <cp:lastModifiedBy>Hancock, Kathy (NIH/OD) [C]</cp:lastModifiedBy>
  <cp:revision>6</cp:revision>
  <dcterms:created xsi:type="dcterms:W3CDTF">2025-09-05T01:16:00Z</dcterms:created>
  <dcterms:modified xsi:type="dcterms:W3CDTF">2025-11-24T17:35:53Z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