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2835" w:rsidP="00FC2835" w14:paraId="2E780B52" w14:textId="739072EB">
      <w:r w:rsidR="0DC4E025">
        <w:drawing>
          <wp:inline>
            <wp:extent cx="5944235" cy="433070"/>
            <wp:effectExtent l="0" t="0" r="0" b="5080"/>
            <wp:docPr id="1237222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2793"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4235" cy="433070"/>
                    </a:xfrm>
                    <a:prstGeom prst="rect">
                      <a:avLst/>
                    </a:prstGeom>
                    <a:noFill/>
                  </pic:spPr>
                </pic:pic>
              </a:graphicData>
            </a:graphic>
          </wp:inline>
        </w:drawing>
      </w:r>
    </w:p>
    <w:p w:rsidR="00FC2835" w:rsidP="00FC2835" w14:paraId="7B4940AA" w14:textId="1B407BA8">
      <w:r w:rsidR="0E8A5FE1">
        <w:t>At. 8</w:t>
      </w:r>
    </w:p>
    <w:p w:rsidR="00FC2835" w:rsidRPr="00FC2835" w:rsidP="00FC2835" w14:paraId="6226F31E" w14:textId="76661C5C">
      <w:pPr>
        <w:autoSpaceDE w:val="0"/>
        <w:autoSpaceDN w:val="0"/>
        <w:adjustRightInd w:val="0"/>
        <w:spacing w:after="0" w:line="240" w:lineRule="auto"/>
        <w:rPr>
          <w:rFonts w:ascii="NimbusSanL-Regu" w:eastAsia="Calibri" w:hAnsi="NimbusSanL-Regu" w:cs="NimbusSanL-Regu"/>
          <w:kern w:val="0"/>
          <w:sz w:val="17"/>
          <w:szCs w:val="17"/>
          <w14:ligatures w14:val="none"/>
        </w:rPr>
      </w:pPr>
      <w:r w:rsidRPr="00FC2835">
        <w:rPr>
          <w:rFonts w:ascii="NimbusSanL-Regu" w:eastAsia="Calibri" w:hAnsi="NimbusSanL-Regu" w:cs="NimbusSanL-Regu"/>
          <w:kern w:val="0"/>
          <w:sz w:val="17"/>
          <w:szCs w:val="17"/>
          <w14:ligatures w14:val="none"/>
        </w:rPr>
        <w:t xml:space="preserve">Public reporting burden for this collection of information is estimated to average </w:t>
      </w:r>
      <w:r w:rsidR="001E2791">
        <w:rPr>
          <w:rFonts w:ascii="NimbusSanL-Regu" w:eastAsia="Calibri" w:hAnsi="NimbusSanL-Regu" w:cs="NimbusSanL-Regu"/>
          <w:kern w:val="0"/>
          <w:sz w:val="17"/>
          <w:szCs w:val="17"/>
          <w14:ligatures w14:val="none"/>
        </w:rPr>
        <w:t>81</w:t>
      </w:r>
      <w:r w:rsidRPr="00FC2835">
        <w:rPr>
          <w:rFonts w:ascii="NimbusSanL-Regu" w:eastAsia="Calibri" w:hAnsi="NimbusSanL-Regu" w:cs="NimbusSanL-Regu"/>
          <w:kern w:val="0"/>
          <w:sz w:val="17"/>
          <w:szCs w:val="17"/>
          <w14:ligatures w14:val="none"/>
        </w:rPr>
        <w:t xml:space="preserve"> hour per response, including the time for reviewing</w:t>
      </w:r>
    </w:p>
    <w:p w:rsidR="00FC2835" w:rsidRPr="00FC2835" w:rsidP="00FC2835" w14:paraId="0B49AA88" w14:textId="77777777">
      <w:pPr>
        <w:autoSpaceDE w:val="0"/>
        <w:autoSpaceDN w:val="0"/>
        <w:adjustRightInd w:val="0"/>
        <w:spacing w:after="0" w:line="240" w:lineRule="auto"/>
        <w:rPr>
          <w:rFonts w:ascii="NimbusSanL-Regu" w:eastAsia="Calibri" w:hAnsi="NimbusSanL-Regu" w:cs="NimbusSanL-Regu"/>
          <w:kern w:val="0"/>
          <w:sz w:val="17"/>
          <w:szCs w:val="17"/>
          <w14:ligatures w14:val="none"/>
        </w:rPr>
      </w:pPr>
      <w:r w:rsidRPr="00FC2835">
        <w:rPr>
          <w:rFonts w:ascii="NimbusSanL-Regu" w:eastAsia="Calibri" w:hAnsi="NimbusSanL-Regu" w:cs="NimbusSanL-Regu"/>
          <w:kern w:val="0"/>
          <w:sz w:val="17"/>
          <w:szCs w:val="17"/>
          <w14:ligatures w14:val="none"/>
        </w:rPr>
        <w:t>instructions, searching existing data sources, gathering and maintaining the data needed, and completing and reviewing the collection of information. An agency may not conduct or sponsor, and a person is not required to respond to, a collection of information unless it</w:t>
      </w:r>
    </w:p>
    <w:p w:rsidR="00FC2835" w:rsidRPr="00FC2835" w:rsidP="00FC2835" w14:paraId="241FD4B6" w14:textId="77777777">
      <w:pPr>
        <w:autoSpaceDE w:val="0"/>
        <w:autoSpaceDN w:val="0"/>
        <w:adjustRightInd w:val="0"/>
        <w:spacing w:after="0" w:line="240" w:lineRule="auto"/>
        <w:rPr>
          <w:rFonts w:ascii="NimbusSanL-Regu" w:eastAsia="Calibri" w:hAnsi="NimbusSanL-Regu" w:cs="NimbusSanL-Regu"/>
          <w:kern w:val="0"/>
          <w:sz w:val="17"/>
          <w:szCs w:val="17"/>
          <w14:ligatures w14:val="none"/>
        </w:rPr>
      </w:pPr>
      <w:r w:rsidRPr="00FC2835">
        <w:rPr>
          <w:rFonts w:ascii="NimbusSanL-Regu" w:eastAsia="Calibri" w:hAnsi="NimbusSanL-Regu" w:cs="NimbusSanL-Regu"/>
          <w:kern w:val="0"/>
          <w:sz w:val="17"/>
          <w:szCs w:val="17"/>
          <w14:ligatures w14:val="none"/>
        </w:rPr>
        <w:t>displays a currently valid OMB control number. Send comments regarding this burden estimate or any other aspect of this collection of</w:t>
      </w:r>
    </w:p>
    <w:p w:rsidR="00FC2835" w:rsidRPr="00FC2835" w:rsidP="00FC2835" w14:paraId="74301185" w14:textId="77777777">
      <w:pPr>
        <w:autoSpaceDE w:val="0"/>
        <w:autoSpaceDN w:val="0"/>
        <w:adjustRightInd w:val="0"/>
        <w:spacing w:after="0" w:line="240" w:lineRule="auto"/>
        <w:rPr>
          <w:rFonts w:ascii="NimbusSanL-Regu" w:eastAsia="Calibri" w:hAnsi="NimbusSanL-Regu" w:cs="NimbusSanL-Regu"/>
          <w:kern w:val="0"/>
          <w:sz w:val="17"/>
          <w:szCs w:val="17"/>
          <w14:ligatures w14:val="none"/>
        </w:rPr>
      </w:pPr>
      <w:r w:rsidRPr="00FC2835">
        <w:rPr>
          <w:rFonts w:ascii="NimbusSanL-Regu" w:eastAsia="Calibri" w:hAnsi="NimbusSanL-Regu" w:cs="NimbusSanL-Regu"/>
          <w:kern w:val="0"/>
          <w:sz w:val="17"/>
          <w:szCs w:val="17"/>
          <w14:ligatures w14:val="none"/>
        </w:rPr>
        <w:t>information, including suggestions for reducing this burden, to: NIH, Project Clearance Branch, 6705 Rockledge Drive, MSC 7974,</w:t>
      </w:r>
    </w:p>
    <w:p w:rsidR="00FC2835" w:rsidRPr="00FC2835" w:rsidP="00FC2835" w14:paraId="731D1F7D" w14:textId="77777777">
      <w:pPr>
        <w:spacing w:after="0" w:line="240" w:lineRule="auto"/>
        <w:rPr>
          <w:rFonts w:ascii="Calibri" w:eastAsia="Calibri" w:hAnsi="Calibri" w:cs="Times New Roman"/>
          <w:kern w:val="0"/>
          <w14:ligatures w14:val="none"/>
        </w:rPr>
      </w:pPr>
      <w:r w:rsidRPr="00FC2835">
        <w:rPr>
          <w:rFonts w:ascii="NimbusSanL-Regu" w:eastAsia="Calibri" w:hAnsi="NimbusSanL-Regu" w:cs="NimbusSanL-Regu"/>
          <w:kern w:val="0"/>
          <w:sz w:val="17"/>
          <w:szCs w:val="17"/>
          <w14:ligatures w14:val="none"/>
        </w:rPr>
        <w:t>Bethesda, MD 20892-7974, ATTN: PRA (0925-0417). Do not return the completed form to this address.</w:t>
      </w:r>
    </w:p>
    <w:p w:rsidR="00FC2835" w:rsidRPr="00FC2835" w:rsidP="00FC2835" w14:paraId="3F4DE822" w14:textId="77777777">
      <w:pPr>
        <w:rPr>
          <w:rFonts w:ascii="Aptos" w:eastAsia="Aptos" w:hAnsi="Aptos" w:cs="Times New Roman"/>
        </w:rPr>
      </w:pPr>
    </w:p>
    <w:p w:rsidR="00FC2835" w:rsidP="00FC2835" w14:paraId="0D423108" w14:textId="79EA95E2">
      <w:pPr>
        <w:rPr>
          <w:b/>
          <w:bCs/>
          <w:u w:val="single"/>
        </w:rPr>
      </w:pPr>
      <w:r>
        <w:rPr>
          <w:b/>
          <w:bCs/>
          <w:u w:val="single"/>
        </w:rPr>
        <w:t>Disclosure</w:t>
      </w:r>
    </w:p>
    <w:p w:rsidR="00E33CF1" w:rsidRPr="00E33CF1" w:rsidP="00E33CF1" w14:paraId="7D495B7C" w14:textId="12095BB8">
      <w:pPr>
        <w:rPr>
          <w:b/>
          <w:bCs/>
          <w:u w:val="single"/>
        </w:rPr>
      </w:pPr>
    </w:p>
    <w:p w:rsidR="00E33CF1" w:rsidRPr="00E33CF1" w:rsidP="00E33CF1" w14:paraId="0247A9C2" w14:textId="53F774E9">
      <w:pPr>
        <w:rPr>
          <w:b/>
          <w:bCs/>
          <w:u w:val="single"/>
        </w:rPr>
      </w:pPr>
      <w:r>
        <w:rPr>
          <w:b/>
          <w:bCs/>
          <w:u w:val="single"/>
        </w:rPr>
        <w:t xml:space="preserve">42 CFR </w:t>
      </w:r>
      <w:r w:rsidRPr="00E33CF1">
        <w:rPr>
          <w:b/>
          <w:bCs/>
          <w:u w:val="single"/>
        </w:rPr>
        <w:t>§ 50.604 Responsibilities of Institutions regarding Investigator financial conflicts of interest.</w:t>
      </w:r>
    </w:p>
    <w:p w:rsidR="00E33CF1" w:rsidP="00FC2835" w14:paraId="7FAB33E5" w14:textId="181097CE">
      <w:r>
        <w:t xml:space="preserve">(a) </w:t>
      </w:r>
      <w:r w:rsidRPr="00E33CF1">
        <w:t xml:space="preserve">Maintain an </w:t>
      </w:r>
      <w:r w:rsidRPr="00E33CF1">
        <w:t>up-to-date</w:t>
      </w:r>
      <w:r w:rsidRPr="00E33CF1">
        <w:t>, written, enforced policy on financial conflicts of interest that complies with this subpart, and make such policy available via a publicly accessible Web site. If the Institution does not have any current presence on a publicly accessible Web site (and only in those cases), the Institution shall make its written policy available to any requestor within five business days of a request. If, however, the Institution acquires a presence on a publicly accessible Web site during the time of the PHS award, the requirement to post the information on that Web site will apply within 30 calendar days. If an Institution maintains a policy on financial conflicts of interest that includes standards that are more stringent than this subpart (e.g., that require a more extensive disclosure of financial interests), the Institution shall adhere to its policy and shall provide FCOI reports regarding identified financial conflicts of interest to the PHS Awarding Component in accordance with the Institution's own standards and within the timeframe prescribed by this subpart.</w:t>
      </w:r>
    </w:p>
    <w:p w:rsidR="00E33CF1" w:rsidRPr="00E33CF1" w:rsidP="00FC2835" w14:paraId="52A2D111" w14:textId="0EA71BED">
      <w:pPr>
        <w:rPr>
          <w:b/>
          <w:bCs/>
          <w:u w:val="single"/>
        </w:rPr>
      </w:pPr>
      <w:r>
        <w:rPr>
          <w:b/>
          <w:bCs/>
          <w:u w:val="single"/>
        </w:rPr>
        <w:t xml:space="preserve">45 CFR </w:t>
      </w:r>
      <w:r w:rsidRPr="00E33CF1">
        <w:rPr>
          <w:b/>
          <w:bCs/>
          <w:u w:val="single"/>
        </w:rPr>
        <w:t>§ 94.4 Responsibilities of Institutions regarding Investigator financial conflicts of interest.</w:t>
      </w:r>
    </w:p>
    <w:p w:rsidR="00E33CF1" w:rsidRPr="00E33CF1" w:rsidP="00267C86" w14:paraId="77287111" w14:textId="2085CE7F">
      <w:pPr>
        <w:pStyle w:val="ListParagraph"/>
        <w:numPr>
          <w:ilvl w:val="0"/>
          <w:numId w:val="1"/>
        </w:numPr>
      </w:pPr>
      <w:r w:rsidRPr="00E33CF1">
        <w:t xml:space="preserve">Maintain an up-to-date, written, enforced policy on financial conflicts of interest that complies with this part, and make such policy available via a publicly accessible Web site. If the Institution does not have any current presence on a publicly accessible Web site (and only in those cases), the Institution shall make its written policy available to any requestor within five business days of a request. If, however, the Institution acquires a presence on a publicly accessible Web site during the time of the PHS award, the requirement to post the information on that Web site will apply within 30 </w:t>
      </w:r>
      <w:r w:rsidRPr="00E33CF1">
        <w:t>calendar days. If an Institution maintains a policy on financial conflicts of interest that includes standards that are more stringent than this part (e.g., that require a more extensive disclosure of financial interests), the Institution shall adhere to its policy and shall provide FCOI reports regarding identified financial conflicts of interest to the PHS Awarding Component in accordance with the Institution's own standards and within the timeframe prescribed by this part.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mbusSanL-Regu">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84F3423"/>
    <w:multiLevelType w:val="hybridMultilevel"/>
    <w:tmpl w:val="AEFA5B54"/>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0922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835"/>
    <w:rsid w:val="00102CDA"/>
    <w:rsid w:val="001E2791"/>
    <w:rsid w:val="0024515A"/>
    <w:rsid w:val="00267C86"/>
    <w:rsid w:val="0073225B"/>
    <w:rsid w:val="00763958"/>
    <w:rsid w:val="00907E87"/>
    <w:rsid w:val="009B220A"/>
    <w:rsid w:val="00A61B04"/>
    <w:rsid w:val="00B3533A"/>
    <w:rsid w:val="00B35BDA"/>
    <w:rsid w:val="00D56C57"/>
    <w:rsid w:val="00E33CF1"/>
    <w:rsid w:val="00FC2835"/>
    <w:rsid w:val="0DC4E025"/>
    <w:rsid w:val="0E8A5FE1"/>
    <w:rsid w:val="7099D44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5E68D8"/>
  <w15:chartTrackingRefBased/>
  <w15:docId w15:val="{EDB00560-9FFF-4CE4-A829-D24C4C77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8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28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8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8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8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8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28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8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8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8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835"/>
    <w:rPr>
      <w:rFonts w:eastAsiaTheme="majorEastAsia" w:cstheme="majorBidi"/>
      <w:color w:val="272727" w:themeColor="text1" w:themeTint="D8"/>
    </w:rPr>
  </w:style>
  <w:style w:type="paragraph" w:styleId="Title">
    <w:name w:val="Title"/>
    <w:basedOn w:val="Normal"/>
    <w:next w:val="Normal"/>
    <w:link w:val="TitleChar"/>
    <w:uiPriority w:val="10"/>
    <w:qFormat/>
    <w:rsid w:val="00FC2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8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8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835"/>
    <w:pPr>
      <w:spacing w:before="160"/>
      <w:jc w:val="center"/>
    </w:pPr>
    <w:rPr>
      <w:i/>
      <w:iCs/>
      <w:color w:val="404040" w:themeColor="text1" w:themeTint="BF"/>
    </w:rPr>
  </w:style>
  <w:style w:type="character" w:customStyle="1" w:styleId="QuoteChar">
    <w:name w:val="Quote Char"/>
    <w:basedOn w:val="DefaultParagraphFont"/>
    <w:link w:val="Quote"/>
    <w:uiPriority w:val="29"/>
    <w:rsid w:val="00FC2835"/>
    <w:rPr>
      <w:i/>
      <w:iCs/>
      <w:color w:val="404040" w:themeColor="text1" w:themeTint="BF"/>
    </w:rPr>
  </w:style>
  <w:style w:type="paragraph" w:styleId="ListParagraph">
    <w:name w:val="List Paragraph"/>
    <w:basedOn w:val="Normal"/>
    <w:uiPriority w:val="34"/>
    <w:qFormat/>
    <w:rsid w:val="00FC2835"/>
    <w:pPr>
      <w:ind w:left="720"/>
      <w:contextualSpacing/>
    </w:pPr>
  </w:style>
  <w:style w:type="character" w:styleId="IntenseEmphasis">
    <w:name w:val="Intense Emphasis"/>
    <w:basedOn w:val="DefaultParagraphFont"/>
    <w:uiPriority w:val="21"/>
    <w:qFormat/>
    <w:rsid w:val="00FC2835"/>
    <w:rPr>
      <w:i/>
      <w:iCs/>
      <w:color w:val="0F4761" w:themeColor="accent1" w:themeShade="BF"/>
    </w:rPr>
  </w:style>
  <w:style w:type="paragraph" w:styleId="IntenseQuote">
    <w:name w:val="Intense Quote"/>
    <w:basedOn w:val="Normal"/>
    <w:next w:val="Normal"/>
    <w:link w:val="IntenseQuoteChar"/>
    <w:uiPriority w:val="30"/>
    <w:qFormat/>
    <w:rsid w:val="00FC2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835"/>
    <w:rPr>
      <w:i/>
      <w:iCs/>
      <w:color w:val="0F4761" w:themeColor="accent1" w:themeShade="BF"/>
    </w:rPr>
  </w:style>
  <w:style w:type="character" w:styleId="IntenseReference">
    <w:name w:val="Intense Reference"/>
    <w:basedOn w:val="DefaultParagraphFont"/>
    <w:uiPriority w:val="32"/>
    <w:qFormat/>
    <w:rsid w:val="00FC28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e9a103-98e1-4bf1-8022-414c0478094a">
      <Terms xmlns="http://schemas.microsoft.com/office/infopath/2007/PartnerControls"/>
    </lcf76f155ced4ddcb4097134ff3c332f>
    <TaxCatchAll xmlns="e802c50a-a243-4052-b44b-6a95305777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0E199BF55363479CEAAB0A8CEFE5E0" ma:contentTypeVersion="14" ma:contentTypeDescription="Create a new document." ma:contentTypeScope="" ma:versionID="2c9fee103682a0759b723515a3cdb5f6">
  <xsd:schema xmlns:xsd="http://www.w3.org/2001/XMLSchema" xmlns:xs="http://www.w3.org/2001/XMLSchema" xmlns:p="http://schemas.microsoft.com/office/2006/metadata/properties" xmlns:ns2="0ae9a103-98e1-4bf1-8022-414c0478094a" xmlns:ns3="e802c50a-a243-4052-b44b-6a95305777a1" targetNamespace="http://schemas.microsoft.com/office/2006/metadata/properties" ma:root="true" ma:fieldsID="299f6fa38c19bc3f445556ec75eab0fc" ns2:_="" ns3:_="">
    <xsd:import namespace="0ae9a103-98e1-4bf1-8022-414c0478094a"/>
    <xsd:import namespace="e802c50a-a243-4052-b44b-6a95305777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9a103-98e1-4bf1-8022-414c04780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02c50a-a243-4052-b44b-6a95305777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1afdc37-3fe0-4b12-92f8-f6cf8595a5fa}" ma:internalName="TaxCatchAll" ma:showField="CatchAllData" ma:web="e802c50a-a243-4052-b44b-6a9530577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28C483-F36A-44B7-8AF4-94B6FF9FCCD1}">
  <ds:schemaRefs/>
</ds:datastoreItem>
</file>

<file path=customXml/itemProps2.xml><?xml version="1.0" encoding="utf-8"?>
<ds:datastoreItem xmlns:ds="http://schemas.openxmlformats.org/officeDocument/2006/customXml" ds:itemID="{5880E109-423B-405A-9B3B-7963FF60E9B7}">
  <ds:schemaRefs/>
</ds:datastoreItem>
</file>

<file path=customXml/itemProps3.xml><?xml version="1.0" encoding="utf-8"?>
<ds:datastoreItem xmlns:ds="http://schemas.openxmlformats.org/officeDocument/2006/customXml" ds:itemID="{081F6000-AA91-4A51-8FEE-7B66D683FD4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Currie, Mikia (NIH/OD) [E]</dc:creator>
  <cp:lastModifiedBy>Hancock, Kathy (NIH/OD) [C]</cp:lastModifiedBy>
  <cp:revision>3</cp:revision>
  <dcterms:created xsi:type="dcterms:W3CDTF">2025-09-05T00:08:00Z</dcterms:created>
  <dcterms:modified xsi:type="dcterms:W3CDTF">2025-11-24T17:39:40Z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0x010100980E199BF55363479CEAAB0A8CEFE5E0</vt:lpwstr>
  </property>
  <property fmtid="{D5CDD505-2E9C-101B-9397-08002B2CF9AE}" pid="3" name="MediaServiceImageTags">
    <vt:lpwstr/>
  </property>
</Properties>
</file>