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C2835" w:rsidP="00FC2835" w14:paraId="2E780B52" w14:textId="739072EB">
      <w:r w:rsidR="30A14610">
        <w:drawing>
          <wp:inline>
            <wp:extent cx="5944235" cy="433070"/>
            <wp:effectExtent l="0" t="0" r="0" b="5080"/>
            <wp:docPr id="1237222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22793"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4235" cy="433070"/>
                    </a:xfrm>
                    <a:prstGeom prst="rect">
                      <a:avLst/>
                    </a:prstGeom>
                    <a:noFill/>
                  </pic:spPr>
                </pic:pic>
              </a:graphicData>
            </a:graphic>
          </wp:inline>
        </w:drawing>
      </w:r>
    </w:p>
    <w:p w:rsidR="1B0D11E6" w14:paraId="51759F0D" w14:textId="72838AF7">
      <w:r>
        <w:t xml:space="preserve"> At. 21</w:t>
      </w:r>
    </w:p>
    <w:p w:rsidR="00FC2835" w:rsidRPr="00FC2835" w:rsidP="00EA0098" w14:paraId="731D1F7D" w14:textId="199CB40A">
      <w:pPr>
        <w:autoSpaceDE w:val="0"/>
        <w:autoSpaceDN w:val="0"/>
        <w:adjustRightInd w:val="0"/>
        <w:spacing w:after="0" w:line="240" w:lineRule="auto"/>
        <w:rPr>
          <w:rFonts w:ascii="Calibri" w:eastAsia="Calibri" w:hAnsi="Calibri" w:cs="Times New Roman"/>
          <w:kern w:val="0"/>
          <w14:ligatures w14:val="none"/>
        </w:rPr>
      </w:pPr>
      <w:r w:rsidRPr="00FC2835">
        <w:rPr>
          <w:rFonts w:ascii="NimbusSanL-Regu" w:eastAsia="Calibri" w:hAnsi="NimbusSanL-Regu" w:cs="NimbusSanL-Regu"/>
          <w:kern w:val="0"/>
          <w:sz w:val="17"/>
          <w:szCs w:val="17"/>
          <w14:ligatures w14:val="none"/>
        </w:rPr>
        <w:t xml:space="preserve">Public reporting burden for this collection of information is estimated to average </w:t>
      </w:r>
      <w:r w:rsidR="00BD2CF6">
        <w:rPr>
          <w:rFonts w:ascii="NimbusSanL-Regu" w:eastAsia="Calibri" w:hAnsi="NimbusSanL-Regu" w:cs="NimbusSanL-Regu"/>
          <w:kern w:val="0"/>
          <w:sz w:val="17"/>
          <w:szCs w:val="17"/>
          <w14:ligatures w14:val="none"/>
        </w:rPr>
        <w:t>1</w:t>
      </w:r>
      <w:r w:rsidR="006F121C">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hour per response, including the time for reviewing</w:t>
      </w:r>
      <w:r w:rsidR="00EA0098">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instructions, searching existing data sources, gathering and maintaining the data needed, and completing and reviewing the collection of information. An agency may not conduct or sponsor, and a person is not required to respond to, a collection of information unless it</w:t>
      </w:r>
      <w:r w:rsidR="00EA0098">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 xml:space="preserve">displays a currently valid OMB control number. Send comments regarding this burden estimate or any other aspect of this collection </w:t>
      </w:r>
      <w:r w:rsidRPr="00FC2835" w:rsidR="009E6C0B">
        <w:rPr>
          <w:rFonts w:ascii="NimbusSanL-Regu" w:eastAsia="Calibri" w:hAnsi="NimbusSanL-Regu" w:cs="NimbusSanL-Regu"/>
          <w:kern w:val="0"/>
          <w:sz w:val="17"/>
          <w:szCs w:val="17"/>
          <w14:ligatures w14:val="none"/>
        </w:rPr>
        <w:t>of</w:t>
      </w:r>
      <w:r w:rsidR="009E6C0B">
        <w:rPr>
          <w:rFonts w:ascii="NimbusSanL-Regu" w:eastAsia="Calibri" w:hAnsi="NimbusSanL-Regu" w:cs="NimbusSanL-Regu"/>
          <w:kern w:val="0"/>
          <w:sz w:val="17"/>
          <w:szCs w:val="17"/>
          <w14:ligatures w14:val="none"/>
        </w:rPr>
        <w:t xml:space="preserve"> information</w:t>
      </w:r>
      <w:r w:rsidRPr="00FC2835">
        <w:rPr>
          <w:rFonts w:ascii="NimbusSanL-Regu" w:eastAsia="Calibri" w:hAnsi="NimbusSanL-Regu" w:cs="NimbusSanL-Regu"/>
          <w:kern w:val="0"/>
          <w:sz w:val="17"/>
          <w:szCs w:val="17"/>
          <w14:ligatures w14:val="none"/>
        </w:rPr>
        <w:t>, including suggestions for reducing this burden, to: NIH, Project Clearance Branch, 6705 Rockledge Drive, MSC 7974,</w:t>
      </w:r>
      <w:r w:rsidR="00EA0098">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Bethesda, MD 20892-7974, ATTN: PRA (0925-0417). Do not return the completed form to this address.</w:t>
      </w:r>
    </w:p>
    <w:p w:rsidR="00FC2835" w:rsidRPr="00FC2835" w:rsidP="00FC2835" w14:paraId="3F4DE822" w14:textId="77777777">
      <w:pPr>
        <w:rPr>
          <w:rFonts w:ascii="Aptos" w:eastAsia="Aptos" w:hAnsi="Aptos" w:cs="Times New Roman"/>
        </w:rPr>
      </w:pPr>
    </w:p>
    <w:p w:rsidR="00544510" w:rsidP="00E33CF1" w14:paraId="6E25E055" w14:textId="3E779C05">
      <w:pPr>
        <w:rPr>
          <w:b/>
          <w:bCs/>
          <w:u w:val="single"/>
        </w:rPr>
      </w:pPr>
      <w:r>
        <w:rPr>
          <w:b/>
          <w:bCs/>
          <w:u w:val="single"/>
        </w:rPr>
        <w:t>Disclosure</w:t>
      </w:r>
      <w:r w:rsidR="005B6323">
        <w:rPr>
          <w:b/>
          <w:bCs/>
          <w:u w:val="single"/>
        </w:rPr>
        <w:t xml:space="preserve"> for </w:t>
      </w:r>
      <w:r w:rsidR="006D23C1">
        <w:rPr>
          <w:b/>
          <w:bCs/>
          <w:u w:val="single"/>
        </w:rPr>
        <w:t>In</w:t>
      </w:r>
      <w:r w:rsidR="006F121C">
        <w:rPr>
          <w:b/>
          <w:bCs/>
          <w:u w:val="single"/>
        </w:rPr>
        <w:t>stitutions</w:t>
      </w:r>
    </w:p>
    <w:p w:rsidR="005A4026" w:rsidRPr="0007161C" w:rsidP="005A4026" w14:paraId="00C56187" w14:textId="432604A7">
      <w:r>
        <w:rPr>
          <w:b/>
          <w:bCs/>
          <w:u w:val="single"/>
        </w:rPr>
        <w:t>4</w:t>
      </w:r>
      <w:r>
        <w:rPr>
          <w:b/>
          <w:bCs/>
          <w:u w:val="single"/>
        </w:rPr>
        <w:t xml:space="preserve">2 </w:t>
      </w:r>
      <w:r>
        <w:rPr>
          <w:b/>
          <w:bCs/>
          <w:u w:val="single"/>
        </w:rPr>
        <w:t xml:space="preserve">CFR </w:t>
      </w:r>
      <w:r w:rsidRPr="005A4026">
        <w:rPr>
          <w:b/>
          <w:bCs/>
          <w:u w:val="single"/>
        </w:rPr>
        <w:t>§ 50.605 Management and reporting of financial conflicts of interest.</w:t>
      </w:r>
    </w:p>
    <w:p w:rsidR="005A4026" w:rsidRPr="005A4026" w:rsidP="005A4026" w14:paraId="50EB3709" w14:textId="77777777">
      <w:r w:rsidRPr="005A4026">
        <w:t>(a) Management of financial conflicts of interest.</w:t>
      </w:r>
    </w:p>
    <w:p w:rsidR="00A1765D" w:rsidRPr="00A1765D" w:rsidP="00A1765D" w14:paraId="64B746A6" w14:textId="77777777">
      <w:r w:rsidRPr="00A1765D">
        <w:t>(3) Whenever an Institution identifies a significant financial interest that was not disclosed timely by an Investigator or, for whatever reason, was not previously reviewed by the Institution during an ongoing PHS-funded research project (e.g., was not timely reviewed or reported by a subrecipient), the designated official(s) shall, within sixty days: review the significant financial interest; determine whether it is related to PHS-funded research; determine whether a financial conflict of interest exists; and, if so:</w:t>
      </w:r>
    </w:p>
    <w:p w:rsidR="00A1765D" w:rsidRPr="00A1765D" w:rsidP="00A1765D" w14:paraId="2953F41C" w14:textId="77777777">
      <w:pPr>
        <w:ind w:left="720"/>
      </w:pPr>
      <w:r w:rsidRPr="00A1765D">
        <w:t>(iii) Based on the results of the retrospective review, if appropriate, the Institution shall update the previously submitted FCOI report, specifying the actions that will be taken to manage the financial conflict of interest going forward. If bias is found, the Institution is required to notify the PHS Awarding Component promptly and submit a mitigation report to the PHS Awarding Component. The mitigation report must include, at a minimum, the key elements documented in the retrospective review above and a description of the impact of the bias on the research project and the Institution's plan of action or actions taken to eliminate or mitigate the effect of the bias (e.g., impact on the research project; extent of harm done, including any qualitative and quantitative data to support any actual or future harm; analysis of whether the research project is salvageable). Thereafter, the Institution will submit FCOI reports annually, as specified elsewhere in this subpart. Depending on the nature of the financial conflict of interest, an Institution may determine that additional interim measures are necessary with regard to the Investigator's participation in the PHS-funded research project between the date that the financial conflict of interest or the Investigator's noncompliance is determined and the completion of the Institution's retrospective review.</w:t>
      </w:r>
    </w:p>
    <w:p w:rsidR="0007161C" w:rsidP="00FC2835" w14:paraId="3404D40C" w14:textId="77777777"/>
    <w:p w:rsidR="0007161C" w:rsidP="005A4026" w14:paraId="447442A8" w14:textId="427FCF13">
      <w:pPr>
        <w:rPr>
          <w:b/>
          <w:bCs/>
          <w:u w:val="single"/>
        </w:rPr>
      </w:pPr>
      <w:r>
        <w:rPr>
          <w:b/>
          <w:bCs/>
          <w:u w:val="single"/>
        </w:rPr>
        <w:t xml:space="preserve">45 CFR </w:t>
      </w:r>
      <w:r w:rsidRPr="005A4026" w:rsidR="005A4026">
        <w:rPr>
          <w:b/>
          <w:bCs/>
          <w:u w:val="single"/>
        </w:rPr>
        <w:t>§ 94.5 Management and reporting of financial conflicts of interest.</w:t>
      </w:r>
    </w:p>
    <w:p w:rsidR="005A4026" w:rsidRPr="005A4026" w:rsidP="005A4026" w14:paraId="3CA5ECD7" w14:textId="77777777">
      <w:r w:rsidRPr="005A4026">
        <w:t>(a) Management of financial conflicts of interest.</w:t>
      </w:r>
    </w:p>
    <w:p w:rsidR="00424925" w:rsidRPr="00424925" w:rsidP="00424925" w14:paraId="7E58EE43" w14:textId="77777777">
      <w:pPr>
        <w:spacing w:after="0"/>
      </w:pPr>
      <w:r w:rsidRPr="00424925">
        <w:t>(3) Whenever an Institution identifies a significant financial interest that was not disclosed timely by an Investigator or, for whatever reason, was not previously reviewed by the Institution during an ongoing PHS-funded research project (e.g., was not timely reviewed or reported by a subrecipient), the designated official(s) shall, within sixty days: review the significant financial interest; determine whether it is related to PHS-funded research; determine whether a financial conflict of interest exists; and, if so:</w:t>
      </w:r>
    </w:p>
    <w:p w:rsidR="00424925" w:rsidRPr="00424925" w:rsidP="00424925" w14:paraId="334BED86" w14:textId="77777777">
      <w:pPr>
        <w:spacing w:after="0"/>
        <w:ind w:left="720"/>
      </w:pPr>
      <w:r w:rsidRPr="00424925">
        <w:t>(iii) Based on the results of the retrospective review, if appropriate, the Institution shall update the previously submitted FCOI report, specifying the actions that will be taken to manage the financial conflict of interest going forward. If bias is found, the Institution is required to notify the PHS Awarding Component promptly and submit a mitigation report to the PHS Awarding Component. The mitigation report must include, at a minimum, the key elements documented in the retrospective review above and a description of the impact of the bias on the research project and the Institution's plan of action or actions taken to eliminate or mitigate the effect of the bias (e.g., impact on the research project; extent of harm done, including any qualitative and quantitative data to support any actual or future harm; analysis of whether the research project is salvageable). Thereafter, the Institution will submit FCOI reports annually, as specified elsewhere in this part. Depending on the nature of the financial conflict of interest, an Institution may determine that additional interim measures are necessary with regard to the Investigator's participation in the PHS-funded research project between the date that the financial conflict of interest or the Investigator's noncompliance is determined and the completion of the Institution's retrospective review.</w:t>
      </w:r>
    </w:p>
    <w:p w:rsidR="00E33CF1" w:rsidRPr="00E33CF1" w:rsidP="00424925" w14:paraId="77287111" w14:textId="61A36C31">
      <w:pPr>
        <w:spacing w:after="0"/>
        <w:ind w:left="720"/>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imbusSanL-Regu">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84F3423"/>
    <w:multiLevelType w:val="hybridMultilevel"/>
    <w:tmpl w:val="AEFA5B54"/>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90922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835"/>
    <w:rsid w:val="0007161C"/>
    <w:rsid w:val="00087522"/>
    <w:rsid w:val="00102CDA"/>
    <w:rsid w:val="00181210"/>
    <w:rsid w:val="001E2791"/>
    <w:rsid w:val="0024515A"/>
    <w:rsid w:val="00267C86"/>
    <w:rsid w:val="00424925"/>
    <w:rsid w:val="00544510"/>
    <w:rsid w:val="00576D32"/>
    <w:rsid w:val="005A4026"/>
    <w:rsid w:val="005B6323"/>
    <w:rsid w:val="006D23C1"/>
    <w:rsid w:val="006F121C"/>
    <w:rsid w:val="0073225B"/>
    <w:rsid w:val="00763958"/>
    <w:rsid w:val="008538DD"/>
    <w:rsid w:val="00907E87"/>
    <w:rsid w:val="009B220A"/>
    <w:rsid w:val="009E6C0B"/>
    <w:rsid w:val="00A1765D"/>
    <w:rsid w:val="00A61B04"/>
    <w:rsid w:val="00B3533A"/>
    <w:rsid w:val="00B35BDA"/>
    <w:rsid w:val="00B37937"/>
    <w:rsid w:val="00BD2CF6"/>
    <w:rsid w:val="00C22CD4"/>
    <w:rsid w:val="00D0487F"/>
    <w:rsid w:val="00D56C57"/>
    <w:rsid w:val="00DA4786"/>
    <w:rsid w:val="00E33CF1"/>
    <w:rsid w:val="00EA0098"/>
    <w:rsid w:val="00FC2835"/>
    <w:rsid w:val="00FF1660"/>
    <w:rsid w:val="1B0D11E6"/>
    <w:rsid w:val="30A14610"/>
    <w:rsid w:val="4B9B053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55E68D8"/>
  <w15:chartTrackingRefBased/>
  <w15:docId w15:val="{EDB00560-9FFF-4CE4-A829-D24C4C77A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28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28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28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28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28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28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28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28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28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28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28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28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28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28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28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28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28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2835"/>
    <w:rPr>
      <w:rFonts w:eastAsiaTheme="majorEastAsia" w:cstheme="majorBidi"/>
      <w:color w:val="272727" w:themeColor="text1" w:themeTint="D8"/>
    </w:rPr>
  </w:style>
  <w:style w:type="paragraph" w:styleId="Title">
    <w:name w:val="Title"/>
    <w:basedOn w:val="Normal"/>
    <w:next w:val="Normal"/>
    <w:link w:val="TitleChar"/>
    <w:uiPriority w:val="10"/>
    <w:qFormat/>
    <w:rsid w:val="00FC28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28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28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28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2835"/>
    <w:pPr>
      <w:spacing w:before="160"/>
      <w:jc w:val="center"/>
    </w:pPr>
    <w:rPr>
      <w:i/>
      <w:iCs/>
      <w:color w:val="404040" w:themeColor="text1" w:themeTint="BF"/>
    </w:rPr>
  </w:style>
  <w:style w:type="character" w:customStyle="1" w:styleId="QuoteChar">
    <w:name w:val="Quote Char"/>
    <w:basedOn w:val="DefaultParagraphFont"/>
    <w:link w:val="Quote"/>
    <w:uiPriority w:val="29"/>
    <w:rsid w:val="00FC2835"/>
    <w:rPr>
      <w:i/>
      <w:iCs/>
      <w:color w:val="404040" w:themeColor="text1" w:themeTint="BF"/>
    </w:rPr>
  </w:style>
  <w:style w:type="paragraph" w:styleId="ListParagraph">
    <w:name w:val="List Paragraph"/>
    <w:basedOn w:val="Normal"/>
    <w:uiPriority w:val="34"/>
    <w:qFormat/>
    <w:rsid w:val="00FC2835"/>
    <w:pPr>
      <w:ind w:left="720"/>
      <w:contextualSpacing/>
    </w:pPr>
  </w:style>
  <w:style w:type="character" w:styleId="IntenseEmphasis">
    <w:name w:val="Intense Emphasis"/>
    <w:basedOn w:val="DefaultParagraphFont"/>
    <w:uiPriority w:val="21"/>
    <w:qFormat/>
    <w:rsid w:val="00FC2835"/>
    <w:rPr>
      <w:i/>
      <w:iCs/>
      <w:color w:val="0F4761" w:themeColor="accent1" w:themeShade="BF"/>
    </w:rPr>
  </w:style>
  <w:style w:type="paragraph" w:styleId="IntenseQuote">
    <w:name w:val="Intense Quote"/>
    <w:basedOn w:val="Normal"/>
    <w:next w:val="Normal"/>
    <w:link w:val="IntenseQuoteChar"/>
    <w:uiPriority w:val="30"/>
    <w:qFormat/>
    <w:rsid w:val="00FC28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2835"/>
    <w:rPr>
      <w:i/>
      <w:iCs/>
      <w:color w:val="0F4761" w:themeColor="accent1" w:themeShade="BF"/>
    </w:rPr>
  </w:style>
  <w:style w:type="character" w:styleId="IntenseReference">
    <w:name w:val="Intense Reference"/>
    <w:basedOn w:val="DefaultParagraphFont"/>
    <w:uiPriority w:val="32"/>
    <w:qFormat/>
    <w:rsid w:val="00FC2835"/>
    <w:rPr>
      <w:b/>
      <w:bCs/>
      <w:smallCaps/>
      <w:color w:val="0F4761" w:themeColor="accent1" w:themeShade="BF"/>
      <w:spacing w:val="5"/>
    </w:rPr>
  </w:style>
  <w:style w:type="character" w:styleId="Hyperlink">
    <w:name w:val="Hyperlink"/>
    <w:basedOn w:val="DefaultParagraphFont"/>
    <w:uiPriority w:val="99"/>
    <w:unhideWhenUsed/>
    <w:rsid w:val="00FF1660"/>
    <w:rPr>
      <w:color w:val="467886" w:themeColor="hyperlink"/>
      <w:u w:val="single"/>
    </w:rPr>
  </w:style>
  <w:style w:type="character" w:styleId="UnresolvedMention">
    <w:name w:val="Unresolved Mention"/>
    <w:basedOn w:val="DefaultParagraphFont"/>
    <w:uiPriority w:val="99"/>
    <w:semiHidden/>
    <w:unhideWhenUsed/>
    <w:rsid w:val="00FF16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ae9a103-98e1-4bf1-8022-414c0478094a">
      <Terms xmlns="http://schemas.microsoft.com/office/infopath/2007/PartnerControls"/>
    </lcf76f155ced4ddcb4097134ff3c332f>
    <TaxCatchAll xmlns="e802c50a-a243-4052-b44b-6a95305777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80E199BF55363479CEAAB0A8CEFE5E0" ma:contentTypeVersion="14" ma:contentTypeDescription="Create a new document." ma:contentTypeScope="" ma:versionID="2c9fee103682a0759b723515a3cdb5f6">
  <xsd:schema xmlns:xsd="http://www.w3.org/2001/XMLSchema" xmlns:xs="http://www.w3.org/2001/XMLSchema" xmlns:p="http://schemas.microsoft.com/office/2006/metadata/properties" xmlns:ns2="0ae9a103-98e1-4bf1-8022-414c0478094a" xmlns:ns3="e802c50a-a243-4052-b44b-6a95305777a1" targetNamespace="http://schemas.microsoft.com/office/2006/metadata/properties" ma:root="true" ma:fieldsID="299f6fa38c19bc3f445556ec75eab0fc" ns2:_="" ns3:_="">
    <xsd:import namespace="0ae9a103-98e1-4bf1-8022-414c0478094a"/>
    <xsd:import namespace="e802c50a-a243-4052-b44b-6a95305777a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e9a103-98e1-4bf1-8022-414c04780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02c50a-a243-4052-b44b-6a95305777a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1afdc37-3fe0-4b12-92f8-f6cf8595a5fa}" ma:internalName="TaxCatchAll" ma:showField="CatchAllData" ma:web="e802c50a-a243-4052-b44b-6a95305777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6EC357-3AD8-4AF5-A61B-B3C3A162EB9E}">
  <ds:schemaRefs/>
</ds:datastoreItem>
</file>

<file path=customXml/itemProps2.xml><?xml version="1.0" encoding="utf-8"?>
<ds:datastoreItem xmlns:ds="http://schemas.openxmlformats.org/officeDocument/2006/customXml" ds:itemID="{F5293B95-C879-4924-B132-759DC550DE55}">
  <ds:schemaRefs/>
</ds:datastoreItem>
</file>

<file path=customXml/itemProps3.xml><?xml version="1.0" encoding="utf-8"?>
<ds:datastoreItem xmlns:ds="http://schemas.openxmlformats.org/officeDocument/2006/customXml" ds:itemID="{1FBFACF8-8D07-4E16-A365-4272374B43E1}">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Currie, Mikia (NIH/OD) [E]</dc:creator>
  <cp:lastModifiedBy>Hancock, Kathy (NIH/OD) [C]</cp:lastModifiedBy>
  <cp:revision>4</cp:revision>
  <dcterms:created xsi:type="dcterms:W3CDTF">2025-09-05T00:52:00Z</dcterms:created>
  <dcterms:modified xsi:type="dcterms:W3CDTF">2025-11-24T17:35:29Z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0x010100980E199BF55363479CEAAB0A8CEFE5E0</vt:lpwstr>
  </property>
  <property fmtid="{D5CDD505-2E9C-101B-9397-08002B2CF9AE}" pid="3" name="MediaServiceImageTags">
    <vt:lpwstr/>
  </property>
</Properties>
</file>