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66F8E" w:rsidRPr="00AD4DEC" w:rsidP="002533BB" w14:paraId="2966ED45" w14:textId="77777777">
      <w:pPr>
        <w:rPr>
          <w:color w:val="000000" w:themeColor="text1"/>
        </w:rPr>
      </w:pPr>
    </w:p>
    <w:p w:rsidR="00E90927" w:rsidRPr="00581542" w:rsidP="00E90927" w14:paraId="1D2023AB" w14:textId="77777777">
      <w:pPr>
        <w:ind w:left="1440" w:firstLine="720"/>
        <w:rPr>
          <w:b/>
          <w:color w:val="000000" w:themeColor="text1"/>
          <w:sz w:val="32"/>
          <w:szCs w:val="32"/>
        </w:rPr>
      </w:pPr>
      <w:r w:rsidRPr="00AD4DEC">
        <w:rPr>
          <w:color w:val="000000" w:themeColor="text1"/>
        </w:rPr>
        <w:t xml:space="preserve">          </w:t>
      </w:r>
      <w:r w:rsidRPr="00581542">
        <w:rPr>
          <w:b/>
          <w:color w:val="000000" w:themeColor="text1"/>
          <w:sz w:val="32"/>
          <w:szCs w:val="32"/>
        </w:rPr>
        <w:t>Supporting Statement A for:</w:t>
      </w:r>
    </w:p>
    <w:p w:rsidR="00E90927" w:rsidRPr="00581542" w:rsidP="00E90927" w14:paraId="75050952" w14:textId="77777777">
      <w:pPr>
        <w:rPr>
          <w:b/>
          <w:color w:val="000000" w:themeColor="text1"/>
          <w:sz w:val="32"/>
          <w:szCs w:val="32"/>
        </w:rPr>
      </w:pPr>
    </w:p>
    <w:p w:rsidR="00E90927" w:rsidRPr="00581542" w:rsidP="00E90927" w14:paraId="5D438373" w14:textId="77777777">
      <w:pPr>
        <w:jc w:val="center"/>
        <w:rPr>
          <w:b/>
          <w:color w:val="000000" w:themeColor="text1"/>
          <w:sz w:val="32"/>
          <w:szCs w:val="32"/>
        </w:rPr>
      </w:pPr>
      <w:bookmarkStart w:id="0" w:name="OLE_LINK3"/>
      <w:bookmarkStart w:id="1" w:name="OLE_LINK4"/>
      <w:r w:rsidRPr="00581542">
        <w:rPr>
          <w:b/>
          <w:color w:val="000000" w:themeColor="text1"/>
          <w:sz w:val="32"/>
          <w:szCs w:val="32"/>
        </w:rPr>
        <w:t xml:space="preserve">Information Program on Clinical Trials: </w:t>
      </w:r>
    </w:p>
    <w:p w:rsidR="00E90927" w:rsidRPr="00581542" w:rsidP="00E90927" w14:paraId="0216CBF1" w14:textId="77777777">
      <w:pPr>
        <w:jc w:val="center"/>
        <w:rPr>
          <w:b/>
          <w:color w:val="000000" w:themeColor="text1"/>
          <w:sz w:val="32"/>
          <w:szCs w:val="32"/>
        </w:rPr>
      </w:pPr>
      <w:r w:rsidRPr="00581542">
        <w:rPr>
          <w:b/>
          <w:color w:val="000000" w:themeColor="text1"/>
          <w:sz w:val="32"/>
          <w:szCs w:val="32"/>
        </w:rPr>
        <w:t>Maintaining a Registry and Results Databank (NLM)</w:t>
      </w:r>
      <w:bookmarkEnd w:id="0"/>
      <w:bookmarkEnd w:id="1"/>
    </w:p>
    <w:p w:rsidR="00E90927" w:rsidRPr="00581542" w:rsidP="00E90927" w14:paraId="3F9A8503" w14:textId="77777777">
      <w:pPr>
        <w:jc w:val="center"/>
        <w:rPr>
          <w:color w:val="000000" w:themeColor="text1"/>
          <w:sz w:val="32"/>
          <w:szCs w:val="32"/>
        </w:rPr>
      </w:pPr>
    </w:p>
    <w:p w:rsidR="00E90927" w:rsidRPr="00581542" w:rsidP="00E90927" w14:paraId="25EDA13B" w14:textId="00B55226">
      <w:pPr>
        <w:rPr>
          <w:b/>
          <w:color w:val="000000" w:themeColor="text1"/>
        </w:rPr>
      </w:pPr>
      <w:r w:rsidRPr="00581542">
        <w:rPr>
          <w:b/>
          <w:color w:val="000000" w:themeColor="text1"/>
        </w:rPr>
        <w:t xml:space="preserve">                           OMB </w:t>
      </w:r>
      <w:r w:rsidRPr="00581542">
        <w:rPr>
          <w:b/>
          <w:color w:val="000000" w:themeColor="text1"/>
        </w:rPr>
        <w:t>Control #:</w:t>
      </w:r>
      <w:r w:rsidRPr="00581542">
        <w:rPr>
          <w:b/>
          <w:color w:val="000000" w:themeColor="text1"/>
        </w:rPr>
        <w:t xml:space="preserve">0925-0586; Expiration Date: </w:t>
      </w:r>
      <w:r w:rsidRPr="00581542" w:rsidR="00E234D2">
        <w:rPr>
          <w:b/>
        </w:rPr>
        <w:t>03/31/2026</w:t>
      </w:r>
    </w:p>
    <w:p w:rsidR="00E90927" w:rsidRPr="00581542" w:rsidP="00E90927" w14:paraId="284F1672" w14:textId="77777777">
      <w:pPr>
        <w:rPr>
          <w:b/>
          <w:color w:val="000000" w:themeColor="text1"/>
          <w:sz w:val="32"/>
          <w:szCs w:val="32"/>
        </w:rPr>
      </w:pPr>
    </w:p>
    <w:p w:rsidR="00E90927" w:rsidRPr="00581542" w:rsidP="00E90927" w14:paraId="7D1CEE39" w14:textId="77777777">
      <w:pPr>
        <w:rPr>
          <w:b/>
          <w:color w:val="000000" w:themeColor="text1"/>
          <w:sz w:val="32"/>
          <w:szCs w:val="32"/>
        </w:rPr>
      </w:pPr>
    </w:p>
    <w:p w:rsidR="00E90927" w:rsidRPr="00581542" w:rsidP="00E90927" w14:paraId="59EC069A" w14:textId="77777777">
      <w:pPr>
        <w:rPr>
          <w:b/>
          <w:color w:val="000000" w:themeColor="text1"/>
          <w:szCs w:val="24"/>
        </w:rPr>
      </w:pPr>
      <w:r w:rsidRPr="00581542">
        <w:rPr>
          <w:b/>
          <w:color w:val="000000" w:themeColor="text1"/>
          <w:szCs w:val="24"/>
        </w:rPr>
        <w:t xml:space="preserve">                                                             </w:t>
      </w:r>
    </w:p>
    <w:p w:rsidR="00E90927" w:rsidRPr="00581542" w:rsidP="00E90927" w14:paraId="248E9861" w14:textId="759D704C">
      <w:pPr>
        <w:rPr>
          <w:color w:val="000000" w:themeColor="text1"/>
        </w:rPr>
      </w:pPr>
      <w:r w:rsidRPr="00581542">
        <w:rPr>
          <w:color w:val="000000" w:themeColor="text1"/>
        </w:rPr>
        <w:t xml:space="preserve">Date: </w:t>
      </w:r>
      <w:r w:rsidR="009D6ED0">
        <w:rPr>
          <w:color w:val="000000" w:themeColor="text1"/>
          <w:highlight w:val="yellow"/>
        </w:rPr>
        <w:t>February</w:t>
      </w:r>
      <w:r w:rsidRPr="00BF65E1" w:rsidR="00BF65E1">
        <w:rPr>
          <w:color w:val="000000" w:themeColor="text1"/>
          <w:highlight w:val="yellow"/>
        </w:rPr>
        <w:t xml:space="preserve"> </w:t>
      </w:r>
      <w:r w:rsidR="009D6ED0">
        <w:rPr>
          <w:color w:val="000000" w:themeColor="text1"/>
          <w:highlight w:val="yellow"/>
        </w:rPr>
        <w:t>4</w:t>
      </w:r>
      <w:r w:rsidRPr="00BF65E1" w:rsidR="00BF65E1">
        <w:rPr>
          <w:color w:val="000000" w:themeColor="text1"/>
          <w:highlight w:val="yellow"/>
        </w:rPr>
        <w:t>, 2026</w:t>
      </w:r>
    </w:p>
    <w:p w:rsidR="00E90927" w:rsidRPr="00581542" w:rsidP="00E90927" w14:paraId="0D788175" w14:textId="77777777">
      <w:pPr>
        <w:rPr>
          <w:color w:val="000000" w:themeColor="text1"/>
          <w:sz w:val="32"/>
          <w:szCs w:val="32"/>
        </w:rPr>
      </w:pPr>
    </w:p>
    <w:p w:rsidR="00E90927" w:rsidRPr="00581542" w:rsidP="00E90927" w14:paraId="630B0C2A" w14:textId="77777777">
      <w:pPr>
        <w:tabs>
          <w:tab w:val="left" w:pos="940"/>
        </w:tabs>
        <w:rPr>
          <w:b/>
          <w:sz w:val="22"/>
          <w:szCs w:val="22"/>
        </w:rPr>
      </w:pPr>
      <w:r w:rsidRPr="00581542">
        <w:rPr>
          <w:b/>
          <w:sz w:val="22"/>
          <w:szCs w:val="22"/>
        </w:rPr>
        <w:t>Check off which applies:</w:t>
      </w:r>
    </w:p>
    <w:p w:rsidR="00E90927" w:rsidRPr="00581542" w:rsidP="00E90927" w14:paraId="39DE9CF9" w14:textId="7A03F176">
      <w:pPr>
        <w:tabs>
          <w:tab w:val="left" w:pos="940"/>
        </w:tabs>
        <w:rPr>
          <w:b/>
          <w:sz w:val="22"/>
          <w:szCs w:val="22"/>
        </w:rPr>
      </w:pPr>
      <w:r>
        <w:rPr>
          <w:rFonts w:ascii="Wingdings" w:eastAsia="Wingdings" w:hAnsi="Wingdings" w:cs="Wingdings"/>
          <w:b/>
          <w:sz w:val="22"/>
          <w:szCs w:val="22"/>
        </w:rPr>
        <w:t>o</w:t>
      </w:r>
      <w:r w:rsidRPr="00581542" w:rsidR="000A1015">
        <w:rPr>
          <w:b/>
          <w:sz w:val="22"/>
          <w:szCs w:val="22"/>
        </w:rPr>
        <w:t xml:space="preserve">  </w:t>
      </w:r>
      <w:r w:rsidRPr="00581542" w:rsidR="000A1015">
        <w:rPr>
          <w:sz w:val="22"/>
          <w:szCs w:val="22"/>
        </w:rPr>
        <w:t>New</w:t>
      </w:r>
      <w:r w:rsidRPr="00581542" w:rsidR="000A1015">
        <w:rPr>
          <w:sz w:val="22"/>
          <w:szCs w:val="22"/>
        </w:rPr>
        <w:t xml:space="preserve"> </w:t>
      </w:r>
    </w:p>
    <w:p w:rsidR="00E90927" w:rsidRPr="00581542" w:rsidP="00E90927" w14:paraId="2C38BDA5" w14:textId="5758E7BE">
      <w:pPr>
        <w:tabs>
          <w:tab w:val="left" w:pos="940"/>
        </w:tabs>
        <w:rPr>
          <w:sz w:val="22"/>
          <w:szCs w:val="22"/>
        </w:rPr>
      </w:pPr>
      <w:r w:rsidRPr="009D6ED0">
        <w:rPr>
          <w:rFonts w:ascii="Segoe UI Symbol" w:hAnsi="Segoe UI Symbol"/>
          <w:b/>
          <w:szCs w:val="24"/>
          <w:highlight w:val="yellow"/>
        </w:rPr>
        <w:t>⊠</w:t>
      </w:r>
      <w:r w:rsidRPr="009D6ED0" w:rsidR="000A1015">
        <w:rPr>
          <w:b/>
          <w:sz w:val="22"/>
          <w:szCs w:val="22"/>
          <w:highlight w:val="yellow"/>
        </w:rPr>
        <w:t xml:space="preserve">  </w:t>
      </w:r>
      <w:r w:rsidRPr="64501962" w:rsidR="000A1015">
        <w:rPr>
          <w:sz w:val="22"/>
          <w:szCs w:val="22"/>
        </w:rPr>
        <w:t>Revision</w:t>
      </w:r>
    </w:p>
    <w:p w:rsidR="00E90927" w:rsidRPr="00581542" w:rsidP="00E90927" w14:paraId="17D03DD5" w14:textId="01C1B640">
      <w:pPr>
        <w:tabs>
          <w:tab w:val="left" w:pos="940"/>
        </w:tabs>
        <w:rPr>
          <w:sz w:val="22"/>
          <w:szCs w:val="22"/>
        </w:rPr>
      </w:pPr>
      <w:r>
        <w:rPr>
          <w:rFonts w:ascii="Wingdings" w:eastAsia="Wingdings" w:hAnsi="Wingdings" w:cs="Wingdings"/>
          <w:b/>
          <w:sz w:val="22"/>
          <w:szCs w:val="22"/>
        </w:rPr>
        <w:t>o</w:t>
      </w:r>
      <w:r w:rsidRPr="00581542" w:rsidR="000A1015">
        <w:rPr>
          <w:b/>
          <w:sz w:val="22"/>
          <w:szCs w:val="22"/>
        </w:rPr>
        <w:t xml:space="preserve">  </w:t>
      </w:r>
      <w:r w:rsidRPr="00581542" w:rsidR="000A1015">
        <w:rPr>
          <w:sz w:val="22"/>
          <w:szCs w:val="22"/>
        </w:rPr>
        <w:t>Reinstatement</w:t>
      </w:r>
      <w:r w:rsidRPr="00581542" w:rsidR="000A1015">
        <w:rPr>
          <w:sz w:val="22"/>
          <w:szCs w:val="22"/>
        </w:rPr>
        <w:t xml:space="preserve"> with Change</w:t>
      </w:r>
    </w:p>
    <w:p w:rsidR="00E90927" w:rsidRPr="00581542" w:rsidP="00E90927" w14:paraId="2AE0D485" w14:textId="119B2F8C">
      <w:pPr>
        <w:tabs>
          <w:tab w:val="left" w:pos="940"/>
        </w:tabs>
        <w:rPr>
          <w:sz w:val="22"/>
          <w:szCs w:val="22"/>
        </w:rPr>
      </w:pPr>
      <w:r>
        <w:rPr>
          <w:rFonts w:ascii="Wingdings" w:eastAsia="Wingdings" w:hAnsi="Wingdings" w:cs="Wingdings"/>
          <w:b/>
          <w:sz w:val="22"/>
          <w:szCs w:val="22"/>
        </w:rPr>
        <w:t>o</w:t>
      </w:r>
      <w:r w:rsidRPr="00581542" w:rsidR="000A1015">
        <w:rPr>
          <w:b/>
          <w:sz w:val="22"/>
          <w:szCs w:val="22"/>
        </w:rPr>
        <w:t xml:space="preserve">  </w:t>
      </w:r>
      <w:r w:rsidRPr="00581542" w:rsidR="000A1015">
        <w:rPr>
          <w:sz w:val="22"/>
          <w:szCs w:val="22"/>
        </w:rPr>
        <w:t>Reinstatement</w:t>
      </w:r>
      <w:r w:rsidRPr="00581542" w:rsidR="000A1015">
        <w:rPr>
          <w:sz w:val="22"/>
          <w:szCs w:val="22"/>
        </w:rPr>
        <w:t xml:space="preserve"> without Change</w:t>
      </w:r>
    </w:p>
    <w:p w:rsidR="00E90927" w:rsidRPr="00581542" w:rsidP="00E90927" w14:paraId="0E45B861" w14:textId="27C2277B">
      <w:pPr>
        <w:tabs>
          <w:tab w:val="left" w:pos="940"/>
        </w:tabs>
        <w:rPr>
          <w:sz w:val="22"/>
          <w:szCs w:val="22"/>
        </w:rPr>
      </w:pPr>
      <w:r>
        <w:rPr>
          <w:rFonts w:ascii="Wingdings" w:eastAsia="Wingdings" w:hAnsi="Wingdings" w:cs="Wingdings"/>
          <w:b/>
          <w:sz w:val="22"/>
          <w:szCs w:val="22"/>
        </w:rPr>
        <w:t>o</w:t>
      </w:r>
      <w:r w:rsidRPr="009D6ED0" w:rsidR="000A1015">
        <w:rPr>
          <w:b/>
          <w:sz w:val="22"/>
          <w:szCs w:val="22"/>
        </w:rPr>
        <w:t xml:space="preserve">  </w:t>
      </w:r>
      <w:r w:rsidRPr="009D6ED0" w:rsidR="000A1015">
        <w:rPr>
          <w:sz w:val="22"/>
          <w:szCs w:val="22"/>
        </w:rPr>
        <w:t>Extension</w:t>
      </w:r>
    </w:p>
    <w:p w:rsidR="00E90927" w:rsidRPr="00581542" w:rsidP="00E90927" w14:paraId="23BF0E59" w14:textId="2DBB234E">
      <w:pPr>
        <w:tabs>
          <w:tab w:val="left" w:pos="940"/>
        </w:tabs>
        <w:rPr>
          <w:sz w:val="22"/>
          <w:szCs w:val="22"/>
        </w:rPr>
      </w:pPr>
      <w:r>
        <w:rPr>
          <w:rFonts w:ascii="Wingdings" w:eastAsia="Wingdings" w:hAnsi="Wingdings" w:cs="Wingdings"/>
          <w:b/>
          <w:sz w:val="22"/>
          <w:szCs w:val="22"/>
        </w:rPr>
        <w:t>o</w:t>
      </w:r>
      <w:r w:rsidRPr="00581542" w:rsidR="000A1015">
        <w:rPr>
          <w:b/>
          <w:sz w:val="22"/>
          <w:szCs w:val="22"/>
        </w:rPr>
        <w:t xml:space="preserve">  </w:t>
      </w:r>
      <w:r w:rsidRPr="00581542" w:rsidR="000A1015">
        <w:rPr>
          <w:sz w:val="22"/>
          <w:szCs w:val="22"/>
        </w:rPr>
        <w:t>Emergency</w:t>
      </w:r>
    </w:p>
    <w:p w:rsidR="00E90927" w:rsidRPr="00581542" w:rsidP="00E90927" w14:paraId="73962D24" w14:textId="1F49967B">
      <w:pPr>
        <w:tabs>
          <w:tab w:val="left" w:pos="940"/>
        </w:tabs>
        <w:rPr>
          <w:sz w:val="22"/>
          <w:szCs w:val="22"/>
        </w:rPr>
      </w:pPr>
      <w:r>
        <w:rPr>
          <w:rFonts w:ascii="Wingdings" w:eastAsia="Wingdings" w:hAnsi="Wingdings" w:cs="Wingdings"/>
          <w:b/>
          <w:sz w:val="22"/>
          <w:szCs w:val="22"/>
        </w:rPr>
        <w:t>o</w:t>
      </w:r>
      <w:r w:rsidRPr="00581542" w:rsidR="000A1015">
        <w:rPr>
          <w:b/>
          <w:sz w:val="22"/>
          <w:szCs w:val="22"/>
        </w:rPr>
        <w:t xml:space="preserve">  </w:t>
      </w:r>
      <w:r w:rsidRPr="00581542" w:rsidR="000A1015">
        <w:rPr>
          <w:sz w:val="22"/>
          <w:szCs w:val="22"/>
        </w:rPr>
        <w:t>Existing</w:t>
      </w:r>
      <w:r w:rsidRPr="00581542" w:rsidR="000A1015">
        <w:rPr>
          <w:sz w:val="22"/>
          <w:szCs w:val="22"/>
        </w:rPr>
        <w:t xml:space="preserve"> w/o OMB approval</w:t>
      </w:r>
    </w:p>
    <w:p w:rsidR="00E90927" w:rsidRPr="00581542" w:rsidP="00E90927" w14:paraId="634EC2D9" w14:textId="77777777">
      <w:pPr>
        <w:rPr>
          <w:color w:val="000000" w:themeColor="text1"/>
          <w:sz w:val="32"/>
          <w:szCs w:val="32"/>
        </w:rPr>
      </w:pPr>
    </w:p>
    <w:p w:rsidR="00E90927" w:rsidRPr="00581542" w:rsidP="00E90927" w14:paraId="5F95F9F0" w14:textId="77777777">
      <w:pPr>
        <w:rPr>
          <w:color w:val="000000" w:themeColor="text1"/>
          <w:sz w:val="32"/>
          <w:szCs w:val="32"/>
        </w:rPr>
      </w:pPr>
    </w:p>
    <w:p w:rsidR="00E90927" w:rsidRPr="00581542" w:rsidP="00E90927" w14:paraId="17A256BD" w14:textId="77777777">
      <w:pPr>
        <w:rPr>
          <w:color w:val="000000" w:themeColor="text1"/>
          <w:sz w:val="32"/>
          <w:szCs w:val="32"/>
        </w:rPr>
      </w:pPr>
    </w:p>
    <w:p w:rsidR="00E90927" w:rsidRPr="00581542" w:rsidP="00E90927" w14:paraId="49E64F60" w14:textId="77777777">
      <w:pPr>
        <w:rPr>
          <w:b/>
          <w:color w:val="000000" w:themeColor="text1"/>
          <w:sz w:val="22"/>
          <w:szCs w:val="22"/>
        </w:rPr>
      </w:pPr>
      <w:r w:rsidRPr="00581542">
        <w:rPr>
          <w:b/>
          <w:color w:val="000000" w:themeColor="text1"/>
          <w:sz w:val="22"/>
          <w:szCs w:val="22"/>
        </w:rPr>
        <w:t>Federal Government Employee Information:</w:t>
      </w:r>
    </w:p>
    <w:p w:rsidR="00E90927" w:rsidRPr="00581542" w:rsidP="00E90927" w14:paraId="237FF0FD" w14:textId="77777777">
      <w:pPr>
        <w:rPr>
          <w:b/>
          <w:color w:val="000000" w:themeColor="text1"/>
          <w:sz w:val="22"/>
          <w:szCs w:val="22"/>
        </w:rPr>
      </w:pPr>
    </w:p>
    <w:p w:rsidR="00E90927" w:rsidRPr="00581542" w:rsidP="00E90927" w14:paraId="7E4CEEF3" w14:textId="47215E04">
      <w:pPr>
        <w:rPr>
          <w:color w:val="000000" w:themeColor="text1"/>
          <w:sz w:val="22"/>
          <w:szCs w:val="22"/>
        </w:rPr>
      </w:pPr>
      <w:r w:rsidRPr="00581542">
        <w:rPr>
          <w:color w:val="000000" w:themeColor="text1"/>
          <w:sz w:val="22"/>
          <w:szCs w:val="22"/>
        </w:rPr>
        <w:t xml:space="preserve">Name: </w:t>
      </w:r>
      <w:r w:rsidRPr="00581542">
        <w:rPr>
          <w:color w:val="000000" w:themeColor="text1"/>
          <w:sz w:val="22"/>
          <w:szCs w:val="22"/>
        </w:rPr>
        <w:tab/>
        <w:t xml:space="preserve">  </w:t>
      </w:r>
      <w:r w:rsidRPr="00581542">
        <w:rPr>
          <w:color w:val="000000" w:themeColor="text1"/>
          <w:sz w:val="22"/>
          <w:szCs w:val="22"/>
        </w:rPr>
        <w:tab/>
      </w:r>
      <w:r w:rsidRPr="00581542">
        <w:rPr>
          <w:color w:val="000000" w:themeColor="text1"/>
          <w:sz w:val="22"/>
          <w:szCs w:val="22"/>
        </w:rPr>
        <w:t xml:space="preserve">  </w:t>
      </w:r>
      <w:r w:rsidRPr="00581542" w:rsidR="00E234D2">
        <w:rPr>
          <w:sz w:val="22"/>
          <w:szCs w:val="22"/>
        </w:rPr>
        <w:t>Vivian Le</w:t>
      </w:r>
    </w:p>
    <w:p w:rsidR="00E90927" w:rsidRPr="00581542" w:rsidP="00E90927" w14:paraId="6877E6B2" w14:textId="77777777">
      <w:pPr>
        <w:rPr>
          <w:color w:val="000000" w:themeColor="text1"/>
          <w:sz w:val="22"/>
          <w:szCs w:val="22"/>
        </w:rPr>
      </w:pPr>
      <w:r w:rsidRPr="00581542">
        <w:rPr>
          <w:color w:val="000000" w:themeColor="text1"/>
          <w:sz w:val="22"/>
          <w:szCs w:val="22"/>
        </w:rPr>
        <w:t xml:space="preserve">Address:  </w:t>
      </w:r>
      <w:r w:rsidRPr="00581542">
        <w:rPr>
          <w:color w:val="000000" w:themeColor="text1"/>
          <w:sz w:val="22"/>
          <w:szCs w:val="22"/>
        </w:rPr>
        <w:tab/>
        <w:t xml:space="preserve">  National</w:t>
      </w:r>
      <w:r w:rsidRPr="00581542">
        <w:rPr>
          <w:color w:val="000000" w:themeColor="text1"/>
          <w:sz w:val="22"/>
          <w:szCs w:val="22"/>
        </w:rPr>
        <w:t xml:space="preserve"> Library of Medicine</w:t>
      </w:r>
    </w:p>
    <w:p w:rsidR="00E90927" w:rsidRPr="00581542" w:rsidP="00E90927" w14:paraId="5ADA35C5" w14:textId="2F681099">
      <w:pPr>
        <w:ind w:left="720" w:firstLine="720"/>
        <w:rPr>
          <w:color w:val="000000" w:themeColor="text1"/>
          <w:sz w:val="22"/>
          <w:szCs w:val="22"/>
        </w:rPr>
      </w:pPr>
      <w:r w:rsidRPr="00581542">
        <w:rPr>
          <w:color w:val="000000" w:themeColor="text1"/>
          <w:sz w:val="22"/>
          <w:szCs w:val="22"/>
        </w:rPr>
        <w:t xml:space="preserve">  </w:t>
      </w:r>
      <w:r w:rsidRPr="00581542" w:rsidR="000A1015">
        <w:rPr>
          <w:color w:val="000000" w:themeColor="text1"/>
          <w:sz w:val="22"/>
          <w:szCs w:val="22"/>
        </w:rPr>
        <w:t>8600 Rockville Pike</w:t>
      </w:r>
    </w:p>
    <w:p w:rsidR="00E90927" w:rsidRPr="00581542" w:rsidP="00E90927" w14:paraId="004DB11E" w14:textId="3D6856FD">
      <w:pPr>
        <w:ind w:left="720" w:firstLine="720"/>
        <w:rPr>
          <w:color w:val="000000" w:themeColor="text1"/>
          <w:sz w:val="22"/>
          <w:szCs w:val="22"/>
        </w:rPr>
      </w:pPr>
      <w:r w:rsidRPr="00581542">
        <w:rPr>
          <w:color w:val="000000" w:themeColor="text1"/>
          <w:sz w:val="22"/>
          <w:szCs w:val="22"/>
        </w:rPr>
        <w:t xml:space="preserve">  Bldg. 38A, </w:t>
      </w:r>
      <w:r w:rsidR="00207B65">
        <w:rPr>
          <w:color w:val="000000" w:themeColor="text1"/>
          <w:sz w:val="22"/>
          <w:szCs w:val="22"/>
        </w:rPr>
        <w:t>4N401Q5</w:t>
      </w:r>
    </w:p>
    <w:p w:rsidR="00E90927" w:rsidRPr="00581542" w:rsidP="00E90927" w14:paraId="3F908A9D" w14:textId="77777777">
      <w:pPr>
        <w:ind w:left="720" w:firstLine="720"/>
        <w:rPr>
          <w:color w:val="000000" w:themeColor="text1"/>
          <w:sz w:val="22"/>
          <w:szCs w:val="22"/>
        </w:rPr>
      </w:pPr>
      <w:r w:rsidRPr="00581542">
        <w:rPr>
          <w:color w:val="000000" w:themeColor="text1"/>
          <w:sz w:val="22"/>
          <w:szCs w:val="22"/>
        </w:rPr>
        <w:t xml:space="preserve">  Bethesda, MD 20894-3844</w:t>
      </w:r>
    </w:p>
    <w:p w:rsidR="00E90927" w:rsidRPr="00581542" w:rsidP="00E90927" w14:paraId="27228427" w14:textId="49938385">
      <w:pPr>
        <w:rPr>
          <w:color w:val="000000" w:themeColor="text1"/>
          <w:sz w:val="22"/>
          <w:szCs w:val="22"/>
        </w:rPr>
      </w:pPr>
      <w:r w:rsidRPr="00581542">
        <w:rPr>
          <w:color w:val="000000" w:themeColor="text1"/>
          <w:sz w:val="22"/>
          <w:szCs w:val="22"/>
        </w:rPr>
        <w:t xml:space="preserve">Telephone:     </w:t>
      </w:r>
      <w:r w:rsidRPr="00581542">
        <w:rPr>
          <w:color w:val="000000" w:themeColor="text1"/>
          <w:sz w:val="22"/>
          <w:szCs w:val="22"/>
        </w:rPr>
        <w:tab/>
        <w:t xml:space="preserve">  </w:t>
      </w:r>
      <w:r w:rsidRPr="00581542" w:rsidR="00E234D2">
        <w:rPr>
          <w:color w:val="000000" w:themeColor="text1"/>
          <w:sz w:val="22"/>
          <w:szCs w:val="22"/>
        </w:rPr>
        <w:t>301</w:t>
      </w:r>
      <w:r w:rsidRPr="00581542" w:rsidR="00E234D2">
        <w:rPr>
          <w:color w:val="000000" w:themeColor="text1"/>
          <w:sz w:val="22"/>
          <w:szCs w:val="22"/>
        </w:rPr>
        <w:t>-827-6328</w:t>
      </w:r>
    </w:p>
    <w:p w:rsidR="00E90927" w:rsidRPr="00581542" w:rsidP="00E90927" w14:paraId="7234893B" w14:textId="3ADDF139">
      <w:pPr>
        <w:rPr>
          <w:color w:val="000000" w:themeColor="text1"/>
          <w:sz w:val="22"/>
          <w:szCs w:val="22"/>
        </w:rPr>
      </w:pPr>
      <w:r w:rsidRPr="00581542">
        <w:rPr>
          <w:color w:val="000000" w:themeColor="text1"/>
          <w:sz w:val="22"/>
          <w:szCs w:val="22"/>
        </w:rPr>
        <w:t>Fax:</w:t>
      </w:r>
      <w:r w:rsidRPr="00581542">
        <w:rPr>
          <w:color w:val="000000" w:themeColor="text1"/>
          <w:sz w:val="22"/>
          <w:szCs w:val="22"/>
        </w:rPr>
        <w:tab/>
      </w:r>
      <w:r w:rsidRPr="00581542">
        <w:rPr>
          <w:color w:val="000000" w:themeColor="text1"/>
          <w:sz w:val="22"/>
          <w:szCs w:val="22"/>
        </w:rPr>
        <w:tab/>
        <w:t xml:space="preserve">  </w:t>
      </w:r>
      <w:r w:rsidRPr="00207B65" w:rsidR="00207B65">
        <w:rPr>
          <w:color w:val="000000" w:themeColor="text1"/>
          <w:sz w:val="22"/>
          <w:szCs w:val="22"/>
        </w:rPr>
        <w:t>301</w:t>
      </w:r>
      <w:r w:rsidR="00207B65">
        <w:rPr>
          <w:color w:val="000000" w:themeColor="text1"/>
          <w:sz w:val="22"/>
          <w:szCs w:val="22"/>
        </w:rPr>
        <w:t>-</w:t>
      </w:r>
      <w:r w:rsidRPr="00207B65" w:rsidR="00207B65">
        <w:rPr>
          <w:color w:val="000000" w:themeColor="text1"/>
          <w:sz w:val="22"/>
          <w:szCs w:val="22"/>
        </w:rPr>
        <w:t>480</w:t>
      </w:r>
      <w:r w:rsidR="00207B65">
        <w:rPr>
          <w:color w:val="000000" w:themeColor="text1"/>
          <w:sz w:val="22"/>
          <w:szCs w:val="22"/>
        </w:rPr>
        <w:t>-</w:t>
      </w:r>
      <w:r w:rsidRPr="00207B65" w:rsidR="00207B65">
        <w:rPr>
          <w:color w:val="000000" w:themeColor="text1"/>
          <w:sz w:val="22"/>
          <w:szCs w:val="22"/>
        </w:rPr>
        <w:t>4971</w:t>
      </w:r>
    </w:p>
    <w:p w:rsidR="00E90927" w:rsidRPr="00581542" w:rsidP="00E90927" w14:paraId="64819E0F" w14:textId="17EEAF8E">
      <w:pPr>
        <w:rPr>
          <w:rStyle w:val="Hyperlink"/>
          <w:color w:val="000000" w:themeColor="text1"/>
          <w:sz w:val="20"/>
        </w:rPr>
      </w:pPr>
      <w:r w:rsidRPr="00581542">
        <w:rPr>
          <w:color w:val="000000" w:themeColor="text1"/>
          <w:sz w:val="22"/>
          <w:szCs w:val="22"/>
        </w:rPr>
        <w:t>Email:</w:t>
      </w:r>
      <w:r>
        <w:tab/>
      </w:r>
      <w:r w:rsidRPr="00581542">
        <w:rPr>
          <w:color w:val="000000" w:themeColor="text1"/>
          <w:sz w:val="22"/>
          <w:szCs w:val="22"/>
        </w:rPr>
        <w:t xml:space="preserve"> </w:t>
      </w:r>
      <w:r>
        <w:tab/>
      </w:r>
      <w:r w:rsidRPr="00581542">
        <w:rPr>
          <w:color w:val="000000" w:themeColor="text1"/>
          <w:sz w:val="22"/>
          <w:szCs w:val="22"/>
        </w:rPr>
        <w:t xml:space="preserve">  </w:t>
      </w:r>
      <w:r w:rsidRPr="00581542" w:rsidR="00E234D2">
        <w:rPr>
          <w:sz w:val="22"/>
          <w:szCs w:val="22"/>
        </w:rPr>
        <w:t>lev1@nih.gov</w:t>
      </w:r>
    </w:p>
    <w:p w:rsidR="00E90927" w:rsidRPr="00581542" w:rsidP="00E90927" w14:paraId="5B998894" w14:textId="77777777">
      <w:pPr>
        <w:rPr>
          <w:color w:val="000000" w:themeColor="text1"/>
          <w:sz w:val="22"/>
          <w:szCs w:val="22"/>
        </w:rPr>
      </w:pPr>
    </w:p>
    <w:p w:rsidR="00E90927" w:rsidRPr="00581542" w:rsidP="00E90927" w14:paraId="2C197B85" w14:textId="77777777">
      <w:pPr>
        <w:rPr>
          <w:color w:val="000000" w:themeColor="text1"/>
          <w:sz w:val="32"/>
          <w:szCs w:val="32"/>
        </w:rPr>
      </w:pPr>
    </w:p>
    <w:p w:rsidR="00BB1667" w:rsidRPr="00581542" w:rsidP="00BB1667" w14:paraId="3798132B" w14:textId="77777777">
      <w:pPr>
        <w:rPr>
          <w:color w:val="000000" w:themeColor="text1"/>
          <w:szCs w:val="24"/>
          <w:u w:val="single"/>
        </w:rPr>
      </w:pPr>
      <w:r w:rsidRPr="00581542">
        <w:rPr>
          <w:b/>
          <w:color w:val="000000" w:themeColor="text1"/>
          <w:sz w:val="36"/>
          <w:szCs w:val="36"/>
        </w:rPr>
        <w:br w:type="page"/>
      </w:r>
      <w:r w:rsidRPr="00581542">
        <w:rPr>
          <w:b/>
          <w:color w:val="000000" w:themeColor="text1"/>
          <w:szCs w:val="24"/>
          <w:u w:val="single"/>
        </w:rPr>
        <w:t>Table of contents</w:t>
      </w:r>
    </w:p>
    <w:p w:rsidR="00BB1667" w:rsidRPr="00581542" w:rsidP="00BB1667" w14:paraId="60242772" w14:textId="77777777">
      <w:pPr>
        <w:tabs>
          <w:tab w:val="left" w:pos="3510"/>
        </w:tabs>
        <w:jc w:val="center"/>
        <w:rPr>
          <w:color w:val="000000" w:themeColor="text1"/>
          <w:szCs w:val="24"/>
        </w:rPr>
      </w:pPr>
    </w:p>
    <w:p w:rsidR="00BB1667" w:rsidRPr="00581542" w:rsidP="00BB1667" w14:paraId="660A1D8C" w14:textId="4C2C33F2">
      <w:pPr>
        <w:pStyle w:val="P1-StandPara"/>
        <w:tabs>
          <w:tab w:val="left" w:pos="720"/>
        </w:tabs>
        <w:ind w:firstLine="0"/>
        <w:rPr>
          <w:sz w:val="24"/>
          <w:szCs w:val="24"/>
        </w:rPr>
      </w:pPr>
      <w:r w:rsidRPr="00581542">
        <w:rPr>
          <w:sz w:val="24"/>
          <w:szCs w:val="24"/>
        </w:rPr>
        <w:fldChar w:fldCharType="begin"/>
      </w:r>
      <w:r w:rsidRPr="00581542">
        <w:rPr>
          <w:sz w:val="24"/>
          <w:szCs w:val="24"/>
        </w:rPr>
        <w:instrText xml:space="preserve"> TOC \o "1-2" \u </w:instrText>
      </w:r>
      <w:r w:rsidRPr="00581542">
        <w:rPr>
          <w:sz w:val="24"/>
          <w:szCs w:val="24"/>
        </w:rPr>
        <w:fldChar w:fldCharType="separate"/>
      </w:r>
      <w:r w:rsidRPr="00581542">
        <w:rPr>
          <w:sz w:val="24"/>
          <w:szCs w:val="24"/>
        </w:rPr>
        <w:t>A.</w:t>
      </w:r>
      <w:r w:rsidRPr="00581542">
        <w:rPr>
          <w:sz w:val="24"/>
          <w:szCs w:val="24"/>
        </w:rPr>
        <w:tab/>
        <w:t>A</w:t>
      </w:r>
      <w:r w:rsidRPr="00581542" w:rsidR="00924415">
        <w:rPr>
          <w:sz w:val="24"/>
          <w:szCs w:val="24"/>
        </w:rPr>
        <w:t>bstract</w:t>
      </w:r>
      <w:r w:rsidRPr="00581542">
        <w:rPr>
          <w:sz w:val="24"/>
          <w:szCs w:val="24"/>
        </w:rPr>
        <w:tab/>
      </w:r>
    </w:p>
    <w:p w:rsidR="00BB1667" w:rsidRPr="00581542" w:rsidP="00BB1667" w14:paraId="2D1C7B99" w14:textId="77777777">
      <w:pPr>
        <w:pStyle w:val="P1-StandPara"/>
        <w:ind w:firstLine="0"/>
        <w:rPr>
          <w:sz w:val="24"/>
          <w:szCs w:val="24"/>
        </w:rPr>
      </w:pPr>
      <w:r w:rsidRPr="00581542">
        <w:rPr>
          <w:sz w:val="24"/>
          <w:szCs w:val="24"/>
        </w:rPr>
        <w:t>A.1</w:t>
      </w:r>
      <w:r w:rsidRPr="00581542">
        <w:rPr>
          <w:sz w:val="24"/>
          <w:szCs w:val="24"/>
        </w:rPr>
        <w:tab/>
        <w:t>Circumstances Making the Collection of Information Necessary</w:t>
      </w:r>
      <w:r w:rsidRPr="00581542">
        <w:rPr>
          <w:sz w:val="24"/>
          <w:szCs w:val="24"/>
        </w:rPr>
        <w:tab/>
      </w:r>
    </w:p>
    <w:p w:rsidR="00BB1667" w:rsidRPr="00581542" w:rsidP="00BB1667" w14:paraId="38BE5A19" w14:textId="56D1AA12">
      <w:pPr>
        <w:pStyle w:val="P1-StandPara"/>
        <w:ind w:firstLine="0"/>
        <w:rPr>
          <w:sz w:val="24"/>
          <w:szCs w:val="24"/>
        </w:rPr>
      </w:pPr>
      <w:r w:rsidRPr="00581542">
        <w:rPr>
          <w:sz w:val="24"/>
          <w:szCs w:val="24"/>
        </w:rPr>
        <w:t>A.2.</w:t>
      </w:r>
      <w:r w:rsidRPr="00581542">
        <w:rPr>
          <w:sz w:val="24"/>
          <w:szCs w:val="24"/>
        </w:rPr>
        <w:tab/>
        <w:t>Purpose and Use of the Information C</w:t>
      </w:r>
      <w:r w:rsidRPr="00581542" w:rsidR="00697237">
        <w:rPr>
          <w:sz w:val="24"/>
          <w:szCs w:val="24"/>
        </w:rPr>
        <w:t>ollection</w:t>
      </w:r>
      <w:r w:rsidRPr="00581542">
        <w:rPr>
          <w:sz w:val="24"/>
          <w:szCs w:val="24"/>
        </w:rPr>
        <w:tab/>
      </w:r>
    </w:p>
    <w:p w:rsidR="00BB1667" w:rsidRPr="00581542" w:rsidP="00BB1667" w14:paraId="79934FCA" w14:textId="4D58A583">
      <w:pPr>
        <w:pStyle w:val="P1-StandPara"/>
        <w:ind w:firstLine="0"/>
        <w:rPr>
          <w:sz w:val="24"/>
          <w:szCs w:val="24"/>
        </w:rPr>
      </w:pPr>
      <w:r w:rsidRPr="00581542">
        <w:rPr>
          <w:sz w:val="24"/>
          <w:szCs w:val="24"/>
        </w:rPr>
        <w:t>A.3</w:t>
      </w:r>
      <w:r w:rsidRPr="00581542">
        <w:rPr>
          <w:sz w:val="24"/>
          <w:szCs w:val="24"/>
        </w:rPr>
        <w:tab/>
        <w:t xml:space="preserve">Use of </w:t>
      </w:r>
      <w:r w:rsidRPr="00581542" w:rsidR="00697237">
        <w:rPr>
          <w:sz w:val="24"/>
          <w:szCs w:val="24"/>
        </w:rPr>
        <w:t xml:space="preserve">Improved </w:t>
      </w:r>
      <w:r w:rsidRPr="00581542">
        <w:rPr>
          <w:sz w:val="24"/>
          <w:szCs w:val="24"/>
        </w:rPr>
        <w:t>Information Technology and Burden Reduction</w:t>
      </w:r>
      <w:r w:rsidRPr="00581542">
        <w:rPr>
          <w:sz w:val="24"/>
          <w:szCs w:val="24"/>
        </w:rPr>
        <w:tab/>
      </w:r>
    </w:p>
    <w:p w:rsidR="00BB1667" w:rsidRPr="00581542" w:rsidP="00BB1667" w14:paraId="2368E901" w14:textId="77777777">
      <w:pPr>
        <w:pStyle w:val="P1-StandPara"/>
        <w:ind w:firstLine="0"/>
        <w:rPr>
          <w:sz w:val="24"/>
          <w:szCs w:val="24"/>
        </w:rPr>
      </w:pPr>
      <w:r w:rsidRPr="00581542">
        <w:rPr>
          <w:sz w:val="24"/>
          <w:szCs w:val="24"/>
        </w:rPr>
        <w:t>A.4</w:t>
      </w:r>
      <w:r w:rsidRPr="00581542">
        <w:rPr>
          <w:sz w:val="24"/>
          <w:szCs w:val="24"/>
        </w:rPr>
        <w:tab/>
        <w:t>Efforts to Identify Duplication and Use of Similar Information</w:t>
      </w:r>
      <w:r w:rsidRPr="00581542">
        <w:rPr>
          <w:sz w:val="24"/>
          <w:szCs w:val="24"/>
        </w:rPr>
        <w:tab/>
      </w:r>
    </w:p>
    <w:p w:rsidR="00BB1667" w:rsidRPr="00581542" w:rsidP="00BB1667" w14:paraId="0ABF7F24" w14:textId="77777777">
      <w:pPr>
        <w:pStyle w:val="P1-StandPara"/>
        <w:ind w:firstLine="0"/>
        <w:rPr>
          <w:sz w:val="24"/>
          <w:szCs w:val="24"/>
        </w:rPr>
      </w:pPr>
      <w:r w:rsidRPr="00581542">
        <w:rPr>
          <w:sz w:val="24"/>
          <w:szCs w:val="24"/>
        </w:rPr>
        <w:t>A.5</w:t>
      </w:r>
      <w:r w:rsidRPr="00581542">
        <w:rPr>
          <w:sz w:val="24"/>
          <w:szCs w:val="24"/>
        </w:rPr>
        <w:tab/>
        <w:t>Impact on Small Businesses or Other Small Entities</w:t>
      </w:r>
      <w:r w:rsidRPr="00581542">
        <w:rPr>
          <w:sz w:val="24"/>
          <w:szCs w:val="24"/>
        </w:rPr>
        <w:tab/>
      </w:r>
    </w:p>
    <w:p w:rsidR="00BB1667" w:rsidRPr="00581542" w:rsidP="00BB1667" w14:paraId="6F7D4F42" w14:textId="77777777">
      <w:pPr>
        <w:pStyle w:val="P1-StandPara"/>
        <w:ind w:firstLine="0"/>
        <w:rPr>
          <w:sz w:val="24"/>
          <w:szCs w:val="24"/>
        </w:rPr>
      </w:pPr>
      <w:r w:rsidRPr="00581542">
        <w:rPr>
          <w:sz w:val="24"/>
          <w:szCs w:val="24"/>
        </w:rPr>
        <w:t>A.6</w:t>
      </w:r>
      <w:r w:rsidRPr="00581542">
        <w:rPr>
          <w:sz w:val="24"/>
          <w:szCs w:val="24"/>
        </w:rPr>
        <w:tab/>
        <w:t>Consequences of Collecting the Information Less Frequently</w:t>
      </w:r>
      <w:r w:rsidRPr="00581542">
        <w:rPr>
          <w:sz w:val="24"/>
          <w:szCs w:val="24"/>
        </w:rPr>
        <w:tab/>
      </w:r>
    </w:p>
    <w:p w:rsidR="00BB1667" w:rsidRPr="00581542" w:rsidP="00BB1667" w14:paraId="3556863F" w14:textId="535F6EB6">
      <w:pPr>
        <w:pStyle w:val="P1-StandPara"/>
        <w:ind w:firstLine="0"/>
        <w:rPr>
          <w:sz w:val="24"/>
          <w:szCs w:val="24"/>
        </w:rPr>
      </w:pPr>
      <w:r w:rsidRPr="00581542">
        <w:rPr>
          <w:sz w:val="24"/>
          <w:szCs w:val="24"/>
        </w:rPr>
        <w:t>A.7</w:t>
      </w:r>
      <w:r w:rsidRPr="00581542">
        <w:rPr>
          <w:sz w:val="24"/>
          <w:szCs w:val="24"/>
        </w:rPr>
        <w:tab/>
        <w:t>Special Circumstances</w:t>
      </w:r>
      <w:r w:rsidRPr="00581542">
        <w:rPr>
          <w:sz w:val="24"/>
          <w:szCs w:val="24"/>
        </w:rPr>
        <w:tab/>
      </w:r>
    </w:p>
    <w:p w:rsidR="00BB1667" w:rsidRPr="00581542" w:rsidP="00BB1667" w14:paraId="5368EEAF" w14:textId="1B3A897B">
      <w:pPr>
        <w:pStyle w:val="P1-StandPara"/>
        <w:ind w:firstLine="0"/>
        <w:rPr>
          <w:sz w:val="24"/>
          <w:szCs w:val="24"/>
        </w:rPr>
      </w:pPr>
      <w:r w:rsidRPr="00581542">
        <w:rPr>
          <w:sz w:val="24"/>
          <w:szCs w:val="24"/>
        </w:rPr>
        <w:t>A.8</w:t>
      </w:r>
      <w:r w:rsidRPr="00581542">
        <w:rPr>
          <w:sz w:val="24"/>
          <w:szCs w:val="24"/>
        </w:rPr>
        <w:tab/>
        <w:t>Comments in Response to the Federal Register Notice and Efforts to Consult Outside</w:t>
      </w:r>
      <w:r w:rsidRPr="00581542" w:rsidR="00697237">
        <w:rPr>
          <w:sz w:val="24"/>
          <w:szCs w:val="24"/>
        </w:rPr>
        <w:t xml:space="preserve"> the</w:t>
      </w:r>
      <w:r w:rsidRPr="00581542">
        <w:rPr>
          <w:sz w:val="24"/>
          <w:szCs w:val="24"/>
        </w:rPr>
        <w:t xml:space="preserve"> Agency</w:t>
      </w:r>
      <w:r w:rsidRPr="00581542">
        <w:rPr>
          <w:sz w:val="24"/>
          <w:szCs w:val="24"/>
        </w:rPr>
        <w:tab/>
      </w:r>
    </w:p>
    <w:p w:rsidR="00BB1667" w:rsidRPr="00581542" w:rsidP="00BB1667" w14:paraId="7B999A92" w14:textId="4476689A">
      <w:pPr>
        <w:pStyle w:val="P1-StandPara"/>
        <w:ind w:firstLine="0"/>
        <w:rPr>
          <w:sz w:val="24"/>
          <w:szCs w:val="24"/>
        </w:rPr>
      </w:pPr>
      <w:r w:rsidRPr="00581542">
        <w:rPr>
          <w:sz w:val="24"/>
          <w:szCs w:val="24"/>
        </w:rPr>
        <w:t>A.9</w:t>
      </w:r>
      <w:r w:rsidRPr="00581542">
        <w:rPr>
          <w:sz w:val="24"/>
          <w:szCs w:val="24"/>
        </w:rPr>
        <w:tab/>
        <w:t>Explanation of Any Payment o</w:t>
      </w:r>
      <w:r w:rsidRPr="00581542" w:rsidR="00697237">
        <w:rPr>
          <w:sz w:val="24"/>
          <w:szCs w:val="24"/>
        </w:rPr>
        <w:t>r</w:t>
      </w:r>
      <w:r w:rsidRPr="00581542">
        <w:rPr>
          <w:sz w:val="24"/>
          <w:szCs w:val="24"/>
        </w:rPr>
        <w:t xml:space="preserve"> Gift to Respondents</w:t>
      </w:r>
      <w:r w:rsidRPr="00581542">
        <w:rPr>
          <w:sz w:val="24"/>
          <w:szCs w:val="24"/>
        </w:rPr>
        <w:tab/>
      </w:r>
    </w:p>
    <w:p w:rsidR="00BB1667" w:rsidRPr="00581542" w:rsidP="00BB1667" w14:paraId="4ECBBB90" w14:textId="77777777">
      <w:pPr>
        <w:pStyle w:val="P1-StandPara"/>
        <w:ind w:firstLine="0"/>
        <w:rPr>
          <w:sz w:val="24"/>
          <w:szCs w:val="24"/>
        </w:rPr>
      </w:pPr>
      <w:r w:rsidRPr="00581542">
        <w:rPr>
          <w:sz w:val="24"/>
          <w:szCs w:val="24"/>
        </w:rPr>
        <w:t>A.10</w:t>
      </w:r>
      <w:r w:rsidRPr="00581542">
        <w:rPr>
          <w:sz w:val="24"/>
          <w:szCs w:val="24"/>
        </w:rPr>
        <w:tab/>
        <w:t>Assurance of Confidentiality Provided to Respondents</w:t>
      </w:r>
      <w:r w:rsidRPr="00581542">
        <w:rPr>
          <w:sz w:val="24"/>
          <w:szCs w:val="24"/>
        </w:rPr>
        <w:tab/>
      </w:r>
    </w:p>
    <w:p w:rsidR="00BB1667" w:rsidRPr="00581542" w:rsidP="00BB1667" w14:paraId="78E76C22" w14:textId="77777777">
      <w:pPr>
        <w:pStyle w:val="P1-StandPara"/>
        <w:ind w:firstLine="0"/>
        <w:rPr>
          <w:sz w:val="24"/>
          <w:szCs w:val="24"/>
        </w:rPr>
      </w:pPr>
      <w:r w:rsidRPr="00581542">
        <w:rPr>
          <w:sz w:val="24"/>
          <w:szCs w:val="24"/>
        </w:rPr>
        <w:t>A.11</w:t>
      </w:r>
      <w:r w:rsidRPr="00581542">
        <w:rPr>
          <w:sz w:val="24"/>
          <w:szCs w:val="24"/>
        </w:rPr>
        <w:tab/>
        <w:t>Justification for Sensitive Questions</w:t>
      </w:r>
      <w:r w:rsidRPr="00581542">
        <w:rPr>
          <w:sz w:val="24"/>
          <w:szCs w:val="24"/>
        </w:rPr>
        <w:tab/>
      </w:r>
    </w:p>
    <w:p w:rsidR="00BB1667" w:rsidRPr="00581542" w:rsidP="00BB1667" w14:paraId="612C58F9" w14:textId="0D97C3A6">
      <w:pPr>
        <w:pStyle w:val="P1-StandPara"/>
        <w:ind w:firstLine="0"/>
        <w:rPr>
          <w:sz w:val="24"/>
          <w:szCs w:val="24"/>
        </w:rPr>
      </w:pPr>
      <w:r w:rsidRPr="00581542">
        <w:rPr>
          <w:sz w:val="24"/>
          <w:szCs w:val="24"/>
        </w:rPr>
        <w:t>A.12</w:t>
      </w:r>
      <w:r w:rsidRPr="00581542">
        <w:rPr>
          <w:sz w:val="24"/>
          <w:szCs w:val="24"/>
        </w:rPr>
        <w:tab/>
        <w:t xml:space="preserve">Estimates of </w:t>
      </w:r>
      <w:r w:rsidRPr="00581542" w:rsidR="00697237">
        <w:rPr>
          <w:sz w:val="24"/>
          <w:szCs w:val="24"/>
        </w:rPr>
        <w:t xml:space="preserve">Annualized Burden Hours and Costs to the Respondents  </w:t>
      </w:r>
      <w:r w:rsidRPr="00581542">
        <w:rPr>
          <w:sz w:val="24"/>
          <w:szCs w:val="24"/>
        </w:rPr>
        <w:tab/>
      </w:r>
    </w:p>
    <w:p w:rsidR="00BB1667" w:rsidRPr="00581542" w:rsidP="00BB1667" w14:paraId="7D5E35C6" w14:textId="42013277">
      <w:pPr>
        <w:pStyle w:val="P1-StandPara"/>
        <w:ind w:firstLine="0"/>
        <w:rPr>
          <w:sz w:val="24"/>
          <w:szCs w:val="24"/>
        </w:rPr>
      </w:pPr>
      <w:r w:rsidRPr="00581542">
        <w:rPr>
          <w:sz w:val="24"/>
          <w:szCs w:val="24"/>
        </w:rPr>
        <w:t>A.13</w:t>
      </w:r>
      <w:r w:rsidRPr="00581542">
        <w:rPr>
          <w:sz w:val="24"/>
          <w:szCs w:val="24"/>
        </w:rPr>
        <w:tab/>
        <w:t xml:space="preserve">Estimate of Other Total Annual Cost Burden to Respondents </w:t>
      </w:r>
      <w:r w:rsidRPr="00581542" w:rsidR="00897560">
        <w:rPr>
          <w:sz w:val="24"/>
          <w:szCs w:val="24"/>
        </w:rPr>
        <w:t xml:space="preserve">and </w:t>
      </w:r>
      <w:r w:rsidRPr="00581542">
        <w:rPr>
          <w:sz w:val="24"/>
          <w:szCs w:val="24"/>
        </w:rPr>
        <w:t xml:space="preserve">Record </w:t>
      </w:r>
      <w:r w:rsidRPr="00581542" w:rsidR="00697237">
        <w:rPr>
          <w:sz w:val="24"/>
          <w:szCs w:val="24"/>
        </w:rPr>
        <w:t>K</w:t>
      </w:r>
      <w:r w:rsidRPr="00581542">
        <w:rPr>
          <w:sz w:val="24"/>
          <w:szCs w:val="24"/>
        </w:rPr>
        <w:t>eepers</w:t>
      </w:r>
      <w:r w:rsidRPr="00581542">
        <w:rPr>
          <w:sz w:val="24"/>
          <w:szCs w:val="24"/>
        </w:rPr>
        <w:tab/>
      </w:r>
    </w:p>
    <w:p w:rsidR="00BB1667" w:rsidRPr="00581542" w:rsidP="00BB1667" w14:paraId="2241EDA9" w14:textId="77777777">
      <w:pPr>
        <w:pStyle w:val="P1-StandPara"/>
        <w:ind w:firstLine="0"/>
        <w:rPr>
          <w:sz w:val="24"/>
          <w:szCs w:val="24"/>
        </w:rPr>
      </w:pPr>
      <w:r w:rsidRPr="00581542">
        <w:rPr>
          <w:sz w:val="24"/>
          <w:szCs w:val="24"/>
        </w:rPr>
        <w:t>A.14</w:t>
      </w:r>
      <w:r w:rsidRPr="00581542">
        <w:rPr>
          <w:sz w:val="24"/>
          <w:szCs w:val="24"/>
        </w:rPr>
        <w:tab/>
        <w:t>Annualized Cost to the Federal Government</w:t>
      </w:r>
      <w:r w:rsidRPr="00581542">
        <w:rPr>
          <w:sz w:val="24"/>
          <w:szCs w:val="24"/>
        </w:rPr>
        <w:tab/>
      </w:r>
    </w:p>
    <w:p w:rsidR="00BB1667" w:rsidRPr="00581542" w:rsidP="00BB1667" w14:paraId="56472244" w14:textId="77777777">
      <w:pPr>
        <w:pStyle w:val="P1-StandPara"/>
        <w:ind w:firstLine="0"/>
        <w:rPr>
          <w:sz w:val="24"/>
          <w:szCs w:val="24"/>
        </w:rPr>
      </w:pPr>
      <w:r w:rsidRPr="00581542">
        <w:rPr>
          <w:sz w:val="24"/>
          <w:szCs w:val="24"/>
        </w:rPr>
        <w:t>A.15</w:t>
      </w:r>
      <w:r w:rsidRPr="00581542">
        <w:rPr>
          <w:sz w:val="24"/>
          <w:szCs w:val="24"/>
        </w:rPr>
        <w:tab/>
        <w:t>Explanation for Program Changes or Adjustments</w:t>
      </w:r>
      <w:r w:rsidRPr="00581542">
        <w:rPr>
          <w:sz w:val="24"/>
          <w:szCs w:val="24"/>
        </w:rPr>
        <w:tab/>
      </w:r>
    </w:p>
    <w:p w:rsidR="00BB1667" w:rsidRPr="00581542" w:rsidP="00BB1667" w14:paraId="01FA7B8D" w14:textId="77777777">
      <w:pPr>
        <w:pStyle w:val="P1-StandPara"/>
        <w:ind w:firstLine="0"/>
        <w:rPr>
          <w:sz w:val="24"/>
          <w:szCs w:val="24"/>
        </w:rPr>
      </w:pPr>
      <w:r w:rsidRPr="00581542">
        <w:rPr>
          <w:sz w:val="24"/>
          <w:szCs w:val="24"/>
        </w:rPr>
        <w:t>A.16</w:t>
      </w:r>
      <w:r w:rsidRPr="00581542">
        <w:rPr>
          <w:sz w:val="24"/>
          <w:szCs w:val="24"/>
        </w:rPr>
        <w:tab/>
        <w:t>Plans for Tabulation and Publication and Project Time Schedule</w:t>
      </w:r>
      <w:r w:rsidRPr="00581542">
        <w:rPr>
          <w:sz w:val="24"/>
          <w:szCs w:val="24"/>
        </w:rPr>
        <w:tab/>
      </w:r>
    </w:p>
    <w:p w:rsidR="00BB1667" w:rsidRPr="00581542" w:rsidP="00BB1667" w14:paraId="01627278" w14:textId="77777777">
      <w:pPr>
        <w:pStyle w:val="P1-StandPara"/>
        <w:ind w:firstLine="0"/>
        <w:rPr>
          <w:sz w:val="24"/>
          <w:szCs w:val="24"/>
        </w:rPr>
      </w:pPr>
      <w:r w:rsidRPr="00581542">
        <w:rPr>
          <w:sz w:val="24"/>
          <w:szCs w:val="24"/>
        </w:rPr>
        <w:t>A.17</w:t>
      </w:r>
      <w:r w:rsidRPr="00581542">
        <w:rPr>
          <w:sz w:val="24"/>
          <w:szCs w:val="24"/>
        </w:rPr>
        <w:tab/>
        <w:t>Reason(s) Display of OMB Expiration Date is Inappropriate</w:t>
      </w:r>
      <w:r w:rsidRPr="00581542">
        <w:rPr>
          <w:sz w:val="24"/>
          <w:szCs w:val="24"/>
        </w:rPr>
        <w:tab/>
      </w:r>
    </w:p>
    <w:p w:rsidR="00BB1667" w:rsidRPr="00581542" w:rsidP="00BB1667" w14:paraId="38CE1972" w14:textId="77777777">
      <w:pPr>
        <w:pStyle w:val="P1-StandPara"/>
        <w:ind w:firstLine="0"/>
        <w:rPr>
          <w:sz w:val="24"/>
          <w:szCs w:val="24"/>
        </w:rPr>
      </w:pPr>
      <w:r w:rsidRPr="00581542">
        <w:rPr>
          <w:sz w:val="24"/>
          <w:szCs w:val="24"/>
        </w:rPr>
        <w:t>A.18</w:t>
      </w:r>
      <w:r w:rsidRPr="00581542">
        <w:rPr>
          <w:sz w:val="24"/>
          <w:szCs w:val="24"/>
        </w:rPr>
        <w:tab/>
        <w:t>Exceptions to Certification for Paperwork Reduction Act Submissions</w:t>
      </w:r>
      <w:r w:rsidRPr="00581542">
        <w:rPr>
          <w:sz w:val="24"/>
          <w:szCs w:val="24"/>
        </w:rPr>
        <w:tab/>
      </w:r>
    </w:p>
    <w:p w:rsidR="0030228D" w:rsidP="00BB1667" w14:paraId="637485C5" w14:textId="345BC9D7">
      <w:pPr>
        <w:spacing w:line="480" w:lineRule="auto"/>
        <w:rPr>
          <w:szCs w:val="24"/>
        </w:rPr>
      </w:pPr>
      <w:r w:rsidRPr="00581542">
        <w:rPr>
          <w:szCs w:val="24"/>
        </w:rPr>
        <w:fldChar w:fldCharType="end"/>
      </w:r>
    </w:p>
    <w:p w:rsidR="00D97646" w:rsidP="00BB1667" w14:paraId="2A237E90" w14:textId="77777777">
      <w:pPr>
        <w:spacing w:line="480" w:lineRule="auto"/>
        <w:rPr>
          <w:szCs w:val="24"/>
        </w:rPr>
      </w:pPr>
    </w:p>
    <w:p w:rsidR="00581542" w:rsidRPr="00581542" w:rsidP="00BB1667" w14:paraId="68523FB4" w14:textId="77777777">
      <w:pPr>
        <w:spacing w:line="480" w:lineRule="auto"/>
        <w:rPr>
          <w:szCs w:val="22"/>
        </w:rPr>
      </w:pPr>
    </w:p>
    <w:p w:rsidR="00BB1667" w:rsidRPr="00581542" w:rsidP="00BB1667" w14:paraId="55B30F8F" w14:textId="4A688A96">
      <w:pPr>
        <w:spacing w:line="480" w:lineRule="auto"/>
        <w:rPr>
          <w:b/>
          <w:caps/>
          <w:noProof/>
          <w:color w:val="000000" w:themeColor="text1"/>
          <w:szCs w:val="24"/>
        </w:rPr>
      </w:pPr>
      <w:r w:rsidRPr="00581542">
        <w:rPr>
          <w:b/>
          <w:caps/>
          <w:noProof/>
          <w:color w:val="000000" w:themeColor="text1"/>
          <w:szCs w:val="24"/>
        </w:rPr>
        <w:t xml:space="preserve">Attachments: </w:t>
      </w:r>
    </w:p>
    <w:p w:rsidR="00BB1667" w:rsidRPr="00581542" w:rsidP="00BB1667" w14:paraId="5168D649" w14:textId="2C4636F7">
      <w:pPr>
        <w:rPr>
          <w:color w:val="000000" w:themeColor="text1"/>
          <w:kern w:val="0"/>
          <w:szCs w:val="24"/>
        </w:rPr>
      </w:pPr>
      <w:r w:rsidRPr="00581542">
        <w:rPr>
          <w:color w:val="000000" w:themeColor="text1"/>
          <w:szCs w:val="24"/>
        </w:rPr>
        <w:t xml:space="preserve">Attachment 1 – Registration Data Element Definitions </w:t>
      </w:r>
    </w:p>
    <w:p w:rsidR="00AB0FB4" w:rsidRPr="00581542" w:rsidP="00BB1667" w14:paraId="71AB1BF6" w14:textId="0ABF30E4">
      <w:pPr>
        <w:rPr>
          <w:color w:val="000000" w:themeColor="text1"/>
          <w:szCs w:val="24"/>
        </w:rPr>
      </w:pPr>
      <w:r w:rsidRPr="00581542">
        <w:rPr>
          <w:color w:val="000000" w:themeColor="text1"/>
          <w:szCs w:val="24"/>
        </w:rPr>
        <w:t xml:space="preserve">Attachment 2 – Registration Data Entry Forms </w:t>
      </w:r>
    </w:p>
    <w:p w:rsidR="00BB1667" w:rsidRPr="00581542" w:rsidP="00BB1667" w14:paraId="789E2558" w14:textId="4880A823">
      <w:pPr>
        <w:rPr>
          <w:rFonts w:ascii="Calibri" w:hAnsi="Calibri"/>
          <w:color w:val="000000" w:themeColor="text1"/>
          <w:szCs w:val="24"/>
        </w:rPr>
      </w:pPr>
      <w:r w:rsidRPr="00581542">
        <w:rPr>
          <w:color w:val="000000" w:themeColor="text1"/>
          <w:szCs w:val="24"/>
        </w:rPr>
        <w:t xml:space="preserve">Attachment 3 – Expanded Access Record Data Element Definitions and Data Entry Forms </w:t>
      </w:r>
    </w:p>
    <w:p w:rsidR="00BB1667" w:rsidRPr="00581542" w:rsidP="00BB1667" w14:paraId="660BABF5" w14:textId="7F7F93E7">
      <w:pPr>
        <w:rPr>
          <w:color w:val="000000" w:themeColor="text1"/>
          <w:szCs w:val="24"/>
        </w:rPr>
      </w:pPr>
      <w:r w:rsidRPr="00581542">
        <w:rPr>
          <w:color w:val="000000" w:themeColor="text1"/>
          <w:szCs w:val="24"/>
        </w:rPr>
        <w:t xml:space="preserve">Attachment 4 – Results Information Data Element Definitions </w:t>
      </w:r>
    </w:p>
    <w:p w:rsidR="00BB1667" w:rsidRPr="00581542" w:rsidP="00BB1667" w14:paraId="68D0D41B" w14:textId="338DF31E">
      <w:pPr>
        <w:rPr>
          <w:color w:val="000000" w:themeColor="text1"/>
          <w:szCs w:val="24"/>
        </w:rPr>
      </w:pPr>
      <w:r w:rsidRPr="00581542">
        <w:rPr>
          <w:color w:val="000000" w:themeColor="text1"/>
          <w:szCs w:val="24"/>
        </w:rPr>
        <w:t>Attachment 5 – Results Information Submission Data Entry Forms</w:t>
      </w:r>
    </w:p>
    <w:p w:rsidR="00BB1667" w:rsidRPr="00581542" w:rsidP="00BB1667" w14:paraId="2E66048C" w14:textId="6B248E74">
      <w:pPr>
        <w:rPr>
          <w:color w:val="000000" w:themeColor="text1"/>
          <w:szCs w:val="24"/>
        </w:rPr>
      </w:pPr>
      <w:r w:rsidRPr="00581542">
        <w:rPr>
          <w:color w:val="000000" w:themeColor="text1"/>
          <w:szCs w:val="24"/>
        </w:rPr>
        <w:t xml:space="preserve">Attachment 6 – Certification to Delay Submission of Results Information </w:t>
      </w:r>
    </w:p>
    <w:p w:rsidR="008646F4" w:rsidRPr="00581542" w:rsidP="008646F4" w14:paraId="52CF0975" w14:textId="35588DED">
      <w:pPr>
        <w:rPr>
          <w:color w:val="000000" w:themeColor="text1"/>
          <w:szCs w:val="24"/>
        </w:rPr>
      </w:pPr>
      <w:r w:rsidRPr="00581542">
        <w:rPr>
          <w:color w:val="000000" w:themeColor="text1"/>
          <w:szCs w:val="24"/>
        </w:rPr>
        <w:t>Attachment 7 – Request for the Extension of the Results Information Submission Deadline</w:t>
      </w:r>
    </w:p>
    <w:p w:rsidR="008646F4" w:rsidRPr="00581542" w:rsidP="008646F4" w14:paraId="6BAA9D3A" w14:textId="77777777">
      <w:pPr>
        <w:rPr>
          <w:color w:val="000000" w:themeColor="text1"/>
          <w:szCs w:val="24"/>
        </w:rPr>
      </w:pPr>
      <w:r w:rsidRPr="00581542">
        <w:rPr>
          <w:color w:val="000000" w:themeColor="text1"/>
          <w:szCs w:val="24"/>
        </w:rPr>
        <w:t>Attachment 8 – Privacy Act Review</w:t>
      </w:r>
    </w:p>
    <w:p w:rsidR="007C3250" w:rsidP="008646F4" w14:paraId="5B9CD018" w14:textId="77777777">
      <w:pPr>
        <w:rPr>
          <w:szCs w:val="24"/>
        </w:rPr>
      </w:pPr>
      <w:r w:rsidRPr="00581542">
        <w:rPr>
          <w:color w:val="000000" w:themeColor="text1"/>
          <w:szCs w:val="24"/>
        </w:rPr>
        <w:t xml:space="preserve">Attachment 9 – </w:t>
      </w:r>
      <w:r w:rsidRPr="00581542">
        <w:rPr>
          <w:szCs w:val="24"/>
        </w:rPr>
        <w:t>Privacy Impact Assessment</w:t>
      </w:r>
    </w:p>
    <w:p w:rsidR="008646F4" w:rsidRPr="00581542" w:rsidP="008646F4" w14:paraId="3A15533E" w14:textId="07466635">
      <w:pPr>
        <w:rPr>
          <w:color w:val="000000" w:themeColor="text1"/>
        </w:rPr>
      </w:pPr>
      <w:r w:rsidRPr="005C57F4">
        <w:rPr>
          <w:szCs w:val="24"/>
          <w:highlight w:val="yellow"/>
        </w:rPr>
        <w:t xml:space="preserve">Attachment 10 </w:t>
      </w:r>
      <w:r w:rsidRPr="005C57F4">
        <w:rPr>
          <w:color w:val="000000" w:themeColor="text1"/>
          <w:szCs w:val="24"/>
          <w:highlight w:val="yellow"/>
        </w:rPr>
        <w:t>–</w:t>
      </w:r>
      <w:r w:rsidRPr="005C57F4" w:rsidR="00B15B9B">
        <w:rPr>
          <w:color w:val="000000" w:themeColor="text1"/>
          <w:szCs w:val="24"/>
          <w:highlight w:val="yellow"/>
        </w:rPr>
        <w:t xml:space="preserve"> Information Required for Waiver Requests and Appeals</w:t>
      </w:r>
      <w:r>
        <w:rPr>
          <w:szCs w:val="24"/>
        </w:rPr>
        <w:t xml:space="preserve"> </w:t>
      </w:r>
      <w:r w:rsidRPr="00581542" w:rsidR="000A1015">
        <w:rPr>
          <w:color w:val="000000" w:themeColor="text1"/>
        </w:rPr>
        <w:br/>
      </w:r>
    </w:p>
    <w:p w:rsidR="008646F4" w:rsidRPr="00581542" w:rsidP="008646F4" w14:paraId="3B40F0A3" w14:textId="455C678B">
      <w:pPr>
        <w:rPr>
          <w:color w:val="000000" w:themeColor="text1"/>
        </w:rPr>
      </w:pPr>
    </w:p>
    <w:p w:rsidR="008646F4" w:rsidRPr="00581542" w:rsidP="008646F4" w14:paraId="04FD2BFF" w14:textId="7F8D89B5">
      <w:pPr>
        <w:rPr>
          <w:color w:val="000000" w:themeColor="text1"/>
        </w:rPr>
      </w:pPr>
    </w:p>
    <w:p w:rsidR="008646F4" w:rsidRPr="00581542" w:rsidP="008646F4" w14:paraId="73E8EE2B" w14:textId="4A05ECEB">
      <w:pPr>
        <w:rPr>
          <w:color w:val="000000" w:themeColor="text1"/>
        </w:rPr>
      </w:pPr>
    </w:p>
    <w:p w:rsidR="008646F4" w:rsidRPr="00581542" w:rsidP="008646F4" w14:paraId="605ED29A" w14:textId="30C258FB">
      <w:pPr>
        <w:rPr>
          <w:color w:val="000000" w:themeColor="text1"/>
        </w:rPr>
      </w:pPr>
    </w:p>
    <w:p w:rsidR="008646F4" w:rsidRPr="00581542" w:rsidP="008646F4" w14:paraId="2ADC5267" w14:textId="6151FC41">
      <w:pPr>
        <w:rPr>
          <w:color w:val="000000" w:themeColor="text1"/>
        </w:rPr>
      </w:pPr>
    </w:p>
    <w:p w:rsidR="008646F4" w:rsidRPr="00581542" w:rsidP="008646F4" w14:paraId="2147245B" w14:textId="414A6943">
      <w:pPr>
        <w:rPr>
          <w:color w:val="000000" w:themeColor="text1"/>
        </w:rPr>
      </w:pPr>
    </w:p>
    <w:p w:rsidR="008646F4" w:rsidRPr="00581542" w:rsidP="008646F4" w14:paraId="5EB4FDA3" w14:textId="60734F4C">
      <w:pPr>
        <w:rPr>
          <w:color w:val="000000" w:themeColor="text1"/>
        </w:rPr>
      </w:pPr>
    </w:p>
    <w:p w:rsidR="008646F4" w:rsidRPr="00581542" w:rsidP="008646F4" w14:paraId="42B604D4" w14:textId="5BE41A45">
      <w:pPr>
        <w:rPr>
          <w:color w:val="000000" w:themeColor="text1"/>
        </w:rPr>
      </w:pPr>
    </w:p>
    <w:p w:rsidR="008646F4" w:rsidRPr="00581542" w:rsidP="008646F4" w14:paraId="58D0C06D" w14:textId="5B72FCFF">
      <w:pPr>
        <w:rPr>
          <w:color w:val="000000" w:themeColor="text1"/>
        </w:rPr>
      </w:pPr>
    </w:p>
    <w:p w:rsidR="008646F4" w:rsidRPr="00581542" w:rsidP="008646F4" w14:paraId="6560B5F3" w14:textId="4A311A05">
      <w:pPr>
        <w:rPr>
          <w:color w:val="000000" w:themeColor="text1"/>
        </w:rPr>
      </w:pPr>
    </w:p>
    <w:p w:rsidR="008646F4" w:rsidRPr="00581542" w:rsidP="008646F4" w14:paraId="58C01D7D" w14:textId="5D381EEC">
      <w:pPr>
        <w:rPr>
          <w:color w:val="000000" w:themeColor="text1"/>
        </w:rPr>
      </w:pPr>
    </w:p>
    <w:p w:rsidR="008646F4" w:rsidRPr="00581542" w:rsidP="008646F4" w14:paraId="4D072DC2" w14:textId="27734624">
      <w:pPr>
        <w:rPr>
          <w:color w:val="000000" w:themeColor="text1"/>
        </w:rPr>
      </w:pPr>
    </w:p>
    <w:p w:rsidR="008646F4" w:rsidRPr="00581542" w:rsidP="008646F4" w14:paraId="0C56A4AE" w14:textId="72F85344">
      <w:pPr>
        <w:rPr>
          <w:color w:val="000000" w:themeColor="text1"/>
        </w:rPr>
      </w:pPr>
    </w:p>
    <w:p w:rsidR="008646F4" w:rsidRPr="00581542" w:rsidP="008646F4" w14:paraId="3B9F506A" w14:textId="69DCBDF5">
      <w:pPr>
        <w:rPr>
          <w:color w:val="000000" w:themeColor="text1"/>
        </w:rPr>
      </w:pPr>
    </w:p>
    <w:p w:rsidR="008646F4" w:rsidRPr="00581542" w:rsidP="008646F4" w14:paraId="54705CD5" w14:textId="75A648BE">
      <w:pPr>
        <w:rPr>
          <w:color w:val="000000" w:themeColor="text1"/>
        </w:rPr>
      </w:pPr>
    </w:p>
    <w:p w:rsidR="008646F4" w:rsidRPr="00581542" w:rsidP="008646F4" w14:paraId="07419A69" w14:textId="7ACD6B82">
      <w:pPr>
        <w:rPr>
          <w:color w:val="000000" w:themeColor="text1"/>
        </w:rPr>
      </w:pPr>
    </w:p>
    <w:p w:rsidR="008646F4" w:rsidRPr="00581542" w:rsidP="008646F4" w14:paraId="35A2515D" w14:textId="2F182F6F">
      <w:pPr>
        <w:rPr>
          <w:color w:val="000000" w:themeColor="text1"/>
        </w:rPr>
      </w:pPr>
    </w:p>
    <w:p w:rsidR="008646F4" w:rsidRPr="00581542" w:rsidP="008646F4" w14:paraId="4DE07636" w14:textId="3723DAFF">
      <w:pPr>
        <w:rPr>
          <w:color w:val="000000" w:themeColor="text1"/>
        </w:rPr>
      </w:pPr>
    </w:p>
    <w:p w:rsidR="008646F4" w:rsidRPr="00581542" w:rsidP="008646F4" w14:paraId="75953942" w14:textId="77777777">
      <w:pPr>
        <w:rPr>
          <w:color w:val="000000" w:themeColor="text1"/>
        </w:rPr>
      </w:pPr>
    </w:p>
    <w:p w:rsidR="008646F4" w:rsidRPr="00581542" w:rsidP="00BB1667" w14:paraId="018E7FF2" w14:textId="77777777">
      <w:pPr>
        <w:rPr>
          <w:color w:val="000000" w:themeColor="text1"/>
        </w:rPr>
      </w:pPr>
    </w:p>
    <w:p w:rsidR="008646F4" w:rsidRPr="00581542" w:rsidP="00BB1667" w14:paraId="594AF02F" w14:textId="77777777">
      <w:pPr>
        <w:rPr>
          <w:color w:val="000000" w:themeColor="text1"/>
          <w:szCs w:val="24"/>
        </w:rPr>
      </w:pPr>
    </w:p>
    <w:p w:rsidR="008646F4" w:rsidRPr="00581542" w:rsidP="00BB1667" w14:paraId="683079AC" w14:textId="77777777">
      <w:pPr>
        <w:rPr>
          <w:color w:val="000000" w:themeColor="text1"/>
          <w:szCs w:val="24"/>
        </w:rPr>
      </w:pPr>
    </w:p>
    <w:p w:rsidR="008646F4" w:rsidRPr="00581542" w:rsidP="00BB1667" w14:paraId="15C07ABC" w14:textId="77777777">
      <w:pPr>
        <w:rPr>
          <w:color w:val="000000" w:themeColor="text1"/>
          <w:szCs w:val="24"/>
        </w:rPr>
      </w:pPr>
    </w:p>
    <w:p w:rsidR="008646F4" w:rsidRPr="00581542" w:rsidP="00BB1667" w14:paraId="42431D14" w14:textId="77777777">
      <w:pPr>
        <w:rPr>
          <w:color w:val="000000" w:themeColor="text1"/>
          <w:szCs w:val="24"/>
        </w:rPr>
      </w:pPr>
    </w:p>
    <w:p w:rsidR="008646F4" w:rsidRPr="00581542" w:rsidP="00BB1667" w14:paraId="01262BD8" w14:textId="77777777">
      <w:pPr>
        <w:rPr>
          <w:color w:val="000000" w:themeColor="text1"/>
          <w:szCs w:val="24"/>
        </w:rPr>
      </w:pPr>
    </w:p>
    <w:p w:rsidR="008646F4" w:rsidRPr="00581542" w:rsidP="00BB1667" w14:paraId="56A47060" w14:textId="77777777">
      <w:pPr>
        <w:rPr>
          <w:color w:val="000000" w:themeColor="text1"/>
          <w:szCs w:val="24"/>
        </w:rPr>
      </w:pPr>
    </w:p>
    <w:p w:rsidR="008646F4" w:rsidRPr="00581542" w:rsidP="00BB1667" w14:paraId="009C5DC5" w14:textId="77777777">
      <w:pPr>
        <w:rPr>
          <w:color w:val="000000" w:themeColor="text1"/>
          <w:szCs w:val="24"/>
        </w:rPr>
      </w:pPr>
    </w:p>
    <w:p w:rsidR="008646F4" w:rsidRPr="00581542" w:rsidP="00BB1667" w14:paraId="0D51A5C6" w14:textId="77777777">
      <w:pPr>
        <w:rPr>
          <w:color w:val="000000" w:themeColor="text1"/>
          <w:szCs w:val="24"/>
        </w:rPr>
      </w:pPr>
    </w:p>
    <w:p w:rsidR="00E41395" w:rsidRPr="00581542" w:rsidP="00BB1667" w14:paraId="3071F769" w14:textId="77777777">
      <w:pPr>
        <w:rPr>
          <w:color w:val="000000" w:themeColor="text1"/>
          <w:szCs w:val="24"/>
        </w:rPr>
      </w:pPr>
    </w:p>
    <w:p w:rsidR="00E41395" w:rsidRPr="00581542" w:rsidP="00BB1667" w14:paraId="27F32BF2" w14:textId="77777777">
      <w:pPr>
        <w:rPr>
          <w:color w:val="000000" w:themeColor="text1"/>
          <w:szCs w:val="24"/>
        </w:rPr>
      </w:pPr>
    </w:p>
    <w:p w:rsidR="00E41395" w:rsidRPr="00581542" w:rsidP="00BB1667" w14:paraId="3D8865FB" w14:textId="77777777">
      <w:pPr>
        <w:rPr>
          <w:color w:val="000000" w:themeColor="text1"/>
          <w:szCs w:val="24"/>
        </w:rPr>
      </w:pPr>
    </w:p>
    <w:p w:rsidR="00E41395" w:rsidRPr="00581542" w:rsidP="00BB1667" w14:paraId="544B672A" w14:textId="77777777">
      <w:pPr>
        <w:rPr>
          <w:color w:val="000000" w:themeColor="text1"/>
          <w:szCs w:val="24"/>
        </w:rPr>
      </w:pPr>
    </w:p>
    <w:p w:rsidR="008646F4" w:rsidRPr="00581542" w:rsidP="00BB1667" w14:paraId="1CDAEC9F" w14:textId="77777777">
      <w:pPr>
        <w:rPr>
          <w:color w:val="000000" w:themeColor="text1"/>
          <w:szCs w:val="24"/>
        </w:rPr>
      </w:pPr>
    </w:p>
    <w:p w:rsidR="008646F4" w:rsidRPr="00581542" w:rsidP="00BB1667" w14:paraId="40A80FB5" w14:textId="77777777">
      <w:pPr>
        <w:rPr>
          <w:color w:val="000000" w:themeColor="text1"/>
          <w:szCs w:val="24"/>
        </w:rPr>
      </w:pPr>
    </w:p>
    <w:p w:rsidR="00671BC7" w:rsidRPr="00581542" w:rsidP="00BB1667" w14:paraId="00A9F3B9" w14:textId="77777777">
      <w:pPr>
        <w:rPr>
          <w:color w:val="000000" w:themeColor="text1"/>
          <w:szCs w:val="24"/>
        </w:rPr>
      </w:pPr>
    </w:p>
    <w:p w:rsidR="008F00F2" w:rsidRPr="00581542" w:rsidP="00BB1667" w14:paraId="713B6560" w14:textId="7D6459A2">
      <w:pPr>
        <w:rPr>
          <w:b/>
          <w:bCs/>
          <w:color w:val="000000" w:themeColor="text1"/>
          <w:szCs w:val="24"/>
        </w:rPr>
      </w:pPr>
      <w:r w:rsidRPr="00581542">
        <w:rPr>
          <w:b/>
          <w:bCs/>
          <w:color w:val="000000" w:themeColor="text1"/>
          <w:szCs w:val="24"/>
        </w:rPr>
        <w:t>JUSTIFICATION</w:t>
      </w:r>
    </w:p>
    <w:p w:rsidR="008F00F2" w:rsidRPr="00581542" w:rsidP="00BA273D" w14:paraId="0EACFCB4" w14:textId="0BE01FAE">
      <w:pPr>
        <w:ind w:left="720"/>
        <w:rPr>
          <w:color w:val="000000" w:themeColor="text1"/>
        </w:rPr>
      </w:pPr>
    </w:p>
    <w:p w:rsidR="00570854" w:rsidRPr="00581542" w:rsidP="00BA273D" w14:paraId="2DA8AA05" w14:textId="77777777">
      <w:pPr>
        <w:ind w:left="720"/>
        <w:rPr>
          <w:b/>
          <w:bCs/>
          <w:color w:val="000000" w:themeColor="text1"/>
          <w:szCs w:val="24"/>
        </w:rPr>
      </w:pPr>
      <w:r w:rsidRPr="00581542">
        <w:rPr>
          <w:b/>
          <w:bCs/>
          <w:color w:val="000000" w:themeColor="text1"/>
          <w:szCs w:val="24"/>
        </w:rPr>
        <w:t xml:space="preserve">Abstract: </w:t>
      </w:r>
    </w:p>
    <w:p w:rsidR="00570854" w:rsidRPr="00581542" w:rsidP="00BA273D" w14:paraId="24B9DBE0" w14:textId="77777777">
      <w:pPr>
        <w:ind w:left="720"/>
        <w:rPr>
          <w:color w:val="000000" w:themeColor="text1"/>
          <w:szCs w:val="24"/>
        </w:rPr>
      </w:pPr>
    </w:p>
    <w:p w:rsidR="00BA273D" w:rsidRPr="00581542" w:rsidP="00BA273D" w14:paraId="302BFCBA" w14:textId="4991012B">
      <w:pPr>
        <w:ind w:left="720"/>
        <w:rPr>
          <w:color w:val="000000" w:themeColor="text1"/>
          <w:szCs w:val="24"/>
        </w:rPr>
      </w:pPr>
      <w:r w:rsidRPr="005C57F4">
        <w:rPr>
          <w:color w:val="000000" w:themeColor="text1"/>
          <w:szCs w:val="24"/>
          <w:highlight w:val="yellow"/>
        </w:rPr>
        <w:t>This is a</w:t>
      </w:r>
      <w:r w:rsidRPr="005C57F4" w:rsidR="009D6ED0">
        <w:rPr>
          <w:color w:val="000000" w:themeColor="text1"/>
          <w:szCs w:val="24"/>
          <w:highlight w:val="yellow"/>
        </w:rPr>
        <w:t xml:space="preserve"> revision</w:t>
      </w:r>
      <w:r w:rsidRPr="005C57F4">
        <w:rPr>
          <w:color w:val="000000" w:themeColor="text1"/>
          <w:szCs w:val="24"/>
          <w:highlight w:val="yellow"/>
        </w:rPr>
        <w:t xml:space="preserve"> of a previously approved submission.</w:t>
      </w:r>
      <w:r w:rsidRPr="00581542">
        <w:rPr>
          <w:color w:val="000000" w:themeColor="text1"/>
          <w:szCs w:val="24"/>
        </w:rPr>
        <w:t xml:space="preserve"> </w:t>
      </w:r>
      <w:r w:rsidRPr="00581542" w:rsidR="00183F7B">
        <w:rPr>
          <w:color w:val="000000" w:themeColor="text1"/>
          <w:szCs w:val="24"/>
        </w:rPr>
        <w:t>The National Library of Medicine</w:t>
      </w:r>
      <w:r w:rsidR="00035844">
        <w:rPr>
          <w:color w:val="000000" w:themeColor="text1"/>
          <w:szCs w:val="24"/>
        </w:rPr>
        <w:t xml:space="preserve"> (NLM)</w:t>
      </w:r>
      <w:r w:rsidRPr="00581542" w:rsidR="00183F7B">
        <w:rPr>
          <w:color w:val="000000" w:themeColor="text1"/>
          <w:szCs w:val="24"/>
        </w:rPr>
        <w:t xml:space="preserve"> operates the ClinicalTrials.gov website under the authority of the Director of the</w:t>
      </w:r>
      <w:r w:rsidRPr="00581542" w:rsidR="00183F7B">
        <w:t xml:space="preserve"> </w:t>
      </w:r>
      <w:r w:rsidRPr="00581542" w:rsidR="00183F7B">
        <w:rPr>
          <w:color w:val="000000" w:themeColor="text1"/>
          <w:szCs w:val="24"/>
        </w:rPr>
        <w:t>National Institutes of Health</w:t>
      </w:r>
      <w:r w:rsidR="00AF33A6">
        <w:rPr>
          <w:color w:val="000000" w:themeColor="text1"/>
          <w:szCs w:val="24"/>
        </w:rPr>
        <w:t xml:space="preserve"> (NIH)</w:t>
      </w:r>
      <w:r w:rsidRPr="00581542" w:rsidR="00183F7B">
        <w:rPr>
          <w:color w:val="000000" w:themeColor="text1"/>
          <w:szCs w:val="24"/>
        </w:rPr>
        <w:t>. ClinicalTrials.gov supports the collection of Clinical Trial Registration and Results Information</w:t>
      </w:r>
      <w:r w:rsidRPr="00581542" w:rsidR="00183F7B">
        <w:rPr>
          <w:color w:val="000000" w:themeColor="text1"/>
        </w:rPr>
        <w:t xml:space="preserve"> necessary to implement statutory requirements of Section 801 of the Food and Drug Administration Amendments Act of 2007</w:t>
      </w:r>
      <w:r w:rsidR="002A18B7">
        <w:rPr>
          <w:color w:val="000000" w:themeColor="text1"/>
        </w:rPr>
        <w:t xml:space="preserve"> (FDAAA</w:t>
      </w:r>
      <w:r w:rsidR="00D26F87">
        <w:rPr>
          <w:color w:val="000000" w:themeColor="text1"/>
        </w:rPr>
        <w:t xml:space="preserve"> 801</w:t>
      </w:r>
      <w:r w:rsidR="002A18B7">
        <w:rPr>
          <w:color w:val="000000" w:themeColor="text1"/>
        </w:rPr>
        <w:t>)</w:t>
      </w:r>
      <w:r w:rsidRPr="00581542" w:rsidR="00183F7B">
        <w:rPr>
          <w:color w:val="000000" w:themeColor="text1"/>
        </w:rPr>
        <w:t xml:space="preserve"> and regulatory requirements at 42 C</w:t>
      </w:r>
      <w:r w:rsidR="00E03029">
        <w:rPr>
          <w:color w:val="000000" w:themeColor="text1"/>
        </w:rPr>
        <w:t xml:space="preserve">ode of </w:t>
      </w:r>
      <w:r w:rsidRPr="00581542" w:rsidR="00183F7B">
        <w:rPr>
          <w:color w:val="000000" w:themeColor="text1"/>
        </w:rPr>
        <w:t>F</w:t>
      </w:r>
      <w:r w:rsidR="00E03029">
        <w:rPr>
          <w:color w:val="000000" w:themeColor="text1"/>
        </w:rPr>
        <w:t xml:space="preserve">ederal </w:t>
      </w:r>
      <w:r w:rsidRPr="00581542" w:rsidR="00183F7B">
        <w:rPr>
          <w:color w:val="000000" w:themeColor="text1"/>
        </w:rPr>
        <w:t>R</w:t>
      </w:r>
      <w:r w:rsidR="00E03029">
        <w:rPr>
          <w:color w:val="000000" w:themeColor="text1"/>
        </w:rPr>
        <w:t>egulations (CFR)</w:t>
      </w:r>
      <w:r w:rsidRPr="00581542" w:rsidR="00183F7B">
        <w:rPr>
          <w:color w:val="000000" w:themeColor="text1"/>
        </w:rPr>
        <w:t xml:space="preserve"> Part 11. Information collection at ClinicalTrials.gov </w:t>
      </w:r>
      <w:r w:rsidRPr="00581542" w:rsidR="00537F88">
        <w:rPr>
          <w:color w:val="000000" w:themeColor="text1"/>
        </w:rPr>
        <w:t xml:space="preserve">also serves </w:t>
      </w:r>
      <w:r w:rsidRPr="00581542" w:rsidR="00183F7B">
        <w:rPr>
          <w:color w:val="000000" w:themeColor="text1"/>
        </w:rPr>
        <w:t>as a means of enhancing enrollment or comply</w:t>
      </w:r>
      <w:r w:rsidRPr="00581542" w:rsidR="00163F57">
        <w:rPr>
          <w:color w:val="000000" w:themeColor="text1"/>
        </w:rPr>
        <w:t>ing</w:t>
      </w:r>
      <w:r w:rsidRPr="00581542" w:rsidR="00183F7B">
        <w:rPr>
          <w:color w:val="000000" w:themeColor="text1"/>
        </w:rPr>
        <w:t xml:space="preserve"> with policies of </w:t>
      </w:r>
      <w:r w:rsidRPr="00581542" w:rsidR="00A57AE3">
        <w:rPr>
          <w:color w:val="000000" w:themeColor="text1"/>
        </w:rPr>
        <w:t>f</w:t>
      </w:r>
      <w:r w:rsidRPr="00581542" w:rsidR="00537F88">
        <w:rPr>
          <w:color w:val="000000" w:themeColor="text1"/>
        </w:rPr>
        <w:t xml:space="preserve">ederal agencies and </w:t>
      </w:r>
      <w:r w:rsidRPr="00581542" w:rsidR="00183F7B">
        <w:rPr>
          <w:color w:val="000000" w:themeColor="text1"/>
        </w:rPr>
        <w:t>other organizations.</w:t>
      </w:r>
      <w:r w:rsidRPr="00581542" w:rsidR="000B7E26">
        <w:rPr>
          <w:color w:val="000000" w:themeColor="text1"/>
        </w:rPr>
        <w:t xml:space="preserve"> Information is collected via electronic submission to the ClinicalTrials.gov Protocol Registration and Results System</w:t>
      </w:r>
      <w:r w:rsidRPr="00581542" w:rsidR="00141C8E">
        <w:rPr>
          <w:color w:val="000000" w:themeColor="text1"/>
        </w:rPr>
        <w:t xml:space="preserve"> (PRS)</w:t>
      </w:r>
      <w:r w:rsidRPr="00581542" w:rsidR="000B7E26">
        <w:rPr>
          <w:color w:val="000000" w:themeColor="text1"/>
        </w:rPr>
        <w:t xml:space="preserve">. The information in the databank is </w:t>
      </w:r>
      <w:r w:rsidRPr="00581542" w:rsidR="00141C8E">
        <w:rPr>
          <w:color w:val="000000" w:themeColor="text1"/>
        </w:rPr>
        <w:t>publicly available</w:t>
      </w:r>
      <w:r w:rsidRPr="00581542" w:rsidR="000B7E26">
        <w:rPr>
          <w:color w:val="000000" w:themeColor="text1"/>
        </w:rPr>
        <w:t xml:space="preserve">. </w:t>
      </w:r>
      <w:r w:rsidRPr="00581542" w:rsidR="003378B6">
        <w:rPr>
          <w:color w:val="000000" w:themeColor="text1"/>
        </w:rPr>
        <w:t xml:space="preserve">It </w:t>
      </w:r>
      <w:r w:rsidRPr="00581542" w:rsidR="000B7E26">
        <w:rPr>
          <w:iCs/>
          <w:color w:val="000000" w:themeColor="text1"/>
        </w:rPr>
        <w:t xml:space="preserve">is intended to provide current and reliable information on the broadest possible scale to members of the public, including </w:t>
      </w:r>
      <w:r w:rsidRPr="00581542" w:rsidR="00927F79">
        <w:rPr>
          <w:color w:val="000000" w:themeColor="text1"/>
        </w:rPr>
        <w:t>patients,</w:t>
      </w:r>
      <w:r w:rsidRPr="00581542" w:rsidR="00927F79">
        <w:rPr>
          <w:iCs/>
          <w:color w:val="000000" w:themeColor="text1"/>
        </w:rPr>
        <w:t xml:space="preserve"> </w:t>
      </w:r>
      <w:r w:rsidRPr="00581542" w:rsidR="000B7E26">
        <w:rPr>
          <w:iCs/>
          <w:color w:val="000000" w:themeColor="text1"/>
        </w:rPr>
        <w:t>physicians</w:t>
      </w:r>
      <w:r w:rsidRPr="00581542" w:rsidR="00141C8E">
        <w:rPr>
          <w:iCs/>
          <w:color w:val="000000" w:themeColor="text1"/>
        </w:rPr>
        <w:t>,</w:t>
      </w:r>
      <w:r w:rsidRPr="00581542" w:rsidR="000B7E26">
        <w:rPr>
          <w:iCs/>
          <w:color w:val="000000" w:themeColor="text1"/>
        </w:rPr>
        <w:t xml:space="preserve"> and researchers, about the existence, nature, enrollment status, location, eligibility criteria, sponsorship, progress, and outcomes of clinical trials.</w:t>
      </w:r>
    </w:p>
    <w:p w:rsidR="00183F7B" w:rsidRPr="00581542" w:rsidP="00BA273D" w14:paraId="32F26D26" w14:textId="77777777">
      <w:pPr>
        <w:ind w:left="720"/>
        <w:rPr>
          <w:color w:val="000000" w:themeColor="text1"/>
        </w:rPr>
      </w:pPr>
    </w:p>
    <w:p w:rsidR="00C66F8E" w:rsidRPr="00581542" w:rsidP="002533BB" w14:paraId="1D673D5D" w14:textId="77777777">
      <w:pPr>
        <w:rPr>
          <w:color w:val="000000" w:themeColor="text1"/>
        </w:rPr>
      </w:pPr>
      <w:r w:rsidRPr="00581542">
        <w:rPr>
          <w:b/>
          <w:color w:val="000000" w:themeColor="text1"/>
        </w:rPr>
        <w:t>A.1</w:t>
      </w:r>
      <w:r w:rsidRPr="00581542" w:rsidR="00056C5B">
        <w:rPr>
          <w:b/>
          <w:color w:val="000000" w:themeColor="text1"/>
        </w:rPr>
        <w:tab/>
      </w:r>
      <w:r w:rsidRPr="00581542">
        <w:rPr>
          <w:b/>
          <w:color w:val="000000" w:themeColor="text1"/>
          <w:u w:val="single"/>
        </w:rPr>
        <w:t>Circumstances Making the Collection of Information Necessary</w:t>
      </w:r>
      <w:r w:rsidRPr="00581542">
        <w:rPr>
          <w:color w:val="000000" w:themeColor="text1"/>
        </w:rPr>
        <w:br/>
      </w:r>
    </w:p>
    <w:p w:rsidR="00841789" w:rsidRPr="00581542" w:rsidP="00942816" w14:paraId="6AF47C9E" w14:textId="2A7030B9">
      <w:pPr>
        <w:ind w:left="720"/>
        <w:rPr>
          <w:color w:val="000000" w:themeColor="text1"/>
        </w:rPr>
      </w:pPr>
      <w:r w:rsidRPr="00581542">
        <w:rPr>
          <w:color w:val="000000" w:themeColor="text1"/>
          <w:szCs w:val="24"/>
        </w:rPr>
        <w:t>T</w:t>
      </w:r>
      <w:r w:rsidRPr="00581542" w:rsidR="00C66F8E">
        <w:rPr>
          <w:color w:val="000000" w:themeColor="text1"/>
        </w:rPr>
        <w:t>his information collection is necessary to</w:t>
      </w:r>
      <w:r w:rsidRPr="00581542">
        <w:rPr>
          <w:color w:val="000000" w:themeColor="text1"/>
        </w:rPr>
        <w:t xml:space="preserve"> implement </w:t>
      </w:r>
      <w:r w:rsidRPr="00581542" w:rsidR="00C66F8E">
        <w:rPr>
          <w:color w:val="000000" w:themeColor="text1"/>
        </w:rPr>
        <w:t xml:space="preserve">statutory requirements </w:t>
      </w:r>
      <w:r w:rsidRPr="00581542" w:rsidR="00166B6C">
        <w:rPr>
          <w:color w:val="000000" w:themeColor="text1"/>
        </w:rPr>
        <w:t>of</w:t>
      </w:r>
      <w:r w:rsidRPr="00581542" w:rsidR="00C66F8E">
        <w:rPr>
          <w:color w:val="000000" w:themeColor="text1"/>
        </w:rPr>
        <w:t xml:space="preserve"> </w:t>
      </w:r>
      <w:r w:rsidRPr="00581542" w:rsidR="0003510D">
        <w:rPr>
          <w:color w:val="000000" w:themeColor="text1"/>
        </w:rPr>
        <w:t>FDAAA</w:t>
      </w:r>
      <w:r w:rsidR="00D26F87">
        <w:rPr>
          <w:color w:val="000000" w:themeColor="text1"/>
        </w:rPr>
        <w:t xml:space="preserve"> 801</w:t>
      </w:r>
      <w:r w:rsidRPr="00581542" w:rsidR="00CB06C3">
        <w:rPr>
          <w:color w:val="000000" w:themeColor="text1"/>
        </w:rPr>
        <w:t>, as implemented by</w:t>
      </w:r>
      <w:r w:rsidRPr="00581542" w:rsidR="00C66F8E">
        <w:rPr>
          <w:color w:val="000000" w:themeColor="text1"/>
        </w:rPr>
        <w:t xml:space="preserve"> </w:t>
      </w:r>
      <w:r w:rsidRPr="00581542" w:rsidR="00EB1806">
        <w:rPr>
          <w:color w:val="000000" w:themeColor="text1"/>
        </w:rPr>
        <w:t xml:space="preserve">the </w:t>
      </w:r>
      <w:r w:rsidRPr="00581542" w:rsidR="005F198D">
        <w:rPr>
          <w:color w:val="000000" w:themeColor="text1"/>
        </w:rPr>
        <w:t xml:space="preserve">Clinical Trials Registration and Results </w:t>
      </w:r>
      <w:r w:rsidRPr="00581542" w:rsidR="00EB1806">
        <w:rPr>
          <w:color w:val="000000" w:themeColor="text1"/>
        </w:rPr>
        <w:t xml:space="preserve">Information </w:t>
      </w:r>
      <w:r w:rsidRPr="00581542" w:rsidR="005F198D">
        <w:rPr>
          <w:color w:val="000000" w:themeColor="text1"/>
        </w:rPr>
        <w:t xml:space="preserve">Submission </w:t>
      </w:r>
      <w:r w:rsidRPr="00581542" w:rsidR="001B180C">
        <w:rPr>
          <w:color w:val="000000" w:themeColor="text1"/>
        </w:rPr>
        <w:t>final rule</w:t>
      </w:r>
      <w:r w:rsidRPr="00581542" w:rsidR="005F198D">
        <w:rPr>
          <w:color w:val="000000" w:themeColor="text1"/>
        </w:rPr>
        <w:t xml:space="preserve"> </w:t>
      </w:r>
      <w:r w:rsidRPr="00581542" w:rsidR="001B180C">
        <w:rPr>
          <w:color w:val="000000" w:themeColor="text1"/>
        </w:rPr>
        <w:t>(</w:t>
      </w:r>
      <w:r w:rsidRPr="00581542" w:rsidR="005F198D">
        <w:rPr>
          <w:color w:val="000000" w:themeColor="text1"/>
        </w:rPr>
        <w:t xml:space="preserve">42 CFR </w:t>
      </w:r>
      <w:r w:rsidRPr="00581542" w:rsidR="00EB1806">
        <w:rPr>
          <w:color w:val="000000" w:themeColor="text1"/>
        </w:rPr>
        <w:t xml:space="preserve">Part </w:t>
      </w:r>
      <w:r w:rsidRPr="00581542" w:rsidR="005F198D">
        <w:rPr>
          <w:color w:val="000000" w:themeColor="text1"/>
        </w:rPr>
        <w:t>11</w:t>
      </w:r>
      <w:r w:rsidRPr="00581542" w:rsidR="001B180C">
        <w:rPr>
          <w:color w:val="000000" w:themeColor="text1"/>
        </w:rPr>
        <w:t>)</w:t>
      </w:r>
      <w:r w:rsidRPr="00581542" w:rsidR="005F198D">
        <w:rPr>
          <w:color w:val="000000" w:themeColor="text1"/>
        </w:rPr>
        <w:t xml:space="preserve"> </w:t>
      </w:r>
      <w:r w:rsidRPr="00581542" w:rsidR="009A5016">
        <w:rPr>
          <w:color w:val="000000" w:themeColor="text1"/>
        </w:rPr>
        <w:t>issued by the Departme</w:t>
      </w:r>
      <w:r w:rsidRPr="00581542" w:rsidR="001E2609">
        <w:rPr>
          <w:color w:val="000000" w:themeColor="text1"/>
        </w:rPr>
        <w:t>n</w:t>
      </w:r>
      <w:r w:rsidRPr="00581542" w:rsidR="009A5016">
        <w:rPr>
          <w:color w:val="000000" w:themeColor="text1"/>
        </w:rPr>
        <w:t xml:space="preserve">t of Health and Human Services </w:t>
      </w:r>
      <w:r w:rsidRPr="00581542" w:rsidR="009B7825">
        <w:rPr>
          <w:color w:val="000000" w:themeColor="text1"/>
        </w:rPr>
        <w:t xml:space="preserve">(HHS) </w:t>
      </w:r>
      <w:r w:rsidRPr="00581542" w:rsidR="009A5016">
        <w:rPr>
          <w:color w:val="000000" w:themeColor="text1"/>
        </w:rPr>
        <w:t xml:space="preserve">on </w:t>
      </w:r>
      <w:r w:rsidRPr="00581542" w:rsidR="00BB027D">
        <w:rPr>
          <w:color w:val="000000" w:themeColor="text1"/>
        </w:rPr>
        <w:t>September 21, 2016 (81 F</w:t>
      </w:r>
      <w:r w:rsidR="0048357A">
        <w:rPr>
          <w:color w:val="000000" w:themeColor="text1"/>
        </w:rPr>
        <w:t>ederal Register (F</w:t>
      </w:r>
      <w:r w:rsidRPr="00581542" w:rsidR="00BB027D">
        <w:rPr>
          <w:color w:val="000000" w:themeColor="text1"/>
        </w:rPr>
        <w:t>R</w:t>
      </w:r>
      <w:r w:rsidR="0048357A">
        <w:rPr>
          <w:color w:val="000000" w:themeColor="text1"/>
        </w:rPr>
        <w:t>)</w:t>
      </w:r>
      <w:r w:rsidRPr="00581542" w:rsidR="00BB027D">
        <w:rPr>
          <w:color w:val="000000" w:themeColor="text1"/>
        </w:rPr>
        <w:t xml:space="preserve"> 64981)</w:t>
      </w:r>
      <w:r w:rsidRPr="00581542" w:rsidR="00C66F8E">
        <w:rPr>
          <w:color w:val="000000" w:themeColor="text1"/>
        </w:rPr>
        <w:t>.</w:t>
      </w:r>
    </w:p>
    <w:p w:rsidR="00841789" w:rsidRPr="00581542" w:rsidP="00942816" w14:paraId="64F40E25" w14:textId="77777777">
      <w:pPr>
        <w:ind w:left="720"/>
        <w:rPr>
          <w:color w:val="000000" w:themeColor="text1"/>
        </w:rPr>
      </w:pPr>
    </w:p>
    <w:p w:rsidR="00542B22" w:rsidRPr="00581542" w:rsidP="00942816" w14:paraId="1A7B941B" w14:textId="5C5577A9">
      <w:pPr>
        <w:ind w:left="720"/>
        <w:rPr>
          <w:color w:val="000000" w:themeColor="text1"/>
        </w:rPr>
      </w:pPr>
      <w:r w:rsidRPr="00581542">
        <w:rPr>
          <w:color w:val="000000" w:themeColor="text1"/>
        </w:rPr>
        <w:t xml:space="preserve">FDAAA </w:t>
      </w:r>
      <w:r w:rsidR="00402802">
        <w:rPr>
          <w:color w:val="000000" w:themeColor="text1"/>
        </w:rPr>
        <w:t xml:space="preserve">801 </w:t>
      </w:r>
      <w:r w:rsidRPr="00581542" w:rsidR="00F34456">
        <w:rPr>
          <w:color w:val="000000" w:themeColor="text1"/>
        </w:rPr>
        <w:t xml:space="preserve">amends </w:t>
      </w:r>
      <w:r w:rsidRPr="00581542" w:rsidR="00FE4A47">
        <w:rPr>
          <w:color w:val="000000" w:themeColor="text1"/>
        </w:rPr>
        <w:t xml:space="preserve">section </w:t>
      </w:r>
      <w:r w:rsidRPr="00581542" w:rsidR="00F34456">
        <w:rPr>
          <w:color w:val="000000" w:themeColor="text1"/>
        </w:rPr>
        <w:t>4</w:t>
      </w:r>
      <w:r w:rsidRPr="00581542" w:rsidR="00FE4A47">
        <w:rPr>
          <w:color w:val="000000" w:themeColor="text1"/>
        </w:rPr>
        <w:t>0</w:t>
      </w:r>
      <w:r w:rsidRPr="00581542" w:rsidR="00F34456">
        <w:rPr>
          <w:color w:val="000000" w:themeColor="text1"/>
        </w:rPr>
        <w:t xml:space="preserve">2 </w:t>
      </w:r>
      <w:r w:rsidRPr="00581542" w:rsidR="00FE4A47">
        <w:rPr>
          <w:color w:val="000000" w:themeColor="text1"/>
        </w:rPr>
        <w:t xml:space="preserve">of the Public Health Service </w:t>
      </w:r>
      <w:r w:rsidRPr="00581542" w:rsidR="0003510D">
        <w:rPr>
          <w:color w:val="000000" w:themeColor="text1"/>
        </w:rPr>
        <w:t xml:space="preserve">(PHS) </w:t>
      </w:r>
      <w:r w:rsidRPr="00581542" w:rsidR="00FE4A47">
        <w:rPr>
          <w:color w:val="000000" w:themeColor="text1"/>
        </w:rPr>
        <w:t xml:space="preserve">Act </w:t>
      </w:r>
      <w:r w:rsidRPr="00581542" w:rsidR="00426153">
        <w:rPr>
          <w:color w:val="000000" w:themeColor="text1"/>
        </w:rPr>
        <w:t>(</w:t>
      </w:r>
      <w:r w:rsidRPr="00581542" w:rsidR="00FE4A47">
        <w:rPr>
          <w:color w:val="000000" w:themeColor="text1"/>
        </w:rPr>
        <w:t xml:space="preserve">42 </w:t>
      </w:r>
      <w:r w:rsidRPr="00581542" w:rsidR="00F34456">
        <w:rPr>
          <w:color w:val="000000" w:themeColor="text1"/>
        </w:rPr>
        <w:t>U.S.</w:t>
      </w:r>
      <w:r w:rsidR="008345AF">
        <w:rPr>
          <w:color w:val="000000" w:themeColor="text1"/>
        </w:rPr>
        <w:t xml:space="preserve"> </w:t>
      </w:r>
      <w:r w:rsidRPr="00581542" w:rsidR="00F34456">
        <w:rPr>
          <w:color w:val="000000" w:themeColor="text1"/>
        </w:rPr>
        <w:t>C</w:t>
      </w:r>
      <w:r w:rsidR="008345AF">
        <w:rPr>
          <w:color w:val="000000" w:themeColor="text1"/>
        </w:rPr>
        <w:t>ode</w:t>
      </w:r>
      <w:r w:rsidRPr="00581542" w:rsidR="00F34456">
        <w:rPr>
          <w:color w:val="000000" w:themeColor="text1"/>
        </w:rPr>
        <w:t xml:space="preserve"> 282</w:t>
      </w:r>
      <w:r w:rsidRPr="00581542" w:rsidR="00426153">
        <w:rPr>
          <w:color w:val="000000" w:themeColor="text1"/>
        </w:rPr>
        <w:t>)</w:t>
      </w:r>
      <w:r w:rsidRPr="00581542" w:rsidR="00F34456">
        <w:rPr>
          <w:color w:val="000000" w:themeColor="text1"/>
        </w:rPr>
        <w:t xml:space="preserve"> to add a new </w:t>
      </w:r>
      <w:r w:rsidRPr="00581542" w:rsidR="00AA58CA">
        <w:rPr>
          <w:color w:val="000000" w:themeColor="text1"/>
        </w:rPr>
        <w:t>sub</w:t>
      </w:r>
      <w:r w:rsidRPr="00581542" w:rsidR="00F34456">
        <w:rPr>
          <w:color w:val="000000" w:themeColor="text1"/>
        </w:rPr>
        <w:t xml:space="preserve">section (j) that expands the </w:t>
      </w:r>
      <w:r w:rsidRPr="00581542" w:rsidR="00C66F8E">
        <w:rPr>
          <w:color w:val="000000" w:themeColor="text1"/>
        </w:rPr>
        <w:t xml:space="preserve">databank of </w:t>
      </w:r>
      <w:r w:rsidRPr="00581542" w:rsidR="00F34456">
        <w:rPr>
          <w:color w:val="000000" w:themeColor="text1"/>
        </w:rPr>
        <w:t>clinical trial information, ClinicalTrials.gov, that was established under previous law</w:t>
      </w:r>
      <w:r w:rsidRPr="00581542" w:rsidR="00C66F8E">
        <w:rPr>
          <w:color w:val="000000" w:themeColor="text1"/>
        </w:rPr>
        <w:t xml:space="preserve"> </w:t>
      </w:r>
      <w:r w:rsidRPr="00581542" w:rsidR="00426153">
        <w:rPr>
          <w:color w:val="000000" w:themeColor="text1"/>
        </w:rPr>
        <w:t>(</w:t>
      </w:r>
      <w:r w:rsidRPr="00581542" w:rsidR="00C66F8E">
        <w:rPr>
          <w:color w:val="000000" w:themeColor="text1"/>
        </w:rPr>
        <w:t>Section 113(a) of the Food and Drug Administration Modernization Act of 1997 (FDAMA</w:t>
      </w:r>
      <w:r w:rsidRPr="00581542" w:rsidR="00C66F8E">
        <w:rPr>
          <w:snapToGrid w:val="0"/>
          <w:color w:val="000000" w:themeColor="text1"/>
        </w:rPr>
        <w:t>)</w:t>
      </w:r>
      <w:r w:rsidRPr="00581542" w:rsidR="00AA58CA">
        <w:rPr>
          <w:snapToGrid w:val="0"/>
          <w:color w:val="000000" w:themeColor="text1"/>
        </w:rPr>
        <w:t>, which is</w:t>
      </w:r>
      <w:r w:rsidRPr="00581542" w:rsidR="00AA58CA">
        <w:rPr>
          <w:color w:val="000000" w:themeColor="text1"/>
        </w:rPr>
        <w:t xml:space="preserve"> now subsection (i)</w:t>
      </w:r>
      <w:r w:rsidRPr="00581542" w:rsidR="00C66F8E">
        <w:rPr>
          <w:color w:val="000000" w:themeColor="text1"/>
        </w:rPr>
        <w:t xml:space="preserve"> </w:t>
      </w:r>
      <w:r w:rsidRPr="00581542" w:rsidR="00AA58CA">
        <w:rPr>
          <w:color w:val="000000" w:themeColor="text1"/>
        </w:rPr>
        <w:t xml:space="preserve">of section 402 of the </w:t>
      </w:r>
      <w:r w:rsidR="00AF33A6">
        <w:rPr>
          <w:color w:val="000000" w:themeColor="text1"/>
        </w:rPr>
        <w:t>PHS</w:t>
      </w:r>
      <w:r w:rsidRPr="00581542" w:rsidR="00AA58CA">
        <w:rPr>
          <w:color w:val="000000" w:themeColor="text1"/>
        </w:rPr>
        <w:t xml:space="preserve"> Act </w:t>
      </w:r>
      <w:r w:rsidRPr="00581542" w:rsidR="00426153">
        <w:rPr>
          <w:color w:val="000000" w:themeColor="text1"/>
        </w:rPr>
        <w:t>(</w:t>
      </w:r>
      <w:r w:rsidRPr="00581542" w:rsidR="00AA58CA">
        <w:rPr>
          <w:color w:val="000000" w:themeColor="text1"/>
        </w:rPr>
        <w:t>42 U.S.</w:t>
      </w:r>
      <w:r w:rsidR="00DD29A2">
        <w:rPr>
          <w:color w:val="000000" w:themeColor="text1"/>
        </w:rPr>
        <w:t xml:space="preserve"> </w:t>
      </w:r>
      <w:r w:rsidRPr="00581542" w:rsidR="00AA58CA">
        <w:rPr>
          <w:color w:val="000000" w:themeColor="text1"/>
        </w:rPr>
        <w:t>C</w:t>
      </w:r>
      <w:r w:rsidR="00DD29A2">
        <w:rPr>
          <w:color w:val="000000" w:themeColor="text1"/>
        </w:rPr>
        <w:t>ode</w:t>
      </w:r>
      <w:r w:rsidRPr="00581542" w:rsidR="00AA58CA">
        <w:rPr>
          <w:color w:val="000000" w:themeColor="text1"/>
        </w:rPr>
        <w:t xml:space="preserve"> 282(i)</w:t>
      </w:r>
      <w:r w:rsidRPr="00581542" w:rsidR="00426153">
        <w:rPr>
          <w:color w:val="000000" w:themeColor="text1"/>
        </w:rPr>
        <w:t>)</w:t>
      </w:r>
      <w:r w:rsidRPr="00581542" w:rsidR="00AA58CA">
        <w:rPr>
          <w:color w:val="000000" w:themeColor="text1"/>
        </w:rPr>
        <w:t xml:space="preserve">, </w:t>
      </w:r>
      <w:r w:rsidRPr="00581542" w:rsidR="00C66F8E">
        <w:rPr>
          <w:color w:val="000000" w:themeColor="text1"/>
        </w:rPr>
        <w:t xml:space="preserve">and </w:t>
      </w:r>
      <w:r w:rsidRPr="00581542" w:rsidR="00F34456">
        <w:rPr>
          <w:color w:val="000000" w:themeColor="text1"/>
        </w:rPr>
        <w:t>makes available to the public a searchable databank of information about the results of certain clinical trials of drug</w:t>
      </w:r>
      <w:r w:rsidRPr="00581542" w:rsidR="00C65910">
        <w:rPr>
          <w:color w:val="000000" w:themeColor="text1"/>
        </w:rPr>
        <w:t xml:space="preserve"> product</w:t>
      </w:r>
      <w:r w:rsidRPr="00581542" w:rsidR="00F34456">
        <w:rPr>
          <w:color w:val="000000" w:themeColor="text1"/>
        </w:rPr>
        <w:t xml:space="preserve">s </w:t>
      </w:r>
      <w:r w:rsidRPr="00581542" w:rsidR="00C65910">
        <w:rPr>
          <w:color w:val="000000" w:themeColor="text1"/>
        </w:rPr>
        <w:t xml:space="preserve">(including </w:t>
      </w:r>
      <w:r w:rsidRPr="00581542" w:rsidR="00F34456">
        <w:rPr>
          <w:color w:val="000000" w:themeColor="text1"/>
        </w:rPr>
        <w:t>biological products</w:t>
      </w:r>
      <w:r w:rsidRPr="00581542" w:rsidR="00C65910">
        <w:rPr>
          <w:color w:val="000000" w:themeColor="text1"/>
        </w:rPr>
        <w:t>)</w:t>
      </w:r>
      <w:r w:rsidRPr="00581542" w:rsidR="00F34456">
        <w:rPr>
          <w:color w:val="000000" w:themeColor="text1"/>
        </w:rPr>
        <w:t xml:space="preserve"> and device</w:t>
      </w:r>
      <w:r w:rsidRPr="00581542" w:rsidR="005C0D2A">
        <w:rPr>
          <w:color w:val="000000" w:themeColor="text1"/>
        </w:rPr>
        <w:t xml:space="preserve"> product</w:t>
      </w:r>
      <w:r w:rsidRPr="00581542" w:rsidR="00F34456">
        <w:rPr>
          <w:color w:val="000000" w:themeColor="text1"/>
        </w:rPr>
        <w:t>s.</w:t>
      </w:r>
    </w:p>
    <w:p w:rsidR="00542B22" w:rsidRPr="00581542" w:rsidP="002533BB" w14:paraId="11ED8815" w14:textId="77777777">
      <w:pPr>
        <w:ind w:left="720"/>
        <w:rPr>
          <w:color w:val="000000" w:themeColor="text1"/>
        </w:rPr>
      </w:pPr>
    </w:p>
    <w:p w:rsidR="001E56E5" w:rsidRPr="00581542" w:rsidP="002533BB" w14:paraId="40D6D599" w14:textId="00238E25">
      <w:pPr>
        <w:ind w:left="720" w:hanging="720"/>
        <w:rPr>
          <w:color w:val="000000" w:themeColor="text1"/>
        </w:rPr>
      </w:pPr>
      <w:r w:rsidRPr="00581542">
        <w:rPr>
          <w:color w:val="000000" w:themeColor="text1"/>
        </w:rPr>
        <w:tab/>
      </w:r>
      <w:r w:rsidRPr="00581542" w:rsidR="00434E08">
        <w:rPr>
          <w:color w:val="000000" w:themeColor="text1"/>
        </w:rPr>
        <w:t xml:space="preserve">The information collection is also necessary to allow researchers </w:t>
      </w:r>
      <w:r w:rsidRPr="00581542">
        <w:rPr>
          <w:color w:val="000000" w:themeColor="text1"/>
        </w:rPr>
        <w:t xml:space="preserve">and organizations who are not subject to </w:t>
      </w:r>
      <w:r w:rsidRPr="00581542" w:rsidR="001655C5">
        <w:rPr>
          <w:color w:val="000000" w:themeColor="text1"/>
        </w:rPr>
        <w:t xml:space="preserve">42 CFR Part 11 </w:t>
      </w:r>
      <w:r w:rsidRPr="00581542">
        <w:rPr>
          <w:color w:val="000000" w:themeColor="text1"/>
        </w:rPr>
        <w:t xml:space="preserve">or FDAMA </w:t>
      </w:r>
      <w:r w:rsidRPr="00581542" w:rsidR="00434E08">
        <w:rPr>
          <w:color w:val="000000" w:themeColor="text1"/>
        </w:rPr>
        <w:t xml:space="preserve">to </w:t>
      </w:r>
      <w:r w:rsidRPr="00581542">
        <w:rPr>
          <w:color w:val="000000" w:themeColor="text1"/>
        </w:rPr>
        <w:t xml:space="preserve">register trials </w:t>
      </w:r>
      <w:r w:rsidRPr="00581542" w:rsidR="00AB1884">
        <w:rPr>
          <w:color w:val="000000" w:themeColor="text1"/>
        </w:rPr>
        <w:t xml:space="preserve">and other clinical studies (e.g., observational studies) </w:t>
      </w:r>
      <w:r w:rsidRPr="00581542" w:rsidR="00A265D1">
        <w:rPr>
          <w:color w:val="000000" w:themeColor="text1"/>
        </w:rPr>
        <w:t xml:space="preserve">optionally </w:t>
      </w:r>
      <w:r w:rsidRPr="00581542">
        <w:rPr>
          <w:color w:val="000000" w:themeColor="text1"/>
        </w:rPr>
        <w:t>as a means of enhancing enrollment or to comply with policies</w:t>
      </w:r>
      <w:r w:rsidRPr="00581542" w:rsidR="00434E08">
        <w:rPr>
          <w:color w:val="000000" w:themeColor="text1"/>
        </w:rPr>
        <w:t xml:space="preserve"> of other organizations</w:t>
      </w:r>
      <w:r w:rsidRPr="00581542" w:rsidR="00163F57">
        <w:rPr>
          <w:color w:val="000000" w:themeColor="text1"/>
        </w:rPr>
        <w:t>,</w:t>
      </w:r>
      <w:r w:rsidRPr="00581542" w:rsidR="00FD2ED6">
        <w:rPr>
          <w:color w:val="000000" w:themeColor="text1"/>
        </w:rPr>
        <w:t xml:space="preserve"> </w:t>
      </w:r>
      <w:r w:rsidRPr="00581542" w:rsidR="007A6825">
        <w:rPr>
          <w:color w:val="000000" w:themeColor="text1"/>
        </w:rPr>
        <w:t>including the NIH</w:t>
      </w:r>
      <w:r w:rsidRPr="00581542">
        <w:rPr>
          <w:color w:val="000000" w:themeColor="text1"/>
        </w:rPr>
        <w:t>, International Committee of Medical Journal Editors (ICMJE)</w:t>
      </w:r>
      <w:r w:rsidRPr="00581542" w:rsidR="009B2D54">
        <w:rPr>
          <w:color w:val="000000" w:themeColor="text1"/>
        </w:rPr>
        <w:t>,</w:t>
      </w:r>
      <w:r w:rsidRPr="00581542">
        <w:rPr>
          <w:color w:val="000000" w:themeColor="text1"/>
        </w:rPr>
        <w:t xml:space="preserve"> </w:t>
      </w:r>
      <w:r w:rsidRPr="00581542" w:rsidR="00FD2ED6">
        <w:rPr>
          <w:color w:val="000000" w:themeColor="text1"/>
        </w:rPr>
        <w:t xml:space="preserve">and </w:t>
      </w:r>
      <w:r w:rsidRPr="00581542">
        <w:rPr>
          <w:color w:val="000000" w:themeColor="text1"/>
        </w:rPr>
        <w:t>World Health Organization (WHO).</w:t>
      </w:r>
    </w:p>
    <w:p w:rsidR="00C66F8E" w:rsidRPr="00581542" w:rsidP="002533BB" w14:paraId="0CCD3443" w14:textId="77777777">
      <w:pPr>
        <w:ind w:left="720"/>
        <w:rPr>
          <w:color w:val="000000" w:themeColor="text1"/>
        </w:rPr>
      </w:pPr>
    </w:p>
    <w:p w:rsidR="00C66F8E" w:rsidRPr="00581542" w:rsidP="002533BB" w14:paraId="375AB479" w14:textId="77777777">
      <w:pPr>
        <w:rPr>
          <w:b/>
          <w:color w:val="000000" w:themeColor="text1"/>
        </w:rPr>
      </w:pPr>
      <w:r w:rsidRPr="00581542">
        <w:rPr>
          <w:b/>
          <w:color w:val="000000" w:themeColor="text1"/>
          <w:szCs w:val="24"/>
        </w:rPr>
        <w:t xml:space="preserve">A.2  </w:t>
      </w:r>
      <w:r w:rsidRPr="00581542">
        <w:rPr>
          <w:b/>
          <w:color w:val="000000" w:themeColor="text1"/>
          <w:szCs w:val="24"/>
        </w:rPr>
        <w:tab/>
      </w:r>
      <w:r w:rsidRPr="00581542">
        <w:rPr>
          <w:b/>
          <w:color w:val="000000" w:themeColor="text1"/>
          <w:szCs w:val="24"/>
          <w:u w:val="single"/>
        </w:rPr>
        <w:t>Purpose and Use of the Information Collection</w:t>
      </w:r>
    </w:p>
    <w:p w:rsidR="00C66F8E" w:rsidRPr="00581542" w:rsidP="002533BB" w14:paraId="2DCA6066" w14:textId="77777777">
      <w:pPr>
        <w:rPr>
          <w:color w:val="000000" w:themeColor="text1"/>
        </w:rPr>
      </w:pPr>
    </w:p>
    <w:p w:rsidR="00BA31BA" w:rsidRPr="00581542" w:rsidP="002533BB" w14:paraId="47E0E5BF" w14:textId="654B5814">
      <w:pPr>
        <w:ind w:left="720"/>
        <w:rPr>
          <w:color w:val="000000" w:themeColor="text1"/>
        </w:rPr>
      </w:pPr>
      <w:r w:rsidRPr="00581542">
        <w:rPr>
          <w:color w:val="000000" w:themeColor="text1"/>
        </w:rPr>
        <w:t>This information collection addresses an important public health need by providing patients, family members, clinicians, and researchers with timely access to up-to-date information about clinical trials</w:t>
      </w:r>
      <w:r w:rsidRPr="00581542" w:rsidR="00AB1884">
        <w:rPr>
          <w:color w:val="000000" w:themeColor="text1"/>
        </w:rPr>
        <w:t xml:space="preserve"> </w:t>
      </w:r>
      <w:r w:rsidRPr="00581542" w:rsidR="00EB5C10">
        <w:rPr>
          <w:color w:val="000000" w:themeColor="text1"/>
        </w:rPr>
        <w:t xml:space="preserve">as well as </w:t>
      </w:r>
      <w:r w:rsidRPr="00581542" w:rsidR="00AB1884">
        <w:rPr>
          <w:color w:val="000000" w:themeColor="text1"/>
        </w:rPr>
        <w:t>other types of clinical studies</w:t>
      </w:r>
      <w:r w:rsidRPr="00581542" w:rsidR="00EB5C10">
        <w:rPr>
          <w:color w:val="000000" w:themeColor="text1"/>
        </w:rPr>
        <w:t>,</w:t>
      </w:r>
      <w:r w:rsidRPr="00581542">
        <w:rPr>
          <w:color w:val="000000" w:themeColor="text1"/>
        </w:rPr>
        <w:t xml:space="preserve"> and their results. The </w:t>
      </w:r>
      <w:r w:rsidRPr="00581542" w:rsidR="00434E08">
        <w:rPr>
          <w:color w:val="000000" w:themeColor="text1"/>
        </w:rPr>
        <w:t xml:space="preserve">registration </w:t>
      </w:r>
      <w:r w:rsidRPr="00581542">
        <w:rPr>
          <w:color w:val="000000" w:themeColor="text1"/>
        </w:rPr>
        <w:t xml:space="preserve">information enables patients and their family members to learn about </w:t>
      </w:r>
      <w:r w:rsidRPr="00581542">
        <w:rPr>
          <w:color w:val="000000" w:themeColor="text1"/>
        </w:rPr>
        <w:t xml:space="preserve">relevant </w:t>
      </w:r>
      <w:r w:rsidRPr="00581542" w:rsidR="00AB1884">
        <w:rPr>
          <w:color w:val="000000" w:themeColor="text1"/>
        </w:rPr>
        <w:t>studies</w:t>
      </w:r>
      <w:r w:rsidRPr="00581542">
        <w:rPr>
          <w:color w:val="000000" w:themeColor="text1"/>
        </w:rPr>
        <w:t xml:space="preserve"> and facilitate possible enrollment. </w:t>
      </w:r>
      <w:r w:rsidRPr="00581542" w:rsidR="00434E08">
        <w:rPr>
          <w:color w:val="000000" w:themeColor="text1"/>
        </w:rPr>
        <w:t>Alone or when combined with collected results information, it c</w:t>
      </w:r>
      <w:r w:rsidRPr="00581542">
        <w:rPr>
          <w:color w:val="000000" w:themeColor="text1"/>
        </w:rPr>
        <w:t xml:space="preserve">an also contribute to better-informed decisions about medical treatments. In addition, clinical trial information can reduce inadvertent and unnecessary duplication of clinical research studies, help reviewers detect incomplete reporting of the results of specific trials, allow comprehensive analysis and reporting of the results of many trials of specific therapies, and therefore provide regulators, scientists, health professionals, and the public a more accurate picture of the benefits and potential harms of specific therapies </w:t>
      </w:r>
      <w:r w:rsidRPr="00581542" w:rsidR="00201961">
        <w:rPr>
          <w:color w:val="000000" w:themeColor="text1"/>
        </w:rPr>
        <w:t xml:space="preserve">or products </w:t>
      </w:r>
      <w:r w:rsidRPr="00581542">
        <w:rPr>
          <w:color w:val="000000" w:themeColor="text1"/>
        </w:rPr>
        <w:t xml:space="preserve">and a more solid foundation for decision-making. </w:t>
      </w:r>
      <w:r w:rsidRPr="00581542" w:rsidR="00201961">
        <w:rPr>
          <w:color w:val="000000" w:themeColor="text1"/>
        </w:rPr>
        <w:t xml:space="preserve">The NIH and the </w:t>
      </w:r>
      <w:r w:rsidR="0048357A">
        <w:rPr>
          <w:color w:val="000000" w:themeColor="text1"/>
        </w:rPr>
        <w:t>Food and Drug Administration (</w:t>
      </w:r>
      <w:r w:rsidRPr="00581542" w:rsidR="00201961">
        <w:rPr>
          <w:color w:val="000000" w:themeColor="text1"/>
        </w:rPr>
        <w:t>FDA</w:t>
      </w:r>
      <w:r w:rsidR="0048357A">
        <w:rPr>
          <w:color w:val="000000" w:themeColor="text1"/>
        </w:rPr>
        <w:t>)</w:t>
      </w:r>
      <w:r w:rsidRPr="00581542" w:rsidR="00201961">
        <w:rPr>
          <w:color w:val="000000" w:themeColor="text1"/>
        </w:rPr>
        <w:t xml:space="preserve"> have encouraged the registration of clinical trials in publicly accessible databanks; as such, information is not otherwise easily accessible to the </w:t>
      </w:r>
      <w:r w:rsidRPr="00581542" w:rsidR="00201961">
        <w:rPr>
          <w:color w:val="000000" w:themeColor="text1"/>
        </w:rPr>
        <w:t>general public</w:t>
      </w:r>
      <w:r w:rsidRPr="00581542" w:rsidR="00201961">
        <w:rPr>
          <w:color w:val="000000" w:themeColor="text1"/>
        </w:rPr>
        <w:t xml:space="preserve">. </w:t>
      </w:r>
      <w:r w:rsidRPr="00581542" w:rsidR="0024294E">
        <w:rPr>
          <w:color w:val="000000" w:themeColor="text1"/>
        </w:rPr>
        <w:t xml:space="preserve">(For a detailed description of the public health benefits resulting from clinical trial registration and results information submission, see Section I of </w:t>
      </w:r>
      <w:r w:rsidR="00EB5D09">
        <w:rPr>
          <w:color w:val="000000" w:themeColor="text1"/>
        </w:rPr>
        <w:t>42 CFR Part 11</w:t>
      </w:r>
      <w:r w:rsidRPr="00581542" w:rsidR="0024294E">
        <w:rPr>
          <w:color w:val="000000" w:themeColor="text1"/>
        </w:rPr>
        <w:t xml:space="preserve">, published on </w:t>
      </w:r>
      <w:r w:rsidRPr="00581542" w:rsidR="00DC0ECE">
        <w:rPr>
          <w:color w:val="000000" w:themeColor="text1"/>
        </w:rPr>
        <w:t>September 21, 2016</w:t>
      </w:r>
      <w:r w:rsidRPr="00581542" w:rsidR="0024294E">
        <w:rPr>
          <w:color w:val="000000" w:themeColor="text1"/>
        </w:rPr>
        <w:t xml:space="preserve"> (</w:t>
      </w:r>
      <w:r w:rsidRPr="00581542" w:rsidR="00DC0ECE">
        <w:rPr>
          <w:color w:val="000000" w:themeColor="text1"/>
        </w:rPr>
        <w:t>81 FR 64981</w:t>
      </w:r>
      <w:r w:rsidRPr="00581542" w:rsidR="00201961">
        <w:rPr>
          <w:color w:val="000000" w:themeColor="text1"/>
        </w:rPr>
        <w:t>)</w:t>
      </w:r>
      <w:r w:rsidRPr="00581542" w:rsidR="00DC0ECE">
        <w:rPr>
          <w:color w:val="000000" w:themeColor="text1"/>
        </w:rPr>
        <w:t>.</w:t>
      </w:r>
      <w:r w:rsidRPr="00581542" w:rsidR="00822F08">
        <w:rPr>
          <w:color w:val="000000" w:themeColor="text1"/>
        </w:rPr>
        <w:t>)</w:t>
      </w:r>
    </w:p>
    <w:p w:rsidR="00A4053B" w:rsidRPr="00581542" w:rsidP="00A4053B" w14:paraId="63EC5FED" w14:textId="3664A9C5">
      <w:pPr>
        <w:ind w:left="720"/>
      </w:pPr>
    </w:p>
    <w:p w:rsidR="00C1427E" w:rsidP="005C4F12" w14:paraId="344648C4" w14:textId="20C48382">
      <w:pPr>
        <w:ind w:left="720"/>
        <w:rPr>
          <w:color w:val="000000" w:themeColor="text1"/>
          <w:highlight w:val="green"/>
        </w:rPr>
      </w:pPr>
      <w:r w:rsidRPr="0096156F">
        <w:t xml:space="preserve">During the past three years, no changes were made to information collection in </w:t>
      </w:r>
      <w:r w:rsidRPr="0096156F" w:rsidR="00B14583">
        <w:t xml:space="preserve">the clinical trials registry under 42 CFR 11.28(a)(2), (b)(2), and (c); </w:t>
      </w:r>
      <w:r w:rsidRPr="0096156F">
        <w:t>the PRS Account Application Form; and clinical trials results database under 42 CFR 11.48(a)</w:t>
      </w:r>
      <w:r w:rsidRPr="0096156F" w:rsidR="00E4032E">
        <w:t>.</w:t>
      </w:r>
      <w:r w:rsidR="007F4111">
        <w:rPr>
          <w:color w:val="000000" w:themeColor="text1"/>
        </w:rPr>
        <w:t xml:space="preserve"> </w:t>
      </w:r>
      <w:r w:rsidR="00694BF8">
        <w:rPr>
          <w:color w:val="000000" w:themeColor="text1"/>
          <w:highlight w:val="yellow"/>
        </w:rPr>
        <w:t>Because i</w:t>
      </w:r>
      <w:r w:rsidRPr="005C68D7" w:rsidR="00703F7C">
        <w:rPr>
          <w:color w:val="000000" w:themeColor="text1"/>
          <w:highlight w:val="yellow"/>
        </w:rPr>
        <w:t>nformation</w:t>
      </w:r>
      <w:r w:rsidRPr="005C68D7" w:rsidR="001E047A">
        <w:rPr>
          <w:color w:val="000000" w:themeColor="text1"/>
          <w:highlight w:val="yellow"/>
        </w:rPr>
        <w:t xml:space="preserve"> collection was determined to be</w:t>
      </w:r>
      <w:r w:rsidRPr="005C68D7" w:rsidR="00613BB9">
        <w:rPr>
          <w:color w:val="000000" w:themeColor="text1"/>
          <w:highlight w:val="yellow"/>
        </w:rPr>
        <w:t xml:space="preserve"> consistent with</w:t>
      </w:r>
      <w:r w:rsidRPr="005C68D7">
        <w:rPr>
          <w:color w:val="000000" w:themeColor="text1"/>
          <w:highlight w:val="yellow"/>
        </w:rPr>
        <w:t xml:space="preserve"> Executive Order 14168, Defending Women from Gender Ideology Extremism and Restoring Biological Truth to the Federal Government</w:t>
      </w:r>
      <w:r w:rsidR="005C68D7">
        <w:rPr>
          <w:color w:val="000000" w:themeColor="text1"/>
          <w:highlight w:val="yellow"/>
        </w:rPr>
        <w:t xml:space="preserve"> (January 20</w:t>
      </w:r>
      <w:r w:rsidRPr="005C68D7">
        <w:rPr>
          <w:color w:val="000000" w:themeColor="text1"/>
          <w:highlight w:val="yellow"/>
        </w:rPr>
        <w:t>,</w:t>
      </w:r>
      <w:r w:rsidR="005C68D7">
        <w:rPr>
          <w:color w:val="000000" w:themeColor="text1"/>
          <w:highlight w:val="yellow"/>
        </w:rPr>
        <w:t xml:space="preserve"> 2025)</w:t>
      </w:r>
      <w:r w:rsidR="00F56417">
        <w:rPr>
          <w:color w:val="000000" w:themeColor="text1"/>
          <w:highlight w:val="yellow"/>
        </w:rPr>
        <w:t>,</w:t>
      </w:r>
      <w:r w:rsidR="006E1471">
        <w:rPr>
          <w:color w:val="000000" w:themeColor="text1"/>
          <w:highlight w:val="yellow"/>
        </w:rPr>
        <w:t xml:space="preserve"> and 42 CFR Part 11</w:t>
      </w:r>
      <w:r w:rsidRPr="005C68D7" w:rsidR="00366399">
        <w:rPr>
          <w:color w:val="000000" w:themeColor="text1"/>
          <w:highlight w:val="yellow"/>
        </w:rPr>
        <w:t>,</w:t>
      </w:r>
      <w:r w:rsidRPr="005C68D7" w:rsidR="00E64E94">
        <w:rPr>
          <w:color w:val="000000" w:themeColor="text1"/>
          <w:highlight w:val="yellow"/>
        </w:rPr>
        <w:t xml:space="preserve"> </w:t>
      </w:r>
      <w:r w:rsidRPr="005C68D7" w:rsidR="004758CC">
        <w:rPr>
          <w:color w:val="000000" w:themeColor="text1"/>
          <w:highlight w:val="yellow"/>
        </w:rPr>
        <w:t xml:space="preserve">changes </w:t>
      </w:r>
      <w:r w:rsidRPr="005C68D7">
        <w:rPr>
          <w:color w:val="000000" w:themeColor="text1"/>
          <w:highlight w:val="yellow"/>
        </w:rPr>
        <w:t xml:space="preserve">were </w:t>
      </w:r>
      <w:r w:rsidR="006E1471">
        <w:rPr>
          <w:color w:val="000000" w:themeColor="text1"/>
          <w:highlight w:val="yellow"/>
        </w:rPr>
        <w:t xml:space="preserve">not </w:t>
      </w:r>
      <w:r w:rsidR="00E26B30">
        <w:rPr>
          <w:color w:val="000000" w:themeColor="text1"/>
          <w:highlight w:val="yellow"/>
        </w:rPr>
        <w:t xml:space="preserve">considered </w:t>
      </w:r>
      <w:r w:rsidR="00694BF8">
        <w:rPr>
          <w:color w:val="000000" w:themeColor="text1"/>
          <w:highlight w:val="yellow"/>
        </w:rPr>
        <w:t>necessary</w:t>
      </w:r>
      <w:r w:rsidRPr="005C68D7">
        <w:rPr>
          <w:color w:val="000000" w:themeColor="text1"/>
          <w:highlight w:val="yellow"/>
        </w:rPr>
        <w:t xml:space="preserve">. </w:t>
      </w:r>
      <w:r w:rsidRPr="005C68D7" w:rsidR="00447FE0">
        <w:rPr>
          <w:color w:val="000000" w:themeColor="text1"/>
          <w:highlight w:val="yellow"/>
        </w:rPr>
        <w:t>Additional</w:t>
      </w:r>
      <w:r w:rsidRPr="005C68D7">
        <w:rPr>
          <w:color w:val="000000" w:themeColor="text1"/>
          <w:highlight w:val="yellow"/>
        </w:rPr>
        <w:t xml:space="preserve"> details are provided in A.7.</w:t>
      </w:r>
      <w:r w:rsidRPr="00447FE0">
        <w:rPr>
          <w:color w:val="000000" w:themeColor="text1"/>
          <w:highlight w:val="green"/>
        </w:rPr>
        <w:t xml:space="preserve"> </w:t>
      </w:r>
    </w:p>
    <w:p w:rsidR="00154FBC" w:rsidP="005C4F12" w14:paraId="2A65B1B5" w14:textId="77777777">
      <w:pPr>
        <w:ind w:left="720"/>
        <w:rPr>
          <w:color w:val="000000" w:themeColor="text1"/>
          <w:highlight w:val="green"/>
        </w:rPr>
      </w:pPr>
    </w:p>
    <w:p w:rsidR="00154FBC" w:rsidRPr="005C57F4" w:rsidP="00C56D4D" w14:paraId="52667AEF" w14:textId="0D57D35D">
      <w:pPr>
        <w:ind w:left="720"/>
        <w:rPr>
          <w:color w:val="000000" w:themeColor="text1"/>
          <w:highlight w:val="yellow"/>
          <w:lang w:val="en"/>
        </w:rPr>
      </w:pPr>
      <w:r w:rsidRPr="005C57F4">
        <w:rPr>
          <w:color w:val="000000" w:themeColor="text1"/>
          <w:highlight w:val="yellow"/>
        </w:rPr>
        <w:t xml:space="preserve">This submission accounts for the information collection burden associated with </w:t>
      </w:r>
      <w:r w:rsidRPr="005C57F4" w:rsidR="00297A35">
        <w:rPr>
          <w:color w:val="000000" w:themeColor="text1"/>
          <w:highlight w:val="yellow"/>
        </w:rPr>
        <w:t xml:space="preserve">the </w:t>
      </w:r>
      <w:r w:rsidRPr="005C57F4" w:rsidR="00A43E23">
        <w:rPr>
          <w:color w:val="000000" w:themeColor="text1"/>
          <w:highlight w:val="yellow"/>
        </w:rPr>
        <w:t>waiver request and appeal process unde</w:t>
      </w:r>
      <w:r w:rsidRPr="005C57F4" w:rsidR="00C46946">
        <w:rPr>
          <w:color w:val="000000" w:themeColor="text1"/>
          <w:highlight w:val="yellow"/>
        </w:rPr>
        <w:t xml:space="preserve">r 42 CFR 11.54. This information </w:t>
      </w:r>
      <w:r w:rsidRPr="005C57F4" w:rsidR="00297A35">
        <w:rPr>
          <w:color w:val="000000" w:themeColor="text1"/>
          <w:highlight w:val="yellow"/>
        </w:rPr>
        <w:t xml:space="preserve">is </w:t>
      </w:r>
      <w:r w:rsidRPr="005C57F4" w:rsidR="00447B0C">
        <w:rPr>
          <w:color w:val="000000" w:themeColor="text1"/>
          <w:highlight w:val="yellow"/>
        </w:rPr>
        <w:t>currently</w:t>
      </w:r>
      <w:r w:rsidRPr="005C57F4" w:rsidR="00297A35">
        <w:rPr>
          <w:color w:val="000000" w:themeColor="text1"/>
          <w:highlight w:val="yellow"/>
        </w:rPr>
        <w:t xml:space="preserve"> collected </w:t>
      </w:r>
      <w:r w:rsidRPr="005C57F4" w:rsidR="00447B0C">
        <w:rPr>
          <w:color w:val="000000" w:themeColor="text1"/>
          <w:highlight w:val="yellow"/>
        </w:rPr>
        <w:t xml:space="preserve">via e-mail and is anticipated to be implemented within the PRS in the future. </w:t>
      </w:r>
      <w:r w:rsidRPr="005C57F4" w:rsidR="004463CE">
        <w:rPr>
          <w:color w:val="000000" w:themeColor="text1"/>
          <w:highlight w:val="yellow"/>
        </w:rPr>
        <w:t>Additional details are provided in A.12</w:t>
      </w:r>
      <w:r w:rsidRPr="005C57F4" w:rsidR="007C3250">
        <w:rPr>
          <w:color w:val="000000" w:themeColor="text1"/>
          <w:highlight w:val="yellow"/>
        </w:rPr>
        <w:t xml:space="preserve"> and Attachment 10</w:t>
      </w:r>
      <w:r w:rsidRPr="005C57F4" w:rsidR="004463CE">
        <w:rPr>
          <w:color w:val="000000" w:themeColor="text1"/>
          <w:highlight w:val="yellow"/>
        </w:rPr>
        <w:t xml:space="preserve">. </w:t>
      </w:r>
      <w:r w:rsidRPr="005C57F4" w:rsidR="00C56D4D">
        <w:rPr>
          <w:highlight w:val="yellow"/>
        </w:rPr>
        <w:br/>
      </w:r>
      <w:r w:rsidRPr="005C57F4" w:rsidR="00C56D4D">
        <w:rPr>
          <w:highlight w:val="yellow"/>
        </w:rPr>
        <w:br/>
      </w:r>
      <w:r w:rsidRPr="005C57F4" w:rsidR="00694197">
        <w:rPr>
          <w:color w:val="000000" w:themeColor="text1"/>
          <w:highlight w:val="yellow"/>
        </w:rPr>
        <w:t>PRS under</w:t>
      </w:r>
      <w:r w:rsidRPr="005C57F4" w:rsidR="787FB3C4">
        <w:rPr>
          <w:color w:val="000000" w:themeColor="text1"/>
          <w:highlight w:val="yellow"/>
        </w:rPr>
        <w:t>went</w:t>
      </w:r>
      <w:r w:rsidRPr="005C57F4" w:rsidR="00694197">
        <w:rPr>
          <w:color w:val="000000" w:themeColor="text1"/>
          <w:highlight w:val="yellow"/>
        </w:rPr>
        <w:t xml:space="preserve"> modernization to improve the </w:t>
      </w:r>
      <w:r w:rsidRPr="005C57F4" w:rsidR="5421998C">
        <w:rPr>
          <w:color w:val="000000" w:themeColor="text1"/>
          <w:highlight w:val="yellow"/>
        </w:rPr>
        <w:t>look</w:t>
      </w:r>
      <w:r w:rsidRPr="005C57F4" w:rsidR="00694197">
        <w:rPr>
          <w:color w:val="000000" w:themeColor="text1"/>
          <w:highlight w:val="yellow"/>
        </w:rPr>
        <w:t xml:space="preserve"> and </w:t>
      </w:r>
      <w:r w:rsidRPr="005C57F4" w:rsidR="5421998C">
        <w:rPr>
          <w:color w:val="000000" w:themeColor="text1"/>
          <w:highlight w:val="yellow"/>
        </w:rPr>
        <w:t>feel</w:t>
      </w:r>
      <w:r w:rsidRPr="005C57F4" w:rsidR="00694197">
        <w:rPr>
          <w:color w:val="000000" w:themeColor="text1"/>
          <w:highlight w:val="yellow"/>
        </w:rPr>
        <w:t xml:space="preserve"> however, the information collected remains unchanged. Accordingly, this submission includes screenshots from both the modernized and classic PRS in the attachments.</w:t>
      </w:r>
      <w:r w:rsidRPr="005C57F4" w:rsidR="009621F8">
        <w:rPr>
          <w:highlight w:val="yellow"/>
        </w:rPr>
        <w:br/>
      </w:r>
    </w:p>
    <w:p w:rsidR="00AD3E16" w:rsidRPr="00581542" w:rsidP="002533BB" w14:paraId="26D4AE1D" w14:textId="77777777">
      <w:pPr>
        <w:pStyle w:val="Default"/>
        <w:rPr>
          <w:rFonts w:ascii="Arial" w:hAnsi="Arial" w:cs="Arial"/>
          <w:color w:val="000000" w:themeColor="text1"/>
        </w:rPr>
      </w:pPr>
    </w:p>
    <w:p w:rsidR="00C66F8E" w:rsidRPr="00581542" w:rsidP="002533BB" w14:paraId="0467C825" w14:textId="77777777">
      <w:pPr>
        <w:tabs>
          <w:tab w:val="left" w:pos="720"/>
        </w:tabs>
        <w:rPr>
          <w:b/>
          <w:color w:val="000000" w:themeColor="text1"/>
        </w:rPr>
      </w:pPr>
      <w:r w:rsidRPr="00581542">
        <w:rPr>
          <w:b/>
          <w:color w:val="000000" w:themeColor="text1"/>
        </w:rPr>
        <w:t>A.3</w:t>
      </w:r>
      <w:r w:rsidRPr="00581542" w:rsidR="00056C5B">
        <w:rPr>
          <w:b/>
          <w:color w:val="000000" w:themeColor="text1"/>
        </w:rPr>
        <w:tab/>
      </w:r>
      <w:r w:rsidRPr="00581542">
        <w:rPr>
          <w:b/>
          <w:color w:val="000000" w:themeColor="text1"/>
          <w:u w:val="single"/>
        </w:rPr>
        <w:t>Use of Improved Information Technology and Burden Reduction</w:t>
      </w:r>
    </w:p>
    <w:p w:rsidR="00C66F8E" w:rsidRPr="00581542" w:rsidP="002533BB" w14:paraId="1C75DB1E" w14:textId="77777777">
      <w:pPr>
        <w:rPr>
          <w:color w:val="000000" w:themeColor="text1"/>
        </w:rPr>
      </w:pPr>
    </w:p>
    <w:p w:rsidR="00873563" w:rsidRPr="00581542" w:rsidP="002533BB" w14:paraId="6BEED5CD" w14:textId="6778B170">
      <w:pPr>
        <w:autoSpaceDE w:val="0"/>
        <w:autoSpaceDN w:val="0"/>
        <w:adjustRightInd w:val="0"/>
        <w:ind w:left="720"/>
        <w:rPr>
          <w:color w:val="000000" w:themeColor="text1"/>
          <w:szCs w:val="24"/>
        </w:rPr>
      </w:pPr>
      <w:r w:rsidRPr="00581542">
        <w:rPr>
          <w:iCs/>
          <w:color w:val="000000" w:themeColor="text1"/>
        </w:rPr>
        <w:t>FDAAA</w:t>
      </w:r>
      <w:r w:rsidRPr="00581542" w:rsidR="000015AF">
        <w:rPr>
          <w:iCs/>
          <w:color w:val="000000" w:themeColor="text1"/>
        </w:rPr>
        <w:t xml:space="preserve"> </w:t>
      </w:r>
      <w:r w:rsidR="00364C87">
        <w:rPr>
          <w:iCs/>
          <w:color w:val="000000" w:themeColor="text1"/>
        </w:rPr>
        <w:t xml:space="preserve">801 </w:t>
      </w:r>
      <w:r w:rsidRPr="00581542" w:rsidR="000015AF">
        <w:rPr>
          <w:iCs/>
          <w:color w:val="000000" w:themeColor="text1"/>
        </w:rPr>
        <w:t>directs the Directo</w:t>
      </w:r>
      <w:r w:rsidRPr="00581542" w:rsidR="009E390A">
        <w:rPr>
          <w:iCs/>
          <w:color w:val="000000" w:themeColor="text1"/>
        </w:rPr>
        <w:t>r</w:t>
      </w:r>
      <w:r w:rsidRPr="00581542" w:rsidR="00713586">
        <w:rPr>
          <w:iCs/>
          <w:color w:val="000000" w:themeColor="text1"/>
        </w:rPr>
        <w:t xml:space="preserve"> of the</w:t>
      </w:r>
      <w:r w:rsidRPr="00581542" w:rsidR="000015AF">
        <w:rPr>
          <w:iCs/>
          <w:color w:val="000000" w:themeColor="text1"/>
        </w:rPr>
        <w:t xml:space="preserve"> NIH to “</w:t>
      </w:r>
      <w:r w:rsidRPr="00581542" w:rsidR="000015AF">
        <w:rPr>
          <w:color w:val="000000" w:themeColor="text1"/>
        </w:rPr>
        <w:t xml:space="preserve">ensure that the registry databank is made publicly available through the Internet” </w:t>
      </w:r>
      <w:r w:rsidRPr="00581542" w:rsidR="002533BB">
        <w:rPr>
          <w:color w:val="000000" w:themeColor="text1"/>
        </w:rPr>
        <w:t>(</w:t>
      </w:r>
      <w:r w:rsidRPr="00581542">
        <w:rPr>
          <w:color w:val="000000" w:themeColor="text1"/>
        </w:rPr>
        <w:t xml:space="preserve">section </w:t>
      </w:r>
      <w:r w:rsidRPr="00581542" w:rsidR="000015AF">
        <w:rPr>
          <w:iCs/>
          <w:color w:val="000000" w:themeColor="text1"/>
        </w:rPr>
        <w:t>4</w:t>
      </w:r>
      <w:r w:rsidRPr="00581542">
        <w:rPr>
          <w:iCs/>
          <w:color w:val="000000" w:themeColor="text1"/>
        </w:rPr>
        <w:t>0</w:t>
      </w:r>
      <w:r w:rsidRPr="00581542" w:rsidR="000015AF">
        <w:rPr>
          <w:iCs/>
          <w:color w:val="000000" w:themeColor="text1"/>
        </w:rPr>
        <w:t>2</w:t>
      </w:r>
      <w:r w:rsidRPr="00581542" w:rsidR="000015AF">
        <w:rPr>
          <w:color w:val="000000" w:themeColor="text1"/>
        </w:rPr>
        <w:t>(j</w:t>
      </w:r>
      <w:r w:rsidRPr="00581542" w:rsidR="000015AF">
        <w:rPr>
          <w:color w:val="000000" w:themeColor="text1"/>
        </w:rPr>
        <w:t>))(</w:t>
      </w:r>
      <w:r w:rsidRPr="00581542" w:rsidR="000015AF">
        <w:rPr>
          <w:color w:val="000000" w:themeColor="text1"/>
        </w:rPr>
        <w:t>2)(A)</w:t>
      </w:r>
      <w:r w:rsidRPr="00581542">
        <w:rPr>
          <w:color w:val="000000" w:themeColor="text1"/>
        </w:rPr>
        <w:t xml:space="preserve"> of the PHS Act</w:t>
      </w:r>
      <w:r w:rsidRPr="00581542" w:rsidR="002533BB">
        <w:rPr>
          <w:color w:val="000000" w:themeColor="text1"/>
        </w:rPr>
        <w:t>)</w:t>
      </w:r>
      <w:r w:rsidRPr="00581542" w:rsidR="000015AF">
        <w:rPr>
          <w:color w:val="000000" w:themeColor="text1"/>
        </w:rPr>
        <w:t xml:space="preserve">.  </w:t>
      </w:r>
      <w:r w:rsidRPr="00581542" w:rsidR="00434E08">
        <w:rPr>
          <w:color w:val="000000" w:themeColor="text1"/>
        </w:rPr>
        <w:t xml:space="preserve">ClinicalTrials.gov </w:t>
      </w:r>
      <w:r w:rsidRPr="00581542" w:rsidR="00C66F8E">
        <w:rPr>
          <w:color w:val="000000" w:themeColor="text1"/>
        </w:rPr>
        <w:t>u</w:t>
      </w:r>
      <w:r w:rsidRPr="00581542" w:rsidR="00985D62">
        <w:rPr>
          <w:color w:val="000000" w:themeColor="text1"/>
        </w:rPr>
        <w:t>ses</w:t>
      </w:r>
      <w:r w:rsidRPr="00581542" w:rsidR="00C66F8E">
        <w:rPr>
          <w:color w:val="000000" w:themeColor="text1"/>
        </w:rPr>
        <w:t xml:space="preserve"> the latest software and </w:t>
      </w:r>
      <w:r w:rsidRPr="00581542" w:rsidR="004443FB">
        <w:rPr>
          <w:color w:val="000000" w:themeColor="text1"/>
        </w:rPr>
        <w:t>i</w:t>
      </w:r>
      <w:r w:rsidRPr="00581542" w:rsidR="00C66F8E">
        <w:rPr>
          <w:color w:val="000000" w:themeColor="text1"/>
        </w:rPr>
        <w:t xml:space="preserve">nternet technologies </w:t>
      </w:r>
      <w:r w:rsidRPr="00581542" w:rsidR="000015AF">
        <w:rPr>
          <w:color w:val="000000" w:themeColor="text1"/>
        </w:rPr>
        <w:t xml:space="preserve">for submitting </w:t>
      </w:r>
      <w:r w:rsidRPr="00581542" w:rsidR="00C66F8E">
        <w:rPr>
          <w:color w:val="000000" w:themeColor="text1"/>
        </w:rPr>
        <w:t>registration</w:t>
      </w:r>
      <w:r w:rsidRPr="00581542" w:rsidR="000015AF">
        <w:rPr>
          <w:color w:val="000000" w:themeColor="text1"/>
        </w:rPr>
        <w:t xml:space="preserve"> and </w:t>
      </w:r>
      <w:r w:rsidRPr="00581542" w:rsidR="00C66F8E">
        <w:rPr>
          <w:color w:val="000000" w:themeColor="text1"/>
        </w:rPr>
        <w:t xml:space="preserve">results </w:t>
      </w:r>
      <w:r w:rsidRPr="00581542" w:rsidR="000015AF">
        <w:rPr>
          <w:color w:val="000000" w:themeColor="text1"/>
        </w:rPr>
        <w:t>information</w:t>
      </w:r>
      <w:r w:rsidRPr="00581542" w:rsidR="00C66F8E">
        <w:rPr>
          <w:color w:val="000000" w:themeColor="text1"/>
        </w:rPr>
        <w:t xml:space="preserve"> and </w:t>
      </w:r>
      <w:r w:rsidRPr="00581542" w:rsidR="004A4980">
        <w:rPr>
          <w:color w:val="000000" w:themeColor="text1"/>
        </w:rPr>
        <w:t xml:space="preserve">for </w:t>
      </w:r>
      <w:r w:rsidRPr="00581542" w:rsidR="00C66F8E">
        <w:rPr>
          <w:color w:val="000000" w:themeColor="text1"/>
        </w:rPr>
        <w:t>searching</w:t>
      </w:r>
      <w:r w:rsidRPr="00581542" w:rsidR="000015AF">
        <w:rPr>
          <w:color w:val="000000" w:themeColor="text1"/>
        </w:rPr>
        <w:t>/retrieving such information</w:t>
      </w:r>
      <w:r w:rsidRPr="00581542" w:rsidR="00C66F8E">
        <w:rPr>
          <w:color w:val="000000" w:themeColor="text1"/>
        </w:rPr>
        <w:t xml:space="preserve">.  </w:t>
      </w:r>
      <w:r w:rsidRPr="00581542" w:rsidR="000015AF">
        <w:rPr>
          <w:color w:val="000000" w:themeColor="text1"/>
        </w:rPr>
        <w:t>I</w:t>
      </w:r>
      <w:r w:rsidRPr="00581542" w:rsidR="00C66F8E">
        <w:rPr>
          <w:color w:val="000000" w:themeColor="text1"/>
        </w:rPr>
        <w:t xml:space="preserve">nformation can be entered </w:t>
      </w:r>
      <w:r w:rsidRPr="00581542" w:rsidR="00D6472F">
        <w:rPr>
          <w:color w:val="000000" w:themeColor="text1"/>
        </w:rPr>
        <w:t xml:space="preserve">manually </w:t>
      </w:r>
      <w:r w:rsidRPr="00581542" w:rsidR="00C66F8E">
        <w:rPr>
          <w:color w:val="000000" w:themeColor="text1"/>
        </w:rPr>
        <w:t xml:space="preserve">into electronic forms available </w:t>
      </w:r>
      <w:r w:rsidRPr="00581542" w:rsidR="006815EB">
        <w:rPr>
          <w:color w:val="000000" w:themeColor="text1"/>
        </w:rPr>
        <w:t xml:space="preserve">in </w:t>
      </w:r>
      <w:r w:rsidRPr="00581542" w:rsidR="00C66F8E">
        <w:rPr>
          <w:color w:val="000000" w:themeColor="text1"/>
        </w:rPr>
        <w:t xml:space="preserve">the </w:t>
      </w:r>
      <w:r w:rsidRPr="00581542" w:rsidR="00891B1D">
        <w:rPr>
          <w:color w:val="000000" w:themeColor="text1"/>
        </w:rPr>
        <w:t>PRS</w:t>
      </w:r>
      <w:r w:rsidRPr="00581542" w:rsidR="000015AF">
        <w:rPr>
          <w:color w:val="000000" w:themeColor="text1"/>
        </w:rPr>
        <w:t xml:space="preserve"> or can be uploaded automatically (and in batches) from computer systems that put it in a structured format specified in </w:t>
      </w:r>
      <w:r w:rsidRPr="00581542" w:rsidR="006815EB">
        <w:rPr>
          <w:color w:val="000000" w:themeColor="text1"/>
        </w:rPr>
        <w:t>the PRS</w:t>
      </w:r>
      <w:r w:rsidRPr="00581542" w:rsidR="00C66F8E">
        <w:rPr>
          <w:color w:val="000000" w:themeColor="text1"/>
        </w:rPr>
        <w:t xml:space="preserve">. </w:t>
      </w:r>
      <w:r w:rsidRPr="00581542" w:rsidR="000015AF">
        <w:rPr>
          <w:color w:val="000000" w:themeColor="text1"/>
        </w:rPr>
        <w:t>T</w:t>
      </w:r>
      <w:r w:rsidRPr="00581542" w:rsidR="00C66F8E">
        <w:rPr>
          <w:color w:val="000000" w:themeColor="text1"/>
        </w:rPr>
        <w:t xml:space="preserve">o minimize the burden on respondents and ensure data consistency between registration and results </w:t>
      </w:r>
      <w:r w:rsidRPr="00581542" w:rsidR="006815EB">
        <w:rPr>
          <w:color w:val="000000" w:themeColor="text1"/>
        </w:rPr>
        <w:t xml:space="preserve">sections of study </w:t>
      </w:r>
      <w:r w:rsidRPr="00581542" w:rsidR="00C66F8E">
        <w:rPr>
          <w:color w:val="000000" w:themeColor="text1"/>
        </w:rPr>
        <w:t>records</w:t>
      </w:r>
      <w:r w:rsidRPr="00581542" w:rsidR="000015AF">
        <w:rPr>
          <w:color w:val="000000" w:themeColor="text1"/>
        </w:rPr>
        <w:t>, relevant clinical trial registration information is imported into results information templates</w:t>
      </w:r>
      <w:r w:rsidRPr="00581542" w:rsidR="00C66F8E">
        <w:rPr>
          <w:color w:val="000000" w:themeColor="text1"/>
        </w:rPr>
        <w:t xml:space="preserve">. In addition, </w:t>
      </w:r>
      <w:r w:rsidRPr="00581542" w:rsidR="009043A1">
        <w:rPr>
          <w:color w:val="000000" w:themeColor="text1"/>
        </w:rPr>
        <w:t xml:space="preserve">the </w:t>
      </w:r>
      <w:r w:rsidRPr="00581542" w:rsidR="00C66F8E">
        <w:rPr>
          <w:color w:val="000000" w:themeColor="text1"/>
        </w:rPr>
        <w:t xml:space="preserve">data entry system for results </w:t>
      </w:r>
      <w:r w:rsidRPr="00581542" w:rsidR="000015AF">
        <w:rPr>
          <w:color w:val="000000" w:themeColor="text1"/>
        </w:rPr>
        <w:t xml:space="preserve">submission </w:t>
      </w:r>
      <w:r w:rsidRPr="00581542" w:rsidR="006815EB">
        <w:rPr>
          <w:color w:val="000000" w:themeColor="text1"/>
        </w:rPr>
        <w:t xml:space="preserve">in the PRS </w:t>
      </w:r>
      <w:r w:rsidRPr="00581542" w:rsidR="00C66F8E">
        <w:rPr>
          <w:color w:val="000000" w:themeColor="text1"/>
        </w:rPr>
        <w:t xml:space="preserve">has been designed to allow </w:t>
      </w:r>
      <w:r w:rsidRPr="00581542" w:rsidR="00C66F8E">
        <w:rPr>
          <w:color w:val="000000" w:themeColor="text1"/>
          <w:szCs w:val="24"/>
        </w:rPr>
        <w:t xml:space="preserve">respondents considerable flexibility in </w:t>
      </w:r>
      <w:r w:rsidRPr="00581542" w:rsidR="000015AF">
        <w:rPr>
          <w:color w:val="000000" w:themeColor="text1"/>
          <w:szCs w:val="24"/>
        </w:rPr>
        <w:t xml:space="preserve">submitting </w:t>
      </w:r>
      <w:r w:rsidRPr="00581542" w:rsidR="00C66F8E">
        <w:rPr>
          <w:color w:val="000000" w:themeColor="text1"/>
          <w:szCs w:val="24"/>
        </w:rPr>
        <w:t xml:space="preserve">required data in a way that matches their own data analysis plans and formats </w:t>
      </w:r>
      <w:r w:rsidRPr="00581542" w:rsidR="009043A1">
        <w:rPr>
          <w:color w:val="000000" w:themeColor="text1"/>
          <w:szCs w:val="24"/>
        </w:rPr>
        <w:t xml:space="preserve">common to </w:t>
      </w:r>
      <w:r w:rsidRPr="00581542" w:rsidR="00C66F8E">
        <w:rPr>
          <w:color w:val="000000" w:themeColor="text1"/>
          <w:szCs w:val="24"/>
        </w:rPr>
        <w:t>reporting results in journal articles and other publications.</w:t>
      </w:r>
      <w:r w:rsidRPr="00581542" w:rsidR="00985D62">
        <w:rPr>
          <w:color w:val="000000"/>
          <w:szCs w:val="24"/>
          <w:shd w:val="clear" w:color="auto" w:fill="FFFFFF"/>
        </w:rPr>
        <w:t xml:space="preserve"> </w:t>
      </w:r>
      <w:r w:rsidRPr="00581542" w:rsidR="00F264B1">
        <w:rPr>
          <w:color w:val="000000"/>
          <w:szCs w:val="24"/>
          <w:shd w:val="clear" w:color="auto" w:fill="FFFFFF"/>
        </w:rPr>
        <w:t>E</w:t>
      </w:r>
      <w:r w:rsidRPr="00581542" w:rsidR="00AE6B93">
        <w:rPr>
          <w:color w:val="000000"/>
          <w:szCs w:val="24"/>
          <w:shd w:val="clear" w:color="auto" w:fill="FFFFFF"/>
        </w:rPr>
        <w:t>nhancements</w:t>
      </w:r>
      <w:r w:rsidRPr="00581542" w:rsidR="00985D62">
        <w:rPr>
          <w:color w:val="000000"/>
          <w:szCs w:val="24"/>
          <w:shd w:val="clear" w:color="auto" w:fill="FFFFFF"/>
        </w:rPr>
        <w:t xml:space="preserve"> are continuing to be made to </w:t>
      </w:r>
      <w:r w:rsidRPr="00581542" w:rsidR="004A1AB1">
        <w:rPr>
          <w:color w:val="000000"/>
          <w:szCs w:val="24"/>
          <w:shd w:val="clear" w:color="auto" w:fill="FFFFFF"/>
        </w:rPr>
        <w:t xml:space="preserve">improve the usability of the </w:t>
      </w:r>
      <w:r w:rsidRPr="00581542" w:rsidR="004A1AB1">
        <w:rPr>
          <w:color w:val="000000"/>
          <w:szCs w:val="24"/>
          <w:shd w:val="clear" w:color="auto" w:fill="FFFFFF"/>
        </w:rPr>
        <w:t>system to all stakeholders.</w:t>
      </w:r>
      <w:r w:rsidRPr="00581542" w:rsidR="0029487F">
        <w:rPr>
          <w:color w:val="000000"/>
          <w:szCs w:val="24"/>
          <w:shd w:val="clear" w:color="auto" w:fill="FFFFFF"/>
        </w:rPr>
        <w:t xml:space="preserve"> </w:t>
      </w:r>
      <w:r w:rsidRPr="00581542" w:rsidR="00CC0EDC">
        <w:rPr>
          <w:color w:val="000000" w:themeColor="text1"/>
        </w:rPr>
        <w:t xml:space="preserve">See </w:t>
      </w:r>
      <w:r w:rsidRPr="00581542" w:rsidR="00CC0EDC">
        <w:t>Attachment 9 for the HHS-approved Privacy Impact Assessment for the collection and storage of this information.</w:t>
      </w:r>
    </w:p>
    <w:p w:rsidR="00985D62" w:rsidRPr="00581542" w:rsidP="002533BB" w14:paraId="40B0E026" w14:textId="77777777">
      <w:pPr>
        <w:autoSpaceDE w:val="0"/>
        <w:autoSpaceDN w:val="0"/>
        <w:adjustRightInd w:val="0"/>
        <w:ind w:left="720"/>
        <w:rPr>
          <w:color w:val="000000" w:themeColor="text1"/>
        </w:rPr>
      </w:pPr>
    </w:p>
    <w:p w:rsidR="00C66F8E" w:rsidRPr="00581542" w:rsidP="002533BB" w14:paraId="111FFE4C" w14:textId="77777777">
      <w:pPr>
        <w:tabs>
          <w:tab w:val="left" w:pos="720"/>
        </w:tabs>
        <w:rPr>
          <w:b/>
          <w:color w:val="000000" w:themeColor="text1"/>
          <w:u w:val="single"/>
        </w:rPr>
      </w:pPr>
      <w:r w:rsidRPr="00581542">
        <w:rPr>
          <w:b/>
          <w:color w:val="000000" w:themeColor="text1"/>
        </w:rPr>
        <w:t>A.4</w:t>
      </w:r>
      <w:r w:rsidRPr="00581542">
        <w:rPr>
          <w:b/>
          <w:color w:val="000000" w:themeColor="text1"/>
        </w:rPr>
        <w:tab/>
      </w:r>
      <w:r w:rsidRPr="00581542">
        <w:rPr>
          <w:b/>
          <w:color w:val="000000" w:themeColor="text1"/>
          <w:u w:val="single"/>
        </w:rPr>
        <w:t>Efforts to Identify Duplication and Use of Similar Information</w:t>
      </w:r>
    </w:p>
    <w:p w:rsidR="00C66F8E" w:rsidRPr="00581542" w:rsidP="002533BB" w14:paraId="136B50E0" w14:textId="77777777">
      <w:pPr>
        <w:rPr>
          <w:color w:val="000000" w:themeColor="text1"/>
        </w:rPr>
      </w:pPr>
    </w:p>
    <w:p w:rsidR="00C66F8E" w:rsidRPr="00581542" w:rsidP="002533BB" w14:paraId="170A5BBF" w14:textId="47FFBD19">
      <w:pPr>
        <w:ind w:left="720"/>
        <w:rPr>
          <w:color w:val="000000" w:themeColor="text1"/>
        </w:rPr>
      </w:pPr>
      <w:r w:rsidRPr="00E9260F">
        <w:rPr>
          <w:color w:val="000000" w:themeColor="text1"/>
          <w:highlight w:val="yellow"/>
        </w:rPr>
        <w:t>ClinicalTrials</w:t>
      </w:r>
      <w:r w:rsidRPr="00E9260F" w:rsidR="00434E08">
        <w:rPr>
          <w:color w:val="000000" w:themeColor="text1"/>
          <w:highlight w:val="yellow"/>
        </w:rPr>
        <w:t>.gov i</w:t>
      </w:r>
      <w:r w:rsidRPr="00E9260F">
        <w:rPr>
          <w:color w:val="000000" w:themeColor="text1"/>
          <w:highlight w:val="yellow"/>
        </w:rPr>
        <w:t xml:space="preserve">s </w:t>
      </w:r>
      <w:r w:rsidRPr="00E9260F" w:rsidR="00434E08">
        <w:rPr>
          <w:color w:val="000000" w:themeColor="text1"/>
          <w:highlight w:val="yellow"/>
        </w:rPr>
        <w:t xml:space="preserve">a </w:t>
      </w:r>
      <w:r w:rsidRPr="00E9260F">
        <w:rPr>
          <w:color w:val="000000" w:themeColor="text1"/>
          <w:highlight w:val="yellow"/>
        </w:rPr>
        <w:t>unique</w:t>
      </w:r>
      <w:r w:rsidRPr="00E9260F" w:rsidR="00434E08">
        <w:rPr>
          <w:color w:val="000000" w:themeColor="text1"/>
          <w:highlight w:val="yellow"/>
        </w:rPr>
        <w:t xml:space="preserve"> information resource</w:t>
      </w:r>
      <w:r w:rsidRPr="00E9260F" w:rsidR="00AE57A8">
        <w:rPr>
          <w:color w:val="000000" w:themeColor="text1"/>
          <w:highlight w:val="yellow"/>
        </w:rPr>
        <w:t xml:space="preserve">, </w:t>
      </w:r>
      <w:r w:rsidRPr="00E9260F" w:rsidR="00434E08">
        <w:rPr>
          <w:color w:val="000000" w:themeColor="text1"/>
          <w:highlight w:val="yellow"/>
        </w:rPr>
        <w:t>contain</w:t>
      </w:r>
      <w:r w:rsidRPr="00E9260F" w:rsidR="00AE57A8">
        <w:rPr>
          <w:color w:val="000000" w:themeColor="text1"/>
          <w:highlight w:val="yellow"/>
        </w:rPr>
        <w:t>ing</w:t>
      </w:r>
      <w:r w:rsidRPr="00E9260F" w:rsidR="00434E08">
        <w:rPr>
          <w:color w:val="000000" w:themeColor="text1"/>
          <w:highlight w:val="yellow"/>
        </w:rPr>
        <w:t xml:space="preserve"> r</w:t>
      </w:r>
      <w:r w:rsidRPr="00E9260F">
        <w:rPr>
          <w:color w:val="000000" w:themeColor="text1"/>
          <w:highlight w:val="yellow"/>
        </w:rPr>
        <w:t xml:space="preserve">egistration information </w:t>
      </w:r>
      <w:r w:rsidRPr="00E9260F">
        <w:rPr>
          <w:color w:val="000000" w:themeColor="text1"/>
          <w:highlight w:val="yellow"/>
        </w:rPr>
        <w:t xml:space="preserve">on </w:t>
      </w:r>
      <w:r w:rsidRPr="00E9260F" w:rsidR="00EF69EA">
        <w:rPr>
          <w:color w:val="000000" w:themeColor="text1"/>
          <w:highlight w:val="yellow"/>
        </w:rPr>
        <w:t xml:space="preserve"> </w:t>
      </w:r>
      <w:r w:rsidRPr="00E9260F" w:rsidR="00F20C33">
        <w:rPr>
          <w:color w:val="000000" w:themeColor="text1"/>
          <w:highlight w:val="yellow"/>
        </w:rPr>
        <w:t>over</w:t>
      </w:r>
      <w:r w:rsidRPr="00E9260F" w:rsidR="00F20C33">
        <w:rPr>
          <w:color w:val="000000" w:themeColor="text1"/>
          <w:highlight w:val="yellow"/>
        </w:rPr>
        <w:t xml:space="preserve"> </w:t>
      </w:r>
      <w:r w:rsidRPr="3D85F570" w:rsidR="004443FB">
        <w:rPr>
          <w:color w:val="000000" w:themeColor="text1"/>
          <w:highlight w:val="yellow"/>
        </w:rPr>
        <w:t>5</w:t>
      </w:r>
      <w:r w:rsidRPr="3D85F570" w:rsidR="1BAA455B">
        <w:rPr>
          <w:color w:val="000000" w:themeColor="text1"/>
          <w:highlight w:val="yellow"/>
        </w:rPr>
        <w:t>6</w:t>
      </w:r>
      <w:r w:rsidRPr="3D85F570" w:rsidR="00446644">
        <w:rPr>
          <w:color w:val="000000" w:themeColor="text1"/>
          <w:highlight w:val="yellow"/>
        </w:rPr>
        <w:t>0</w:t>
      </w:r>
      <w:r w:rsidRPr="00E9260F" w:rsidR="00446644">
        <w:rPr>
          <w:color w:val="000000" w:themeColor="text1"/>
          <w:highlight w:val="yellow"/>
        </w:rPr>
        <w:t>,000</w:t>
      </w:r>
      <w:r w:rsidRPr="00E9260F" w:rsidR="00F20C33">
        <w:rPr>
          <w:color w:val="000000" w:themeColor="text1"/>
          <w:highlight w:val="yellow"/>
        </w:rPr>
        <w:t xml:space="preserve"> </w:t>
      </w:r>
      <w:r w:rsidRPr="00E9260F">
        <w:rPr>
          <w:color w:val="000000" w:themeColor="text1"/>
          <w:highlight w:val="yellow"/>
        </w:rPr>
        <w:t xml:space="preserve">clinical </w:t>
      </w:r>
      <w:r w:rsidRPr="00E9260F" w:rsidR="00EF69EA">
        <w:rPr>
          <w:color w:val="000000" w:themeColor="text1"/>
          <w:highlight w:val="yellow"/>
        </w:rPr>
        <w:t xml:space="preserve">studies </w:t>
      </w:r>
      <w:r w:rsidRPr="00E9260F">
        <w:rPr>
          <w:color w:val="000000" w:themeColor="text1"/>
          <w:highlight w:val="yellow"/>
        </w:rPr>
        <w:t xml:space="preserve">in more than </w:t>
      </w:r>
      <w:r w:rsidRPr="00E9260F" w:rsidR="00C97AD9">
        <w:rPr>
          <w:color w:val="000000" w:themeColor="text1"/>
          <w:highlight w:val="yellow"/>
        </w:rPr>
        <w:t xml:space="preserve">200 </w:t>
      </w:r>
      <w:r w:rsidRPr="00E9260F">
        <w:rPr>
          <w:color w:val="000000" w:themeColor="text1"/>
          <w:highlight w:val="yellow"/>
        </w:rPr>
        <w:t>countries</w:t>
      </w:r>
      <w:r w:rsidRPr="00E9260F" w:rsidR="00644695">
        <w:rPr>
          <w:color w:val="000000" w:themeColor="text1"/>
          <w:highlight w:val="yellow"/>
        </w:rPr>
        <w:t xml:space="preserve"> as of </w:t>
      </w:r>
      <w:r w:rsidRPr="3D85F570" w:rsidR="38E73924">
        <w:rPr>
          <w:color w:val="000000" w:themeColor="text1"/>
          <w:highlight w:val="yellow"/>
        </w:rPr>
        <w:t>February 4</w:t>
      </w:r>
      <w:r w:rsidRPr="3D85F570" w:rsidR="00644695">
        <w:rPr>
          <w:color w:val="000000" w:themeColor="text1"/>
          <w:highlight w:val="yellow"/>
        </w:rPr>
        <w:t xml:space="preserve">, </w:t>
      </w:r>
      <w:r w:rsidRPr="3D85F570" w:rsidR="00C97AD9">
        <w:rPr>
          <w:color w:val="000000" w:themeColor="text1"/>
          <w:highlight w:val="yellow"/>
        </w:rPr>
        <w:t>20</w:t>
      </w:r>
      <w:r w:rsidRPr="3D85F570" w:rsidR="00F20C33">
        <w:rPr>
          <w:color w:val="000000" w:themeColor="text1"/>
          <w:highlight w:val="yellow"/>
        </w:rPr>
        <w:t>2</w:t>
      </w:r>
      <w:r w:rsidRPr="3D85F570" w:rsidR="2197BAC9">
        <w:rPr>
          <w:color w:val="000000" w:themeColor="text1"/>
          <w:highlight w:val="yellow"/>
        </w:rPr>
        <w:t>6</w:t>
      </w:r>
      <w:r w:rsidRPr="3D85F570">
        <w:rPr>
          <w:color w:val="000000" w:themeColor="text1"/>
          <w:highlight w:val="yellow"/>
        </w:rPr>
        <w:t>.</w:t>
      </w:r>
      <w:r w:rsidRPr="00581542">
        <w:rPr>
          <w:color w:val="000000" w:themeColor="text1"/>
        </w:rPr>
        <w:t xml:space="preserve"> </w:t>
      </w:r>
      <w:r w:rsidRPr="00581542">
        <w:rPr>
          <w:color w:val="000000" w:themeColor="text1"/>
        </w:rPr>
        <w:t xml:space="preserve">No comparable </w:t>
      </w:r>
      <w:r w:rsidRPr="00581542" w:rsidR="00EF69EA">
        <w:rPr>
          <w:color w:val="000000" w:themeColor="text1"/>
        </w:rPr>
        <w:t xml:space="preserve">public </w:t>
      </w:r>
      <w:r w:rsidRPr="00581542">
        <w:rPr>
          <w:color w:val="000000" w:themeColor="text1"/>
        </w:rPr>
        <w:t xml:space="preserve">listing of clinical trials exists in the world.  </w:t>
      </w:r>
      <w:r w:rsidRPr="00581542">
        <w:rPr>
          <w:color w:val="000000" w:themeColor="text1"/>
        </w:rPr>
        <w:t xml:space="preserve">While some companies make </w:t>
      </w:r>
      <w:r w:rsidRPr="00581542" w:rsidR="005F5325">
        <w:rPr>
          <w:color w:val="000000" w:themeColor="text1"/>
        </w:rPr>
        <w:t xml:space="preserve">some </w:t>
      </w:r>
      <w:r w:rsidRPr="00581542">
        <w:rPr>
          <w:color w:val="000000" w:themeColor="text1"/>
        </w:rPr>
        <w:t xml:space="preserve">clinical trial information available through commercial databases, these efforts are not as comprehensive as ClinicalTrials.gov and contain limited information on only a select subset of trials. Similarly, the </w:t>
      </w:r>
      <w:r w:rsidRPr="00581542">
        <w:rPr>
          <w:color w:val="000000" w:themeColor="text1"/>
        </w:rPr>
        <w:t>results information</w:t>
      </w:r>
      <w:r w:rsidRPr="00581542">
        <w:rPr>
          <w:color w:val="000000" w:themeColor="text1"/>
        </w:rPr>
        <w:t xml:space="preserve"> collect</w:t>
      </w:r>
      <w:r w:rsidRPr="00581542" w:rsidR="000015AF">
        <w:rPr>
          <w:color w:val="000000" w:themeColor="text1"/>
        </w:rPr>
        <w:t xml:space="preserve">ed by </w:t>
      </w:r>
      <w:r w:rsidRPr="00581542">
        <w:rPr>
          <w:color w:val="000000" w:themeColor="text1"/>
        </w:rPr>
        <w:t xml:space="preserve">ClinicalTrials.gov </w:t>
      </w:r>
      <w:r w:rsidRPr="00581542" w:rsidR="000015AF">
        <w:rPr>
          <w:color w:val="000000" w:themeColor="text1"/>
        </w:rPr>
        <w:t>is</w:t>
      </w:r>
      <w:r w:rsidRPr="00581542">
        <w:rPr>
          <w:color w:val="000000" w:themeColor="text1"/>
        </w:rPr>
        <w:t xml:space="preserve"> unique. </w:t>
      </w:r>
      <w:r w:rsidRPr="00581542" w:rsidR="00D37051">
        <w:rPr>
          <w:color w:val="000000" w:themeColor="text1"/>
        </w:rPr>
        <w:t xml:space="preserve">Not all </w:t>
      </w:r>
      <w:r w:rsidRPr="00581542" w:rsidR="00557C69">
        <w:rPr>
          <w:color w:val="000000" w:themeColor="text1"/>
        </w:rPr>
        <w:t xml:space="preserve">existing </w:t>
      </w:r>
      <w:r w:rsidRPr="00581542" w:rsidR="00D37051">
        <w:rPr>
          <w:color w:val="000000" w:themeColor="text1"/>
        </w:rPr>
        <w:t xml:space="preserve">trial registries </w:t>
      </w:r>
      <w:r w:rsidRPr="00581542" w:rsidR="00C17130">
        <w:rPr>
          <w:color w:val="000000" w:themeColor="text1"/>
        </w:rPr>
        <w:t>collect results information, and</w:t>
      </w:r>
      <w:r w:rsidRPr="00581542" w:rsidR="006707E1">
        <w:rPr>
          <w:color w:val="000000" w:themeColor="text1"/>
        </w:rPr>
        <w:t xml:space="preserve"> some</w:t>
      </w:r>
      <w:r w:rsidRPr="00581542" w:rsidR="00C17130">
        <w:rPr>
          <w:color w:val="000000" w:themeColor="text1"/>
        </w:rPr>
        <w:t xml:space="preserve"> </w:t>
      </w:r>
      <w:r w:rsidRPr="00581542" w:rsidR="006707E1">
        <w:rPr>
          <w:color w:val="000000" w:themeColor="text1"/>
        </w:rPr>
        <w:t xml:space="preserve">charge fees </w:t>
      </w:r>
      <w:r w:rsidRPr="00581542" w:rsidR="00D403AE">
        <w:rPr>
          <w:color w:val="000000" w:themeColor="text1"/>
        </w:rPr>
        <w:t>for</w:t>
      </w:r>
      <w:r w:rsidRPr="00581542" w:rsidR="00E3735B">
        <w:rPr>
          <w:color w:val="000000" w:themeColor="text1"/>
        </w:rPr>
        <w:t xml:space="preserve"> regist</w:t>
      </w:r>
      <w:r w:rsidRPr="00581542" w:rsidR="00D403AE">
        <w:rPr>
          <w:color w:val="000000" w:themeColor="text1"/>
        </w:rPr>
        <w:t>ration</w:t>
      </w:r>
      <w:r w:rsidRPr="00581542" w:rsidR="003E7F79">
        <w:rPr>
          <w:color w:val="000000" w:themeColor="text1"/>
        </w:rPr>
        <w:t xml:space="preserve">. </w:t>
      </w:r>
      <w:r w:rsidRPr="00581542" w:rsidR="00AD5781">
        <w:rPr>
          <w:color w:val="000000" w:themeColor="text1"/>
        </w:rPr>
        <w:t>While a</w:t>
      </w:r>
      <w:r w:rsidRPr="00581542">
        <w:rPr>
          <w:color w:val="000000" w:themeColor="text1"/>
        </w:rPr>
        <w:t xml:space="preserve"> small number of pharmaceutical companies have created public </w:t>
      </w:r>
      <w:r w:rsidRPr="00581542" w:rsidR="000015AF">
        <w:rPr>
          <w:color w:val="000000" w:themeColor="text1"/>
        </w:rPr>
        <w:t>w</w:t>
      </w:r>
      <w:r w:rsidRPr="00581542">
        <w:rPr>
          <w:color w:val="000000" w:themeColor="text1"/>
        </w:rPr>
        <w:t xml:space="preserve">ebsites containing results of their clinical studies, they are limited to the company’s trials and results are not structured to allow easy comparison among </w:t>
      </w:r>
      <w:r w:rsidRPr="00581542" w:rsidR="000015AF">
        <w:rPr>
          <w:color w:val="000000" w:themeColor="text1"/>
        </w:rPr>
        <w:t xml:space="preserve">trials in different </w:t>
      </w:r>
      <w:r w:rsidRPr="00581542">
        <w:rPr>
          <w:color w:val="000000" w:themeColor="text1"/>
        </w:rPr>
        <w:t xml:space="preserve">databases. </w:t>
      </w:r>
      <w:bookmarkStart w:id="2" w:name="OLE_LINK5"/>
      <w:r w:rsidRPr="00581542">
        <w:rPr>
          <w:color w:val="000000" w:themeColor="text1"/>
        </w:rPr>
        <w:t xml:space="preserve">The industry association </w:t>
      </w:r>
      <w:r w:rsidRPr="00581542" w:rsidR="00C8219C">
        <w:rPr>
          <w:color w:val="000000" w:themeColor="text1"/>
        </w:rPr>
        <w:t>Pharmaceutical Research and Manufacturers of America (</w:t>
      </w:r>
      <w:r w:rsidRPr="00581542">
        <w:rPr>
          <w:color w:val="000000" w:themeColor="text1"/>
        </w:rPr>
        <w:t>PhRMA</w:t>
      </w:r>
      <w:r w:rsidRPr="00581542" w:rsidR="00C8219C">
        <w:rPr>
          <w:color w:val="000000" w:themeColor="text1"/>
        </w:rPr>
        <w:t>)</w:t>
      </w:r>
      <w:r w:rsidRPr="00581542">
        <w:rPr>
          <w:color w:val="000000" w:themeColor="text1"/>
        </w:rPr>
        <w:t xml:space="preserve"> established a publicly accessible results database for member companies</w:t>
      </w:r>
      <w:r w:rsidRPr="00581542" w:rsidR="00EF6B0A">
        <w:rPr>
          <w:color w:val="000000" w:themeColor="text1"/>
        </w:rPr>
        <w:t>, but</w:t>
      </w:r>
      <w:r w:rsidRPr="00581542">
        <w:rPr>
          <w:color w:val="000000" w:themeColor="text1"/>
        </w:rPr>
        <w:t xml:space="preserve"> submission of information </w:t>
      </w:r>
      <w:r w:rsidRPr="00581542" w:rsidR="00972081">
        <w:rPr>
          <w:color w:val="000000" w:themeColor="text1"/>
        </w:rPr>
        <w:t xml:space="preserve">was </w:t>
      </w:r>
      <w:r w:rsidRPr="00581542">
        <w:rPr>
          <w:color w:val="000000" w:themeColor="text1"/>
        </w:rPr>
        <w:t xml:space="preserve">voluntary and therefore limited. </w:t>
      </w:r>
      <w:r w:rsidRPr="00581542" w:rsidR="00972081">
        <w:rPr>
          <w:color w:val="000000" w:themeColor="text1"/>
        </w:rPr>
        <w:t xml:space="preserve">PhRMA </w:t>
      </w:r>
      <w:r w:rsidRPr="00581542" w:rsidR="006E4B67">
        <w:rPr>
          <w:color w:val="000000" w:themeColor="text1"/>
        </w:rPr>
        <w:t>decommissioned and removed</w:t>
      </w:r>
      <w:r w:rsidRPr="00581542" w:rsidR="00FA5682">
        <w:rPr>
          <w:color w:val="000000" w:themeColor="text1"/>
        </w:rPr>
        <w:t xml:space="preserve"> </w:t>
      </w:r>
      <w:r w:rsidRPr="00581542" w:rsidR="00972081">
        <w:rPr>
          <w:color w:val="000000" w:themeColor="text1"/>
        </w:rPr>
        <w:t xml:space="preserve">this results database </w:t>
      </w:r>
      <w:r w:rsidRPr="00581542" w:rsidR="00FA5682">
        <w:rPr>
          <w:color w:val="000000" w:themeColor="text1"/>
        </w:rPr>
        <w:t xml:space="preserve">in </w:t>
      </w:r>
      <w:r w:rsidRPr="00581542" w:rsidR="00972081">
        <w:rPr>
          <w:color w:val="000000" w:themeColor="text1"/>
        </w:rPr>
        <w:t>201</w:t>
      </w:r>
      <w:r w:rsidRPr="00581542" w:rsidR="004C4BE7">
        <w:rPr>
          <w:color w:val="000000" w:themeColor="text1"/>
        </w:rPr>
        <w:t>2</w:t>
      </w:r>
      <w:r w:rsidRPr="00581542" w:rsidR="00972081">
        <w:rPr>
          <w:color w:val="000000" w:themeColor="text1"/>
        </w:rPr>
        <w:t>.</w:t>
      </w:r>
      <w:r w:rsidRPr="00581542" w:rsidR="00302D35">
        <w:rPr>
          <w:color w:val="000000" w:themeColor="text1"/>
        </w:rPr>
        <w:t xml:space="preserve"> </w:t>
      </w:r>
    </w:p>
    <w:bookmarkEnd w:id="2"/>
    <w:p w:rsidR="00972081" w:rsidRPr="00581542" w:rsidP="002533BB" w14:paraId="036E74F9" w14:textId="77777777">
      <w:pPr>
        <w:ind w:left="720"/>
        <w:rPr>
          <w:color w:val="000000" w:themeColor="text1"/>
        </w:rPr>
      </w:pPr>
    </w:p>
    <w:p w:rsidR="00C66F8E" w:rsidRPr="00581542" w:rsidP="002533BB" w14:paraId="3F8A2BFB" w14:textId="52EBC2B5">
      <w:pPr>
        <w:ind w:left="720"/>
        <w:rPr>
          <w:color w:val="000000" w:themeColor="text1"/>
        </w:rPr>
      </w:pPr>
      <w:r w:rsidRPr="00581542">
        <w:rPr>
          <w:color w:val="000000" w:themeColor="text1"/>
        </w:rPr>
        <w:t xml:space="preserve">Much of the registration information to be collected under FDAAA </w:t>
      </w:r>
      <w:r w:rsidR="00572E2D">
        <w:rPr>
          <w:color w:val="000000" w:themeColor="text1"/>
        </w:rPr>
        <w:t xml:space="preserve">801 </w:t>
      </w:r>
      <w:r w:rsidRPr="00581542" w:rsidR="00AE57A8">
        <w:rPr>
          <w:color w:val="000000" w:themeColor="text1"/>
        </w:rPr>
        <w:t xml:space="preserve">and </w:t>
      </w:r>
      <w:r w:rsidRPr="00581542" w:rsidR="00A819FA">
        <w:rPr>
          <w:color w:val="000000" w:themeColor="text1"/>
        </w:rPr>
        <w:t>42 CFR Part 11</w:t>
      </w:r>
      <w:r w:rsidRPr="00581542" w:rsidR="00AE57A8">
        <w:rPr>
          <w:color w:val="000000" w:themeColor="text1"/>
        </w:rPr>
        <w:t xml:space="preserve"> </w:t>
      </w:r>
      <w:r w:rsidRPr="00581542">
        <w:rPr>
          <w:color w:val="000000" w:themeColor="text1"/>
        </w:rPr>
        <w:t xml:space="preserve">is currently submitted to </w:t>
      </w:r>
      <w:r w:rsidRPr="00581542" w:rsidR="00032326">
        <w:rPr>
          <w:color w:val="000000" w:themeColor="text1"/>
        </w:rPr>
        <w:t xml:space="preserve">the </w:t>
      </w:r>
      <w:r w:rsidRPr="00581542">
        <w:rPr>
          <w:color w:val="000000" w:themeColor="text1"/>
        </w:rPr>
        <w:t xml:space="preserve">FDA in a different format </w:t>
      </w:r>
      <w:r w:rsidRPr="00581542" w:rsidR="00AE57A8">
        <w:rPr>
          <w:color w:val="000000" w:themeColor="text1"/>
        </w:rPr>
        <w:t xml:space="preserve">and in considerably more detail </w:t>
      </w:r>
      <w:r w:rsidRPr="00581542">
        <w:rPr>
          <w:color w:val="000000" w:themeColor="text1"/>
        </w:rPr>
        <w:t xml:space="preserve">by </w:t>
      </w:r>
      <w:r w:rsidRPr="00581542" w:rsidR="00972081">
        <w:rPr>
          <w:color w:val="000000" w:themeColor="text1"/>
        </w:rPr>
        <w:t xml:space="preserve">holders </w:t>
      </w:r>
      <w:r w:rsidRPr="00581542">
        <w:rPr>
          <w:color w:val="000000" w:themeColor="text1"/>
        </w:rPr>
        <w:t xml:space="preserve">of </w:t>
      </w:r>
      <w:r w:rsidRPr="00581542" w:rsidR="00366519">
        <w:rPr>
          <w:color w:val="000000" w:themeColor="text1"/>
        </w:rPr>
        <w:t>i</w:t>
      </w:r>
      <w:r w:rsidRPr="00581542">
        <w:rPr>
          <w:color w:val="000000" w:themeColor="text1"/>
        </w:rPr>
        <w:t xml:space="preserve">nvestigational </w:t>
      </w:r>
      <w:r w:rsidRPr="00581542" w:rsidR="00366519">
        <w:rPr>
          <w:color w:val="000000" w:themeColor="text1"/>
        </w:rPr>
        <w:t>n</w:t>
      </w:r>
      <w:r w:rsidRPr="00581542">
        <w:rPr>
          <w:color w:val="000000" w:themeColor="text1"/>
        </w:rPr>
        <w:t xml:space="preserve">ew </w:t>
      </w:r>
      <w:r w:rsidRPr="00581542" w:rsidR="00366519">
        <w:rPr>
          <w:color w:val="000000" w:themeColor="text1"/>
        </w:rPr>
        <w:t>d</w:t>
      </w:r>
      <w:r w:rsidRPr="00581542">
        <w:rPr>
          <w:color w:val="000000" w:themeColor="text1"/>
        </w:rPr>
        <w:t xml:space="preserve">rug </w:t>
      </w:r>
      <w:r w:rsidRPr="00581542" w:rsidR="00972081">
        <w:rPr>
          <w:color w:val="000000" w:themeColor="text1"/>
        </w:rPr>
        <w:t xml:space="preserve">applications </w:t>
      </w:r>
      <w:r w:rsidRPr="00581542">
        <w:rPr>
          <w:color w:val="000000" w:themeColor="text1"/>
        </w:rPr>
        <w:t>(IND</w:t>
      </w:r>
      <w:r w:rsidRPr="00581542" w:rsidR="00972081">
        <w:rPr>
          <w:color w:val="000000" w:themeColor="text1"/>
        </w:rPr>
        <w:t>s</w:t>
      </w:r>
      <w:r w:rsidRPr="00581542">
        <w:rPr>
          <w:color w:val="000000" w:themeColor="text1"/>
        </w:rPr>
        <w:t xml:space="preserve">) and </w:t>
      </w:r>
      <w:r w:rsidRPr="00581542" w:rsidR="00366519">
        <w:rPr>
          <w:color w:val="000000" w:themeColor="text1"/>
        </w:rPr>
        <w:t>i</w:t>
      </w:r>
      <w:r w:rsidRPr="00581542">
        <w:rPr>
          <w:color w:val="000000" w:themeColor="text1"/>
        </w:rPr>
        <w:t xml:space="preserve">nvestigational </w:t>
      </w:r>
      <w:r w:rsidRPr="00581542" w:rsidR="00366519">
        <w:rPr>
          <w:color w:val="000000" w:themeColor="text1"/>
        </w:rPr>
        <w:t>d</w:t>
      </w:r>
      <w:r w:rsidRPr="00581542">
        <w:rPr>
          <w:color w:val="000000" w:themeColor="text1"/>
        </w:rPr>
        <w:t xml:space="preserve">evice </w:t>
      </w:r>
      <w:r w:rsidRPr="00581542" w:rsidR="00366519">
        <w:rPr>
          <w:color w:val="000000" w:themeColor="text1"/>
        </w:rPr>
        <w:t>e</w:t>
      </w:r>
      <w:r w:rsidRPr="00581542">
        <w:rPr>
          <w:color w:val="000000" w:themeColor="text1"/>
        </w:rPr>
        <w:t>xemption</w:t>
      </w:r>
      <w:r w:rsidRPr="00581542" w:rsidR="00972081">
        <w:rPr>
          <w:color w:val="000000" w:themeColor="text1"/>
        </w:rPr>
        <w:t>s</w:t>
      </w:r>
      <w:r w:rsidRPr="00581542">
        <w:rPr>
          <w:color w:val="000000" w:themeColor="text1"/>
        </w:rPr>
        <w:t xml:space="preserve"> (IDE</w:t>
      </w:r>
      <w:r w:rsidRPr="00581542" w:rsidR="00972081">
        <w:rPr>
          <w:color w:val="000000" w:themeColor="text1"/>
        </w:rPr>
        <w:t>s</w:t>
      </w:r>
      <w:r w:rsidRPr="00581542">
        <w:rPr>
          <w:color w:val="000000" w:themeColor="text1"/>
        </w:rPr>
        <w:t xml:space="preserve">) under </w:t>
      </w:r>
      <w:r w:rsidRPr="00581542" w:rsidR="00366519">
        <w:rPr>
          <w:color w:val="000000" w:themeColor="text1"/>
        </w:rPr>
        <w:t>f</w:t>
      </w:r>
      <w:r w:rsidRPr="00581542">
        <w:rPr>
          <w:color w:val="000000" w:themeColor="text1"/>
        </w:rPr>
        <w:t xml:space="preserve">ederal </w:t>
      </w:r>
      <w:r w:rsidRPr="00581542" w:rsidR="00E91E55">
        <w:rPr>
          <w:color w:val="000000" w:themeColor="text1"/>
        </w:rPr>
        <w:t>regulations but</w:t>
      </w:r>
      <w:r w:rsidRPr="00581542">
        <w:rPr>
          <w:color w:val="000000" w:themeColor="text1"/>
        </w:rPr>
        <w:t xml:space="preserve"> is not publicly available. IND/IDE submissions are confidential and </w:t>
      </w:r>
      <w:r w:rsidRPr="00581542" w:rsidR="00E91E55">
        <w:rPr>
          <w:color w:val="000000" w:themeColor="text1"/>
        </w:rPr>
        <w:t>proprietary and</w:t>
      </w:r>
      <w:r w:rsidRPr="00581542">
        <w:rPr>
          <w:color w:val="000000" w:themeColor="text1"/>
        </w:rPr>
        <w:t xml:space="preserve"> are not subject to release under </w:t>
      </w:r>
      <w:r w:rsidRPr="00581542" w:rsidR="00644695">
        <w:rPr>
          <w:color w:val="000000" w:themeColor="text1"/>
        </w:rPr>
        <w:t xml:space="preserve">the Freedom of Information Act </w:t>
      </w:r>
      <w:r w:rsidRPr="00581542">
        <w:rPr>
          <w:color w:val="000000" w:themeColor="text1"/>
        </w:rPr>
        <w:t>(</w:t>
      </w:r>
      <w:r w:rsidRPr="00581542" w:rsidR="00644695">
        <w:rPr>
          <w:color w:val="000000" w:themeColor="text1"/>
        </w:rPr>
        <w:t>5 U.S.</w:t>
      </w:r>
      <w:r w:rsidR="00061A9B">
        <w:rPr>
          <w:color w:val="000000" w:themeColor="text1"/>
        </w:rPr>
        <w:t xml:space="preserve"> </w:t>
      </w:r>
      <w:r w:rsidRPr="00581542" w:rsidR="00644695">
        <w:rPr>
          <w:color w:val="000000" w:themeColor="text1"/>
        </w:rPr>
        <w:t>C</w:t>
      </w:r>
      <w:r w:rsidR="00061A9B">
        <w:rPr>
          <w:color w:val="000000" w:themeColor="text1"/>
        </w:rPr>
        <w:t>ode</w:t>
      </w:r>
      <w:r w:rsidRPr="00581542" w:rsidR="00061A9B">
        <w:rPr>
          <w:color w:val="000000" w:themeColor="text1"/>
        </w:rPr>
        <w:t xml:space="preserve"> </w:t>
      </w:r>
      <w:r w:rsidRPr="00581542" w:rsidR="002C6D5B">
        <w:rPr>
          <w:color w:val="000000" w:themeColor="text1"/>
        </w:rPr>
        <w:t>552</w:t>
      </w:r>
      <w:r w:rsidRPr="00581542">
        <w:rPr>
          <w:color w:val="000000" w:themeColor="text1"/>
        </w:rPr>
        <w:t xml:space="preserve">). Similarly, </w:t>
      </w:r>
      <w:r w:rsidRPr="00581542" w:rsidR="00032326">
        <w:rPr>
          <w:color w:val="000000" w:themeColor="text1"/>
        </w:rPr>
        <w:t xml:space="preserve">the </w:t>
      </w:r>
      <w:r w:rsidRPr="00581542">
        <w:rPr>
          <w:color w:val="000000" w:themeColor="text1"/>
        </w:rPr>
        <w:t xml:space="preserve">FDA receives </w:t>
      </w:r>
      <w:r w:rsidRPr="00581542" w:rsidR="00EE3DEA">
        <w:rPr>
          <w:color w:val="000000" w:themeColor="text1"/>
        </w:rPr>
        <w:t xml:space="preserve">detailed </w:t>
      </w:r>
      <w:r w:rsidRPr="00581542">
        <w:rPr>
          <w:color w:val="000000" w:themeColor="text1"/>
        </w:rPr>
        <w:t>information about the results of clinical trials when the manufacturer of a drug</w:t>
      </w:r>
      <w:r w:rsidRPr="00581542" w:rsidR="005E0CF3">
        <w:rPr>
          <w:color w:val="000000" w:themeColor="text1"/>
        </w:rPr>
        <w:t xml:space="preserve"> </w:t>
      </w:r>
      <w:r w:rsidRPr="00581542" w:rsidR="00B2146D">
        <w:rPr>
          <w:color w:val="000000" w:themeColor="text1"/>
        </w:rPr>
        <w:t>product</w:t>
      </w:r>
      <w:r w:rsidRPr="00581542" w:rsidR="00EE3DEA">
        <w:rPr>
          <w:color w:val="000000" w:themeColor="text1"/>
        </w:rPr>
        <w:t>, biological</w:t>
      </w:r>
      <w:r w:rsidRPr="00581542" w:rsidR="00B2146D">
        <w:rPr>
          <w:color w:val="000000" w:themeColor="text1"/>
        </w:rPr>
        <w:t xml:space="preserve"> product</w:t>
      </w:r>
      <w:r w:rsidRPr="00581542" w:rsidR="00EE3DEA">
        <w:rPr>
          <w:color w:val="000000" w:themeColor="text1"/>
        </w:rPr>
        <w:t>,</w:t>
      </w:r>
      <w:r w:rsidRPr="00581542">
        <w:rPr>
          <w:color w:val="000000" w:themeColor="text1"/>
        </w:rPr>
        <w:t xml:space="preserve"> or device </w:t>
      </w:r>
      <w:r w:rsidRPr="00581542" w:rsidR="00EE3DEA">
        <w:rPr>
          <w:color w:val="000000" w:themeColor="text1"/>
        </w:rPr>
        <w:t xml:space="preserve">product </w:t>
      </w:r>
      <w:r w:rsidRPr="00581542">
        <w:rPr>
          <w:color w:val="000000" w:themeColor="text1"/>
        </w:rPr>
        <w:t>submits an application</w:t>
      </w:r>
      <w:r w:rsidRPr="00581542">
        <w:rPr>
          <w:color w:val="000000" w:themeColor="text1"/>
        </w:rPr>
        <w:t xml:space="preserve"> for approval, </w:t>
      </w:r>
      <w:r w:rsidRPr="00581542" w:rsidR="00EE3DEA">
        <w:rPr>
          <w:color w:val="000000" w:themeColor="text1"/>
        </w:rPr>
        <w:t xml:space="preserve">licensure, or clearance, </w:t>
      </w:r>
      <w:r w:rsidRPr="00581542">
        <w:rPr>
          <w:color w:val="000000" w:themeColor="text1"/>
        </w:rPr>
        <w:t xml:space="preserve">but such information is not made public in a systematic fashion, is not comparable across studies, and is heavily redacted. Scientific journals contain </w:t>
      </w:r>
      <w:r w:rsidRPr="00581542" w:rsidR="00732B4B">
        <w:rPr>
          <w:color w:val="000000" w:themeColor="text1"/>
        </w:rPr>
        <w:t xml:space="preserve">selected </w:t>
      </w:r>
      <w:r w:rsidRPr="00581542">
        <w:rPr>
          <w:color w:val="000000" w:themeColor="text1"/>
        </w:rPr>
        <w:t xml:space="preserve">results for some clinical </w:t>
      </w:r>
      <w:r w:rsidRPr="00581542" w:rsidR="00E91E55">
        <w:rPr>
          <w:color w:val="000000" w:themeColor="text1"/>
        </w:rPr>
        <w:t>trials</w:t>
      </w:r>
      <w:r w:rsidRPr="00581542" w:rsidR="00032326">
        <w:rPr>
          <w:color w:val="000000" w:themeColor="text1"/>
        </w:rPr>
        <w:t>,</w:t>
      </w:r>
      <w:r w:rsidRPr="00581542" w:rsidR="00E91E55">
        <w:rPr>
          <w:color w:val="000000" w:themeColor="text1"/>
        </w:rPr>
        <w:t xml:space="preserve"> but</w:t>
      </w:r>
      <w:r w:rsidRPr="00581542">
        <w:rPr>
          <w:color w:val="000000" w:themeColor="text1"/>
        </w:rPr>
        <w:t xml:space="preserve"> results of many clinical studies are never submitted for publication. Recent research indicates that negative or inconclusive trials are particularly underrepresented in </w:t>
      </w:r>
      <w:r w:rsidRPr="00581542">
        <w:rPr>
          <w:color w:val="000000" w:themeColor="text1"/>
        </w:rPr>
        <w:t>the literature</w:t>
      </w:r>
      <w:r w:rsidRPr="00581542">
        <w:rPr>
          <w:color w:val="000000" w:themeColor="text1"/>
        </w:rPr>
        <w:t>. Indeed, the lack of publicly accessible information about clinical trials was one of the factors that motivated the develo</w:t>
      </w:r>
      <w:r w:rsidRPr="00581542" w:rsidR="00732B4B">
        <w:rPr>
          <w:color w:val="000000" w:themeColor="text1"/>
        </w:rPr>
        <w:t>pment of FDAAA</w:t>
      </w:r>
      <w:r w:rsidR="0008353C">
        <w:rPr>
          <w:color w:val="000000" w:themeColor="text1"/>
        </w:rPr>
        <w:t xml:space="preserve"> 801</w:t>
      </w:r>
      <w:r w:rsidRPr="00581542" w:rsidR="00732B4B">
        <w:rPr>
          <w:color w:val="000000" w:themeColor="text1"/>
        </w:rPr>
        <w:t>.</w:t>
      </w:r>
    </w:p>
    <w:p w:rsidR="00C66F8E" w:rsidRPr="00581542" w:rsidP="002533BB" w14:paraId="32C60683" w14:textId="77777777">
      <w:pPr>
        <w:ind w:left="720"/>
        <w:rPr>
          <w:color w:val="000000" w:themeColor="text1"/>
        </w:rPr>
      </w:pPr>
    </w:p>
    <w:p w:rsidR="00C66F8E" w:rsidRPr="00581542" w:rsidP="002533BB" w14:paraId="71F4B09F" w14:textId="7FCCAD37">
      <w:pPr>
        <w:ind w:left="720"/>
        <w:rPr>
          <w:color w:val="000000" w:themeColor="text1"/>
        </w:rPr>
      </w:pPr>
      <w:r w:rsidRPr="00581542">
        <w:rPr>
          <w:color w:val="000000" w:themeColor="text1"/>
        </w:rPr>
        <w:t xml:space="preserve">The specific processes developed for submitting trial information by responsible parties under FDAAA </w:t>
      </w:r>
      <w:r w:rsidR="0008353C">
        <w:rPr>
          <w:color w:val="000000" w:themeColor="text1"/>
        </w:rPr>
        <w:t xml:space="preserve">801 </w:t>
      </w:r>
      <w:r w:rsidRPr="00581542" w:rsidR="006C3764">
        <w:rPr>
          <w:color w:val="000000" w:themeColor="text1"/>
        </w:rPr>
        <w:t xml:space="preserve">and 42 CFR Part 11 </w:t>
      </w:r>
      <w:r w:rsidRPr="00581542">
        <w:rPr>
          <w:color w:val="000000" w:themeColor="text1"/>
        </w:rPr>
        <w:t>provide for</w:t>
      </w:r>
      <w:r w:rsidRPr="00581542">
        <w:rPr>
          <w:color w:val="000000" w:themeColor="text1"/>
        </w:rPr>
        <w:t xml:space="preserve"> public availability of clinical trial registration and results information</w:t>
      </w:r>
      <w:r w:rsidRPr="00581542" w:rsidR="00F851DC">
        <w:rPr>
          <w:color w:val="000000" w:themeColor="text1"/>
        </w:rPr>
        <w:t>,</w:t>
      </w:r>
      <w:r w:rsidRPr="00581542">
        <w:rPr>
          <w:color w:val="000000" w:themeColor="text1"/>
        </w:rPr>
        <w:t xml:space="preserve"> while </w:t>
      </w:r>
      <w:r w:rsidRPr="00581542" w:rsidR="00F851DC">
        <w:rPr>
          <w:color w:val="000000" w:themeColor="text1"/>
        </w:rPr>
        <w:t xml:space="preserve">also </w:t>
      </w:r>
      <w:r w:rsidRPr="00581542">
        <w:rPr>
          <w:color w:val="000000" w:themeColor="text1"/>
        </w:rPr>
        <w:t>being sensitive to the needs of data submitters</w:t>
      </w:r>
      <w:r w:rsidRPr="00581542" w:rsidR="00F851DC">
        <w:rPr>
          <w:color w:val="000000" w:themeColor="text1"/>
        </w:rPr>
        <w:t>- for example</w:t>
      </w:r>
      <w:r w:rsidRPr="00581542">
        <w:rPr>
          <w:color w:val="000000" w:themeColor="text1"/>
        </w:rPr>
        <w:t xml:space="preserve">, by minimizing reporting burden and protecting FDA submissions from unauthorized release. Considerable attention has been devoted to </w:t>
      </w:r>
      <w:r w:rsidRPr="00581542" w:rsidR="00032326">
        <w:rPr>
          <w:color w:val="000000" w:themeColor="text1"/>
        </w:rPr>
        <w:t xml:space="preserve">the </w:t>
      </w:r>
      <w:r w:rsidRPr="00581542">
        <w:rPr>
          <w:color w:val="000000" w:themeColor="text1"/>
        </w:rPr>
        <w:t xml:space="preserve">development of the processes for registering trials with ClinicalTrials.gov to minimize the possibility for duplicate submission of registration information </w:t>
      </w:r>
      <w:r w:rsidRPr="00581542" w:rsidR="00972081">
        <w:rPr>
          <w:color w:val="000000" w:themeColor="text1"/>
        </w:rPr>
        <w:t xml:space="preserve">(e.g., registration of a single </w:t>
      </w:r>
      <w:r w:rsidRPr="00581542">
        <w:rPr>
          <w:color w:val="000000" w:themeColor="text1"/>
        </w:rPr>
        <w:t>multi-site trial</w:t>
      </w:r>
      <w:r w:rsidRPr="00581542" w:rsidR="00972081">
        <w:rPr>
          <w:color w:val="000000" w:themeColor="text1"/>
        </w:rPr>
        <w:t xml:space="preserve"> by more than one trial site)</w:t>
      </w:r>
      <w:r w:rsidRPr="00581542">
        <w:rPr>
          <w:color w:val="000000" w:themeColor="text1"/>
        </w:rPr>
        <w:t xml:space="preserve">. Processes for results reporting have been developed to ensure the flexibility </w:t>
      </w:r>
      <w:r w:rsidRPr="00581542" w:rsidR="00F851DC">
        <w:rPr>
          <w:color w:val="000000" w:themeColor="text1"/>
        </w:rPr>
        <w:t>of</w:t>
      </w:r>
      <w:r w:rsidRPr="00581542">
        <w:rPr>
          <w:color w:val="000000" w:themeColor="text1"/>
        </w:rPr>
        <w:t xml:space="preserve"> report</w:t>
      </w:r>
      <w:r w:rsidRPr="00581542" w:rsidR="00F851DC">
        <w:rPr>
          <w:color w:val="000000" w:themeColor="text1"/>
        </w:rPr>
        <w:t>ing</w:t>
      </w:r>
      <w:r w:rsidRPr="00581542">
        <w:rPr>
          <w:color w:val="000000" w:themeColor="text1"/>
        </w:rPr>
        <w:t xml:space="preserve"> </w:t>
      </w:r>
      <w:r w:rsidRPr="00581542" w:rsidR="00D04813">
        <w:rPr>
          <w:color w:val="000000" w:themeColor="text1"/>
        </w:rPr>
        <w:t>findings</w:t>
      </w:r>
      <w:r w:rsidRPr="00581542" w:rsidR="008A753A">
        <w:rPr>
          <w:color w:val="000000" w:themeColor="text1"/>
        </w:rPr>
        <w:t xml:space="preserve"> </w:t>
      </w:r>
      <w:r w:rsidRPr="00581542">
        <w:rPr>
          <w:color w:val="000000" w:themeColor="text1"/>
        </w:rPr>
        <w:t xml:space="preserve">from </w:t>
      </w:r>
      <w:r w:rsidRPr="00581542" w:rsidR="00972081">
        <w:rPr>
          <w:color w:val="000000" w:themeColor="text1"/>
        </w:rPr>
        <w:t>trials with different designs</w:t>
      </w:r>
      <w:r w:rsidRPr="00581542">
        <w:rPr>
          <w:color w:val="000000" w:themeColor="text1"/>
        </w:rPr>
        <w:t xml:space="preserve"> while providing consistency in the types of information reported. To minimize the burden on respondents</w:t>
      </w:r>
      <w:r w:rsidRPr="00581542" w:rsidR="00633849">
        <w:rPr>
          <w:color w:val="000000" w:themeColor="text1"/>
        </w:rPr>
        <w:t xml:space="preserve"> further</w:t>
      </w:r>
      <w:r w:rsidRPr="00581542">
        <w:rPr>
          <w:color w:val="000000" w:themeColor="text1"/>
        </w:rPr>
        <w:t xml:space="preserve">, the required results </w:t>
      </w:r>
      <w:r w:rsidRPr="00581542" w:rsidR="00633849">
        <w:rPr>
          <w:color w:val="000000" w:themeColor="text1"/>
        </w:rPr>
        <w:t xml:space="preserve">information </w:t>
      </w:r>
      <w:r w:rsidRPr="00581542">
        <w:rPr>
          <w:color w:val="000000" w:themeColor="text1"/>
        </w:rPr>
        <w:t xml:space="preserve">tables were designed to </w:t>
      </w:r>
      <w:r w:rsidRPr="00581542" w:rsidR="00972081">
        <w:rPr>
          <w:color w:val="000000" w:themeColor="text1"/>
        </w:rPr>
        <w:t xml:space="preserve">be </w:t>
      </w:r>
      <w:r w:rsidRPr="00581542">
        <w:rPr>
          <w:color w:val="000000" w:themeColor="text1"/>
        </w:rPr>
        <w:t>similar to</w:t>
      </w:r>
      <w:r w:rsidRPr="00581542">
        <w:rPr>
          <w:color w:val="000000" w:themeColor="text1"/>
        </w:rPr>
        <w:t xml:space="preserve"> those published in scientific journals and use terminology that is widely used in practice. </w:t>
      </w:r>
    </w:p>
    <w:p w:rsidR="00C66F8E" w:rsidRPr="00581542" w:rsidP="002533BB" w14:paraId="5328A637" w14:textId="77777777">
      <w:pPr>
        <w:ind w:left="720"/>
        <w:rPr>
          <w:color w:val="000000" w:themeColor="text1"/>
        </w:rPr>
      </w:pPr>
    </w:p>
    <w:p w:rsidR="00C66F8E" w:rsidRPr="00581542" w:rsidP="002533BB" w14:paraId="597D7FE5" w14:textId="77777777">
      <w:pPr>
        <w:tabs>
          <w:tab w:val="left" w:pos="720"/>
          <w:tab w:val="left" w:pos="810"/>
        </w:tabs>
        <w:rPr>
          <w:b/>
          <w:color w:val="000000" w:themeColor="text1"/>
          <w:u w:val="single"/>
        </w:rPr>
      </w:pPr>
      <w:r w:rsidRPr="00581542">
        <w:rPr>
          <w:b/>
          <w:color w:val="000000" w:themeColor="text1"/>
        </w:rPr>
        <w:t>A.5</w:t>
      </w:r>
      <w:r w:rsidRPr="00581542">
        <w:rPr>
          <w:b/>
          <w:color w:val="000000" w:themeColor="text1"/>
        </w:rPr>
        <w:tab/>
      </w:r>
      <w:r w:rsidRPr="00581542">
        <w:rPr>
          <w:b/>
          <w:color w:val="000000" w:themeColor="text1"/>
        </w:rPr>
        <w:tab/>
      </w:r>
      <w:r w:rsidRPr="00581542">
        <w:rPr>
          <w:b/>
          <w:color w:val="000000" w:themeColor="text1"/>
          <w:u w:val="single"/>
        </w:rPr>
        <w:t>Impact on Small Businesses or Other Small Entities</w:t>
      </w:r>
    </w:p>
    <w:p w:rsidR="00C66F8E" w:rsidRPr="00581542" w:rsidP="002533BB" w14:paraId="3EA04DF5" w14:textId="77777777">
      <w:pPr>
        <w:rPr>
          <w:color w:val="000000" w:themeColor="text1"/>
          <w:u w:val="single"/>
        </w:rPr>
      </w:pPr>
    </w:p>
    <w:p w:rsidR="008C4A65" w:rsidRPr="00581542" w:rsidP="002533BB" w14:paraId="58462F66" w14:textId="64BCC650">
      <w:pPr>
        <w:ind w:left="720"/>
        <w:rPr>
          <w:color w:val="000000" w:themeColor="text1"/>
        </w:rPr>
      </w:pPr>
      <w:r w:rsidRPr="00581542">
        <w:rPr>
          <w:color w:val="000000" w:themeColor="text1"/>
        </w:rPr>
        <w:t xml:space="preserve">We believe that </w:t>
      </w:r>
      <w:r w:rsidRPr="00581542" w:rsidR="00241C18">
        <w:rPr>
          <w:color w:val="000000" w:themeColor="text1"/>
        </w:rPr>
        <w:t>this information collection</w:t>
      </w:r>
      <w:r w:rsidRPr="00581542">
        <w:rPr>
          <w:color w:val="000000" w:themeColor="text1"/>
        </w:rPr>
        <w:t xml:space="preserve"> is not likely to have a significant economic impact on a substantial number of small entities. While </w:t>
      </w:r>
      <w:r w:rsidRPr="00581542">
        <w:rPr>
          <w:color w:val="000000" w:themeColor="text1"/>
        </w:rPr>
        <w:t>a number of</w:t>
      </w:r>
      <w:r w:rsidRPr="00581542">
        <w:rPr>
          <w:color w:val="000000" w:themeColor="text1"/>
        </w:rPr>
        <w:t xml:space="preserve"> the </w:t>
      </w:r>
      <w:r w:rsidRPr="00581542" w:rsidR="00972081">
        <w:rPr>
          <w:color w:val="000000" w:themeColor="text1"/>
        </w:rPr>
        <w:t xml:space="preserve">responsible </w:t>
      </w:r>
      <w:r w:rsidRPr="00581542">
        <w:rPr>
          <w:color w:val="000000" w:themeColor="text1"/>
        </w:rPr>
        <w:t xml:space="preserve">parties </w:t>
      </w:r>
      <w:r w:rsidRPr="00581542" w:rsidR="000015AF">
        <w:rPr>
          <w:color w:val="000000" w:themeColor="text1"/>
        </w:rPr>
        <w:t xml:space="preserve">submitting </w:t>
      </w:r>
      <w:r w:rsidRPr="00581542">
        <w:rPr>
          <w:color w:val="000000" w:themeColor="text1"/>
        </w:rPr>
        <w:t xml:space="preserve">clinical trial </w:t>
      </w:r>
      <w:r w:rsidRPr="00581542" w:rsidR="000015AF">
        <w:rPr>
          <w:color w:val="000000" w:themeColor="text1"/>
        </w:rPr>
        <w:t xml:space="preserve">registration and results </w:t>
      </w:r>
      <w:r w:rsidRPr="00581542">
        <w:rPr>
          <w:color w:val="000000" w:themeColor="text1"/>
        </w:rPr>
        <w:t xml:space="preserve">information </w:t>
      </w:r>
      <w:r w:rsidRPr="00581542" w:rsidR="006F581E">
        <w:rPr>
          <w:color w:val="000000" w:themeColor="text1"/>
        </w:rPr>
        <w:t>are s</w:t>
      </w:r>
      <w:r w:rsidRPr="00581542">
        <w:rPr>
          <w:color w:val="000000" w:themeColor="text1"/>
        </w:rPr>
        <w:t>mall businesses and entities (e.g., physician practices, start</w:t>
      </w:r>
      <w:r w:rsidRPr="00581542" w:rsidR="00FA15F4">
        <w:rPr>
          <w:color w:val="000000" w:themeColor="text1"/>
        </w:rPr>
        <w:t>-</w:t>
      </w:r>
      <w:r w:rsidRPr="00581542">
        <w:rPr>
          <w:color w:val="000000" w:themeColor="text1"/>
        </w:rPr>
        <w:t xml:space="preserve">up or small companies that produce medical devices), </w:t>
      </w:r>
      <w:r w:rsidRPr="00581542" w:rsidR="00AE55BB">
        <w:rPr>
          <w:color w:val="000000" w:themeColor="text1"/>
        </w:rPr>
        <w:t xml:space="preserve">we expect that they will also have a </w:t>
      </w:r>
      <w:r w:rsidRPr="00581542" w:rsidR="004C4BE7">
        <w:rPr>
          <w:color w:val="000000" w:themeColor="text1"/>
        </w:rPr>
        <w:t xml:space="preserve">small </w:t>
      </w:r>
      <w:r w:rsidRPr="00581542" w:rsidR="00AE55BB">
        <w:rPr>
          <w:color w:val="000000" w:themeColor="text1"/>
        </w:rPr>
        <w:t xml:space="preserve">number of ongoing trials at any point in time, limiting </w:t>
      </w:r>
      <w:r w:rsidRPr="00581542">
        <w:rPr>
          <w:color w:val="000000" w:themeColor="text1"/>
        </w:rPr>
        <w:t xml:space="preserve">their </w:t>
      </w:r>
      <w:r w:rsidRPr="00581542" w:rsidR="00AE55BB">
        <w:rPr>
          <w:color w:val="000000" w:themeColor="text1"/>
        </w:rPr>
        <w:t xml:space="preserve">burden. In general, </w:t>
      </w:r>
      <w:r w:rsidRPr="00581542">
        <w:rPr>
          <w:color w:val="000000" w:themeColor="text1"/>
        </w:rPr>
        <w:t>the preparation and submission of the required information for the databank represent</w:t>
      </w:r>
      <w:r w:rsidRPr="00581542" w:rsidR="006F581E">
        <w:rPr>
          <w:color w:val="000000" w:themeColor="text1"/>
        </w:rPr>
        <w:t>s</w:t>
      </w:r>
      <w:r w:rsidRPr="00581542">
        <w:rPr>
          <w:color w:val="000000" w:themeColor="text1"/>
        </w:rPr>
        <w:t xml:space="preserve"> a small proportion of the total administrative burden for any business (large or small) conducting a clinical trial.</w:t>
      </w:r>
      <w:r w:rsidRPr="00581542" w:rsidR="006F581E">
        <w:rPr>
          <w:color w:val="000000" w:themeColor="text1"/>
        </w:rPr>
        <w:t xml:space="preserve"> </w:t>
      </w:r>
      <w:r w:rsidRPr="00581542">
        <w:rPr>
          <w:color w:val="000000" w:themeColor="text1"/>
        </w:rPr>
        <w:t>Organizations involved in conducting clinical trials must sustain a substantial administrative burden</w:t>
      </w:r>
      <w:r w:rsidRPr="00581542" w:rsidR="00DD5832">
        <w:rPr>
          <w:color w:val="000000" w:themeColor="text1"/>
        </w:rPr>
        <w:t xml:space="preserve"> (e.g., </w:t>
      </w:r>
      <w:r w:rsidRPr="00581542" w:rsidR="000316DA">
        <w:rPr>
          <w:color w:val="000000" w:themeColor="text1"/>
        </w:rPr>
        <w:t xml:space="preserve">submissions to the </w:t>
      </w:r>
      <w:r w:rsidRPr="00581542" w:rsidR="00DD5832">
        <w:rPr>
          <w:color w:val="000000" w:themeColor="text1"/>
        </w:rPr>
        <w:t xml:space="preserve">FDA, institutional review boards, funding agencies such as NIH, </w:t>
      </w:r>
      <w:r w:rsidRPr="00581542" w:rsidR="00FB74AE">
        <w:rPr>
          <w:color w:val="000000" w:themeColor="text1"/>
        </w:rPr>
        <w:t xml:space="preserve">and </w:t>
      </w:r>
      <w:r w:rsidRPr="00581542" w:rsidR="00DD5832">
        <w:rPr>
          <w:color w:val="000000" w:themeColor="text1"/>
        </w:rPr>
        <w:t>data monitoring committees)</w:t>
      </w:r>
      <w:r w:rsidRPr="00581542">
        <w:rPr>
          <w:color w:val="000000" w:themeColor="text1"/>
        </w:rPr>
        <w:t xml:space="preserve">. These efforts far outweigh the effort needed to register, summarize results, and update records in the </w:t>
      </w:r>
      <w:r w:rsidRPr="00581542" w:rsidR="00DD5832">
        <w:rPr>
          <w:color w:val="000000" w:themeColor="text1"/>
        </w:rPr>
        <w:t>C</w:t>
      </w:r>
      <w:r w:rsidRPr="00581542">
        <w:rPr>
          <w:color w:val="000000" w:themeColor="text1"/>
        </w:rPr>
        <w:t xml:space="preserve">linical </w:t>
      </w:r>
      <w:r w:rsidRPr="00581542" w:rsidR="00DD5832">
        <w:rPr>
          <w:color w:val="000000" w:themeColor="text1"/>
        </w:rPr>
        <w:t>T</w:t>
      </w:r>
      <w:r w:rsidRPr="00581542">
        <w:rPr>
          <w:color w:val="000000" w:themeColor="text1"/>
        </w:rPr>
        <w:t xml:space="preserve">rial </w:t>
      </w:r>
      <w:r w:rsidRPr="00581542" w:rsidR="00DD5832">
        <w:rPr>
          <w:color w:val="000000" w:themeColor="text1"/>
        </w:rPr>
        <w:t>R</w:t>
      </w:r>
      <w:r w:rsidRPr="00581542">
        <w:rPr>
          <w:color w:val="000000" w:themeColor="text1"/>
        </w:rPr>
        <w:t xml:space="preserve">egistry </w:t>
      </w:r>
      <w:r w:rsidRPr="00581542" w:rsidR="00DD5832">
        <w:rPr>
          <w:color w:val="000000" w:themeColor="text1"/>
        </w:rPr>
        <w:t>and Results D</w:t>
      </w:r>
      <w:r w:rsidRPr="00581542">
        <w:rPr>
          <w:color w:val="000000" w:themeColor="text1"/>
        </w:rPr>
        <w:t xml:space="preserve">atabank. </w:t>
      </w:r>
      <w:r w:rsidRPr="00581542" w:rsidR="000015AF">
        <w:rPr>
          <w:color w:val="000000" w:themeColor="text1"/>
        </w:rPr>
        <w:t xml:space="preserve"> </w:t>
      </w:r>
      <w:r w:rsidRPr="00581542" w:rsidR="006F581E">
        <w:rPr>
          <w:color w:val="000000" w:themeColor="text1"/>
        </w:rPr>
        <w:t>Furthermore</w:t>
      </w:r>
      <w:r w:rsidRPr="00581542" w:rsidR="00AE6B93">
        <w:rPr>
          <w:color w:val="000000" w:themeColor="text1"/>
        </w:rPr>
        <w:t xml:space="preserve">, </w:t>
      </w:r>
      <w:r w:rsidRPr="00581542">
        <w:rPr>
          <w:color w:val="000000" w:themeColor="text1"/>
        </w:rPr>
        <w:t xml:space="preserve">the information to be supplied to </w:t>
      </w:r>
      <w:r w:rsidRPr="00581542" w:rsidR="000316DA">
        <w:rPr>
          <w:color w:val="000000" w:themeColor="text1"/>
        </w:rPr>
        <w:t>ClinicalTrials.gov</w:t>
      </w:r>
      <w:r w:rsidRPr="00581542">
        <w:rPr>
          <w:color w:val="000000" w:themeColor="text1"/>
        </w:rPr>
        <w:t xml:space="preserve"> is</w:t>
      </w:r>
      <w:r w:rsidRPr="00581542" w:rsidR="006A48B7">
        <w:rPr>
          <w:color w:val="000000" w:themeColor="text1"/>
        </w:rPr>
        <w:t>, in general,</w:t>
      </w:r>
      <w:r w:rsidRPr="00581542">
        <w:rPr>
          <w:color w:val="000000" w:themeColor="text1"/>
        </w:rPr>
        <w:t xml:space="preserve"> already compiled for the study protocol, scientific and ethical reviews, regulatory </w:t>
      </w:r>
      <w:r w:rsidRPr="00581542" w:rsidR="006F581E">
        <w:rPr>
          <w:color w:val="000000" w:themeColor="text1"/>
        </w:rPr>
        <w:t>reviews</w:t>
      </w:r>
      <w:r w:rsidRPr="00581542">
        <w:rPr>
          <w:color w:val="000000" w:themeColor="text1"/>
        </w:rPr>
        <w:t>, recruitment of subjects to participate in the trials</w:t>
      </w:r>
      <w:r w:rsidRPr="00581542" w:rsidR="006F581E">
        <w:rPr>
          <w:color w:val="000000" w:themeColor="text1"/>
        </w:rPr>
        <w:t xml:space="preserve">, the preparation of journal publications, </w:t>
      </w:r>
      <w:r w:rsidRPr="00581542" w:rsidR="00AE6B93">
        <w:rPr>
          <w:color w:val="000000" w:themeColor="text1"/>
        </w:rPr>
        <w:t>and compliance</w:t>
      </w:r>
      <w:r w:rsidRPr="00581542">
        <w:rPr>
          <w:color w:val="000000" w:themeColor="text1"/>
        </w:rPr>
        <w:t xml:space="preserve"> with policies of the </w:t>
      </w:r>
      <w:r w:rsidRPr="00581542" w:rsidR="0034092A">
        <w:rPr>
          <w:color w:val="000000" w:themeColor="text1"/>
        </w:rPr>
        <w:t xml:space="preserve">ICMJE </w:t>
      </w:r>
      <w:r w:rsidRPr="00581542">
        <w:rPr>
          <w:color w:val="000000" w:themeColor="text1"/>
        </w:rPr>
        <w:t xml:space="preserve">and </w:t>
      </w:r>
      <w:r w:rsidRPr="00581542" w:rsidR="000316DA">
        <w:rPr>
          <w:color w:val="000000" w:themeColor="text1"/>
        </w:rPr>
        <w:t>WHO</w:t>
      </w:r>
      <w:r w:rsidRPr="00581542" w:rsidR="004C4BE7">
        <w:rPr>
          <w:color w:val="000000" w:themeColor="text1"/>
        </w:rPr>
        <w:t>, and submissions to the FDA</w:t>
      </w:r>
      <w:r w:rsidRPr="00581542" w:rsidR="006F581E">
        <w:rPr>
          <w:color w:val="000000" w:themeColor="text1"/>
        </w:rPr>
        <w:t xml:space="preserve">. </w:t>
      </w:r>
    </w:p>
    <w:p w:rsidR="008C4A65" w:rsidRPr="00581542" w:rsidP="002533BB" w14:paraId="578F01EF" w14:textId="77777777">
      <w:pPr>
        <w:ind w:left="720"/>
        <w:rPr>
          <w:color w:val="000000" w:themeColor="text1"/>
        </w:rPr>
      </w:pPr>
    </w:p>
    <w:p w:rsidR="00C66F8E" w:rsidRPr="00581542" w:rsidP="002533BB" w14:paraId="26DB7AB6" w14:textId="119D6E8B">
      <w:pPr>
        <w:ind w:left="720"/>
        <w:rPr>
          <w:color w:val="000000" w:themeColor="text1"/>
        </w:rPr>
      </w:pPr>
      <w:r w:rsidRPr="00581542">
        <w:rPr>
          <w:color w:val="000000" w:themeColor="text1"/>
        </w:rPr>
        <w:t xml:space="preserve">As noted in the preamble section of </w:t>
      </w:r>
      <w:r w:rsidR="0082453E">
        <w:rPr>
          <w:color w:val="000000" w:themeColor="text1"/>
        </w:rPr>
        <w:t>42 CFR Part 11</w:t>
      </w:r>
      <w:r w:rsidRPr="00581542">
        <w:rPr>
          <w:color w:val="000000" w:themeColor="text1"/>
        </w:rPr>
        <w:t>: “</w:t>
      </w:r>
      <w:r w:rsidRPr="00581542">
        <w:t>This final rule does not impose requirements on the design or conduct of clinical trials or on the data that must be collected during clinical trials. Instead</w:t>
      </w:r>
      <w:r w:rsidR="00AF33A6">
        <w:t>,</w:t>
      </w:r>
      <w:r w:rsidRPr="00581542">
        <w:t xml:space="preserve"> it specifies how data that were collected and analyzed in accordance with a clinical trial's protocol are submitted to </w:t>
      </w:r>
      <w:r w:rsidRPr="00581542">
        <w:rPr>
          <w:rStyle w:val="Emphasis"/>
        </w:rPr>
        <w:t>ClinicalTrials.gov</w:t>
      </w:r>
      <w:r w:rsidRPr="00581542">
        <w:t xml:space="preserve">. (81 FR </w:t>
      </w:r>
      <w:r w:rsidRPr="00581542">
        <w:rPr>
          <w:rStyle w:val="text"/>
        </w:rPr>
        <w:t>64982)</w:t>
      </w:r>
      <w:r w:rsidRPr="00581542" w:rsidR="00FB74AE">
        <w:rPr>
          <w:rStyle w:val="text"/>
        </w:rPr>
        <w:t>.</w:t>
      </w:r>
      <w:r w:rsidRPr="00581542">
        <w:t xml:space="preserve">” </w:t>
      </w:r>
      <w:r w:rsidRPr="00581542" w:rsidR="006F581E">
        <w:rPr>
          <w:color w:val="000000" w:themeColor="text1"/>
        </w:rPr>
        <w:t xml:space="preserve">Thus, </w:t>
      </w:r>
      <w:r w:rsidRPr="00581542">
        <w:rPr>
          <w:color w:val="000000" w:themeColor="text1"/>
        </w:rPr>
        <w:t xml:space="preserve">the additional burden of this information collection (on large and small entities) is </w:t>
      </w:r>
      <w:r w:rsidRPr="00581542" w:rsidR="006F581E">
        <w:rPr>
          <w:color w:val="000000" w:themeColor="text1"/>
        </w:rPr>
        <w:t>the time needed to submit the information to ClinicalTrials.gov in the format specified</w:t>
      </w:r>
      <w:r w:rsidRPr="00581542" w:rsidR="00EC6DC8">
        <w:rPr>
          <w:color w:val="000000" w:themeColor="text1"/>
        </w:rPr>
        <w:t>.</w:t>
      </w:r>
      <w:r w:rsidRPr="00581542">
        <w:rPr>
          <w:color w:val="000000" w:themeColor="text1"/>
        </w:rPr>
        <w:t xml:space="preserve"> </w:t>
      </w:r>
      <w:r w:rsidRPr="00581542" w:rsidR="004C4BE7">
        <w:rPr>
          <w:color w:val="000000" w:themeColor="text1"/>
        </w:rPr>
        <w:t xml:space="preserve"> </w:t>
      </w:r>
      <w:r w:rsidRPr="00581542" w:rsidR="000015AF">
        <w:rPr>
          <w:color w:val="000000" w:themeColor="text1"/>
        </w:rPr>
        <w:t>M</w:t>
      </w:r>
      <w:r w:rsidRPr="00581542">
        <w:rPr>
          <w:color w:val="000000" w:themeColor="text1"/>
        </w:rPr>
        <w:t xml:space="preserve">any </w:t>
      </w:r>
      <w:r w:rsidRPr="00581542" w:rsidR="004C4BE7">
        <w:rPr>
          <w:color w:val="000000" w:themeColor="text1"/>
        </w:rPr>
        <w:t>small entities</w:t>
      </w:r>
      <w:r w:rsidRPr="00581542" w:rsidR="00A94BEF">
        <w:rPr>
          <w:color w:val="000000" w:themeColor="text1"/>
        </w:rPr>
        <w:t xml:space="preserve"> </w:t>
      </w:r>
      <w:r w:rsidRPr="00581542" w:rsidR="00FA15F4">
        <w:rPr>
          <w:color w:val="000000" w:themeColor="text1"/>
        </w:rPr>
        <w:t xml:space="preserve">choose to </w:t>
      </w:r>
      <w:r w:rsidRPr="00581542">
        <w:rPr>
          <w:color w:val="000000" w:themeColor="text1"/>
        </w:rPr>
        <w:t>list information in ClinicalTrials.gov</w:t>
      </w:r>
      <w:r w:rsidRPr="00581542" w:rsidR="00FA15F4">
        <w:rPr>
          <w:color w:val="000000" w:themeColor="text1"/>
        </w:rPr>
        <w:t xml:space="preserve"> for clinical studies that are not subject to federal law</w:t>
      </w:r>
      <w:r w:rsidRPr="00581542" w:rsidR="000015AF">
        <w:rPr>
          <w:color w:val="000000" w:themeColor="text1"/>
        </w:rPr>
        <w:t>,</w:t>
      </w:r>
      <w:r w:rsidRPr="00581542">
        <w:rPr>
          <w:color w:val="000000" w:themeColor="text1"/>
        </w:rPr>
        <w:t xml:space="preserve"> suggest</w:t>
      </w:r>
      <w:r w:rsidRPr="00581542" w:rsidR="000015AF">
        <w:rPr>
          <w:color w:val="000000" w:themeColor="text1"/>
        </w:rPr>
        <w:t>ing</w:t>
      </w:r>
      <w:r w:rsidRPr="00581542">
        <w:rPr>
          <w:color w:val="000000" w:themeColor="text1"/>
        </w:rPr>
        <w:t xml:space="preserve"> that the benefits of </w:t>
      </w:r>
      <w:r w:rsidRPr="00581542" w:rsidR="000015AF">
        <w:rPr>
          <w:color w:val="000000" w:themeColor="text1"/>
        </w:rPr>
        <w:t>registration and results</w:t>
      </w:r>
      <w:r w:rsidRPr="00581542" w:rsidR="00745E50">
        <w:rPr>
          <w:color w:val="000000" w:themeColor="text1"/>
        </w:rPr>
        <w:t xml:space="preserve"> information</w:t>
      </w:r>
      <w:r w:rsidRPr="00581542" w:rsidR="000015AF">
        <w:rPr>
          <w:color w:val="000000" w:themeColor="text1"/>
        </w:rPr>
        <w:t xml:space="preserve"> submission</w:t>
      </w:r>
      <w:r w:rsidRPr="00581542">
        <w:rPr>
          <w:color w:val="000000" w:themeColor="text1"/>
        </w:rPr>
        <w:t xml:space="preserve"> outweigh the costs of the effort involved. Lastly, the efforts that have been made to develop results </w:t>
      </w:r>
      <w:r w:rsidRPr="00581542" w:rsidR="000015AF">
        <w:rPr>
          <w:color w:val="000000" w:themeColor="text1"/>
        </w:rPr>
        <w:t xml:space="preserve">submission </w:t>
      </w:r>
      <w:r w:rsidRPr="00581542">
        <w:rPr>
          <w:color w:val="000000" w:themeColor="text1"/>
        </w:rPr>
        <w:t xml:space="preserve">structures that are </w:t>
      </w:r>
      <w:r w:rsidRPr="00581542">
        <w:rPr>
          <w:color w:val="000000" w:themeColor="text1"/>
        </w:rPr>
        <w:t>similar to</w:t>
      </w:r>
      <w:r w:rsidRPr="00581542">
        <w:rPr>
          <w:color w:val="000000" w:themeColor="text1"/>
        </w:rPr>
        <w:t xml:space="preserve"> those used in preparing scientific publications and reports to the FDA should further minimize the burden on small entities.</w:t>
      </w:r>
    </w:p>
    <w:p w:rsidR="00C66F8E" w:rsidRPr="00581542" w:rsidP="002533BB" w14:paraId="4CFF4F44" w14:textId="77777777">
      <w:pPr>
        <w:rPr>
          <w:color w:val="000000" w:themeColor="text1"/>
        </w:rPr>
      </w:pPr>
    </w:p>
    <w:p w:rsidR="00C66F8E" w:rsidRPr="00581542" w:rsidP="002533BB" w14:paraId="7990B18D" w14:textId="77777777">
      <w:pPr>
        <w:rPr>
          <w:b/>
          <w:color w:val="000000" w:themeColor="text1"/>
        </w:rPr>
      </w:pPr>
      <w:r w:rsidRPr="00581542">
        <w:rPr>
          <w:b/>
          <w:color w:val="000000" w:themeColor="text1"/>
        </w:rPr>
        <w:t>A.6</w:t>
      </w:r>
      <w:r w:rsidRPr="00581542">
        <w:rPr>
          <w:b/>
          <w:color w:val="000000" w:themeColor="text1"/>
        </w:rPr>
        <w:tab/>
      </w:r>
      <w:r w:rsidRPr="00581542">
        <w:rPr>
          <w:b/>
          <w:color w:val="000000" w:themeColor="text1"/>
          <w:u w:val="single"/>
        </w:rPr>
        <w:t>Consequences of Collecting the Information Less Frequently</w:t>
      </w:r>
    </w:p>
    <w:p w:rsidR="00C66F8E" w:rsidRPr="00581542" w:rsidP="002533BB" w14:paraId="3EF863DC" w14:textId="77777777">
      <w:pPr>
        <w:rPr>
          <w:color w:val="000000" w:themeColor="text1"/>
        </w:rPr>
      </w:pPr>
    </w:p>
    <w:p w:rsidR="00C66F8E" w:rsidRPr="00581542" w:rsidP="002533BB" w14:paraId="5A1BCFA7" w14:textId="7D70E04B">
      <w:pPr>
        <w:autoSpaceDE w:val="0"/>
        <w:autoSpaceDN w:val="0"/>
        <w:adjustRightInd w:val="0"/>
        <w:ind w:left="720"/>
        <w:rPr>
          <w:color w:val="000000" w:themeColor="text1"/>
        </w:rPr>
      </w:pPr>
      <w:r w:rsidRPr="00581542">
        <w:rPr>
          <w:color w:val="000000" w:themeColor="text1"/>
        </w:rPr>
        <w:t xml:space="preserve">For applicable clinical trials that are subject to </w:t>
      </w:r>
      <w:r w:rsidRPr="00581542" w:rsidR="000D2088">
        <w:rPr>
          <w:color w:val="000000" w:themeColor="text1"/>
        </w:rPr>
        <w:t xml:space="preserve">42 CFR </w:t>
      </w:r>
      <w:r w:rsidR="007F06E8">
        <w:rPr>
          <w:color w:val="000000" w:themeColor="text1"/>
        </w:rPr>
        <w:t>P</w:t>
      </w:r>
      <w:r w:rsidRPr="00581542" w:rsidR="007F06E8">
        <w:rPr>
          <w:color w:val="000000" w:themeColor="text1"/>
        </w:rPr>
        <w:t xml:space="preserve">art </w:t>
      </w:r>
      <w:r w:rsidRPr="00581542" w:rsidR="000D2088">
        <w:rPr>
          <w:color w:val="000000" w:themeColor="text1"/>
        </w:rPr>
        <w:t>11</w:t>
      </w:r>
      <w:r w:rsidRPr="00581542">
        <w:rPr>
          <w:color w:val="000000" w:themeColor="text1"/>
        </w:rPr>
        <w:t xml:space="preserve">, </w:t>
      </w:r>
      <w:r w:rsidRPr="00581542" w:rsidR="006F581E">
        <w:rPr>
          <w:color w:val="000000" w:themeColor="text1"/>
        </w:rPr>
        <w:t>r</w:t>
      </w:r>
      <w:r w:rsidRPr="00581542">
        <w:rPr>
          <w:color w:val="000000" w:themeColor="text1"/>
        </w:rPr>
        <w:t xml:space="preserve">egistration information </w:t>
      </w:r>
      <w:r w:rsidRPr="00581542" w:rsidR="000015AF">
        <w:rPr>
          <w:color w:val="000000" w:themeColor="text1"/>
        </w:rPr>
        <w:t xml:space="preserve">must be submitted when </w:t>
      </w:r>
      <w:r w:rsidRPr="00581542">
        <w:rPr>
          <w:color w:val="000000" w:themeColor="text1"/>
        </w:rPr>
        <w:t xml:space="preserve">trials are initiated </w:t>
      </w:r>
      <w:r w:rsidRPr="00581542" w:rsidR="000015AF">
        <w:rPr>
          <w:color w:val="000000" w:themeColor="text1"/>
        </w:rPr>
        <w:t>and updat</w:t>
      </w:r>
      <w:r w:rsidRPr="00581542" w:rsidR="006F581E">
        <w:rPr>
          <w:color w:val="000000" w:themeColor="text1"/>
        </w:rPr>
        <w:t xml:space="preserve">ed </w:t>
      </w:r>
      <w:r w:rsidRPr="00581542" w:rsidR="000015AF">
        <w:rPr>
          <w:color w:val="000000" w:themeColor="text1"/>
        </w:rPr>
        <w:t>periodically to reflect changes in the conduct of the study</w:t>
      </w:r>
      <w:r w:rsidRPr="00581542">
        <w:rPr>
          <w:color w:val="000000" w:themeColor="text1"/>
        </w:rPr>
        <w:t xml:space="preserve">. In general, the law requires trials </w:t>
      </w:r>
      <w:r w:rsidRPr="00581542" w:rsidR="00FB74AE">
        <w:rPr>
          <w:color w:val="000000" w:themeColor="text1"/>
        </w:rPr>
        <w:t xml:space="preserve">to </w:t>
      </w:r>
      <w:r w:rsidRPr="00581542">
        <w:rPr>
          <w:color w:val="000000" w:themeColor="text1"/>
        </w:rPr>
        <w:t xml:space="preserve">be registered </w:t>
      </w:r>
      <w:r w:rsidRPr="00581542" w:rsidR="007A028D">
        <w:rPr>
          <w:color w:val="000000" w:themeColor="text1"/>
        </w:rPr>
        <w:t xml:space="preserve">not later than </w:t>
      </w:r>
      <w:r w:rsidRPr="00581542">
        <w:rPr>
          <w:color w:val="000000" w:themeColor="text1"/>
        </w:rPr>
        <w:t xml:space="preserve">21 days </w:t>
      </w:r>
      <w:r w:rsidRPr="00581542" w:rsidR="007A028D">
        <w:rPr>
          <w:color w:val="000000" w:themeColor="text1"/>
        </w:rPr>
        <w:t xml:space="preserve">after </w:t>
      </w:r>
      <w:r w:rsidRPr="00581542" w:rsidR="007A028D">
        <w:rPr>
          <w:color w:val="000000" w:themeColor="text1"/>
        </w:rPr>
        <w:t>enrolling</w:t>
      </w:r>
      <w:r w:rsidRPr="00581542">
        <w:rPr>
          <w:color w:val="000000" w:themeColor="text1"/>
        </w:rPr>
        <w:t xml:space="preserve"> the first </w:t>
      </w:r>
      <w:r w:rsidRPr="00581542" w:rsidR="007A028D">
        <w:rPr>
          <w:color w:val="000000" w:themeColor="text1"/>
        </w:rPr>
        <w:t>subject</w:t>
      </w:r>
      <w:r w:rsidRPr="00581542">
        <w:rPr>
          <w:color w:val="000000" w:themeColor="text1"/>
        </w:rPr>
        <w:t xml:space="preserve"> </w:t>
      </w:r>
      <w:r w:rsidRPr="00581542" w:rsidR="00426153">
        <w:rPr>
          <w:color w:val="000000" w:themeColor="text1"/>
        </w:rPr>
        <w:t>(</w:t>
      </w:r>
      <w:r w:rsidRPr="00581542" w:rsidR="00B37DDE">
        <w:rPr>
          <w:iCs/>
          <w:color w:val="000000" w:themeColor="text1"/>
        </w:rPr>
        <w:t>s</w:t>
      </w:r>
      <w:r w:rsidRPr="00581542">
        <w:rPr>
          <w:iCs/>
          <w:color w:val="000000" w:themeColor="text1"/>
        </w:rPr>
        <w:t>ection 4</w:t>
      </w:r>
      <w:r w:rsidRPr="00581542" w:rsidR="00AE55BB">
        <w:rPr>
          <w:iCs/>
          <w:color w:val="000000" w:themeColor="text1"/>
        </w:rPr>
        <w:t>0</w:t>
      </w:r>
      <w:r w:rsidRPr="00581542">
        <w:rPr>
          <w:iCs/>
          <w:color w:val="000000" w:themeColor="text1"/>
        </w:rPr>
        <w:t>2</w:t>
      </w:r>
      <w:r w:rsidRPr="00581542">
        <w:rPr>
          <w:color w:val="000000" w:themeColor="text1"/>
        </w:rPr>
        <w:t>(j)(2)(C)</w:t>
      </w:r>
      <w:r w:rsidRPr="00581542" w:rsidR="00AE55BB">
        <w:rPr>
          <w:color w:val="000000" w:themeColor="text1"/>
        </w:rPr>
        <w:t xml:space="preserve"> of the PHS Act</w:t>
      </w:r>
      <w:r w:rsidRPr="00581542" w:rsidR="00426153">
        <w:rPr>
          <w:color w:val="000000" w:themeColor="text1"/>
        </w:rPr>
        <w:t>)</w:t>
      </w:r>
      <w:r w:rsidRPr="00581542">
        <w:rPr>
          <w:color w:val="000000" w:themeColor="text1"/>
        </w:rPr>
        <w:t xml:space="preserve">. </w:t>
      </w:r>
      <w:r w:rsidRPr="00581542" w:rsidR="00B13467">
        <w:rPr>
          <w:color w:val="000000" w:themeColor="text1"/>
        </w:rPr>
        <w:t>S</w:t>
      </w:r>
      <w:r w:rsidRPr="00581542" w:rsidR="007A028D">
        <w:rPr>
          <w:color w:val="000000" w:themeColor="text1"/>
        </w:rPr>
        <w:t>ubmitted i</w:t>
      </w:r>
      <w:r w:rsidRPr="00581542">
        <w:rPr>
          <w:color w:val="000000" w:themeColor="text1"/>
        </w:rPr>
        <w:t>nformation must be updated at least once every 12 months if there are any changes to report</w:t>
      </w:r>
      <w:r w:rsidRPr="00581542" w:rsidR="007A028D">
        <w:rPr>
          <w:color w:val="000000" w:themeColor="text1"/>
        </w:rPr>
        <w:t xml:space="preserve">, but </w:t>
      </w:r>
      <w:r w:rsidRPr="00581542">
        <w:rPr>
          <w:color w:val="000000" w:themeColor="text1"/>
        </w:rPr>
        <w:t xml:space="preserve">changes in recruitment status </w:t>
      </w:r>
      <w:r w:rsidRPr="00581542" w:rsidR="00EB5957">
        <w:rPr>
          <w:color w:val="000000" w:themeColor="text1"/>
        </w:rPr>
        <w:t xml:space="preserve">and other data elements specified in </w:t>
      </w:r>
      <w:r w:rsidRPr="00581542" w:rsidR="00013D28">
        <w:rPr>
          <w:color w:val="000000" w:themeColor="text1"/>
        </w:rPr>
        <w:t xml:space="preserve">42 CFR Part 11 </w:t>
      </w:r>
      <w:r w:rsidRPr="00581542">
        <w:rPr>
          <w:color w:val="000000" w:themeColor="text1"/>
        </w:rPr>
        <w:t>must be reported within 30 days of such change</w:t>
      </w:r>
      <w:r w:rsidRPr="00581542" w:rsidR="00895F87">
        <w:rPr>
          <w:color w:val="000000" w:themeColor="text1"/>
        </w:rPr>
        <w:t xml:space="preserve"> (42 CFR 11.64(a))</w:t>
      </w:r>
      <w:r w:rsidRPr="00581542">
        <w:rPr>
          <w:color w:val="000000" w:themeColor="text1"/>
        </w:rPr>
        <w:t xml:space="preserve">. Results information is required </w:t>
      </w:r>
      <w:r w:rsidRPr="00581542" w:rsidR="007A028D">
        <w:rPr>
          <w:color w:val="000000" w:themeColor="text1"/>
        </w:rPr>
        <w:t>to</w:t>
      </w:r>
      <w:r w:rsidRPr="00581542">
        <w:rPr>
          <w:color w:val="000000" w:themeColor="text1"/>
        </w:rPr>
        <w:t xml:space="preserve"> be submitted to the databank within 12 months of the </w:t>
      </w:r>
      <w:r w:rsidRPr="00581542" w:rsidR="003650D1">
        <w:rPr>
          <w:color w:val="000000" w:themeColor="text1"/>
        </w:rPr>
        <w:t xml:space="preserve">primary </w:t>
      </w:r>
      <w:r w:rsidRPr="00581542">
        <w:rPr>
          <w:color w:val="000000" w:themeColor="text1"/>
        </w:rPr>
        <w:t xml:space="preserve">completion date. The submission deadline can be extended if the responsible party certifies that the manufacturer is seeking </w:t>
      </w:r>
      <w:r w:rsidRPr="00581542" w:rsidR="007F665E">
        <w:rPr>
          <w:color w:val="000000" w:themeColor="text1"/>
        </w:rPr>
        <w:t xml:space="preserve">or plans to seek FDA approval, licensure, or clearance for an </w:t>
      </w:r>
      <w:r w:rsidRPr="00581542">
        <w:rPr>
          <w:color w:val="000000" w:themeColor="text1"/>
        </w:rPr>
        <w:t xml:space="preserve">initial </w:t>
      </w:r>
      <w:r w:rsidRPr="00581542" w:rsidR="00257C78">
        <w:rPr>
          <w:color w:val="000000" w:themeColor="text1"/>
        </w:rPr>
        <w:t xml:space="preserve">or new use </w:t>
      </w:r>
      <w:r w:rsidRPr="00581542">
        <w:rPr>
          <w:color w:val="000000" w:themeColor="text1"/>
        </w:rPr>
        <w:t>for the drug</w:t>
      </w:r>
      <w:r w:rsidRPr="00581542" w:rsidR="007F665E">
        <w:rPr>
          <w:color w:val="000000" w:themeColor="text1"/>
        </w:rPr>
        <w:t xml:space="preserve"> product</w:t>
      </w:r>
      <w:r w:rsidRPr="00581542">
        <w:rPr>
          <w:color w:val="000000" w:themeColor="text1"/>
        </w:rPr>
        <w:t>, biologic</w:t>
      </w:r>
      <w:r w:rsidRPr="00581542" w:rsidR="007F665E">
        <w:rPr>
          <w:color w:val="000000" w:themeColor="text1"/>
        </w:rPr>
        <w:t xml:space="preserve"> product</w:t>
      </w:r>
      <w:r w:rsidRPr="00581542">
        <w:rPr>
          <w:color w:val="000000" w:themeColor="text1"/>
        </w:rPr>
        <w:t xml:space="preserve">, or device </w:t>
      </w:r>
      <w:r w:rsidRPr="00581542" w:rsidR="007F665E">
        <w:rPr>
          <w:color w:val="000000" w:themeColor="text1"/>
        </w:rPr>
        <w:t xml:space="preserve">product </w:t>
      </w:r>
      <w:r w:rsidRPr="00581542">
        <w:rPr>
          <w:color w:val="000000" w:themeColor="text1"/>
        </w:rPr>
        <w:t xml:space="preserve">under study. </w:t>
      </w:r>
      <w:r w:rsidRPr="00581542" w:rsidR="000316DA">
        <w:rPr>
          <w:color w:val="000000" w:themeColor="text1"/>
        </w:rPr>
        <w:t xml:space="preserve">The responsible party may also request an extension of the submission deadline for “good </w:t>
      </w:r>
      <w:r w:rsidRPr="00581542" w:rsidR="000316DA">
        <w:rPr>
          <w:color w:val="000000" w:themeColor="text1"/>
        </w:rPr>
        <w:t>cause”</w:t>
      </w:r>
      <w:r w:rsidRPr="00581542" w:rsidR="008C4A65">
        <w:rPr>
          <w:color w:val="000000" w:themeColor="text1"/>
        </w:rPr>
        <w:t xml:space="preserve"> or submit a request </w:t>
      </w:r>
      <w:r w:rsidRPr="00581542" w:rsidR="00157898">
        <w:rPr>
          <w:color w:val="000000" w:themeColor="text1"/>
        </w:rPr>
        <w:t>to</w:t>
      </w:r>
      <w:r w:rsidRPr="00581542" w:rsidR="008C4A65">
        <w:rPr>
          <w:color w:val="000000" w:themeColor="text1"/>
        </w:rPr>
        <w:t xml:space="preserve"> waive </w:t>
      </w:r>
      <w:r w:rsidRPr="00581542" w:rsidR="00957332">
        <w:rPr>
          <w:color w:val="000000" w:themeColor="text1"/>
        </w:rPr>
        <w:t xml:space="preserve">clinical trial </w:t>
      </w:r>
      <w:r w:rsidRPr="00581542" w:rsidR="008C4A65">
        <w:rPr>
          <w:color w:val="000000" w:themeColor="text1"/>
        </w:rPr>
        <w:t>results information</w:t>
      </w:r>
      <w:r w:rsidRPr="00581542" w:rsidR="00602399">
        <w:rPr>
          <w:color w:val="000000" w:themeColor="text1"/>
        </w:rPr>
        <w:t xml:space="preserve"> </w:t>
      </w:r>
      <w:r w:rsidRPr="00581542" w:rsidR="004500E5">
        <w:rPr>
          <w:color w:val="000000" w:themeColor="text1"/>
        </w:rPr>
        <w:t>submission</w:t>
      </w:r>
      <w:r w:rsidRPr="00581542" w:rsidR="00CC1A08">
        <w:rPr>
          <w:color w:val="000000" w:themeColor="text1"/>
        </w:rPr>
        <w:t xml:space="preserve"> </w:t>
      </w:r>
      <w:r w:rsidRPr="00581542" w:rsidR="00D15B25">
        <w:rPr>
          <w:color w:val="000000" w:themeColor="text1"/>
        </w:rPr>
        <w:t xml:space="preserve">requirements </w:t>
      </w:r>
      <w:r w:rsidRPr="00581542" w:rsidR="00CC1A08">
        <w:rPr>
          <w:color w:val="000000" w:themeColor="text1"/>
        </w:rPr>
        <w:t xml:space="preserve">for extraordinary circumstances that must </w:t>
      </w:r>
      <w:r w:rsidRPr="00581542" w:rsidR="00602399">
        <w:rPr>
          <w:color w:val="000000" w:themeColor="text1"/>
        </w:rPr>
        <w:t>be consistent with the protection of public health or in the interest of national security</w:t>
      </w:r>
      <w:r w:rsidRPr="00581542" w:rsidR="00DD2FF0">
        <w:rPr>
          <w:color w:val="000000" w:themeColor="text1"/>
        </w:rPr>
        <w:t>.</w:t>
      </w:r>
      <w:r w:rsidRPr="00581542" w:rsidR="000316DA">
        <w:rPr>
          <w:color w:val="000000" w:themeColor="text1"/>
        </w:rPr>
        <w:t xml:space="preserve"> </w:t>
      </w:r>
      <w:r w:rsidRPr="00581542">
        <w:rPr>
          <w:color w:val="000000" w:themeColor="text1"/>
        </w:rPr>
        <w:t xml:space="preserve">Less frequent </w:t>
      </w:r>
      <w:r w:rsidRPr="00581542" w:rsidR="007A028D">
        <w:rPr>
          <w:color w:val="000000" w:themeColor="text1"/>
        </w:rPr>
        <w:t>submission and updating of information would be</w:t>
      </w:r>
      <w:r w:rsidRPr="00581542">
        <w:rPr>
          <w:color w:val="000000" w:themeColor="text1"/>
        </w:rPr>
        <w:t xml:space="preserve"> inconsistent with the law and would cause delays, gaps, and errors in the publicly available information about clinical trials, compromising the databank’s utility as a resource for patient recruitment and for providing reliable, up-to-date information to the public about ongoing trials and completed trials.</w:t>
      </w:r>
    </w:p>
    <w:p w:rsidR="00C66F8E" w:rsidRPr="00581542" w:rsidP="002533BB" w14:paraId="77FA269C" w14:textId="77777777">
      <w:pPr>
        <w:rPr>
          <w:color w:val="000000" w:themeColor="text1"/>
        </w:rPr>
      </w:pPr>
    </w:p>
    <w:p w:rsidR="00C66F8E" w:rsidRPr="00581542" w:rsidP="002533BB" w14:paraId="52A832EB" w14:textId="4F6D3F8A">
      <w:pPr>
        <w:rPr>
          <w:b/>
          <w:color w:val="000000" w:themeColor="text1"/>
          <w:u w:val="single"/>
        </w:rPr>
      </w:pPr>
      <w:r w:rsidRPr="00581542">
        <w:rPr>
          <w:b/>
          <w:color w:val="000000" w:themeColor="text1"/>
        </w:rPr>
        <w:t xml:space="preserve">A.7 </w:t>
      </w:r>
      <w:r w:rsidRPr="00581542">
        <w:rPr>
          <w:b/>
          <w:color w:val="000000" w:themeColor="text1"/>
        </w:rPr>
        <w:tab/>
      </w:r>
      <w:r w:rsidRPr="00581542">
        <w:rPr>
          <w:b/>
          <w:color w:val="000000" w:themeColor="text1"/>
          <w:u w:val="single"/>
        </w:rPr>
        <w:t>Special Circumstances</w:t>
      </w:r>
    </w:p>
    <w:p w:rsidR="00C66F8E" w:rsidRPr="00581542" w:rsidP="002533BB" w14:paraId="19B65224" w14:textId="77777777">
      <w:pPr>
        <w:rPr>
          <w:color w:val="000000" w:themeColor="text1"/>
          <w:u w:val="single"/>
        </w:rPr>
      </w:pPr>
    </w:p>
    <w:p w:rsidR="00C66F8E" w:rsidP="3967334A" w14:paraId="0279F0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themeColor="text1"/>
        </w:rPr>
      </w:pPr>
      <w:r w:rsidRPr="3967334A">
        <w:rPr>
          <w:color w:val="000000" w:themeColor="text1"/>
        </w:rPr>
        <w:t>This collection ful</w:t>
      </w:r>
      <w:r w:rsidRPr="3967334A" w:rsidR="005001D6">
        <w:rPr>
          <w:color w:val="000000" w:themeColor="text1"/>
        </w:rPr>
        <w:t>ly complies with 5 CFR 1320.5.</w:t>
      </w:r>
    </w:p>
    <w:p w:rsidR="0059725C" w:rsidRPr="00581542" w:rsidP="3967334A" w14:paraId="3C157F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themeColor="text1"/>
        </w:rPr>
      </w:pPr>
    </w:p>
    <w:p w:rsidR="005E7724" w:rsidP="002116D5" w14:paraId="277286FB" w14:textId="513795B7">
      <w:pPr>
        <w:tabs>
          <w:tab w:val="num" w:pos="810"/>
        </w:tabs>
        <w:ind w:left="720"/>
        <w:rPr>
          <w:color w:val="000000" w:themeColor="text1"/>
        </w:rPr>
      </w:pPr>
      <w:r w:rsidRPr="3967334A">
        <w:rPr>
          <w:color w:val="000000" w:themeColor="text1"/>
        </w:rPr>
        <w:t>The Office of Management and Budget</w:t>
      </w:r>
      <w:r w:rsidRPr="3967334A" w:rsidR="000C07BB">
        <w:rPr>
          <w:color w:val="000000" w:themeColor="text1"/>
        </w:rPr>
        <w:t xml:space="preserve"> (OMB)</w:t>
      </w:r>
      <w:r w:rsidRPr="3967334A">
        <w:rPr>
          <w:color w:val="000000" w:themeColor="text1"/>
        </w:rPr>
        <w:t xml:space="preserve"> announced revisions to the Statistical Policy Directive 15 (SPD-15)</w:t>
      </w:r>
      <w:r w:rsidRPr="3967334A" w:rsidR="00B55728">
        <w:rPr>
          <w:color w:val="000000" w:themeColor="text1"/>
        </w:rPr>
        <w:t xml:space="preserve">, updating the standards for </w:t>
      </w:r>
      <w:r w:rsidRPr="3967334A" w:rsidR="001002E4">
        <w:rPr>
          <w:color w:val="000000" w:themeColor="text1"/>
        </w:rPr>
        <w:t xml:space="preserve">reporting race and ethnicity </w:t>
      </w:r>
      <w:r w:rsidRPr="3967334A" w:rsidR="002F415D">
        <w:rPr>
          <w:color w:val="000000" w:themeColor="text1"/>
        </w:rPr>
        <w:t>across the federal government</w:t>
      </w:r>
      <w:r w:rsidRPr="3967334A" w:rsidR="009E385D">
        <w:rPr>
          <w:color w:val="000000" w:themeColor="text1"/>
        </w:rPr>
        <w:t xml:space="preserve">. </w:t>
      </w:r>
      <w:r w:rsidRPr="3967334A" w:rsidR="005C7DBB">
        <w:rPr>
          <w:color w:val="000000" w:themeColor="text1"/>
        </w:rPr>
        <w:t>Currently</w:t>
      </w:r>
      <w:r w:rsidRPr="3967334A" w:rsidR="002F415D">
        <w:rPr>
          <w:color w:val="000000" w:themeColor="text1"/>
        </w:rPr>
        <w:t xml:space="preserve">, </w:t>
      </w:r>
      <w:r w:rsidRPr="3967334A" w:rsidR="007D4929">
        <w:rPr>
          <w:color w:val="000000" w:themeColor="text1"/>
        </w:rPr>
        <w:t>ClinicalTrials.gov</w:t>
      </w:r>
      <w:r w:rsidRPr="3967334A" w:rsidR="009E385D">
        <w:rPr>
          <w:color w:val="000000" w:themeColor="text1"/>
        </w:rPr>
        <w:t xml:space="preserve"> </w:t>
      </w:r>
      <w:r w:rsidRPr="3967334A" w:rsidR="005C7DBB">
        <w:rPr>
          <w:color w:val="000000" w:themeColor="text1"/>
        </w:rPr>
        <w:t>supports</w:t>
      </w:r>
      <w:r w:rsidRPr="3967334A" w:rsidR="009E385D">
        <w:rPr>
          <w:color w:val="000000" w:themeColor="text1"/>
        </w:rPr>
        <w:t xml:space="preserve"> </w:t>
      </w:r>
      <w:r w:rsidRPr="3967334A" w:rsidR="000240E7">
        <w:rPr>
          <w:color w:val="000000" w:themeColor="text1"/>
        </w:rPr>
        <w:t xml:space="preserve">the submission of </w:t>
      </w:r>
      <w:r w:rsidRPr="3967334A" w:rsidR="002A1D2B">
        <w:rPr>
          <w:color w:val="000000" w:themeColor="text1"/>
        </w:rPr>
        <w:t>race and ethnicity data</w:t>
      </w:r>
      <w:r w:rsidRPr="3967334A" w:rsidR="009E385D">
        <w:rPr>
          <w:color w:val="000000" w:themeColor="text1"/>
        </w:rPr>
        <w:t xml:space="preserve"> using </w:t>
      </w:r>
      <w:r w:rsidRPr="3967334A" w:rsidR="00D8720F">
        <w:rPr>
          <w:color w:val="000000" w:themeColor="text1"/>
        </w:rPr>
        <w:t xml:space="preserve">preformatted </w:t>
      </w:r>
      <w:r w:rsidRPr="3967334A" w:rsidR="596D411B">
        <w:rPr>
          <w:color w:val="000000" w:themeColor="text1"/>
        </w:rPr>
        <w:t>and customized baseline measure</w:t>
      </w:r>
      <w:r w:rsidRPr="3967334A" w:rsidR="746E7FBC">
        <w:rPr>
          <w:color w:val="000000" w:themeColor="text1"/>
        </w:rPr>
        <w:t>s</w:t>
      </w:r>
      <w:r w:rsidRPr="3967334A" w:rsidR="00F175CE">
        <w:rPr>
          <w:color w:val="000000" w:themeColor="text1"/>
        </w:rPr>
        <w:t xml:space="preserve">. </w:t>
      </w:r>
      <w:r w:rsidRPr="3967334A" w:rsidR="21155950">
        <w:rPr>
          <w:color w:val="000000" w:themeColor="text1"/>
        </w:rPr>
        <w:t xml:space="preserve">Race and ethnicity </w:t>
      </w:r>
      <w:r w:rsidRPr="3967334A" w:rsidR="003D147D">
        <w:rPr>
          <w:color w:val="000000" w:themeColor="text1"/>
        </w:rPr>
        <w:t>d</w:t>
      </w:r>
      <w:r w:rsidRPr="3967334A" w:rsidR="002E0A4F">
        <w:rPr>
          <w:color w:val="000000" w:themeColor="text1"/>
        </w:rPr>
        <w:t xml:space="preserve">ata collected </w:t>
      </w:r>
      <w:r w:rsidRPr="3967334A" w:rsidR="00DC60D7">
        <w:rPr>
          <w:color w:val="000000" w:themeColor="text1"/>
        </w:rPr>
        <w:t>based on the</w:t>
      </w:r>
      <w:r w:rsidRPr="3967334A" w:rsidR="006C2724">
        <w:rPr>
          <w:color w:val="000000" w:themeColor="text1"/>
        </w:rPr>
        <w:t xml:space="preserve"> earlier</w:t>
      </w:r>
      <w:r w:rsidRPr="3967334A" w:rsidR="00DC60D7">
        <w:rPr>
          <w:color w:val="000000" w:themeColor="text1"/>
        </w:rPr>
        <w:t xml:space="preserve"> </w:t>
      </w:r>
      <w:r w:rsidRPr="3967334A" w:rsidR="00F175CE">
        <w:rPr>
          <w:color w:val="000000" w:themeColor="text1"/>
        </w:rPr>
        <w:t>standards</w:t>
      </w:r>
      <w:r w:rsidRPr="3967334A" w:rsidR="00DC60D7">
        <w:rPr>
          <w:color w:val="000000" w:themeColor="text1"/>
        </w:rPr>
        <w:t xml:space="preserve"> may continue </w:t>
      </w:r>
      <w:r w:rsidRPr="3967334A" w:rsidR="006B42B0">
        <w:rPr>
          <w:color w:val="000000" w:themeColor="text1"/>
        </w:rPr>
        <w:t xml:space="preserve">to </w:t>
      </w:r>
      <w:r w:rsidRPr="3967334A" w:rsidR="00864319">
        <w:rPr>
          <w:color w:val="000000" w:themeColor="text1"/>
        </w:rPr>
        <w:t xml:space="preserve">be reported </w:t>
      </w:r>
      <w:r w:rsidRPr="3967334A" w:rsidR="006B42B0">
        <w:rPr>
          <w:color w:val="000000" w:themeColor="text1"/>
        </w:rPr>
        <w:t>us</w:t>
      </w:r>
      <w:r w:rsidRPr="3967334A" w:rsidR="00864319">
        <w:rPr>
          <w:color w:val="000000" w:themeColor="text1"/>
        </w:rPr>
        <w:t>ing</w:t>
      </w:r>
      <w:r w:rsidRPr="3967334A" w:rsidR="00DC60D7">
        <w:rPr>
          <w:color w:val="000000" w:themeColor="text1"/>
        </w:rPr>
        <w:t xml:space="preserve"> the</w:t>
      </w:r>
      <w:r w:rsidRPr="3967334A" w:rsidR="00F175CE">
        <w:rPr>
          <w:color w:val="000000" w:themeColor="text1"/>
        </w:rPr>
        <w:t xml:space="preserve"> “Race (NIH/OMB)” and “Ethnicity (NIH/OMB)” baseline measures</w:t>
      </w:r>
      <w:r w:rsidRPr="3967334A" w:rsidR="00145F29">
        <w:rPr>
          <w:color w:val="000000" w:themeColor="text1"/>
        </w:rPr>
        <w:t xml:space="preserve">, while </w:t>
      </w:r>
      <w:r w:rsidRPr="3967334A" w:rsidR="00AD5376">
        <w:rPr>
          <w:color w:val="000000" w:themeColor="text1"/>
        </w:rPr>
        <w:t>data</w:t>
      </w:r>
      <w:r w:rsidRPr="3967334A" w:rsidR="00145F29">
        <w:rPr>
          <w:color w:val="000000" w:themeColor="text1"/>
        </w:rPr>
        <w:t xml:space="preserve"> </w:t>
      </w:r>
      <w:r w:rsidRPr="3967334A" w:rsidR="00864319">
        <w:rPr>
          <w:color w:val="000000" w:themeColor="text1"/>
        </w:rPr>
        <w:t xml:space="preserve">collected </w:t>
      </w:r>
      <w:r w:rsidRPr="3967334A" w:rsidR="00EF1785">
        <w:rPr>
          <w:color w:val="000000" w:themeColor="text1"/>
        </w:rPr>
        <w:t>based on</w:t>
      </w:r>
      <w:r w:rsidRPr="3967334A" w:rsidR="00145F29">
        <w:rPr>
          <w:color w:val="000000" w:themeColor="text1"/>
        </w:rPr>
        <w:t xml:space="preserve"> the revised </w:t>
      </w:r>
      <w:r w:rsidRPr="3967334A" w:rsidR="00AD5376">
        <w:rPr>
          <w:color w:val="000000" w:themeColor="text1"/>
        </w:rPr>
        <w:t>standards</w:t>
      </w:r>
      <w:r w:rsidRPr="3967334A" w:rsidR="00145F29">
        <w:rPr>
          <w:color w:val="000000" w:themeColor="text1"/>
        </w:rPr>
        <w:t xml:space="preserve"> </w:t>
      </w:r>
      <w:r w:rsidRPr="3967334A" w:rsidR="00094B85">
        <w:rPr>
          <w:color w:val="000000" w:themeColor="text1"/>
        </w:rPr>
        <w:t>may</w:t>
      </w:r>
      <w:r w:rsidRPr="3967334A" w:rsidR="00B04682">
        <w:rPr>
          <w:color w:val="000000" w:themeColor="text1"/>
        </w:rPr>
        <w:t xml:space="preserve"> currently</w:t>
      </w:r>
      <w:r w:rsidRPr="3967334A" w:rsidR="00145F29">
        <w:rPr>
          <w:color w:val="000000" w:themeColor="text1"/>
        </w:rPr>
        <w:t xml:space="preserve"> </w:t>
      </w:r>
      <w:r w:rsidRPr="3967334A" w:rsidR="00EF1785">
        <w:rPr>
          <w:color w:val="000000" w:themeColor="text1"/>
        </w:rPr>
        <w:t xml:space="preserve">be reported </w:t>
      </w:r>
      <w:r w:rsidRPr="3967334A" w:rsidR="001E6C84">
        <w:rPr>
          <w:color w:val="000000" w:themeColor="text1"/>
        </w:rPr>
        <w:t>through</w:t>
      </w:r>
      <w:r w:rsidRPr="3967334A" w:rsidR="00EF1785">
        <w:rPr>
          <w:color w:val="000000" w:themeColor="text1"/>
        </w:rPr>
        <w:t xml:space="preserve"> </w:t>
      </w:r>
      <w:r w:rsidRPr="3967334A" w:rsidR="00145F29">
        <w:rPr>
          <w:color w:val="000000" w:themeColor="text1"/>
        </w:rPr>
        <w:t xml:space="preserve">the </w:t>
      </w:r>
      <w:r w:rsidRPr="3967334A" w:rsidR="00115F5D">
        <w:rPr>
          <w:color w:val="000000" w:themeColor="text1"/>
        </w:rPr>
        <w:t>“Race/Ethnicity, Customized”</w:t>
      </w:r>
      <w:r w:rsidRPr="3967334A" w:rsidR="00145F29">
        <w:rPr>
          <w:color w:val="000000" w:themeColor="text1"/>
        </w:rPr>
        <w:t xml:space="preserve"> </w:t>
      </w:r>
      <w:r w:rsidRPr="3967334A" w:rsidR="00094B85">
        <w:rPr>
          <w:color w:val="000000" w:themeColor="text1"/>
        </w:rPr>
        <w:t>measure</w:t>
      </w:r>
      <w:r w:rsidRPr="3967334A" w:rsidR="00B04682">
        <w:rPr>
          <w:color w:val="000000" w:themeColor="text1"/>
        </w:rPr>
        <w:t xml:space="preserve">, which allows for </w:t>
      </w:r>
      <w:r w:rsidRPr="3967334A" w:rsidR="00446AD4">
        <w:rPr>
          <w:color w:val="000000" w:themeColor="text1"/>
        </w:rPr>
        <w:t xml:space="preserve">adding </w:t>
      </w:r>
      <w:r w:rsidRPr="3967334A" w:rsidR="00B04682">
        <w:rPr>
          <w:color w:val="000000" w:themeColor="text1"/>
        </w:rPr>
        <w:t xml:space="preserve">categories that </w:t>
      </w:r>
      <w:r w:rsidRPr="3967334A" w:rsidR="00643896">
        <w:rPr>
          <w:color w:val="000000" w:themeColor="text1"/>
        </w:rPr>
        <w:t xml:space="preserve">are consistent with </w:t>
      </w:r>
      <w:r w:rsidRPr="3967334A" w:rsidR="007A6B0A">
        <w:rPr>
          <w:color w:val="000000" w:themeColor="text1"/>
        </w:rPr>
        <w:t>the way in which</w:t>
      </w:r>
      <w:r w:rsidRPr="3967334A" w:rsidR="00643896">
        <w:rPr>
          <w:color w:val="000000" w:themeColor="text1"/>
        </w:rPr>
        <w:t xml:space="preserve"> </w:t>
      </w:r>
      <w:r w:rsidRPr="3967334A" w:rsidR="4375A598">
        <w:rPr>
          <w:color w:val="000000" w:themeColor="text1"/>
        </w:rPr>
        <w:t xml:space="preserve">data </w:t>
      </w:r>
      <w:r w:rsidRPr="3967334A" w:rsidR="00643896">
        <w:rPr>
          <w:color w:val="000000" w:themeColor="text1"/>
        </w:rPr>
        <w:t>w</w:t>
      </w:r>
      <w:r w:rsidRPr="3967334A" w:rsidR="63027A4A">
        <w:rPr>
          <w:color w:val="000000" w:themeColor="text1"/>
        </w:rPr>
        <w:t>ere</w:t>
      </w:r>
      <w:r w:rsidRPr="3967334A" w:rsidR="00643896">
        <w:rPr>
          <w:color w:val="000000" w:themeColor="text1"/>
        </w:rPr>
        <w:t xml:space="preserve"> collected. </w:t>
      </w:r>
    </w:p>
    <w:p w:rsidR="005E7724" w:rsidP="002116D5" w14:paraId="28AB7F2E" w14:textId="77777777">
      <w:pPr>
        <w:tabs>
          <w:tab w:val="num" w:pos="810"/>
        </w:tabs>
        <w:ind w:left="720"/>
        <w:rPr>
          <w:color w:val="000000" w:themeColor="text1"/>
        </w:rPr>
      </w:pPr>
    </w:p>
    <w:p w:rsidR="00633183" w:rsidP="00F26112" w14:paraId="19EC053E" w14:textId="01DE72E0">
      <w:pPr>
        <w:tabs>
          <w:tab w:val="num" w:pos="810"/>
        </w:tabs>
        <w:ind w:left="720"/>
        <w:rPr>
          <w:color w:val="000000" w:themeColor="text1"/>
        </w:rPr>
      </w:pPr>
      <w:r>
        <w:rPr>
          <w:color w:val="000000" w:themeColor="text1"/>
        </w:rPr>
        <w:t>W</w:t>
      </w:r>
      <w:r w:rsidRPr="0B932218" w:rsidR="6EC7E726">
        <w:rPr>
          <w:color w:val="000000" w:themeColor="text1"/>
        </w:rPr>
        <w:t xml:space="preserve">e plan to </w:t>
      </w:r>
      <w:r w:rsidR="00FF759C">
        <w:rPr>
          <w:color w:val="000000" w:themeColor="text1"/>
        </w:rPr>
        <w:t xml:space="preserve">implement </w:t>
      </w:r>
      <w:r w:rsidR="00617B48">
        <w:rPr>
          <w:color w:val="000000" w:themeColor="text1"/>
        </w:rPr>
        <w:t>a</w:t>
      </w:r>
      <w:r w:rsidR="00D7170F">
        <w:rPr>
          <w:color w:val="000000" w:themeColor="text1"/>
        </w:rPr>
        <w:t xml:space="preserve"> </w:t>
      </w:r>
      <w:r w:rsidR="001E6C84">
        <w:rPr>
          <w:color w:val="000000" w:themeColor="text1"/>
        </w:rPr>
        <w:t xml:space="preserve">new </w:t>
      </w:r>
      <w:r w:rsidR="00D7170F">
        <w:rPr>
          <w:color w:val="000000" w:themeColor="text1"/>
        </w:rPr>
        <w:t xml:space="preserve">preformatted </w:t>
      </w:r>
      <w:r w:rsidR="000D0BC8">
        <w:rPr>
          <w:color w:val="000000" w:themeColor="text1"/>
        </w:rPr>
        <w:t xml:space="preserve">race/ethnicity baseline measure </w:t>
      </w:r>
      <w:r w:rsidR="00CD17EB">
        <w:rPr>
          <w:color w:val="000000" w:themeColor="text1"/>
        </w:rPr>
        <w:t xml:space="preserve">based on </w:t>
      </w:r>
      <w:r w:rsidR="001E17C7">
        <w:rPr>
          <w:color w:val="000000" w:themeColor="text1"/>
        </w:rPr>
        <w:t>the combined Multiracial and/or Multiethnic approach (</w:t>
      </w:r>
      <w:r w:rsidR="00DF51EF">
        <w:rPr>
          <w:color w:val="000000" w:themeColor="text1"/>
        </w:rPr>
        <w:t xml:space="preserve">Approach </w:t>
      </w:r>
      <w:r w:rsidR="00FF759C">
        <w:rPr>
          <w:color w:val="000000" w:themeColor="text1"/>
        </w:rPr>
        <w:t>3</w:t>
      </w:r>
      <w:r w:rsidR="001E17C7">
        <w:rPr>
          <w:color w:val="000000" w:themeColor="text1"/>
        </w:rPr>
        <w:t>)</w:t>
      </w:r>
      <w:r w:rsidR="00155D61">
        <w:rPr>
          <w:color w:val="000000" w:themeColor="text1"/>
        </w:rPr>
        <w:t xml:space="preserve"> by 2027</w:t>
      </w:r>
      <w:r w:rsidR="006F2987">
        <w:rPr>
          <w:color w:val="000000" w:themeColor="text1"/>
        </w:rPr>
        <w:t xml:space="preserve">. </w:t>
      </w:r>
      <w:r w:rsidR="006E4B0B">
        <w:rPr>
          <w:color w:val="000000" w:themeColor="text1"/>
        </w:rPr>
        <w:t xml:space="preserve">This format </w:t>
      </w:r>
      <w:r w:rsidR="000B7119">
        <w:rPr>
          <w:color w:val="000000" w:themeColor="text1"/>
        </w:rPr>
        <w:t>supports</w:t>
      </w:r>
      <w:r w:rsidR="006E4B0B">
        <w:rPr>
          <w:color w:val="000000" w:themeColor="text1"/>
        </w:rPr>
        <w:t xml:space="preserve"> </w:t>
      </w:r>
      <w:r w:rsidR="00BF4C11">
        <w:rPr>
          <w:color w:val="000000" w:themeColor="text1"/>
        </w:rPr>
        <w:t>standardized</w:t>
      </w:r>
      <w:r w:rsidR="00885856">
        <w:rPr>
          <w:color w:val="000000" w:themeColor="text1"/>
        </w:rPr>
        <w:t xml:space="preserve"> reporting</w:t>
      </w:r>
      <w:r w:rsidR="006E4B0B">
        <w:rPr>
          <w:color w:val="000000" w:themeColor="text1"/>
        </w:rPr>
        <w:t xml:space="preserve"> across a </w:t>
      </w:r>
      <w:r w:rsidR="000B7119">
        <w:rPr>
          <w:color w:val="000000" w:themeColor="text1"/>
        </w:rPr>
        <w:t xml:space="preserve">wide </w:t>
      </w:r>
      <w:r w:rsidR="006E4B0B">
        <w:rPr>
          <w:color w:val="000000" w:themeColor="text1"/>
        </w:rPr>
        <w:t xml:space="preserve">range of study designs, including </w:t>
      </w:r>
      <w:r w:rsidRPr="002A12C0" w:rsidR="002A12C0">
        <w:rPr>
          <w:color w:val="000000" w:themeColor="text1"/>
        </w:rPr>
        <w:t>small</w:t>
      </w:r>
      <w:r w:rsidR="000B7119">
        <w:rPr>
          <w:color w:val="000000" w:themeColor="text1"/>
        </w:rPr>
        <w:t>er</w:t>
      </w:r>
      <w:r w:rsidRPr="002A12C0" w:rsidR="002A12C0">
        <w:rPr>
          <w:color w:val="000000" w:themeColor="text1"/>
        </w:rPr>
        <w:t xml:space="preserve"> </w:t>
      </w:r>
      <w:r w:rsidR="002A12C0">
        <w:rPr>
          <w:color w:val="000000" w:themeColor="text1"/>
        </w:rPr>
        <w:t>studies</w:t>
      </w:r>
      <w:r w:rsidRPr="002A12C0" w:rsidR="002A12C0">
        <w:rPr>
          <w:color w:val="000000" w:themeColor="text1"/>
        </w:rPr>
        <w:t xml:space="preserve"> </w:t>
      </w:r>
      <w:r w:rsidR="0099555A">
        <w:rPr>
          <w:color w:val="000000" w:themeColor="text1"/>
        </w:rPr>
        <w:t>focused on</w:t>
      </w:r>
      <w:r w:rsidRPr="002A12C0" w:rsidR="002A12C0">
        <w:rPr>
          <w:color w:val="000000" w:themeColor="text1"/>
        </w:rPr>
        <w:t xml:space="preserve"> rare diseases </w:t>
      </w:r>
      <w:r w:rsidR="00E4720A">
        <w:rPr>
          <w:color w:val="000000" w:themeColor="text1"/>
        </w:rPr>
        <w:t>or those recruit</w:t>
      </w:r>
      <w:r w:rsidR="0099555A">
        <w:rPr>
          <w:color w:val="000000" w:themeColor="text1"/>
        </w:rPr>
        <w:t>ing</w:t>
      </w:r>
      <w:r w:rsidR="00E4720A">
        <w:rPr>
          <w:color w:val="000000" w:themeColor="text1"/>
        </w:rPr>
        <w:t xml:space="preserve"> from </w:t>
      </w:r>
      <w:r w:rsidR="0099555A">
        <w:rPr>
          <w:color w:val="000000" w:themeColor="text1"/>
        </w:rPr>
        <w:t xml:space="preserve">narrowly defined </w:t>
      </w:r>
      <w:r w:rsidR="00E4720A">
        <w:rPr>
          <w:color w:val="000000" w:themeColor="text1"/>
        </w:rPr>
        <w:t xml:space="preserve">populations where the risk of </w:t>
      </w:r>
      <w:r w:rsidR="005061D5">
        <w:rPr>
          <w:color w:val="000000" w:themeColor="text1"/>
        </w:rPr>
        <w:t xml:space="preserve">participant </w:t>
      </w:r>
      <w:r w:rsidR="00E4720A">
        <w:rPr>
          <w:color w:val="000000" w:themeColor="text1"/>
        </w:rPr>
        <w:t xml:space="preserve">re-identification </w:t>
      </w:r>
      <w:r w:rsidR="00DF0947">
        <w:rPr>
          <w:color w:val="000000" w:themeColor="text1"/>
        </w:rPr>
        <w:t xml:space="preserve">may be </w:t>
      </w:r>
      <w:r w:rsidR="00511B37">
        <w:rPr>
          <w:color w:val="000000" w:themeColor="text1"/>
        </w:rPr>
        <w:t>greater</w:t>
      </w:r>
      <w:r w:rsidR="00033D82">
        <w:rPr>
          <w:color w:val="000000" w:themeColor="text1"/>
        </w:rPr>
        <w:t>.</w:t>
      </w:r>
      <w:r w:rsidR="004C38C5">
        <w:rPr>
          <w:color w:val="000000" w:themeColor="text1"/>
        </w:rPr>
        <w:t xml:space="preserve"> </w:t>
      </w:r>
      <w:r w:rsidR="000144F5">
        <w:rPr>
          <w:color w:val="000000" w:themeColor="text1"/>
        </w:rPr>
        <w:t xml:space="preserve">To maintain flexibility, </w:t>
      </w:r>
      <w:r w:rsidR="003D147D">
        <w:rPr>
          <w:color w:val="000000" w:themeColor="text1"/>
        </w:rPr>
        <w:t xml:space="preserve">data </w:t>
      </w:r>
      <w:r w:rsidR="00D0454B">
        <w:rPr>
          <w:color w:val="000000" w:themeColor="text1"/>
        </w:rPr>
        <w:t>collect</w:t>
      </w:r>
      <w:r w:rsidR="003D147D">
        <w:rPr>
          <w:color w:val="000000" w:themeColor="text1"/>
        </w:rPr>
        <w:t>ed with</w:t>
      </w:r>
      <w:r w:rsidR="00D0454B">
        <w:rPr>
          <w:color w:val="000000" w:themeColor="text1"/>
        </w:rPr>
        <w:t xml:space="preserve"> </w:t>
      </w:r>
      <w:r w:rsidR="0039398E">
        <w:rPr>
          <w:color w:val="000000" w:themeColor="text1"/>
        </w:rPr>
        <w:t>more detailed race and</w:t>
      </w:r>
      <w:r w:rsidR="003E508A">
        <w:rPr>
          <w:color w:val="000000" w:themeColor="text1"/>
        </w:rPr>
        <w:t xml:space="preserve"> </w:t>
      </w:r>
      <w:r w:rsidR="0039398E">
        <w:rPr>
          <w:color w:val="000000" w:themeColor="text1"/>
        </w:rPr>
        <w:t xml:space="preserve">ethnicity </w:t>
      </w:r>
      <w:r w:rsidR="00923C80">
        <w:rPr>
          <w:color w:val="000000" w:themeColor="text1"/>
        </w:rPr>
        <w:t>categories</w:t>
      </w:r>
      <w:r w:rsidR="00B829F1">
        <w:rPr>
          <w:color w:val="000000" w:themeColor="text1"/>
        </w:rPr>
        <w:t xml:space="preserve"> may </w:t>
      </w:r>
      <w:r w:rsidR="00487710">
        <w:rPr>
          <w:color w:val="000000" w:themeColor="text1"/>
        </w:rPr>
        <w:t>be reported in</w:t>
      </w:r>
      <w:r w:rsidR="00B829F1">
        <w:rPr>
          <w:color w:val="000000" w:themeColor="text1"/>
        </w:rPr>
        <w:t xml:space="preserve"> the “Race/Ethnicity, Customized” measure</w:t>
      </w:r>
      <w:r w:rsidR="003E508A">
        <w:rPr>
          <w:color w:val="000000" w:themeColor="text1"/>
        </w:rPr>
        <w:t>.</w:t>
      </w:r>
      <w:r w:rsidR="00896E7A">
        <w:rPr>
          <w:color w:val="000000" w:themeColor="text1"/>
        </w:rPr>
        <w:t xml:space="preserve"> </w:t>
      </w:r>
      <w:r w:rsidR="004C38C5">
        <w:rPr>
          <w:color w:val="000000" w:themeColor="text1"/>
        </w:rPr>
        <w:t>T</w:t>
      </w:r>
      <w:r w:rsidR="00D715B1">
        <w:rPr>
          <w:color w:val="000000" w:themeColor="text1"/>
        </w:rPr>
        <w:t>he timeline for full implementation will depend on the time required to</w:t>
      </w:r>
      <w:r w:rsidR="002F203D">
        <w:rPr>
          <w:color w:val="000000" w:themeColor="text1"/>
        </w:rPr>
        <w:t xml:space="preserve"> c</w:t>
      </w:r>
      <w:r w:rsidR="00824BE5">
        <w:rPr>
          <w:color w:val="000000" w:themeColor="text1"/>
        </w:rPr>
        <w:t>oordinat</w:t>
      </w:r>
      <w:r w:rsidR="00D947F4">
        <w:rPr>
          <w:color w:val="000000" w:themeColor="text1"/>
        </w:rPr>
        <w:t>e</w:t>
      </w:r>
      <w:r w:rsidR="00824BE5">
        <w:rPr>
          <w:color w:val="000000" w:themeColor="text1"/>
        </w:rPr>
        <w:t xml:space="preserve"> with stakeholders and d</w:t>
      </w:r>
      <w:r w:rsidR="00AB4D6E">
        <w:rPr>
          <w:color w:val="000000" w:themeColor="text1"/>
        </w:rPr>
        <w:t xml:space="preserve">evelop educational </w:t>
      </w:r>
      <w:r w:rsidR="00D636F0">
        <w:rPr>
          <w:color w:val="000000" w:themeColor="text1"/>
        </w:rPr>
        <w:t>resources</w:t>
      </w:r>
      <w:r w:rsidR="002F203D">
        <w:rPr>
          <w:color w:val="000000" w:themeColor="text1"/>
        </w:rPr>
        <w:t>, d</w:t>
      </w:r>
      <w:r w:rsidR="003978B5">
        <w:rPr>
          <w:color w:val="000000" w:themeColor="text1"/>
        </w:rPr>
        <w:t xml:space="preserve">esign and </w:t>
      </w:r>
      <w:r w:rsidR="00AB4D6E">
        <w:rPr>
          <w:color w:val="000000" w:themeColor="text1"/>
        </w:rPr>
        <w:t xml:space="preserve">test the </w:t>
      </w:r>
      <w:r w:rsidR="00D673B2">
        <w:rPr>
          <w:color w:val="000000" w:themeColor="text1"/>
        </w:rPr>
        <w:t>user interface</w:t>
      </w:r>
      <w:r w:rsidR="009F3D77">
        <w:rPr>
          <w:color w:val="000000" w:themeColor="text1"/>
        </w:rPr>
        <w:t xml:space="preserve"> for both data entry and </w:t>
      </w:r>
      <w:r w:rsidR="00A775E9">
        <w:rPr>
          <w:color w:val="000000" w:themeColor="text1"/>
        </w:rPr>
        <w:t>ClinicalTrials.gov</w:t>
      </w:r>
      <w:r w:rsidR="00F26112">
        <w:rPr>
          <w:color w:val="000000" w:themeColor="text1"/>
        </w:rPr>
        <w:t>, and c</w:t>
      </w:r>
      <w:r w:rsidR="003978B5">
        <w:rPr>
          <w:color w:val="000000" w:themeColor="text1"/>
        </w:rPr>
        <w:t>omplete data</w:t>
      </w:r>
      <w:r w:rsidR="00332E7C">
        <w:rPr>
          <w:color w:val="000000" w:themeColor="text1"/>
        </w:rPr>
        <w:t xml:space="preserve">base </w:t>
      </w:r>
      <w:r w:rsidR="003978B5">
        <w:rPr>
          <w:color w:val="000000" w:themeColor="text1"/>
        </w:rPr>
        <w:t>updates and system testing</w:t>
      </w:r>
      <w:r w:rsidR="00F26112">
        <w:rPr>
          <w:color w:val="000000" w:themeColor="text1"/>
        </w:rPr>
        <w:t xml:space="preserve">. </w:t>
      </w:r>
      <w:r w:rsidRPr="003B5B1E" w:rsidR="0F971A70">
        <w:rPr>
          <w:color w:val="000000" w:themeColor="text1"/>
        </w:rPr>
        <w:t>This</w:t>
      </w:r>
      <w:r w:rsidR="00511B37">
        <w:rPr>
          <w:color w:val="000000" w:themeColor="text1"/>
        </w:rPr>
        <w:t xml:space="preserve"> phased</w:t>
      </w:r>
      <w:r w:rsidRPr="003B5B1E" w:rsidR="0F971A70">
        <w:rPr>
          <w:color w:val="000000" w:themeColor="text1"/>
        </w:rPr>
        <w:t xml:space="preserve"> approach </w:t>
      </w:r>
      <w:r w:rsidR="00697A62">
        <w:rPr>
          <w:color w:val="000000" w:themeColor="text1"/>
        </w:rPr>
        <w:t>balances</w:t>
      </w:r>
      <w:r w:rsidRPr="003B5B1E" w:rsidR="0F971A70">
        <w:rPr>
          <w:color w:val="000000" w:themeColor="text1"/>
        </w:rPr>
        <w:t xml:space="preserve"> alignment with </w:t>
      </w:r>
      <w:r w:rsidR="00697A62">
        <w:rPr>
          <w:color w:val="000000" w:themeColor="text1"/>
        </w:rPr>
        <w:t xml:space="preserve">updated </w:t>
      </w:r>
      <w:r w:rsidRPr="003B5B1E" w:rsidR="0F971A70">
        <w:rPr>
          <w:color w:val="000000" w:themeColor="text1"/>
        </w:rPr>
        <w:t xml:space="preserve">OMB </w:t>
      </w:r>
      <w:r w:rsidR="00996197">
        <w:rPr>
          <w:color w:val="000000" w:themeColor="text1"/>
        </w:rPr>
        <w:t xml:space="preserve">and NIH </w:t>
      </w:r>
      <w:r w:rsidR="001701F1">
        <w:rPr>
          <w:color w:val="000000" w:themeColor="text1"/>
        </w:rPr>
        <w:t>r</w:t>
      </w:r>
      <w:r w:rsidRPr="003B5B1E" w:rsidR="0F971A70">
        <w:rPr>
          <w:color w:val="000000" w:themeColor="text1"/>
        </w:rPr>
        <w:t>equirements</w:t>
      </w:r>
      <w:r w:rsidR="00697A62">
        <w:rPr>
          <w:color w:val="000000" w:themeColor="text1"/>
        </w:rPr>
        <w:t xml:space="preserve"> and the need to minimize </w:t>
      </w:r>
      <w:r w:rsidRPr="0059725C" w:rsidR="0F971A70">
        <w:rPr>
          <w:color w:val="000000" w:themeColor="text1"/>
        </w:rPr>
        <w:t>disruption to data submitters.</w:t>
      </w:r>
    </w:p>
    <w:p w:rsidR="005720D5" w:rsidP="002116D5" w14:paraId="3031D51C" w14:textId="77777777">
      <w:pPr>
        <w:tabs>
          <w:tab w:val="num" w:pos="810"/>
        </w:tabs>
        <w:ind w:left="720"/>
        <w:rPr>
          <w:color w:val="000000" w:themeColor="text1"/>
        </w:rPr>
      </w:pPr>
    </w:p>
    <w:p w:rsidR="005720D5" w:rsidRPr="00C51E98" w:rsidP="005720D5" w14:paraId="627EC2D3" w14:textId="2911E43A">
      <w:pPr>
        <w:tabs>
          <w:tab w:val="num" w:pos="810"/>
        </w:tabs>
        <w:ind w:left="720"/>
        <w:rPr>
          <w:color w:val="000000" w:themeColor="text1"/>
          <w:highlight w:val="yellow"/>
        </w:rPr>
      </w:pPr>
      <w:r w:rsidRPr="00C51E98">
        <w:rPr>
          <w:color w:val="000000" w:themeColor="text1"/>
          <w:highlight w:val="yellow"/>
        </w:rPr>
        <w:t>Regarding</w:t>
      </w:r>
      <w:r w:rsidRPr="00C51E98" w:rsidR="0B65C2D8">
        <w:rPr>
          <w:color w:val="000000" w:themeColor="text1"/>
          <w:highlight w:val="yellow"/>
        </w:rPr>
        <w:t xml:space="preserve"> </w:t>
      </w:r>
      <w:r w:rsidRPr="00C51E98" w:rsidR="79329209">
        <w:rPr>
          <w:color w:val="000000" w:themeColor="text1"/>
          <w:highlight w:val="yellow"/>
        </w:rPr>
        <w:t xml:space="preserve">sex data collection, ClinicalTrials.gov </w:t>
      </w:r>
      <w:r w:rsidRPr="00C51E98" w:rsidR="4D8EE2D0">
        <w:rPr>
          <w:color w:val="000000" w:themeColor="text1"/>
          <w:highlight w:val="yellow"/>
        </w:rPr>
        <w:t>complies</w:t>
      </w:r>
      <w:r w:rsidRPr="00C51E98" w:rsidR="6CDBBA67">
        <w:rPr>
          <w:color w:val="000000" w:themeColor="text1"/>
          <w:highlight w:val="yellow"/>
        </w:rPr>
        <w:t xml:space="preserve"> with</w:t>
      </w:r>
      <w:r w:rsidRPr="00C51E98" w:rsidR="1AD35349">
        <w:rPr>
          <w:color w:val="000000" w:themeColor="text1"/>
          <w:highlight w:val="yellow"/>
        </w:rPr>
        <w:t xml:space="preserve"> both</w:t>
      </w:r>
      <w:r w:rsidRPr="00C51E98" w:rsidR="6CDBBA67">
        <w:rPr>
          <w:color w:val="000000" w:themeColor="text1"/>
          <w:highlight w:val="yellow"/>
        </w:rPr>
        <w:t xml:space="preserve"> </w:t>
      </w:r>
      <w:r w:rsidRPr="00C51E98" w:rsidR="7D95A23E">
        <w:rPr>
          <w:color w:val="000000" w:themeColor="text1"/>
          <w:highlight w:val="yellow"/>
        </w:rPr>
        <w:t>Executive Order 14168</w:t>
      </w:r>
      <w:r w:rsidRPr="00C51E98" w:rsidR="4042A2E7">
        <w:rPr>
          <w:color w:val="000000" w:themeColor="text1"/>
          <w:highlight w:val="yellow"/>
        </w:rPr>
        <w:t xml:space="preserve"> </w:t>
      </w:r>
      <w:r w:rsidRPr="00C51E98" w:rsidR="514BEB71">
        <w:rPr>
          <w:color w:val="000000" w:themeColor="text1"/>
          <w:highlight w:val="yellow"/>
        </w:rPr>
        <w:t xml:space="preserve">and </w:t>
      </w:r>
      <w:r w:rsidRPr="00C51E98" w:rsidR="5425A4A7">
        <w:rPr>
          <w:color w:val="000000" w:themeColor="text1"/>
          <w:highlight w:val="yellow"/>
        </w:rPr>
        <w:t xml:space="preserve">42 CFR Part 11. </w:t>
      </w:r>
      <w:r w:rsidRPr="57AF01AB" w:rsidR="6FD5A686">
        <w:rPr>
          <w:color w:val="000000" w:themeColor="text1"/>
          <w:highlight w:val="yellow"/>
        </w:rPr>
        <w:t>C</w:t>
      </w:r>
      <w:r w:rsidRPr="57AF01AB" w:rsidR="071A2491">
        <w:rPr>
          <w:color w:val="000000" w:themeColor="text1"/>
          <w:highlight w:val="yellow"/>
        </w:rPr>
        <w:t>o</w:t>
      </w:r>
      <w:r w:rsidRPr="57AF01AB" w:rsidR="6FD5A686">
        <w:rPr>
          <w:color w:val="000000" w:themeColor="text1"/>
          <w:highlight w:val="yellow"/>
        </w:rPr>
        <w:t>nsistent</w:t>
      </w:r>
      <w:r w:rsidRPr="30594738" w:rsidR="6FD5A686">
        <w:rPr>
          <w:color w:val="000000" w:themeColor="text1"/>
          <w:highlight w:val="yellow"/>
        </w:rPr>
        <w:t xml:space="preserve"> with </w:t>
      </w:r>
      <w:r w:rsidRPr="008B2CCF" w:rsidR="6FD5A686">
        <w:rPr>
          <w:color w:val="000000" w:themeColor="text1"/>
          <w:highlight w:val="yellow"/>
        </w:rPr>
        <w:t xml:space="preserve">the </w:t>
      </w:r>
      <w:r w:rsidRPr="008B2CCF" w:rsidR="0AF93736">
        <w:rPr>
          <w:color w:val="000000" w:themeColor="text1"/>
          <w:highlight w:val="yellow"/>
        </w:rPr>
        <w:t>preamble section of 42 CFR Part 11,</w:t>
      </w:r>
      <w:r w:rsidRPr="008B2CCF" w:rsidR="6FD5A686">
        <w:rPr>
          <w:color w:val="000000" w:themeColor="text1"/>
          <w:highlight w:val="yellow"/>
        </w:rPr>
        <w:t xml:space="preserve"> </w:t>
      </w:r>
      <w:r w:rsidRPr="5CBCBA89" w:rsidR="077F0A7A">
        <w:rPr>
          <w:color w:val="000000" w:themeColor="text1"/>
          <w:highlight w:val="yellow"/>
        </w:rPr>
        <w:t>ClinicalTrials</w:t>
      </w:r>
      <w:r w:rsidRPr="00C51E98" w:rsidR="077F0A7A">
        <w:rPr>
          <w:color w:val="000000" w:themeColor="text1"/>
          <w:highlight w:val="yellow"/>
        </w:rPr>
        <w:t xml:space="preserve">.gov </w:t>
      </w:r>
      <w:r w:rsidRPr="008B2CCF" w:rsidR="00F67BAE">
        <w:rPr>
          <w:color w:val="000000" w:themeColor="text1"/>
          <w:highlight w:val="yellow"/>
        </w:rPr>
        <w:t>a</w:t>
      </w:r>
      <w:r w:rsidRPr="008B2CCF" w:rsidR="4E09C992">
        <w:rPr>
          <w:color w:val="000000" w:themeColor="text1"/>
          <w:highlight w:val="yellow"/>
        </w:rPr>
        <w:t>dopted</w:t>
      </w:r>
      <w:r w:rsidRPr="00C51E98" w:rsidR="077F0A7A">
        <w:rPr>
          <w:color w:val="000000" w:themeColor="text1"/>
          <w:highlight w:val="yellow"/>
        </w:rPr>
        <w:t xml:space="preserve"> a standardized </w:t>
      </w:r>
      <w:r w:rsidRPr="00C51E98" w:rsidR="4042A2E7">
        <w:rPr>
          <w:color w:val="000000" w:themeColor="text1"/>
          <w:highlight w:val="yellow"/>
        </w:rPr>
        <w:t xml:space="preserve">“Sex” data element </w:t>
      </w:r>
      <w:r w:rsidRPr="00C51E98" w:rsidR="077F0A7A">
        <w:rPr>
          <w:color w:val="000000" w:themeColor="text1"/>
          <w:highlight w:val="yellow"/>
        </w:rPr>
        <w:t>with</w:t>
      </w:r>
      <w:r w:rsidRPr="00C51E98" w:rsidR="1C88DF7B">
        <w:rPr>
          <w:color w:val="000000" w:themeColor="text1"/>
          <w:highlight w:val="yellow"/>
        </w:rPr>
        <w:t xml:space="preserve"> </w:t>
      </w:r>
      <w:r w:rsidRPr="00C51E98" w:rsidR="5C5BFF82">
        <w:rPr>
          <w:color w:val="000000" w:themeColor="text1"/>
          <w:highlight w:val="yellow"/>
        </w:rPr>
        <w:t xml:space="preserve">three </w:t>
      </w:r>
      <w:r w:rsidRPr="00C51E98" w:rsidR="4042A2E7">
        <w:rPr>
          <w:color w:val="000000" w:themeColor="text1"/>
          <w:highlight w:val="yellow"/>
        </w:rPr>
        <w:t>options: “male”, “female</w:t>
      </w:r>
      <w:r w:rsidRPr="00C51E98" w:rsidR="0077223B">
        <w:rPr>
          <w:color w:val="000000" w:themeColor="text1"/>
          <w:highlight w:val="yellow"/>
        </w:rPr>
        <w:t>”,</w:t>
      </w:r>
      <w:r w:rsidRPr="00C51E98" w:rsidR="4042A2E7">
        <w:rPr>
          <w:color w:val="000000" w:themeColor="text1"/>
          <w:highlight w:val="yellow"/>
        </w:rPr>
        <w:t xml:space="preserve"> and “all” (indicating that the recruitment criteria do not limit eligibility based on sex). </w:t>
      </w:r>
    </w:p>
    <w:p w:rsidR="00AF6D91" w:rsidRPr="00C51E98" w:rsidP="005720D5" w14:paraId="7F4F2F31" w14:textId="77777777">
      <w:pPr>
        <w:tabs>
          <w:tab w:val="num" w:pos="810"/>
        </w:tabs>
        <w:ind w:left="720"/>
        <w:rPr>
          <w:color w:val="000000" w:themeColor="text1"/>
          <w:highlight w:val="yellow"/>
        </w:rPr>
      </w:pPr>
    </w:p>
    <w:p w:rsidR="00305831" w:rsidRPr="008B2CCF" w:rsidP="006D15E4" w14:paraId="5CE71ADE" w14:textId="48A17D8C">
      <w:pPr>
        <w:tabs>
          <w:tab w:val="num" w:pos="810"/>
        </w:tabs>
        <w:ind w:left="720"/>
        <w:rPr>
          <w:color w:val="000000" w:themeColor="text1"/>
          <w:highlight w:val="yellow"/>
        </w:rPr>
      </w:pPr>
      <w:r w:rsidRPr="7847AC10">
        <w:rPr>
          <w:color w:val="000000" w:themeColor="text1"/>
          <w:highlight w:val="yellow"/>
        </w:rPr>
        <w:t xml:space="preserve">Executive Order 14168 </w:t>
      </w:r>
      <w:r w:rsidRPr="7847AC10" w:rsidR="00970ABC">
        <w:rPr>
          <w:color w:val="000000" w:themeColor="text1"/>
          <w:highlight w:val="yellow"/>
        </w:rPr>
        <w:t>also</w:t>
      </w:r>
      <w:r w:rsidRPr="7847AC10">
        <w:rPr>
          <w:color w:val="000000" w:themeColor="text1"/>
          <w:highlight w:val="yellow"/>
        </w:rPr>
        <w:t xml:space="preserve"> directs that federal </w:t>
      </w:r>
      <w:r w:rsidRPr="7847AC10" w:rsidR="00AE31EB">
        <w:rPr>
          <w:color w:val="000000" w:themeColor="text1"/>
          <w:highlight w:val="yellow"/>
        </w:rPr>
        <w:t xml:space="preserve">forms should not request </w:t>
      </w:r>
      <w:r w:rsidRPr="7847AC10">
        <w:rPr>
          <w:color w:val="000000" w:themeColor="text1"/>
          <w:highlight w:val="yellow"/>
        </w:rPr>
        <w:t>gender identity</w:t>
      </w:r>
      <w:r w:rsidRPr="7847AC10" w:rsidR="006E4463">
        <w:rPr>
          <w:color w:val="000000" w:themeColor="text1"/>
          <w:highlight w:val="yellow"/>
        </w:rPr>
        <w:t xml:space="preserve"> and that federal funds should not be used to promote gender ideology</w:t>
      </w:r>
      <w:r w:rsidRPr="7847AC10">
        <w:rPr>
          <w:color w:val="000000" w:themeColor="text1"/>
          <w:highlight w:val="yellow"/>
        </w:rPr>
        <w:t xml:space="preserve">. </w:t>
      </w:r>
      <w:r w:rsidRPr="7847AC10" w:rsidR="00970ABC">
        <w:rPr>
          <w:color w:val="000000" w:themeColor="text1"/>
          <w:highlight w:val="yellow"/>
        </w:rPr>
        <w:t>In line</w:t>
      </w:r>
      <w:r w:rsidRPr="7847AC10" w:rsidR="006E4463">
        <w:rPr>
          <w:color w:val="000000" w:themeColor="text1"/>
          <w:highlight w:val="yellow"/>
        </w:rPr>
        <w:t xml:space="preserve"> with these directives, the </w:t>
      </w:r>
      <w:r w:rsidRPr="7847AC10">
        <w:rPr>
          <w:color w:val="000000" w:themeColor="text1"/>
          <w:highlight w:val="yellow"/>
        </w:rPr>
        <w:t>gender-related data elements are not mandatory for all studies and do not impose requirements</w:t>
      </w:r>
      <w:r w:rsidRPr="7847AC10" w:rsidR="00347366">
        <w:rPr>
          <w:color w:val="000000" w:themeColor="text1"/>
          <w:highlight w:val="yellow"/>
        </w:rPr>
        <w:t xml:space="preserve"> on study design or data collection</w:t>
      </w:r>
      <w:r w:rsidRPr="7847AC10">
        <w:rPr>
          <w:color w:val="000000" w:themeColor="text1"/>
          <w:highlight w:val="yellow"/>
        </w:rPr>
        <w:t xml:space="preserve">. </w:t>
      </w:r>
      <w:r w:rsidR="00C31002">
        <w:rPr>
          <w:color w:val="000000" w:themeColor="text1"/>
          <w:highlight w:val="yellow"/>
        </w:rPr>
        <w:t>R</w:t>
      </w:r>
      <w:r w:rsidRPr="06B3A514" w:rsidR="33BCC177">
        <w:rPr>
          <w:color w:val="000000" w:themeColor="text1"/>
          <w:highlight w:val="yellow"/>
        </w:rPr>
        <w:t xml:space="preserve">esponsible parties </w:t>
      </w:r>
      <w:r w:rsidR="00CC13C3">
        <w:rPr>
          <w:color w:val="000000" w:themeColor="text1"/>
          <w:highlight w:val="yellow"/>
        </w:rPr>
        <w:t>must</w:t>
      </w:r>
      <w:r w:rsidR="00244288">
        <w:rPr>
          <w:color w:val="000000" w:themeColor="text1"/>
          <w:highlight w:val="yellow"/>
        </w:rPr>
        <w:t xml:space="preserve"> </w:t>
      </w:r>
      <w:r w:rsidRPr="06B3A514" w:rsidR="33BCC177">
        <w:rPr>
          <w:color w:val="000000" w:themeColor="text1"/>
          <w:highlight w:val="yellow"/>
        </w:rPr>
        <w:t xml:space="preserve">provide </w:t>
      </w:r>
      <w:r w:rsidRPr="65EB11F2" w:rsidR="33BCC177">
        <w:rPr>
          <w:color w:val="000000" w:themeColor="text1"/>
          <w:highlight w:val="yellow"/>
        </w:rPr>
        <w:t xml:space="preserve">gender information for </w:t>
      </w:r>
      <w:r w:rsidRPr="7101D1C8" w:rsidR="33BCC177">
        <w:rPr>
          <w:color w:val="000000" w:themeColor="text1"/>
          <w:highlight w:val="yellow"/>
        </w:rPr>
        <w:t xml:space="preserve">applicable clinical trials </w:t>
      </w:r>
      <w:r w:rsidRPr="66447380" w:rsidR="33BCC177">
        <w:rPr>
          <w:color w:val="000000" w:themeColor="text1"/>
          <w:highlight w:val="yellow"/>
        </w:rPr>
        <w:t>and expanded access when it</w:t>
      </w:r>
      <w:r w:rsidRPr="523DD3A2" w:rsidR="33BCC177">
        <w:rPr>
          <w:color w:val="000000" w:themeColor="text1"/>
          <w:highlight w:val="yellow"/>
        </w:rPr>
        <w:t xml:space="preserve"> is applicable </w:t>
      </w:r>
      <w:r w:rsidRPr="01C3563A" w:rsidR="33BCC177">
        <w:rPr>
          <w:color w:val="000000" w:themeColor="text1"/>
          <w:highlight w:val="yellow"/>
        </w:rPr>
        <w:t xml:space="preserve">to the study </w:t>
      </w:r>
      <w:r w:rsidRPr="5C4D08C7" w:rsidR="33BCC177">
        <w:rPr>
          <w:color w:val="000000" w:themeColor="text1"/>
          <w:highlight w:val="yellow"/>
        </w:rPr>
        <w:t xml:space="preserve">protocol and has been </w:t>
      </w:r>
      <w:r w:rsidRPr="7ACF6A8C" w:rsidR="33BCC177">
        <w:rPr>
          <w:color w:val="000000" w:themeColor="text1"/>
          <w:highlight w:val="yellow"/>
        </w:rPr>
        <w:t>colle</w:t>
      </w:r>
      <w:r w:rsidRPr="7ACF6A8C" w:rsidR="7A5EA298">
        <w:rPr>
          <w:color w:val="000000" w:themeColor="text1"/>
          <w:highlight w:val="yellow"/>
        </w:rPr>
        <w:t>c</w:t>
      </w:r>
      <w:r w:rsidRPr="7ACF6A8C" w:rsidR="33BCC177">
        <w:rPr>
          <w:color w:val="000000" w:themeColor="text1"/>
          <w:highlight w:val="yellow"/>
        </w:rPr>
        <w:t>ted</w:t>
      </w:r>
      <w:r w:rsidRPr="638F211A" w:rsidR="33BCC177">
        <w:rPr>
          <w:color w:val="000000" w:themeColor="text1"/>
          <w:highlight w:val="yellow"/>
        </w:rPr>
        <w:t xml:space="preserve"> from study </w:t>
      </w:r>
      <w:r w:rsidRPr="3A565F3A" w:rsidR="33BCC177">
        <w:rPr>
          <w:color w:val="000000" w:themeColor="text1"/>
          <w:highlight w:val="yellow"/>
        </w:rPr>
        <w:t>participants</w:t>
      </w:r>
      <w:r w:rsidR="00F1475F">
        <w:rPr>
          <w:color w:val="000000" w:themeColor="text1"/>
          <w:highlight w:val="yellow"/>
        </w:rPr>
        <w:t>,</w:t>
      </w:r>
      <w:r w:rsidR="00244288">
        <w:rPr>
          <w:color w:val="000000" w:themeColor="text1"/>
          <w:highlight w:val="yellow"/>
        </w:rPr>
        <w:t xml:space="preserve"> </w:t>
      </w:r>
      <w:r w:rsidR="00B03C1C">
        <w:rPr>
          <w:color w:val="000000" w:themeColor="text1"/>
          <w:highlight w:val="yellow"/>
        </w:rPr>
        <w:t xml:space="preserve">in accordance with </w:t>
      </w:r>
      <w:r w:rsidR="00244288">
        <w:rPr>
          <w:color w:val="000000" w:themeColor="text1"/>
          <w:highlight w:val="yellow"/>
        </w:rPr>
        <w:t>s</w:t>
      </w:r>
      <w:r w:rsidRPr="566FB3A4" w:rsidR="00244288">
        <w:rPr>
          <w:color w:val="000000" w:themeColor="text1"/>
          <w:highlight w:val="yellow"/>
        </w:rPr>
        <w:t>tatutory</w:t>
      </w:r>
      <w:r w:rsidRPr="51AA92F5" w:rsidR="00244288">
        <w:rPr>
          <w:color w:val="000000" w:themeColor="text1"/>
          <w:highlight w:val="yellow"/>
        </w:rPr>
        <w:t xml:space="preserve"> and</w:t>
      </w:r>
      <w:r w:rsidRPr="5BCF9E5E" w:rsidR="00244288">
        <w:rPr>
          <w:color w:val="000000" w:themeColor="text1"/>
          <w:highlight w:val="yellow"/>
        </w:rPr>
        <w:t xml:space="preserve"> regulatory requirements</w:t>
      </w:r>
      <w:r w:rsidRPr="1B5E426F" w:rsidR="0878E3DB">
        <w:rPr>
          <w:color w:val="000000" w:themeColor="text1"/>
          <w:highlight w:val="yellow"/>
        </w:rPr>
        <w:t xml:space="preserve"> </w:t>
      </w:r>
      <w:r w:rsidRPr="008B2CCF" w:rsidR="0878E3DB">
        <w:rPr>
          <w:color w:val="000000" w:themeColor="text1"/>
          <w:highlight w:val="yellow"/>
        </w:rPr>
        <w:t xml:space="preserve">(402(j)(2)(A)(ii)(II)(bb), 42 CFR 11.28(a)(2)(ii)(B), 42 CFR 11.28(c)(2)(ii), 42 CFR 11.48(a)(2)(iii), 42 CFR 11.48(a)(7)(i), 42 CFR 11.60(b)(2)(i)(B)). </w:t>
      </w:r>
    </w:p>
    <w:p w:rsidR="002658B4" w:rsidP="7AAABE26" w14:paraId="47296C32" w14:textId="77777777">
      <w:pPr>
        <w:tabs>
          <w:tab w:val="num" w:pos="810"/>
        </w:tabs>
        <w:ind w:left="720"/>
        <w:rPr>
          <w:color w:val="000000" w:themeColor="text1"/>
          <w:highlight w:val="yellow"/>
        </w:rPr>
      </w:pPr>
    </w:p>
    <w:p w:rsidR="00C66F8E" w:rsidRPr="00581542" w:rsidP="7AAABE26" w14:paraId="7F76AD31" w14:textId="65771D7D">
      <w:pPr>
        <w:tabs>
          <w:tab w:val="num" w:pos="810"/>
        </w:tabs>
        <w:ind w:left="720"/>
        <w:rPr>
          <w:color w:val="000000" w:themeColor="text1"/>
        </w:rPr>
      </w:pPr>
      <w:r w:rsidRPr="185C47A4">
        <w:rPr>
          <w:color w:val="000000" w:themeColor="text1"/>
          <w:highlight w:val="yellow"/>
        </w:rPr>
        <w:t>ClinicalTrials.gov</w:t>
      </w:r>
      <w:r w:rsidRPr="5253F8C5">
        <w:rPr>
          <w:color w:val="000000" w:themeColor="text1"/>
          <w:highlight w:val="yellow"/>
        </w:rPr>
        <w:t xml:space="preserve"> </w:t>
      </w:r>
      <w:r w:rsidRPr="008B2CCF" w:rsidR="00513ADD">
        <w:rPr>
          <w:color w:val="000000" w:themeColor="text1"/>
          <w:highlight w:val="yellow"/>
        </w:rPr>
        <w:t xml:space="preserve">accommodates studies that collected participant gender information </w:t>
      </w:r>
      <w:r w:rsidRPr="008B2CCF" w:rsidR="00DF1647">
        <w:rPr>
          <w:color w:val="000000" w:themeColor="text1"/>
          <w:highlight w:val="yellow"/>
        </w:rPr>
        <w:t xml:space="preserve">as part </w:t>
      </w:r>
      <w:r w:rsidRPr="008B2CCF" w:rsidR="00E777F8">
        <w:rPr>
          <w:color w:val="000000" w:themeColor="text1"/>
          <w:highlight w:val="yellow"/>
        </w:rPr>
        <w:t xml:space="preserve">of </w:t>
      </w:r>
      <w:r w:rsidRPr="008B2CCF" w:rsidR="00644C50">
        <w:rPr>
          <w:color w:val="000000" w:themeColor="text1"/>
          <w:highlight w:val="yellow"/>
        </w:rPr>
        <w:t xml:space="preserve">an </w:t>
      </w:r>
      <w:r w:rsidRPr="008B2CCF" w:rsidR="00E777F8">
        <w:rPr>
          <w:color w:val="000000" w:themeColor="text1"/>
          <w:highlight w:val="yellow"/>
        </w:rPr>
        <w:t xml:space="preserve">approved study protocol </w:t>
      </w:r>
      <w:r w:rsidRPr="008B2CCF" w:rsidR="00513ADD">
        <w:rPr>
          <w:color w:val="000000" w:themeColor="text1"/>
          <w:highlight w:val="yellow"/>
        </w:rPr>
        <w:t xml:space="preserve">prior to the Executive Order and supports a range of </w:t>
      </w:r>
      <w:r w:rsidRPr="008B2CCF" w:rsidR="005B2B82">
        <w:rPr>
          <w:color w:val="000000" w:themeColor="text1"/>
          <w:highlight w:val="yellow"/>
        </w:rPr>
        <w:t xml:space="preserve">study </w:t>
      </w:r>
      <w:r w:rsidRPr="008B2CCF" w:rsidR="00513ADD">
        <w:rPr>
          <w:color w:val="000000" w:themeColor="text1"/>
          <w:highlight w:val="yellow"/>
        </w:rPr>
        <w:t xml:space="preserve">designs regardless of sponsor or location. </w:t>
      </w:r>
      <w:r w:rsidRPr="008B2CCF" w:rsidR="00A86FA7">
        <w:rPr>
          <w:color w:val="000000" w:themeColor="text1"/>
          <w:highlight w:val="yellow"/>
        </w:rPr>
        <w:t>ClinicalTrials.gov’s</w:t>
      </w:r>
      <w:r w:rsidRPr="008B2CCF" w:rsidR="00036C6A">
        <w:rPr>
          <w:color w:val="000000" w:themeColor="text1"/>
          <w:highlight w:val="yellow"/>
        </w:rPr>
        <w:t xml:space="preserve"> </w:t>
      </w:r>
      <w:r w:rsidRPr="008B2CCF" w:rsidR="00665E13">
        <w:rPr>
          <w:color w:val="000000" w:themeColor="text1"/>
          <w:highlight w:val="yellow"/>
        </w:rPr>
        <w:t>gender data element</w:t>
      </w:r>
      <w:r w:rsidRPr="008B2CCF" w:rsidR="00B334AC">
        <w:rPr>
          <w:color w:val="000000" w:themeColor="text1"/>
          <w:highlight w:val="yellow"/>
        </w:rPr>
        <w:t>s</w:t>
      </w:r>
      <w:r w:rsidRPr="008B2CCF" w:rsidR="00EB44D3">
        <w:rPr>
          <w:color w:val="000000" w:themeColor="text1"/>
          <w:highlight w:val="yellow"/>
        </w:rPr>
        <w:t xml:space="preserve"> comply with </w:t>
      </w:r>
      <w:r w:rsidRPr="008B2CCF" w:rsidR="55FAA1B8">
        <w:rPr>
          <w:color w:val="000000" w:themeColor="text1"/>
          <w:highlight w:val="yellow"/>
        </w:rPr>
        <w:t>required</w:t>
      </w:r>
      <w:r w:rsidRPr="008B2CCF" w:rsidR="00276107">
        <w:rPr>
          <w:color w:val="000000" w:themeColor="text1"/>
          <w:highlight w:val="yellow"/>
        </w:rPr>
        <w:t xml:space="preserve"> </w:t>
      </w:r>
      <w:r w:rsidRPr="008B2CCF" w:rsidR="00EB44D3">
        <w:rPr>
          <w:color w:val="000000" w:themeColor="text1"/>
          <w:highlight w:val="yellow"/>
        </w:rPr>
        <w:t xml:space="preserve">study design </w:t>
      </w:r>
      <w:r w:rsidRPr="008B2CCF" w:rsidR="009E04AA">
        <w:rPr>
          <w:color w:val="000000" w:themeColor="text1"/>
          <w:highlight w:val="yellow"/>
        </w:rPr>
        <w:t xml:space="preserve">and results </w:t>
      </w:r>
      <w:r w:rsidRPr="008B2CCF" w:rsidR="00EB44D3">
        <w:rPr>
          <w:color w:val="000000" w:themeColor="text1"/>
          <w:highlight w:val="yellow"/>
        </w:rPr>
        <w:t>data reporting</w:t>
      </w:r>
      <w:r w:rsidRPr="008B2CCF" w:rsidR="009E04AA">
        <w:rPr>
          <w:color w:val="000000" w:themeColor="text1"/>
          <w:highlight w:val="yellow"/>
        </w:rPr>
        <w:t>, if applicable</w:t>
      </w:r>
      <w:r w:rsidRPr="008B2CCF" w:rsidR="00EB44D3">
        <w:rPr>
          <w:color w:val="000000" w:themeColor="text1"/>
          <w:highlight w:val="yellow"/>
        </w:rPr>
        <w:t>.</w:t>
      </w:r>
      <w:r w:rsidRPr="008B2CCF" w:rsidR="00FE2257">
        <w:rPr>
          <w:color w:val="000000" w:themeColor="text1"/>
          <w:highlight w:val="yellow"/>
        </w:rPr>
        <w:t xml:space="preserve"> </w:t>
      </w:r>
      <w:r w:rsidRPr="008B2CCF" w:rsidR="00513ADD">
        <w:rPr>
          <w:color w:val="000000" w:themeColor="text1"/>
          <w:highlight w:val="yellow"/>
        </w:rPr>
        <w:t xml:space="preserve">This collection </w:t>
      </w:r>
      <w:r w:rsidRPr="008B2CCF" w:rsidR="006E5EE2">
        <w:rPr>
          <w:color w:val="000000" w:themeColor="text1"/>
          <w:highlight w:val="yellow"/>
        </w:rPr>
        <w:t xml:space="preserve">therefore </w:t>
      </w:r>
      <w:r w:rsidRPr="008B2CCF" w:rsidR="00513ADD">
        <w:rPr>
          <w:color w:val="000000" w:themeColor="text1"/>
          <w:highlight w:val="yellow"/>
        </w:rPr>
        <w:t>complies with 42 CFR Part 11 and is consistent with Executive Order 14168, which directs implementation in accordance with applicable law.</w:t>
      </w:r>
      <w:r w:rsidRPr="00513ADD" w:rsidR="00513ADD">
        <w:rPr>
          <w:color w:val="000000" w:themeColor="text1"/>
        </w:rPr>
        <w:t xml:space="preserve"> </w:t>
      </w:r>
    </w:p>
    <w:p w:rsidR="00C66F8E" w:rsidRPr="00581542" w:rsidP="006D15E4" w14:paraId="1B147AD1" w14:textId="1C528366">
      <w:pPr>
        <w:tabs>
          <w:tab w:val="num" w:pos="810"/>
        </w:tabs>
        <w:ind w:left="720"/>
        <w:rPr>
          <w:color w:val="000000" w:themeColor="text1"/>
        </w:rPr>
      </w:pPr>
    </w:p>
    <w:p w:rsidR="00C66F8E" w:rsidRPr="00581542" w:rsidP="002533BB" w14:paraId="7BB871B3" w14:textId="77777777">
      <w:pPr>
        <w:ind w:left="720" w:hanging="720"/>
        <w:rPr>
          <w:b/>
          <w:color w:val="000000" w:themeColor="text1"/>
          <w:u w:val="single"/>
        </w:rPr>
      </w:pPr>
      <w:r w:rsidRPr="00581542">
        <w:rPr>
          <w:b/>
          <w:color w:val="000000" w:themeColor="text1"/>
        </w:rPr>
        <w:t>A.8</w:t>
      </w:r>
      <w:r w:rsidRPr="00581542">
        <w:rPr>
          <w:b/>
          <w:color w:val="000000" w:themeColor="text1"/>
        </w:rPr>
        <w:tab/>
      </w:r>
      <w:r w:rsidRPr="00581542">
        <w:rPr>
          <w:b/>
          <w:color w:val="000000" w:themeColor="text1"/>
          <w:u w:val="single"/>
        </w:rPr>
        <w:t>Comments in Response to the Federal Register Notice and Efforts to Consult Outside the Agency</w:t>
      </w:r>
    </w:p>
    <w:p w:rsidR="00EB5CAD" w:rsidRPr="00581542" w:rsidP="002533BB" w14:paraId="6DEEE5B2" w14:textId="77777777">
      <w:pPr>
        <w:ind w:left="720" w:hanging="720"/>
        <w:rPr>
          <w:b/>
          <w:color w:val="000000" w:themeColor="text1"/>
        </w:rPr>
      </w:pPr>
    </w:p>
    <w:p w:rsidR="002770D9" w:rsidRPr="00581542" w:rsidP="002533BB" w14:paraId="053DC5E6" w14:textId="12D429D9">
      <w:pPr>
        <w:ind w:left="720"/>
        <w:rPr>
          <w:color w:val="C00000"/>
        </w:rPr>
      </w:pPr>
      <w:r w:rsidRPr="00C51E98">
        <w:rPr>
          <w:highlight w:val="yellow"/>
        </w:rPr>
        <w:t xml:space="preserve">The information </w:t>
      </w:r>
      <w:r w:rsidRPr="00C51E98">
        <w:rPr>
          <w:highlight w:val="yellow"/>
        </w:rPr>
        <w:t>collection</w:t>
      </w:r>
      <w:r w:rsidRPr="00C51E98">
        <w:rPr>
          <w:highlight w:val="yellow"/>
        </w:rPr>
        <w:t xml:space="preserve"> proposed in this statement was originally published in the Federal Register on </w:t>
      </w:r>
      <w:r w:rsidRPr="00557D05" w:rsidR="0067689E">
        <w:rPr>
          <w:highlight w:val="yellow"/>
        </w:rPr>
        <w:t>November 26</w:t>
      </w:r>
      <w:r w:rsidRPr="00557D05" w:rsidR="0067689E">
        <w:rPr>
          <w:highlight w:val="yellow"/>
          <w:vertAlign w:val="superscript"/>
        </w:rPr>
        <w:t>th</w:t>
      </w:r>
      <w:r w:rsidRPr="00557D05" w:rsidR="00591F76">
        <w:rPr>
          <w:highlight w:val="yellow"/>
        </w:rPr>
        <w:t xml:space="preserve">, </w:t>
      </w:r>
      <w:r w:rsidRPr="00557D05" w:rsidR="008C4A65">
        <w:rPr>
          <w:highlight w:val="yellow"/>
        </w:rPr>
        <w:t>2025</w:t>
      </w:r>
      <w:r w:rsidRPr="00557D05">
        <w:rPr>
          <w:highlight w:val="yellow"/>
        </w:rPr>
        <w:t xml:space="preserve"> (Vol. </w:t>
      </w:r>
      <w:r w:rsidRPr="00557D05" w:rsidR="000D71AF">
        <w:rPr>
          <w:highlight w:val="yellow"/>
        </w:rPr>
        <w:t>90</w:t>
      </w:r>
      <w:r w:rsidRPr="00557D05">
        <w:rPr>
          <w:highlight w:val="yellow"/>
        </w:rPr>
        <w:t xml:space="preserve">, No. </w:t>
      </w:r>
      <w:r w:rsidRPr="00557D05" w:rsidR="000D71AF">
        <w:rPr>
          <w:highlight w:val="yellow"/>
        </w:rPr>
        <w:t>226</w:t>
      </w:r>
      <w:r w:rsidRPr="00557D05">
        <w:rPr>
          <w:highlight w:val="yellow"/>
        </w:rPr>
        <w:t xml:space="preserve">, p. </w:t>
      </w:r>
      <w:r w:rsidRPr="00557D05" w:rsidR="00E36BE8">
        <w:rPr>
          <w:highlight w:val="yellow"/>
        </w:rPr>
        <w:t>54340</w:t>
      </w:r>
      <w:r w:rsidRPr="00557D05">
        <w:rPr>
          <w:highlight w:val="yellow"/>
        </w:rPr>
        <w:t>)</w:t>
      </w:r>
      <w:r w:rsidRPr="00C51E98">
        <w:rPr>
          <w:highlight w:val="yellow"/>
        </w:rPr>
        <w:t xml:space="preserve"> and allowed 60-days for public comment.  </w:t>
      </w:r>
      <w:r w:rsidRPr="00C51E98" w:rsidR="009B3B63">
        <w:rPr>
          <w:highlight w:val="yellow"/>
        </w:rPr>
        <w:t xml:space="preserve">No </w:t>
      </w:r>
      <w:r w:rsidRPr="00C51E98" w:rsidR="00591F76">
        <w:rPr>
          <w:highlight w:val="yellow"/>
        </w:rPr>
        <w:t>public comments were received</w:t>
      </w:r>
      <w:r w:rsidRPr="00C51E98" w:rsidR="009B3B63">
        <w:rPr>
          <w:highlight w:val="yellow"/>
        </w:rPr>
        <w:t>.</w:t>
      </w:r>
    </w:p>
    <w:p w:rsidR="001F1D1C" w:rsidRPr="00581542" w:rsidP="002533BB" w14:paraId="5DD452D5" w14:textId="77777777">
      <w:pPr>
        <w:ind w:left="720"/>
        <w:rPr>
          <w:b/>
          <w:color w:val="000000" w:themeColor="text1"/>
        </w:rPr>
      </w:pPr>
    </w:p>
    <w:p w:rsidR="00C66F8E" w:rsidRPr="00581542" w:rsidP="002533BB" w14:paraId="357A93DD" w14:textId="77777777">
      <w:pPr>
        <w:rPr>
          <w:b/>
          <w:color w:val="000000" w:themeColor="text1"/>
          <w:u w:val="single"/>
        </w:rPr>
      </w:pPr>
      <w:r w:rsidRPr="00581542">
        <w:rPr>
          <w:b/>
          <w:color w:val="000000" w:themeColor="text1"/>
        </w:rPr>
        <w:t>A.9</w:t>
      </w:r>
      <w:r w:rsidRPr="00581542">
        <w:rPr>
          <w:b/>
          <w:color w:val="000000" w:themeColor="text1"/>
        </w:rPr>
        <w:tab/>
      </w:r>
      <w:r w:rsidRPr="00581542">
        <w:rPr>
          <w:b/>
          <w:color w:val="000000" w:themeColor="text1"/>
          <w:u w:val="single"/>
        </w:rPr>
        <w:t>Explanation of Any Payment or Gift to Respondents</w:t>
      </w:r>
    </w:p>
    <w:p w:rsidR="00056C5B" w:rsidRPr="00581542" w:rsidP="002533BB" w14:paraId="3A8760FF" w14:textId="77777777">
      <w:pPr>
        <w:rPr>
          <w:color w:val="000000" w:themeColor="text1"/>
        </w:rPr>
      </w:pPr>
    </w:p>
    <w:p w:rsidR="00C66F8E" w:rsidRPr="00581542" w:rsidP="002533BB" w14:paraId="76A0FD10" w14:textId="77777777">
      <w:pPr>
        <w:tabs>
          <w:tab w:val="left" w:pos="720"/>
        </w:tabs>
        <w:ind w:left="720"/>
        <w:rPr>
          <w:color w:val="000000" w:themeColor="text1"/>
        </w:rPr>
      </w:pPr>
      <w:r w:rsidRPr="00581542">
        <w:rPr>
          <w:color w:val="000000" w:themeColor="text1"/>
        </w:rPr>
        <w:t xml:space="preserve">No gifts or payments are to be offered </w:t>
      </w:r>
      <w:r w:rsidRPr="00581542">
        <w:rPr>
          <w:color w:val="000000" w:themeColor="text1"/>
        </w:rPr>
        <w:t>in regard to</w:t>
      </w:r>
      <w:r w:rsidRPr="00581542">
        <w:rPr>
          <w:color w:val="000000" w:themeColor="text1"/>
        </w:rPr>
        <w:t xml:space="preserve"> this information collection. </w:t>
      </w:r>
    </w:p>
    <w:p w:rsidR="00EE5D37" w:rsidRPr="00581542" w:rsidP="002533BB" w14:paraId="19193445" w14:textId="77777777">
      <w:pPr>
        <w:tabs>
          <w:tab w:val="left" w:pos="720"/>
        </w:tabs>
        <w:ind w:left="720"/>
        <w:rPr>
          <w:color w:val="000000" w:themeColor="text1"/>
        </w:rPr>
      </w:pPr>
    </w:p>
    <w:p w:rsidR="00C66F8E" w:rsidRPr="00581542" w:rsidP="002533BB" w14:paraId="76F6EC71" w14:textId="77777777">
      <w:pPr>
        <w:rPr>
          <w:b/>
          <w:color w:val="000000" w:themeColor="text1"/>
          <w:u w:val="single"/>
        </w:rPr>
      </w:pPr>
      <w:r w:rsidRPr="00581542">
        <w:rPr>
          <w:b/>
          <w:color w:val="000000" w:themeColor="text1"/>
        </w:rPr>
        <w:t xml:space="preserve">A.10 </w:t>
      </w:r>
      <w:r w:rsidRPr="00581542">
        <w:rPr>
          <w:b/>
          <w:color w:val="000000" w:themeColor="text1"/>
        </w:rPr>
        <w:tab/>
      </w:r>
      <w:r w:rsidRPr="00581542">
        <w:rPr>
          <w:b/>
          <w:color w:val="000000" w:themeColor="text1"/>
          <w:u w:val="single"/>
        </w:rPr>
        <w:t>Assurance of Confidentiality Provided to Respondents</w:t>
      </w:r>
    </w:p>
    <w:p w:rsidR="00C66F8E" w:rsidRPr="00581542" w:rsidP="002533BB" w14:paraId="79D99FC9" w14:textId="77777777">
      <w:pPr>
        <w:rPr>
          <w:b/>
          <w:color w:val="000000" w:themeColor="text1"/>
        </w:rPr>
      </w:pPr>
    </w:p>
    <w:p w:rsidR="0065419B" w:rsidRPr="00581542" w:rsidP="002533BB" w14:paraId="5BBF207F" w14:textId="75BBB8A2">
      <w:pPr>
        <w:ind w:left="720"/>
        <w:rPr>
          <w:color w:val="000000" w:themeColor="text1"/>
        </w:rPr>
      </w:pPr>
      <w:r w:rsidRPr="00581542">
        <w:rPr>
          <w:color w:val="000000" w:themeColor="text1"/>
        </w:rPr>
        <w:t>R</w:t>
      </w:r>
      <w:r w:rsidRPr="00581542" w:rsidR="006227D8">
        <w:rPr>
          <w:color w:val="000000" w:themeColor="text1"/>
        </w:rPr>
        <w:t>espondents or data providers establish accounts in the data entry system, the PRS, through which they register and submit results information. The information they submit includes the name and contact info</w:t>
      </w:r>
      <w:r w:rsidRPr="00581542">
        <w:rPr>
          <w:color w:val="000000" w:themeColor="text1"/>
        </w:rPr>
        <w:t>r</w:t>
      </w:r>
      <w:r w:rsidRPr="00581542" w:rsidR="006227D8">
        <w:rPr>
          <w:color w:val="000000" w:themeColor="text1"/>
        </w:rPr>
        <w:t>ma</w:t>
      </w:r>
      <w:r w:rsidRPr="00581542">
        <w:rPr>
          <w:color w:val="000000" w:themeColor="text1"/>
        </w:rPr>
        <w:t>t</w:t>
      </w:r>
      <w:r w:rsidRPr="00581542" w:rsidR="006227D8">
        <w:rPr>
          <w:color w:val="000000" w:themeColor="text1"/>
        </w:rPr>
        <w:t xml:space="preserve">ion of the individual who is authorized to update and maintain data in the PRS. </w:t>
      </w:r>
      <w:r w:rsidRPr="00581542">
        <w:rPr>
          <w:color w:val="000000" w:themeColor="text1"/>
        </w:rPr>
        <w:t>Information about these individuals is not posted on the databank or otherwise made publicly available</w:t>
      </w:r>
      <w:r w:rsidRPr="00581542" w:rsidR="006227D8">
        <w:rPr>
          <w:color w:val="000000" w:themeColor="text1"/>
        </w:rPr>
        <w:t xml:space="preserve">.  </w:t>
      </w:r>
    </w:p>
    <w:p w:rsidR="0065419B" w:rsidRPr="00581542" w:rsidP="002533BB" w14:paraId="4E4E989B" w14:textId="77777777">
      <w:pPr>
        <w:ind w:left="720"/>
        <w:rPr>
          <w:color w:val="000000" w:themeColor="text1"/>
        </w:rPr>
      </w:pPr>
    </w:p>
    <w:p w:rsidR="006227D8" w:rsidRPr="00581542" w:rsidP="002533BB" w14:paraId="38413E70" w14:textId="4FA14AEF">
      <w:pPr>
        <w:ind w:left="720"/>
        <w:rPr>
          <w:color w:val="000000" w:themeColor="text1"/>
        </w:rPr>
      </w:pPr>
      <w:r w:rsidRPr="00581542">
        <w:rPr>
          <w:color w:val="000000" w:themeColor="text1"/>
        </w:rPr>
        <w:t>Information about the sponsor or responsible party for the trial</w:t>
      </w:r>
      <w:r w:rsidRPr="00581542" w:rsidR="00290669">
        <w:rPr>
          <w:color w:val="000000" w:themeColor="text1"/>
        </w:rPr>
        <w:t xml:space="preserve"> also</w:t>
      </w:r>
      <w:r w:rsidRPr="00581542">
        <w:rPr>
          <w:color w:val="000000" w:themeColor="text1"/>
        </w:rPr>
        <w:t xml:space="preserve"> must be submitted</w:t>
      </w:r>
      <w:r w:rsidRPr="00581542" w:rsidR="00D51A2A">
        <w:rPr>
          <w:color w:val="000000" w:themeColor="text1"/>
        </w:rPr>
        <w:t xml:space="preserve"> at the time of trial registration</w:t>
      </w:r>
      <w:r w:rsidRPr="00581542">
        <w:rPr>
          <w:color w:val="000000" w:themeColor="text1"/>
        </w:rPr>
        <w:t xml:space="preserve">, including the name of the sponsor and contact information.  The name </w:t>
      </w:r>
      <w:r w:rsidRPr="00581542" w:rsidR="004E239C">
        <w:rPr>
          <w:color w:val="000000" w:themeColor="text1"/>
        </w:rPr>
        <w:t xml:space="preserve">and title </w:t>
      </w:r>
      <w:r w:rsidRPr="00581542">
        <w:rPr>
          <w:color w:val="000000" w:themeColor="text1"/>
        </w:rPr>
        <w:t xml:space="preserve">of the sponsor or responsible party </w:t>
      </w:r>
      <w:r w:rsidRPr="00581542" w:rsidR="00290669">
        <w:rPr>
          <w:color w:val="000000" w:themeColor="text1"/>
        </w:rPr>
        <w:t xml:space="preserve">are </w:t>
      </w:r>
      <w:r w:rsidRPr="00581542" w:rsidR="004E239C">
        <w:rPr>
          <w:color w:val="000000" w:themeColor="text1"/>
        </w:rPr>
        <w:t xml:space="preserve">publicly posted, but </w:t>
      </w:r>
      <w:r w:rsidRPr="00581542">
        <w:rPr>
          <w:color w:val="000000" w:themeColor="text1"/>
        </w:rPr>
        <w:t xml:space="preserve">contact information is not. </w:t>
      </w:r>
      <w:r w:rsidRPr="00581542" w:rsidR="00D51A2A">
        <w:rPr>
          <w:color w:val="000000" w:themeColor="text1"/>
        </w:rPr>
        <w:t xml:space="preserve">At the time of </w:t>
      </w:r>
      <w:r w:rsidRPr="00581542" w:rsidR="00D51A2A">
        <w:rPr>
          <w:color w:val="000000" w:themeColor="text1"/>
        </w:rPr>
        <w:t>results</w:t>
      </w:r>
      <w:r w:rsidRPr="00581542" w:rsidR="00D51A2A">
        <w:rPr>
          <w:color w:val="000000" w:themeColor="text1"/>
        </w:rPr>
        <w:t xml:space="preserve"> information submission, the name and contact information of the individual who has knowledge of the results must be </w:t>
      </w:r>
      <w:r w:rsidRPr="00581542" w:rsidR="00041CF7">
        <w:rPr>
          <w:color w:val="000000" w:themeColor="text1"/>
        </w:rPr>
        <w:t xml:space="preserve">submitted.  The information is posted </w:t>
      </w:r>
      <w:r w:rsidRPr="00581542" w:rsidR="00041CF7">
        <w:rPr>
          <w:color w:val="000000" w:themeColor="text1"/>
        </w:rPr>
        <w:t>in order to</w:t>
      </w:r>
      <w:r w:rsidRPr="00581542" w:rsidR="00041CF7">
        <w:rPr>
          <w:color w:val="000000" w:themeColor="text1"/>
        </w:rPr>
        <w:t xml:space="preserve"> enable members of the public with questions about the results to seek additional information.</w:t>
      </w:r>
    </w:p>
    <w:p w:rsidR="006227D8" w:rsidRPr="00581542" w:rsidP="002533BB" w14:paraId="3A051725" w14:textId="77777777">
      <w:pPr>
        <w:ind w:left="720"/>
        <w:rPr>
          <w:color w:val="000000" w:themeColor="text1"/>
        </w:rPr>
      </w:pPr>
    </w:p>
    <w:p w:rsidR="000177D6" w:rsidP="002533BB" w14:paraId="7055B2B7" w14:textId="3DFB14BD">
      <w:pPr>
        <w:ind w:left="720"/>
        <w:rPr>
          <w:color w:val="000000" w:themeColor="text1"/>
        </w:rPr>
      </w:pPr>
      <w:r w:rsidRPr="00581542">
        <w:rPr>
          <w:color w:val="000000" w:themeColor="text1"/>
        </w:rPr>
        <w:t>I</w:t>
      </w:r>
      <w:r w:rsidRPr="00581542" w:rsidR="002F3BC7">
        <w:rPr>
          <w:color w:val="000000" w:themeColor="text1"/>
        </w:rPr>
        <w:t>nformation about trial participants</w:t>
      </w:r>
      <w:r w:rsidRPr="00581542">
        <w:rPr>
          <w:color w:val="000000" w:themeColor="text1"/>
        </w:rPr>
        <w:t xml:space="preserve"> is submitted to the databank and made publicly available</w:t>
      </w:r>
      <w:r w:rsidRPr="00581542" w:rsidR="00041CF7">
        <w:rPr>
          <w:color w:val="000000" w:themeColor="text1"/>
        </w:rPr>
        <w:t xml:space="preserve">. </w:t>
      </w:r>
      <w:r w:rsidRPr="00581542">
        <w:rPr>
          <w:color w:val="000000" w:themeColor="text1"/>
        </w:rPr>
        <w:t>The i</w:t>
      </w:r>
      <w:r w:rsidRPr="00581542" w:rsidR="00041CF7">
        <w:rPr>
          <w:color w:val="000000" w:themeColor="text1"/>
        </w:rPr>
        <w:t>nformation is submitted in aggregate form;</w:t>
      </w:r>
      <w:r w:rsidRPr="00581542" w:rsidR="002F3BC7">
        <w:rPr>
          <w:color w:val="000000" w:themeColor="text1"/>
        </w:rPr>
        <w:t xml:space="preserve"> none is individual</w:t>
      </w:r>
      <w:r w:rsidRPr="00581542" w:rsidR="00EE5B2C">
        <w:rPr>
          <w:color w:val="000000" w:themeColor="text1"/>
        </w:rPr>
        <w:t>-</w:t>
      </w:r>
      <w:r w:rsidRPr="00581542" w:rsidR="00041CF7">
        <w:rPr>
          <w:color w:val="000000" w:themeColor="text1"/>
        </w:rPr>
        <w:t>level</w:t>
      </w:r>
      <w:r w:rsidRPr="00581542">
        <w:rPr>
          <w:color w:val="000000" w:themeColor="text1"/>
        </w:rPr>
        <w:t xml:space="preserve"> information. </w:t>
      </w:r>
      <w:r w:rsidRPr="00581542" w:rsidR="00041CF7">
        <w:rPr>
          <w:color w:val="000000" w:themeColor="text1"/>
        </w:rPr>
        <w:t xml:space="preserve">The information falls into </w:t>
      </w:r>
      <w:r w:rsidRPr="00581542">
        <w:rPr>
          <w:color w:val="000000" w:themeColor="text1"/>
        </w:rPr>
        <w:t>two</w:t>
      </w:r>
      <w:r w:rsidRPr="00581542" w:rsidR="00041CF7">
        <w:rPr>
          <w:color w:val="000000" w:themeColor="text1"/>
        </w:rPr>
        <w:t xml:space="preserve"> categories</w:t>
      </w:r>
      <w:r w:rsidRPr="00581542">
        <w:rPr>
          <w:color w:val="000000" w:themeColor="text1"/>
        </w:rPr>
        <w:t>. The first is demographic</w:t>
      </w:r>
      <w:r w:rsidRPr="00581542" w:rsidR="002F3FB7">
        <w:rPr>
          <w:color w:val="000000" w:themeColor="text1"/>
        </w:rPr>
        <w:t xml:space="preserve"> </w:t>
      </w:r>
      <w:r w:rsidRPr="00581542">
        <w:rPr>
          <w:color w:val="000000" w:themeColor="text1"/>
        </w:rPr>
        <w:t xml:space="preserve">information </w:t>
      </w:r>
      <w:r w:rsidRPr="00581542" w:rsidR="00AE6B93">
        <w:rPr>
          <w:color w:val="000000" w:themeColor="text1"/>
        </w:rPr>
        <w:t>consists of</w:t>
      </w:r>
      <w:r w:rsidRPr="00581542">
        <w:rPr>
          <w:color w:val="000000" w:themeColor="text1"/>
        </w:rPr>
        <w:t xml:space="preserve"> </w:t>
      </w:r>
      <w:r w:rsidRPr="00581542" w:rsidR="002F3BC7">
        <w:rPr>
          <w:color w:val="000000" w:themeColor="text1"/>
        </w:rPr>
        <w:t>age, sex</w:t>
      </w:r>
      <w:r w:rsidR="007012B5">
        <w:rPr>
          <w:color w:val="000000" w:themeColor="text1"/>
        </w:rPr>
        <w:t>,</w:t>
      </w:r>
      <w:r w:rsidRPr="00581542" w:rsidR="002F3BC7">
        <w:rPr>
          <w:color w:val="000000" w:themeColor="text1"/>
        </w:rPr>
        <w:t xml:space="preserve"> and race/ethnicity</w:t>
      </w:r>
      <w:r w:rsidRPr="72206B84" w:rsidR="202D6B6D">
        <w:rPr>
          <w:color w:val="000000" w:themeColor="text1"/>
        </w:rPr>
        <w:t>)</w:t>
      </w:r>
      <w:r w:rsidRPr="72206B84">
        <w:rPr>
          <w:color w:val="000000" w:themeColor="text1"/>
        </w:rPr>
        <w:t>.</w:t>
      </w:r>
      <w:r w:rsidRPr="00581542">
        <w:rPr>
          <w:color w:val="000000" w:themeColor="text1"/>
        </w:rPr>
        <w:t xml:space="preserve"> The second is information on the </w:t>
      </w:r>
      <w:r w:rsidRPr="00581542" w:rsidR="002F3BC7">
        <w:rPr>
          <w:color w:val="000000" w:themeColor="text1"/>
        </w:rPr>
        <w:t>participants</w:t>
      </w:r>
      <w:r w:rsidRPr="00581542" w:rsidR="008F3E0C">
        <w:rPr>
          <w:color w:val="000000" w:themeColor="text1"/>
        </w:rPr>
        <w:t>’</w:t>
      </w:r>
      <w:r w:rsidRPr="00581542" w:rsidR="002F3BC7">
        <w:rPr>
          <w:color w:val="000000" w:themeColor="text1"/>
        </w:rPr>
        <w:t xml:space="preserve"> experiences in the trial, i.e., outcomes, including any adverse</w:t>
      </w:r>
      <w:r w:rsidRPr="00581542" w:rsidR="002077F5">
        <w:rPr>
          <w:color w:val="000000" w:themeColor="text1"/>
        </w:rPr>
        <w:t xml:space="preserve"> outcomes</w:t>
      </w:r>
      <w:r w:rsidRPr="00581542" w:rsidR="002F3BC7">
        <w:rPr>
          <w:color w:val="000000" w:themeColor="text1"/>
        </w:rPr>
        <w:t xml:space="preserve">.  </w:t>
      </w:r>
    </w:p>
    <w:p w:rsidR="00907956" w:rsidP="002533BB" w14:paraId="34D03A7D" w14:textId="77777777">
      <w:pPr>
        <w:ind w:left="720"/>
        <w:rPr>
          <w:color w:val="000000" w:themeColor="text1"/>
        </w:rPr>
      </w:pPr>
    </w:p>
    <w:p w:rsidR="009F75A0" w:rsidRPr="00581542" w:rsidP="009C1BCC" w14:paraId="3E0CCF45" w14:textId="6CDEF56B">
      <w:pPr>
        <w:ind w:left="720"/>
        <w:rPr>
          <w:bCs/>
          <w:color w:val="000000" w:themeColor="text1"/>
        </w:rPr>
      </w:pPr>
      <w:r w:rsidRPr="00581542">
        <w:rPr>
          <w:bCs/>
          <w:color w:val="000000" w:themeColor="text1"/>
        </w:rPr>
        <w:t xml:space="preserve">For clinical trials </w:t>
      </w:r>
      <w:r w:rsidRPr="00581542" w:rsidR="00856500">
        <w:rPr>
          <w:bCs/>
          <w:color w:val="000000" w:themeColor="text1"/>
        </w:rPr>
        <w:t>involving</w:t>
      </w:r>
      <w:r w:rsidRPr="00581542" w:rsidR="002736BC">
        <w:rPr>
          <w:bCs/>
          <w:color w:val="000000" w:themeColor="text1"/>
        </w:rPr>
        <w:t xml:space="preserve"> </w:t>
      </w:r>
      <w:r w:rsidRPr="00581542">
        <w:rPr>
          <w:bCs/>
          <w:color w:val="000000" w:themeColor="text1"/>
        </w:rPr>
        <w:t>common diseases</w:t>
      </w:r>
      <w:r w:rsidRPr="00581542" w:rsidR="00856500">
        <w:rPr>
          <w:bCs/>
          <w:color w:val="000000" w:themeColor="text1"/>
        </w:rPr>
        <w:t xml:space="preserve">, </w:t>
      </w:r>
      <w:r w:rsidRPr="00581542">
        <w:rPr>
          <w:bCs/>
          <w:color w:val="000000" w:themeColor="text1"/>
        </w:rPr>
        <w:t xml:space="preserve">large </w:t>
      </w:r>
      <w:r w:rsidRPr="00581542" w:rsidR="00856500">
        <w:rPr>
          <w:bCs/>
          <w:color w:val="000000" w:themeColor="text1"/>
        </w:rPr>
        <w:t xml:space="preserve">participant </w:t>
      </w:r>
      <w:r w:rsidRPr="00581542">
        <w:rPr>
          <w:bCs/>
          <w:color w:val="000000" w:themeColor="text1"/>
        </w:rPr>
        <w:t>numbers</w:t>
      </w:r>
      <w:r w:rsidRPr="00581542" w:rsidR="00856500">
        <w:rPr>
          <w:bCs/>
          <w:color w:val="000000" w:themeColor="text1"/>
        </w:rPr>
        <w:t>,</w:t>
      </w:r>
      <w:r w:rsidRPr="00581542">
        <w:rPr>
          <w:bCs/>
          <w:color w:val="000000" w:themeColor="text1"/>
        </w:rPr>
        <w:t xml:space="preserve"> and/or </w:t>
      </w:r>
      <w:r w:rsidRPr="00581542" w:rsidR="00856500">
        <w:rPr>
          <w:bCs/>
          <w:color w:val="000000" w:themeColor="text1"/>
        </w:rPr>
        <w:t>multiple recruitment sites</w:t>
      </w:r>
      <w:r w:rsidRPr="00581542">
        <w:rPr>
          <w:bCs/>
          <w:color w:val="000000" w:themeColor="text1"/>
        </w:rPr>
        <w:t xml:space="preserve">, </w:t>
      </w:r>
      <w:r w:rsidRPr="00581542" w:rsidR="000177D6">
        <w:rPr>
          <w:bCs/>
          <w:color w:val="000000" w:themeColor="text1"/>
        </w:rPr>
        <w:t xml:space="preserve">it is highly unlikely that the aggregate </w:t>
      </w:r>
      <w:r w:rsidRPr="00581542" w:rsidR="009576FF">
        <w:rPr>
          <w:bCs/>
          <w:color w:val="000000" w:themeColor="text1"/>
        </w:rPr>
        <w:t>participant information</w:t>
      </w:r>
      <w:r w:rsidRPr="00581542">
        <w:rPr>
          <w:bCs/>
          <w:color w:val="000000" w:themeColor="text1"/>
        </w:rPr>
        <w:t xml:space="preserve"> </w:t>
      </w:r>
      <w:r w:rsidRPr="00581542" w:rsidR="000177D6">
        <w:rPr>
          <w:bCs/>
          <w:color w:val="000000" w:themeColor="text1"/>
        </w:rPr>
        <w:t xml:space="preserve">could </w:t>
      </w:r>
      <w:r w:rsidRPr="00581542">
        <w:rPr>
          <w:bCs/>
          <w:color w:val="000000" w:themeColor="text1"/>
        </w:rPr>
        <w:t xml:space="preserve">contain characteristics that </w:t>
      </w:r>
      <w:r w:rsidRPr="00581542" w:rsidR="002F3BC7">
        <w:rPr>
          <w:bCs/>
          <w:color w:val="000000" w:themeColor="text1"/>
        </w:rPr>
        <w:t xml:space="preserve">would </w:t>
      </w:r>
      <w:r w:rsidRPr="00581542">
        <w:rPr>
          <w:bCs/>
          <w:color w:val="000000" w:themeColor="text1"/>
        </w:rPr>
        <w:t xml:space="preserve">enable re-identification of study participants. </w:t>
      </w:r>
      <w:r w:rsidRPr="00581542" w:rsidR="000177D6">
        <w:rPr>
          <w:color w:val="000000" w:themeColor="text1"/>
        </w:rPr>
        <w:t>I</w:t>
      </w:r>
      <w:r w:rsidRPr="00581542" w:rsidR="002F3BC7">
        <w:rPr>
          <w:color w:val="000000" w:themeColor="text1"/>
        </w:rPr>
        <w:t>n</w:t>
      </w:r>
      <w:r w:rsidRPr="00581542">
        <w:rPr>
          <w:bCs/>
          <w:color w:val="000000" w:themeColor="text1"/>
        </w:rPr>
        <w:t xml:space="preserve"> small </w:t>
      </w:r>
      <w:r w:rsidRPr="00581542">
        <w:rPr>
          <w:bCs/>
          <w:color w:val="000000" w:themeColor="text1"/>
        </w:rPr>
        <w:t xml:space="preserve">clinical trials </w:t>
      </w:r>
      <w:r w:rsidRPr="00581542" w:rsidR="000177D6">
        <w:rPr>
          <w:bCs/>
          <w:color w:val="000000" w:themeColor="text1"/>
        </w:rPr>
        <w:t xml:space="preserve">designed to develop interventions for </w:t>
      </w:r>
      <w:r w:rsidRPr="00581542">
        <w:rPr>
          <w:bCs/>
          <w:color w:val="000000" w:themeColor="text1"/>
        </w:rPr>
        <w:t xml:space="preserve">rare diseases </w:t>
      </w:r>
      <w:r w:rsidRPr="00581542" w:rsidR="00856500">
        <w:rPr>
          <w:bCs/>
          <w:color w:val="000000" w:themeColor="text1"/>
        </w:rPr>
        <w:t>and/or</w:t>
      </w:r>
      <w:r w:rsidRPr="00581542">
        <w:rPr>
          <w:bCs/>
          <w:color w:val="000000" w:themeColor="text1"/>
        </w:rPr>
        <w:t xml:space="preserve"> </w:t>
      </w:r>
      <w:r w:rsidRPr="00581542" w:rsidR="000177D6">
        <w:rPr>
          <w:bCs/>
          <w:color w:val="000000" w:themeColor="text1"/>
        </w:rPr>
        <w:t xml:space="preserve">that </w:t>
      </w:r>
      <w:r w:rsidRPr="00581542">
        <w:rPr>
          <w:bCs/>
          <w:color w:val="000000" w:themeColor="text1"/>
        </w:rPr>
        <w:t>have few recruitment sites or recruit subjects from small, well-defined populations</w:t>
      </w:r>
      <w:r w:rsidRPr="00581542" w:rsidR="000177D6">
        <w:rPr>
          <w:bCs/>
          <w:color w:val="000000" w:themeColor="text1"/>
        </w:rPr>
        <w:t xml:space="preserve">, there </w:t>
      </w:r>
      <w:r w:rsidRPr="00581542" w:rsidR="00577D0A">
        <w:rPr>
          <w:bCs/>
          <w:color w:val="000000" w:themeColor="text1"/>
        </w:rPr>
        <w:t xml:space="preserve">may be </w:t>
      </w:r>
      <w:r w:rsidRPr="00581542" w:rsidR="000177D6">
        <w:rPr>
          <w:color w:val="000000" w:themeColor="text1"/>
        </w:rPr>
        <w:t>a small risk of re-identification</w:t>
      </w:r>
      <w:r w:rsidRPr="00581542">
        <w:rPr>
          <w:bCs/>
          <w:color w:val="000000" w:themeColor="text1"/>
        </w:rPr>
        <w:t xml:space="preserve">. </w:t>
      </w:r>
      <w:r w:rsidRPr="00581542" w:rsidR="00577D0A">
        <w:rPr>
          <w:bCs/>
          <w:color w:val="000000" w:themeColor="text1"/>
        </w:rPr>
        <w:t xml:space="preserve">However, </w:t>
      </w:r>
      <w:r w:rsidRPr="00581542" w:rsidR="00856500">
        <w:rPr>
          <w:bCs/>
          <w:color w:val="000000" w:themeColor="text1"/>
        </w:rPr>
        <w:t xml:space="preserve">this </w:t>
      </w:r>
      <w:r w:rsidRPr="00581542" w:rsidR="00577D0A">
        <w:rPr>
          <w:bCs/>
          <w:color w:val="000000" w:themeColor="text1"/>
        </w:rPr>
        <w:t xml:space="preserve">risk is </w:t>
      </w:r>
      <w:r w:rsidRPr="00581542" w:rsidR="00856500">
        <w:rPr>
          <w:bCs/>
          <w:color w:val="000000" w:themeColor="text1"/>
        </w:rPr>
        <w:t xml:space="preserve">expected to be </w:t>
      </w:r>
      <w:r w:rsidRPr="00581542" w:rsidR="00577D0A">
        <w:rPr>
          <w:color w:val="000000" w:themeColor="text1"/>
        </w:rPr>
        <w:t>extremely low</w:t>
      </w:r>
      <w:r w:rsidRPr="00581542" w:rsidR="00856500">
        <w:rPr>
          <w:color w:val="000000" w:themeColor="text1"/>
        </w:rPr>
        <w:t xml:space="preserve">, particularly since demographic information is not </w:t>
      </w:r>
      <w:r w:rsidRPr="00581542" w:rsidR="00577D0A">
        <w:rPr>
          <w:bCs/>
          <w:color w:val="000000" w:themeColor="text1"/>
        </w:rPr>
        <w:t xml:space="preserve">cross-tabulated (i.e., </w:t>
      </w:r>
      <w:r w:rsidRPr="00581542" w:rsidR="00856500">
        <w:rPr>
          <w:bCs/>
          <w:color w:val="000000" w:themeColor="text1"/>
        </w:rPr>
        <w:t xml:space="preserve">only </w:t>
      </w:r>
      <w:r w:rsidRPr="00581542" w:rsidR="00577D0A">
        <w:rPr>
          <w:bCs/>
          <w:color w:val="000000" w:themeColor="text1"/>
        </w:rPr>
        <w:t>univariate</w:t>
      </w:r>
      <w:r w:rsidRPr="00581542" w:rsidR="00856500">
        <w:rPr>
          <w:bCs/>
          <w:color w:val="000000" w:themeColor="text1"/>
        </w:rPr>
        <w:t xml:space="preserve"> data is presented</w:t>
      </w:r>
      <w:r w:rsidRPr="00581542" w:rsidR="00577D0A">
        <w:rPr>
          <w:bCs/>
          <w:color w:val="000000" w:themeColor="text1"/>
        </w:rPr>
        <w:t xml:space="preserve">). </w:t>
      </w:r>
    </w:p>
    <w:p w:rsidR="001E3BF5" w:rsidRPr="00581542" w:rsidP="002533BB" w14:paraId="0C78682E" w14:textId="77777777">
      <w:pPr>
        <w:ind w:left="720"/>
        <w:rPr>
          <w:color w:val="000000" w:themeColor="text1"/>
        </w:rPr>
      </w:pPr>
    </w:p>
    <w:p w:rsidR="00041D45" w:rsidRPr="00581542" w:rsidP="00041D45" w14:paraId="7E97D659" w14:textId="0BF82593">
      <w:pPr>
        <w:autoSpaceDE w:val="0"/>
        <w:autoSpaceDN w:val="0"/>
        <w:adjustRightInd w:val="0"/>
        <w:ind w:left="720"/>
      </w:pPr>
      <w:r w:rsidRPr="00581542">
        <w:rPr>
          <w:color w:val="000000" w:themeColor="text1"/>
        </w:rPr>
        <w:t>The NIH Privacy Act Officer has reviewed th</w:t>
      </w:r>
      <w:r w:rsidRPr="00581542" w:rsidR="000177D6">
        <w:rPr>
          <w:color w:val="000000" w:themeColor="text1"/>
        </w:rPr>
        <w:t xml:space="preserve">e information collection and the </w:t>
      </w:r>
      <w:r w:rsidRPr="00581542" w:rsidR="000177D6">
        <w:rPr>
          <w:color w:val="000000" w:themeColor="text1"/>
        </w:rPr>
        <w:t>manner in which</w:t>
      </w:r>
      <w:r w:rsidRPr="00581542" w:rsidR="000177D6">
        <w:rPr>
          <w:color w:val="000000" w:themeColor="text1"/>
        </w:rPr>
        <w:t xml:space="preserve"> the information is maintained </w:t>
      </w:r>
      <w:r w:rsidRPr="00581542">
        <w:rPr>
          <w:color w:val="000000" w:themeColor="text1"/>
        </w:rPr>
        <w:t xml:space="preserve">and </w:t>
      </w:r>
      <w:r w:rsidRPr="00581542" w:rsidR="0060651B">
        <w:rPr>
          <w:color w:val="000000" w:themeColor="text1"/>
        </w:rPr>
        <w:t xml:space="preserve">has </w:t>
      </w:r>
      <w:r w:rsidRPr="00581542">
        <w:rPr>
          <w:color w:val="000000" w:themeColor="text1"/>
        </w:rPr>
        <w:t xml:space="preserve">determined that the Privacy Act does not apply </w:t>
      </w:r>
      <w:r w:rsidRPr="00581542" w:rsidR="000177D6">
        <w:rPr>
          <w:color w:val="000000" w:themeColor="text1"/>
        </w:rPr>
        <w:t xml:space="preserve">because the </w:t>
      </w:r>
      <w:r w:rsidRPr="00581542" w:rsidR="000177D6">
        <w:rPr>
          <w:color w:val="000000" w:themeColor="text1"/>
        </w:rPr>
        <w:t>personally</w:t>
      </w:r>
      <w:r w:rsidRPr="00581542" w:rsidR="000177D6">
        <w:rPr>
          <w:color w:val="000000" w:themeColor="text1"/>
        </w:rPr>
        <w:t xml:space="preserve"> identifiable information that is collected </w:t>
      </w:r>
      <w:r w:rsidRPr="00581542" w:rsidR="0060651B">
        <w:rPr>
          <w:color w:val="000000" w:themeColor="text1"/>
        </w:rPr>
        <w:t xml:space="preserve">is not </w:t>
      </w:r>
      <w:r w:rsidRPr="00581542" w:rsidR="000177D6">
        <w:rPr>
          <w:color w:val="000000" w:themeColor="text1"/>
        </w:rPr>
        <w:t>retrieved through the individual’s identity</w:t>
      </w:r>
      <w:r w:rsidRPr="00581542" w:rsidR="00AD4DEC">
        <w:rPr>
          <w:color w:val="000000" w:themeColor="text1"/>
        </w:rPr>
        <w:t xml:space="preserve"> (see Attachment 8)</w:t>
      </w:r>
      <w:r w:rsidRPr="00581542">
        <w:rPr>
          <w:color w:val="000000" w:themeColor="text1"/>
        </w:rPr>
        <w:t xml:space="preserve">. </w:t>
      </w:r>
      <w:r w:rsidRPr="00581542" w:rsidR="00057E7A">
        <w:rPr>
          <w:color w:val="000000" w:themeColor="text1"/>
        </w:rPr>
        <w:t xml:space="preserve">The analysis also recognizes that </w:t>
      </w:r>
      <w:r w:rsidRPr="00581542">
        <w:rPr>
          <w:color w:val="000000" w:themeColor="text1"/>
        </w:rPr>
        <w:t>most of the information submitted to the databank is required by law</w:t>
      </w:r>
      <w:r w:rsidRPr="00581542" w:rsidR="0060651B">
        <w:rPr>
          <w:color w:val="000000" w:themeColor="text1"/>
        </w:rPr>
        <w:t xml:space="preserve"> (</w:t>
      </w:r>
      <w:r w:rsidR="00F97C21">
        <w:rPr>
          <w:color w:val="000000" w:themeColor="text1"/>
        </w:rPr>
        <w:t>FDAAA</w:t>
      </w:r>
      <w:r w:rsidR="00DE7DF1">
        <w:rPr>
          <w:color w:val="000000" w:themeColor="text1"/>
        </w:rPr>
        <w:t xml:space="preserve"> 801 </w:t>
      </w:r>
      <w:r w:rsidRPr="00581542" w:rsidR="0021763D">
        <w:rPr>
          <w:color w:val="000000" w:themeColor="text1"/>
        </w:rPr>
        <w:t xml:space="preserve">and 42 CFR </w:t>
      </w:r>
      <w:r w:rsidR="00F47CE9">
        <w:rPr>
          <w:color w:val="000000" w:themeColor="text1"/>
        </w:rPr>
        <w:t>P</w:t>
      </w:r>
      <w:r w:rsidRPr="00581542" w:rsidR="00F47CE9">
        <w:rPr>
          <w:color w:val="000000" w:themeColor="text1"/>
        </w:rPr>
        <w:t xml:space="preserve">art </w:t>
      </w:r>
      <w:r w:rsidRPr="00581542" w:rsidR="0021763D">
        <w:rPr>
          <w:color w:val="000000" w:themeColor="text1"/>
        </w:rPr>
        <w:t>11</w:t>
      </w:r>
      <w:r w:rsidRPr="00581542">
        <w:rPr>
          <w:color w:val="000000" w:themeColor="text1"/>
        </w:rPr>
        <w:t>) to be made public</w:t>
      </w:r>
      <w:r w:rsidRPr="00581542" w:rsidR="00057E7A">
        <w:rPr>
          <w:color w:val="000000" w:themeColor="text1"/>
        </w:rPr>
        <w:t xml:space="preserve"> </w:t>
      </w:r>
      <w:r w:rsidRPr="00581542" w:rsidR="00761DB5">
        <w:rPr>
          <w:color w:val="000000" w:themeColor="text1"/>
        </w:rPr>
        <w:t xml:space="preserve">in </w:t>
      </w:r>
      <w:r w:rsidRPr="00581542" w:rsidR="00057E7A">
        <w:rPr>
          <w:color w:val="000000" w:themeColor="text1"/>
        </w:rPr>
        <w:t>order to</w:t>
      </w:r>
      <w:r w:rsidRPr="00581542" w:rsidR="00057E7A">
        <w:rPr>
          <w:color w:val="000000" w:themeColor="text1"/>
        </w:rPr>
        <w:t xml:space="preserve"> accomplish certain policy objectives</w:t>
      </w:r>
      <w:r w:rsidRPr="00581542" w:rsidR="00577D0A">
        <w:rPr>
          <w:color w:val="000000" w:themeColor="text1"/>
        </w:rPr>
        <w:t>.</w:t>
      </w:r>
    </w:p>
    <w:p w:rsidR="00041CF7" w:rsidRPr="00581542" w:rsidP="002533BB" w14:paraId="02416596" w14:textId="60E0D865">
      <w:pPr>
        <w:autoSpaceDE w:val="0"/>
        <w:autoSpaceDN w:val="0"/>
        <w:adjustRightInd w:val="0"/>
        <w:ind w:left="720"/>
        <w:rPr>
          <w:color w:val="000000" w:themeColor="text1"/>
        </w:rPr>
      </w:pPr>
    </w:p>
    <w:p w:rsidR="00041CF7" w:rsidRPr="00581542" w:rsidP="002533BB" w14:paraId="21E2D9CD" w14:textId="42707309">
      <w:pPr>
        <w:ind w:left="720"/>
        <w:rPr>
          <w:color w:val="000000" w:themeColor="text1"/>
        </w:rPr>
      </w:pPr>
    </w:p>
    <w:p w:rsidR="00C66F8E" w:rsidRPr="00581542" w:rsidP="002533BB" w14:paraId="69A04223" w14:textId="77777777">
      <w:pPr>
        <w:rPr>
          <w:b/>
          <w:color w:val="000000" w:themeColor="text1"/>
          <w:u w:val="single"/>
        </w:rPr>
      </w:pPr>
      <w:r w:rsidRPr="00581542">
        <w:rPr>
          <w:b/>
          <w:color w:val="000000" w:themeColor="text1"/>
        </w:rPr>
        <w:t>A.11</w:t>
      </w:r>
      <w:r w:rsidRPr="00581542">
        <w:rPr>
          <w:b/>
          <w:color w:val="000000" w:themeColor="text1"/>
        </w:rPr>
        <w:tab/>
      </w:r>
      <w:r w:rsidRPr="00581542">
        <w:rPr>
          <w:b/>
          <w:color w:val="000000" w:themeColor="text1"/>
          <w:u w:val="single"/>
        </w:rPr>
        <w:t>Justification for Sensitive</w:t>
      </w:r>
      <w:r w:rsidRPr="00581542">
        <w:rPr>
          <w:color w:val="000000" w:themeColor="text1"/>
          <w:u w:val="single"/>
        </w:rPr>
        <w:t xml:space="preserve"> </w:t>
      </w:r>
      <w:r w:rsidRPr="00581542">
        <w:rPr>
          <w:b/>
          <w:color w:val="000000" w:themeColor="text1"/>
          <w:u w:val="single"/>
        </w:rPr>
        <w:t>Questions</w:t>
      </w:r>
    </w:p>
    <w:p w:rsidR="00C66F8E" w:rsidRPr="00581542" w:rsidP="002533BB" w14:paraId="441630C0" w14:textId="77777777">
      <w:pPr>
        <w:rPr>
          <w:color w:val="000000" w:themeColor="text1"/>
        </w:rPr>
      </w:pPr>
    </w:p>
    <w:p w:rsidR="00C66F8E" w:rsidRPr="00581542" w:rsidP="002533BB" w14:paraId="22590F24" w14:textId="5643053A">
      <w:pPr>
        <w:tabs>
          <w:tab w:val="left" w:pos="720"/>
        </w:tabs>
        <w:ind w:left="720"/>
        <w:rPr>
          <w:color w:val="000000" w:themeColor="text1"/>
        </w:rPr>
      </w:pPr>
      <w:r w:rsidRPr="00581542">
        <w:rPr>
          <w:color w:val="000000" w:themeColor="text1"/>
        </w:rPr>
        <w:t>No questions of a sensitive nature are included in this data collection.</w:t>
      </w:r>
      <w:r w:rsidRPr="00581542" w:rsidR="00567C27">
        <w:rPr>
          <w:color w:val="000000" w:themeColor="text1"/>
        </w:rPr>
        <w:t xml:space="preserve"> </w:t>
      </w:r>
      <w:r w:rsidRPr="00581542" w:rsidR="00024D1B">
        <w:rPr>
          <w:color w:val="000000" w:themeColor="text1"/>
        </w:rPr>
        <w:t>This information collection</w:t>
      </w:r>
      <w:r w:rsidRPr="00581542" w:rsidR="00567C27">
        <w:rPr>
          <w:color w:val="000000" w:themeColor="text1"/>
        </w:rPr>
        <w:t xml:space="preserve"> </w:t>
      </w:r>
      <w:r w:rsidRPr="00581542" w:rsidR="00024D1B">
        <w:rPr>
          <w:color w:val="000000" w:themeColor="text1"/>
        </w:rPr>
        <w:t xml:space="preserve">only requires </w:t>
      </w:r>
      <w:r w:rsidRPr="00581542" w:rsidR="00567C27">
        <w:rPr>
          <w:color w:val="000000" w:themeColor="text1"/>
        </w:rPr>
        <w:t xml:space="preserve">aggregate </w:t>
      </w:r>
      <w:r w:rsidRPr="00581542" w:rsidR="00024D1B">
        <w:rPr>
          <w:color w:val="000000" w:themeColor="text1"/>
        </w:rPr>
        <w:t xml:space="preserve">counts for </w:t>
      </w:r>
      <w:r w:rsidRPr="00581542" w:rsidR="00CD3895">
        <w:rPr>
          <w:color w:val="000000" w:themeColor="text1"/>
        </w:rPr>
        <w:t xml:space="preserve">groups of </w:t>
      </w:r>
      <w:r w:rsidRPr="00581542" w:rsidR="00024D1B">
        <w:rPr>
          <w:color w:val="000000" w:themeColor="text1"/>
        </w:rPr>
        <w:t xml:space="preserve">study participants by </w:t>
      </w:r>
      <w:r w:rsidRPr="00581542" w:rsidR="00567C27">
        <w:rPr>
          <w:color w:val="000000" w:themeColor="text1"/>
        </w:rPr>
        <w:t xml:space="preserve">age, sex, and race/ethnicity in the Baseline </w:t>
      </w:r>
      <w:r w:rsidRPr="00581542" w:rsidR="00910D30">
        <w:rPr>
          <w:color w:val="000000" w:themeColor="text1"/>
        </w:rPr>
        <w:t xml:space="preserve">Characteristics </w:t>
      </w:r>
      <w:r w:rsidRPr="00581542" w:rsidR="00567C27">
        <w:rPr>
          <w:color w:val="000000" w:themeColor="text1"/>
        </w:rPr>
        <w:t>module of the results database</w:t>
      </w:r>
      <w:r w:rsidRPr="00581542" w:rsidR="00024D1B">
        <w:rPr>
          <w:color w:val="000000" w:themeColor="text1"/>
        </w:rPr>
        <w:t xml:space="preserve">. It does not involve any </w:t>
      </w:r>
      <w:r w:rsidRPr="00581542" w:rsidR="00024D1B">
        <w:t>patient-specific data that could be linked to an individual</w:t>
      </w:r>
      <w:r w:rsidRPr="00581542" w:rsidR="00567C27">
        <w:rPr>
          <w:color w:val="000000" w:themeColor="text1"/>
        </w:rPr>
        <w:t xml:space="preserve">. </w:t>
      </w:r>
    </w:p>
    <w:p w:rsidR="00C66F8E" w:rsidRPr="00581542" w:rsidP="002533BB" w14:paraId="4DA6A64E" w14:textId="77777777">
      <w:pPr>
        <w:ind w:left="360"/>
        <w:rPr>
          <w:color w:val="000000" w:themeColor="text1"/>
        </w:rPr>
      </w:pPr>
    </w:p>
    <w:p w:rsidR="00C66F8E" w:rsidRPr="00581542" w:rsidP="002533BB" w14:paraId="0D46CA18" w14:textId="2A38AC40">
      <w:pPr>
        <w:rPr>
          <w:b/>
          <w:color w:val="000000" w:themeColor="text1"/>
          <w:u w:val="single"/>
        </w:rPr>
      </w:pPr>
      <w:r w:rsidRPr="00581542">
        <w:rPr>
          <w:b/>
          <w:color w:val="000000" w:themeColor="text1"/>
        </w:rPr>
        <w:t>A.12</w:t>
      </w:r>
      <w:r w:rsidRPr="00581542">
        <w:rPr>
          <w:b/>
          <w:color w:val="000000" w:themeColor="text1"/>
        </w:rPr>
        <w:tab/>
      </w:r>
      <w:r w:rsidRPr="00581542">
        <w:rPr>
          <w:b/>
          <w:color w:val="000000" w:themeColor="text1"/>
          <w:u w:val="single"/>
        </w:rPr>
        <w:t>Estimates of Annualized Burden Hours and Costs</w:t>
      </w:r>
      <w:r w:rsidRPr="00581542" w:rsidR="00697237">
        <w:rPr>
          <w:b/>
          <w:color w:val="000000" w:themeColor="text1"/>
          <w:u w:val="single"/>
        </w:rPr>
        <w:t xml:space="preserve"> to Respondents</w:t>
      </w:r>
    </w:p>
    <w:p w:rsidR="00C66F8E" w:rsidRPr="00581542" w:rsidP="002533BB" w14:paraId="6FC3A055" w14:textId="77777777">
      <w:pPr>
        <w:pStyle w:val="Footer"/>
        <w:tabs>
          <w:tab w:val="clear" w:pos="4320"/>
          <w:tab w:val="clear" w:pos="8640"/>
        </w:tabs>
        <w:rPr>
          <w:color w:val="000000" w:themeColor="text1"/>
        </w:rPr>
      </w:pPr>
    </w:p>
    <w:p w:rsidR="00C66F8E" w:rsidRPr="00581542" w:rsidP="002533BB" w14:paraId="3EEABDC3" w14:textId="77777777">
      <w:pPr>
        <w:ind w:left="720"/>
        <w:rPr>
          <w:color w:val="000000" w:themeColor="text1"/>
        </w:rPr>
      </w:pPr>
      <w:r w:rsidRPr="00581542">
        <w:rPr>
          <w:color w:val="000000" w:themeColor="text1"/>
        </w:rPr>
        <w:t xml:space="preserve">The burden associated with this information collection is calculated in </w:t>
      </w:r>
      <w:r w:rsidRPr="00581542" w:rsidR="00514104">
        <w:rPr>
          <w:color w:val="000000" w:themeColor="text1"/>
        </w:rPr>
        <w:t xml:space="preserve">two </w:t>
      </w:r>
      <w:r w:rsidRPr="00581542">
        <w:rPr>
          <w:color w:val="000000" w:themeColor="text1"/>
        </w:rPr>
        <w:t xml:space="preserve">parts: </w:t>
      </w:r>
      <w:r w:rsidRPr="00581542" w:rsidR="00235F71">
        <w:rPr>
          <w:color w:val="000000" w:themeColor="text1"/>
        </w:rPr>
        <w:t xml:space="preserve">the burden associated with </w:t>
      </w:r>
      <w:r w:rsidRPr="00581542">
        <w:rPr>
          <w:color w:val="000000" w:themeColor="text1"/>
        </w:rPr>
        <w:t>registration</w:t>
      </w:r>
      <w:r w:rsidRPr="00581542" w:rsidR="00D67C5D">
        <w:rPr>
          <w:color w:val="000000" w:themeColor="text1"/>
        </w:rPr>
        <w:t xml:space="preserve"> and subsequent updates</w:t>
      </w:r>
      <w:r w:rsidRPr="00581542">
        <w:rPr>
          <w:color w:val="000000" w:themeColor="text1"/>
        </w:rPr>
        <w:t xml:space="preserve">; and the burden associated with the </w:t>
      </w:r>
      <w:r w:rsidRPr="00581542" w:rsidR="001854EB">
        <w:rPr>
          <w:color w:val="000000" w:themeColor="text1"/>
        </w:rPr>
        <w:t xml:space="preserve">submission </w:t>
      </w:r>
      <w:r w:rsidRPr="00581542">
        <w:rPr>
          <w:color w:val="000000" w:themeColor="text1"/>
        </w:rPr>
        <w:t>of results information</w:t>
      </w:r>
      <w:r w:rsidRPr="00581542" w:rsidR="001854EB">
        <w:rPr>
          <w:color w:val="000000" w:themeColor="text1"/>
        </w:rPr>
        <w:t>, including adverse events</w:t>
      </w:r>
      <w:r w:rsidRPr="00581542" w:rsidR="00D67C5D">
        <w:rPr>
          <w:color w:val="000000" w:themeColor="text1"/>
        </w:rPr>
        <w:t>, and subsequent updates</w:t>
      </w:r>
      <w:r w:rsidRPr="00581542">
        <w:rPr>
          <w:color w:val="000000" w:themeColor="text1"/>
        </w:rPr>
        <w:t xml:space="preserve">.  These information collections will occur at different times, but the </w:t>
      </w:r>
      <w:r w:rsidRPr="00581542" w:rsidR="00056C5B">
        <w:rPr>
          <w:color w:val="000000" w:themeColor="text1"/>
        </w:rPr>
        <w:t xml:space="preserve">registration and results </w:t>
      </w:r>
      <w:r w:rsidRPr="00581542">
        <w:rPr>
          <w:color w:val="000000" w:themeColor="text1"/>
        </w:rPr>
        <w:t>information will be integrated into a single record for each clinical trial</w:t>
      </w:r>
      <w:r w:rsidRPr="00581542" w:rsidR="00056C5B">
        <w:rPr>
          <w:color w:val="000000" w:themeColor="text1"/>
        </w:rPr>
        <w:t>, which is entered through the PRS account</w:t>
      </w:r>
      <w:r w:rsidRPr="00581542">
        <w:rPr>
          <w:color w:val="000000" w:themeColor="text1"/>
        </w:rPr>
        <w:t>.</w:t>
      </w:r>
    </w:p>
    <w:p w:rsidR="00BA026B" w:rsidRPr="00581542" w:rsidP="002533BB" w14:paraId="4E7EB66F" w14:textId="77777777">
      <w:pPr>
        <w:ind w:left="720"/>
        <w:rPr>
          <w:b/>
          <w:i/>
          <w:color w:val="000000" w:themeColor="text1"/>
        </w:rPr>
      </w:pPr>
    </w:p>
    <w:p w:rsidR="00C66F8E" w:rsidRPr="00581542" w:rsidP="002533BB" w14:paraId="6E299CEF" w14:textId="77777777">
      <w:pPr>
        <w:ind w:left="720"/>
        <w:rPr>
          <w:b/>
          <w:i/>
          <w:color w:val="000000" w:themeColor="text1"/>
        </w:rPr>
      </w:pPr>
      <w:r w:rsidRPr="00581542">
        <w:rPr>
          <w:b/>
          <w:i/>
          <w:color w:val="000000" w:themeColor="text1"/>
        </w:rPr>
        <w:t>Registration</w:t>
      </w:r>
      <w:r w:rsidRPr="00581542" w:rsidR="00B83A4D">
        <w:rPr>
          <w:b/>
          <w:i/>
          <w:color w:val="000000" w:themeColor="text1"/>
        </w:rPr>
        <w:t xml:space="preserve">: Initial Submission </w:t>
      </w:r>
      <w:r w:rsidRPr="00581542" w:rsidR="0058737F">
        <w:rPr>
          <w:b/>
          <w:i/>
          <w:color w:val="000000" w:themeColor="text1"/>
        </w:rPr>
        <w:t>and Updates</w:t>
      </w:r>
    </w:p>
    <w:p w:rsidR="00C66F8E" w:rsidRPr="00581542" w:rsidP="002533BB" w14:paraId="4D766A25" w14:textId="77777777">
      <w:pPr>
        <w:ind w:left="720"/>
        <w:rPr>
          <w:color w:val="000000" w:themeColor="text1"/>
        </w:rPr>
      </w:pPr>
    </w:p>
    <w:p w:rsidR="0005319E" w:rsidRPr="00581542" w:rsidP="002533BB" w14:paraId="52D2E7E1" w14:textId="50240D3D">
      <w:pPr>
        <w:ind w:left="720"/>
        <w:rPr>
          <w:color w:val="000000" w:themeColor="text1"/>
        </w:rPr>
      </w:pPr>
      <w:r w:rsidRPr="00581542">
        <w:rPr>
          <w:color w:val="000000" w:themeColor="text1"/>
        </w:rPr>
        <w:t xml:space="preserve">Before submitting registration information, an organization must establish a PRS account once and use that account to register </w:t>
      </w:r>
      <w:r w:rsidRPr="00581542">
        <w:rPr>
          <w:color w:val="000000" w:themeColor="text1"/>
        </w:rPr>
        <w:t>all of</w:t>
      </w:r>
      <w:r w:rsidRPr="00581542">
        <w:rPr>
          <w:color w:val="000000" w:themeColor="text1"/>
        </w:rPr>
        <w:t xml:space="preserve"> its trials. We consider the creation of the PRS account a one</w:t>
      </w:r>
      <w:r w:rsidRPr="00581542" w:rsidR="00693525">
        <w:rPr>
          <w:color w:val="000000" w:themeColor="text1"/>
        </w:rPr>
        <w:t>-</w:t>
      </w:r>
      <w:r w:rsidRPr="00581542">
        <w:rPr>
          <w:color w:val="000000" w:themeColor="text1"/>
        </w:rPr>
        <w:t>time burden</w:t>
      </w:r>
      <w:r w:rsidRPr="00581542" w:rsidR="00693525">
        <w:rPr>
          <w:color w:val="000000" w:themeColor="text1"/>
        </w:rPr>
        <w:t xml:space="preserve"> on </w:t>
      </w:r>
      <w:r w:rsidRPr="00581542" w:rsidR="00693525">
        <w:rPr>
          <w:color w:val="000000" w:themeColor="text1"/>
        </w:rPr>
        <w:t>respondents</w:t>
      </w:r>
      <w:r w:rsidRPr="00581542">
        <w:rPr>
          <w:color w:val="000000" w:themeColor="text1"/>
        </w:rPr>
        <w:t>, and</w:t>
      </w:r>
      <w:r w:rsidRPr="00581542">
        <w:rPr>
          <w:color w:val="000000" w:themeColor="text1"/>
        </w:rPr>
        <w:t xml:space="preserve"> thus </w:t>
      </w:r>
      <w:r w:rsidRPr="00581542" w:rsidR="00693525">
        <w:rPr>
          <w:color w:val="000000" w:themeColor="text1"/>
        </w:rPr>
        <w:t xml:space="preserve">do </w:t>
      </w:r>
      <w:r w:rsidRPr="00581542">
        <w:rPr>
          <w:color w:val="000000" w:themeColor="text1"/>
        </w:rPr>
        <w:t xml:space="preserve">not include </w:t>
      </w:r>
      <w:r w:rsidRPr="00581542" w:rsidR="00693525">
        <w:rPr>
          <w:color w:val="000000" w:themeColor="text1"/>
        </w:rPr>
        <w:t xml:space="preserve">it </w:t>
      </w:r>
      <w:r w:rsidRPr="00581542">
        <w:rPr>
          <w:color w:val="000000" w:themeColor="text1"/>
        </w:rPr>
        <w:t xml:space="preserve">in this annual burden analysis. </w:t>
      </w:r>
      <w:r w:rsidRPr="00581542" w:rsidR="00C66F8E">
        <w:rPr>
          <w:color w:val="000000" w:themeColor="text1"/>
        </w:rPr>
        <w:t xml:space="preserve">The burden associated with registration includes the time and effort necessary for the data provider to extract the data elements from the study protocol, format them </w:t>
      </w:r>
      <w:r w:rsidRPr="00581542" w:rsidR="008D55C6">
        <w:rPr>
          <w:color w:val="000000" w:themeColor="text1"/>
        </w:rPr>
        <w:t xml:space="preserve">for submission, </w:t>
      </w:r>
      <w:r w:rsidRPr="00581542" w:rsidR="00C66F8E">
        <w:rPr>
          <w:color w:val="000000" w:themeColor="text1"/>
        </w:rPr>
        <w:t xml:space="preserve">and enter the information into the databank. </w:t>
      </w:r>
      <w:r w:rsidRPr="00581542" w:rsidR="00E461DB">
        <w:rPr>
          <w:color w:val="000000" w:themeColor="text1"/>
        </w:rPr>
        <w:t>A number of</w:t>
      </w:r>
      <w:r w:rsidRPr="00581542" w:rsidR="00E461DB">
        <w:rPr>
          <w:color w:val="000000" w:themeColor="text1"/>
        </w:rPr>
        <w:t xml:space="preserve"> clinical </w:t>
      </w:r>
      <w:r w:rsidRPr="00581542" w:rsidR="001806A9">
        <w:rPr>
          <w:color w:val="000000" w:themeColor="text1"/>
        </w:rPr>
        <w:t>trials</w:t>
      </w:r>
      <w:r w:rsidRPr="00581542" w:rsidR="00E461DB">
        <w:rPr>
          <w:color w:val="000000" w:themeColor="text1"/>
        </w:rPr>
        <w:t xml:space="preserve"> of drug</w:t>
      </w:r>
      <w:r w:rsidRPr="00581542" w:rsidR="00615572">
        <w:rPr>
          <w:color w:val="000000" w:themeColor="text1"/>
        </w:rPr>
        <w:t xml:space="preserve"> product</w:t>
      </w:r>
      <w:r w:rsidRPr="00581542" w:rsidR="00E461DB">
        <w:rPr>
          <w:color w:val="000000" w:themeColor="text1"/>
        </w:rPr>
        <w:t>s, biological products, and device</w:t>
      </w:r>
      <w:r w:rsidRPr="00581542" w:rsidR="00615572">
        <w:rPr>
          <w:color w:val="000000" w:themeColor="text1"/>
        </w:rPr>
        <w:t xml:space="preserve"> product</w:t>
      </w:r>
      <w:r w:rsidRPr="00581542" w:rsidR="00E461DB">
        <w:rPr>
          <w:color w:val="000000" w:themeColor="text1"/>
        </w:rPr>
        <w:t xml:space="preserve">s are registered with ClinicalTrials.gov pursuant to the </w:t>
      </w:r>
      <w:r w:rsidRPr="00581542" w:rsidR="00615572">
        <w:rPr>
          <w:color w:val="000000" w:themeColor="text1"/>
        </w:rPr>
        <w:t xml:space="preserve">mandatory and voluntary submissions provisions of the </w:t>
      </w:r>
      <w:r w:rsidRPr="00581542" w:rsidR="00E461DB">
        <w:rPr>
          <w:color w:val="000000" w:themeColor="text1"/>
        </w:rPr>
        <w:t>FDAAA</w:t>
      </w:r>
      <w:r w:rsidR="002E50AB">
        <w:rPr>
          <w:color w:val="000000" w:themeColor="text1"/>
        </w:rPr>
        <w:t xml:space="preserve"> 801</w:t>
      </w:r>
      <w:r w:rsidRPr="00581542" w:rsidR="00E461DB">
        <w:rPr>
          <w:color w:val="000000" w:themeColor="text1"/>
        </w:rPr>
        <w:t xml:space="preserve">. The registration databank also receives </w:t>
      </w:r>
      <w:r w:rsidRPr="00581542" w:rsidR="00E461DB">
        <w:rPr>
          <w:color w:val="000000" w:themeColor="text1"/>
        </w:rPr>
        <w:t>a large number of</w:t>
      </w:r>
      <w:r w:rsidRPr="00581542" w:rsidR="00E461DB">
        <w:rPr>
          <w:color w:val="000000" w:themeColor="text1"/>
        </w:rPr>
        <w:t xml:space="preserve"> submissions of information from registrants who</w:t>
      </w:r>
      <w:r w:rsidRPr="00581542" w:rsidR="00615572">
        <w:rPr>
          <w:color w:val="000000" w:themeColor="text1"/>
        </w:rPr>
        <w:t>, though not subject to FDAAA</w:t>
      </w:r>
      <w:r w:rsidR="00A42692">
        <w:rPr>
          <w:color w:val="000000" w:themeColor="text1"/>
        </w:rPr>
        <w:t xml:space="preserve"> 801</w:t>
      </w:r>
      <w:r w:rsidRPr="00581542" w:rsidR="00615572">
        <w:rPr>
          <w:color w:val="000000" w:themeColor="text1"/>
        </w:rPr>
        <w:t>,</w:t>
      </w:r>
      <w:r w:rsidRPr="00581542" w:rsidR="00E461DB">
        <w:rPr>
          <w:color w:val="000000" w:themeColor="text1"/>
        </w:rPr>
        <w:t xml:space="preserve"> wish to make information </w:t>
      </w:r>
      <w:r w:rsidRPr="00581542" w:rsidR="001806A9">
        <w:rPr>
          <w:color w:val="000000" w:themeColor="text1"/>
        </w:rPr>
        <w:t xml:space="preserve">about other clinical studies </w:t>
      </w:r>
      <w:r w:rsidRPr="00581542" w:rsidR="00E461DB">
        <w:rPr>
          <w:color w:val="000000" w:themeColor="text1"/>
        </w:rPr>
        <w:t xml:space="preserve">public for purposes of recruitment or compliance with other policies (e.g., </w:t>
      </w:r>
      <w:r w:rsidR="00AF33A6">
        <w:rPr>
          <w:color w:val="000000" w:themeColor="text1"/>
        </w:rPr>
        <w:t>ICMJE</w:t>
      </w:r>
      <w:r w:rsidRPr="00581542" w:rsidR="00815A08">
        <w:rPr>
          <w:color w:val="000000" w:themeColor="text1"/>
        </w:rPr>
        <w:t xml:space="preserve"> </w:t>
      </w:r>
      <w:r w:rsidRPr="00581542" w:rsidR="00B677F2">
        <w:rPr>
          <w:color w:val="000000" w:themeColor="text1"/>
        </w:rPr>
        <w:t>or individual academic journals</w:t>
      </w:r>
      <w:r w:rsidRPr="00581542" w:rsidR="00E461DB">
        <w:rPr>
          <w:color w:val="000000" w:themeColor="text1"/>
        </w:rPr>
        <w:t xml:space="preserve">). Voluntary registration is explicitly authorized in </w:t>
      </w:r>
      <w:r w:rsidR="00D429A6">
        <w:rPr>
          <w:color w:val="000000" w:themeColor="text1"/>
        </w:rPr>
        <w:t>FDAAA 801</w:t>
      </w:r>
      <w:r w:rsidRPr="00581542" w:rsidR="00E461DB">
        <w:rPr>
          <w:color w:val="000000" w:themeColor="text1"/>
        </w:rPr>
        <w:t xml:space="preserve"> </w:t>
      </w:r>
      <w:r w:rsidRPr="00581542" w:rsidR="00426153">
        <w:rPr>
          <w:color w:val="000000" w:themeColor="text1"/>
        </w:rPr>
        <w:t>(</w:t>
      </w:r>
      <w:r w:rsidR="00BC0821">
        <w:rPr>
          <w:iCs/>
          <w:color w:val="000000" w:themeColor="text1"/>
        </w:rPr>
        <w:t>S</w:t>
      </w:r>
      <w:r w:rsidRPr="00581542" w:rsidR="00E461DB">
        <w:rPr>
          <w:iCs/>
          <w:color w:val="000000" w:themeColor="text1"/>
        </w:rPr>
        <w:t>ection 402</w:t>
      </w:r>
      <w:r w:rsidRPr="00581542" w:rsidR="00E461DB">
        <w:rPr>
          <w:color w:val="000000" w:themeColor="text1"/>
        </w:rPr>
        <w:t>(j)(4)(A) of the PHS Act</w:t>
      </w:r>
      <w:r w:rsidRPr="00581542" w:rsidR="00426153">
        <w:rPr>
          <w:color w:val="000000" w:themeColor="text1"/>
        </w:rPr>
        <w:t>)</w:t>
      </w:r>
      <w:r w:rsidRPr="00581542" w:rsidR="000472D5">
        <w:rPr>
          <w:color w:val="000000" w:themeColor="text1"/>
        </w:rPr>
        <w:t xml:space="preserve"> and 42 CFR 11.60</w:t>
      </w:r>
      <w:r w:rsidRPr="00581542" w:rsidR="00E461DB">
        <w:rPr>
          <w:color w:val="000000" w:themeColor="text1"/>
        </w:rPr>
        <w:t xml:space="preserve">, and the statute </w:t>
      </w:r>
      <w:r w:rsidRPr="00581542" w:rsidR="000E11D8">
        <w:rPr>
          <w:color w:val="000000" w:themeColor="text1"/>
        </w:rPr>
        <w:t xml:space="preserve">and </w:t>
      </w:r>
      <w:r w:rsidRPr="00581542" w:rsidR="00013D28">
        <w:rPr>
          <w:color w:val="000000" w:themeColor="text1"/>
        </w:rPr>
        <w:t xml:space="preserve">regulations </w:t>
      </w:r>
      <w:r w:rsidRPr="00581542" w:rsidR="00E461DB">
        <w:rPr>
          <w:color w:val="000000" w:themeColor="text1"/>
        </w:rPr>
        <w:t>place certain requirements on parties that voluntarily register clinical trials of drug</w:t>
      </w:r>
      <w:r w:rsidRPr="00581542" w:rsidR="00615572">
        <w:rPr>
          <w:color w:val="000000" w:themeColor="text1"/>
        </w:rPr>
        <w:t xml:space="preserve"> product</w:t>
      </w:r>
      <w:r w:rsidRPr="00581542" w:rsidR="00E461DB">
        <w:rPr>
          <w:color w:val="000000" w:themeColor="text1"/>
        </w:rPr>
        <w:t>s</w:t>
      </w:r>
      <w:r w:rsidRPr="00581542" w:rsidR="00615572">
        <w:rPr>
          <w:color w:val="000000" w:themeColor="text1"/>
        </w:rPr>
        <w:t>, biological products,</w:t>
      </w:r>
      <w:r w:rsidRPr="00581542" w:rsidR="00E461DB">
        <w:rPr>
          <w:color w:val="000000" w:themeColor="text1"/>
        </w:rPr>
        <w:t xml:space="preserve"> and device</w:t>
      </w:r>
      <w:r w:rsidRPr="00581542" w:rsidR="00615572">
        <w:rPr>
          <w:color w:val="000000" w:themeColor="text1"/>
        </w:rPr>
        <w:t xml:space="preserve"> product</w:t>
      </w:r>
      <w:r w:rsidRPr="00581542" w:rsidR="00E461DB">
        <w:rPr>
          <w:color w:val="000000" w:themeColor="text1"/>
        </w:rPr>
        <w:t xml:space="preserve">s that are subject to FDA regulation </w:t>
      </w:r>
      <w:r w:rsidRPr="00581542" w:rsidR="00E461DB">
        <w:rPr>
          <w:color w:val="000000" w:themeColor="text1"/>
        </w:rPr>
        <w:t xml:space="preserve">but not subject to the </w:t>
      </w:r>
      <w:r w:rsidRPr="00581542" w:rsidR="00615572">
        <w:rPr>
          <w:color w:val="000000" w:themeColor="text1"/>
        </w:rPr>
        <w:t xml:space="preserve">mandatory </w:t>
      </w:r>
      <w:r w:rsidRPr="00581542" w:rsidR="00E461DB">
        <w:rPr>
          <w:color w:val="000000" w:themeColor="text1"/>
        </w:rPr>
        <w:t xml:space="preserve">reporting requirements of the law. Nevertheless, all submissions </w:t>
      </w:r>
      <w:r w:rsidRPr="00581542" w:rsidR="00D80CCA">
        <w:rPr>
          <w:color w:val="000000" w:themeColor="text1"/>
        </w:rPr>
        <w:t xml:space="preserve">of </w:t>
      </w:r>
      <w:r w:rsidRPr="00581542" w:rsidR="00CD0A32">
        <w:rPr>
          <w:color w:val="000000" w:themeColor="text1"/>
        </w:rPr>
        <w:t xml:space="preserve">registration </w:t>
      </w:r>
      <w:r w:rsidRPr="00581542" w:rsidR="00E461DB">
        <w:rPr>
          <w:color w:val="000000" w:themeColor="text1"/>
        </w:rPr>
        <w:t xml:space="preserve">information </w:t>
      </w:r>
      <w:r w:rsidR="00736431">
        <w:rPr>
          <w:color w:val="000000" w:themeColor="text1"/>
        </w:rPr>
        <w:t>are</w:t>
      </w:r>
      <w:r w:rsidRPr="00581542" w:rsidR="00736431">
        <w:rPr>
          <w:color w:val="000000" w:themeColor="text1"/>
        </w:rPr>
        <w:t xml:space="preserve"> </w:t>
      </w:r>
      <w:r w:rsidRPr="00581542" w:rsidR="00E461DB">
        <w:rPr>
          <w:color w:val="000000" w:themeColor="text1"/>
        </w:rPr>
        <w:t>collected in accordance with the specifications established for mandatory registrations.</w:t>
      </w:r>
    </w:p>
    <w:p w:rsidR="003E61D6" w:rsidRPr="00581542" w:rsidP="002533BB" w14:paraId="001685CC" w14:textId="77777777">
      <w:pPr>
        <w:ind w:left="720"/>
        <w:rPr>
          <w:color w:val="000000" w:themeColor="text1"/>
        </w:rPr>
      </w:pPr>
    </w:p>
    <w:p w:rsidR="00B67875" w:rsidRPr="00581542" w:rsidP="002533BB" w14:paraId="7B179B87" w14:textId="77777777">
      <w:pPr>
        <w:ind w:left="720"/>
        <w:rPr>
          <w:b/>
          <w:color w:val="000000" w:themeColor="text1"/>
        </w:rPr>
      </w:pPr>
      <w:r w:rsidRPr="00581542">
        <w:rPr>
          <w:b/>
          <w:color w:val="000000" w:themeColor="text1"/>
        </w:rPr>
        <w:t>Mandatory Submissions</w:t>
      </w:r>
    </w:p>
    <w:p w:rsidR="00B67875" w:rsidRPr="00581542" w:rsidP="002533BB" w14:paraId="53B681A1" w14:textId="77777777">
      <w:pPr>
        <w:ind w:left="720"/>
        <w:contextualSpacing/>
        <w:rPr>
          <w:color w:val="000000" w:themeColor="text1"/>
        </w:rPr>
      </w:pPr>
    </w:p>
    <w:p w:rsidR="00D83A36" w:rsidRPr="00581542" w:rsidP="002533BB" w14:paraId="1B97E138" w14:textId="738B5ABF">
      <w:pPr>
        <w:ind w:left="720"/>
        <w:contextualSpacing/>
        <w:rPr>
          <w:color w:val="000000" w:themeColor="text1"/>
        </w:rPr>
      </w:pPr>
      <w:r w:rsidRPr="00581542">
        <w:rPr>
          <w:color w:val="000000" w:themeColor="text1"/>
        </w:rPr>
        <w:t xml:space="preserve">To estimate the costs of trial registration, we first estimated the number of applicable clinical trials that would be initiated </w:t>
      </w:r>
      <w:r w:rsidRPr="00581542">
        <w:rPr>
          <w:color w:val="000000" w:themeColor="text1"/>
        </w:rPr>
        <w:t>in a given year</w:t>
      </w:r>
      <w:r w:rsidRPr="00581542">
        <w:rPr>
          <w:color w:val="000000" w:themeColor="text1"/>
        </w:rPr>
        <w:t xml:space="preserve"> and be subject to </w:t>
      </w:r>
      <w:r w:rsidRPr="00581542" w:rsidR="00013D28">
        <w:rPr>
          <w:color w:val="000000" w:themeColor="text1"/>
        </w:rPr>
        <w:t>42 CFR Part 11</w:t>
      </w:r>
      <w:r w:rsidRPr="00581542">
        <w:rPr>
          <w:color w:val="000000" w:themeColor="text1"/>
        </w:rPr>
        <w:t>.  Using the approach described below, we estimate that a total of 7,400 applicable clinical trials of drug</w:t>
      </w:r>
      <w:r w:rsidRPr="00581542" w:rsidR="00F85908">
        <w:rPr>
          <w:color w:val="000000" w:themeColor="text1"/>
        </w:rPr>
        <w:t xml:space="preserve"> product</w:t>
      </w:r>
      <w:r w:rsidRPr="00581542">
        <w:rPr>
          <w:color w:val="000000" w:themeColor="text1"/>
        </w:rPr>
        <w:t>s (including biological products) and device</w:t>
      </w:r>
      <w:r w:rsidRPr="00581542" w:rsidR="00F85908">
        <w:rPr>
          <w:color w:val="000000" w:themeColor="text1"/>
        </w:rPr>
        <w:t xml:space="preserve"> product</w:t>
      </w:r>
      <w:r w:rsidRPr="00581542">
        <w:rPr>
          <w:color w:val="000000" w:themeColor="text1"/>
        </w:rPr>
        <w:t xml:space="preserve">s per year would be subject to the registration requirement of </w:t>
      </w:r>
      <w:r w:rsidRPr="00581542" w:rsidR="00013D28">
        <w:rPr>
          <w:color w:val="000000" w:themeColor="text1"/>
        </w:rPr>
        <w:t>42 CFR Part 11</w:t>
      </w:r>
      <w:r w:rsidRPr="00581542">
        <w:rPr>
          <w:color w:val="000000" w:themeColor="text1"/>
        </w:rPr>
        <w:t>. This estimate is based on information from FDA indicating that it receives approximately 5,150 clinical trial protocol submissions annually for applicable clinical trials (76 FR 256</w:t>
      </w:r>
      <w:r w:rsidRPr="00581542" w:rsidR="00D31E8B">
        <w:rPr>
          <w:color w:val="000000" w:themeColor="text1"/>
        </w:rPr>
        <w:t>,</w:t>
      </w:r>
      <w:r w:rsidRPr="00581542" w:rsidR="003B4141">
        <w:rPr>
          <w:color w:val="000000" w:themeColor="text1"/>
        </w:rPr>
        <w:t xml:space="preserve"> </w:t>
      </w:r>
      <w:r w:rsidRPr="00581542" w:rsidR="00B67875">
        <w:rPr>
          <w:color w:val="000000" w:themeColor="text1"/>
        </w:rPr>
        <w:t>Jan 4</w:t>
      </w:r>
      <w:r w:rsidRPr="00581542" w:rsidR="003B4141">
        <w:rPr>
          <w:color w:val="000000" w:themeColor="text1"/>
        </w:rPr>
        <w:t xml:space="preserve">, </w:t>
      </w:r>
      <w:r w:rsidRPr="00581542" w:rsidR="00B67875">
        <w:rPr>
          <w:color w:val="000000" w:themeColor="text1"/>
        </w:rPr>
        <w:t>2011</w:t>
      </w:r>
      <w:r w:rsidRPr="00581542">
        <w:rPr>
          <w:color w:val="000000" w:themeColor="text1"/>
        </w:rPr>
        <w:t xml:space="preserve">). This figure includes protocol submissions to </w:t>
      </w:r>
      <w:r w:rsidR="00F92626">
        <w:rPr>
          <w:color w:val="000000" w:themeColor="text1"/>
        </w:rPr>
        <w:t>the Center for Drug Evaluation and Research (</w:t>
      </w:r>
      <w:r w:rsidRPr="00581542">
        <w:rPr>
          <w:color w:val="000000" w:themeColor="text1"/>
        </w:rPr>
        <w:t>CDER</w:t>
      </w:r>
      <w:r w:rsidR="00F92626">
        <w:rPr>
          <w:color w:val="000000" w:themeColor="text1"/>
        </w:rPr>
        <w:t>)</w:t>
      </w:r>
      <w:r w:rsidRPr="00581542">
        <w:rPr>
          <w:color w:val="000000" w:themeColor="text1"/>
        </w:rPr>
        <w:t xml:space="preserve">, </w:t>
      </w:r>
      <w:r w:rsidR="00F92626">
        <w:rPr>
          <w:color w:val="000000" w:themeColor="text1"/>
        </w:rPr>
        <w:t>the Center for Biologics Evaluation and Research (</w:t>
      </w:r>
      <w:r w:rsidRPr="00581542">
        <w:rPr>
          <w:color w:val="000000" w:themeColor="text1"/>
        </w:rPr>
        <w:t>CBER</w:t>
      </w:r>
      <w:r w:rsidR="00F92626">
        <w:rPr>
          <w:color w:val="000000" w:themeColor="text1"/>
        </w:rPr>
        <w:t>)</w:t>
      </w:r>
      <w:r w:rsidRPr="00581542">
        <w:rPr>
          <w:color w:val="000000" w:themeColor="text1"/>
        </w:rPr>
        <w:t xml:space="preserve">, and </w:t>
      </w:r>
      <w:r w:rsidR="00F92626">
        <w:rPr>
          <w:color w:val="000000" w:themeColor="text1"/>
        </w:rPr>
        <w:t>the Center for Devices and Radiological Health (</w:t>
      </w:r>
      <w:r w:rsidRPr="00581542">
        <w:rPr>
          <w:color w:val="000000" w:themeColor="text1"/>
        </w:rPr>
        <w:t>CDRH</w:t>
      </w:r>
      <w:r w:rsidR="00F92626">
        <w:rPr>
          <w:color w:val="000000" w:themeColor="text1"/>
        </w:rPr>
        <w:t>)</w:t>
      </w:r>
      <w:r w:rsidRPr="00581542">
        <w:rPr>
          <w:color w:val="000000" w:themeColor="text1"/>
        </w:rPr>
        <w:t xml:space="preserve">; it does not include clinical trials that were not conducted under an IND or IDE. To estimate the number of such clinical trials, we examined the number of clinical trials registered with ClinicalTrials.gov that appear to meet the criteria for an applicable clinical trial but do not appear to have been conducted under an IND or IDE, e.g., because they are exempt from the requirement to submit an IND or IDE. </w:t>
      </w:r>
      <w:r w:rsidRPr="00CC45A7">
        <w:rPr>
          <w:color w:val="000000" w:themeColor="text1"/>
          <w:highlight w:val="yellow"/>
        </w:rPr>
        <w:t xml:space="preserve">We found approximately </w:t>
      </w:r>
      <w:r w:rsidRPr="00CC45A7" w:rsidR="00782A19">
        <w:rPr>
          <w:color w:val="000000" w:themeColor="text1"/>
          <w:highlight w:val="yellow"/>
        </w:rPr>
        <w:t>2,000</w:t>
      </w:r>
      <w:r w:rsidRPr="00CC45A7">
        <w:rPr>
          <w:color w:val="000000" w:themeColor="text1"/>
          <w:highlight w:val="yellow"/>
        </w:rPr>
        <w:t xml:space="preserve"> and </w:t>
      </w:r>
      <w:r w:rsidRPr="00CC45A7" w:rsidR="00782A19">
        <w:rPr>
          <w:color w:val="000000" w:themeColor="text1"/>
          <w:highlight w:val="yellow"/>
        </w:rPr>
        <w:t>2,100</w:t>
      </w:r>
      <w:r w:rsidRPr="00CC45A7">
        <w:rPr>
          <w:color w:val="000000" w:themeColor="text1"/>
          <w:highlight w:val="yellow"/>
        </w:rPr>
        <w:t xml:space="preserve"> such clinical trials </w:t>
      </w:r>
      <w:r w:rsidRPr="00CC45A7" w:rsidR="00ED6DBF">
        <w:rPr>
          <w:color w:val="000000" w:themeColor="text1"/>
          <w:highlight w:val="yellow"/>
        </w:rPr>
        <w:t xml:space="preserve">first registered </w:t>
      </w:r>
      <w:r w:rsidRPr="00CC45A7">
        <w:rPr>
          <w:color w:val="000000" w:themeColor="text1"/>
          <w:highlight w:val="yellow"/>
        </w:rPr>
        <w:t xml:space="preserve">in </w:t>
      </w:r>
      <w:r w:rsidRPr="00CC45A7" w:rsidR="00782A19">
        <w:rPr>
          <w:color w:val="000000" w:themeColor="text1"/>
          <w:highlight w:val="yellow"/>
        </w:rPr>
        <w:t>2023</w:t>
      </w:r>
      <w:r w:rsidRPr="00CC45A7">
        <w:rPr>
          <w:color w:val="000000" w:themeColor="text1"/>
          <w:highlight w:val="yellow"/>
        </w:rPr>
        <w:t xml:space="preserve"> and</w:t>
      </w:r>
      <w:r w:rsidRPr="00CC45A7" w:rsidR="002E0E20">
        <w:rPr>
          <w:color w:val="000000" w:themeColor="text1"/>
          <w:highlight w:val="yellow"/>
        </w:rPr>
        <w:t xml:space="preserve"> </w:t>
      </w:r>
      <w:r w:rsidRPr="00CC45A7" w:rsidR="00782A19">
        <w:rPr>
          <w:color w:val="000000" w:themeColor="text1"/>
          <w:highlight w:val="yellow"/>
        </w:rPr>
        <w:t>2024</w:t>
      </w:r>
      <w:r w:rsidRPr="00CC45A7">
        <w:rPr>
          <w:color w:val="000000" w:themeColor="text1"/>
          <w:highlight w:val="yellow"/>
        </w:rPr>
        <w:t>, respectively</w:t>
      </w:r>
      <w:r w:rsidRPr="00CC45A7" w:rsidR="00782A19">
        <w:rPr>
          <w:color w:val="000000" w:themeColor="text1"/>
          <w:highlight w:val="yellow"/>
        </w:rPr>
        <w:t>.</w:t>
      </w:r>
      <w:r w:rsidRPr="00CC45A7" w:rsidR="00BA0B1E">
        <w:rPr>
          <w:color w:val="000000" w:themeColor="text1"/>
          <w:highlight w:val="yellow"/>
        </w:rPr>
        <w:t xml:space="preserve"> </w:t>
      </w:r>
      <w:r w:rsidRPr="00CC45A7" w:rsidR="00782A19">
        <w:rPr>
          <w:color w:val="000000" w:themeColor="text1"/>
          <w:highlight w:val="yellow"/>
        </w:rPr>
        <w:t>T</w:t>
      </w:r>
      <w:r w:rsidRPr="00CC45A7">
        <w:rPr>
          <w:color w:val="000000" w:themeColor="text1"/>
          <w:highlight w:val="yellow"/>
        </w:rPr>
        <w:t>o accommodate further growth in the number of such clinical trials</w:t>
      </w:r>
      <w:r w:rsidRPr="00CC45A7" w:rsidR="00782A19">
        <w:rPr>
          <w:color w:val="000000" w:themeColor="text1"/>
          <w:highlight w:val="yellow"/>
        </w:rPr>
        <w:t xml:space="preserve">, we utilized the same figure (2,250) </w:t>
      </w:r>
      <w:r w:rsidRPr="00CC45A7" w:rsidR="00B72D29">
        <w:rPr>
          <w:color w:val="000000" w:themeColor="text1"/>
          <w:highlight w:val="yellow"/>
        </w:rPr>
        <w:t xml:space="preserve">as the estimate </w:t>
      </w:r>
      <w:r w:rsidRPr="00CC45A7" w:rsidR="00782A19">
        <w:rPr>
          <w:color w:val="000000" w:themeColor="text1"/>
          <w:highlight w:val="yellow"/>
        </w:rPr>
        <w:t xml:space="preserve">used in the </w:t>
      </w:r>
      <w:r w:rsidRPr="00CC45A7" w:rsidR="00486BB5">
        <w:rPr>
          <w:color w:val="000000" w:themeColor="text1"/>
          <w:highlight w:val="yellow"/>
        </w:rPr>
        <w:t xml:space="preserve">2023 </w:t>
      </w:r>
      <w:r w:rsidRPr="00CC45A7" w:rsidR="00F92626">
        <w:rPr>
          <w:color w:val="000000" w:themeColor="text1"/>
          <w:highlight w:val="yellow"/>
        </w:rPr>
        <w:t>Office of Management and Budget (</w:t>
      </w:r>
      <w:r w:rsidRPr="00CC45A7" w:rsidR="00486BB5">
        <w:rPr>
          <w:color w:val="000000" w:themeColor="text1"/>
          <w:highlight w:val="yellow"/>
        </w:rPr>
        <w:t>OMB</w:t>
      </w:r>
      <w:r w:rsidRPr="00CC45A7" w:rsidR="00F92626">
        <w:rPr>
          <w:color w:val="000000" w:themeColor="text1"/>
          <w:highlight w:val="yellow"/>
        </w:rPr>
        <w:t>)</w:t>
      </w:r>
      <w:r w:rsidRPr="00CC45A7" w:rsidR="00486BB5">
        <w:rPr>
          <w:color w:val="000000" w:themeColor="text1"/>
          <w:highlight w:val="yellow"/>
        </w:rPr>
        <w:t xml:space="preserve"> Paperwork Reduction Act clearance for the ClinicalTrials.gov data collection (88 FR 7743, Feb. 6, 2023)</w:t>
      </w:r>
      <w:r w:rsidRPr="00CC45A7">
        <w:rPr>
          <w:color w:val="000000" w:themeColor="text1"/>
          <w:highlight w:val="yellow"/>
        </w:rPr>
        <w:t>.</w:t>
      </w:r>
      <w:r w:rsidRPr="00581542">
        <w:rPr>
          <w:color w:val="000000" w:themeColor="text1"/>
        </w:rPr>
        <w:t xml:space="preserve"> The sum of these figures (i.e., 5,150 plus 2,250 equals 7,400) provides an estimate of the number of applicable clinical trials that will be subject to the registration requirement of </w:t>
      </w:r>
      <w:r w:rsidRPr="00581542" w:rsidR="00013D28">
        <w:rPr>
          <w:color w:val="000000" w:themeColor="text1"/>
        </w:rPr>
        <w:t xml:space="preserve">42 CFR Part 11 </w:t>
      </w:r>
      <w:r w:rsidRPr="00581542">
        <w:rPr>
          <w:color w:val="000000" w:themeColor="text1"/>
        </w:rPr>
        <w:t>each year.</w:t>
      </w:r>
    </w:p>
    <w:p w:rsidR="00D83A36" w:rsidRPr="00581542" w:rsidP="002533BB" w14:paraId="2CA7F21E" w14:textId="77777777">
      <w:pPr>
        <w:ind w:left="720"/>
        <w:contextualSpacing/>
        <w:rPr>
          <w:color w:val="000000" w:themeColor="text1"/>
        </w:rPr>
      </w:pPr>
    </w:p>
    <w:p w:rsidR="00D83A36" w:rsidRPr="00581542" w:rsidP="002533BB" w14:paraId="42003B65" w14:textId="215F12E5">
      <w:pPr>
        <w:ind w:left="720"/>
        <w:contextualSpacing/>
        <w:rPr>
          <w:color w:val="000000" w:themeColor="text1"/>
        </w:rPr>
      </w:pPr>
      <w:r w:rsidRPr="00581542">
        <w:rPr>
          <w:color w:val="000000" w:themeColor="text1"/>
        </w:rPr>
        <w:t xml:space="preserve">To calculate the burden associated with registering 7,400 clinical trials, we estimated the time required to submit complete clinical trial registration information for an applicable clinical trial. We estimate this time to be 8 hours, including time to extract information from the study protocol, reformat it, and submit it to ClinicalTrials.gov. </w:t>
      </w:r>
      <w:r w:rsidRPr="004B1244">
        <w:rPr>
          <w:color w:val="000000" w:themeColor="text1"/>
          <w:highlight w:val="yellow"/>
        </w:rPr>
        <w:t xml:space="preserve">This figure is </w:t>
      </w:r>
      <w:r w:rsidRPr="004B1244" w:rsidR="0098335A">
        <w:rPr>
          <w:color w:val="000000" w:themeColor="text1"/>
          <w:highlight w:val="yellow"/>
        </w:rPr>
        <w:t>the same as</w:t>
      </w:r>
      <w:r w:rsidRPr="004B1244">
        <w:rPr>
          <w:color w:val="000000" w:themeColor="text1"/>
          <w:highlight w:val="yellow"/>
        </w:rPr>
        <w:t xml:space="preserve"> the estimate used in the </w:t>
      </w:r>
      <w:r w:rsidRPr="004B1244" w:rsidR="00DE1229">
        <w:rPr>
          <w:color w:val="000000" w:themeColor="text1"/>
          <w:highlight w:val="yellow"/>
        </w:rPr>
        <w:t>2023</w:t>
      </w:r>
      <w:r w:rsidRPr="004B1244" w:rsidR="006F0110">
        <w:rPr>
          <w:color w:val="000000" w:themeColor="text1"/>
          <w:highlight w:val="yellow"/>
        </w:rPr>
        <w:t xml:space="preserve"> </w:t>
      </w:r>
      <w:r w:rsidRPr="004B1244">
        <w:rPr>
          <w:color w:val="000000" w:themeColor="text1"/>
          <w:highlight w:val="yellow"/>
        </w:rPr>
        <w:t>OMB Paperwork Reduction Act clearance for the ClinicalTrials.gov data collection (</w:t>
      </w:r>
      <w:r w:rsidRPr="004B1244" w:rsidR="00DE1229">
        <w:rPr>
          <w:color w:val="000000" w:themeColor="text1"/>
          <w:highlight w:val="yellow"/>
        </w:rPr>
        <w:t xml:space="preserve">88 </w:t>
      </w:r>
      <w:r w:rsidRPr="004B1244" w:rsidR="00757524">
        <w:rPr>
          <w:color w:val="000000" w:themeColor="text1"/>
          <w:highlight w:val="yellow"/>
        </w:rPr>
        <w:t>FR</w:t>
      </w:r>
      <w:r w:rsidRPr="004B1244" w:rsidR="00DE1229">
        <w:rPr>
          <w:color w:val="000000" w:themeColor="text1"/>
          <w:highlight w:val="yellow"/>
        </w:rPr>
        <w:t xml:space="preserve"> 7743</w:t>
      </w:r>
      <w:r w:rsidRPr="004B1244" w:rsidR="00A4363A">
        <w:rPr>
          <w:color w:val="000000" w:themeColor="text1"/>
          <w:highlight w:val="yellow"/>
        </w:rPr>
        <w:t>,</w:t>
      </w:r>
      <w:r w:rsidRPr="004B1244" w:rsidR="00D3407E">
        <w:rPr>
          <w:color w:val="000000" w:themeColor="text1"/>
          <w:highlight w:val="yellow"/>
        </w:rPr>
        <w:t xml:space="preserve"> </w:t>
      </w:r>
      <w:r w:rsidRPr="004B1244" w:rsidR="00DE1229">
        <w:rPr>
          <w:color w:val="000000" w:themeColor="text1"/>
          <w:highlight w:val="yellow"/>
        </w:rPr>
        <w:t>Feb. 6, 2023</w:t>
      </w:r>
      <w:r w:rsidRPr="004B1244">
        <w:rPr>
          <w:color w:val="000000" w:themeColor="text1"/>
          <w:highlight w:val="yellow"/>
        </w:rPr>
        <w:t>).</w:t>
      </w:r>
      <w:r w:rsidRPr="00581542">
        <w:rPr>
          <w:color w:val="000000" w:themeColor="text1"/>
        </w:rPr>
        <w:t xml:space="preserve">  Applying this time estimate to the estimated number of applicable clinical trials yields a burden of 59,200 hours per year for registering applicable clinical trials. Based on our previous experience, we estimate that each registration record will be updated an average of 8 times </w:t>
      </w:r>
      <w:r w:rsidRPr="00581542">
        <w:rPr>
          <w:color w:val="000000" w:themeColor="text1"/>
        </w:rPr>
        <w:t>during the course of</w:t>
      </w:r>
      <w:r w:rsidRPr="00581542">
        <w:rPr>
          <w:color w:val="000000" w:themeColor="text1"/>
        </w:rPr>
        <w:t xml:space="preserve"> the study (e.g., to reflect changes in the conduct of the clinical trial, additions of investigational sites, recruitment status updates). Although clinical trials of long duration and with multiple sites will likely submit more updates </w:t>
      </w:r>
      <w:r w:rsidRPr="00581542">
        <w:rPr>
          <w:color w:val="000000" w:themeColor="text1"/>
        </w:rPr>
        <w:t>during the course of</w:t>
      </w:r>
      <w:r w:rsidRPr="00581542">
        <w:rPr>
          <w:color w:val="000000" w:themeColor="text1"/>
        </w:rPr>
        <w:t xml:space="preserve"> the trial, we have found that many applicable clinical trials have a relatively short duration and a limited number of study sites, which lowers the average per clinical trial. The time required for subsequent updates of clinical trial registration information is expected to be significantly less than for the original registration (as less information must be provided) and is estimated to be 2 hours per update. </w:t>
      </w:r>
      <w:r w:rsidRPr="00581542" w:rsidR="006145DE">
        <w:rPr>
          <w:color w:val="000000" w:themeColor="text1"/>
        </w:rPr>
        <w:t xml:space="preserve">This figure is the same as the estimate used in the </w:t>
      </w:r>
      <w:r w:rsidRPr="00581542" w:rsidR="00F61904">
        <w:rPr>
          <w:color w:val="000000" w:themeColor="text1"/>
        </w:rPr>
        <w:t xml:space="preserve">2023 </w:t>
      </w:r>
      <w:r w:rsidRPr="00581542" w:rsidR="006145DE">
        <w:rPr>
          <w:color w:val="000000" w:themeColor="text1"/>
        </w:rPr>
        <w:t xml:space="preserve">OMB Paperwork Reduction Act clearance for the ClinicalTrials.gov data </w:t>
      </w:r>
      <w:r w:rsidRPr="00581542" w:rsidR="006145DE">
        <w:rPr>
          <w:color w:val="000000" w:themeColor="text1"/>
        </w:rPr>
        <w:t>collection (</w:t>
      </w:r>
      <w:r w:rsidRPr="00581542" w:rsidR="00F61904">
        <w:rPr>
          <w:color w:val="000000" w:themeColor="text1"/>
        </w:rPr>
        <w:t xml:space="preserve">88 </w:t>
      </w:r>
      <w:r w:rsidRPr="00581542" w:rsidR="00DB3DF0">
        <w:rPr>
          <w:color w:val="000000" w:themeColor="text1"/>
        </w:rPr>
        <w:t xml:space="preserve">FR </w:t>
      </w:r>
      <w:r w:rsidRPr="00581542" w:rsidR="00F61904">
        <w:rPr>
          <w:color w:val="000000" w:themeColor="text1"/>
        </w:rPr>
        <w:t>7743</w:t>
      </w:r>
      <w:r w:rsidRPr="00581542" w:rsidR="006F0110">
        <w:rPr>
          <w:color w:val="000000" w:themeColor="text1"/>
        </w:rPr>
        <w:t>,</w:t>
      </w:r>
      <w:r w:rsidR="00D3407E">
        <w:rPr>
          <w:color w:val="000000" w:themeColor="text1"/>
        </w:rPr>
        <w:t xml:space="preserve"> </w:t>
      </w:r>
      <w:r w:rsidRPr="00581542" w:rsidR="00F61904">
        <w:rPr>
          <w:color w:val="000000" w:themeColor="text1"/>
        </w:rPr>
        <w:t>Feb. 6, 2023</w:t>
      </w:r>
      <w:r w:rsidRPr="00581542" w:rsidR="006145DE">
        <w:rPr>
          <w:color w:val="000000" w:themeColor="text1"/>
        </w:rPr>
        <w:t xml:space="preserve">).  </w:t>
      </w:r>
      <w:r w:rsidRPr="00581542">
        <w:rPr>
          <w:color w:val="000000" w:themeColor="text1"/>
        </w:rPr>
        <w:t>Using these figures, we calculated the annual hour burden for updates to clinical trial registration information to be 118,400 hours. Combining this figure with the estimated time for initial registrations (59,200 hours) yields an estimate of the total hour burden associated with the submission and updating of clinical trial registration information of 177,600 hours per year. These estimates include the time involved in addressing any issues identified during quality control review of submitted registration information.</w:t>
      </w:r>
    </w:p>
    <w:p w:rsidR="00D83A36" w:rsidRPr="00581542" w:rsidP="002533BB" w14:paraId="1DF36B02" w14:textId="77777777">
      <w:pPr>
        <w:ind w:left="720"/>
        <w:contextualSpacing/>
        <w:rPr>
          <w:color w:val="000000" w:themeColor="text1"/>
        </w:rPr>
      </w:pPr>
    </w:p>
    <w:p w:rsidR="008135A8" w:rsidRPr="00581542" w:rsidP="002533BB" w14:paraId="1E5CF2FC" w14:textId="77777777">
      <w:pPr>
        <w:ind w:left="720"/>
        <w:contextualSpacing/>
        <w:rPr>
          <w:color w:val="000000" w:themeColor="text1"/>
        </w:rPr>
      </w:pPr>
      <w:r w:rsidRPr="00581542">
        <w:rPr>
          <w:b/>
          <w:color w:val="000000" w:themeColor="text1"/>
        </w:rPr>
        <w:t>Voluntary</w:t>
      </w:r>
      <w:r w:rsidRPr="00581542">
        <w:rPr>
          <w:color w:val="000000" w:themeColor="text1"/>
        </w:rPr>
        <w:t xml:space="preserve"> </w:t>
      </w:r>
      <w:r w:rsidRPr="00581542" w:rsidR="00B75615">
        <w:rPr>
          <w:b/>
          <w:color w:val="000000" w:themeColor="text1"/>
        </w:rPr>
        <w:t xml:space="preserve">and </w:t>
      </w:r>
      <w:r w:rsidRPr="00581542" w:rsidR="00693CA4">
        <w:rPr>
          <w:b/>
          <w:color w:val="000000" w:themeColor="text1"/>
        </w:rPr>
        <w:t>N</w:t>
      </w:r>
      <w:r w:rsidRPr="00581542">
        <w:rPr>
          <w:b/>
          <w:color w:val="000000" w:themeColor="text1"/>
        </w:rPr>
        <w:t xml:space="preserve">on-regulated </w:t>
      </w:r>
      <w:r w:rsidRPr="00581542" w:rsidR="00693CA4">
        <w:rPr>
          <w:b/>
          <w:color w:val="000000" w:themeColor="text1"/>
        </w:rPr>
        <w:t>S</w:t>
      </w:r>
      <w:r w:rsidRPr="00581542">
        <w:rPr>
          <w:b/>
          <w:color w:val="000000" w:themeColor="text1"/>
        </w:rPr>
        <w:t>ubmissions</w:t>
      </w:r>
    </w:p>
    <w:p w:rsidR="008135A8" w:rsidRPr="00581542" w:rsidP="002533BB" w14:paraId="6EE27D6B" w14:textId="77777777">
      <w:pPr>
        <w:ind w:left="720"/>
        <w:contextualSpacing/>
        <w:rPr>
          <w:color w:val="000000" w:themeColor="text1"/>
          <w:szCs w:val="24"/>
        </w:rPr>
      </w:pPr>
    </w:p>
    <w:p w:rsidR="008135A8" w:rsidRPr="00581542" w:rsidP="002533BB" w14:paraId="01F263D7" w14:textId="2B42C5B3">
      <w:pPr>
        <w:ind w:left="720"/>
        <w:rPr>
          <w:color w:val="000000" w:themeColor="text1"/>
          <w:szCs w:val="24"/>
        </w:rPr>
      </w:pPr>
      <w:r w:rsidRPr="00581542">
        <w:rPr>
          <w:color w:val="000000" w:themeColor="text1"/>
          <w:szCs w:val="24"/>
        </w:rPr>
        <w:t xml:space="preserve">A number of studies registered in ClinicalTrials.gov </w:t>
      </w:r>
      <w:r w:rsidRPr="00581542" w:rsidR="000651CE">
        <w:rPr>
          <w:color w:val="000000" w:themeColor="text1"/>
          <w:szCs w:val="24"/>
        </w:rPr>
        <w:t xml:space="preserve">are </w:t>
      </w:r>
      <w:r w:rsidRPr="00581542" w:rsidR="003C4D7E">
        <w:rPr>
          <w:color w:val="000000" w:themeColor="text1"/>
          <w:szCs w:val="24"/>
        </w:rPr>
        <w:t xml:space="preserve">voluntary </w:t>
      </w:r>
      <w:r w:rsidRPr="00581542" w:rsidR="00C20788">
        <w:rPr>
          <w:color w:val="000000" w:themeColor="text1"/>
          <w:szCs w:val="24"/>
        </w:rPr>
        <w:t>submissions</w:t>
      </w:r>
      <w:r w:rsidRPr="00581542" w:rsidR="003C4D7E">
        <w:rPr>
          <w:color w:val="000000" w:themeColor="text1"/>
          <w:szCs w:val="24"/>
        </w:rPr>
        <w:t xml:space="preserve"> under 42 CFR 11.60 </w:t>
      </w:r>
      <w:r w:rsidRPr="00581542" w:rsidR="00CC2FBC">
        <w:rPr>
          <w:color w:val="000000" w:themeColor="text1"/>
          <w:szCs w:val="24"/>
        </w:rPr>
        <w:t xml:space="preserve">(e.g., phase 1 </w:t>
      </w:r>
      <w:r w:rsidRPr="00581542" w:rsidR="00C20788">
        <w:rPr>
          <w:color w:val="000000" w:themeColor="text1"/>
          <w:szCs w:val="24"/>
        </w:rPr>
        <w:t>clinical</w:t>
      </w:r>
      <w:r w:rsidRPr="00581542" w:rsidR="00CC2FBC">
        <w:rPr>
          <w:color w:val="000000" w:themeColor="text1"/>
          <w:szCs w:val="24"/>
        </w:rPr>
        <w:t xml:space="preserve"> trials of FDA-regulated drug products or biological products) </w:t>
      </w:r>
      <w:r w:rsidRPr="00581542" w:rsidR="003C4D7E">
        <w:rPr>
          <w:color w:val="000000" w:themeColor="text1"/>
          <w:szCs w:val="24"/>
        </w:rPr>
        <w:t xml:space="preserve">or </w:t>
      </w:r>
      <w:r w:rsidRPr="00581542">
        <w:rPr>
          <w:color w:val="000000" w:themeColor="text1"/>
          <w:szCs w:val="24"/>
        </w:rPr>
        <w:t xml:space="preserve">are not subject to </w:t>
      </w:r>
      <w:r w:rsidRPr="00581542" w:rsidR="00C04EB2">
        <w:rPr>
          <w:color w:val="000000" w:themeColor="text1"/>
          <w:szCs w:val="24"/>
        </w:rPr>
        <w:t>42 CFR Part 11</w:t>
      </w:r>
      <w:r w:rsidRPr="00581542" w:rsidR="003C4D7E">
        <w:rPr>
          <w:color w:val="000000" w:themeColor="text1"/>
          <w:szCs w:val="24"/>
        </w:rPr>
        <w:t xml:space="preserve"> at all (e.g., clinical trials that do not involve any FDA-regulated drug products, biological products, or device products</w:t>
      </w:r>
      <w:r w:rsidRPr="00581542" w:rsidR="00CC2FBC">
        <w:rPr>
          <w:color w:val="000000" w:themeColor="text1"/>
          <w:szCs w:val="24"/>
        </w:rPr>
        <w:t xml:space="preserve"> or </w:t>
      </w:r>
      <w:r w:rsidRPr="00581542" w:rsidR="003C4D7E">
        <w:rPr>
          <w:color w:val="000000" w:themeColor="text1"/>
          <w:szCs w:val="24"/>
        </w:rPr>
        <w:t xml:space="preserve">are conducted </w:t>
      </w:r>
      <w:r w:rsidRPr="00581542" w:rsidR="00CC2FBC">
        <w:rPr>
          <w:color w:val="000000" w:themeColor="text1"/>
          <w:szCs w:val="24"/>
        </w:rPr>
        <w:t xml:space="preserve">entirely </w:t>
      </w:r>
      <w:r w:rsidRPr="00581542" w:rsidR="00C20788">
        <w:rPr>
          <w:color w:val="000000" w:themeColor="text1"/>
          <w:szCs w:val="24"/>
        </w:rPr>
        <w:t>outside</w:t>
      </w:r>
      <w:r w:rsidRPr="00581542" w:rsidR="003C4D7E">
        <w:rPr>
          <w:color w:val="000000" w:themeColor="text1"/>
          <w:szCs w:val="24"/>
        </w:rPr>
        <w:t xml:space="preserve"> the US and </w:t>
      </w:r>
      <w:r w:rsidRPr="00581542" w:rsidR="00CC2FBC">
        <w:rPr>
          <w:color w:val="000000" w:themeColor="text1"/>
          <w:szCs w:val="24"/>
        </w:rPr>
        <w:t xml:space="preserve">are </w:t>
      </w:r>
      <w:r w:rsidRPr="00581542" w:rsidR="003C4D7E">
        <w:rPr>
          <w:color w:val="000000" w:themeColor="text1"/>
          <w:szCs w:val="24"/>
        </w:rPr>
        <w:t>outside of FDA’s jurisdiction)</w:t>
      </w:r>
      <w:r w:rsidRPr="00581542">
        <w:rPr>
          <w:color w:val="000000" w:themeColor="text1"/>
          <w:szCs w:val="24"/>
        </w:rPr>
        <w:t xml:space="preserve">. Investigators may choose to register such studies </w:t>
      </w:r>
      <w:r w:rsidRPr="00581542">
        <w:rPr>
          <w:color w:val="000000" w:themeColor="text1"/>
          <w:szCs w:val="24"/>
        </w:rPr>
        <w:t>in order to</w:t>
      </w:r>
      <w:r w:rsidRPr="00581542">
        <w:rPr>
          <w:color w:val="000000" w:themeColor="text1"/>
          <w:szCs w:val="24"/>
        </w:rPr>
        <w:t xml:space="preserve"> assist in the recruitment of subjects or to comply with medical journal policies that make registration in a publicly accessible repository a condition of publication. In addition, </w:t>
      </w:r>
      <w:r w:rsidRPr="00581542" w:rsidR="00371580">
        <w:rPr>
          <w:color w:val="000000" w:themeColor="text1"/>
          <w:szCs w:val="24"/>
        </w:rPr>
        <w:t xml:space="preserve">since </w:t>
      </w:r>
      <w:r w:rsidRPr="00581542">
        <w:rPr>
          <w:color w:val="000000" w:themeColor="text1"/>
          <w:szCs w:val="24"/>
        </w:rPr>
        <w:t xml:space="preserve">2017, clinical trial registration and results information </w:t>
      </w:r>
      <w:r w:rsidRPr="00581542" w:rsidR="00A00279">
        <w:rPr>
          <w:color w:val="000000" w:themeColor="text1"/>
          <w:szCs w:val="24"/>
        </w:rPr>
        <w:t>has</w:t>
      </w:r>
      <w:r w:rsidRPr="00581542" w:rsidR="00A00279">
        <w:rPr>
          <w:color w:val="000000" w:themeColor="text1"/>
          <w:szCs w:val="24"/>
        </w:rPr>
        <w:t xml:space="preserve"> </w:t>
      </w:r>
      <w:r w:rsidRPr="00581542">
        <w:rPr>
          <w:color w:val="000000" w:themeColor="text1"/>
          <w:szCs w:val="24"/>
        </w:rPr>
        <w:t>be</w:t>
      </w:r>
      <w:r w:rsidRPr="00581542" w:rsidR="00A00279">
        <w:rPr>
          <w:color w:val="000000" w:themeColor="text1"/>
          <w:szCs w:val="24"/>
        </w:rPr>
        <w:t>en</w:t>
      </w:r>
      <w:r w:rsidRPr="00581542">
        <w:rPr>
          <w:color w:val="000000" w:themeColor="text1"/>
          <w:szCs w:val="24"/>
        </w:rPr>
        <w:t xml:space="preserve"> collected from </w:t>
      </w:r>
      <w:r w:rsidRPr="00581542" w:rsidR="00495E43">
        <w:rPr>
          <w:color w:val="000000" w:themeColor="text1"/>
          <w:szCs w:val="24"/>
        </w:rPr>
        <w:t xml:space="preserve">all </w:t>
      </w:r>
      <w:r w:rsidRPr="00581542">
        <w:rPr>
          <w:color w:val="000000" w:themeColor="text1"/>
          <w:szCs w:val="24"/>
        </w:rPr>
        <w:t xml:space="preserve">NIH-funded </w:t>
      </w:r>
      <w:r w:rsidRPr="00581542" w:rsidR="00495E43">
        <w:rPr>
          <w:color w:val="000000" w:themeColor="text1"/>
          <w:szCs w:val="24"/>
        </w:rPr>
        <w:t xml:space="preserve">trial </w:t>
      </w:r>
      <w:r w:rsidRPr="00581542">
        <w:rPr>
          <w:color w:val="000000" w:themeColor="text1"/>
          <w:szCs w:val="24"/>
        </w:rPr>
        <w:t>investigators</w:t>
      </w:r>
      <w:r w:rsidRPr="00581542" w:rsidR="000B1FF9">
        <w:rPr>
          <w:color w:val="000000" w:themeColor="text1"/>
          <w:szCs w:val="24"/>
        </w:rPr>
        <w:t>,</w:t>
      </w:r>
      <w:r w:rsidRPr="00581542">
        <w:rPr>
          <w:color w:val="000000" w:themeColor="text1"/>
          <w:szCs w:val="24"/>
        </w:rPr>
        <w:t xml:space="preserve"> whether or not they are subject to </w:t>
      </w:r>
      <w:r w:rsidRPr="00581542" w:rsidR="00565C82">
        <w:rPr>
          <w:color w:val="000000" w:themeColor="text1"/>
          <w:szCs w:val="24"/>
        </w:rPr>
        <w:t>42 CFR Part 11</w:t>
      </w:r>
      <w:r w:rsidRPr="00581542">
        <w:rPr>
          <w:color w:val="000000" w:themeColor="text1"/>
          <w:szCs w:val="24"/>
        </w:rPr>
        <w:t xml:space="preserve">, which led to an </w:t>
      </w:r>
      <w:r w:rsidRPr="00581542">
        <w:rPr>
          <w:color w:val="000000" w:themeColor="text1"/>
        </w:rPr>
        <w:t xml:space="preserve">increase in the number of </w:t>
      </w:r>
      <w:r w:rsidRPr="00581542" w:rsidR="00322063">
        <w:rPr>
          <w:color w:val="000000" w:themeColor="text1"/>
        </w:rPr>
        <w:t xml:space="preserve">both </w:t>
      </w:r>
      <w:r w:rsidRPr="00581542" w:rsidR="00135126">
        <w:rPr>
          <w:color w:val="000000" w:themeColor="text1"/>
        </w:rPr>
        <w:t xml:space="preserve">voluntary and </w:t>
      </w:r>
      <w:r w:rsidRPr="00581542">
        <w:rPr>
          <w:color w:val="000000" w:themeColor="text1"/>
        </w:rPr>
        <w:t>non-regulated submissions.</w:t>
      </w:r>
    </w:p>
    <w:p w:rsidR="008135A8" w:rsidRPr="00581542" w:rsidP="002533BB" w14:paraId="4AECED38" w14:textId="77777777">
      <w:pPr>
        <w:ind w:left="720"/>
        <w:rPr>
          <w:color w:val="000000" w:themeColor="text1"/>
        </w:rPr>
      </w:pPr>
    </w:p>
    <w:p w:rsidR="00152241" w:rsidRPr="00581542" w:rsidP="002533BB" w14:paraId="7E556D6F" w14:textId="77777777">
      <w:pPr>
        <w:ind w:left="720"/>
        <w:rPr>
          <w:color w:val="000000" w:themeColor="text1"/>
          <w:u w:val="single"/>
        </w:rPr>
      </w:pPr>
      <w:r w:rsidRPr="00581542">
        <w:rPr>
          <w:color w:val="000000" w:themeColor="text1"/>
          <w:u w:val="single"/>
        </w:rPr>
        <w:t>NIH Policy</w:t>
      </w:r>
    </w:p>
    <w:p w:rsidR="00152241" w:rsidRPr="00581542" w:rsidP="002533BB" w14:paraId="2E544857" w14:textId="77777777">
      <w:pPr>
        <w:ind w:left="720"/>
        <w:rPr>
          <w:color w:val="000000" w:themeColor="text1"/>
        </w:rPr>
      </w:pPr>
    </w:p>
    <w:p w:rsidR="008135A8" w:rsidRPr="00581542" w:rsidP="002533BB" w14:paraId="011F43D8" w14:textId="2105A683">
      <w:pPr>
        <w:autoSpaceDE w:val="0"/>
        <w:autoSpaceDN w:val="0"/>
        <w:adjustRightInd w:val="0"/>
        <w:ind w:left="720"/>
        <w:rPr>
          <w:color w:val="000000" w:themeColor="text1"/>
        </w:rPr>
      </w:pPr>
      <w:r w:rsidRPr="00581542">
        <w:rPr>
          <w:color w:val="000000" w:themeColor="text1"/>
        </w:rPr>
        <w:t xml:space="preserve">In tandem with the release of </w:t>
      </w:r>
      <w:r w:rsidRPr="00581542" w:rsidR="00963C16">
        <w:rPr>
          <w:color w:val="000000" w:themeColor="text1"/>
        </w:rPr>
        <w:t>42 CFR Part 11</w:t>
      </w:r>
      <w:r w:rsidRPr="00581542" w:rsidR="001B180C">
        <w:rPr>
          <w:color w:val="000000" w:themeColor="text1"/>
        </w:rPr>
        <w:t>, the NIH issued a complementary policy,</w:t>
      </w:r>
      <w:r w:rsidRPr="00581542" w:rsidR="0036519B">
        <w:rPr>
          <w:color w:val="000000" w:themeColor="text1"/>
        </w:rPr>
        <w:t xml:space="preserve"> NIH Policy on Dissemination of NIH-Funded Clinical Trial Information</w:t>
      </w:r>
      <w:r w:rsidRPr="00581542" w:rsidR="001B180C">
        <w:rPr>
          <w:color w:val="000000" w:themeColor="text1"/>
        </w:rPr>
        <w:t>,</w:t>
      </w:r>
      <w:r w:rsidRPr="00581542" w:rsidR="0036519B">
        <w:rPr>
          <w:color w:val="000000" w:themeColor="text1"/>
        </w:rPr>
        <w:t xml:space="preserve"> </w:t>
      </w:r>
      <w:r w:rsidRPr="00581542" w:rsidR="001B180C">
        <w:rPr>
          <w:color w:val="000000" w:themeColor="text1"/>
        </w:rPr>
        <w:t xml:space="preserve">that establishes registration and reporting expectations for </w:t>
      </w:r>
      <w:r w:rsidRPr="00581542" w:rsidR="0036519B">
        <w:rPr>
          <w:color w:val="000000" w:themeColor="text1"/>
        </w:rPr>
        <w:t xml:space="preserve">all NIH funded </w:t>
      </w:r>
      <w:r w:rsidRPr="00581542" w:rsidR="001B180C">
        <w:rPr>
          <w:color w:val="000000" w:themeColor="text1"/>
        </w:rPr>
        <w:t xml:space="preserve">clinical trials regardless of study phase, type of intervention, or whether they are subject to the 42 CFR </w:t>
      </w:r>
      <w:r w:rsidR="004765C8">
        <w:rPr>
          <w:color w:val="000000" w:themeColor="text1"/>
        </w:rPr>
        <w:t>P</w:t>
      </w:r>
      <w:r w:rsidRPr="00581542" w:rsidR="004765C8">
        <w:rPr>
          <w:color w:val="000000" w:themeColor="text1"/>
        </w:rPr>
        <w:t xml:space="preserve">art </w:t>
      </w:r>
      <w:r w:rsidRPr="00581542" w:rsidR="001B180C">
        <w:rPr>
          <w:color w:val="000000" w:themeColor="text1"/>
        </w:rPr>
        <w:t>11 (81 FR 64922, Sep 21, 2016)</w:t>
      </w:r>
      <w:r w:rsidRPr="00581542" w:rsidR="0036519B">
        <w:rPr>
          <w:color w:val="000000" w:themeColor="text1"/>
        </w:rPr>
        <w:t>.</w:t>
      </w:r>
      <w:r w:rsidRPr="00581542" w:rsidR="001B180C">
        <w:rPr>
          <w:color w:val="000000" w:themeColor="text1"/>
        </w:rPr>
        <w:t xml:space="preserve"> </w:t>
      </w:r>
      <w:r w:rsidRPr="00581542">
        <w:rPr>
          <w:color w:val="000000" w:themeColor="text1"/>
        </w:rPr>
        <w:t>In order to</w:t>
      </w:r>
      <w:r w:rsidRPr="00581542">
        <w:rPr>
          <w:color w:val="000000" w:themeColor="text1"/>
        </w:rPr>
        <w:t xml:space="preserve"> estimate the </w:t>
      </w:r>
      <w:r w:rsidRPr="00581542" w:rsidR="001B180C">
        <w:rPr>
          <w:color w:val="000000" w:themeColor="text1"/>
        </w:rPr>
        <w:t xml:space="preserve">added </w:t>
      </w:r>
      <w:r w:rsidRPr="00581542">
        <w:rPr>
          <w:color w:val="000000" w:themeColor="text1"/>
        </w:rPr>
        <w:t xml:space="preserve">impact of the NIH </w:t>
      </w:r>
      <w:r w:rsidRPr="00581542" w:rsidR="0060200F">
        <w:rPr>
          <w:color w:val="000000" w:themeColor="text1"/>
        </w:rPr>
        <w:t>P</w:t>
      </w:r>
      <w:r w:rsidRPr="00581542">
        <w:rPr>
          <w:color w:val="000000" w:themeColor="text1"/>
        </w:rPr>
        <w:t xml:space="preserve">olicy, we began by determining that </w:t>
      </w:r>
      <w:r w:rsidRPr="00581542" w:rsidR="008C7E87">
        <w:rPr>
          <w:color w:val="000000" w:themeColor="text1"/>
        </w:rPr>
        <w:t xml:space="preserve">approximately </w:t>
      </w:r>
      <w:r w:rsidRPr="00E93249" w:rsidR="008C7E87">
        <w:rPr>
          <w:color w:val="000000" w:themeColor="text1"/>
          <w:highlight w:val="yellow"/>
        </w:rPr>
        <w:t>1,</w:t>
      </w:r>
      <w:r w:rsidRPr="00E93249" w:rsidR="008A0A32">
        <w:rPr>
          <w:color w:val="000000" w:themeColor="text1"/>
          <w:highlight w:val="yellow"/>
        </w:rPr>
        <w:t>2</w:t>
      </w:r>
      <w:r w:rsidRPr="00E93249" w:rsidR="008C7E87">
        <w:rPr>
          <w:color w:val="000000" w:themeColor="text1"/>
          <w:highlight w:val="yellow"/>
        </w:rPr>
        <w:t>00</w:t>
      </w:r>
      <w:r w:rsidRPr="00581542" w:rsidR="006B1521">
        <w:rPr>
          <w:color w:val="000000" w:themeColor="text1"/>
        </w:rPr>
        <w:t xml:space="preserve"> </w:t>
      </w:r>
      <w:r w:rsidRPr="00581542">
        <w:rPr>
          <w:color w:val="000000" w:themeColor="text1"/>
        </w:rPr>
        <w:t>NIH</w:t>
      </w:r>
      <w:r w:rsidRPr="00581542" w:rsidR="00C34CA2">
        <w:rPr>
          <w:color w:val="000000" w:themeColor="text1"/>
        </w:rPr>
        <w:t>-</w:t>
      </w:r>
      <w:r w:rsidRPr="00581542">
        <w:rPr>
          <w:color w:val="000000" w:themeColor="text1"/>
        </w:rPr>
        <w:t>funded trials that</w:t>
      </w:r>
      <w:r w:rsidRPr="00581542" w:rsidR="00C34CA2">
        <w:rPr>
          <w:color w:val="000000" w:themeColor="text1"/>
        </w:rPr>
        <w:t xml:space="preserve"> were first registered in </w:t>
      </w:r>
      <w:r w:rsidRPr="004B1244" w:rsidR="008C7E87">
        <w:rPr>
          <w:color w:val="000000" w:themeColor="text1"/>
          <w:highlight w:val="yellow"/>
        </w:rPr>
        <w:t>2024</w:t>
      </w:r>
      <w:r w:rsidRPr="00581542" w:rsidR="008C7E87">
        <w:rPr>
          <w:color w:val="000000" w:themeColor="text1"/>
        </w:rPr>
        <w:t xml:space="preserve"> </w:t>
      </w:r>
      <w:r w:rsidRPr="00581542">
        <w:rPr>
          <w:color w:val="000000" w:themeColor="text1"/>
        </w:rPr>
        <w:t>are likely not applicable clinical trials. Th</w:t>
      </w:r>
      <w:r w:rsidRPr="00581542" w:rsidR="00C34CA2">
        <w:rPr>
          <w:color w:val="000000" w:themeColor="text1"/>
        </w:rPr>
        <w:t>i</w:t>
      </w:r>
      <w:r w:rsidRPr="00581542">
        <w:rPr>
          <w:color w:val="000000" w:themeColor="text1"/>
        </w:rPr>
        <w:t xml:space="preserve">s </w:t>
      </w:r>
      <w:r w:rsidRPr="00581542" w:rsidR="00C34CA2">
        <w:rPr>
          <w:color w:val="000000" w:themeColor="text1"/>
        </w:rPr>
        <w:t xml:space="preserve">figure </w:t>
      </w:r>
      <w:r w:rsidRPr="00581542">
        <w:rPr>
          <w:color w:val="000000" w:themeColor="text1"/>
        </w:rPr>
        <w:t>represent</w:t>
      </w:r>
      <w:r w:rsidRPr="00581542" w:rsidR="00C34CA2">
        <w:rPr>
          <w:color w:val="000000" w:themeColor="text1"/>
        </w:rPr>
        <w:t>s</w:t>
      </w:r>
      <w:r w:rsidRPr="00581542">
        <w:rPr>
          <w:color w:val="000000" w:themeColor="text1"/>
        </w:rPr>
        <w:t xml:space="preserve"> the likely number of </w:t>
      </w:r>
      <w:r w:rsidRPr="00581542" w:rsidR="00C34CA2">
        <w:rPr>
          <w:color w:val="000000" w:themeColor="text1"/>
        </w:rPr>
        <w:t xml:space="preserve">additional </w:t>
      </w:r>
      <w:r w:rsidRPr="00581542">
        <w:rPr>
          <w:color w:val="000000" w:themeColor="text1"/>
        </w:rPr>
        <w:t xml:space="preserve">trials </w:t>
      </w:r>
      <w:r w:rsidRPr="00581542" w:rsidR="0060200F">
        <w:rPr>
          <w:color w:val="000000" w:themeColor="text1"/>
        </w:rPr>
        <w:t xml:space="preserve">for which investigators </w:t>
      </w:r>
      <w:r w:rsidRPr="00581542">
        <w:rPr>
          <w:color w:val="000000" w:themeColor="text1"/>
        </w:rPr>
        <w:t xml:space="preserve">will have the burden of </w:t>
      </w:r>
      <w:r w:rsidRPr="00581542" w:rsidR="0060200F">
        <w:rPr>
          <w:color w:val="000000" w:themeColor="text1"/>
        </w:rPr>
        <w:t xml:space="preserve">registration and </w:t>
      </w:r>
      <w:r w:rsidRPr="00581542">
        <w:rPr>
          <w:color w:val="000000" w:themeColor="text1"/>
        </w:rPr>
        <w:t xml:space="preserve">submitting results per year under the NIH policy. Investigators subject to the NIH policy will be expected to submit the same </w:t>
      </w:r>
      <w:r w:rsidRPr="00581542" w:rsidR="0060200F">
        <w:rPr>
          <w:color w:val="000000" w:themeColor="text1"/>
        </w:rPr>
        <w:t>registration</w:t>
      </w:r>
      <w:r w:rsidRPr="00581542" w:rsidR="00C47404">
        <w:rPr>
          <w:color w:val="000000" w:themeColor="text1"/>
        </w:rPr>
        <w:t xml:space="preserve"> </w:t>
      </w:r>
      <w:r w:rsidRPr="00581542">
        <w:rPr>
          <w:color w:val="000000" w:themeColor="text1"/>
        </w:rPr>
        <w:t xml:space="preserve">information within the same timeframes as </w:t>
      </w:r>
      <w:r w:rsidRPr="00581542" w:rsidR="00C47404">
        <w:rPr>
          <w:color w:val="000000" w:themeColor="text1"/>
        </w:rPr>
        <w:t xml:space="preserve">responsible </w:t>
      </w:r>
      <w:r w:rsidRPr="00581542">
        <w:rPr>
          <w:color w:val="000000" w:themeColor="text1"/>
        </w:rPr>
        <w:t xml:space="preserve">parties subject to </w:t>
      </w:r>
      <w:r w:rsidRPr="00581542" w:rsidR="00C47404">
        <w:rPr>
          <w:color w:val="000000" w:themeColor="text1"/>
        </w:rPr>
        <w:t>42 CFR 11.</w:t>
      </w:r>
      <w:r w:rsidRPr="00581542" w:rsidR="0060200F">
        <w:rPr>
          <w:color w:val="000000" w:themeColor="text1"/>
        </w:rPr>
        <w:t>2</w:t>
      </w:r>
      <w:r w:rsidRPr="00581542" w:rsidR="00C47404">
        <w:rPr>
          <w:color w:val="000000" w:themeColor="text1"/>
        </w:rPr>
        <w:t>8(a)</w:t>
      </w:r>
      <w:r w:rsidRPr="00581542" w:rsidR="00716FAD">
        <w:rPr>
          <w:color w:val="000000" w:themeColor="text1"/>
        </w:rPr>
        <w:t>(2)</w:t>
      </w:r>
      <w:r w:rsidRPr="00581542">
        <w:rPr>
          <w:color w:val="000000" w:themeColor="text1"/>
        </w:rPr>
        <w:t xml:space="preserve">. </w:t>
      </w:r>
      <w:r w:rsidRPr="00581542">
        <w:rPr>
          <w:color w:val="000000" w:themeColor="text1"/>
        </w:rPr>
        <w:t>We,</w:t>
      </w:r>
      <w:r w:rsidRPr="00581542">
        <w:rPr>
          <w:color w:val="000000" w:themeColor="text1"/>
        </w:rPr>
        <w:t xml:space="preserve"> thus, use the assumptions to estimate the burden for applicable clinical trials, i.e., initial submission of registration information will take an average of 8 hours, updates of 2 hours apiece will take place 8 times </w:t>
      </w:r>
      <w:r w:rsidRPr="00581542">
        <w:rPr>
          <w:color w:val="000000" w:themeColor="text1"/>
        </w:rPr>
        <w:t>during the course of</w:t>
      </w:r>
      <w:r w:rsidRPr="00581542">
        <w:rPr>
          <w:color w:val="000000" w:themeColor="text1"/>
        </w:rPr>
        <w:t xml:space="preserve"> the study.</w:t>
      </w:r>
    </w:p>
    <w:p w:rsidR="008135A8" w:rsidRPr="00581542" w:rsidP="002533BB" w14:paraId="277A7529" w14:textId="77777777">
      <w:pPr>
        <w:ind w:left="720"/>
        <w:rPr>
          <w:color w:val="000000" w:themeColor="text1"/>
        </w:rPr>
      </w:pPr>
    </w:p>
    <w:p w:rsidR="00152241" w:rsidRPr="00581542" w:rsidP="002533BB" w14:paraId="1FED6882" w14:textId="77777777">
      <w:pPr>
        <w:ind w:left="720"/>
        <w:rPr>
          <w:color w:val="000000" w:themeColor="text1"/>
          <w:u w:val="single"/>
        </w:rPr>
      </w:pPr>
      <w:r w:rsidRPr="00581542">
        <w:rPr>
          <w:color w:val="000000" w:themeColor="text1"/>
          <w:u w:val="single"/>
        </w:rPr>
        <w:t>All Others</w:t>
      </w:r>
    </w:p>
    <w:p w:rsidR="00152241" w:rsidRPr="00581542" w:rsidP="002533BB" w14:paraId="71CF148F" w14:textId="77777777">
      <w:pPr>
        <w:ind w:left="720"/>
        <w:rPr>
          <w:color w:val="000000" w:themeColor="text1"/>
        </w:rPr>
      </w:pPr>
    </w:p>
    <w:p w:rsidR="008135A8" w:rsidRPr="00581542" w:rsidP="002533BB" w14:paraId="3054A587" w14:textId="17B460AC">
      <w:pPr>
        <w:ind w:left="720"/>
        <w:contextualSpacing/>
        <w:rPr>
          <w:color w:val="000000" w:themeColor="text1"/>
        </w:rPr>
      </w:pPr>
      <w:r w:rsidRPr="006C7247">
        <w:rPr>
          <w:color w:val="000000" w:themeColor="text1"/>
        </w:rPr>
        <w:t>In order to</w:t>
      </w:r>
      <w:r w:rsidRPr="006C7247">
        <w:rPr>
          <w:color w:val="000000" w:themeColor="text1"/>
        </w:rPr>
        <w:t xml:space="preserve"> estimate the burden for </w:t>
      </w:r>
      <w:r w:rsidRPr="006C7247" w:rsidR="00E15590">
        <w:rPr>
          <w:color w:val="000000" w:themeColor="text1"/>
        </w:rPr>
        <w:t xml:space="preserve">all other </w:t>
      </w:r>
      <w:r w:rsidRPr="006C7247">
        <w:rPr>
          <w:color w:val="000000" w:themeColor="text1"/>
        </w:rPr>
        <w:t>clinical trial</w:t>
      </w:r>
      <w:r w:rsidRPr="006C7247" w:rsidR="00152241">
        <w:rPr>
          <w:color w:val="000000" w:themeColor="text1"/>
        </w:rPr>
        <w:t xml:space="preserve"> registrations</w:t>
      </w:r>
      <w:r w:rsidRPr="006C7247">
        <w:rPr>
          <w:color w:val="000000" w:themeColor="text1"/>
        </w:rPr>
        <w:t xml:space="preserve">, we examined registrations to ClinicalTrials.gov in </w:t>
      </w:r>
      <w:r w:rsidRPr="006C7247" w:rsidR="008A0A32">
        <w:rPr>
          <w:color w:val="000000" w:themeColor="text1"/>
          <w:highlight w:val="yellow"/>
        </w:rPr>
        <w:t>2024</w:t>
      </w:r>
      <w:r w:rsidRPr="006C7247" w:rsidR="008A0A32">
        <w:rPr>
          <w:color w:val="000000" w:themeColor="text1"/>
        </w:rPr>
        <w:t xml:space="preserve"> </w:t>
      </w:r>
      <w:r w:rsidRPr="006C7247">
        <w:rPr>
          <w:color w:val="000000" w:themeColor="text1"/>
        </w:rPr>
        <w:t xml:space="preserve">and found that a total of </w:t>
      </w:r>
      <w:r w:rsidRPr="006C7247" w:rsidR="008A0A32">
        <w:rPr>
          <w:color w:val="000000" w:themeColor="text1"/>
          <w:highlight w:val="yellow"/>
        </w:rPr>
        <w:t>31,730</w:t>
      </w:r>
      <w:r w:rsidRPr="006C7247">
        <w:rPr>
          <w:color w:val="000000" w:themeColor="text1"/>
        </w:rPr>
        <w:t xml:space="preserve"> clinical trials were registered that year. </w:t>
      </w:r>
      <w:r w:rsidRPr="006C7247" w:rsidR="005B1427">
        <w:rPr>
          <w:color w:val="000000" w:themeColor="text1"/>
        </w:rPr>
        <w:t xml:space="preserve">Because </w:t>
      </w:r>
      <w:r w:rsidRPr="006C7247">
        <w:rPr>
          <w:color w:val="000000" w:themeColor="text1"/>
        </w:rPr>
        <w:t>we estimate that 7</w:t>
      </w:r>
      <w:r w:rsidRPr="006C7247" w:rsidR="005B1427">
        <w:rPr>
          <w:color w:val="000000" w:themeColor="text1"/>
        </w:rPr>
        <w:t>,</w:t>
      </w:r>
      <w:r w:rsidRPr="006C7247">
        <w:rPr>
          <w:color w:val="000000" w:themeColor="text1"/>
        </w:rPr>
        <w:t>400 of these are applicable clinical trials</w:t>
      </w:r>
      <w:r w:rsidRPr="006C7247" w:rsidR="00152241">
        <w:rPr>
          <w:color w:val="000000" w:themeColor="text1"/>
        </w:rPr>
        <w:t xml:space="preserve"> subject to mandatory registration under 42 CFR Part 11</w:t>
      </w:r>
      <w:r w:rsidRPr="006C7247">
        <w:rPr>
          <w:color w:val="000000" w:themeColor="text1"/>
        </w:rPr>
        <w:t>, the remain</w:t>
      </w:r>
      <w:r w:rsidRPr="006C7247" w:rsidR="00152241">
        <w:rPr>
          <w:color w:val="000000" w:themeColor="text1"/>
        </w:rPr>
        <w:t>ing</w:t>
      </w:r>
      <w:r w:rsidRPr="006C7247">
        <w:rPr>
          <w:color w:val="000000" w:themeColor="text1"/>
        </w:rPr>
        <w:t xml:space="preserve"> </w:t>
      </w:r>
      <w:r w:rsidRPr="006C7247" w:rsidR="00EA48FC">
        <w:rPr>
          <w:color w:val="000000" w:themeColor="text1"/>
          <w:highlight w:val="yellow"/>
        </w:rPr>
        <w:t>24,330</w:t>
      </w:r>
      <w:r w:rsidRPr="006C7247">
        <w:rPr>
          <w:color w:val="000000" w:themeColor="text1"/>
        </w:rPr>
        <w:t xml:space="preserve"> trials can </w:t>
      </w:r>
      <w:r w:rsidRPr="006C7247">
        <w:rPr>
          <w:color w:val="000000" w:themeColor="text1"/>
        </w:rPr>
        <w:t xml:space="preserve">be considered to </w:t>
      </w:r>
      <w:r w:rsidRPr="006C7247" w:rsidR="004B3ED6">
        <w:rPr>
          <w:color w:val="000000" w:themeColor="text1"/>
        </w:rPr>
        <w:t>be</w:t>
      </w:r>
      <w:r w:rsidRPr="006C7247" w:rsidR="004B3ED6">
        <w:rPr>
          <w:color w:val="000000" w:themeColor="text1"/>
        </w:rPr>
        <w:t xml:space="preserve"> either voluntary submis</w:t>
      </w:r>
      <w:r w:rsidRPr="006C7247" w:rsidR="00716FAD">
        <w:rPr>
          <w:color w:val="000000" w:themeColor="text1"/>
        </w:rPr>
        <w:t>s</w:t>
      </w:r>
      <w:r w:rsidRPr="006C7247" w:rsidR="004B3ED6">
        <w:rPr>
          <w:color w:val="000000" w:themeColor="text1"/>
        </w:rPr>
        <w:t xml:space="preserve">ions under 42 CFR 11.60 or </w:t>
      </w:r>
      <w:r w:rsidRPr="006C7247">
        <w:rPr>
          <w:color w:val="000000" w:themeColor="text1"/>
        </w:rPr>
        <w:t>not fall under the rule</w:t>
      </w:r>
      <w:r w:rsidRPr="006C7247" w:rsidR="004B3ED6">
        <w:rPr>
          <w:color w:val="000000" w:themeColor="text1"/>
        </w:rPr>
        <w:t xml:space="preserve"> (i.e., non-regulated)</w:t>
      </w:r>
      <w:r w:rsidRPr="006C7247">
        <w:rPr>
          <w:color w:val="000000" w:themeColor="text1"/>
        </w:rPr>
        <w:t xml:space="preserve">. Of these, </w:t>
      </w:r>
      <w:r w:rsidRPr="006C7247" w:rsidR="00EA48FC">
        <w:rPr>
          <w:color w:val="000000" w:themeColor="text1"/>
          <w:highlight w:val="yellow"/>
        </w:rPr>
        <w:t>1,200</w:t>
      </w:r>
      <w:r w:rsidRPr="006C7247" w:rsidR="004A4ED7">
        <w:rPr>
          <w:color w:val="000000" w:themeColor="text1"/>
        </w:rPr>
        <w:t xml:space="preserve"> </w:t>
      </w:r>
      <w:r w:rsidRPr="006C7247">
        <w:rPr>
          <w:color w:val="000000" w:themeColor="text1"/>
        </w:rPr>
        <w:t xml:space="preserve">were </w:t>
      </w:r>
      <w:r w:rsidRPr="006C7247" w:rsidR="00716FAD">
        <w:rPr>
          <w:color w:val="000000" w:themeColor="text1"/>
        </w:rPr>
        <w:t xml:space="preserve">the </w:t>
      </w:r>
      <w:r w:rsidRPr="006C7247">
        <w:rPr>
          <w:color w:val="000000" w:themeColor="text1"/>
        </w:rPr>
        <w:t>NIH</w:t>
      </w:r>
      <w:r w:rsidRPr="006C7247" w:rsidR="005B1427">
        <w:rPr>
          <w:color w:val="000000" w:themeColor="text1"/>
        </w:rPr>
        <w:t>–</w:t>
      </w:r>
      <w:r w:rsidRPr="006C7247">
        <w:rPr>
          <w:color w:val="000000" w:themeColor="text1"/>
        </w:rPr>
        <w:t>funded</w:t>
      </w:r>
      <w:r w:rsidRPr="006C7247" w:rsidR="005B1427">
        <w:rPr>
          <w:color w:val="000000" w:themeColor="text1"/>
        </w:rPr>
        <w:t xml:space="preserve"> trial</w:t>
      </w:r>
      <w:r w:rsidRPr="006C7247" w:rsidR="00716FAD">
        <w:rPr>
          <w:color w:val="000000" w:themeColor="text1"/>
        </w:rPr>
        <w:t xml:space="preserve"> subject to the NIH </w:t>
      </w:r>
      <w:r w:rsidRPr="006C7247" w:rsidR="00716FAD">
        <w:rPr>
          <w:color w:val="000000" w:themeColor="text1"/>
        </w:rPr>
        <w:t>policy (see above)</w:t>
      </w:r>
      <w:r w:rsidRPr="006C7247">
        <w:rPr>
          <w:color w:val="000000" w:themeColor="text1"/>
        </w:rPr>
        <w:t xml:space="preserve">. This leaves an estimated </w:t>
      </w:r>
      <w:r w:rsidRPr="006C7247" w:rsidR="00EA48FC">
        <w:rPr>
          <w:color w:val="000000" w:themeColor="text1"/>
          <w:highlight w:val="yellow"/>
        </w:rPr>
        <w:t>23,130</w:t>
      </w:r>
      <w:r w:rsidRPr="006C7247">
        <w:rPr>
          <w:color w:val="000000" w:themeColor="text1"/>
        </w:rPr>
        <w:t xml:space="preserve"> trials registered per year that do not fall under either the </w:t>
      </w:r>
      <w:r w:rsidRPr="006C7247" w:rsidR="00714F34">
        <w:rPr>
          <w:color w:val="000000" w:themeColor="text1"/>
        </w:rPr>
        <w:t xml:space="preserve">mandatory submission </w:t>
      </w:r>
      <w:r w:rsidRPr="006C7247" w:rsidR="00C20788">
        <w:rPr>
          <w:color w:val="000000" w:themeColor="text1"/>
        </w:rPr>
        <w:t>requirements</w:t>
      </w:r>
      <w:r w:rsidRPr="006C7247" w:rsidR="00714F34">
        <w:rPr>
          <w:color w:val="000000" w:themeColor="text1"/>
        </w:rPr>
        <w:t xml:space="preserve"> of the </w:t>
      </w:r>
      <w:r w:rsidRPr="006C7247">
        <w:rPr>
          <w:color w:val="000000" w:themeColor="text1"/>
        </w:rPr>
        <w:t>rule or the NIH policy.</w:t>
      </w:r>
    </w:p>
    <w:p w:rsidR="005B1427" w:rsidRPr="00581542" w:rsidP="002533BB" w14:paraId="3A5EF9BF" w14:textId="77777777">
      <w:pPr>
        <w:ind w:left="720"/>
        <w:contextualSpacing/>
        <w:rPr>
          <w:color w:val="000000" w:themeColor="text1"/>
        </w:rPr>
      </w:pPr>
    </w:p>
    <w:p w:rsidR="008135A8" w:rsidRPr="00581542" w:rsidP="002533BB" w14:paraId="689FD5B9" w14:textId="17B7ABFD">
      <w:pPr>
        <w:ind w:left="720"/>
        <w:contextualSpacing/>
        <w:rPr>
          <w:color w:val="000000" w:themeColor="text1"/>
          <w:szCs w:val="24"/>
        </w:rPr>
      </w:pPr>
      <w:r w:rsidRPr="00581542">
        <w:rPr>
          <w:color w:val="000000" w:themeColor="text1"/>
        </w:rPr>
        <w:t xml:space="preserve">We expect that </w:t>
      </w:r>
      <w:r w:rsidRPr="00581542" w:rsidR="00714F34">
        <w:rPr>
          <w:color w:val="000000" w:themeColor="text1"/>
        </w:rPr>
        <w:t>sponsors</w:t>
      </w:r>
      <w:r w:rsidRPr="00581542" w:rsidR="00D35414">
        <w:rPr>
          <w:color w:val="000000" w:themeColor="text1"/>
        </w:rPr>
        <w:t xml:space="preserve"> </w:t>
      </w:r>
      <w:r w:rsidRPr="00581542" w:rsidR="00714F34">
        <w:rPr>
          <w:color w:val="000000" w:themeColor="text1"/>
        </w:rPr>
        <w:t>an</w:t>
      </w:r>
      <w:r w:rsidRPr="00581542" w:rsidR="00D35414">
        <w:rPr>
          <w:color w:val="000000" w:themeColor="text1"/>
        </w:rPr>
        <w:t>d</w:t>
      </w:r>
      <w:r w:rsidRPr="00581542" w:rsidR="00714F34">
        <w:rPr>
          <w:color w:val="000000" w:themeColor="text1"/>
        </w:rPr>
        <w:t xml:space="preserve"> investigators for </w:t>
      </w:r>
      <w:r w:rsidRPr="00581542">
        <w:rPr>
          <w:color w:val="000000" w:themeColor="text1"/>
        </w:rPr>
        <w:t xml:space="preserve">these clinical trials will submit the same clinical trial registration information as is submitted for applicable clinical trials that are subject to </w:t>
      </w:r>
      <w:r w:rsidRPr="00581542" w:rsidR="00714F34">
        <w:rPr>
          <w:color w:val="000000" w:themeColor="text1"/>
        </w:rPr>
        <w:t xml:space="preserve">mandatory submission under </w:t>
      </w:r>
      <w:r w:rsidRPr="00581542">
        <w:rPr>
          <w:color w:val="000000" w:themeColor="text1"/>
        </w:rPr>
        <w:t>the rule</w:t>
      </w:r>
      <w:r w:rsidRPr="00581542" w:rsidR="00716FAD">
        <w:rPr>
          <w:color w:val="000000" w:themeColor="text1"/>
        </w:rPr>
        <w:t xml:space="preserve"> in 42 CFR 11.28(a)(2)</w:t>
      </w:r>
      <w:r w:rsidRPr="00581542">
        <w:rPr>
          <w:color w:val="000000" w:themeColor="text1"/>
        </w:rPr>
        <w:t xml:space="preserve">. We expect that information submitted for such clinical trials will be updated as frequently as information for applicable clinical trials that are subject to </w:t>
      </w:r>
      <w:r w:rsidRPr="00581542" w:rsidR="00714F34">
        <w:rPr>
          <w:color w:val="000000" w:themeColor="text1"/>
        </w:rPr>
        <w:t xml:space="preserve">mandatory submission under </w:t>
      </w:r>
      <w:r w:rsidRPr="00581542">
        <w:rPr>
          <w:color w:val="000000" w:themeColor="text1"/>
        </w:rPr>
        <w:t>the rule. Therefore, for calculating the registration burden associated with</w:t>
      </w:r>
      <w:r w:rsidRPr="00581542">
        <w:rPr>
          <w:bCs/>
          <w:color w:val="000000" w:themeColor="text1"/>
          <w:szCs w:val="24"/>
        </w:rPr>
        <w:t xml:space="preserve"> these</w:t>
      </w:r>
      <w:r w:rsidRPr="00581542">
        <w:rPr>
          <w:color w:val="000000" w:themeColor="text1"/>
        </w:rPr>
        <w:t xml:space="preserve"> clinical trials, we use the same assumptions as for applicable clinical trials required to register under </w:t>
      </w:r>
      <w:r w:rsidRPr="00581542" w:rsidR="00714F34">
        <w:rPr>
          <w:color w:val="000000" w:themeColor="text1"/>
        </w:rPr>
        <w:t>42 CFR 11.22</w:t>
      </w:r>
      <w:r w:rsidRPr="00581542">
        <w:rPr>
          <w:color w:val="000000" w:themeColor="text1"/>
        </w:rPr>
        <w:t xml:space="preserve">, i.e., initial submission of registration information will take an average of 8 hours, updates of 2 hours apiece will take place 8 times </w:t>
      </w:r>
      <w:r w:rsidRPr="00581542">
        <w:rPr>
          <w:color w:val="000000" w:themeColor="text1"/>
        </w:rPr>
        <w:t>during the course of</w:t>
      </w:r>
      <w:r w:rsidRPr="00581542">
        <w:rPr>
          <w:color w:val="000000" w:themeColor="text1"/>
        </w:rPr>
        <w:t xml:space="preserve"> the study. </w:t>
      </w:r>
    </w:p>
    <w:p w:rsidR="00E131BC" w:rsidRPr="00581542" w:rsidP="002533BB" w14:paraId="56D70308" w14:textId="77777777">
      <w:pPr>
        <w:ind w:left="720"/>
        <w:rPr>
          <w:iCs/>
          <w:color w:val="000000" w:themeColor="text1"/>
        </w:rPr>
      </w:pPr>
    </w:p>
    <w:p w:rsidR="00C66F8E" w:rsidRPr="00581542" w:rsidP="002533BB" w14:paraId="119C282B" w14:textId="0B424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themeColor="text1"/>
        </w:rPr>
      </w:pPr>
      <w:r w:rsidRPr="00581542">
        <w:rPr>
          <w:color w:val="000000" w:themeColor="text1"/>
        </w:rPr>
        <w:t xml:space="preserve">These figures would be expected to decline over time as registrants become more familiar with the registration processes and refine their data submission systems. The </w:t>
      </w:r>
      <w:r w:rsidRPr="00581542" w:rsidR="00EA48FC">
        <w:rPr>
          <w:color w:val="000000" w:themeColor="text1"/>
        </w:rPr>
        <w:t>i</w:t>
      </w:r>
      <w:r w:rsidRPr="00581542">
        <w:rPr>
          <w:color w:val="000000" w:themeColor="text1"/>
        </w:rPr>
        <w:t>nternet-based data entry system developed by NIH incorporates features that decrease the data provider's time requirements for quality control procedures. The Clinical Trials Registry Databank is set up to receive protocol information transmitted electronically by sponsors.  If the sponsor chooses to manually enter the protocol information, the data entry system allows it to be entered in a uniform and efficient manner primarily through pull-down menus. Some data providers lack information system capabilities enabling efficient collection of company-wide information on clinical trials subject to reporting requirements under FDAAA</w:t>
      </w:r>
      <w:r w:rsidR="00B16A44">
        <w:rPr>
          <w:color w:val="000000" w:themeColor="text1"/>
        </w:rPr>
        <w:t xml:space="preserve"> 801</w:t>
      </w:r>
      <w:r w:rsidRPr="00581542">
        <w:rPr>
          <w:color w:val="000000" w:themeColor="text1"/>
        </w:rPr>
        <w:t xml:space="preserve">. The estimation of burden reflects the relative inefficiency of this process for these firms. As </w:t>
      </w:r>
      <w:r w:rsidRPr="00581542" w:rsidR="00FC1071">
        <w:rPr>
          <w:color w:val="000000" w:themeColor="text1"/>
        </w:rPr>
        <w:t xml:space="preserve">a </w:t>
      </w:r>
      <w:r w:rsidRPr="00581542">
        <w:rPr>
          <w:color w:val="000000" w:themeColor="text1"/>
        </w:rPr>
        <w:t>sponsor's familiarity with the data entry system increases, the hourly bur</w:t>
      </w:r>
      <w:r w:rsidRPr="00581542" w:rsidR="00D25EAB">
        <w:rPr>
          <w:color w:val="000000" w:themeColor="text1"/>
        </w:rPr>
        <w:t>den will continue to decrease.</w:t>
      </w:r>
    </w:p>
    <w:p w:rsidR="00B3451E" w:rsidRPr="00581542" w:rsidP="002533BB" w14:paraId="2EBDC0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themeColor="text1"/>
        </w:rPr>
      </w:pPr>
    </w:p>
    <w:p w:rsidR="00B3451E" w:rsidRPr="00581542" w:rsidP="002533BB" w14:paraId="408C0863" w14:textId="77777777">
      <w:pPr>
        <w:ind w:left="720"/>
        <w:contextualSpacing/>
        <w:rPr>
          <w:color w:val="000000" w:themeColor="text1"/>
        </w:rPr>
      </w:pPr>
      <w:r w:rsidRPr="00581542">
        <w:rPr>
          <w:b/>
          <w:color w:val="000000" w:themeColor="text1"/>
        </w:rPr>
        <w:t>Triggered Submissions</w:t>
      </w:r>
      <w:r w:rsidRPr="00581542">
        <w:rPr>
          <w:color w:val="000000" w:themeColor="text1"/>
        </w:rPr>
        <w:t xml:space="preserve"> </w:t>
      </w:r>
      <w:r w:rsidRPr="00581542">
        <w:rPr>
          <w:b/>
          <w:color w:val="000000" w:themeColor="text1"/>
        </w:rPr>
        <w:t>Following Voluntary Submissions</w:t>
      </w:r>
    </w:p>
    <w:p w:rsidR="00B3451E" w:rsidRPr="00581542" w:rsidP="002533BB" w14:paraId="572AA24B" w14:textId="77777777">
      <w:pPr>
        <w:ind w:left="720"/>
        <w:contextualSpacing/>
        <w:rPr>
          <w:color w:val="000000" w:themeColor="text1"/>
        </w:rPr>
      </w:pPr>
    </w:p>
    <w:p w:rsidR="00B3451E" w:rsidRPr="00581542" w:rsidP="002533BB" w14:paraId="19A0F968" w14:textId="3491FCCC">
      <w:pPr>
        <w:ind w:left="720"/>
        <w:contextualSpacing/>
        <w:rPr>
          <w:color w:val="000000" w:themeColor="text1"/>
        </w:rPr>
      </w:pPr>
      <w:r w:rsidRPr="00581542">
        <w:rPr>
          <w:color w:val="000000" w:themeColor="text1"/>
        </w:rPr>
        <w:t xml:space="preserve">42 CFR 11.60 implements section 402(j)(4)(A) of the PHS Act and stipulates that if a responsible party voluntarily registers or submits results information for a clinical trial of an FDA-regulated drug product or device product that is not an applicable clinical trial subject to the mandatory clinical trial information submission requirements, that responsible party must, under specified circumstances, also submit information for other applicable clinical trials that are included in a marketing application or premarket notification that is submitted to FDA and for which clinical trial information has not already been submitted to ClinicalTrials.gov. The types of trials for which the voluntary submission of clinical trial information would invoke this requirement include phase 1 trials of drug products and small feasibility studies of device products (neither of which is considered to be applicable clinical trial) or applicable clinical trials that are not otherwise subject to </w:t>
      </w:r>
      <w:r w:rsidR="003F4CFE">
        <w:rPr>
          <w:color w:val="000000" w:themeColor="text1"/>
        </w:rPr>
        <w:t xml:space="preserve">FDAAA 801 </w:t>
      </w:r>
      <w:r w:rsidRPr="00581542">
        <w:rPr>
          <w:color w:val="000000" w:themeColor="text1"/>
        </w:rPr>
        <w:t xml:space="preserve">because they were initiated prior to the date of enactment of FDAAA </w:t>
      </w:r>
      <w:r w:rsidR="008B4204">
        <w:rPr>
          <w:color w:val="000000" w:themeColor="text1"/>
        </w:rPr>
        <w:t xml:space="preserve">801 </w:t>
      </w:r>
      <w:r w:rsidRPr="00581542">
        <w:rPr>
          <w:color w:val="000000" w:themeColor="text1"/>
        </w:rPr>
        <w:t>and were no longer ongoing as of December 26, 2007. The voluntary submission of clinical trial information for such trials will trigger a requirement to submit clinical trial information for other applicable clinical trials that are included in the marketing application for a drug product or device product only if the entity submitting the marketing application or premarket notification is the same as the responsible party for those other trials and still has access to and control over the necessary data.</w:t>
      </w:r>
    </w:p>
    <w:p w:rsidR="00B3451E" w:rsidRPr="00581542" w:rsidP="002533BB" w14:paraId="4F8CBC4F" w14:textId="77777777">
      <w:pPr>
        <w:ind w:left="720"/>
        <w:contextualSpacing/>
        <w:rPr>
          <w:color w:val="000000" w:themeColor="text1"/>
        </w:rPr>
      </w:pPr>
    </w:p>
    <w:p w:rsidR="00EA48FC" w:rsidRPr="00581542" w:rsidP="002533BB" w14:paraId="74CAC66E" w14:textId="766F4250">
      <w:pPr>
        <w:ind w:left="720"/>
        <w:contextualSpacing/>
        <w:rPr>
          <w:color w:val="000000" w:themeColor="text1"/>
        </w:rPr>
      </w:pPr>
      <w:r w:rsidRPr="00581542">
        <w:rPr>
          <w:color w:val="000000" w:themeColor="text1"/>
        </w:rPr>
        <w:t xml:space="preserve">In practice, we expect that the requirement under 42 CFR 11.60 to submit clinical trial information for applicable clinical trials not otherwise registered in ClinicalTrials.gov will be triggered infrequently. In most cases, when clinical trial information is submitted voluntarily, we expect that the applicable clinical trials required to be submitted in a marketing application that includes the </w:t>
      </w:r>
      <w:r w:rsidRPr="00581542">
        <w:rPr>
          <w:color w:val="000000" w:themeColor="text1"/>
        </w:rPr>
        <w:t>voluntarily-submitted</w:t>
      </w:r>
      <w:r w:rsidRPr="00581542">
        <w:rPr>
          <w:color w:val="000000" w:themeColor="text1"/>
        </w:rPr>
        <w:t xml:space="preserve"> clinical trial would be registered in ClinicalTrials.gov consistent with </w:t>
      </w:r>
      <w:r w:rsidR="009820FE">
        <w:rPr>
          <w:color w:val="000000" w:themeColor="text1"/>
        </w:rPr>
        <w:t>S</w:t>
      </w:r>
      <w:r w:rsidRPr="00581542" w:rsidR="009820FE">
        <w:rPr>
          <w:color w:val="000000" w:themeColor="text1"/>
        </w:rPr>
        <w:t xml:space="preserve">ection </w:t>
      </w:r>
      <w:r w:rsidRPr="00581542">
        <w:rPr>
          <w:color w:val="000000" w:themeColor="text1"/>
        </w:rPr>
        <w:t xml:space="preserve">402(j)(2)(C) of the PHS Act and </w:t>
      </w:r>
      <w:r w:rsidRPr="00581542">
        <w:rPr>
          <w:rFonts w:eastAsia="Calibri"/>
          <w:color w:val="000000" w:themeColor="text1"/>
          <w:bdr w:val="none" w:sz="0" w:space="0" w:color="auto" w:frame="1"/>
        </w:rPr>
        <w:t xml:space="preserve">42 CFR </w:t>
      </w:r>
      <w:r w:rsidRPr="00581542">
        <w:rPr>
          <w:color w:val="000000" w:themeColor="text1"/>
        </w:rPr>
        <w:t xml:space="preserve">11.60. For example, the voluntary submission of information for a phase 1 trial of an unapproved drug product would trigger the submission of information for an applicable clinical trial that was not previously submitted only if the responsible party for the voluntarily-submitted trial is the same as the entity submitting the marketing application, the applicable clinical trial is required to be submitted in that marketing application, and the marketing application is for the same use studied in the voluntarily submitted trial. </w:t>
      </w:r>
    </w:p>
    <w:p w:rsidR="00EA48FC" w:rsidRPr="00581542" w:rsidP="002533BB" w14:paraId="02DEA3CE" w14:textId="77777777">
      <w:pPr>
        <w:ind w:left="720"/>
        <w:contextualSpacing/>
        <w:rPr>
          <w:color w:val="000000" w:themeColor="text1"/>
        </w:rPr>
      </w:pPr>
    </w:p>
    <w:p w:rsidR="00B3451E" w:rsidRPr="00581542" w:rsidP="002533BB" w14:paraId="6520FF02" w14:textId="6DB25CB7">
      <w:pPr>
        <w:ind w:left="720"/>
        <w:contextualSpacing/>
        <w:rPr>
          <w:color w:val="000000" w:themeColor="text1"/>
        </w:rPr>
      </w:pPr>
      <w:r w:rsidRPr="00581542">
        <w:rPr>
          <w:color w:val="000000" w:themeColor="text1"/>
        </w:rPr>
        <w:t xml:space="preserve">For purposes of this analysis, we estimate that 1 percent of the clinical trials registered voluntarily with ClinicalTrials.gov each year could trigger the submission of clinical trial information for an applicable clinical trial for which clinical trial information was not otherwise required to be submitted to ClinicalTrials.gov. </w:t>
      </w:r>
      <w:r w:rsidRPr="006C7247">
        <w:rPr>
          <w:color w:val="000000" w:themeColor="text1"/>
          <w:highlight w:val="yellow"/>
        </w:rPr>
        <w:t xml:space="preserve">Of the </w:t>
      </w:r>
      <w:r w:rsidRPr="006C7247" w:rsidR="00EA48FC">
        <w:rPr>
          <w:color w:val="000000" w:themeColor="text1"/>
          <w:highlight w:val="yellow"/>
        </w:rPr>
        <w:t>31,730</w:t>
      </w:r>
      <w:r w:rsidRPr="006C7247" w:rsidR="00EC4849">
        <w:rPr>
          <w:color w:val="000000" w:themeColor="text1"/>
          <w:highlight w:val="yellow"/>
        </w:rPr>
        <w:t xml:space="preserve"> </w:t>
      </w:r>
      <w:r w:rsidRPr="006C7247">
        <w:rPr>
          <w:color w:val="000000" w:themeColor="text1"/>
          <w:highlight w:val="yellow"/>
        </w:rPr>
        <w:t>clinical trials that are registered with ClinicalTrials.gov</w:t>
      </w:r>
      <w:r w:rsidRPr="006C7247" w:rsidR="00EC4849">
        <w:rPr>
          <w:color w:val="000000" w:themeColor="text1"/>
          <w:highlight w:val="yellow"/>
        </w:rPr>
        <w:t xml:space="preserve"> in</w:t>
      </w:r>
      <w:r w:rsidRPr="006C7247" w:rsidR="004C59EF">
        <w:rPr>
          <w:color w:val="000000" w:themeColor="text1"/>
          <w:highlight w:val="yellow"/>
        </w:rPr>
        <w:t xml:space="preserve"> </w:t>
      </w:r>
      <w:r w:rsidRPr="006C7247" w:rsidR="00EA48FC">
        <w:rPr>
          <w:color w:val="000000" w:themeColor="text1"/>
          <w:highlight w:val="yellow"/>
        </w:rPr>
        <w:t>2024</w:t>
      </w:r>
      <w:r w:rsidRPr="006C7247">
        <w:rPr>
          <w:color w:val="000000" w:themeColor="text1"/>
          <w:highlight w:val="yellow"/>
        </w:rPr>
        <w:t xml:space="preserve">, we estimate that </w:t>
      </w:r>
      <w:r w:rsidRPr="006C7247" w:rsidR="00EA48FC">
        <w:rPr>
          <w:color w:val="000000" w:themeColor="text1"/>
          <w:highlight w:val="yellow"/>
        </w:rPr>
        <w:t>24,330</w:t>
      </w:r>
      <w:r w:rsidRPr="006C7247" w:rsidR="004C59EF">
        <w:rPr>
          <w:color w:val="000000" w:themeColor="text1"/>
          <w:highlight w:val="yellow"/>
        </w:rPr>
        <w:t xml:space="preserve"> </w:t>
      </w:r>
      <w:r w:rsidRPr="006C7247">
        <w:rPr>
          <w:color w:val="000000" w:themeColor="text1"/>
          <w:highlight w:val="yellow"/>
        </w:rPr>
        <w:t xml:space="preserve">submissions are either voluntary under FDAAA </w:t>
      </w:r>
      <w:r w:rsidRPr="006C7247" w:rsidR="006D5111">
        <w:rPr>
          <w:color w:val="000000" w:themeColor="text1"/>
          <w:highlight w:val="yellow"/>
        </w:rPr>
        <w:t xml:space="preserve">801 </w:t>
      </w:r>
      <w:r w:rsidRPr="006C7247">
        <w:rPr>
          <w:color w:val="000000" w:themeColor="text1"/>
          <w:highlight w:val="yellow"/>
        </w:rPr>
        <w:t>or non-regulated (all but the 7,400 that are applicable clinical trials).</w:t>
      </w:r>
      <w:r w:rsidRPr="00581542">
        <w:rPr>
          <w:color w:val="000000" w:themeColor="text1"/>
        </w:rPr>
        <w:t xml:space="preserve"> Using 1 percent estimate and this figure, we calculate that voluntary registrations will trigger the required submission of clinical trials information for an estimated </w:t>
      </w:r>
      <w:r w:rsidRPr="006C7247" w:rsidR="00EA48FC">
        <w:rPr>
          <w:color w:val="000000" w:themeColor="text1"/>
          <w:highlight w:val="yellow"/>
        </w:rPr>
        <w:t>243</w:t>
      </w:r>
      <w:r w:rsidRPr="00581542">
        <w:rPr>
          <w:color w:val="000000" w:themeColor="text1"/>
        </w:rPr>
        <w:t xml:space="preserve"> clinical trials per year. Based on our experience to date with voluntary submissions, we expect that for at least three-quarters of those triggered trials (</w:t>
      </w:r>
      <w:r w:rsidRPr="006C7247" w:rsidR="00EA48FC">
        <w:rPr>
          <w:color w:val="000000" w:themeColor="text1"/>
          <w:highlight w:val="yellow"/>
        </w:rPr>
        <w:t>182</w:t>
      </w:r>
      <w:r w:rsidRPr="00581542" w:rsidR="00EA48FC">
        <w:rPr>
          <w:color w:val="000000" w:themeColor="text1"/>
        </w:rPr>
        <w:t xml:space="preserve"> </w:t>
      </w:r>
      <w:r w:rsidRPr="00581542">
        <w:rPr>
          <w:color w:val="000000" w:themeColor="text1"/>
        </w:rPr>
        <w:t>total) registration information only will need to be submitted; for the other quarter</w:t>
      </w:r>
      <w:r w:rsidRPr="00581542" w:rsidR="00B54FD7">
        <w:rPr>
          <w:color w:val="000000" w:themeColor="text1"/>
        </w:rPr>
        <w:t xml:space="preserve"> (</w:t>
      </w:r>
      <w:r w:rsidRPr="006C7247" w:rsidR="00EA48FC">
        <w:rPr>
          <w:color w:val="000000" w:themeColor="text1"/>
          <w:highlight w:val="yellow"/>
        </w:rPr>
        <w:t>61</w:t>
      </w:r>
      <w:r w:rsidRPr="00581542" w:rsidR="00B54FD7">
        <w:rPr>
          <w:color w:val="000000" w:themeColor="text1"/>
        </w:rPr>
        <w:t xml:space="preserve"> total)</w:t>
      </w:r>
      <w:r w:rsidRPr="00581542">
        <w:rPr>
          <w:color w:val="000000" w:themeColor="text1"/>
        </w:rPr>
        <w:t>, results information will need to be submitted. For those clinical trials for which only registration information is required, we estimate that it will take a data submitter 8 hours to register the clinical trial. Submitted information will not generally need to be updated because the clinical trial will, in general, have reached its primary completion date by the time the requirement to submit clinical trial information is triggered.</w:t>
      </w:r>
    </w:p>
    <w:p w:rsidR="00C66F8E" w:rsidRPr="00581542" w:rsidP="002533BB" w14:paraId="3DE3E78A" w14:textId="77777777">
      <w:pPr>
        <w:rPr>
          <w:iCs/>
          <w:color w:val="000000" w:themeColor="text1"/>
        </w:rPr>
      </w:pPr>
    </w:p>
    <w:p w:rsidR="00C66F8E" w:rsidRPr="00581542" w:rsidP="002533BB" w14:paraId="6B365D9D" w14:textId="2B0D2A37">
      <w:pPr>
        <w:ind w:firstLine="720"/>
        <w:rPr>
          <w:b/>
          <w:i/>
          <w:color w:val="000000" w:themeColor="text1"/>
        </w:rPr>
      </w:pPr>
      <w:r w:rsidRPr="00581542">
        <w:rPr>
          <w:b/>
          <w:i/>
          <w:color w:val="000000" w:themeColor="text1"/>
        </w:rPr>
        <w:t xml:space="preserve">Results </w:t>
      </w:r>
      <w:r w:rsidRPr="00581542" w:rsidR="008D06C9">
        <w:rPr>
          <w:b/>
          <w:i/>
          <w:color w:val="000000" w:themeColor="text1"/>
        </w:rPr>
        <w:t xml:space="preserve">Information </w:t>
      </w:r>
      <w:r w:rsidRPr="00581542" w:rsidR="00467242">
        <w:rPr>
          <w:b/>
          <w:i/>
          <w:color w:val="000000" w:themeColor="text1"/>
        </w:rPr>
        <w:t>Submission</w:t>
      </w:r>
      <w:r w:rsidRPr="00581542" w:rsidR="008D06C9">
        <w:rPr>
          <w:b/>
          <w:i/>
          <w:color w:val="000000" w:themeColor="text1"/>
        </w:rPr>
        <w:t xml:space="preserve"> and Updates</w:t>
      </w:r>
    </w:p>
    <w:p w:rsidR="00C66F8E" w:rsidRPr="00581542" w:rsidP="002533BB" w14:paraId="1FB250FD" w14:textId="77777777">
      <w:pPr>
        <w:ind w:left="720"/>
        <w:rPr>
          <w:b/>
          <w:color w:val="000000" w:themeColor="text1"/>
        </w:rPr>
      </w:pPr>
    </w:p>
    <w:p w:rsidR="00E15590" w:rsidRPr="00581542" w:rsidP="002533BB" w14:paraId="16D9C49E" w14:textId="77777777">
      <w:pPr>
        <w:ind w:left="720"/>
        <w:rPr>
          <w:b/>
          <w:color w:val="000000" w:themeColor="text1"/>
        </w:rPr>
      </w:pPr>
      <w:r w:rsidRPr="00581542">
        <w:rPr>
          <w:b/>
          <w:color w:val="000000" w:themeColor="text1"/>
        </w:rPr>
        <w:t>Mandatory Submissions</w:t>
      </w:r>
    </w:p>
    <w:p w:rsidR="00E15590" w:rsidRPr="00581542" w:rsidP="002533BB" w14:paraId="3B58988C" w14:textId="77777777">
      <w:pPr>
        <w:ind w:left="720"/>
        <w:rPr>
          <w:b/>
          <w:color w:val="000000" w:themeColor="text1"/>
        </w:rPr>
      </w:pPr>
    </w:p>
    <w:p w:rsidR="00302D41" w:rsidRPr="00581542" w:rsidP="002533BB" w14:paraId="50E100B6" w14:textId="71904AC8">
      <w:pPr>
        <w:ind w:left="720"/>
        <w:contextualSpacing/>
        <w:rPr>
          <w:color w:val="000000" w:themeColor="text1"/>
        </w:rPr>
      </w:pPr>
      <w:r w:rsidRPr="00581542">
        <w:rPr>
          <w:color w:val="000000" w:themeColor="text1"/>
        </w:rPr>
        <w:t xml:space="preserve">To estimate the burden associated with submission of </w:t>
      </w:r>
      <w:r w:rsidRPr="00581542">
        <w:rPr>
          <w:color w:val="000000" w:themeColor="text1"/>
        </w:rPr>
        <w:t>clinical trial</w:t>
      </w:r>
      <w:r w:rsidRPr="00581542">
        <w:rPr>
          <w:color w:val="000000" w:themeColor="text1"/>
        </w:rPr>
        <w:t xml:space="preserve"> results information, we started with the premise that every clinical trial required to </w:t>
      </w:r>
      <w:r w:rsidRPr="00581542" w:rsidR="00783C92">
        <w:rPr>
          <w:color w:val="000000" w:themeColor="text1"/>
        </w:rPr>
        <w:t xml:space="preserve">be </w:t>
      </w:r>
      <w:r w:rsidRPr="00581542">
        <w:rPr>
          <w:color w:val="000000" w:themeColor="text1"/>
        </w:rPr>
        <w:t>register</w:t>
      </w:r>
      <w:r w:rsidRPr="00581542" w:rsidR="00783C92">
        <w:rPr>
          <w:color w:val="000000" w:themeColor="text1"/>
        </w:rPr>
        <w:t>ed</w:t>
      </w:r>
      <w:r w:rsidRPr="00581542">
        <w:rPr>
          <w:color w:val="000000" w:themeColor="text1"/>
        </w:rPr>
        <w:t xml:space="preserve"> </w:t>
      </w:r>
      <w:r w:rsidRPr="00581542" w:rsidR="00783C92">
        <w:rPr>
          <w:color w:val="000000" w:themeColor="text1"/>
        </w:rPr>
        <w:t xml:space="preserve">under 42 CFR Part 11 </w:t>
      </w:r>
      <w:r w:rsidRPr="00581542">
        <w:rPr>
          <w:color w:val="000000" w:themeColor="text1"/>
        </w:rPr>
        <w:t>in a given year</w:t>
      </w:r>
      <w:r w:rsidRPr="00581542">
        <w:rPr>
          <w:color w:val="000000" w:themeColor="text1"/>
        </w:rPr>
        <w:t xml:space="preserve"> would be </w:t>
      </w:r>
      <w:r w:rsidRPr="00581542" w:rsidR="00783C92">
        <w:rPr>
          <w:color w:val="000000" w:themeColor="text1"/>
        </w:rPr>
        <w:t xml:space="preserve">subject </w:t>
      </w:r>
      <w:r w:rsidRPr="00581542">
        <w:rPr>
          <w:color w:val="000000" w:themeColor="text1"/>
        </w:rPr>
        <w:t xml:space="preserve">subsequently </w:t>
      </w:r>
      <w:r w:rsidRPr="00581542" w:rsidR="00783C92">
        <w:rPr>
          <w:color w:val="000000" w:themeColor="text1"/>
        </w:rPr>
        <w:t xml:space="preserve">to mandatory </w:t>
      </w:r>
      <w:r w:rsidRPr="00581542">
        <w:rPr>
          <w:color w:val="000000" w:themeColor="text1"/>
        </w:rPr>
        <w:t>results information</w:t>
      </w:r>
      <w:r w:rsidRPr="00581542" w:rsidR="00783C92">
        <w:rPr>
          <w:color w:val="000000" w:themeColor="text1"/>
        </w:rPr>
        <w:t xml:space="preserve"> submission</w:t>
      </w:r>
      <w:r w:rsidRPr="00581542">
        <w:rPr>
          <w:color w:val="000000" w:themeColor="text1"/>
        </w:rPr>
        <w:t xml:space="preserve">. </w:t>
      </w:r>
      <w:r w:rsidRPr="00581542" w:rsidR="00783C92">
        <w:rPr>
          <w:color w:val="000000" w:themeColor="text1"/>
        </w:rPr>
        <w:t>While t</w:t>
      </w:r>
      <w:r w:rsidRPr="00581542">
        <w:rPr>
          <w:color w:val="000000" w:themeColor="text1"/>
        </w:rPr>
        <w:t>he statute requires results information submission for all applicable clinical trials that study drugs (including biological products) or devices that are approved, cleared, or licensed by FDA</w:t>
      </w:r>
      <w:r w:rsidRPr="00581542" w:rsidR="00783C92">
        <w:rPr>
          <w:color w:val="000000" w:themeColor="text1"/>
        </w:rPr>
        <w:t>,</w:t>
      </w:r>
      <w:r w:rsidRPr="00581542">
        <w:rPr>
          <w:color w:val="000000" w:themeColor="text1"/>
        </w:rPr>
        <w:t xml:space="preserve"> </w:t>
      </w:r>
      <w:r w:rsidRPr="00581542" w:rsidR="00783C92">
        <w:rPr>
          <w:color w:val="000000" w:themeColor="text1"/>
        </w:rPr>
        <w:t>t</w:t>
      </w:r>
      <w:r w:rsidRPr="00581542">
        <w:rPr>
          <w:color w:val="000000" w:themeColor="text1"/>
        </w:rPr>
        <w:t xml:space="preserve">he rule </w:t>
      </w:r>
      <w:r w:rsidRPr="00581542" w:rsidR="00783C92">
        <w:rPr>
          <w:color w:val="000000" w:themeColor="text1"/>
        </w:rPr>
        <w:t>additionally</w:t>
      </w:r>
      <w:r w:rsidRPr="00581542">
        <w:rPr>
          <w:color w:val="000000" w:themeColor="text1"/>
        </w:rPr>
        <w:t xml:space="preserve"> requires the submission of clinical results information for applicable clinical trials of drug products (including biological products) and device products that are not approved, cleared, or licensed by FDA. We, therefore, estimate </w:t>
      </w:r>
      <w:r w:rsidRPr="00581542" w:rsidR="00C136E4">
        <w:rPr>
          <w:color w:val="000000" w:themeColor="text1"/>
        </w:rPr>
        <w:t xml:space="preserve">that </w:t>
      </w:r>
      <w:r w:rsidRPr="00581542">
        <w:rPr>
          <w:color w:val="000000" w:themeColor="text1"/>
        </w:rPr>
        <w:t xml:space="preserve">the burden associated with results information submission </w:t>
      </w:r>
      <w:r w:rsidRPr="00581542" w:rsidR="00C136E4">
        <w:rPr>
          <w:color w:val="000000" w:themeColor="text1"/>
        </w:rPr>
        <w:t xml:space="preserve">applies to </w:t>
      </w:r>
      <w:r w:rsidRPr="00581542">
        <w:rPr>
          <w:color w:val="000000" w:themeColor="text1"/>
        </w:rPr>
        <w:t>a total of 7,400 applicable clinical trials of drug products (including biological products) and device products per year</w:t>
      </w:r>
      <w:r w:rsidRPr="00581542" w:rsidR="00C136E4">
        <w:rPr>
          <w:color w:val="000000" w:themeColor="text1"/>
        </w:rPr>
        <w:t xml:space="preserve"> (see cal</w:t>
      </w:r>
      <w:r w:rsidRPr="00581542" w:rsidR="007273D1">
        <w:rPr>
          <w:color w:val="000000" w:themeColor="text1"/>
        </w:rPr>
        <w:t>c</w:t>
      </w:r>
      <w:r w:rsidRPr="00581542" w:rsidR="00C136E4">
        <w:rPr>
          <w:color w:val="000000" w:themeColor="text1"/>
        </w:rPr>
        <w:t>ulations under “Mandatory Submissions” under the “Registration</w:t>
      </w:r>
      <w:r w:rsidRPr="00581542" w:rsidR="00F01948">
        <w:rPr>
          <w:color w:val="000000" w:themeColor="text1"/>
        </w:rPr>
        <w:t>: Initial Submission</w:t>
      </w:r>
      <w:r w:rsidRPr="00581542" w:rsidR="00C136E4">
        <w:rPr>
          <w:color w:val="000000" w:themeColor="text1"/>
        </w:rPr>
        <w:t xml:space="preserve"> and Updates” subsection, above)</w:t>
      </w:r>
      <w:r w:rsidRPr="00581542">
        <w:rPr>
          <w:color w:val="000000" w:themeColor="text1"/>
        </w:rPr>
        <w:t xml:space="preserve">, recognizing that in most cases, such clinical trial results information will not be submitted in the same year as </w:t>
      </w:r>
      <w:r w:rsidRPr="00581542">
        <w:rPr>
          <w:color w:val="000000" w:themeColor="text1"/>
        </w:rPr>
        <w:t>the associated clinical trial registration information</w:t>
      </w:r>
      <w:r w:rsidRPr="00581542" w:rsidR="00D31E8B">
        <w:rPr>
          <w:color w:val="000000" w:themeColor="text1"/>
        </w:rPr>
        <w:t>,</w:t>
      </w:r>
      <w:r w:rsidRPr="00581542">
        <w:rPr>
          <w:color w:val="000000" w:themeColor="text1"/>
        </w:rPr>
        <w:t xml:space="preserve"> but in accordance with the </w:t>
      </w:r>
      <w:r w:rsidRPr="00581542" w:rsidR="001116D8">
        <w:rPr>
          <w:color w:val="000000" w:themeColor="text1"/>
        </w:rPr>
        <w:t xml:space="preserve">results information submission </w:t>
      </w:r>
      <w:r w:rsidRPr="00581542">
        <w:rPr>
          <w:color w:val="000000" w:themeColor="text1"/>
        </w:rPr>
        <w:t xml:space="preserve">deadlines specified in </w:t>
      </w:r>
      <w:r w:rsidRPr="00581542" w:rsidR="001116D8">
        <w:rPr>
          <w:color w:val="000000" w:themeColor="text1"/>
        </w:rPr>
        <w:t xml:space="preserve">42 CFR </w:t>
      </w:r>
      <w:r w:rsidRPr="00581542">
        <w:rPr>
          <w:color w:val="000000" w:themeColor="text1"/>
        </w:rPr>
        <w:t>11.44. We expect, however, that on average the number of clinical trials for which clinical trial results information is submitted in any given year will approximate the number of new trials for which clinical trial registration information is submitted.</w:t>
      </w:r>
    </w:p>
    <w:p w:rsidR="00642411" w:rsidRPr="00581542" w:rsidP="002533BB" w14:paraId="62E51564" w14:textId="77777777">
      <w:pPr>
        <w:ind w:left="720"/>
        <w:contextualSpacing/>
        <w:rPr>
          <w:color w:val="000000" w:themeColor="text1"/>
        </w:rPr>
      </w:pPr>
    </w:p>
    <w:p w:rsidR="00302D41" w:rsidRPr="00581542" w:rsidP="002533BB" w14:paraId="09727DEA" w14:textId="629E586D">
      <w:pPr>
        <w:ind w:left="720"/>
        <w:contextualSpacing/>
        <w:rPr>
          <w:color w:val="000000" w:themeColor="text1"/>
        </w:rPr>
      </w:pPr>
      <w:r w:rsidRPr="00581542">
        <w:rPr>
          <w:color w:val="000000" w:themeColor="text1"/>
        </w:rPr>
        <w:t>To estimate an average amount of time required to submit clinical trial results information, we reviewed a variety of data sources, including publicly available information from various organizations about results information subm</w:t>
      </w:r>
      <w:r w:rsidRPr="00581542" w:rsidR="00B3451E">
        <w:rPr>
          <w:color w:val="000000" w:themeColor="text1"/>
        </w:rPr>
        <w:t>ission times</w:t>
      </w:r>
      <w:r w:rsidRPr="00581542">
        <w:rPr>
          <w:color w:val="000000" w:themeColor="text1"/>
        </w:rPr>
        <w:t>, comments made a</w:t>
      </w:r>
      <w:r w:rsidRPr="00581542" w:rsidR="00B3451E">
        <w:rPr>
          <w:color w:val="000000" w:themeColor="text1"/>
        </w:rPr>
        <w:t>t the April 2009 public meeting</w:t>
      </w:r>
      <w:r w:rsidRPr="00581542">
        <w:rPr>
          <w:color w:val="000000" w:themeColor="text1"/>
        </w:rPr>
        <w:t xml:space="preserve">, responses to the burden estimates included in the </w:t>
      </w:r>
      <w:r w:rsidRPr="00581542" w:rsidR="00E131BC">
        <w:rPr>
          <w:color w:val="000000" w:themeColor="text1"/>
        </w:rPr>
        <w:t xml:space="preserve">2015 </w:t>
      </w:r>
      <w:r w:rsidRPr="00581542">
        <w:rPr>
          <w:color w:val="000000" w:themeColor="text1"/>
        </w:rPr>
        <w:t>and previous OMB clearance documents (</w:t>
      </w:r>
      <w:r w:rsidRPr="00581542" w:rsidR="00AB4A4D">
        <w:rPr>
          <w:color w:val="000000" w:themeColor="text1"/>
        </w:rPr>
        <w:t xml:space="preserve">88 FR 7743, Feb. 6, 2023; </w:t>
      </w:r>
      <w:r w:rsidRPr="00581542" w:rsidR="00CA7CCA">
        <w:rPr>
          <w:color w:val="000000" w:themeColor="text1"/>
        </w:rPr>
        <w:t xml:space="preserve">85 FR 4332, Jan. 24, 2020; </w:t>
      </w:r>
      <w:r w:rsidRPr="00581542" w:rsidR="00B54FD7">
        <w:rPr>
          <w:color w:val="000000" w:themeColor="text1"/>
        </w:rPr>
        <w:t xml:space="preserve">81 FR 65132, Sept. 21, 2016; </w:t>
      </w:r>
      <w:r w:rsidRPr="00581542">
        <w:rPr>
          <w:color w:val="000000" w:themeColor="text1"/>
        </w:rPr>
        <w:t xml:space="preserve">77 FR 22579, Apr. 16, 2012; 73 FR 58972, Oct. 8, 2008), feedback from respondents who tested preliminary versions of the data entry system during the summer of 2008, and feedback from those submitting data to the existing ClinicalTrials.gov system. These sources contain a </w:t>
      </w:r>
      <w:r w:rsidRPr="00581542">
        <w:rPr>
          <w:color w:val="000000" w:themeColor="text1"/>
        </w:rPr>
        <w:t>wide-range</w:t>
      </w:r>
      <w:r w:rsidRPr="00581542">
        <w:rPr>
          <w:color w:val="000000" w:themeColor="text1"/>
        </w:rPr>
        <w:t xml:space="preserve"> of estimates, from as little as 6 hours to as long as 60 hours. We believe the differences in these estimates reflect </w:t>
      </w:r>
      <w:r w:rsidRPr="00581542">
        <w:rPr>
          <w:color w:val="000000" w:themeColor="text1"/>
        </w:rPr>
        <w:t>a number of</w:t>
      </w:r>
      <w:r w:rsidRPr="00581542">
        <w:rPr>
          <w:color w:val="000000" w:themeColor="text1"/>
        </w:rPr>
        <w:t xml:space="preserve"> factors, including the significant variation in the complexity of applicable clinical trials, in terms of the study design, number of outcome measures (primary and secondary), statistical analyses, and adverse event information. The estimates also reflect differences in the responsible party’s familiarity with the clinical trial results information and the ClinicalTrials.gov submission process and the time they attribute to assembling the information for submission. Shorter estimates may be indicative of situations in which the responsible party already has assembled (and analyzed) the clinical trial results information for purposes of preparing a journal article or other summary report, while longer estimates may assume the clinical trial results information needs to be calculated and compiled. We expect that, in most situations, the </w:t>
      </w:r>
      <w:r w:rsidRPr="00581542">
        <w:rPr>
          <w:color w:val="000000" w:themeColor="text1"/>
        </w:rPr>
        <w:t>responsible party</w:t>
      </w:r>
      <w:r w:rsidRPr="00581542">
        <w:rPr>
          <w:color w:val="000000" w:themeColor="text1"/>
        </w:rPr>
        <w:t xml:space="preserve"> would have ready access to the necessary information because it is information that the clinical trial is conducted to collect and analyze (i.e., the information for submission would have been collected during the trial, as specified in the protocol).  Nevertheless, for purposes of this analysis, we selected an average time of 40 hours for initial submission of clinical trial results information, which corresponds to the higher range of estimates contained in several industry surveys and in other comments the Agency received. This figure </w:t>
      </w:r>
      <w:r w:rsidRPr="00581542" w:rsidR="009A4589">
        <w:rPr>
          <w:color w:val="000000" w:themeColor="text1"/>
        </w:rPr>
        <w:t xml:space="preserve">is the same as the estimate </w:t>
      </w:r>
      <w:r w:rsidRPr="00581542">
        <w:rPr>
          <w:color w:val="000000" w:themeColor="text1"/>
        </w:rPr>
        <w:t xml:space="preserve">in the </w:t>
      </w:r>
      <w:r w:rsidRPr="00581542" w:rsidR="00385449">
        <w:rPr>
          <w:color w:val="000000" w:themeColor="text1"/>
        </w:rPr>
        <w:t>2023</w:t>
      </w:r>
      <w:r w:rsidRPr="00581542" w:rsidR="009A4589">
        <w:rPr>
          <w:color w:val="000000" w:themeColor="text1"/>
        </w:rPr>
        <w:t xml:space="preserve"> </w:t>
      </w:r>
      <w:r w:rsidRPr="00581542">
        <w:rPr>
          <w:color w:val="000000" w:themeColor="text1"/>
        </w:rPr>
        <w:t xml:space="preserve">OMB Paperwork Reduction Act clearance for the ClinicalTrials.gov data collection </w:t>
      </w:r>
      <w:r w:rsidRPr="00581542" w:rsidR="001116D8">
        <w:rPr>
          <w:color w:val="000000" w:themeColor="text1"/>
        </w:rPr>
        <w:t>(</w:t>
      </w:r>
      <w:r w:rsidRPr="00581542" w:rsidR="00385449">
        <w:rPr>
          <w:color w:val="000000" w:themeColor="text1"/>
        </w:rPr>
        <w:t>88 FR 7743, Feb. 6, 2023</w:t>
      </w:r>
      <w:r w:rsidRPr="00581542" w:rsidR="001116D8">
        <w:rPr>
          <w:color w:val="000000" w:themeColor="text1"/>
        </w:rPr>
        <w:t>)</w:t>
      </w:r>
      <w:r w:rsidRPr="00581542">
        <w:rPr>
          <w:color w:val="000000" w:themeColor="text1"/>
        </w:rPr>
        <w:t>. We expect the hour burden will decline as responsible parties become more familiar with ClinicalTrials.gov and implement procedures for streamlining data collection, analysis, and formatting.</w:t>
      </w:r>
    </w:p>
    <w:p w:rsidR="00302D41" w:rsidRPr="00581542" w:rsidP="002533BB" w14:paraId="085532A8" w14:textId="77777777">
      <w:pPr>
        <w:ind w:left="720"/>
        <w:contextualSpacing/>
        <w:rPr>
          <w:color w:val="000000" w:themeColor="text1"/>
        </w:rPr>
      </w:pPr>
    </w:p>
    <w:p w:rsidR="00302D41" w:rsidRPr="00581542" w:rsidP="002533BB" w14:paraId="478516CC" w14:textId="15A4B9A4">
      <w:pPr>
        <w:ind w:left="720"/>
        <w:rPr>
          <w:color w:val="000000" w:themeColor="text1"/>
          <w:szCs w:val="24"/>
        </w:rPr>
      </w:pPr>
      <w:r w:rsidRPr="00581542">
        <w:rPr>
          <w:color w:val="000000" w:themeColor="text1"/>
          <w:szCs w:val="24"/>
        </w:rPr>
        <w:t xml:space="preserve">The provision at </w:t>
      </w:r>
      <w:r w:rsidRPr="00581542" w:rsidR="00327F61">
        <w:rPr>
          <w:color w:val="000000" w:themeColor="text1"/>
          <w:szCs w:val="24"/>
        </w:rPr>
        <w:t>42 CFR 11.48(a)</w:t>
      </w:r>
      <w:r w:rsidRPr="00581542">
        <w:rPr>
          <w:color w:val="000000" w:themeColor="text1"/>
          <w:szCs w:val="24"/>
        </w:rPr>
        <w:t xml:space="preserve"> requires submission of the full protocol and </w:t>
      </w:r>
      <w:r w:rsidR="00F92626">
        <w:rPr>
          <w:color w:val="000000" w:themeColor="text1"/>
          <w:szCs w:val="24"/>
        </w:rPr>
        <w:t>statistical analysis plan (</w:t>
      </w:r>
      <w:r w:rsidRPr="00581542">
        <w:rPr>
          <w:color w:val="000000" w:themeColor="text1"/>
          <w:szCs w:val="24"/>
        </w:rPr>
        <w:t>SAP</w:t>
      </w:r>
      <w:r w:rsidR="00F92626">
        <w:rPr>
          <w:color w:val="000000" w:themeColor="text1"/>
          <w:szCs w:val="24"/>
        </w:rPr>
        <w:t>)</w:t>
      </w:r>
      <w:r w:rsidRPr="00581542">
        <w:rPr>
          <w:color w:val="000000" w:themeColor="text1"/>
          <w:szCs w:val="24"/>
        </w:rPr>
        <w:t xml:space="preserve"> (if a separate document) at the time results are submitted and allows redaction by the </w:t>
      </w:r>
      <w:r w:rsidRPr="00581542">
        <w:rPr>
          <w:color w:val="000000" w:themeColor="text1"/>
          <w:szCs w:val="24"/>
        </w:rPr>
        <w:t>responsible party</w:t>
      </w:r>
      <w:r w:rsidRPr="00581542">
        <w:rPr>
          <w:color w:val="000000" w:themeColor="text1"/>
          <w:szCs w:val="24"/>
        </w:rPr>
        <w:t xml:space="preserve"> if confidential commercial information or personally identifiable information is included. Because protocol and SAP documents already exist, we do not expect that the requirement to upload them will impose a significant burden that is not already accounted for in the results submission burden. In addition, we anticipate that the need for redaction will be very rare, so those costs should also be minimal.</w:t>
      </w:r>
    </w:p>
    <w:p w:rsidR="00302D41" w:rsidRPr="00581542" w:rsidP="002533BB" w14:paraId="57C859B0" w14:textId="77777777">
      <w:pPr>
        <w:ind w:left="720"/>
        <w:rPr>
          <w:color w:val="000000" w:themeColor="text1"/>
        </w:rPr>
      </w:pPr>
    </w:p>
    <w:p w:rsidR="00302D41" w:rsidRPr="00581542" w:rsidP="002533BB" w14:paraId="3C259D03" w14:textId="2F12E39C">
      <w:pPr>
        <w:ind w:left="720"/>
        <w:contextualSpacing/>
        <w:rPr>
          <w:color w:val="000000" w:themeColor="text1"/>
        </w:rPr>
      </w:pPr>
      <w:r w:rsidRPr="00581542">
        <w:rPr>
          <w:color w:val="000000" w:themeColor="text1"/>
        </w:rPr>
        <w:t xml:space="preserve">Under </w:t>
      </w:r>
      <w:r w:rsidRPr="00581542" w:rsidR="00963C16">
        <w:rPr>
          <w:color w:val="000000" w:themeColor="text1"/>
        </w:rPr>
        <w:t>42 CFR Part 11</w:t>
      </w:r>
      <w:r w:rsidRPr="00581542">
        <w:rPr>
          <w:color w:val="000000" w:themeColor="text1"/>
        </w:rPr>
        <w:t xml:space="preserve">, results information is required to be submitted for all applicable clinical trials that are subject to the registration requirement and that reach their completion </w:t>
      </w:r>
      <w:r w:rsidRPr="00581542">
        <w:rPr>
          <w:color w:val="000000" w:themeColor="text1"/>
        </w:rPr>
        <w:t xml:space="preserve">date after the effective date of </w:t>
      </w:r>
      <w:r w:rsidRPr="00581542" w:rsidR="00963C16">
        <w:rPr>
          <w:color w:val="000000" w:themeColor="text1"/>
        </w:rPr>
        <w:t xml:space="preserve">42 CFR Part 11 </w:t>
      </w:r>
      <w:r w:rsidRPr="00581542">
        <w:rPr>
          <w:color w:val="000000" w:themeColor="text1"/>
        </w:rPr>
        <w:t xml:space="preserve">(i.e., an estimated 7,400 clinical trials per year). Applying the </w:t>
      </w:r>
      <w:r w:rsidRPr="00581542" w:rsidR="00E91E55">
        <w:rPr>
          <w:color w:val="000000" w:themeColor="text1"/>
        </w:rPr>
        <w:t>40-hour</w:t>
      </w:r>
      <w:r w:rsidRPr="00581542">
        <w:rPr>
          <w:color w:val="000000" w:themeColor="text1"/>
        </w:rPr>
        <w:t xml:space="preserve"> figure to 7,400 applicable clinical trials per year produces a total estimated burden of 296,000 hours per year for submitting clin</w:t>
      </w:r>
      <w:r w:rsidRPr="00581542" w:rsidR="00A84524">
        <w:rPr>
          <w:color w:val="000000" w:themeColor="text1"/>
        </w:rPr>
        <w:t xml:space="preserve">ical trial results information. </w:t>
      </w:r>
      <w:r w:rsidRPr="00581542">
        <w:rPr>
          <w:color w:val="000000" w:themeColor="text1"/>
        </w:rPr>
        <w:t>We also estimate that, on average, each results record will be updated twice after the initial submission to reflect changes in data analysis or the submission of additional results from other pre-specified outcome measures. We estimate that each such update will take 10 hours, on average. Applying these estimates to 7,400 applicable clinical trials per year produces an estimate of 148,000 hours per year for updates to clinical trial results informatio</w:t>
      </w:r>
      <w:r w:rsidRPr="00581542" w:rsidR="00A84524">
        <w:rPr>
          <w:color w:val="000000" w:themeColor="text1"/>
        </w:rPr>
        <w:t>n (</w:t>
      </w:r>
      <w:r w:rsidRPr="00581542" w:rsidR="00671159">
        <w:rPr>
          <w:color w:val="000000" w:themeColor="text1"/>
        </w:rPr>
        <w:t>2</w:t>
      </w:r>
      <w:r w:rsidRPr="00581542" w:rsidR="00A84524">
        <w:rPr>
          <w:color w:val="000000" w:themeColor="text1"/>
        </w:rPr>
        <w:t xml:space="preserve"> updates per trial). </w:t>
      </w:r>
      <w:r w:rsidRPr="00581542">
        <w:rPr>
          <w:color w:val="000000" w:themeColor="text1"/>
        </w:rPr>
        <w:t xml:space="preserve">Combining the figure for updates with the estimate of the initial burden of submitting clinical trial results </w:t>
      </w:r>
      <w:r w:rsidRPr="00581542">
        <w:rPr>
          <w:color w:val="000000" w:themeColor="text1"/>
        </w:rPr>
        <w:t>information,</w:t>
      </w:r>
      <w:r w:rsidRPr="00581542">
        <w:rPr>
          <w:color w:val="000000" w:themeColor="text1"/>
        </w:rPr>
        <w:t xml:space="preserve"> produces a total estimated annual hour burden for results information submission under </w:t>
      </w:r>
      <w:r w:rsidRPr="00581542" w:rsidR="00963C16">
        <w:rPr>
          <w:color w:val="000000" w:themeColor="text1"/>
        </w:rPr>
        <w:t xml:space="preserve">42 CFR Part 11 </w:t>
      </w:r>
      <w:r w:rsidRPr="00581542">
        <w:rPr>
          <w:color w:val="000000" w:themeColor="text1"/>
        </w:rPr>
        <w:t>of 444,000 hours. These estimates include the time involved in addressing any issues identified during quality control review of submitted results information.</w:t>
      </w:r>
    </w:p>
    <w:p w:rsidR="00302D41" w:rsidRPr="00581542" w:rsidP="002533BB" w14:paraId="0A056166" w14:textId="77777777">
      <w:pPr>
        <w:ind w:left="720"/>
        <w:contextualSpacing/>
        <w:rPr>
          <w:color w:val="000000" w:themeColor="text1"/>
        </w:rPr>
      </w:pPr>
    </w:p>
    <w:p w:rsidR="00E15590" w:rsidRPr="00581542" w:rsidP="002533BB" w14:paraId="0B762959" w14:textId="77777777">
      <w:pPr>
        <w:ind w:left="720"/>
        <w:contextualSpacing/>
        <w:rPr>
          <w:color w:val="000000" w:themeColor="text1"/>
        </w:rPr>
      </w:pPr>
      <w:r w:rsidRPr="00581542">
        <w:rPr>
          <w:b/>
          <w:color w:val="000000" w:themeColor="text1"/>
        </w:rPr>
        <w:t>Voluntary</w:t>
      </w:r>
      <w:r w:rsidRPr="00581542">
        <w:rPr>
          <w:color w:val="000000" w:themeColor="text1"/>
        </w:rPr>
        <w:t xml:space="preserve"> </w:t>
      </w:r>
      <w:r w:rsidRPr="00581542">
        <w:rPr>
          <w:b/>
          <w:color w:val="000000" w:themeColor="text1"/>
        </w:rPr>
        <w:t>and Non-regulated Submissions</w:t>
      </w:r>
    </w:p>
    <w:p w:rsidR="00E15590" w:rsidRPr="00581542" w:rsidP="002533BB" w14:paraId="4F1D0403" w14:textId="77777777">
      <w:pPr>
        <w:ind w:left="720"/>
        <w:contextualSpacing/>
        <w:rPr>
          <w:color w:val="000000" w:themeColor="text1"/>
        </w:rPr>
      </w:pPr>
    </w:p>
    <w:p w:rsidR="00E15590" w:rsidRPr="00581542" w:rsidP="002533BB" w14:paraId="272FC846" w14:textId="77777777">
      <w:pPr>
        <w:ind w:left="720"/>
        <w:rPr>
          <w:color w:val="000000" w:themeColor="text1"/>
          <w:u w:val="single"/>
        </w:rPr>
      </w:pPr>
      <w:r w:rsidRPr="00581542">
        <w:rPr>
          <w:color w:val="000000" w:themeColor="text1"/>
          <w:u w:val="single"/>
        </w:rPr>
        <w:t>NIH Policy</w:t>
      </w:r>
    </w:p>
    <w:p w:rsidR="00E15590" w:rsidRPr="00581542" w:rsidP="002533BB" w14:paraId="6F22EF75" w14:textId="77777777">
      <w:pPr>
        <w:ind w:left="720"/>
        <w:contextualSpacing/>
        <w:rPr>
          <w:color w:val="000000" w:themeColor="text1"/>
        </w:rPr>
      </w:pPr>
    </w:p>
    <w:p w:rsidR="00E15590" w:rsidRPr="00581542" w:rsidP="002533BB" w14:paraId="2A494707" w14:textId="02B29857">
      <w:pPr>
        <w:ind w:left="720"/>
        <w:contextualSpacing/>
        <w:rPr>
          <w:color w:val="000000" w:themeColor="text1"/>
        </w:rPr>
      </w:pPr>
      <w:r w:rsidRPr="00581542">
        <w:rPr>
          <w:color w:val="000000" w:themeColor="text1"/>
        </w:rPr>
        <w:t>As discussed under the “</w:t>
      </w:r>
      <w:r w:rsidRPr="00581542" w:rsidR="008E278D">
        <w:rPr>
          <w:color w:val="000000" w:themeColor="text1"/>
        </w:rPr>
        <w:t>Registration</w:t>
      </w:r>
      <w:r w:rsidRPr="00581542" w:rsidR="00924299">
        <w:rPr>
          <w:color w:val="000000" w:themeColor="text1"/>
        </w:rPr>
        <w:t>: Initial Submissions</w:t>
      </w:r>
      <w:r w:rsidRPr="00581542">
        <w:rPr>
          <w:color w:val="000000" w:themeColor="text1"/>
        </w:rPr>
        <w:t xml:space="preserve"> and Updates” subsection (above), we estimate that the impact of the NIH </w:t>
      </w:r>
      <w:r w:rsidRPr="00581542" w:rsidR="007B2656">
        <w:rPr>
          <w:color w:val="000000" w:themeColor="text1"/>
        </w:rPr>
        <w:t>P</w:t>
      </w:r>
      <w:r w:rsidRPr="00581542">
        <w:rPr>
          <w:color w:val="000000" w:themeColor="text1"/>
        </w:rPr>
        <w:t xml:space="preserve">olicy, over and above that for mandatory submissions under 42 CFR Part 11, to be </w:t>
      </w:r>
      <w:r w:rsidRPr="00D71489" w:rsidR="00385449">
        <w:rPr>
          <w:color w:val="000000" w:themeColor="text1"/>
          <w:highlight w:val="yellow"/>
        </w:rPr>
        <w:t>1,200</w:t>
      </w:r>
      <w:r w:rsidRPr="00581542" w:rsidR="007B2656">
        <w:rPr>
          <w:color w:val="000000" w:themeColor="text1"/>
        </w:rPr>
        <w:t xml:space="preserve"> </w:t>
      </w:r>
      <w:r w:rsidRPr="00581542">
        <w:rPr>
          <w:color w:val="000000" w:themeColor="text1"/>
        </w:rPr>
        <w:t xml:space="preserve">NIH-funded trials that are likely not applicable clinical trials per year. Additionally, we use the same assumptions as for mandatory </w:t>
      </w:r>
      <w:r w:rsidRPr="00581542" w:rsidR="00C20788">
        <w:rPr>
          <w:color w:val="000000" w:themeColor="text1"/>
        </w:rPr>
        <w:t>submissions</w:t>
      </w:r>
      <w:r w:rsidRPr="00581542">
        <w:rPr>
          <w:color w:val="000000" w:themeColor="text1"/>
        </w:rPr>
        <w:t xml:space="preserve"> to estimate the burden, namely that initial results submission will take on average 40 hours with two expected updates requiring an average of 10 hours total.</w:t>
      </w:r>
    </w:p>
    <w:p w:rsidR="00E15590" w:rsidRPr="00581542" w:rsidP="002533BB" w14:paraId="5836A432" w14:textId="77777777">
      <w:pPr>
        <w:ind w:left="720"/>
        <w:contextualSpacing/>
        <w:rPr>
          <w:color w:val="000000" w:themeColor="text1"/>
        </w:rPr>
      </w:pPr>
    </w:p>
    <w:p w:rsidR="00E15590" w:rsidRPr="00581542" w:rsidP="002533BB" w14:paraId="4345E509" w14:textId="77777777">
      <w:pPr>
        <w:ind w:left="720"/>
        <w:rPr>
          <w:color w:val="000000" w:themeColor="text1"/>
          <w:u w:val="single"/>
        </w:rPr>
      </w:pPr>
      <w:r w:rsidRPr="00581542">
        <w:rPr>
          <w:color w:val="000000" w:themeColor="text1"/>
          <w:u w:val="single"/>
        </w:rPr>
        <w:t>All Others</w:t>
      </w:r>
    </w:p>
    <w:p w:rsidR="00E15590" w:rsidRPr="00581542" w:rsidP="002533BB" w14:paraId="6B70600F" w14:textId="77777777">
      <w:pPr>
        <w:ind w:left="720"/>
        <w:contextualSpacing/>
        <w:rPr>
          <w:color w:val="000000" w:themeColor="text1"/>
        </w:rPr>
      </w:pPr>
    </w:p>
    <w:p w:rsidR="007A749B" w:rsidRPr="00581542" w:rsidP="002533BB" w14:paraId="51221ED4" w14:textId="236BDB90">
      <w:pPr>
        <w:pStyle w:val="PlainText"/>
        <w:ind w:left="720"/>
        <w:rPr>
          <w:rFonts w:ascii="Times New Roman" w:hAnsi="Times New Roman" w:cs="Times New Roman"/>
          <w:color w:val="000000" w:themeColor="text1"/>
          <w:sz w:val="24"/>
          <w:szCs w:val="24"/>
        </w:rPr>
      </w:pPr>
      <w:r w:rsidRPr="00581542">
        <w:rPr>
          <w:rFonts w:ascii="Times New Roman" w:hAnsi="Times New Roman" w:cs="Times New Roman"/>
          <w:color w:val="000000" w:themeColor="text1"/>
          <w:sz w:val="24"/>
          <w:szCs w:val="24"/>
        </w:rPr>
        <w:t xml:space="preserve">To estimate the number results </w:t>
      </w:r>
      <w:r w:rsidRPr="00581542" w:rsidR="0013288D">
        <w:rPr>
          <w:rFonts w:ascii="Times New Roman" w:hAnsi="Times New Roman" w:cs="Times New Roman"/>
          <w:color w:val="000000" w:themeColor="text1"/>
          <w:sz w:val="24"/>
          <w:szCs w:val="24"/>
        </w:rPr>
        <w:t xml:space="preserve">information </w:t>
      </w:r>
      <w:r w:rsidRPr="00581542">
        <w:rPr>
          <w:rFonts w:ascii="Times New Roman" w:hAnsi="Times New Roman" w:cs="Times New Roman"/>
          <w:color w:val="000000" w:themeColor="text1"/>
          <w:sz w:val="24"/>
          <w:szCs w:val="24"/>
        </w:rPr>
        <w:t>submissions</w:t>
      </w:r>
      <w:r w:rsidRPr="00581542" w:rsidR="0013288D">
        <w:rPr>
          <w:rFonts w:ascii="Times New Roman" w:hAnsi="Times New Roman" w:cs="Times New Roman"/>
          <w:color w:val="000000" w:themeColor="text1"/>
          <w:sz w:val="24"/>
          <w:szCs w:val="24"/>
        </w:rPr>
        <w:t xml:space="preserve"> over and above that for mandatory submissions under 42 CFR Part 11</w:t>
      </w:r>
      <w:r w:rsidRPr="00581542">
        <w:rPr>
          <w:rFonts w:ascii="Times New Roman" w:hAnsi="Times New Roman" w:cs="Times New Roman"/>
          <w:color w:val="000000" w:themeColor="text1"/>
          <w:sz w:val="24"/>
          <w:szCs w:val="24"/>
        </w:rPr>
        <w:t xml:space="preserve">, </w:t>
      </w:r>
      <w:r w:rsidRPr="006C7247">
        <w:rPr>
          <w:rFonts w:ascii="Times New Roman" w:hAnsi="Times New Roman" w:cs="Times New Roman"/>
          <w:color w:val="000000" w:themeColor="text1"/>
          <w:sz w:val="24"/>
          <w:szCs w:val="24"/>
          <w:highlight w:val="yellow"/>
        </w:rPr>
        <w:t xml:space="preserve">we </w:t>
      </w:r>
      <w:r w:rsidRPr="3D85F570" w:rsidR="732B7371">
        <w:rPr>
          <w:rFonts w:ascii="Times New Roman" w:hAnsi="Times New Roman" w:cs="Times New Roman"/>
          <w:color w:val="000000" w:themeColor="text1"/>
          <w:sz w:val="24"/>
          <w:szCs w:val="24"/>
          <w:highlight w:val="yellow"/>
        </w:rPr>
        <w:t>reviewed</w:t>
      </w:r>
      <w:r w:rsidRPr="006C7247">
        <w:rPr>
          <w:rFonts w:ascii="Times New Roman" w:hAnsi="Times New Roman" w:cs="Times New Roman"/>
          <w:color w:val="000000" w:themeColor="text1"/>
          <w:sz w:val="24"/>
          <w:szCs w:val="24"/>
          <w:highlight w:val="yellow"/>
        </w:rPr>
        <w:t xml:space="preserve"> results </w:t>
      </w:r>
      <w:r w:rsidRPr="006C7247" w:rsidR="0013288D">
        <w:rPr>
          <w:rFonts w:ascii="Times New Roman" w:hAnsi="Times New Roman" w:cs="Times New Roman"/>
          <w:color w:val="000000" w:themeColor="text1"/>
          <w:sz w:val="24"/>
          <w:szCs w:val="24"/>
          <w:highlight w:val="yellow"/>
        </w:rPr>
        <w:t xml:space="preserve">information submitted to ClinicalTrials.gov </w:t>
      </w:r>
      <w:r w:rsidRPr="006C7247">
        <w:rPr>
          <w:rFonts w:ascii="Times New Roman" w:hAnsi="Times New Roman" w:cs="Times New Roman"/>
          <w:color w:val="000000" w:themeColor="text1"/>
          <w:sz w:val="24"/>
          <w:szCs w:val="24"/>
          <w:highlight w:val="yellow"/>
        </w:rPr>
        <w:t xml:space="preserve">in </w:t>
      </w:r>
      <w:r w:rsidRPr="006C7247" w:rsidR="00385449">
        <w:rPr>
          <w:rFonts w:ascii="Times New Roman" w:hAnsi="Times New Roman" w:cs="Times New Roman"/>
          <w:color w:val="000000" w:themeColor="text1"/>
          <w:sz w:val="24"/>
          <w:szCs w:val="24"/>
          <w:highlight w:val="yellow"/>
        </w:rPr>
        <w:t xml:space="preserve">2024 </w:t>
      </w:r>
      <w:r w:rsidRPr="006C7247">
        <w:rPr>
          <w:rFonts w:ascii="Times New Roman" w:hAnsi="Times New Roman" w:cs="Times New Roman"/>
          <w:color w:val="000000" w:themeColor="text1"/>
          <w:sz w:val="24"/>
          <w:szCs w:val="24"/>
          <w:highlight w:val="yellow"/>
        </w:rPr>
        <w:t xml:space="preserve">and found </w:t>
      </w:r>
      <w:r w:rsidRPr="006C7247" w:rsidR="00D8453D">
        <w:rPr>
          <w:rFonts w:ascii="Times New Roman" w:hAnsi="Times New Roman" w:cs="Times New Roman"/>
          <w:color w:val="000000" w:themeColor="text1"/>
          <w:sz w:val="24"/>
          <w:szCs w:val="24"/>
          <w:highlight w:val="yellow"/>
        </w:rPr>
        <w:t xml:space="preserve">approximately </w:t>
      </w:r>
      <w:r w:rsidRPr="006C7247" w:rsidR="005A1ECE">
        <w:rPr>
          <w:rFonts w:ascii="Times New Roman" w:hAnsi="Times New Roman" w:cs="Times New Roman"/>
          <w:color w:val="000000" w:themeColor="text1"/>
          <w:sz w:val="24"/>
          <w:szCs w:val="24"/>
          <w:highlight w:val="yellow"/>
        </w:rPr>
        <w:t>2,100</w:t>
      </w:r>
      <w:r w:rsidRPr="006C7247">
        <w:rPr>
          <w:rFonts w:ascii="Times New Roman" w:hAnsi="Times New Roman" w:cs="Times New Roman"/>
          <w:color w:val="000000" w:themeColor="text1"/>
          <w:sz w:val="24"/>
          <w:szCs w:val="24"/>
          <w:highlight w:val="yellow"/>
        </w:rPr>
        <w:t xml:space="preserve"> </w:t>
      </w:r>
      <w:r w:rsidRPr="006C7247" w:rsidR="0013288D">
        <w:rPr>
          <w:rFonts w:ascii="Times New Roman" w:hAnsi="Times New Roman" w:cs="Times New Roman"/>
          <w:color w:val="000000" w:themeColor="text1"/>
          <w:sz w:val="24"/>
          <w:szCs w:val="24"/>
          <w:highlight w:val="yellow"/>
        </w:rPr>
        <w:t xml:space="preserve">submissions </w:t>
      </w:r>
      <w:r w:rsidRPr="006C7247">
        <w:rPr>
          <w:rFonts w:ascii="Times New Roman" w:hAnsi="Times New Roman" w:cs="Times New Roman"/>
          <w:color w:val="000000" w:themeColor="text1"/>
          <w:sz w:val="24"/>
          <w:szCs w:val="24"/>
          <w:highlight w:val="yellow"/>
        </w:rPr>
        <w:t xml:space="preserve">were for clinical trials that were neither applicable clinical trials </w:t>
      </w:r>
      <w:r w:rsidRPr="006C7247" w:rsidR="0013288D">
        <w:rPr>
          <w:rFonts w:ascii="Times New Roman" w:hAnsi="Times New Roman" w:cs="Times New Roman"/>
          <w:color w:val="000000" w:themeColor="text1"/>
          <w:sz w:val="24"/>
          <w:szCs w:val="24"/>
          <w:highlight w:val="yellow"/>
        </w:rPr>
        <w:t xml:space="preserve">subject to mandatory </w:t>
      </w:r>
      <w:r w:rsidRPr="006C7247" w:rsidR="00C20788">
        <w:rPr>
          <w:rFonts w:ascii="Times New Roman" w:hAnsi="Times New Roman" w:cs="Times New Roman"/>
          <w:color w:val="000000" w:themeColor="text1"/>
          <w:sz w:val="24"/>
          <w:szCs w:val="24"/>
          <w:highlight w:val="yellow"/>
        </w:rPr>
        <w:t>submissions</w:t>
      </w:r>
      <w:r w:rsidRPr="006C7247" w:rsidR="0013288D">
        <w:rPr>
          <w:rFonts w:ascii="Times New Roman" w:hAnsi="Times New Roman" w:cs="Times New Roman"/>
          <w:color w:val="000000" w:themeColor="text1"/>
          <w:sz w:val="24"/>
          <w:szCs w:val="24"/>
          <w:highlight w:val="yellow"/>
        </w:rPr>
        <w:t xml:space="preserve"> </w:t>
      </w:r>
      <w:r w:rsidRPr="006C7247">
        <w:rPr>
          <w:rFonts w:ascii="Times New Roman" w:hAnsi="Times New Roman" w:cs="Times New Roman"/>
          <w:color w:val="000000" w:themeColor="text1"/>
          <w:sz w:val="24"/>
          <w:szCs w:val="24"/>
          <w:highlight w:val="yellow"/>
        </w:rPr>
        <w:t>nor funded by NIH</w:t>
      </w:r>
      <w:r w:rsidRPr="00581542">
        <w:rPr>
          <w:rFonts w:ascii="Times New Roman" w:hAnsi="Times New Roman" w:cs="Times New Roman"/>
          <w:color w:val="000000" w:themeColor="text1"/>
          <w:sz w:val="24"/>
          <w:szCs w:val="24"/>
        </w:rPr>
        <w:t xml:space="preserve">. We, therefore, estimate that we will receive approximately </w:t>
      </w:r>
      <w:r w:rsidRPr="00D71489" w:rsidR="00C9346D">
        <w:rPr>
          <w:rFonts w:ascii="Times New Roman" w:hAnsi="Times New Roman" w:cs="Times New Roman"/>
          <w:color w:val="000000" w:themeColor="text1"/>
          <w:sz w:val="24"/>
          <w:szCs w:val="24"/>
          <w:highlight w:val="yellow"/>
        </w:rPr>
        <w:t>2,100</w:t>
      </w:r>
      <w:r w:rsidRPr="00581542">
        <w:rPr>
          <w:rFonts w:ascii="Times New Roman" w:hAnsi="Times New Roman" w:cs="Times New Roman"/>
          <w:color w:val="000000" w:themeColor="text1"/>
          <w:sz w:val="24"/>
          <w:szCs w:val="24"/>
        </w:rPr>
        <w:t xml:space="preserve"> submissions per year that are not </w:t>
      </w:r>
      <w:r w:rsidRPr="00581542" w:rsidR="0013288D">
        <w:rPr>
          <w:rFonts w:ascii="Times New Roman" w:hAnsi="Times New Roman" w:cs="Times New Roman"/>
          <w:color w:val="000000" w:themeColor="text1"/>
          <w:sz w:val="24"/>
          <w:szCs w:val="24"/>
        </w:rPr>
        <w:t xml:space="preserve">subject to </w:t>
      </w:r>
      <w:r w:rsidRPr="00581542" w:rsidR="00684847">
        <w:rPr>
          <w:rFonts w:ascii="Times New Roman" w:hAnsi="Times New Roman" w:cs="Times New Roman"/>
          <w:color w:val="000000" w:themeColor="text1"/>
          <w:sz w:val="24"/>
          <w:szCs w:val="24"/>
        </w:rPr>
        <w:t>either</w:t>
      </w:r>
      <w:r w:rsidRPr="00581542" w:rsidR="0013288D">
        <w:rPr>
          <w:rFonts w:ascii="Times New Roman" w:hAnsi="Times New Roman" w:cs="Times New Roman"/>
          <w:color w:val="000000" w:themeColor="text1"/>
          <w:sz w:val="24"/>
          <w:szCs w:val="24"/>
        </w:rPr>
        <w:t xml:space="preserve"> mandatory </w:t>
      </w:r>
      <w:r w:rsidRPr="00581542" w:rsidR="00C20788">
        <w:rPr>
          <w:rFonts w:ascii="Times New Roman" w:hAnsi="Times New Roman" w:cs="Times New Roman"/>
          <w:color w:val="000000" w:themeColor="text1"/>
          <w:sz w:val="24"/>
          <w:szCs w:val="24"/>
        </w:rPr>
        <w:t>submission</w:t>
      </w:r>
      <w:r w:rsidRPr="00581542" w:rsidR="0013288D">
        <w:rPr>
          <w:rFonts w:ascii="Times New Roman" w:hAnsi="Times New Roman" w:cs="Times New Roman"/>
          <w:color w:val="000000" w:themeColor="text1"/>
          <w:sz w:val="24"/>
          <w:szCs w:val="24"/>
        </w:rPr>
        <w:t xml:space="preserve"> requirements </w:t>
      </w:r>
      <w:r w:rsidRPr="00581542" w:rsidR="00F77711">
        <w:rPr>
          <w:rFonts w:ascii="Times New Roman" w:hAnsi="Times New Roman" w:cs="Times New Roman"/>
          <w:color w:val="000000" w:themeColor="text1"/>
          <w:sz w:val="24"/>
          <w:szCs w:val="24"/>
        </w:rPr>
        <w:t xml:space="preserve">under </w:t>
      </w:r>
      <w:r w:rsidRPr="00581542" w:rsidR="00963C16">
        <w:rPr>
          <w:rFonts w:ascii="Times New Roman" w:hAnsi="Times New Roman" w:cs="Times New Roman"/>
          <w:color w:val="000000" w:themeColor="text1"/>
          <w:sz w:val="24"/>
          <w:szCs w:val="24"/>
        </w:rPr>
        <w:t xml:space="preserve">42 CFR Part 11 </w:t>
      </w:r>
      <w:r w:rsidRPr="00581542">
        <w:rPr>
          <w:rFonts w:ascii="Times New Roman" w:hAnsi="Times New Roman" w:cs="Times New Roman"/>
          <w:color w:val="000000" w:themeColor="text1"/>
          <w:sz w:val="24"/>
          <w:szCs w:val="24"/>
        </w:rPr>
        <w:t xml:space="preserve">or the NIH policy. We estimate that the time required to submit clinical trial results information for such clinical trials would be equivalent to that for </w:t>
      </w:r>
      <w:r w:rsidRPr="00581542" w:rsidR="0013288D">
        <w:rPr>
          <w:rFonts w:ascii="Times New Roman" w:hAnsi="Times New Roman" w:cs="Times New Roman"/>
          <w:color w:val="000000" w:themeColor="text1"/>
          <w:sz w:val="24"/>
          <w:szCs w:val="24"/>
        </w:rPr>
        <w:t xml:space="preserve">mandatory results information submission for </w:t>
      </w:r>
      <w:r w:rsidRPr="00581542">
        <w:rPr>
          <w:rFonts w:ascii="Times New Roman" w:hAnsi="Times New Roman" w:cs="Times New Roman"/>
          <w:color w:val="000000" w:themeColor="text1"/>
          <w:sz w:val="24"/>
          <w:szCs w:val="24"/>
        </w:rPr>
        <w:t xml:space="preserve">applicable clinical trials under </w:t>
      </w:r>
      <w:r w:rsidRPr="00581542" w:rsidR="0013288D">
        <w:rPr>
          <w:rFonts w:ascii="Times New Roman" w:hAnsi="Times New Roman" w:cs="Times New Roman"/>
          <w:color w:val="000000" w:themeColor="text1"/>
          <w:sz w:val="24"/>
          <w:szCs w:val="24"/>
        </w:rPr>
        <w:t>42 CFR 11.48</w:t>
      </w:r>
      <w:r w:rsidRPr="00581542" w:rsidR="009E321F">
        <w:rPr>
          <w:rFonts w:ascii="Times New Roman" w:hAnsi="Times New Roman" w:cs="Times New Roman"/>
          <w:color w:val="000000" w:themeColor="text1"/>
          <w:sz w:val="24"/>
          <w:szCs w:val="24"/>
        </w:rPr>
        <w:t>(a).</w:t>
      </w:r>
    </w:p>
    <w:p w:rsidR="009E321F" w:rsidRPr="00581542" w:rsidP="002533BB" w14:paraId="25057CC4" w14:textId="77777777">
      <w:pPr>
        <w:ind w:left="720"/>
        <w:contextualSpacing/>
        <w:rPr>
          <w:color w:val="000000" w:themeColor="text1"/>
        </w:rPr>
      </w:pPr>
    </w:p>
    <w:p w:rsidR="009E321F" w:rsidRPr="00581542" w:rsidP="002533BB" w14:paraId="5E902532" w14:textId="77777777">
      <w:pPr>
        <w:ind w:left="720"/>
        <w:contextualSpacing/>
        <w:rPr>
          <w:color w:val="000000" w:themeColor="text1"/>
        </w:rPr>
      </w:pPr>
      <w:r w:rsidRPr="00581542">
        <w:rPr>
          <w:b/>
          <w:color w:val="000000" w:themeColor="text1"/>
        </w:rPr>
        <w:t>Triggered Submissions Following Voluntary Submissions</w:t>
      </w:r>
    </w:p>
    <w:p w:rsidR="009E321F" w:rsidRPr="00581542" w:rsidP="002533BB" w14:paraId="5AEFDFA1" w14:textId="77777777">
      <w:pPr>
        <w:ind w:left="720"/>
        <w:contextualSpacing/>
        <w:rPr>
          <w:color w:val="000000" w:themeColor="text1"/>
        </w:rPr>
      </w:pPr>
    </w:p>
    <w:p w:rsidR="009E321F" w:rsidRPr="00581542" w:rsidP="002533BB" w14:paraId="3F6315FB" w14:textId="4FC5EBC6">
      <w:pPr>
        <w:ind w:left="720"/>
        <w:contextualSpacing/>
        <w:rPr>
          <w:color w:val="000000" w:themeColor="text1"/>
        </w:rPr>
      </w:pPr>
      <w:r w:rsidRPr="00581542">
        <w:rPr>
          <w:color w:val="000000" w:themeColor="text1"/>
        </w:rPr>
        <w:t>As discussed under the “Reg</w:t>
      </w:r>
      <w:r w:rsidRPr="00581542" w:rsidR="00F77711">
        <w:rPr>
          <w:color w:val="000000" w:themeColor="text1"/>
        </w:rPr>
        <w:t>istra</w:t>
      </w:r>
      <w:r w:rsidRPr="00581542">
        <w:rPr>
          <w:color w:val="000000" w:themeColor="text1"/>
        </w:rPr>
        <w:t>tion</w:t>
      </w:r>
      <w:r w:rsidRPr="00581542" w:rsidR="006164B0">
        <w:rPr>
          <w:color w:val="000000" w:themeColor="text1"/>
        </w:rPr>
        <w:t>: Initial Submissions</w:t>
      </w:r>
      <w:r w:rsidRPr="00581542">
        <w:rPr>
          <w:color w:val="000000" w:themeColor="text1"/>
        </w:rPr>
        <w:t xml:space="preserve"> and Updates” subsection (above), </w:t>
      </w:r>
      <w:r w:rsidRPr="00581542" w:rsidR="0019211D">
        <w:rPr>
          <w:color w:val="000000" w:themeColor="text1"/>
        </w:rPr>
        <w:t xml:space="preserve">based on experience, we </w:t>
      </w:r>
      <w:r w:rsidRPr="00581542">
        <w:rPr>
          <w:color w:val="000000" w:themeColor="text1"/>
        </w:rPr>
        <w:t xml:space="preserve">estimate that </w:t>
      </w:r>
      <w:r w:rsidRPr="006C7247" w:rsidR="00D8453D">
        <w:rPr>
          <w:color w:val="000000" w:themeColor="text1"/>
          <w:highlight w:val="yellow"/>
        </w:rPr>
        <w:t>61</w:t>
      </w:r>
      <w:r w:rsidRPr="00581542" w:rsidR="00D8453D">
        <w:rPr>
          <w:color w:val="000000" w:themeColor="text1"/>
        </w:rPr>
        <w:t xml:space="preserve"> </w:t>
      </w:r>
      <w:r w:rsidRPr="00581542" w:rsidR="002625B8">
        <w:rPr>
          <w:color w:val="000000" w:themeColor="text1"/>
        </w:rPr>
        <w:t>trials per year (</w:t>
      </w:r>
      <w:r w:rsidRPr="006C7247">
        <w:rPr>
          <w:color w:val="000000" w:themeColor="text1"/>
          <w:highlight w:val="yellow"/>
        </w:rPr>
        <w:t xml:space="preserve">a quarter of the </w:t>
      </w:r>
      <w:r w:rsidRPr="006C7247" w:rsidR="00D8453D">
        <w:rPr>
          <w:color w:val="000000" w:themeColor="text1"/>
          <w:highlight w:val="yellow"/>
        </w:rPr>
        <w:t xml:space="preserve">243 </w:t>
      </w:r>
      <w:r w:rsidRPr="006C7247">
        <w:rPr>
          <w:color w:val="000000" w:themeColor="text1"/>
          <w:highlight w:val="yellow"/>
        </w:rPr>
        <w:t xml:space="preserve">clinical trials </w:t>
      </w:r>
      <w:r w:rsidRPr="006C7247" w:rsidR="0019211D">
        <w:rPr>
          <w:color w:val="000000" w:themeColor="text1"/>
          <w:highlight w:val="yellow"/>
        </w:rPr>
        <w:t xml:space="preserve">submitted to ClinicalTrials.gov </w:t>
      </w:r>
      <w:r w:rsidRPr="006C7247">
        <w:rPr>
          <w:color w:val="000000" w:themeColor="text1"/>
          <w:highlight w:val="yellow"/>
        </w:rPr>
        <w:t>per year</w:t>
      </w:r>
      <w:r w:rsidRPr="00581542" w:rsidR="002625B8">
        <w:rPr>
          <w:color w:val="000000" w:themeColor="text1"/>
        </w:rPr>
        <w:t>)</w:t>
      </w:r>
      <w:r w:rsidRPr="00581542">
        <w:rPr>
          <w:color w:val="000000" w:themeColor="text1"/>
        </w:rPr>
        <w:t xml:space="preserve"> </w:t>
      </w:r>
      <w:r w:rsidRPr="00581542" w:rsidR="0019211D">
        <w:rPr>
          <w:color w:val="000000" w:themeColor="text1"/>
        </w:rPr>
        <w:t xml:space="preserve">could trigger the submission of clinical trial information for an applicable clinical trial for which clinical trial information was not otherwise required to be submitted to ClinicalTrials.gov. Additionally, </w:t>
      </w:r>
      <w:r w:rsidRPr="00581542" w:rsidR="00F77711">
        <w:rPr>
          <w:color w:val="000000" w:themeColor="text1"/>
        </w:rPr>
        <w:t xml:space="preserve">we </w:t>
      </w:r>
      <w:r w:rsidRPr="00581542" w:rsidR="0019211D">
        <w:rPr>
          <w:color w:val="000000" w:themeColor="text1"/>
        </w:rPr>
        <w:t xml:space="preserve">estimate that the hourly burden would equal the 40 hours estimated for results information </w:t>
      </w:r>
      <w:r w:rsidRPr="00581542" w:rsidR="0019211D">
        <w:rPr>
          <w:color w:val="000000" w:themeColor="text1"/>
        </w:rPr>
        <w:t>submission for other applicable clinical trials plus 5 hours to account for the additional data elements that are specified in 42 CFR 11.60(b)(2)(i)(B) and (c)(2)(i)(B).</w:t>
      </w:r>
    </w:p>
    <w:p w:rsidR="00E15590" w:rsidRPr="00581542" w:rsidP="002533BB" w14:paraId="574F06A3" w14:textId="4220F44E">
      <w:pPr>
        <w:ind w:left="720"/>
        <w:contextualSpacing/>
        <w:rPr>
          <w:color w:val="000000" w:themeColor="text1"/>
        </w:rPr>
      </w:pPr>
    </w:p>
    <w:p w:rsidR="00302D41" w:rsidRPr="00581542" w:rsidP="002533BB" w14:paraId="0DBE8DDC" w14:textId="77777777">
      <w:pPr>
        <w:ind w:left="720"/>
        <w:contextualSpacing/>
        <w:rPr>
          <w:b/>
          <w:i/>
          <w:color w:val="000000" w:themeColor="text1"/>
        </w:rPr>
      </w:pPr>
      <w:r w:rsidRPr="00581542">
        <w:rPr>
          <w:b/>
          <w:i/>
          <w:color w:val="000000" w:themeColor="text1"/>
        </w:rPr>
        <w:t>Delayed Submission of Results via Certification or an Extension Request</w:t>
      </w:r>
    </w:p>
    <w:p w:rsidR="00F56936" w:rsidRPr="00581542" w:rsidP="002533BB" w14:paraId="6254E0F3" w14:textId="77777777">
      <w:pPr>
        <w:ind w:left="720"/>
        <w:contextualSpacing/>
        <w:rPr>
          <w:color w:val="000000" w:themeColor="text1"/>
        </w:rPr>
      </w:pPr>
    </w:p>
    <w:p w:rsidR="00302D41" w:rsidRPr="00581542" w:rsidP="002533BB" w14:paraId="6D46B4AC" w14:textId="44922E3F">
      <w:pPr>
        <w:ind w:left="720"/>
        <w:contextualSpacing/>
        <w:rPr>
          <w:color w:val="000000" w:themeColor="text1"/>
        </w:rPr>
      </w:pPr>
      <w:r w:rsidRPr="00581542">
        <w:rPr>
          <w:color w:val="000000" w:themeColor="text1"/>
        </w:rPr>
        <w:t xml:space="preserve">We also have estimated the average time and cost associated with the submission of certifications and extension requests to delay results information submission, consistent with </w:t>
      </w:r>
      <w:r w:rsidRPr="00581542" w:rsidR="004E4102">
        <w:rPr>
          <w:rFonts w:eastAsia="Calibri"/>
          <w:color w:val="000000" w:themeColor="text1"/>
          <w:bdr w:val="none" w:sz="0" w:space="0" w:color="auto" w:frame="1"/>
        </w:rPr>
        <w:t xml:space="preserve">42 CFR </w:t>
      </w:r>
      <w:r w:rsidRPr="00581542">
        <w:rPr>
          <w:color w:val="000000" w:themeColor="text1"/>
        </w:rPr>
        <w:t xml:space="preserve">11.44(b), (c), and (e). Responsible parties for applicable clinical trials may submit a certification to delay results information submission for an applicable clinical trial provided that initial approval, licensure, or clearance or approval, licensure, or clearance of a new use is </w:t>
      </w:r>
      <w:r w:rsidRPr="00581542" w:rsidR="008E71C9">
        <w:rPr>
          <w:color w:val="000000" w:themeColor="text1"/>
        </w:rPr>
        <w:t xml:space="preserve">or will be </w:t>
      </w:r>
      <w:r w:rsidRPr="00581542">
        <w:rPr>
          <w:color w:val="000000" w:themeColor="text1"/>
        </w:rPr>
        <w:t xml:space="preserve">sought. We estimate that the number of clinical trials that will qualify for delayed submission of results </w:t>
      </w:r>
      <w:r w:rsidRPr="00581542">
        <w:rPr>
          <w:color w:val="000000" w:themeColor="text1"/>
        </w:rPr>
        <w:t>in a given year</w:t>
      </w:r>
      <w:r w:rsidRPr="00581542">
        <w:rPr>
          <w:color w:val="000000" w:themeColor="text1"/>
        </w:rPr>
        <w:t xml:space="preserve"> will not exceed the estimated number of newly initiated applicable clinical trials per year that are conducted under an IND or IDE. Such clinical trials study drug products (including biological products) and device products that are unapproved, unlicensed, or uncleared or that are already approved, licensed, or cleared for one use</w:t>
      </w:r>
      <w:r w:rsidRPr="00581542" w:rsidR="008E71C9">
        <w:rPr>
          <w:color w:val="000000" w:themeColor="text1"/>
        </w:rPr>
        <w:t>,</w:t>
      </w:r>
      <w:r w:rsidRPr="00581542">
        <w:rPr>
          <w:color w:val="000000" w:themeColor="text1"/>
        </w:rPr>
        <w:t xml:space="preserve"> but </w:t>
      </w:r>
      <w:r w:rsidRPr="00581542" w:rsidR="008E71C9">
        <w:rPr>
          <w:color w:val="000000" w:themeColor="text1"/>
        </w:rPr>
        <w:t xml:space="preserve">for which </w:t>
      </w:r>
      <w:r w:rsidRPr="00581542">
        <w:rPr>
          <w:color w:val="000000" w:themeColor="text1"/>
        </w:rPr>
        <w:t>approval, licensure, or clearance of a new use</w:t>
      </w:r>
      <w:r w:rsidRPr="00581542" w:rsidR="008E71C9">
        <w:rPr>
          <w:color w:val="000000" w:themeColor="text1"/>
        </w:rPr>
        <w:t xml:space="preserve"> is or will be sought</w:t>
      </w:r>
      <w:r w:rsidRPr="00581542">
        <w:rPr>
          <w:color w:val="000000" w:themeColor="text1"/>
        </w:rPr>
        <w:t xml:space="preserve">. While some responsible parties might elect to submit clinical trial results information 1 year after the primary completion date instead of certifying for delayed submission, for purposes of this estimate, we assume that they all will elect to submit a certification to delay results information submission. Using the same FDA </w:t>
      </w:r>
      <w:r w:rsidRPr="00581542" w:rsidR="00E91E55">
        <w:rPr>
          <w:color w:val="000000" w:themeColor="text1"/>
        </w:rPr>
        <w:t>data,</w:t>
      </w:r>
      <w:r w:rsidRPr="00581542">
        <w:rPr>
          <w:color w:val="000000" w:themeColor="text1"/>
        </w:rPr>
        <w:t xml:space="preserve"> we used to estimate the number of applicable clinical trials subject to the registration requirements </w:t>
      </w:r>
      <w:r w:rsidRPr="00581542" w:rsidR="00F77711">
        <w:rPr>
          <w:color w:val="000000" w:themeColor="text1"/>
        </w:rPr>
        <w:t>under the “Registration</w:t>
      </w:r>
      <w:r w:rsidRPr="00581542" w:rsidR="000C250C">
        <w:rPr>
          <w:color w:val="000000" w:themeColor="text1"/>
        </w:rPr>
        <w:t>: Initial Submissions</w:t>
      </w:r>
      <w:r w:rsidRPr="00581542" w:rsidR="00F77711">
        <w:rPr>
          <w:color w:val="000000" w:themeColor="text1"/>
        </w:rPr>
        <w:t xml:space="preserve"> and Updates” subsection (above)</w:t>
      </w:r>
      <w:r w:rsidRPr="00581542">
        <w:rPr>
          <w:color w:val="000000" w:themeColor="text1"/>
        </w:rPr>
        <w:t xml:space="preserve">, we estimate that certifications will be submitted for 5,150 trials per year. We estimate that it will take no more than 30 minutes for a responsible party to determine that an applicable clinical trial is eligible for a certification (and to verify the eligibility with a sponsor or manufacturer, if necessary) and to submit the necessary information to ClinicalTrials.gov. Using this figure produces an estimated annual hour burden of 2,575 hours for certifications.  </w:t>
      </w:r>
    </w:p>
    <w:p w:rsidR="00642411" w:rsidRPr="00581542" w:rsidP="002533BB" w14:paraId="4C8E27FD" w14:textId="77777777">
      <w:pPr>
        <w:ind w:left="720"/>
        <w:contextualSpacing/>
        <w:rPr>
          <w:color w:val="000000" w:themeColor="text1"/>
        </w:rPr>
      </w:pPr>
    </w:p>
    <w:p w:rsidR="00302D41" w:rsidRPr="00581542" w:rsidP="002533BB" w14:paraId="04A0F858" w14:textId="3FD5FC5C">
      <w:pPr>
        <w:ind w:left="720"/>
        <w:contextualSpacing/>
        <w:rPr>
          <w:color w:val="000000" w:themeColor="text1"/>
        </w:rPr>
      </w:pPr>
      <w:bookmarkStart w:id="3" w:name="_Hlk203643300"/>
      <w:r w:rsidRPr="00581542">
        <w:rPr>
          <w:color w:val="000000" w:themeColor="text1"/>
        </w:rPr>
        <w:t xml:space="preserve">Regarding extension requests for good cause, we estimate that approximately </w:t>
      </w:r>
      <w:r w:rsidRPr="006C7247" w:rsidR="00B94543">
        <w:rPr>
          <w:color w:val="000000" w:themeColor="text1"/>
          <w:highlight w:val="yellow"/>
        </w:rPr>
        <w:t>150</w:t>
      </w:r>
      <w:r w:rsidRPr="00581542" w:rsidR="00857FEA">
        <w:rPr>
          <w:color w:val="000000" w:themeColor="text1"/>
        </w:rPr>
        <w:t xml:space="preserve"> </w:t>
      </w:r>
      <w:r w:rsidRPr="00581542">
        <w:rPr>
          <w:color w:val="000000" w:themeColor="text1"/>
        </w:rPr>
        <w:t>requests will be submitted each year</w:t>
      </w:r>
      <w:r w:rsidRPr="00581542" w:rsidR="0076122C">
        <w:rPr>
          <w:color w:val="000000" w:themeColor="text1"/>
        </w:rPr>
        <w:t xml:space="preserve">, which represents </w:t>
      </w:r>
      <w:r w:rsidRPr="006C7247" w:rsidR="000837E0">
        <w:rPr>
          <w:color w:val="000000" w:themeColor="text1"/>
          <w:highlight w:val="yellow"/>
        </w:rPr>
        <w:t>2.0</w:t>
      </w:r>
      <w:r w:rsidRPr="00581542" w:rsidR="00A375FA">
        <w:rPr>
          <w:color w:val="000000" w:themeColor="text1"/>
        </w:rPr>
        <w:t xml:space="preserve"> percent of all applicable clinical trials for which </w:t>
      </w:r>
      <w:r w:rsidRPr="00581542" w:rsidR="00A375FA">
        <w:rPr>
          <w:color w:val="000000" w:themeColor="text1"/>
        </w:rPr>
        <w:t>clinical trial</w:t>
      </w:r>
      <w:r w:rsidRPr="00581542" w:rsidR="00A375FA">
        <w:rPr>
          <w:color w:val="000000" w:themeColor="text1"/>
        </w:rPr>
        <w:t xml:space="preserve"> results information is to be submitted </w:t>
      </w:r>
      <w:r w:rsidRPr="00581542" w:rsidR="00A375FA">
        <w:rPr>
          <w:color w:val="000000" w:themeColor="text1"/>
        </w:rPr>
        <w:t>in a given year</w:t>
      </w:r>
      <w:r w:rsidRPr="00581542" w:rsidR="00A375FA">
        <w:rPr>
          <w:color w:val="000000" w:themeColor="text1"/>
        </w:rPr>
        <w:t xml:space="preserve"> (i.e., </w:t>
      </w:r>
      <w:r w:rsidRPr="006C7247" w:rsidR="00857FEA">
        <w:rPr>
          <w:color w:val="000000" w:themeColor="text1"/>
          <w:highlight w:val="yellow"/>
        </w:rPr>
        <w:t>1</w:t>
      </w:r>
      <w:r w:rsidRPr="006C7247" w:rsidR="00B94543">
        <w:rPr>
          <w:color w:val="000000" w:themeColor="text1"/>
          <w:highlight w:val="yellow"/>
        </w:rPr>
        <w:t>50</w:t>
      </w:r>
      <w:r w:rsidRPr="00581542" w:rsidR="00857FEA">
        <w:rPr>
          <w:color w:val="000000" w:themeColor="text1"/>
        </w:rPr>
        <w:t xml:space="preserve"> </w:t>
      </w:r>
      <w:r w:rsidRPr="00581542" w:rsidR="00A375FA">
        <w:rPr>
          <w:color w:val="000000" w:themeColor="text1"/>
        </w:rPr>
        <w:t>out of 7,400)</w:t>
      </w:r>
      <w:r w:rsidRPr="00581542">
        <w:rPr>
          <w:color w:val="000000" w:themeColor="text1"/>
        </w:rPr>
        <w:t xml:space="preserve">. </w:t>
      </w:r>
      <w:r w:rsidRPr="00E9260F">
        <w:rPr>
          <w:color w:val="000000" w:themeColor="text1"/>
          <w:highlight w:val="yellow"/>
        </w:rPr>
        <w:t xml:space="preserve">This estimate is based on several considerations, including the rate of submission of requests between </w:t>
      </w:r>
      <w:r w:rsidRPr="00E9260F" w:rsidR="00860C0B">
        <w:rPr>
          <w:color w:val="000000" w:themeColor="text1"/>
          <w:highlight w:val="yellow"/>
        </w:rPr>
        <w:t xml:space="preserve">July 1, </w:t>
      </w:r>
      <w:r w:rsidRPr="00E9260F" w:rsidR="00860C0B">
        <w:rPr>
          <w:color w:val="000000" w:themeColor="text1"/>
          <w:highlight w:val="yellow"/>
        </w:rPr>
        <w:t>2024</w:t>
      </w:r>
      <w:r w:rsidRPr="00E9260F" w:rsidR="00860C0B">
        <w:rPr>
          <w:color w:val="000000" w:themeColor="text1"/>
          <w:highlight w:val="yellow"/>
        </w:rPr>
        <w:t xml:space="preserve"> </w:t>
      </w:r>
      <w:r w:rsidRPr="00E9260F">
        <w:rPr>
          <w:color w:val="000000" w:themeColor="text1"/>
          <w:highlight w:val="yellow"/>
        </w:rPr>
        <w:t xml:space="preserve">and </w:t>
      </w:r>
      <w:r w:rsidRPr="00E9260F" w:rsidR="00860C0B">
        <w:rPr>
          <w:color w:val="000000" w:themeColor="text1"/>
          <w:highlight w:val="yellow"/>
        </w:rPr>
        <w:t>June 30, 2025</w:t>
      </w:r>
      <w:r w:rsidRPr="00E9260F">
        <w:rPr>
          <w:color w:val="000000" w:themeColor="text1"/>
          <w:highlight w:val="yellow"/>
        </w:rPr>
        <w:t>.</w:t>
      </w:r>
      <w:r w:rsidRPr="00581542">
        <w:rPr>
          <w:color w:val="000000" w:themeColor="text1"/>
        </w:rPr>
        <w:t xml:space="preserve"> </w:t>
      </w:r>
      <w:r w:rsidRPr="006C7247">
        <w:rPr>
          <w:color w:val="000000" w:themeColor="text1"/>
          <w:highlight w:val="yellow"/>
        </w:rPr>
        <w:t xml:space="preserve">A total of </w:t>
      </w:r>
      <w:r w:rsidRPr="006C7247" w:rsidR="00860C0B">
        <w:rPr>
          <w:color w:val="000000" w:themeColor="text1"/>
          <w:highlight w:val="yellow"/>
        </w:rPr>
        <w:t>143</w:t>
      </w:r>
      <w:r w:rsidRPr="006C7247">
        <w:rPr>
          <w:color w:val="000000" w:themeColor="text1"/>
          <w:highlight w:val="yellow"/>
        </w:rPr>
        <w:t xml:space="preserve"> requests were submitted during </w:t>
      </w:r>
      <w:r w:rsidRPr="006C7247" w:rsidR="00860C0B">
        <w:rPr>
          <w:color w:val="000000" w:themeColor="text1"/>
          <w:highlight w:val="yellow"/>
        </w:rPr>
        <w:t xml:space="preserve">the </w:t>
      </w:r>
      <w:r w:rsidRPr="006C7247" w:rsidR="000837E0">
        <w:rPr>
          <w:color w:val="000000" w:themeColor="text1"/>
          <w:highlight w:val="yellow"/>
        </w:rPr>
        <w:t>1-year</w:t>
      </w:r>
      <w:r w:rsidRPr="006C7247" w:rsidR="00860C0B">
        <w:rPr>
          <w:color w:val="000000" w:themeColor="text1"/>
          <w:highlight w:val="yellow"/>
        </w:rPr>
        <w:t xml:space="preserve"> period</w:t>
      </w:r>
      <w:r w:rsidRPr="006C7247">
        <w:rPr>
          <w:color w:val="000000" w:themeColor="text1"/>
          <w:highlight w:val="yellow"/>
        </w:rPr>
        <w:t>.</w:t>
      </w:r>
    </w:p>
    <w:bookmarkEnd w:id="3"/>
    <w:p w:rsidR="00302D41" w:rsidRPr="00581542" w:rsidP="002533BB" w14:paraId="2E63FCDF" w14:textId="77777777">
      <w:pPr>
        <w:ind w:left="720"/>
        <w:contextualSpacing/>
        <w:rPr>
          <w:color w:val="000000" w:themeColor="text1"/>
        </w:rPr>
      </w:pPr>
    </w:p>
    <w:p w:rsidR="00302D41" w:rsidRPr="00581542" w:rsidP="002533BB" w14:paraId="4CE8B3A1" w14:textId="43D54798">
      <w:pPr>
        <w:ind w:left="720"/>
        <w:contextualSpacing/>
        <w:rPr>
          <w:color w:val="000000" w:themeColor="text1"/>
        </w:rPr>
      </w:pPr>
      <w:r w:rsidRPr="00581542">
        <w:rPr>
          <w:color w:val="000000" w:themeColor="text1"/>
        </w:rPr>
        <w:t xml:space="preserve">While responsible parties may request an extension even after they have filed a </w:t>
      </w:r>
      <w:r w:rsidRPr="00581542">
        <w:rPr>
          <w:color w:val="000000" w:themeColor="text1"/>
        </w:rPr>
        <w:t>certification</w:t>
      </w:r>
      <w:r w:rsidRPr="00581542">
        <w:rPr>
          <w:color w:val="000000" w:themeColor="text1"/>
        </w:rPr>
        <w:t>, we do not expect this to happen frequently. Moreover, as explained in Section IV.C.3</w:t>
      </w:r>
      <w:r w:rsidRPr="00581542" w:rsidR="009B0A48">
        <w:rPr>
          <w:color w:val="000000" w:themeColor="text1"/>
        </w:rPr>
        <w:t>.</w:t>
      </w:r>
      <w:r w:rsidRPr="00581542">
        <w:rPr>
          <w:color w:val="000000" w:themeColor="text1"/>
        </w:rPr>
        <w:t xml:space="preserve"> </w:t>
      </w:r>
      <w:r w:rsidRPr="00581542" w:rsidR="00F76328">
        <w:rPr>
          <w:color w:val="000000" w:themeColor="text1"/>
        </w:rPr>
        <w:t>of the final</w:t>
      </w:r>
      <w:r w:rsidRPr="00581542" w:rsidR="009B0A48">
        <w:rPr>
          <w:color w:val="000000" w:themeColor="text1"/>
        </w:rPr>
        <w:t xml:space="preserve"> rule</w:t>
      </w:r>
      <w:r w:rsidRPr="00581542" w:rsidR="00101DC3">
        <w:rPr>
          <w:color w:val="000000" w:themeColor="text1"/>
        </w:rPr>
        <w:t xml:space="preserve"> (starting on 81 FR 65066, Sep 21, 2016)</w:t>
      </w:r>
      <w:r w:rsidRPr="00581542">
        <w:rPr>
          <w:color w:val="000000" w:themeColor="text1"/>
        </w:rPr>
        <w:t xml:space="preserve">, we expect that extensions will be granted in only a limited set of circumstances where “good cause” has been demonstrated. In cases where an extension request is denied, the </w:t>
      </w:r>
      <w:r w:rsidRPr="00581542">
        <w:rPr>
          <w:color w:val="000000" w:themeColor="text1"/>
        </w:rPr>
        <w:t>responsible party</w:t>
      </w:r>
      <w:r w:rsidRPr="00581542">
        <w:rPr>
          <w:color w:val="000000" w:themeColor="text1"/>
        </w:rPr>
        <w:t xml:space="preserve"> will have the opportunity to appeal the denial. </w:t>
      </w:r>
      <w:r w:rsidRPr="006C7247" w:rsidR="672262EE">
        <w:rPr>
          <w:color w:val="000000" w:themeColor="text1"/>
          <w:highlight w:val="yellow"/>
        </w:rPr>
        <w:t xml:space="preserve">A total of 23 appeals were submitted during the </w:t>
      </w:r>
      <w:r w:rsidRPr="006C7247" w:rsidR="00B63652">
        <w:rPr>
          <w:color w:val="000000" w:themeColor="text1"/>
          <w:highlight w:val="yellow"/>
        </w:rPr>
        <w:t xml:space="preserve">same </w:t>
      </w:r>
      <w:r w:rsidRPr="006C7247" w:rsidR="0002148A">
        <w:rPr>
          <w:color w:val="000000" w:themeColor="text1"/>
          <w:highlight w:val="yellow"/>
        </w:rPr>
        <w:t>1-year</w:t>
      </w:r>
      <w:r w:rsidRPr="006C7247" w:rsidR="672262EE">
        <w:rPr>
          <w:color w:val="000000" w:themeColor="text1"/>
          <w:highlight w:val="yellow"/>
        </w:rPr>
        <w:t xml:space="preserve"> period</w:t>
      </w:r>
      <w:r w:rsidRPr="006C7247" w:rsidR="00182F72">
        <w:rPr>
          <w:color w:val="000000" w:themeColor="text1"/>
          <w:highlight w:val="yellow"/>
        </w:rPr>
        <w:t xml:space="preserve"> (</w:t>
      </w:r>
      <w:r w:rsidRPr="006C7247" w:rsidR="00FE1734">
        <w:rPr>
          <w:color w:val="000000" w:themeColor="text1"/>
          <w:highlight w:val="yellow"/>
        </w:rPr>
        <w:t xml:space="preserve">between July 1, </w:t>
      </w:r>
      <w:r w:rsidRPr="006C7247" w:rsidR="00FE1734">
        <w:rPr>
          <w:color w:val="000000" w:themeColor="text1"/>
          <w:highlight w:val="yellow"/>
        </w:rPr>
        <w:t>2024</w:t>
      </w:r>
      <w:r w:rsidRPr="006C7247" w:rsidR="00FE1734">
        <w:rPr>
          <w:color w:val="000000" w:themeColor="text1"/>
          <w:highlight w:val="yellow"/>
        </w:rPr>
        <w:t xml:space="preserve"> and June 30, 2025)</w:t>
      </w:r>
      <w:r w:rsidRPr="006C7247" w:rsidR="672262EE">
        <w:rPr>
          <w:color w:val="000000" w:themeColor="text1"/>
          <w:highlight w:val="yellow"/>
        </w:rPr>
        <w:t xml:space="preserve">. Therefore, </w:t>
      </w:r>
      <w:r w:rsidRPr="006C7247">
        <w:rPr>
          <w:color w:val="000000" w:themeColor="text1"/>
          <w:highlight w:val="yellow"/>
        </w:rPr>
        <w:t xml:space="preserve">we </w:t>
      </w:r>
      <w:r w:rsidRPr="006C7247" w:rsidR="560BFA70">
        <w:rPr>
          <w:color w:val="000000" w:themeColor="text1"/>
          <w:highlight w:val="yellow"/>
        </w:rPr>
        <w:t xml:space="preserve">will estimate </w:t>
      </w:r>
      <w:r w:rsidRPr="006C7247" w:rsidR="00857FEA">
        <w:rPr>
          <w:color w:val="000000" w:themeColor="text1"/>
          <w:highlight w:val="yellow"/>
        </w:rPr>
        <w:t xml:space="preserve">approximately </w:t>
      </w:r>
      <w:r w:rsidRPr="006C7247" w:rsidR="7B900E09">
        <w:rPr>
          <w:color w:val="000000" w:themeColor="text1"/>
          <w:highlight w:val="yellow"/>
        </w:rPr>
        <w:t>25</w:t>
      </w:r>
      <w:r w:rsidRPr="006C7247" w:rsidR="00857FEA">
        <w:rPr>
          <w:color w:val="000000" w:themeColor="text1"/>
          <w:highlight w:val="yellow"/>
        </w:rPr>
        <w:t xml:space="preserve"> </w:t>
      </w:r>
      <w:r w:rsidRPr="006C7247">
        <w:rPr>
          <w:color w:val="000000" w:themeColor="text1"/>
          <w:highlight w:val="yellow"/>
        </w:rPr>
        <w:t>appeals per year.</w:t>
      </w:r>
    </w:p>
    <w:p w:rsidR="00302D41" w:rsidRPr="00581542" w:rsidP="002533BB" w14:paraId="163FFF4F" w14:textId="77777777">
      <w:pPr>
        <w:ind w:left="720"/>
        <w:contextualSpacing/>
        <w:rPr>
          <w:color w:val="000000" w:themeColor="text1"/>
        </w:rPr>
      </w:pPr>
    </w:p>
    <w:p w:rsidR="00302D41" w:rsidRPr="00581542" w:rsidP="002533BB" w14:paraId="303228AE" w14:textId="1191F0E3">
      <w:pPr>
        <w:ind w:left="720"/>
        <w:contextualSpacing/>
        <w:rPr>
          <w:color w:val="000000" w:themeColor="text1"/>
        </w:rPr>
      </w:pPr>
      <w:r w:rsidRPr="00581542">
        <w:rPr>
          <w:color w:val="000000" w:themeColor="text1"/>
        </w:rPr>
        <w:t xml:space="preserve">We estimate the time required for gathering the information for a good-cause extension request or appeal and submitting it to ClinicalTrials.gov will be no more than 2 hours. </w:t>
      </w:r>
      <w:r w:rsidRPr="00581542">
        <w:rPr>
          <w:color w:val="000000" w:themeColor="text1"/>
        </w:rPr>
        <w:t xml:space="preserve">Using this figure, we estimate that the annualized hourly burden for extension requests and appeals will be </w:t>
      </w:r>
      <w:r w:rsidRPr="006C7247" w:rsidR="000E3A57">
        <w:rPr>
          <w:color w:val="000000" w:themeColor="text1"/>
          <w:highlight w:val="yellow"/>
        </w:rPr>
        <w:t>350</w:t>
      </w:r>
      <w:r w:rsidRPr="00581542" w:rsidR="000E3A57">
        <w:rPr>
          <w:color w:val="000000" w:themeColor="text1"/>
        </w:rPr>
        <w:t xml:space="preserve"> </w:t>
      </w:r>
      <w:r w:rsidRPr="00581542">
        <w:rPr>
          <w:color w:val="000000" w:themeColor="text1"/>
        </w:rPr>
        <w:t>hours.</w:t>
      </w:r>
    </w:p>
    <w:p w:rsidR="00302D41" w:rsidRPr="00581542" w:rsidP="003320A8" w14:paraId="0F4F70C8" w14:textId="77777777">
      <w:pPr>
        <w:shd w:val="clear" w:color="auto" w:fill="FFFFFF" w:themeFill="background1"/>
        <w:ind w:left="720"/>
        <w:contextualSpacing/>
        <w:rPr>
          <w:color w:val="000000" w:themeColor="text1"/>
        </w:rPr>
      </w:pPr>
    </w:p>
    <w:p w:rsidR="004B0792" w:rsidRPr="006C7247" w:rsidP="003320A8" w14:paraId="501FE22B" w14:textId="77777777">
      <w:pPr>
        <w:shd w:val="clear" w:color="auto" w:fill="FFFFFF" w:themeFill="background1"/>
        <w:ind w:left="720"/>
        <w:contextualSpacing/>
        <w:rPr>
          <w:color w:val="000000" w:themeColor="text1"/>
          <w:highlight w:val="yellow"/>
        </w:rPr>
      </w:pPr>
      <w:r w:rsidRPr="006C7247">
        <w:rPr>
          <w:color w:val="000000" w:themeColor="text1"/>
          <w:highlight w:val="yellow"/>
        </w:rPr>
        <w:t xml:space="preserve">We note under </w:t>
      </w:r>
      <w:r w:rsidRPr="006C7247" w:rsidR="004E4102">
        <w:rPr>
          <w:rFonts w:eastAsia="Calibri"/>
          <w:color w:val="000000" w:themeColor="text1"/>
          <w:highlight w:val="yellow"/>
          <w:bdr w:val="none" w:sz="0" w:space="0" w:color="auto" w:frame="1"/>
        </w:rPr>
        <w:t xml:space="preserve">42 CFR </w:t>
      </w:r>
      <w:r w:rsidRPr="006C7247">
        <w:rPr>
          <w:color w:val="000000" w:themeColor="text1"/>
          <w:highlight w:val="yellow"/>
        </w:rPr>
        <w:t xml:space="preserve">11.54, responsible parties may also seek a waiver from any applicable </w:t>
      </w:r>
      <w:r w:rsidRPr="006C7247" w:rsidR="004B1C1D">
        <w:rPr>
          <w:color w:val="000000" w:themeColor="text1"/>
          <w:highlight w:val="yellow"/>
        </w:rPr>
        <w:t xml:space="preserve">results information submission </w:t>
      </w:r>
      <w:r w:rsidRPr="006C7247">
        <w:rPr>
          <w:color w:val="000000" w:themeColor="text1"/>
          <w:highlight w:val="yellow"/>
        </w:rPr>
        <w:t xml:space="preserve">requirement </w:t>
      </w:r>
      <w:r w:rsidRPr="006C7247" w:rsidR="0982518E">
        <w:rPr>
          <w:color w:val="000000" w:themeColor="text1"/>
          <w:highlight w:val="yellow"/>
        </w:rPr>
        <w:t xml:space="preserve">specified in </w:t>
      </w:r>
      <w:r w:rsidRPr="006C7247" w:rsidR="004B1C1D">
        <w:rPr>
          <w:color w:val="000000" w:themeColor="text1"/>
          <w:highlight w:val="yellow"/>
        </w:rPr>
        <w:t>42 CFR Part 11</w:t>
      </w:r>
      <w:r w:rsidRPr="006C7247" w:rsidR="681089FC">
        <w:rPr>
          <w:color w:val="000000" w:themeColor="text1"/>
          <w:highlight w:val="yellow"/>
        </w:rPr>
        <w:t>, Subpart C</w:t>
      </w:r>
      <w:r w:rsidRPr="006C7247" w:rsidR="009A1B99">
        <w:rPr>
          <w:color w:val="000000" w:themeColor="text1"/>
          <w:highlight w:val="yellow"/>
        </w:rPr>
        <w:t>,</w:t>
      </w:r>
      <w:r w:rsidRPr="006C7247" w:rsidR="49677ECD">
        <w:rPr>
          <w:color w:val="000000" w:themeColor="text1"/>
          <w:highlight w:val="yellow"/>
        </w:rPr>
        <w:t xml:space="preserve"> for applicable clinical trials</w:t>
      </w:r>
      <w:r w:rsidRPr="006C7247" w:rsidR="734442DD">
        <w:rPr>
          <w:color w:val="000000" w:themeColor="text1"/>
          <w:highlight w:val="yellow"/>
        </w:rPr>
        <w:t>.</w:t>
      </w:r>
      <w:r w:rsidRPr="006C7247">
        <w:rPr>
          <w:color w:val="000000" w:themeColor="text1"/>
          <w:highlight w:val="yellow"/>
        </w:rPr>
        <w:t xml:space="preserve"> </w:t>
      </w:r>
    </w:p>
    <w:p w:rsidR="004B0792" w:rsidRPr="006C7247" w:rsidP="003320A8" w14:paraId="5F812D66" w14:textId="77777777">
      <w:pPr>
        <w:shd w:val="clear" w:color="auto" w:fill="FFFFFF" w:themeFill="background1"/>
        <w:ind w:left="720"/>
        <w:contextualSpacing/>
        <w:rPr>
          <w:color w:val="000000" w:themeColor="text1"/>
          <w:highlight w:val="yellow"/>
        </w:rPr>
      </w:pPr>
    </w:p>
    <w:p w:rsidR="00302D41" w:rsidRPr="00581542" w:rsidP="003320A8" w14:paraId="75A66CC3" w14:textId="065580CB">
      <w:pPr>
        <w:shd w:val="clear" w:color="auto" w:fill="FFFFFF" w:themeFill="background1"/>
        <w:ind w:left="720"/>
        <w:contextualSpacing/>
        <w:rPr>
          <w:color w:val="000000" w:themeColor="text1"/>
        </w:rPr>
      </w:pPr>
      <w:r w:rsidRPr="006C7247">
        <w:rPr>
          <w:color w:val="000000" w:themeColor="text1"/>
          <w:highlight w:val="yellow"/>
        </w:rPr>
        <w:t>Such waivers are available only under extraordinary circumstances that must be consistent with the protection of public health or in the interest of national security. We expect the need for such waivers to be exceedingly rare</w:t>
      </w:r>
      <w:r w:rsidRPr="006C7247" w:rsidR="00880AA1">
        <w:rPr>
          <w:color w:val="000000" w:themeColor="text1"/>
          <w:highlight w:val="yellow"/>
        </w:rPr>
        <w:t xml:space="preserve"> (i.e., approximately one waiver request per year)</w:t>
      </w:r>
      <w:r w:rsidRPr="006C7247">
        <w:rPr>
          <w:color w:val="000000" w:themeColor="text1"/>
          <w:highlight w:val="yellow"/>
        </w:rPr>
        <w:t>.</w:t>
      </w:r>
      <w:r w:rsidRPr="006C7247" w:rsidR="00880AA1">
        <w:rPr>
          <w:color w:val="000000" w:themeColor="text1"/>
          <w:highlight w:val="yellow"/>
        </w:rPr>
        <w:t xml:space="preserve"> This expectation is </w:t>
      </w:r>
      <w:r w:rsidRPr="006C7247" w:rsidR="00880AA1">
        <w:rPr>
          <w:color w:val="000000" w:themeColor="text1"/>
          <w:highlight w:val="yellow"/>
        </w:rPr>
        <w:t>based on the fact that</w:t>
      </w:r>
      <w:r w:rsidRPr="006C7247" w:rsidR="00880AA1">
        <w:rPr>
          <w:color w:val="000000" w:themeColor="text1"/>
          <w:highlight w:val="yellow"/>
        </w:rPr>
        <w:t xml:space="preserve"> ClinicalTrials.gov ha</w:t>
      </w:r>
      <w:r w:rsidRPr="006C7247" w:rsidR="00C71339">
        <w:rPr>
          <w:color w:val="000000" w:themeColor="text1"/>
          <w:highlight w:val="yellow"/>
        </w:rPr>
        <w:t>s</w:t>
      </w:r>
      <w:r w:rsidRPr="006C7247" w:rsidR="00880AA1">
        <w:rPr>
          <w:color w:val="000000" w:themeColor="text1"/>
          <w:highlight w:val="yellow"/>
        </w:rPr>
        <w:t xml:space="preserve"> not received any waiver request</w:t>
      </w:r>
      <w:r w:rsidRPr="006C7247" w:rsidR="00C71339">
        <w:rPr>
          <w:color w:val="000000" w:themeColor="text1"/>
          <w:highlight w:val="yellow"/>
        </w:rPr>
        <w:t>s</w:t>
      </w:r>
      <w:r w:rsidRPr="006C7247" w:rsidR="00880AA1">
        <w:rPr>
          <w:color w:val="000000" w:themeColor="text1"/>
          <w:highlight w:val="yellow"/>
        </w:rPr>
        <w:t xml:space="preserve"> </w:t>
      </w:r>
      <w:r w:rsidRPr="006C7247" w:rsidR="2A6570BA">
        <w:rPr>
          <w:color w:val="000000" w:themeColor="text1"/>
          <w:highlight w:val="yellow"/>
        </w:rPr>
        <w:t>to date</w:t>
      </w:r>
      <w:r w:rsidRPr="006C7247" w:rsidR="00C71339">
        <w:rPr>
          <w:color w:val="000000" w:themeColor="text1"/>
          <w:highlight w:val="yellow"/>
        </w:rPr>
        <w:t xml:space="preserve"> (as of </w:t>
      </w:r>
      <w:r w:rsidRPr="006C7247" w:rsidR="00693CE3">
        <w:rPr>
          <w:color w:val="000000" w:themeColor="text1"/>
          <w:highlight w:val="yellow"/>
        </w:rPr>
        <w:t>August</w:t>
      </w:r>
      <w:r w:rsidRPr="006C7247" w:rsidR="00C71339">
        <w:rPr>
          <w:color w:val="000000" w:themeColor="text1"/>
          <w:highlight w:val="yellow"/>
        </w:rPr>
        <w:t xml:space="preserve"> 2025)</w:t>
      </w:r>
      <w:r w:rsidRPr="006C7247" w:rsidR="00880AA1">
        <w:rPr>
          <w:color w:val="000000" w:themeColor="text1"/>
          <w:highlight w:val="yellow"/>
        </w:rPr>
        <w:t>.</w:t>
      </w:r>
      <w:r w:rsidRPr="006C7247">
        <w:rPr>
          <w:color w:val="000000" w:themeColor="text1"/>
          <w:highlight w:val="yellow"/>
        </w:rPr>
        <w:t xml:space="preserve"> </w:t>
      </w:r>
      <w:r w:rsidRPr="006C7247" w:rsidR="00693CE3">
        <w:rPr>
          <w:color w:val="000000" w:themeColor="text1"/>
          <w:highlight w:val="yellow"/>
        </w:rPr>
        <w:t>Like</w:t>
      </w:r>
      <w:r w:rsidRPr="006C7247" w:rsidR="00327EF7">
        <w:rPr>
          <w:color w:val="000000" w:themeColor="text1"/>
          <w:highlight w:val="yellow"/>
        </w:rPr>
        <w:t xml:space="preserve"> a good cause extension, the responsible party </w:t>
      </w:r>
      <w:r w:rsidRPr="3D85F570" w:rsidR="00327EF7">
        <w:rPr>
          <w:color w:val="000000" w:themeColor="text1"/>
          <w:highlight w:val="yellow"/>
        </w:rPr>
        <w:t>ha</w:t>
      </w:r>
      <w:r w:rsidRPr="3D85F570" w:rsidR="700FD539">
        <w:rPr>
          <w:color w:val="000000" w:themeColor="text1"/>
          <w:highlight w:val="yellow"/>
        </w:rPr>
        <w:t>s</w:t>
      </w:r>
      <w:r w:rsidRPr="006C7247" w:rsidR="00327EF7">
        <w:rPr>
          <w:color w:val="000000" w:themeColor="text1"/>
          <w:highlight w:val="yellow"/>
        </w:rPr>
        <w:t xml:space="preserve"> the opportunity to</w:t>
      </w:r>
      <w:r w:rsidRPr="006C7247" w:rsidR="00327EF7">
        <w:rPr>
          <w:color w:val="000000" w:themeColor="text1"/>
          <w:highlight w:val="yellow"/>
        </w:rPr>
        <w:t xml:space="preserve"> appeal </w:t>
      </w:r>
      <w:r w:rsidRPr="006C7247" w:rsidR="008C24B2">
        <w:rPr>
          <w:color w:val="000000" w:themeColor="text1"/>
          <w:highlight w:val="yellow"/>
        </w:rPr>
        <w:t xml:space="preserve">in cases where a </w:t>
      </w:r>
      <w:r w:rsidRPr="006C7247" w:rsidR="003E180C">
        <w:rPr>
          <w:color w:val="000000" w:themeColor="text1"/>
          <w:highlight w:val="yellow"/>
        </w:rPr>
        <w:t xml:space="preserve">submitted </w:t>
      </w:r>
      <w:r w:rsidRPr="006C7247" w:rsidR="008C24B2">
        <w:rPr>
          <w:color w:val="000000" w:themeColor="text1"/>
          <w:highlight w:val="yellow"/>
        </w:rPr>
        <w:t>waiver request is deni</w:t>
      </w:r>
      <w:r w:rsidRPr="006C7247" w:rsidR="00685E6B">
        <w:rPr>
          <w:color w:val="000000" w:themeColor="text1"/>
          <w:highlight w:val="yellow"/>
        </w:rPr>
        <w:t xml:space="preserve">ed. </w:t>
      </w:r>
      <w:r w:rsidRPr="006C7247" w:rsidR="00336F54">
        <w:rPr>
          <w:color w:val="000000" w:themeColor="text1"/>
          <w:highlight w:val="yellow"/>
        </w:rPr>
        <w:t xml:space="preserve">We </w:t>
      </w:r>
      <w:r w:rsidRPr="006C7247" w:rsidR="00934F20">
        <w:rPr>
          <w:color w:val="000000" w:themeColor="text1"/>
          <w:highlight w:val="yellow"/>
        </w:rPr>
        <w:t>estimate</w:t>
      </w:r>
      <w:r w:rsidRPr="006C7247" w:rsidR="00F14499">
        <w:rPr>
          <w:color w:val="000000" w:themeColor="text1"/>
          <w:highlight w:val="yellow"/>
        </w:rPr>
        <w:t xml:space="preserve"> the </w:t>
      </w:r>
      <w:r w:rsidRPr="006C7247" w:rsidR="00222929">
        <w:rPr>
          <w:color w:val="000000" w:themeColor="text1"/>
          <w:highlight w:val="yellow"/>
        </w:rPr>
        <w:t xml:space="preserve">time required </w:t>
      </w:r>
      <w:r w:rsidRPr="006C7247" w:rsidR="00D13A5E">
        <w:rPr>
          <w:color w:val="000000" w:themeColor="text1"/>
          <w:highlight w:val="yellow"/>
        </w:rPr>
        <w:t xml:space="preserve">to gather </w:t>
      </w:r>
      <w:r w:rsidRPr="006C7247" w:rsidR="00222929">
        <w:rPr>
          <w:color w:val="000000" w:themeColor="text1"/>
          <w:highlight w:val="yellow"/>
        </w:rPr>
        <w:t xml:space="preserve">the information for a waiver request or appeal </w:t>
      </w:r>
      <w:r w:rsidRPr="006C7247" w:rsidR="00913506">
        <w:rPr>
          <w:color w:val="000000" w:themeColor="text1"/>
          <w:highlight w:val="yellow"/>
        </w:rPr>
        <w:t xml:space="preserve">and </w:t>
      </w:r>
      <w:r w:rsidRPr="006C7247" w:rsidR="0049410E">
        <w:rPr>
          <w:color w:val="000000" w:themeColor="text1"/>
          <w:highlight w:val="yellow"/>
        </w:rPr>
        <w:t xml:space="preserve">to </w:t>
      </w:r>
      <w:r w:rsidRPr="006C7247" w:rsidR="00913506">
        <w:rPr>
          <w:color w:val="000000" w:themeColor="text1"/>
          <w:highlight w:val="yellow"/>
        </w:rPr>
        <w:t>submi</w:t>
      </w:r>
      <w:r w:rsidRPr="006C7247" w:rsidR="0049410E">
        <w:rPr>
          <w:color w:val="000000" w:themeColor="text1"/>
          <w:highlight w:val="yellow"/>
        </w:rPr>
        <w:t>t</w:t>
      </w:r>
      <w:r w:rsidRPr="006C7247" w:rsidR="00913506">
        <w:rPr>
          <w:color w:val="000000" w:themeColor="text1"/>
          <w:highlight w:val="yellow"/>
        </w:rPr>
        <w:t xml:space="preserve"> to ClinicalTrials.gov </w:t>
      </w:r>
      <w:r w:rsidRPr="006C7247" w:rsidR="00222929">
        <w:rPr>
          <w:color w:val="000000" w:themeColor="text1"/>
          <w:highlight w:val="yellow"/>
        </w:rPr>
        <w:t xml:space="preserve">is </w:t>
      </w:r>
      <w:r w:rsidRPr="006C7247" w:rsidR="00222929">
        <w:rPr>
          <w:color w:val="000000" w:themeColor="text1"/>
          <w:highlight w:val="yellow"/>
        </w:rPr>
        <w:t>similar to</w:t>
      </w:r>
      <w:r w:rsidRPr="006C7247" w:rsidR="00222929">
        <w:rPr>
          <w:color w:val="000000" w:themeColor="text1"/>
          <w:highlight w:val="yellow"/>
        </w:rPr>
        <w:t xml:space="preserve"> </w:t>
      </w:r>
      <w:r w:rsidRPr="006C7247" w:rsidR="00913506">
        <w:rPr>
          <w:color w:val="000000" w:themeColor="text1"/>
          <w:highlight w:val="yellow"/>
        </w:rPr>
        <w:t>that required for preparing and submitting</w:t>
      </w:r>
      <w:r w:rsidRPr="006C7247" w:rsidR="00562975">
        <w:rPr>
          <w:color w:val="000000" w:themeColor="text1"/>
          <w:highlight w:val="yellow"/>
        </w:rPr>
        <w:t xml:space="preserve"> a good-cause extension request.</w:t>
      </w:r>
      <w:r w:rsidRPr="006C7247" w:rsidR="00913506">
        <w:rPr>
          <w:color w:val="000000" w:themeColor="text1"/>
          <w:highlight w:val="yellow"/>
        </w:rPr>
        <w:t xml:space="preserve"> </w:t>
      </w:r>
      <w:r w:rsidRPr="006C7247" w:rsidR="005C6B36">
        <w:rPr>
          <w:color w:val="000000" w:themeColor="text1"/>
          <w:highlight w:val="yellow"/>
        </w:rPr>
        <w:t xml:space="preserve">With these considerations, we estimate the annualized hourly burden for waiver requests and appeals </w:t>
      </w:r>
      <w:r w:rsidRPr="3D85F570" w:rsidR="600A9D91">
        <w:rPr>
          <w:color w:val="000000" w:themeColor="text1"/>
          <w:highlight w:val="yellow"/>
        </w:rPr>
        <w:t>is</w:t>
      </w:r>
      <w:r w:rsidRPr="006C7247" w:rsidR="005C6B36">
        <w:rPr>
          <w:color w:val="000000" w:themeColor="text1"/>
          <w:highlight w:val="yellow"/>
        </w:rPr>
        <w:t xml:space="preserve"> 2 hours</w:t>
      </w:r>
      <w:r w:rsidRPr="006C7247" w:rsidR="007D099A">
        <w:rPr>
          <w:color w:val="000000" w:themeColor="text1"/>
          <w:highlight w:val="yellow"/>
        </w:rPr>
        <w:t>.</w:t>
      </w:r>
    </w:p>
    <w:p w:rsidR="00302D41" w:rsidRPr="00581542" w:rsidP="002533BB" w14:paraId="0CA77951" w14:textId="77777777">
      <w:pPr>
        <w:ind w:left="720"/>
        <w:contextualSpacing/>
        <w:rPr>
          <w:b/>
          <w:color w:val="000000" w:themeColor="text1"/>
        </w:rPr>
      </w:pPr>
    </w:p>
    <w:p w:rsidR="00302D41" w:rsidRPr="00581542" w:rsidP="002533BB" w14:paraId="0FE5D14D" w14:textId="77777777">
      <w:pPr>
        <w:ind w:left="720"/>
        <w:contextualSpacing/>
        <w:rPr>
          <w:b/>
          <w:i/>
          <w:color w:val="000000" w:themeColor="text1"/>
        </w:rPr>
      </w:pPr>
      <w:r w:rsidRPr="00581542">
        <w:rPr>
          <w:b/>
          <w:i/>
          <w:color w:val="000000" w:themeColor="text1"/>
        </w:rPr>
        <w:t>Expanded Access Records</w:t>
      </w:r>
    </w:p>
    <w:p w:rsidR="00437DB0" w:rsidRPr="00581542" w:rsidP="002533BB" w14:paraId="7E9B2546" w14:textId="77777777">
      <w:pPr>
        <w:ind w:left="720"/>
        <w:contextualSpacing/>
        <w:rPr>
          <w:color w:val="000000" w:themeColor="text1"/>
        </w:rPr>
      </w:pPr>
    </w:p>
    <w:p w:rsidR="00302D41" w:rsidRPr="00581542" w:rsidP="002533BB" w14:paraId="20F1F860" w14:textId="35D8E38D">
      <w:pPr>
        <w:ind w:left="720"/>
        <w:contextualSpacing/>
        <w:rPr>
          <w:color w:val="000000" w:themeColor="text1"/>
        </w:rPr>
      </w:pPr>
      <w:r w:rsidRPr="00581542">
        <w:rPr>
          <w:bCs/>
          <w:color w:val="000000" w:themeColor="text1"/>
          <w:szCs w:val="24"/>
        </w:rPr>
        <w:t xml:space="preserve">As specified in </w:t>
      </w:r>
      <w:r w:rsidRPr="00581542" w:rsidR="004E4102">
        <w:rPr>
          <w:rFonts w:eastAsia="Calibri"/>
          <w:color w:val="000000" w:themeColor="text1"/>
          <w:bdr w:val="none" w:sz="0" w:space="0" w:color="auto" w:frame="1"/>
        </w:rPr>
        <w:t xml:space="preserve">42 CFR </w:t>
      </w:r>
      <w:r w:rsidRPr="00581542">
        <w:rPr>
          <w:bCs/>
          <w:color w:val="000000" w:themeColor="text1"/>
          <w:szCs w:val="24"/>
        </w:rPr>
        <w:t xml:space="preserve">11.28(a), if an expanded access record </w:t>
      </w:r>
      <w:r w:rsidRPr="00581542">
        <w:rPr>
          <w:color w:val="000000" w:themeColor="text1"/>
          <w:szCs w:val="24"/>
        </w:rPr>
        <w:t xml:space="preserve">is available for an investigational drug product (including a biological product) that is studied in an applicable drug clinical trial, the responsible party for that applicable clinical trial must, if it is both the manufacturer of the investigational product and the sponsor of the applicable clinical trial, include the NCT number of the expanded access record </w:t>
      </w:r>
      <w:r w:rsidRPr="00581542">
        <w:rPr>
          <w:bCs/>
          <w:color w:val="000000" w:themeColor="text1"/>
          <w:szCs w:val="24"/>
        </w:rPr>
        <w:t xml:space="preserve">with the clinical trial information submitted at the time of registration. If an expanded access record for the investigational </w:t>
      </w:r>
      <w:r w:rsidRPr="00581542">
        <w:rPr>
          <w:color w:val="000000" w:themeColor="text1"/>
        </w:rPr>
        <w:t xml:space="preserve">drug product </w:t>
      </w:r>
      <w:r w:rsidRPr="00581542">
        <w:rPr>
          <w:color w:val="000000" w:themeColor="text1"/>
          <w:szCs w:val="24"/>
        </w:rPr>
        <w:t xml:space="preserve">(including a biological product) </w:t>
      </w:r>
      <w:r w:rsidRPr="00581542">
        <w:rPr>
          <w:color w:val="000000" w:themeColor="text1"/>
        </w:rPr>
        <w:t xml:space="preserve">being studied in the applicable clinical trial has not yet been submitted to ClinicalTrials.gov, and if the responsible party is both the manufacturer of the investigational product and the sponsor of the applicable clinical trial, the responsible party must create an expanded access record by submitting data elements in </w:t>
      </w:r>
      <w:r w:rsidRPr="00581542" w:rsidR="004E4102">
        <w:rPr>
          <w:rFonts w:eastAsia="Calibri"/>
          <w:color w:val="000000" w:themeColor="text1"/>
          <w:bdr w:val="none" w:sz="0" w:space="0" w:color="auto" w:frame="1"/>
        </w:rPr>
        <w:t xml:space="preserve">42 CFR </w:t>
      </w:r>
      <w:r w:rsidRPr="00581542">
        <w:rPr>
          <w:color w:val="000000" w:themeColor="text1"/>
        </w:rPr>
        <w:t xml:space="preserve">11.28(c). To determine the cost and burden associated with the creation of this record, we relied on information from FDA. Each year, an estimated 135 investigational drug products </w:t>
      </w:r>
      <w:r w:rsidRPr="00581542">
        <w:rPr>
          <w:color w:val="000000" w:themeColor="text1"/>
          <w:szCs w:val="24"/>
        </w:rPr>
        <w:t xml:space="preserve">(including biological products) </w:t>
      </w:r>
      <w:r w:rsidRPr="00581542">
        <w:rPr>
          <w:color w:val="000000" w:themeColor="text1"/>
        </w:rPr>
        <w:t xml:space="preserve">that were not previously available for expanded access use will be made available for individual patient expanded access (including emergency use) by responsible parties who are required to create an expanded access record. FDA estimates that 10 treatment INDs or treatment protocols are initiated annually and that expanded </w:t>
      </w:r>
      <w:r w:rsidRPr="00581542">
        <w:rPr>
          <w:color w:val="000000" w:themeColor="text1"/>
        </w:rPr>
        <w:t>access use</w:t>
      </w:r>
      <w:r w:rsidRPr="00581542">
        <w:rPr>
          <w:color w:val="000000" w:themeColor="text1"/>
        </w:rPr>
        <w:t xml:space="preserve"> for intermediate size patient populations is initiated 68 times annually. These are the three types of expanded access for which information in </w:t>
      </w:r>
      <w:r w:rsidRPr="00581542" w:rsidR="004E4102">
        <w:rPr>
          <w:rFonts w:eastAsia="Calibri"/>
          <w:color w:val="000000" w:themeColor="text1"/>
          <w:bdr w:val="none" w:sz="0" w:space="0" w:color="auto" w:frame="1"/>
        </w:rPr>
        <w:t>42 CFR</w:t>
      </w:r>
      <w:r w:rsidRPr="00581542">
        <w:rPr>
          <w:color w:val="000000" w:themeColor="text1"/>
        </w:rPr>
        <w:t xml:space="preserve"> 11.28(c) must be submitted to ClinicalTrials.gov for an expanded access record. </w:t>
      </w:r>
      <w:r w:rsidRPr="00581542" w:rsidR="005C3034">
        <w:rPr>
          <w:color w:val="000000" w:themeColor="text1"/>
        </w:rPr>
        <w:t xml:space="preserve">Thus, we estimate a total of 213 expanded </w:t>
      </w:r>
      <w:r w:rsidRPr="00581542" w:rsidR="006E7183">
        <w:rPr>
          <w:color w:val="000000" w:themeColor="text1"/>
        </w:rPr>
        <w:t xml:space="preserve">access </w:t>
      </w:r>
      <w:r w:rsidRPr="00581542" w:rsidR="005C3034">
        <w:rPr>
          <w:color w:val="000000" w:themeColor="text1"/>
        </w:rPr>
        <w:t xml:space="preserve">records will need to be submitted per year. </w:t>
      </w:r>
      <w:r w:rsidRPr="00581542">
        <w:rPr>
          <w:color w:val="000000" w:themeColor="text1"/>
        </w:rPr>
        <w:t xml:space="preserve">We estimate the time required to submit the required information for an expanded access record to be 2 hours, which is one-quarter of the estimated time to register an applicable clinical trial. </w:t>
      </w:r>
      <w:r w:rsidRPr="00581542">
        <w:rPr>
          <w:color w:val="000000" w:themeColor="text1"/>
          <w:szCs w:val="24"/>
        </w:rPr>
        <w:t xml:space="preserve">Compared to the number of data elements required under the rule for applicable clinical trials, </w:t>
      </w:r>
      <w:r w:rsidRPr="00581542">
        <w:rPr>
          <w:color w:val="000000" w:themeColor="text1"/>
        </w:rPr>
        <w:t xml:space="preserve">only about half as many data elements are required for </w:t>
      </w:r>
      <w:r w:rsidRPr="00581542">
        <w:rPr>
          <w:color w:val="000000" w:themeColor="text1"/>
          <w:szCs w:val="24"/>
        </w:rPr>
        <w:t xml:space="preserve">an expanded access record for expanded access use under treatment INDs, treatment protocols and for intermediate-size patient populations, and still fewer for expanded access records for individual patient expanded access use. The rule </w:t>
      </w:r>
      <w:r w:rsidRPr="00581542">
        <w:rPr>
          <w:color w:val="000000" w:themeColor="text1"/>
          <w:szCs w:val="24"/>
        </w:rPr>
        <w:t xml:space="preserve">also </w:t>
      </w:r>
      <w:r w:rsidRPr="00581542">
        <w:rPr>
          <w:color w:val="000000" w:themeColor="text1"/>
        </w:rPr>
        <w:t xml:space="preserve">does not require some of the more detailed data elements, such as Primary Outcome Measure, Secondary Outcome Measure, Individual Site Status, and Facility Location information.  We also estimate an average of two updates per expanded access record per year, each </w:t>
      </w:r>
      <w:r w:rsidRPr="00581542">
        <w:rPr>
          <w:color w:val="000000" w:themeColor="text1"/>
        </w:rPr>
        <w:t>taking which</w:t>
      </w:r>
      <w:r w:rsidRPr="00581542">
        <w:rPr>
          <w:color w:val="000000" w:themeColor="text1"/>
        </w:rPr>
        <w:t xml:space="preserve"> 15 minutes. We estimate the total hour burden associated with expanded access records to be 53</w:t>
      </w:r>
      <w:r w:rsidRPr="00581542" w:rsidR="009A1095">
        <w:rPr>
          <w:color w:val="000000" w:themeColor="text1"/>
        </w:rPr>
        <w:t>3</w:t>
      </w:r>
      <w:r w:rsidRPr="00581542">
        <w:rPr>
          <w:color w:val="000000" w:themeColor="text1"/>
        </w:rPr>
        <w:t xml:space="preserve"> hours per year.  </w:t>
      </w:r>
    </w:p>
    <w:p w:rsidR="00437DB0" w:rsidRPr="00581542" w:rsidP="002533BB" w14:paraId="7DD23DC8" w14:textId="77777777">
      <w:pPr>
        <w:ind w:left="720"/>
        <w:contextualSpacing/>
        <w:rPr>
          <w:color w:val="000000" w:themeColor="text1"/>
          <w:szCs w:val="24"/>
        </w:rPr>
      </w:pPr>
    </w:p>
    <w:p w:rsidR="001B1039" w:rsidRPr="00581542" w:rsidP="00684464" w14:paraId="059929BB" w14:textId="5C9E676C">
      <w:pPr>
        <w:ind w:left="720"/>
        <w:rPr>
          <w:bCs/>
          <w:color w:val="000000" w:themeColor="text1"/>
        </w:rPr>
      </w:pPr>
      <w:r w:rsidRPr="00581542">
        <w:rPr>
          <w:color w:val="000000" w:themeColor="text1"/>
        </w:rPr>
        <w:t>The total associated cost is estimated to be</w:t>
      </w:r>
      <w:r w:rsidRPr="00581542" w:rsidR="00F907F1">
        <w:rPr>
          <w:color w:val="000000" w:themeColor="text1"/>
        </w:rPr>
        <w:t xml:space="preserve"> </w:t>
      </w:r>
      <w:r w:rsidRPr="00084C15" w:rsidR="00092280">
        <w:rPr>
          <w:bCs/>
          <w:color w:val="000000" w:themeColor="text1"/>
          <w:highlight w:val="yellow"/>
        </w:rPr>
        <w:t>$</w:t>
      </w:r>
      <w:r w:rsidRPr="00084C15" w:rsidR="003001D7">
        <w:rPr>
          <w:bCs/>
          <w:color w:val="000000" w:themeColor="text1"/>
          <w:highlight w:val="yellow"/>
        </w:rPr>
        <w:t>140,883,084</w:t>
      </w:r>
      <w:r w:rsidRPr="00581542">
        <w:rPr>
          <w:color w:val="000000" w:themeColor="text1"/>
        </w:rPr>
        <w:t>.</w:t>
      </w:r>
    </w:p>
    <w:p w:rsidR="005A0374" w:rsidRPr="00581542" w:rsidP="002533BB" w14:paraId="00F8AC84" w14:textId="77777777">
      <w:pPr>
        <w:ind w:left="720"/>
        <w:rPr>
          <w:color w:val="000000" w:themeColor="text1"/>
        </w:rPr>
      </w:pPr>
    </w:p>
    <w:p w:rsidR="00E67744" w:rsidRPr="00581542" w:rsidP="002533BB" w14:paraId="1314FD22" w14:textId="77777777">
      <w:pPr>
        <w:rPr>
          <w:b/>
          <w:color w:val="000000" w:themeColor="text1"/>
          <w:szCs w:val="24"/>
        </w:rPr>
      </w:pPr>
      <w:r w:rsidRPr="00581542">
        <w:rPr>
          <w:b/>
          <w:color w:val="000000" w:themeColor="text1"/>
          <w:szCs w:val="24"/>
        </w:rPr>
        <w:t>A.12-1 Estimated Annualized Burden Hours</w:t>
      </w:r>
    </w:p>
    <w:p w:rsidR="00E67744" w:rsidRPr="00581542" w:rsidP="002533BB" w14:paraId="273FAA30" w14:textId="77777777">
      <w:pPr>
        <w:rPr>
          <w:color w:val="000000" w:themeColor="text1"/>
          <w:szCs w:val="24"/>
        </w:rPr>
      </w:pPr>
    </w:p>
    <w:tbl>
      <w:tblPr>
        <w:tblW w:w="9532" w:type="dxa"/>
        <w:jc w:val="center"/>
        <w:tblLayout w:type="fixed"/>
        <w:tblCellMar>
          <w:left w:w="100" w:type="dxa"/>
          <w:right w:w="100" w:type="dxa"/>
        </w:tblCellMar>
        <w:tblLook w:val="0000"/>
      </w:tblPr>
      <w:tblGrid>
        <w:gridCol w:w="2423"/>
        <w:gridCol w:w="1439"/>
        <w:gridCol w:w="1530"/>
        <w:gridCol w:w="1440"/>
        <w:gridCol w:w="1516"/>
        <w:gridCol w:w="1184"/>
      </w:tblGrid>
      <w:tr w14:paraId="63DAE675" w14:textId="77777777" w:rsidTr="001351D1">
        <w:tblPrEx>
          <w:tblW w:w="9532" w:type="dxa"/>
          <w:jc w:val="center"/>
          <w:tblLayout w:type="fixed"/>
          <w:tblCellMar>
            <w:left w:w="100" w:type="dxa"/>
            <w:right w:w="100" w:type="dxa"/>
          </w:tblCellMar>
          <w:tblLook w:val="0000"/>
        </w:tblPrEx>
        <w:trPr>
          <w:cantSplit/>
          <w:trHeight w:val="372"/>
          <w:jc w:val="center"/>
        </w:trPr>
        <w:tc>
          <w:tcPr>
            <w:tcW w:w="2423" w:type="dxa"/>
            <w:tcBorders>
              <w:top w:val="single" w:sz="6" w:space="0" w:color="auto"/>
              <w:left w:val="single" w:sz="6" w:space="0" w:color="auto"/>
            </w:tcBorders>
            <w:shd w:val="clear" w:color="auto" w:fill="D9D9D9" w:themeFill="background1" w:themeFillShade="D9"/>
          </w:tcPr>
          <w:p w:rsidR="00E67744" w:rsidRPr="00581542" w:rsidP="002533BB" w14:paraId="5070CD0D" w14:textId="77777777">
            <w:pPr>
              <w:jc w:val="center"/>
              <w:rPr>
                <w:b/>
                <w:color w:val="000000" w:themeColor="text1"/>
                <w:sz w:val="22"/>
                <w:szCs w:val="22"/>
              </w:rPr>
            </w:pPr>
            <w:r w:rsidRPr="00581542">
              <w:rPr>
                <w:b/>
                <w:color w:val="000000" w:themeColor="text1"/>
                <w:sz w:val="22"/>
                <w:szCs w:val="22"/>
              </w:rPr>
              <w:t>Form Name</w:t>
            </w:r>
          </w:p>
        </w:tc>
        <w:tc>
          <w:tcPr>
            <w:tcW w:w="1439" w:type="dxa"/>
            <w:tcBorders>
              <w:top w:val="single" w:sz="6" w:space="0" w:color="auto"/>
              <w:left w:val="single" w:sz="6" w:space="0" w:color="auto"/>
            </w:tcBorders>
            <w:shd w:val="clear" w:color="auto" w:fill="D9D9D9" w:themeFill="background1" w:themeFillShade="D9"/>
          </w:tcPr>
          <w:p w:rsidR="00E67744" w:rsidRPr="00581542" w:rsidP="002533BB" w14:paraId="12774EDB" w14:textId="77777777">
            <w:pPr>
              <w:jc w:val="center"/>
              <w:rPr>
                <w:b/>
                <w:color w:val="000000" w:themeColor="text1"/>
                <w:sz w:val="22"/>
                <w:szCs w:val="22"/>
              </w:rPr>
            </w:pPr>
            <w:r w:rsidRPr="00581542">
              <w:rPr>
                <w:b/>
                <w:color w:val="000000" w:themeColor="text1"/>
                <w:sz w:val="22"/>
                <w:szCs w:val="22"/>
              </w:rPr>
              <w:t>Type of Respondent</w:t>
            </w:r>
          </w:p>
        </w:tc>
        <w:tc>
          <w:tcPr>
            <w:tcW w:w="1530" w:type="dxa"/>
            <w:tcBorders>
              <w:top w:val="single" w:sz="6" w:space="0" w:color="auto"/>
              <w:left w:val="single" w:sz="6" w:space="0" w:color="auto"/>
            </w:tcBorders>
            <w:shd w:val="clear" w:color="auto" w:fill="D9D9D9" w:themeFill="background1" w:themeFillShade="D9"/>
          </w:tcPr>
          <w:p w:rsidR="00E67744" w:rsidRPr="00581542" w:rsidP="002533BB" w14:paraId="0618E6F4" w14:textId="77777777">
            <w:pPr>
              <w:jc w:val="center"/>
              <w:rPr>
                <w:b/>
                <w:color w:val="000000" w:themeColor="text1"/>
                <w:sz w:val="22"/>
                <w:szCs w:val="22"/>
              </w:rPr>
            </w:pPr>
            <w:r w:rsidRPr="00581542">
              <w:rPr>
                <w:b/>
                <w:color w:val="000000" w:themeColor="text1"/>
                <w:sz w:val="22"/>
                <w:szCs w:val="22"/>
              </w:rPr>
              <w:t>Number of Respondents</w:t>
            </w:r>
          </w:p>
        </w:tc>
        <w:tc>
          <w:tcPr>
            <w:tcW w:w="1440" w:type="dxa"/>
            <w:tcBorders>
              <w:top w:val="single" w:sz="6" w:space="0" w:color="auto"/>
              <w:left w:val="single" w:sz="6" w:space="0" w:color="auto"/>
            </w:tcBorders>
            <w:shd w:val="clear" w:color="auto" w:fill="D9D9D9" w:themeFill="background1" w:themeFillShade="D9"/>
          </w:tcPr>
          <w:p w:rsidR="00E67744" w:rsidRPr="00581542" w:rsidP="002533BB" w14:paraId="0460C562" w14:textId="77777777">
            <w:pPr>
              <w:jc w:val="center"/>
              <w:rPr>
                <w:b/>
                <w:color w:val="000000" w:themeColor="text1"/>
                <w:sz w:val="22"/>
                <w:szCs w:val="22"/>
              </w:rPr>
            </w:pPr>
            <w:r w:rsidRPr="00581542">
              <w:rPr>
                <w:b/>
                <w:color w:val="000000" w:themeColor="text1"/>
                <w:sz w:val="22"/>
                <w:szCs w:val="22"/>
              </w:rPr>
              <w:t>Number of Responses per Respondent</w:t>
            </w:r>
          </w:p>
        </w:tc>
        <w:tc>
          <w:tcPr>
            <w:tcW w:w="1516" w:type="dxa"/>
            <w:tcBorders>
              <w:top w:val="single" w:sz="6" w:space="0" w:color="auto"/>
              <w:left w:val="single" w:sz="6" w:space="0" w:color="auto"/>
            </w:tcBorders>
            <w:shd w:val="clear" w:color="auto" w:fill="D9D9D9" w:themeFill="background1" w:themeFillShade="D9"/>
          </w:tcPr>
          <w:p w:rsidR="00E67744" w:rsidRPr="00581542" w:rsidP="002533BB" w14:paraId="0F80F08F" w14:textId="451455A1">
            <w:pPr>
              <w:jc w:val="center"/>
              <w:rPr>
                <w:b/>
                <w:color w:val="000000" w:themeColor="text1"/>
                <w:sz w:val="22"/>
                <w:szCs w:val="22"/>
              </w:rPr>
            </w:pPr>
            <w:r w:rsidRPr="00581542">
              <w:rPr>
                <w:b/>
                <w:color w:val="000000" w:themeColor="text1"/>
                <w:sz w:val="22"/>
                <w:szCs w:val="22"/>
              </w:rPr>
              <w:t>Average Burden Per Response</w:t>
            </w:r>
          </w:p>
          <w:p w:rsidR="00E67744" w:rsidRPr="00581542" w:rsidP="002533BB" w14:paraId="60995B04" w14:textId="77777777">
            <w:pPr>
              <w:jc w:val="center"/>
              <w:rPr>
                <w:b/>
                <w:color w:val="000000" w:themeColor="text1"/>
                <w:sz w:val="22"/>
                <w:szCs w:val="22"/>
              </w:rPr>
            </w:pPr>
            <w:r w:rsidRPr="00581542">
              <w:rPr>
                <w:b/>
                <w:color w:val="000000" w:themeColor="text1"/>
                <w:sz w:val="22"/>
                <w:szCs w:val="22"/>
              </w:rPr>
              <w:t>(in hours)</w:t>
            </w:r>
          </w:p>
        </w:tc>
        <w:tc>
          <w:tcPr>
            <w:tcW w:w="1184" w:type="dxa"/>
            <w:tcBorders>
              <w:top w:val="single" w:sz="6" w:space="0" w:color="auto"/>
              <w:left w:val="single" w:sz="6" w:space="0" w:color="auto"/>
              <w:right w:val="single" w:sz="6" w:space="0" w:color="auto"/>
            </w:tcBorders>
            <w:shd w:val="clear" w:color="auto" w:fill="D9D9D9" w:themeFill="background1" w:themeFillShade="D9"/>
          </w:tcPr>
          <w:p w:rsidR="00E67744" w:rsidRPr="00581542" w:rsidP="005001CA" w14:paraId="764583B6" w14:textId="3825E346">
            <w:pPr>
              <w:jc w:val="center"/>
              <w:rPr>
                <w:b/>
                <w:color w:val="000000" w:themeColor="text1"/>
                <w:sz w:val="22"/>
                <w:szCs w:val="22"/>
              </w:rPr>
            </w:pPr>
            <w:r w:rsidRPr="00581542">
              <w:rPr>
                <w:b/>
                <w:color w:val="000000" w:themeColor="text1"/>
                <w:sz w:val="22"/>
                <w:szCs w:val="22"/>
              </w:rPr>
              <w:t>Total Annual Burden Hour</w:t>
            </w:r>
          </w:p>
        </w:tc>
      </w:tr>
      <w:tr w14:paraId="19D132CA" w14:textId="77777777" w:rsidTr="00E07F04">
        <w:tblPrEx>
          <w:tblW w:w="9532" w:type="dxa"/>
          <w:jc w:val="center"/>
          <w:tblLayout w:type="fixed"/>
          <w:tblCellMar>
            <w:left w:w="100" w:type="dxa"/>
            <w:right w:w="100" w:type="dxa"/>
          </w:tblCellMar>
          <w:tblLook w:val="0000"/>
        </w:tblPrEx>
        <w:trPr>
          <w:cantSplit/>
          <w:trHeight w:val="372"/>
          <w:jc w:val="center"/>
        </w:trPr>
        <w:tc>
          <w:tcPr>
            <w:tcW w:w="9532" w:type="dxa"/>
            <w:gridSpan w:val="6"/>
            <w:tcBorders>
              <w:top w:val="single" w:sz="6" w:space="0" w:color="auto"/>
              <w:left w:val="single" w:sz="6" w:space="0" w:color="auto"/>
              <w:right w:val="single" w:sz="6" w:space="0" w:color="auto"/>
            </w:tcBorders>
            <w:shd w:val="clear" w:color="auto" w:fill="D9D9D9" w:themeFill="background1" w:themeFillShade="D9"/>
          </w:tcPr>
          <w:p w:rsidR="002E1CE6" w:rsidRPr="00581542" w:rsidP="002533BB" w14:paraId="5FC814C2" w14:textId="1C14DCBA">
            <w:pPr>
              <w:rPr>
                <w:color w:val="000000" w:themeColor="text1"/>
                <w:sz w:val="22"/>
                <w:szCs w:val="22"/>
              </w:rPr>
            </w:pPr>
            <w:r w:rsidRPr="00581542">
              <w:rPr>
                <w:color w:val="000000" w:themeColor="text1"/>
                <w:sz w:val="22"/>
                <w:szCs w:val="22"/>
              </w:rPr>
              <w:t>Registration</w:t>
            </w:r>
            <w:r w:rsidRPr="00581542" w:rsidR="00F72E76">
              <w:rPr>
                <w:color w:val="000000" w:themeColor="text1"/>
                <w:sz w:val="22"/>
                <w:szCs w:val="22"/>
              </w:rPr>
              <w:t xml:space="preserve"> </w:t>
            </w:r>
            <w:r w:rsidRPr="00402818" w:rsidR="00F72E76">
              <w:rPr>
                <w:color w:val="000000" w:themeColor="text1"/>
                <w:sz w:val="22"/>
                <w:szCs w:val="22"/>
                <w:u w:val="single"/>
              </w:rPr>
              <w:t>(See Attachment 2)</w:t>
            </w:r>
          </w:p>
        </w:tc>
      </w:tr>
      <w:tr w14:paraId="54876D83" w14:textId="77777777" w:rsidTr="001351D1">
        <w:tblPrEx>
          <w:tblW w:w="9532" w:type="dxa"/>
          <w:jc w:val="center"/>
          <w:tblLayout w:type="fixed"/>
          <w:tblCellMar>
            <w:left w:w="100" w:type="dxa"/>
            <w:right w:w="100" w:type="dxa"/>
          </w:tblCellMar>
          <w:tblLook w:val="0000"/>
        </w:tblPrEx>
        <w:trPr>
          <w:cantSplit/>
          <w:trHeight w:val="372"/>
          <w:jc w:val="center"/>
        </w:trPr>
        <w:tc>
          <w:tcPr>
            <w:tcW w:w="2423" w:type="dxa"/>
            <w:tcBorders>
              <w:top w:val="single" w:sz="6" w:space="0" w:color="auto"/>
              <w:left w:val="single" w:sz="6" w:space="0" w:color="auto"/>
              <w:bottom w:val="single" w:sz="6" w:space="0" w:color="auto"/>
            </w:tcBorders>
          </w:tcPr>
          <w:p w:rsidR="00E67744" w:rsidRPr="00581542" w:rsidP="002533BB" w14:paraId="099640D5" w14:textId="77777777">
            <w:pPr>
              <w:rPr>
                <w:color w:val="000000" w:themeColor="text1"/>
                <w:sz w:val="22"/>
                <w:szCs w:val="22"/>
              </w:rPr>
            </w:pPr>
            <w:r w:rsidRPr="00581542">
              <w:rPr>
                <w:color w:val="000000" w:themeColor="text1"/>
                <w:sz w:val="22"/>
                <w:szCs w:val="22"/>
              </w:rPr>
              <w:t>Initial</w:t>
            </w:r>
          </w:p>
        </w:tc>
        <w:tc>
          <w:tcPr>
            <w:tcW w:w="1439" w:type="dxa"/>
            <w:tcBorders>
              <w:top w:val="single" w:sz="6" w:space="0" w:color="auto"/>
              <w:left w:val="single" w:sz="6" w:space="0" w:color="auto"/>
              <w:bottom w:val="single" w:sz="6" w:space="0" w:color="auto"/>
            </w:tcBorders>
          </w:tcPr>
          <w:p w:rsidR="00E67744" w:rsidRPr="00581542" w:rsidP="002533BB" w14:paraId="6441EFDD" w14:textId="77777777">
            <w:pPr>
              <w:rPr>
                <w:color w:val="000000" w:themeColor="text1"/>
                <w:sz w:val="22"/>
                <w:szCs w:val="22"/>
              </w:rPr>
            </w:pPr>
            <w:r w:rsidRPr="00581542">
              <w:rPr>
                <w:color w:val="000000" w:themeColor="text1"/>
                <w:sz w:val="22"/>
                <w:szCs w:val="22"/>
              </w:rPr>
              <w:t>Data Entry Personnel</w:t>
            </w:r>
          </w:p>
        </w:tc>
        <w:tc>
          <w:tcPr>
            <w:tcW w:w="1530" w:type="dxa"/>
            <w:tcBorders>
              <w:top w:val="single" w:sz="6" w:space="0" w:color="auto"/>
              <w:left w:val="single" w:sz="6" w:space="0" w:color="auto"/>
              <w:bottom w:val="single" w:sz="6" w:space="0" w:color="auto"/>
            </w:tcBorders>
          </w:tcPr>
          <w:p w:rsidR="00E67744" w:rsidRPr="00581542" w:rsidP="002533BB" w14:paraId="509BCBDF" w14:textId="77777777">
            <w:pPr>
              <w:jc w:val="center"/>
              <w:rPr>
                <w:color w:val="000000" w:themeColor="text1"/>
                <w:sz w:val="22"/>
                <w:szCs w:val="22"/>
              </w:rPr>
            </w:pPr>
            <w:r w:rsidRPr="00581542">
              <w:rPr>
                <w:color w:val="000000" w:themeColor="text1"/>
                <w:sz w:val="22"/>
                <w:szCs w:val="22"/>
              </w:rPr>
              <w:t>7,400</w:t>
            </w:r>
          </w:p>
        </w:tc>
        <w:tc>
          <w:tcPr>
            <w:tcW w:w="1440" w:type="dxa"/>
            <w:tcBorders>
              <w:top w:val="single" w:sz="6" w:space="0" w:color="auto"/>
              <w:left w:val="single" w:sz="6" w:space="0" w:color="auto"/>
              <w:bottom w:val="single" w:sz="6" w:space="0" w:color="auto"/>
            </w:tcBorders>
          </w:tcPr>
          <w:p w:rsidR="00E67744" w:rsidRPr="00581542" w:rsidP="002533BB" w14:paraId="03E91B02" w14:textId="77777777">
            <w:pPr>
              <w:jc w:val="center"/>
              <w:rPr>
                <w:color w:val="000000" w:themeColor="text1"/>
                <w:sz w:val="22"/>
                <w:szCs w:val="22"/>
              </w:rPr>
            </w:pPr>
            <w:r w:rsidRPr="00581542">
              <w:rPr>
                <w:color w:val="000000" w:themeColor="text1"/>
                <w:sz w:val="22"/>
                <w:szCs w:val="22"/>
              </w:rPr>
              <w:t>1</w:t>
            </w:r>
          </w:p>
        </w:tc>
        <w:tc>
          <w:tcPr>
            <w:tcW w:w="1516" w:type="dxa"/>
            <w:tcBorders>
              <w:top w:val="single" w:sz="6" w:space="0" w:color="auto"/>
              <w:left w:val="single" w:sz="6" w:space="0" w:color="auto"/>
              <w:bottom w:val="single" w:sz="6" w:space="0" w:color="auto"/>
            </w:tcBorders>
          </w:tcPr>
          <w:p w:rsidR="00E67744" w:rsidRPr="00581542" w:rsidP="002533BB" w14:paraId="20BDCBE8" w14:textId="77777777">
            <w:pPr>
              <w:jc w:val="center"/>
              <w:rPr>
                <w:color w:val="000000" w:themeColor="text1"/>
                <w:sz w:val="22"/>
                <w:szCs w:val="22"/>
              </w:rPr>
            </w:pPr>
            <w:r w:rsidRPr="00581542">
              <w:rPr>
                <w:color w:val="000000" w:themeColor="text1"/>
                <w:sz w:val="22"/>
                <w:szCs w:val="22"/>
              </w:rPr>
              <w:t>8</w:t>
            </w:r>
          </w:p>
        </w:tc>
        <w:tc>
          <w:tcPr>
            <w:tcW w:w="1184" w:type="dxa"/>
            <w:tcBorders>
              <w:top w:val="single" w:sz="6" w:space="0" w:color="auto"/>
              <w:left w:val="single" w:sz="6" w:space="0" w:color="auto"/>
              <w:bottom w:val="single" w:sz="6" w:space="0" w:color="auto"/>
              <w:right w:val="single" w:sz="6" w:space="0" w:color="auto"/>
            </w:tcBorders>
          </w:tcPr>
          <w:p w:rsidR="00E67744" w:rsidRPr="00581542" w:rsidP="002533BB" w14:paraId="2C445541" w14:textId="77777777">
            <w:pPr>
              <w:jc w:val="center"/>
              <w:rPr>
                <w:color w:val="000000" w:themeColor="text1"/>
                <w:sz w:val="22"/>
                <w:szCs w:val="22"/>
              </w:rPr>
            </w:pPr>
            <w:r w:rsidRPr="00581542">
              <w:rPr>
                <w:color w:val="000000" w:themeColor="text1"/>
                <w:sz w:val="22"/>
                <w:szCs w:val="22"/>
              </w:rPr>
              <w:t xml:space="preserve"> </w:t>
            </w:r>
            <w:r w:rsidRPr="00581542" w:rsidR="002E1CE6">
              <w:rPr>
                <w:color w:val="000000" w:themeColor="text1"/>
                <w:sz w:val="22"/>
                <w:szCs w:val="22"/>
              </w:rPr>
              <w:t>59,200</w:t>
            </w:r>
          </w:p>
        </w:tc>
      </w:tr>
      <w:tr w14:paraId="1CE0DC8E" w14:textId="77777777" w:rsidTr="001351D1">
        <w:tblPrEx>
          <w:tblW w:w="9532" w:type="dxa"/>
          <w:jc w:val="center"/>
          <w:tblLayout w:type="fixed"/>
          <w:tblCellMar>
            <w:left w:w="100" w:type="dxa"/>
            <w:right w:w="100" w:type="dxa"/>
          </w:tblCellMar>
          <w:tblLook w:val="0000"/>
        </w:tblPrEx>
        <w:trPr>
          <w:cantSplit/>
          <w:trHeight w:val="372"/>
          <w:jc w:val="center"/>
        </w:trPr>
        <w:tc>
          <w:tcPr>
            <w:tcW w:w="2423" w:type="dxa"/>
            <w:tcBorders>
              <w:top w:val="single" w:sz="6" w:space="0" w:color="auto"/>
              <w:left w:val="single" w:sz="6" w:space="0" w:color="auto"/>
              <w:bottom w:val="single" w:sz="6" w:space="0" w:color="auto"/>
            </w:tcBorders>
          </w:tcPr>
          <w:p w:rsidR="00E67744" w:rsidRPr="00581542" w:rsidP="002533BB" w14:paraId="6A811EB1" w14:textId="77777777">
            <w:pPr>
              <w:rPr>
                <w:color w:val="000000" w:themeColor="text1"/>
                <w:sz w:val="22"/>
                <w:szCs w:val="22"/>
              </w:rPr>
            </w:pPr>
            <w:r w:rsidRPr="00581542">
              <w:rPr>
                <w:color w:val="000000" w:themeColor="text1"/>
                <w:sz w:val="22"/>
                <w:szCs w:val="22"/>
              </w:rPr>
              <w:t>Updates</w:t>
            </w:r>
          </w:p>
        </w:tc>
        <w:tc>
          <w:tcPr>
            <w:tcW w:w="1439" w:type="dxa"/>
            <w:tcBorders>
              <w:top w:val="single" w:sz="6" w:space="0" w:color="auto"/>
              <w:left w:val="single" w:sz="6" w:space="0" w:color="auto"/>
              <w:bottom w:val="single" w:sz="6" w:space="0" w:color="auto"/>
            </w:tcBorders>
          </w:tcPr>
          <w:p w:rsidR="00E67744" w:rsidRPr="00581542" w:rsidP="002533BB" w14:paraId="76835FEA" w14:textId="77777777">
            <w:pPr>
              <w:rPr>
                <w:color w:val="000000" w:themeColor="text1"/>
                <w:sz w:val="22"/>
                <w:szCs w:val="22"/>
              </w:rPr>
            </w:pPr>
            <w:r w:rsidRPr="00581542">
              <w:rPr>
                <w:color w:val="000000" w:themeColor="text1"/>
                <w:sz w:val="22"/>
                <w:szCs w:val="22"/>
              </w:rPr>
              <w:t>Data Entry Personnel</w:t>
            </w:r>
          </w:p>
        </w:tc>
        <w:tc>
          <w:tcPr>
            <w:tcW w:w="1530" w:type="dxa"/>
            <w:tcBorders>
              <w:top w:val="single" w:sz="6" w:space="0" w:color="auto"/>
              <w:left w:val="single" w:sz="6" w:space="0" w:color="auto"/>
              <w:bottom w:val="single" w:sz="6" w:space="0" w:color="auto"/>
            </w:tcBorders>
          </w:tcPr>
          <w:p w:rsidR="00E67744" w:rsidRPr="00581542" w:rsidP="002533BB" w14:paraId="29037843" w14:textId="77777777">
            <w:pPr>
              <w:jc w:val="center"/>
              <w:rPr>
                <w:color w:val="000000" w:themeColor="text1"/>
                <w:sz w:val="22"/>
                <w:szCs w:val="22"/>
              </w:rPr>
            </w:pPr>
            <w:r w:rsidRPr="00581542">
              <w:rPr>
                <w:color w:val="000000" w:themeColor="text1"/>
                <w:sz w:val="22"/>
                <w:szCs w:val="22"/>
              </w:rPr>
              <w:t>7,400</w:t>
            </w:r>
          </w:p>
        </w:tc>
        <w:tc>
          <w:tcPr>
            <w:tcW w:w="1440" w:type="dxa"/>
            <w:tcBorders>
              <w:top w:val="single" w:sz="6" w:space="0" w:color="auto"/>
              <w:left w:val="single" w:sz="6" w:space="0" w:color="auto"/>
              <w:bottom w:val="single" w:sz="6" w:space="0" w:color="auto"/>
            </w:tcBorders>
          </w:tcPr>
          <w:p w:rsidR="00E67744" w:rsidRPr="00581542" w:rsidP="002533BB" w14:paraId="05297DAE" w14:textId="77777777">
            <w:pPr>
              <w:jc w:val="center"/>
              <w:rPr>
                <w:color w:val="000000" w:themeColor="text1"/>
                <w:sz w:val="22"/>
                <w:szCs w:val="22"/>
              </w:rPr>
            </w:pPr>
            <w:r w:rsidRPr="00581542">
              <w:rPr>
                <w:color w:val="000000" w:themeColor="text1"/>
                <w:sz w:val="22"/>
                <w:szCs w:val="22"/>
              </w:rPr>
              <w:t>8</w:t>
            </w:r>
          </w:p>
        </w:tc>
        <w:tc>
          <w:tcPr>
            <w:tcW w:w="1516" w:type="dxa"/>
            <w:tcBorders>
              <w:top w:val="single" w:sz="6" w:space="0" w:color="auto"/>
              <w:left w:val="single" w:sz="6" w:space="0" w:color="auto"/>
              <w:bottom w:val="single" w:sz="6" w:space="0" w:color="auto"/>
            </w:tcBorders>
          </w:tcPr>
          <w:p w:rsidR="00E67744" w:rsidRPr="00581542" w:rsidP="002533BB" w14:paraId="23C73FCC" w14:textId="77777777">
            <w:pPr>
              <w:jc w:val="center"/>
              <w:rPr>
                <w:color w:val="000000" w:themeColor="text1"/>
                <w:sz w:val="22"/>
                <w:szCs w:val="22"/>
              </w:rPr>
            </w:pPr>
            <w:r w:rsidRPr="00581542">
              <w:rPr>
                <w:color w:val="000000" w:themeColor="text1"/>
                <w:sz w:val="22"/>
                <w:szCs w:val="22"/>
              </w:rPr>
              <w:t>2</w:t>
            </w:r>
          </w:p>
        </w:tc>
        <w:tc>
          <w:tcPr>
            <w:tcW w:w="1184" w:type="dxa"/>
            <w:tcBorders>
              <w:top w:val="single" w:sz="6" w:space="0" w:color="auto"/>
              <w:left w:val="single" w:sz="6" w:space="0" w:color="auto"/>
              <w:bottom w:val="single" w:sz="6" w:space="0" w:color="auto"/>
              <w:right w:val="single" w:sz="6" w:space="0" w:color="auto"/>
            </w:tcBorders>
          </w:tcPr>
          <w:p w:rsidR="00E67744" w:rsidRPr="00581542" w:rsidP="002533BB" w14:paraId="2DE748CE" w14:textId="77777777">
            <w:pPr>
              <w:jc w:val="center"/>
              <w:rPr>
                <w:color w:val="000000" w:themeColor="text1"/>
                <w:sz w:val="22"/>
                <w:szCs w:val="22"/>
              </w:rPr>
            </w:pPr>
            <w:r w:rsidRPr="00581542">
              <w:rPr>
                <w:color w:val="000000" w:themeColor="text1"/>
                <w:sz w:val="22"/>
                <w:szCs w:val="22"/>
              </w:rPr>
              <w:t xml:space="preserve"> </w:t>
            </w:r>
            <w:r w:rsidRPr="00581542" w:rsidR="002E1CE6">
              <w:rPr>
                <w:color w:val="000000" w:themeColor="text1"/>
                <w:sz w:val="22"/>
                <w:szCs w:val="22"/>
              </w:rPr>
              <w:t>118,400</w:t>
            </w:r>
          </w:p>
        </w:tc>
      </w:tr>
      <w:tr w14:paraId="39063028" w14:textId="77777777" w:rsidTr="001351D1">
        <w:tblPrEx>
          <w:tblW w:w="9532" w:type="dxa"/>
          <w:jc w:val="center"/>
          <w:tblLayout w:type="fixed"/>
          <w:tblCellMar>
            <w:left w:w="100" w:type="dxa"/>
            <w:right w:w="100" w:type="dxa"/>
          </w:tblCellMar>
          <w:tblLook w:val="0000"/>
        </w:tblPrEx>
        <w:trPr>
          <w:cantSplit/>
          <w:trHeight w:val="372"/>
          <w:jc w:val="center"/>
        </w:trPr>
        <w:tc>
          <w:tcPr>
            <w:tcW w:w="2423" w:type="dxa"/>
            <w:tcBorders>
              <w:top w:val="single" w:sz="6" w:space="0" w:color="auto"/>
              <w:left w:val="single" w:sz="6" w:space="0" w:color="auto"/>
              <w:bottom w:val="single" w:sz="6" w:space="0" w:color="auto"/>
            </w:tcBorders>
            <w:shd w:val="clear" w:color="auto" w:fill="FFFFFF" w:themeFill="background1"/>
          </w:tcPr>
          <w:p w:rsidR="002E1CE6" w:rsidRPr="00581542" w:rsidP="002533BB" w14:paraId="797A05A1" w14:textId="77777777">
            <w:pPr>
              <w:rPr>
                <w:i/>
                <w:color w:val="000000" w:themeColor="text1"/>
                <w:sz w:val="22"/>
                <w:szCs w:val="22"/>
              </w:rPr>
            </w:pPr>
            <w:r w:rsidRPr="00581542">
              <w:rPr>
                <w:color w:val="000000" w:themeColor="text1"/>
                <w:sz w:val="22"/>
                <w:szCs w:val="22"/>
              </w:rPr>
              <w:t xml:space="preserve">Registration </w:t>
            </w:r>
            <w:r w:rsidRPr="00581542" w:rsidR="00D1054D">
              <w:rPr>
                <w:color w:val="000000" w:themeColor="text1"/>
                <w:sz w:val="22"/>
                <w:szCs w:val="22"/>
              </w:rPr>
              <w:t>T</w:t>
            </w:r>
            <w:r w:rsidRPr="00581542">
              <w:rPr>
                <w:color w:val="000000" w:themeColor="text1"/>
                <w:sz w:val="22"/>
                <w:szCs w:val="22"/>
              </w:rPr>
              <w:t xml:space="preserve">riggered by </w:t>
            </w:r>
            <w:r w:rsidRPr="00581542" w:rsidR="00D1054D">
              <w:rPr>
                <w:color w:val="000000" w:themeColor="text1"/>
                <w:sz w:val="22"/>
                <w:szCs w:val="22"/>
              </w:rPr>
              <w:t>V</w:t>
            </w:r>
            <w:r w:rsidRPr="00581542">
              <w:rPr>
                <w:color w:val="000000" w:themeColor="text1"/>
                <w:sz w:val="22"/>
                <w:szCs w:val="22"/>
              </w:rPr>
              <w:t xml:space="preserve">oluntary </w:t>
            </w:r>
            <w:r w:rsidRPr="00581542" w:rsidR="00D1054D">
              <w:rPr>
                <w:color w:val="000000" w:themeColor="text1"/>
                <w:sz w:val="22"/>
                <w:szCs w:val="22"/>
              </w:rPr>
              <w:t>S</w:t>
            </w:r>
            <w:r w:rsidRPr="00581542">
              <w:rPr>
                <w:color w:val="000000" w:themeColor="text1"/>
                <w:sz w:val="22"/>
                <w:szCs w:val="22"/>
              </w:rPr>
              <w:t>ubmission</w:t>
            </w:r>
          </w:p>
        </w:tc>
        <w:tc>
          <w:tcPr>
            <w:tcW w:w="1439" w:type="dxa"/>
            <w:tcBorders>
              <w:top w:val="single" w:sz="6" w:space="0" w:color="auto"/>
              <w:left w:val="single" w:sz="6" w:space="0" w:color="auto"/>
              <w:bottom w:val="single" w:sz="6" w:space="0" w:color="auto"/>
            </w:tcBorders>
            <w:shd w:val="clear" w:color="auto" w:fill="FFFFFF" w:themeFill="background1"/>
          </w:tcPr>
          <w:p w:rsidR="002E1CE6" w:rsidRPr="00581542" w:rsidP="002533BB" w14:paraId="5936EDB8" w14:textId="77777777">
            <w:pPr>
              <w:rPr>
                <w:color w:val="000000" w:themeColor="text1"/>
                <w:sz w:val="22"/>
                <w:szCs w:val="22"/>
              </w:rPr>
            </w:pPr>
            <w:r w:rsidRPr="00581542">
              <w:rPr>
                <w:color w:val="000000" w:themeColor="text1"/>
                <w:sz w:val="22"/>
                <w:szCs w:val="22"/>
              </w:rPr>
              <w:t>Data Entry Personnel</w:t>
            </w:r>
          </w:p>
        </w:tc>
        <w:tc>
          <w:tcPr>
            <w:tcW w:w="1530" w:type="dxa"/>
            <w:tcBorders>
              <w:top w:val="single" w:sz="6" w:space="0" w:color="auto"/>
              <w:left w:val="single" w:sz="6" w:space="0" w:color="auto"/>
              <w:bottom w:val="single" w:sz="6" w:space="0" w:color="auto"/>
            </w:tcBorders>
            <w:shd w:val="clear" w:color="auto" w:fill="FFFFFF" w:themeFill="background1"/>
          </w:tcPr>
          <w:p w:rsidR="002E1CE6" w:rsidRPr="00581542" w:rsidP="003C75C1" w14:paraId="65E8D161" w14:textId="47532EF6">
            <w:pPr>
              <w:tabs>
                <w:tab w:val="left" w:pos="720"/>
                <w:tab w:val="left" w:pos="4136"/>
              </w:tabs>
              <w:jc w:val="center"/>
              <w:rPr>
                <w:color w:val="000000" w:themeColor="text1"/>
                <w:sz w:val="22"/>
                <w:szCs w:val="22"/>
              </w:rPr>
            </w:pPr>
            <w:r w:rsidRPr="005C68D7">
              <w:rPr>
                <w:color w:val="000000" w:themeColor="text1"/>
                <w:sz w:val="22"/>
                <w:szCs w:val="22"/>
                <w:highlight w:val="yellow"/>
              </w:rPr>
              <w:t>182</w:t>
            </w:r>
          </w:p>
        </w:tc>
        <w:tc>
          <w:tcPr>
            <w:tcW w:w="1440" w:type="dxa"/>
            <w:tcBorders>
              <w:top w:val="single" w:sz="6" w:space="0" w:color="auto"/>
              <w:left w:val="single" w:sz="6" w:space="0" w:color="auto"/>
              <w:bottom w:val="single" w:sz="6" w:space="0" w:color="auto"/>
            </w:tcBorders>
            <w:shd w:val="clear" w:color="auto" w:fill="FFFFFF" w:themeFill="background1"/>
          </w:tcPr>
          <w:p w:rsidR="002E1CE6" w:rsidRPr="00581542" w:rsidP="002533BB" w14:paraId="2FB57518" w14:textId="77777777">
            <w:pPr>
              <w:jc w:val="center"/>
              <w:rPr>
                <w:color w:val="000000" w:themeColor="text1"/>
                <w:sz w:val="22"/>
                <w:szCs w:val="22"/>
              </w:rPr>
            </w:pPr>
            <w:r w:rsidRPr="00581542">
              <w:rPr>
                <w:color w:val="000000" w:themeColor="text1"/>
                <w:sz w:val="22"/>
                <w:szCs w:val="22"/>
              </w:rPr>
              <w:t>1</w:t>
            </w:r>
          </w:p>
        </w:tc>
        <w:tc>
          <w:tcPr>
            <w:tcW w:w="1516" w:type="dxa"/>
            <w:tcBorders>
              <w:top w:val="single" w:sz="6" w:space="0" w:color="auto"/>
              <w:left w:val="single" w:sz="6" w:space="0" w:color="auto"/>
              <w:bottom w:val="single" w:sz="6" w:space="0" w:color="auto"/>
            </w:tcBorders>
            <w:shd w:val="clear" w:color="auto" w:fill="FFFFFF" w:themeFill="background1"/>
          </w:tcPr>
          <w:p w:rsidR="002E1CE6" w:rsidRPr="00581542" w:rsidP="002533BB" w14:paraId="5F59E10D" w14:textId="77777777">
            <w:pPr>
              <w:jc w:val="center"/>
              <w:rPr>
                <w:color w:val="000000" w:themeColor="text1"/>
                <w:sz w:val="22"/>
                <w:szCs w:val="22"/>
              </w:rPr>
            </w:pPr>
            <w:r w:rsidRPr="00581542">
              <w:rPr>
                <w:color w:val="000000" w:themeColor="text1"/>
                <w:sz w:val="22"/>
                <w:szCs w:val="22"/>
              </w:rPr>
              <w:t>8</w:t>
            </w:r>
          </w:p>
        </w:tc>
        <w:tc>
          <w:tcPr>
            <w:tcW w:w="1184" w:type="dxa"/>
            <w:tcBorders>
              <w:top w:val="single" w:sz="6" w:space="0" w:color="auto"/>
              <w:left w:val="single" w:sz="6" w:space="0" w:color="auto"/>
              <w:bottom w:val="single" w:sz="6" w:space="0" w:color="auto"/>
              <w:right w:val="single" w:sz="6" w:space="0" w:color="auto"/>
            </w:tcBorders>
            <w:shd w:val="clear" w:color="auto" w:fill="FFFFFF" w:themeFill="background1"/>
          </w:tcPr>
          <w:p w:rsidR="002E1CE6" w:rsidRPr="00581542" w:rsidP="002533BB" w14:paraId="161B8691" w14:textId="5D3D791E">
            <w:pPr>
              <w:jc w:val="center"/>
              <w:rPr>
                <w:color w:val="000000" w:themeColor="text1"/>
                <w:sz w:val="22"/>
                <w:szCs w:val="22"/>
              </w:rPr>
            </w:pPr>
            <w:r w:rsidRPr="005C68D7">
              <w:rPr>
                <w:color w:val="000000" w:themeColor="text1"/>
                <w:sz w:val="22"/>
                <w:szCs w:val="22"/>
                <w:highlight w:val="yellow"/>
              </w:rPr>
              <w:t>1,456</w:t>
            </w:r>
          </w:p>
        </w:tc>
      </w:tr>
      <w:tr w14:paraId="05F9E014" w14:textId="77777777" w:rsidTr="001351D1">
        <w:tblPrEx>
          <w:tblW w:w="9532" w:type="dxa"/>
          <w:jc w:val="center"/>
          <w:tblLayout w:type="fixed"/>
          <w:tblCellMar>
            <w:left w:w="100" w:type="dxa"/>
            <w:right w:w="100" w:type="dxa"/>
          </w:tblCellMar>
          <w:tblLook w:val="0000"/>
        </w:tblPrEx>
        <w:trPr>
          <w:cantSplit/>
          <w:trHeight w:val="372"/>
          <w:jc w:val="center"/>
        </w:trPr>
        <w:tc>
          <w:tcPr>
            <w:tcW w:w="2423" w:type="dxa"/>
            <w:tcBorders>
              <w:top w:val="single" w:sz="6" w:space="0" w:color="auto"/>
              <w:left w:val="single" w:sz="6" w:space="0" w:color="auto"/>
              <w:bottom w:val="single" w:sz="6" w:space="0" w:color="auto"/>
            </w:tcBorders>
            <w:shd w:val="clear" w:color="auto" w:fill="FFFFFF" w:themeFill="background1"/>
          </w:tcPr>
          <w:p w:rsidR="009F07DA" w:rsidRPr="00581542" w:rsidP="002533BB" w14:paraId="3D72534F" w14:textId="77777777">
            <w:pPr>
              <w:rPr>
                <w:color w:val="000000" w:themeColor="text1"/>
                <w:sz w:val="22"/>
                <w:szCs w:val="22"/>
              </w:rPr>
            </w:pPr>
            <w:r w:rsidRPr="00581542">
              <w:rPr>
                <w:color w:val="000000" w:themeColor="text1"/>
                <w:sz w:val="22"/>
                <w:szCs w:val="22"/>
              </w:rPr>
              <w:t>Initial Registration of Non-regulated Submissions related to the NIH Policy</w:t>
            </w:r>
          </w:p>
        </w:tc>
        <w:tc>
          <w:tcPr>
            <w:tcW w:w="1439" w:type="dxa"/>
            <w:tcBorders>
              <w:top w:val="single" w:sz="6" w:space="0" w:color="auto"/>
              <w:left w:val="single" w:sz="6" w:space="0" w:color="auto"/>
              <w:bottom w:val="single" w:sz="6" w:space="0" w:color="auto"/>
            </w:tcBorders>
            <w:shd w:val="clear" w:color="auto" w:fill="FFFFFF" w:themeFill="background1"/>
          </w:tcPr>
          <w:p w:rsidR="009F07DA" w:rsidRPr="00581542" w:rsidP="002533BB" w14:paraId="65F2E34D" w14:textId="77777777">
            <w:pPr>
              <w:rPr>
                <w:color w:val="000000" w:themeColor="text1"/>
                <w:sz w:val="22"/>
                <w:szCs w:val="22"/>
              </w:rPr>
            </w:pPr>
            <w:r w:rsidRPr="00581542">
              <w:rPr>
                <w:color w:val="000000" w:themeColor="text1"/>
                <w:sz w:val="22"/>
                <w:szCs w:val="22"/>
              </w:rPr>
              <w:t>Data Entry Personnel</w:t>
            </w:r>
          </w:p>
        </w:tc>
        <w:tc>
          <w:tcPr>
            <w:tcW w:w="1530" w:type="dxa"/>
            <w:tcBorders>
              <w:top w:val="single" w:sz="6" w:space="0" w:color="auto"/>
              <w:left w:val="single" w:sz="6" w:space="0" w:color="auto"/>
              <w:bottom w:val="single" w:sz="6" w:space="0" w:color="auto"/>
            </w:tcBorders>
            <w:shd w:val="clear" w:color="auto" w:fill="FFFFFF" w:themeFill="background1"/>
          </w:tcPr>
          <w:p w:rsidR="009F07DA" w:rsidRPr="00581542" w:rsidP="002533BB" w14:paraId="3206E680" w14:textId="1A5C675E">
            <w:pPr>
              <w:tabs>
                <w:tab w:val="left" w:pos="720"/>
                <w:tab w:val="left" w:pos="4136"/>
              </w:tabs>
              <w:jc w:val="center"/>
              <w:rPr>
                <w:color w:val="000000" w:themeColor="text1"/>
                <w:sz w:val="22"/>
                <w:szCs w:val="22"/>
              </w:rPr>
            </w:pPr>
            <w:r w:rsidRPr="005C68D7">
              <w:rPr>
                <w:color w:val="000000" w:themeColor="text1"/>
                <w:sz w:val="22"/>
                <w:szCs w:val="22"/>
                <w:highlight w:val="yellow"/>
              </w:rPr>
              <w:t>1,200</w:t>
            </w:r>
          </w:p>
        </w:tc>
        <w:tc>
          <w:tcPr>
            <w:tcW w:w="1440" w:type="dxa"/>
            <w:tcBorders>
              <w:top w:val="single" w:sz="6" w:space="0" w:color="auto"/>
              <w:left w:val="single" w:sz="6" w:space="0" w:color="auto"/>
              <w:bottom w:val="single" w:sz="6" w:space="0" w:color="auto"/>
            </w:tcBorders>
            <w:shd w:val="clear" w:color="auto" w:fill="FFFFFF" w:themeFill="background1"/>
          </w:tcPr>
          <w:p w:rsidR="009F07DA" w:rsidRPr="00581542" w:rsidP="002533BB" w14:paraId="4DC59B0F" w14:textId="77777777">
            <w:pPr>
              <w:tabs>
                <w:tab w:val="left" w:pos="720"/>
                <w:tab w:val="left" w:pos="4136"/>
              </w:tabs>
              <w:contextualSpacing/>
              <w:jc w:val="center"/>
              <w:rPr>
                <w:color w:val="000000" w:themeColor="text1"/>
                <w:sz w:val="22"/>
                <w:szCs w:val="22"/>
              </w:rPr>
            </w:pPr>
            <w:r w:rsidRPr="00581542">
              <w:rPr>
                <w:color w:val="000000" w:themeColor="text1"/>
                <w:sz w:val="22"/>
                <w:szCs w:val="22"/>
              </w:rPr>
              <w:t>1</w:t>
            </w:r>
          </w:p>
        </w:tc>
        <w:tc>
          <w:tcPr>
            <w:tcW w:w="1516" w:type="dxa"/>
            <w:tcBorders>
              <w:top w:val="single" w:sz="6" w:space="0" w:color="auto"/>
              <w:left w:val="single" w:sz="6" w:space="0" w:color="auto"/>
              <w:bottom w:val="single" w:sz="6" w:space="0" w:color="auto"/>
            </w:tcBorders>
            <w:shd w:val="clear" w:color="auto" w:fill="FFFFFF" w:themeFill="background1"/>
          </w:tcPr>
          <w:p w:rsidR="009F07DA" w:rsidRPr="00581542" w:rsidP="002533BB" w14:paraId="30DA7122" w14:textId="77777777">
            <w:pPr>
              <w:tabs>
                <w:tab w:val="left" w:pos="720"/>
                <w:tab w:val="left" w:pos="4136"/>
              </w:tabs>
              <w:contextualSpacing/>
              <w:jc w:val="center"/>
              <w:rPr>
                <w:color w:val="000000" w:themeColor="text1"/>
                <w:sz w:val="22"/>
                <w:szCs w:val="22"/>
              </w:rPr>
            </w:pPr>
            <w:r w:rsidRPr="00581542">
              <w:rPr>
                <w:color w:val="000000" w:themeColor="text1"/>
                <w:sz w:val="22"/>
                <w:szCs w:val="22"/>
              </w:rPr>
              <w:t>8</w:t>
            </w:r>
          </w:p>
        </w:tc>
        <w:tc>
          <w:tcPr>
            <w:tcW w:w="1184" w:type="dxa"/>
            <w:tcBorders>
              <w:top w:val="single" w:sz="6" w:space="0" w:color="auto"/>
              <w:left w:val="single" w:sz="6" w:space="0" w:color="auto"/>
              <w:bottom w:val="single" w:sz="6" w:space="0" w:color="auto"/>
              <w:right w:val="single" w:sz="6" w:space="0" w:color="auto"/>
            </w:tcBorders>
            <w:shd w:val="clear" w:color="auto" w:fill="FFFFFF" w:themeFill="background1"/>
          </w:tcPr>
          <w:p w:rsidR="009F07DA" w:rsidRPr="00581542" w:rsidP="002533BB" w14:paraId="4732E14B" w14:textId="65F6311A">
            <w:pPr>
              <w:tabs>
                <w:tab w:val="left" w:pos="720"/>
                <w:tab w:val="left" w:pos="4136"/>
              </w:tabs>
              <w:contextualSpacing/>
              <w:jc w:val="center"/>
              <w:rPr>
                <w:color w:val="000000" w:themeColor="text1"/>
                <w:sz w:val="22"/>
                <w:szCs w:val="22"/>
              </w:rPr>
            </w:pPr>
            <w:r w:rsidRPr="005C68D7">
              <w:rPr>
                <w:color w:val="000000" w:themeColor="text1"/>
                <w:sz w:val="22"/>
                <w:szCs w:val="22"/>
                <w:highlight w:val="yellow"/>
              </w:rPr>
              <w:t>9,600</w:t>
            </w:r>
          </w:p>
        </w:tc>
      </w:tr>
      <w:tr w14:paraId="1AD155EA" w14:textId="77777777" w:rsidTr="001351D1">
        <w:tblPrEx>
          <w:tblW w:w="9532" w:type="dxa"/>
          <w:jc w:val="center"/>
          <w:tblLayout w:type="fixed"/>
          <w:tblCellMar>
            <w:left w:w="100" w:type="dxa"/>
            <w:right w:w="100" w:type="dxa"/>
          </w:tblCellMar>
          <w:tblLook w:val="0000"/>
        </w:tblPrEx>
        <w:trPr>
          <w:cantSplit/>
          <w:trHeight w:val="372"/>
          <w:jc w:val="center"/>
        </w:trPr>
        <w:tc>
          <w:tcPr>
            <w:tcW w:w="2423" w:type="dxa"/>
            <w:tcBorders>
              <w:top w:val="single" w:sz="6" w:space="0" w:color="auto"/>
              <w:left w:val="single" w:sz="6" w:space="0" w:color="auto"/>
              <w:bottom w:val="single" w:sz="6" w:space="0" w:color="auto"/>
            </w:tcBorders>
            <w:shd w:val="clear" w:color="auto" w:fill="FFFFFF" w:themeFill="background1"/>
          </w:tcPr>
          <w:p w:rsidR="00D70C0C" w:rsidRPr="00581542" w:rsidP="002533BB" w14:paraId="5E160CF8" w14:textId="77777777">
            <w:pPr>
              <w:rPr>
                <w:color w:val="000000" w:themeColor="text1"/>
                <w:sz w:val="22"/>
                <w:szCs w:val="22"/>
              </w:rPr>
            </w:pPr>
            <w:r w:rsidRPr="00581542">
              <w:rPr>
                <w:color w:val="000000" w:themeColor="text1"/>
                <w:sz w:val="22"/>
                <w:szCs w:val="22"/>
              </w:rPr>
              <w:t>Update</w:t>
            </w:r>
            <w:r w:rsidRPr="00581542" w:rsidR="00ED64C6">
              <w:rPr>
                <w:color w:val="000000" w:themeColor="text1"/>
                <w:sz w:val="22"/>
                <w:szCs w:val="22"/>
              </w:rPr>
              <w:t>d</w:t>
            </w:r>
            <w:r w:rsidRPr="00581542">
              <w:rPr>
                <w:color w:val="000000" w:themeColor="text1"/>
                <w:sz w:val="22"/>
                <w:szCs w:val="22"/>
              </w:rPr>
              <w:t xml:space="preserve"> Registration of Non-regulated Submissions related to the NIH Policy</w:t>
            </w:r>
          </w:p>
        </w:tc>
        <w:tc>
          <w:tcPr>
            <w:tcW w:w="1439" w:type="dxa"/>
            <w:tcBorders>
              <w:top w:val="single" w:sz="6" w:space="0" w:color="auto"/>
              <w:left w:val="single" w:sz="6" w:space="0" w:color="auto"/>
              <w:bottom w:val="single" w:sz="6" w:space="0" w:color="auto"/>
            </w:tcBorders>
            <w:shd w:val="clear" w:color="auto" w:fill="FFFFFF" w:themeFill="background1"/>
          </w:tcPr>
          <w:p w:rsidR="00D70C0C" w:rsidRPr="00581542" w:rsidP="002533BB" w14:paraId="0EFC7EA8" w14:textId="77777777">
            <w:pPr>
              <w:rPr>
                <w:color w:val="000000" w:themeColor="text1"/>
                <w:sz w:val="22"/>
                <w:szCs w:val="22"/>
              </w:rPr>
            </w:pPr>
            <w:r w:rsidRPr="00581542">
              <w:rPr>
                <w:color w:val="000000" w:themeColor="text1"/>
                <w:sz w:val="22"/>
                <w:szCs w:val="22"/>
              </w:rPr>
              <w:t>Data Entry Personnel</w:t>
            </w:r>
          </w:p>
        </w:tc>
        <w:tc>
          <w:tcPr>
            <w:tcW w:w="1530" w:type="dxa"/>
            <w:tcBorders>
              <w:top w:val="single" w:sz="6" w:space="0" w:color="auto"/>
              <w:left w:val="single" w:sz="6" w:space="0" w:color="auto"/>
              <w:bottom w:val="single" w:sz="6" w:space="0" w:color="auto"/>
            </w:tcBorders>
            <w:shd w:val="clear" w:color="auto" w:fill="FFFFFF" w:themeFill="background1"/>
          </w:tcPr>
          <w:p w:rsidR="00D70C0C" w:rsidRPr="00581542" w:rsidP="002533BB" w14:paraId="0793B07A" w14:textId="30C695E0">
            <w:pPr>
              <w:tabs>
                <w:tab w:val="left" w:pos="720"/>
                <w:tab w:val="left" w:pos="4136"/>
              </w:tabs>
              <w:jc w:val="center"/>
              <w:rPr>
                <w:color w:val="000000" w:themeColor="text1"/>
                <w:sz w:val="22"/>
                <w:szCs w:val="22"/>
              </w:rPr>
            </w:pPr>
            <w:r w:rsidRPr="005C68D7">
              <w:rPr>
                <w:color w:val="000000" w:themeColor="text1"/>
                <w:sz w:val="22"/>
                <w:szCs w:val="22"/>
                <w:highlight w:val="yellow"/>
              </w:rPr>
              <w:t>1,200</w:t>
            </w:r>
          </w:p>
        </w:tc>
        <w:tc>
          <w:tcPr>
            <w:tcW w:w="1440" w:type="dxa"/>
            <w:tcBorders>
              <w:top w:val="single" w:sz="6" w:space="0" w:color="auto"/>
              <w:left w:val="single" w:sz="6" w:space="0" w:color="auto"/>
              <w:bottom w:val="single" w:sz="6" w:space="0" w:color="auto"/>
            </w:tcBorders>
            <w:shd w:val="clear" w:color="auto" w:fill="FFFFFF" w:themeFill="background1"/>
          </w:tcPr>
          <w:p w:rsidR="00D70C0C" w:rsidRPr="00581542" w:rsidP="002533BB" w14:paraId="47E5E9B3" w14:textId="77777777">
            <w:pPr>
              <w:tabs>
                <w:tab w:val="left" w:pos="720"/>
                <w:tab w:val="left" w:pos="4136"/>
              </w:tabs>
              <w:contextualSpacing/>
              <w:jc w:val="center"/>
              <w:rPr>
                <w:color w:val="000000" w:themeColor="text1"/>
                <w:sz w:val="22"/>
                <w:szCs w:val="22"/>
              </w:rPr>
            </w:pPr>
            <w:r w:rsidRPr="00581542">
              <w:rPr>
                <w:color w:val="000000" w:themeColor="text1"/>
                <w:sz w:val="22"/>
                <w:szCs w:val="22"/>
              </w:rPr>
              <w:t>8</w:t>
            </w:r>
          </w:p>
        </w:tc>
        <w:tc>
          <w:tcPr>
            <w:tcW w:w="1516" w:type="dxa"/>
            <w:tcBorders>
              <w:top w:val="single" w:sz="6" w:space="0" w:color="auto"/>
              <w:left w:val="single" w:sz="6" w:space="0" w:color="auto"/>
              <w:bottom w:val="single" w:sz="6" w:space="0" w:color="auto"/>
            </w:tcBorders>
            <w:shd w:val="clear" w:color="auto" w:fill="FFFFFF" w:themeFill="background1"/>
          </w:tcPr>
          <w:p w:rsidR="00D70C0C" w:rsidRPr="00581542" w:rsidP="002533BB" w14:paraId="5A434667" w14:textId="77777777">
            <w:pPr>
              <w:tabs>
                <w:tab w:val="left" w:pos="720"/>
                <w:tab w:val="left" w:pos="4136"/>
              </w:tabs>
              <w:contextualSpacing/>
              <w:jc w:val="center"/>
              <w:rPr>
                <w:color w:val="000000" w:themeColor="text1"/>
                <w:sz w:val="22"/>
                <w:szCs w:val="22"/>
              </w:rPr>
            </w:pPr>
            <w:r w:rsidRPr="00581542">
              <w:rPr>
                <w:color w:val="000000" w:themeColor="text1"/>
                <w:sz w:val="22"/>
                <w:szCs w:val="22"/>
              </w:rPr>
              <w:t>2</w:t>
            </w:r>
          </w:p>
        </w:tc>
        <w:tc>
          <w:tcPr>
            <w:tcW w:w="1184" w:type="dxa"/>
            <w:tcBorders>
              <w:top w:val="single" w:sz="6" w:space="0" w:color="auto"/>
              <w:left w:val="single" w:sz="6" w:space="0" w:color="auto"/>
              <w:bottom w:val="single" w:sz="6" w:space="0" w:color="auto"/>
              <w:right w:val="single" w:sz="6" w:space="0" w:color="auto"/>
            </w:tcBorders>
            <w:shd w:val="clear" w:color="auto" w:fill="FFFFFF" w:themeFill="background1"/>
          </w:tcPr>
          <w:p w:rsidR="00D70C0C" w:rsidRPr="00581542" w:rsidP="001763AC" w14:paraId="6AAD70E8" w14:textId="2AE9E487">
            <w:pPr>
              <w:tabs>
                <w:tab w:val="left" w:pos="720"/>
                <w:tab w:val="left" w:pos="4136"/>
              </w:tabs>
              <w:contextualSpacing/>
              <w:jc w:val="center"/>
              <w:rPr>
                <w:color w:val="000000" w:themeColor="text1"/>
                <w:sz w:val="22"/>
                <w:szCs w:val="22"/>
              </w:rPr>
            </w:pPr>
            <w:r w:rsidRPr="005C68D7">
              <w:rPr>
                <w:color w:val="000000" w:themeColor="text1"/>
                <w:sz w:val="22"/>
                <w:szCs w:val="22"/>
                <w:highlight w:val="yellow"/>
              </w:rPr>
              <w:t>19,200</w:t>
            </w:r>
          </w:p>
        </w:tc>
      </w:tr>
      <w:tr w14:paraId="2FB63E52" w14:textId="77777777" w:rsidTr="001351D1">
        <w:tblPrEx>
          <w:tblW w:w="9532" w:type="dxa"/>
          <w:jc w:val="center"/>
          <w:tblLayout w:type="fixed"/>
          <w:tblCellMar>
            <w:left w:w="100" w:type="dxa"/>
            <w:right w:w="100" w:type="dxa"/>
          </w:tblCellMar>
          <w:tblLook w:val="0000"/>
        </w:tblPrEx>
        <w:trPr>
          <w:cantSplit/>
          <w:trHeight w:val="372"/>
          <w:jc w:val="center"/>
        </w:trPr>
        <w:tc>
          <w:tcPr>
            <w:tcW w:w="2423" w:type="dxa"/>
            <w:tcBorders>
              <w:top w:val="single" w:sz="6" w:space="0" w:color="auto"/>
              <w:left w:val="single" w:sz="6" w:space="0" w:color="auto"/>
              <w:bottom w:val="single" w:sz="6" w:space="0" w:color="auto"/>
            </w:tcBorders>
            <w:shd w:val="clear" w:color="auto" w:fill="FFFFFF" w:themeFill="background1"/>
          </w:tcPr>
          <w:p w:rsidR="00D70C0C" w:rsidRPr="00581542" w:rsidP="002533BB" w14:paraId="6BD9BF7B" w14:textId="77777777">
            <w:pPr>
              <w:rPr>
                <w:color w:val="000000" w:themeColor="text1"/>
                <w:sz w:val="22"/>
                <w:szCs w:val="22"/>
              </w:rPr>
            </w:pPr>
            <w:r w:rsidRPr="00581542">
              <w:rPr>
                <w:color w:val="000000" w:themeColor="text1"/>
                <w:sz w:val="22"/>
                <w:szCs w:val="22"/>
              </w:rPr>
              <w:t xml:space="preserve">Initial Registration of </w:t>
            </w:r>
            <w:r w:rsidRPr="00581542" w:rsidR="00ED64C6">
              <w:rPr>
                <w:color w:val="000000" w:themeColor="text1"/>
                <w:sz w:val="22"/>
                <w:szCs w:val="22"/>
              </w:rPr>
              <w:t xml:space="preserve">Voluntary and </w:t>
            </w:r>
            <w:r w:rsidRPr="00581542">
              <w:rPr>
                <w:color w:val="000000" w:themeColor="text1"/>
                <w:sz w:val="22"/>
                <w:szCs w:val="22"/>
              </w:rPr>
              <w:t>Non-regulated Submissions</w:t>
            </w:r>
          </w:p>
        </w:tc>
        <w:tc>
          <w:tcPr>
            <w:tcW w:w="1439" w:type="dxa"/>
            <w:tcBorders>
              <w:top w:val="single" w:sz="6" w:space="0" w:color="auto"/>
              <w:left w:val="single" w:sz="6" w:space="0" w:color="auto"/>
              <w:bottom w:val="single" w:sz="6" w:space="0" w:color="auto"/>
            </w:tcBorders>
            <w:shd w:val="clear" w:color="auto" w:fill="FFFFFF" w:themeFill="background1"/>
          </w:tcPr>
          <w:p w:rsidR="00D70C0C" w:rsidRPr="00581542" w:rsidP="002533BB" w14:paraId="1B93CAD8" w14:textId="77777777">
            <w:pPr>
              <w:rPr>
                <w:color w:val="000000" w:themeColor="text1"/>
                <w:sz w:val="22"/>
                <w:szCs w:val="22"/>
              </w:rPr>
            </w:pPr>
            <w:r w:rsidRPr="00581542">
              <w:rPr>
                <w:color w:val="000000" w:themeColor="text1"/>
                <w:sz w:val="22"/>
                <w:szCs w:val="22"/>
              </w:rPr>
              <w:t>Data Entry Personnel</w:t>
            </w:r>
          </w:p>
        </w:tc>
        <w:tc>
          <w:tcPr>
            <w:tcW w:w="1530" w:type="dxa"/>
            <w:tcBorders>
              <w:top w:val="single" w:sz="6" w:space="0" w:color="auto"/>
              <w:left w:val="single" w:sz="6" w:space="0" w:color="auto"/>
              <w:bottom w:val="single" w:sz="6" w:space="0" w:color="auto"/>
            </w:tcBorders>
            <w:shd w:val="clear" w:color="auto" w:fill="FFFFFF" w:themeFill="background1"/>
          </w:tcPr>
          <w:p w:rsidR="00D70C0C" w:rsidRPr="00C06B04" w:rsidP="002533BB" w14:paraId="0FD98F5F" w14:textId="69F0E49C">
            <w:pPr>
              <w:tabs>
                <w:tab w:val="left" w:pos="720"/>
                <w:tab w:val="left" w:pos="4136"/>
              </w:tabs>
              <w:jc w:val="center"/>
              <w:rPr>
                <w:color w:val="000000" w:themeColor="text1"/>
                <w:sz w:val="22"/>
                <w:szCs w:val="22"/>
                <w:highlight w:val="green"/>
              </w:rPr>
            </w:pPr>
            <w:r w:rsidRPr="005C68D7">
              <w:rPr>
                <w:color w:val="000000" w:themeColor="text1"/>
                <w:sz w:val="22"/>
                <w:szCs w:val="22"/>
                <w:highlight w:val="yellow"/>
              </w:rPr>
              <w:t>23,130</w:t>
            </w:r>
          </w:p>
        </w:tc>
        <w:tc>
          <w:tcPr>
            <w:tcW w:w="1440" w:type="dxa"/>
            <w:tcBorders>
              <w:top w:val="single" w:sz="6" w:space="0" w:color="auto"/>
              <w:left w:val="single" w:sz="6" w:space="0" w:color="auto"/>
              <w:bottom w:val="single" w:sz="6" w:space="0" w:color="auto"/>
            </w:tcBorders>
            <w:shd w:val="clear" w:color="auto" w:fill="FFFFFF" w:themeFill="background1"/>
          </w:tcPr>
          <w:p w:rsidR="00D70C0C" w:rsidRPr="00581542" w:rsidP="002533BB" w14:paraId="285DED41" w14:textId="77777777">
            <w:pPr>
              <w:tabs>
                <w:tab w:val="left" w:pos="720"/>
                <w:tab w:val="left" w:pos="4136"/>
              </w:tabs>
              <w:contextualSpacing/>
              <w:jc w:val="center"/>
              <w:rPr>
                <w:color w:val="000000" w:themeColor="text1"/>
                <w:sz w:val="22"/>
                <w:szCs w:val="22"/>
              </w:rPr>
            </w:pPr>
            <w:r w:rsidRPr="00581542">
              <w:rPr>
                <w:color w:val="000000" w:themeColor="text1"/>
                <w:sz w:val="22"/>
                <w:szCs w:val="22"/>
              </w:rPr>
              <w:t>1</w:t>
            </w:r>
          </w:p>
        </w:tc>
        <w:tc>
          <w:tcPr>
            <w:tcW w:w="1516" w:type="dxa"/>
            <w:tcBorders>
              <w:top w:val="single" w:sz="6" w:space="0" w:color="auto"/>
              <w:left w:val="single" w:sz="6" w:space="0" w:color="auto"/>
              <w:bottom w:val="single" w:sz="6" w:space="0" w:color="auto"/>
            </w:tcBorders>
            <w:shd w:val="clear" w:color="auto" w:fill="FFFFFF" w:themeFill="background1"/>
          </w:tcPr>
          <w:p w:rsidR="00D70C0C" w:rsidRPr="00581542" w:rsidP="002533BB" w14:paraId="3663A3DE" w14:textId="77777777">
            <w:pPr>
              <w:tabs>
                <w:tab w:val="left" w:pos="720"/>
                <w:tab w:val="left" w:pos="4136"/>
              </w:tabs>
              <w:contextualSpacing/>
              <w:jc w:val="center"/>
              <w:rPr>
                <w:color w:val="000000" w:themeColor="text1"/>
                <w:sz w:val="22"/>
                <w:szCs w:val="22"/>
              </w:rPr>
            </w:pPr>
            <w:r w:rsidRPr="00581542">
              <w:rPr>
                <w:color w:val="000000" w:themeColor="text1"/>
                <w:sz w:val="22"/>
                <w:szCs w:val="22"/>
              </w:rPr>
              <w:t>8</w:t>
            </w:r>
          </w:p>
        </w:tc>
        <w:tc>
          <w:tcPr>
            <w:tcW w:w="1184" w:type="dxa"/>
            <w:tcBorders>
              <w:top w:val="single" w:sz="6" w:space="0" w:color="auto"/>
              <w:left w:val="single" w:sz="6" w:space="0" w:color="auto"/>
              <w:bottom w:val="single" w:sz="6" w:space="0" w:color="auto"/>
              <w:right w:val="single" w:sz="6" w:space="0" w:color="auto"/>
            </w:tcBorders>
            <w:shd w:val="clear" w:color="auto" w:fill="FFFFFF" w:themeFill="background1"/>
          </w:tcPr>
          <w:p w:rsidR="00D70C0C" w:rsidRPr="00C06B04" w:rsidP="002533BB" w14:paraId="2792398B" w14:textId="597F1F25">
            <w:pPr>
              <w:tabs>
                <w:tab w:val="left" w:pos="720"/>
                <w:tab w:val="left" w:pos="4136"/>
              </w:tabs>
              <w:contextualSpacing/>
              <w:jc w:val="center"/>
              <w:rPr>
                <w:color w:val="000000" w:themeColor="text1"/>
                <w:sz w:val="22"/>
                <w:szCs w:val="22"/>
                <w:highlight w:val="green"/>
              </w:rPr>
            </w:pPr>
            <w:r w:rsidRPr="005C68D7">
              <w:rPr>
                <w:color w:val="000000" w:themeColor="text1"/>
                <w:sz w:val="22"/>
                <w:szCs w:val="22"/>
                <w:highlight w:val="yellow"/>
              </w:rPr>
              <w:t>185,040</w:t>
            </w:r>
          </w:p>
        </w:tc>
      </w:tr>
      <w:tr w14:paraId="123977A9" w14:textId="77777777" w:rsidTr="001351D1">
        <w:tblPrEx>
          <w:tblW w:w="9532" w:type="dxa"/>
          <w:jc w:val="center"/>
          <w:tblLayout w:type="fixed"/>
          <w:tblCellMar>
            <w:left w:w="100" w:type="dxa"/>
            <w:right w:w="100" w:type="dxa"/>
          </w:tblCellMar>
          <w:tblLook w:val="0000"/>
        </w:tblPrEx>
        <w:trPr>
          <w:cantSplit/>
          <w:trHeight w:val="372"/>
          <w:jc w:val="center"/>
        </w:trPr>
        <w:tc>
          <w:tcPr>
            <w:tcW w:w="2423" w:type="dxa"/>
            <w:tcBorders>
              <w:top w:val="single" w:sz="6" w:space="0" w:color="auto"/>
              <w:left w:val="single" w:sz="6" w:space="0" w:color="auto"/>
              <w:bottom w:val="single" w:sz="6" w:space="0" w:color="auto"/>
            </w:tcBorders>
            <w:shd w:val="clear" w:color="auto" w:fill="FFFFFF" w:themeFill="background1"/>
          </w:tcPr>
          <w:p w:rsidR="00D70C0C" w:rsidRPr="00581542" w:rsidP="002533BB" w14:paraId="7D81ABCC" w14:textId="77777777">
            <w:pPr>
              <w:rPr>
                <w:color w:val="000000" w:themeColor="text1"/>
                <w:sz w:val="22"/>
                <w:szCs w:val="22"/>
              </w:rPr>
            </w:pPr>
            <w:r w:rsidRPr="00581542">
              <w:rPr>
                <w:color w:val="000000" w:themeColor="text1"/>
                <w:sz w:val="22"/>
                <w:szCs w:val="22"/>
              </w:rPr>
              <w:t xml:space="preserve">Updated Registration of </w:t>
            </w:r>
            <w:r w:rsidRPr="00581542" w:rsidR="00D1054D">
              <w:rPr>
                <w:color w:val="000000" w:themeColor="text1"/>
                <w:sz w:val="22"/>
                <w:szCs w:val="22"/>
              </w:rPr>
              <w:t xml:space="preserve">Voluntary and </w:t>
            </w:r>
            <w:r w:rsidRPr="00581542">
              <w:rPr>
                <w:color w:val="000000" w:themeColor="text1"/>
                <w:sz w:val="22"/>
                <w:szCs w:val="22"/>
              </w:rPr>
              <w:t>Non-regulated Submissions</w:t>
            </w:r>
          </w:p>
        </w:tc>
        <w:tc>
          <w:tcPr>
            <w:tcW w:w="1439" w:type="dxa"/>
            <w:tcBorders>
              <w:top w:val="single" w:sz="6" w:space="0" w:color="auto"/>
              <w:left w:val="single" w:sz="6" w:space="0" w:color="auto"/>
              <w:bottom w:val="single" w:sz="6" w:space="0" w:color="auto"/>
            </w:tcBorders>
            <w:shd w:val="clear" w:color="auto" w:fill="FFFFFF" w:themeFill="background1"/>
          </w:tcPr>
          <w:p w:rsidR="00D70C0C" w:rsidRPr="00581542" w:rsidP="002533BB" w14:paraId="72A8B368" w14:textId="77777777">
            <w:pPr>
              <w:rPr>
                <w:color w:val="000000" w:themeColor="text1"/>
                <w:sz w:val="22"/>
                <w:szCs w:val="22"/>
              </w:rPr>
            </w:pPr>
            <w:r w:rsidRPr="00581542">
              <w:rPr>
                <w:color w:val="000000" w:themeColor="text1"/>
                <w:sz w:val="22"/>
                <w:szCs w:val="22"/>
              </w:rPr>
              <w:t>Data Entry Personnel</w:t>
            </w:r>
          </w:p>
        </w:tc>
        <w:tc>
          <w:tcPr>
            <w:tcW w:w="1530" w:type="dxa"/>
            <w:tcBorders>
              <w:top w:val="single" w:sz="6" w:space="0" w:color="auto"/>
              <w:left w:val="single" w:sz="6" w:space="0" w:color="auto"/>
              <w:bottom w:val="single" w:sz="6" w:space="0" w:color="auto"/>
            </w:tcBorders>
            <w:shd w:val="clear" w:color="auto" w:fill="FFFFFF" w:themeFill="background1"/>
          </w:tcPr>
          <w:p w:rsidR="00D70C0C" w:rsidRPr="00C06B04" w:rsidP="002533BB" w14:paraId="4CF79830" w14:textId="7CDAAC8C">
            <w:pPr>
              <w:tabs>
                <w:tab w:val="left" w:pos="720"/>
                <w:tab w:val="left" w:pos="4136"/>
              </w:tabs>
              <w:jc w:val="center"/>
              <w:rPr>
                <w:color w:val="000000" w:themeColor="text1"/>
                <w:sz w:val="22"/>
                <w:szCs w:val="22"/>
                <w:highlight w:val="green"/>
              </w:rPr>
            </w:pPr>
            <w:r w:rsidRPr="005C68D7">
              <w:rPr>
                <w:color w:val="000000" w:themeColor="text1"/>
                <w:sz w:val="22"/>
                <w:szCs w:val="22"/>
                <w:highlight w:val="yellow"/>
              </w:rPr>
              <w:t>23,130</w:t>
            </w:r>
          </w:p>
        </w:tc>
        <w:tc>
          <w:tcPr>
            <w:tcW w:w="1440" w:type="dxa"/>
            <w:tcBorders>
              <w:top w:val="single" w:sz="6" w:space="0" w:color="auto"/>
              <w:left w:val="single" w:sz="6" w:space="0" w:color="auto"/>
              <w:bottom w:val="single" w:sz="6" w:space="0" w:color="auto"/>
            </w:tcBorders>
            <w:shd w:val="clear" w:color="auto" w:fill="FFFFFF" w:themeFill="background1"/>
          </w:tcPr>
          <w:p w:rsidR="00D70C0C" w:rsidRPr="00581542" w:rsidP="002533BB" w14:paraId="51964992" w14:textId="77777777">
            <w:pPr>
              <w:tabs>
                <w:tab w:val="left" w:pos="720"/>
                <w:tab w:val="left" w:pos="4136"/>
              </w:tabs>
              <w:contextualSpacing/>
              <w:jc w:val="center"/>
              <w:rPr>
                <w:color w:val="000000" w:themeColor="text1"/>
                <w:sz w:val="22"/>
                <w:szCs w:val="22"/>
              </w:rPr>
            </w:pPr>
            <w:r w:rsidRPr="00581542">
              <w:rPr>
                <w:color w:val="000000" w:themeColor="text1"/>
                <w:sz w:val="22"/>
                <w:szCs w:val="22"/>
              </w:rPr>
              <w:t>8</w:t>
            </w:r>
          </w:p>
        </w:tc>
        <w:tc>
          <w:tcPr>
            <w:tcW w:w="1516" w:type="dxa"/>
            <w:tcBorders>
              <w:top w:val="single" w:sz="6" w:space="0" w:color="auto"/>
              <w:left w:val="single" w:sz="6" w:space="0" w:color="auto"/>
              <w:bottom w:val="single" w:sz="6" w:space="0" w:color="auto"/>
            </w:tcBorders>
            <w:shd w:val="clear" w:color="auto" w:fill="FFFFFF" w:themeFill="background1"/>
          </w:tcPr>
          <w:p w:rsidR="00D70C0C" w:rsidRPr="00581542" w:rsidP="002533BB" w14:paraId="0D91419B" w14:textId="77777777">
            <w:pPr>
              <w:tabs>
                <w:tab w:val="left" w:pos="720"/>
                <w:tab w:val="left" w:pos="4136"/>
              </w:tabs>
              <w:contextualSpacing/>
              <w:jc w:val="center"/>
              <w:rPr>
                <w:color w:val="000000" w:themeColor="text1"/>
                <w:sz w:val="22"/>
                <w:szCs w:val="22"/>
              </w:rPr>
            </w:pPr>
            <w:r w:rsidRPr="00581542">
              <w:rPr>
                <w:color w:val="000000" w:themeColor="text1"/>
                <w:sz w:val="22"/>
                <w:szCs w:val="22"/>
              </w:rPr>
              <w:t>2</w:t>
            </w:r>
          </w:p>
        </w:tc>
        <w:tc>
          <w:tcPr>
            <w:tcW w:w="1184" w:type="dxa"/>
            <w:tcBorders>
              <w:top w:val="single" w:sz="6" w:space="0" w:color="auto"/>
              <w:left w:val="single" w:sz="6" w:space="0" w:color="auto"/>
              <w:bottom w:val="single" w:sz="6" w:space="0" w:color="auto"/>
              <w:right w:val="single" w:sz="6" w:space="0" w:color="auto"/>
            </w:tcBorders>
            <w:shd w:val="clear" w:color="auto" w:fill="FFFFFF" w:themeFill="background1"/>
          </w:tcPr>
          <w:p w:rsidR="00D70C0C" w:rsidRPr="00C06B04" w:rsidP="001763AC" w14:paraId="2F3B5505" w14:textId="3E3D2842">
            <w:pPr>
              <w:tabs>
                <w:tab w:val="left" w:pos="720"/>
                <w:tab w:val="left" w:pos="4136"/>
              </w:tabs>
              <w:contextualSpacing/>
              <w:jc w:val="center"/>
              <w:rPr>
                <w:color w:val="000000" w:themeColor="text1"/>
                <w:sz w:val="22"/>
                <w:szCs w:val="22"/>
                <w:highlight w:val="green"/>
              </w:rPr>
            </w:pPr>
            <w:r w:rsidRPr="005C68D7">
              <w:rPr>
                <w:color w:val="000000" w:themeColor="text1"/>
                <w:sz w:val="22"/>
                <w:szCs w:val="22"/>
                <w:highlight w:val="yellow"/>
              </w:rPr>
              <w:t>370,080</w:t>
            </w:r>
          </w:p>
        </w:tc>
      </w:tr>
      <w:tr w14:paraId="24DB5728" w14:textId="77777777" w:rsidTr="00E07F04">
        <w:tblPrEx>
          <w:tblW w:w="9532" w:type="dxa"/>
          <w:jc w:val="center"/>
          <w:tblLayout w:type="fixed"/>
          <w:tblCellMar>
            <w:left w:w="100" w:type="dxa"/>
            <w:right w:w="100" w:type="dxa"/>
          </w:tblCellMar>
          <w:tblLook w:val="0000"/>
        </w:tblPrEx>
        <w:trPr>
          <w:cantSplit/>
          <w:trHeight w:val="372"/>
          <w:jc w:val="center"/>
        </w:trPr>
        <w:tc>
          <w:tcPr>
            <w:tcW w:w="9532"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D70C0C" w:rsidRPr="00581542" w:rsidP="00F72E76" w14:paraId="41B055E0" w14:textId="1727D1A5">
            <w:pPr>
              <w:rPr>
                <w:color w:val="000000" w:themeColor="text1"/>
                <w:sz w:val="22"/>
                <w:szCs w:val="22"/>
              </w:rPr>
            </w:pPr>
            <w:r w:rsidRPr="00581542">
              <w:rPr>
                <w:color w:val="000000" w:themeColor="text1"/>
                <w:sz w:val="22"/>
                <w:szCs w:val="22"/>
              </w:rPr>
              <w:t xml:space="preserve">Results </w:t>
            </w:r>
            <w:r w:rsidRPr="00581542" w:rsidR="00C866D4">
              <w:rPr>
                <w:color w:val="000000" w:themeColor="text1"/>
                <w:sz w:val="22"/>
                <w:szCs w:val="22"/>
              </w:rPr>
              <w:t xml:space="preserve">Information </w:t>
            </w:r>
            <w:r w:rsidRPr="00581542">
              <w:rPr>
                <w:color w:val="000000" w:themeColor="text1"/>
                <w:sz w:val="22"/>
                <w:szCs w:val="22"/>
              </w:rPr>
              <w:t>Submission</w:t>
            </w:r>
            <w:r w:rsidRPr="00581542" w:rsidR="00F72E76">
              <w:rPr>
                <w:color w:val="000000" w:themeColor="text1"/>
                <w:sz w:val="22"/>
                <w:szCs w:val="22"/>
              </w:rPr>
              <w:t xml:space="preserve"> </w:t>
            </w:r>
            <w:r w:rsidRPr="00402818" w:rsidR="00F72E76">
              <w:rPr>
                <w:color w:val="000000" w:themeColor="text1"/>
                <w:sz w:val="22"/>
                <w:szCs w:val="22"/>
                <w:u w:val="single"/>
              </w:rPr>
              <w:t>(See Attachment 5)</w:t>
            </w:r>
          </w:p>
        </w:tc>
      </w:tr>
      <w:tr w14:paraId="651B83E8" w14:textId="77777777" w:rsidTr="001351D1">
        <w:tblPrEx>
          <w:tblW w:w="9532" w:type="dxa"/>
          <w:jc w:val="center"/>
          <w:tblLayout w:type="fixed"/>
          <w:tblCellMar>
            <w:left w:w="100" w:type="dxa"/>
            <w:right w:w="100" w:type="dxa"/>
          </w:tblCellMar>
          <w:tblLook w:val="0000"/>
        </w:tblPrEx>
        <w:trPr>
          <w:cantSplit/>
          <w:trHeight w:val="372"/>
          <w:jc w:val="center"/>
        </w:trPr>
        <w:tc>
          <w:tcPr>
            <w:tcW w:w="2423" w:type="dxa"/>
            <w:tcBorders>
              <w:top w:val="single" w:sz="6" w:space="0" w:color="auto"/>
              <w:left w:val="single" w:sz="6" w:space="0" w:color="auto"/>
              <w:bottom w:val="single" w:sz="6" w:space="0" w:color="auto"/>
            </w:tcBorders>
          </w:tcPr>
          <w:p w:rsidR="00D70C0C" w:rsidRPr="00581542" w:rsidP="002533BB" w14:paraId="0DAB58C6" w14:textId="77777777">
            <w:pPr>
              <w:rPr>
                <w:color w:val="000000" w:themeColor="text1"/>
                <w:sz w:val="22"/>
                <w:szCs w:val="22"/>
              </w:rPr>
            </w:pPr>
            <w:r w:rsidRPr="00581542">
              <w:rPr>
                <w:color w:val="000000" w:themeColor="text1"/>
                <w:sz w:val="22"/>
                <w:szCs w:val="22"/>
              </w:rPr>
              <w:t>Initial</w:t>
            </w:r>
          </w:p>
        </w:tc>
        <w:tc>
          <w:tcPr>
            <w:tcW w:w="1439" w:type="dxa"/>
            <w:tcBorders>
              <w:top w:val="single" w:sz="6" w:space="0" w:color="auto"/>
              <w:left w:val="single" w:sz="6" w:space="0" w:color="auto"/>
              <w:bottom w:val="single" w:sz="6" w:space="0" w:color="auto"/>
            </w:tcBorders>
          </w:tcPr>
          <w:p w:rsidR="00D70C0C" w:rsidRPr="00581542" w:rsidP="002533BB" w14:paraId="01796319" w14:textId="77777777">
            <w:pPr>
              <w:rPr>
                <w:color w:val="000000" w:themeColor="text1"/>
                <w:sz w:val="22"/>
                <w:szCs w:val="22"/>
              </w:rPr>
            </w:pPr>
            <w:r w:rsidRPr="00581542">
              <w:rPr>
                <w:color w:val="000000" w:themeColor="text1"/>
                <w:sz w:val="22"/>
                <w:szCs w:val="22"/>
              </w:rPr>
              <w:t>Medical Scientist</w:t>
            </w:r>
          </w:p>
        </w:tc>
        <w:tc>
          <w:tcPr>
            <w:tcW w:w="1530" w:type="dxa"/>
            <w:tcBorders>
              <w:top w:val="single" w:sz="6" w:space="0" w:color="auto"/>
              <w:left w:val="single" w:sz="6" w:space="0" w:color="auto"/>
              <w:bottom w:val="single" w:sz="6" w:space="0" w:color="auto"/>
            </w:tcBorders>
          </w:tcPr>
          <w:p w:rsidR="00D70C0C" w:rsidRPr="00581542" w:rsidP="002533BB" w14:paraId="28DB6E48" w14:textId="77777777">
            <w:pPr>
              <w:jc w:val="center"/>
              <w:rPr>
                <w:color w:val="000000" w:themeColor="text1"/>
                <w:sz w:val="22"/>
                <w:szCs w:val="22"/>
              </w:rPr>
            </w:pPr>
            <w:r w:rsidRPr="00581542">
              <w:rPr>
                <w:color w:val="000000" w:themeColor="text1"/>
                <w:sz w:val="22"/>
                <w:szCs w:val="22"/>
              </w:rPr>
              <w:t>7,400</w:t>
            </w:r>
          </w:p>
        </w:tc>
        <w:tc>
          <w:tcPr>
            <w:tcW w:w="1440" w:type="dxa"/>
            <w:tcBorders>
              <w:top w:val="single" w:sz="6" w:space="0" w:color="auto"/>
              <w:left w:val="single" w:sz="6" w:space="0" w:color="auto"/>
              <w:bottom w:val="single" w:sz="6" w:space="0" w:color="auto"/>
            </w:tcBorders>
          </w:tcPr>
          <w:p w:rsidR="00D70C0C" w:rsidRPr="00581542" w:rsidP="002533BB" w14:paraId="05227C7B" w14:textId="77777777">
            <w:pPr>
              <w:jc w:val="center"/>
              <w:rPr>
                <w:color w:val="000000" w:themeColor="text1"/>
                <w:sz w:val="22"/>
                <w:szCs w:val="22"/>
              </w:rPr>
            </w:pPr>
            <w:r w:rsidRPr="00581542">
              <w:rPr>
                <w:color w:val="000000" w:themeColor="text1"/>
                <w:sz w:val="22"/>
                <w:szCs w:val="22"/>
              </w:rPr>
              <w:t>1</w:t>
            </w:r>
          </w:p>
        </w:tc>
        <w:tc>
          <w:tcPr>
            <w:tcW w:w="1516" w:type="dxa"/>
            <w:tcBorders>
              <w:top w:val="single" w:sz="6" w:space="0" w:color="auto"/>
              <w:left w:val="single" w:sz="6" w:space="0" w:color="auto"/>
              <w:bottom w:val="single" w:sz="6" w:space="0" w:color="auto"/>
            </w:tcBorders>
          </w:tcPr>
          <w:p w:rsidR="00D70C0C" w:rsidRPr="00581542" w:rsidP="002533BB" w14:paraId="170E1BC4" w14:textId="77777777">
            <w:pPr>
              <w:jc w:val="center"/>
              <w:rPr>
                <w:color w:val="000000" w:themeColor="text1"/>
                <w:sz w:val="22"/>
                <w:szCs w:val="22"/>
              </w:rPr>
            </w:pPr>
            <w:r w:rsidRPr="00581542">
              <w:rPr>
                <w:color w:val="000000" w:themeColor="text1"/>
                <w:sz w:val="22"/>
                <w:szCs w:val="22"/>
              </w:rPr>
              <w:t>40</w:t>
            </w:r>
          </w:p>
        </w:tc>
        <w:tc>
          <w:tcPr>
            <w:tcW w:w="1184" w:type="dxa"/>
            <w:tcBorders>
              <w:top w:val="single" w:sz="6" w:space="0" w:color="auto"/>
              <w:left w:val="single" w:sz="6" w:space="0" w:color="auto"/>
              <w:bottom w:val="single" w:sz="6" w:space="0" w:color="auto"/>
              <w:right w:val="single" w:sz="6" w:space="0" w:color="auto"/>
            </w:tcBorders>
          </w:tcPr>
          <w:p w:rsidR="00D70C0C" w:rsidRPr="00581542" w:rsidP="002533BB" w14:paraId="134BFC52" w14:textId="77777777">
            <w:pPr>
              <w:jc w:val="center"/>
              <w:rPr>
                <w:color w:val="000000" w:themeColor="text1"/>
                <w:sz w:val="22"/>
                <w:szCs w:val="22"/>
              </w:rPr>
            </w:pPr>
            <w:r w:rsidRPr="00581542">
              <w:rPr>
                <w:color w:val="000000" w:themeColor="text1"/>
                <w:sz w:val="22"/>
                <w:szCs w:val="22"/>
              </w:rPr>
              <w:t xml:space="preserve"> 296,000</w:t>
            </w:r>
          </w:p>
        </w:tc>
      </w:tr>
      <w:tr w14:paraId="16B52A45" w14:textId="77777777" w:rsidTr="001351D1">
        <w:tblPrEx>
          <w:tblW w:w="9532" w:type="dxa"/>
          <w:jc w:val="center"/>
          <w:tblLayout w:type="fixed"/>
          <w:tblCellMar>
            <w:left w:w="100" w:type="dxa"/>
            <w:right w:w="100" w:type="dxa"/>
          </w:tblCellMar>
          <w:tblLook w:val="0000"/>
        </w:tblPrEx>
        <w:trPr>
          <w:cantSplit/>
          <w:trHeight w:val="507"/>
          <w:jc w:val="center"/>
        </w:trPr>
        <w:tc>
          <w:tcPr>
            <w:tcW w:w="2423" w:type="dxa"/>
            <w:tcBorders>
              <w:top w:val="single" w:sz="6" w:space="0" w:color="auto"/>
              <w:left w:val="single" w:sz="6" w:space="0" w:color="auto"/>
              <w:bottom w:val="single" w:sz="6" w:space="0" w:color="auto"/>
            </w:tcBorders>
          </w:tcPr>
          <w:p w:rsidR="00D70C0C" w:rsidRPr="00581542" w:rsidP="002533BB" w14:paraId="6BA0409F" w14:textId="77777777">
            <w:pPr>
              <w:rPr>
                <w:color w:val="000000" w:themeColor="text1"/>
                <w:sz w:val="22"/>
                <w:szCs w:val="22"/>
              </w:rPr>
            </w:pPr>
            <w:r w:rsidRPr="00581542">
              <w:rPr>
                <w:color w:val="000000" w:themeColor="text1"/>
                <w:sz w:val="22"/>
                <w:szCs w:val="22"/>
              </w:rPr>
              <w:t>Updates</w:t>
            </w:r>
          </w:p>
        </w:tc>
        <w:tc>
          <w:tcPr>
            <w:tcW w:w="1439" w:type="dxa"/>
            <w:tcBorders>
              <w:top w:val="single" w:sz="6" w:space="0" w:color="auto"/>
              <w:left w:val="single" w:sz="6" w:space="0" w:color="auto"/>
              <w:bottom w:val="single" w:sz="6" w:space="0" w:color="auto"/>
            </w:tcBorders>
          </w:tcPr>
          <w:p w:rsidR="00D70C0C" w:rsidRPr="00581542" w:rsidP="002533BB" w14:paraId="7DDBF41E" w14:textId="77777777">
            <w:pPr>
              <w:rPr>
                <w:color w:val="000000" w:themeColor="text1"/>
                <w:sz w:val="22"/>
                <w:szCs w:val="22"/>
              </w:rPr>
            </w:pPr>
            <w:r w:rsidRPr="00581542">
              <w:rPr>
                <w:color w:val="000000" w:themeColor="text1"/>
                <w:sz w:val="22"/>
                <w:szCs w:val="22"/>
              </w:rPr>
              <w:t>Medical Scientist</w:t>
            </w:r>
          </w:p>
        </w:tc>
        <w:tc>
          <w:tcPr>
            <w:tcW w:w="1530" w:type="dxa"/>
            <w:tcBorders>
              <w:top w:val="single" w:sz="6" w:space="0" w:color="auto"/>
              <w:left w:val="single" w:sz="6" w:space="0" w:color="auto"/>
              <w:bottom w:val="single" w:sz="6" w:space="0" w:color="auto"/>
            </w:tcBorders>
          </w:tcPr>
          <w:p w:rsidR="00D70C0C" w:rsidRPr="00581542" w:rsidP="002533BB" w14:paraId="7A311383" w14:textId="77777777">
            <w:pPr>
              <w:jc w:val="center"/>
              <w:rPr>
                <w:color w:val="000000" w:themeColor="text1"/>
                <w:sz w:val="22"/>
                <w:szCs w:val="22"/>
              </w:rPr>
            </w:pPr>
            <w:r w:rsidRPr="00581542">
              <w:rPr>
                <w:color w:val="000000" w:themeColor="text1"/>
                <w:sz w:val="22"/>
                <w:szCs w:val="22"/>
              </w:rPr>
              <w:t>7,400</w:t>
            </w:r>
          </w:p>
        </w:tc>
        <w:tc>
          <w:tcPr>
            <w:tcW w:w="1440" w:type="dxa"/>
            <w:tcBorders>
              <w:top w:val="single" w:sz="6" w:space="0" w:color="auto"/>
              <w:left w:val="single" w:sz="6" w:space="0" w:color="auto"/>
              <w:bottom w:val="single" w:sz="6" w:space="0" w:color="auto"/>
            </w:tcBorders>
          </w:tcPr>
          <w:p w:rsidR="00D70C0C" w:rsidRPr="00581542" w:rsidP="002533BB" w14:paraId="47C68917" w14:textId="77777777">
            <w:pPr>
              <w:jc w:val="center"/>
              <w:rPr>
                <w:color w:val="000000" w:themeColor="text1"/>
                <w:sz w:val="22"/>
                <w:szCs w:val="22"/>
              </w:rPr>
            </w:pPr>
            <w:r w:rsidRPr="00581542">
              <w:rPr>
                <w:color w:val="000000" w:themeColor="text1"/>
                <w:sz w:val="22"/>
                <w:szCs w:val="22"/>
              </w:rPr>
              <w:t>2</w:t>
            </w:r>
          </w:p>
        </w:tc>
        <w:tc>
          <w:tcPr>
            <w:tcW w:w="1516" w:type="dxa"/>
            <w:tcBorders>
              <w:top w:val="single" w:sz="6" w:space="0" w:color="auto"/>
              <w:left w:val="single" w:sz="6" w:space="0" w:color="auto"/>
              <w:bottom w:val="single" w:sz="6" w:space="0" w:color="auto"/>
            </w:tcBorders>
          </w:tcPr>
          <w:p w:rsidR="00D70C0C" w:rsidRPr="00581542" w:rsidP="002533BB" w14:paraId="268624FA" w14:textId="77777777">
            <w:pPr>
              <w:jc w:val="center"/>
              <w:rPr>
                <w:color w:val="000000" w:themeColor="text1"/>
                <w:sz w:val="22"/>
                <w:szCs w:val="22"/>
              </w:rPr>
            </w:pPr>
            <w:r w:rsidRPr="00581542">
              <w:rPr>
                <w:color w:val="000000" w:themeColor="text1"/>
                <w:sz w:val="22"/>
                <w:szCs w:val="22"/>
              </w:rPr>
              <w:t>10</w:t>
            </w:r>
          </w:p>
        </w:tc>
        <w:tc>
          <w:tcPr>
            <w:tcW w:w="1184" w:type="dxa"/>
            <w:tcBorders>
              <w:top w:val="single" w:sz="6" w:space="0" w:color="auto"/>
              <w:left w:val="single" w:sz="6" w:space="0" w:color="auto"/>
              <w:bottom w:val="single" w:sz="6" w:space="0" w:color="auto"/>
              <w:right w:val="single" w:sz="6" w:space="0" w:color="auto"/>
            </w:tcBorders>
          </w:tcPr>
          <w:p w:rsidR="00D70C0C" w:rsidRPr="00581542" w:rsidP="002533BB" w14:paraId="03455AB3" w14:textId="77777777">
            <w:pPr>
              <w:jc w:val="center"/>
              <w:rPr>
                <w:color w:val="000000" w:themeColor="text1"/>
                <w:sz w:val="22"/>
                <w:szCs w:val="22"/>
              </w:rPr>
            </w:pPr>
            <w:r w:rsidRPr="00581542">
              <w:rPr>
                <w:color w:val="000000" w:themeColor="text1"/>
                <w:sz w:val="22"/>
                <w:szCs w:val="22"/>
              </w:rPr>
              <w:t xml:space="preserve"> 148,000</w:t>
            </w:r>
          </w:p>
        </w:tc>
      </w:tr>
      <w:tr w14:paraId="66790762" w14:textId="77777777" w:rsidTr="001351D1">
        <w:tblPrEx>
          <w:tblW w:w="9532" w:type="dxa"/>
          <w:jc w:val="center"/>
          <w:tblLayout w:type="fixed"/>
          <w:tblCellMar>
            <w:left w:w="100" w:type="dxa"/>
            <w:right w:w="100" w:type="dxa"/>
          </w:tblCellMar>
          <w:tblLook w:val="0000"/>
        </w:tblPrEx>
        <w:trPr>
          <w:cantSplit/>
          <w:trHeight w:val="372"/>
          <w:jc w:val="center"/>
        </w:trPr>
        <w:tc>
          <w:tcPr>
            <w:tcW w:w="2423" w:type="dxa"/>
            <w:tcBorders>
              <w:top w:val="single" w:sz="6" w:space="0" w:color="auto"/>
              <w:left w:val="single" w:sz="6" w:space="0" w:color="auto"/>
              <w:bottom w:val="single" w:sz="6" w:space="0" w:color="auto"/>
            </w:tcBorders>
          </w:tcPr>
          <w:p w:rsidR="00D70C0C" w:rsidRPr="00581542" w:rsidP="002533BB" w14:paraId="3F23571C" w14:textId="7387392B">
            <w:pPr>
              <w:rPr>
                <w:color w:val="000000" w:themeColor="text1"/>
                <w:sz w:val="22"/>
                <w:szCs w:val="22"/>
              </w:rPr>
            </w:pPr>
            <w:r w:rsidRPr="00581542">
              <w:rPr>
                <w:color w:val="000000" w:themeColor="text1"/>
                <w:sz w:val="22"/>
                <w:szCs w:val="22"/>
              </w:rPr>
              <w:t>Results Triggered by Voluntary Submission</w:t>
            </w:r>
            <w:r w:rsidRPr="00581542" w:rsidR="001E153C">
              <w:rPr>
                <w:color w:val="000000" w:themeColor="text1"/>
                <w:sz w:val="22"/>
                <w:szCs w:val="22"/>
              </w:rPr>
              <w:t xml:space="preserve"> </w:t>
            </w:r>
            <w:r w:rsidRPr="00402818" w:rsidR="001E153C">
              <w:rPr>
                <w:color w:val="000000" w:themeColor="text1"/>
                <w:sz w:val="22"/>
                <w:szCs w:val="22"/>
                <w:u w:val="single"/>
              </w:rPr>
              <w:t>(</w:t>
            </w:r>
            <w:r w:rsidRPr="00402818" w:rsidR="002D4DC5">
              <w:rPr>
                <w:color w:val="000000" w:themeColor="text1"/>
                <w:sz w:val="22"/>
                <w:szCs w:val="22"/>
                <w:u w:val="single"/>
              </w:rPr>
              <w:t xml:space="preserve">Also </w:t>
            </w:r>
            <w:r w:rsidRPr="00402818" w:rsidR="001E153C">
              <w:rPr>
                <w:color w:val="000000" w:themeColor="text1"/>
                <w:sz w:val="22"/>
                <w:szCs w:val="22"/>
                <w:u w:val="single"/>
              </w:rPr>
              <w:t>Attachment 2)</w:t>
            </w:r>
          </w:p>
        </w:tc>
        <w:tc>
          <w:tcPr>
            <w:tcW w:w="1439" w:type="dxa"/>
            <w:tcBorders>
              <w:top w:val="single" w:sz="6" w:space="0" w:color="auto"/>
              <w:left w:val="single" w:sz="6" w:space="0" w:color="auto"/>
              <w:bottom w:val="single" w:sz="6" w:space="0" w:color="auto"/>
            </w:tcBorders>
          </w:tcPr>
          <w:p w:rsidR="00D70C0C" w:rsidRPr="00581542" w:rsidP="002533BB" w14:paraId="49D1A6F0" w14:textId="77777777">
            <w:pPr>
              <w:rPr>
                <w:color w:val="000000" w:themeColor="text1"/>
                <w:sz w:val="22"/>
                <w:szCs w:val="22"/>
              </w:rPr>
            </w:pPr>
            <w:r w:rsidRPr="00581542">
              <w:rPr>
                <w:color w:val="000000" w:themeColor="text1"/>
                <w:sz w:val="22"/>
                <w:szCs w:val="22"/>
              </w:rPr>
              <w:t>Medical Scientist</w:t>
            </w:r>
          </w:p>
        </w:tc>
        <w:tc>
          <w:tcPr>
            <w:tcW w:w="1530" w:type="dxa"/>
            <w:tcBorders>
              <w:top w:val="single" w:sz="6" w:space="0" w:color="auto"/>
              <w:left w:val="single" w:sz="6" w:space="0" w:color="auto"/>
              <w:bottom w:val="single" w:sz="6" w:space="0" w:color="auto"/>
            </w:tcBorders>
          </w:tcPr>
          <w:p w:rsidR="00D70C0C" w:rsidRPr="00C06B04" w:rsidP="002533BB" w14:paraId="0AFE0FE5" w14:textId="5DA5E746">
            <w:pPr>
              <w:jc w:val="center"/>
              <w:rPr>
                <w:color w:val="000000" w:themeColor="text1"/>
                <w:sz w:val="22"/>
                <w:szCs w:val="22"/>
                <w:highlight w:val="green"/>
              </w:rPr>
            </w:pPr>
            <w:r w:rsidRPr="005C68D7">
              <w:rPr>
                <w:color w:val="000000" w:themeColor="text1"/>
                <w:sz w:val="22"/>
                <w:szCs w:val="22"/>
                <w:highlight w:val="yellow"/>
              </w:rPr>
              <w:t>61</w:t>
            </w:r>
          </w:p>
        </w:tc>
        <w:tc>
          <w:tcPr>
            <w:tcW w:w="1440" w:type="dxa"/>
            <w:tcBorders>
              <w:top w:val="single" w:sz="6" w:space="0" w:color="auto"/>
              <w:left w:val="single" w:sz="6" w:space="0" w:color="auto"/>
              <w:bottom w:val="single" w:sz="6" w:space="0" w:color="auto"/>
            </w:tcBorders>
          </w:tcPr>
          <w:p w:rsidR="00D70C0C" w:rsidRPr="00581542" w:rsidP="002533BB" w14:paraId="4FB47B57" w14:textId="77777777">
            <w:pPr>
              <w:jc w:val="center"/>
              <w:rPr>
                <w:color w:val="000000" w:themeColor="text1"/>
                <w:sz w:val="22"/>
                <w:szCs w:val="22"/>
              </w:rPr>
            </w:pPr>
            <w:r w:rsidRPr="00581542">
              <w:rPr>
                <w:color w:val="000000" w:themeColor="text1"/>
                <w:sz w:val="22"/>
                <w:szCs w:val="22"/>
              </w:rPr>
              <w:t>1</w:t>
            </w:r>
          </w:p>
        </w:tc>
        <w:tc>
          <w:tcPr>
            <w:tcW w:w="1516" w:type="dxa"/>
            <w:tcBorders>
              <w:top w:val="single" w:sz="6" w:space="0" w:color="auto"/>
              <w:left w:val="single" w:sz="6" w:space="0" w:color="auto"/>
              <w:bottom w:val="single" w:sz="6" w:space="0" w:color="auto"/>
            </w:tcBorders>
          </w:tcPr>
          <w:p w:rsidR="00D70C0C" w:rsidRPr="00581542" w:rsidP="002533BB" w14:paraId="59EC8674" w14:textId="77777777">
            <w:pPr>
              <w:jc w:val="center"/>
              <w:rPr>
                <w:color w:val="000000" w:themeColor="text1"/>
                <w:sz w:val="22"/>
                <w:szCs w:val="22"/>
              </w:rPr>
            </w:pPr>
            <w:r w:rsidRPr="00581542">
              <w:rPr>
                <w:color w:val="000000" w:themeColor="text1"/>
                <w:sz w:val="22"/>
                <w:szCs w:val="22"/>
              </w:rPr>
              <w:t>45</w:t>
            </w:r>
          </w:p>
        </w:tc>
        <w:tc>
          <w:tcPr>
            <w:tcW w:w="1184" w:type="dxa"/>
            <w:tcBorders>
              <w:top w:val="single" w:sz="6" w:space="0" w:color="auto"/>
              <w:left w:val="single" w:sz="6" w:space="0" w:color="auto"/>
              <w:bottom w:val="single" w:sz="6" w:space="0" w:color="auto"/>
              <w:right w:val="single" w:sz="6" w:space="0" w:color="auto"/>
            </w:tcBorders>
          </w:tcPr>
          <w:p w:rsidR="001A295F" w:rsidRPr="00581542" w:rsidP="002533BB" w14:paraId="61EF05C7" w14:textId="40A63F6C">
            <w:pPr>
              <w:jc w:val="center"/>
              <w:rPr>
                <w:color w:val="000000" w:themeColor="text1"/>
                <w:sz w:val="22"/>
                <w:szCs w:val="22"/>
              </w:rPr>
            </w:pPr>
            <w:r w:rsidRPr="005C68D7">
              <w:rPr>
                <w:color w:val="000000" w:themeColor="text1"/>
                <w:sz w:val="22"/>
                <w:szCs w:val="22"/>
                <w:highlight w:val="yellow"/>
              </w:rPr>
              <w:t>2,745</w:t>
            </w:r>
          </w:p>
          <w:p w:rsidR="00D70C0C" w:rsidRPr="00581542" w:rsidP="002533BB" w14:paraId="29BD83E1" w14:textId="77777777">
            <w:pPr>
              <w:jc w:val="center"/>
              <w:rPr>
                <w:color w:val="000000" w:themeColor="text1"/>
                <w:sz w:val="22"/>
                <w:szCs w:val="22"/>
              </w:rPr>
            </w:pPr>
          </w:p>
        </w:tc>
      </w:tr>
      <w:tr w14:paraId="792C8110" w14:textId="77777777" w:rsidTr="001351D1">
        <w:tblPrEx>
          <w:tblW w:w="9532" w:type="dxa"/>
          <w:jc w:val="center"/>
          <w:tblLayout w:type="fixed"/>
          <w:tblCellMar>
            <w:left w:w="100" w:type="dxa"/>
            <w:right w:w="100" w:type="dxa"/>
          </w:tblCellMar>
          <w:tblLook w:val="0000"/>
        </w:tblPrEx>
        <w:trPr>
          <w:cantSplit/>
          <w:trHeight w:val="372"/>
          <w:jc w:val="center"/>
        </w:trPr>
        <w:tc>
          <w:tcPr>
            <w:tcW w:w="2423" w:type="dxa"/>
            <w:tcBorders>
              <w:top w:val="single" w:sz="6" w:space="0" w:color="auto"/>
              <w:left w:val="single" w:sz="6" w:space="0" w:color="auto"/>
              <w:bottom w:val="single" w:sz="6" w:space="0" w:color="auto"/>
            </w:tcBorders>
          </w:tcPr>
          <w:p w:rsidR="00D70C0C" w:rsidRPr="00581542" w:rsidP="002533BB" w14:paraId="4C1D20BA" w14:textId="77777777">
            <w:pPr>
              <w:rPr>
                <w:i/>
                <w:color w:val="000000" w:themeColor="text1"/>
                <w:sz w:val="22"/>
                <w:szCs w:val="22"/>
              </w:rPr>
            </w:pPr>
            <w:r w:rsidRPr="00581542">
              <w:rPr>
                <w:color w:val="000000" w:themeColor="text1"/>
                <w:sz w:val="22"/>
                <w:szCs w:val="22"/>
              </w:rPr>
              <w:t>Initial Results Information of Non-regulated Submissions related to the NIH Policy</w:t>
            </w:r>
          </w:p>
        </w:tc>
        <w:tc>
          <w:tcPr>
            <w:tcW w:w="1439" w:type="dxa"/>
            <w:tcBorders>
              <w:top w:val="single" w:sz="6" w:space="0" w:color="auto"/>
              <w:left w:val="single" w:sz="6" w:space="0" w:color="auto"/>
              <w:bottom w:val="single" w:sz="6" w:space="0" w:color="auto"/>
            </w:tcBorders>
          </w:tcPr>
          <w:p w:rsidR="00D70C0C" w:rsidRPr="00581542" w:rsidP="002533BB" w14:paraId="147D6F84" w14:textId="77777777">
            <w:pPr>
              <w:rPr>
                <w:color w:val="000000" w:themeColor="text1"/>
                <w:sz w:val="22"/>
                <w:szCs w:val="22"/>
              </w:rPr>
            </w:pPr>
            <w:r w:rsidRPr="00581542">
              <w:rPr>
                <w:color w:val="000000" w:themeColor="text1"/>
                <w:sz w:val="22"/>
                <w:szCs w:val="22"/>
              </w:rPr>
              <w:t>Medical Scientist</w:t>
            </w:r>
          </w:p>
        </w:tc>
        <w:tc>
          <w:tcPr>
            <w:tcW w:w="1530" w:type="dxa"/>
            <w:tcBorders>
              <w:top w:val="single" w:sz="6" w:space="0" w:color="auto"/>
              <w:left w:val="single" w:sz="6" w:space="0" w:color="auto"/>
              <w:bottom w:val="single" w:sz="6" w:space="0" w:color="auto"/>
            </w:tcBorders>
          </w:tcPr>
          <w:p w:rsidR="00D70C0C" w:rsidRPr="00C06B04" w:rsidP="002533BB" w14:paraId="2B2BDCAB" w14:textId="44DBE7A7">
            <w:pPr>
              <w:jc w:val="center"/>
              <w:rPr>
                <w:color w:val="000000" w:themeColor="text1"/>
                <w:sz w:val="22"/>
                <w:szCs w:val="22"/>
                <w:highlight w:val="green"/>
              </w:rPr>
            </w:pPr>
            <w:r w:rsidRPr="005C68D7">
              <w:rPr>
                <w:color w:val="000000" w:themeColor="text1"/>
                <w:sz w:val="22"/>
                <w:szCs w:val="22"/>
                <w:highlight w:val="yellow"/>
              </w:rPr>
              <w:t>1,200</w:t>
            </w:r>
          </w:p>
        </w:tc>
        <w:tc>
          <w:tcPr>
            <w:tcW w:w="1440" w:type="dxa"/>
            <w:tcBorders>
              <w:top w:val="single" w:sz="6" w:space="0" w:color="auto"/>
              <w:left w:val="single" w:sz="6" w:space="0" w:color="auto"/>
              <w:bottom w:val="single" w:sz="6" w:space="0" w:color="auto"/>
            </w:tcBorders>
          </w:tcPr>
          <w:p w:rsidR="00D70C0C" w:rsidRPr="00581542" w:rsidP="002533BB" w14:paraId="4CBD4B0F" w14:textId="77777777">
            <w:pPr>
              <w:tabs>
                <w:tab w:val="left" w:pos="720"/>
                <w:tab w:val="left" w:pos="4136"/>
              </w:tabs>
              <w:contextualSpacing/>
              <w:jc w:val="center"/>
              <w:rPr>
                <w:color w:val="000000" w:themeColor="text1"/>
                <w:sz w:val="22"/>
                <w:szCs w:val="22"/>
              </w:rPr>
            </w:pPr>
            <w:r w:rsidRPr="00581542">
              <w:rPr>
                <w:color w:val="000000" w:themeColor="text1"/>
                <w:sz w:val="22"/>
                <w:szCs w:val="22"/>
              </w:rPr>
              <w:t>1</w:t>
            </w:r>
          </w:p>
        </w:tc>
        <w:tc>
          <w:tcPr>
            <w:tcW w:w="1516" w:type="dxa"/>
            <w:tcBorders>
              <w:top w:val="single" w:sz="6" w:space="0" w:color="auto"/>
              <w:left w:val="single" w:sz="6" w:space="0" w:color="auto"/>
              <w:bottom w:val="single" w:sz="6" w:space="0" w:color="auto"/>
            </w:tcBorders>
          </w:tcPr>
          <w:p w:rsidR="00D70C0C" w:rsidRPr="00581542" w:rsidP="002533BB" w14:paraId="14F56E78" w14:textId="77777777">
            <w:pPr>
              <w:tabs>
                <w:tab w:val="left" w:pos="720"/>
                <w:tab w:val="left" w:pos="4136"/>
              </w:tabs>
              <w:contextualSpacing/>
              <w:jc w:val="center"/>
              <w:rPr>
                <w:color w:val="000000" w:themeColor="text1"/>
                <w:sz w:val="22"/>
                <w:szCs w:val="22"/>
              </w:rPr>
            </w:pPr>
            <w:r w:rsidRPr="00581542">
              <w:rPr>
                <w:color w:val="000000" w:themeColor="text1"/>
                <w:sz w:val="22"/>
                <w:szCs w:val="22"/>
              </w:rPr>
              <w:t>40</w:t>
            </w:r>
          </w:p>
        </w:tc>
        <w:tc>
          <w:tcPr>
            <w:tcW w:w="1184" w:type="dxa"/>
            <w:tcBorders>
              <w:top w:val="single" w:sz="6" w:space="0" w:color="auto"/>
              <w:left w:val="single" w:sz="6" w:space="0" w:color="auto"/>
              <w:bottom w:val="single" w:sz="6" w:space="0" w:color="auto"/>
              <w:right w:val="single" w:sz="6" w:space="0" w:color="auto"/>
            </w:tcBorders>
          </w:tcPr>
          <w:p w:rsidR="00D70C0C" w:rsidRPr="005C68D7" w:rsidP="002533BB" w14:paraId="269BBA47" w14:textId="4352CE34">
            <w:pPr>
              <w:tabs>
                <w:tab w:val="left" w:pos="720"/>
                <w:tab w:val="left" w:pos="4136"/>
              </w:tabs>
              <w:contextualSpacing/>
              <w:jc w:val="center"/>
              <w:rPr>
                <w:color w:val="000000" w:themeColor="text1"/>
                <w:sz w:val="22"/>
                <w:szCs w:val="22"/>
                <w:highlight w:val="yellow"/>
              </w:rPr>
            </w:pPr>
            <w:r w:rsidRPr="005C68D7">
              <w:rPr>
                <w:color w:val="000000" w:themeColor="text1"/>
                <w:sz w:val="22"/>
                <w:szCs w:val="22"/>
                <w:highlight w:val="yellow"/>
              </w:rPr>
              <w:t>48,000</w:t>
            </w:r>
          </w:p>
          <w:p w:rsidR="00D70C0C" w:rsidRPr="00C06B04" w:rsidP="002533BB" w14:paraId="3F45F09D" w14:textId="77777777">
            <w:pPr>
              <w:jc w:val="center"/>
              <w:rPr>
                <w:color w:val="000000" w:themeColor="text1"/>
                <w:sz w:val="22"/>
                <w:szCs w:val="22"/>
                <w:highlight w:val="green"/>
              </w:rPr>
            </w:pPr>
          </w:p>
        </w:tc>
      </w:tr>
      <w:tr w14:paraId="4C664C22" w14:textId="77777777" w:rsidTr="001351D1">
        <w:tblPrEx>
          <w:tblW w:w="9532" w:type="dxa"/>
          <w:jc w:val="center"/>
          <w:tblLayout w:type="fixed"/>
          <w:tblCellMar>
            <w:left w:w="100" w:type="dxa"/>
            <w:right w:w="100" w:type="dxa"/>
          </w:tblCellMar>
          <w:tblLook w:val="0000"/>
        </w:tblPrEx>
        <w:trPr>
          <w:cantSplit/>
          <w:trHeight w:val="372"/>
          <w:jc w:val="center"/>
        </w:trPr>
        <w:tc>
          <w:tcPr>
            <w:tcW w:w="2423" w:type="dxa"/>
            <w:tcBorders>
              <w:top w:val="single" w:sz="6" w:space="0" w:color="auto"/>
              <w:left w:val="single" w:sz="6" w:space="0" w:color="auto"/>
              <w:bottom w:val="single" w:sz="6" w:space="0" w:color="auto"/>
            </w:tcBorders>
          </w:tcPr>
          <w:p w:rsidR="005A6772" w:rsidRPr="00581542" w:rsidP="002533BB" w14:paraId="3B602E56" w14:textId="77777777">
            <w:pPr>
              <w:rPr>
                <w:color w:val="000000" w:themeColor="text1"/>
                <w:sz w:val="22"/>
                <w:szCs w:val="22"/>
              </w:rPr>
            </w:pPr>
            <w:r w:rsidRPr="00581542">
              <w:rPr>
                <w:color w:val="000000" w:themeColor="text1"/>
                <w:sz w:val="22"/>
                <w:szCs w:val="22"/>
              </w:rPr>
              <w:t>Update Results Information of Non-regulated Submissions related to the NIH Policy</w:t>
            </w:r>
          </w:p>
        </w:tc>
        <w:tc>
          <w:tcPr>
            <w:tcW w:w="1439" w:type="dxa"/>
            <w:tcBorders>
              <w:top w:val="single" w:sz="6" w:space="0" w:color="auto"/>
              <w:left w:val="single" w:sz="6" w:space="0" w:color="auto"/>
              <w:bottom w:val="single" w:sz="6" w:space="0" w:color="auto"/>
            </w:tcBorders>
          </w:tcPr>
          <w:p w:rsidR="005A6772" w:rsidRPr="00581542" w:rsidP="002533BB" w14:paraId="73DE65E4" w14:textId="77777777">
            <w:pPr>
              <w:rPr>
                <w:color w:val="000000" w:themeColor="text1"/>
                <w:sz w:val="22"/>
                <w:szCs w:val="22"/>
              </w:rPr>
            </w:pPr>
            <w:r w:rsidRPr="00581542">
              <w:rPr>
                <w:color w:val="000000" w:themeColor="text1"/>
                <w:sz w:val="22"/>
                <w:szCs w:val="22"/>
              </w:rPr>
              <w:t>Medical Scientist</w:t>
            </w:r>
          </w:p>
        </w:tc>
        <w:tc>
          <w:tcPr>
            <w:tcW w:w="1530" w:type="dxa"/>
            <w:tcBorders>
              <w:top w:val="single" w:sz="6" w:space="0" w:color="auto"/>
              <w:left w:val="single" w:sz="6" w:space="0" w:color="auto"/>
              <w:bottom w:val="single" w:sz="6" w:space="0" w:color="auto"/>
            </w:tcBorders>
          </w:tcPr>
          <w:p w:rsidR="005A6772" w:rsidRPr="00C06B04" w:rsidP="002533BB" w14:paraId="35F7D510" w14:textId="5ABD873E">
            <w:pPr>
              <w:jc w:val="center"/>
              <w:rPr>
                <w:color w:val="000000" w:themeColor="text1"/>
                <w:sz w:val="22"/>
                <w:szCs w:val="22"/>
                <w:highlight w:val="green"/>
              </w:rPr>
            </w:pPr>
            <w:r w:rsidRPr="005C68D7">
              <w:rPr>
                <w:color w:val="000000" w:themeColor="text1"/>
                <w:sz w:val="22"/>
                <w:szCs w:val="22"/>
                <w:highlight w:val="yellow"/>
              </w:rPr>
              <w:t>1,200</w:t>
            </w:r>
          </w:p>
        </w:tc>
        <w:tc>
          <w:tcPr>
            <w:tcW w:w="1440" w:type="dxa"/>
            <w:tcBorders>
              <w:top w:val="single" w:sz="6" w:space="0" w:color="auto"/>
              <w:left w:val="single" w:sz="6" w:space="0" w:color="auto"/>
              <w:bottom w:val="single" w:sz="6" w:space="0" w:color="auto"/>
            </w:tcBorders>
          </w:tcPr>
          <w:p w:rsidR="005A6772" w:rsidRPr="00581542" w:rsidP="002533BB" w14:paraId="7FB59CC0" w14:textId="77777777">
            <w:pPr>
              <w:tabs>
                <w:tab w:val="left" w:pos="720"/>
                <w:tab w:val="left" w:pos="4136"/>
              </w:tabs>
              <w:contextualSpacing/>
              <w:jc w:val="center"/>
              <w:rPr>
                <w:color w:val="000000" w:themeColor="text1"/>
                <w:sz w:val="22"/>
                <w:szCs w:val="22"/>
              </w:rPr>
            </w:pPr>
            <w:r w:rsidRPr="00581542">
              <w:rPr>
                <w:color w:val="000000" w:themeColor="text1"/>
                <w:sz w:val="22"/>
                <w:szCs w:val="22"/>
              </w:rPr>
              <w:t>2</w:t>
            </w:r>
          </w:p>
        </w:tc>
        <w:tc>
          <w:tcPr>
            <w:tcW w:w="1516" w:type="dxa"/>
            <w:tcBorders>
              <w:top w:val="single" w:sz="6" w:space="0" w:color="auto"/>
              <w:left w:val="single" w:sz="6" w:space="0" w:color="auto"/>
              <w:bottom w:val="single" w:sz="6" w:space="0" w:color="auto"/>
            </w:tcBorders>
          </w:tcPr>
          <w:p w:rsidR="005A6772" w:rsidRPr="00581542" w:rsidP="002533BB" w14:paraId="754B7F10" w14:textId="77777777">
            <w:pPr>
              <w:tabs>
                <w:tab w:val="left" w:pos="720"/>
                <w:tab w:val="left" w:pos="4136"/>
              </w:tabs>
              <w:contextualSpacing/>
              <w:jc w:val="center"/>
              <w:rPr>
                <w:color w:val="000000" w:themeColor="text1"/>
                <w:sz w:val="22"/>
                <w:szCs w:val="22"/>
              </w:rPr>
            </w:pPr>
            <w:r w:rsidRPr="00581542">
              <w:rPr>
                <w:color w:val="000000" w:themeColor="text1"/>
                <w:sz w:val="22"/>
                <w:szCs w:val="22"/>
              </w:rPr>
              <w:t>10</w:t>
            </w:r>
          </w:p>
        </w:tc>
        <w:tc>
          <w:tcPr>
            <w:tcW w:w="1184" w:type="dxa"/>
            <w:tcBorders>
              <w:top w:val="single" w:sz="6" w:space="0" w:color="auto"/>
              <w:left w:val="single" w:sz="6" w:space="0" w:color="auto"/>
              <w:bottom w:val="single" w:sz="6" w:space="0" w:color="auto"/>
              <w:right w:val="single" w:sz="6" w:space="0" w:color="auto"/>
            </w:tcBorders>
          </w:tcPr>
          <w:p w:rsidR="005A6772" w:rsidRPr="00C06B04" w:rsidP="002533BB" w14:paraId="6C5678D4" w14:textId="33FA3402">
            <w:pPr>
              <w:tabs>
                <w:tab w:val="left" w:pos="720"/>
                <w:tab w:val="left" w:pos="4136"/>
              </w:tabs>
              <w:contextualSpacing/>
              <w:jc w:val="center"/>
              <w:rPr>
                <w:color w:val="000000" w:themeColor="text1"/>
                <w:sz w:val="22"/>
                <w:szCs w:val="22"/>
                <w:highlight w:val="green"/>
              </w:rPr>
            </w:pPr>
            <w:r w:rsidRPr="005C68D7">
              <w:rPr>
                <w:color w:val="000000" w:themeColor="text1"/>
                <w:sz w:val="22"/>
                <w:szCs w:val="22"/>
                <w:highlight w:val="yellow"/>
              </w:rPr>
              <w:t>24,000</w:t>
            </w:r>
          </w:p>
        </w:tc>
      </w:tr>
      <w:tr w14:paraId="21DDA7AA" w14:textId="77777777" w:rsidTr="001351D1">
        <w:tblPrEx>
          <w:tblW w:w="9532" w:type="dxa"/>
          <w:jc w:val="center"/>
          <w:tblLayout w:type="fixed"/>
          <w:tblCellMar>
            <w:left w:w="100" w:type="dxa"/>
            <w:right w:w="100" w:type="dxa"/>
          </w:tblCellMar>
          <w:tblLook w:val="0000"/>
        </w:tblPrEx>
        <w:trPr>
          <w:cantSplit/>
          <w:trHeight w:val="372"/>
          <w:jc w:val="center"/>
        </w:trPr>
        <w:tc>
          <w:tcPr>
            <w:tcW w:w="2423" w:type="dxa"/>
            <w:tcBorders>
              <w:top w:val="single" w:sz="6" w:space="0" w:color="auto"/>
              <w:left w:val="single" w:sz="6" w:space="0" w:color="auto"/>
              <w:bottom w:val="single" w:sz="6" w:space="0" w:color="auto"/>
            </w:tcBorders>
          </w:tcPr>
          <w:p w:rsidR="005A6772" w:rsidRPr="00581542" w:rsidP="002533BB" w14:paraId="0B839C95" w14:textId="2B4F4F73">
            <w:pPr>
              <w:rPr>
                <w:i/>
                <w:color w:val="000000" w:themeColor="text1"/>
                <w:sz w:val="22"/>
                <w:szCs w:val="22"/>
              </w:rPr>
            </w:pPr>
            <w:r w:rsidRPr="00581542">
              <w:rPr>
                <w:color w:val="000000" w:themeColor="text1"/>
                <w:sz w:val="22"/>
                <w:szCs w:val="22"/>
              </w:rPr>
              <w:t xml:space="preserve">Initial Results Information of </w:t>
            </w:r>
            <w:r w:rsidRPr="00581542" w:rsidR="00667833">
              <w:rPr>
                <w:color w:val="000000" w:themeColor="text1"/>
                <w:sz w:val="22"/>
                <w:szCs w:val="22"/>
              </w:rPr>
              <w:t xml:space="preserve">Voluntary and </w:t>
            </w:r>
            <w:r w:rsidRPr="00581542">
              <w:rPr>
                <w:color w:val="000000" w:themeColor="text1"/>
                <w:sz w:val="22"/>
                <w:szCs w:val="22"/>
              </w:rPr>
              <w:t>Non-regulated Submissions</w:t>
            </w:r>
          </w:p>
        </w:tc>
        <w:tc>
          <w:tcPr>
            <w:tcW w:w="1439" w:type="dxa"/>
            <w:tcBorders>
              <w:top w:val="single" w:sz="6" w:space="0" w:color="auto"/>
              <w:left w:val="single" w:sz="6" w:space="0" w:color="auto"/>
              <w:bottom w:val="single" w:sz="6" w:space="0" w:color="auto"/>
            </w:tcBorders>
          </w:tcPr>
          <w:p w:rsidR="005A6772" w:rsidRPr="00581542" w:rsidP="002533BB" w14:paraId="531AA6A4" w14:textId="77777777">
            <w:pPr>
              <w:rPr>
                <w:color w:val="000000" w:themeColor="text1"/>
                <w:sz w:val="22"/>
                <w:szCs w:val="22"/>
              </w:rPr>
            </w:pPr>
            <w:r w:rsidRPr="00581542">
              <w:rPr>
                <w:color w:val="000000" w:themeColor="text1"/>
                <w:sz w:val="22"/>
                <w:szCs w:val="22"/>
              </w:rPr>
              <w:t>Medical Scientist</w:t>
            </w:r>
          </w:p>
        </w:tc>
        <w:tc>
          <w:tcPr>
            <w:tcW w:w="1530" w:type="dxa"/>
            <w:tcBorders>
              <w:top w:val="single" w:sz="6" w:space="0" w:color="auto"/>
              <w:left w:val="single" w:sz="6" w:space="0" w:color="auto"/>
              <w:bottom w:val="single" w:sz="6" w:space="0" w:color="auto"/>
            </w:tcBorders>
          </w:tcPr>
          <w:p w:rsidR="005A6772" w:rsidRPr="00C06B04" w:rsidP="002533BB" w14:paraId="4077C95B" w14:textId="20AA0C71">
            <w:pPr>
              <w:jc w:val="center"/>
              <w:rPr>
                <w:color w:val="000000" w:themeColor="text1"/>
                <w:sz w:val="22"/>
                <w:szCs w:val="22"/>
                <w:highlight w:val="green"/>
              </w:rPr>
            </w:pPr>
            <w:r w:rsidRPr="005C68D7">
              <w:rPr>
                <w:color w:val="000000" w:themeColor="text1"/>
                <w:sz w:val="22"/>
                <w:szCs w:val="22"/>
                <w:highlight w:val="yellow"/>
              </w:rPr>
              <w:t>2,100</w:t>
            </w:r>
          </w:p>
        </w:tc>
        <w:tc>
          <w:tcPr>
            <w:tcW w:w="1440" w:type="dxa"/>
            <w:tcBorders>
              <w:top w:val="single" w:sz="6" w:space="0" w:color="auto"/>
              <w:left w:val="single" w:sz="6" w:space="0" w:color="auto"/>
              <w:bottom w:val="single" w:sz="6" w:space="0" w:color="auto"/>
            </w:tcBorders>
          </w:tcPr>
          <w:p w:rsidR="005A6772" w:rsidRPr="00581542" w:rsidP="002533BB" w14:paraId="4E74717D" w14:textId="77777777">
            <w:pPr>
              <w:tabs>
                <w:tab w:val="left" w:pos="720"/>
                <w:tab w:val="left" w:pos="4136"/>
              </w:tabs>
              <w:contextualSpacing/>
              <w:jc w:val="center"/>
              <w:rPr>
                <w:color w:val="000000" w:themeColor="text1"/>
                <w:sz w:val="22"/>
                <w:szCs w:val="22"/>
              </w:rPr>
            </w:pPr>
            <w:r w:rsidRPr="00581542">
              <w:rPr>
                <w:color w:val="000000" w:themeColor="text1"/>
                <w:sz w:val="22"/>
                <w:szCs w:val="22"/>
              </w:rPr>
              <w:t>1</w:t>
            </w:r>
          </w:p>
        </w:tc>
        <w:tc>
          <w:tcPr>
            <w:tcW w:w="1516" w:type="dxa"/>
            <w:tcBorders>
              <w:top w:val="single" w:sz="6" w:space="0" w:color="auto"/>
              <w:left w:val="single" w:sz="6" w:space="0" w:color="auto"/>
              <w:bottom w:val="single" w:sz="6" w:space="0" w:color="auto"/>
            </w:tcBorders>
          </w:tcPr>
          <w:p w:rsidR="005A6772" w:rsidRPr="00581542" w:rsidP="002533BB" w14:paraId="6432A28C" w14:textId="77777777">
            <w:pPr>
              <w:tabs>
                <w:tab w:val="left" w:pos="720"/>
                <w:tab w:val="left" w:pos="4136"/>
              </w:tabs>
              <w:contextualSpacing/>
              <w:jc w:val="center"/>
              <w:rPr>
                <w:color w:val="000000" w:themeColor="text1"/>
                <w:sz w:val="22"/>
                <w:szCs w:val="22"/>
              </w:rPr>
            </w:pPr>
            <w:r w:rsidRPr="00581542">
              <w:rPr>
                <w:color w:val="000000" w:themeColor="text1"/>
                <w:sz w:val="22"/>
                <w:szCs w:val="22"/>
              </w:rPr>
              <w:t>40</w:t>
            </w:r>
          </w:p>
        </w:tc>
        <w:tc>
          <w:tcPr>
            <w:tcW w:w="1184" w:type="dxa"/>
            <w:tcBorders>
              <w:top w:val="single" w:sz="6" w:space="0" w:color="auto"/>
              <w:left w:val="single" w:sz="6" w:space="0" w:color="auto"/>
              <w:bottom w:val="single" w:sz="6" w:space="0" w:color="auto"/>
              <w:right w:val="single" w:sz="6" w:space="0" w:color="auto"/>
            </w:tcBorders>
          </w:tcPr>
          <w:p w:rsidR="005A6772" w:rsidRPr="00C06B04" w:rsidP="002533BB" w14:paraId="0592C269" w14:textId="01333CFE">
            <w:pPr>
              <w:tabs>
                <w:tab w:val="left" w:pos="720"/>
                <w:tab w:val="left" w:pos="4136"/>
              </w:tabs>
              <w:contextualSpacing/>
              <w:jc w:val="center"/>
              <w:rPr>
                <w:color w:val="000000" w:themeColor="text1"/>
                <w:sz w:val="22"/>
                <w:szCs w:val="22"/>
                <w:highlight w:val="green"/>
              </w:rPr>
            </w:pPr>
            <w:r w:rsidRPr="005C68D7">
              <w:rPr>
                <w:color w:val="000000" w:themeColor="text1"/>
                <w:sz w:val="22"/>
                <w:szCs w:val="22"/>
                <w:highlight w:val="yellow"/>
              </w:rPr>
              <w:t>84</w:t>
            </w:r>
            <w:r w:rsidRPr="005C68D7" w:rsidR="001763AC">
              <w:rPr>
                <w:color w:val="000000" w:themeColor="text1"/>
                <w:sz w:val="22"/>
                <w:szCs w:val="22"/>
                <w:highlight w:val="yellow"/>
              </w:rPr>
              <w:t>,000</w:t>
            </w:r>
          </w:p>
          <w:p w:rsidR="005A6772" w:rsidRPr="00C06B04" w:rsidP="002533BB" w14:paraId="6A38D8AF" w14:textId="77777777">
            <w:pPr>
              <w:jc w:val="center"/>
              <w:rPr>
                <w:color w:val="000000" w:themeColor="text1"/>
                <w:sz w:val="22"/>
                <w:szCs w:val="22"/>
                <w:highlight w:val="green"/>
              </w:rPr>
            </w:pPr>
          </w:p>
        </w:tc>
      </w:tr>
      <w:tr w14:paraId="3B844B51" w14:textId="77777777" w:rsidTr="001351D1">
        <w:tblPrEx>
          <w:tblW w:w="9532" w:type="dxa"/>
          <w:jc w:val="center"/>
          <w:tblLayout w:type="fixed"/>
          <w:tblCellMar>
            <w:left w:w="100" w:type="dxa"/>
            <w:right w:w="100" w:type="dxa"/>
          </w:tblCellMar>
          <w:tblLook w:val="0000"/>
        </w:tblPrEx>
        <w:trPr>
          <w:cantSplit/>
          <w:trHeight w:val="372"/>
          <w:jc w:val="center"/>
        </w:trPr>
        <w:tc>
          <w:tcPr>
            <w:tcW w:w="2423" w:type="dxa"/>
            <w:tcBorders>
              <w:top w:val="single" w:sz="6" w:space="0" w:color="auto"/>
              <w:left w:val="single" w:sz="6" w:space="0" w:color="auto"/>
              <w:bottom w:val="single" w:sz="6" w:space="0" w:color="auto"/>
            </w:tcBorders>
          </w:tcPr>
          <w:p w:rsidR="005A6772" w:rsidRPr="00581542" w:rsidP="002533BB" w14:paraId="4F75E26C" w14:textId="4307D5A5">
            <w:pPr>
              <w:rPr>
                <w:color w:val="000000" w:themeColor="text1"/>
                <w:sz w:val="22"/>
                <w:szCs w:val="22"/>
              </w:rPr>
            </w:pPr>
            <w:r w:rsidRPr="00581542">
              <w:rPr>
                <w:color w:val="000000" w:themeColor="text1"/>
                <w:sz w:val="22"/>
                <w:szCs w:val="22"/>
              </w:rPr>
              <w:t xml:space="preserve">Update Results Information of </w:t>
            </w:r>
            <w:r w:rsidRPr="00581542" w:rsidR="00667833">
              <w:rPr>
                <w:color w:val="000000" w:themeColor="text1"/>
                <w:sz w:val="22"/>
                <w:szCs w:val="22"/>
              </w:rPr>
              <w:t xml:space="preserve">Voluntary and </w:t>
            </w:r>
            <w:r w:rsidRPr="00581542">
              <w:rPr>
                <w:color w:val="000000" w:themeColor="text1"/>
                <w:sz w:val="22"/>
                <w:szCs w:val="22"/>
              </w:rPr>
              <w:t>Non-regulated Submissions</w:t>
            </w:r>
          </w:p>
        </w:tc>
        <w:tc>
          <w:tcPr>
            <w:tcW w:w="1439" w:type="dxa"/>
            <w:tcBorders>
              <w:top w:val="single" w:sz="6" w:space="0" w:color="auto"/>
              <w:left w:val="single" w:sz="6" w:space="0" w:color="auto"/>
              <w:bottom w:val="single" w:sz="6" w:space="0" w:color="auto"/>
            </w:tcBorders>
          </w:tcPr>
          <w:p w:rsidR="005A6772" w:rsidRPr="00581542" w:rsidP="002533BB" w14:paraId="787C35E1" w14:textId="77777777">
            <w:pPr>
              <w:rPr>
                <w:color w:val="000000" w:themeColor="text1"/>
                <w:sz w:val="22"/>
                <w:szCs w:val="22"/>
              </w:rPr>
            </w:pPr>
            <w:r w:rsidRPr="00581542">
              <w:rPr>
                <w:color w:val="000000" w:themeColor="text1"/>
                <w:sz w:val="22"/>
                <w:szCs w:val="22"/>
              </w:rPr>
              <w:t>Medical Scientist</w:t>
            </w:r>
          </w:p>
        </w:tc>
        <w:tc>
          <w:tcPr>
            <w:tcW w:w="1530" w:type="dxa"/>
            <w:tcBorders>
              <w:top w:val="single" w:sz="6" w:space="0" w:color="auto"/>
              <w:left w:val="single" w:sz="6" w:space="0" w:color="auto"/>
              <w:bottom w:val="single" w:sz="6" w:space="0" w:color="auto"/>
            </w:tcBorders>
          </w:tcPr>
          <w:p w:rsidR="005A6772" w:rsidRPr="00C06B04" w:rsidP="002533BB" w14:paraId="502BE11D" w14:textId="25B78D81">
            <w:pPr>
              <w:jc w:val="center"/>
              <w:rPr>
                <w:color w:val="000000" w:themeColor="text1"/>
                <w:sz w:val="22"/>
                <w:szCs w:val="22"/>
                <w:highlight w:val="green"/>
              </w:rPr>
            </w:pPr>
            <w:r w:rsidRPr="005C68D7">
              <w:rPr>
                <w:color w:val="000000" w:themeColor="text1"/>
                <w:sz w:val="22"/>
                <w:szCs w:val="22"/>
                <w:highlight w:val="yellow"/>
              </w:rPr>
              <w:t>2,100</w:t>
            </w:r>
          </w:p>
        </w:tc>
        <w:tc>
          <w:tcPr>
            <w:tcW w:w="1440" w:type="dxa"/>
            <w:tcBorders>
              <w:top w:val="single" w:sz="6" w:space="0" w:color="auto"/>
              <w:left w:val="single" w:sz="6" w:space="0" w:color="auto"/>
              <w:bottom w:val="single" w:sz="6" w:space="0" w:color="auto"/>
            </w:tcBorders>
          </w:tcPr>
          <w:p w:rsidR="005A6772" w:rsidRPr="00581542" w:rsidP="002533BB" w14:paraId="3E67F06C" w14:textId="77777777">
            <w:pPr>
              <w:tabs>
                <w:tab w:val="left" w:pos="720"/>
                <w:tab w:val="left" w:pos="4136"/>
              </w:tabs>
              <w:contextualSpacing/>
              <w:jc w:val="center"/>
              <w:rPr>
                <w:color w:val="000000" w:themeColor="text1"/>
                <w:sz w:val="22"/>
                <w:szCs w:val="22"/>
              </w:rPr>
            </w:pPr>
            <w:r w:rsidRPr="00581542">
              <w:rPr>
                <w:color w:val="000000" w:themeColor="text1"/>
                <w:sz w:val="22"/>
                <w:szCs w:val="22"/>
              </w:rPr>
              <w:t>2</w:t>
            </w:r>
          </w:p>
        </w:tc>
        <w:tc>
          <w:tcPr>
            <w:tcW w:w="1516" w:type="dxa"/>
            <w:tcBorders>
              <w:top w:val="single" w:sz="6" w:space="0" w:color="auto"/>
              <w:left w:val="single" w:sz="6" w:space="0" w:color="auto"/>
              <w:bottom w:val="single" w:sz="6" w:space="0" w:color="auto"/>
            </w:tcBorders>
          </w:tcPr>
          <w:p w:rsidR="005A6772" w:rsidRPr="00581542" w:rsidP="002533BB" w14:paraId="347F45BD" w14:textId="77777777">
            <w:pPr>
              <w:tabs>
                <w:tab w:val="left" w:pos="720"/>
                <w:tab w:val="left" w:pos="4136"/>
              </w:tabs>
              <w:contextualSpacing/>
              <w:jc w:val="center"/>
              <w:rPr>
                <w:color w:val="000000" w:themeColor="text1"/>
                <w:sz w:val="22"/>
                <w:szCs w:val="22"/>
              </w:rPr>
            </w:pPr>
            <w:r w:rsidRPr="00581542">
              <w:rPr>
                <w:color w:val="000000" w:themeColor="text1"/>
                <w:sz w:val="22"/>
                <w:szCs w:val="22"/>
              </w:rPr>
              <w:t>10</w:t>
            </w:r>
          </w:p>
        </w:tc>
        <w:tc>
          <w:tcPr>
            <w:tcW w:w="1184" w:type="dxa"/>
            <w:tcBorders>
              <w:top w:val="single" w:sz="6" w:space="0" w:color="auto"/>
              <w:left w:val="single" w:sz="6" w:space="0" w:color="auto"/>
              <w:bottom w:val="single" w:sz="6" w:space="0" w:color="auto"/>
              <w:right w:val="single" w:sz="6" w:space="0" w:color="auto"/>
            </w:tcBorders>
          </w:tcPr>
          <w:p w:rsidR="005A6772" w:rsidRPr="00581542" w:rsidP="002533BB" w14:paraId="11A329B9" w14:textId="0C14CD69">
            <w:pPr>
              <w:tabs>
                <w:tab w:val="left" w:pos="720"/>
                <w:tab w:val="left" w:pos="4136"/>
              </w:tabs>
              <w:contextualSpacing/>
              <w:jc w:val="center"/>
              <w:rPr>
                <w:color w:val="000000" w:themeColor="text1"/>
                <w:sz w:val="22"/>
                <w:szCs w:val="22"/>
              </w:rPr>
            </w:pPr>
            <w:r w:rsidRPr="005C68D7">
              <w:rPr>
                <w:color w:val="000000" w:themeColor="text1"/>
                <w:sz w:val="22"/>
                <w:szCs w:val="22"/>
                <w:highlight w:val="yellow"/>
              </w:rPr>
              <w:t>42,000</w:t>
            </w:r>
          </w:p>
        </w:tc>
      </w:tr>
      <w:tr w14:paraId="0036B993" w14:textId="77777777" w:rsidTr="00E07F04">
        <w:tblPrEx>
          <w:tblW w:w="9532" w:type="dxa"/>
          <w:jc w:val="center"/>
          <w:tblLayout w:type="fixed"/>
          <w:tblCellMar>
            <w:left w:w="100" w:type="dxa"/>
            <w:right w:w="100" w:type="dxa"/>
          </w:tblCellMar>
          <w:tblLook w:val="0000"/>
        </w:tblPrEx>
        <w:trPr>
          <w:cantSplit/>
          <w:trHeight w:val="372"/>
          <w:jc w:val="center"/>
        </w:trPr>
        <w:tc>
          <w:tcPr>
            <w:tcW w:w="9532"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A6772" w:rsidRPr="00581542" w:rsidP="002533BB" w14:paraId="5D4A233D" w14:textId="77777777">
            <w:pPr>
              <w:rPr>
                <w:color w:val="000000" w:themeColor="text1"/>
                <w:sz w:val="22"/>
                <w:szCs w:val="22"/>
              </w:rPr>
            </w:pPr>
            <w:r w:rsidRPr="00581542">
              <w:rPr>
                <w:color w:val="000000" w:themeColor="text1"/>
                <w:sz w:val="22"/>
                <w:szCs w:val="22"/>
              </w:rPr>
              <w:t>Other</w:t>
            </w:r>
          </w:p>
        </w:tc>
      </w:tr>
      <w:tr w14:paraId="1BA5C191" w14:textId="77777777" w:rsidTr="001351D1">
        <w:tblPrEx>
          <w:tblW w:w="9532" w:type="dxa"/>
          <w:jc w:val="center"/>
          <w:tblLayout w:type="fixed"/>
          <w:tblCellMar>
            <w:left w:w="100" w:type="dxa"/>
            <w:right w:w="100" w:type="dxa"/>
          </w:tblCellMar>
          <w:tblLook w:val="0000"/>
        </w:tblPrEx>
        <w:trPr>
          <w:cantSplit/>
          <w:trHeight w:val="372"/>
          <w:jc w:val="center"/>
        </w:trPr>
        <w:tc>
          <w:tcPr>
            <w:tcW w:w="2423" w:type="dxa"/>
            <w:tcBorders>
              <w:top w:val="single" w:sz="6" w:space="0" w:color="auto"/>
              <w:left w:val="single" w:sz="6" w:space="0" w:color="auto"/>
              <w:bottom w:val="single" w:sz="6" w:space="0" w:color="auto"/>
            </w:tcBorders>
          </w:tcPr>
          <w:p w:rsidR="005A6772" w:rsidRPr="00581542" w:rsidP="00F72E76" w14:paraId="4E79EAC8" w14:textId="3CCFA34E">
            <w:pPr>
              <w:rPr>
                <w:color w:val="000000" w:themeColor="text1"/>
                <w:sz w:val="22"/>
                <w:szCs w:val="22"/>
              </w:rPr>
            </w:pPr>
            <w:r w:rsidRPr="00581542">
              <w:rPr>
                <w:color w:val="000000" w:themeColor="text1"/>
                <w:sz w:val="22"/>
                <w:szCs w:val="22"/>
              </w:rPr>
              <w:t>Certification to Delay Results</w:t>
            </w:r>
            <w:r w:rsidRPr="00581542" w:rsidR="00F72E76">
              <w:rPr>
                <w:color w:val="000000" w:themeColor="text1"/>
                <w:sz w:val="22"/>
                <w:szCs w:val="22"/>
              </w:rPr>
              <w:t xml:space="preserve"> </w:t>
            </w:r>
            <w:r w:rsidRPr="00402818" w:rsidR="00F72E76">
              <w:rPr>
                <w:color w:val="000000" w:themeColor="text1"/>
                <w:sz w:val="22"/>
                <w:szCs w:val="22"/>
                <w:u w:val="single"/>
              </w:rPr>
              <w:t>(See Attachment 6)</w:t>
            </w:r>
          </w:p>
        </w:tc>
        <w:tc>
          <w:tcPr>
            <w:tcW w:w="1439" w:type="dxa"/>
            <w:tcBorders>
              <w:top w:val="single" w:sz="6" w:space="0" w:color="auto"/>
              <w:left w:val="single" w:sz="6" w:space="0" w:color="auto"/>
              <w:bottom w:val="single" w:sz="6" w:space="0" w:color="auto"/>
            </w:tcBorders>
          </w:tcPr>
          <w:p w:rsidR="005A6772" w:rsidRPr="00581542" w:rsidP="002533BB" w14:paraId="3630E535" w14:textId="77777777">
            <w:pPr>
              <w:rPr>
                <w:color w:val="000000" w:themeColor="text1"/>
                <w:sz w:val="22"/>
                <w:szCs w:val="22"/>
              </w:rPr>
            </w:pPr>
            <w:r w:rsidRPr="00581542">
              <w:rPr>
                <w:color w:val="000000" w:themeColor="text1"/>
                <w:sz w:val="22"/>
                <w:szCs w:val="22"/>
              </w:rPr>
              <w:t>Medical Scientist</w:t>
            </w:r>
          </w:p>
        </w:tc>
        <w:tc>
          <w:tcPr>
            <w:tcW w:w="1530" w:type="dxa"/>
            <w:tcBorders>
              <w:top w:val="single" w:sz="6" w:space="0" w:color="auto"/>
              <w:left w:val="single" w:sz="6" w:space="0" w:color="auto"/>
              <w:bottom w:val="single" w:sz="6" w:space="0" w:color="auto"/>
            </w:tcBorders>
          </w:tcPr>
          <w:p w:rsidR="005A6772" w:rsidRPr="00581542" w:rsidP="002533BB" w14:paraId="0CD5EF5C" w14:textId="77777777">
            <w:pPr>
              <w:jc w:val="center"/>
              <w:rPr>
                <w:color w:val="000000" w:themeColor="text1"/>
                <w:sz w:val="22"/>
                <w:szCs w:val="22"/>
              </w:rPr>
            </w:pPr>
            <w:r w:rsidRPr="00581542">
              <w:rPr>
                <w:color w:val="000000" w:themeColor="text1"/>
                <w:sz w:val="22"/>
                <w:szCs w:val="22"/>
              </w:rPr>
              <w:t>5,150</w:t>
            </w:r>
          </w:p>
        </w:tc>
        <w:tc>
          <w:tcPr>
            <w:tcW w:w="1440" w:type="dxa"/>
            <w:tcBorders>
              <w:top w:val="single" w:sz="6" w:space="0" w:color="auto"/>
              <w:left w:val="single" w:sz="6" w:space="0" w:color="auto"/>
              <w:bottom w:val="single" w:sz="6" w:space="0" w:color="auto"/>
            </w:tcBorders>
          </w:tcPr>
          <w:p w:rsidR="005A6772" w:rsidRPr="00581542" w:rsidP="002533BB" w14:paraId="064C4C61" w14:textId="77777777">
            <w:pPr>
              <w:jc w:val="center"/>
              <w:rPr>
                <w:color w:val="000000" w:themeColor="text1"/>
                <w:sz w:val="22"/>
                <w:szCs w:val="22"/>
              </w:rPr>
            </w:pPr>
            <w:r w:rsidRPr="00581542">
              <w:rPr>
                <w:color w:val="000000" w:themeColor="text1"/>
                <w:sz w:val="22"/>
                <w:szCs w:val="22"/>
              </w:rPr>
              <w:t>1</w:t>
            </w:r>
          </w:p>
        </w:tc>
        <w:tc>
          <w:tcPr>
            <w:tcW w:w="1516" w:type="dxa"/>
            <w:tcBorders>
              <w:top w:val="single" w:sz="6" w:space="0" w:color="auto"/>
              <w:left w:val="single" w:sz="6" w:space="0" w:color="auto"/>
              <w:bottom w:val="single" w:sz="6" w:space="0" w:color="auto"/>
            </w:tcBorders>
          </w:tcPr>
          <w:p w:rsidR="005A6772" w:rsidRPr="00581542" w:rsidP="002533BB" w14:paraId="381AE24E" w14:textId="77777777">
            <w:pPr>
              <w:jc w:val="center"/>
              <w:rPr>
                <w:color w:val="000000" w:themeColor="text1"/>
                <w:sz w:val="22"/>
                <w:szCs w:val="22"/>
              </w:rPr>
            </w:pPr>
            <w:r w:rsidRPr="00581542">
              <w:rPr>
                <w:color w:val="000000" w:themeColor="text1"/>
                <w:sz w:val="22"/>
                <w:szCs w:val="22"/>
              </w:rPr>
              <w:t>30/60</w:t>
            </w:r>
          </w:p>
        </w:tc>
        <w:tc>
          <w:tcPr>
            <w:tcW w:w="1184" w:type="dxa"/>
            <w:tcBorders>
              <w:top w:val="single" w:sz="6" w:space="0" w:color="auto"/>
              <w:left w:val="single" w:sz="6" w:space="0" w:color="auto"/>
              <w:bottom w:val="single" w:sz="6" w:space="0" w:color="auto"/>
              <w:right w:val="single" w:sz="6" w:space="0" w:color="auto"/>
            </w:tcBorders>
          </w:tcPr>
          <w:p w:rsidR="005A6772" w:rsidRPr="00581542" w:rsidP="002533BB" w14:paraId="7A68A598" w14:textId="77777777">
            <w:pPr>
              <w:jc w:val="center"/>
              <w:rPr>
                <w:color w:val="000000" w:themeColor="text1"/>
                <w:sz w:val="22"/>
                <w:szCs w:val="22"/>
              </w:rPr>
            </w:pPr>
            <w:r w:rsidRPr="00581542">
              <w:rPr>
                <w:color w:val="000000" w:themeColor="text1"/>
                <w:sz w:val="22"/>
                <w:szCs w:val="22"/>
              </w:rPr>
              <w:t xml:space="preserve"> 2,575</w:t>
            </w:r>
          </w:p>
        </w:tc>
      </w:tr>
      <w:tr w14:paraId="0501AAFD" w14:textId="77777777" w:rsidTr="001351D1">
        <w:tblPrEx>
          <w:tblW w:w="9532" w:type="dxa"/>
          <w:jc w:val="center"/>
          <w:tblLayout w:type="fixed"/>
          <w:tblCellMar>
            <w:left w:w="100" w:type="dxa"/>
            <w:right w:w="100" w:type="dxa"/>
          </w:tblCellMar>
          <w:tblLook w:val="0000"/>
        </w:tblPrEx>
        <w:trPr>
          <w:cantSplit/>
          <w:trHeight w:val="372"/>
          <w:jc w:val="center"/>
        </w:trPr>
        <w:tc>
          <w:tcPr>
            <w:tcW w:w="2423" w:type="dxa"/>
            <w:tcBorders>
              <w:top w:val="single" w:sz="6" w:space="0" w:color="auto"/>
              <w:left w:val="single" w:sz="6" w:space="0" w:color="auto"/>
              <w:bottom w:val="single" w:sz="4" w:space="0" w:color="auto"/>
            </w:tcBorders>
          </w:tcPr>
          <w:p w:rsidR="005A6772" w:rsidRPr="00581542" w:rsidP="00F72E76" w14:paraId="40FF8934" w14:textId="7137670B">
            <w:pPr>
              <w:rPr>
                <w:color w:val="000000" w:themeColor="text1"/>
                <w:sz w:val="22"/>
                <w:szCs w:val="22"/>
              </w:rPr>
            </w:pPr>
            <w:r w:rsidRPr="00581542">
              <w:rPr>
                <w:color w:val="000000" w:themeColor="text1"/>
                <w:sz w:val="22"/>
                <w:szCs w:val="22"/>
              </w:rPr>
              <w:t>Extension Request</w:t>
            </w:r>
            <w:r w:rsidRPr="00581542" w:rsidR="00AB5AA4">
              <w:rPr>
                <w:color w:val="000000" w:themeColor="text1"/>
                <w:sz w:val="22"/>
                <w:szCs w:val="22"/>
              </w:rPr>
              <w:t>s and Appeals</w:t>
            </w:r>
            <w:r w:rsidRPr="00581542" w:rsidR="00F72E76">
              <w:rPr>
                <w:color w:val="000000" w:themeColor="text1"/>
                <w:sz w:val="22"/>
                <w:szCs w:val="22"/>
              </w:rPr>
              <w:t xml:space="preserve"> </w:t>
            </w:r>
            <w:r w:rsidRPr="00402818" w:rsidR="00F72E76">
              <w:rPr>
                <w:color w:val="000000" w:themeColor="text1"/>
                <w:sz w:val="22"/>
                <w:szCs w:val="22"/>
                <w:u w:val="single"/>
              </w:rPr>
              <w:t>(See Attachment 7)</w:t>
            </w:r>
          </w:p>
        </w:tc>
        <w:tc>
          <w:tcPr>
            <w:tcW w:w="1439" w:type="dxa"/>
            <w:tcBorders>
              <w:top w:val="single" w:sz="6" w:space="0" w:color="auto"/>
              <w:left w:val="single" w:sz="6" w:space="0" w:color="auto"/>
              <w:bottom w:val="single" w:sz="4" w:space="0" w:color="auto"/>
            </w:tcBorders>
          </w:tcPr>
          <w:p w:rsidR="005A6772" w:rsidRPr="00581542" w:rsidP="002533BB" w14:paraId="263F6C34" w14:textId="77777777">
            <w:pPr>
              <w:rPr>
                <w:color w:val="000000" w:themeColor="text1"/>
                <w:sz w:val="22"/>
                <w:szCs w:val="22"/>
              </w:rPr>
            </w:pPr>
            <w:r w:rsidRPr="00581542">
              <w:rPr>
                <w:color w:val="000000" w:themeColor="text1"/>
                <w:sz w:val="22"/>
                <w:szCs w:val="22"/>
              </w:rPr>
              <w:t>Medical Scientist</w:t>
            </w:r>
          </w:p>
        </w:tc>
        <w:tc>
          <w:tcPr>
            <w:tcW w:w="1530" w:type="dxa"/>
            <w:tcBorders>
              <w:top w:val="single" w:sz="6" w:space="0" w:color="auto"/>
              <w:left w:val="single" w:sz="6" w:space="0" w:color="auto"/>
              <w:bottom w:val="single" w:sz="4" w:space="0" w:color="auto"/>
            </w:tcBorders>
          </w:tcPr>
          <w:p w:rsidR="005A6772" w:rsidRPr="00581542" w:rsidP="002533BB" w14:paraId="6A26D856" w14:textId="76662B97">
            <w:pPr>
              <w:jc w:val="center"/>
              <w:rPr>
                <w:color w:val="000000" w:themeColor="text1"/>
                <w:sz w:val="22"/>
                <w:szCs w:val="22"/>
              </w:rPr>
            </w:pPr>
            <w:r w:rsidRPr="00581542">
              <w:rPr>
                <w:color w:val="000000" w:themeColor="text1"/>
                <w:sz w:val="22"/>
                <w:szCs w:val="22"/>
              </w:rPr>
              <w:t xml:space="preserve"> </w:t>
            </w:r>
            <w:r w:rsidRPr="005C68D7">
              <w:rPr>
                <w:color w:val="000000" w:themeColor="text1"/>
                <w:sz w:val="22"/>
                <w:szCs w:val="22"/>
                <w:highlight w:val="yellow"/>
              </w:rPr>
              <w:t>1</w:t>
            </w:r>
            <w:r w:rsidRPr="005C68D7" w:rsidR="005E0F41">
              <w:rPr>
                <w:color w:val="000000" w:themeColor="text1"/>
                <w:sz w:val="22"/>
                <w:szCs w:val="22"/>
                <w:highlight w:val="yellow"/>
              </w:rPr>
              <w:t>75</w:t>
            </w:r>
          </w:p>
        </w:tc>
        <w:tc>
          <w:tcPr>
            <w:tcW w:w="1440" w:type="dxa"/>
            <w:tcBorders>
              <w:top w:val="single" w:sz="6" w:space="0" w:color="auto"/>
              <w:left w:val="single" w:sz="6" w:space="0" w:color="auto"/>
              <w:bottom w:val="single" w:sz="4" w:space="0" w:color="auto"/>
            </w:tcBorders>
          </w:tcPr>
          <w:p w:rsidR="005A6772" w:rsidRPr="00581542" w:rsidP="002533BB" w14:paraId="6F464616" w14:textId="77777777">
            <w:pPr>
              <w:jc w:val="center"/>
              <w:rPr>
                <w:color w:val="000000" w:themeColor="text1"/>
                <w:sz w:val="22"/>
                <w:szCs w:val="22"/>
              </w:rPr>
            </w:pPr>
            <w:r w:rsidRPr="00581542">
              <w:rPr>
                <w:color w:val="000000" w:themeColor="text1"/>
                <w:sz w:val="22"/>
                <w:szCs w:val="22"/>
              </w:rPr>
              <w:t>1</w:t>
            </w:r>
          </w:p>
        </w:tc>
        <w:tc>
          <w:tcPr>
            <w:tcW w:w="1516" w:type="dxa"/>
            <w:tcBorders>
              <w:top w:val="single" w:sz="6" w:space="0" w:color="auto"/>
              <w:left w:val="single" w:sz="6" w:space="0" w:color="auto"/>
              <w:bottom w:val="single" w:sz="4" w:space="0" w:color="auto"/>
            </w:tcBorders>
          </w:tcPr>
          <w:p w:rsidR="005A6772" w:rsidRPr="00581542" w:rsidP="002533BB" w14:paraId="75FBBAF1" w14:textId="77777777">
            <w:pPr>
              <w:jc w:val="center"/>
              <w:rPr>
                <w:color w:val="000000" w:themeColor="text1"/>
                <w:sz w:val="22"/>
                <w:szCs w:val="22"/>
              </w:rPr>
            </w:pPr>
            <w:r w:rsidRPr="00581542">
              <w:rPr>
                <w:color w:val="000000" w:themeColor="text1"/>
                <w:sz w:val="22"/>
                <w:szCs w:val="22"/>
              </w:rPr>
              <w:t>2</w:t>
            </w:r>
          </w:p>
        </w:tc>
        <w:tc>
          <w:tcPr>
            <w:tcW w:w="1184" w:type="dxa"/>
            <w:tcBorders>
              <w:top w:val="single" w:sz="6" w:space="0" w:color="auto"/>
              <w:left w:val="single" w:sz="6" w:space="0" w:color="auto"/>
              <w:bottom w:val="single" w:sz="4" w:space="0" w:color="auto"/>
              <w:right w:val="single" w:sz="6" w:space="0" w:color="auto"/>
            </w:tcBorders>
          </w:tcPr>
          <w:p w:rsidR="005A6772" w:rsidRPr="00581542" w:rsidP="002533BB" w14:paraId="553FA09E" w14:textId="3B4EB08A">
            <w:pPr>
              <w:jc w:val="center"/>
              <w:rPr>
                <w:color w:val="000000" w:themeColor="text1"/>
                <w:sz w:val="22"/>
                <w:szCs w:val="22"/>
              </w:rPr>
            </w:pPr>
            <w:r w:rsidRPr="00581542">
              <w:rPr>
                <w:color w:val="000000" w:themeColor="text1"/>
                <w:sz w:val="22"/>
                <w:szCs w:val="22"/>
              </w:rPr>
              <w:t xml:space="preserve"> </w:t>
            </w:r>
            <w:r w:rsidRPr="005C68D7" w:rsidR="00857FEA">
              <w:rPr>
                <w:color w:val="000000" w:themeColor="text1"/>
                <w:sz w:val="22"/>
                <w:szCs w:val="22"/>
                <w:highlight w:val="yellow"/>
              </w:rPr>
              <w:t>3</w:t>
            </w:r>
            <w:r w:rsidRPr="005C68D7" w:rsidR="00BB3E86">
              <w:rPr>
                <w:color w:val="000000" w:themeColor="text1"/>
                <w:sz w:val="22"/>
                <w:szCs w:val="22"/>
                <w:highlight w:val="yellow"/>
              </w:rPr>
              <w:t>50</w:t>
            </w:r>
          </w:p>
        </w:tc>
      </w:tr>
      <w:tr w14:paraId="58D71EF9" w14:textId="77777777" w:rsidTr="005001CA">
        <w:tblPrEx>
          <w:tblW w:w="9532" w:type="dxa"/>
          <w:jc w:val="center"/>
          <w:tblLayout w:type="fixed"/>
          <w:tblCellMar>
            <w:left w:w="100" w:type="dxa"/>
            <w:right w:w="100" w:type="dxa"/>
          </w:tblCellMar>
          <w:tblLook w:val="0000"/>
        </w:tblPrEx>
        <w:trPr>
          <w:cantSplit/>
          <w:trHeight w:val="372"/>
          <w:jc w:val="center"/>
        </w:trPr>
        <w:tc>
          <w:tcPr>
            <w:tcW w:w="2423" w:type="dxa"/>
            <w:tcBorders>
              <w:top w:val="single" w:sz="4" w:space="0" w:color="auto"/>
              <w:left w:val="single" w:sz="4" w:space="0" w:color="auto"/>
              <w:bottom w:val="single" w:sz="4" w:space="0" w:color="auto"/>
              <w:right w:val="single" w:sz="4" w:space="0" w:color="auto"/>
            </w:tcBorders>
          </w:tcPr>
          <w:p w:rsidR="005A6772" w:rsidRPr="00581542" w:rsidP="00F72E76" w14:paraId="2C095A5E" w14:textId="149ABC36">
            <w:pPr>
              <w:rPr>
                <w:color w:val="000000" w:themeColor="text1"/>
                <w:sz w:val="22"/>
                <w:szCs w:val="22"/>
              </w:rPr>
            </w:pPr>
            <w:r w:rsidRPr="00581542">
              <w:rPr>
                <w:color w:val="000000" w:themeColor="text1"/>
                <w:sz w:val="22"/>
                <w:szCs w:val="22"/>
              </w:rPr>
              <w:t xml:space="preserve">Expanded </w:t>
            </w:r>
            <w:r w:rsidRPr="00581542" w:rsidR="00AB5AA4">
              <w:rPr>
                <w:color w:val="000000" w:themeColor="text1"/>
                <w:sz w:val="22"/>
                <w:szCs w:val="22"/>
              </w:rPr>
              <w:t>A</w:t>
            </w:r>
            <w:r w:rsidRPr="00581542">
              <w:rPr>
                <w:color w:val="000000" w:themeColor="text1"/>
                <w:sz w:val="22"/>
                <w:szCs w:val="22"/>
              </w:rPr>
              <w:t xml:space="preserve">ccess </w:t>
            </w:r>
            <w:r w:rsidRPr="00581542" w:rsidR="00F72E76">
              <w:rPr>
                <w:color w:val="000000" w:themeColor="text1"/>
                <w:sz w:val="22"/>
                <w:szCs w:val="22"/>
              </w:rPr>
              <w:t xml:space="preserve"> </w:t>
            </w:r>
            <w:r w:rsidRPr="00581542" w:rsidR="00AB5AA4">
              <w:rPr>
                <w:color w:val="000000" w:themeColor="text1"/>
                <w:sz w:val="22"/>
                <w:szCs w:val="22"/>
              </w:rPr>
              <w:t>R</w:t>
            </w:r>
            <w:r w:rsidRPr="00581542">
              <w:rPr>
                <w:color w:val="000000" w:themeColor="text1"/>
                <w:sz w:val="22"/>
                <w:szCs w:val="22"/>
              </w:rPr>
              <w:t>ecords</w:t>
            </w:r>
            <w:r w:rsidRPr="00581542" w:rsidR="00AB5AA4">
              <w:rPr>
                <w:color w:val="000000" w:themeColor="text1"/>
                <w:sz w:val="22"/>
                <w:szCs w:val="22"/>
              </w:rPr>
              <w:t xml:space="preserve"> </w:t>
            </w:r>
            <w:r w:rsidRPr="00581542" w:rsidR="00F72E76">
              <w:rPr>
                <w:color w:val="000000" w:themeColor="text1"/>
                <w:sz w:val="22"/>
                <w:szCs w:val="22"/>
              </w:rPr>
              <w:t>–</w:t>
            </w:r>
            <w:r w:rsidRPr="00581542" w:rsidR="00AB5AA4">
              <w:rPr>
                <w:color w:val="000000" w:themeColor="text1"/>
                <w:sz w:val="22"/>
                <w:szCs w:val="22"/>
              </w:rPr>
              <w:t xml:space="preserve"> Initial</w:t>
            </w:r>
            <w:r w:rsidRPr="00581542" w:rsidR="00F72E76">
              <w:rPr>
                <w:color w:val="000000" w:themeColor="text1"/>
                <w:sz w:val="22"/>
                <w:szCs w:val="22"/>
              </w:rPr>
              <w:t xml:space="preserve"> </w:t>
            </w:r>
            <w:r w:rsidRPr="00402818" w:rsidR="00F72E76">
              <w:rPr>
                <w:color w:val="000000" w:themeColor="text1"/>
                <w:sz w:val="22"/>
                <w:szCs w:val="22"/>
                <w:u w:val="single"/>
              </w:rPr>
              <w:t>(See Attachment 3)</w:t>
            </w:r>
          </w:p>
        </w:tc>
        <w:tc>
          <w:tcPr>
            <w:tcW w:w="1439" w:type="dxa"/>
            <w:tcBorders>
              <w:top w:val="single" w:sz="4" w:space="0" w:color="auto"/>
              <w:left w:val="single" w:sz="4" w:space="0" w:color="auto"/>
              <w:bottom w:val="single" w:sz="4" w:space="0" w:color="auto"/>
              <w:right w:val="single" w:sz="4" w:space="0" w:color="auto"/>
            </w:tcBorders>
          </w:tcPr>
          <w:p w:rsidR="005A6772" w:rsidRPr="00581542" w:rsidP="002533BB" w14:paraId="7DDC934C" w14:textId="77777777">
            <w:pPr>
              <w:rPr>
                <w:color w:val="000000" w:themeColor="text1"/>
                <w:sz w:val="22"/>
                <w:szCs w:val="22"/>
              </w:rPr>
            </w:pPr>
            <w:r w:rsidRPr="00581542">
              <w:rPr>
                <w:color w:val="000000" w:themeColor="text1"/>
                <w:sz w:val="22"/>
                <w:szCs w:val="22"/>
              </w:rPr>
              <w:t>Data Entry Personnel</w:t>
            </w:r>
          </w:p>
        </w:tc>
        <w:tc>
          <w:tcPr>
            <w:tcW w:w="1530" w:type="dxa"/>
            <w:tcBorders>
              <w:top w:val="single" w:sz="4" w:space="0" w:color="auto"/>
              <w:left w:val="single" w:sz="4" w:space="0" w:color="auto"/>
              <w:bottom w:val="single" w:sz="4" w:space="0" w:color="auto"/>
              <w:right w:val="single" w:sz="4" w:space="0" w:color="auto"/>
            </w:tcBorders>
          </w:tcPr>
          <w:p w:rsidR="005A6772" w:rsidRPr="00581542" w:rsidP="002533BB" w14:paraId="120BD1EF" w14:textId="77777777">
            <w:pPr>
              <w:jc w:val="center"/>
              <w:rPr>
                <w:color w:val="000000" w:themeColor="text1"/>
                <w:sz w:val="22"/>
                <w:szCs w:val="22"/>
              </w:rPr>
            </w:pPr>
            <w:r w:rsidRPr="00581542">
              <w:rPr>
                <w:color w:val="000000" w:themeColor="text1"/>
                <w:sz w:val="22"/>
                <w:szCs w:val="22"/>
              </w:rPr>
              <w:t>213</w:t>
            </w:r>
          </w:p>
        </w:tc>
        <w:tc>
          <w:tcPr>
            <w:tcW w:w="1440" w:type="dxa"/>
            <w:tcBorders>
              <w:top w:val="single" w:sz="4" w:space="0" w:color="auto"/>
              <w:left w:val="single" w:sz="4" w:space="0" w:color="auto"/>
              <w:bottom w:val="single" w:sz="4" w:space="0" w:color="auto"/>
              <w:right w:val="single" w:sz="4" w:space="0" w:color="auto"/>
            </w:tcBorders>
          </w:tcPr>
          <w:p w:rsidR="005A6772" w:rsidRPr="00581542" w:rsidP="002533BB" w14:paraId="6A817319" w14:textId="77777777">
            <w:pPr>
              <w:jc w:val="center"/>
              <w:rPr>
                <w:color w:val="000000" w:themeColor="text1"/>
                <w:sz w:val="22"/>
                <w:szCs w:val="22"/>
              </w:rPr>
            </w:pPr>
            <w:r w:rsidRPr="00581542">
              <w:rPr>
                <w:color w:val="000000" w:themeColor="text1"/>
                <w:sz w:val="22"/>
                <w:szCs w:val="22"/>
              </w:rPr>
              <w:t>1</w:t>
            </w:r>
          </w:p>
        </w:tc>
        <w:tc>
          <w:tcPr>
            <w:tcW w:w="1516" w:type="dxa"/>
            <w:tcBorders>
              <w:top w:val="single" w:sz="4" w:space="0" w:color="auto"/>
              <w:left w:val="single" w:sz="4" w:space="0" w:color="auto"/>
              <w:bottom w:val="single" w:sz="4" w:space="0" w:color="auto"/>
              <w:right w:val="single" w:sz="4" w:space="0" w:color="auto"/>
            </w:tcBorders>
          </w:tcPr>
          <w:p w:rsidR="005A6772" w:rsidRPr="00581542" w:rsidP="002533BB" w14:paraId="0329658B" w14:textId="77777777">
            <w:pPr>
              <w:jc w:val="center"/>
              <w:rPr>
                <w:color w:val="000000" w:themeColor="text1"/>
                <w:sz w:val="22"/>
                <w:szCs w:val="22"/>
              </w:rPr>
            </w:pPr>
            <w:r w:rsidRPr="00581542">
              <w:rPr>
                <w:color w:val="000000" w:themeColor="text1"/>
                <w:sz w:val="22"/>
                <w:szCs w:val="22"/>
              </w:rPr>
              <w:t>2</w:t>
            </w:r>
          </w:p>
        </w:tc>
        <w:tc>
          <w:tcPr>
            <w:tcW w:w="1184" w:type="dxa"/>
            <w:tcBorders>
              <w:top w:val="single" w:sz="4" w:space="0" w:color="auto"/>
              <w:left w:val="single" w:sz="4" w:space="0" w:color="auto"/>
              <w:bottom w:val="single" w:sz="4" w:space="0" w:color="auto"/>
              <w:right w:val="single" w:sz="4" w:space="0" w:color="auto"/>
            </w:tcBorders>
          </w:tcPr>
          <w:p w:rsidR="005A6772" w:rsidRPr="00581542" w:rsidP="002533BB" w14:paraId="662948B4" w14:textId="77777777">
            <w:pPr>
              <w:jc w:val="center"/>
              <w:rPr>
                <w:color w:val="000000" w:themeColor="text1"/>
                <w:sz w:val="22"/>
                <w:szCs w:val="22"/>
              </w:rPr>
            </w:pPr>
            <w:r w:rsidRPr="00581542">
              <w:rPr>
                <w:color w:val="000000" w:themeColor="text1"/>
                <w:sz w:val="22"/>
                <w:szCs w:val="22"/>
              </w:rPr>
              <w:t xml:space="preserve"> 426</w:t>
            </w:r>
          </w:p>
        </w:tc>
      </w:tr>
      <w:tr w14:paraId="01B1B8FE" w14:textId="77777777" w:rsidTr="000D12B2">
        <w:tblPrEx>
          <w:tblW w:w="9532" w:type="dxa"/>
          <w:jc w:val="center"/>
          <w:tblLayout w:type="fixed"/>
          <w:tblCellMar>
            <w:left w:w="100" w:type="dxa"/>
            <w:right w:w="100" w:type="dxa"/>
          </w:tblCellMar>
          <w:tblLook w:val="0000"/>
        </w:tblPrEx>
        <w:trPr>
          <w:cantSplit/>
          <w:trHeight w:val="372"/>
          <w:jc w:val="center"/>
        </w:trPr>
        <w:tc>
          <w:tcPr>
            <w:tcW w:w="2423" w:type="dxa"/>
            <w:tcBorders>
              <w:top w:val="single" w:sz="4" w:space="0" w:color="auto"/>
              <w:left w:val="single" w:sz="4" w:space="0" w:color="auto"/>
              <w:bottom w:val="single" w:sz="4" w:space="0" w:color="auto"/>
              <w:right w:val="single" w:sz="4" w:space="0" w:color="auto"/>
            </w:tcBorders>
          </w:tcPr>
          <w:p w:rsidR="005A6772" w:rsidRPr="00581542" w:rsidP="00F72E76" w14:paraId="4FCC116B" w14:textId="79372336">
            <w:pPr>
              <w:rPr>
                <w:color w:val="000000" w:themeColor="text1"/>
                <w:sz w:val="22"/>
                <w:szCs w:val="22"/>
              </w:rPr>
            </w:pPr>
            <w:r w:rsidRPr="00581542">
              <w:rPr>
                <w:color w:val="000000" w:themeColor="text1"/>
                <w:sz w:val="22"/>
                <w:szCs w:val="22"/>
              </w:rPr>
              <w:t xml:space="preserve">Expanded </w:t>
            </w:r>
            <w:r w:rsidRPr="00581542" w:rsidR="003A5F9D">
              <w:rPr>
                <w:color w:val="000000" w:themeColor="text1"/>
                <w:sz w:val="22"/>
                <w:szCs w:val="22"/>
              </w:rPr>
              <w:t>A</w:t>
            </w:r>
            <w:r w:rsidRPr="00581542">
              <w:rPr>
                <w:color w:val="000000" w:themeColor="text1"/>
                <w:sz w:val="22"/>
                <w:szCs w:val="22"/>
              </w:rPr>
              <w:t>ccess records</w:t>
            </w:r>
            <w:r w:rsidRPr="00581542" w:rsidR="00AB5AA4">
              <w:rPr>
                <w:color w:val="000000" w:themeColor="text1"/>
                <w:sz w:val="22"/>
                <w:szCs w:val="22"/>
              </w:rPr>
              <w:t xml:space="preserve">- </w:t>
            </w:r>
            <w:r w:rsidRPr="00581542">
              <w:rPr>
                <w:color w:val="000000" w:themeColor="text1"/>
                <w:sz w:val="22"/>
                <w:szCs w:val="22"/>
              </w:rPr>
              <w:t xml:space="preserve"> </w:t>
            </w:r>
            <w:r w:rsidRPr="00581542" w:rsidR="00AB5AA4">
              <w:rPr>
                <w:color w:val="000000" w:themeColor="text1"/>
                <w:sz w:val="22"/>
                <w:szCs w:val="22"/>
              </w:rPr>
              <w:t>U</w:t>
            </w:r>
            <w:r w:rsidRPr="00581542">
              <w:rPr>
                <w:color w:val="000000" w:themeColor="text1"/>
                <w:sz w:val="22"/>
                <w:szCs w:val="22"/>
              </w:rPr>
              <w:t>pdates</w:t>
            </w:r>
            <w:r w:rsidRPr="00581542" w:rsidR="00F72E76">
              <w:rPr>
                <w:color w:val="000000" w:themeColor="text1"/>
                <w:sz w:val="22"/>
                <w:szCs w:val="22"/>
              </w:rPr>
              <w:t xml:space="preserve"> </w:t>
            </w:r>
            <w:r w:rsidRPr="00402818" w:rsidR="00F72E76">
              <w:rPr>
                <w:color w:val="000000" w:themeColor="text1"/>
                <w:sz w:val="22"/>
                <w:szCs w:val="22"/>
                <w:u w:val="single"/>
              </w:rPr>
              <w:t>(See Attachment 3)</w:t>
            </w:r>
          </w:p>
        </w:tc>
        <w:tc>
          <w:tcPr>
            <w:tcW w:w="1439" w:type="dxa"/>
            <w:tcBorders>
              <w:top w:val="single" w:sz="4" w:space="0" w:color="auto"/>
              <w:left w:val="single" w:sz="4" w:space="0" w:color="auto"/>
              <w:bottom w:val="single" w:sz="4" w:space="0" w:color="auto"/>
              <w:right w:val="single" w:sz="4" w:space="0" w:color="auto"/>
            </w:tcBorders>
          </w:tcPr>
          <w:p w:rsidR="005A6772" w:rsidRPr="00581542" w:rsidP="002533BB" w14:paraId="62C52357" w14:textId="77777777">
            <w:pPr>
              <w:rPr>
                <w:color w:val="000000" w:themeColor="text1"/>
                <w:sz w:val="22"/>
                <w:szCs w:val="22"/>
              </w:rPr>
            </w:pPr>
            <w:r w:rsidRPr="00581542">
              <w:rPr>
                <w:color w:val="000000" w:themeColor="text1"/>
                <w:sz w:val="22"/>
                <w:szCs w:val="22"/>
              </w:rPr>
              <w:t>Data Entry Personnel</w:t>
            </w:r>
          </w:p>
        </w:tc>
        <w:tc>
          <w:tcPr>
            <w:tcW w:w="1530" w:type="dxa"/>
            <w:tcBorders>
              <w:top w:val="single" w:sz="4" w:space="0" w:color="auto"/>
              <w:left w:val="single" w:sz="4" w:space="0" w:color="auto"/>
              <w:bottom w:val="single" w:sz="4" w:space="0" w:color="auto"/>
              <w:right w:val="single" w:sz="4" w:space="0" w:color="auto"/>
            </w:tcBorders>
          </w:tcPr>
          <w:p w:rsidR="005A6772" w:rsidRPr="00581542" w:rsidP="002533BB" w14:paraId="3FE9A8E8" w14:textId="77777777">
            <w:pPr>
              <w:jc w:val="center"/>
              <w:rPr>
                <w:color w:val="000000" w:themeColor="text1"/>
                <w:sz w:val="22"/>
                <w:szCs w:val="22"/>
              </w:rPr>
            </w:pPr>
            <w:r w:rsidRPr="00581542">
              <w:rPr>
                <w:color w:val="000000" w:themeColor="text1"/>
                <w:sz w:val="22"/>
                <w:szCs w:val="22"/>
              </w:rPr>
              <w:t>213</w:t>
            </w:r>
          </w:p>
        </w:tc>
        <w:tc>
          <w:tcPr>
            <w:tcW w:w="1440" w:type="dxa"/>
            <w:tcBorders>
              <w:top w:val="single" w:sz="4" w:space="0" w:color="auto"/>
              <w:left w:val="single" w:sz="4" w:space="0" w:color="auto"/>
              <w:bottom w:val="single" w:sz="4" w:space="0" w:color="auto"/>
              <w:right w:val="single" w:sz="4" w:space="0" w:color="auto"/>
            </w:tcBorders>
          </w:tcPr>
          <w:p w:rsidR="005A6772" w:rsidRPr="00581542" w:rsidP="002533BB" w14:paraId="0201A021" w14:textId="77777777">
            <w:pPr>
              <w:jc w:val="center"/>
              <w:rPr>
                <w:color w:val="000000" w:themeColor="text1"/>
                <w:sz w:val="22"/>
                <w:szCs w:val="22"/>
              </w:rPr>
            </w:pPr>
            <w:r w:rsidRPr="00581542">
              <w:rPr>
                <w:color w:val="000000" w:themeColor="text1"/>
                <w:sz w:val="22"/>
                <w:szCs w:val="22"/>
              </w:rPr>
              <w:t>2</w:t>
            </w:r>
          </w:p>
        </w:tc>
        <w:tc>
          <w:tcPr>
            <w:tcW w:w="1516" w:type="dxa"/>
            <w:tcBorders>
              <w:top w:val="single" w:sz="4" w:space="0" w:color="auto"/>
              <w:left w:val="single" w:sz="4" w:space="0" w:color="auto"/>
              <w:bottom w:val="single" w:sz="4" w:space="0" w:color="auto"/>
              <w:right w:val="single" w:sz="4" w:space="0" w:color="auto"/>
            </w:tcBorders>
          </w:tcPr>
          <w:p w:rsidR="005A6772" w:rsidRPr="00581542" w:rsidP="002533BB" w14:paraId="1368CF48" w14:textId="77777777">
            <w:pPr>
              <w:jc w:val="center"/>
              <w:rPr>
                <w:color w:val="000000" w:themeColor="text1"/>
                <w:sz w:val="22"/>
                <w:szCs w:val="22"/>
              </w:rPr>
            </w:pPr>
            <w:r w:rsidRPr="00581542">
              <w:rPr>
                <w:color w:val="000000" w:themeColor="text1"/>
                <w:sz w:val="22"/>
                <w:szCs w:val="22"/>
              </w:rPr>
              <w:t>15/60</w:t>
            </w:r>
          </w:p>
        </w:tc>
        <w:tc>
          <w:tcPr>
            <w:tcW w:w="1184" w:type="dxa"/>
            <w:tcBorders>
              <w:top w:val="single" w:sz="4" w:space="0" w:color="auto"/>
              <w:left w:val="single" w:sz="4" w:space="0" w:color="auto"/>
              <w:bottom w:val="single" w:sz="4" w:space="0" w:color="auto"/>
              <w:right w:val="single" w:sz="4" w:space="0" w:color="auto"/>
            </w:tcBorders>
          </w:tcPr>
          <w:p w:rsidR="005A6772" w:rsidRPr="00581542" w:rsidP="002533BB" w14:paraId="36E4C6F7" w14:textId="77777777">
            <w:pPr>
              <w:jc w:val="center"/>
              <w:rPr>
                <w:color w:val="000000" w:themeColor="text1"/>
                <w:sz w:val="22"/>
                <w:szCs w:val="22"/>
              </w:rPr>
            </w:pPr>
            <w:r w:rsidRPr="00581542">
              <w:rPr>
                <w:color w:val="000000" w:themeColor="text1"/>
                <w:sz w:val="22"/>
                <w:szCs w:val="22"/>
              </w:rPr>
              <w:t>107</w:t>
            </w:r>
          </w:p>
        </w:tc>
      </w:tr>
      <w:tr w14:paraId="12CCC932" w14:textId="77777777" w:rsidTr="000D12B2">
        <w:tblPrEx>
          <w:tblW w:w="9532" w:type="dxa"/>
          <w:jc w:val="center"/>
          <w:tblLayout w:type="fixed"/>
          <w:tblCellMar>
            <w:left w:w="100" w:type="dxa"/>
            <w:right w:w="100" w:type="dxa"/>
          </w:tblCellMar>
          <w:tblLook w:val="0000"/>
        </w:tblPrEx>
        <w:trPr>
          <w:cantSplit/>
          <w:trHeight w:val="372"/>
          <w:jc w:val="center"/>
        </w:trPr>
        <w:tc>
          <w:tcPr>
            <w:tcW w:w="2423" w:type="dxa"/>
            <w:tcBorders>
              <w:top w:val="single" w:sz="4" w:space="0" w:color="auto"/>
              <w:left w:val="single" w:sz="4" w:space="0" w:color="auto"/>
              <w:bottom w:val="single" w:sz="18" w:space="0" w:color="auto"/>
              <w:right w:val="single" w:sz="4" w:space="0" w:color="auto"/>
            </w:tcBorders>
          </w:tcPr>
          <w:p w:rsidR="000D12B2" w:rsidRPr="005C57F4" w:rsidP="002533BB" w14:paraId="1E8D77F8" w14:textId="3F9C7189">
            <w:pPr>
              <w:rPr>
                <w:bCs/>
                <w:color w:val="000000" w:themeColor="text1"/>
                <w:sz w:val="22"/>
                <w:szCs w:val="22"/>
                <w:highlight w:val="yellow"/>
              </w:rPr>
            </w:pPr>
            <w:r w:rsidRPr="005C57F4">
              <w:rPr>
                <w:bCs/>
                <w:color w:val="000000" w:themeColor="text1"/>
                <w:sz w:val="22"/>
                <w:szCs w:val="22"/>
                <w:highlight w:val="yellow"/>
              </w:rPr>
              <w:t>Waiver</w:t>
            </w:r>
            <w:r w:rsidRPr="005C57F4" w:rsidR="00582F94">
              <w:rPr>
                <w:bCs/>
                <w:color w:val="000000" w:themeColor="text1"/>
                <w:sz w:val="22"/>
                <w:szCs w:val="22"/>
                <w:highlight w:val="yellow"/>
              </w:rPr>
              <w:t xml:space="preserve"> Requests and Appeals</w:t>
            </w:r>
            <w:r w:rsidRPr="005C57F4" w:rsidR="007C3250">
              <w:rPr>
                <w:bCs/>
                <w:color w:val="000000" w:themeColor="text1"/>
                <w:sz w:val="22"/>
                <w:szCs w:val="22"/>
                <w:highlight w:val="yellow"/>
              </w:rPr>
              <w:t xml:space="preserve"> </w:t>
            </w:r>
            <w:r w:rsidRPr="005C57F4" w:rsidR="007C3250">
              <w:rPr>
                <w:bCs/>
                <w:color w:val="000000" w:themeColor="text1"/>
                <w:sz w:val="22"/>
                <w:szCs w:val="22"/>
                <w:highlight w:val="yellow"/>
                <w:u w:val="single"/>
              </w:rPr>
              <w:t>(See Attachment 10)</w:t>
            </w:r>
          </w:p>
        </w:tc>
        <w:tc>
          <w:tcPr>
            <w:tcW w:w="1439" w:type="dxa"/>
            <w:tcBorders>
              <w:top w:val="single" w:sz="4" w:space="0" w:color="auto"/>
              <w:left w:val="single" w:sz="4" w:space="0" w:color="auto"/>
              <w:bottom w:val="single" w:sz="18" w:space="0" w:color="auto"/>
              <w:right w:val="single" w:sz="4" w:space="0" w:color="auto"/>
            </w:tcBorders>
            <w:shd w:val="clear" w:color="auto" w:fill="FFFFFF" w:themeFill="background1"/>
          </w:tcPr>
          <w:p w:rsidR="000D12B2" w:rsidRPr="005C57F4" w:rsidP="002533BB" w14:paraId="344016D9" w14:textId="051FE12A">
            <w:pPr>
              <w:rPr>
                <w:bCs/>
                <w:color w:val="000000" w:themeColor="text1"/>
                <w:sz w:val="22"/>
                <w:szCs w:val="22"/>
                <w:highlight w:val="yellow"/>
              </w:rPr>
            </w:pPr>
            <w:r w:rsidRPr="005C57F4">
              <w:rPr>
                <w:bCs/>
                <w:color w:val="000000" w:themeColor="text1"/>
                <w:sz w:val="22"/>
                <w:szCs w:val="22"/>
                <w:highlight w:val="yellow"/>
              </w:rPr>
              <w:t>Medical Scientist</w:t>
            </w:r>
          </w:p>
        </w:tc>
        <w:tc>
          <w:tcPr>
            <w:tcW w:w="1530" w:type="dxa"/>
            <w:tcBorders>
              <w:top w:val="single" w:sz="4" w:space="0" w:color="auto"/>
              <w:left w:val="single" w:sz="4" w:space="0" w:color="auto"/>
              <w:bottom w:val="single" w:sz="18" w:space="0" w:color="auto"/>
              <w:right w:val="single" w:sz="4" w:space="0" w:color="auto"/>
            </w:tcBorders>
            <w:shd w:val="clear" w:color="auto" w:fill="FFFFFF" w:themeFill="background1"/>
          </w:tcPr>
          <w:p w:rsidR="000D12B2" w:rsidRPr="005C68D7" w:rsidP="002533BB" w14:paraId="19B94DB0" w14:textId="67A80744">
            <w:pPr>
              <w:jc w:val="center"/>
              <w:rPr>
                <w:bCs/>
                <w:color w:val="000000" w:themeColor="text1"/>
                <w:sz w:val="22"/>
                <w:szCs w:val="22"/>
                <w:highlight w:val="yellow"/>
              </w:rPr>
            </w:pPr>
            <w:r w:rsidRPr="005C68D7">
              <w:rPr>
                <w:bCs/>
                <w:color w:val="000000" w:themeColor="text1"/>
                <w:sz w:val="22"/>
                <w:szCs w:val="22"/>
                <w:highlight w:val="yellow"/>
              </w:rPr>
              <w:t>1</w:t>
            </w:r>
          </w:p>
        </w:tc>
        <w:tc>
          <w:tcPr>
            <w:tcW w:w="1440" w:type="dxa"/>
            <w:tcBorders>
              <w:top w:val="single" w:sz="4" w:space="0" w:color="auto"/>
              <w:left w:val="single" w:sz="4" w:space="0" w:color="auto"/>
              <w:bottom w:val="single" w:sz="18" w:space="0" w:color="auto"/>
              <w:right w:val="single" w:sz="4" w:space="0" w:color="auto"/>
            </w:tcBorders>
            <w:shd w:val="clear" w:color="auto" w:fill="FFFFFF" w:themeFill="background1"/>
          </w:tcPr>
          <w:p w:rsidR="000D12B2" w:rsidRPr="005C68D7" w:rsidP="002533BB" w14:paraId="74E61E05" w14:textId="56C0BD41">
            <w:pPr>
              <w:jc w:val="center"/>
              <w:rPr>
                <w:bCs/>
                <w:color w:val="000000" w:themeColor="text1"/>
                <w:sz w:val="22"/>
                <w:szCs w:val="22"/>
                <w:highlight w:val="yellow"/>
              </w:rPr>
            </w:pPr>
            <w:r w:rsidRPr="005C68D7">
              <w:rPr>
                <w:bCs/>
                <w:color w:val="000000" w:themeColor="text1"/>
                <w:sz w:val="22"/>
                <w:szCs w:val="22"/>
                <w:highlight w:val="yellow"/>
              </w:rPr>
              <w:t>1</w:t>
            </w:r>
          </w:p>
        </w:tc>
        <w:tc>
          <w:tcPr>
            <w:tcW w:w="1516" w:type="dxa"/>
            <w:tcBorders>
              <w:top w:val="single" w:sz="4" w:space="0" w:color="auto"/>
              <w:left w:val="single" w:sz="4" w:space="0" w:color="auto"/>
              <w:bottom w:val="single" w:sz="18" w:space="0" w:color="auto"/>
              <w:right w:val="single" w:sz="4" w:space="0" w:color="auto"/>
            </w:tcBorders>
            <w:shd w:val="clear" w:color="auto" w:fill="FFFFFF" w:themeFill="background1"/>
          </w:tcPr>
          <w:p w:rsidR="000D12B2" w:rsidRPr="005C68D7" w:rsidP="002533BB" w14:paraId="3B1A91CA" w14:textId="24DF015E">
            <w:pPr>
              <w:jc w:val="center"/>
              <w:rPr>
                <w:bCs/>
                <w:color w:val="000000" w:themeColor="text1"/>
                <w:sz w:val="22"/>
                <w:szCs w:val="22"/>
                <w:highlight w:val="yellow"/>
              </w:rPr>
            </w:pPr>
            <w:r w:rsidRPr="005C68D7">
              <w:rPr>
                <w:bCs/>
                <w:color w:val="000000" w:themeColor="text1"/>
                <w:sz w:val="22"/>
                <w:szCs w:val="22"/>
                <w:highlight w:val="yellow"/>
              </w:rPr>
              <w:t>2</w:t>
            </w:r>
          </w:p>
        </w:tc>
        <w:tc>
          <w:tcPr>
            <w:tcW w:w="1184" w:type="dxa"/>
            <w:tcBorders>
              <w:top w:val="single" w:sz="4" w:space="0" w:color="auto"/>
              <w:left w:val="single" w:sz="4" w:space="0" w:color="auto"/>
              <w:bottom w:val="single" w:sz="18" w:space="0" w:color="auto"/>
              <w:right w:val="single" w:sz="4" w:space="0" w:color="auto"/>
            </w:tcBorders>
          </w:tcPr>
          <w:p w:rsidR="000D12B2" w:rsidRPr="005C68D7" w:rsidP="002533BB" w14:paraId="0557C27C" w14:textId="41F72146">
            <w:pPr>
              <w:jc w:val="center"/>
              <w:rPr>
                <w:bCs/>
                <w:color w:val="000000" w:themeColor="text1"/>
                <w:sz w:val="22"/>
                <w:szCs w:val="22"/>
                <w:highlight w:val="yellow"/>
              </w:rPr>
            </w:pPr>
            <w:r w:rsidRPr="005C68D7">
              <w:rPr>
                <w:bCs/>
                <w:color w:val="000000" w:themeColor="text1"/>
                <w:sz w:val="22"/>
                <w:szCs w:val="22"/>
                <w:highlight w:val="yellow"/>
              </w:rPr>
              <w:t>2</w:t>
            </w:r>
          </w:p>
        </w:tc>
      </w:tr>
      <w:tr w14:paraId="420AAFBC" w14:textId="77777777" w:rsidTr="000D12B2">
        <w:tblPrEx>
          <w:tblW w:w="9532" w:type="dxa"/>
          <w:jc w:val="center"/>
          <w:tblLayout w:type="fixed"/>
          <w:tblCellMar>
            <w:left w:w="100" w:type="dxa"/>
            <w:right w:w="100" w:type="dxa"/>
          </w:tblCellMar>
          <w:tblLook w:val="0000"/>
        </w:tblPrEx>
        <w:trPr>
          <w:cantSplit/>
          <w:trHeight w:val="372"/>
          <w:jc w:val="center"/>
        </w:trPr>
        <w:tc>
          <w:tcPr>
            <w:tcW w:w="2423" w:type="dxa"/>
            <w:tcBorders>
              <w:top w:val="single" w:sz="18" w:space="0" w:color="auto"/>
              <w:left w:val="single" w:sz="4" w:space="0" w:color="auto"/>
              <w:bottom w:val="single" w:sz="4" w:space="0" w:color="auto"/>
              <w:right w:val="single" w:sz="4" w:space="0" w:color="auto"/>
            </w:tcBorders>
          </w:tcPr>
          <w:p w:rsidR="005A6772" w:rsidRPr="00581542" w:rsidP="002533BB" w14:paraId="1A1291C9" w14:textId="77777777">
            <w:pPr>
              <w:rPr>
                <w:b/>
                <w:color w:val="000000" w:themeColor="text1"/>
                <w:sz w:val="22"/>
                <w:szCs w:val="22"/>
              </w:rPr>
            </w:pPr>
            <w:r w:rsidRPr="00581542">
              <w:rPr>
                <w:b/>
                <w:color w:val="000000" w:themeColor="text1"/>
                <w:sz w:val="22"/>
                <w:szCs w:val="22"/>
              </w:rPr>
              <w:t>Total</w:t>
            </w:r>
          </w:p>
        </w:tc>
        <w:tc>
          <w:tcPr>
            <w:tcW w:w="1439" w:type="dxa"/>
            <w:tcBorders>
              <w:top w:val="single" w:sz="18" w:space="0" w:color="auto"/>
              <w:left w:val="single" w:sz="4" w:space="0" w:color="auto"/>
              <w:bottom w:val="single" w:sz="4" w:space="0" w:color="auto"/>
              <w:right w:val="single" w:sz="4" w:space="0" w:color="auto"/>
            </w:tcBorders>
            <w:shd w:val="clear" w:color="auto" w:fill="FFFFFF" w:themeFill="background1"/>
          </w:tcPr>
          <w:p w:rsidR="005A6772" w:rsidRPr="00581542" w:rsidP="002533BB" w14:paraId="556F97A0" w14:textId="77777777">
            <w:pPr>
              <w:rPr>
                <w:b/>
                <w:color w:val="000000" w:themeColor="text1"/>
                <w:sz w:val="22"/>
                <w:szCs w:val="22"/>
              </w:rPr>
            </w:pPr>
          </w:p>
        </w:tc>
        <w:tc>
          <w:tcPr>
            <w:tcW w:w="1530" w:type="dxa"/>
            <w:tcBorders>
              <w:top w:val="single" w:sz="18" w:space="0" w:color="auto"/>
              <w:left w:val="single" w:sz="4" w:space="0" w:color="auto"/>
              <w:bottom w:val="single" w:sz="4" w:space="0" w:color="auto"/>
              <w:right w:val="single" w:sz="4" w:space="0" w:color="auto"/>
            </w:tcBorders>
            <w:shd w:val="clear" w:color="auto" w:fill="FFFFFF" w:themeFill="background1"/>
          </w:tcPr>
          <w:p w:rsidR="005A6772" w:rsidRPr="005C68D7" w:rsidP="002533BB" w14:paraId="3518AA2B" w14:textId="3360480E">
            <w:pPr>
              <w:jc w:val="center"/>
              <w:rPr>
                <w:b/>
                <w:color w:val="000000" w:themeColor="text1"/>
                <w:sz w:val="22"/>
                <w:szCs w:val="22"/>
                <w:highlight w:val="yellow"/>
              </w:rPr>
            </w:pPr>
            <w:r w:rsidRPr="005C68D7">
              <w:rPr>
                <w:b/>
                <w:color w:val="000000" w:themeColor="text1"/>
                <w:sz w:val="22"/>
                <w:szCs w:val="22"/>
                <w:highlight w:val="yellow"/>
              </w:rPr>
              <w:t>90,855</w:t>
            </w:r>
          </w:p>
        </w:tc>
        <w:tc>
          <w:tcPr>
            <w:tcW w:w="1440" w:type="dxa"/>
            <w:tcBorders>
              <w:top w:val="single" w:sz="18" w:space="0" w:color="auto"/>
              <w:left w:val="single" w:sz="4" w:space="0" w:color="auto"/>
              <w:bottom w:val="single" w:sz="4" w:space="0" w:color="auto"/>
              <w:right w:val="single" w:sz="4" w:space="0" w:color="auto"/>
            </w:tcBorders>
            <w:shd w:val="clear" w:color="auto" w:fill="FFFFFF" w:themeFill="background1"/>
          </w:tcPr>
          <w:p w:rsidR="005A6772" w:rsidRPr="005C68D7" w:rsidP="002533BB" w14:paraId="0E4513AF" w14:textId="0FB90F04">
            <w:pPr>
              <w:jc w:val="center"/>
              <w:rPr>
                <w:b/>
                <w:color w:val="000000" w:themeColor="text1"/>
                <w:sz w:val="22"/>
                <w:szCs w:val="22"/>
                <w:highlight w:val="yellow"/>
              </w:rPr>
            </w:pPr>
            <w:r w:rsidRPr="005C68D7">
              <w:rPr>
                <w:b/>
                <w:color w:val="000000" w:themeColor="text1"/>
                <w:sz w:val="22"/>
                <w:szCs w:val="22"/>
                <w:highlight w:val="yellow"/>
              </w:rPr>
              <w:t>323,878</w:t>
            </w:r>
          </w:p>
        </w:tc>
        <w:tc>
          <w:tcPr>
            <w:tcW w:w="1516" w:type="dxa"/>
            <w:tcBorders>
              <w:top w:val="single" w:sz="18" w:space="0" w:color="auto"/>
              <w:left w:val="single" w:sz="4" w:space="0" w:color="auto"/>
              <w:bottom w:val="single" w:sz="4" w:space="0" w:color="auto"/>
              <w:right w:val="single" w:sz="4" w:space="0" w:color="auto"/>
            </w:tcBorders>
            <w:shd w:val="clear" w:color="auto" w:fill="FFFFFF" w:themeFill="background1"/>
          </w:tcPr>
          <w:p w:rsidR="005A6772" w:rsidRPr="005C68D7" w:rsidP="002533BB" w14:paraId="0B10CECF" w14:textId="77777777">
            <w:pPr>
              <w:jc w:val="center"/>
              <w:rPr>
                <w:b/>
                <w:color w:val="000000" w:themeColor="text1"/>
                <w:sz w:val="22"/>
                <w:szCs w:val="22"/>
                <w:highlight w:val="yellow"/>
              </w:rPr>
            </w:pPr>
          </w:p>
        </w:tc>
        <w:tc>
          <w:tcPr>
            <w:tcW w:w="1184" w:type="dxa"/>
            <w:tcBorders>
              <w:top w:val="single" w:sz="18" w:space="0" w:color="auto"/>
              <w:left w:val="single" w:sz="4" w:space="0" w:color="auto"/>
              <w:bottom w:val="single" w:sz="4" w:space="0" w:color="auto"/>
              <w:right w:val="single" w:sz="4" w:space="0" w:color="auto"/>
            </w:tcBorders>
          </w:tcPr>
          <w:p w:rsidR="005A6772" w:rsidRPr="005C68D7" w:rsidP="002533BB" w14:paraId="1EDA9173" w14:textId="4981BC55">
            <w:pPr>
              <w:jc w:val="center"/>
              <w:rPr>
                <w:b/>
                <w:color w:val="000000" w:themeColor="text1"/>
                <w:sz w:val="22"/>
                <w:szCs w:val="22"/>
                <w:highlight w:val="yellow"/>
              </w:rPr>
            </w:pPr>
            <w:r w:rsidRPr="005C68D7">
              <w:rPr>
                <w:b/>
                <w:color w:val="000000" w:themeColor="text1"/>
                <w:sz w:val="22"/>
                <w:szCs w:val="22"/>
                <w:highlight w:val="yellow"/>
              </w:rPr>
              <w:t>1,411,181</w:t>
            </w:r>
            <w:r w:rsidRPr="005C68D7" w:rsidR="00E07F04">
              <w:rPr>
                <w:b/>
                <w:color w:val="000000" w:themeColor="text1"/>
                <w:sz w:val="22"/>
                <w:szCs w:val="22"/>
                <w:highlight w:val="yellow"/>
              </w:rPr>
              <w:t xml:space="preserve"> </w:t>
            </w:r>
            <w:r w:rsidRPr="005C68D7" w:rsidR="000A1015">
              <w:rPr>
                <w:b/>
                <w:color w:val="000000" w:themeColor="text1"/>
                <w:sz w:val="22"/>
                <w:szCs w:val="22"/>
                <w:highlight w:val="yellow"/>
              </w:rPr>
              <w:t xml:space="preserve"> </w:t>
            </w:r>
          </w:p>
        </w:tc>
      </w:tr>
    </w:tbl>
    <w:p w:rsidR="00E67744" w:rsidRPr="00581542" w:rsidP="002533BB" w14:paraId="5E87C47B" w14:textId="77777777">
      <w:pPr>
        <w:rPr>
          <w:color w:val="000000" w:themeColor="text1"/>
          <w:szCs w:val="24"/>
        </w:rPr>
      </w:pPr>
    </w:p>
    <w:p w:rsidR="00E67744" w:rsidRPr="00581542" w:rsidP="002533BB" w14:paraId="19898597" w14:textId="77777777">
      <w:pPr>
        <w:rPr>
          <w:b/>
          <w:color w:val="000000" w:themeColor="text1"/>
          <w:szCs w:val="24"/>
        </w:rPr>
      </w:pPr>
      <w:r w:rsidRPr="00581542">
        <w:rPr>
          <w:b/>
          <w:color w:val="000000" w:themeColor="text1"/>
          <w:szCs w:val="24"/>
        </w:rPr>
        <w:t>A.12-2 Annualized Cost to the Respondents</w:t>
      </w:r>
    </w:p>
    <w:p w:rsidR="009C1AB3" w:rsidRPr="00581542" w:rsidP="002533BB" w14:paraId="4BD6C2B4" w14:textId="77777777">
      <w:pPr>
        <w:rPr>
          <w:color w:val="000000" w:themeColor="text1"/>
          <w:szCs w:val="24"/>
        </w:rPr>
      </w:pPr>
    </w:p>
    <w:tbl>
      <w:tblPr>
        <w:tblStyle w:val="TableGrid"/>
        <w:tblW w:w="0" w:type="auto"/>
        <w:tblLayout w:type="fixed"/>
        <w:tblLook w:val="04A0"/>
      </w:tblPr>
      <w:tblGrid>
        <w:gridCol w:w="1435"/>
        <w:gridCol w:w="1530"/>
        <w:gridCol w:w="1710"/>
        <w:gridCol w:w="1800"/>
        <w:gridCol w:w="1440"/>
        <w:gridCol w:w="1579"/>
      </w:tblGrid>
      <w:tr w14:paraId="0711C23D" w14:textId="77777777" w:rsidTr="001351D1">
        <w:tblPrEx>
          <w:tblW w:w="0" w:type="auto"/>
          <w:tblLayout w:type="fixed"/>
          <w:tblLook w:val="04A0"/>
        </w:tblPrEx>
        <w:trPr>
          <w:trHeight w:val="630"/>
        </w:trPr>
        <w:tc>
          <w:tcPr>
            <w:tcW w:w="1435" w:type="dxa"/>
            <w:shd w:val="clear" w:color="auto" w:fill="D9D9D9" w:themeFill="background1" w:themeFillShade="D9"/>
            <w:hideMark/>
          </w:tcPr>
          <w:p w:rsidR="009C1AB3" w:rsidRPr="00581542" w:rsidP="002533BB" w14:paraId="08F84CDC" w14:textId="77777777">
            <w:pPr>
              <w:jc w:val="center"/>
              <w:rPr>
                <w:b/>
                <w:bCs/>
                <w:color w:val="000000" w:themeColor="text1"/>
                <w:sz w:val="22"/>
                <w:szCs w:val="22"/>
              </w:rPr>
            </w:pPr>
            <w:r w:rsidRPr="00581542">
              <w:rPr>
                <w:b/>
                <w:bCs/>
                <w:color w:val="000000" w:themeColor="text1"/>
                <w:sz w:val="22"/>
                <w:szCs w:val="22"/>
              </w:rPr>
              <w:t>Type of Respondent</w:t>
            </w:r>
          </w:p>
        </w:tc>
        <w:tc>
          <w:tcPr>
            <w:tcW w:w="1530" w:type="dxa"/>
            <w:shd w:val="clear" w:color="auto" w:fill="D9D9D9" w:themeFill="background1" w:themeFillShade="D9"/>
            <w:hideMark/>
          </w:tcPr>
          <w:p w:rsidR="009C1AB3" w:rsidRPr="00581542" w:rsidP="002533BB" w14:paraId="38A942C1" w14:textId="77777777">
            <w:pPr>
              <w:jc w:val="center"/>
              <w:rPr>
                <w:b/>
                <w:bCs/>
                <w:color w:val="000000" w:themeColor="text1"/>
                <w:sz w:val="22"/>
                <w:szCs w:val="22"/>
              </w:rPr>
            </w:pPr>
            <w:r w:rsidRPr="00581542">
              <w:rPr>
                <w:b/>
                <w:bCs/>
                <w:color w:val="000000" w:themeColor="text1"/>
                <w:sz w:val="22"/>
                <w:szCs w:val="22"/>
              </w:rPr>
              <w:t>Number of Respondents</w:t>
            </w:r>
          </w:p>
        </w:tc>
        <w:tc>
          <w:tcPr>
            <w:tcW w:w="1710" w:type="dxa"/>
            <w:shd w:val="clear" w:color="auto" w:fill="D9D9D9" w:themeFill="background1" w:themeFillShade="D9"/>
            <w:hideMark/>
          </w:tcPr>
          <w:p w:rsidR="009C1AB3" w:rsidRPr="00581542" w:rsidP="002533BB" w14:paraId="5072ADBE" w14:textId="77777777">
            <w:pPr>
              <w:jc w:val="center"/>
              <w:rPr>
                <w:b/>
                <w:bCs/>
                <w:color w:val="000000" w:themeColor="text1"/>
                <w:sz w:val="22"/>
                <w:szCs w:val="22"/>
              </w:rPr>
            </w:pPr>
            <w:r w:rsidRPr="00581542">
              <w:rPr>
                <w:b/>
                <w:bCs/>
                <w:color w:val="000000" w:themeColor="text1"/>
                <w:sz w:val="22"/>
                <w:szCs w:val="22"/>
              </w:rPr>
              <w:t>Number of Responses per Respondent</w:t>
            </w:r>
          </w:p>
        </w:tc>
        <w:tc>
          <w:tcPr>
            <w:tcW w:w="1800" w:type="dxa"/>
            <w:shd w:val="clear" w:color="auto" w:fill="D9D9D9" w:themeFill="background1" w:themeFillShade="D9"/>
            <w:hideMark/>
          </w:tcPr>
          <w:p w:rsidR="009C1AB3" w:rsidRPr="00581542" w:rsidP="002533BB" w14:paraId="5A8044BD" w14:textId="77777777">
            <w:pPr>
              <w:jc w:val="center"/>
              <w:rPr>
                <w:b/>
                <w:bCs/>
                <w:color w:val="000000" w:themeColor="text1"/>
                <w:sz w:val="22"/>
                <w:szCs w:val="22"/>
              </w:rPr>
            </w:pPr>
            <w:r w:rsidRPr="00581542">
              <w:rPr>
                <w:b/>
                <w:bCs/>
                <w:color w:val="000000" w:themeColor="text1"/>
                <w:sz w:val="22"/>
                <w:szCs w:val="22"/>
              </w:rPr>
              <w:t>Average Burden Per Response (in hours)</w:t>
            </w:r>
          </w:p>
        </w:tc>
        <w:tc>
          <w:tcPr>
            <w:tcW w:w="1440" w:type="dxa"/>
            <w:shd w:val="clear" w:color="auto" w:fill="D9D9D9" w:themeFill="background1" w:themeFillShade="D9"/>
            <w:hideMark/>
          </w:tcPr>
          <w:p w:rsidR="009C1AB3" w:rsidRPr="00581542" w:rsidP="002533BB" w14:paraId="05D9E406" w14:textId="77777777">
            <w:pPr>
              <w:jc w:val="center"/>
              <w:rPr>
                <w:b/>
                <w:bCs/>
                <w:color w:val="000000" w:themeColor="text1"/>
                <w:sz w:val="22"/>
                <w:szCs w:val="22"/>
              </w:rPr>
            </w:pPr>
            <w:r w:rsidRPr="00581542">
              <w:rPr>
                <w:b/>
                <w:bCs/>
                <w:color w:val="000000" w:themeColor="text1"/>
                <w:sz w:val="22"/>
                <w:szCs w:val="22"/>
              </w:rPr>
              <w:t>Hourly Wage Rate</w:t>
            </w:r>
            <w:r w:rsidRPr="00581542">
              <w:rPr>
                <w:b/>
                <w:bCs/>
                <w:color w:val="FF0000"/>
                <w:sz w:val="22"/>
                <w:szCs w:val="22"/>
              </w:rPr>
              <w:t>*</w:t>
            </w:r>
            <w:r w:rsidRPr="00581542">
              <w:rPr>
                <w:b/>
                <w:bCs/>
                <w:color w:val="000000" w:themeColor="text1"/>
                <w:sz w:val="22"/>
                <w:szCs w:val="22"/>
              </w:rPr>
              <w:t xml:space="preserve"> (doubled)</w:t>
            </w:r>
          </w:p>
        </w:tc>
        <w:tc>
          <w:tcPr>
            <w:tcW w:w="1579" w:type="dxa"/>
            <w:shd w:val="clear" w:color="auto" w:fill="D9D9D9" w:themeFill="background1" w:themeFillShade="D9"/>
            <w:hideMark/>
          </w:tcPr>
          <w:p w:rsidR="009C1AB3" w:rsidRPr="00581542" w:rsidP="002533BB" w14:paraId="130D7A19" w14:textId="77777777">
            <w:pPr>
              <w:jc w:val="center"/>
              <w:rPr>
                <w:b/>
                <w:bCs/>
                <w:color w:val="000000" w:themeColor="text1"/>
                <w:sz w:val="22"/>
                <w:szCs w:val="22"/>
              </w:rPr>
            </w:pPr>
            <w:r w:rsidRPr="00581542">
              <w:rPr>
                <w:b/>
                <w:bCs/>
                <w:color w:val="000000" w:themeColor="text1"/>
                <w:sz w:val="22"/>
                <w:szCs w:val="22"/>
              </w:rPr>
              <w:t>Respondent Cost</w:t>
            </w:r>
          </w:p>
        </w:tc>
      </w:tr>
      <w:tr w14:paraId="01AA5D65" w14:textId="77777777" w:rsidTr="001351D1">
        <w:tblPrEx>
          <w:tblW w:w="0" w:type="auto"/>
          <w:tblLayout w:type="fixed"/>
          <w:tblLook w:val="04A0"/>
        </w:tblPrEx>
        <w:trPr>
          <w:trHeight w:val="645"/>
        </w:trPr>
        <w:tc>
          <w:tcPr>
            <w:tcW w:w="1435" w:type="dxa"/>
            <w:vAlign w:val="center"/>
            <w:hideMark/>
          </w:tcPr>
          <w:p w:rsidR="005200EE" w:rsidRPr="00581542" w:rsidP="002533BB" w14:paraId="4F5557A1" w14:textId="77777777">
            <w:pPr>
              <w:rPr>
                <w:color w:val="000000" w:themeColor="text1"/>
                <w:sz w:val="22"/>
                <w:szCs w:val="22"/>
              </w:rPr>
            </w:pPr>
            <w:r w:rsidRPr="00581542">
              <w:rPr>
                <w:color w:val="000000" w:themeColor="text1"/>
                <w:sz w:val="22"/>
                <w:szCs w:val="22"/>
              </w:rPr>
              <w:t>Data Entry Personnel</w:t>
            </w:r>
          </w:p>
        </w:tc>
        <w:tc>
          <w:tcPr>
            <w:tcW w:w="1530" w:type="dxa"/>
            <w:vAlign w:val="center"/>
            <w:hideMark/>
          </w:tcPr>
          <w:p w:rsidR="005200EE" w:rsidRPr="00402818" w:rsidP="002533BB" w14:paraId="180FA18B" w14:textId="1122E558">
            <w:pPr>
              <w:jc w:val="center"/>
              <w:rPr>
                <w:color w:val="000000" w:themeColor="text1"/>
                <w:kern w:val="0"/>
                <w:sz w:val="22"/>
                <w:szCs w:val="22"/>
              </w:rPr>
            </w:pPr>
            <w:r w:rsidRPr="00402818">
              <w:rPr>
                <w:color w:val="000000" w:themeColor="text1"/>
                <w:sz w:val="22"/>
                <w:szCs w:val="22"/>
              </w:rPr>
              <w:t>32,125</w:t>
            </w:r>
          </w:p>
        </w:tc>
        <w:tc>
          <w:tcPr>
            <w:tcW w:w="1710" w:type="dxa"/>
            <w:vAlign w:val="center"/>
            <w:hideMark/>
          </w:tcPr>
          <w:p w:rsidR="005200EE" w:rsidRPr="00402818" w:rsidP="002533BB" w14:paraId="2AB5141C" w14:textId="18E67D33">
            <w:pPr>
              <w:jc w:val="center"/>
              <w:rPr>
                <w:color w:val="000000" w:themeColor="text1"/>
                <w:sz w:val="22"/>
                <w:szCs w:val="22"/>
              </w:rPr>
            </w:pPr>
            <w:r w:rsidRPr="00402818">
              <w:rPr>
                <w:color w:val="000000" w:themeColor="text1"/>
                <w:sz w:val="22"/>
                <w:szCs w:val="22"/>
              </w:rPr>
              <w:t>4.4</w:t>
            </w:r>
            <w:r w:rsidRPr="00402818" w:rsidR="00684464">
              <w:rPr>
                <w:color w:val="000000" w:themeColor="text1"/>
                <w:sz w:val="22"/>
                <w:szCs w:val="22"/>
              </w:rPr>
              <w:t>7</w:t>
            </w:r>
          </w:p>
        </w:tc>
        <w:tc>
          <w:tcPr>
            <w:tcW w:w="1800" w:type="dxa"/>
            <w:vAlign w:val="center"/>
            <w:hideMark/>
          </w:tcPr>
          <w:p w:rsidR="005200EE" w:rsidRPr="00402818" w:rsidP="002533BB" w14:paraId="7FD13C00" w14:textId="6DD97352">
            <w:pPr>
              <w:jc w:val="center"/>
              <w:rPr>
                <w:color w:val="000000" w:themeColor="text1"/>
                <w:sz w:val="22"/>
                <w:szCs w:val="22"/>
              </w:rPr>
            </w:pPr>
            <w:r w:rsidRPr="00402818">
              <w:rPr>
                <w:color w:val="000000" w:themeColor="text1"/>
                <w:sz w:val="22"/>
                <w:szCs w:val="22"/>
              </w:rPr>
              <w:t>2.6</w:t>
            </w:r>
            <w:r w:rsidRPr="00402818" w:rsidR="000F0008">
              <w:rPr>
                <w:color w:val="000000" w:themeColor="text1"/>
                <w:sz w:val="22"/>
                <w:szCs w:val="22"/>
              </w:rPr>
              <w:t>7</w:t>
            </w:r>
          </w:p>
        </w:tc>
        <w:tc>
          <w:tcPr>
            <w:tcW w:w="1440" w:type="dxa"/>
            <w:vAlign w:val="center"/>
            <w:hideMark/>
          </w:tcPr>
          <w:p w:rsidR="005200EE" w:rsidRPr="00402818" w:rsidP="002533BB" w14:paraId="18F7D74B" w14:textId="02C519FE">
            <w:pPr>
              <w:jc w:val="center"/>
              <w:rPr>
                <w:color w:val="000000" w:themeColor="text1"/>
                <w:sz w:val="22"/>
                <w:szCs w:val="22"/>
              </w:rPr>
            </w:pPr>
            <w:r w:rsidRPr="00402818">
              <w:rPr>
                <w:color w:val="000000" w:themeColor="text1"/>
                <w:sz w:val="22"/>
                <w:szCs w:val="22"/>
              </w:rPr>
              <w:t>$</w:t>
            </w:r>
            <w:r w:rsidRPr="00402818" w:rsidR="00D74703">
              <w:rPr>
                <w:color w:val="000000" w:themeColor="text1"/>
                <w:sz w:val="22"/>
                <w:szCs w:val="22"/>
              </w:rPr>
              <w:t>8</w:t>
            </w:r>
            <w:r w:rsidRPr="00402818" w:rsidR="00920992">
              <w:rPr>
                <w:color w:val="000000" w:themeColor="text1"/>
                <w:sz w:val="22"/>
                <w:szCs w:val="22"/>
              </w:rPr>
              <w:t>7</w:t>
            </w:r>
            <w:r w:rsidRPr="00402818" w:rsidR="00D74703">
              <w:rPr>
                <w:color w:val="000000" w:themeColor="text1"/>
                <w:sz w:val="22"/>
                <w:szCs w:val="22"/>
              </w:rPr>
              <w:t>.</w:t>
            </w:r>
            <w:r w:rsidRPr="00402818" w:rsidR="00920992">
              <w:rPr>
                <w:color w:val="000000" w:themeColor="text1"/>
                <w:sz w:val="22"/>
                <w:szCs w:val="22"/>
              </w:rPr>
              <w:t>46</w:t>
            </w:r>
          </w:p>
        </w:tc>
        <w:tc>
          <w:tcPr>
            <w:tcW w:w="1579" w:type="dxa"/>
            <w:vAlign w:val="center"/>
            <w:hideMark/>
          </w:tcPr>
          <w:p w:rsidR="005200EE" w:rsidRPr="00402818" w:rsidP="002533BB" w14:paraId="770B257E" w14:textId="5E82E184">
            <w:pPr>
              <w:jc w:val="center"/>
              <w:rPr>
                <w:color w:val="000000" w:themeColor="text1"/>
                <w:sz w:val="22"/>
                <w:szCs w:val="22"/>
              </w:rPr>
            </w:pPr>
            <w:r w:rsidRPr="00402818">
              <w:rPr>
                <w:color w:val="000000" w:themeColor="text1"/>
                <w:sz w:val="22"/>
                <w:szCs w:val="22"/>
              </w:rPr>
              <w:t>$</w:t>
            </w:r>
            <w:r w:rsidRPr="00402818" w:rsidR="00110EDA">
              <w:rPr>
                <w:color w:val="000000" w:themeColor="text1"/>
                <w:sz w:val="22"/>
                <w:szCs w:val="22"/>
              </w:rPr>
              <w:t>66,776,453</w:t>
            </w:r>
          </w:p>
        </w:tc>
      </w:tr>
      <w:tr w14:paraId="47F4F53B" w14:textId="77777777" w:rsidTr="001351D1">
        <w:tblPrEx>
          <w:tblW w:w="0" w:type="auto"/>
          <w:tblLayout w:type="fixed"/>
          <w:tblLook w:val="04A0"/>
        </w:tblPrEx>
        <w:trPr>
          <w:trHeight w:val="330"/>
        </w:trPr>
        <w:tc>
          <w:tcPr>
            <w:tcW w:w="1435" w:type="dxa"/>
            <w:vAlign w:val="center"/>
            <w:hideMark/>
          </w:tcPr>
          <w:p w:rsidR="005200EE" w:rsidRPr="00581542" w:rsidP="002533BB" w14:paraId="7FCDA0AA" w14:textId="77777777">
            <w:pPr>
              <w:rPr>
                <w:color w:val="000000" w:themeColor="text1"/>
                <w:sz w:val="22"/>
                <w:szCs w:val="22"/>
              </w:rPr>
            </w:pPr>
            <w:r w:rsidRPr="00581542">
              <w:rPr>
                <w:color w:val="000000" w:themeColor="text1"/>
                <w:sz w:val="22"/>
                <w:szCs w:val="22"/>
              </w:rPr>
              <w:t>Medical Scientist</w:t>
            </w:r>
          </w:p>
        </w:tc>
        <w:tc>
          <w:tcPr>
            <w:tcW w:w="1530" w:type="dxa"/>
            <w:vAlign w:val="center"/>
            <w:hideMark/>
          </w:tcPr>
          <w:p w:rsidR="005200EE" w:rsidRPr="00402818" w:rsidP="002533BB" w14:paraId="0E9983B6" w14:textId="0204F7D7">
            <w:pPr>
              <w:jc w:val="center"/>
              <w:rPr>
                <w:color w:val="000000" w:themeColor="text1"/>
                <w:sz w:val="22"/>
                <w:szCs w:val="22"/>
              </w:rPr>
            </w:pPr>
            <w:r w:rsidRPr="00402818">
              <w:rPr>
                <w:color w:val="000000" w:themeColor="text1"/>
                <w:sz w:val="22"/>
                <w:szCs w:val="22"/>
              </w:rPr>
              <w:t>16,087</w:t>
            </w:r>
          </w:p>
        </w:tc>
        <w:tc>
          <w:tcPr>
            <w:tcW w:w="1710" w:type="dxa"/>
            <w:vAlign w:val="center"/>
            <w:hideMark/>
          </w:tcPr>
          <w:p w:rsidR="005200EE" w:rsidRPr="00402818" w:rsidP="002533BB" w14:paraId="325E95FD" w14:textId="4C58D019">
            <w:pPr>
              <w:jc w:val="center"/>
              <w:rPr>
                <w:color w:val="000000" w:themeColor="text1"/>
                <w:sz w:val="22"/>
                <w:szCs w:val="22"/>
              </w:rPr>
            </w:pPr>
            <w:r w:rsidRPr="00402818">
              <w:rPr>
                <w:color w:val="000000" w:themeColor="text1"/>
                <w:sz w:val="22"/>
                <w:szCs w:val="22"/>
              </w:rPr>
              <w:t>1.40</w:t>
            </w:r>
          </w:p>
        </w:tc>
        <w:tc>
          <w:tcPr>
            <w:tcW w:w="1800" w:type="dxa"/>
            <w:vAlign w:val="center"/>
            <w:hideMark/>
          </w:tcPr>
          <w:p w:rsidR="005200EE" w:rsidRPr="00402818" w:rsidP="002533BB" w14:paraId="71ACDF94" w14:textId="13A49760">
            <w:pPr>
              <w:jc w:val="center"/>
              <w:rPr>
                <w:color w:val="000000" w:themeColor="text1"/>
                <w:sz w:val="22"/>
                <w:szCs w:val="22"/>
              </w:rPr>
            </w:pPr>
            <w:r w:rsidRPr="00402818">
              <w:rPr>
                <w:color w:val="000000" w:themeColor="text1"/>
                <w:sz w:val="22"/>
                <w:szCs w:val="22"/>
              </w:rPr>
              <w:t>17.</w:t>
            </w:r>
            <w:r w:rsidRPr="00402818" w:rsidR="001A16A5">
              <w:rPr>
                <w:color w:val="000000" w:themeColor="text1"/>
                <w:sz w:val="22"/>
                <w:szCs w:val="22"/>
              </w:rPr>
              <w:t>28</w:t>
            </w:r>
          </w:p>
        </w:tc>
        <w:tc>
          <w:tcPr>
            <w:tcW w:w="1440" w:type="dxa"/>
            <w:vAlign w:val="center"/>
            <w:hideMark/>
          </w:tcPr>
          <w:p w:rsidR="005200EE" w:rsidRPr="00402818" w:rsidP="002533BB" w14:paraId="100A1459" w14:textId="2C4FEE0F">
            <w:pPr>
              <w:jc w:val="center"/>
              <w:rPr>
                <w:color w:val="000000" w:themeColor="text1"/>
                <w:sz w:val="22"/>
                <w:szCs w:val="22"/>
              </w:rPr>
            </w:pPr>
            <w:r w:rsidRPr="00402818">
              <w:rPr>
                <w:color w:val="000000" w:themeColor="text1"/>
                <w:sz w:val="22"/>
                <w:szCs w:val="22"/>
              </w:rPr>
              <w:t>$</w:t>
            </w:r>
            <w:r w:rsidRPr="00402818" w:rsidR="00C54839">
              <w:rPr>
                <w:color w:val="000000" w:themeColor="text1"/>
                <w:sz w:val="22"/>
                <w:szCs w:val="22"/>
              </w:rPr>
              <w:t>1</w:t>
            </w:r>
            <w:r w:rsidRPr="00402818" w:rsidR="00920992">
              <w:rPr>
                <w:color w:val="000000" w:themeColor="text1"/>
                <w:sz w:val="22"/>
                <w:szCs w:val="22"/>
              </w:rPr>
              <w:t>14</w:t>
            </w:r>
            <w:r w:rsidRPr="00402818" w:rsidR="00C54839">
              <w:rPr>
                <w:color w:val="000000" w:themeColor="text1"/>
                <w:sz w:val="22"/>
                <w:szCs w:val="22"/>
              </w:rPr>
              <w:t>.</w:t>
            </w:r>
            <w:r w:rsidRPr="00402818" w:rsidR="00920992">
              <w:rPr>
                <w:color w:val="000000" w:themeColor="text1"/>
                <w:sz w:val="22"/>
                <w:szCs w:val="22"/>
              </w:rPr>
              <w:t>42</w:t>
            </w:r>
          </w:p>
        </w:tc>
        <w:tc>
          <w:tcPr>
            <w:tcW w:w="1579" w:type="dxa"/>
            <w:vAlign w:val="center"/>
            <w:hideMark/>
          </w:tcPr>
          <w:p w:rsidR="005200EE" w:rsidRPr="00402818" w:rsidP="002533BB" w14:paraId="6DBB5D3E" w14:textId="116C7810">
            <w:pPr>
              <w:jc w:val="center"/>
              <w:rPr>
                <w:color w:val="000000" w:themeColor="text1"/>
                <w:sz w:val="22"/>
                <w:szCs w:val="22"/>
              </w:rPr>
            </w:pPr>
            <w:r w:rsidRPr="00402818">
              <w:rPr>
                <w:color w:val="000000" w:themeColor="text1"/>
                <w:sz w:val="22"/>
                <w:szCs w:val="22"/>
              </w:rPr>
              <w:t>$</w:t>
            </w:r>
            <w:r w:rsidRPr="00402818" w:rsidR="003001D7">
              <w:rPr>
                <w:color w:val="000000" w:themeColor="text1"/>
                <w:sz w:val="22"/>
                <w:szCs w:val="22"/>
              </w:rPr>
              <w:t>74,106,630</w:t>
            </w:r>
          </w:p>
        </w:tc>
      </w:tr>
      <w:tr w14:paraId="3335461D" w14:textId="77777777" w:rsidTr="001351D1">
        <w:tblPrEx>
          <w:tblW w:w="0" w:type="auto"/>
          <w:tblLayout w:type="fixed"/>
          <w:tblLook w:val="04A0"/>
        </w:tblPrEx>
        <w:trPr>
          <w:trHeight w:val="330"/>
        </w:trPr>
        <w:tc>
          <w:tcPr>
            <w:tcW w:w="1435" w:type="dxa"/>
            <w:vAlign w:val="center"/>
            <w:hideMark/>
          </w:tcPr>
          <w:p w:rsidR="005200EE" w:rsidRPr="00581542" w:rsidP="002533BB" w14:paraId="1B70ACE1" w14:textId="77777777">
            <w:pPr>
              <w:rPr>
                <w:b/>
                <w:bCs/>
                <w:color w:val="000000" w:themeColor="text1"/>
                <w:sz w:val="22"/>
                <w:szCs w:val="22"/>
              </w:rPr>
            </w:pPr>
            <w:r w:rsidRPr="00581542">
              <w:rPr>
                <w:b/>
                <w:bCs/>
                <w:color w:val="000000" w:themeColor="text1"/>
                <w:sz w:val="22"/>
                <w:szCs w:val="22"/>
              </w:rPr>
              <w:t>Total</w:t>
            </w:r>
          </w:p>
        </w:tc>
        <w:tc>
          <w:tcPr>
            <w:tcW w:w="1530" w:type="dxa"/>
            <w:vAlign w:val="center"/>
            <w:hideMark/>
          </w:tcPr>
          <w:p w:rsidR="005200EE" w:rsidRPr="00402818" w:rsidP="002533BB" w14:paraId="4CA5026A" w14:textId="77777777">
            <w:pPr>
              <w:jc w:val="center"/>
              <w:rPr>
                <w:b/>
                <w:bCs/>
                <w:color w:val="000000" w:themeColor="text1"/>
                <w:sz w:val="22"/>
                <w:szCs w:val="22"/>
              </w:rPr>
            </w:pPr>
          </w:p>
        </w:tc>
        <w:tc>
          <w:tcPr>
            <w:tcW w:w="1710" w:type="dxa"/>
            <w:vAlign w:val="center"/>
            <w:hideMark/>
          </w:tcPr>
          <w:p w:rsidR="005200EE" w:rsidRPr="00402818" w:rsidP="002533BB" w14:paraId="715A6BB4" w14:textId="77777777">
            <w:pPr>
              <w:jc w:val="center"/>
              <w:rPr>
                <w:color w:val="000000" w:themeColor="text1"/>
                <w:sz w:val="22"/>
                <w:szCs w:val="22"/>
              </w:rPr>
            </w:pPr>
          </w:p>
        </w:tc>
        <w:tc>
          <w:tcPr>
            <w:tcW w:w="1800" w:type="dxa"/>
            <w:vAlign w:val="center"/>
            <w:hideMark/>
          </w:tcPr>
          <w:p w:rsidR="005200EE" w:rsidRPr="00402818" w:rsidP="002533BB" w14:paraId="34E2D85F" w14:textId="77777777">
            <w:pPr>
              <w:jc w:val="center"/>
              <w:rPr>
                <w:color w:val="000000" w:themeColor="text1"/>
                <w:sz w:val="22"/>
                <w:szCs w:val="22"/>
              </w:rPr>
            </w:pPr>
          </w:p>
        </w:tc>
        <w:tc>
          <w:tcPr>
            <w:tcW w:w="1440" w:type="dxa"/>
            <w:vAlign w:val="center"/>
            <w:hideMark/>
          </w:tcPr>
          <w:p w:rsidR="005200EE" w:rsidRPr="00402818" w:rsidP="002533BB" w14:paraId="7D937146" w14:textId="77777777">
            <w:pPr>
              <w:jc w:val="center"/>
              <w:rPr>
                <w:color w:val="000000" w:themeColor="text1"/>
                <w:sz w:val="22"/>
                <w:szCs w:val="22"/>
              </w:rPr>
            </w:pPr>
          </w:p>
        </w:tc>
        <w:tc>
          <w:tcPr>
            <w:tcW w:w="1579" w:type="dxa"/>
            <w:vAlign w:val="center"/>
            <w:hideMark/>
          </w:tcPr>
          <w:p w:rsidR="005200EE" w:rsidRPr="00402818" w:rsidP="002533BB" w14:paraId="1C6D968C" w14:textId="0946C3A6">
            <w:pPr>
              <w:jc w:val="center"/>
              <w:rPr>
                <w:b/>
                <w:bCs/>
                <w:color w:val="000000" w:themeColor="text1"/>
                <w:sz w:val="22"/>
                <w:szCs w:val="22"/>
              </w:rPr>
            </w:pPr>
            <w:r w:rsidRPr="00402818">
              <w:rPr>
                <w:b/>
                <w:bCs/>
                <w:color w:val="000000" w:themeColor="text1"/>
                <w:sz w:val="22"/>
                <w:szCs w:val="22"/>
              </w:rPr>
              <w:t>$</w:t>
            </w:r>
            <w:r w:rsidRPr="00402818" w:rsidR="003001D7">
              <w:rPr>
                <w:b/>
                <w:bCs/>
                <w:color w:val="000000" w:themeColor="text1"/>
                <w:sz w:val="22"/>
                <w:szCs w:val="22"/>
              </w:rPr>
              <w:t>140,883,084</w:t>
            </w:r>
          </w:p>
        </w:tc>
      </w:tr>
    </w:tbl>
    <w:p w:rsidR="00E67744" w:rsidRPr="00581542" w:rsidP="002533BB" w14:paraId="1DCF846E" w14:textId="3EA5DBFD">
      <w:pPr>
        <w:rPr>
          <w:color w:val="000000" w:themeColor="text1"/>
          <w:sz w:val="18"/>
          <w:szCs w:val="18"/>
        </w:rPr>
      </w:pPr>
      <w:r w:rsidRPr="00581542">
        <w:rPr>
          <w:b/>
          <w:color w:val="FF0000"/>
          <w:sz w:val="18"/>
          <w:szCs w:val="18"/>
        </w:rPr>
        <w:t>*</w:t>
      </w:r>
      <w:r w:rsidRPr="00581542">
        <w:rPr>
          <w:b/>
          <w:color w:val="000000" w:themeColor="text1"/>
          <w:sz w:val="18"/>
          <w:szCs w:val="18"/>
        </w:rPr>
        <w:t>Source</w:t>
      </w:r>
      <w:r w:rsidRPr="00581542">
        <w:rPr>
          <w:color w:val="000000" w:themeColor="text1"/>
          <w:sz w:val="18"/>
          <w:szCs w:val="18"/>
        </w:rPr>
        <w:t xml:space="preserve">: U.S. Bureau of Labor Statistics. </w:t>
      </w:r>
      <w:r w:rsidRPr="00581542">
        <w:rPr>
          <w:i/>
          <w:color w:val="000000" w:themeColor="text1"/>
          <w:sz w:val="18"/>
          <w:szCs w:val="18"/>
        </w:rPr>
        <w:t>For data entry personnel</w:t>
      </w:r>
      <w:r w:rsidRPr="00581542">
        <w:rPr>
          <w:color w:val="000000" w:themeColor="text1"/>
          <w:sz w:val="18"/>
          <w:szCs w:val="18"/>
        </w:rPr>
        <w:t xml:space="preserve">, based on the hourly </w:t>
      </w:r>
      <w:r w:rsidRPr="00581542" w:rsidR="00C54839">
        <w:rPr>
          <w:color w:val="000000" w:themeColor="text1"/>
          <w:sz w:val="18"/>
          <w:szCs w:val="18"/>
        </w:rPr>
        <w:t xml:space="preserve">mean </w:t>
      </w:r>
      <w:r w:rsidRPr="00581542">
        <w:rPr>
          <w:color w:val="000000" w:themeColor="text1"/>
          <w:sz w:val="18"/>
          <w:szCs w:val="18"/>
        </w:rPr>
        <w:t xml:space="preserve">wage of Life, Physical, and Social Science Occupations (19-0000) workers in the </w:t>
      </w:r>
      <w:r w:rsidRPr="00581542" w:rsidR="00092663">
        <w:rPr>
          <w:color w:val="000000" w:themeColor="text1"/>
          <w:sz w:val="18"/>
          <w:szCs w:val="18"/>
        </w:rPr>
        <w:t xml:space="preserve">pharmaceutical and medicine manufacturing </w:t>
      </w:r>
      <w:r w:rsidRPr="00581542">
        <w:rPr>
          <w:color w:val="000000" w:themeColor="text1"/>
          <w:sz w:val="18"/>
          <w:szCs w:val="18"/>
        </w:rPr>
        <w:t xml:space="preserve">industries in </w:t>
      </w:r>
      <w:r w:rsidRPr="00581542" w:rsidR="00D74703">
        <w:rPr>
          <w:color w:val="000000" w:themeColor="text1"/>
          <w:sz w:val="18"/>
          <w:szCs w:val="18"/>
        </w:rPr>
        <w:t>2024</w:t>
      </w:r>
      <w:r w:rsidRPr="00581542">
        <w:rPr>
          <w:color w:val="000000" w:themeColor="text1"/>
          <w:sz w:val="18"/>
          <w:szCs w:val="18"/>
        </w:rPr>
        <w:t xml:space="preserve">. </w:t>
      </w:r>
      <w:r w:rsidRPr="00581542">
        <w:rPr>
          <w:i/>
          <w:color w:val="000000" w:themeColor="text1"/>
          <w:sz w:val="18"/>
          <w:szCs w:val="18"/>
        </w:rPr>
        <w:t>For medical scientist</w:t>
      </w:r>
      <w:r w:rsidRPr="00581542">
        <w:rPr>
          <w:color w:val="000000" w:themeColor="text1"/>
          <w:sz w:val="18"/>
          <w:szCs w:val="18"/>
        </w:rPr>
        <w:t xml:space="preserve">, based on the </w:t>
      </w:r>
      <w:r w:rsidRPr="00581542" w:rsidR="00920992">
        <w:rPr>
          <w:color w:val="000000" w:themeColor="text1"/>
          <w:sz w:val="18"/>
          <w:szCs w:val="18"/>
        </w:rPr>
        <w:t xml:space="preserve">hourly mean </w:t>
      </w:r>
      <w:r w:rsidRPr="00581542">
        <w:rPr>
          <w:color w:val="000000" w:themeColor="text1"/>
          <w:sz w:val="18"/>
          <w:szCs w:val="18"/>
        </w:rPr>
        <w:t>wage of Medical Scientists</w:t>
      </w:r>
      <w:r w:rsidRPr="00581542" w:rsidR="008E45F3">
        <w:rPr>
          <w:color w:val="000000" w:themeColor="text1"/>
          <w:sz w:val="18"/>
          <w:szCs w:val="18"/>
        </w:rPr>
        <w:t>, Except Epidemiologists</w:t>
      </w:r>
      <w:r w:rsidRPr="00581542">
        <w:rPr>
          <w:color w:val="000000" w:themeColor="text1"/>
          <w:sz w:val="18"/>
          <w:szCs w:val="18"/>
        </w:rPr>
        <w:t xml:space="preserve"> (19-</w:t>
      </w:r>
      <w:r w:rsidRPr="00581542" w:rsidR="008E45F3">
        <w:rPr>
          <w:color w:val="000000" w:themeColor="text1"/>
          <w:sz w:val="18"/>
          <w:szCs w:val="18"/>
        </w:rPr>
        <w:t>1042</w:t>
      </w:r>
      <w:r w:rsidRPr="00581542">
        <w:rPr>
          <w:color w:val="000000" w:themeColor="text1"/>
          <w:sz w:val="18"/>
          <w:szCs w:val="18"/>
        </w:rPr>
        <w:t xml:space="preserve">) in </w:t>
      </w:r>
      <w:r w:rsidRPr="00581542" w:rsidR="00092663">
        <w:rPr>
          <w:color w:val="000000" w:themeColor="text1"/>
          <w:sz w:val="18"/>
          <w:szCs w:val="18"/>
        </w:rPr>
        <w:t>pharmaceutical and medicine manufacturing industries</w:t>
      </w:r>
      <w:r w:rsidRPr="00581542">
        <w:rPr>
          <w:color w:val="000000" w:themeColor="text1"/>
          <w:sz w:val="18"/>
          <w:szCs w:val="18"/>
        </w:rPr>
        <w:t>. (</w:t>
      </w:r>
      <w:hyperlink r:id="rId8" w:history="1">
        <w:r w:rsidRPr="00492842" w:rsidR="00920992">
          <w:rPr>
            <w:rStyle w:val="Hyperlink"/>
            <w:sz w:val="18"/>
            <w:szCs w:val="18"/>
          </w:rPr>
          <w:t>https://www.bls.gov/oes/tables.htm</w:t>
        </w:r>
      </w:hyperlink>
      <w:r w:rsidRPr="00581542">
        <w:rPr>
          <w:color w:val="000000" w:themeColor="text1"/>
          <w:sz w:val="18"/>
          <w:szCs w:val="18"/>
        </w:rPr>
        <w:t>)</w:t>
      </w:r>
    </w:p>
    <w:p w:rsidR="00A33EE7" w:rsidRPr="00581542" w:rsidP="002533BB" w14:paraId="78AF6F34" w14:textId="661F987A">
      <w:pPr>
        <w:rPr>
          <w:color w:val="000000" w:themeColor="text1"/>
          <w:sz w:val="18"/>
          <w:szCs w:val="18"/>
        </w:rPr>
      </w:pPr>
    </w:p>
    <w:p w:rsidR="00A33EE7" w:rsidRPr="00581542" w:rsidP="002533BB" w14:paraId="652978BA" w14:textId="030973CE">
      <w:pPr>
        <w:rPr>
          <w:color w:val="000000" w:themeColor="text1"/>
          <w:sz w:val="18"/>
          <w:szCs w:val="18"/>
        </w:rPr>
      </w:pPr>
    </w:p>
    <w:p w:rsidR="000754CE" w:rsidRPr="00581542" w:rsidP="002533BB" w14:paraId="62480F08" w14:textId="77777777">
      <w:pPr>
        <w:rPr>
          <w:b/>
          <w:color w:val="000000" w:themeColor="text1"/>
        </w:rPr>
      </w:pPr>
    </w:p>
    <w:p w:rsidR="00C66F8E" w:rsidRPr="00581542" w:rsidP="002533BB" w14:paraId="017581D9" w14:textId="77777777">
      <w:pPr>
        <w:rPr>
          <w:b/>
          <w:color w:val="000000" w:themeColor="text1"/>
          <w:u w:val="single"/>
        </w:rPr>
      </w:pPr>
      <w:r w:rsidRPr="00581542">
        <w:rPr>
          <w:b/>
          <w:color w:val="000000" w:themeColor="text1"/>
        </w:rPr>
        <w:t>A.13</w:t>
      </w:r>
      <w:r w:rsidRPr="00581542">
        <w:rPr>
          <w:b/>
          <w:color w:val="000000" w:themeColor="text1"/>
        </w:rPr>
        <w:tab/>
      </w:r>
      <w:r w:rsidRPr="00581542">
        <w:rPr>
          <w:b/>
          <w:color w:val="000000" w:themeColor="text1"/>
          <w:u w:val="single"/>
        </w:rPr>
        <w:t>Estimates of Other Total Annual Cost Burden to Respondents and Record Keepers</w:t>
      </w:r>
    </w:p>
    <w:p w:rsidR="00C66F8E" w:rsidRPr="00581542" w:rsidP="002533BB" w14:paraId="14031071" w14:textId="77777777">
      <w:pPr>
        <w:rPr>
          <w:b/>
          <w:color w:val="000000" w:themeColor="text1"/>
          <w:u w:val="single"/>
        </w:rPr>
      </w:pPr>
    </w:p>
    <w:p w:rsidR="000904F7" w:rsidRPr="00581542" w:rsidP="002533BB" w14:paraId="549A71C7" w14:textId="77777777">
      <w:pPr>
        <w:ind w:left="720"/>
        <w:rPr>
          <w:color w:val="000000" w:themeColor="text1"/>
          <w:szCs w:val="24"/>
        </w:rPr>
      </w:pPr>
      <w:r w:rsidRPr="00581542">
        <w:rPr>
          <w:color w:val="000000" w:themeColor="text1"/>
          <w:szCs w:val="24"/>
        </w:rPr>
        <w:t xml:space="preserve">There </w:t>
      </w:r>
      <w:r w:rsidRPr="00581542">
        <w:rPr>
          <w:color w:val="000000" w:themeColor="text1"/>
          <w:szCs w:val="24"/>
        </w:rPr>
        <w:t>are</w:t>
      </w:r>
      <w:r w:rsidRPr="00581542">
        <w:rPr>
          <w:color w:val="000000" w:themeColor="text1"/>
          <w:szCs w:val="24"/>
        </w:rPr>
        <w:t xml:space="preserve"> no capital costs associated with this collection.  </w:t>
      </w:r>
    </w:p>
    <w:p w:rsidR="0003206B" w:rsidRPr="00581542" w:rsidP="002533BB" w14:paraId="440BC382" w14:textId="77777777">
      <w:pPr>
        <w:tabs>
          <w:tab w:val="num" w:pos="810"/>
        </w:tabs>
        <w:ind w:hanging="990"/>
        <w:rPr>
          <w:color w:val="000000" w:themeColor="text1"/>
        </w:rPr>
      </w:pPr>
    </w:p>
    <w:p w:rsidR="009D0324" w:rsidRPr="00581542" w:rsidP="002533BB" w14:paraId="12583D14" w14:textId="2BDB5438">
      <w:pPr>
        <w:pStyle w:val="E-mailSignature"/>
        <w:widowControl w:val="0"/>
        <w:adjustRightInd w:val="0"/>
        <w:snapToGrid w:val="0"/>
        <w:rPr>
          <w:b/>
          <w:color w:val="000000" w:themeColor="text1"/>
          <w:u w:val="single"/>
        </w:rPr>
      </w:pPr>
      <w:bookmarkStart w:id="4" w:name="_Toc359938803"/>
      <w:bookmarkStart w:id="5" w:name="_Hlk22027687"/>
      <w:bookmarkStart w:id="6" w:name="OLE_LINK1"/>
      <w:bookmarkStart w:id="7" w:name="OLE_LINK2"/>
      <w:r w:rsidRPr="00581542">
        <w:rPr>
          <w:b/>
          <w:color w:val="000000" w:themeColor="text1"/>
        </w:rPr>
        <w:t>A.14</w:t>
      </w:r>
      <w:r w:rsidRPr="00581542">
        <w:rPr>
          <w:b/>
          <w:color w:val="000000" w:themeColor="text1"/>
        </w:rPr>
        <w:tab/>
      </w:r>
      <w:r w:rsidRPr="00581542">
        <w:rPr>
          <w:b/>
          <w:color w:val="000000" w:themeColor="text1"/>
          <w:u w:val="single"/>
        </w:rPr>
        <w:t>Annualized Cost to the Federal Government</w:t>
      </w:r>
      <w:bookmarkEnd w:id="4"/>
    </w:p>
    <w:p w:rsidR="009D0324" w:rsidRPr="00581542" w:rsidP="002533BB" w14:paraId="5E2BDC7D" w14:textId="77777777">
      <w:pPr>
        <w:widowControl w:val="0"/>
        <w:adjustRightInd w:val="0"/>
        <w:snapToGrid w:val="0"/>
        <w:jc w:val="both"/>
        <w:rPr>
          <w:color w:val="000000" w:themeColor="text1"/>
        </w:rPr>
      </w:pPr>
    </w:p>
    <w:p w:rsidR="001B20F5" w:rsidRPr="00581542" w:rsidP="006235C6" w14:paraId="53B69867" w14:textId="6F1A2F59">
      <w:pPr>
        <w:ind w:left="720"/>
        <w:jc w:val="both"/>
        <w:rPr>
          <w:color w:val="000000" w:themeColor="text1"/>
          <w:kern w:val="0"/>
          <w:sz w:val="22"/>
        </w:rPr>
      </w:pPr>
      <w:r w:rsidRPr="00581542">
        <w:rPr>
          <w:color w:val="000000" w:themeColor="text1"/>
        </w:rPr>
        <w:t xml:space="preserve">The annualized cost to the Federal Government for the proposed data collection effort is estimated to be approximately </w:t>
      </w:r>
      <w:r w:rsidRPr="00084C15" w:rsidR="00EC0E49">
        <w:rPr>
          <w:color w:val="000000" w:themeColor="text1"/>
          <w:szCs w:val="24"/>
          <w:highlight w:val="yellow"/>
        </w:rPr>
        <w:t>$</w:t>
      </w:r>
      <w:r w:rsidRPr="00084C15" w:rsidR="00971951">
        <w:rPr>
          <w:color w:val="000000" w:themeColor="text1"/>
          <w:szCs w:val="24"/>
          <w:highlight w:val="yellow"/>
        </w:rPr>
        <w:t>17,090,270</w:t>
      </w:r>
      <w:r w:rsidRPr="00581542" w:rsidR="007F5A7A">
        <w:rPr>
          <w:b/>
          <w:bCs/>
          <w:color w:val="000000" w:themeColor="text1"/>
          <w:szCs w:val="24"/>
        </w:rPr>
        <w:t xml:space="preserve"> </w:t>
      </w:r>
      <w:r w:rsidRPr="00581542">
        <w:rPr>
          <w:color w:val="000000" w:themeColor="text1"/>
        </w:rPr>
        <w:t xml:space="preserve">for ClinicalTrials.gov activities. </w:t>
      </w:r>
    </w:p>
    <w:p w:rsidR="00E34BDD" w:rsidRPr="00581542" w:rsidP="002533BB" w14:paraId="23BCA65C" w14:textId="77777777">
      <w:pPr>
        <w:snapToGrid w:val="0"/>
        <w:jc w:val="both"/>
        <w:rPr>
          <w:color w:val="000000" w:themeColor="text1"/>
        </w:rPr>
      </w:pPr>
    </w:p>
    <w:tbl>
      <w:tblPr>
        <w:tblW w:w="9584" w:type="dxa"/>
        <w:tblInd w:w="-100" w:type="dxa"/>
        <w:tblCellMar>
          <w:left w:w="0" w:type="dxa"/>
          <w:right w:w="0" w:type="dxa"/>
        </w:tblCellMar>
        <w:tblLook w:val="04A0"/>
      </w:tblPr>
      <w:tblGrid>
        <w:gridCol w:w="2338"/>
        <w:gridCol w:w="1342"/>
        <w:gridCol w:w="1577"/>
        <w:gridCol w:w="817"/>
        <w:gridCol w:w="1576"/>
        <w:gridCol w:w="1934"/>
      </w:tblGrid>
      <w:tr w14:paraId="1C001FA6" w14:textId="77777777" w:rsidTr="005C4359">
        <w:tblPrEx>
          <w:tblW w:w="9584" w:type="dxa"/>
          <w:tblInd w:w="-100" w:type="dxa"/>
          <w:tblCellMar>
            <w:left w:w="0" w:type="dxa"/>
            <w:right w:w="0" w:type="dxa"/>
          </w:tblCellMar>
          <w:tblLook w:val="04A0"/>
        </w:tblPrEx>
        <w:trPr>
          <w:trHeight w:val="52"/>
        </w:trPr>
        <w:tc>
          <w:tcPr>
            <w:tcW w:w="2338"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tcMar>
              <w:top w:w="0" w:type="dxa"/>
              <w:left w:w="108" w:type="dxa"/>
              <w:bottom w:w="0" w:type="dxa"/>
              <w:right w:w="108" w:type="dxa"/>
            </w:tcMar>
            <w:vAlign w:val="center"/>
            <w:hideMark/>
          </w:tcPr>
          <w:p w:rsidR="00E34BDD" w:rsidRPr="00581542" w:rsidP="00E04106" w14:paraId="172F6E30" w14:textId="77777777">
            <w:pPr>
              <w:rPr>
                <w:color w:val="000000" w:themeColor="text1"/>
                <w:sz w:val="22"/>
                <w:szCs w:val="22"/>
              </w:rPr>
            </w:pPr>
            <w:r w:rsidRPr="00581542">
              <w:rPr>
                <w:b/>
                <w:bCs/>
                <w:color w:val="000000" w:themeColor="text1"/>
                <w:sz w:val="22"/>
                <w:szCs w:val="22"/>
              </w:rPr>
              <w:t>Staff</w:t>
            </w:r>
          </w:p>
        </w:tc>
        <w:tc>
          <w:tcPr>
            <w:tcW w:w="1342"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108" w:type="dxa"/>
              <w:bottom w:w="0" w:type="dxa"/>
              <w:right w:w="108" w:type="dxa"/>
            </w:tcMar>
            <w:vAlign w:val="center"/>
            <w:hideMark/>
          </w:tcPr>
          <w:p w:rsidR="00E34BDD" w:rsidRPr="00581542" w:rsidP="00E04106" w14:paraId="11A2E5DB" w14:textId="77777777">
            <w:pPr>
              <w:jc w:val="center"/>
              <w:rPr>
                <w:color w:val="000000" w:themeColor="text1"/>
                <w:sz w:val="22"/>
                <w:szCs w:val="22"/>
              </w:rPr>
            </w:pPr>
            <w:r w:rsidRPr="00581542">
              <w:rPr>
                <w:b/>
                <w:bCs/>
                <w:color w:val="000000" w:themeColor="text1"/>
                <w:sz w:val="22"/>
                <w:szCs w:val="22"/>
              </w:rPr>
              <w:t>Grade/Step</w:t>
            </w:r>
          </w:p>
        </w:tc>
        <w:tc>
          <w:tcPr>
            <w:tcW w:w="1577"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108" w:type="dxa"/>
              <w:bottom w:w="0" w:type="dxa"/>
              <w:right w:w="108" w:type="dxa"/>
            </w:tcMar>
            <w:vAlign w:val="center"/>
            <w:hideMark/>
          </w:tcPr>
          <w:p w:rsidR="00E34BDD" w:rsidRPr="00581542" w:rsidP="00E04106" w14:paraId="3158C1CD" w14:textId="77777777">
            <w:pPr>
              <w:jc w:val="center"/>
              <w:rPr>
                <w:color w:val="000000" w:themeColor="text1"/>
                <w:sz w:val="22"/>
                <w:szCs w:val="22"/>
              </w:rPr>
            </w:pPr>
            <w:r w:rsidRPr="00581542">
              <w:rPr>
                <w:b/>
                <w:bCs/>
                <w:color w:val="000000" w:themeColor="text1"/>
                <w:sz w:val="22"/>
                <w:szCs w:val="22"/>
              </w:rPr>
              <w:t>Salary &amp; Benefits</w:t>
            </w:r>
          </w:p>
        </w:tc>
        <w:tc>
          <w:tcPr>
            <w:tcW w:w="817"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108" w:type="dxa"/>
              <w:bottom w:w="0" w:type="dxa"/>
              <w:right w:w="108" w:type="dxa"/>
            </w:tcMar>
            <w:vAlign w:val="center"/>
            <w:hideMark/>
          </w:tcPr>
          <w:p w:rsidR="00E34BDD" w:rsidRPr="00581542" w:rsidP="00E04106" w14:paraId="350F94A3" w14:textId="77777777">
            <w:pPr>
              <w:jc w:val="center"/>
              <w:rPr>
                <w:color w:val="000000" w:themeColor="text1"/>
                <w:sz w:val="22"/>
                <w:szCs w:val="22"/>
              </w:rPr>
            </w:pPr>
            <w:r w:rsidRPr="00581542">
              <w:rPr>
                <w:b/>
                <w:bCs/>
                <w:color w:val="000000" w:themeColor="text1"/>
                <w:sz w:val="22"/>
                <w:szCs w:val="22"/>
              </w:rPr>
              <w:t>% of Effort</w:t>
            </w:r>
          </w:p>
        </w:tc>
        <w:tc>
          <w:tcPr>
            <w:tcW w:w="1576"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108" w:type="dxa"/>
              <w:bottom w:w="0" w:type="dxa"/>
              <w:right w:w="108" w:type="dxa"/>
            </w:tcMar>
            <w:vAlign w:val="center"/>
            <w:hideMark/>
          </w:tcPr>
          <w:p w:rsidR="00E34BDD" w:rsidRPr="00581542" w:rsidP="00E04106" w14:paraId="31C60FC7" w14:textId="77777777">
            <w:pPr>
              <w:jc w:val="center"/>
              <w:rPr>
                <w:color w:val="000000" w:themeColor="text1"/>
                <w:sz w:val="22"/>
                <w:szCs w:val="22"/>
              </w:rPr>
            </w:pPr>
            <w:r w:rsidRPr="00581542">
              <w:rPr>
                <w:b/>
                <w:bCs/>
                <w:color w:val="000000" w:themeColor="text1"/>
                <w:sz w:val="22"/>
                <w:szCs w:val="22"/>
              </w:rPr>
              <w:t>Fringe</w:t>
            </w:r>
          </w:p>
          <w:p w:rsidR="00E34BDD" w:rsidRPr="00581542" w:rsidP="00E04106" w14:paraId="1658019D" w14:textId="77777777">
            <w:pPr>
              <w:ind w:right="-18"/>
              <w:jc w:val="center"/>
              <w:rPr>
                <w:color w:val="000000" w:themeColor="text1"/>
                <w:sz w:val="22"/>
                <w:szCs w:val="22"/>
              </w:rPr>
            </w:pPr>
            <w:r w:rsidRPr="00581542">
              <w:rPr>
                <w:b/>
                <w:bCs/>
                <w:color w:val="000000" w:themeColor="text1"/>
                <w:sz w:val="22"/>
                <w:szCs w:val="22"/>
              </w:rPr>
              <w:t>(if applicable)</w:t>
            </w:r>
          </w:p>
        </w:tc>
        <w:tc>
          <w:tcPr>
            <w:tcW w:w="1934"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108" w:type="dxa"/>
              <w:bottom w:w="0" w:type="dxa"/>
              <w:right w:w="108" w:type="dxa"/>
            </w:tcMar>
            <w:vAlign w:val="center"/>
            <w:hideMark/>
          </w:tcPr>
          <w:p w:rsidR="00E34BDD" w:rsidRPr="00581542" w:rsidP="00E04106" w14:paraId="49429FFA" w14:textId="2B9C0373">
            <w:pPr>
              <w:jc w:val="center"/>
              <w:rPr>
                <w:color w:val="000000" w:themeColor="text1"/>
                <w:sz w:val="22"/>
                <w:szCs w:val="22"/>
              </w:rPr>
            </w:pPr>
            <w:r w:rsidRPr="00581542">
              <w:rPr>
                <w:b/>
                <w:bCs/>
                <w:color w:val="000000" w:themeColor="text1"/>
                <w:sz w:val="22"/>
                <w:szCs w:val="22"/>
              </w:rPr>
              <w:t xml:space="preserve">Total Cost </w:t>
            </w:r>
            <w:r w:rsidRPr="00581542" w:rsidR="00126C4D">
              <w:rPr>
                <w:b/>
                <w:bCs/>
                <w:color w:val="000000" w:themeColor="text1"/>
                <w:sz w:val="22"/>
                <w:szCs w:val="22"/>
              </w:rPr>
              <w:br/>
            </w:r>
            <w:r w:rsidRPr="00581542">
              <w:rPr>
                <w:b/>
                <w:bCs/>
                <w:color w:val="000000" w:themeColor="text1"/>
                <w:sz w:val="22"/>
                <w:szCs w:val="22"/>
              </w:rPr>
              <w:t>to Gov't</w:t>
            </w:r>
          </w:p>
        </w:tc>
      </w:tr>
      <w:tr w14:paraId="4480F012" w14:textId="77777777" w:rsidTr="00126C4D">
        <w:tblPrEx>
          <w:tblW w:w="9584" w:type="dxa"/>
          <w:tblInd w:w="-100" w:type="dxa"/>
          <w:tblCellMar>
            <w:left w:w="0" w:type="dxa"/>
            <w:right w:w="0" w:type="dxa"/>
          </w:tblCellMar>
          <w:tblLook w:val="04A0"/>
        </w:tblPrEx>
        <w:trPr>
          <w:trHeight w:val="104"/>
        </w:trPr>
        <w:tc>
          <w:tcPr>
            <w:tcW w:w="9584" w:type="dxa"/>
            <w:gridSpan w:val="6"/>
            <w:tcBorders>
              <w:top w:val="nil"/>
              <w:left w:val="single" w:sz="8" w:space="0" w:color="auto"/>
              <w:bottom w:val="single" w:sz="8" w:space="0" w:color="auto"/>
              <w:right w:val="single" w:sz="8" w:space="0" w:color="auto"/>
            </w:tcBorders>
            <w:shd w:val="clear" w:color="auto" w:fill="D0CECE" w:themeFill="background2" w:themeFillShade="E6"/>
            <w:noWrap/>
            <w:tcMar>
              <w:top w:w="0" w:type="dxa"/>
              <w:left w:w="108" w:type="dxa"/>
              <w:bottom w:w="0" w:type="dxa"/>
              <w:right w:w="108" w:type="dxa"/>
            </w:tcMar>
            <w:vAlign w:val="center"/>
            <w:hideMark/>
          </w:tcPr>
          <w:p w:rsidR="00E34BDD" w:rsidRPr="00581542" w:rsidP="00E04106" w14:paraId="4BCAF760" w14:textId="77777777">
            <w:pPr>
              <w:rPr>
                <w:b/>
                <w:color w:val="000000" w:themeColor="text1"/>
                <w:sz w:val="22"/>
                <w:szCs w:val="22"/>
              </w:rPr>
            </w:pPr>
            <w:r w:rsidRPr="00581542">
              <w:rPr>
                <w:b/>
                <w:color w:val="000000" w:themeColor="text1"/>
                <w:sz w:val="22"/>
                <w:szCs w:val="22"/>
              </w:rPr>
              <w:t>Federal Oversight</w:t>
            </w:r>
            <w:r w:rsidRPr="00581542">
              <w:rPr>
                <w:b/>
                <w:color w:val="FF0000"/>
                <w:sz w:val="22"/>
                <w:szCs w:val="22"/>
              </w:rPr>
              <w:t>*</w:t>
            </w:r>
          </w:p>
        </w:tc>
      </w:tr>
      <w:tr w14:paraId="07371257"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52E3F" w:rsidRPr="00581542" w:rsidP="00DD414D" w14:paraId="2186C659" w14:textId="6F3B4B5F">
            <w:pPr>
              <w:rPr>
                <w:color w:val="000000" w:themeColor="text1"/>
                <w:sz w:val="22"/>
                <w:szCs w:val="22"/>
              </w:rPr>
            </w:pPr>
            <w:r w:rsidRPr="00581542">
              <w:rPr>
                <w:color w:val="000000"/>
                <w:sz w:val="22"/>
                <w:szCs w:val="22"/>
              </w:rPr>
              <w:t>Staff Scientist II</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4A73F5B6" w14:textId="50C766F5">
            <w:pPr>
              <w:jc w:val="center"/>
              <w:rPr>
                <w:color w:val="000000" w:themeColor="text1"/>
                <w:sz w:val="22"/>
                <w:szCs w:val="22"/>
              </w:rPr>
            </w:pPr>
            <w:r w:rsidRPr="00581542">
              <w:rPr>
                <w:color w:val="000000"/>
                <w:sz w:val="22"/>
                <w:szCs w:val="22"/>
              </w:rPr>
              <w:t>Title 42</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5DA6157E" w14:textId="5A974D49">
            <w:pPr>
              <w:jc w:val="center"/>
              <w:rPr>
                <w:color w:val="000000" w:themeColor="text1"/>
                <w:sz w:val="22"/>
                <w:szCs w:val="22"/>
              </w:rPr>
            </w:pPr>
            <w:r>
              <w:rPr>
                <w:color w:val="000000"/>
                <w:sz w:val="22"/>
                <w:szCs w:val="22"/>
              </w:rPr>
              <w:t>$272,780</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47935C76" w14:textId="1728F697">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7B4F04F6" w14:textId="1988A9CB">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217E595D" w14:textId="797CCF58">
            <w:pPr>
              <w:jc w:val="center"/>
              <w:rPr>
                <w:color w:val="000000" w:themeColor="text1"/>
                <w:sz w:val="22"/>
                <w:szCs w:val="22"/>
              </w:rPr>
            </w:pPr>
            <w:r>
              <w:rPr>
                <w:color w:val="000000"/>
                <w:sz w:val="22"/>
                <w:szCs w:val="22"/>
              </w:rPr>
              <w:t>$272,780</w:t>
            </w:r>
          </w:p>
        </w:tc>
      </w:tr>
      <w:tr w14:paraId="4DDE4924"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52E3F" w:rsidRPr="00581542" w:rsidP="00DD414D" w14:paraId="66C74701" w14:textId="68E12B13">
            <w:pPr>
              <w:rPr>
                <w:color w:val="000000" w:themeColor="text1"/>
                <w:sz w:val="22"/>
                <w:szCs w:val="22"/>
              </w:rPr>
            </w:pPr>
            <w:r w:rsidRPr="00581542">
              <w:rPr>
                <w:color w:val="000000"/>
                <w:sz w:val="22"/>
                <w:szCs w:val="22"/>
              </w:rPr>
              <w:t>Staff Scientist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05FBE26F" w14:textId="213E6826">
            <w:pPr>
              <w:jc w:val="center"/>
              <w:rPr>
                <w:color w:val="000000" w:themeColor="text1"/>
                <w:sz w:val="22"/>
                <w:szCs w:val="22"/>
              </w:rPr>
            </w:pPr>
            <w:r w:rsidRPr="00581542">
              <w:rPr>
                <w:color w:val="000000"/>
                <w:sz w:val="22"/>
                <w:szCs w:val="22"/>
              </w:rPr>
              <w:t>Title 42</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971951" w:rsidRPr="00581542" w:rsidP="00052E3F" w14:paraId="2B2A7379" w14:textId="2F3702DE">
            <w:pPr>
              <w:jc w:val="center"/>
              <w:rPr>
                <w:color w:val="000000" w:themeColor="text1"/>
                <w:sz w:val="22"/>
                <w:szCs w:val="22"/>
              </w:rPr>
            </w:pPr>
            <w:r>
              <w:rPr>
                <w:color w:val="000000"/>
                <w:sz w:val="22"/>
                <w:szCs w:val="22"/>
              </w:rPr>
              <w:t>$244,790</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169CB6CF" w14:textId="711BAE5C">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151DF27A" w14:textId="4DFCF0F0">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38EBEC8A" w14:textId="4EAB0AC3">
            <w:pPr>
              <w:jc w:val="center"/>
              <w:rPr>
                <w:color w:val="000000" w:themeColor="text1"/>
                <w:sz w:val="22"/>
                <w:szCs w:val="22"/>
              </w:rPr>
            </w:pPr>
            <w:r>
              <w:rPr>
                <w:color w:val="000000"/>
                <w:sz w:val="22"/>
                <w:szCs w:val="22"/>
              </w:rPr>
              <w:t>$244,790</w:t>
            </w:r>
          </w:p>
        </w:tc>
      </w:tr>
      <w:tr w14:paraId="6CDF3386"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52E3F" w:rsidRPr="00581542" w:rsidP="00DD414D" w14:paraId="63A8D034" w14:textId="44AC2ECD">
            <w:pPr>
              <w:rPr>
                <w:color w:val="000000" w:themeColor="text1"/>
                <w:sz w:val="22"/>
                <w:szCs w:val="22"/>
              </w:rPr>
            </w:pPr>
            <w:r w:rsidRPr="00581542">
              <w:rPr>
                <w:color w:val="000000"/>
                <w:sz w:val="22"/>
                <w:szCs w:val="22"/>
              </w:rPr>
              <w:t>Staff Scientist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5E484AD5" w14:textId="1C8C3C07">
            <w:pPr>
              <w:jc w:val="center"/>
              <w:rPr>
                <w:color w:val="000000" w:themeColor="text1"/>
                <w:sz w:val="22"/>
                <w:szCs w:val="22"/>
              </w:rPr>
            </w:pPr>
            <w:r w:rsidRPr="00581542">
              <w:rPr>
                <w:color w:val="000000"/>
                <w:sz w:val="22"/>
                <w:szCs w:val="22"/>
              </w:rPr>
              <w:t>Title 42</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166BB575" w14:textId="12C8CC96">
            <w:pPr>
              <w:jc w:val="center"/>
              <w:rPr>
                <w:color w:val="000000" w:themeColor="text1"/>
                <w:sz w:val="22"/>
                <w:szCs w:val="22"/>
              </w:rPr>
            </w:pPr>
            <w:r>
              <w:rPr>
                <w:color w:val="000000"/>
                <w:sz w:val="22"/>
                <w:szCs w:val="22"/>
              </w:rPr>
              <w:t>$246,510</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3D1D0872" w14:textId="2FF08D9E">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1DD9C712" w14:textId="3A75C3E9">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46B6C638" w14:textId="3C5D3FA1">
            <w:pPr>
              <w:jc w:val="center"/>
              <w:rPr>
                <w:color w:val="000000" w:themeColor="text1"/>
                <w:sz w:val="22"/>
                <w:szCs w:val="22"/>
              </w:rPr>
            </w:pPr>
            <w:r w:rsidRPr="00581542">
              <w:rPr>
                <w:color w:val="000000"/>
                <w:sz w:val="22"/>
                <w:szCs w:val="22"/>
              </w:rPr>
              <w:t>$</w:t>
            </w:r>
            <w:r w:rsidRPr="00C9629A" w:rsidR="00C9629A">
              <w:rPr>
                <w:color w:val="000000"/>
                <w:sz w:val="22"/>
                <w:szCs w:val="22"/>
              </w:rPr>
              <w:t>246</w:t>
            </w:r>
            <w:r w:rsidR="00C9629A">
              <w:rPr>
                <w:color w:val="000000"/>
                <w:sz w:val="22"/>
                <w:szCs w:val="22"/>
              </w:rPr>
              <w:t>,</w:t>
            </w:r>
            <w:r w:rsidRPr="00C9629A" w:rsidR="00C9629A">
              <w:rPr>
                <w:color w:val="000000"/>
                <w:sz w:val="22"/>
                <w:szCs w:val="22"/>
              </w:rPr>
              <w:t>510</w:t>
            </w:r>
            <w:r w:rsidRPr="00581542">
              <w:rPr>
                <w:color w:val="000000"/>
                <w:sz w:val="22"/>
                <w:szCs w:val="22"/>
              </w:rPr>
              <w:t xml:space="preserve"> </w:t>
            </w:r>
          </w:p>
        </w:tc>
      </w:tr>
      <w:tr w14:paraId="6BBBDBB4"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52E3F" w:rsidRPr="00581542" w:rsidP="00DD414D" w14:paraId="24F09299" w14:textId="6532CA69">
            <w:pPr>
              <w:rPr>
                <w:color w:val="000000" w:themeColor="text1"/>
                <w:sz w:val="22"/>
                <w:szCs w:val="22"/>
              </w:rPr>
            </w:pPr>
            <w:r w:rsidRPr="00581542">
              <w:rPr>
                <w:color w:val="000000"/>
                <w:sz w:val="22"/>
                <w:szCs w:val="22"/>
              </w:rPr>
              <w:t>Staff Scientist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3C34AB35" w14:textId="688BFEBA">
            <w:pPr>
              <w:jc w:val="center"/>
              <w:rPr>
                <w:color w:val="000000" w:themeColor="text1"/>
                <w:sz w:val="22"/>
                <w:szCs w:val="22"/>
              </w:rPr>
            </w:pPr>
            <w:r w:rsidRPr="00581542">
              <w:rPr>
                <w:color w:val="000000"/>
                <w:sz w:val="22"/>
                <w:szCs w:val="22"/>
              </w:rPr>
              <w:t>Title 42</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4B98EFDD" w14:textId="605ED29C">
            <w:pPr>
              <w:jc w:val="center"/>
              <w:rPr>
                <w:color w:val="000000" w:themeColor="text1"/>
                <w:sz w:val="22"/>
                <w:szCs w:val="22"/>
              </w:rPr>
            </w:pPr>
            <w:r w:rsidRPr="00581542">
              <w:rPr>
                <w:color w:val="000000"/>
                <w:sz w:val="22"/>
                <w:szCs w:val="22"/>
              </w:rPr>
              <w:t>$</w:t>
            </w:r>
            <w:r w:rsidRPr="00C9629A" w:rsidR="00C9629A">
              <w:rPr>
                <w:color w:val="000000"/>
                <w:sz w:val="22"/>
                <w:szCs w:val="22"/>
              </w:rPr>
              <w:t>201</w:t>
            </w:r>
            <w:r w:rsidR="00C9629A">
              <w:rPr>
                <w:color w:val="000000"/>
                <w:sz w:val="22"/>
                <w:szCs w:val="22"/>
              </w:rPr>
              <w:t>,</w:t>
            </w:r>
            <w:r w:rsidRPr="00C9629A" w:rsidR="00C9629A">
              <w:rPr>
                <w:color w:val="000000"/>
                <w:sz w:val="22"/>
                <w:szCs w:val="22"/>
              </w:rPr>
              <w:t>387</w:t>
            </w:r>
            <w:r w:rsidRPr="00581542">
              <w:rPr>
                <w:color w:val="000000"/>
                <w:sz w:val="22"/>
                <w:szCs w:val="22"/>
              </w:rPr>
              <w:t xml:space="preserve"> </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4536C26F" w14:textId="779487E4">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60CDEB4C" w14:textId="182E25C6">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56C8ADAE" w14:textId="30C2A3AF">
            <w:pPr>
              <w:jc w:val="center"/>
              <w:rPr>
                <w:color w:val="000000" w:themeColor="text1"/>
                <w:sz w:val="22"/>
                <w:szCs w:val="22"/>
              </w:rPr>
            </w:pPr>
            <w:r w:rsidRPr="00581542">
              <w:rPr>
                <w:color w:val="000000"/>
                <w:sz w:val="22"/>
                <w:szCs w:val="22"/>
              </w:rPr>
              <w:t>$</w:t>
            </w:r>
            <w:r w:rsidRPr="00C9629A" w:rsidR="00C9629A">
              <w:rPr>
                <w:color w:val="000000"/>
                <w:sz w:val="22"/>
                <w:szCs w:val="22"/>
              </w:rPr>
              <w:t>201</w:t>
            </w:r>
            <w:r w:rsidR="00C9629A">
              <w:rPr>
                <w:color w:val="000000"/>
                <w:sz w:val="22"/>
                <w:szCs w:val="22"/>
              </w:rPr>
              <w:t>,</w:t>
            </w:r>
            <w:r w:rsidRPr="00C9629A" w:rsidR="00C9629A">
              <w:rPr>
                <w:color w:val="000000"/>
                <w:sz w:val="22"/>
                <w:szCs w:val="22"/>
              </w:rPr>
              <w:t>387</w:t>
            </w:r>
            <w:r w:rsidRPr="00581542">
              <w:rPr>
                <w:color w:val="000000"/>
                <w:sz w:val="22"/>
                <w:szCs w:val="22"/>
              </w:rPr>
              <w:t xml:space="preserve"> </w:t>
            </w:r>
          </w:p>
        </w:tc>
      </w:tr>
      <w:tr w14:paraId="78144400"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52E3F" w:rsidRPr="00581542" w:rsidP="00DD414D" w14:paraId="6D970475" w14:textId="6E4EDE9F">
            <w:pPr>
              <w:rPr>
                <w:color w:val="000000" w:themeColor="text1"/>
                <w:sz w:val="22"/>
                <w:szCs w:val="22"/>
              </w:rPr>
            </w:pPr>
            <w:r w:rsidRPr="00581542">
              <w:rPr>
                <w:color w:val="000000"/>
                <w:sz w:val="22"/>
                <w:szCs w:val="22"/>
              </w:rPr>
              <w:t>Staff Scientist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5592DCDC" w14:textId="62BF6189">
            <w:pPr>
              <w:jc w:val="center"/>
              <w:rPr>
                <w:color w:val="000000" w:themeColor="text1"/>
                <w:sz w:val="22"/>
                <w:szCs w:val="22"/>
              </w:rPr>
            </w:pPr>
            <w:r w:rsidRPr="00581542">
              <w:rPr>
                <w:color w:val="000000"/>
                <w:sz w:val="22"/>
                <w:szCs w:val="22"/>
              </w:rPr>
              <w:t>Title 42</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7E2FD489" w14:textId="360E3177">
            <w:pPr>
              <w:jc w:val="center"/>
              <w:rPr>
                <w:color w:val="000000" w:themeColor="text1"/>
                <w:sz w:val="22"/>
                <w:szCs w:val="22"/>
              </w:rPr>
            </w:pPr>
            <w:r w:rsidRPr="00581542">
              <w:rPr>
                <w:color w:val="000000"/>
                <w:sz w:val="22"/>
                <w:szCs w:val="22"/>
              </w:rPr>
              <w:t>$</w:t>
            </w:r>
            <w:r w:rsidRPr="00F222AF" w:rsidR="00F222AF">
              <w:rPr>
                <w:color w:val="000000"/>
                <w:sz w:val="22"/>
                <w:szCs w:val="22"/>
              </w:rPr>
              <w:t>185</w:t>
            </w:r>
            <w:r w:rsidR="00F222AF">
              <w:rPr>
                <w:color w:val="000000"/>
                <w:sz w:val="22"/>
                <w:szCs w:val="22"/>
              </w:rPr>
              <w:t>,</w:t>
            </w:r>
            <w:r w:rsidRPr="00F222AF" w:rsidR="00F222AF">
              <w:rPr>
                <w:color w:val="000000"/>
                <w:sz w:val="22"/>
                <w:szCs w:val="22"/>
              </w:rPr>
              <w:t>119</w:t>
            </w:r>
            <w:r w:rsidRPr="00581542">
              <w:rPr>
                <w:color w:val="000000"/>
                <w:sz w:val="22"/>
                <w:szCs w:val="22"/>
              </w:rPr>
              <w:t xml:space="preserve"> </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0BF98C33" w14:textId="1FD7B253">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7F8440E3" w14:textId="30E0DD37">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0FBA45CB" w14:textId="598C613E">
            <w:pPr>
              <w:jc w:val="center"/>
              <w:rPr>
                <w:color w:val="000000" w:themeColor="text1"/>
                <w:sz w:val="22"/>
                <w:szCs w:val="22"/>
              </w:rPr>
            </w:pPr>
            <w:r w:rsidRPr="00581542">
              <w:rPr>
                <w:color w:val="000000"/>
                <w:sz w:val="22"/>
                <w:szCs w:val="22"/>
              </w:rPr>
              <w:t>$</w:t>
            </w:r>
            <w:r w:rsidRPr="00F222AF" w:rsidR="00F222AF">
              <w:rPr>
                <w:color w:val="000000"/>
                <w:sz w:val="22"/>
                <w:szCs w:val="22"/>
              </w:rPr>
              <w:t>185</w:t>
            </w:r>
            <w:r w:rsidR="00F222AF">
              <w:rPr>
                <w:color w:val="000000"/>
                <w:sz w:val="22"/>
                <w:szCs w:val="22"/>
              </w:rPr>
              <w:t>,</w:t>
            </w:r>
            <w:r w:rsidRPr="00F222AF" w:rsidR="00F222AF">
              <w:rPr>
                <w:color w:val="000000"/>
                <w:sz w:val="22"/>
                <w:szCs w:val="22"/>
              </w:rPr>
              <w:t>119</w:t>
            </w:r>
            <w:r w:rsidRPr="00581542">
              <w:rPr>
                <w:color w:val="000000"/>
                <w:sz w:val="22"/>
                <w:szCs w:val="22"/>
              </w:rPr>
              <w:t xml:space="preserve"> </w:t>
            </w:r>
          </w:p>
        </w:tc>
      </w:tr>
      <w:tr w14:paraId="0C3B3B27"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52E3F" w:rsidRPr="00581542" w:rsidP="00DD414D" w14:paraId="21088D86" w14:textId="577AE68A">
            <w:pPr>
              <w:rPr>
                <w:color w:val="000000" w:themeColor="text1"/>
                <w:sz w:val="22"/>
                <w:szCs w:val="22"/>
              </w:rPr>
            </w:pPr>
            <w:r w:rsidRPr="00581542">
              <w:rPr>
                <w:color w:val="000000"/>
                <w:sz w:val="22"/>
                <w:szCs w:val="22"/>
              </w:rPr>
              <w:t>Staff Scientist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602A0846" w14:textId="20EB31EC">
            <w:pPr>
              <w:jc w:val="center"/>
              <w:rPr>
                <w:color w:val="000000" w:themeColor="text1"/>
                <w:sz w:val="22"/>
                <w:szCs w:val="22"/>
              </w:rPr>
            </w:pPr>
            <w:r w:rsidRPr="00581542">
              <w:rPr>
                <w:color w:val="000000"/>
                <w:sz w:val="22"/>
                <w:szCs w:val="22"/>
              </w:rPr>
              <w:t>Title 42</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478C40EB" w14:textId="797B7E82">
            <w:pPr>
              <w:jc w:val="center"/>
              <w:rPr>
                <w:color w:val="000000" w:themeColor="text1"/>
                <w:sz w:val="22"/>
                <w:szCs w:val="22"/>
              </w:rPr>
            </w:pPr>
            <w:r w:rsidRPr="00581542">
              <w:rPr>
                <w:color w:val="000000"/>
                <w:sz w:val="22"/>
                <w:szCs w:val="22"/>
              </w:rPr>
              <w:t>$</w:t>
            </w:r>
            <w:r w:rsidRPr="00901C1F" w:rsidR="00901C1F">
              <w:rPr>
                <w:color w:val="000000"/>
                <w:sz w:val="22"/>
                <w:szCs w:val="22"/>
              </w:rPr>
              <w:t>191</w:t>
            </w:r>
            <w:r w:rsidR="00901C1F">
              <w:rPr>
                <w:color w:val="000000"/>
                <w:sz w:val="22"/>
                <w:szCs w:val="22"/>
              </w:rPr>
              <w:t>,</w:t>
            </w:r>
            <w:r w:rsidRPr="00901C1F" w:rsidR="00901C1F">
              <w:rPr>
                <w:color w:val="000000"/>
                <w:sz w:val="22"/>
                <w:szCs w:val="22"/>
              </w:rPr>
              <w:t>745</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6AA348E4" w14:textId="2C00EB99">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153044A6" w14:textId="3A5B0D3F">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77C64468" w14:textId="11B12C27">
            <w:pPr>
              <w:jc w:val="center"/>
              <w:rPr>
                <w:color w:val="000000" w:themeColor="text1"/>
                <w:sz w:val="22"/>
                <w:szCs w:val="22"/>
              </w:rPr>
            </w:pPr>
            <w:r w:rsidRPr="00581542">
              <w:rPr>
                <w:color w:val="000000"/>
                <w:sz w:val="22"/>
                <w:szCs w:val="22"/>
              </w:rPr>
              <w:t>$</w:t>
            </w:r>
            <w:r w:rsidRPr="00901C1F" w:rsidR="004C5572">
              <w:rPr>
                <w:color w:val="000000"/>
                <w:sz w:val="22"/>
                <w:szCs w:val="22"/>
              </w:rPr>
              <w:t>191</w:t>
            </w:r>
            <w:r w:rsidR="004C5572">
              <w:rPr>
                <w:color w:val="000000"/>
                <w:sz w:val="22"/>
                <w:szCs w:val="22"/>
              </w:rPr>
              <w:t>,</w:t>
            </w:r>
            <w:r w:rsidRPr="00901C1F" w:rsidR="004C5572">
              <w:rPr>
                <w:color w:val="000000"/>
                <w:sz w:val="22"/>
                <w:szCs w:val="22"/>
              </w:rPr>
              <w:t>745</w:t>
            </w:r>
            <w:r w:rsidRPr="00581542">
              <w:rPr>
                <w:color w:val="000000"/>
                <w:sz w:val="22"/>
                <w:szCs w:val="22"/>
              </w:rPr>
              <w:t xml:space="preserve"> </w:t>
            </w:r>
          </w:p>
        </w:tc>
      </w:tr>
      <w:tr w14:paraId="016180BB"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52E3F" w:rsidRPr="00581542" w:rsidP="00DD414D" w14:paraId="49C88C12" w14:textId="7CEC7868">
            <w:pPr>
              <w:rPr>
                <w:color w:val="000000" w:themeColor="text1"/>
                <w:sz w:val="22"/>
                <w:szCs w:val="22"/>
              </w:rPr>
            </w:pPr>
            <w:r w:rsidRPr="00581542">
              <w:rPr>
                <w:color w:val="000000"/>
                <w:sz w:val="22"/>
                <w:szCs w:val="22"/>
              </w:rPr>
              <w:t>Staff Scientist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2DB27A10" w14:textId="16D41795">
            <w:pPr>
              <w:jc w:val="center"/>
              <w:rPr>
                <w:color w:val="000000" w:themeColor="text1"/>
                <w:sz w:val="22"/>
                <w:szCs w:val="22"/>
              </w:rPr>
            </w:pPr>
            <w:r w:rsidRPr="00581542">
              <w:rPr>
                <w:color w:val="000000"/>
                <w:sz w:val="22"/>
                <w:szCs w:val="22"/>
              </w:rPr>
              <w:t>Title 42</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33018464" w14:textId="54F78F6F">
            <w:pPr>
              <w:jc w:val="center"/>
              <w:rPr>
                <w:color w:val="000000" w:themeColor="text1"/>
                <w:sz w:val="22"/>
                <w:szCs w:val="22"/>
              </w:rPr>
            </w:pPr>
            <w:r>
              <w:rPr>
                <w:color w:val="000000"/>
                <w:sz w:val="22"/>
                <w:szCs w:val="22"/>
              </w:rPr>
              <w:t>$</w:t>
            </w:r>
            <w:r w:rsidRPr="004C5572" w:rsidR="004C5572">
              <w:rPr>
                <w:color w:val="000000"/>
                <w:sz w:val="22"/>
                <w:szCs w:val="22"/>
              </w:rPr>
              <w:t>166</w:t>
            </w:r>
            <w:r w:rsidR="004C5572">
              <w:rPr>
                <w:color w:val="000000"/>
                <w:sz w:val="22"/>
                <w:szCs w:val="22"/>
              </w:rPr>
              <w:t>,</w:t>
            </w:r>
            <w:r w:rsidRPr="004C5572" w:rsidR="004C5572">
              <w:rPr>
                <w:color w:val="000000"/>
                <w:sz w:val="22"/>
                <w:szCs w:val="22"/>
              </w:rPr>
              <w:t>525</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5C40BC3B" w14:textId="5726066D">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3A81FD59" w14:textId="68D154E5">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27E117F9" w14:textId="0508E30F">
            <w:pPr>
              <w:jc w:val="center"/>
              <w:rPr>
                <w:color w:val="000000" w:themeColor="text1"/>
                <w:sz w:val="22"/>
                <w:szCs w:val="22"/>
              </w:rPr>
            </w:pPr>
            <w:r w:rsidRPr="00581542">
              <w:rPr>
                <w:color w:val="000000"/>
                <w:sz w:val="22"/>
                <w:szCs w:val="22"/>
              </w:rPr>
              <w:t>$</w:t>
            </w:r>
            <w:r w:rsidR="00B60308">
              <w:rPr>
                <w:color w:val="000000"/>
                <w:sz w:val="22"/>
                <w:szCs w:val="22"/>
              </w:rPr>
              <w:t>166,525</w:t>
            </w:r>
            <w:r w:rsidRPr="00581542">
              <w:rPr>
                <w:color w:val="000000"/>
                <w:sz w:val="22"/>
                <w:szCs w:val="22"/>
              </w:rPr>
              <w:t xml:space="preserve"> </w:t>
            </w:r>
          </w:p>
        </w:tc>
      </w:tr>
      <w:tr w14:paraId="513DC43B"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52E3F" w:rsidRPr="00581542" w:rsidP="00DD414D" w14:paraId="1A57FB35" w14:textId="7F677246">
            <w:pPr>
              <w:rPr>
                <w:color w:val="000000" w:themeColor="text1"/>
                <w:sz w:val="22"/>
                <w:szCs w:val="22"/>
              </w:rPr>
            </w:pPr>
            <w:r w:rsidRPr="00581542">
              <w:rPr>
                <w:color w:val="000000"/>
                <w:sz w:val="22"/>
                <w:szCs w:val="22"/>
              </w:rPr>
              <w:t>Staff Scientist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3C4CD873" w14:textId="3E97D7AC">
            <w:pPr>
              <w:jc w:val="center"/>
              <w:rPr>
                <w:color w:val="000000" w:themeColor="text1"/>
                <w:sz w:val="22"/>
                <w:szCs w:val="22"/>
              </w:rPr>
            </w:pPr>
            <w:r w:rsidRPr="00581542">
              <w:rPr>
                <w:color w:val="000000"/>
                <w:sz w:val="22"/>
                <w:szCs w:val="22"/>
              </w:rPr>
              <w:t>Title 42</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6B189675" w14:textId="40FB5EE9">
            <w:pPr>
              <w:jc w:val="center"/>
              <w:rPr>
                <w:color w:val="000000" w:themeColor="text1"/>
                <w:sz w:val="22"/>
                <w:szCs w:val="22"/>
              </w:rPr>
            </w:pPr>
            <w:r w:rsidRPr="00581542">
              <w:rPr>
                <w:color w:val="000000"/>
                <w:sz w:val="22"/>
                <w:szCs w:val="22"/>
              </w:rPr>
              <w:t>$</w:t>
            </w:r>
            <w:r w:rsidRPr="000120BC" w:rsidR="000120BC">
              <w:rPr>
                <w:color w:val="000000"/>
                <w:sz w:val="22"/>
                <w:szCs w:val="22"/>
              </w:rPr>
              <w:t>167</w:t>
            </w:r>
            <w:r w:rsidR="000120BC">
              <w:rPr>
                <w:color w:val="000000"/>
                <w:sz w:val="22"/>
                <w:szCs w:val="22"/>
              </w:rPr>
              <w:t>,</w:t>
            </w:r>
            <w:r w:rsidRPr="000120BC" w:rsidR="000120BC">
              <w:rPr>
                <w:color w:val="000000"/>
                <w:sz w:val="22"/>
                <w:szCs w:val="22"/>
              </w:rPr>
              <w:t>593</w:t>
            </w:r>
            <w:r w:rsidRPr="00581542">
              <w:rPr>
                <w:color w:val="000000"/>
                <w:sz w:val="22"/>
                <w:szCs w:val="22"/>
              </w:rPr>
              <w:t xml:space="preserve"> </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2950E8D0" w14:textId="5C69AA19">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20003307" w14:textId="5CAF6A5B">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42B2679D" w14:textId="0674EDC9">
            <w:pPr>
              <w:jc w:val="center"/>
              <w:rPr>
                <w:color w:val="000000" w:themeColor="text1"/>
                <w:sz w:val="22"/>
                <w:szCs w:val="22"/>
              </w:rPr>
            </w:pPr>
            <w:r w:rsidRPr="00581542">
              <w:rPr>
                <w:color w:val="000000"/>
                <w:sz w:val="22"/>
                <w:szCs w:val="22"/>
              </w:rPr>
              <w:t>$</w:t>
            </w:r>
            <w:r w:rsidRPr="000120BC" w:rsidR="000120BC">
              <w:rPr>
                <w:color w:val="000000"/>
                <w:sz w:val="22"/>
                <w:szCs w:val="22"/>
              </w:rPr>
              <w:t>167</w:t>
            </w:r>
            <w:r w:rsidR="000120BC">
              <w:rPr>
                <w:color w:val="000000"/>
                <w:sz w:val="22"/>
                <w:szCs w:val="22"/>
              </w:rPr>
              <w:t>,</w:t>
            </w:r>
            <w:r w:rsidRPr="000120BC" w:rsidR="000120BC">
              <w:rPr>
                <w:color w:val="000000"/>
                <w:sz w:val="22"/>
                <w:szCs w:val="22"/>
              </w:rPr>
              <w:t>593</w:t>
            </w:r>
          </w:p>
        </w:tc>
      </w:tr>
      <w:tr w14:paraId="6E3ED2CF"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52E3F" w:rsidRPr="00581542" w:rsidP="00DD414D" w14:paraId="4203629B" w14:textId="406061A6">
            <w:pPr>
              <w:rPr>
                <w:color w:val="000000" w:themeColor="text1"/>
                <w:sz w:val="22"/>
                <w:szCs w:val="22"/>
              </w:rPr>
            </w:pPr>
            <w:r w:rsidRPr="00581542">
              <w:rPr>
                <w:color w:val="000000"/>
                <w:sz w:val="22"/>
                <w:szCs w:val="22"/>
              </w:rPr>
              <w:t>Staff Scientist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16EABB43" w14:textId="4C8EEBFB">
            <w:pPr>
              <w:jc w:val="center"/>
              <w:rPr>
                <w:color w:val="000000" w:themeColor="text1"/>
                <w:sz w:val="22"/>
                <w:szCs w:val="22"/>
              </w:rPr>
            </w:pPr>
            <w:r w:rsidRPr="00581542">
              <w:rPr>
                <w:color w:val="000000"/>
                <w:sz w:val="22"/>
                <w:szCs w:val="22"/>
              </w:rPr>
              <w:t>Title 42</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461EC2D8" w14:textId="4ED2E307">
            <w:pPr>
              <w:jc w:val="center"/>
              <w:rPr>
                <w:color w:val="000000" w:themeColor="text1"/>
                <w:sz w:val="22"/>
                <w:szCs w:val="22"/>
              </w:rPr>
            </w:pPr>
            <w:r w:rsidRPr="00581542">
              <w:rPr>
                <w:color w:val="000000"/>
                <w:sz w:val="22"/>
                <w:szCs w:val="22"/>
              </w:rPr>
              <w:t>$</w:t>
            </w:r>
            <w:r w:rsidRPr="000120BC" w:rsidR="000120BC">
              <w:rPr>
                <w:color w:val="000000"/>
                <w:sz w:val="22"/>
                <w:szCs w:val="22"/>
              </w:rPr>
              <w:t>168</w:t>
            </w:r>
            <w:r w:rsidR="000120BC">
              <w:rPr>
                <w:color w:val="000000"/>
                <w:sz w:val="22"/>
                <w:szCs w:val="22"/>
              </w:rPr>
              <w:t>,</w:t>
            </w:r>
            <w:r w:rsidRPr="000120BC" w:rsidR="000120BC">
              <w:rPr>
                <w:color w:val="000000"/>
                <w:sz w:val="22"/>
                <w:szCs w:val="22"/>
              </w:rPr>
              <w:t>930</w:t>
            </w:r>
            <w:r w:rsidRPr="00581542">
              <w:rPr>
                <w:color w:val="000000"/>
                <w:sz w:val="22"/>
                <w:szCs w:val="22"/>
              </w:rPr>
              <w:t xml:space="preserve"> </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2525B994" w14:textId="6D2A4837">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334D25D4" w14:textId="0A21491D">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31B0FF4C" w14:textId="0B5C676D">
            <w:pPr>
              <w:jc w:val="center"/>
              <w:rPr>
                <w:color w:val="000000" w:themeColor="text1"/>
                <w:sz w:val="22"/>
                <w:szCs w:val="22"/>
              </w:rPr>
            </w:pPr>
            <w:r w:rsidRPr="00581542">
              <w:rPr>
                <w:color w:val="000000"/>
                <w:sz w:val="22"/>
                <w:szCs w:val="22"/>
              </w:rPr>
              <w:t>$</w:t>
            </w:r>
            <w:r w:rsidRPr="000120BC" w:rsidR="000120BC">
              <w:rPr>
                <w:color w:val="000000"/>
                <w:sz w:val="22"/>
                <w:szCs w:val="22"/>
              </w:rPr>
              <w:t>168</w:t>
            </w:r>
            <w:r w:rsidR="000120BC">
              <w:rPr>
                <w:color w:val="000000"/>
                <w:sz w:val="22"/>
                <w:szCs w:val="22"/>
              </w:rPr>
              <w:t>,</w:t>
            </w:r>
            <w:r w:rsidRPr="000120BC" w:rsidR="000120BC">
              <w:rPr>
                <w:color w:val="000000"/>
                <w:sz w:val="22"/>
                <w:szCs w:val="22"/>
              </w:rPr>
              <w:t>930</w:t>
            </w:r>
            <w:r w:rsidRPr="00581542">
              <w:rPr>
                <w:color w:val="000000"/>
                <w:sz w:val="22"/>
                <w:szCs w:val="22"/>
              </w:rPr>
              <w:t xml:space="preserve"> </w:t>
            </w:r>
          </w:p>
        </w:tc>
      </w:tr>
      <w:tr w14:paraId="73E43AE7"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52E3F" w:rsidRPr="00581542" w:rsidP="00DD414D" w14:paraId="673B5D61" w14:textId="77D9DD11">
            <w:pPr>
              <w:rPr>
                <w:color w:val="000000" w:themeColor="text1"/>
                <w:sz w:val="22"/>
                <w:szCs w:val="22"/>
              </w:rPr>
            </w:pPr>
            <w:r w:rsidRPr="00581542">
              <w:rPr>
                <w:color w:val="000000"/>
                <w:sz w:val="22"/>
                <w:szCs w:val="22"/>
              </w:rPr>
              <w:t>Staff Scientist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6B7A30CC" w14:textId="7C02CDBB">
            <w:pPr>
              <w:jc w:val="center"/>
              <w:rPr>
                <w:color w:val="000000" w:themeColor="text1"/>
                <w:sz w:val="22"/>
                <w:szCs w:val="22"/>
              </w:rPr>
            </w:pPr>
            <w:r w:rsidRPr="00581542">
              <w:rPr>
                <w:color w:val="000000"/>
                <w:sz w:val="22"/>
                <w:szCs w:val="22"/>
              </w:rPr>
              <w:t>Title 42</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49AEE4CA" w14:textId="72F878F1">
            <w:pPr>
              <w:jc w:val="center"/>
              <w:rPr>
                <w:color w:val="000000" w:themeColor="text1"/>
                <w:sz w:val="22"/>
                <w:szCs w:val="22"/>
              </w:rPr>
            </w:pPr>
            <w:r w:rsidRPr="00581542">
              <w:rPr>
                <w:color w:val="000000"/>
                <w:sz w:val="22"/>
                <w:szCs w:val="22"/>
              </w:rPr>
              <w:t>$</w:t>
            </w:r>
            <w:r w:rsidRPr="00680BCB" w:rsidR="00680BCB">
              <w:rPr>
                <w:color w:val="000000"/>
                <w:sz w:val="22"/>
                <w:szCs w:val="22"/>
              </w:rPr>
              <w:t>178</w:t>
            </w:r>
            <w:r w:rsidR="00680BCB">
              <w:rPr>
                <w:color w:val="000000"/>
                <w:sz w:val="22"/>
                <w:szCs w:val="22"/>
              </w:rPr>
              <w:t>,</w:t>
            </w:r>
            <w:r w:rsidRPr="00680BCB" w:rsidR="00680BCB">
              <w:rPr>
                <w:color w:val="000000"/>
                <w:sz w:val="22"/>
                <w:szCs w:val="22"/>
              </w:rPr>
              <w:t>109</w:t>
            </w:r>
            <w:r w:rsidRPr="00581542">
              <w:rPr>
                <w:color w:val="000000"/>
                <w:sz w:val="22"/>
                <w:szCs w:val="22"/>
              </w:rPr>
              <w:t xml:space="preserve"> </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558BFBC3" w14:textId="73EA6221">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764654A2" w14:textId="01C38394">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0329C12B" w14:textId="4144A62B">
            <w:pPr>
              <w:jc w:val="center"/>
              <w:rPr>
                <w:color w:val="000000" w:themeColor="text1"/>
                <w:sz w:val="22"/>
                <w:szCs w:val="22"/>
              </w:rPr>
            </w:pPr>
            <w:r w:rsidRPr="00581542">
              <w:rPr>
                <w:color w:val="000000"/>
                <w:sz w:val="22"/>
                <w:szCs w:val="22"/>
              </w:rPr>
              <w:t>$</w:t>
            </w:r>
            <w:r w:rsidRPr="00680BCB" w:rsidR="00680BCB">
              <w:rPr>
                <w:color w:val="000000"/>
                <w:sz w:val="22"/>
                <w:szCs w:val="22"/>
              </w:rPr>
              <w:t>178</w:t>
            </w:r>
            <w:r w:rsidR="00680BCB">
              <w:rPr>
                <w:color w:val="000000"/>
                <w:sz w:val="22"/>
                <w:szCs w:val="22"/>
              </w:rPr>
              <w:t>,</w:t>
            </w:r>
            <w:r w:rsidRPr="00680BCB" w:rsidR="00680BCB">
              <w:rPr>
                <w:color w:val="000000"/>
                <w:sz w:val="22"/>
                <w:szCs w:val="22"/>
              </w:rPr>
              <w:t>109</w:t>
            </w:r>
            <w:r w:rsidRPr="00581542">
              <w:rPr>
                <w:color w:val="000000"/>
                <w:sz w:val="22"/>
                <w:szCs w:val="22"/>
              </w:rPr>
              <w:t xml:space="preserve"> </w:t>
            </w:r>
          </w:p>
        </w:tc>
      </w:tr>
      <w:tr w14:paraId="052B5862"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52E3F" w:rsidRPr="00581542" w:rsidP="00DD414D" w14:paraId="5968AF3A" w14:textId="729C5967">
            <w:pPr>
              <w:rPr>
                <w:color w:val="000000" w:themeColor="text1"/>
                <w:sz w:val="22"/>
                <w:szCs w:val="22"/>
              </w:rPr>
            </w:pPr>
            <w:r w:rsidRPr="00581542">
              <w:rPr>
                <w:color w:val="000000"/>
                <w:sz w:val="22"/>
                <w:szCs w:val="22"/>
              </w:rPr>
              <w:t xml:space="preserve">Staff </w:t>
            </w:r>
            <w:r w:rsidRPr="00581542" w:rsidR="0052376F">
              <w:rPr>
                <w:color w:val="000000"/>
                <w:sz w:val="22"/>
                <w:szCs w:val="22"/>
              </w:rPr>
              <w:t>Scientist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20172EFF" w14:textId="01A0503F">
            <w:pPr>
              <w:jc w:val="center"/>
              <w:rPr>
                <w:color w:val="000000" w:themeColor="text1"/>
                <w:sz w:val="22"/>
                <w:szCs w:val="22"/>
              </w:rPr>
            </w:pPr>
            <w:r w:rsidRPr="00581542">
              <w:rPr>
                <w:color w:val="000000"/>
                <w:sz w:val="22"/>
                <w:szCs w:val="22"/>
              </w:rPr>
              <w:t>Title 42</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3472A7D5" w14:textId="01A799C4">
            <w:pPr>
              <w:jc w:val="center"/>
              <w:rPr>
                <w:color w:val="000000" w:themeColor="text1"/>
                <w:sz w:val="22"/>
                <w:szCs w:val="22"/>
              </w:rPr>
            </w:pPr>
            <w:r w:rsidRPr="00581542">
              <w:rPr>
                <w:color w:val="000000"/>
                <w:sz w:val="22"/>
                <w:szCs w:val="22"/>
              </w:rPr>
              <w:t>$</w:t>
            </w:r>
            <w:r w:rsidRPr="00680BCB" w:rsidR="00680BCB">
              <w:rPr>
                <w:color w:val="000000"/>
                <w:sz w:val="22"/>
                <w:szCs w:val="22"/>
              </w:rPr>
              <w:t>180</w:t>
            </w:r>
            <w:r w:rsidR="00680BCB">
              <w:rPr>
                <w:color w:val="000000"/>
                <w:sz w:val="22"/>
                <w:szCs w:val="22"/>
              </w:rPr>
              <w:t>,</w:t>
            </w:r>
            <w:r w:rsidRPr="00680BCB" w:rsidR="00680BCB">
              <w:rPr>
                <w:color w:val="000000"/>
                <w:sz w:val="22"/>
                <w:szCs w:val="22"/>
              </w:rPr>
              <w:t>885</w:t>
            </w:r>
            <w:r w:rsidRPr="00581542">
              <w:rPr>
                <w:color w:val="000000"/>
                <w:sz w:val="22"/>
                <w:szCs w:val="22"/>
              </w:rPr>
              <w:t xml:space="preserve"> </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2D9D5CE3" w14:textId="0D27A891">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09014763" w14:textId="457A710E">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111C490E" w14:textId="15C29506">
            <w:pPr>
              <w:jc w:val="center"/>
              <w:rPr>
                <w:color w:val="000000" w:themeColor="text1"/>
                <w:sz w:val="22"/>
                <w:szCs w:val="22"/>
              </w:rPr>
            </w:pPr>
            <w:r w:rsidRPr="00581542">
              <w:rPr>
                <w:color w:val="000000"/>
                <w:sz w:val="22"/>
                <w:szCs w:val="22"/>
              </w:rPr>
              <w:t>$</w:t>
            </w:r>
            <w:r w:rsidRPr="00680BCB" w:rsidR="00680BCB">
              <w:rPr>
                <w:color w:val="000000"/>
                <w:sz w:val="22"/>
                <w:szCs w:val="22"/>
              </w:rPr>
              <w:t>180</w:t>
            </w:r>
            <w:r w:rsidR="00680BCB">
              <w:rPr>
                <w:color w:val="000000"/>
                <w:sz w:val="22"/>
                <w:szCs w:val="22"/>
              </w:rPr>
              <w:t>,</w:t>
            </w:r>
            <w:r w:rsidRPr="00680BCB" w:rsidR="00680BCB">
              <w:rPr>
                <w:color w:val="000000"/>
                <w:sz w:val="22"/>
                <w:szCs w:val="22"/>
              </w:rPr>
              <w:t>885</w:t>
            </w:r>
            <w:r w:rsidRPr="00581542">
              <w:rPr>
                <w:color w:val="000000"/>
                <w:sz w:val="22"/>
                <w:szCs w:val="22"/>
              </w:rPr>
              <w:t xml:space="preserve"> </w:t>
            </w:r>
          </w:p>
        </w:tc>
      </w:tr>
      <w:tr w14:paraId="659345B9"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52E3F" w:rsidRPr="00581542" w:rsidP="00DD414D" w14:paraId="0F58B2E9" w14:textId="6B9AFBED">
            <w:pPr>
              <w:rPr>
                <w:color w:val="000000" w:themeColor="text1"/>
                <w:sz w:val="22"/>
                <w:szCs w:val="22"/>
              </w:rPr>
            </w:pPr>
            <w:r w:rsidRPr="00581542">
              <w:rPr>
                <w:color w:val="000000"/>
                <w:sz w:val="22"/>
                <w:szCs w:val="22"/>
              </w:rPr>
              <w:t>Staff Scientist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58D45C20" w14:textId="33BFB493">
            <w:pPr>
              <w:jc w:val="center"/>
              <w:rPr>
                <w:color w:val="000000" w:themeColor="text1"/>
                <w:sz w:val="22"/>
                <w:szCs w:val="22"/>
              </w:rPr>
            </w:pPr>
            <w:r w:rsidRPr="00581542">
              <w:rPr>
                <w:color w:val="000000"/>
                <w:sz w:val="22"/>
                <w:szCs w:val="22"/>
              </w:rPr>
              <w:t>Title 42</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65DF1C67" w14:textId="64DBD016">
            <w:pPr>
              <w:jc w:val="center"/>
              <w:rPr>
                <w:color w:val="000000" w:themeColor="text1"/>
                <w:sz w:val="22"/>
                <w:szCs w:val="22"/>
              </w:rPr>
            </w:pPr>
            <w:r w:rsidRPr="00581542">
              <w:rPr>
                <w:color w:val="000000"/>
                <w:sz w:val="22"/>
                <w:szCs w:val="22"/>
              </w:rPr>
              <w:t>$</w:t>
            </w:r>
            <w:r w:rsidRPr="00552377" w:rsidR="00552377">
              <w:rPr>
                <w:color w:val="000000"/>
                <w:sz w:val="22"/>
                <w:szCs w:val="22"/>
              </w:rPr>
              <w:t>169</w:t>
            </w:r>
            <w:r w:rsidR="00552377">
              <w:rPr>
                <w:color w:val="000000"/>
                <w:sz w:val="22"/>
                <w:szCs w:val="22"/>
              </w:rPr>
              <w:t>,</w:t>
            </w:r>
            <w:r w:rsidRPr="00552377" w:rsidR="00552377">
              <w:rPr>
                <w:color w:val="000000"/>
                <w:sz w:val="22"/>
                <w:szCs w:val="22"/>
              </w:rPr>
              <w:t>193</w:t>
            </w:r>
            <w:r w:rsidRPr="00581542">
              <w:rPr>
                <w:color w:val="000000"/>
                <w:sz w:val="22"/>
                <w:szCs w:val="22"/>
              </w:rPr>
              <w:t xml:space="preserve"> </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3B518105" w14:textId="18D8357A">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40CF8258" w14:textId="3988378D">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73C84887" w14:textId="5FCAB737">
            <w:pPr>
              <w:jc w:val="center"/>
              <w:rPr>
                <w:color w:val="000000" w:themeColor="text1"/>
                <w:sz w:val="22"/>
                <w:szCs w:val="22"/>
              </w:rPr>
            </w:pPr>
            <w:r w:rsidRPr="00581542">
              <w:rPr>
                <w:color w:val="000000"/>
                <w:sz w:val="22"/>
                <w:szCs w:val="22"/>
              </w:rPr>
              <w:t>$</w:t>
            </w:r>
            <w:r w:rsidRPr="00552377" w:rsidR="00552377">
              <w:rPr>
                <w:color w:val="000000"/>
                <w:sz w:val="22"/>
                <w:szCs w:val="22"/>
              </w:rPr>
              <w:t>169</w:t>
            </w:r>
            <w:r w:rsidR="00552377">
              <w:rPr>
                <w:color w:val="000000"/>
                <w:sz w:val="22"/>
                <w:szCs w:val="22"/>
              </w:rPr>
              <w:t>,</w:t>
            </w:r>
            <w:r w:rsidRPr="00552377" w:rsidR="00552377">
              <w:rPr>
                <w:color w:val="000000"/>
                <w:sz w:val="22"/>
                <w:szCs w:val="22"/>
              </w:rPr>
              <w:t>193</w:t>
            </w:r>
            <w:r w:rsidRPr="00581542">
              <w:rPr>
                <w:color w:val="000000"/>
                <w:sz w:val="22"/>
                <w:szCs w:val="22"/>
              </w:rPr>
              <w:t xml:space="preserve"> </w:t>
            </w:r>
          </w:p>
        </w:tc>
      </w:tr>
      <w:tr w14:paraId="77C8EF67"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52E3F" w:rsidRPr="00581542" w:rsidP="00DD414D" w14:paraId="14942E2C" w14:textId="47A1F0B3">
            <w:pPr>
              <w:rPr>
                <w:color w:val="000000" w:themeColor="text1"/>
                <w:sz w:val="22"/>
                <w:szCs w:val="22"/>
              </w:rPr>
            </w:pPr>
            <w:r w:rsidRPr="00581542">
              <w:rPr>
                <w:color w:val="000000"/>
                <w:sz w:val="22"/>
                <w:szCs w:val="22"/>
              </w:rPr>
              <w:t>Policy Analyst (Biologist)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13BC1638" w14:textId="2A9BDD64">
            <w:pPr>
              <w:jc w:val="center"/>
              <w:rPr>
                <w:color w:val="000000" w:themeColor="text1"/>
                <w:sz w:val="22"/>
                <w:szCs w:val="22"/>
              </w:rPr>
            </w:pPr>
            <w:r w:rsidRPr="00581542">
              <w:rPr>
                <w:color w:val="000000"/>
                <w:sz w:val="22"/>
                <w:szCs w:val="22"/>
              </w:rPr>
              <w:t>14/10</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31AD2538" w14:textId="7EE3AB9E">
            <w:pPr>
              <w:jc w:val="center"/>
              <w:rPr>
                <w:color w:val="000000" w:themeColor="text1"/>
                <w:sz w:val="22"/>
                <w:szCs w:val="22"/>
              </w:rPr>
            </w:pPr>
            <w:r w:rsidRPr="00581542">
              <w:rPr>
                <w:color w:val="000000"/>
                <w:sz w:val="22"/>
                <w:szCs w:val="22"/>
              </w:rPr>
              <w:t>$</w:t>
            </w:r>
            <w:r w:rsidRPr="00552377" w:rsidR="00552377">
              <w:rPr>
                <w:color w:val="000000"/>
                <w:sz w:val="22"/>
                <w:szCs w:val="22"/>
              </w:rPr>
              <w:t>273</w:t>
            </w:r>
            <w:r w:rsidR="00552377">
              <w:rPr>
                <w:color w:val="000000"/>
                <w:sz w:val="22"/>
                <w:szCs w:val="22"/>
              </w:rPr>
              <w:t>,</w:t>
            </w:r>
            <w:r w:rsidRPr="00552377" w:rsidR="00552377">
              <w:rPr>
                <w:color w:val="000000"/>
                <w:sz w:val="22"/>
                <w:szCs w:val="22"/>
              </w:rPr>
              <w:t>232</w:t>
            </w:r>
            <w:r w:rsidRPr="00581542">
              <w:rPr>
                <w:color w:val="000000"/>
                <w:sz w:val="22"/>
                <w:szCs w:val="22"/>
              </w:rPr>
              <w:t xml:space="preserve"> </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5A79A062" w14:textId="7FD3C269">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070AB94B" w14:textId="79D62D5A">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41731A68" w14:textId="7F3BC927">
            <w:pPr>
              <w:jc w:val="center"/>
              <w:rPr>
                <w:color w:val="000000" w:themeColor="text1"/>
                <w:sz w:val="22"/>
                <w:szCs w:val="22"/>
              </w:rPr>
            </w:pPr>
            <w:r w:rsidRPr="00581542">
              <w:rPr>
                <w:color w:val="000000"/>
                <w:sz w:val="22"/>
                <w:szCs w:val="22"/>
              </w:rPr>
              <w:t>$</w:t>
            </w:r>
            <w:r w:rsidRPr="00552377" w:rsidR="00552377">
              <w:rPr>
                <w:color w:val="000000"/>
                <w:sz w:val="22"/>
                <w:szCs w:val="22"/>
              </w:rPr>
              <w:t>273</w:t>
            </w:r>
            <w:r w:rsidR="00552377">
              <w:rPr>
                <w:color w:val="000000"/>
                <w:sz w:val="22"/>
                <w:szCs w:val="22"/>
              </w:rPr>
              <w:t>,</w:t>
            </w:r>
            <w:r w:rsidRPr="00552377" w:rsidR="00552377">
              <w:rPr>
                <w:color w:val="000000"/>
                <w:sz w:val="22"/>
                <w:szCs w:val="22"/>
              </w:rPr>
              <w:t>232</w:t>
            </w:r>
            <w:r w:rsidRPr="00581542">
              <w:rPr>
                <w:color w:val="000000"/>
                <w:sz w:val="22"/>
                <w:szCs w:val="22"/>
              </w:rPr>
              <w:t xml:space="preserve"> </w:t>
            </w:r>
          </w:p>
        </w:tc>
      </w:tr>
      <w:tr w14:paraId="781FB897"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52E3F" w:rsidRPr="00581542" w:rsidP="00DD414D" w14:paraId="345ABF70" w14:textId="3D8D2AD2">
            <w:pPr>
              <w:rPr>
                <w:color w:val="000000" w:themeColor="text1"/>
                <w:sz w:val="22"/>
                <w:szCs w:val="22"/>
              </w:rPr>
            </w:pPr>
            <w:r w:rsidRPr="00581542">
              <w:rPr>
                <w:color w:val="000000"/>
                <w:sz w:val="22"/>
                <w:szCs w:val="22"/>
              </w:rPr>
              <w:t>Supv</w:t>
            </w:r>
            <w:r w:rsidRPr="00581542">
              <w:rPr>
                <w:color w:val="000000"/>
                <w:sz w:val="22"/>
                <w:szCs w:val="22"/>
              </w:rPr>
              <w:t xml:space="preserve"> Technical Information Specialist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186EF8F1" w14:textId="6BB084C4">
            <w:pPr>
              <w:jc w:val="center"/>
              <w:rPr>
                <w:color w:val="000000" w:themeColor="text1"/>
                <w:sz w:val="22"/>
                <w:szCs w:val="22"/>
              </w:rPr>
            </w:pPr>
            <w:r w:rsidRPr="00581542">
              <w:rPr>
                <w:color w:val="000000"/>
                <w:sz w:val="22"/>
                <w:szCs w:val="22"/>
              </w:rPr>
              <w:t>14/9</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7450F370" w14:textId="33A0C7A4">
            <w:pPr>
              <w:jc w:val="center"/>
              <w:rPr>
                <w:color w:val="000000" w:themeColor="text1"/>
                <w:sz w:val="22"/>
                <w:szCs w:val="22"/>
              </w:rPr>
            </w:pPr>
            <w:r w:rsidRPr="00581542">
              <w:rPr>
                <w:color w:val="000000"/>
                <w:sz w:val="22"/>
                <w:szCs w:val="22"/>
              </w:rPr>
              <w:t>$</w:t>
            </w:r>
            <w:r w:rsidRPr="00683826" w:rsidR="00683826">
              <w:rPr>
                <w:color w:val="000000"/>
                <w:sz w:val="22"/>
                <w:szCs w:val="22"/>
              </w:rPr>
              <w:t>243</w:t>
            </w:r>
            <w:r w:rsidR="00683826">
              <w:rPr>
                <w:color w:val="000000"/>
                <w:sz w:val="22"/>
                <w:szCs w:val="22"/>
              </w:rPr>
              <w:t>,</w:t>
            </w:r>
            <w:r w:rsidRPr="00683826" w:rsidR="00683826">
              <w:rPr>
                <w:color w:val="000000"/>
                <w:sz w:val="22"/>
                <w:szCs w:val="22"/>
              </w:rPr>
              <w:t>386</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6098113D" w14:textId="1C116C47">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44DA2D3F" w14:textId="63738E9F">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0106ACCC" w14:textId="3A17BCC4">
            <w:pPr>
              <w:jc w:val="center"/>
              <w:rPr>
                <w:color w:val="000000" w:themeColor="text1"/>
                <w:sz w:val="22"/>
                <w:szCs w:val="22"/>
              </w:rPr>
            </w:pPr>
            <w:r w:rsidRPr="00581542">
              <w:rPr>
                <w:color w:val="000000"/>
                <w:sz w:val="22"/>
                <w:szCs w:val="22"/>
              </w:rPr>
              <w:t>$</w:t>
            </w:r>
            <w:r w:rsidRPr="00683826" w:rsidR="00683826">
              <w:rPr>
                <w:color w:val="000000"/>
                <w:sz w:val="22"/>
                <w:szCs w:val="22"/>
              </w:rPr>
              <w:t>243</w:t>
            </w:r>
            <w:r w:rsidR="00683826">
              <w:rPr>
                <w:color w:val="000000"/>
                <w:sz w:val="22"/>
                <w:szCs w:val="22"/>
              </w:rPr>
              <w:t>,</w:t>
            </w:r>
            <w:r w:rsidRPr="00683826" w:rsidR="00683826">
              <w:rPr>
                <w:color w:val="000000"/>
                <w:sz w:val="22"/>
                <w:szCs w:val="22"/>
              </w:rPr>
              <w:t>386</w:t>
            </w:r>
          </w:p>
        </w:tc>
      </w:tr>
      <w:tr w14:paraId="371460E6"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52E3F" w:rsidRPr="00581542" w:rsidP="00DD414D" w14:paraId="73F978AE" w14:textId="43BA79D4">
            <w:pPr>
              <w:rPr>
                <w:color w:val="000000" w:themeColor="text1"/>
                <w:sz w:val="22"/>
                <w:szCs w:val="22"/>
              </w:rPr>
            </w:pPr>
            <w:r w:rsidRPr="00581542">
              <w:rPr>
                <w:color w:val="000000"/>
                <w:sz w:val="22"/>
                <w:szCs w:val="22"/>
              </w:rPr>
              <w:t>Staff Scientist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4497B24F" w14:textId="63E09760">
            <w:pPr>
              <w:jc w:val="center"/>
              <w:rPr>
                <w:color w:val="000000" w:themeColor="text1"/>
                <w:sz w:val="22"/>
                <w:szCs w:val="22"/>
              </w:rPr>
            </w:pPr>
            <w:r w:rsidRPr="00581542">
              <w:rPr>
                <w:color w:val="000000"/>
                <w:sz w:val="22"/>
                <w:szCs w:val="22"/>
              </w:rPr>
              <w:t>Title 42</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0AA0475C" w14:textId="44329973">
            <w:pPr>
              <w:jc w:val="center"/>
              <w:rPr>
                <w:color w:val="000000" w:themeColor="text1"/>
                <w:sz w:val="22"/>
                <w:szCs w:val="22"/>
              </w:rPr>
            </w:pPr>
            <w:r>
              <w:rPr>
                <w:color w:val="000000"/>
                <w:sz w:val="22"/>
                <w:szCs w:val="22"/>
              </w:rPr>
              <w:t>$0</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41DE52EA" w14:textId="64A3C3AF">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091FA138" w14:textId="7996F068">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1D789C64" w14:textId="11D1F7DD">
            <w:pPr>
              <w:jc w:val="center"/>
              <w:rPr>
                <w:color w:val="000000" w:themeColor="text1"/>
                <w:sz w:val="22"/>
                <w:szCs w:val="22"/>
              </w:rPr>
            </w:pPr>
            <w:r>
              <w:rPr>
                <w:color w:val="000000"/>
                <w:sz w:val="22"/>
                <w:szCs w:val="22"/>
              </w:rPr>
              <w:t>$0</w:t>
            </w:r>
          </w:p>
        </w:tc>
      </w:tr>
      <w:tr w14:paraId="7C1A3612"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52E3F" w:rsidRPr="00581542" w:rsidP="00DD414D" w14:paraId="23D636B7" w14:textId="2579F381">
            <w:pPr>
              <w:rPr>
                <w:color w:val="000000" w:themeColor="text1"/>
                <w:sz w:val="22"/>
                <w:szCs w:val="22"/>
              </w:rPr>
            </w:pPr>
            <w:r w:rsidRPr="00581542">
              <w:rPr>
                <w:color w:val="000000"/>
                <w:sz w:val="22"/>
                <w:szCs w:val="22"/>
              </w:rPr>
              <w:t>Technical Information Specialist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6BFDD82E" w14:textId="527F6FA2">
            <w:pPr>
              <w:jc w:val="center"/>
              <w:rPr>
                <w:color w:val="000000" w:themeColor="text1"/>
                <w:sz w:val="22"/>
                <w:szCs w:val="22"/>
              </w:rPr>
            </w:pPr>
            <w:r w:rsidRPr="00581542">
              <w:rPr>
                <w:color w:val="000000"/>
                <w:sz w:val="22"/>
                <w:szCs w:val="22"/>
              </w:rPr>
              <w:t>13/6</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045B446A" w14:textId="3F1EA663">
            <w:pPr>
              <w:jc w:val="center"/>
              <w:rPr>
                <w:sz w:val="22"/>
                <w:szCs w:val="22"/>
              </w:rPr>
            </w:pPr>
            <w:r>
              <w:rPr>
                <w:color w:val="000000"/>
                <w:sz w:val="22"/>
                <w:szCs w:val="22"/>
              </w:rPr>
              <w:t>$</w:t>
            </w:r>
            <w:r w:rsidRPr="00F97E59">
              <w:rPr>
                <w:color w:val="000000"/>
                <w:sz w:val="22"/>
                <w:szCs w:val="22"/>
              </w:rPr>
              <w:t>185</w:t>
            </w:r>
            <w:r>
              <w:rPr>
                <w:color w:val="000000"/>
                <w:sz w:val="22"/>
                <w:szCs w:val="22"/>
              </w:rPr>
              <w:t>,</w:t>
            </w:r>
            <w:r w:rsidRPr="00F97E59">
              <w:rPr>
                <w:color w:val="000000"/>
                <w:sz w:val="22"/>
                <w:szCs w:val="22"/>
              </w:rPr>
              <w:t>825</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3C5C58F8" w14:textId="26D25A0F">
            <w:pPr>
              <w:jc w:val="center"/>
              <w:rPr>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3DCE005B" w14:textId="6ED5C7B0">
            <w:pPr>
              <w:jc w:val="center"/>
              <w:rPr>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22F069DE" w14:textId="15E1FA49">
            <w:pPr>
              <w:jc w:val="center"/>
              <w:rPr>
                <w:sz w:val="22"/>
                <w:szCs w:val="22"/>
              </w:rPr>
            </w:pPr>
            <w:r>
              <w:rPr>
                <w:color w:val="000000"/>
                <w:sz w:val="22"/>
                <w:szCs w:val="22"/>
              </w:rPr>
              <w:t>$</w:t>
            </w:r>
            <w:r w:rsidRPr="00F97E59">
              <w:rPr>
                <w:color w:val="000000"/>
                <w:sz w:val="22"/>
                <w:szCs w:val="22"/>
              </w:rPr>
              <w:t>185</w:t>
            </w:r>
            <w:r>
              <w:rPr>
                <w:color w:val="000000"/>
                <w:sz w:val="22"/>
                <w:szCs w:val="22"/>
              </w:rPr>
              <w:t>,</w:t>
            </w:r>
            <w:r w:rsidRPr="00F97E59">
              <w:rPr>
                <w:color w:val="000000"/>
                <w:sz w:val="22"/>
                <w:szCs w:val="22"/>
              </w:rPr>
              <w:t>825</w:t>
            </w:r>
          </w:p>
        </w:tc>
      </w:tr>
      <w:tr w14:paraId="21220D39"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52E3F" w:rsidRPr="00581542" w:rsidP="00DD414D" w14:paraId="14995B3C" w14:textId="23C8F160">
            <w:pPr>
              <w:rPr>
                <w:color w:val="000000" w:themeColor="text1"/>
                <w:sz w:val="22"/>
                <w:szCs w:val="22"/>
              </w:rPr>
            </w:pPr>
            <w:r w:rsidRPr="00581542">
              <w:rPr>
                <w:color w:val="000000"/>
                <w:sz w:val="22"/>
                <w:szCs w:val="22"/>
              </w:rPr>
              <w:t>Technical Information Specialist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5A4DC8AA" w14:textId="56B15FB5">
            <w:pPr>
              <w:jc w:val="center"/>
              <w:rPr>
                <w:color w:val="000000" w:themeColor="text1"/>
                <w:sz w:val="22"/>
                <w:szCs w:val="22"/>
              </w:rPr>
            </w:pPr>
            <w:r w:rsidRPr="00581542">
              <w:rPr>
                <w:color w:val="000000"/>
                <w:sz w:val="22"/>
                <w:szCs w:val="22"/>
              </w:rPr>
              <w:t>12/1</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7518009D" w14:textId="194B7F97">
            <w:pPr>
              <w:jc w:val="center"/>
              <w:rPr>
                <w:color w:val="000000" w:themeColor="text1"/>
                <w:sz w:val="22"/>
                <w:szCs w:val="22"/>
              </w:rPr>
            </w:pPr>
            <w:r>
              <w:rPr>
                <w:color w:val="000000"/>
                <w:sz w:val="22"/>
                <w:szCs w:val="22"/>
              </w:rPr>
              <w:t>$</w:t>
            </w:r>
            <w:r w:rsidRPr="00F97E59">
              <w:rPr>
                <w:color w:val="000000"/>
                <w:sz w:val="22"/>
                <w:szCs w:val="22"/>
              </w:rPr>
              <w:t>137</w:t>
            </w:r>
            <w:r>
              <w:rPr>
                <w:color w:val="000000"/>
                <w:sz w:val="22"/>
                <w:szCs w:val="22"/>
              </w:rPr>
              <w:t>,</w:t>
            </w:r>
            <w:r w:rsidRPr="00F97E59">
              <w:rPr>
                <w:color w:val="000000"/>
                <w:sz w:val="22"/>
                <w:szCs w:val="22"/>
              </w:rPr>
              <w:t>473</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34DC8597" w14:textId="644B957B">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0AFDC3C1" w14:textId="42B289AB">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444B8B0B" w14:textId="006A78C2">
            <w:pPr>
              <w:jc w:val="center"/>
              <w:rPr>
                <w:color w:val="000000" w:themeColor="text1"/>
                <w:sz w:val="22"/>
                <w:szCs w:val="22"/>
              </w:rPr>
            </w:pPr>
            <w:r>
              <w:rPr>
                <w:color w:val="000000"/>
                <w:sz w:val="22"/>
                <w:szCs w:val="22"/>
              </w:rPr>
              <w:t>$</w:t>
            </w:r>
            <w:r w:rsidRPr="00F97E59">
              <w:rPr>
                <w:color w:val="000000"/>
                <w:sz w:val="22"/>
                <w:szCs w:val="22"/>
              </w:rPr>
              <w:t>137</w:t>
            </w:r>
            <w:r>
              <w:rPr>
                <w:color w:val="000000"/>
                <w:sz w:val="22"/>
                <w:szCs w:val="22"/>
              </w:rPr>
              <w:t>,</w:t>
            </w:r>
            <w:r w:rsidRPr="00F97E59">
              <w:rPr>
                <w:color w:val="000000"/>
                <w:sz w:val="22"/>
                <w:szCs w:val="22"/>
              </w:rPr>
              <w:t>473</w:t>
            </w:r>
          </w:p>
        </w:tc>
      </w:tr>
      <w:tr w14:paraId="43C0546B"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52E3F" w:rsidRPr="00581542" w:rsidP="00DD414D" w14:paraId="4D099AAE" w14:textId="10CAC82F">
            <w:pPr>
              <w:rPr>
                <w:color w:val="000000" w:themeColor="text1"/>
                <w:sz w:val="22"/>
                <w:szCs w:val="22"/>
              </w:rPr>
            </w:pPr>
            <w:r w:rsidRPr="00581542">
              <w:rPr>
                <w:color w:val="000000"/>
                <w:sz w:val="22"/>
                <w:szCs w:val="22"/>
              </w:rPr>
              <w:t>Technical Information Specialist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047FE2E0" w14:textId="4E6E6234">
            <w:pPr>
              <w:jc w:val="center"/>
              <w:rPr>
                <w:color w:val="000000" w:themeColor="text1"/>
                <w:sz w:val="22"/>
                <w:szCs w:val="22"/>
              </w:rPr>
            </w:pPr>
            <w:r w:rsidRPr="00581542">
              <w:rPr>
                <w:color w:val="000000"/>
                <w:sz w:val="22"/>
                <w:szCs w:val="22"/>
              </w:rPr>
              <w:t>13/4</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392F60CD" w14:textId="0FA76719">
            <w:pPr>
              <w:jc w:val="center"/>
              <w:rPr>
                <w:color w:val="000000" w:themeColor="text1"/>
                <w:sz w:val="22"/>
                <w:szCs w:val="22"/>
              </w:rPr>
            </w:pPr>
            <w:r>
              <w:rPr>
                <w:color w:val="000000"/>
                <w:sz w:val="22"/>
                <w:szCs w:val="22"/>
              </w:rPr>
              <w:t>$</w:t>
            </w:r>
            <w:r w:rsidRPr="00B43D4C">
              <w:rPr>
                <w:color w:val="000000"/>
                <w:sz w:val="22"/>
                <w:szCs w:val="22"/>
              </w:rPr>
              <w:t>201</w:t>
            </w:r>
            <w:r>
              <w:rPr>
                <w:color w:val="000000"/>
                <w:sz w:val="22"/>
                <w:szCs w:val="22"/>
              </w:rPr>
              <w:t>,</w:t>
            </w:r>
            <w:r w:rsidRPr="00B43D4C">
              <w:rPr>
                <w:color w:val="000000"/>
                <w:sz w:val="22"/>
                <w:szCs w:val="22"/>
              </w:rPr>
              <w:t>258</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69A15F81" w14:textId="34782CEC">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6ED9B931" w14:textId="016038AC">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31A28B22" w14:textId="242ADB8A">
            <w:pPr>
              <w:jc w:val="center"/>
              <w:rPr>
                <w:color w:val="000000" w:themeColor="text1"/>
                <w:sz w:val="22"/>
                <w:szCs w:val="22"/>
              </w:rPr>
            </w:pPr>
            <w:r>
              <w:rPr>
                <w:color w:val="000000"/>
                <w:sz w:val="22"/>
                <w:szCs w:val="22"/>
              </w:rPr>
              <w:t>$</w:t>
            </w:r>
            <w:r w:rsidRPr="00B43D4C">
              <w:rPr>
                <w:color w:val="000000"/>
                <w:sz w:val="22"/>
                <w:szCs w:val="22"/>
              </w:rPr>
              <w:t>201</w:t>
            </w:r>
            <w:r>
              <w:rPr>
                <w:color w:val="000000"/>
                <w:sz w:val="22"/>
                <w:szCs w:val="22"/>
              </w:rPr>
              <w:t>,</w:t>
            </w:r>
            <w:r w:rsidRPr="00B43D4C">
              <w:rPr>
                <w:color w:val="000000"/>
                <w:sz w:val="22"/>
                <w:szCs w:val="22"/>
              </w:rPr>
              <w:t>258</w:t>
            </w:r>
          </w:p>
        </w:tc>
      </w:tr>
      <w:tr w14:paraId="25A432F5"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52E3F" w:rsidRPr="00581542" w:rsidP="00DD414D" w14:paraId="44736822" w14:textId="14D1B2DC">
            <w:pPr>
              <w:rPr>
                <w:color w:val="000000" w:themeColor="text1"/>
                <w:sz w:val="22"/>
                <w:szCs w:val="22"/>
              </w:rPr>
            </w:pPr>
            <w:r w:rsidRPr="00581542">
              <w:rPr>
                <w:color w:val="000000"/>
                <w:sz w:val="22"/>
                <w:szCs w:val="22"/>
              </w:rPr>
              <w:t>Technical Information Specialist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1A6EC356" w14:textId="4BC76EB9">
            <w:pPr>
              <w:jc w:val="center"/>
              <w:rPr>
                <w:color w:val="000000" w:themeColor="text1"/>
                <w:sz w:val="22"/>
                <w:szCs w:val="22"/>
              </w:rPr>
            </w:pPr>
            <w:r w:rsidRPr="00581542">
              <w:rPr>
                <w:color w:val="000000"/>
                <w:sz w:val="22"/>
                <w:szCs w:val="22"/>
              </w:rPr>
              <w:t>13/10</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26486BB2" w14:textId="1B34F79E">
            <w:pPr>
              <w:jc w:val="center"/>
              <w:rPr>
                <w:color w:val="000000" w:themeColor="text1"/>
                <w:sz w:val="22"/>
                <w:szCs w:val="22"/>
              </w:rPr>
            </w:pPr>
            <w:r>
              <w:rPr>
                <w:color w:val="000000"/>
                <w:sz w:val="22"/>
                <w:szCs w:val="22"/>
              </w:rPr>
              <w:t>$</w:t>
            </w:r>
            <w:r w:rsidRPr="00B43D4C">
              <w:rPr>
                <w:color w:val="000000"/>
                <w:sz w:val="22"/>
                <w:szCs w:val="22"/>
              </w:rPr>
              <w:t>219</w:t>
            </w:r>
            <w:r>
              <w:rPr>
                <w:color w:val="000000"/>
                <w:sz w:val="22"/>
                <w:szCs w:val="22"/>
              </w:rPr>
              <w:t>,</w:t>
            </w:r>
            <w:r w:rsidRPr="00B43D4C">
              <w:rPr>
                <w:color w:val="000000"/>
                <w:sz w:val="22"/>
                <w:szCs w:val="22"/>
              </w:rPr>
              <w:t>732</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43586102" w14:textId="4D74B701">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308E5F4C" w14:textId="3166AEFC">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60EAAAB8" w14:textId="5A0C2640">
            <w:pPr>
              <w:jc w:val="center"/>
              <w:rPr>
                <w:color w:val="000000" w:themeColor="text1"/>
                <w:sz w:val="22"/>
                <w:szCs w:val="22"/>
              </w:rPr>
            </w:pPr>
            <w:r>
              <w:rPr>
                <w:color w:val="000000"/>
                <w:sz w:val="22"/>
                <w:szCs w:val="22"/>
              </w:rPr>
              <w:t>$</w:t>
            </w:r>
            <w:r w:rsidRPr="00B43D4C">
              <w:rPr>
                <w:color w:val="000000"/>
                <w:sz w:val="22"/>
                <w:szCs w:val="22"/>
              </w:rPr>
              <w:t>219</w:t>
            </w:r>
            <w:r>
              <w:rPr>
                <w:color w:val="000000"/>
                <w:sz w:val="22"/>
                <w:szCs w:val="22"/>
              </w:rPr>
              <w:t>,</w:t>
            </w:r>
            <w:r w:rsidRPr="00B43D4C">
              <w:rPr>
                <w:color w:val="000000"/>
                <w:sz w:val="22"/>
                <w:szCs w:val="22"/>
              </w:rPr>
              <w:t>732</w:t>
            </w:r>
          </w:p>
        </w:tc>
      </w:tr>
      <w:tr w14:paraId="2FD06340"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52E3F" w:rsidRPr="00581542" w:rsidP="00DD414D" w14:paraId="274399E0" w14:textId="61896BB1">
            <w:pPr>
              <w:rPr>
                <w:color w:val="000000" w:themeColor="text1"/>
                <w:sz w:val="22"/>
                <w:szCs w:val="22"/>
              </w:rPr>
            </w:pPr>
            <w:r w:rsidRPr="00581542">
              <w:rPr>
                <w:color w:val="000000"/>
                <w:sz w:val="22"/>
                <w:szCs w:val="22"/>
              </w:rPr>
              <w:t>Technical Information Specialist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6772FB0B" w14:textId="6FF542CF">
            <w:pPr>
              <w:jc w:val="center"/>
              <w:rPr>
                <w:color w:val="000000" w:themeColor="text1"/>
                <w:sz w:val="22"/>
                <w:szCs w:val="22"/>
              </w:rPr>
            </w:pPr>
            <w:r w:rsidRPr="00581542">
              <w:rPr>
                <w:color w:val="000000"/>
                <w:sz w:val="22"/>
                <w:szCs w:val="22"/>
              </w:rPr>
              <w:t>13/5</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4115B893" w14:textId="1F245023">
            <w:pPr>
              <w:jc w:val="center"/>
              <w:rPr>
                <w:color w:val="000000" w:themeColor="text1"/>
                <w:sz w:val="22"/>
                <w:szCs w:val="22"/>
              </w:rPr>
            </w:pPr>
            <w:r>
              <w:rPr>
                <w:color w:val="000000"/>
                <w:sz w:val="22"/>
                <w:szCs w:val="22"/>
              </w:rPr>
              <w:t>$</w:t>
            </w:r>
            <w:r w:rsidRPr="00A32A24">
              <w:rPr>
                <w:color w:val="000000"/>
                <w:sz w:val="22"/>
                <w:szCs w:val="22"/>
              </w:rPr>
              <w:t>200</w:t>
            </w:r>
            <w:r>
              <w:rPr>
                <w:color w:val="000000"/>
                <w:sz w:val="22"/>
                <w:szCs w:val="22"/>
              </w:rPr>
              <w:t>,</w:t>
            </w:r>
            <w:r w:rsidRPr="00A32A24">
              <w:rPr>
                <w:color w:val="000000"/>
                <w:sz w:val="22"/>
                <w:szCs w:val="22"/>
              </w:rPr>
              <w:t>322</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7956C899" w14:textId="3856F8DC">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115A96B0" w14:textId="7B95D11B">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5B539037" w14:textId="4F2319A4">
            <w:pPr>
              <w:jc w:val="center"/>
              <w:rPr>
                <w:color w:val="000000" w:themeColor="text1"/>
                <w:sz w:val="22"/>
                <w:szCs w:val="22"/>
              </w:rPr>
            </w:pPr>
            <w:r>
              <w:rPr>
                <w:color w:val="000000"/>
                <w:sz w:val="22"/>
                <w:szCs w:val="22"/>
              </w:rPr>
              <w:t>$</w:t>
            </w:r>
            <w:r w:rsidRPr="00A32A24">
              <w:rPr>
                <w:color w:val="000000"/>
                <w:sz w:val="22"/>
                <w:szCs w:val="22"/>
              </w:rPr>
              <w:t>200</w:t>
            </w:r>
            <w:r>
              <w:rPr>
                <w:color w:val="000000"/>
                <w:sz w:val="22"/>
                <w:szCs w:val="22"/>
              </w:rPr>
              <w:t>,</w:t>
            </w:r>
            <w:r w:rsidRPr="00A32A24">
              <w:rPr>
                <w:color w:val="000000"/>
                <w:sz w:val="22"/>
                <w:szCs w:val="22"/>
              </w:rPr>
              <w:t>322</w:t>
            </w:r>
          </w:p>
        </w:tc>
      </w:tr>
      <w:tr w14:paraId="3E566254"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52E3F" w:rsidRPr="00581542" w:rsidP="00DD414D" w14:paraId="687C5CD9" w14:textId="0B1CF808">
            <w:pPr>
              <w:rPr>
                <w:color w:val="000000" w:themeColor="text1"/>
                <w:sz w:val="22"/>
                <w:szCs w:val="22"/>
              </w:rPr>
            </w:pPr>
            <w:r w:rsidRPr="00581542">
              <w:rPr>
                <w:color w:val="000000"/>
                <w:sz w:val="22"/>
                <w:szCs w:val="22"/>
              </w:rPr>
              <w:t>Technical Information Specialist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0602DF6E" w14:textId="7163F191">
            <w:pPr>
              <w:jc w:val="center"/>
              <w:rPr>
                <w:color w:val="000000" w:themeColor="text1"/>
                <w:sz w:val="22"/>
                <w:szCs w:val="22"/>
              </w:rPr>
            </w:pPr>
            <w:r w:rsidRPr="00581542">
              <w:rPr>
                <w:color w:val="000000"/>
                <w:sz w:val="22"/>
                <w:szCs w:val="22"/>
              </w:rPr>
              <w:t>13/4</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37423655" w14:textId="109B9AFF">
            <w:pPr>
              <w:jc w:val="center"/>
              <w:rPr>
                <w:color w:val="000000" w:themeColor="text1"/>
                <w:sz w:val="22"/>
                <w:szCs w:val="22"/>
              </w:rPr>
            </w:pPr>
            <w:r>
              <w:rPr>
                <w:color w:val="000000"/>
                <w:sz w:val="22"/>
                <w:szCs w:val="22"/>
              </w:rPr>
              <w:t>$</w:t>
            </w:r>
            <w:r w:rsidRPr="00A32A24">
              <w:rPr>
                <w:color w:val="000000"/>
                <w:sz w:val="22"/>
                <w:szCs w:val="22"/>
              </w:rPr>
              <w:t>192</w:t>
            </w:r>
            <w:r>
              <w:rPr>
                <w:color w:val="000000"/>
                <w:sz w:val="22"/>
                <w:szCs w:val="22"/>
              </w:rPr>
              <w:t>,</w:t>
            </w:r>
            <w:r w:rsidRPr="00A32A24">
              <w:rPr>
                <w:color w:val="000000"/>
                <w:sz w:val="22"/>
                <w:szCs w:val="22"/>
              </w:rPr>
              <w:t>534</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022B3DA3" w14:textId="3C3AE697">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4FE85920" w14:textId="3AAD10B6">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1FB00256" w14:textId="3C95EA20">
            <w:pPr>
              <w:jc w:val="center"/>
              <w:rPr>
                <w:color w:val="000000" w:themeColor="text1"/>
                <w:sz w:val="22"/>
                <w:szCs w:val="22"/>
              </w:rPr>
            </w:pPr>
            <w:r>
              <w:rPr>
                <w:color w:val="000000"/>
                <w:sz w:val="22"/>
                <w:szCs w:val="22"/>
              </w:rPr>
              <w:t>$</w:t>
            </w:r>
            <w:r w:rsidRPr="00A32A24">
              <w:rPr>
                <w:color w:val="000000"/>
                <w:sz w:val="22"/>
                <w:szCs w:val="22"/>
              </w:rPr>
              <w:t>192</w:t>
            </w:r>
            <w:r>
              <w:rPr>
                <w:color w:val="000000"/>
                <w:sz w:val="22"/>
                <w:szCs w:val="22"/>
              </w:rPr>
              <w:t>,</w:t>
            </w:r>
            <w:r w:rsidRPr="00A32A24">
              <w:rPr>
                <w:color w:val="000000"/>
                <w:sz w:val="22"/>
                <w:szCs w:val="22"/>
              </w:rPr>
              <w:t>534</w:t>
            </w:r>
          </w:p>
        </w:tc>
      </w:tr>
      <w:tr w14:paraId="166D47AF"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52E3F" w:rsidRPr="00581542" w:rsidP="00DD414D" w14:paraId="2145AF6A" w14:textId="35580CEF">
            <w:pPr>
              <w:rPr>
                <w:color w:val="000000" w:themeColor="text1"/>
                <w:sz w:val="22"/>
                <w:szCs w:val="22"/>
              </w:rPr>
            </w:pPr>
            <w:r w:rsidRPr="00581542">
              <w:rPr>
                <w:color w:val="000000"/>
                <w:sz w:val="22"/>
                <w:szCs w:val="22"/>
              </w:rPr>
              <w:t>Technical Program Manager</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09672B16" w14:textId="0DF4FCC7">
            <w:pPr>
              <w:jc w:val="center"/>
              <w:rPr>
                <w:color w:val="000000" w:themeColor="text1"/>
                <w:sz w:val="22"/>
                <w:szCs w:val="22"/>
              </w:rPr>
            </w:pPr>
            <w:r w:rsidRPr="00581542">
              <w:rPr>
                <w:color w:val="000000"/>
                <w:sz w:val="22"/>
                <w:szCs w:val="22"/>
              </w:rPr>
              <w:t>Title 42</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55EC9999" w14:textId="5E439E06">
            <w:pPr>
              <w:jc w:val="center"/>
              <w:rPr>
                <w:color w:val="000000" w:themeColor="text1"/>
                <w:sz w:val="22"/>
                <w:szCs w:val="22"/>
              </w:rPr>
            </w:pPr>
            <w:r>
              <w:rPr>
                <w:color w:val="000000"/>
                <w:sz w:val="22"/>
                <w:szCs w:val="22"/>
              </w:rPr>
              <w:t>$</w:t>
            </w:r>
            <w:r w:rsidRPr="00A32A24">
              <w:rPr>
                <w:color w:val="000000"/>
                <w:sz w:val="22"/>
                <w:szCs w:val="22"/>
              </w:rPr>
              <w:t>297</w:t>
            </w:r>
            <w:r>
              <w:rPr>
                <w:color w:val="000000"/>
                <w:sz w:val="22"/>
                <w:szCs w:val="22"/>
              </w:rPr>
              <w:t>,</w:t>
            </w:r>
            <w:r w:rsidRPr="00A32A24">
              <w:rPr>
                <w:color w:val="000000"/>
                <w:sz w:val="22"/>
                <w:szCs w:val="22"/>
              </w:rPr>
              <w:t>953</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70CD5BAB" w14:textId="1FA9B0C9">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1142AE34" w14:textId="4BEFD228">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052E3F" w:rsidRPr="00581542" w:rsidP="00052E3F" w14:paraId="4621B6C4" w14:textId="63122232">
            <w:pPr>
              <w:jc w:val="center"/>
              <w:rPr>
                <w:color w:val="000000" w:themeColor="text1"/>
                <w:sz w:val="22"/>
                <w:szCs w:val="22"/>
              </w:rPr>
            </w:pPr>
            <w:r>
              <w:rPr>
                <w:color w:val="000000"/>
                <w:sz w:val="22"/>
                <w:szCs w:val="22"/>
              </w:rPr>
              <w:t>$</w:t>
            </w:r>
            <w:r w:rsidRPr="008C61E1">
              <w:rPr>
                <w:color w:val="000000"/>
                <w:sz w:val="22"/>
                <w:szCs w:val="22"/>
              </w:rPr>
              <w:t>297</w:t>
            </w:r>
            <w:r>
              <w:rPr>
                <w:color w:val="000000"/>
                <w:sz w:val="22"/>
                <w:szCs w:val="22"/>
              </w:rPr>
              <w:t>,</w:t>
            </w:r>
            <w:r w:rsidRPr="008C61E1">
              <w:rPr>
                <w:color w:val="000000"/>
                <w:sz w:val="22"/>
                <w:szCs w:val="22"/>
              </w:rPr>
              <w:t>953</w:t>
            </w:r>
          </w:p>
        </w:tc>
      </w:tr>
      <w:tr w14:paraId="5551516E"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C5FEC" w:rsidRPr="00581542" w:rsidP="00A406AC" w14:paraId="1306F621" w14:textId="22A6F51F">
            <w:pPr>
              <w:rPr>
                <w:color w:val="000000" w:themeColor="text1"/>
                <w:sz w:val="22"/>
                <w:szCs w:val="22"/>
              </w:rPr>
            </w:pPr>
            <w:r w:rsidRPr="00581542">
              <w:rPr>
                <w:color w:val="000000" w:themeColor="text1"/>
                <w:sz w:val="22"/>
                <w:szCs w:val="22"/>
              </w:rPr>
              <w:t>Sub-total (CY202</w:t>
            </w:r>
            <w:r w:rsidR="00BF65E1">
              <w:rPr>
                <w:color w:val="000000" w:themeColor="text1"/>
                <w:sz w:val="22"/>
                <w:szCs w:val="22"/>
              </w:rPr>
              <w:t>6</w:t>
            </w:r>
            <w:r w:rsidRPr="00581542">
              <w:rPr>
                <w:color w:val="000000" w:themeColor="text1"/>
                <w:sz w:val="22"/>
                <w:szCs w:val="22"/>
              </w:rPr>
              <w: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BC5FEC" w:rsidRPr="00581542" w:rsidP="00A406AC" w14:paraId="0D1CF9A7" w14:textId="77777777">
            <w:pPr>
              <w:jc w:val="center"/>
              <w:rPr>
                <w:color w:val="000000" w:themeColor="text1"/>
                <w:sz w:val="22"/>
                <w:szCs w:val="22"/>
              </w:rPr>
            </w:pP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BC5FEC" w:rsidRPr="00581542" w:rsidP="00A406AC" w14:paraId="2BA22ED8" w14:textId="77777777">
            <w:pPr>
              <w:jc w:val="center"/>
              <w:rPr>
                <w:color w:val="000000" w:themeColor="text1"/>
                <w:sz w:val="22"/>
                <w:szCs w:val="22"/>
              </w:rPr>
            </w:pP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BC5FEC" w:rsidRPr="00581542" w:rsidP="00A406AC" w14:paraId="07EBF0A2" w14:textId="77777777">
            <w:pPr>
              <w:jc w:val="center"/>
              <w:rPr>
                <w:color w:val="000000" w:themeColor="text1"/>
                <w:sz w:val="22"/>
                <w:szCs w:val="22"/>
              </w:rPr>
            </w:pP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BC5FEC" w:rsidRPr="00581542" w:rsidP="00A406AC" w14:paraId="017B3A5E" w14:textId="77777777">
            <w:pPr>
              <w:jc w:val="center"/>
              <w:rPr>
                <w:color w:val="000000" w:themeColor="text1"/>
                <w:sz w:val="22"/>
                <w:szCs w:val="22"/>
              </w:rPr>
            </w:pP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BC5FEC" w:rsidRPr="00581542" w:rsidP="00BE4D3A" w14:paraId="6F7ACE82" w14:textId="5D26E75B">
            <w:pPr>
              <w:jc w:val="center"/>
              <w:rPr>
                <w:b/>
                <w:bCs/>
                <w:color w:val="000000" w:themeColor="text1"/>
                <w:sz w:val="22"/>
                <w:szCs w:val="22"/>
              </w:rPr>
            </w:pPr>
            <w:r>
              <w:rPr>
                <w:b/>
                <w:bCs/>
                <w:color w:val="000000"/>
                <w:sz w:val="22"/>
                <w:szCs w:val="22"/>
              </w:rPr>
              <w:t>$4,325,281</w:t>
            </w:r>
          </w:p>
        </w:tc>
      </w:tr>
      <w:tr w14:paraId="77230BE7" w14:textId="77777777" w:rsidTr="00126C4D">
        <w:tblPrEx>
          <w:tblW w:w="9584" w:type="dxa"/>
          <w:tblInd w:w="-100" w:type="dxa"/>
          <w:tblCellMar>
            <w:left w:w="0" w:type="dxa"/>
            <w:right w:w="0" w:type="dxa"/>
          </w:tblCellMar>
          <w:tblLook w:val="04A0"/>
        </w:tblPrEx>
        <w:trPr>
          <w:trHeight w:val="52"/>
        </w:trPr>
        <w:tc>
          <w:tcPr>
            <w:tcW w:w="9584" w:type="dxa"/>
            <w:gridSpan w:val="6"/>
            <w:tcBorders>
              <w:top w:val="nil"/>
              <w:left w:val="single" w:sz="8" w:space="0" w:color="auto"/>
              <w:bottom w:val="single" w:sz="8" w:space="0" w:color="auto"/>
              <w:right w:val="single" w:sz="8" w:space="0" w:color="auto"/>
            </w:tcBorders>
            <w:shd w:val="clear" w:color="auto" w:fill="D0CECE" w:themeFill="background2" w:themeFillShade="E6"/>
            <w:noWrap/>
            <w:tcMar>
              <w:top w:w="0" w:type="dxa"/>
              <w:left w:w="108" w:type="dxa"/>
              <w:bottom w:w="0" w:type="dxa"/>
              <w:right w:w="108" w:type="dxa"/>
            </w:tcMar>
            <w:vAlign w:val="center"/>
            <w:hideMark/>
          </w:tcPr>
          <w:p w:rsidR="00A406AC" w:rsidRPr="00581542" w:rsidP="00A406AC" w14:paraId="32621096" w14:textId="77777777">
            <w:pPr>
              <w:rPr>
                <w:b/>
                <w:color w:val="000000" w:themeColor="text1"/>
                <w:sz w:val="22"/>
                <w:szCs w:val="22"/>
              </w:rPr>
            </w:pPr>
            <w:r w:rsidRPr="00581542">
              <w:rPr>
                <w:b/>
                <w:color w:val="000000" w:themeColor="text1"/>
                <w:sz w:val="22"/>
                <w:szCs w:val="22"/>
              </w:rPr>
              <w:t>Contractor Cost</w:t>
            </w:r>
          </w:p>
        </w:tc>
      </w:tr>
      <w:tr w14:paraId="29922E73" w14:textId="77777777">
        <w:tblPrEx>
          <w:tblW w:w="9584" w:type="dxa"/>
          <w:tblInd w:w="-100" w:type="dxa"/>
          <w:tblCellMar>
            <w:left w:w="0" w:type="dxa"/>
            <w:right w:w="0" w:type="dxa"/>
          </w:tblCellMar>
          <w:tblLook w:val="04A0"/>
        </w:tblPrEx>
        <w:trPr>
          <w:trHeight w:val="63"/>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7B4365" w:rsidRPr="00581542" w:rsidP="007B4365" w14:paraId="168C8CB7" w14:textId="73D9CC6D">
            <w:pPr>
              <w:rPr>
                <w:color w:val="000000" w:themeColor="text1"/>
                <w:sz w:val="22"/>
                <w:szCs w:val="22"/>
              </w:rPr>
            </w:pPr>
            <w:r w:rsidRPr="00581542">
              <w:rPr>
                <w:color w:val="000000"/>
                <w:sz w:val="22"/>
                <w:szCs w:val="22"/>
              </w:rPr>
              <w:t>14 Software Developers</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7B4365" w:rsidRPr="00581542" w:rsidP="007B4365" w14:paraId="28FEFC42" w14:textId="05846D02">
            <w:pPr>
              <w:jc w:val="center"/>
              <w:rPr>
                <w:color w:val="000000" w:themeColor="text1"/>
                <w:sz w:val="22"/>
                <w:szCs w:val="22"/>
              </w:rPr>
            </w:pPr>
            <w:r w:rsidRPr="00581542">
              <w:rPr>
                <w:color w:val="000000"/>
                <w:sz w:val="22"/>
                <w:szCs w:val="22"/>
              </w:rPr>
              <w:t>N/A</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7B4365" w:rsidRPr="00581542" w:rsidP="007B4365" w14:paraId="59203728" w14:textId="7B7A7C5E">
            <w:pPr>
              <w:jc w:val="center"/>
              <w:rPr>
                <w:color w:val="000000" w:themeColor="text1"/>
                <w:sz w:val="22"/>
                <w:szCs w:val="22"/>
              </w:rPr>
            </w:pPr>
            <w:r>
              <w:rPr>
                <w:color w:val="000000" w:themeColor="text1"/>
                <w:sz w:val="22"/>
                <w:szCs w:val="22"/>
              </w:rPr>
              <w:t>N/A</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7B4365" w:rsidRPr="00581542" w:rsidP="007B4365" w14:paraId="43F0E8CD" w14:textId="4A31A6B3">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7B4365" w:rsidRPr="00581542" w:rsidP="007B4365" w14:paraId="0C1FD033" w14:textId="6DD4F984">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7B4365" w:rsidRPr="00581542" w:rsidP="007B4365" w14:paraId="3B82F232" w14:textId="388673F6">
            <w:pPr>
              <w:jc w:val="center"/>
              <w:rPr>
                <w:sz w:val="22"/>
                <w:szCs w:val="22"/>
              </w:rPr>
            </w:pPr>
            <w:r>
              <w:rPr>
                <w:color w:val="000000"/>
                <w:sz w:val="22"/>
                <w:szCs w:val="22"/>
              </w:rPr>
              <w:t>$4,090,802</w:t>
            </w:r>
            <w:r w:rsidRPr="00581542">
              <w:rPr>
                <w:color w:val="000000"/>
                <w:sz w:val="22"/>
                <w:szCs w:val="22"/>
              </w:rPr>
              <w:t xml:space="preserve"> </w:t>
            </w:r>
          </w:p>
        </w:tc>
      </w:tr>
      <w:tr w14:paraId="62FAAE05" w14:textId="77777777">
        <w:tblPrEx>
          <w:tblW w:w="9584" w:type="dxa"/>
          <w:tblInd w:w="-100" w:type="dxa"/>
          <w:tblCellMar>
            <w:left w:w="0" w:type="dxa"/>
            <w:right w:w="0" w:type="dxa"/>
          </w:tblCellMar>
          <w:tblLook w:val="04A0"/>
        </w:tblPrEx>
        <w:trPr>
          <w:trHeight w:val="112"/>
        </w:trPr>
        <w:tc>
          <w:tcPr>
            <w:tcW w:w="2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7B4365" w:rsidRPr="00581542" w:rsidP="007B4365" w14:paraId="4A5A2732" w14:textId="0FF1F926">
            <w:pPr>
              <w:rPr>
                <w:color w:val="000000" w:themeColor="text1"/>
                <w:sz w:val="22"/>
                <w:szCs w:val="22"/>
              </w:rPr>
            </w:pPr>
            <w:r w:rsidRPr="00581542">
              <w:rPr>
                <w:color w:val="000000"/>
                <w:sz w:val="22"/>
                <w:szCs w:val="22"/>
              </w:rPr>
              <w:t xml:space="preserve">31.5 Quality Assurance Reviewers, Analysts </w:t>
            </w:r>
            <w:r w:rsidRPr="00581542">
              <w:rPr>
                <w:color w:val="000000"/>
                <w:sz w:val="22"/>
                <w:szCs w:val="22"/>
              </w:rPr>
              <w:t xml:space="preserve">Administrative Staff &amp; Project Managers </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7B4365" w:rsidRPr="00581542" w:rsidP="007B4365" w14:paraId="7F9E88B2" w14:textId="50EFEE49">
            <w:pPr>
              <w:jc w:val="center"/>
              <w:rPr>
                <w:color w:val="000000" w:themeColor="text1"/>
                <w:sz w:val="22"/>
                <w:szCs w:val="22"/>
              </w:rPr>
            </w:pPr>
            <w:r w:rsidRPr="00581542">
              <w:rPr>
                <w:color w:val="000000"/>
                <w:sz w:val="22"/>
                <w:szCs w:val="22"/>
              </w:rPr>
              <w:t>N/A</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7B4365" w:rsidRPr="00581542" w:rsidP="007B4365" w14:paraId="7FEF0534" w14:textId="1F954B4D">
            <w:pPr>
              <w:jc w:val="center"/>
              <w:rPr>
                <w:color w:val="000000" w:themeColor="text1"/>
                <w:sz w:val="22"/>
                <w:szCs w:val="22"/>
              </w:rPr>
            </w:pPr>
            <w:r w:rsidRPr="00581542">
              <w:rPr>
                <w:color w:val="000000"/>
                <w:sz w:val="22"/>
                <w:szCs w:val="22"/>
              </w:rPr>
              <w:t>N/A</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7B4365" w:rsidRPr="00581542" w:rsidP="007B4365" w14:paraId="0FA79581" w14:textId="3D768836">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7B4365" w:rsidRPr="00581542" w:rsidP="007B4365" w14:paraId="2B1F21D9" w14:textId="07546526">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7B4365" w:rsidRPr="00581542" w:rsidP="007B4365" w14:paraId="2A38E01E" w14:textId="191B7F68">
            <w:pPr>
              <w:jc w:val="center"/>
              <w:rPr>
                <w:sz w:val="22"/>
                <w:szCs w:val="22"/>
              </w:rPr>
            </w:pPr>
            <w:r w:rsidRPr="00581542">
              <w:rPr>
                <w:color w:val="000000"/>
                <w:sz w:val="22"/>
                <w:szCs w:val="22"/>
              </w:rPr>
              <w:t>$</w:t>
            </w:r>
            <w:r w:rsidR="005E23A5">
              <w:rPr>
                <w:color w:val="000000"/>
                <w:sz w:val="22"/>
                <w:szCs w:val="22"/>
              </w:rPr>
              <w:t>7,096,187</w:t>
            </w:r>
          </w:p>
        </w:tc>
      </w:tr>
      <w:tr w14:paraId="3A690E33" w14:textId="77777777">
        <w:tblPrEx>
          <w:tblW w:w="9584" w:type="dxa"/>
          <w:tblInd w:w="-100" w:type="dxa"/>
          <w:tblCellMar>
            <w:left w:w="0" w:type="dxa"/>
            <w:right w:w="0" w:type="dxa"/>
          </w:tblCellMar>
          <w:tblLook w:val="04A0"/>
        </w:tblPrEx>
        <w:trPr>
          <w:trHeight w:val="107"/>
        </w:trPr>
        <w:tc>
          <w:tcPr>
            <w:tcW w:w="2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7B4365" w:rsidRPr="00581542" w:rsidP="007B4365" w14:paraId="45F2EED3" w14:textId="174DB1AF">
            <w:pPr>
              <w:rPr>
                <w:color w:val="000000" w:themeColor="text1"/>
                <w:sz w:val="22"/>
                <w:szCs w:val="22"/>
              </w:rPr>
            </w:pPr>
            <w:r w:rsidRPr="00581542">
              <w:rPr>
                <w:color w:val="000000"/>
                <w:sz w:val="22"/>
                <w:szCs w:val="22"/>
              </w:rPr>
              <w:t>Evaluation, Updates and Training and Support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7B4365" w:rsidRPr="00581542" w:rsidP="007B4365" w14:paraId="13C0FBE8" w14:textId="1AA64285">
            <w:pPr>
              <w:jc w:val="center"/>
              <w:rPr>
                <w:color w:val="000000" w:themeColor="text1"/>
                <w:sz w:val="22"/>
                <w:szCs w:val="22"/>
              </w:rPr>
            </w:pPr>
            <w:r w:rsidRPr="00581542">
              <w:rPr>
                <w:color w:val="000000"/>
                <w:sz w:val="22"/>
                <w:szCs w:val="22"/>
              </w:rPr>
              <w:t>N/A</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7B4365" w:rsidRPr="00581542" w:rsidP="007B4365" w14:paraId="6D8CB24B" w14:textId="7752A7C7">
            <w:pPr>
              <w:jc w:val="center"/>
              <w:rPr>
                <w:color w:val="000000" w:themeColor="text1"/>
                <w:sz w:val="22"/>
                <w:szCs w:val="22"/>
              </w:rPr>
            </w:pPr>
            <w:r w:rsidRPr="00581542">
              <w:rPr>
                <w:color w:val="000000"/>
                <w:sz w:val="22"/>
                <w:szCs w:val="22"/>
              </w:rPr>
              <w:t>N/A</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7B4365" w:rsidRPr="00581542" w:rsidP="007B4365" w14:paraId="49A0DE3B" w14:textId="38FB77BA">
            <w:pPr>
              <w:jc w:val="center"/>
              <w:rPr>
                <w:color w:val="000000" w:themeColor="text1"/>
                <w:sz w:val="22"/>
                <w:szCs w:val="22"/>
              </w:rPr>
            </w:pPr>
            <w:r w:rsidRPr="00581542">
              <w:rPr>
                <w:color w:val="000000"/>
                <w:sz w:val="22"/>
                <w:szCs w:val="22"/>
              </w:rPr>
              <w:t>N/A</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7B4365" w:rsidRPr="00581542" w:rsidP="007B4365" w14:paraId="3B7A685B" w14:textId="222CECEB">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7B4365" w:rsidRPr="00581542" w:rsidP="007B4365" w14:paraId="0D420FE9" w14:textId="3086C158">
            <w:pPr>
              <w:jc w:val="center"/>
              <w:rPr>
                <w:sz w:val="22"/>
                <w:szCs w:val="22"/>
              </w:rPr>
            </w:pPr>
          </w:p>
        </w:tc>
      </w:tr>
      <w:tr w14:paraId="2D0618FB" w14:textId="77777777" w:rsidTr="00ED1621">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406AC" w:rsidRPr="00581542" w:rsidP="00A406AC" w14:paraId="714C5A94" w14:textId="3074128C">
            <w:pPr>
              <w:rPr>
                <w:color w:val="000000" w:themeColor="text1"/>
                <w:sz w:val="22"/>
                <w:szCs w:val="22"/>
              </w:rPr>
            </w:pPr>
            <w:r w:rsidRPr="00581542">
              <w:rPr>
                <w:color w:val="000000" w:themeColor="text1"/>
                <w:sz w:val="22"/>
                <w:szCs w:val="22"/>
              </w:rPr>
              <w:t>Sub-total (CY202</w:t>
            </w:r>
            <w:r w:rsidR="00BF65E1">
              <w:rPr>
                <w:color w:val="000000" w:themeColor="text1"/>
                <w:sz w:val="22"/>
                <w:szCs w:val="22"/>
              </w:rPr>
              <w:t>6</w:t>
            </w:r>
            <w:r w:rsidRPr="00581542">
              <w:rPr>
                <w:color w:val="000000" w:themeColor="text1"/>
                <w:sz w:val="22"/>
                <w:szCs w:val="22"/>
              </w:rPr>
              <w: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A406AC" w:rsidRPr="00581542" w:rsidP="00A406AC" w14:paraId="193BE644" w14:textId="77777777">
            <w:pPr>
              <w:jc w:val="center"/>
              <w:rPr>
                <w:color w:val="000000" w:themeColor="text1"/>
                <w:sz w:val="22"/>
                <w:szCs w:val="22"/>
              </w:rPr>
            </w:pP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A406AC" w:rsidRPr="00581542" w:rsidP="00A406AC" w14:paraId="29FD73FB" w14:textId="77777777">
            <w:pPr>
              <w:jc w:val="center"/>
              <w:rPr>
                <w:color w:val="000000" w:themeColor="text1"/>
                <w:sz w:val="22"/>
                <w:szCs w:val="22"/>
              </w:rPr>
            </w:pP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A406AC" w:rsidRPr="00581542" w:rsidP="00A406AC" w14:paraId="7B571D47" w14:textId="77777777">
            <w:pPr>
              <w:jc w:val="center"/>
              <w:rPr>
                <w:color w:val="000000" w:themeColor="text1"/>
                <w:sz w:val="22"/>
                <w:szCs w:val="22"/>
              </w:rPr>
            </w:pP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A406AC" w:rsidRPr="00581542" w:rsidP="00A406AC" w14:paraId="580B165E" w14:textId="77777777">
            <w:pPr>
              <w:jc w:val="center"/>
              <w:rPr>
                <w:color w:val="000000" w:themeColor="text1"/>
                <w:sz w:val="22"/>
                <w:szCs w:val="22"/>
              </w:rPr>
            </w:pP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A406AC" w:rsidRPr="00581542" w:rsidP="006B7023" w14:paraId="3C65EB71" w14:textId="4EF386DB">
            <w:pPr>
              <w:jc w:val="center"/>
              <w:rPr>
                <w:b/>
                <w:bCs/>
                <w:color w:val="000000" w:themeColor="text1"/>
                <w:sz w:val="22"/>
                <w:szCs w:val="22"/>
              </w:rPr>
            </w:pPr>
            <w:r w:rsidRPr="00581542">
              <w:rPr>
                <w:b/>
                <w:bCs/>
                <w:color w:val="000000"/>
                <w:sz w:val="22"/>
                <w:szCs w:val="22"/>
              </w:rPr>
              <w:t>$</w:t>
            </w:r>
            <w:r w:rsidR="004B4BF2">
              <w:rPr>
                <w:b/>
                <w:bCs/>
                <w:color w:val="000000"/>
                <w:sz w:val="22"/>
                <w:szCs w:val="22"/>
              </w:rPr>
              <w:t>11,186,989</w:t>
            </w:r>
            <w:r w:rsidRPr="00581542">
              <w:rPr>
                <w:b/>
                <w:bCs/>
                <w:color w:val="000000"/>
                <w:sz w:val="22"/>
                <w:szCs w:val="22"/>
              </w:rPr>
              <w:t xml:space="preserve"> </w:t>
            </w:r>
          </w:p>
        </w:tc>
      </w:tr>
      <w:tr w14:paraId="397CE2A6" w14:textId="77777777" w:rsidTr="00126C4D">
        <w:tblPrEx>
          <w:tblW w:w="9584" w:type="dxa"/>
          <w:tblInd w:w="-100" w:type="dxa"/>
          <w:tblCellMar>
            <w:left w:w="0" w:type="dxa"/>
            <w:right w:w="0" w:type="dxa"/>
          </w:tblCellMar>
          <w:tblLook w:val="04A0"/>
        </w:tblPrEx>
        <w:trPr>
          <w:trHeight w:val="52"/>
        </w:trPr>
        <w:tc>
          <w:tcPr>
            <w:tcW w:w="9584" w:type="dxa"/>
            <w:gridSpan w:val="6"/>
            <w:tcBorders>
              <w:top w:val="nil"/>
              <w:left w:val="single" w:sz="8" w:space="0" w:color="auto"/>
              <w:bottom w:val="single" w:sz="8" w:space="0" w:color="auto"/>
              <w:right w:val="single" w:sz="8" w:space="0" w:color="auto"/>
            </w:tcBorders>
            <w:shd w:val="clear" w:color="auto" w:fill="D0CECE" w:themeFill="background2" w:themeFillShade="E6"/>
            <w:noWrap/>
            <w:tcMar>
              <w:top w:w="0" w:type="dxa"/>
              <w:left w:w="108" w:type="dxa"/>
              <w:bottom w:w="0" w:type="dxa"/>
              <w:right w:w="108" w:type="dxa"/>
            </w:tcMar>
            <w:vAlign w:val="center"/>
            <w:hideMark/>
          </w:tcPr>
          <w:p w:rsidR="00A406AC" w:rsidRPr="00581542" w:rsidP="00A406AC" w14:paraId="5DF9213C" w14:textId="77777777">
            <w:pPr>
              <w:rPr>
                <w:b/>
                <w:color w:val="000000" w:themeColor="text1"/>
                <w:sz w:val="22"/>
                <w:szCs w:val="22"/>
              </w:rPr>
            </w:pPr>
            <w:r w:rsidRPr="00581542">
              <w:rPr>
                <w:b/>
                <w:color w:val="000000" w:themeColor="text1"/>
                <w:sz w:val="22"/>
                <w:szCs w:val="22"/>
              </w:rPr>
              <w:t>Travel</w:t>
            </w:r>
          </w:p>
        </w:tc>
      </w:tr>
      <w:tr w14:paraId="57BF3C65" w14:textId="77777777" w:rsidTr="005C4359">
        <w:tblPrEx>
          <w:tblW w:w="9584" w:type="dxa"/>
          <w:tblInd w:w="-100" w:type="dxa"/>
          <w:tblCellMar>
            <w:left w:w="0" w:type="dxa"/>
            <w:right w:w="0" w:type="dxa"/>
          </w:tblCellMar>
          <w:tblLook w:val="04A0"/>
        </w:tblPrEx>
        <w:trPr>
          <w:trHeight w:val="52"/>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406AC" w:rsidRPr="00581542" w:rsidP="00A406AC" w14:paraId="070FCAB5" w14:textId="30D22565">
            <w:pPr>
              <w:rPr>
                <w:bCs/>
                <w:color w:val="000000" w:themeColor="text1"/>
                <w:sz w:val="22"/>
                <w:szCs w:val="22"/>
              </w:rPr>
            </w:pPr>
            <w:r w:rsidRPr="00581542">
              <w:rPr>
                <w:bCs/>
                <w:color w:val="000000" w:themeColor="text1"/>
                <w:sz w:val="22"/>
                <w:szCs w:val="22"/>
              </w:rPr>
              <w:t>Sub-total</w:t>
            </w:r>
            <w:r w:rsidRPr="00581542" w:rsidR="0085644B">
              <w:rPr>
                <w:bCs/>
                <w:color w:val="000000" w:themeColor="text1"/>
                <w:sz w:val="22"/>
                <w:szCs w:val="22"/>
              </w:rPr>
              <w:t xml:space="preserve"> (CY202</w:t>
            </w:r>
            <w:r w:rsidR="00BF65E1">
              <w:rPr>
                <w:bCs/>
                <w:color w:val="000000" w:themeColor="text1"/>
                <w:sz w:val="22"/>
                <w:szCs w:val="22"/>
              </w:rPr>
              <w:t>6</w:t>
            </w:r>
            <w:r w:rsidRPr="00581542" w:rsidR="0085644B">
              <w:rPr>
                <w:bCs/>
                <w:color w:val="000000" w:themeColor="text1"/>
                <w:sz w:val="22"/>
                <w:szCs w:val="22"/>
              </w:rPr>
              <w: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A406AC" w:rsidRPr="00581542" w:rsidP="00A406AC" w14:paraId="03E0316A" w14:textId="77777777">
            <w:pPr>
              <w:jc w:val="center"/>
              <w:rPr>
                <w:color w:val="000000" w:themeColor="text1"/>
                <w:sz w:val="22"/>
                <w:szCs w:val="22"/>
              </w:rPr>
            </w:pP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A406AC" w:rsidRPr="00581542" w:rsidP="00A406AC" w14:paraId="4AD450B3" w14:textId="77777777">
            <w:pPr>
              <w:jc w:val="center"/>
              <w:rPr>
                <w:color w:val="000000" w:themeColor="text1"/>
                <w:sz w:val="22"/>
                <w:szCs w:val="22"/>
              </w:rPr>
            </w:pP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A406AC" w:rsidRPr="00581542" w:rsidP="00A406AC" w14:paraId="4E28CEC6" w14:textId="77777777">
            <w:pPr>
              <w:jc w:val="center"/>
              <w:rPr>
                <w:color w:val="000000" w:themeColor="text1"/>
                <w:sz w:val="22"/>
                <w:szCs w:val="22"/>
              </w:rPr>
            </w:pP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A406AC" w:rsidRPr="00581542" w:rsidP="00A406AC" w14:paraId="0E91636A" w14:textId="77777777">
            <w:pPr>
              <w:jc w:val="center"/>
              <w:rPr>
                <w:color w:val="000000" w:themeColor="text1"/>
                <w:sz w:val="22"/>
                <w:szCs w:val="22"/>
              </w:rPr>
            </w:pP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rsidR="00A406AC" w:rsidRPr="00581542" w:rsidP="00A406AC" w14:paraId="7A9F990B" w14:textId="72BB20DE">
            <w:pPr>
              <w:jc w:val="center"/>
              <w:rPr>
                <w:b/>
                <w:bCs/>
                <w:color w:val="000000" w:themeColor="text1"/>
                <w:sz w:val="22"/>
                <w:szCs w:val="22"/>
              </w:rPr>
            </w:pPr>
            <w:r w:rsidRPr="00581542">
              <w:rPr>
                <w:b/>
                <w:bCs/>
                <w:color w:val="000000" w:themeColor="text1"/>
                <w:sz w:val="22"/>
                <w:szCs w:val="22"/>
              </w:rPr>
              <w:t>$</w:t>
            </w:r>
            <w:r w:rsidR="004B4BF2">
              <w:rPr>
                <w:b/>
                <w:bCs/>
                <w:color w:val="000000" w:themeColor="text1"/>
                <w:sz w:val="22"/>
                <w:szCs w:val="22"/>
              </w:rPr>
              <w:t>18,000</w:t>
            </w:r>
          </w:p>
        </w:tc>
      </w:tr>
      <w:tr w14:paraId="78252D09" w14:textId="77777777" w:rsidTr="00126C4D">
        <w:tblPrEx>
          <w:tblW w:w="9584" w:type="dxa"/>
          <w:tblInd w:w="-100" w:type="dxa"/>
          <w:tblCellMar>
            <w:left w:w="0" w:type="dxa"/>
            <w:right w:w="0" w:type="dxa"/>
          </w:tblCellMar>
          <w:tblLook w:val="04A0"/>
        </w:tblPrEx>
        <w:trPr>
          <w:trHeight w:val="104"/>
        </w:trPr>
        <w:tc>
          <w:tcPr>
            <w:tcW w:w="9584" w:type="dxa"/>
            <w:gridSpan w:val="6"/>
            <w:tcBorders>
              <w:top w:val="nil"/>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vAlign w:val="center"/>
            <w:hideMark/>
          </w:tcPr>
          <w:p w:rsidR="00A406AC" w:rsidRPr="00581542" w:rsidP="00A406AC" w14:paraId="5E7CE334" w14:textId="77777777">
            <w:pPr>
              <w:rPr>
                <w:b/>
                <w:color w:val="000000" w:themeColor="text1"/>
                <w:sz w:val="22"/>
                <w:szCs w:val="22"/>
              </w:rPr>
            </w:pPr>
            <w:r w:rsidRPr="00581542">
              <w:rPr>
                <w:b/>
                <w:color w:val="000000" w:themeColor="text1"/>
                <w:sz w:val="22"/>
                <w:szCs w:val="22"/>
              </w:rPr>
              <w:t>Other Operational Costs</w:t>
            </w:r>
          </w:p>
        </w:tc>
      </w:tr>
      <w:tr w14:paraId="4495B04D" w14:textId="77777777">
        <w:tblPrEx>
          <w:tblW w:w="9584" w:type="dxa"/>
          <w:tblInd w:w="-100" w:type="dxa"/>
          <w:tblCellMar>
            <w:left w:w="0" w:type="dxa"/>
            <w:right w:w="0" w:type="dxa"/>
          </w:tblCellMar>
          <w:tblLook w:val="04A0"/>
        </w:tblPrEx>
        <w:trPr>
          <w:trHeight w:val="104"/>
        </w:trPr>
        <w:tc>
          <w:tcPr>
            <w:tcW w:w="2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12CF3" w:rsidRPr="00581542" w:rsidP="00C12CF3" w14:paraId="1DDC5C02" w14:textId="54835E8B">
            <w:pPr>
              <w:rPr>
                <w:color w:val="000000" w:themeColor="text1"/>
                <w:sz w:val="22"/>
                <w:szCs w:val="22"/>
              </w:rPr>
            </w:pPr>
            <w:r w:rsidRPr="00581542">
              <w:rPr>
                <w:color w:val="000000"/>
                <w:sz w:val="22"/>
                <w:szCs w:val="22"/>
              </w:rPr>
              <w:t>Operational Overhead costs</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C12CF3" w:rsidRPr="00581542" w:rsidP="00C12CF3" w14:paraId="29C2841B" w14:textId="4ECEEA97">
            <w:pPr>
              <w:jc w:val="center"/>
              <w:rPr>
                <w:color w:val="000000" w:themeColor="text1"/>
                <w:sz w:val="22"/>
                <w:szCs w:val="22"/>
              </w:rPr>
            </w:pPr>
            <w:r w:rsidRPr="00581542">
              <w:rPr>
                <w:color w:val="000000"/>
                <w:sz w:val="22"/>
                <w:szCs w:val="22"/>
              </w:rPr>
              <w:t>N/A</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C12CF3" w:rsidRPr="00581542" w:rsidP="00C12CF3" w14:paraId="2652CF4F" w14:textId="74E26E0A">
            <w:pPr>
              <w:jc w:val="center"/>
              <w:rPr>
                <w:color w:val="000000" w:themeColor="text1"/>
                <w:sz w:val="22"/>
                <w:szCs w:val="22"/>
              </w:rPr>
            </w:pPr>
            <w:r w:rsidRPr="00581542">
              <w:rPr>
                <w:color w:val="000000" w:themeColor="text1"/>
                <w:sz w:val="22"/>
                <w:szCs w:val="22"/>
              </w:rPr>
              <w:t>$</w:t>
            </w:r>
            <w:r w:rsidR="004B4BF2">
              <w:rPr>
                <w:color w:val="000000" w:themeColor="text1"/>
                <w:sz w:val="22"/>
                <w:szCs w:val="22"/>
              </w:rPr>
              <w:t>1,500,000</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C12CF3" w:rsidRPr="00581542" w:rsidP="00C12CF3" w14:paraId="51E7D8D3" w14:textId="72D79BEC">
            <w:pPr>
              <w:jc w:val="center"/>
              <w:rPr>
                <w:color w:val="000000" w:themeColor="text1"/>
                <w:sz w:val="22"/>
                <w:szCs w:val="22"/>
              </w:rPr>
            </w:pPr>
            <w:r w:rsidRPr="00581542">
              <w:rPr>
                <w:color w:val="000000"/>
                <w:sz w:val="22"/>
                <w:szCs w:val="22"/>
              </w:rPr>
              <w:t>100</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C12CF3" w:rsidRPr="00581542" w:rsidP="00C12CF3" w14:paraId="4675E94C" w14:textId="54859DA6">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C12CF3" w:rsidRPr="00581542" w:rsidP="00C12CF3" w14:paraId="3483EFDD" w14:textId="189A0C75">
            <w:pPr>
              <w:jc w:val="center"/>
              <w:rPr>
                <w:b/>
                <w:bCs/>
                <w:color w:val="000000" w:themeColor="text1"/>
                <w:sz w:val="22"/>
                <w:szCs w:val="22"/>
              </w:rPr>
            </w:pPr>
            <w:r w:rsidRPr="00581542">
              <w:rPr>
                <w:b/>
                <w:color w:val="000000" w:themeColor="text1"/>
                <w:sz w:val="22"/>
                <w:szCs w:val="22"/>
              </w:rPr>
              <w:t>$</w:t>
            </w:r>
            <w:r w:rsidRPr="00581542">
              <w:rPr>
                <w:b/>
                <w:color w:val="000000" w:themeColor="text1"/>
                <w:sz w:val="22"/>
                <w:szCs w:val="22"/>
              </w:rPr>
              <w:t>1,</w:t>
            </w:r>
            <w:r w:rsidR="004B4BF2">
              <w:rPr>
                <w:b/>
                <w:color w:val="000000" w:themeColor="text1"/>
                <w:sz w:val="22"/>
                <w:szCs w:val="22"/>
              </w:rPr>
              <w:t>500,000</w:t>
            </w:r>
          </w:p>
        </w:tc>
      </w:tr>
      <w:tr w14:paraId="7C9B34A1" w14:textId="77777777">
        <w:tblPrEx>
          <w:tblW w:w="9584" w:type="dxa"/>
          <w:tblInd w:w="-100" w:type="dxa"/>
          <w:tblCellMar>
            <w:left w:w="0" w:type="dxa"/>
            <w:right w:w="0" w:type="dxa"/>
          </w:tblCellMar>
          <w:tblLook w:val="04A0"/>
        </w:tblPrEx>
        <w:trPr>
          <w:trHeight w:val="104"/>
        </w:trPr>
        <w:tc>
          <w:tcPr>
            <w:tcW w:w="2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12CF3" w:rsidRPr="00581542" w:rsidP="00C12CF3" w14:paraId="453DA8BB" w14:textId="3A6D037D">
            <w:pPr>
              <w:rPr>
                <w:b/>
                <w:bCs/>
                <w:color w:val="000000" w:themeColor="text1"/>
                <w:sz w:val="22"/>
                <w:szCs w:val="22"/>
              </w:rPr>
            </w:pPr>
            <w:r w:rsidRPr="00581542">
              <w:rPr>
                <w:color w:val="000000"/>
                <w:sz w:val="22"/>
                <w:szCs w:val="22"/>
              </w:rPr>
              <w:t>Supplies, equipment, maintenance, etc.</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C12CF3" w:rsidRPr="00581542" w:rsidP="00C12CF3" w14:paraId="697EEE84" w14:textId="032B9CD1">
            <w:pPr>
              <w:jc w:val="center"/>
              <w:rPr>
                <w:color w:val="000000" w:themeColor="text1"/>
                <w:sz w:val="22"/>
                <w:szCs w:val="22"/>
              </w:rPr>
            </w:pPr>
            <w:r w:rsidRPr="00581542">
              <w:rPr>
                <w:color w:val="000000"/>
                <w:sz w:val="22"/>
                <w:szCs w:val="22"/>
              </w:rPr>
              <w:t>N/A</w:t>
            </w: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C12CF3" w:rsidRPr="00581542" w:rsidP="00C12CF3" w14:paraId="45911CF6" w14:textId="3B2BBF90">
            <w:pPr>
              <w:jc w:val="center"/>
              <w:rPr>
                <w:color w:val="000000" w:themeColor="text1"/>
                <w:sz w:val="22"/>
                <w:szCs w:val="22"/>
              </w:rPr>
            </w:pPr>
            <w:r w:rsidRPr="00581542">
              <w:rPr>
                <w:color w:val="000000"/>
                <w:sz w:val="22"/>
                <w:szCs w:val="22"/>
              </w:rPr>
              <w:t>N/A</w:t>
            </w: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C12CF3" w:rsidRPr="00581542" w:rsidP="00C12CF3" w14:paraId="6B10EF7E" w14:textId="1860D5A7">
            <w:pPr>
              <w:jc w:val="center"/>
              <w:rPr>
                <w:color w:val="000000" w:themeColor="text1"/>
                <w:sz w:val="22"/>
                <w:szCs w:val="22"/>
              </w:rPr>
            </w:pPr>
            <w:r w:rsidRPr="00581542">
              <w:rPr>
                <w:color w:val="000000"/>
                <w:sz w:val="22"/>
                <w:szCs w:val="22"/>
              </w:rPr>
              <w:t>N/A</w:t>
            </w: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C12CF3" w:rsidRPr="00581542" w:rsidP="00C12CF3" w14:paraId="03C0A4B8" w14:textId="55F12615">
            <w:pPr>
              <w:jc w:val="center"/>
              <w:rPr>
                <w:color w:val="000000" w:themeColor="text1"/>
                <w:sz w:val="22"/>
                <w:szCs w:val="22"/>
              </w:rPr>
            </w:pPr>
            <w:r w:rsidRPr="00581542">
              <w:rPr>
                <w:color w:val="000000"/>
                <w:sz w:val="22"/>
                <w:szCs w:val="22"/>
              </w:rPr>
              <w:t>N/A</w:t>
            </w: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rsidR="00C12CF3" w:rsidRPr="00581542" w:rsidP="00C12CF3" w14:paraId="107BE8B5" w14:textId="1F4ED93C">
            <w:pPr>
              <w:jc w:val="center"/>
              <w:rPr>
                <w:b/>
                <w:bCs/>
                <w:color w:val="000000" w:themeColor="text1"/>
                <w:sz w:val="22"/>
                <w:szCs w:val="22"/>
              </w:rPr>
            </w:pPr>
            <w:r w:rsidRPr="00581542">
              <w:rPr>
                <w:b/>
                <w:bCs/>
                <w:color w:val="000000"/>
                <w:sz w:val="22"/>
                <w:szCs w:val="22"/>
              </w:rPr>
              <w:t xml:space="preserve">$60,000 </w:t>
            </w:r>
          </w:p>
        </w:tc>
      </w:tr>
      <w:tr w14:paraId="2EB8DE16" w14:textId="77777777" w:rsidTr="005C4359">
        <w:tblPrEx>
          <w:tblW w:w="9584" w:type="dxa"/>
          <w:tblInd w:w="-100" w:type="dxa"/>
          <w:tblCellMar>
            <w:left w:w="0" w:type="dxa"/>
            <w:right w:w="0" w:type="dxa"/>
          </w:tblCellMar>
          <w:tblLook w:val="04A0"/>
        </w:tblPrEx>
        <w:trPr>
          <w:trHeight w:val="64"/>
        </w:trPr>
        <w:tc>
          <w:tcPr>
            <w:tcW w:w="23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E30D2" w:rsidRPr="00581542" w:rsidP="00CE30D2" w14:paraId="693EEC43" w14:textId="2BCEB85C">
            <w:pPr>
              <w:rPr>
                <w:b/>
                <w:color w:val="000000" w:themeColor="text1"/>
                <w:sz w:val="22"/>
                <w:szCs w:val="22"/>
              </w:rPr>
            </w:pPr>
            <w:r w:rsidRPr="00581542">
              <w:rPr>
                <w:b/>
                <w:color w:val="000000" w:themeColor="text1"/>
                <w:sz w:val="22"/>
                <w:szCs w:val="22"/>
              </w:rPr>
              <w:t> Total</w:t>
            </w:r>
            <w:r w:rsidRPr="00581542" w:rsidR="00121D01">
              <w:rPr>
                <w:b/>
                <w:color w:val="000000" w:themeColor="text1"/>
                <w:sz w:val="22"/>
                <w:szCs w:val="22"/>
              </w:rPr>
              <w:t xml:space="preserve"> (CY202</w:t>
            </w:r>
            <w:r w:rsidR="00BF65E1">
              <w:rPr>
                <w:b/>
                <w:color w:val="000000" w:themeColor="text1"/>
                <w:sz w:val="22"/>
                <w:szCs w:val="22"/>
              </w:rPr>
              <w:t>6</w:t>
            </w:r>
            <w:r w:rsidRPr="00581542" w:rsidR="00121D01">
              <w:rPr>
                <w:b/>
                <w:color w:val="000000" w:themeColor="text1"/>
                <w:sz w:val="22"/>
                <w:szCs w:val="22"/>
              </w:rPr>
              <w:t>)</w:t>
            </w:r>
          </w:p>
        </w:tc>
        <w:tc>
          <w:tcPr>
            <w:tcW w:w="1342"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rsidR="00CE30D2" w:rsidRPr="00581542" w:rsidP="00CE30D2" w14:paraId="2DFAB636" w14:textId="77777777">
            <w:pPr>
              <w:jc w:val="center"/>
              <w:rPr>
                <w:color w:val="000000" w:themeColor="text1"/>
                <w:sz w:val="22"/>
                <w:szCs w:val="22"/>
              </w:rPr>
            </w:pPr>
          </w:p>
        </w:tc>
        <w:tc>
          <w:tcPr>
            <w:tcW w:w="157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rsidR="00CE30D2" w:rsidRPr="00581542" w:rsidP="00CE30D2" w14:paraId="062CF05D" w14:textId="77777777">
            <w:pPr>
              <w:jc w:val="center"/>
              <w:rPr>
                <w:color w:val="000000" w:themeColor="text1"/>
                <w:sz w:val="22"/>
                <w:szCs w:val="22"/>
              </w:rPr>
            </w:pPr>
          </w:p>
        </w:tc>
        <w:tc>
          <w:tcPr>
            <w:tcW w:w="8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rsidR="00CE30D2" w:rsidRPr="00581542" w:rsidP="00CE30D2" w14:paraId="050DE2DA" w14:textId="77777777">
            <w:pPr>
              <w:jc w:val="center"/>
              <w:rPr>
                <w:color w:val="000000" w:themeColor="text1"/>
                <w:sz w:val="22"/>
                <w:szCs w:val="22"/>
              </w:rPr>
            </w:pPr>
          </w:p>
        </w:tc>
        <w:tc>
          <w:tcPr>
            <w:tcW w:w="1576"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rsidR="00CE30D2" w:rsidRPr="00581542" w:rsidP="00CE30D2" w14:paraId="00C4681E" w14:textId="77777777">
            <w:pPr>
              <w:jc w:val="center"/>
              <w:rPr>
                <w:color w:val="000000" w:themeColor="text1"/>
                <w:sz w:val="22"/>
                <w:szCs w:val="22"/>
              </w:rPr>
            </w:pPr>
          </w:p>
        </w:tc>
        <w:tc>
          <w:tcPr>
            <w:tcW w:w="1934"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rsidR="00CE30D2" w:rsidRPr="00581542" w:rsidP="00CE30D2" w14:paraId="09DAECBE" w14:textId="1D382DF6">
            <w:pPr>
              <w:jc w:val="center"/>
              <w:rPr>
                <w:b/>
                <w:bCs/>
                <w:color w:val="000000" w:themeColor="text1"/>
                <w:sz w:val="22"/>
                <w:szCs w:val="22"/>
              </w:rPr>
            </w:pPr>
            <w:r w:rsidRPr="00581542">
              <w:rPr>
                <w:b/>
                <w:bCs/>
                <w:color w:val="000000" w:themeColor="text1"/>
                <w:sz w:val="22"/>
                <w:szCs w:val="22"/>
              </w:rPr>
              <w:t>$</w:t>
            </w:r>
            <w:r w:rsidR="003F4780">
              <w:rPr>
                <w:b/>
                <w:bCs/>
                <w:color w:val="000000" w:themeColor="text1"/>
                <w:sz w:val="22"/>
                <w:szCs w:val="22"/>
              </w:rPr>
              <w:t>17,090,270</w:t>
            </w:r>
          </w:p>
        </w:tc>
      </w:tr>
    </w:tbl>
    <w:p w:rsidR="005A0918" w:rsidRPr="00581542" w:rsidP="002533BB" w14:paraId="278E30A3" w14:textId="52846E0A">
      <w:pPr>
        <w:rPr>
          <w:color w:val="000000" w:themeColor="text1"/>
        </w:rPr>
      </w:pPr>
      <w:r w:rsidRPr="00581542">
        <w:rPr>
          <w:color w:val="000000" w:themeColor="text1"/>
        </w:rPr>
        <w:t>N/A, not applicable</w:t>
      </w:r>
    </w:p>
    <w:p w:rsidR="004D3D45" w:rsidRPr="00581542" w:rsidP="002533BB" w14:paraId="3D7E4E33" w14:textId="77777777">
      <w:pPr>
        <w:rPr>
          <w:color w:val="000000" w:themeColor="text1"/>
        </w:rPr>
      </w:pPr>
    </w:p>
    <w:bookmarkEnd w:id="5"/>
    <w:p w:rsidR="00B3555F" w:rsidRPr="00581542" w:rsidP="21CD274F" w14:paraId="05C32FD2" w14:textId="040805F8">
      <w:r w:rsidRPr="46BBB2C7">
        <w:rPr>
          <w:b/>
          <w:bCs/>
          <w:color w:val="FF0000"/>
        </w:rPr>
        <w:t>*</w:t>
      </w:r>
      <w:r>
        <w:t>The Salary in table above is cited from</w:t>
      </w:r>
      <w:r w:rsidR="1B808F29">
        <w:t xml:space="preserve"> </w:t>
      </w:r>
      <w:r w:rsidRPr="002D7887" w:rsidR="002D7887">
        <w:t xml:space="preserve"> </w:t>
      </w:r>
      <w:r>
        <w:fldChar w:fldCharType="begin"/>
      </w:r>
      <w:r w:rsidRPr="00DC4248" w:rsidR="00E21BA5">
        <w:rPr>
          <w:rStyle w:val="Hyperlink"/>
        </w:rPr>
        <w:instrText xml:space="preserve"> HYPERLINK "https://www.opm.gov/policy-data-oversight/pay-leave/salaries-wages/salary-tables/26Tables/html/DCB.aspx" </w:instrText>
      </w:r>
      <w:r>
        <w:fldChar w:fldCharType="separate"/>
      </w:r>
      <w:r w:rsidRPr="00DC4248" w:rsidR="00E21BA5">
        <w:rPr>
          <w:rStyle w:val="Hyperlink"/>
        </w:rPr>
        <w:t>https://www.opm.gov/policy-data-oversight/pay-leave/salaries-wages/salary-tables/26Tables/html/DCB.aspx</w:t>
      </w:r>
      <w:r>
        <w:fldChar w:fldCharType="end"/>
      </w:r>
      <w:r w:rsidR="00E21BA5">
        <w:t xml:space="preserve">. </w:t>
      </w:r>
    </w:p>
    <w:p w:rsidR="00BE7EB4" w:rsidP="00B3555F" w14:paraId="00ED6C7F" w14:textId="3123F489"/>
    <w:p w:rsidR="00F6358D" w:rsidP="00B3555F" w14:paraId="1615232A" w14:textId="77777777"/>
    <w:p w:rsidR="00F6358D" w:rsidRPr="00581542" w:rsidP="00B3555F" w14:paraId="3C88FB8F" w14:textId="77777777"/>
    <w:p w:rsidR="006235C6" w:rsidRPr="006235C6" w:rsidP="006235C6" w14:paraId="5867F819" w14:textId="152052C4">
      <w:pPr>
        <w:rPr>
          <w:b/>
          <w:color w:val="000000" w:themeColor="text1"/>
          <w:u w:val="single"/>
        </w:rPr>
      </w:pPr>
      <w:r w:rsidRPr="00581542">
        <w:rPr>
          <w:b/>
          <w:color w:val="000000" w:themeColor="text1"/>
        </w:rPr>
        <w:t>A.1</w:t>
      </w:r>
      <w:r>
        <w:rPr>
          <w:b/>
          <w:color w:val="000000" w:themeColor="text1"/>
        </w:rPr>
        <w:t>5</w:t>
      </w:r>
      <w:r w:rsidRPr="00581542">
        <w:rPr>
          <w:b/>
          <w:color w:val="000000" w:themeColor="text1"/>
        </w:rPr>
        <w:tab/>
      </w:r>
      <w:r w:rsidRPr="006235C6">
        <w:rPr>
          <w:b/>
          <w:color w:val="000000" w:themeColor="text1"/>
          <w:u w:val="single"/>
        </w:rPr>
        <w:t>Explanation for Program Changes or Adjustments</w:t>
      </w:r>
    </w:p>
    <w:p w:rsidR="001E46E1" w:rsidRPr="00581542" w:rsidP="002533BB" w14:paraId="57419CF9" w14:textId="77777777">
      <w:pPr>
        <w:tabs>
          <w:tab w:val="num" w:pos="810"/>
        </w:tabs>
        <w:autoSpaceDE w:val="0"/>
        <w:autoSpaceDN w:val="0"/>
        <w:adjustRightInd w:val="0"/>
        <w:ind w:left="720"/>
        <w:rPr>
          <w:b/>
          <w:color w:val="000000" w:themeColor="text1"/>
        </w:rPr>
      </w:pPr>
    </w:p>
    <w:p w:rsidR="005A7EEA" w:rsidP="006235C6" w14:paraId="4ADD6393" w14:textId="365D59D7">
      <w:pPr>
        <w:tabs>
          <w:tab w:val="num" w:pos="810"/>
        </w:tabs>
        <w:autoSpaceDE w:val="0"/>
        <w:autoSpaceDN w:val="0"/>
        <w:adjustRightInd w:val="0"/>
        <w:ind w:left="720"/>
        <w:rPr>
          <w:color w:val="000000" w:themeColor="text1"/>
        </w:rPr>
      </w:pPr>
      <w:r w:rsidRPr="00581542">
        <w:rPr>
          <w:color w:val="000000" w:themeColor="text1"/>
        </w:rPr>
        <w:t>The</w:t>
      </w:r>
      <w:r w:rsidRPr="00581542" w:rsidR="00860D32">
        <w:rPr>
          <w:color w:val="000000" w:themeColor="text1"/>
        </w:rPr>
        <w:t xml:space="preserve"> program changes report</w:t>
      </w:r>
      <w:r w:rsidRPr="00581542" w:rsidR="00276DC1">
        <w:rPr>
          <w:color w:val="000000" w:themeColor="text1"/>
        </w:rPr>
        <w:t>ed</w:t>
      </w:r>
      <w:r w:rsidRPr="00581542" w:rsidR="00860D32">
        <w:rPr>
          <w:color w:val="000000" w:themeColor="text1"/>
        </w:rPr>
        <w:t xml:space="preserve"> in this supporting statement</w:t>
      </w:r>
      <w:r w:rsidRPr="00581542" w:rsidR="00276DC1">
        <w:rPr>
          <w:color w:val="000000" w:themeColor="text1"/>
        </w:rPr>
        <w:t xml:space="preserve"> reflect </w:t>
      </w:r>
      <w:r w:rsidRPr="00581542" w:rsidR="006931A6">
        <w:rPr>
          <w:color w:val="000000" w:themeColor="text1"/>
        </w:rPr>
        <w:t>adjustment</w:t>
      </w:r>
      <w:r w:rsidRPr="00581542" w:rsidR="000C0FDC">
        <w:rPr>
          <w:color w:val="000000" w:themeColor="text1"/>
        </w:rPr>
        <w:t>s</w:t>
      </w:r>
      <w:r w:rsidRPr="00581542" w:rsidR="006931A6">
        <w:rPr>
          <w:color w:val="000000" w:themeColor="text1"/>
        </w:rPr>
        <w:t xml:space="preserve"> to the b</w:t>
      </w:r>
      <w:r w:rsidRPr="00581542" w:rsidR="00860D32">
        <w:rPr>
          <w:color w:val="000000" w:themeColor="text1"/>
        </w:rPr>
        <w:t xml:space="preserve">urden </w:t>
      </w:r>
      <w:r w:rsidRPr="00581542" w:rsidR="00281CD7">
        <w:rPr>
          <w:color w:val="000000" w:themeColor="text1"/>
        </w:rPr>
        <w:t xml:space="preserve">hours, which increased from </w:t>
      </w:r>
      <w:r w:rsidRPr="00581542" w:rsidR="00281CD7">
        <w:t xml:space="preserve">1,219,801 </w:t>
      </w:r>
      <w:r w:rsidRPr="00581542" w:rsidR="00110EDA">
        <w:t xml:space="preserve">to </w:t>
      </w:r>
      <w:r w:rsidRPr="00581542" w:rsidR="003001D7">
        <w:t>1,411,181</w:t>
      </w:r>
      <w:r w:rsidRPr="00581542" w:rsidR="00110EDA">
        <w:t xml:space="preserve"> </w:t>
      </w:r>
      <w:r w:rsidRPr="00581542" w:rsidR="00281CD7">
        <w:t>hours per year.</w:t>
      </w:r>
      <w:r w:rsidRPr="00581542" w:rsidR="000F60D9">
        <w:t xml:space="preserve"> </w:t>
      </w:r>
      <w:r w:rsidRPr="003B4EEE" w:rsidR="00523A54">
        <w:rPr>
          <w:highlight w:val="yellow"/>
        </w:rPr>
        <w:t xml:space="preserve">This change corresponds to an increase in the total number of respondents from 77,769 to 90,855. These changes are based on the increase in registered clinical trials </w:t>
      </w:r>
      <w:r w:rsidRPr="003B4EEE" w:rsidR="00523A54">
        <w:rPr>
          <w:color w:val="000000" w:themeColor="text1"/>
          <w:highlight w:val="yellow"/>
        </w:rPr>
        <w:t>26,200 in 2020 to 31,730 in 2024.</w:t>
      </w:r>
    </w:p>
    <w:p w:rsidR="008F710D" w:rsidP="002533BB" w14:paraId="386EF202" w14:textId="26794F67">
      <w:pPr>
        <w:tabs>
          <w:tab w:val="num" w:pos="810"/>
        </w:tabs>
        <w:autoSpaceDE w:val="0"/>
        <w:autoSpaceDN w:val="0"/>
        <w:adjustRightInd w:val="0"/>
      </w:pPr>
      <w:r>
        <w:tab/>
      </w:r>
    </w:p>
    <w:p w:rsidR="00447FE0" w:rsidRPr="005C57F4" w:rsidP="00447FE0" w14:paraId="08F1AFAA" w14:textId="461FE6DF">
      <w:pPr>
        <w:ind w:left="720"/>
        <w:rPr>
          <w:color w:val="000000" w:themeColor="text1"/>
          <w:highlight w:val="yellow"/>
          <w:lang w:val="en"/>
        </w:rPr>
      </w:pPr>
      <w:r w:rsidRPr="008631A4">
        <w:rPr>
          <w:highlight w:val="yellow"/>
        </w:rPr>
        <w:t xml:space="preserve">This submission accounts for the information collection burden associated with the waiver request and appeal process under 42 CFR 11.54. This information is currently collected via e-mail and is anticipated to be implemented within the PRS in the future. </w:t>
      </w:r>
      <w:r w:rsidRPr="008631A4" w:rsidR="005C4F12">
        <w:rPr>
          <w:highlight w:val="yellow"/>
        </w:rPr>
        <w:t xml:space="preserve">During </w:t>
      </w:r>
      <w:r w:rsidRPr="005C57F4" w:rsidR="005C4F12">
        <w:rPr>
          <w:highlight w:val="yellow"/>
        </w:rPr>
        <w:t>the past three years, no changes were made to information collection in the clinical trials registry under 42 CFR 11.28(a)(2), (b)(2), and (c); the PRS Account Application Form; and clinical trials results database under 42 CFR 11.48(a).</w:t>
      </w:r>
      <w:r w:rsidRPr="005C57F4" w:rsidR="008A5269">
        <w:rPr>
          <w:color w:val="000000" w:themeColor="text1"/>
          <w:highlight w:val="yellow"/>
        </w:rPr>
        <w:t xml:space="preserve"> </w:t>
      </w:r>
      <w:r w:rsidRPr="005C57F4" w:rsidR="00FE3EC8">
        <w:rPr>
          <w:color w:val="000000" w:themeColor="text1"/>
          <w:highlight w:val="yellow"/>
        </w:rPr>
        <w:t xml:space="preserve">Since information collection was determined to be consistent with Executive Order 14168 and 42 CFR Part 11, changes were not considered necessary. </w:t>
      </w:r>
    </w:p>
    <w:p w:rsidR="00447FE0" w:rsidRPr="00581542" w:rsidP="00D324A5" w14:paraId="1B86442A" w14:textId="77777777">
      <w:pPr>
        <w:ind w:left="720"/>
        <w:rPr>
          <w:color w:val="000000" w:themeColor="text1"/>
        </w:rPr>
      </w:pPr>
    </w:p>
    <w:p w:rsidR="00C57032" w:rsidRPr="00581542" w:rsidP="002533BB" w14:paraId="4790BD2F" w14:textId="50260528">
      <w:pPr>
        <w:tabs>
          <w:tab w:val="num" w:pos="810"/>
        </w:tabs>
        <w:ind w:hanging="990"/>
        <w:rPr>
          <w:color w:val="000000" w:themeColor="text1"/>
        </w:rPr>
      </w:pPr>
    </w:p>
    <w:bookmarkEnd w:id="6"/>
    <w:bookmarkEnd w:id="7"/>
    <w:p w:rsidR="00C66F8E" w:rsidRPr="00581542" w:rsidP="002533BB" w14:paraId="16B69556" w14:textId="77777777">
      <w:pPr>
        <w:rPr>
          <w:b/>
          <w:color w:val="000000" w:themeColor="text1"/>
          <w:u w:val="single"/>
        </w:rPr>
      </w:pPr>
      <w:r w:rsidRPr="00581542">
        <w:rPr>
          <w:b/>
          <w:color w:val="000000" w:themeColor="text1"/>
        </w:rPr>
        <w:t>A.16</w:t>
      </w:r>
      <w:r w:rsidRPr="00581542">
        <w:rPr>
          <w:b/>
          <w:color w:val="000000" w:themeColor="text1"/>
        </w:rPr>
        <w:tab/>
      </w:r>
      <w:r w:rsidRPr="00581542">
        <w:rPr>
          <w:b/>
          <w:color w:val="000000" w:themeColor="text1"/>
          <w:u w:val="single"/>
        </w:rPr>
        <w:t>Plans for Tabulation and Publication and Project Time Schedule</w:t>
      </w:r>
    </w:p>
    <w:p w:rsidR="00C66F8E" w:rsidRPr="00581542" w:rsidP="002533BB" w14:paraId="758BAEE0" w14:textId="77777777">
      <w:pPr>
        <w:tabs>
          <w:tab w:val="num" w:pos="810"/>
        </w:tabs>
        <w:ind w:hanging="990"/>
        <w:rPr>
          <w:color w:val="000000" w:themeColor="text1"/>
          <w:u w:val="single"/>
        </w:rPr>
      </w:pPr>
    </w:p>
    <w:p w:rsidR="00C66F8E" w:rsidRPr="00581542" w:rsidP="006235C6" w14:paraId="0AC0AEC8" w14:textId="6B11A3EC">
      <w:pPr>
        <w:tabs>
          <w:tab w:val="num" w:pos="810"/>
        </w:tabs>
        <w:autoSpaceDE w:val="0"/>
        <w:autoSpaceDN w:val="0"/>
        <w:adjustRightInd w:val="0"/>
        <w:ind w:left="720"/>
        <w:rPr>
          <w:color w:val="000000" w:themeColor="text1"/>
        </w:rPr>
      </w:pPr>
      <w:r w:rsidRPr="00581542">
        <w:rPr>
          <w:color w:val="000000" w:themeColor="text1"/>
        </w:rPr>
        <w:t xml:space="preserve">Submitted </w:t>
      </w:r>
      <w:r w:rsidRPr="00581542" w:rsidR="00A10351">
        <w:rPr>
          <w:color w:val="000000" w:themeColor="text1"/>
        </w:rPr>
        <w:t xml:space="preserve">information </w:t>
      </w:r>
      <w:r w:rsidRPr="00581542">
        <w:rPr>
          <w:color w:val="000000" w:themeColor="text1"/>
        </w:rPr>
        <w:t xml:space="preserve">is made available to the public via </w:t>
      </w:r>
      <w:r w:rsidRPr="00581542" w:rsidR="00B64BCA">
        <w:rPr>
          <w:color w:val="000000" w:themeColor="text1"/>
        </w:rPr>
        <w:t xml:space="preserve">the ClinicalTrials.gov </w:t>
      </w:r>
      <w:r w:rsidRPr="00581542">
        <w:rPr>
          <w:color w:val="000000" w:themeColor="text1"/>
        </w:rPr>
        <w:t>website</w:t>
      </w:r>
      <w:r w:rsidRPr="00581542" w:rsidR="00B64BCA">
        <w:rPr>
          <w:color w:val="000000" w:themeColor="text1"/>
        </w:rPr>
        <w:t xml:space="preserve">, which is </w:t>
      </w:r>
      <w:r w:rsidRPr="00581542">
        <w:rPr>
          <w:color w:val="000000" w:themeColor="text1"/>
        </w:rPr>
        <w:t>operated and maintained by NIH:</w:t>
      </w:r>
      <w:r w:rsidRPr="00581542" w:rsidR="0081431E">
        <w:t xml:space="preserve"> </w:t>
      </w:r>
      <w:hyperlink r:id="rId9" w:history="1">
        <w:r w:rsidRPr="00581542" w:rsidR="0081431E">
          <w:rPr>
            <w:rStyle w:val="Hyperlink"/>
          </w:rPr>
          <w:t>https://clinicaltrials.gov/</w:t>
        </w:r>
      </w:hyperlink>
      <w:r w:rsidRPr="00581542">
        <w:rPr>
          <w:color w:val="000000" w:themeColor="text1"/>
        </w:rPr>
        <w:t xml:space="preserve">.  </w:t>
      </w:r>
      <w:r w:rsidRPr="00581542" w:rsidR="003B1650">
        <w:rPr>
          <w:color w:val="000000" w:themeColor="text1"/>
        </w:rPr>
        <w:t xml:space="preserve">In general, </w:t>
      </w:r>
      <w:r w:rsidRPr="00581542">
        <w:rPr>
          <w:color w:val="000000" w:themeColor="text1"/>
        </w:rPr>
        <w:t>registration information is posted within 30 days of receipt, but</w:t>
      </w:r>
      <w:r w:rsidRPr="00581542" w:rsidR="00963798">
        <w:rPr>
          <w:color w:val="000000" w:themeColor="text1"/>
        </w:rPr>
        <w:t xml:space="preserve"> consistent with FDAAA</w:t>
      </w:r>
      <w:r w:rsidR="001A6777">
        <w:rPr>
          <w:color w:val="000000" w:themeColor="text1"/>
        </w:rPr>
        <w:t xml:space="preserve"> 801</w:t>
      </w:r>
      <w:r w:rsidRPr="00581542" w:rsidR="00963798">
        <w:rPr>
          <w:color w:val="000000" w:themeColor="text1"/>
        </w:rPr>
        <w:t>,</w:t>
      </w:r>
      <w:r w:rsidRPr="00581542">
        <w:rPr>
          <w:color w:val="000000" w:themeColor="text1"/>
        </w:rPr>
        <w:t xml:space="preserve"> information for applicable clinical trials of devices </w:t>
      </w:r>
      <w:r w:rsidRPr="00581542" w:rsidR="007A028D">
        <w:rPr>
          <w:color w:val="000000" w:themeColor="text1"/>
        </w:rPr>
        <w:t xml:space="preserve">that are indicated to be unapproved or uncleared </w:t>
      </w:r>
      <w:r w:rsidRPr="00581542" w:rsidR="00892930">
        <w:rPr>
          <w:color w:val="000000" w:themeColor="text1"/>
        </w:rPr>
        <w:t xml:space="preserve">for any use </w:t>
      </w:r>
      <w:r w:rsidRPr="00581542">
        <w:rPr>
          <w:color w:val="000000" w:themeColor="text1"/>
        </w:rPr>
        <w:t>is not posted publicly until after the device is cleared or approved</w:t>
      </w:r>
      <w:r w:rsidRPr="00581542" w:rsidR="00892930">
        <w:rPr>
          <w:color w:val="000000" w:themeColor="text1"/>
        </w:rPr>
        <w:t xml:space="preserve"> by the FDA</w:t>
      </w:r>
      <w:r w:rsidRPr="00581542" w:rsidR="002F03E6">
        <w:rPr>
          <w:color w:val="000000" w:themeColor="text1"/>
        </w:rPr>
        <w:t xml:space="preserve"> for mark</w:t>
      </w:r>
      <w:r w:rsidRPr="00581542" w:rsidR="00D76218">
        <w:rPr>
          <w:color w:val="000000" w:themeColor="text1"/>
        </w:rPr>
        <w:t>et</w:t>
      </w:r>
      <w:r w:rsidRPr="00581542" w:rsidR="002F03E6">
        <w:rPr>
          <w:color w:val="000000" w:themeColor="text1"/>
        </w:rPr>
        <w:t>ing in the U.S</w:t>
      </w:r>
      <w:r w:rsidRPr="00581542">
        <w:rPr>
          <w:color w:val="000000" w:themeColor="text1"/>
        </w:rPr>
        <w:t>.</w:t>
      </w:r>
      <w:r w:rsidRPr="00581542" w:rsidR="006E07BC">
        <w:rPr>
          <w:color w:val="000000" w:themeColor="text1"/>
        </w:rPr>
        <w:t xml:space="preserve">, unless the responsible party authorizes </w:t>
      </w:r>
      <w:r w:rsidRPr="00581542" w:rsidR="00985963">
        <w:rPr>
          <w:color w:val="000000" w:themeColor="text1"/>
        </w:rPr>
        <w:t xml:space="preserve">NIH to post </w:t>
      </w:r>
      <w:r w:rsidRPr="00581542" w:rsidR="00985963">
        <w:rPr>
          <w:color w:val="000000" w:themeColor="text1"/>
        </w:rPr>
        <w:t>the registration information for that trial as specified in 42 CFR 11.35(b)(2)(ii).</w:t>
      </w:r>
      <w:r w:rsidRPr="00581542">
        <w:rPr>
          <w:color w:val="000000" w:themeColor="text1"/>
        </w:rPr>
        <w:t xml:space="preserve">  </w:t>
      </w:r>
      <w:r w:rsidRPr="00581542" w:rsidR="00963798">
        <w:rPr>
          <w:color w:val="000000" w:themeColor="text1"/>
        </w:rPr>
        <w:t xml:space="preserve">Results information </w:t>
      </w:r>
      <w:r w:rsidRPr="00581542" w:rsidR="00816CF8">
        <w:rPr>
          <w:color w:val="000000" w:themeColor="text1"/>
        </w:rPr>
        <w:t xml:space="preserve">for applicable clinical trials </w:t>
      </w:r>
      <w:r w:rsidRPr="00581542" w:rsidR="00963798">
        <w:rPr>
          <w:color w:val="000000" w:themeColor="text1"/>
        </w:rPr>
        <w:t xml:space="preserve">is </w:t>
      </w:r>
      <w:r w:rsidRPr="00581542" w:rsidR="008E491C">
        <w:rPr>
          <w:color w:val="000000" w:themeColor="text1"/>
        </w:rPr>
        <w:t xml:space="preserve">also </w:t>
      </w:r>
      <w:r w:rsidRPr="00581542" w:rsidR="00963798">
        <w:rPr>
          <w:color w:val="000000" w:themeColor="text1"/>
        </w:rPr>
        <w:t xml:space="preserve">posted </w:t>
      </w:r>
      <w:r w:rsidRPr="00581542" w:rsidR="00FF2CD0">
        <w:rPr>
          <w:color w:val="000000" w:themeColor="text1"/>
        </w:rPr>
        <w:t>within 30 days of receipt</w:t>
      </w:r>
      <w:r w:rsidRPr="00581542" w:rsidR="00997C88">
        <w:rPr>
          <w:color w:val="000000" w:themeColor="text1"/>
        </w:rPr>
        <w:t xml:space="preserve">, </w:t>
      </w:r>
      <w:r w:rsidRPr="00581542" w:rsidR="008E491C">
        <w:rPr>
          <w:color w:val="000000" w:themeColor="text1"/>
        </w:rPr>
        <w:t>whether or not</w:t>
      </w:r>
      <w:r w:rsidRPr="00581542" w:rsidR="008E491C">
        <w:rPr>
          <w:color w:val="000000" w:themeColor="text1"/>
        </w:rPr>
        <w:t xml:space="preserve"> </w:t>
      </w:r>
      <w:r w:rsidRPr="00581542" w:rsidR="00963798">
        <w:rPr>
          <w:color w:val="000000" w:themeColor="text1"/>
        </w:rPr>
        <w:t xml:space="preserve">it has passed quality review. </w:t>
      </w:r>
      <w:r w:rsidRPr="00581542">
        <w:rPr>
          <w:color w:val="000000" w:themeColor="text1"/>
        </w:rPr>
        <w:t xml:space="preserve">The databank is subject to public search and review, and </w:t>
      </w:r>
      <w:r w:rsidRPr="00581542" w:rsidR="00AC2D18">
        <w:rPr>
          <w:color w:val="000000" w:themeColor="text1"/>
        </w:rPr>
        <w:t>FDAAA</w:t>
      </w:r>
      <w:r w:rsidRPr="00581542">
        <w:rPr>
          <w:color w:val="000000" w:themeColor="text1"/>
        </w:rPr>
        <w:t xml:space="preserve"> </w:t>
      </w:r>
      <w:r w:rsidR="00AB7459">
        <w:rPr>
          <w:color w:val="000000" w:themeColor="text1"/>
        </w:rPr>
        <w:t xml:space="preserve">801 </w:t>
      </w:r>
      <w:r w:rsidRPr="00581542">
        <w:rPr>
          <w:color w:val="000000" w:themeColor="text1"/>
        </w:rPr>
        <w:t xml:space="preserve">identifies certain criteria by which the databank must be searchable by the public, including by disease or condition being studied, location of the clinical trial, </w:t>
      </w:r>
      <w:r w:rsidRPr="00581542" w:rsidR="00DA5480">
        <w:rPr>
          <w:color w:val="000000" w:themeColor="text1"/>
        </w:rPr>
        <w:t xml:space="preserve">and </w:t>
      </w:r>
      <w:r w:rsidRPr="00581542">
        <w:rPr>
          <w:color w:val="000000" w:themeColor="text1"/>
        </w:rPr>
        <w:t>study phase</w:t>
      </w:r>
      <w:r w:rsidRPr="00581542" w:rsidR="00511A49">
        <w:rPr>
          <w:color w:val="000000" w:themeColor="text1"/>
        </w:rPr>
        <w:t>.</w:t>
      </w:r>
    </w:p>
    <w:p w:rsidR="00C66F8E" w:rsidRPr="00581542" w:rsidP="002533BB" w14:paraId="532D0E60" w14:textId="77777777">
      <w:pPr>
        <w:tabs>
          <w:tab w:val="num" w:pos="810"/>
        </w:tabs>
        <w:autoSpaceDE w:val="0"/>
        <w:autoSpaceDN w:val="0"/>
        <w:adjustRightInd w:val="0"/>
        <w:rPr>
          <w:color w:val="000000" w:themeColor="text1"/>
        </w:rPr>
      </w:pPr>
    </w:p>
    <w:p w:rsidR="006235C6" w:rsidRPr="00581542" w:rsidP="002533BB" w14:paraId="2B9B07EC" w14:textId="721954F7">
      <w:pPr>
        <w:rPr>
          <w:b/>
          <w:color w:val="000000" w:themeColor="text1"/>
        </w:rPr>
      </w:pPr>
      <w:r w:rsidRPr="00581542">
        <w:rPr>
          <w:b/>
          <w:color w:val="000000" w:themeColor="text1"/>
        </w:rPr>
        <w:t>A.1</w:t>
      </w:r>
      <w:r>
        <w:rPr>
          <w:b/>
          <w:color w:val="000000" w:themeColor="text1"/>
        </w:rPr>
        <w:t>7</w:t>
      </w:r>
      <w:r w:rsidRPr="00581542">
        <w:rPr>
          <w:b/>
          <w:color w:val="000000" w:themeColor="text1"/>
        </w:rPr>
        <w:tab/>
      </w:r>
      <w:r w:rsidRPr="006235C6">
        <w:rPr>
          <w:b/>
          <w:color w:val="000000" w:themeColor="text1"/>
          <w:u w:val="single"/>
        </w:rPr>
        <w:t>Reason(s) Display of OMB Expiration Date is Inappropriate</w:t>
      </w:r>
    </w:p>
    <w:p w:rsidR="00C66F8E" w:rsidRPr="00581542" w:rsidP="002533BB" w14:paraId="02C4E6FE" w14:textId="77777777">
      <w:pPr>
        <w:tabs>
          <w:tab w:val="num" w:pos="810"/>
        </w:tabs>
        <w:rPr>
          <w:color w:val="000000" w:themeColor="text1"/>
        </w:rPr>
      </w:pPr>
    </w:p>
    <w:p w:rsidR="00C66F8E" w:rsidRPr="00581542" w:rsidP="002533BB" w14:paraId="56DE5293" w14:textId="76300B2F">
      <w:pPr>
        <w:tabs>
          <w:tab w:val="num" w:pos="810"/>
        </w:tabs>
        <w:rPr>
          <w:color w:val="000000" w:themeColor="text1"/>
        </w:rPr>
      </w:pPr>
      <w:r>
        <w:rPr>
          <w:color w:val="000000" w:themeColor="text1"/>
        </w:rPr>
        <w:tab/>
      </w:r>
      <w:r w:rsidRPr="00581542" w:rsidR="000A1015">
        <w:rPr>
          <w:color w:val="000000" w:themeColor="text1"/>
        </w:rPr>
        <w:t>No exemption is requested.</w:t>
      </w:r>
    </w:p>
    <w:p w:rsidR="00C66F8E" w:rsidRPr="00581542" w:rsidP="002533BB" w14:paraId="2A12BA00" w14:textId="77777777">
      <w:pPr>
        <w:tabs>
          <w:tab w:val="num" w:pos="810"/>
        </w:tabs>
        <w:rPr>
          <w:color w:val="000000" w:themeColor="text1"/>
        </w:rPr>
      </w:pPr>
    </w:p>
    <w:p w:rsidR="00C66F8E" w:rsidRPr="00581542" w:rsidP="002533BB" w14:paraId="2B7653B7" w14:textId="77777777">
      <w:pPr>
        <w:rPr>
          <w:b/>
          <w:color w:val="000000" w:themeColor="text1"/>
          <w:u w:val="single"/>
        </w:rPr>
      </w:pPr>
      <w:r w:rsidRPr="00581542">
        <w:rPr>
          <w:b/>
          <w:color w:val="000000" w:themeColor="text1"/>
        </w:rPr>
        <w:t xml:space="preserve">A.18 </w:t>
      </w:r>
      <w:r w:rsidRPr="00581542">
        <w:rPr>
          <w:b/>
          <w:color w:val="000000" w:themeColor="text1"/>
        </w:rPr>
        <w:tab/>
      </w:r>
      <w:r w:rsidRPr="00581542">
        <w:rPr>
          <w:b/>
          <w:color w:val="000000" w:themeColor="text1"/>
          <w:u w:val="single"/>
        </w:rPr>
        <w:t>Exceptions to Certification for Paperwork Reduction Act Submissions</w:t>
      </w:r>
    </w:p>
    <w:p w:rsidR="00C66F8E" w:rsidRPr="00581542" w:rsidP="002533BB" w14:paraId="7576526B" w14:textId="77777777">
      <w:pPr>
        <w:tabs>
          <w:tab w:val="num" w:pos="810"/>
        </w:tabs>
        <w:rPr>
          <w:b/>
          <w:color w:val="000000" w:themeColor="text1"/>
          <w:u w:val="single"/>
        </w:rPr>
      </w:pPr>
    </w:p>
    <w:p w:rsidR="00C66F8E" w:rsidRPr="00581542" w:rsidP="002533BB" w14:paraId="5744C2E3" w14:textId="2C29FB24">
      <w:pPr>
        <w:tabs>
          <w:tab w:val="num" w:pos="810"/>
        </w:tabs>
        <w:rPr>
          <w:color w:val="000000" w:themeColor="text1"/>
        </w:rPr>
      </w:pPr>
      <w:r>
        <w:rPr>
          <w:color w:val="000000" w:themeColor="text1"/>
        </w:rPr>
        <w:tab/>
      </w:r>
      <w:r w:rsidRPr="00581542" w:rsidR="000A1015">
        <w:rPr>
          <w:color w:val="000000" w:themeColor="text1"/>
        </w:rPr>
        <w:t>No exceptions are requested.</w:t>
      </w:r>
    </w:p>
    <w:p w:rsidR="00584C0B" w:rsidRPr="00581542" w:rsidP="002533BB" w14:paraId="7DCAB7A9" w14:textId="77777777">
      <w:pPr>
        <w:tabs>
          <w:tab w:val="num" w:pos="810"/>
        </w:tabs>
        <w:rPr>
          <w:color w:val="000000" w:themeColor="text1"/>
        </w:rPr>
      </w:pPr>
    </w:p>
    <w:p w:rsidR="00584C0B" w:rsidRPr="00581542" w:rsidP="002533BB" w14:paraId="01B89807" w14:textId="77777777">
      <w:pPr>
        <w:tabs>
          <w:tab w:val="num" w:pos="810"/>
        </w:tabs>
        <w:rPr>
          <w:b/>
          <w:bCs/>
          <w:color w:val="000000" w:themeColor="text1"/>
        </w:rPr>
      </w:pPr>
    </w:p>
    <w:p w:rsidR="00B7328E" w:rsidRPr="00B7328E" w:rsidP="002533BB" w14:paraId="1E2448C5" w14:textId="41E16F0A">
      <w:pPr>
        <w:tabs>
          <w:tab w:val="num" w:pos="810"/>
        </w:tabs>
        <w:rPr>
          <w:color w:val="000000" w:themeColor="text1"/>
        </w:rPr>
      </w:pPr>
    </w:p>
    <w:sectPr w:rsidSect="003A16CC">
      <w:footerReference w:type="even" r:id="rId10"/>
      <w:footerReference w:type="default" r:id="rId11"/>
      <w:pgSz w:w="12240" w:h="15840" w:code="1"/>
      <w:pgMar w:top="1440" w:right="1440" w:bottom="1296" w:left="1296"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28D" w14:paraId="5DC7FA6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0228D" w14:paraId="5BDD4D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28D" w14:paraId="55BD0227" w14:textId="77777777">
    <w:pPr>
      <w:pStyle w:val="Footer"/>
      <w:jc w:val="right"/>
    </w:pPr>
    <w:sdt>
      <w:sdtPr>
        <w:id w:val="1738130028"/>
        <w:docPartObj>
          <w:docPartGallery w:val="Page Numbers (Bottom of Page)"/>
          <w:docPartUnique/>
        </w:docPartObj>
      </w:sdtPr>
      <w:sdtEndPr>
        <w:rPr>
          <w:noProof/>
        </w:rPr>
      </w:sdtEndPr>
      <w:sdtContent>
        <w:r w:rsidR="000A1015">
          <w:fldChar w:fldCharType="begin"/>
        </w:r>
        <w:r w:rsidR="000A1015">
          <w:instrText xml:space="preserve"> PAGE   \* MERGEFORMAT </w:instrText>
        </w:r>
        <w:r w:rsidR="000A1015">
          <w:fldChar w:fldCharType="separate"/>
        </w:r>
        <w:r w:rsidR="000A1015">
          <w:rPr>
            <w:noProof/>
          </w:rPr>
          <w:t>40</w:t>
        </w:r>
        <w:r w:rsidR="000A1015">
          <w:rPr>
            <w:noProof/>
          </w:rP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52062"/>
    <w:multiLevelType w:val="hybridMultilevel"/>
    <w:tmpl w:val="207216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9C75FA"/>
    <w:multiLevelType w:val="hybridMultilevel"/>
    <w:tmpl w:val="8A24F8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1454E9"/>
    <w:multiLevelType w:val="hybridMultilevel"/>
    <w:tmpl w:val="24202F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A36AE6"/>
    <w:multiLevelType w:val="hybridMultilevel"/>
    <w:tmpl w:val="7D4A023C"/>
    <w:lvl w:ilvl="0">
      <w:start w:val="1"/>
      <w:numFmt w:val="decimal"/>
      <w:lvlText w:val="%1."/>
      <w:lvlJc w:val="left"/>
      <w:pPr>
        <w:ind w:left="2160" w:hanging="720"/>
      </w:pPr>
      <w:rPr>
        <w:rFonts w:cs="Times New Roman" w:hint="default"/>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4">
    <w:nsid w:val="21C6712B"/>
    <w:multiLevelType w:val="hybridMultilevel"/>
    <w:tmpl w:val="915CF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1D64F1"/>
    <w:multiLevelType w:val="hybridMultilevel"/>
    <w:tmpl w:val="804E9A20"/>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DF00AA"/>
    <w:multiLevelType w:val="hybridMultilevel"/>
    <w:tmpl w:val="41942A70"/>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7">
    <w:nsid w:val="24910DE9"/>
    <w:multiLevelType w:val="hybridMultilevel"/>
    <w:tmpl w:val="F558B3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6143DD"/>
    <w:multiLevelType w:val="hybridMultilevel"/>
    <w:tmpl w:val="097655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D75A8C"/>
    <w:multiLevelType w:val="hybridMultilevel"/>
    <w:tmpl w:val="E984F4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EE375C"/>
    <w:multiLevelType w:val="hybridMultilevel"/>
    <w:tmpl w:val="BEFC6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11332B"/>
    <w:multiLevelType w:val="hybridMultilevel"/>
    <w:tmpl w:val="856E71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AB19B4"/>
    <w:multiLevelType w:val="hybridMultilevel"/>
    <w:tmpl w:val="870AFCB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3">
    <w:nsid w:val="3AD24085"/>
    <w:multiLevelType w:val="hybridMultilevel"/>
    <w:tmpl w:val="CF4E7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8C59B2"/>
    <w:multiLevelType w:val="hybridMultilevel"/>
    <w:tmpl w:val="948436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DD1522"/>
    <w:multiLevelType w:val="multilevel"/>
    <w:tmpl w:val="F08480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0D42B3B"/>
    <w:multiLevelType w:val="hybridMultilevel"/>
    <w:tmpl w:val="A6B64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D02CBF"/>
    <w:multiLevelType w:val="hybridMultilevel"/>
    <w:tmpl w:val="9F40C7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F9B1336"/>
    <w:multiLevelType w:val="hybridMultilevel"/>
    <w:tmpl w:val="83189D4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615A0835"/>
    <w:multiLevelType w:val="hybridMultilevel"/>
    <w:tmpl w:val="29A86F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623C29"/>
    <w:multiLevelType w:val="hybridMultilevel"/>
    <w:tmpl w:val="805E0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8780F0E"/>
    <w:multiLevelType w:val="hybridMultilevel"/>
    <w:tmpl w:val="728AB1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A4C2499"/>
    <w:multiLevelType w:val="hybridMultilevel"/>
    <w:tmpl w:val="742C48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A5D331C"/>
    <w:multiLevelType w:val="hybridMultilevel"/>
    <w:tmpl w:val="9A041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DE83611"/>
    <w:multiLevelType w:val="hybridMultilevel"/>
    <w:tmpl w:val="6E4026FE"/>
    <w:lvl w:ilvl="0">
      <w:start w:val="1"/>
      <w:numFmt w:val="upperLetter"/>
      <w:lvlText w:val="%1."/>
      <w:lvlJc w:val="left"/>
      <w:pPr>
        <w:ind w:left="810" w:hanging="72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5">
    <w:nsid w:val="73276572"/>
    <w:multiLevelType w:val="hybridMultilevel"/>
    <w:tmpl w:val="3ED86DF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6">
    <w:nsid w:val="77EF6A39"/>
    <w:multiLevelType w:val="hybridMultilevel"/>
    <w:tmpl w:val="78FCF9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9F500D5"/>
    <w:multiLevelType w:val="singleLevel"/>
    <w:tmpl w:val="96723B7C"/>
    <w:lvl w:ilvl="0">
      <w:start w:val="1"/>
      <w:numFmt w:val="upperLetter"/>
      <w:pStyle w:val="Heading2"/>
      <w:lvlText w:val="%1."/>
      <w:lvlJc w:val="left"/>
      <w:pPr>
        <w:tabs>
          <w:tab w:val="num" w:pos="720"/>
        </w:tabs>
        <w:ind w:left="720" w:hanging="720"/>
      </w:pPr>
      <w:rPr>
        <w:rFonts w:cs="Times New Roman" w:hint="default"/>
      </w:rPr>
    </w:lvl>
  </w:abstractNum>
  <w:abstractNum w:abstractNumId="28">
    <w:nsid w:val="7EB52CC0"/>
    <w:multiLevelType w:val="hybridMultilevel"/>
    <w:tmpl w:val="F1807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187DC2"/>
    <w:multiLevelType w:val="hybridMultilevel"/>
    <w:tmpl w:val="7FA69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8081509">
    <w:abstractNumId w:val="27"/>
  </w:num>
  <w:num w:numId="2" w16cid:durableId="1209607348">
    <w:abstractNumId w:val="2"/>
  </w:num>
  <w:num w:numId="3" w16cid:durableId="870068597">
    <w:abstractNumId w:val="19"/>
  </w:num>
  <w:num w:numId="4" w16cid:durableId="13312628">
    <w:abstractNumId w:val="9"/>
  </w:num>
  <w:num w:numId="5" w16cid:durableId="1730418306">
    <w:abstractNumId w:val="20"/>
  </w:num>
  <w:num w:numId="6" w16cid:durableId="1150288858">
    <w:abstractNumId w:val="3"/>
  </w:num>
  <w:num w:numId="7" w16cid:durableId="1361933668">
    <w:abstractNumId w:val="10"/>
  </w:num>
  <w:num w:numId="8" w16cid:durableId="1394814866">
    <w:abstractNumId w:val="8"/>
  </w:num>
  <w:num w:numId="9" w16cid:durableId="1393770228">
    <w:abstractNumId w:val="21"/>
  </w:num>
  <w:num w:numId="10" w16cid:durableId="1882404293">
    <w:abstractNumId w:val="17"/>
  </w:num>
  <w:num w:numId="11" w16cid:durableId="387000941">
    <w:abstractNumId w:val="4"/>
  </w:num>
  <w:num w:numId="12" w16cid:durableId="1522861331">
    <w:abstractNumId w:val="22"/>
  </w:num>
  <w:num w:numId="13" w16cid:durableId="1489204254">
    <w:abstractNumId w:val="24"/>
  </w:num>
  <w:num w:numId="14" w16cid:durableId="1211304445">
    <w:abstractNumId w:val="11"/>
  </w:num>
  <w:num w:numId="15" w16cid:durableId="2061854040">
    <w:abstractNumId w:val="29"/>
  </w:num>
  <w:num w:numId="16" w16cid:durableId="1217669652">
    <w:abstractNumId w:val="16"/>
  </w:num>
  <w:num w:numId="17" w16cid:durableId="1213467233">
    <w:abstractNumId w:val="13"/>
  </w:num>
  <w:num w:numId="18" w16cid:durableId="981271551">
    <w:abstractNumId w:val="28"/>
  </w:num>
  <w:num w:numId="19" w16cid:durableId="1839151222">
    <w:abstractNumId w:val="15"/>
  </w:num>
  <w:num w:numId="20" w16cid:durableId="1481074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36269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06160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57234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98253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32973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9511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68803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81209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6358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40277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2570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399990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51500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0353449">
    <w:abstractNumId w:val="1"/>
  </w:num>
  <w:num w:numId="35" w16cid:durableId="1505121873">
    <w:abstractNumId w:val="5"/>
  </w:num>
  <w:num w:numId="36" w16cid:durableId="501552544">
    <w:abstractNumId w:val="23"/>
  </w:num>
  <w:num w:numId="37" w16cid:durableId="1012340060">
    <w:abstractNumId w:val="7"/>
  </w:num>
  <w:num w:numId="38" w16cid:durableId="215438725">
    <w:abstractNumId w:val="0"/>
  </w:num>
  <w:num w:numId="39" w16cid:durableId="1978679645">
    <w:abstractNumId w:val="12"/>
  </w:num>
  <w:num w:numId="40" w16cid:durableId="1394429748">
    <w:abstractNumId w:val="14"/>
  </w:num>
  <w:num w:numId="41" w16cid:durableId="2108577321">
    <w:abstractNumId w:val="6"/>
  </w:num>
  <w:num w:numId="42" w16cid:durableId="1493183130">
    <w:abstractNumId w:val="18"/>
  </w:num>
  <w:num w:numId="43" w16cid:durableId="559482249">
    <w:abstractNumId w:val="25"/>
  </w:num>
  <w:num w:numId="44" w16cid:durableId="1622611294">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0A6"/>
    <w:rsid w:val="00000431"/>
    <w:rsid w:val="00000503"/>
    <w:rsid w:val="00000955"/>
    <w:rsid w:val="000009DE"/>
    <w:rsid w:val="00000EDD"/>
    <w:rsid w:val="00000F54"/>
    <w:rsid w:val="00000F72"/>
    <w:rsid w:val="000015AF"/>
    <w:rsid w:val="00002468"/>
    <w:rsid w:val="0000262C"/>
    <w:rsid w:val="000032C9"/>
    <w:rsid w:val="00004078"/>
    <w:rsid w:val="0000411C"/>
    <w:rsid w:val="00004A0C"/>
    <w:rsid w:val="00004AFF"/>
    <w:rsid w:val="0000510A"/>
    <w:rsid w:val="00005C30"/>
    <w:rsid w:val="00005D4A"/>
    <w:rsid w:val="00005D70"/>
    <w:rsid w:val="000066E3"/>
    <w:rsid w:val="00006928"/>
    <w:rsid w:val="00007085"/>
    <w:rsid w:val="00007117"/>
    <w:rsid w:val="000072E2"/>
    <w:rsid w:val="0000741A"/>
    <w:rsid w:val="00007ABC"/>
    <w:rsid w:val="00010345"/>
    <w:rsid w:val="000106DC"/>
    <w:rsid w:val="00010989"/>
    <w:rsid w:val="00010BF3"/>
    <w:rsid w:val="000110A6"/>
    <w:rsid w:val="000120BC"/>
    <w:rsid w:val="000126C0"/>
    <w:rsid w:val="0001276A"/>
    <w:rsid w:val="000134FB"/>
    <w:rsid w:val="000135B7"/>
    <w:rsid w:val="00013B1B"/>
    <w:rsid w:val="00013C92"/>
    <w:rsid w:val="00013D1D"/>
    <w:rsid w:val="00013D28"/>
    <w:rsid w:val="00014141"/>
    <w:rsid w:val="000143DD"/>
    <w:rsid w:val="000144F5"/>
    <w:rsid w:val="0001529A"/>
    <w:rsid w:val="00015DB9"/>
    <w:rsid w:val="000160FA"/>
    <w:rsid w:val="0001638E"/>
    <w:rsid w:val="0001640E"/>
    <w:rsid w:val="00016922"/>
    <w:rsid w:val="000169E9"/>
    <w:rsid w:val="000172F8"/>
    <w:rsid w:val="000176AE"/>
    <w:rsid w:val="000177D6"/>
    <w:rsid w:val="00017C17"/>
    <w:rsid w:val="00020459"/>
    <w:rsid w:val="00020C38"/>
    <w:rsid w:val="00020DB1"/>
    <w:rsid w:val="00021216"/>
    <w:rsid w:val="0002148A"/>
    <w:rsid w:val="00021C5F"/>
    <w:rsid w:val="00022183"/>
    <w:rsid w:val="0002225C"/>
    <w:rsid w:val="000228E1"/>
    <w:rsid w:val="000240E7"/>
    <w:rsid w:val="00024D1B"/>
    <w:rsid w:val="000270A4"/>
    <w:rsid w:val="00027117"/>
    <w:rsid w:val="0002718E"/>
    <w:rsid w:val="00027DBB"/>
    <w:rsid w:val="00030221"/>
    <w:rsid w:val="000302B2"/>
    <w:rsid w:val="000305BA"/>
    <w:rsid w:val="000311CA"/>
    <w:rsid w:val="000313C6"/>
    <w:rsid w:val="000316DA"/>
    <w:rsid w:val="00031AB7"/>
    <w:rsid w:val="00031CFF"/>
    <w:rsid w:val="00031D40"/>
    <w:rsid w:val="0003206B"/>
    <w:rsid w:val="00032326"/>
    <w:rsid w:val="00032718"/>
    <w:rsid w:val="000332BC"/>
    <w:rsid w:val="00033D82"/>
    <w:rsid w:val="00033D93"/>
    <w:rsid w:val="0003409D"/>
    <w:rsid w:val="0003510D"/>
    <w:rsid w:val="00035207"/>
    <w:rsid w:val="0003545C"/>
    <w:rsid w:val="0003560F"/>
    <w:rsid w:val="00035844"/>
    <w:rsid w:val="00035BC6"/>
    <w:rsid w:val="000363FA"/>
    <w:rsid w:val="00036C6A"/>
    <w:rsid w:val="000370A9"/>
    <w:rsid w:val="00037619"/>
    <w:rsid w:val="000377BF"/>
    <w:rsid w:val="00040CCD"/>
    <w:rsid w:val="0004195D"/>
    <w:rsid w:val="00041C42"/>
    <w:rsid w:val="00041CF7"/>
    <w:rsid w:val="00041D45"/>
    <w:rsid w:val="00041F34"/>
    <w:rsid w:val="00042263"/>
    <w:rsid w:val="000436E0"/>
    <w:rsid w:val="000436E4"/>
    <w:rsid w:val="000437E3"/>
    <w:rsid w:val="00043C50"/>
    <w:rsid w:val="000454FC"/>
    <w:rsid w:val="0004573B"/>
    <w:rsid w:val="0004574D"/>
    <w:rsid w:val="00045BAC"/>
    <w:rsid w:val="00045DC0"/>
    <w:rsid w:val="00046268"/>
    <w:rsid w:val="00046271"/>
    <w:rsid w:val="00046393"/>
    <w:rsid w:val="000468E4"/>
    <w:rsid w:val="000472D5"/>
    <w:rsid w:val="00047CFE"/>
    <w:rsid w:val="00047D29"/>
    <w:rsid w:val="0005019F"/>
    <w:rsid w:val="000507E8"/>
    <w:rsid w:val="0005152E"/>
    <w:rsid w:val="00051917"/>
    <w:rsid w:val="00051AD3"/>
    <w:rsid w:val="00052749"/>
    <w:rsid w:val="000529E7"/>
    <w:rsid w:val="00052D61"/>
    <w:rsid w:val="00052DA4"/>
    <w:rsid w:val="00052E3F"/>
    <w:rsid w:val="0005319E"/>
    <w:rsid w:val="000541C2"/>
    <w:rsid w:val="00055117"/>
    <w:rsid w:val="000551F4"/>
    <w:rsid w:val="00056ABB"/>
    <w:rsid w:val="00056C5B"/>
    <w:rsid w:val="00056FA4"/>
    <w:rsid w:val="000577F3"/>
    <w:rsid w:val="00057AA0"/>
    <w:rsid w:val="00057C4F"/>
    <w:rsid w:val="00057E7A"/>
    <w:rsid w:val="00060262"/>
    <w:rsid w:val="00061203"/>
    <w:rsid w:val="00061A9B"/>
    <w:rsid w:val="00062916"/>
    <w:rsid w:val="00062E08"/>
    <w:rsid w:val="00062EE2"/>
    <w:rsid w:val="000634EE"/>
    <w:rsid w:val="00063648"/>
    <w:rsid w:val="00063725"/>
    <w:rsid w:val="00063CB2"/>
    <w:rsid w:val="000640AE"/>
    <w:rsid w:val="0006466D"/>
    <w:rsid w:val="00064EE7"/>
    <w:rsid w:val="000651CE"/>
    <w:rsid w:val="00065420"/>
    <w:rsid w:val="00065B07"/>
    <w:rsid w:val="00065DF3"/>
    <w:rsid w:val="00065E9D"/>
    <w:rsid w:val="000660FB"/>
    <w:rsid w:val="000661D0"/>
    <w:rsid w:val="000665DA"/>
    <w:rsid w:val="0006675E"/>
    <w:rsid w:val="0006678F"/>
    <w:rsid w:val="00066878"/>
    <w:rsid w:val="00066DF3"/>
    <w:rsid w:val="000673A0"/>
    <w:rsid w:val="000673C0"/>
    <w:rsid w:val="000676EF"/>
    <w:rsid w:val="00067822"/>
    <w:rsid w:val="00067A0A"/>
    <w:rsid w:val="000709F0"/>
    <w:rsid w:val="00070CE4"/>
    <w:rsid w:val="00070CFA"/>
    <w:rsid w:val="00070D38"/>
    <w:rsid w:val="00071B7A"/>
    <w:rsid w:val="00072165"/>
    <w:rsid w:val="00072370"/>
    <w:rsid w:val="0007237D"/>
    <w:rsid w:val="00072C35"/>
    <w:rsid w:val="00072F4C"/>
    <w:rsid w:val="000733E9"/>
    <w:rsid w:val="0007356D"/>
    <w:rsid w:val="00073795"/>
    <w:rsid w:val="00073F17"/>
    <w:rsid w:val="00074296"/>
    <w:rsid w:val="000754CE"/>
    <w:rsid w:val="00075B2A"/>
    <w:rsid w:val="00077C3D"/>
    <w:rsid w:val="00077D54"/>
    <w:rsid w:val="00077FF7"/>
    <w:rsid w:val="00080A5E"/>
    <w:rsid w:val="00080C49"/>
    <w:rsid w:val="000813B1"/>
    <w:rsid w:val="00081941"/>
    <w:rsid w:val="000831FD"/>
    <w:rsid w:val="0008353C"/>
    <w:rsid w:val="000837E0"/>
    <w:rsid w:val="000842FB"/>
    <w:rsid w:val="00084C15"/>
    <w:rsid w:val="00084F3B"/>
    <w:rsid w:val="000854F6"/>
    <w:rsid w:val="00085847"/>
    <w:rsid w:val="00085916"/>
    <w:rsid w:val="00085981"/>
    <w:rsid w:val="00086917"/>
    <w:rsid w:val="00086EA9"/>
    <w:rsid w:val="0008761B"/>
    <w:rsid w:val="00087923"/>
    <w:rsid w:val="00087F7E"/>
    <w:rsid w:val="0009002C"/>
    <w:rsid w:val="000904F7"/>
    <w:rsid w:val="0009058C"/>
    <w:rsid w:val="00090D0F"/>
    <w:rsid w:val="00092280"/>
    <w:rsid w:val="00092663"/>
    <w:rsid w:val="00093054"/>
    <w:rsid w:val="00093597"/>
    <w:rsid w:val="00093CD1"/>
    <w:rsid w:val="00093E73"/>
    <w:rsid w:val="00094B85"/>
    <w:rsid w:val="000956E5"/>
    <w:rsid w:val="000959C1"/>
    <w:rsid w:val="00095A3B"/>
    <w:rsid w:val="0009605D"/>
    <w:rsid w:val="000A0356"/>
    <w:rsid w:val="000A0FAD"/>
    <w:rsid w:val="000A1015"/>
    <w:rsid w:val="000A15E4"/>
    <w:rsid w:val="000A16DA"/>
    <w:rsid w:val="000A18B0"/>
    <w:rsid w:val="000A24ED"/>
    <w:rsid w:val="000A3152"/>
    <w:rsid w:val="000A344D"/>
    <w:rsid w:val="000A49EC"/>
    <w:rsid w:val="000A4A52"/>
    <w:rsid w:val="000A4FED"/>
    <w:rsid w:val="000A534D"/>
    <w:rsid w:val="000A5373"/>
    <w:rsid w:val="000A5683"/>
    <w:rsid w:val="000A580A"/>
    <w:rsid w:val="000A5D61"/>
    <w:rsid w:val="000A61BD"/>
    <w:rsid w:val="000A63C4"/>
    <w:rsid w:val="000A64B9"/>
    <w:rsid w:val="000A6920"/>
    <w:rsid w:val="000A6E4C"/>
    <w:rsid w:val="000A7160"/>
    <w:rsid w:val="000A7FC2"/>
    <w:rsid w:val="000B0C44"/>
    <w:rsid w:val="000B0F68"/>
    <w:rsid w:val="000B11C4"/>
    <w:rsid w:val="000B12F9"/>
    <w:rsid w:val="000B18F5"/>
    <w:rsid w:val="000B1FF9"/>
    <w:rsid w:val="000B2D48"/>
    <w:rsid w:val="000B3339"/>
    <w:rsid w:val="000B33DC"/>
    <w:rsid w:val="000B4359"/>
    <w:rsid w:val="000B4C2C"/>
    <w:rsid w:val="000B5177"/>
    <w:rsid w:val="000B5D12"/>
    <w:rsid w:val="000B6097"/>
    <w:rsid w:val="000B61D0"/>
    <w:rsid w:val="000B62C5"/>
    <w:rsid w:val="000B649B"/>
    <w:rsid w:val="000B6B15"/>
    <w:rsid w:val="000B7119"/>
    <w:rsid w:val="000B75F0"/>
    <w:rsid w:val="000B7E26"/>
    <w:rsid w:val="000B7E74"/>
    <w:rsid w:val="000B7F77"/>
    <w:rsid w:val="000C07BB"/>
    <w:rsid w:val="000C0AF0"/>
    <w:rsid w:val="000C0E6A"/>
    <w:rsid w:val="000C0FDC"/>
    <w:rsid w:val="000C1343"/>
    <w:rsid w:val="000C17C7"/>
    <w:rsid w:val="000C1C16"/>
    <w:rsid w:val="000C1F2A"/>
    <w:rsid w:val="000C250C"/>
    <w:rsid w:val="000C2D35"/>
    <w:rsid w:val="000C38D7"/>
    <w:rsid w:val="000C3C53"/>
    <w:rsid w:val="000C4203"/>
    <w:rsid w:val="000C426C"/>
    <w:rsid w:val="000C594B"/>
    <w:rsid w:val="000C5D4A"/>
    <w:rsid w:val="000C5ED6"/>
    <w:rsid w:val="000C6048"/>
    <w:rsid w:val="000C794E"/>
    <w:rsid w:val="000C7D4E"/>
    <w:rsid w:val="000D0148"/>
    <w:rsid w:val="000D0174"/>
    <w:rsid w:val="000D050C"/>
    <w:rsid w:val="000D07EB"/>
    <w:rsid w:val="000D0932"/>
    <w:rsid w:val="000D0BC8"/>
    <w:rsid w:val="000D0C88"/>
    <w:rsid w:val="000D11BB"/>
    <w:rsid w:val="000D12B2"/>
    <w:rsid w:val="000D185E"/>
    <w:rsid w:val="000D1CF5"/>
    <w:rsid w:val="000D1DCC"/>
    <w:rsid w:val="000D2088"/>
    <w:rsid w:val="000D2630"/>
    <w:rsid w:val="000D291C"/>
    <w:rsid w:val="000D2C19"/>
    <w:rsid w:val="000D2C22"/>
    <w:rsid w:val="000D2CCB"/>
    <w:rsid w:val="000D34C7"/>
    <w:rsid w:val="000D38EE"/>
    <w:rsid w:val="000D3DA2"/>
    <w:rsid w:val="000D3EB2"/>
    <w:rsid w:val="000D4652"/>
    <w:rsid w:val="000D4750"/>
    <w:rsid w:val="000D5016"/>
    <w:rsid w:val="000D52F1"/>
    <w:rsid w:val="000D5965"/>
    <w:rsid w:val="000D71AF"/>
    <w:rsid w:val="000D74FC"/>
    <w:rsid w:val="000E0613"/>
    <w:rsid w:val="000E0B5C"/>
    <w:rsid w:val="000E0EA7"/>
    <w:rsid w:val="000E11D8"/>
    <w:rsid w:val="000E1913"/>
    <w:rsid w:val="000E28E3"/>
    <w:rsid w:val="000E2BF7"/>
    <w:rsid w:val="000E2FF4"/>
    <w:rsid w:val="000E38BB"/>
    <w:rsid w:val="000E3A57"/>
    <w:rsid w:val="000E3AF5"/>
    <w:rsid w:val="000E3CA9"/>
    <w:rsid w:val="000E45DA"/>
    <w:rsid w:val="000E4689"/>
    <w:rsid w:val="000E4E4E"/>
    <w:rsid w:val="000E4E8D"/>
    <w:rsid w:val="000E52D4"/>
    <w:rsid w:val="000E5D06"/>
    <w:rsid w:val="000E6496"/>
    <w:rsid w:val="000E66A0"/>
    <w:rsid w:val="000E7A66"/>
    <w:rsid w:val="000F0008"/>
    <w:rsid w:val="000F0BA9"/>
    <w:rsid w:val="000F1598"/>
    <w:rsid w:val="000F1A96"/>
    <w:rsid w:val="000F2708"/>
    <w:rsid w:val="000F29DB"/>
    <w:rsid w:val="000F2B58"/>
    <w:rsid w:val="000F3BA6"/>
    <w:rsid w:val="000F3FD0"/>
    <w:rsid w:val="000F437F"/>
    <w:rsid w:val="000F485E"/>
    <w:rsid w:val="000F4ADE"/>
    <w:rsid w:val="000F4BC4"/>
    <w:rsid w:val="000F4E0C"/>
    <w:rsid w:val="000F52B1"/>
    <w:rsid w:val="000F5B6C"/>
    <w:rsid w:val="000F5B90"/>
    <w:rsid w:val="000F5C76"/>
    <w:rsid w:val="000F5D2A"/>
    <w:rsid w:val="000F60D9"/>
    <w:rsid w:val="000F619D"/>
    <w:rsid w:val="000F6482"/>
    <w:rsid w:val="000F65A8"/>
    <w:rsid w:val="000F6665"/>
    <w:rsid w:val="000F7179"/>
    <w:rsid w:val="000F71F4"/>
    <w:rsid w:val="000F7633"/>
    <w:rsid w:val="000F7A7F"/>
    <w:rsid w:val="000F7AF7"/>
    <w:rsid w:val="000F7F10"/>
    <w:rsid w:val="001000D7"/>
    <w:rsid w:val="001002E4"/>
    <w:rsid w:val="00100A2E"/>
    <w:rsid w:val="00100ADA"/>
    <w:rsid w:val="00100B6C"/>
    <w:rsid w:val="00100C23"/>
    <w:rsid w:val="00100D1C"/>
    <w:rsid w:val="00100FBD"/>
    <w:rsid w:val="0010184D"/>
    <w:rsid w:val="00101DC3"/>
    <w:rsid w:val="00103996"/>
    <w:rsid w:val="00103DB0"/>
    <w:rsid w:val="00104243"/>
    <w:rsid w:val="001043CC"/>
    <w:rsid w:val="00104748"/>
    <w:rsid w:val="00104AEC"/>
    <w:rsid w:val="00105FEB"/>
    <w:rsid w:val="00106516"/>
    <w:rsid w:val="001067F1"/>
    <w:rsid w:val="001077E6"/>
    <w:rsid w:val="001079F8"/>
    <w:rsid w:val="001106C3"/>
    <w:rsid w:val="00110739"/>
    <w:rsid w:val="001108A2"/>
    <w:rsid w:val="0011095B"/>
    <w:rsid w:val="00110993"/>
    <w:rsid w:val="00110EDA"/>
    <w:rsid w:val="001116D8"/>
    <w:rsid w:val="00111A6D"/>
    <w:rsid w:val="00111AD2"/>
    <w:rsid w:val="0011237D"/>
    <w:rsid w:val="00112853"/>
    <w:rsid w:val="00112AF6"/>
    <w:rsid w:val="00112B1C"/>
    <w:rsid w:val="00112CEB"/>
    <w:rsid w:val="001130CC"/>
    <w:rsid w:val="001130DB"/>
    <w:rsid w:val="00113130"/>
    <w:rsid w:val="001134C6"/>
    <w:rsid w:val="00113C6A"/>
    <w:rsid w:val="00114319"/>
    <w:rsid w:val="00114449"/>
    <w:rsid w:val="00114870"/>
    <w:rsid w:val="00115E13"/>
    <w:rsid w:val="00115F5D"/>
    <w:rsid w:val="00116064"/>
    <w:rsid w:val="00116694"/>
    <w:rsid w:val="0011676C"/>
    <w:rsid w:val="001172A7"/>
    <w:rsid w:val="001179D4"/>
    <w:rsid w:val="00117ED4"/>
    <w:rsid w:val="00120088"/>
    <w:rsid w:val="00120519"/>
    <w:rsid w:val="00120686"/>
    <w:rsid w:val="0012075F"/>
    <w:rsid w:val="00120E22"/>
    <w:rsid w:val="00120F24"/>
    <w:rsid w:val="00120F34"/>
    <w:rsid w:val="0012141E"/>
    <w:rsid w:val="0012195A"/>
    <w:rsid w:val="00121D01"/>
    <w:rsid w:val="00121D5B"/>
    <w:rsid w:val="00122494"/>
    <w:rsid w:val="00122519"/>
    <w:rsid w:val="00122751"/>
    <w:rsid w:val="00122F1F"/>
    <w:rsid w:val="001238F7"/>
    <w:rsid w:val="00123FF5"/>
    <w:rsid w:val="00124774"/>
    <w:rsid w:val="00124C69"/>
    <w:rsid w:val="00124EED"/>
    <w:rsid w:val="00125194"/>
    <w:rsid w:val="001263F7"/>
    <w:rsid w:val="001265B6"/>
    <w:rsid w:val="00126C4D"/>
    <w:rsid w:val="00126FB2"/>
    <w:rsid w:val="00126FCD"/>
    <w:rsid w:val="00127A29"/>
    <w:rsid w:val="00127B35"/>
    <w:rsid w:val="00130EF8"/>
    <w:rsid w:val="001313E0"/>
    <w:rsid w:val="001324C4"/>
    <w:rsid w:val="0013288D"/>
    <w:rsid w:val="00132D20"/>
    <w:rsid w:val="0013309F"/>
    <w:rsid w:val="001350C9"/>
    <w:rsid w:val="00135126"/>
    <w:rsid w:val="001351D1"/>
    <w:rsid w:val="00135729"/>
    <w:rsid w:val="0013628D"/>
    <w:rsid w:val="00136ABF"/>
    <w:rsid w:val="00136B0D"/>
    <w:rsid w:val="00136CEE"/>
    <w:rsid w:val="00136DA3"/>
    <w:rsid w:val="0013702E"/>
    <w:rsid w:val="00137A3C"/>
    <w:rsid w:val="00140394"/>
    <w:rsid w:val="00140436"/>
    <w:rsid w:val="00140863"/>
    <w:rsid w:val="00140EBD"/>
    <w:rsid w:val="00140ECB"/>
    <w:rsid w:val="001415B2"/>
    <w:rsid w:val="00141610"/>
    <w:rsid w:val="001416EA"/>
    <w:rsid w:val="00141959"/>
    <w:rsid w:val="00141A6B"/>
    <w:rsid w:val="00141C8E"/>
    <w:rsid w:val="00142059"/>
    <w:rsid w:val="0014264E"/>
    <w:rsid w:val="00142CBC"/>
    <w:rsid w:val="00142D59"/>
    <w:rsid w:val="00143638"/>
    <w:rsid w:val="00143DB1"/>
    <w:rsid w:val="001441A4"/>
    <w:rsid w:val="0014482F"/>
    <w:rsid w:val="00144A67"/>
    <w:rsid w:val="0014573A"/>
    <w:rsid w:val="00145775"/>
    <w:rsid w:val="00145A3B"/>
    <w:rsid w:val="00145F29"/>
    <w:rsid w:val="001460E7"/>
    <w:rsid w:val="0014658E"/>
    <w:rsid w:val="001473C2"/>
    <w:rsid w:val="001475E4"/>
    <w:rsid w:val="00147C0B"/>
    <w:rsid w:val="001502FC"/>
    <w:rsid w:val="0015046C"/>
    <w:rsid w:val="00150706"/>
    <w:rsid w:val="00150FD1"/>
    <w:rsid w:val="00151ED3"/>
    <w:rsid w:val="00151EE1"/>
    <w:rsid w:val="00152241"/>
    <w:rsid w:val="001522B4"/>
    <w:rsid w:val="00152A38"/>
    <w:rsid w:val="00152CDB"/>
    <w:rsid w:val="00152E8C"/>
    <w:rsid w:val="001536F5"/>
    <w:rsid w:val="0015374B"/>
    <w:rsid w:val="0015390C"/>
    <w:rsid w:val="001542EB"/>
    <w:rsid w:val="00154736"/>
    <w:rsid w:val="00154FB5"/>
    <w:rsid w:val="00154FBC"/>
    <w:rsid w:val="00155280"/>
    <w:rsid w:val="001558EF"/>
    <w:rsid w:val="00155D61"/>
    <w:rsid w:val="00156430"/>
    <w:rsid w:val="00157178"/>
    <w:rsid w:val="001573D9"/>
    <w:rsid w:val="00157898"/>
    <w:rsid w:val="00157B50"/>
    <w:rsid w:val="00157D06"/>
    <w:rsid w:val="001603C7"/>
    <w:rsid w:val="00160CBC"/>
    <w:rsid w:val="001613C4"/>
    <w:rsid w:val="001614A3"/>
    <w:rsid w:val="001619B5"/>
    <w:rsid w:val="001629F8"/>
    <w:rsid w:val="00163051"/>
    <w:rsid w:val="00163537"/>
    <w:rsid w:val="00163AC7"/>
    <w:rsid w:val="00163C4D"/>
    <w:rsid w:val="00163D7B"/>
    <w:rsid w:val="00163EC4"/>
    <w:rsid w:val="00163F57"/>
    <w:rsid w:val="001655C5"/>
    <w:rsid w:val="00166B6C"/>
    <w:rsid w:val="00166DE6"/>
    <w:rsid w:val="00166F97"/>
    <w:rsid w:val="001674CB"/>
    <w:rsid w:val="001678FA"/>
    <w:rsid w:val="00167DCC"/>
    <w:rsid w:val="00167E31"/>
    <w:rsid w:val="001700DD"/>
    <w:rsid w:val="00170135"/>
    <w:rsid w:val="001701F1"/>
    <w:rsid w:val="00170949"/>
    <w:rsid w:val="001710CA"/>
    <w:rsid w:val="00171266"/>
    <w:rsid w:val="00171648"/>
    <w:rsid w:val="00171CB4"/>
    <w:rsid w:val="00171D7C"/>
    <w:rsid w:val="00172123"/>
    <w:rsid w:val="0017314E"/>
    <w:rsid w:val="001733CA"/>
    <w:rsid w:val="001747D6"/>
    <w:rsid w:val="00174890"/>
    <w:rsid w:val="0017521A"/>
    <w:rsid w:val="00175434"/>
    <w:rsid w:val="001763AC"/>
    <w:rsid w:val="00176D4E"/>
    <w:rsid w:val="00177974"/>
    <w:rsid w:val="001806A9"/>
    <w:rsid w:val="00180A22"/>
    <w:rsid w:val="001811CC"/>
    <w:rsid w:val="001813A4"/>
    <w:rsid w:val="00181740"/>
    <w:rsid w:val="00182807"/>
    <w:rsid w:val="00182859"/>
    <w:rsid w:val="001828CD"/>
    <w:rsid w:val="00182F72"/>
    <w:rsid w:val="001831EA"/>
    <w:rsid w:val="001836C0"/>
    <w:rsid w:val="00183F7B"/>
    <w:rsid w:val="00184440"/>
    <w:rsid w:val="001848E6"/>
    <w:rsid w:val="0018502B"/>
    <w:rsid w:val="001852D1"/>
    <w:rsid w:val="001854EB"/>
    <w:rsid w:val="0018598B"/>
    <w:rsid w:val="00185EF4"/>
    <w:rsid w:val="00187215"/>
    <w:rsid w:val="0018798A"/>
    <w:rsid w:val="00190486"/>
    <w:rsid w:val="00190A08"/>
    <w:rsid w:val="00190D11"/>
    <w:rsid w:val="00190FE9"/>
    <w:rsid w:val="001915C2"/>
    <w:rsid w:val="00191AFE"/>
    <w:rsid w:val="0019211D"/>
    <w:rsid w:val="00192861"/>
    <w:rsid w:val="0019301C"/>
    <w:rsid w:val="0019371D"/>
    <w:rsid w:val="0019405C"/>
    <w:rsid w:val="0019447B"/>
    <w:rsid w:val="00194C7B"/>
    <w:rsid w:val="0019532F"/>
    <w:rsid w:val="001955EB"/>
    <w:rsid w:val="00195675"/>
    <w:rsid w:val="001956C2"/>
    <w:rsid w:val="001957DB"/>
    <w:rsid w:val="00195C04"/>
    <w:rsid w:val="00195EA5"/>
    <w:rsid w:val="001960CA"/>
    <w:rsid w:val="001965F7"/>
    <w:rsid w:val="00197166"/>
    <w:rsid w:val="001A02A4"/>
    <w:rsid w:val="001A083E"/>
    <w:rsid w:val="001A0BA2"/>
    <w:rsid w:val="001A12DB"/>
    <w:rsid w:val="001A16A5"/>
    <w:rsid w:val="001A174B"/>
    <w:rsid w:val="001A1A40"/>
    <w:rsid w:val="001A1BEE"/>
    <w:rsid w:val="001A209C"/>
    <w:rsid w:val="001A295F"/>
    <w:rsid w:val="001A2C37"/>
    <w:rsid w:val="001A38FF"/>
    <w:rsid w:val="001A3B4F"/>
    <w:rsid w:val="001A3F3C"/>
    <w:rsid w:val="001A46E5"/>
    <w:rsid w:val="001A4821"/>
    <w:rsid w:val="001A48E2"/>
    <w:rsid w:val="001A4B84"/>
    <w:rsid w:val="001A4C9E"/>
    <w:rsid w:val="001A4DE9"/>
    <w:rsid w:val="001A5736"/>
    <w:rsid w:val="001A5C62"/>
    <w:rsid w:val="001A62CB"/>
    <w:rsid w:val="001A63D3"/>
    <w:rsid w:val="001A6442"/>
    <w:rsid w:val="001A6777"/>
    <w:rsid w:val="001A6FBB"/>
    <w:rsid w:val="001A7741"/>
    <w:rsid w:val="001A781D"/>
    <w:rsid w:val="001A7AEB"/>
    <w:rsid w:val="001B0B10"/>
    <w:rsid w:val="001B1039"/>
    <w:rsid w:val="001B16B7"/>
    <w:rsid w:val="001B180C"/>
    <w:rsid w:val="001B1BAE"/>
    <w:rsid w:val="001B1CCA"/>
    <w:rsid w:val="001B1EBC"/>
    <w:rsid w:val="001B20F5"/>
    <w:rsid w:val="001B21BC"/>
    <w:rsid w:val="001B3209"/>
    <w:rsid w:val="001B3C93"/>
    <w:rsid w:val="001B4109"/>
    <w:rsid w:val="001B44D2"/>
    <w:rsid w:val="001B4584"/>
    <w:rsid w:val="001B47E2"/>
    <w:rsid w:val="001B4B71"/>
    <w:rsid w:val="001B4C4A"/>
    <w:rsid w:val="001B4D86"/>
    <w:rsid w:val="001B50F7"/>
    <w:rsid w:val="001B536A"/>
    <w:rsid w:val="001B5967"/>
    <w:rsid w:val="001B5FEF"/>
    <w:rsid w:val="001B6164"/>
    <w:rsid w:val="001B6495"/>
    <w:rsid w:val="001B6B44"/>
    <w:rsid w:val="001B731D"/>
    <w:rsid w:val="001B7427"/>
    <w:rsid w:val="001C036B"/>
    <w:rsid w:val="001C0E48"/>
    <w:rsid w:val="001C10DF"/>
    <w:rsid w:val="001C1D76"/>
    <w:rsid w:val="001C204C"/>
    <w:rsid w:val="001C23E2"/>
    <w:rsid w:val="001C332D"/>
    <w:rsid w:val="001C3727"/>
    <w:rsid w:val="001C44F2"/>
    <w:rsid w:val="001C4591"/>
    <w:rsid w:val="001C4720"/>
    <w:rsid w:val="001C55F1"/>
    <w:rsid w:val="001C591E"/>
    <w:rsid w:val="001C65B6"/>
    <w:rsid w:val="001C6CBA"/>
    <w:rsid w:val="001C6E70"/>
    <w:rsid w:val="001C75AF"/>
    <w:rsid w:val="001C7A13"/>
    <w:rsid w:val="001D0190"/>
    <w:rsid w:val="001D0B57"/>
    <w:rsid w:val="001D1045"/>
    <w:rsid w:val="001D18CA"/>
    <w:rsid w:val="001D1A25"/>
    <w:rsid w:val="001D1C52"/>
    <w:rsid w:val="001D1E8F"/>
    <w:rsid w:val="001D34E2"/>
    <w:rsid w:val="001D47E1"/>
    <w:rsid w:val="001D48F5"/>
    <w:rsid w:val="001D4F73"/>
    <w:rsid w:val="001D5558"/>
    <w:rsid w:val="001D5BE1"/>
    <w:rsid w:val="001D5E57"/>
    <w:rsid w:val="001D640A"/>
    <w:rsid w:val="001D640C"/>
    <w:rsid w:val="001D657A"/>
    <w:rsid w:val="001D7B6F"/>
    <w:rsid w:val="001D7FBC"/>
    <w:rsid w:val="001E047A"/>
    <w:rsid w:val="001E153C"/>
    <w:rsid w:val="001E17C7"/>
    <w:rsid w:val="001E1C02"/>
    <w:rsid w:val="001E2123"/>
    <w:rsid w:val="001E2609"/>
    <w:rsid w:val="001E29FA"/>
    <w:rsid w:val="001E31A7"/>
    <w:rsid w:val="001E3BF5"/>
    <w:rsid w:val="001E46E1"/>
    <w:rsid w:val="001E4769"/>
    <w:rsid w:val="001E50CB"/>
    <w:rsid w:val="001E56E5"/>
    <w:rsid w:val="001E5CC1"/>
    <w:rsid w:val="001E65A9"/>
    <w:rsid w:val="001E6C84"/>
    <w:rsid w:val="001E741F"/>
    <w:rsid w:val="001F0C10"/>
    <w:rsid w:val="001F0FD4"/>
    <w:rsid w:val="001F1736"/>
    <w:rsid w:val="001F1BA3"/>
    <w:rsid w:val="001F1D1C"/>
    <w:rsid w:val="001F3179"/>
    <w:rsid w:val="001F3FE4"/>
    <w:rsid w:val="001F4188"/>
    <w:rsid w:val="001F4190"/>
    <w:rsid w:val="001F4616"/>
    <w:rsid w:val="001F4DE5"/>
    <w:rsid w:val="001F4F34"/>
    <w:rsid w:val="001F4F67"/>
    <w:rsid w:val="001F597A"/>
    <w:rsid w:val="001F5B58"/>
    <w:rsid w:val="001F5FFD"/>
    <w:rsid w:val="001F7452"/>
    <w:rsid w:val="001F75A7"/>
    <w:rsid w:val="001F7630"/>
    <w:rsid w:val="001F7C93"/>
    <w:rsid w:val="00200187"/>
    <w:rsid w:val="002003A8"/>
    <w:rsid w:val="00200624"/>
    <w:rsid w:val="002009AD"/>
    <w:rsid w:val="00200DD0"/>
    <w:rsid w:val="00201961"/>
    <w:rsid w:val="0020228B"/>
    <w:rsid w:val="00202291"/>
    <w:rsid w:val="00202B75"/>
    <w:rsid w:val="00203065"/>
    <w:rsid w:val="00203820"/>
    <w:rsid w:val="0020418F"/>
    <w:rsid w:val="00204607"/>
    <w:rsid w:val="0020469E"/>
    <w:rsid w:val="00204B22"/>
    <w:rsid w:val="00204FE9"/>
    <w:rsid w:val="00205315"/>
    <w:rsid w:val="00207092"/>
    <w:rsid w:val="00207269"/>
    <w:rsid w:val="002077C5"/>
    <w:rsid w:val="002077F5"/>
    <w:rsid w:val="00207B37"/>
    <w:rsid w:val="00207B65"/>
    <w:rsid w:val="00207F6E"/>
    <w:rsid w:val="00210C24"/>
    <w:rsid w:val="00210D64"/>
    <w:rsid w:val="00211647"/>
    <w:rsid w:val="002116D5"/>
    <w:rsid w:val="00212124"/>
    <w:rsid w:val="0021277A"/>
    <w:rsid w:val="0021324B"/>
    <w:rsid w:val="002132B9"/>
    <w:rsid w:val="00213538"/>
    <w:rsid w:val="00213616"/>
    <w:rsid w:val="002136C5"/>
    <w:rsid w:val="002138F4"/>
    <w:rsid w:val="00213B89"/>
    <w:rsid w:val="00214CCC"/>
    <w:rsid w:val="0021562B"/>
    <w:rsid w:val="00215890"/>
    <w:rsid w:val="00215ECD"/>
    <w:rsid w:val="00215EFD"/>
    <w:rsid w:val="0021675F"/>
    <w:rsid w:val="00216C0F"/>
    <w:rsid w:val="002175B2"/>
    <w:rsid w:val="0021763D"/>
    <w:rsid w:val="00217731"/>
    <w:rsid w:val="00217AE0"/>
    <w:rsid w:val="00217CEA"/>
    <w:rsid w:val="00220012"/>
    <w:rsid w:val="0022007A"/>
    <w:rsid w:val="002200FE"/>
    <w:rsid w:val="0022032D"/>
    <w:rsid w:val="00220412"/>
    <w:rsid w:val="002205E6"/>
    <w:rsid w:val="002215E5"/>
    <w:rsid w:val="00221D3E"/>
    <w:rsid w:val="002220DF"/>
    <w:rsid w:val="00222147"/>
    <w:rsid w:val="0022251E"/>
    <w:rsid w:val="00222929"/>
    <w:rsid w:val="002232F0"/>
    <w:rsid w:val="002244EA"/>
    <w:rsid w:val="0022514F"/>
    <w:rsid w:val="0022520D"/>
    <w:rsid w:val="00225692"/>
    <w:rsid w:val="00226761"/>
    <w:rsid w:val="002267F2"/>
    <w:rsid w:val="00226A3F"/>
    <w:rsid w:val="00226DF0"/>
    <w:rsid w:val="00227050"/>
    <w:rsid w:val="002272E1"/>
    <w:rsid w:val="00227311"/>
    <w:rsid w:val="0022764C"/>
    <w:rsid w:val="002277BE"/>
    <w:rsid w:val="002300AD"/>
    <w:rsid w:val="00230447"/>
    <w:rsid w:val="00230BF5"/>
    <w:rsid w:val="00230DB1"/>
    <w:rsid w:val="00230FDE"/>
    <w:rsid w:val="00231A14"/>
    <w:rsid w:val="00231BD1"/>
    <w:rsid w:val="002327CE"/>
    <w:rsid w:val="002328E4"/>
    <w:rsid w:val="002339C2"/>
    <w:rsid w:val="00233C70"/>
    <w:rsid w:val="002344C4"/>
    <w:rsid w:val="00234E10"/>
    <w:rsid w:val="00235233"/>
    <w:rsid w:val="00235472"/>
    <w:rsid w:val="002355CC"/>
    <w:rsid w:val="0023575A"/>
    <w:rsid w:val="00235E58"/>
    <w:rsid w:val="00235EF5"/>
    <w:rsid w:val="00235F71"/>
    <w:rsid w:val="00236CE3"/>
    <w:rsid w:val="00236D53"/>
    <w:rsid w:val="00237E1A"/>
    <w:rsid w:val="002402AD"/>
    <w:rsid w:val="00240587"/>
    <w:rsid w:val="002408EC"/>
    <w:rsid w:val="002411E5"/>
    <w:rsid w:val="00241A7F"/>
    <w:rsid w:val="00241C18"/>
    <w:rsid w:val="0024294E"/>
    <w:rsid w:val="00242B74"/>
    <w:rsid w:val="00242D56"/>
    <w:rsid w:val="0024366C"/>
    <w:rsid w:val="00243775"/>
    <w:rsid w:val="0024380C"/>
    <w:rsid w:val="0024394F"/>
    <w:rsid w:val="00243D3F"/>
    <w:rsid w:val="00243E1F"/>
    <w:rsid w:val="00244288"/>
    <w:rsid w:val="00244804"/>
    <w:rsid w:val="00244909"/>
    <w:rsid w:val="00244DFD"/>
    <w:rsid w:val="00244EC3"/>
    <w:rsid w:val="00245036"/>
    <w:rsid w:val="002456F3"/>
    <w:rsid w:val="00245EBD"/>
    <w:rsid w:val="00245EEE"/>
    <w:rsid w:val="00247369"/>
    <w:rsid w:val="0024746D"/>
    <w:rsid w:val="0024757D"/>
    <w:rsid w:val="0024777B"/>
    <w:rsid w:val="00250088"/>
    <w:rsid w:val="002502FF"/>
    <w:rsid w:val="00250339"/>
    <w:rsid w:val="00250CB7"/>
    <w:rsid w:val="00251957"/>
    <w:rsid w:val="00251B6F"/>
    <w:rsid w:val="00251D5D"/>
    <w:rsid w:val="00251D5F"/>
    <w:rsid w:val="00251F58"/>
    <w:rsid w:val="00252523"/>
    <w:rsid w:val="00252E63"/>
    <w:rsid w:val="002533BB"/>
    <w:rsid w:val="002535F7"/>
    <w:rsid w:val="00253933"/>
    <w:rsid w:val="00255833"/>
    <w:rsid w:val="00255CE1"/>
    <w:rsid w:val="002563BB"/>
    <w:rsid w:val="002567A9"/>
    <w:rsid w:val="00256860"/>
    <w:rsid w:val="00257055"/>
    <w:rsid w:val="002572E5"/>
    <w:rsid w:val="00257428"/>
    <w:rsid w:val="00257621"/>
    <w:rsid w:val="002576D8"/>
    <w:rsid w:val="002579A5"/>
    <w:rsid w:val="00257C78"/>
    <w:rsid w:val="0026011A"/>
    <w:rsid w:val="00261F11"/>
    <w:rsid w:val="002623F7"/>
    <w:rsid w:val="002625B8"/>
    <w:rsid w:val="00262825"/>
    <w:rsid w:val="002628D8"/>
    <w:rsid w:val="00262A50"/>
    <w:rsid w:val="00262A96"/>
    <w:rsid w:val="0026344D"/>
    <w:rsid w:val="00263674"/>
    <w:rsid w:val="00263CA0"/>
    <w:rsid w:val="00263FE8"/>
    <w:rsid w:val="00264296"/>
    <w:rsid w:val="00264FB8"/>
    <w:rsid w:val="0026527D"/>
    <w:rsid w:val="002657EE"/>
    <w:rsid w:val="00265860"/>
    <w:rsid w:val="002658B4"/>
    <w:rsid w:val="00266252"/>
    <w:rsid w:val="002668A5"/>
    <w:rsid w:val="0026743B"/>
    <w:rsid w:val="00267887"/>
    <w:rsid w:val="00267CE3"/>
    <w:rsid w:val="0027064F"/>
    <w:rsid w:val="00270BA7"/>
    <w:rsid w:val="00270E1E"/>
    <w:rsid w:val="00271755"/>
    <w:rsid w:val="00271DA0"/>
    <w:rsid w:val="00271E0E"/>
    <w:rsid w:val="0027217F"/>
    <w:rsid w:val="002736BC"/>
    <w:rsid w:val="00273974"/>
    <w:rsid w:val="00273D0B"/>
    <w:rsid w:val="00273D49"/>
    <w:rsid w:val="002740AF"/>
    <w:rsid w:val="002749D6"/>
    <w:rsid w:val="00274D2C"/>
    <w:rsid w:val="00274FC2"/>
    <w:rsid w:val="002754BC"/>
    <w:rsid w:val="00276107"/>
    <w:rsid w:val="0027627D"/>
    <w:rsid w:val="00276621"/>
    <w:rsid w:val="00276841"/>
    <w:rsid w:val="00276A3A"/>
    <w:rsid w:val="00276DC1"/>
    <w:rsid w:val="00276EAF"/>
    <w:rsid w:val="002770D9"/>
    <w:rsid w:val="0027737C"/>
    <w:rsid w:val="00277921"/>
    <w:rsid w:val="00281422"/>
    <w:rsid w:val="00281CD7"/>
    <w:rsid w:val="00281F2F"/>
    <w:rsid w:val="002832F3"/>
    <w:rsid w:val="00283C07"/>
    <w:rsid w:val="00284461"/>
    <w:rsid w:val="0028489D"/>
    <w:rsid w:val="00284F03"/>
    <w:rsid w:val="00285598"/>
    <w:rsid w:val="00285A04"/>
    <w:rsid w:val="00285B3A"/>
    <w:rsid w:val="00285B66"/>
    <w:rsid w:val="00285E9D"/>
    <w:rsid w:val="002879E0"/>
    <w:rsid w:val="00287C46"/>
    <w:rsid w:val="00290669"/>
    <w:rsid w:val="00290BAC"/>
    <w:rsid w:val="00290C68"/>
    <w:rsid w:val="00290E60"/>
    <w:rsid w:val="00291557"/>
    <w:rsid w:val="00293A05"/>
    <w:rsid w:val="00293B5C"/>
    <w:rsid w:val="00293F5C"/>
    <w:rsid w:val="00294147"/>
    <w:rsid w:val="00294855"/>
    <w:rsid w:val="0029487F"/>
    <w:rsid w:val="00296D58"/>
    <w:rsid w:val="00296F4F"/>
    <w:rsid w:val="002970AE"/>
    <w:rsid w:val="00297541"/>
    <w:rsid w:val="00297A35"/>
    <w:rsid w:val="00297FAC"/>
    <w:rsid w:val="002A0259"/>
    <w:rsid w:val="002A06AA"/>
    <w:rsid w:val="002A0970"/>
    <w:rsid w:val="002A12C0"/>
    <w:rsid w:val="002A12D8"/>
    <w:rsid w:val="002A18B7"/>
    <w:rsid w:val="002A1D2B"/>
    <w:rsid w:val="002A369C"/>
    <w:rsid w:val="002A4B1E"/>
    <w:rsid w:val="002A4D93"/>
    <w:rsid w:val="002A5BB8"/>
    <w:rsid w:val="002A5D1C"/>
    <w:rsid w:val="002A604C"/>
    <w:rsid w:val="002A61E1"/>
    <w:rsid w:val="002A6B65"/>
    <w:rsid w:val="002A6C08"/>
    <w:rsid w:val="002A6DC5"/>
    <w:rsid w:val="002A6ECB"/>
    <w:rsid w:val="002A7349"/>
    <w:rsid w:val="002A77B1"/>
    <w:rsid w:val="002A7966"/>
    <w:rsid w:val="002A7A98"/>
    <w:rsid w:val="002B01A0"/>
    <w:rsid w:val="002B02E0"/>
    <w:rsid w:val="002B0337"/>
    <w:rsid w:val="002B0459"/>
    <w:rsid w:val="002B08E7"/>
    <w:rsid w:val="002B0920"/>
    <w:rsid w:val="002B1A32"/>
    <w:rsid w:val="002B1F1A"/>
    <w:rsid w:val="002B220E"/>
    <w:rsid w:val="002B31B9"/>
    <w:rsid w:val="002B3228"/>
    <w:rsid w:val="002B3391"/>
    <w:rsid w:val="002B4F51"/>
    <w:rsid w:val="002B5C5F"/>
    <w:rsid w:val="002B68F1"/>
    <w:rsid w:val="002B6C5B"/>
    <w:rsid w:val="002B7221"/>
    <w:rsid w:val="002B77BA"/>
    <w:rsid w:val="002B7DA1"/>
    <w:rsid w:val="002C0F25"/>
    <w:rsid w:val="002C151A"/>
    <w:rsid w:val="002C1542"/>
    <w:rsid w:val="002C19EE"/>
    <w:rsid w:val="002C2BEC"/>
    <w:rsid w:val="002C333C"/>
    <w:rsid w:val="002C3C4C"/>
    <w:rsid w:val="002C3CFB"/>
    <w:rsid w:val="002C3F66"/>
    <w:rsid w:val="002C4ED2"/>
    <w:rsid w:val="002C595D"/>
    <w:rsid w:val="002C5C76"/>
    <w:rsid w:val="002C66A2"/>
    <w:rsid w:val="002C6D5B"/>
    <w:rsid w:val="002C718C"/>
    <w:rsid w:val="002C7516"/>
    <w:rsid w:val="002C7872"/>
    <w:rsid w:val="002C7A2F"/>
    <w:rsid w:val="002D11FA"/>
    <w:rsid w:val="002D1C39"/>
    <w:rsid w:val="002D21F7"/>
    <w:rsid w:val="002D27B1"/>
    <w:rsid w:val="002D2E9D"/>
    <w:rsid w:val="002D2F73"/>
    <w:rsid w:val="002D319B"/>
    <w:rsid w:val="002D3A51"/>
    <w:rsid w:val="002D3F9F"/>
    <w:rsid w:val="002D495A"/>
    <w:rsid w:val="002D4ADD"/>
    <w:rsid w:val="002D4B50"/>
    <w:rsid w:val="002D4DC5"/>
    <w:rsid w:val="002D57FB"/>
    <w:rsid w:val="002D698D"/>
    <w:rsid w:val="002D6EE6"/>
    <w:rsid w:val="002D7887"/>
    <w:rsid w:val="002D7926"/>
    <w:rsid w:val="002D7EE6"/>
    <w:rsid w:val="002E0484"/>
    <w:rsid w:val="002E04B7"/>
    <w:rsid w:val="002E0A4F"/>
    <w:rsid w:val="002E0E20"/>
    <w:rsid w:val="002E0E51"/>
    <w:rsid w:val="002E1C74"/>
    <w:rsid w:val="002E1CE6"/>
    <w:rsid w:val="002E32D6"/>
    <w:rsid w:val="002E3B90"/>
    <w:rsid w:val="002E3FB7"/>
    <w:rsid w:val="002E4832"/>
    <w:rsid w:val="002E4EAA"/>
    <w:rsid w:val="002E50AB"/>
    <w:rsid w:val="002E59F7"/>
    <w:rsid w:val="002E61F3"/>
    <w:rsid w:val="002E6F59"/>
    <w:rsid w:val="002E73BE"/>
    <w:rsid w:val="002E79DC"/>
    <w:rsid w:val="002F03E6"/>
    <w:rsid w:val="002F0F1D"/>
    <w:rsid w:val="002F198A"/>
    <w:rsid w:val="002F1ACE"/>
    <w:rsid w:val="002F203D"/>
    <w:rsid w:val="002F279D"/>
    <w:rsid w:val="002F3799"/>
    <w:rsid w:val="002F393E"/>
    <w:rsid w:val="002F3BC7"/>
    <w:rsid w:val="002F3FB7"/>
    <w:rsid w:val="002F415D"/>
    <w:rsid w:val="002F47FA"/>
    <w:rsid w:val="002F534E"/>
    <w:rsid w:val="002F57B4"/>
    <w:rsid w:val="002F5947"/>
    <w:rsid w:val="002F5D36"/>
    <w:rsid w:val="002F6653"/>
    <w:rsid w:val="002F6DEC"/>
    <w:rsid w:val="002F6EAE"/>
    <w:rsid w:val="002F6EB4"/>
    <w:rsid w:val="002F6FCC"/>
    <w:rsid w:val="002F762F"/>
    <w:rsid w:val="002F778A"/>
    <w:rsid w:val="002F7871"/>
    <w:rsid w:val="002F79CC"/>
    <w:rsid w:val="002F7DC0"/>
    <w:rsid w:val="002F7E3E"/>
    <w:rsid w:val="00300084"/>
    <w:rsid w:val="003001D7"/>
    <w:rsid w:val="003003A3"/>
    <w:rsid w:val="00300E39"/>
    <w:rsid w:val="00301457"/>
    <w:rsid w:val="0030199A"/>
    <w:rsid w:val="00301BB6"/>
    <w:rsid w:val="00301CD3"/>
    <w:rsid w:val="00301FDB"/>
    <w:rsid w:val="0030228D"/>
    <w:rsid w:val="003022BA"/>
    <w:rsid w:val="0030230C"/>
    <w:rsid w:val="00302626"/>
    <w:rsid w:val="00302697"/>
    <w:rsid w:val="00302861"/>
    <w:rsid w:val="00302D35"/>
    <w:rsid w:val="00302D41"/>
    <w:rsid w:val="00302D67"/>
    <w:rsid w:val="00303822"/>
    <w:rsid w:val="00303D20"/>
    <w:rsid w:val="00304185"/>
    <w:rsid w:val="00304E28"/>
    <w:rsid w:val="00305092"/>
    <w:rsid w:val="00305831"/>
    <w:rsid w:val="00305AF9"/>
    <w:rsid w:val="00305EC0"/>
    <w:rsid w:val="003064C2"/>
    <w:rsid w:val="00306643"/>
    <w:rsid w:val="0030692F"/>
    <w:rsid w:val="00307274"/>
    <w:rsid w:val="003074DE"/>
    <w:rsid w:val="00307815"/>
    <w:rsid w:val="003078A4"/>
    <w:rsid w:val="00307F86"/>
    <w:rsid w:val="00310DDC"/>
    <w:rsid w:val="00311479"/>
    <w:rsid w:val="003116DE"/>
    <w:rsid w:val="003119BE"/>
    <w:rsid w:val="00312564"/>
    <w:rsid w:val="003127F3"/>
    <w:rsid w:val="003127F9"/>
    <w:rsid w:val="00312F10"/>
    <w:rsid w:val="00313166"/>
    <w:rsid w:val="00313184"/>
    <w:rsid w:val="00313248"/>
    <w:rsid w:val="0031329C"/>
    <w:rsid w:val="00313395"/>
    <w:rsid w:val="003135FD"/>
    <w:rsid w:val="00313662"/>
    <w:rsid w:val="003138CB"/>
    <w:rsid w:val="00313F58"/>
    <w:rsid w:val="003143A2"/>
    <w:rsid w:val="003146AB"/>
    <w:rsid w:val="003146BB"/>
    <w:rsid w:val="00314963"/>
    <w:rsid w:val="00314968"/>
    <w:rsid w:val="00315045"/>
    <w:rsid w:val="00315700"/>
    <w:rsid w:val="00316ADC"/>
    <w:rsid w:val="00320661"/>
    <w:rsid w:val="00321264"/>
    <w:rsid w:val="00321B13"/>
    <w:rsid w:val="00321DE4"/>
    <w:rsid w:val="00322063"/>
    <w:rsid w:val="00322314"/>
    <w:rsid w:val="0032262C"/>
    <w:rsid w:val="003229B6"/>
    <w:rsid w:val="00322EA1"/>
    <w:rsid w:val="003232DC"/>
    <w:rsid w:val="00324469"/>
    <w:rsid w:val="00324797"/>
    <w:rsid w:val="00325557"/>
    <w:rsid w:val="00325642"/>
    <w:rsid w:val="00326BD2"/>
    <w:rsid w:val="00326FF8"/>
    <w:rsid w:val="003271B6"/>
    <w:rsid w:val="00327421"/>
    <w:rsid w:val="00327B98"/>
    <w:rsid w:val="00327EF7"/>
    <w:rsid w:val="00327F61"/>
    <w:rsid w:val="003320A8"/>
    <w:rsid w:val="003326E4"/>
    <w:rsid w:val="00332949"/>
    <w:rsid w:val="00332A60"/>
    <w:rsid w:val="00332E7C"/>
    <w:rsid w:val="00332EAD"/>
    <w:rsid w:val="0033334E"/>
    <w:rsid w:val="003336B0"/>
    <w:rsid w:val="003337E7"/>
    <w:rsid w:val="00333933"/>
    <w:rsid w:val="00333D45"/>
    <w:rsid w:val="00334013"/>
    <w:rsid w:val="00334068"/>
    <w:rsid w:val="003349F0"/>
    <w:rsid w:val="00334AD0"/>
    <w:rsid w:val="00336854"/>
    <w:rsid w:val="00336F54"/>
    <w:rsid w:val="003378B6"/>
    <w:rsid w:val="00340318"/>
    <w:rsid w:val="00340807"/>
    <w:rsid w:val="0034092A"/>
    <w:rsid w:val="00340D41"/>
    <w:rsid w:val="003410CC"/>
    <w:rsid w:val="00341411"/>
    <w:rsid w:val="0034152E"/>
    <w:rsid w:val="00341B7D"/>
    <w:rsid w:val="00341B89"/>
    <w:rsid w:val="00342527"/>
    <w:rsid w:val="00342760"/>
    <w:rsid w:val="00342955"/>
    <w:rsid w:val="00342CAD"/>
    <w:rsid w:val="0034310B"/>
    <w:rsid w:val="0034319D"/>
    <w:rsid w:val="00343635"/>
    <w:rsid w:val="00343F1D"/>
    <w:rsid w:val="003443A6"/>
    <w:rsid w:val="00344A3E"/>
    <w:rsid w:val="003466C4"/>
    <w:rsid w:val="00346E32"/>
    <w:rsid w:val="003472EF"/>
    <w:rsid w:val="00347366"/>
    <w:rsid w:val="0034797D"/>
    <w:rsid w:val="003502F1"/>
    <w:rsid w:val="00351D8D"/>
    <w:rsid w:val="00351FAC"/>
    <w:rsid w:val="00352751"/>
    <w:rsid w:val="003529E6"/>
    <w:rsid w:val="00352C83"/>
    <w:rsid w:val="0035361D"/>
    <w:rsid w:val="00353C1F"/>
    <w:rsid w:val="00353EB4"/>
    <w:rsid w:val="00354436"/>
    <w:rsid w:val="00354645"/>
    <w:rsid w:val="003551EE"/>
    <w:rsid w:val="00355505"/>
    <w:rsid w:val="00356E35"/>
    <w:rsid w:val="003570A4"/>
    <w:rsid w:val="003573BF"/>
    <w:rsid w:val="00357ACA"/>
    <w:rsid w:val="00357D46"/>
    <w:rsid w:val="00357DAF"/>
    <w:rsid w:val="003600EC"/>
    <w:rsid w:val="00360BEC"/>
    <w:rsid w:val="00361336"/>
    <w:rsid w:val="0036158D"/>
    <w:rsid w:val="00361ABF"/>
    <w:rsid w:val="00361D3B"/>
    <w:rsid w:val="00361FBC"/>
    <w:rsid w:val="00362236"/>
    <w:rsid w:val="00362B31"/>
    <w:rsid w:val="00364123"/>
    <w:rsid w:val="003649C1"/>
    <w:rsid w:val="00364C87"/>
    <w:rsid w:val="003650D1"/>
    <w:rsid w:val="0036519B"/>
    <w:rsid w:val="0036550E"/>
    <w:rsid w:val="00365FB1"/>
    <w:rsid w:val="00366399"/>
    <w:rsid w:val="00366519"/>
    <w:rsid w:val="003667C7"/>
    <w:rsid w:val="00366E2F"/>
    <w:rsid w:val="00367AAC"/>
    <w:rsid w:val="00367BF3"/>
    <w:rsid w:val="00367D6E"/>
    <w:rsid w:val="00370833"/>
    <w:rsid w:val="00371580"/>
    <w:rsid w:val="003718DF"/>
    <w:rsid w:val="003724E8"/>
    <w:rsid w:val="003729B6"/>
    <w:rsid w:val="00372A07"/>
    <w:rsid w:val="00373450"/>
    <w:rsid w:val="00373B5F"/>
    <w:rsid w:val="00374454"/>
    <w:rsid w:val="003747A4"/>
    <w:rsid w:val="00375BBC"/>
    <w:rsid w:val="00375F46"/>
    <w:rsid w:val="00376166"/>
    <w:rsid w:val="00376474"/>
    <w:rsid w:val="00377A17"/>
    <w:rsid w:val="003800D7"/>
    <w:rsid w:val="00380779"/>
    <w:rsid w:val="003807FF"/>
    <w:rsid w:val="0038136C"/>
    <w:rsid w:val="00381E09"/>
    <w:rsid w:val="003823A0"/>
    <w:rsid w:val="00382750"/>
    <w:rsid w:val="0038307A"/>
    <w:rsid w:val="00383750"/>
    <w:rsid w:val="00383ABF"/>
    <w:rsid w:val="00383AD8"/>
    <w:rsid w:val="00384658"/>
    <w:rsid w:val="0038497B"/>
    <w:rsid w:val="003849A0"/>
    <w:rsid w:val="00385449"/>
    <w:rsid w:val="0038574E"/>
    <w:rsid w:val="00386029"/>
    <w:rsid w:val="0038617E"/>
    <w:rsid w:val="0038659F"/>
    <w:rsid w:val="003868E2"/>
    <w:rsid w:val="003868E5"/>
    <w:rsid w:val="00386DB2"/>
    <w:rsid w:val="0038705B"/>
    <w:rsid w:val="00387097"/>
    <w:rsid w:val="0038784C"/>
    <w:rsid w:val="00387A9F"/>
    <w:rsid w:val="003901A9"/>
    <w:rsid w:val="00390202"/>
    <w:rsid w:val="0039093D"/>
    <w:rsid w:val="00390B48"/>
    <w:rsid w:val="0039141B"/>
    <w:rsid w:val="00391DFD"/>
    <w:rsid w:val="00391F33"/>
    <w:rsid w:val="0039209C"/>
    <w:rsid w:val="00392182"/>
    <w:rsid w:val="003921C0"/>
    <w:rsid w:val="003929DD"/>
    <w:rsid w:val="00392A3C"/>
    <w:rsid w:val="00392D88"/>
    <w:rsid w:val="00392E24"/>
    <w:rsid w:val="0039348A"/>
    <w:rsid w:val="0039398E"/>
    <w:rsid w:val="00393C01"/>
    <w:rsid w:val="00393D8B"/>
    <w:rsid w:val="0039437A"/>
    <w:rsid w:val="003956F2"/>
    <w:rsid w:val="0039615A"/>
    <w:rsid w:val="00396962"/>
    <w:rsid w:val="00396A6F"/>
    <w:rsid w:val="00396BA3"/>
    <w:rsid w:val="00396CE5"/>
    <w:rsid w:val="00396DB1"/>
    <w:rsid w:val="0039716A"/>
    <w:rsid w:val="0039753F"/>
    <w:rsid w:val="0039760C"/>
    <w:rsid w:val="003978B5"/>
    <w:rsid w:val="00397E6E"/>
    <w:rsid w:val="003A0434"/>
    <w:rsid w:val="003A06C7"/>
    <w:rsid w:val="003A0F71"/>
    <w:rsid w:val="003A16CC"/>
    <w:rsid w:val="003A16E0"/>
    <w:rsid w:val="003A1980"/>
    <w:rsid w:val="003A1A66"/>
    <w:rsid w:val="003A1DE3"/>
    <w:rsid w:val="003A1EF9"/>
    <w:rsid w:val="003A28BC"/>
    <w:rsid w:val="003A2EE8"/>
    <w:rsid w:val="003A3356"/>
    <w:rsid w:val="003A384D"/>
    <w:rsid w:val="003A45EF"/>
    <w:rsid w:val="003A481B"/>
    <w:rsid w:val="003A49CA"/>
    <w:rsid w:val="003A52ED"/>
    <w:rsid w:val="003A55BD"/>
    <w:rsid w:val="003A5980"/>
    <w:rsid w:val="003A5A15"/>
    <w:rsid w:val="003A5F9D"/>
    <w:rsid w:val="003A64E6"/>
    <w:rsid w:val="003A6B41"/>
    <w:rsid w:val="003A7115"/>
    <w:rsid w:val="003A7615"/>
    <w:rsid w:val="003A7A71"/>
    <w:rsid w:val="003A7C24"/>
    <w:rsid w:val="003A7C97"/>
    <w:rsid w:val="003A7E51"/>
    <w:rsid w:val="003B01DC"/>
    <w:rsid w:val="003B022E"/>
    <w:rsid w:val="003B0BA0"/>
    <w:rsid w:val="003B0C77"/>
    <w:rsid w:val="003B0D39"/>
    <w:rsid w:val="003B0E14"/>
    <w:rsid w:val="003B0EBB"/>
    <w:rsid w:val="003B0FC9"/>
    <w:rsid w:val="003B1650"/>
    <w:rsid w:val="003B1F6D"/>
    <w:rsid w:val="003B2506"/>
    <w:rsid w:val="003B2B0F"/>
    <w:rsid w:val="003B32D6"/>
    <w:rsid w:val="003B36B2"/>
    <w:rsid w:val="003B3DEC"/>
    <w:rsid w:val="003B4008"/>
    <w:rsid w:val="003B4141"/>
    <w:rsid w:val="003B498A"/>
    <w:rsid w:val="003B4EEE"/>
    <w:rsid w:val="003B587B"/>
    <w:rsid w:val="003B5B1E"/>
    <w:rsid w:val="003B5D1D"/>
    <w:rsid w:val="003B6054"/>
    <w:rsid w:val="003B61EA"/>
    <w:rsid w:val="003B6859"/>
    <w:rsid w:val="003B692E"/>
    <w:rsid w:val="003B6DC0"/>
    <w:rsid w:val="003B6E3E"/>
    <w:rsid w:val="003B754A"/>
    <w:rsid w:val="003B7784"/>
    <w:rsid w:val="003B7813"/>
    <w:rsid w:val="003B7832"/>
    <w:rsid w:val="003C055F"/>
    <w:rsid w:val="003C0A33"/>
    <w:rsid w:val="003C0E04"/>
    <w:rsid w:val="003C10E4"/>
    <w:rsid w:val="003C15AD"/>
    <w:rsid w:val="003C1A51"/>
    <w:rsid w:val="003C1DCA"/>
    <w:rsid w:val="003C2175"/>
    <w:rsid w:val="003C285A"/>
    <w:rsid w:val="003C3626"/>
    <w:rsid w:val="003C3D57"/>
    <w:rsid w:val="003C486C"/>
    <w:rsid w:val="003C4B3E"/>
    <w:rsid w:val="003C4C71"/>
    <w:rsid w:val="003C4D7E"/>
    <w:rsid w:val="003C4EA0"/>
    <w:rsid w:val="003C55F0"/>
    <w:rsid w:val="003C5731"/>
    <w:rsid w:val="003C5779"/>
    <w:rsid w:val="003C57B9"/>
    <w:rsid w:val="003C5D09"/>
    <w:rsid w:val="003C70F1"/>
    <w:rsid w:val="003C73C1"/>
    <w:rsid w:val="003C75C1"/>
    <w:rsid w:val="003C786C"/>
    <w:rsid w:val="003D0B3F"/>
    <w:rsid w:val="003D0BD2"/>
    <w:rsid w:val="003D147D"/>
    <w:rsid w:val="003D14A6"/>
    <w:rsid w:val="003D20BB"/>
    <w:rsid w:val="003D24B4"/>
    <w:rsid w:val="003D258E"/>
    <w:rsid w:val="003D2C30"/>
    <w:rsid w:val="003D3084"/>
    <w:rsid w:val="003D34E8"/>
    <w:rsid w:val="003D3A62"/>
    <w:rsid w:val="003D3F5A"/>
    <w:rsid w:val="003D47B6"/>
    <w:rsid w:val="003D5451"/>
    <w:rsid w:val="003D5FBC"/>
    <w:rsid w:val="003D667B"/>
    <w:rsid w:val="003D6A20"/>
    <w:rsid w:val="003D70EF"/>
    <w:rsid w:val="003E06CA"/>
    <w:rsid w:val="003E075E"/>
    <w:rsid w:val="003E07C2"/>
    <w:rsid w:val="003E1011"/>
    <w:rsid w:val="003E165E"/>
    <w:rsid w:val="003E16E9"/>
    <w:rsid w:val="003E180C"/>
    <w:rsid w:val="003E184D"/>
    <w:rsid w:val="003E1C65"/>
    <w:rsid w:val="003E2090"/>
    <w:rsid w:val="003E2C25"/>
    <w:rsid w:val="003E3383"/>
    <w:rsid w:val="003E4068"/>
    <w:rsid w:val="003E40FA"/>
    <w:rsid w:val="003E41BF"/>
    <w:rsid w:val="003E4263"/>
    <w:rsid w:val="003E4515"/>
    <w:rsid w:val="003E508A"/>
    <w:rsid w:val="003E61D6"/>
    <w:rsid w:val="003E624A"/>
    <w:rsid w:val="003E66F1"/>
    <w:rsid w:val="003E69E5"/>
    <w:rsid w:val="003E6C99"/>
    <w:rsid w:val="003E71FB"/>
    <w:rsid w:val="003E73A6"/>
    <w:rsid w:val="003E7B02"/>
    <w:rsid w:val="003E7F78"/>
    <w:rsid w:val="003E7F79"/>
    <w:rsid w:val="003F0352"/>
    <w:rsid w:val="003F0B55"/>
    <w:rsid w:val="003F0B80"/>
    <w:rsid w:val="003F1CF5"/>
    <w:rsid w:val="003F2345"/>
    <w:rsid w:val="003F2971"/>
    <w:rsid w:val="003F31E3"/>
    <w:rsid w:val="003F37BF"/>
    <w:rsid w:val="003F37ED"/>
    <w:rsid w:val="003F385D"/>
    <w:rsid w:val="003F3892"/>
    <w:rsid w:val="003F414D"/>
    <w:rsid w:val="003F448A"/>
    <w:rsid w:val="003F4780"/>
    <w:rsid w:val="003F49D1"/>
    <w:rsid w:val="003F4CFE"/>
    <w:rsid w:val="003F5C78"/>
    <w:rsid w:val="003F6005"/>
    <w:rsid w:val="003F66D1"/>
    <w:rsid w:val="003F6F87"/>
    <w:rsid w:val="003F7453"/>
    <w:rsid w:val="003F7492"/>
    <w:rsid w:val="003F79A9"/>
    <w:rsid w:val="003F7BCE"/>
    <w:rsid w:val="00400C05"/>
    <w:rsid w:val="00400C3D"/>
    <w:rsid w:val="00400D57"/>
    <w:rsid w:val="0040133F"/>
    <w:rsid w:val="00401502"/>
    <w:rsid w:val="0040209F"/>
    <w:rsid w:val="004020BC"/>
    <w:rsid w:val="00402718"/>
    <w:rsid w:val="00402802"/>
    <w:rsid w:val="00402818"/>
    <w:rsid w:val="004038BB"/>
    <w:rsid w:val="00404036"/>
    <w:rsid w:val="00404089"/>
    <w:rsid w:val="00404B80"/>
    <w:rsid w:val="00405759"/>
    <w:rsid w:val="0040592B"/>
    <w:rsid w:val="004060FD"/>
    <w:rsid w:val="00406693"/>
    <w:rsid w:val="00406DEF"/>
    <w:rsid w:val="00407067"/>
    <w:rsid w:val="00407077"/>
    <w:rsid w:val="004072C5"/>
    <w:rsid w:val="004079FB"/>
    <w:rsid w:val="00407FD2"/>
    <w:rsid w:val="00410697"/>
    <w:rsid w:val="00410818"/>
    <w:rsid w:val="00411A5E"/>
    <w:rsid w:val="004121A6"/>
    <w:rsid w:val="00412517"/>
    <w:rsid w:val="00412A7D"/>
    <w:rsid w:val="00412ECA"/>
    <w:rsid w:val="00414044"/>
    <w:rsid w:val="0041405F"/>
    <w:rsid w:val="0041407E"/>
    <w:rsid w:val="00414407"/>
    <w:rsid w:val="00414466"/>
    <w:rsid w:val="00414898"/>
    <w:rsid w:val="00414F78"/>
    <w:rsid w:val="004156AB"/>
    <w:rsid w:val="00415E59"/>
    <w:rsid w:val="00416302"/>
    <w:rsid w:val="00417266"/>
    <w:rsid w:val="004175F2"/>
    <w:rsid w:val="00417EC7"/>
    <w:rsid w:val="004209CB"/>
    <w:rsid w:val="004215BB"/>
    <w:rsid w:val="004219F2"/>
    <w:rsid w:val="00421BD0"/>
    <w:rsid w:val="00421C23"/>
    <w:rsid w:val="004225E6"/>
    <w:rsid w:val="00422C6C"/>
    <w:rsid w:val="00423167"/>
    <w:rsid w:val="004239A5"/>
    <w:rsid w:val="00424860"/>
    <w:rsid w:val="00424D92"/>
    <w:rsid w:val="00425B2A"/>
    <w:rsid w:val="00426153"/>
    <w:rsid w:val="004265AD"/>
    <w:rsid w:val="00426A47"/>
    <w:rsid w:val="00426CE0"/>
    <w:rsid w:val="0042760D"/>
    <w:rsid w:val="00427657"/>
    <w:rsid w:val="004277EE"/>
    <w:rsid w:val="00430B44"/>
    <w:rsid w:val="00430BB8"/>
    <w:rsid w:val="0043163B"/>
    <w:rsid w:val="00433855"/>
    <w:rsid w:val="00433988"/>
    <w:rsid w:val="004343B2"/>
    <w:rsid w:val="00434E08"/>
    <w:rsid w:val="004366A1"/>
    <w:rsid w:val="00436A16"/>
    <w:rsid w:val="00437BC4"/>
    <w:rsid w:val="00437DB0"/>
    <w:rsid w:val="004401B8"/>
    <w:rsid w:val="00440AC1"/>
    <w:rsid w:val="00441AC5"/>
    <w:rsid w:val="00441CFF"/>
    <w:rsid w:val="00442390"/>
    <w:rsid w:val="0044251C"/>
    <w:rsid w:val="0044264C"/>
    <w:rsid w:val="00442FC2"/>
    <w:rsid w:val="0044355C"/>
    <w:rsid w:val="0044384B"/>
    <w:rsid w:val="004443C8"/>
    <w:rsid w:val="004443FB"/>
    <w:rsid w:val="004449B7"/>
    <w:rsid w:val="00444ED6"/>
    <w:rsid w:val="004451B7"/>
    <w:rsid w:val="00445337"/>
    <w:rsid w:val="00445459"/>
    <w:rsid w:val="00445577"/>
    <w:rsid w:val="0044589B"/>
    <w:rsid w:val="004463B9"/>
    <w:rsid w:val="004463CE"/>
    <w:rsid w:val="00446588"/>
    <w:rsid w:val="004465AF"/>
    <w:rsid w:val="00446644"/>
    <w:rsid w:val="00446AD4"/>
    <w:rsid w:val="00446D3E"/>
    <w:rsid w:val="00446D66"/>
    <w:rsid w:val="0044765C"/>
    <w:rsid w:val="00447B0C"/>
    <w:rsid w:val="00447FE0"/>
    <w:rsid w:val="004500E5"/>
    <w:rsid w:val="00450277"/>
    <w:rsid w:val="0045066F"/>
    <w:rsid w:val="00450C7F"/>
    <w:rsid w:val="004513DA"/>
    <w:rsid w:val="00452181"/>
    <w:rsid w:val="00452370"/>
    <w:rsid w:val="0045241C"/>
    <w:rsid w:val="0045244B"/>
    <w:rsid w:val="0045278D"/>
    <w:rsid w:val="00452A5A"/>
    <w:rsid w:val="00452B38"/>
    <w:rsid w:val="00452FFE"/>
    <w:rsid w:val="0045443A"/>
    <w:rsid w:val="004558D9"/>
    <w:rsid w:val="00455D01"/>
    <w:rsid w:val="00455DE2"/>
    <w:rsid w:val="004564B4"/>
    <w:rsid w:val="0045702F"/>
    <w:rsid w:val="00457517"/>
    <w:rsid w:val="00457B80"/>
    <w:rsid w:val="0046005E"/>
    <w:rsid w:val="00460140"/>
    <w:rsid w:val="004605C6"/>
    <w:rsid w:val="0046096B"/>
    <w:rsid w:val="00460A2E"/>
    <w:rsid w:val="00460D5F"/>
    <w:rsid w:val="00460ED6"/>
    <w:rsid w:val="00460FC0"/>
    <w:rsid w:val="0046104D"/>
    <w:rsid w:val="00461253"/>
    <w:rsid w:val="004618F0"/>
    <w:rsid w:val="00461F62"/>
    <w:rsid w:val="00462798"/>
    <w:rsid w:val="00462815"/>
    <w:rsid w:val="00463500"/>
    <w:rsid w:val="0046350E"/>
    <w:rsid w:val="00463554"/>
    <w:rsid w:val="00463D23"/>
    <w:rsid w:val="00463E31"/>
    <w:rsid w:val="00463E4D"/>
    <w:rsid w:val="004643CA"/>
    <w:rsid w:val="004643E3"/>
    <w:rsid w:val="0046459E"/>
    <w:rsid w:val="00464D07"/>
    <w:rsid w:val="00465B8F"/>
    <w:rsid w:val="0046601F"/>
    <w:rsid w:val="00466615"/>
    <w:rsid w:val="004669AE"/>
    <w:rsid w:val="00466CB0"/>
    <w:rsid w:val="00467242"/>
    <w:rsid w:val="00467384"/>
    <w:rsid w:val="0046797D"/>
    <w:rsid w:val="00467A03"/>
    <w:rsid w:val="00467C8A"/>
    <w:rsid w:val="00470633"/>
    <w:rsid w:val="00470C10"/>
    <w:rsid w:val="00470FDD"/>
    <w:rsid w:val="004720AE"/>
    <w:rsid w:val="00472114"/>
    <w:rsid w:val="00472ED9"/>
    <w:rsid w:val="00473933"/>
    <w:rsid w:val="00473C73"/>
    <w:rsid w:val="00474472"/>
    <w:rsid w:val="00474622"/>
    <w:rsid w:val="004758CC"/>
    <w:rsid w:val="00475B69"/>
    <w:rsid w:val="00476264"/>
    <w:rsid w:val="004765C8"/>
    <w:rsid w:val="00476970"/>
    <w:rsid w:val="00476AA5"/>
    <w:rsid w:val="00476C21"/>
    <w:rsid w:val="004772A0"/>
    <w:rsid w:val="0047743E"/>
    <w:rsid w:val="0047749F"/>
    <w:rsid w:val="00477623"/>
    <w:rsid w:val="0048003B"/>
    <w:rsid w:val="004800D7"/>
    <w:rsid w:val="00480543"/>
    <w:rsid w:val="004810DB"/>
    <w:rsid w:val="004816ED"/>
    <w:rsid w:val="00481B9E"/>
    <w:rsid w:val="00482256"/>
    <w:rsid w:val="00482D0C"/>
    <w:rsid w:val="004833A9"/>
    <w:rsid w:val="0048357A"/>
    <w:rsid w:val="0048430D"/>
    <w:rsid w:val="00484504"/>
    <w:rsid w:val="00484B8F"/>
    <w:rsid w:val="00485DA5"/>
    <w:rsid w:val="004868A5"/>
    <w:rsid w:val="00486BB5"/>
    <w:rsid w:val="00487506"/>
    <w:rsid w:val="00487710"/>
    <w:rsid w:val="00487A55"/>
    <w:rsid w:val="00487C87"/>
    <w:rsid w:val="00490B89"/>
    <w:rsid w:val="00490BF7"/>
    <w:rsid w:val="00490CF5"/>
    <w:rsid w:val="0049125E"/>
    <w:rsid w:val="00491352"/>
    <w:rsid w:val="00491612"/>
    <w:rsid w:val="004916D7"/>
    <w:rsid w:val="004919BA"/>
    <w:rsid w:val="00491A4D"/>
    <w:rsid w:val="004922F7"/>
    <w:rsid w:val="0049232F"/>
    <w:rsid w:val="0049261B"/>
    <w:rsid w:val="00492842"/>
    <w:rsid w:val="00492CD7"/>
    <w:rsid w:val="0049354A"/>
    <w:rsid w:val="0049410E"/>
    <w:rsid w:val="004944FC"/>
    <w:rsid w:val="0049457A"/>
    <w:rsid w:val="0049496F"/>
    <w:rsid w:val="00494AC3"/>
    <w:rsid w:val="00494B3E"/>
    <w:rsid w:val="00495657"/>
    <w:rsid w:val="00495E06"/>
    <w:rsid w:val="00495E43"/>
    <w:rsid w:val="00496580"/>
    <w:rsid w:val="00496C5D"/>
    <w:rsid w:val="00497833"/>
    <w:rsid w:val="004A00B9"/>
    <w:rsid w:val="004A0265"/>
    <w:rsid w:val="004A08FD"/>
    <w:rsid w:val="004A0A4E"/>
    <w:rsid w:val="004A1AB1"/>
    <w:rsid w:val="004A1AE9"/>
    <w:rsid w:val="004A1BE9"/>
    <w:rsid w:val="004A1D4D"/>
    <w:rsid w:val="004A1FAA"/>
    <w:rsid w:val="004A2108"/>
    <w:rsid w:val="004A226D"/>
    <w:rsid w:val="004A2C63"/>
    <w:rsid w:val="004A2F4F"/>
    <w:rsid w:val="004A357C"/>
    <w:rsid w:val="004A3E4A"/>
    <w:rsid w:val="004A42E2"/>
    <w:rsid w:val="004A474E"/>
    <w:rsid w:val="004A4980"/>
    <w:rsid w:val="004A4C22"/>
    <w:rsid w:val="004A4CC9"/>
    <w:rsid w:val="004A4ED7"/>
    <w:rsid w:val="004A5801"/>
    <w:rsid w:val="004A587B"/>
    <w:rsid w:val="004A5FF4"/>
    <w:rsid w:val="004A6120"/>
    <w:rsid w:val="004A6BEB"/>
    <w:rsid w:val="004A6F68"/>
    <w:rsid w:val="004A7557"/>
    <w:rsid w:val="004A7AE6"/>
    <w:rsid w:val="004A7F9D"/>
    <w:rsid w:val="004B039C"/>
    <w:rsid w:val="004B0686"/>
    <w:rsid w:val="004B0792"/>
    <w:rsid w:val="004B0C03"/>
    <w:rsid w:val="004B10AE"/>
    <w:rsid w:val="004B1244"/>
    <w:rsid w:val="004B19F8"/>
    <w:rsid w:val="004B1A3A"/>
    <w:rsid w:val="004B1C1D"/>
    <w:rsid w:val="004B1CD8"/>
    <w:rsid w:val="004B1E63"/>
    <w:rsid w:val="004B2655"/>
    <w:rsid w:val="004B3172"/>
    <w:rsid w:val="004B3E48"/>
    <w:rsid w:val="004B3ED6"/>
    <w:rsid w:val="004B4184"/>
    <w:rsid w:val="004B43CF"/>
    <w:rsid w:val="004B4444"/>
    <w:rsid w:val="004B4594"/>
    <w:rsid w:val="004B4BF2"/>
    <w:rsid w:val="004B53CA"/>
    <w:rsid w:val="004B59A5"/>
    <w:rsid w:val="004B611A"/>
    <w:rsid w:val="004B615C"/>
    <w:rsid w:val="004B6346"/>
    <w:rsid w:val="004B650A"/>
    <w:rsid w:val="004B67F3"/>
    <w:rsid w:val="004B6872"/>
    <w:rsid w:val="004B6AF8"/>
    <w:rsid w:val="004B6F5D"/>
    <w:rsid w:val="004B767A"/>
    <w:rsid w:val="004B7F49"/>
    <w:rsid w:val="004C0007"/>
    <w:rsid w:val="004C0096"/>
    <w:rsid w:val="004C0D40"/>
    <w:rsid w:val="004C12C6"/>
    <w:rsid w:val="004C15D7"/>
    <w:rsid w:val="004C18FA"/>
    <w:rsid w:val="004C31C9"/>
    <w:rsid w:val="004C38C5"/>
    <w:rsid w:val="004C3CEF"/>
    <w:rsid w:val="004C407D"/>
    <w:rsid w:val="004C4195"/>
    <w:rsid w:val="004C463C"/>
    <w:rsid w:val="004C4BE7"/>
    <w:rsid w:val="004C5014"/>
    <w:rsid w:val="004C513C"/>
    <w:rsid w:val="004C5572"/>
    <w:rsid w:val="004C5639"/>
    <w:rsid w:val="004C5699"/>
    <w:rsid w:val="004C59EF"/>
    <w:rsid w:val="004C61F7"/>
    <w:rsid w:val="004C6422"/>
    <w:rsid w:val="004C6493"/>
    <w:rsid w:val="004C6846"/>
    <w:rsid w:val="004C6E11"/>
    <w:rsid w:val="004C6EF5"/>
    <w:rsid w:val="004C7112"/>
    <w:rsid w:val="004C79F7"/>
    <w:rsid w:val="004D14EB"/>
    <w:rsid w:val="004D1AF6"/>
    <w:rsid w:val="004D24BD"/>
    <w:rsid w:val="004D2673"/>
    <w:rsid w:val="004D3D45"/>
    <w:rsid w:val="004D3DBA"/>
    <w:rsid w:val="004D40B4"/>
    <w:rsid w:val="004D46C0"/>
    <w:rsid w:val="004D521E"/>
    <w:rsid w:val="004D5EE4"/>
    <w:rsid w:val="004D606E"/>
    <w:rsid w:val="004D6B7E"/>
    <w:rsid w:val="004D6D94"/>
    <w:rsid w:val="004E0483"/>
    <w:rsid w:val="004E238B"/>
    <w:rsid w:val="004E239C"/>
    <w:rsid w:val="004E2CC9"/>
    <w:rsid w:val="004E3303"/>
    <w:rsid w:val="004E38A9"/>
    <w:rsid w:val="004E3B07"/>
    <w:rsid w:val="004E4102"/>
    <w:rsid w:val="004E43B8"/>
    <w:rsid w:val="004E46A8"/>
    <w:rsid w:val="004E4778"/>
    <w:rsid w:val="004E483E"/>
    <w:rsid w:val="004E4C83"/>
    <w:rsid w:val="004E4D06"/>
    <w:rsid w:val="004E4FF5"/>
    <w:rsid w:val="004E5942"/>
    <w:rsid w:val="004E5B21"/>
    <w:rsid w:val="004E64E7"/>
    <w:rsid w:val="004E64EB"/>
    <w:rsid w:val="004E66C9"/>
    <w:rsid w:val="004E67CD"/>
    <w:rsid w:val="004E71CB"/>
    <w:rsid w:val="004E7E5B"/>
    <w:rsid w:val="004F0A38"/>
    <w:rsid w:val="004F26F4"/>
    <w:rsid w:val="004F3483"/>
    <w:rsid w:val="004F4379"/>
    <w:rsid w:val="004F46EB"/>
    <w:rsid w:val="004F4F44"/>
    <w:rsid w:val="004F50DC"/>
    <w:rsid w:val="004F610F"/>
    <w:rsid w:val="004F6BF8"/>
    <w:rsid w:val="004F6D3B"/>
    <w:rsid w:val="004F6E35"/>
    <w:rsid w:val="004F7031"/>
    <w:rsid w:val="005001CA"/>
    <w:rsid w:val="005001D6"/>
    <w:rsid w:val="00500361"/>
    <w:rsid w:val="00500E67"/>
    <w:rsid w:val="00500EB8"/>
    <w:rsid w:val="00500F89"/>
    <w:rsid w:val="00501649"/>
    <w:rsid w:val="0050192F"/>
    <w:rsid w:val="00501B38"/>
    <w:rsid w:val="00501B85"/>
    <w:rsid w:val="00501EC6"/>
    <w:rsid w:val="005030AC"/>
    <w:rsid w:val="00503113"/>
    <w:rsid w:val="00503230"/>
    <w:rsid w:val="00503317"/>
    <w:rsid w:val="00503360"/>
    <w:rsid w:val="005034F2"/>
    <w:rsid w:val="00504479"/>
    <w:rsid w:val="00504B8C"/>
    <w:rsid w:val="00504E59"/>
    <w:rsid w:val="00505184"/>
    <w:rsid w:val="005053A9"/>
    <w:rsid w:val="005056CB"/>
    <w:rsid w:val="00505DEC"/>
    <w:rsid w:val="005061D5"/>
    <w:rsid w:val="0050643B"/>
    <w:rsid w:val="005066ED"/>
    <w:rsid w:val="005067BC"/>
    <w:rsid w:val="00506914"/>
    <w:rsid w:val="00506D40"/>
    <w:rsid w:val="00506D48"/>
    <w:rsid w:val="00507A7C"/>
    <w:rsid w:val="00507CAF"/>
    <w:rsid w:val="00507E85"/>
    <w:rsid w:val="005100F3"/>
    <w:rsid w:val="00510B09"/>
    <w:rsid w:val="00510E75"/>
    <w:rsid w:val="00511A49"/>
    <w:rsid w:val="00511B37"/>
    <w:rsid w:val="005120E8"/>
    <w:rsid w:val="0051232E"/>
    <w:rsid w:val="005128DB"/>
    <w:rsid w:val="00513476"/>
    <w:rsid w:val="0051369E"/>
    <w:rsid w:val="00513888"/>
    <w:rsid w:val="00513ADD"/>
    <w:rsid w:val="00513B75"/>
    <w:rsid w:val="00514104"/>
    <w:rsid w:val="0051427E"/>
    <w:rsid w:val="0051439C"/>
    <w:rsid w:val="00514808"/>
    <w:rsid w:val="00515707"/>
    <w:rsid w:val="00515D20"/>
    <w:rsid w:val="00516087"/>
    <w:rsid w:val="005162ED"/>
    <w:rsid w:val="005169C7"/>
    <w:rsid w:val="00516A33"/>
    <w:rsid w:val="005171ED"/>
    <w:rsid w:val="00517709"/>
    <w:rsid w:val="00517BA6"/>
    <w:rsid w:val="00517DD9"/>
    <w:rsid w:val="005200EE"/>
    <w:rsid w:val="00520DDA"/>
    <w:rsid w:val="0052181E"/>
    <w:rsid w:val="00521C66"/>
    <w:rsid w:val="0052281F"/>
    <w:rsid w:val="00522C0D"/>
    <w:rsid w:val="0052360E"/>
    <w:rsid w:val="0052376F"/>
    <w:rsid w:val="00523A54"/>
    <w:rsid w:val="00523F39"/>
    <w:rsid w:val="0052411A"/>
    <w:rsid w:val="00524370"/>
    <w:rsid w:val="005243F2"/>
    <w:rsid w:val="00524C90"/>
    <w:rsid w:val="00525C9D"/>
    <w:rsid w:val="00525D25"/>
    <w:rsid w:val="00526767"/>
    <w:rsid w:val="00526BCA"/>
    <w:rsid w:val="00526BEF"/>
    <w:rsid w:val="00531181"/>
    <w:rsid w:val="005311B6"/>
    <w:rsid w:val="00531222"/>
    <w:rsid w:val="00531639"/>
    <w:rsid w:val="00532367"/>
    <w:rsid w:val="0053329B"/>
    <w:rsid w:val="00533454"/>
    <w:rsid w:val="00533840"/>
    <w:rsid w:val="005340AA"/>
    <w:rsid w:val="00534255"/>
    <w:rsid w:val="00534283"/>
    <w:rsid w:val="0053488F"/>
    <w:rsid w:val="005357A0"/>
    <w:rsid w:val="005363F7"/>
    <w:rsid w:val="00537564"/>
    <w:rsid w:val="00537881"/>
    <w:rsid w:val="00537B0B"/>
    <w:rsid w:val="00537F88"/>
    <w:rsid w:val="005406B1"/>
    <w:rsid w:val="005406C0"/>
    <w:rsid w:val="00540752"/>
    <w:rsid w:val="00541B59"/>
    <w:rsid w:val="00542B22"/>
    <w:rsid w:val="00542BF2"/>
    <w:rsid w:val="00542F13"/>
    <w:rsid w:val="00543831"/>
    <w:rsid w:val="00543998"/>
    <w:rsid w:val="005439AC"/>
    <w:rsid w:val="0054494A"/>
    <w:rsid w:val="00544AFE"/>
    <w:rsid w:val="00544C80"/>
    <w:rsid w:val="00545150"/>
    <w:rsid w:val="00545402"/>
    <w:rsid w:val="00545622"/>
    <w:rsid w:val="0054578B"/>
    <w:rsid w:val="0054585A"/>
    <w:rsid w:val="00546227"/>
    <w:rsid w:val="005463D9"/>
    <w:rsid w:val="005464F2"/>
    <w:rsid w:val="005467FB"/>
    <w:rsid w:val="005468C9"/>
    <w:rsid w:val="0054722E"/>
    <w:rsid w:val="005473BC"/>
    <w:rsid w:val="00547DA8"/>
    <w:rsid w:val="00547F4C"/>
    <w:rsid w:val="00550C91"/>
    <w:rsid w:val="00550D22"/>
    <w:rsid w:val="00551690"/>
    <w:rsid w:val="00552377"/>
    <w:rsid w:val="005524A8"/>
    <w:rsid w:val="00552FC4"/>
    <w:rsid w:val="00553217"/>
    <w:rsid w:val="005537D3"/>
    <w:rsid w:val="00554766"/>
    <w:rsid w:val="00554B8D"/>
    <w:rsid w:val="00554EC0"/>
    <w:rsid w:val="005550FB"/>
    <w:rsid w:val="00555D51"/>
    <w:rsid w:val="005560C5"/>
    <w:rsid w:val="005561AE"/>
    <w:rsid w:val="005571E3"/>
    <w:rsid w:val="00557B98"/>
    <w:rsid w:val="00557BAA"/>
    <w:rsid w:val="00557C69"/>
    <w:rsid w:val="00557D05"/>
    <w:rsid w:val="00557FC1"/>
    <w:rsid w:val="00560169"/>
    <w:rsid w:val="00560295"/>
    <w:rsid w:val="0056035E"/>
    <w:rsid w:val="00560A45"/>
    <w:rsid w:val="00561965"/>
    <w:rsid w:val="00562046"/>
    <w:rsid w:val="00562975"/>
    <w:rsid w:val="00562DD3"/>
    <w:rsid w:val="00562EEE"/>
    <w:rsid w:val="0056303A"/>
    <w:rsid w:val="005636A0"/>
    <w:rsid w:val="00563C0F"/>
    <w:rsid w:val="005645D0"/>
    <w:rsid w:val="00564A4F"/>
    <w:rsid w:val="00564DF9"/>
    <w:rsid w:val="005654F4"/>
    <w:rsid w:val="005656F0"/>
    <w:rsid w:val="00565C82"/>
    <w:rsid w:val="00565ECE"/>
    <w:rsid w:val="0056607A"/>
    <w:rsid w:val="005660D6"/>
    <w:rsid w:val="00566269"/>
    <w:rsid w:val="005678A3"/>
    <w:rsid w:val="00567C27"/>
    <w:rsid w:val="00567F6A"/>
    <w:rsid w:val="0057043B"/>
    <w:rsid w:val="00570531"/>
    <w:rsid w:val="00570722"/>
    <w:rsid w:val="00570854"/>
    <w:rsid w:val="00571298"/>
    <w:rsid w:val="005712CF"/>
    <w:rsid w:val="00571364"/>
    <w:rsid w:val="00571BF7"/>
    <w:rsid w:val="005720D5"/>
    <w:rsid w:val="0057279B"/>
    <w:rsid w:val="005727FA"/>
    <w:rsid w:val="00572E2D"/>
    <w:rsid w:val="00573126"/>
    <w:rsid w:val="005731BC"/>
    <w:rsid w:val="005733C2"/>
    <w:rsid w:val="00573B38"/>
    <w:rsid w:val="00573C04"/>
    <w:rsid w:val="00573D7B"/>
    <w:rsid w:val="0057431B"/>
    <w:rsid w:val="00574430"/>
    <w:rsid w:val="0057451C"/>
    <w:rsid w:val="00575238"/>
    <w:rsid w:val="00575F8E"/>
    <w:rsid w:val="005763E1"/>
    <w:rsid w:val="005769DB"/>
    <w:rsid w:val="00576C56"/>
    <w:rsid w:val="00576D07"/>
    <w:rsid w:val="005774FC"/>
    <w:rsid w:val="00577518"/>
    <w:rsid w:val="00577AF4"/>
    <w:rsid w:val="00577D0A"/>
    <w:rsid w:val="00577D89"/>
    <w:rsid w:val="005805B5"/>
    <w:rsid w:val="00581115"/>
    <w:rsid w:val="0058126C"/>
    <w:rsid w:val="00581542"/>
    <w:rsid w:val="005818B8"/>
    <w:rsid w:val="005818CD"/>
    <w:rsid w:val="00581C6C"/>
    <w:rsid w:val="00581C88"/>
    <w:rsid w:val="00582173"/>
    <w:rsid w:val="005822B8"/>
    <w:rsid w:val="0058267A"/>
    <w:rsid w:val="005827F6"/>
    <w:rsid w:val="00582D60"/>
    <w:rsid w:val="00582F94"/>
    <w:rsid w:val="00583333"/>
    <w:rsid w:val="005837E7"/>
    <w:rsid w:val="005838F4"/>
    <w:rsid w:val="00584C0B"/>
    <w:rsid w:val="00585221"/>
    <w:rsid w:val="00585734"/>
    <w:rsid w:val="00585A22"/>
    <w:rsid w:val="00585BD5"/>
    <w:rsid w:val="00585D55"/>
    <w:rsid w:val="00586A35"/>
    <w:rsid w:val="00586BFD"/>
    <w:rsid w:val="00586F5B"/>
    <w:rsid w:val="0058710A"/>
    <w:rsid w:val="0058737F"/>
    <w:rsid w:val="00587A1F"/>
    <w:rsid w:val="0059103D"/>
    <w:rsid w:val="005911C2"/>
    <w:rsid w:val="0059153F"/>
    <w:rsid w:val="00591C8D"/>
    <w:rsid w:val="00591F76"/>
    <w:rsid w:val="00592EF7"/>
    <w:rsid w:val="00593337"/>
    <w:rsid w:val="00593AE8"/>
    <w:rsid w:val="00593BB0"/>
    <w:rsid w:val="00594B2C"/>
    <w:rsid w:val="00594ED6"/>
    <w:rsid w:val="0059610B"/>
    <w:rsid w:val="00596AD3"/>
    <w:rsid w:val="0059725C"/>
    <w:rsid w:val="0059732C"/>
    <w:rsid w:val="00597687"/>
    <w:rsid w:val="0059785D"/>
    <w:rsid w:val="005A0229"/>
    <w:rsid w:val="005A0374"/>
    <w:rsid w:val="005A0918"/>
    <w:rsid w:val="005A102B"/>
    <w:rsid w:val="005A1363"/>
    <w:rsid w:val="005A14A0"/>
    <w:rsid w:val="005A1ECE"/>
    <w:rsid w:val="005A25DA"/>
    <w:rsid w:val="005A2919"/>
    <w:rsid w:val="005A2EE1"/>
    <w:rsid w:val="005A2F5A"/>
    <w:rsid w:val="005A347A"/>
    <w:rsid w:val="005A3AA1"/>
    <w:rsid w:val="005A3EFA"/>
    <w:rsid w:val="005A46C4"/>
    <w:rsid w:val="005A4A4A"/>
    <w:rsid w:val="005A5074"/>
    <w:rsid w:val="005A5371"/>
    <w:rsid w:val="005A53F5"/>
    <w:rsid w:val="005A54E4"/>
    <w:rsid w:val="005A5784"/>
    <w:rsid w:val="005A6772"/>
    <w:rsid w:val="005A6B8B"/>
    <w:rsid w:val="005A7B36"/>
    <w:rsid w:val="005A7EEA"/>
    <w:rsid w:val="005B004B"/>
    <w:rsid w:val="005B03B2"/>
    <w:rsid w:val="005B0734"/>
    <w:rsid w:val="005B07A6"/>
    <w:rsid w:val="005B09C8"/>
    <w:rsid w:val="005B0EF3"/>
    <w:rsid w:val="005B1254"/>
    <w:rsid w:val="005B137C"/>
    <w:rsid w:val="005B1427"/>
    <w:rsid w:val="005B1F74"/>
    <w:rsid w:val="005B2B82"/>
    <w:rsid w:val="005B2CFA"/>
    <w:rsid w:val="005B346E"/>
    <w:rsid w:val="005B3D01"/>
    <w:rsid w:val="005B41C0"/>
    <w:rsid w:val="005B44B3"/>
    <w:rsid w:val="005B4796"/>
    <w:rsid w:val="005B6A75"/>
    <w:rsid w:val="005B6E9D"/>
    <w:rsid w:val="005B7DEA"/>
    <w:rsid w:val="005C0B07"/>
    <w:rsid w:val="005C0B52"/>
    <w:rsid w:val="005C0D2A"/>
    <w:rsid w:val="005C15EA"/>
    <w:rsid w:val="005C17AC"/>
    <w:rsid w:val="005C1B86"/>
    <w:rsid w:val="005C2AA0"/>
    <w:rsid w:val="005C3034"/>
    <w:rsid w:val="005C3317"/>
    <w:rsid w:val="005C34BC"/>
    <w:rsid w:val="005C34FC"/>
    <w:rsid w:val="005C4359"/>
    <w:rsid w:val="005C496D"/>
    <w:rsid w:val="005C4AD3"/>
    <w:rsid w:val="005C4F12"/>
    <w:rsid w:val="005C571B"/>
    <w:rsid w:val="005C57F4"/>
    <w:rsid w:val="005C5C58"/>
    <w:rsid w:val="005C5F60"/>
    <w:rsid w:val="005C5FAF"/>
    <w:rsid w:val="005C68D7"/>
    <w:rsid w:val="005C6B36"/>
    <w:rsid w:val="005C739F"/>
    <w:rsid w:val="005C7A18"/>
    <w:rsid w:val="005C7DBB"/>
    <w:rsid w:val="005D00CF"/>
    <w:rsid w:val="005D0C2B"/>
    <w:rsid w:val="005D0C5A"/>
    <w:rsid w:val="005D1D30"/>
    <w:rsid w:val="005D201B"/>
    <w:rsid w:val="005D2150"/>
    <w:rsid w:val="005D22B4"/>
    <w:rsid w:val="005D24F8"/>
    <w:rsid w:val="005D27DB"/>
    <w:rsid w:val="005D298D"/>
    <w:rsid w:val="005D36BC"/>
    <w:rsid w:val="005D3721"/>
    <w:rsid w:val="005D39EB"/>
    <w:rsid w:val="005D3D06"/>
    <w:rsid w:val="005D3DC0"/>
    <w:rsid w:val="005D3F57"/>
    <w:rsid w:val="005D55EA"/>
    <w:rsid w:val="005D5888"/>
    <w:rsid w:val="005D5D7B"/>
    <w:rsid w:val="005D628A"/>
    <w:rsid w:val="005D62B3"/>
    <w:rsid w:val="005D6934"/>
    <w:rsid w:val="005D6A92"/>
    <w:rsid w:val="005D74B3"/>
    <w:rsid w:val="005D7CA6"/>
    <w:rsid w:val="005D7CB2"/>
    <w:rsid w:val="005E0173"/>
    <w:rsid w:val="005E0C68"/>
    <w:rsid w:val="005E0CF3"/>
    <w:rsid w:val="005E0F41"/>
    <w:rsid w:val="005E146F"/>
    <w:rsid w:val="005E23A5"/>
    <w:rsid w:val="005E2721"/>
    <w:rsid w:val="005E2EA8"/>
    <w:rsid w:val="005E3003"/>
    <w:rsid w:val="005E3304"/>
    <w:rsid w:val="005E3424"/>
    <w:rsid w:val="005E37BE"/>
    <w:rsid w:val="005E3BE7"/>
    <w:rsid w:val="005E3C17"/>
    <w:rsid w:val="005E45C5"/>
    <w:rsid w:val="005E465B"/>
    <w:rsid w:val="005E602F"/>
    <w:rsid w:val="005E6319"/>
    <w:rsid w:val="005E64F9"/>
    <w:rsid w:val="005E6AD1"/>
    <w:rsid w:val="005E6C36"/>
    <w:rsid w:val="005E72E6"/>
    <w:rsid w:val="005E7724"/>
    <w:rsid w:val="005E7FBF"/>
    <w:rsid w:val="005F0775"/>
    <w:rsid w:val="005F0C1E"/>
    <w:rsid w:val="005F1563"/>
    <w:rsid w:val="005F198D"/>
    <w:rsid w:val="005F232D"/>
    <w:rsid w:val="005F25EB"/>
    <w:rsid w:val="005F2910"/>
    <w:rsid w:val="005F3ABB"/>
    <w:rsid w:val="005F4091"/>
    <w:rsid w:val="005F43E7"/>
    <w:rsid w:val="005F4A60"/>
    <w:rsid w:val="005F4E1E"/>
    <w:rsid w:val="005F5325"/>
    <w:rsid w:val="005F5921"/>
    <w:rsid w:val="005F5C0F"/>
    <w:rsid w:val="005F685A"/>
    <w:rsid w:val="005F6F50"/>
    <w:rsid w:val="005F7B29"/>
    <w:rsid w:val="005F7FAD"/>
    <w:rsid w:val="006002DC"/>
    <w:rsid w:val="0060030F"/>
    <w:rsid w:val="00600412"/>
    <w:rsid w:val="006005EF"/>
    <w:rsid w:val="006006BB"/>
    <w:rsid w:val="00600C31"/>
    <w:rsid w:val="00601274"/>
    <w:rsid w:val="00601521"/>
    <w:rsid w:val="006016B6"/>
    <w:rsid w:val="006018F3"/>
    <w:rsid w:val="00601B81"/>
    <w:rsid w:val="0060200F"/>
    <w:rsid w:val="00602399"/>
    <w:rsid w:val="00602666"/>
    <w:rsid w:val="006026E0"/>
    <w:rsid w:val="0060272F"/>
    <w:rsid w:val="00602995"/>
    <w:rsid w:val="00602E64"/>
    <w:rsid w:val="00602F83"/>
    <w:rsid w:val="0060333E"/>
    <w:rsid w:val="006035A8"/>
    <w:rsid w:val="006045F6"/>
    <w:rsid w:val="00604703"/>
    <w:rsid w:val="00606415"/>
    <w:rsid w:val="0060651B"/>
    <w:rsid w:val="00606EF9"/>
    <w:rsid w:val="00607AD1"/>
    <w:rsid w:val="00610A62"/>
    <w:rsid w:val="00610F46"/>
    <w:rsid w:val="00611841"/>
    <w:rsid w:val="006119FC"/>
    <w:rsid w:val="00611E03"/>
    <w:rsid w:val="00611F80"/>
    <w:rsid w:val="00612132"/>
    <w:rsid w:val="00612B37"/>
    <w:rsid w:val="00613BB9"/>
    <w:rsid w:val="0061421A"/>
    <w:rsid w:val="006145DE"/>
    <w:rsid w:val="00615572"/>
    <w:rsid w:val="006159A8"/>
    <w:rsid w:val="00615B30"/>
    <w:rsid w:val="00615C85"/>
    <w:rsid w:val="0061613A"/>
    <w:rsid w:val="006164B0"/>
    <w:rsid w:val="006168AE"/>
    <w:rsid w:val="00617A73"/>
    <w:rsid w:val="00617B36"/>
    <w:rsid w:val="00617B48"/>
    <w:rsid w:val="00617B94"/>
    <w:rsid w:val="00617E82"/>
    <w:rsid w:val="006206A2"/>
    <w:rsid w:val="00621ADE"/>
    <w:rsid w:val="00621E59"/>
    <w:rsid w:val="006227D8"/>
    <w:rsid w:val="00622F36"/>
    <w:rsid w:val="006235C6"/>
    <w:rsid w:val="00623A01"/>
    <w:rsid w:val="00624279"/>
    <w:rsid w:val="006243B0"/>
    <w:rsid w:val="00624D15"/>
    <w:rsid w:val="00625202"/>
    <w:rsid w:val="00625931"/>
    <w:rsid w:val="006271EA"/>
    <w:rsid w:val="006277E8"/>
    <w:rsid w:val="006300D1"/>
    <w:rsid w:val="00630520"/>
    <w:rsid w:val="00631FAD"/>
    <w:rsid w:val="0063241B"/>
    <w:rsid w:val="00633086"/>
    <w:rsid w:val="00633183"/>
    <w:rsid w:val="006332DE"/>
    <w:rsid w:val="00633393"/>
    <w:rsid w:val="00633849"/>
    <w:rsid w:val="00634AC1"/>
    <w:rsid w:val="00634E61"/>
    <w:rsid w:val="00635654"/>
    <w:rsid w:val="0063592E"/>
    <w:rsid w:val="00635DB8"/>
    <w:rsid w:val="00636042"/>
    <w:rsid w:val="00636333"/>
    <w:rsid w:val="0063639C"/>
    <w:rsid w:val="006364AA"/>
    <w:rsid w:val="00637593"/>
    <w:rsid w:val="00640185"/>
    <w:rsid w:val="0064041D"/>
    <w:rsid w:val="006404CA"/>
    <w:rsid w:val="00640A1C"/>
    <w:rsid w:val="00641039"/>
    <w:rsid w:val="0064127C"/>
    <w:rsid w:val="00641302"/>
    <w:rsid w:val="00641B1F"/>
    <w:rsid w:val="006421C6"/>
    <w:rsid w:val="00642411"/>
    <w:rsid w:val="00642512"/>
    <w:rsid w:val="0064265F"/>
    <w:rsid w:val="00642777"/>
    <w:rsid w:val="00642D4F"/>
    <w:rsid w:val="006437F8"/>
    <w:rsid w:val="00643896"/>
    <w:rsid w:val="00643A02"/>
    <w:rsid w:val="00643CAB"/>
    <w:rsid w:val="006441CF"/>
    <w:rsid w:val="00644695"/>
    <w:rsid w:val="00644C50"/>
    <w:rsid w:val="00645B5F"/>
    <w:rsid w:val="00645F5B"/>
    <w:rsid w:val="0064639B"/>
    <w:rsid w:val="00646DD5"/>
    <w:rsid w:val="00647461"/>
    <w:rsid w:val="00650418"/>
    <w:rsid w:val="0065046C"/>
    <w:rsid w:val="006505C6"/>
    <w:rsid w:val="00652410"/>
    <w:rsid w:val="00653EB6"/>
    <w:rsid w:val="0065419B"/>
    <w:rsid w:val="006553F1"/>
    <w:rsid w:val="00655A69"/>
    <w:rsid w:val="00656246"/>
    <w:rsid w:val="00657727"/>
    <w:rsid w:val="0066006A"/>
    <w:rsid w:val="00661121"/>
    <w:rsid w:val="00661573"/>
    <w:rsid w:val="00662274"/>
    <w:rsid w:val="0066231E"/>
    <w:rsid w:val="0066273D"/>
    <w:rsid w:val="00662B4E"/>
    <w:rsid w:val="00662E42"/>
    <w:rsid w:val="00662E8C"/>
    <w:rsid w:val="0066370C"/>
    <w:rsid w:val="00663C0F"/>
    <w:rsid w:val="0066421D"/>
    <w:rsid w:val="00664828"/>
    <w:rsid w:val="006649D4"/>
    <w:rsid w:val="0066576C"/>
    <w:rsid w:val="00665E13"/>
    <w:rsid w:val="00665E52"/>
    <w:rsid w:val="00666040"/>
    <w:rsid w:val="00666108"/>
    <w:rsid w:val="0066622C"/>
    <w:rsid w:val="00666F5D"/>
    <w:rsid w:val="0066732B"/>
    <w:rsid w:val="00667829"/>
    <w:rsid w:val="00667833"/>
    <w:rsid w:val="006707E1"/>
    <w:rsid w:val="00670F4C"/>
    <w:rsid w:val="00670F69"/>
    <w:rsid w:val="00671159"/>
    <w:rsid w:val="006715A7"/>
    <w:rsid w:val="00671BC7"/>
    <w:rsid w:val="006721B3"/>
    <w:rsid w:val="00672E43"/>
    <w:rsid w:val="0067310B"/>
    <w:rsid w:val="00673621"/>
    <w:rsid w:val="00673B53"/>
    <w:rsid w:val="00673DD3"/>
    <w:rsid w:val="00674490"/>
    <w:rsid w:val="006748D1"/>
    <w:rsid w:val="00674F28"/>
    <w:rsid w:val="0067689E"/>
    <w:rsid w:val="00676913"/>
    <w:rsid w:val="00677114"/>
    <w:rsid w:val="006776DA"/>
    <w:rsid w:val="00677CA8"/>
    <w:rsid w:val="00677CF4"/>
    <w:rsid w:val="00677FD6"/>
    <w:rsid w:val="0068009E"/>
    <w:rsid w:val="00680A40"/>
    <w:rsid w:val="00680BCB"/>
    <w:rsid w:val="00680BF1"/>
    <w:rsid w:val="00680DAD"/>
    <w:rsid w:val="00680E77"/>
    <w:rsid w:val="00681297"/>
    <w:rsid w:val="006815EB"/>
    <w:rsid w:val="0068264E"/>
    <w:rsid w:val="00682B3D"/>
    <w:rsid w:val="0068360C"/>
    <w:rsid w:val="00683826"/>
    <w:rsid w:val="006841B2"/>
    <w:rsid w:val="00684464"/>
    <w:rsid w:val="00684847"/>
    <w:rsid w:val="006850F1"/>
    <w:rsid w:val="00685536"/>
    <w:rsid w:val="0068567F"/>
    <w:rsid w:val="00685D75"/>
    <w:rsid w:val="00685E6B"/>
    <w:rsid w:val="006865F4"/>
    <w:rsid w:val="00686BE0"/>
    <w:rsid w:val="0068754B"/>
    <w:rsid w:val="00690531"/>
    <w:rsid w:val="00690600"/>
    <w:rsid w:val="00690885"/>
    <w:rsid w:val="0069111B"/>
    <w:rsid w:val="00691AFA"/>
    <w:rsid w:val="00692362"/>
    <w:rsid w:val="00692D85"/>
    <w:rsid w:val="00692D8C"/>
    <w:rsid w:val="00693195"/>
    <w:rsid w:val="006931A6"/>
    <w:rsid w:val="006933CD"/>
    <w:rsid w:val="00693525"/>
    <w:rsid w:val="00693AE4"/>
    <w:rsid w:val="00693C87"/>
    <w:rsid w:val="00693CA4"/>
    <w:rsid w:val="00693CE3"/>
    <w:rsid w:val="00693D46"/>
    <w:rsid w:val="006940D2"/>
    <w:rsid w:val="00694197"/>
    <w:rsid w:val="00694BF8"/>
    <w:rsid w:val="00695AC4"/>
    <w:rsid w:val="00695B85"/>
    <w:rsid w:val="00695E55"/>
    <w:rsid w:val="00696089"/>
    <w:rsid w:val="006969E4"/>
    <w:rsid w:val="00697237"/>
    <w:rsid w:val="00697A62"/>
    <w:rsid w:val="006A03BC"/>
    <w:rsid w:val="006A0480"/>
    <w:rsid w:val="006A0491"/>
    <w:rsid w:val="006A08AD"/>
    <w:rsid w:val="006A1914"/>
    <w:rsid w:val="006A19C4"/>
    <w:rsid w:val="006A1BB8"/>
    <w:rsid w:val="006A2476"/>
    <w:rsid w:val="006A2544"/>
    <w:rsid w:val="006A292B"/>
    <w:rsid w:val="006A2A6F"/>
    <w:rsid w:val="006A3187"/>
    <w:rsid w:val="006A31D8"/>
    <w:rsid w:val="006A3A7F"/>
    <w:rsid w:val="006A48B7"/>
    <w:rsid w:val="006A4B17"/>
    <w:rsid w:val="006A512A"/>
    <w:rsid w:val="006A5214"/>
    <w:rsid w:val="006A544C"/>
    <w:rsid w:val="006A54BE"/>
    <w:rsid w:val="006A59C8"/>
    <w:rsid w:val="006A5BFE"/>
    <w:rsid w:val="006A63D2"/>
    <w:rsid w:val="006A6CD3"/>
    <w:rsid w:val="006A6E58"/>
    <w:rsid w:val="006A77B1"/>
    <w:rsid w:val="006A791D"/>
    <w:rsid w:val="006B0AD1"/>
    <w:rsid w:val="006B0E33"/>
    <w:rsid w:val="006B14C6"/>
    <w:rsid w:val="006B1521"/>
    <w:rsid w:val="006B1EEC"/>
    <w:rsid w:val="006B29A2"/>
    <w:rsid w:val="006B338D"/>
    <w:rsid w:val="006B3398"/>
    <w:rsid w:val="006B4179"/>
    <w:rsid w:val="006B42B0"/>
    <w:rsid w:val="006B44D6"/>
    <w:rsid w:val="006B459A"/>
    <w:rsid w:val="006B4DB6"/>
    <w:rsid w:val="006B4F52"/>
    <w:rsid w:val="006B506A"/>
    <w:rsid w:val="006B535D"/>
    <w:rsid w:val="006B5436"/>
    <w:rsid w:val="006B65CB"/>
    <w:rsid w:val="006B6F93"/>
    <w:rsid w:val="006B7023"/>
    <w:rsid w:val="006B7572"/>
    <w:rsid w:val="006B7B7E"/>
    <w:rsid w:val="006C010E"/>
    <w:rsid w:val="006C07E4"/>
    <w:rsid w:val="006C082C"/>
    <w:rsid w:val="006C1B40"/>
    <w:rsid w:val="006C2724"/>
    <w:rsid w:val="006C28C3"/>
    <w:rsid w:val="006C3057"/>
    <w:rsid w:val="006C322D"/>
    <w:rsid w:val="006C3764"/>
    <w:rsid w:val="006C39F7"/>
    <w:rsid w:val="006C3F41"/>
    <w:rsid w:val="006C4873"/>
    <w:rsid w:val="006C4880"/>
    <w:rsid w:val="006C48B6"/>
    <w:rsid w:val="006C4C53"/>
    <w:rsid w:val="006C5460"/>
    <w:rsid w:val="006C5D62"/>
    <w:rsid w:val="006C5FB8"/>
    <w:rsid w:val="006C6637"/>
    <w:rsid w:val="006C7247"/>
    <w:rsid w:val="006C7918"/>
    <w:rsid w:val="006C7BC1"/>
    <w:rsid w:val="006D04FD"/>
    <w:rsid w:val="006D05A2"/>
    <w:rsid w:val="006D0FCB"/>
    <w:rsid w:val="006D14B6"/>
    <w:rsid w:val="006D15E4"/>
    <w:rsid w:val="006D21B7"/>
    <w:rsid w:val="006D21E4"/>
    <w:rsid w:val="006D2703"/>
    <w:rsid w:val="006D2C77"/>
    <w:rsid w:val="006D32E1"/>
    <w:rsid w:val="006D37C9"/>
    <w:rsid w:val="006D4089"/>
    <w:rsid w:val="006D42E9"/>
    <w:rsid w:val="006D4376"/>
    <w:rsid w:val="006D4925"/>
    <w:rsid w:val="006D4F12"/>
    <w:rsid w:val="006D5061"/>
    <w:rsid w:val="006D5111"/>
    <w:rsid w:val="006D60A9"/>
    <w:rsid w:val="006D6383"/>
    <w:rsid w:val="006D6E9E"/>
    <w:rsid w:val="006D6FC8"/>
    <w:rsid w:val="006D7BF1"/>
    <w:rsid w:val="006E005F"/>
    <w:rsid w:val="006E0212"/>
    <w:rsid w:val="006E07BC"/>
    <w:rsid w:val="006E0B11"/>
    <w:rsid w:val="006E0FCE"/>
    <w:rsid w:val="006E10AD"/>
    <w:rsid w:val="006E1471"/>
    <w:rsid w:val="006E1751"/>
    <w:rsid w:val="006E2049"/>
    <w:rsid w:val="006E230C"/>
    <w:rsid w:val="006E231C"/>
    <w:rsid w:val="006E28AA"/>
    <w:rsid w:val="006E30A2"/>
    <w:rsid w:val="006E3D35"/>
    <w:rsid w:val="006E4463"/>
    <w:rsid w:val="006E46F4"/>
    <w:rsid w:val="006E4A36"/>
    <w:rsid w:val="006E4A8C"/>
    <w:rsid w:val="006E4AAB"/>
    <w:rsid w:val="006E4B0B"/>
    <w:rsid w:val="006E4B67"/>
    <w:rsid w:val="006E4CCC"/>
    <w:rsid w:val="006E4E32"/>
    <w:rsid w:val="006E5AD1"/>
    <w:rsid w:val="006E5C4E"/>
    <w:rsid w:val="006E5DA1"/>
    <w:rsid w:val="006E5EE2"/>
    <w:rsid w:val="006E5F3C"/>
    <w:rsid w:val="006E6C1E"/>
    <w:rsid w:val="006E7158"/>
    <w:rsid w:val="006E7183"/>
    <w:rsid w:val="006E74BB"/>
    <w:rsid w:val="006E7B52"/>
    <w:rsid w:val="006E7E63"/>
    <w:rsid w:val="006F0110"/>
    <w:rsid w:val="006F0599"/>
    <w:rsid w:val="006F1106"/>
    <w:rsid w:val="006F116C"/>
    <w:rsid w:val="006F1211"/>
    <w:rsid w:val="006F1E40"/>
    <w:rsid w:val="006F1F5D"/>
    <w:rsid w:val="006F2290"/>
    <w:rsid w:val="006F2987"/>
    <w:rsid w:val="006F2F20"/>
    <w:rsid w:val="006F4074"/>
    <w:rsid w:val="006F4755"/>
    <w:rsid w:val="006F497A"/>
    <w:rsid w:val="006F4EEB"/>
    <w:rsid w:val="006F534A"/>
    <w:rsid w:val="006F5617"/>
    <w:rsid w:val="006F581E"/>
    <w:rsid w:val="006F651C"/>
    <w:rsid w:val="006F6E76"/>
    <w:rsid w:val="006F770C"/>
    <w:rsid w:val="006F7F35"/>
    <w:rsid w:val="00700564"/>
    <w:rsid w:val="0070096F"/>
    <w:rsid w:val="00700BB2"/>
    <w:rsid w:val="00700E1E"/>
    <w:rsid w:val="007012B5"/>
    <w:rsid w:val="007013FA"/>
    <w:rsid w:val="00701BAE"/>
    <w:rsid w:val="00701DE0"/>
    <w:rsid w:val="00702717"/>
    <w:rsid w:val="00702B26"/>
    <w:rsid w:val="00702F10"/>
    <w:rsid w:val="00703557"/>
    <w:rsid w:val="0070360D"/>
    <w:rsid w:val="0070374E"/>
    <w:rsid w:val="00703F7C"/>
    <w:rsid w:val="007045D7"/>
    <w:rsid w:val="0070495E"/>
    <w:rsid w:val="00704A0B"/>
    <w:rsid w:val="00704E61"/>
    <w:rsid w:val="00705320"/>
    <w:rsid w:val="00705556"/>
    <w:rsid w:val="00705CBE"/>
    <w:rsid w:val="00706BF3"/>
    <w:rsid w:val="00707239"/>
    <w:rsid w:val="007077E1"/>
    <w:rsid w:val="00707E63"/>
    <w:rsid w:val="00710B4A"/>
    <w:rsid w:val="0071218F"/>
    <w:rsid w:val="00712C87"/>
    <w:rsid w:val="00712F32"/>
    <w:rsid w:val="0071301D"/>
    <w:rsid w:val="00713586"/>
    <w:rsid w:val="00713726"/>
    <w:rsid w:val="0071457F"/>
    <w:rsid w:val="00714619"/>
    <w:rsid w:val="00714AE6"/>
    <w:rsid w:val="00714C73"/>
    <w:rsid w:val="00714F34"/>
    <w:rsid w:val="00715B6D"/>
    <w:rsid w:val="00716089"/>
    <w:rsid w:val="00716A26"/>
    <w:rsid w:val="00716BAA"/>
    <w:rsid w:val="00716EE5"/>
    <w:rsid w:val="00716FAD"/>
    <w:rsid w:val="00717F4F"/>
    <w:rsid w:val="0072131C"/>
    <w:rsid w:val="0072193E"/>
    <w:rsid w:val="00721F69"/>
    <w:rsid w:val="007220BD"/>
    <w:rsid w:val="0072235A"/>
    <w:rsid w:val="00722809"/>
    <w:rsid w:val="00722D2B"/>
    <w:rsid w:val="0072326B"/>
    <w:rsid w:val="00723935"/>
    <w:rsid w:val="00724241"/>
    <w:rsid w:val="007245D2"/>
    <w:rsid w:val="00724943"/>
    <w:rsid w:val="00725672"/>
    <w:rsid w:val="007262A9"/>
    <w:rsid w:val="00726A03"/>
    <w:rsid w:val="007273D1"/>
    <w:rsid w:val="00727470"/>
    <w:rsid w:val="00727F0E"/>
    <w:rsid w:val="007300F4"/>
    <w:rsid w:val="00730161"/>
    <w:rsid w:val="00730760"/>
    <w:rsid w:val="00730B35"/>
    <w:rsid w:val="007315D4"/>
    <w:rsid w:val="00731973"/>
    <w:rsid w:val="00731D2F"/>
    <w:rsid w:val="00732110"/>
    <w:rsid w:val="00732B4B"/>
    <w:rsid w:val="00732B61"/>
    <w:rsid w:val="00732C7B"/>
    <w:rsid w:val="00732F3B"/>
    <w:rsid w:val="00733143"/>
    <w:rsid w:val="0073448C"/>
    <w:rsid w:val="00734A38"/>
    <w:rsid w:val="00734EB6"/>
    <w:rsid w:val="0073526F"/>
    <w:rsid w:val="00735677"/>
    <w:rsid w:val="00735939"/>
    <w:rsid w:val="00735AE2"/>
    <w:rsid w:val="00735FE7"/>
    <w:rsid w:val="00736240"/>
    <w:rsid w:val="00736431"/>
    <w:rsid w:val="00736657"/>
    <w:rsid w:val="007368DC"/>
    <w:rsid w:val="007372D0"/>
    <w:rsid w:val="00737571"/>
    <w:rsid w:val="00737851"/>
    <w:rsid w:val="00737960"/>
    <w:rsid w:val="00737F60"/>
    <w:rsid w:val="00740086"/>
    <w:rsid w:val="0074075A"/>
    <w:rsid w:val="00742334"/>
    <w:rsid w:val="00742510"/>
    <w:rsid w:val="00742EA5"/>
    <w:rsid w:val="00743718"/>
    <w:rsid w:val="00744325"/>
    <w:rsid w:val="007446F5"/>
    <w:rsid w:val="00745CE4"/>
    <w:rsid w:val="00745E50"/>
    <w:rsid w:val="00746E45"/>
    <w:rsid w:val="00747857"/>
    <w:rsid w:val="00747AF0"/>
    <w:rsid w:val="00750427"/>
    <w:rsid w:val="00750744"/>
    <w:rsid w:val="00751262"/>
    <w:rsid w:val="0075139E"/>
    <w:rsid w:val="007517E9"/>
    <w:rsid w:val="00751831"/>
    <w:rsid w:val="00751846"/>
    <w:rsid w:val="00752273"/>
    <w:rsid w:val="00752344"/>
    <w:rsid w:val="0075296A"/>
    <w:rsid w:val="007529F8"/>
    <w:rsid w:val="00752CF4"/>
    <w:rsid w:val="007556C3"/>
    <w:rsid w:val="00755D83"/>
    <w:rsid w:val="0075626A"/>
    <w:rsid w:val="0075632B"/>
    <w:rsid w:val="00756743"/>
    <w:rsid w:val="00757524"/>
    <w:rsid w:val="0075757A"/>
    <w:rsid w:val="00757A3C"/>
    <w:rsid w:val="00760618"/>
    <w:rsid w:val="00760C35"/>
    <w:rsid w:val="0076122C"/>
    <w:rsid w:val="0076164C"/>
    <w:rsid w:val="00761650"/>
    <w:rsid w:val="00761DB5"/>
    <w:rsid w:val="00762468"/>
    <w:rsid w:val="0076267F"/>
    <w:rsid w:val="00762705"/>
    <w:rsid w:val="0076289C"/>
    <w:rsid w:val="00763D23"/>
    <w:rsid w:val="00764096"/>
    <w:rsid w:val="00764846"/>
    <w:rsid w:val="00764931"/>
    <w:rsid w:val="00764AFC"/>
    <w:rsid w:val="00764BCA"/>
    <w:rsid w:val="00764CE2"/>
    <w:rsid w:val="007650BA"/>
    <w:rsid w:val="00765C3F"/>
    <w:rsid w:val="007660CB"/>
    <w:rsid w:val="00766573"/>
    <w:rsid w:val="00766A60"/>
    <w:rsid w:val="00766CB6"/>
    <w:rsid w:val="007670AD"/>
    <w:rsid w:val="007679EC"/>
    <w:rsid w:val="00767A10"/>
    <w:rsid w:val="007707F4"/>
    <w:rsid w:val="00770A76"/>
    <w:rsid w:val="00770BB8"/>
    <w:rsid w:val="00770C4B"/>
    <w:rsid w:val="00770FCE"/>
    <w:rsid w:val="0077114E"/>
    <w:rsid w:val="00771438"/>
    <w:rsid w:val="0077195D"/>
    <w:rsid w:val="00771AEF"/>
    <w:rsid w:val="0077223B"/>
    <w:rsid w:val="007722BF"/>
    <w:rsid w:val="0077242A"/>
    <w:rsid w:val="0077252D"/>
    <w:rsid w:val="0077387F"/>
    <w:rsid w:val="00773AB9"/>
    <w:rsid w:val="00773E9A"/>
    <w:rsid w:val="00774725"/>
    <w:rsid w:val="00774C3F"/>
    <w:rsid w:val="00775136"/>
    <w:rsid w:val="007753B0"/>
    <w:rsid w:val="0077548A"/>
    <w:rsid w:val="007755EA"/>
    <w:rsid w:val="007758F8"/>
    <w:rsid w:val="007761D4"/>
    <w:rsid w:val="007764FF"/>
    <w:rsid w:val="00776653"/>
    <w:rsid w:val="007768E8"/>
    <w:rsid w:val="007770CD"/>
    <w:rsid w:val="007775B6"/>
    <w:rsid w:val="00780611"/>
    <w:rsid w:val="007827C2"/>
    <w:rsid w:val="007828E2"/>
    <w:rsid w:val="00782A19"/>
    <w:rsid w:val="00783C92"/>
    <w:rsid w:val="00784412"/>
    <w:rsid w:val="00784538"/>
    <w:rsid w:val="00784579"/>
    <w:rsid w:val="007846D3"/>
    <w:rsid w:val="0078562B"/>
    <w:rsid w:val="00786D33"/>
    <w:rsid w:val="007901A5"/>
    <w:rsid w:val="007908CB"/>
    <w:rsid w:val="00790BEF"/>
    <w:rsid w:val="00790C34"/>
    <w:rsid w:val="00792277"/>
    <w:rsid w:val="0079253D"/>
    <w:rsid w:val="007938B8"/>
    <w:rsid w:val="00794AB9"/>
    <w:rsid w:val="00795C3F"/>
    <w:rsid w:val="007964CA"/>
    <w:rsid w:val="00796CB3"/>
    <w:rsid w:val="0079728D"/>
    <w:rsid w:val="007973AA"/>
    <w:rsid w:val="00797668"/>
    <w:rsid w:val="007976E1"/>
    <w:rsid w:val="0079792A"/>
    <w:rsid w:val="00797CBA"/>
    <w:rsid w:val="00797D15"/>
    <w:rsid w:val="007A0273"/>
    <w:rsid w:val="007A028D"/>
    <w:rsid w:val="007A0319"/>
    <w:rsid w:val="007A0758"/>
    <w:rsid w:val="007A08D2"/>
    <w:rsid w:val="007A0C41"/>
    <w:rsid w:val="007A25D8"/>
    <w:rsid w:val="007A2851"/>
    <w:rsid w:val="007A2FB6"/>
    <w:rsid w:val="007A3085"/>
    <w:rsid w:val="007A393D"/>
    <w:rsid w:val="007A3A1F"/>
    <w:rsid w:val="007A3B5F"/>
    <w:rsid w:val="007A3D29"/>
    <w:rsid w:val="007A3E9E"/>
    <w:rsid w:val="007A3EFB"/>
    <w:rsid w:val="007A4B0A"/>
    <w:rsid w:val="007A4E8E"/>
    <w:rsid w:val="007A51F0"/>
    <w:rsid w:val="007A57FA"/>
    <w:rsid w:val="007A58C8"/>
    <w:rsid w:val="007A605F"/>
    <w:rsid w:val="007A6825"/>
    <w:rsid w:val="007A686F"/>
    <w:rsid w:val="007A6B0A"/>
    <w:rsid w:val="007A6DD9"/>
    <w:rsid w:val="007A749B"/>
    <w:rsid w:val="007A7A7A"/>
    <w:rsid w:val="007A7D15"/>
    <w:rsid w:val="007A7EDF"/>
    <w:rsid w:val="007B0269"/>
    <w:rsid w:val="007B03B6"/>
    <w:rsid w:val="007B062A"/>
    <w:rsid w:val="007B069F"/>
    <w:rsid w:val="007B0B51"/>
    <w:rsid w:val="007B18F8"/>
    <w:rsid w:val="007B23C2"/>
    <w:rsid w:val="007B24CE"/>
    <w:rsid w:val="007B2656"/>
    <w:rsid w:val="007B287A"/>
    <w:rsid w:val="007B35C3"/>
    <w:rsid w:val="007B36E6"/>
    <w:rsid w:val="007B4365"/>
    <w:rsid w:val="007B49E4"/>
    <w:rsid w:val="007B4E06"/>
    <w:rsid w:val="007B5E7E"/>
    <w:rsid w:val="007B5E8C"/>
    <w:rsid w:val="007B6A18"/>
    <w:rsid w:val="007B6C1B"/>
    <w:rsid w:val="007B70B1"/>
    <w:rsid w:val="007B7962"/>
    <w:rsid w:val="007B7B34"/>
    <w:rsid w:val="007C01E5"/>
    <w:rsid w:val="007C08FF"/>
    <w:rsid w:val="007C1277"/>
    <w:rsid w:val="007C12DB"/>
    <w:rsid w:val="007C1A6A"/>
    <w:rsid w:val="007C219D"/>
    <w:rsid w:val="007C2840"/>
    <w:rsid w:val="007C28ED"/>
    <w:rsid w:val="007C3250"/>
    <w:rsid w:val="007C34DD"/>
    <w:rsid w:val="007C3C8C"/>
    <w:rsid w:val="007C4943"/>
    <w:rsid w:val="007C5C8A"/>
    <w:rsid w:val="007C5D30"/>
    <w:rsid w:val="007C6E8B"/>
    <w:rsid w:val="007C769B"/>
    <w:rsid w:val="007C7959"/>
    <w:rsid w:val="007C7CA5"/>
    <w:rsid w:val="007D00D6"/>
    <w:rsid w:val="007D08CC"/>
    <w:rsid w:val="007D099A"/>
    <w:rsid w:val="007D09A3"/>
    <w:rsid w:val="007D0E8E"/>
    <w:rsid w:val="007D10E2"/>
    <w:rsid w:val="007D15E8"/>
    <w:rsid w:val="007D2443"/>
    <w:rsid w:val="007D253E"/>
    <w:rsid w:val="007D320E"/>
    <w:rsid w:val="007D44E6"/>
    <w:rsid w:val="007D4929"/>
    <w:rsid w:val="007D496C"/>
    <w:rsid w:val="007D5505"/>
    <w:rsid w:val="007D564D"/>
    <w:rsid w:val="007D5B13"/>
    <w:rsid w:val="007D5DC1"/>
    <w:rsid w:val="007D6474"/>
    <w:rsid w:val="007D6CC7"/>
    <w:rsid w:val="007D6EC3"/>
    <w:rsid w:val="007D7093"/>
    <w:rsid w:val="007D72A3"/>
    <w:rsid w:val="007E0DC5"/>
    <w:rsid w:val="007E11A0"/>
    <w:rsid w:val="007E11EC"/>
    <w:rsid w:val="007E145C"/>
    <w:rsid w:val="007E168C"/>
    <w:rsid w:val="007E1B6C"/>
    <w:rsid w:val="007E2081"/>
    <w:rsid w:val="007E2838"/>
    <w:rsid w:val="007E35B9"/>
    <w:rsid w:val="007E36C8"/>
    <w:rsid w:val="007E39A4"/>
    <w:rsid w:val="007E43BF"/>
    <w:rsid w:val="007E49B3"/>
    <w:rsid w:val="007E5CD6"/>
    <w:rsid w:val="007E61F2"/>
    <w:rsid w:val="007E6213"/>
    <w:rsid w:val="007E644A"/>
    <w:rsid w:val="007E6890"/>
    <w:rsid w:val="007E69AE"/>
    <w:rsid w:val="007F06E8"/>
    <w:rsid w:val="007F077C"/>
    <w:rsid w:val="007F0ECC"/>
    <w:rsid w:val="007F12A3"/>
    <w:rsid w:val="007F15A5"/>
    <w:rsid w:val="007F1BB1"/>
    <w:rsid w:val="007F239A"/>
    <w:rsid w:val="007F2A9B"/>
    <w:rsid w:val="007F3024"/>
    <w:rsid w:val="007F3180"/>
    <w:rsid w:val="007F32DE"/>
    <w:rsid w:val="007F3CF5"/>
    <w:rsid w:val="007F4111"/>
    <w:rsid w:val="007F4165"/>
    <w:rsid w:val="007F44F0"/>
    <w:rsid w:val="007F4A51"/>
    <w:rsid w:val="007F59FC"/>
    <w:rsid w:val="007F5A7A"/>
    <w:rsid w:val="007F604D"/>
    <w:rsid w:val="007F6056"/>
    <w:rsid w:val="007F665E"/>
    <w:rsid w:val="007F6A5A"/>
    <w:rsid w:val="007F6DE5"/>
    <w:rsid w:val="007F7C20"/>
    <w:rsid w:val="0080017A"/>
    <w:rsid w:val="008009D7"/>
    <w:rsid w:val="00801292"/>
    <w:rsid w:val="00801765"/>
    <w:rsid w:val="0080192D"/>
    <w:rsid w:val="00803406"/>
    <w:rsid w:val="00803993"/>
    <w:rsid w:val="00803FAA"/>
    <w:rsid w:val="00804440"/>
    <w:rsid w:val="00805A41"/>
    <w:rsid w:val="008063CD"/>
    <w:rsid w:val="00806C51"/>
    <w:rsid w:val="00806C84"/>
    <w:rsid w:val="00807EC0"/>
    <w:rsid w:val="008100D8"/>
    <w:rsid w:val="00810136"/>
    <w:rsid w:val="00810240"/>
    <w:rsid w:val="008104C7"/>
    <w:rsid w:val="00810E9F"/>
    <w:rsid w:val="008122DA"/>
    <w:rsid w:val="00812710"/>
    <w:rsid w:val="00812C03"/>
    <w:rsid w:val="00812E2A"/>
    <w:rsid w:val="0081358E"/>
    <w:rsid w:val="008135A8"/>
    <w:rsid w:val="0081363B"/>
    <w:rsid w:val="0081382A"/>
    <w:rsid w:val="00814016"/>
    <w:rsid w:val="008142E1"/>
    <w:rsid w:val="0081431E"/>
    <w:rsid w:val="00814595"/>
    <w:rsid w:val="008154FB"/>
    <w:rsid w:val="00815A08"/>
    <w:rsid w:val="008161A0"/>
    <w:rsid w:val="00816448"/>
    <w:rsid w:val="00816CF8"/>
    <w:rsid w:val="0081738F"/>
    <w:rsid w:val="008174F5"/>
    <w:rsid w:val="00817558"/>
    <w:rsid w:val="00817BA4"/>
    <w:rsid w:val="0082061C"/>
    <w:rsid w:val="008208B5"/>
    <w:rsid w:val="00822DCF"/>
    <w:rsid w:val="00822F08"/>
    <w:rsid w:val="00822F72"/>
    <w:rsid w:val="008244BB"/>
    <w:rsid w:val="0082453E"/>
    <w:rsid w:val="008247EF"/>
    <w:rsid w:val="00824BE5"/>
    <w:rsid w:val="00824C7E"/>
    <w:rsid w:val="00824D87"/>
    <w:rsid w:val="008252BC"/>
    <w:rsid w:val="0082542C"/>
    <w:rsid w:val="00825832"/>
    <w:rsid w:val="008259C4"/>
    <w:rsid w:val="0082609E"/>
    <w:rsid w:val="008266FF"/>
    <w:rsid w:val="00826756"/>
    <w:rsid w:val="00827AE5"/>
    <w:rsid w:val="00827EE1"/>
    <w:rsid w:val="00827F8B"/>
    <w:rsid w:val="00830B76"/>
    <w:rsid w:val="00830DF8"/>
    <w:rsid w:val="0083129D"/>
    <w:rsid w:val="00831403"/>
    <w:rsid w:val="00831521"/>
    <w:rsid w:val="00833145"/>
    <w:rsid w:val="00834115"/>
    <w:rsid w:val="00834223"/>
    <w:rsid w:val="008344F3"/>
    <w:rsid w:val="008345AF"/>
    <w:rsid w:val="0083491A"/>
    <w:rsid w:val="008349DF"/>
    <w:rsid w:val="008352A7"/>
    <w:rsid w:val="00835AD6"/>
    <w:rsid w:val="008362E3"/>
    <w:rsid w:val="00836561"/>
    <w:rsid w:val="0083662A"/>
    <w:rsid w:val="008371F2"/>
    <w:rsid w:val="00837504"/>
    <w:rsid w:val="00837C83"/>
    <w:rsid w:val="00837D59"/>
    <w:rsid w:val="00837DF7"/>
    <w:rsid w:val="00840A99"/>
    <w:rsid w:val="00841244"/>
    <w:rsid w:val="00841283"/>
    <w:rsid w:val="00841789"/>
    <w:rsid w:val="0084188B"/>
    <w:rsid w:val="00842447"/>
    <w:rsid w:val="0084285A"/>
    <w:rsid w:val="0084289B"/>
    <w:rsid w:val="00842AB9"/>
    <w:rsid w:val="00842BCD"/>
    <w:rsid w:val="00843BC9"/>
    <w:rsid w:val="00843C78"/>
    <w:rsid w:val="008443F7"/>
    <w:rsid w:val="00844599"/>
    <w:rsid w:val="00844D59"/>
    <w:rsid w:val="008451E3"/>
    <w:rsid w:val="00845576"/>
    <w:rsid w:val="0084596D"/>
    <w:rsid w:val="00845E1F"/>
    <w:rsid w:val="0084638C"/>
    <w:rsid w:val="00846761"/>
    <w:rsid w:val="00846A26"/>
    <w:rsid w:val="00847E1A"/>
    <w:rsid w:val="00847E5C"/>
    <w:rsid w:val="00850435"/>
    <w:rsid w:val="00850C19"/>
    <w:rsid w:val="008510A4"/>
    <w:rsid w:val="0085148D"/>
    <w:rsid w:val="008514DB"/>
    <w:rsid w:val="008515FC"/>
    <w:rsid w:val="0085163F"/>
    <w:rsid w:val="00851A50"/>
    <w:rsid w:val="0085225C"/>
    <w:rsid w:val="008525C9"/>
    <w:rsid w:val="008544D2"/>
    <w:rsid w:val="00854710"/>
    <w:rsid w:val="008550FC"/>
    <w:rsid w:val="008555EE"/>
    <w:rsid w:val="008556C6"/>
    <w:rsid w:val="008557BC"/>
    <w:rsid w:val="00855B49"/>
    <w:rsid w:val="0085610C"/>
    <w:rsid w:val="0085644B"/>
    <w:rsid w:val="00856500"/>
    <w:rsid w:val="008566A9"/>
    <w:rsid w:val="00856EB9"/>
    <w:rsid w:val="008571C5"/>
    <w:rsid w:val="0085784C"/>
    <w:rsid w:val="00857C9E"/>
    <w:rsid w:val="00857FEA"/>
    <w:rsid w:val="008601B3"/>
    <w:rsid w:val="00860331"/>
    <w:rsid w:val="00860C0B"/>
    <w:rsid w:val="00860D32"/>
    <w:rsid w:val="00860EBA"/>
    <w:rsid w:val="00861237"/>
    <w:rsid w:val="008614BD"/>
    <w:rsid w:val="00861CC3"/>
    <w:rsid w:val="00861FCD"/>
    <w:rsid w:val="00862134"/>
    <w:rsid w:val="0086232B"/>
    <w:rsid w:val="0086274A"/>
    <w:rsid w:val="008627CF"/>
    <w:rsid w:val="00862896"/>
    <w:rsid w:val="00862FBE"/>
    <w:rsid w:val="008631A4"/>
    <w:rsid w:val="0086380D"/>
    <w:rsid w:val="0086399E"/>
    <w:rsid w:val="00863B14"/>
    <w:rsid w:val="00864319"/>
    <w:rsid w:val="00864685"/>
    <w:rsid w:val="008646F4"/>
    <w:rsid w:val="00864865"/>
    <w:rsid w:val="00865303"/>
    <w:rsid w:val="00865393"/>
    <w:rsid w:val="008657CD"/>
    <w:rsid w:val="00865B91"/>
    <w:rsid w:val="00866FD9"/>
    <w:rsid w:val="00867442"/>
    <w:rsid w:val="00867509"/>
    <w:rsid w:val="00867D07"/>
    <w:rsid w:val="00867FFD"/>
    <w:rsid w:val="008706CD"/>
    <w:rsid w:val="008709E5"/>
    <w:rsid w:val="00870EEA"/>
    <w:rsid w:val="00871342"/>
    <w:rsid w:val="0087136F"/>
    <w:rsid w:val="00871A88"/>
    <w:rsid w:val="00871C15"/>
    <w:rsid w:val="00872638"/>
    <w:rsid w:val="0087305A"/>
    <w:rsid w:val="008733FA"/>
    <w:rsid w:val="00873563"/>
    <w:rsid w:val="0087426F"/>
    <w:rsid w:val="008743E7"/>
    <w:rsid w:val="00874475"/>
    <w:rsid w:val="00874901"/>
    <w:rsid w:val="00875641"/>
    <w:rsid w:val="008756F6"/>
    <w:rsid w:val="0087583C"/>
    <w:rsid w:val="00875CD4"/>
    <w:rsid w:val="0087603A"/>
    <w:rsid w:val="0087618E"/>
    <w:rsid w:val="00877BD4"/>
    <w:rsid w:val="00880105"/>
    <w:rsid w:val="00880235"/>
    <w:rsid w:val="00880334"/>
    <w:rsid w:val="00880AA1"/>
    <w:rsid w:val="00880D49"/>
    <w:rsid w:val="00881964"/>
    <w:rsid w:val="00881A22"/>
    <w:rsid w:val="00882AE6"/>
    <w:rsid w:val="00883344"/>
    <w:rsid w:val="00884018"/>
    <w:rsid w:val="008842F7"/>
    <w:rsid w:val="0088483F"/>
    <w:rsid w:val="00884D93"/>
    <w:rsid w:val="00885856"/>
    <w:rsid w:val="00885B34"/>
    <w:rsid w:val="00885FF4"/>
    <w:rsid w:val="0088627A"/>
    <w:rsid w:val="00887064"/>
    <w:rsid w:val="0088766A"/>
    <w:rsid w:val="0088769E"/>
    <w:rsid w:val="0088778C"/>
    <w:rsid w:val="008878E1"/>
    <w:rsid w:val="00887DBE"/>
    <w:rsid w:val="00890025"/>
    <w:rsid w:val="00890683"/>
    <w:rsid w:val="008907AA"/>
    <w:rsid w:val="00890E12"/>
    <w:rsid w:val="00891031"/>
    <w:rsid w:val="00891B1D"/>
    <w:rsid w:val="00891D51"/>
    <w:rsid w:val="00892356"/>
    <w:rsid w:val="00892930"/>
    <w:rsid w:val="00892EF4"/>
    <w:rsid w:val="0089312A"/>
    <w:rsid w:val="0089393D"/>
    <w:rsid w:val="00893E11"/>
    <w:rsid w:val="00893F69"/>
    <w:rsid w:val="00893FA6"/>
    <w:rsid w:val="008945F6"/>
    <w:rsid w:val="008948EE"/>
    <w:rsid w:val="00894BE0"/>
    <w:rsid w:val="00895EDA"/>
    <w:rsid w:val="00895F72"/>
    <w:rsid w:val="00895F87"/>
    <w:rsid w:val="00896E7A"/>
    <w:rsid w:val="00897560"/>
    <w:rsid w:val="0089782F"/>
    <w:rsid w:val="00897F65"/>
    <w:rsid w:val="008A0A32"/>
    <w:rsid w:val="008A118B"/>
    <w:rsid w:val="008A28BA"/>
    <w:rsid w:val="008A2AFC"/>
    <w:rsid w:val="008A2C4E"/>
    <w:rsid w:val="008A2F1E"/>
    <w:rsid w:val="008A3541"/>
    <w:rsid w:val="008A3692"/>
    <w:rsid w:val="008A4344"/>
    <w:rsid w:val="008A4698"/>
    <w:rsid w:val="008A5269"/>
    <w:rsid w:val="008A54B2"/>
    <w:rsid w:val="008A58D8"/>
    <w:rsid w:val="008A5C23"/>
    <w:rsid w:val="008A5E52"/>
    <w:rsid w:val="008A609E"/>
    <w:rsid w:val="008A6EC7"/>
    <w:rsid w:val="008A753A"/>
    <w:rsid w:val="008A7923"/>
    <w:rsid w:val="008A7A7A"/>
    <w:rsid w:val="008A7B2E"/>
    <w:rsid w:val="008A7F77"/>
    <w:rsid w:val="008B04D3"/>
    <w:rsid w:val="008B070E"/>
    <w:rsid w:val="008B0B57"/>
    <w:rsid w:val="008B1688"/>
    <w:rsid w:val="008B1805"/>
    <w:rsid w:val="008B1DF9"/>
    <w:rsid w:val="008B2265"/>
    <w:rsid w:val="008B24BF"/>
    <w:rsid w:val="008B2B4D"/>
    <w:rsid w:val="008B2BDB"/>
    <w:rsid w:val="008B2CCF"/>
    <w:rsid w:val="008B399D"/>
    <w:rsid w:val="008B3C41"/>
    <w:rsid w:val="008B3FD3"/>
    <w:rsid w:val="008B4204"/>
    <w:rsid w:val="008B430E"/>
    <w:rsid w:val="008B4E3B"/>
    <w:rsid w:val="008B4E65"/>
    <w:rsid w:val="008B4FB5"/>
    <w:rsid w:val="008B5F69"/>
    <w:rsid w:val="008B64AE"/>
    <w:rsid w:val="008B7498"/>
    <w:rsid w:val="008C0B8B"/>
    <w:rsid w:val="008C0BE7"/>
    <w:rsid w:val="008C0D48"/>
    <w:rsid w:val="008C1619"/>
    <w:rsid w:val="008C178D"/>
    <w:rsid w:val="008C23DA"/>
    <w:rsid w:val="008C24B2"/>
    <w:rsid w:val="008C2CD4"/>
    <w:rsid w:val="008C3558"/>
    <w:rsid w:val="008C41BB"/>
    <w:rsid w:val="008C45E2"/>
    <w:rsid w:val="008C4A65"/>
    <w:rsid w:val="008C4E64"/>
    <w:rsid w:val="008C565E"/>
    <w:rsid w:val="008C5D55"/>
    <w:rsid w:val="008C61E1"/>
    <w:rsid w:val="008C6267"/>
    <w:rsid w:val="008C76A9"/>
    <w:rsid w:val="008C78EA"/>
    <w:rsid w:val="008C7B4D"/>
    <w:rsid w:val="008C7E87"/>
    <w:rsid w:val="008D019F"/>
    <w:rsid w:val="008D046E"/>
    <w:rsid w:val="008D06A7"/>
    <w:rsid w:val="008D06C9"/>
    <w:rsid w:val="008D19E9"/>
    <w:rsid w:val="008D200E"/>
    <w:rsid w:val="008D27E2"/>
    <w:rsid w:val="008D2D34"/>
    <w:rsid w:val="008D3038"/>
    <w:rsid w:val="008D3152"/>
    <w:rsid w:val="008D3FD5"/>
    <w:rsid w:val="008D401F"/>
    <w:rsid w:val="008D42A3"/>
    <w:rsid w:val="008D477D"/>
    <w:rsid w:val="008D4893"/>
    <w:rsid w:val="008D4B47"/>
    <w:rsid w:val="008D4E43"/>
    <w:rsid w:val="008D55C6"/>
    <w:rsid w:val="008D5750"/>
    <w:rsid w:val="008D5B03"/>
    <w:rsid w:val="008D615A"/>
    <w:rsid w:val="008D6F35"/>
    <w:rsid w:val="008D7433"/>
    <w:rsid w:val="008D7629"/>
    <w:rsid w:val="008D7738"/>
    <w:rsid w:val="008D79EC"/>
    <w:rsid w:val="008E05C9"/>
    <w:rsid w:val="008E0F9D"/>
    <w:rsid w:val="008E14A6"/>
    <w:rsid w:val="008E1BB6"/>
    <w:rsid w:val="008E2179"/>
    <w:rsid w:val="008E278D"/>
    <w:rsid w:val="008E36DE"/>
    <w:rsid w:val="008E3E10"/>
    <w:rsid w:val="008E3E8C"/>
    <w:rsid w:val="008E45F3"/>
    <w:rsid w:val="008E489C"/>
    <w:rsid w:val="008E48C7"/>
    <w:rsid w:val="008E491C"/>
    <w:rsid w:val="008E4AC5"/>
    <w:rsid w:val="008E5229"/>
    <w:rsid w:val="008E52B1"/>
    <w:rsid w:val="008E56A9"/>
    <w:rsid w:val="008E7172"/>
    <w:rsid w:val="008E71C9"/>
    <w:rsid w:val="008E7B82"/>
    <w:rsid w:val="008E7B9B"/>
    <w:rsid w:val="008E7C83"/>
    <w:rsid w:val="008E7F82"/>
    <w:rsid w:val="008F00F2"/>
    <w:rsid w:val="008F0274"/>
    <w:rsid w:val="008F08A6"/>
    <w:rsid w:val="008F0B83"/>
    <w:rsid w:val="008F0CBC"/>
    <w:rsid w:val="008F0E1F"/>
    <w:rsid w:val="008F16CA"/>
    <w:rsid w:val="008F18CF"/>
    <w:rsid w:val="008F1C73"/>
    <w:rsid w:val="008F2344"/>
    <w:rsid w:val="008F2869"/>
    <w:rsid w:val="008F2AA8"/>
    <w:rsid w:val="008F2B87"/>
    <w:rsid w:val="008F3099"/>
    <w:rsid w:val="008F3228"/>
    <w:rsid w:val="008F33A2"/>
    <w:rsid w:val="008F396F"/>
    <w:rsid w:val="008F3E0C"/>
    <w:rsid w:val="008F4B7F"/>
    <w:rsid w:val="008F571F"/>
    <w:rsid w:val="008F6297"/>
    <w:rsid w:val="008F6602"/>
    <w:rsid w:val="008F6922"/>
    <w:rsid w:val="008F710D"/>
    <w:rsid w:val="008F74EE"/>
    <w:rsid w:val="008F76A7"/>
    <w:rsid w:val="00900E63"/>
    <w:rsid w:val="00901006"/>
    <w:rsid w:val="009013E9"/>
    <w:rsid w:val="009019F8"/>
    <w:rsid w:val="00901C1F"/>
    <w:rsid w:val="00901C92"/>
    <w:rsid w:val="00901FDB"/>
    <w:rsid w:val="00902436"/>
    <w:rsid w:val="0090251E"/>
    <w:rsid w:val="00902786"/>
    <w:rsid w:val="00902F71"/>
    <w:rsid w:val="00903861"/>
    <w:rsid w:val="00903907"/>
    <w:rsid w:val="009043A1"/>
    <w:rsid w:val="0090443B"/>
    <w:rsid w:val="0090477E"/>
    <w:rsid w:val="00904A45"/>
    <w:rsid w:val="00905489"/>
    <w:rsid w:val="0090560C"/>
    <w:rsid w:val="00906908"/>
    <w:rsid w:val="00906F93"/>
    <w:rsid w:val="0090771C"/>
    <w:rsid w:val="00907956"/>
    <w:rsid w:val="00907DC1"/>
    <w:rsid w:val="00910A78"/>
    <w:rsid w:val="00910D30"/>
    <w:rsid w:val="00911021"/>
    <w:rsid w:val="009113D6"/>
    <w:rsid w:val="009117FB"/>
    <w:rsid w:val="00911E6B"/>
    <w:rsid w:val="009128C0"/>
    <w:rsid w:val="00913506"/>
    <w:rsid w:val="009140C3"/>
    <w:rsid w:val="009145CC"/>
    <w:rsid w:val="00914813"/>
    <w:rsid w:val="00914C1E"/>
    <w:rsid w:val="009151B0"/>
    <w:rsid w:val="00915490"/>
    <w:rsid w:val="00915991"/>
    <w:rsid w:val="009160FA"/>
    <w:rsid w:val="009166B6"/>
    <w:rsid w:val="00916A91"/>
    <w:rsid w:val="00916E47"/>
    <w:rsid w:val="00916ECD"/>
    <w:rsid w:val="00916F1F"/>
    <w:rsid w:val="00917265"/>
    <w:rsid w:val="009178D9"/>
    <w:rsid w:val="00917C2C"/>
    <w:rsid w:val="009201D3"/>
    <w:rsid w:val="009208C9"/>
    <w:rsid w:val="00920992"/>
    <w:rsid w:val="00920FA0"/>
    <w:rsid w:val="00920FC4"/>
    <w:rsid w:val="009216CE"/>
    <w:rsid w:val="009217DA"/>
    <w:rsid w:val="00921AAA"/>
    <w:rsid w:val="00921D08"/>
    <w:rsid w:val="00923966"/>
    <w:rsid w:val="00923A4D"/>
    <w:rsid w:val="00923B5E"/>
    <w:rsid w:val="00923C80"/>
    <w:rsid w:val="00924299"/>
    <w:rsid w:val="00924415"/>
    <w:rsid w:val="00924CAB"/>
    <w:rsid w:val="00924EE6"/>
    <w:rsid w:val="0092513B"/>
    <w:rsid w:val="0092514B"/>
    <w:rsid w:val="00925458"/>
    <w:rsid w:val="00925729"/>
    <w:rsid w:val="00925BCC"/>
    <w:rsid w:val="00925CE6"/>
    <w:rsid w:val="009260F3"/>
    <w:rsid w:val="00926213"/>
    <w:rsid w:val="009267EE"/>
    <w:rsid w:val="00927F79"/>
    <w:rsid w:val="00930777"/>
    <w:rsid w:val="00930BE9"/>
    <w:rsid w:val="0093166F"/>
    <w:rsid w:val="00932479"/>
    <w:rsid w:val="00932BEF"/>
    <w:rsid w:val="009335B0"/>
    <w:rsid w:val="00933D83"/>
    <w:rsid w:val="00933F02"/>
    <w:rsid w:val="0093472A"/>
    <w:rsid w:val="00934F20"/>
    <w:rsid w:val="009356C7"/>
    <w:rsid w:val="00935CD8"/>
    <w:rsid w:val="00935D3A"/>
    <w:rsid w:val="00935E68"/>
    <w:rsid w:val="0093612D"/>
    <w:rsid w:val="00936952"/>
    <w:rsid w:val="0093750D"/>
    <w:rsid w:val="009376C3"/>
    <w:rsid w:val="00937B48"/>
    <w:rsid w:val="00937D3D"/>
    <w:rsid w:val="009406DE"/>
    <w:rsid w:val="00940812"/>
    <w:rsid w:val="009409F0"/>
    <w:rsid w:val="00940E06"/>
    <w:rsid w:val="00941888"/>
    <w:rsid w:val="00942265"/>
    <w:rsid w:val="00942816"/>
    <w:rsid w:val="00943BCD"/>
    <w:rsid w:val="00943D30"/>
    <w:rsid w:val="009440CA"/>
    <w:rsid w:val="0094502A"/>
    <w:rsid w:val="009452C0"/>
    <w:rsid w:val="00945315"/>
    <w:rsid w:val="00945555"/>
    <w:rsid w:val="00945B1F"/>
    <w:rsid w:val="009463B2"/>
    <w:rsid w:val="009463F7"/>
    <w:rsid w:val="00946409"/>
    <w:rsid w:val="009465A9"/>
    <w:rsid w:val="00947636"/>
    <w:rsid w:val="00950515"/>
    <w:rsid w:val="0095067F"/>
    <w:rsid w:val="009507BD"/>
    <w:rsid w:val="00950869"/>
    <w:rsid w:val="00951EA8"/>
    <w:rsid w:val="009525B8"/>
    <w:rsid w:val="00952608"/>
    <w:rsid w:val="00952609"/>
    <w:rsid w:val="00952956"/>
    <w:rsid w:val="009529F8"/>
    <w:rsid w:val="00953267"/>
    <w:rsid w:val="009532F2"/>
    <w:rsid w:val="00953470"/>
    <w:rsid w:val="009542F2"/>
    <w:rsid w:val="00954963"/>
    <w:rsid w:val="00954D99"/>
    <w:rsid w:val="00954F3A"/>
    <w:rsid w:val="0095534D"/>
    <w:rsid w:val="00955E25"/>
    <w:rsid w:val="00955FAD"/>
    <w:rsid w:val="00956F07"/>
    <w:rsid w:val="0095713A"/>
    <w:rsid w:val="00957332"/>
    <w:rsid w:val="009573D8"/>
    <w:rsid w:val="009576FF"/>
    <w:rsid w:val="0096156F"/>
    <w:rsid w:val="00961779"/>
    <w:rsid w:val="00961931"/>
    <w:rsid w:val="00961C2A"/>
    <w:rsid w:val="00961D48"/>
    <w:rsid w:val="00962149"/>
    <w:rsid w:val="009621F8"/>
    <w:rsid w:val="0096226F"/>
    <w:rsid w:val="009628EA"/>
    <w:rsid w:val="00962D75"/>
    <w:rsid w:val="00962F51"/>
    <w:rsid w:val="00963798"/>
    <w:rsid w:val="00963C16"/>
    <w:rsid w:val="00963FAD"/>
    <w:rsid w:val="009645A8"/>
    <w:rsid w:val="009646D9"/>
    <w:rsid w:val="00964A09"/>
    <w:rsid w:val="00964ED8"/>
    <w:rsid w:val="00964F51"/>
    <w:rsid w:val="00965639"/>
    <w:rsid w:val="009656E3"/>
    <w:rsid w:val="00965CC1"/>
    <w:rsid w:val="009662F8"/>
    <w:rsid w:val="00966480"/>
    <w:rsid w:val="00967169"/>
    <w:rsid w:val="009676E5"/>
    <w:rsid w:val="00967983"/>
    <w:rsid w:val="00970ABC"/>
    <w:rsid w:val="00971046"/>
    <w:rsid w:val="00971951"/>
    <w:rsid w:val="00971B05"/>
    <w:rsid w:val="00972081"/>
    <w:rsid w:val="00972554"/>
    <w:rsid w:val="009725EA"/>
    <w:rsid w:val="0097289E"/>
    <w:rsid w:val="00973AC6"/>
    <w:rsid w:val="00974DB7"/>
    <w:rsid w:val="00975069"/>
    <w:rsid w:val="009750E0"/>
    <w:rsid w:val="00975738"/>
    <w:rsid w:val="00975A72"/>
    <w:rsid w:val="00975A89"/>
    <w:rsid w:val="00976324"/>
    <w:rsid w:val="00977156"/>
    <w:rsid w:val="00977183"/>
    <w:rsid w:val="009772F6"/>
    <w:rsid w:val="009809C2"/>
    <w:rsid w:val="00981530"/>
    <w:rsid w:val="009820FE"/>
    <w:rsid w:val="009823B8"/>
    <w:rsid w:val="0098255A"/>
    <w:rsid w:val="00982F37"/>
    <w:rsid w:val="00982FDA"/>
    <w:rsid w:val="009830BE"/>
    <w:rsid w:val="0098335A"/>
    <w:rsid w:val="009840E4"/>
    <w:rsid w:val="009846D9"/>
    <w:rsid w:val="00985963"/>
    <w:rsid w:val="00985D62"/>
    <w:rsid w:val="00986F22"/>
    <w:rsid w:val="0098717E"/>
    <w:rsid w:val="00987887"/>
    <w:rsid w:val="009905EA"/>
    <w:rsid w:val="00990EA1"/>
    <w:rsid w:val="0099123D"/>
    <w:rsid w:val="00991A6F"/>
    <w:rsid w:val="00991B22"/>
    <w:rsid w:val="00991FE9"/>
    <w:rsid w:val="0099203A"/>
    <w:rsid w:val="0099235B"/>
    <w:rsid w:val="00993E77"/>
    <w:rsid w:val="00993F98"/>
    <w:rsid w:val="00993FF0"/>
    <w:rsid w:val="00994148"/>
    <w:rsid w:val="00994309"/>
    <w:rsid w:val="00994827"/>
    <w:rsid w:val="00994A0B"/>
    <w:rsid w:val="00995047"/>
    <w:rsid w:val="009954A7"/>
    <w:rsid w:val="0099555A"/>
    <w:rsid w:val="009956FB"/>
    <w:rsid w:val="00996197"/>
    <w:rsid w:val="00996E61"/>
    <w:rsid w:val="00997C88"/>
    <w:rsid w:val="00997D06"/>
    <w:rsid w:val="00997D19"/>
    <w:rsid w:val="009A1095"/>
    <w:rsid w:val="009A1142"/>
    <w:rsid w:val="009A1A6A"/>
    <w:rsid w:val="009A1B99"/>
    <w:rsid w:val="009A1CDC"/>
    <w:rsid w:val="009A2AD4"/>
    <w:rsid w:val="009A2C4F"/>
    <w:rsid w:val="009A31D1"/>
    <w:rsid w:val="009A3E3A"/>
    <w:rsid w:val="009A4017"/>
    <w:rsid w:val="009A419B"/>
    <w:rsid w:val="009A4589"/>
    <w:rsid w:val="009A45A7"/>
    <w:rsid w:val="009A49A0"/>
    <w:rsid w:val="009A5016"/>
    <w:rsid w:val="009A53DD"/>
    <w:rsid w:val="009A5BA0"/>
    <w:rsid w:val="009A5F99"/>
    <w:rsid w:val="009A7104"/>
    <w:rsid w:val="009B0A48"/>
    <w:rsid w:val="009B13A6"/>
    <w:rsid w:val="009B14BE"/>
    <w:rsid w:val="009B214D"/>
    <w:rsid w:val="009B26C2"/>
    <w:rsid w:val="009B2A43"/>
    <w:rsid w:val="009B2D54"/>
    <w:rsid w:val="009B2FC8"/>
    <w:rsid w:val="009B3B63"/>
    <w:rsid w:val="009B3D1B"/>
    <w:rsid w:val="009B3DC2"/>
    <w:rsid w:val="009B4543"/>
    <w:rsid w:val="009B4985"/>
    <w:rsid w:val="009B4DC4"/>
    <w:rsid w:val="009B5121"/>
    <w:rsid w:val="009B5A0E"/>
    <w:rsid w:val="009B65A8"/>
    <w:rsid w:val="009B75E8"/>
    <w:rsid w:val="009B7825"/>
    <w:rsid w:val="009B7BC0"/>
    <w:rsid w:val="009B7FCB"/>
    <w:rsid w:val="009C06D6"/>
    <w:rsid w:val="009C0B54"/>
    <w:rsid w:val="009C0FDC"/>
    <w:rsid w:val="009C13F1"/>
    <w:rsid w:val="009C1746"/>
    <w:rsid w:val="009C1AB3"/>
    <w:rsid w:val="009C1BCC"/>
    <w:rsid w:val="009C21AB"/>
    <w:rsid w:val="009C221B"/>
    <w:rsid w:val="009C28E3"/>
    <w:rsid w:val="009C305F"/>
    <w:rsid w:val="009C306B"/>
    <w:rsid w:val="009C357D"/>
    <w:rsid w:val="009C4653"/>
    <w:rsid w:val="009C474F"/>
    <w:rsid w:val="009C4E1F"/>
    <w:rsid w:val="009C4F66"/>
    <w:rsid w:val="009C58C6"/>
    <w:rsid w:val="009C69F2"/>
    <w:rsid w:val="009C6E39"/>
    <w:rsid w:val="009C71B6"/>
    <w:rsid w:val="009C71E7"/>
    <w:rsid w:val="009D0324"/>
    <w:rsid w:val="009D06A4"/>
    <w:rsid w:val="009D15E4"/>
    <w:rsid w:val="009D1656"/>
    <w:rsid w:val="009D1BEA"/>
    <w:rsid w:val="009D2727"/>
    <w:rsid w:val="009D2994"/>
    <w:rsid w:val="009D2ED7"/>
    <w:rsid w:val="009D34A7"/>
    <w:rsid w:val="009D3686"/>
    <w:rsid w:val="009D37E4"/>
    <w:rsid w:val="009D4014"/>
    <w:rsid w:val="009D4020"/>
    <w:rsid w:val="009D46B0"/>
    <w:rsid w:val="009D4C8D"/>
    <w:rsid w:val="009D5991"/>
    <w:rsid w:val="009D6050"/>
    <w:rsid w:val="009D6B6B"/>
    <w:rsid w:val="009D6ED0"/>
    <w:rsid w:val="009D6FE0"/>
    <w:rsid w:val="009D7178"/>
    <w:rsid w:val="009D7F8C"/>
    <w:rsid w:val="009E0473"/>
    <w:rsid w:val="009E04AA"/>
    <w:rsid w:val="009E1E34"/>
    <w:rsid w:val="009E1E6B"/>
    <w:rsid w:val="009E1F2C"/>
    <w:rsid w:val="009E1F33"/>
    <w:rsid w:val="009E2766"/>
    <w:rsid w:val="009E321F"/>
    <w:rsid w:val="009E3570"/>
    <w:rsid w:val="009E385D"/>
    <w:rsid w:val="009E390A"/>
    <w:rsid w:val="009E4104"/>
    <w:rsid w:val="009E470C"/>
    <w:rsid w:val="009E477A"/>
    <w:rsid w:val="009E489C"/>
    <w:rsid w:val="009E4D9E"/>
    <w:rsid w:val="009E5683"/>
    <w:rsid w:val="009E5A9D"/>
    <w:rsid w:val="009E5E91"/>
    <w:rsid w:val="009E5EA2"/>
    <w:rsid w:val="009E722D"/>
    <w:rsid w:val="009E76FB"/>
    <w:rsid w:val="009E78B9"/>
    <w:rsid w:val="009E78E3"/>
    <w:rsid w:val="009E7954"/>
    <w:rsid w:val="009E7AD8"/>
    <w:rsid w:val="009F0091"/>
    <w:rsid w:val="009F01CC"/>
    <w:rsid w:val="009F03D8"/>
    <w:rsid w:val="009F0519"/>
    <w:rsid w:val="009F07DA"/>
    <w:rsid w:val="009F0A4B"/>
    <w:rsid w:val="009F0A52"/>
    <w:rsid w:val="009F0AA8"/>
    <w:rsid w:val="009F0B81"/>
    <w:rsid w:val="009F0ED4"/>
    <w:rsid w:val="009F1D9D"/>
    <w:rsid w:val="009F1DD8"/>
    <w:rsid w:val="009F1E3A"/>
    <w:rsid w:val="009F20BC"/>
    <w:rsid w:val="009F319B"/>
    <w:rsid w:val="009F3D77"/>
    <w:rsid w:val="009F4565"/>
    <w:rsid w:val="009F474C"/>
    <w:rsid w:val="009F4BFA"/>
    <w:rsid w:val="009F5BE1"/>
    <w:rsid w:val="009F5C31"/>
    <w:rsid w:val="009F5D08"/>
    <w:rsid w:val="009F6575"/>
    <w:rsid w:val="009F678B"/>
    <w:rsid w:val="009F75A0"/>
    <w:rsid w:val="009F7F45"/>
    <w:rsid w:val="00A001AD"/>
    <w:rsid w:val="00A0020D"/>
    <w:rsid w:val="00A00279"/>
    <w:rsid w:val="00A00608"/>
    <w:rsid w:val="00A00C94"/>
    <w:rsid w:val="00A00DD3"/>
    <w:rsid w:val="00A013F9"/>
    <w:rsid w:val="00A01706"/>
    <w:rsid w:val="00A02D61"/>
    <w:rsid w:val="00A030B4"/>
    <w:rsid w:val="00A034AB"/>
    <w:rsid w:val="00A039FC"/>
    <w:rsid w:val="00A042E9"/>
    <w:rsid w:val="00A04518"/>
    <w:rsid w:val="00A04B1F"/>
    <w:rsid w:val="00A052A3"/>
    <w:rsid w:val="00A05F0F"/>
    <w:rsid w:val="00A06DBC"/>
    <w:rsid w:val="00A06F05"/>
    <w:rsid w:val="00A07245"/>
    <w:rsid w:val="00A074B9"/>
    <w:rsid w:val="00A07FD2"/>
    <w:rsid w:val="00A10351"/>
    <w:rsid w:val="00A109E4"/>
    <w:rsid w:val="00A11410"/>
    <w:rsid w:val="00A11E67"/>
    <w:rsid w:val="00A1200B"/>
    <w:rsid w:val="00A13147"/>
    <w:rsid w:val="00A133A6"/>
    <w:rsid w:val="00A135CB"/>
    <w:rsid w:val="00A13FE7"/>
    <w:rsid w:val="00A14815"/>
    <w:rsid w:val="00A15D68"/>
    <w:rsid w:val="00A163A3"/>
    <w:rsid w:val="00A168A9"/>
    <w:rsid w:val="00A16AA5"/>
    <w:rsid w:val="00A16B1B"/>
    <w:rsid w:val="00A16DB6"/>
    <w:rsid w:val="00A16E6B"/>
    <w:rsid w:val="00A1709E"/>
    <w:rsid w:val="00A178A7"/>
    <w:rsid w:val="00A17B75"/>
    <w:rsid w:val="00A17C14"/>
    <w:rsid w:val="00A20822"/>
    <w:rsid w:val="00A20CD6"/>
    <w:rsid w:val="00A20F27"/>
    <w:rsid w:val="00A21357"/>
    <w:rsid w:val="00A22944"/>
    <w:rsid w:val="00A22DEF"/>
    <w:rsid w:val="00A235CC"/>
    <w:rsid w:val="00A236B4"/>
    <w:rsid w:val="00A23CB9"/>
    <w:rsid w:val="00A23CD6"/>
    <w:rsid w:val="00A23D1D"/>
    <w:rsid w:val="00A24AD7"/>
    <w:rsid w:val="00A24E04"/>
    <w:rsid w:val="00A2520D"/>
    <w:rsid w:val="00A255A7"/>
    <w:rsid w:val="00A255D0"/>
    <w:rsid w:val="00A25D46"/>
    <w:rsid w:val="00A263E0"/>
    <w:rsid w:val="00A265D1"/>
    <w:rsid w:val="00A26834"/>
    <w:rsid w:val="00A268A8"/>
    <w:rsid w:val="00A2798F"/>
    <w:rsid w:val="00A30D87"/>
    <w:rsid w:val="00A326A3"/>
    <w:rsid w:val="00A32A24"/>
    <w:rsid w:val="00A331D7"/>
    <w:rsid w:val="00A332AF"/>
    <w:rsid w:val="00A3335F"/>
    <w:rsid w:val="00A33400"/>
    <w:rsid w:val="00A33DDA"/>
    <w:rsid w:val="00A33EE7"/>
    <w:rsid w:val="00A34282"/>
    <w:rsid w:val="00A35C3C"/>
    <w:rsid w:val="00A36144"/>
    <w:rsid w:val="00A362A4"/>
    <w:rsid w:val="00A36447"/>
    <w:rsid w:val="00A36666"/>
    <w:rsid w:val="00A36855"/>
    <w:rsid w:val="00A37044"/>
    <w:rsid w:val="00A375A0"/>
    <w:rsid w:val="00A375FA"/>
    <w:rsid w:val="00A37E83"/>
    <w:rsid w:val="00A401E7"/>
    <w:rsid w:val="00A4053B"/>
    <w:rsid w:val="00A406AC"/>
    <w:rsid w:val="00A40D07"/>
    <w:rsid w:val="00A410DD"/>
    <w:rsid w:val="00A41127"/>
    <w:rsid w:val="00A4139D"/>
    <w:rsid w:val="00A41C36"/>
    <w:rsid w:val="00A42171"/>
    <w:rsid w:val="00A424F9"/>
    <w:rsid w:val="00A42692"/>
    <w:rsid w:val="00A428B3"/>
    <w:rsid w:val="00A4363A"/>
    <w:rsid w:val="00A4388C"/>
    <w:rsid w:val="00A439CB"/>
    <w:rsid w:val="00A43D6F"/>
    <w:rsid w:val="00A43E23"/>
    <w:rsid w:val="00A44A52"/>
    <w:rsid w:val="00A45064"/>
    <w:rsid w:val="00A45BA4"/>
    <w:rsid w:val="00A46585"/>
    <w:rsid w:val="00A466CB"/>
    <w:rsid w:val="00A46723"/>
    <w:rsid w:val="00A467E7"/>
    <w:rsid w:val="00A46CA9"/>
    <w:rsid w:val="00A47608"/>
    <w:rsid w:val="00A47788"/>
    <w:rsid w:val="00A47C17"/>
    <w:rsid w:val="00A50FBD"/>
    <w:rsid w:val="00A51021"/>
    <w:rsid w:val="00A5104F"/>
    <w:rsid w:val="00A51101"/>
    <w:rsid w:val="00A51A3C"/>
    <w:rsid w:val="00A52356"/>
    <w:rsid w:val="00A54A5C"/>
    <w:rsid w:val="00A54D96"/>
    <w:rsid w:val="00A54E1E"/>
    <w:rsid w:val="00A55432"/>
    <w:rsid w:val="00A55578"/>
    <w:rsid w:val="00A557E6"/>
    <w:rsid w:val="00A5627F"/>
    <w:rsid w:val="00A562AE"/>
    <w:rsid w:val="00A5630F"/>
    <w:rsid w:val="00A57791"/>
    <w:rsid w:val="00A578C5"/>
    <w:rsid w:val="00A5797A"/>
    <w:rsid w:val="00A57AE3"/>
    <w:rsid w:val="00A60BB0"/>
    <w:rsid w:val="00A612EF"/>
    <w:rsid w:val="00A61837"/>
    <w:rsid w:val="00A619EF"/>
    <w:rsid w:val="00A61B04"/>
    <w:rsid w:val="00A62250"/>
    <w:rsid w:val="00A6288E"/>
    <w:rsid w:val="00A62FE5"/>
    <w:rsid w:val="00A63E18"/>
    <w:rsid w:val="00A64884"/>
    <w:rsid w:val="00A64EF6"/>
    <w:rsid w:val="00A654BF"/>
    <w:rsid w:val="00A65CF7"/>
    <w:rsid w:val="00A65E17"/>
    <w:rsid w:val="00A66057"/>
    <w:rsid w:val="00A6712C"/>
    <w:rsid w:val="00A6745D"/>
    <w:rsid w:val="00A708EE"/>
    <w:rsid w:val="00A70E20"/>
    <w:rsid w:val="00A72557"/>
    <w:rsid w:val="00A72E78"/>
    <w:rsid w:val="00A72E8D"/>
    <w:rsid w:val="00A7308C"/>
    <w:rsid w:val="00A731F6"/>
    <w:rsid w:val="00A73AD4"/>
    <w:rsid w:val="00A74528"/>
    <w:rsid w:val="00A74834"/>
    <w:rsid w:val="00A75AE7"/>
    <w:rsid w:val="00A75AF6"/>
    <w:rsid w:val="00A76E9B"/>
    <w:rsid w:val="00A76EB2"/>
    <w:rsid w:val="00A775E9"/>
    <w:rsid w:val="00A77705"/>
    <w:rsid w:val="00A77AED"/>
    <w:rsid w:val="00A77EE0"/>
    <w:rsid w:val="00A802C3"/>
    <w:rsid w:val="00A80475"/>
    <w:rsid w:val="00A80585"/>
    <w:rsid w:val="00A80CF1"/>
    <w:rsid w:val="00A81046"/>
    <w:rsid w:val="00A81145"/>
    <w:rsid w:val="00A8120E"/>
    <w:rsid w:val="00A81266"/>
    <w:rsid w:val="00A8152C"/>
    <w:rsid w:val="00A81856"/>
    <w:rsid w:val="00A819FA"/>
    <w:rsid w:val="00A81B06"/>
    <w:rsid w:val="00A82786"/>
    <w:rsid w:val="00A83764"/>
    <w:rsid w:val="00A838CE"/>
    <w:rsid w:val="00A83A0D"/>
    <w:rsid w:val="00A84524"/>
    <w:rsid w:val="00A84BE4"/>
    <w:rsid w:val="00A84CB6"/>
    <w:rsid w:val="00A84EED"/>
    <w:rsid w:val="00A84F4E"/>
    <w:rsid w:val="00A853C4"/>
    <w:rsid w:val="00A85654"/>
    <w:rsid w:val="00A85D71"/>
    <w:rsid w:val="00A86FA7"/>
    <w:rsid w:val="00A877A4"/>
    <w:rsid w:val="00A87C55"/>
    <w:rsid w:val="00A90242"/>
    <w:rsid w:val="00A9084F"/>
    <w:rsid w:val="00A90B48"/>
    <w:rsid w:val="00A90BA5"/>
    <w:rsid w:val="00A90BBA"/>
    <w:rsid w:val="00A9144A"/>
    <w:rsid w:val="00A91A94"/>
    <w:rsid w:val="00A92E8D"/>
    <w:rsid w:val="00A930C1"/>
    <w:rsid w:val="00A9325D"/>
    <w:rsid w:val="00A938AC"/>
    <w:rsid w:val="00A93E7A"/>
    <w:rsid w:val="00A9464C"/>
    <w:rsid w:val="00A94BEF"/>
    <w:rsid w:val="00A9554F"/>
    <w:rsid w:val="00A95B1C"/>
    <w:rsid w:val="00A96B68"/>
    <w:rsid w:val="00A9751C"/>
    <w:rsid w:val="00A97F25"/>
    <w:rsid w:val="00AA009F"/>
    <w:rsid w:val="00AA15DB"/>
    <w:rsid w:val="00AA188C"/>
    <w:rsid w:val="00AA3090"/>
    <w:rsid w:val="00AA3AD8"/>
    <w:rsid w:val="00AA3D7B"/>
    <w:rsid w:val="00AA416D"/>
    <w:rsid w:val="00AA42CF"/>
    <w:rsid w:val="00AA4FBC"/>
    <w:rsid w:val="00AA50D2"/>
    <w:rsid w:val="00AA58CA"/>
    <w:rsid w:val="00AA58EC"/>
    <w:rsid w:val="00AA59F8"/>
    <w:rsid w:val="00AA5A83"/>
    <w:rsid w:val="00AA6373"/>
    <w:rsid w:val="00AA6B07"/>
    <w:rsid w:val="00AA75D5"/>
    <w:rsid w:val="00AA7D9A"/>
    <w:rsid w:val="00AB01A8"/>
    <w:rsid w:val="00AB0739"/>
    <w:rsid w:val="00AB08AD"/>
    <w:rsid w:val="00AB0AFF"/>
    <w:rsid w:val="00AB0FB4"/>
    <w:rsid w:val="00AB13ED"/>
    <w:rsid w:val="00AB1884"/>
    <w:rsid w:val="00AB2866"/>
    <w:rsid w:val="00AB2FF1"/>
    <w:rsid w:val="00AB3116"/>
    <w:rsid w:val="00AB3665"/>
    <w:rsid w:val="00AB3771"/>
    <w:rsid w:val="00AB3F43"/>
    <w:rsid w:val="00AB4A4D"/>
    <w:rsid w:val="00AB4B19"/>
    <w:rsid w:val="00AB4B71"/>
    <w:rsid w:val="00AB4D6E"/>
    <w:rsid w:val="00AB5923"/>
    <w:rsid w:val="00AB5AA4"/>
    <w:rsid w:val="00AB5B6D"/>
    <w:rsid w:val="00AB6627"/>
    <w:rsid w:val="00AB680A"/>
    <w:rsid w:val="00AB6DA7"/>
    <w:rsid w:val="00AB6DAC"/>
    <w:rsid w:val="00AB71EB"/>
    <w:rsid w:val="00AB7459"/>
    <w:rsid w:val="00AB7EE2"/>
    <w:rsid w:val="00AC022B"/>
    <w:rsid w:val="00AC05F7"/>
    <w:rsid w:val="00AC0D29"/>
    <w:rsid w:val="00AC1613"/>
    <w:rsid w:val="00AC2113"/>
    <w:rsid w:val="00AC23CD"/>
    <w:rsid w:val="00AC24CB"/>
    <w:rsid w:val="00AC2D18"/>
    <w:rsid w:val="00AC2E48"/>
    <w:rsid w:val="00AC3394"/>
    <w:rsid w:val="00AC40A7"/>
    <w:rsid w:val="00AC4249"/>
    <w:rsid w:val="00AC47EF"/>
    <w:rsid w:val="00AC489E"/>
    <w:rsid w:val="00AC49F1"/>
    <w:rsid w:val="00AC4D9B"/>
    <w:rsid w:val="00AC4DFF"/>
    <w:rsid w:val="00AC5DD7"/>
    <w:rsid w:val="00AC670B"/>
    <w:rsid w:val="00AC6929"/>
    <w:rsid w:val="00AC6EBB"/>
    <w:rsid w:val="00AC76D8"/>
    <w:rsid w:val="00AC7FC5"/>
    <w:rsid w:val="00AD0122"/>
    <w:rsid w:val="00AD03A3"/>
    <w:rsid w:val="00AD0CEA"/>
    <w:rsid w:val="00AD1578"/>
    <w:rsid w:val="00AD1F46"/>
    <w:rsid w:val="00AD2296"/>
    <w:rsid w:val="00AD2B41"/>
    <w:rsid w:val="00AD2D9F"/>
    <w:rsid w:val="00AD2F58"/>
    <w:rsid w:val="00AD2F9C"/>
    <w:rsid w:val="00AD315A"/>
    <w:rsid w:val="00AD390E"/>
    <w:rsid w:val="00AD3E16"/>
    <w:rsid w:val="00AD4656"/>
    <w:rsid w:val="00AD4A21"/>
    <w:rsid w:val="00AD4DEC"/>
    <w:rsid w:val="00AD4EAF"/>
    <w:rsid w:val="00AD4FD0"/>
    <w:rsid w:val="00AD5376"/>
    <w:rsid w:val="00AD5781"/>
    <w:rsid w:val="00AD5A22"/>
    <w:rsid w:val="00AD6218"/>
    <w:rsid w:val="00AD640E"/>
    <w:rsid w:val="00AE1A29"/>
    <w:rsid w:val="00AE1C71"/>
    <w:rsid w:val="00AE263C"/>
    <w:rsid w:val="00AE31EB"/>
    <w:rsid w:val="00AE3A84"/>
    <w:rsid w:val="00AE3C35"/>
    <w:rsid w:val="00AE41A2"/>
    <w:rsid w:val="00AE4FA1"/>
    <w:rsid w:val="00AE55BB"/>
    <w:rsid w:val="00AE57A8"/>
    <w:rsid w:val="00AE5E7E"/>
    <w:rsid w:val="00AE60A2"/>
    <w:rsid w:val="00AE69A7"/>
    <w:rsid w:val="00AE6B93"/>
    <w:rsid w:val="00AE6DDC"/>
    <w:rsid w:val="00AE73B3"/>
    <w:rsid w:val="00AE76CF"/>
    <w:rsid w:val="00AF0137"/>
    <w:rsid w:val="00AF1948"/>
    <w:rsid w:val="00AF1E0D"/>
    <w:rsid w:val="00AF25F4"/>
    <w:rsid w:val="00AF2766"/>
    <w:rsid w:val="00AF3399"/>
    <w:rsid w:val="00AF33A6"/>
    <w:rsid w:val="00AF38C9"/>
    <w:rsid w:val="00AF4B45"/>
    <w:rsid w:val="00AF5004"/>
    <w:rsid w:val="00AF54C7"/>
    <w:rsid w:val="00AF5995"/>
    <w:rsid w:val="00AF6286"/>
    <w:rsid w:val="00AF6D91"/>
    <w:rsid w:val="00AF6EE5"/>
    <w:rsid w:val="00AF77B4"/>
    <w:rsid w:val="00B005FC"/>
    <w:rsid w:val="00B010B5"/>
    <w:rsid w:val="00B01479"/>
    <w:rsid w:val="00B01ADD"/>
    <w:rsid w:val="00B02409"/>
    <w:rsid w:val="00B03522"/>
    <w:rsid w:val="00B03C1C"/>
    <w:rsid w:val="00B04188"/>
    <w:rsid w:val="00B04682"/>
    <w:rsid w:val="00B05896"/>
    <w:rsid w:val="00B06033"/>
    <w:rsid w:val="00B062DB"/>
    <w:rsid w:val="00B06C5E"/>
    <w:rsid w:val="00B07439"/>
    <w:rsid w:val="00B07486"/>
    <w:rsid w:val="00B07642"/>
    <w:rsid w:val="00B076A9"/>
    <w:rsid w:val="00B07948"/>
    <w:rsid w:val="00B07AF1"/>
    <w:rsid w:val="00B07E63"/>
    <w:rsid w:val="00B07F81"/>
    <w:rsid w:val="00B1067D"/>
    <w:rsid w:val="00B10956"/>
    <w:rsid w:val="00B10E85"/>
    <w:rsid w:val="00B112BD"/>
    <w:rsid w:val="00B112F3"/>
    <w:rsid w:val="00B11366"/>
    <w:rsid w:val="00B1179A"/>
    <w:rsid w:val="00B120B5"/>
    <w:rsid w:val="00B12A24"/>
    <w:rsid w:val="00B12C61"/>
    <w:rsid w:val="00B12D23"/>
    <w:rsid w:val="00B133B7"/>
    <w:rsid w:val="00B133F7"/>
    <w:rsid w:val="00B13467"/>
    <w:rsid w:val="00B13E74"/>
    <w:rsid w:val="00B140C2"/>
    <w:rsid w:val="00B14583"/>
    <w:rsid w:val="00B14726"/>
    <w:rsid w:val="00B14959"/>
    <w:rsid w:val="00B1577F"/>
    <w:rsid w:val="00B15AF2"/>
    <w:rsid w:val="00B15B9B"/>
    <w:rsid w:val="00B16A44"/>
    <w:rsid w:val="00B16C48"/>
    <w:rsid w:val="00B16E81"/>
    <w:rsid w:val="00B16EA3"/>
    <w:rsid w:val="00B16F62"/>
    <w:rsid w:val="00B16FFB"/>
    <w:rsid w:val="00B174BA"/>
    <w:rsid w:val="00B174CC"/>
    <w:rsid w:val="00B176A6"/>
    <w:rsid w:val="00B17C8D"/>
    <w:rsid w:val="00B17CFE"/>
    <w:rsid w:val="00B17FAE"/>
    <w:rsid w:val="00B2017A"/>
    <w:rsid w:val="00B206BB"/>
    <w:rsid w:val="00B2146D"/>
    <w:rsid w:val="00B21485"/>
    <w:rsid w:val="00B2193C"/>
    <w:rsid w:val="00B22608"/>
    <w:rsid w:val="00B227E4"/>
    <w:rsid w:val="00B22DB3"/>
    <w:rsid w:val="00B22E23"/>
    <w:rsid w:val="00B23283"/>
    <w:rsid w:val="00B2439C"/>
    <w:rsid w:val="00B2445C"/>
    <w:rsid w:val="00B246DF"/>
    <w:rsid w:val="00B24B4C"/>
    <w:rsid w:val="00B25838"/>
    <w:rsid w:val="00B25A3D"/>
    <w:rsid w:val="00B26094"/>
    <w:rsid w:val="00B27012"/>
    <w:rsid w:val="00B27512"/>
    <w:rsid w:val="00B276F4"/>
    <w:rsid w:val="00B27ECE"/>
    <w:rsid w:val="00B30B25"/>
    <w:rsid w:val="00B30D30"/>
    <w:rsid w:val="00B31AE6"/>
    <w:rsid w:val="00B31C9F"/>
    <w:rsid w:val="00B32156"/>
    <w:rsid w:val="00B32391"/>
    <w:rsid w:val="00B32490"/>
    <w:rsid w:val="00B3299F"/>
    <w:rsid w:val="00B32B02"/>
    <w:rsid w:val="00B33357"/>
    <w:rsid w:val="00B333B9"/>
    <w:rsid w:val="00B334AC"/>
    <w:rsid w:val="00B335E2"/>
    <w:rsid w:val="00B33C23"/>
    <w:rsid w:val="00B3451E"/>
    <w:rsid w:val="00B35349"/>
    <w:rsid w:val="00B3555F"/>
    <w:rsid w:val="00B3559E"/>
    <w:rsid w:val="00B35684"/>
    <w:rsid w:val="00B35B02"/>
    <w:rsid w:val="00B35D20"/>
    <w:rsid w:val="00B360B0"/>
    <w:rsid w:val="00B36105"/>
    <w:rsid w:val="00B36A74"/>
    <w:rsid w:val="00B36B71"/>
    <w:rsid w:val="00B372FE"/>
    <w:rsid w:val="00B37816"/>
    <w:rsid w:val="00B37AAB"/>
    <w:rsid w:val="00B37DDE"/>
    <w:rsid w:val="00B40583"/>
    <w:rsid w:val="00B40778"/>
    <w:rsid w:val="00B40E65"/>
    <w:rsid w:val="00B411E8"/>
    <w:rsid w:val="00B41314"/>
    <w:rsid w:val="00B41641"/>
    <w:rsid w:val="00B41866"/>
    <w:rsid w:val="00B41EE1"/>
    <w:rsid w:val="00B42742"/>
    <w:rsid w:val="00B43805"/>
    <w:rsid w:val="00B43A98"/>
    <w:rsid w:val="00B43C7E"/>
    <w:rsid w:val="00B43D4C"/>
    <w:rsid w:val="00B43DA2"/>
    <w:rsid w:val="00B43F7C"/>
    <w:rsid w:val="00B444CF"/>
    <w:rsid w:val="00B4509A"/>
    <w:rsid w:val="00B4521E"/>
    <w:rsid w:val="00B45882"/>
    <w:rsid w:val="00B466C9"/>
    <w:rsid w:val="00B468F3"/>
    <w:rsid w:val="00B473AA"/>
    <w:rsid w:val="00B47AF6"/>
    <w:rsid w:val="00B5049C"/>
    <w:rsid w:val="00B50668"/>
    <w:rsid w:val="00B506F7"/>
    <w:rsid w:val="00B50C3B"/>
    <w:rsid w:val="00B50F95"/>
    <w:rsid w:val="00B51169"/>
    <w:rsid w:val="00B511B7"/>
    <w:rsid w:val="00B51269"/>
    <w:rsid w:val="00B5208F"/>
    <w:rsid w:val="00B52104"/>
    <w:rsid w:val="00B5245D"/>
    <w:rsid w:val="00B52585"/>
    <w:rsid w:val="00B525F8"/>
    <w:rsid w:val="00B529D8"/>
    <w:rsid w:val="00B53049"/>
    <w:rsid w:val="00B53062"/>
    <w:rsid w:val="00B534B3"/>
    <w:rsid w:val="00B534EA"/>
    <w:rsid w:val="00B542F5"/>
    <w:rsid w:val="00B54B51"/>
    <w:rsid w:val="00B54FD7"/>
    <w:rsid w:val="00B5550D"/>
    <w:rsid w:val="00B55728"/>
    <w:rsid w:val="00B558F0"/>
    <w:rsid w:val="00B55F66"/>
    <w:rsid w:val="00B55FF0"/>
    <w:rsid w:val="00B56940"/>
    <w:rsid w:val="00B5694B"/>
    <w:rsid w:val="00B56A08"/>
    <w:rsid w:val="00B5701F"/>
    <w:rsid w:val="00B5773A"/>
    <w:rsid w:val="00B60308"/>
    <w:rsid w:val="00B603BD"/>
    <w:rsid w:val="00B603F2"/>
    <w:rsid w:val="00B605A6"/>
    <w:rsid w:val="00B61C62"/>
    <w:rsid w:val="00B6323D"/>
    <w:rsid w:val="00B63652"/>
    <w:rsid w:val="00B64684"/>
    <w:rsid w:val="00B64836"/>
    <w:rsid w:val="00B64BCA"/>
    <w:rsid w:val="00B65887"/>
    <w:rsid w:val="00B6590F"/>
    <w:rsid w:val="00B65B50"/>
    <w:rsid w:val="00B65E06"/>
    <w:rsid w:val="00B65F0C"/>
    <w:rsid w:val="00B65FA3"/>
    <w:rsid w:val="00B66800"/>
    <w:rsid w:val="00B669A6"/>
    <w:rsid w:val="00B677AA"/>
    <w:rsid w:val="00B677F2"/>
    <w:rsid w:val="00B67825"/>
    <w:rsid w:val="00B67875"/>
    <w:rsid w:val="00B6791E"/>
    <w:rsid w:val="00B701D6"/>
    <w:rsid w:val="00B70499"/>
    <w:rsid w:val="00B70884"/>
    <w:rsid w:val="00B71579"/>
    <w:rsid w:val="00B71CD1"/>
    <w:rsid w:val="00B71F5E"/>
    <w:rsid w:val="00B723F7"/>
    <w:rsid w:val="00B7276D"/>
    <w:rsid w:val="00B72C14"/>
    <w:rsid w:val="00B72D29"/>
    <w:rsid w:val="00B72E28"/>
    <w:rsid w:val="00B7328E"/>
    <w:rsid w:val="00B73763"/>
    <w:rsid w:val="00B73FCA"/>
    <w:rsid w:val="00B748E3"/>
    <w:rsid w:val="00B74C9F"/>
    <w:rsid w:val="00B75615"/>
    <w:rsid w:val="00B75ABE"/>
    <w:rsid w:val="00B75FDF"/>
    <w:rsid w:val="00B76A75"/>
    <w:rsid w:val="00B77FB1"/>
    <w:rsid w:val="00B8065D"/>
    <w:rsid w:val="00B806EE"/>
    <w:rsid w:val="00B8078F"/>
    <w:rsid w:val="00B8165F"/>
    <w:rsid w:val="00B829F1"/>
    <w:rsid w:val="00B82DF5"/>
    <w:rsid w:val="00B83A4D"/>
    <w:rsid w:val="00B844BC"/>
    <w:rsid w:val="00B8462A"/>
    <w:rsid w:val="00B852F2"/>
    <w:rsid w:val="00B85A66"/>
    <w:rsid w:val="00B85AE0"/>
    <w:rsid w:val="00B85D6D"/>
    <w:rsid w:val="00B86BAA"/>
    <w:rsid w:val="00B87067"/>
    <w:rsid w:val="00B87839"/>
    <w:rsid w:val="00B87A65"/>
    <w:rsid w:val="00B904EA"/>
    <w:rsid w:val="00B90C22"/>
    <w:rsid w:val="00B90FDB"/>
    <w:rsid w:val="00B9161A"/>
    <w:rsid w:val="00B918C5"/>
    <w:rsid w:val="00B919E1"/>
    <w:rsid w:val="00B91EEF"/>
    <w:rsid w:val="00B92524"/>
    <w:rsid w:val="00B9264B"/>
    <w:rsid w:val="00B928E7"/>
    <w:rsid w:val="00B92951"/>
    <w:rsid w:val="00B92F57"/>
    <w:rsid w:val="00B93D43"/>
    <w:rsid w:val="00B94543"/>
    <w:rsid w:val="00B94C31"/>
    <w:rsid w:val="00B94F2B"/>
    <w:rsid w:val="00B9555D"/>
    <w:rsid w:val="00B95A9C"/>
    <w:rsid w:val="00B95DF2"/>
    <w:rsid w:val="00B963E7"/>
    <w:rsid w:val="00B964A2"/>
    <w:rsid w:val="00B96588"/>
    <w:rsid w:val="00B96A4B"/>
    <w:rsid w:val="00B977F8"/>
    <w:rsid w:val="00BA026B"/>
    <w:rsid w:val="00BA0773"/>
    <w:rsid w:val="00BA0B1E"/>
    <w:rsid w:val="00BA188D"/>
    <w:rsid w:val="00BA1B3C"/>
    <w:rsid w:val="00BA24C0"/>
    <w:rsid w:val="00BA273D"/>
    <w:rsid w:val="00BA2B2E"/>
    <w:rsid w:val="00BA2C98"/>
    <w:rsid w:val="00BA2CBD"/>
    <w:rsid w:val="00BA31BA"/>
    <w:rsid w:val="00BA3815"/>
    <w:rsid w:val="00BA39B3"/>
    <w:rsid w:val="00BA3D00"/>
    <w:rsid w:val="00BA3E3A"/>
    <w:rsid w:val="00BA41D0"/>
    <w:rsid w:val="00BA42AE"/>
    <w:rsid w:val="00BA43B2"/>
    <w:rsid w:val="00BA46AD"/>
    <w:rsid w:val="00BA4A3B"/>
    <w:rsid w:val="00BA4B97"/>
    <w:rsid w:val="00BA4BFC"/>
    <w:rsid w:val="00BA4C49"/>
    <w:rsid w:val="00BA54CF"/>
    <w:rsid w:val="00BA6AAC"/>
    <w:rsid w:val="00BA75EF"/>
    <w:rsid w:val="00BA7E48"/>
    <w:rsid w:val="00BB027D"/>
    <w:rsid w:val="00BB0669"/>
    <w:rsid w:val="00BB1667"/>
    <w:rsid w:val="00BB1974"/>
    <w:rsid w:val="00BB2664"/>
    <w:rsid w:val="00BB2F08"/>
    <w:rsid w:val="00BB2FEA"/>
    <w:rsid w:val="00BB3543"/>
    <w:rsid w:val="00BB37AA"/>
    <w:rsid w:val="00BB3A7E"/>
    <w:rsid w:val="00BB3B72"/>
    <w:rsid w:val="00BB3E86"/>
    <w:rsid w:val="00BB49AF"/>
    <w:rsid w:val="00BB5439"/>
    <w:rsid w:val="00BB573E"/>
    <w:rsid w:val="00BB5A8E"/>
    <w:rsid w:val="00BB65BF"/>
    <w:rsid w:val="00BB6856"/>
    <w:rsid w:val="00BB7038"/>
    <w:rsid w:val="00BB718E"/>
    <w:rsid w:val="00BB72C0"/>
    <w:rsid w:val="00BC0276"/>
    <w:rsid w:val="00BC0821"/>
    <w:rsid w:val="00BC0AA7"/>
    <w:rsid w:val="00BC0EE9"/>
    <w:rsid w:val="00BC1A57"/>
    <w:rsid w:val="00BC1AD7"/>
    <w:rsid w:val="00BC1E9B"/>
    <w:rsid w:val="00BC1F30"/>
    <w:rsid w:val="00BC21F4"/>
    <w:rsid w:val="00BC259D"/>
    <w:rsid w:val="00BC2741"/>
    <w:rsid w:val="00BC2D3E"/>
    <w:rsid w:val="00BC3122"/>
    <w:rsid w:val="00BC3334"/>
    <w:rsid w:val="00BC35F4"/>
    <w:rsid w:val="00BC3B32"/>
    <w:rsid w:val="00BC3C4B"/>
    <w:rsid w:val="00BC4C1F"/>
    <w:rsid w:val="00BC53DE"/>
    <w:rsid w:val="00BC58C5"/>
    <w:rsid w:val="00BC58FC"/>
    <w:rsid w:val="00BC5FEC"/>
    <w:rsid w:val="00BC5FFF"/>
    <w:rsid w:val="00BC6AA0"/>
    <w:rsid w:val="00BC6BEC"/>
    <w:rsid w:val="00BD06CE"/>
    <w:rsid w:val="00BD06D7"/>
    <w:rsid w:val="00BD14EA"/>
    <w:rsid w:val="00BD17E2"/>
    <w:rsid w:val="00BD24C6"/>
    <w:rsid w:val="00BD2769"/>
    <w:rsid w:val="00BD2860"/>
    <w:rsid w:val="00BD2B29"/>
    <w:rsid w:val="00BD2F26"/>
    <w:rsid w:val="00BD3714"/>
    <w:rsid w:val="00BD3B76"/>
    <w:rsid w:val="00BD4744"/>
    <w:rsid w:val="00BD4A26"/>
    <w:rsid w:val="00BD63AD"/>
    <w:rsid w:val="00BD6ADE"/>
    <w:rsid w:val="00BD6B1A"/>
    <w:rsid w:val="00BD7024"/>
    <w:rsid w:val="00BD74D8"/>
    <w:rsid w:val="00BD792C"/>
    <w:rsid w:val="00BE0512"/>
    <w:rsid w:val="00BE06A7"/>
    <w:rsid w:val="00BE0B4E"/>
    <w:rsid w:val="00BE0D07"/>
    <w:rsid w:val="00BE0D77"/>
    <w:rsid w:val="00BE249D"/>
    <w:rsid w:val="00BE254A"/>
    <w:rsid w:val="00BE2569"/>
    <w:rsid w:val="00BE264D"/>
    <w:rsid w:val="00BE29E8"/>
    <w:rsid w:val="00BE2AE5"/>
    <w:rsid w:val="00BE2B00"/>
    <w:rsid w:val="00BE2BFB"/>
    <w:rsid w:val="00BE32AD"/>
    <w:rsid w:val="00BE3624"/>
    <w:rsid w:val="00BE3933"/>
    <w:rsid w:val="00BE45CB"/>
    <w:rsid w:val="00BE45F2"/>
    <w:rsid w:val="00BE4792"/>
    <w:rsid w:val="00BE4943"/>
    <w:rsid w:val="00BE4D3A"/>
    <w:rsid w:val="00BE4F9E"/>
    <w:rsid w:val="00BE6663"/>
    <w:rsid w:val="00BE74A9"/>
    <w:rsid w:val="00BE7EB4"/>
    <w:rsid w:val="00BF015E"/>
    <w:rsid w:val="00BF0242"/>
    <w:rsid w:val="00BF0859"/>
    <w:rsid w:val="00BF149C"/>
    <w:rsid w:val="00BF219B"/>
    <w:rsid w:val="00BF25F3"/>
    <w:rsid w:val="00BF2A20"/>
    <w:rsid w:val="00BF2AAA"/>
    <w:rsid w:val="00BF2C83"/>
    <w:rsid w:val="00BF401D"/>
    <w:rsid w:val="00BF42B9"/>
    <w:rsid w:val="00BF49A2"/>
    <w:rsid w:val="00BF4C11"/>
    <w:rsid w:val="00BF4E72"/>
    <w:rsid w:val="00BF56C4"/>
    <w:rsid w:val="00BF5D5D"/>
    <w:rsid w:val="00BF643C"/>
    <w:rsid w:val="00BF65E1"/>
    <w:rsid w:val="00BF661D"/>
    <w:rsid w:val="00BF773D"/>
    <w:rsid w:val="00BF7F50"/>
    <w:rsid w:val="00C00B54"/>
    <w:rsid w:val="00C01E4A"/>
    <w:rsid w:val="00C02236"/>
    <w:rsid w:val="00C029B1"/>
    <w:rsid w:val="00C02B64"/>
    <w:rsid w:val="00C03034"/>
    <w:rsid w:val="00C0325C"/>
    <w:rsid w:val="00C0386D"/>
    <w:rsid w:val="00C04524"/>
    <w:rsid w:val="00C045F2"/>
    <w:rsid w:val="00C049D6"/>
    <w:rsid w:val="00C04D58"/>
    <w:rsid w:val="00C04EB2"/>
    <w:rsid w:val="00C04F43"/>
    <w:rsid w:val="00C056AE"/>
    <w:rsid w:val="00C05B43"/>
    <w:rsid w:val="00C06B04"/>
    <w:rsid w:val="00C07D3D"/>
    <w:rsid w:val="00C10173"/>
    <w:rsid w:val="00C104C4"/>
    <w:rsid w:val="00C10839"/>
    <w:rsid w:val="00C108A4"/>
    <w:rsid w:val="00C109A8"/>
    <w:rsid w:val="00C113BE"/>
    <w:rsid w:val="00C119A6"/>
    <w:rsid w:val="00C11C90"/>
    <w:rsid w:val="00C12944"/>
    <w:rsid w:val="00C129BA"/>
    <w:rsid w:val="00C12CF3"/>
    <w:rsid w:val="00C135FD"/>
    <w:rsid w:val="00C136E4"/>
    <w:rsid w:val="00C138B6"/>
    <w:rsid w:val="00C13F48"/>
    <w:rsid w:val="00C1427E"/>
    <w:rsid w:val="00C148FB"/>
    <w:rsid w:val="00C15729"/>
    <w:rsid w:val="00C15822"/>
    <w:rsid w:val="00C17130"/>
    <w:rsid w:val="00C171D0"/>
    <w:rsid w:val="00C200A4"/>
    <w:rsid w:val="00C20468"/>
    <w:rsid w:val="00C20788"/>
    <w:rsid w:val="00C22187"/>
    <w:rsid w:val="00C22338"/>
    <w:rsid w:val="00C229FC"/>
    <w:rsid w:val="00C22F14"/>
    <w:rsid w:val="00C23889"/>
    <w:rsid w:val="00C23D60"/>
    <w:rsid w:val="00C23FC1"/>
    <w:rsid w:val="00C244E5"/>
    <w:rsid w:val="00C24BE6"/>
    <w:rsid w:val="00C2569A"/>
    <w:rsid w:val="00C259D7"/>
    <w:rsid w:val="00C25D33"/>
    <w:rsid w:val="00C26212"/>
    <w:rsid w:val="00C2680A"/>
    <w:rsid w:val="00C26AFC"/>
    <w:rsid w:val="00C26D50"/>
    <w:rsid w:val="00C26FAB"/>
    <w:rsid w:val="00C272B6"/>
    <w:rsid w:val="00C2730F"/>
    <w:rsid w:val="00C27713"/>
    <w:rsid w:val="00C27C4D"/>
    <w:rsid w:val="00C27E7F"/>
    <w:rsid w:val="00C3071C"/>
    <w:rsid w:val="00C30DD1"/>
    <w:rsid w:val="00C31002"/>
    <w:rsid w:val="00C314E2"/>
    <w:rsid w:val="00C31639"/>
    <w:rsid w:val="00C31B2F"/>
    <w:rsid w:val="00C32345"/>
    <w:rsid w:val="00C32B51"/>
    <w:rsid w:val="00C3311F"/>
    <w:rsid w:val="00C33233"/>
    <w:rsid w:val="00C33A1E"/>
    <w:rsid w:val="00C347E6"/>
    <w:rsid w:val="00C34CA2"/>
    <w:rsid w:val="00C3640C"/>
    <w:rsid w:val="00C368A9"/>
    <w:rsid w:val="00C3778F"/>
    <w:rsid w:val="00C3796E"/>
    <w:rsid w:val="00C40AB4"/>
    <w:rsid w:val="00C40EDF"/>
    <w:rsid w:val="00C41252"/>
    <w:rsid w:val="00C41E59"/>
    <w:rsid w:val="00C42515"/>
    <w:rsid w:val="00C42777"/>
    <w:rsid w:val="00C428EE"/>
    <w:rsid w:val="00C429B6"/>
    <w:rsid w:val="00C42CAD"/>
    <w:rsid w:val="00C4300B"/>
    <w:rsid w:val="00C435C6"/>
    <w:rsid w:val="00C437C8"/>
    <w:rsid w:val="00C43990"/>
    <w:rsid w:val="00C443AA"/>
    <w:rsid w:val="00C4440D"/>
    <w:rsid w:val="00C44726"/>
    <w:rsid w:val="00C447B6"/>
    <w:rsid w:val="00C447DB"/>
    <w:rsid w:val="00C44912"/>
    <w:rsid w:val="00C453E8"/>
    <w:rsid w:val="00C456F9"/>
    <w:rsid w:val="00C45892"/>
    <w:rsid w:val="00C45B11"/>
    <w:rsid w:val="00C46557"/>
    <w:rsid w:val="00C4661A"/>
    <w:rsid w:val="00C46946"/>
    <w:rsid w:val="00C46E9F"/>
    <w:rsid w:val="00C46F24"/>
    <w:rsid w:val="00C47404"/>
    <w:rsid w:val="00C50732"/>
    <w:rsid w:val="00C5167C"/>
    <w:rsid w:val="00C5182A"/>
    <w:rsid w:val="00C51864"/>
    <w:rsid w:val="00C51E98"/>
    <w:rsid w:val="00C51FFE"/>
    <w:rsid w:val="00C52397"/>
    <w:rsid w:val="00C52403"/>
    <w:rsid w:val="00C526C4"/>
    <w:rsid w:val="00C52B2A"/>
    <w:rsid w:val="00C52D84"/>
    <w:rsid w:val="00C5333C"/>
    <w:rsid w:val="00C5443F"/>
    <w:rsid w:val="00C5476C"/>
    <w:rsid w:val="00C54839"/>
    <w:rsid w:val="00C55319"/>
    <w:rsid w:val="00C553A9"/>
    <w:rsid w:val="00C5553E"/>
    <w:rsid w:val="00C55ADB"/>
    <w:rsid w:val="00C55FA7"/>
    <w:rsid w:val="00C566E9"/>
    <w:rsid w:val="00C56793"/>
    <w:rsid w:val="00C56870"/>
    <w:rsid w:val="00C56D4D"/>
    <w:rsid w:val="00C57032"/>
    <w:rsid w:val="00C57439"/>
    <w:rsid w:val="00C60C4D"/>
    <w:rsid w:val="00C612FC"/>
    <w:rsid w:val="00C61439"/>
    <w:rsid w:val="00C61A5B"/>
    <w:rsid w:val="00C61B20"/>
    <w:rsid w:val="00C61B5C"/>
    <w:rsid w:val="00C61D0B"/>
    <w:rsid w:val="00C621B7"/>
    <w:rsid w:val="00C62791"/>
    <w:rsid w:val="00C62DA5"/>
    <w:rsid w:val="00C63F70"/>
    <w:rsid w:val="00C6406B"/>
    <w:rsid w:val="00C64E89"/>
    <w:rsid w:val="00C650F0"/>
    <w:rsid w:val="00C653B0"/>
    <w:rsid w:val="00C656C2"/>
    <w:rsid w:val="00C65740"/>
    <w:rsid w:val="00C65910"/>
    <w:rsid w:val="00C66032"/>
    <w:rsid w:val="00C66F57"/>
    <w:rsid w:val="00C66F8E"/>
    <w:rsid w:val="00C67A7E"/>
    <w:rsid w:val="00C67DF5"/>
    <w:rsid w:val="00C71339"/>
    <w:rsid w:val="00C7164F"/>
    <w:rsid w:val="00C716DF"/>
    <w:rsid w:val="00C717C9"/>
    <w:rsid w:val="00C71A33"/>
    <w:rsid w:val="00C72094"/>
    <w:rsid w:val="00C72463"/>
    <w:rsid w:val="00C7328F"/>
    <w:rsid w:val="00C7369D"/>
    <w:rsid w:val="00C737C3"/>
    <w:rsid w:val="00C73D36"/>
    <w:rsid w:val="00C75743"/>
    <w:rsid w:val="00C75C3A"/>
    <w:rsid w:val="00C77005"/>
    <w:rsid w:val="00C776A3"/>
    <w:rsid w:val="00C77840"/>
    <w:rsid w:val="00C8003F"/>
    <w:rsid w:val="00C80492"/>
    <w:rsid w:val="00C8050C"/>
    <w:rsid w:val="00C806FA"/>
    <w:rsid w:val="00C8143D"/>
    <w:rsid w:val="00C8183C"/>
    <w:rsid w:val="00C81E80"/>
    <w:rsid w:val="00C8219C"/>
    <w:rsid w:val="00C82B3D"/>
    <w:rsid w:val="00C82F34"/>
    <w:rsid w:val="00C83499"/>
    <w:rsid w:val="00C83D97"/>
    <w:rsid w:val="00C83EE8"/>
    <w:rsid w:val="00C845A9"/>
    <w:rsid w:val="00C8478E"/>
    <w:rsid w:val="00C8485D"/>
    <w:rsid w:val="00C848F8"/>
    <w:rsid w:val="00C849A8"/>
    <w:rsid w:val="00C8544A"/>
    <w:rsid w:val="00C858C1"/>
    <w:rsid w:val="00C8655F"/>
    <w:rsid w:val="00C866D4"/>
    <w:rsid w:val="00C86A40"/>
    <w:rsid w:val="00C86ED1"/>
    <w:rsid w:val="00C9097C"/>
    <w:rsid w:val="00C91786"/>
    <w:rsid w:val="00C91F23"/>
    <w:rsid w:val="00C9213C"/>
    <w:rsid w:val="00C9223E"/>
    <w:rsid w:val="00C92DBF"/>
    <w:rsid w:val="00C92F61"/>
    <w:rsid w:val="00C930ED"/>
    <w:rsid w:val="00C9346D"/>
    <w:rsid w:val="00C93D63"/>
    <w:rsid w:val="00C94455"/>
    <w:rsid w:val="00C9454E"/>
    <w:rsid w:val="00C947A3"/>
    <w:rsid w:val="00C948F8"/>
    <w:rsid w:val="00C94A54"/>
    <w:rsid w:val="00C94B84"/>
    <w:rsid w:val="00C958A9"/>
    <w:rsid w:val="00C959DD"/>
    <w:rsid w:val="00C95B6F"/>
    <w:rsid w:val="00C9629A"/>
    <w:rsid w:val="00C965FF"/>
    <w:rsid w:val="00C96632"/>
    <w:rsid w:val="00C96BE1"/>
    <w:rsid w:val="00C9720C"/>
    <w:rsid w:val="00C97AD9"/>
    <w:rsid w:val="00CA0215"/>
    <w:rsid w:val="00CA0925"/>
    <w:rsid w:val="00CA0ECB"/>
    <w:rsid w:val="00CA115A"/>
    <w:rsid w:val="00CA1395"/>
    <w:rsid w:val="00CA1FAA"/>
    <w:rsid w:val="00CA2059"/>
    <w:rsid w:val="00CA20E2"/>
    <w:rsid w:val="00CA239D"/>
    <w:rsid w:val="00CA258F"/>
    <w:rsid w:val="00CA3312"/>
    <w:rsid w:val="00CA33DF"/>
    <w:rsid w:val="00CA3565"/>
    <w:rsid w:val="00CA4931"/>
    <w:rsid w:val="00CA4C8D"/>
    <w:rsid w:val="00CA4F19"/>
    <w:rsid w:val="00CA517D"/>
    <w:rsid w:val="00CA5212"/>
    <w:rsid w:val="00CA5541"/>
    <w:rsid w:val="00CA55A3"/>
    <w:rsid w:val="00CA651B"/>
    <w:rsid w:val="00CA6542"/>
    <w:rsid w:val="00CA668B"/>
    <w:rsid w:val="00CA66E9"/>
    <w:rsid w:val="00CA6D0C"/>
    <w:rsid w:val="00CA6EEB"/>
    <w:rsid w:val="00CA7592"/>
    <w:rsid w:val="00CA78E4"/>
    <w:rsid w:val="00CA7CCA"/>
    <w:rsid w:val="00CB05C8"/>
    <w:rsid w:val="00CB06C3"/>
    <w:rsid w:val="00CB0ECB"/>
    <w:rsid w:val="00CB1303"/>
    <w:rsid w:val="00CB19E0"/>
    <w:rsid w:val="00CB1C21"/>
    <w:rsid w:val="00CB1E48"/>
    <w:rsid w:val="00CB2189"/>
    <w:rsid w:val="00CB28CF"/>
    <w:rsid w:val="00CB2AAF"/>
    <w:rsid w:val="00CB2AB5"/>
    <w:rsid w:val="00CB2C08"/>
    <w:rsid w:val="00CB372E"/>
    <w:rsid w:val="00CB3879"/>
    <w:rsid w:val="00CB3C95"/>
    <w:rsid w:val="00CB47FC"/>
    <w:rsid w:val="00CB4B80"/>
    <w:rsid w:val="00CB4D02"/>
    <w:rsid w:val="00CB51A8"/>
    <w:rsid w:val="00CB55B5"/>
    <w:rsid w:val="00CB5888"/>
    <w:rsid w:val="00CB596A"/>
    <w:rsid w:val="00CB5B3F"/>
    <w:rsid w:val="00CB724E"/>
    <w:rsid w:val="00CB74AB"/>
    <w:rsid w:val="00CB74F1"/>
    <w:rsid w:val="00CB75DD"/>
    <w:rsid w:val="00CB77A9"/>
    <w:rsid w:val="00CB7E98"/>
    <w:rsid w:val="00CC0727"/>
    <w:rsid w:val="00CC0EDC"/>
    <w:rsid w:val="00CC119D"/>
    <w:rsid w:val="00CC1325"/>
    <w:rsid w:val="00CC13C3"/>
    <w:rsid w:val="00CC1639"/>
    <w:rsid w:val="00CC1899"/>
    <w:rsid w:val="00CC1A08"/>
    <w:rsid w:val="00CC2DA6"/>
    <w:rsid w:val="00CC2E1D"/>
    <w:rsid w:val="00CC2FBC"/>
    <w:rsid w:val="00CC30E8"/>
    <w:rsid w:val="00CC366F"/>
    <w:rsid w:val="00CC45A7"/>
    <w:rsid w:val="00CC4627"/>
    <w:rsid w:val="00CC46AF"/>
    <w:rsid w:val="00CC6074"/>
    <w:rsid w:val="00CC65CD"/>
    <w:rsid w:val="00CC6918"/>
    <w:rsid w:val="00CC6BEF"/>
    <w:rsid w:val="00CC6D1B"/>
    <w:rsid w:val="00CC7268"/>
    <w:rsid w:val="00CC72E3"/>
    <w:rsid w:val="00CC79D5"/>
    <w:rsid w:val="00CD04A1"/>
    <w:rsid w:val="00CD04F8"/>
    <w:rsid w:val="00CD0618"/>
    <w:rsid w:val="00CD06E6"/>
    <w:rsid w:val="00CD078E"/>
    <w:rsid w:val="00CD087E"/>
    <w:rsid w:val="00CD0A32"/>
    <w:rsid w:val="00CD1444"/>
    <w:rsid w:val="00CD17EB"/>
    <w:rsid w:val="00CD1A4A"/>
    <w:rsid w:val="00CD1C13"/>
    <w:rsid w:val="00CD2202"/>
    <w:rsid w:val="00CD22FA"/>
    <w:rsid w:val="00CD3895"/>
    <w:rsid w:val="00CD3A1D"/>
    <w:rsid w:val="00CD493F"/>
    <w:rsid w:val="00CD4B6E"/>
    <w:rsid w:val="00CD51F0"/>
    <w:rsid w:val="00CD5365"/>
    <w:rsid w:val="00CD6A72"/>
    <w:rsid w:val="00CD6D06"/>
    <w:rsid w:val="00CD7E43"/>
    <w:rsid w:val="00CE0F63"/>
    <w:rsid w:val="00CE1444"/>
    <w:rsid w:val="00CE17EA"/>
    <w:rsid w:val="00CE1F1F"/>
    <w:rsid w:val="00CE2F44"/>
    <w:rsid w:val="00CE30D2"/>
    <w:rsid w:val="00CE354B"/>
    <w:rsid w:val="00CE43D6"/>
    <w:rsid w:val="00CE4EDD"/>
    <w:rsid w:val="00CE5C9E"/>
    <w:rsid w:val="00CE62D6"/>
    <w:rsid w:val="00CE6313"/>
    <w:rsid w:val="00CE6461"/>
    <w:rsid w:val="00CE65B7"/>
    <w:rsid w:val="00CE692D"/>
    <w:rsid w:val="00CE69BD"/>
    <w:rsid w:val="00CE6C37"/>
    <w:rsid w:val="00CE74EE"/>
    <w:rsid w:val="00CE7737"/>
    <w:rsid w:val="00CE7B87"/>
    <w:rsid w:val="00CE7C0B"/>
    <w:rsid w:val="00CF0AFA"/>
    <w:rsid w:val="00CF1E64"/>
    <w:rsid w:val="00CF2AA3"/>
    <w:rsid w:val="00CF3329"/>
    <w:rsid w:val="00CF373E"/>
    <w:rsid w:val="00CF3B3A"/>
    <w:rsid w:val="00CF3CF2"/>
    <w:rsid w:val="00CF49B8"/>
    <w:rsid w:val="00CF4F15"/>
    <w:rsid w:val="00CF50A8"/>
    <w:rsid w:val="00CF5146"/>
    <w:rsid w:val="00CF566E"/>
    <w:rsid w:val="00CF6A4D"/>
    <w:rsid w:val="00CF6CCB"/>
    <w:rsid w:val="00CF7039"/>
    <w:rsid w:val="00CF798E"/>
    <w:rsid w:val="00D003BA"/>
    <w:rsid w:val="00D008F7"/>
    <w:rsid w:val="00D0096C"/>
    <w:rsid w:val="00D00B10"/>
    <w:rsid w:val="00D00D62"/>
    <w:rsid w:val="00D0127A"/>
    <w:rsid w:val="00D0155F"/>
    <w:rsid w:val="00D03034"/>
    <w:rsid w:val="00D0340C"/>
    <w:rsid w:val="00D0366A"/>
    <w:rsid w:val="00D037F7"/>
    <w:rsid w:val="00D03C98"/>
    <w:rsid w:val="00D04164"/>
    <w:rsid w:val="00D04356"/>
    <w:rsid w:val="00D04454"/>
    <w:rsid w:val="00D0454B"/>
    <w:rsid w:val="00D047B5"/>
    <w:rsid w:val="00D04813"/>
    <w:rsid w:val="00D04D4D"/>
    <w:rsid w:val="00D04D9B"/>
    <w:rsid w:val="00D0523C"/>
    <w:rsid w:val="00D05326"/>
    <w:rsid w:val="00D05722"/>
    <w:rsid w:val="00D064AD"/>
    <w:rsid w:val="00D06884"/>
    <w:rsid w:val="00D07622"/>
    <w:rsid w:val="00D07870"/>
    <w:rsid w:val="00D1054D"/>
    <w:rsid w:val="00D1072C"/>
    <w:rsid w:val="00D109DD"/>
    <w:rsid w:val="00D110E7"/>
    <w:rsid w:val="00D11B1E"/>
    <w:rsid w:val="00D120BF"/>
    <w:rsid w:val="00D121C9"/>
    <w:rsid w:val="00D12646"/>
    <w:rsid w:val="00D136C7"/>
    <w:rsid w:val="00D1379D"/>
    <w:rsid w:val="00D13A5E"/>
    <w:rsid w:val="00D13DB5"/>
    <w:rsid w:val="00D140A2"/>
    <w:rsid w:val="00D14AAD"/>
    <w:rsid w:val="00D1511D"/>
    <w:rsid w:val="00D1530C"/>
    <w:rsid w:val="00D154C4"/>
    <w:rsid w:val="00D15773"/>
    <w:rsid w:val="00D15ACC"/>
    <w:rsid w:val="00D15B25"/>
    <w:rsid w:val="00D16A0B"/>
    <w:rsid w:val="00D171CB"/>
    <w:rsid w:val="00D17228"/>
    <w:rsid w:val="00D179BF"/>
    <w:rsid w:val="00D17DEE"/>
    <w:rsid w:val="00D17FC9"/>
    <w:rsid w:val="00D2022A"/>
    <w:rsid w:val="00D20A71"/>
    <w:rsid w:val="00D20B35"/>
    <w:rsid w:val="00D21113"/>
    <w:rsid w:val="00D211D8"/>
    <w:rsid w:val="00D21691"/>
    <w:rsid w:val="00D21B25"/>
    <w:rsid w:val="00D220B3"/>
    <w:rsid w:val="00D2284A"/>
    <w:rsid w:val="00D242B3"/>
    <w:rsid w:val="00D242D3"/>
    <w:rsid w:val="00D253F4"/>
    <w:rsid w:val="00D25C2B"/>
    <w:rsid w:val="00D25EAB"/>
    <w:rsid w:val="00D26166"/>
    <w:rsid w:val="00D261ED"/>
    <w:rsid w:val="00D2621B"/>
    <w:rsid w:val="00D2647A"/>
    <w:rsid w:val="00D26F87"/>
    <w:rsid w:val="00D2702E"/>
    <w:rsid w:val="00D27801"/>
    <w:rsid w:val="00D27B73"/>
    <w:rsid w:val="00D27E1E"/>
    <w:rsid w:val="00D27E5C"/>
    <w:rsid w:val="00D3095E"/>
    <w:rsid w:val="00D30CDF"/>
    <w:rsid w:val="00D30D42"/>
    <w:rsid w:val="00D314C2"/>
    <w:rsid w:val="00D314FF"/>
    <w:rsid w:val="00D3150E"/>
    <w:rsid w:val="00D31E8B"/>
    <w:rsid w:val="00D324A5"/>
    <w:rsid w:val="00D32806"/>
    <w:rsid w:val="00D32951"/>
    <w:rsid w:val="00D329FB"/>
    <w:rsid w:val="00D3365B"/>
    <w:rsid w:val="00D3407E"/>
    <w:rsid w:val="00D34105"/>
    <w:rsid w:val="00D34320"/>
    <w:rsid w:val="00D3457D"/>
    <w:rsid w:val="00D34580"/>
    <w:rsid w:val="00D34AD4"/>
    <w:rsid w:val="00D35227"/>
    <w:rsid w:val="00D35414"/>
    <w:rsid w:val="00D35D02"/>
    <w:rsid w:val="00D35EA8"/>
    <w:rsid w:val="00D36464"/>
    <w:rsid w:val="00D36555"/>
    <w:rsid w:val="00D369CE"/>
    <w:rsid w:val="00D37051"/>
    <w:rsid w:val="00D3706A"/>
    <w:rsid w:val="00D401DE"/>
    <w:rsid w:val="00D403AE"/>
    <w:rsid w:val="00D40771"/>
    <w:rsid w:val="00D40918"/>
    <w:rsid w:val="00D40A63"/>
    <w:rsid w:val="00D41C93"/>
    <w:rsid w:val="00D429A6"/>
    <w:rsid w:val="00D429B3"/>
    <w:rsid w:val="00D42F94"/>
    <w:rsid w:val="00D43855"/>
    <w:rsid w:val="00D43E00"/>
    <w:rsid w:val="00D44041"/>
    <w:rsid w:val="00D456A8"/>
    <w:rsid w:val="00D459CD"/>
    <w:rsid w:val="00D45E21"/>
    <w:rsid w:val="00D46019"/>
    <w:rsid w:val="00D460BB"/>
    <w:rsid w:val="00D462A3"/>
    <w:rsid w:val="00D4682E"/>
    <w:rsid w:val="00D46F5E"/>
    <w:rsid w:val="00D473EB"/>
    <w:rsid w:val="00D47635"/>
    <w:rsid w:val="00D47793"/>
    <w:rsid w:val="00D505B4"/>
    <w:rsid w:val="00D509AF"/>
    <w:rsid w:val="00D50EB7"/>
    <w:rsid w:val="00D50F90"/>
    <w:rsid w:val="00D51943"/>
    <w:rsid w:val="00D51A2A"/>
    <w:rsid w:val="00D51B02"/>
    <w:rsid w:val="00D526D4"/>
    <w:rsid w:val="00D52735"/>
    <w:rsid w:val="00D52CCF"/>
    <w:rsid w:val="00D52FC2"/>
    <w:rsid w:val="00D5309F"/>
    <w:rsid w:val="00D542B2"/>
    <w:rsid w:val="00D5430F"/>
    <w:rsid w:val="00D54687"/>
    <w:rsid w:val="00D5540F"/>
    <w:rsid w:val="00D5569E"/>
    <w:rsid w:val="00D55B0F"/>
    <w:rsid w:val="00D56380"/>
    <w:rsid w:val="00D563B4"/>
    <w:rsid w:val="00D56617"/>
    <w:rsid w:val="00D568E7"/>
    <w:rsid w:val="00D56DC2"/>
    <w:rsid w:val="00D56E20"/>
    <w:rsid w:val="00D574B1"/>
    <w:rsid w:val="00D57BEF"/>
    <w:rsid w:val="00D606C5"/>
    <w:rsid w:val="00D608DA"/>
    <w:rsid w:val="00D61229"/>
    <w:rsid w:val="00D61462"/>
    <w:rsid w:val="00D61BF5"/>
    <w:rsid w:val="00D6205F"/>
    <w:rsid w:val="00D62361"/>
    <w:rsid w:val="00D636F0"/>
    <w:rsid w:val="00D64419"/>
    <w:rsid w:val="00D64645"/>
    <w:rsid w:val="00D6472F"/>
    <w:rsid w:val="00D64FE7"/>
    <w:rsid w:val="00D6598A"/>
    <w:rsid w:val="00D65A9C"/>
    <w:rsid w:val="00D66C2D"/>
    <w:rsid w:val="00D66F1F"/>
    <w:rsid w:val="00D6737A"/>
    <w:rsid w:val="00D673B2"/>
    <w:rsid w:val="00D676C9"/>
    <w:rsid w:val="00D67896"/>
    <w:rsid w:val="00D67C5D"/>
    <w:rsid w:val="00D67F9F"/>
    <w:rsid w:val="00D7081E"/>
    <w:rsid w:val="00D708FC"/>
    <w:rsid w:val="00D70A95"/>
    <w:rsid w:val="00D70C0C"/>
    <w:rsid w:val="00D7115F"/>
    <w:rsid w:val="00D71489"/>
    <w:rsid w:val="00D715B1"/>
    <w:rsid w:val="00D7170F"/>
    <w:rsid w:val="00D71953"/>
    <w:rsid w:val="00D71AF1"/>
    <w:rsid w:val="00D72090"/>
    <w:rsid w:val="00D723E7"/>
    <w:rsid w:val="00D72602"/>
    <w:rsid w:val="00D72683"/>
    <w:rsid w:val="00D740B4"/>
    <w:rsid w:val="00D742CE"/>
    <w:rsid w:val="00D74703"/>
    <w:rsid w:val="00D7482E"/>
    <w:rsid w:val="00D74B3A"/>
    <w:rsid w:val="00D7506D"/>
    <w:rsid w:val="00D75219"/>
    <w:rsid w:val="00D75347"/>
    <w:rsid w:val="00D75468"/>
    <w:rsid w:val="00D76218"/>
    <w:rsid w:val="00D762E1"/>
    <w:rsid w:val="00D7658D"/>
    <w:rsid w:val="00D76DA3"/>
    <w:rsid w:val="00D779FC"/>
    <w:rsid w:val="00D77AC6"/>
    <w:rsid w:val="00D80287"/>
    <w:rsid w:val="00D80758"/>
    <w:rsid w:val="00D8076F"/>
    <w:rsid w:val="00D80889"/>
    <w:rsid w:val="00D80CCA"/>
    <w:rsid w:val="00D8100C"/>
    <w:rsid w:val="00D81713"/>
    <w:rsid w:val="00D8218A"/>
    <w:rsid w:val="00D82327"/>
    <w:rsid w:val="00D82514"/>
    <w:rsid w:val="00D82E6C"/>
    <w:rsid w:val="00D82F48"/>
    <w:rsid w:val="00D83714"/>
    <w:rsid w:val="00D83866"/>
    <w:rsid w:val="00D83A36"/>
    <w:rsid w:val="00D8453D"/>
    <w:rsid w:val="00D851FD"/>
    <w:rsid w:val="00D85727"/>
    <w:rsid w:val="00D85D64"/>
    <w:rsid w:val="00D86AA1"/>
    <w:rsid w:val="00D86D4C"/>
    <w:rsid w:val="00D8720F"/>
    <w:rsid w:val="00D872E6"/>
    <w:rsid w:val="00D87406"/>
    <w:rsid w:val="00D87D42"/>
    <w:rsid w:val="00D9077D"/>
    <w:rsid w:val="00D90848"/>
    <w:rsid w:val="00D90AED"/>
    <w:rsid w:val="00D9164B"/>
    <w:rsid w:val="00D917E1"/>
    <w:rsid w:val="00D91E73"/>
    <w:rsid w:val="00D91F4D"/>
    <w:rsid w:val="00D92021"/>
    <w:rsid w:val="00D9279E"/>
    <w:rsid w:val="00D933FC"/>
    <w:rsid w:val="00D937F4"/>
    <w:rsid w:val="00D947F4"/>
    <w:rsid w:val="00D94B4A"/>
    <w:rsid w:val="00D95261"/>
    <w:rsid w:val="00D95D02"/>
    <w:rsid w:val="00D96538"/>
    <w:rsid w:val="00D9676B"/>
    <w:rsid w:val="00D96790"/>
    <w:rsid w:val="00D97646"/>
    <w:rsid w:val="00D97806"/>
    <w:rsid w:val="00D97B44"/>
    <w:rsid w:val="00D97C4C"/>
    <w:rsid w:val="00D97FF0"/>
    <w:rsid w:val="00DA0D63"/>
    <w:rsid w:val="00DA0E1F"/>
    <w:rsid w:val="00DA1C43"/>
    <w:rsid w:val="00DA265A"/>
    <w:rsid w:val="00DA2EC7"/>
    <w:rsid w:val="00DA3E10"/>
    <w:rsid w:val="00DA43AE"/>
    <w:rsid w:val="00DA49A1"/>
    <w:rsid w:val="00DA5480"/>
    <w:rsid w:val="00DA572D"/>
    <w:rsid w:val="00DA5BC8"/>
    <w:rsid w:val="00DA5DB2"/>
    <w:rsid w:val="00DA5FEC"/>
    <w:rsid w:val="00DA6171"/>
    <w:rsid w:val="00DA669E"/>
    <w:rsid w:val="00DB0324"/>
    <w:rsid w:val="00DB13CE"/>
    <w:rsid w:val="00DB1BD4"/>
    <w:rsid w:val="00DB1F89"/>
    <w:rsid w:val="00DB2CD6"/>
    <w:rsid w:val="00DB31E7"/>
    <w:rsid w:val="00DB3DF0"/>
    <w:rsid w:val="00DB4182"/>
    <w:rsid w:val="00DB448F"/>
    <w:rsid w:val="00DB450C"/>
    <w:rsid w:val="00DB4977"/>
    <w:rsid w:val="00DB5459"/>
    <w:rsid w:val="00DB55A0"/>
    <w:rsid w:val="00DB5C3E"/>
    <w:rsid w:val="00DB5FD8"/>
    <w:rsid w:val="00DB60F5"/>
    <w:rsid w:val="00DB645F"/>
    <w:rsid w:val="00DB707C"/>
    <w:rsid w:val="00DC0ECE"/>
    <w:rsid w:val="00DC1256"/>
    <w:rsid w:val="00DC1301"/>
    <w:rsid w:val="00DC140B"/>
    <w:rsid w:val="00DC1C3A"/>
    <w:rsid w:val="00DC210B"/>
    <w:rsid w:val="00DC2563"/>
    <w:rsid w:val="00DC26B0"/>
    <w:rsid w:val="00DC2779"/>
    <w:rsid w:val="00DC28E4"/>
    <w:rsid w:val="00DC2D07"/>
    <w:rsid w:val="00DC313B"/>
    <w:rsid w:val="00DC3174"/>
    <w:rsid w:val="00DC3175"/>
    <w:rsid w:val="00DC3623"/>
    <w:rsid w:val="00DC4248"/>
    <w:rsid w:val="00DC45D8"/>
    <w:rsid w:val="00DC473B"/>
    <w:rsid w:val="00DC54B0"/>
    <w:rsid w:val="00DC60D7"/>
    <w:rsid w:val="00DC62C9"/>
    <w:rsid w:val="00DC62EC"/>
    <w:rsid w:val="00DC69BC"/>
    <w:rsid w:val="00DC6EA3"/>
    <w:rsid w:val="00DC7686"/>
    <w:rsid w:val="00DC7A1B"/>
    <w:rsid w:val="00DD0017"/>
    <w:rsid w:val="00DD01A0"/>
    <w:rsid w:val="00DD09D9"/>
    <w:rsid w:val="00DD0C07"/>
    <w:rsid w:val="00DD128C"/>
    <w:rsid w:val="00DD1297"/>
    <w:rsid w:val="00DD1611"/>
    <w:rsid w:val="00DD175A"/>
    <w:rsid w:val="00DD1D4E"/>
    <w:rsid w:val="00DD2033"/>
    <w:rsid w:val="00DD29A2"/>
    <w:rsid w:val="00DD2FF0"/>
    <w:rsid w:val="00DD315C"/>
    <w:rsid w:val="00DD31EF"/>
    <w:rsid w:val="00DD414D"/>
    <w:rsid w:val="00DD49A2"/>
    <w:rsid w:val="00DD4C37"/>
    <w:rsid w:val="00DD4D4B"/>
    <w:rsid w:val="00DD5832"/>
    <w:rsid w:val="00DD6154"/>
    <w:rsid w:val="00DD6BEA"/>
    <w:rsid w:val="00DD7183"/>
    <w:rsid w:val="00DD72AE"/>
    <w:rsid w:val="00DD7C04"/>
    <w:rsid w:val="00DD7DBA"/>
    <w:rsid w:val="00DE060B"/>
    <w:rsid w:val="00DE07FA"/>
    <w:rsid w:val="00DE0AFC"/>
    <w:rsid w:val="00DE0FC7"/>
    <w:rsid w:val="00DE1229"/>
    <w:rsid w:val="00DE1739"/>
    <w:rsid w:val="00DE1BDE"/>
    <w:rsid w:val="00DE2D04"/>
    <w:rsid w:val="00DE3067"/>
    <w:rsid w:val="00DE3AE5"/>
    <w:rsid w:val="00DE4039"/>
    <w:rsid w:val="00DE4884"/>
    <w:rsid w:val="00DE51F0"/>
    <w:rsid w:val="00DE555E"/>
    <w:rsid w:val="00DE5B29"/>
    <w:rsid w:val="00DE5E56"/>
    <w:rsid w:val="00DE5E5E"/>
    <w:rsid w:val="00DE6084"/>
    <w:rsid w:val="00DE6973"/>
    <w:rsid w:val="00DE7091"/>
    <w:rsid w:val="00DE7B3D"/>
    <w:rsid w:val="00DE7DF1"/>
    <w:rsid w:val="00DF06B0"/>
    <w:rsid w:val="00DF0947"/>
    <w:rsid w:val="00DF1647"/>
    <w:rsid w:val="00DF17FA"/>
    <w:rsid w:val="00DF2B22"/>
    <w:rsid w:val="00DF2B60"/>
    <w:rsid w:val="00DF3544"/>
    <w:rsid w:val="00DF441C"/>
    <w:rsid w:val="00DF444D"/>
    <w:rsid w:val="00DF45AE"/>
    <w:rsid w:val="00DF4BA8"/>
    <w:rsid w:val="00DF4E79"/>
    <w:rsid w:val="00DF5003"/>
    <w:rsid w:val="00DF51EF"/>
    <w:rsid w:val="00DF59EC"/>
    <w:rsid w:val="00DF6258"/>
    <w:rsid w:val="00DF64AE"/>
    <w:rsid w:val="00DF7306"/>
    <w:rsid w:val="00DF7312"/>
    <w:rsid w:val="00DF77D7"/>
    <w:rsid w:val="00DF7AFA"/>
    <w:rsid w:val="00DF7D92"/>
    <w:rsid w:val="00E0015F"/>
    <w:rsid w:val="00E00409"/>
    <w:rsid w:val="00E007A1"/>
    <w:rsid w:val="00E0083F"/>
    <w:rsid w:val="00E00E02"/>
    <w:rsid w:val="00E01546"/>
    <w:rsid w:val="00E01C6C"/>
    <w:rsid w:val="00E01FE5"/>
    <w:rsid w:val="00E021FF"/>
    <w:rsid w:val="00E02359"/>
    <w:rsid w:val="00E03029"/>
    <w:rsid w:val="00E035F1"/>
    <w:rsid w:val="00E03A44"/>
    <w:rsid w:val="00E03BB2"/>
    <w:rsid w:val="00E04106"/>
    <w:rsid w:val="00E044BB"/>
    <w:rsid w:val="00E04670"/>
    <w:rsid w:val="00E0520C"/>
    <w:rsid w:val="00E05746"/>
    <w:rsid w:val="00E064A6"/>
    <w:rsid w:val="00E07086"/>
    <w:rsid w:val="00E07351"/>
    <w:rsid w:val="00E07B64"/>
    <w:rsid w:val="00E07CCB"/>
    <w:rsid w:val="00E07F04"/>
    <w:rsid w:val="00E107E5"/>
    <w:rsid w:val="00E109D0"/>
    <w:rsid w:val="00E10AE4"/>
    <w:rsid w:val="00E110C1"/>
    <w:rsid w:val="00E11617"/>
    <w:rsid w:val="00E116CB"/>
    <w:rsid w:val="00E11907"/>
    <w:rsid w:val="00E11974"/>
    <w:rsid w:val="00E12043"/>
    <w:rsid w:val="00E12187"/>
    <w:rsid w:val="00E1266D"/>
    <w:rsid w:val="00E12D27"/>
    <w:rsid w:val="00E131BC"/>
    <w:rsid w:val="00E1375D"/>
    <w:rsid w:val="00E13935"/>
    <w:rsid w:val="00E13FEC"/>
    <w:rsid w:val="00E1416A"/>
    <w:rsid w:val="00E141AA"/>
    <w:rsid w:val="00E15351"/>
    <w:rsid w:val="00E15590"/>
    <w:rsid w:val="00E17039"/>
    <w:rsid w:val="00E20151"/>
    <w:rsid w:val="00E21880"/>
    <w:rsid w:val="00E21A37"/>
    <w:rsid w:val="00E21BA5"/>
    <w:rsid w:val="00E220C3"/>
    <w:rsid w:val="00E224B8"/>
    <w:rsid w:val="00E22504"/>
    <w:rsid w:val="00E2324D"/>
    <w:rsid w:val="00E232DD"/>
    <w:rsid w:val="00E23339"/>
    <w:rsid w:val="00E234D2"/>
    <w:rsid w:val="00E23DA5"/>
    <w:rsid w:val="00E24259"/>
    <w:rsid w:val="00E243E7"/>
    <w:rsid w:val="00E245B8"/>
    <w:rsid w:val="00E24742"/>
    <w:rsid w:val="00E24C76"/>
    <w:rsid w:val="00E25618"/>
    <w:rsid w:val="00E257F5"/>
    <w:rsid w:val="00E258C9"/>
    <w:rsid w:val="00E25C2F"/>
    <w:rsid w:val="00E26B30"/>
    <w:rsid w:val="00E26B31"/>
    <w:rsid w:val="00E26DAD"/>
    <w:rsid w:val="00E27061"/>
    <w:rsid w:val="00E27D1C"/>
    <w:rsid w:val="00E27D80"/>
    <w:rsid w:val="00E300EC"/>
    <w:rsid w:val="00E302DD"/>
    <w:rsid w:val="00E30303"/>
    <w:rsid w:val="00E304D2"/>
    <w:rsid w:val="00E30966"/>
    <w:rsid w:val="00E31B87"/>
    <w:rsid w:val="00E31CCB"/>
    <w:rsid w:val="00E31E39"/>
    <w:rsid w:val="00E32849"/>
    <w:rsid w:val="00E32C05"/>
    <w:rsid w:val="00E33087"/>
    <w:rsid w:val="00E336B3"/>
    <w:rsid w:val="00E33DFD"/>
    <w:rsid w:val="00E3429F"/>
    <w:rsid w:val="00E349F8"/>
    <w:rsid w:val="00E34A12"/>
    <w:rsid w:val="00E34BDD"/>
    <w:rsid w:val="00E350BA"/>
    <w:rsid w:val="00E358F3"/>
    <w:rsid w:val="00E35967"/>
    <w:rsid w:val="00E36BE8"/>
    <w:rsid w:val="00E36E9D"/>
    <w:rsid w:val="00E3735B"/>
    <w:rsid w:val="00E37391"/>
    <w:rsid w:val="00E37923"/>
    <w:rsid w:val="00E379E7"/>
    <w:rsid w:val="00E37F7B"/>
    <w:rsid w:val="00E4032E"/>
    <w:rsid w:val="00E41179"/>
    <w:rsid w:val="00E41395"/>
    <w:rsid w:val="00E41B63"/>
    <w:rsid w:val="00E41CDB"/>
    <w:rsid w:val="00E42380"/>
    <w:rsid w:val="00E4238D"/>
    <w:rsid w:val="00E428B0"/>
    <w:rsid w:val="00E42E59"/>
    <w:rsid w:val="00E430B9"/>
    <w:rsid w:val="00E4473F"/>
    <w:rsid w:val="00E4494A"/>
    <w:rsid w:val="00E44BD5"/>
    <w:rsid w:val="00E44E43"/>
    <w:rsid w:val="00E451C3"/>
    <w:rsid w:val="00E451D3"/>
    <w:rsid w:val="00E461DB"/>
    <w:rsid w:val="00E46E1F"/>
    <w:rsid w:val="00E4720A"/>
    <w:rsid w:val="00E47D59"/>
    <w:rsid w:val="00E500A8"/>
    <w:rsid w:val="00E502E3"/>
    <w:rsid w:val="00E50686"/>
    <w:rsid w:val="00E5072F"/>
    <w:rsid w:val="00E51098"/>
    <w:rsid w:val="00E511DE"/>
    <w:rsid w:val="00E51969"/>
    <w:rsid w:val="00E51D6A"/>
    <w:rsid w:val="00E52B13"/>
    <w:rsid w:val="00E53763"/>
    <w:rsid w:val="00E53941"/>
    <w:rsid w:val="00E53BE1"/>
    <w:rsid w:val="00E53DBA"/>
    <w:rsid w:val="00E53E7D"/>
    <w:rsid w:val="00E53EBD"/>
    <w:rsid w:val="00E54304"/>
    <w:rsid w:val="00E54631"/>
    <w:rsid w:val="00E549F0"/>
    <w:rsid w:val="00E54BB5"/>
    <w:rsid w:val="00E555A7"/>
    <w:rsid w:val="00E56595"/>
    <w:rsid w:val="00E56C31"/>
    <w:rsid w:val="00E57384"/>
    <w:rsid w:val="00E57689"/>
    <w:rsid w:val="00E60EA5"/>
    <w:rsid w:val="00E612BE"/>
    <w:rsid w:val="00E61388"/>
    <w:rsid w:val="00E617CD"/>
    <w:rsid w:val="00E61805"/>
    <w:rsid w:val="00E6276E"/>
    <w:rsid w:val="00E6303C"/>
    <w:rsid w:val="00E63BA5"/>
    <w:rsid w:val="00E63FC4"/>
    <w:rsid w:val="00E64102"/>
    <w:rsid w:val="00E64105"/>
    <w:rsid w:val="00E64694"/>
    <w:rsid w:val="00E64C14"/>
    <w:rsid w:val="00E64E94"/>
    <w:rsid w:val="00E65AD9"/>
    <w:rsid w:val="00E65E0B"/>
    <w:rsid w:val="00E65E11"/>
    <w:rsid w:val="00E65E1A"/>
    <w:rsid w:val="00E664F5"/>
    <w:rsid w:val="00E66953"/>
    <w:rsid w:val="00E66BB1"/>
    <w:rsid w:val="00E673A0"/>
    <w:rsid w:val="00E67744"/>
    <w:rsid w:val="00E67AFC"/>
    <w:rsid w:val="00E701DF"/>
    <w:rsid w:val="00E705D7"/>
    <w:rsid w:val="00E70B4B"/>
    <w:rsid w:val="00E70EC0"/>
    <w:rsid w:val="00E7105B"/>
    <w:rsid w:val="00E710A7"/>
    <w:rsid w:val="00E71936"/>
    <w:rsid w:val="00E719D0"/>
    <w:rsid w:val="00E722D7"/>
    <w:rsid w:val="00E7247C"/>
    <w:rsid w:val="00E726B0"/>
    <w:rsid w:val="00E72992"/>
    <w:rsid w:val="00E72FC9"/>
    <w:rsid w:val="00E738BA"/>
    <w:rsid w:val="00E73E02"/>
    <w:rsid w:val="00E761C1"/>
    <w:rsid w:val="00E76249"/>
    <w:rsid w:val="00E76AA0"/>
    <w:rsid w:val="00E76B62"/>
    <w:rsid w:val="00E777F8"/>
    <w:rsid w:val="00E77A9F"/>
    <w:rsid w:val="00E77D45"/>
    <w:rsid w:val="00E806D9"/>
    <w:rsid w:val="00E80A29"/>
    <w:rsid w:val="00E81675"/>
    <w:rsid w:val="00E81BDF"/>
    <w:rsid w:val="00E82332"/>
    <w:rsid w:val="00E83427"/>
    <w:rsid w:val="00E8368E"/>
    <w:rsid w:val="00E8416B"/>
    <w:rsid w:val="00E84918"/>
    <w:rsid w:val="00E849EB"/>
    <w:rsid w:val="00E858E0"/>
    <w:rsid w:val="00E85F2C"/>
    <w:rsid w:val="00E86090"/>
    <w:rsid w:val="00E86B1F"/>
    <w:rsid w:val="00E86C92"/>
    <w:rsid w:val="00E877B8"/>
    <w:rsid w:val="00E87D73"/>
    <w:rsid w:val="00E90322"/>
    <w:rsid w:val="00E90927"/>
    <w:rsid w:val="00E91E55"/>
    <w:rsid w:val="00E920E4"/>
    <w:rsid w:val="00E92312"/>
    <w:rsid w:val="00E9260F"/>
    <w:rsid w:val="00E9268E"/>
    <w:rsid w:val="00E9282B"/>
    <w:rsid w:val="00E92B01"/>
    <w:rsid w:val="00E92DE6"/>
    <w:rsid w:val="00E93102"/>
    <w:rsid w:val="00E93249"/>
    <w:rsid w:val="00E935DB"/>
    <w:rsid w:val="00E93945"/>
    <w:rsid w:val="00E94090"/>
    <w:rsid w:val="00E94748"/>
    <w:rsid w:val="00E94FBB"/>
    <w:rsid w:val="00E95013"/>
    <w:rsid w:val="00E954FE"/>
    <w:rsid w:val="00E95790"/>
    <w:rsid w:val="00E95CE7"/>
    <w:rsid w:val="00E962DA"/>
    <w:rsid w:val="00E9632D"/>
    <w:rsid w:val="00E9642B"/>
    <w:rsid w:val="00E969CF"/>
    <w:rsid w:val="00E96B91"/>
    <w:rsid w:val="00E96DA3"/>
    <w:rsid w:val="00E97D04"/>
    <w:rsid w:val="00E97D2D"/>
    <w:rsid w:val="00EA0917"/>
    <w:rsid w:val="00EA0D9E"/>
    <w:rsid w:val="00EA0FD8"/>
    <w:rsid w:val="00EA1342"/>
    <w:rsid w:val="00EA1A4A"/>
    <w:rsid w:val="00EA1F1F"/>
    <w:rsid w:val="00EA2634"/>
    <w:rsid w:val="00EA2657"/>
    <w:rsid w:val="00EA28F9"/>
    <w:rsid w:val="00EA2927"/>
    <w:rsid w:val="00EA30C4"/>
    <w:rsid w:val="00EA3457"/>
    <w:rsid w:val="00EA4255"/>
    <w:rsid w:val="00EA48FC"/>
    <w:rsid w:val="00EA4A8D"/>
    <w:rsid w:val="00EA4CB1"/>
    <w:rsid w:val="00EA4DED"/>
    <w:rsid w:val="00EA5377"/>
    <w:rsid w:val="00EA53A4"/>
    <w:rsid w:val="00EA5704"/>
    <w:rsid w:val="00EA63AA"/>
    <w:rsid w:val="00EA644F"/>
    <w:rsid w:val="00EA6611"/>
    <w:rsid w:val="00EA6A75"/>
    <w:rsid w:val="00EA7723"/>
    <w:rsid w:val="00EA789F"/>
    <w:rsid w:val="00EA792B"/>
    <w:rsid w:val="00EA79DC"/>
    <w:rsid w:val="00EB02DE"/>
    <w:rsid w:val="00EB1178"/>
    <w:rsid w:val="00EB1192"/>
    <w:rsid w:val="00EB11A0"/>
    <w:rsid w:val="00EB11CD"/>
    <w:rsid w:val="00EB1596"/>
    <w:rsid w:val="00EB17AE"/>
    <w:rsid w:val="00EB1806"/>
    <w:rsid w:val="00EB1CA5"/>
    <w:rsid w:val="00EB2684"/>
    <w:rsid w:val="00EB2B2B"/>
    <w:rsid w:val="00EB3044"/>
    <w:rsid w:val="00EB3560"/>
    <w:rsid w:val="00EB3687"/>
    <w:rsid w:val="00EB41C1"/>
    <w:rsid w:val="00EB44D3"/>
    <w:rsid w:val="00EB452A"/>
    <w:rsid w:val="00EB495B"/>
    <w:rsid w:val="00EB51AA"/>
    <w:rsid w:val="00EB5957"/>
    <w:rsid w:val="00EB5C10"/>
    <w:rsid w:val="00EB5CAD"/>
    <w:rsid w:val="00EB5D09"/>
    <w:rsid w:val="00EB66DF"/>
    <w:rsid w:val="00EB6952"/>
    <w:rsid w:val="00EB6C6E"/>
    <w:rsid w:val="00EB6DF9"/>
    <w:rsid w:val="00EB7151"/>
    <w:rsid w:val="00EB7476"/>
    <w:rsid w:val="00EB7486"/>
    <w:rsid w:val="00EB753B"/>
    <w:rsid w:val="00EB796F"/>
    <w:rsid w:val="00EB7CD6"/>
    <w:rsid w:val="00EC0191"/>
    <w:rsid w:val="00EC0334"/>
    <w:rsid w:val="00EC04A6"/>
    <w:rsid w:val="00EC055F"/>
    <w:rsid w:val="00EC067A"/>
    <w:rsid w:val="00EC076F"/>
    <w:rsid w:val="00EC0E49"/>
    <w:rsid w:val="00EC1787"/>
    <w:rsid w:val="00EC1E3F"/>
    <w:rsid w:val="00EC27BA"/>
    <w:rsid w:val="00EC40C3"/>
    <w:rsid w:val="00EC4849"/>
    <w:rsid w:val="00EC5033"/>
    <w:rsid w:val="00EC5434"/>
    <w:rsid w:val="00EC649B"/>
    <w:rsid w:val="00EC6DC8"/>
    <w:rsid w:val="00EC7515"/>
    <w:rsid w:val="00EC78D2"/>
    <w:rsid w:val="00ED0214"/>
    <w:rsid w:val="00ED0BB1"/>
    <w:rsid w:val="00ED10C6"/>
    <w:rsid w:val="00ED1621"/>
    <w:rsid w:val="00ED1D36"/>
    <w:rsid w:val="00ED1E31"/>
    <w:rsid w:val="00ED2135"/>
    <w:rsid w:val="00ED240B"/>
    <w:rsid w:val="00ED2414"/>
    <w:rsid w:val="00ED2DAF"/>
    <w:rsid w:val="00ED30E3"/>
    <w:rsid w:val="00ED3713"/>
    <w:rsid w:val="00ED4315"/>
    <w:rsid w:val="00ED4675"/>
    <w:rsid w:val="00ED48FC"/>
    <w:rsid w:val="00ED57E0"/>
    <w:rsid w:val="00ED5A29"/>
    <w:rsid w:val="00ED5BB7"/>
    <w:rsid w:val="00ED5F0D"/>
    <w:rsid w:val="00ED64C6"/>
    <w:rsid w:val="00ED6DBF"/>
    <w:rsid w:val="00ED6FD5"/>
    <w:rsid w:val="00ED7261"/>
    <w:rsid w:val="00ED75C9"/>
    <w:rsid w:val="00EE09EB"/>
    <w:rsid w:val="00EE1324"/>
    <w:rsid w:val="00EE195C"/>
    <w:rsid w:val="00EE1C93"/>
    <w:rsid w:val="00EE2426"/>
    <w:rsid w:val="00EE24E0"/>
    <w:rsid w:val="00EE25F8"/>
    <w:rsid w:val="00EE262B"/>
    <w:rsid w:val="00EE2986"/>
    <w:rsid w:val="00EE2C72"/>
    <w:rsid w:val="00EE30F1"/>
    <w:rsid w:val="00EE3600"/>
    <w:rsid w:val="00EE3C45"/>
    <w:rsid w:val="00EE3DEA"/>
    <w:rsid w:val="00EE4B60"/>
    <w:rsid w:val="00EE4E10"/>
    <w:rsid w:val="00EE5B2C"/>
    <w:rsid w:val="00EE5D37"/>
    <w:rsid w:val="00EE628D"/>
    <w:rsid w:val="00EE6603"/>
    <w:rsid w:val="00EE696A"/>
    <w:rsid w:val="00EE6C16"/>
    <w:rsid w:val="00EE6CC1"/>
    <w:rsid w:val="00EF0872"/>
    <w:rsid w:val="00EF0C73"/>
    <w:rsid w:val="00EF0D23"/>
    <w:rsid w:val="00EF0D24"/>
    <w:rsid w:val="00EF0E43"/>
    <w:rsid w:val="00EF12F2"/>
    <w:rsid w:val="00EF1785"/>
    <w:rsid w:val="00EF1B73"/>
    <w:rsid w:val="00EF208D"/>
    <w:rsid w:val="00EF2157"/>
    <w:rsid w:val="00EF25FB"/>
    <w:rsid w:val="00EF2B6C"/>
    <w:rsid w:val="00EF3134"/>
    <w:rsid w:val="00EF332E"/>
    <w:rsid w:val="00EF3AE1"/>
    <w:rsid w:val="00EF3C9E"/>
    <w:rsid w:val="00EF3CA4"/>
    <w:rsid w:val="00EF448A"/>
    <w:rsid w:val="00EF45DB"/>
    <w:rsid w:val="00EF4A42"/>
    <w:rsid w:val="00EF4BA5"/>
    <w:rsid w:val="00EF4F81"/>
    <w:rsid w:val="00EF5061"/>
    <w:rsid w:val="00EF5646"/>
    <w:rsid w:val="00EF56D6"/>
    <w:rsid w:val="00EF57AC"/>
    <w:rsid w:val="00EF61DC"/>
    <w:rsid w:val="00EF69EA"/>
    <w:rsid w:val="00EF6B0A"/>
    <w:rsid w:val="00EF6DD3"/>
    <w:rsid w:val="00EF732F"/>
    <w:rsid w:val="00EF79BF"/>
    <w:rsid w:val="00F01218"/>
    <w:rsid w:val="00F01555"/>
    <w:rsid w:val="00F01948"/>
    <w:rsid w:val="00F023CC"/>
    <w:rsid w:val="00F0282A"/>
    <w:rsid w:val="00F02A16"/>
    <w:rsid w:val="00F030FF"/>
    <w:rsid w:val="00F031BA"/>
    <w:rsid w:val="00F031BF"/>
    <w:rsid w:val="00F03931"/>
    <w:rsid w:val="00F03AC3"/>
    <w:rsid w:val="00F03DAF"/>
    <w:rsid w:val="00F0420A"/>
    <w:rsid w:val="00F04C9A"/>
    <w:rsid w:val="00F04CD9"/>
    <w:rsid w:val="00F0513A"/>
    <w:rsid w:val="00F058E7"/>
    <w:rsid w:val="00F059FA"/>
    <w:rsid w:val="00F064D5"/>
    <w:rsid w:val="00F06AE8"/>
    <w:rsid w:val="00F0794A"/>
    <w:rsid w:val="00F10113"/>
    <w:rsid w:val="00F108DC"/>
    <w:rsid w:val="00F1109A"/>
    <w:rsid w:val="00F123F5"/>
    <w:rsid w:val="00F12608"/>
    <w:rsid w:val="00F1282E"/>
    <w:rsid w:val="00F12CE1"/>
    <w:rsid w:val="00F1356A"/>
    <w:rsid w:val="00F13FE4"/>
    <w:rsid w:val="00F14499"/>
    <w:rsid w:val="00F1475F"/>
    <w:rsid w:val="00F15CDF"/>
    <w:rsid w:val="00F1638B"/>
    <w:rsid w:val="00F16525"/>
    <w:rsid w:val="00F1735F"/>
    <w:rsid w:val="00F175CE"/>
    <w:rsid w:val="00F17679"/>
    <w:rsid w:val="00F20086"/>
    <w:rsid w:val="00F20C33"/>
    <w:rsid w:val="00F20F25"/>
    <w:rsid w:val="00F21277"/>
    <w:rsid w:val="00F21603"/>
    <w:rsid w:val="00F219C6"/>
    <w:rsid w:val="00F21EB1"/>
    <w:rsid w:val="00F222AF"/>
    <w:rsid w:val="00F2240B"/>
    <w:rsid w:val="00F23326"/>
    <w:rsid w:val="00F23632"/>
    <w:rsid w:val="00F239F7"/>
    <w:rsid w:val="00F2428C"/>
    <w:rsid w:val="00F243B3"/>
    <w:rsid w:val="00F24788"/>
    <w:rsid w:val="00F252F5"/>
    <w:rsid w:val="00F25525"/>
    <w:rsid w:val="00F26112"/>
    <w:rsid w:val="00F264B1"/>
    <w:rsid w:val="00F26598"/>
    <w:rsid w:val="00F26BBA"/>
    <w:rsid w:val="00F26FFE"/>
    <w:rsid w:val="00F270FA"/>
    <w:rsid w:val="00F27B12"/>
    <w:rsid w:val="00F302FC"/>
    <w:rsid w:val="00F31288"/>
    <w:rsid w:val="00F31847"/>
    <w:rsid w:val="00F31B34"/>
    <w:rsid w:val="00F31C82"/>
    <w:rsid w:val="00F32701"/>
    <w:rsid w:val="00F32BCF"/>
    <w:rsid w:val="00F331F5"/>
    <w:rsid w:val="00F3343A"/>
    <w:rsid w:val="00F33E3D"/>
    <w:rsid w:val="00F34456"/>
    <w:rsid w:val="00F344CA"/>
    <w:rsid w:val="00F348E3"/>
    <w:rsid w:val="00F35117"/>
    <w:rsid w:val="00F3512E"/>
    <w:rsid w:val="00F35914"/>
    <w:rsid w:val="00F35C3E"/>
    <w:rsid w:val="00F35C5B"/>
    <w:rsid w:val="00F35FFD"/>
    <w:rsid w:val="00F36597"/>
    <w:rsid w:val="00F36D07"/>
    <w:rsid w:val="00F3705B"/>
    <w:rsid w:val="00F40575"/>
    <w:rsid w:val="00F409F6"/>
    <w:rsid w:val="00F40AF3"/>
    <w:rsid w:val="00F41ECF"/>
    <w:rsid w:val="00F426EF"/>
    <w:rsid w:val="00F42F8D"/>
    <w:rsid w:val="00F44042"/>
    <w:rsid w:val="00F440DE"/>
    <w:rsid w:val="00F4436A"/>
    <w:rsid w:val="00F44A90"/>
    <w:rsid w:val="00F45956"/>
    <w:rsid w:val="00F45EE5"/>
    <w:rsid w:val="00F45F65"/>
    <w:rsid w:val="00F463ED"/>
    <w:rsid w:val="00F4670C"/>
    <w:rsid w:val="00F4715E"/>
    <w:rsid w:val="00F47449"/>
    <w:rsid w:val="00F47537"/>
    <w:rsid w:val="00F47664"/>
    <w:rsid w:val="00F47734"/>
    <w:rsid w:val="00F4777A"/>
    <w:rsid w:val="00F47CE9"/>
    <w:rsid w:val="00F47F2B"/>
    <w:rsid w:val="00F5027B"/>
    <w:rsid w:val="00F5049B"/>
    <w:rsid w:val="00F50FE5"/>
    <w:rsid w:val="00F51B5E"/>
    <w:rsid w:val="00F52175"/>
    <w:rsid w:val="00F53C9D"/>
    <w:rsid w:val="00F53EDF"/>
    <w:rsid w:val="00F543E3"/>
    <w:rsid w:val="00F547A3"/>
    <w:rsid w:val="00F55111"/>
    <w:rsid w:val="00F55186"/>
    <w:rsid w:val="00F55246"/>
    <w:rsid w:val="00F55270"/>
    <w:rsid w:val="00F55606"/>
    <w:rsid w:val="00F56417"/>
    <w:rsid w:val="00F56936"/>
    <w:rsid w:val="00F569AD"/>
    <w:rsid w:val="00F57542"/>
    <w:rsid w:val="00F5768F"/>
    <w:rsid w:val="00F576A6"/>
    <w:rsid w:val="00F57FDF"/>
    <w:rsid w:val="00F604F1"/>
    <w:rsid w:val="00F60CD6"/>
    <w:rsid w:val="00F60E6D"/>
    <w:rsid w:val="00F6116B"/>
    <w:rsid w:val="00F6183C"/>
    <w:rsid w:val="00F61904"/>
    <w:rsid w:val="00F61A61"/>
    <w:rsid w:val="00F61D36"/>
    <w:rsid w:val="00F61D94"/>
    <w:rsid w:val="00F61F8F"/>
    <w:rsid w:val="00F62164"/>
    <w:rsid w:val="00F62972"/>
    <w:rsid w:val="00F6358D"/>
    <w:rsid w:val="00F63A1D"/>
    <w:rsid w:val="00F6407E"/>
    <w:rsid w:val="00F651ED"/>
    <w:rsid w:val="00F652D0"/>
    <w:rsid w:val="00F6561C"/>
    <w:rsid w:val="00F66548"/>
    <w:rsid w:val="00F66614"/>
    <w:rsid w:val="00F66F94"/>
    <w:rsid w:val="00F67703"/>
    <w:rsid w:val="00F67BAE"/>
    <w:rsid w:val="00F67D0B"/>
    <w:rsid w:val="00F70593"/>
    <w:rsid w:val="00F7095C"/>
    <w:rsid w:val="00F70B49"/>
    <w:rsid w:val="00F70BC8"/>
    <w:rsid w:val="00F70CC2"/>
    <w:rsid w:val="00F70E1D"/>
    <w:rsid w:val="00F715F6"/>
    <w:rsid w:val="00F72DEC"/>
    <w:rsid w:val="00F72E76"/>
    <w:rsid w:val="00F72F75"/>
    <w:rsid w:val="00F73182"/>
    <w:rsid w:val="00F735CE"/>
    <w:rsid w:val="00F74B85"/>
    <w:rsid w:val="00F74F35"/>
    <w:rsid w:val="00F7594C"/>
    <w:rsid w:val="00F75A1F"/>
    <w:rsid w:val="00F76328"/>
    <w:rsid w:val="00F76638"/>
    <w:rsid w:val="00F768D8"/>
    <w:rsid w:val="00F76FC0"/>
    <w:rsid w:val="00F770F5"/>
    <w:rsid w:val="00F77711"/>
    <w:rsid w:val="00F80157"/>
    <w:rsid w:val="00F80B9C"/>
    <w:rsid w:val="00F80BA4"/>
    <w:rsid w:val="00F80FA3"/>
    <w:rsid w:val="00F8190D"/>
    <w:rsid w:val="00F821B5"/>
    <w:rsid w:val="00F8274E"/>
    <w:rsid w:val="00F8285D"/>
    <w:rsid w:val="00F82A5C"/>
    <w:rsid w:val="00F82BE0"/>
    <w:rsid w:val="00F835C5"/>
    <w:rsid w:val="00F83A26"/>
    <w:rsid w:val="00F83A60"/>
    <w:rsid w:val="00F83E29"/>
    <w:rsid w:val="00F83EB3"/>
    <w:rsid w:val="00F843CB"/>
    <w:rsid w:val="00F846FC"/>
    <w:rsid w:val="00F851DC"/>
    <w:rsid w:val="00F854A2"/>
    <w:rsid w:val="00F85676"/>
    <w:rsid w:val="00F85908"/>
    <w:rsid w:val="00F85B76"/>
    <w:rsid w:val="00F85C14"/>
    <w:rsid w:val="00F85D64"/>
    <w:rsid w:val="00F86849"/>
    <w:rsid w:val="00F87084"/>
    <w:rsid w:val="00F876E0"/>
    <w:rsid w:val="00F87B4A"/>
    <w:rsid w:val="00F87BDA"/>
    <w:rsid w:val="00F90709"/>
    <w:rsid w:val="00F907F1"/>
    <w:rsid w:val="00F90B2C"/>
    <w:rsid w:val="00F90E55"/>
    <w:rsid w:val="00F90F8B"/>
    <w:rsid w:val="00F913A1"/>
    <w:rsid w:val="00F91DB3"/>
    <w:rsid w:val="00F91E17"/>
    <w:rsid w:val="00F921BC"/>
    <w:rsid w:val="00F92286"/>
    <w:rsid w:val="00F92626"/>
    <w:rsid w:val="00F92982"/>
    <w:rsid w:val="00F92FFF"/>
    <w:rsid w:val="00F933CC"/>
    <w:rsid w:val="00F93DF2"/>
    <w:rsid w:val="00F95E66"/>
    <w:rsid w:val="00F960E7"/>
    <w:rsid w:val="00F961F3"/>
    <w:rsid w:val="00F970DB"/>
    <w:rsid w:val="00F97C21"/>
    <w:rsid w:val="00F97E59"/>
    <w:rsid w:val="00F97F72"/>
    <w:rsid w:val="00FA080D"/>
    <w:rsid w:val="00FA0DCE"/>
    <w:rsid w:val="00FA1049"/>
    <w:rsid w:val="00FA1355"/>
    <w:rsid w:val="00FA14D4"/>
    <w:rsid w:val="00FA15C3"/>
    <w:rsid w:val="00FA15F4"/>
    <w:rsid w:val="00FA1A6D"/>
    <w:rsid w:val="00FA1C1F"/>
    <w:rsid w:val="00FA1D3E"/>
    <w:rsid w:val="00FA1EFE"/>
    <w:rsid w:val="00FA2078"/>
    <w:rsid w:val="00FA2AA1"/>
    <w:rsid w:val="00FA2B04"/>
    <w:rsid w:val="00FA3100"/>
    <w:rsid w:val="00FA33E7"/>
    <w:rsid w:val="00FA40C1"/>
    <w:rsid w:val="00FA40FC"/>
    <w:rsid w:val="00FA42AE"/>
    <w:rsid w:val="00FA4336"/>
    <w:rsid w:val="00FA5682"/>
    <w:rsid w:val="00FA571E"/>
    <w:rsid w:val="00FA5834"/>
    <w:rsid w:val="00FA665A"/>
    <w:rsid w:val="00FA72C4"/>
    <w:rsid w:val="00FA7C9A"/>
    <w:rsid w:val="00FB0B0B"/>
    <w:rsid w:val="00FB1400"/>
    <w:rsid w:val="00FB1728"/>
    <w:rsid w:val="00FB1821"/>
    <w:rsid w:val="00FB187A"/>
    <w:rsid w:val="00FB1DAC"/>
    <w:rsid w:val="00FB1EBC"/>
    <w:rsid w:val="00FB1F3A"/>
    <w:rsid w:val="00FB21EB"/>
    <w:rsid w:val="00FB230D"/>
    <w:rsid w:val="00FB2379"/>
    <w:rsid w:val="00FB23D7"/>
    <w:rsid w:val="00FB2B02"/>
    <w:rsid w:val="00FB334E"/>
    <w:rsid w:val="00FB33D0"/>
    <w:rsid w:val="00FB3DF3"/>
    <w:rsid w:val="00FB3FBC"/>
    <w:rsid w:val="00FB4C3E"/>
    <w:rsid w:val="00FB502D"/>
    <w:rsid w:val="00FB5DFE"/>
    <w:rsid w:val="00FB5FB6"/>
    <w:rsid w:val="00FB66BD"/>
    <w:rsid w:val="00FB6B4A"/>
    <w:rsid w:val="00FB7464"/>
    <w:rsid w:val="00FB74AE"/>
    <w:rsid w:val="00FB7568"/>
    <w:rsid w:val="00FB75B3"/>
    <w:rsid w:val="00FB792E"/>
    <w:rsid w:val="00FB7BDC"/>
    <w:rsid w:val="00FB7CCF"/>
    <w:rsid w:val="00FC0695"/>
    <w:rsid w:val="00FC09CC"/>
    <w:rsid w:val="00FC0ABF"/>
    <w:rsid w:val="00FC0D2E"/>
    <w:rsid w:val="00FC0FE1"/>
    <w:rsid w:val="00FC1071"/>
    <w:rsid w:val="00FC180D"/>
    <w:rsid w:val="00FC1BE8"/>
    <w:rsid w:val="00FC21C8"/>
    <w:rsid w:val="00FC26B8"/>
    <w:rsid w:val="00FC2A16"/>
    <w:rsid w:val="00FC2AAF"/>
    <w:rsid w:val="00FC2E1E"/>
    <w:rsid w:val="00FC356E"/>
    <w:rsid w:val="00FC43BD"/>
    <w:rsid w:val="00FC4428"/>
    <w:rsid w:val="00FC4B6B"/>
    <w:rsid w:val="00FC536D"/>
    <w:rsid w:val="00FC5C0C"/>
    <w:rsid w:val="00FC5D7A"/>
    <w:rsid w:val="00FC6161"/>
    <w:rsid w:val="00FC671D"/>
    <w:rsid w:val="00FC6B94"/>
    <w:rsid w:val="00FC6D3A"/>
    <w:rsid w:val="00FC7F8C"/>
    <w:rsid w:val="00FD03E3"/>
    <w:rsid w:val="00FD04A9"/>
    <w:rsid w:val="00FD0B23"/>
    <w:rsid w:val="00FD176E"/>
    <w:rsid w:val="00FD18B6"/>
    <w:rsid w:val="00FD1FB9"/>
    <w:rsid w:val="00FD21ED"/>
    <w:rsid w:val="00FD2737"/>
    <w:rsid w:val="00FD2ED6"/>
    <w:rsid w:val="00FD3513"/>
    <w:rsid w:val="00FD358E"/>
    <w:rsid w:val="00FD3B06"/>
    <w:rsid w:val="00FD3C57"/>
    <w:rsid w:val="00FD4123"/>
    <w:rsid w:val="00FD5148"/>
    <w:rsid w:val="00FD6068"/>
    <w:rsid w:val="00FD60BC"/>
    <w:rsid w:val="00FD747C"/>
    <w:rsid w:val="00FD7C4B"/>
    <w:rsid w:val="00FE0462"/>
    <w:rsid w:val="00FE0554"/>
    <w:rsid w:val="00FE05C3"/>
    <w:rsid w:val="00FE0BCB"/>
    <w:rsid w:val="00FE0FFA"/>
    <w:rsid w:val="00FE1156"/>
    <w:rsid w:val="00FE1734"/>
    <w:rsid w:val="00FE1DBD"/>
    <w:rsid w:val="00FE21E1"/>
    <w:rsid w:val="00FE2257"/>
    <w:rsid w:val="00FE258C"/>
    <w:rsid w:val="00FE2917"/>
    <w:rsid w:val="00FE2E59"/>
    <w:rsid w:val="00FE3311"/>
    <w:rsid w:val="00FE33A7"/>
    <w:rsid w:val="00FE3EC8"/>
    <w:rsid w:val="00FE45DD"/>
    <w:rsid w:val="00FE4A47"/>
    <w:rsid w:val="00FE4FD9"/>
    <w:rsid w:val="00FE521B"/>
    <w:rsid w:val="00FE5945"/>
    <w:rsid w:val="00FE5C03"/>
    <w:rsid w:val="00FE5FA0"/>
    <w:rsid w:val="00FE6362"/>
    <w:rsid w:val="00FE6574"/>
    <w:rsid w:val="00FE74D1"/>
    <w:rsid w:val="00FE76EB"/>
    <w:rsid w:val="00FF02FC"/>
    <w:rsid w:val="00FF04B1"/>
    <w:rsid w:val="00FF0631"/>
    <w:rsid w:val="00FF08EA"/>
    <w:rsid w:val="00FF0FD2"/>
    <w:rsid w:val="00FF10BC"/>
    <w:rsid w:val="00FF10D9"/>
    <w:rsid w:val="00FF18E4"/>
    <w:rsid w:val="00FF19AD"/>
    <w:rsid w:val="00FF29A6"/>
    <w:rsid w:val="00FF2A02"/>
    <w:rsid w:val="00FF2CD0"/>
    <w:rsid w:val="00FF3BA5"/>
    <w:rsid w:val="00FF46A7"/>
    <w:rsid w:val="00FF4762"/>
    <w:rsid w:val="00FF4764"/>
    <w:rsid w:val="00FF4C83"/>
    <w:rsid w:val="00FF539F"/>
    <w:rsid w:val="00FF56E5"/>
    <w:rsid w:val="00FF580D"/>
    <w:rsid w:val="00FF58A7"/>
    <w:rsid w:val="00FF6923"/>
    <w:rsid w:val="00FF6CBE"/>
    <w:rsid w:val="00FF6D1A"/>
    <w:rsid w:val="00FF73DD"/>
    <w:rsid w:val="00FF759C"/>
    <w:rsid w:val="00FF7AF6"/>
    <w:rsid w:val="00FF7E29"/>
    <w:rsid w:val="01040881"/>
    <w:rsid w:val="010EBAD8"/>
    <w:rsid w:val="01789300"/>
    <w:rsid w:val="01C3563A"/>
    <w:rsid w:val="01F0BAC4"/>
    <w:rsid w:val="02D520E8"/>
    <w:rsid w:val="031697B6"/>
    <w:rsid w:val="03225D3A"/>
    <w:rsid w:val="036B475C"/>
    <w:rsid w:val="03A9EDC1"/>
    <w:rsid w:val="04E8D9A0"/>
    <w:rsid w:val="055C2577"/>
    <w:rsid w:val="058B5C9E"/>
    <w:rsid w:val="0676EAF1"/>
    <w:rsid w:val="06B3A514"/>
    <w:rsid w:val="06B3F1DF"/>
    <w:rsid w:val="071A2491"/>
    <w:rsid w:val="077D494A"/>
    <w:rsid w:val="077F0A7A"/>
    <w:rsid w:val="07929DF2"/>
    <w:rsid w:val="07F608D6"/>
    <w:rsid w:val="0878E3DB"/>
    <w:rsid w:val="087C3C6F"/>
    <w:rsid w:val="0982518E"/>
    <w:rsid w:val="099EC1F4"/>
    <w:rsid w:val="09A3A295"/>
    <w:rsid w:val="0A49EBCA"/>
    <w:rsid w:val="0AF93736"/>
    <w:rsid w:val="0B1A064C"/>
    <w:rsid w:val="0B341C85"/>
    <w:rsid w:val="0B65C2D8"/>
    <w:rsid w:val="0B932218"/>
    <w:rsid w:val="0BF543F1"/>
    <w:rsid w:val="0C59F1CB"/>
    <w:rsid w:val="0C790F00"/>
    <w:rsid w:val="0CCF88FE"/>
    <w:rsid w:val="0D3CE03C"/>
    <w:rsid w:val="0D5A2964"/>
    <w:rsid w:val="0E317269"/>
    <w:rsid w:val="0EC7598E"/>
    <w:rsid w:val="0F971A70"/>
    <w:rsid w:val="10971536"/>
    <w:rsid w:val="10AF44F1"/>
    <w:rsid w:val="10F523C2"/>
    <w:rsid w:val="11E8FAB0"/>
    <w:rsid w:val="123D1ED3"/>
    <w:rsid w:val="12BDEF1D"/>
    <w:rsid w:val="139A06CE"/>
    <w:rsid w:val="14E955A2"/>
    <w:rsid w:val="1548C021"/>
    <w:rsid w:val="15BE8020"/>
    <w:rsid w:val="17366437"/>
    <w:rsid w:val="17411D4B"/>
    <w:rsid w:val="17A8945D"/>
    <w:rsid w:val="17DC226A"/>
    <w:rsid w:val="1800459C"/>
    <w:rsid w:val="185C47A4"/>
    <w:rsid w:val="188A6D56"/>
    <w:rsid w:val="18DA61AA"/>
    <w:rsid w:val="18F79961"/>
    <w:rsid w:val="192A01F4"/>
    <w:rsid w:val="1A304CA5"/>
    <w:rsid w:val="1A53E330"/>
    <w:rsid w:val="1AD35349"/>
    <w:rsid w:val="1B0F3AA7"/>
    <w:rsid w:val="1B414A26"/>
    <w:rsid w:val="1B5E426F"/>
    <w:rsid w:val="1B808F29"/>
    <w:rsid w:val="1BAA455B"/>
    <w:rsid w:val="1BDEF4F6"/>
    <w:rsid w:val="1C065EE5"/>
    <w:rsid w:val="1C808818"/>
    <w:rsid w:val="1C88DF7B"/>
    <w:rsid w:val="1C8C2235"/>
    <w:rsid w:val="1C8FA399"/>
    <w:rsid w:val="1D6BD636"/>
    <w:rsid w:val="1D7A5F65"/>
    <w:rsid w:val="1DA4794A"/>
    <w:rsid w:val="1DB8C464"/>
    <w:rsid w:val="1E3FEC26"/>
    <w:rsid w:val="1EEF0FF0"/>
    <w:rsid w:val="1F938305"/>
    <w:rsid w:val="202D6B6D"/>
    <w:rsid w:val="208320DD"/>
    <w:rsid w:val="20B57456"/>
    <w:rsid w:val="20C3E3AD"/>
    <w:rsid w:val="20D7D325"/>
    <w:rsid w:val="21155950"/>
    <w:rsid w:val="212D95ED"/>
    <w:rsid w:val="2197BAC9"/>
    <w:rsid w:val="21CD274F"/>
    <w:rsid w:val="21EF38B2"/>
    <w:rsid w:val="23E4B2CD"/>
    <w:rsid w:val="2426FA8C"/>
    <w:rsid w:val="247DD6B3"/>
    <w:rsid w:val="248B2027"/>
    <w:rsid w:val="2523C803"/>
    <w:rsid w:val="25501026"/>
    <w:rsid w:val="25574964"/>
    <w:rsid w:val="2573DD4E"/>
    <w:rsid w:val="259B26FD"/>
    <w:rsid w:val="25EA8F5D"/>
    <w:rsid w:val="262CCA5B"/>
    <w:rsid w:val="26F35A76"/>
    <w:rsid w:val="2814BBAB"/>
    <w:rsid w:val="28446F3B"/>
    <w:rsid w:val="287E38D9"/>
    <w:rsid w:val="297506B8"/>
    <w:rsid w:val="2984BEEE"/>
    <w:rsid w:val="2A1ABA5E"/>
    <w:rsid w:val="2A6570BA"/>
    <w:rsid w:val="2ACE58BA"/>
    <w:rsid w:val="2B10D09D"/>
    <w:rsid w:val="2C152FBB"/>
    <w:rsid w:val="2C9FF59B"/>
    <w:rsid w:val="2CE512C6"/>
    <w:rsid w:val="2D3794A2"/>
    <w:rsid w:val="2D91A680"/>
    <w:rsid w:val="2E9C1FC5"/>
    <w:rsid w:val="2EB86877"/>
    <w:rsid w:val="2ED059BF"/>
    <w:rsid w:val="2EF02F1C"/>
    <w:rsid w:val="2F026F7A"/>
    <w:rsid w:val="2FE28E08"/>
    <w:rsid w:val="3016DCE3"/>
    <w:rsid w:val="30594738"/>
    <w:rsid w:val="30D1B0B1"/>
    <w:rsid w:val="30E7FCB2"/>
    <w:rsid w:val="30E9E9D4"/>
    <w:rsid w:val="30F24A45"/>
    <w:rsid w:val="31E1B229"/>
    <w:rsid w:val="328E2DFD"/>
    <w:rsid w:val="3303D385"/>
    <w:rsid w:val="332109F7"/>
    <w:rsid w:val="335C4984"/>
    <w:rsid w:val="33BCC177"/>
    <w:rsid w:val="34E0D8FC"/>
    <w:rsid w:val="34FF9F39"/>
    <w:rsid w:val="351B4C6F"/>
    <w:rsid w:val="3523F8C0"/>
    <w:rsid w:val="35912590"/>
    <w:rsid w:val="3677AEA4"/>
    <w:rsid w:val="36FDA41B"/>
    <w:rsid w:val="370EA266"/>
    <w:rsid w:val="37258B04"/>
    <w:rsid w:val="373864EE"/>
    <w:rsid w:val="3739CC85"/>
    <w:rsid w:val="37A1D0E0"/>
    <w:rsid w:val="37B5BDB0"/>
    <w:rsid w:val="38541C1A"/>
    <w:rsid w:val="38A7DBF4"/>
    <w:rsid w:val="38A81653"/>
    <w:rsid w:val="38E73924"/>
    <w:rsid w:val="3967334A"/>
    <w:rsid w:val="39B63D39"/>
    <w:rsid w:val="3A08C993"/>
    <w:rsid w:val="3A182027"/>
    <w:rsid w:val="3A565F3A"/>
    <w:rsid w:val="3A691EA8"/>
    <w:rsid w:val="3AAFCD3A"/>
    <w:rsid w:val="3ACBA7ED"/>
    <w:rsid w:val="3B11CA4A"/>
    <w:rsid w:val="3BBBE7AE"/>
    <w:rsid w:val="3CAA27DF"/>
    <w:rsid w:val="3CED4A45"/>
    <w:rsid w:val="3D85F570"/>
    <w:rsid w:val="3DFE5858"/>
    <w:rsid w:val="3E69969D"/>
    <w:rsid w:val="3E9CEA96"/>
    <w:rsid w:val="3F7D62F9"/>
    <w:rsid w:val="3F986FC2"/>
    <w:rsid w:val="4000EFB3"/>
    <w:rsid w:val="4042A2E7"/>
    <w:rsid w:val="40EC3C77"/>
    <w:rsid w:val="41090686"/>
    <w:rsid w:val="410BA738"/>
    <w:rsid w:val="411E3FE2"/>
    <w:rsid w:val="418077CE"/>
    <w:rsid w:val="41BBE6F0"/>
    <w:rsid w:val="41CC0F4C"/>
    <w:rsid w:val="41DF3B88"/>
    <w:rsid w:val="4325B364"/>
    <w:rsid w:val="43572574"/>
    <w:rsid w:val="4375A598"/>
    <w:rsid w:val="43DC0611"/>
    <w:rsid w:val="44CB2C7C"/>
    <w:rsid w:val="45B56A96"/>
    <w:rsid w:val="45B9A138"/>
    <w:rsid w:val="45CA728C"/>
    <w:rsid w:val="467CD429"/>
    <w:rsid w:val="46BBB2C7"/>
    <w:rsid w:val="474A28D9"/>
    <w:rsid w:val="47B2A55B"/>
    <w:rsid w:val="4869C083"/>
    <w:rsid w:val="48CFCDB7"/>
    <w:rsid w:val="48F27B7D"/>
    <w:rsid w:val="48F7DEAC"/>
    <w:rsid w:val="49677ECD"/>
    <w:rsid w:val="49A7AA6F"/>
    <w:rsid w:val="49B91164"/>
    <w:rsid w:val="49C913E8"/>
    <w:rsid w:val="4A1F3FA6"/>
    <w:rsid w:val="4B3FA5C4"/>
    <w:rsid w:val="4C3EDF85"/>
    <w:rsid w:val="4CE2F00E"/>
    <w:rsid w:val="4D2DAC3F"/>
    <w:rsid w:val="4D438EB1"/>
    <w:rsid w:val="4D45B73F"/>
    <w:rsid w:val="4D72BBB1"/>
    <w:rsid w:val="4D8EE2D0"/>
    <w:rsid w:val="4DAFF6CC"/>
    <w:rsid w:val="4E09C992"/>
    <w:rsid w:val="4E598359"/>
    <w:rsid w:val="4F313DD3"/>
    <w:rsid w:val="4F5C5731"/>
    <w:rsid w:val="507E6D42"/>
    <w:rsid w:val="514BEB71"/>
    <w:rsid w:val="51AA92F5"/>
    <w:rsid w:val="523DD3A2"/>
    <w:rsid w:val="5253F8C5"/>
    <w:rsid w:val="52AA9B45"/>
    <w:rsid w:val="5421998C"/>
    <w:rsid w:val="5425A4A7"/>
    <w:rsid w:val="54A8FB9A"/>
    <w:rsid w:val="55027EC7"/>
    <w:rsid w:val="557DB2C8"/>
    <w:rsid w:val="55CBB9F5"/>
    <w:rsid w:val="55FAA1B8"/>
    <w:rsid w:val="560BFA70"/>
    <w:rsid w:val="565E9E3D"/>
    <w:rsid w:val="565F431F"/>
    <w:rsid w:val="566FB3A4"/>
    <w:rsid w:val="5722A398"/>
    <w:rsid w:val="5756B719"/>
    <w:rsid w:val="57652CE4"/>
    <w:rsid w:val="577D5189"/>
    <w:rsid w:val="57AF01AB"/>
    <w:rsid w:val="57BDB6F8"/>
    <w:rsid w:val="57C47342"/>
    <w:rsid w:val="58069F2B"/>
    <w:rsid w:val="58B449C3"/>
    <w:rsid w:val="58BEE959"/>
    <w:rsid w:val="58FA4ECF"/>
    <w:rsid w:val="596D411B"/>
    <w:rsid w:val="5B08209C"/>
    <w:rsid w:val="5BCF9E5E"/>
    <w:rsid w:val="5C11FF3F"/>
    <w:rsid w:val="5C374916"/>
    <w:rsid w:val="5C4D08C7"/>
    <w:rsid w:val="5C5BFF82"/>
    <w:rsid w:val="5C6CE02C"/>
    <w:rsid w:val="5C953EB8"/>
    <w:rsid w:val="5CBCBA89"/>
    <w:rsid w:val="5D3227AF"/>
    <w:rsid w:val="5E6EC2FF"/>
    <w:rsid w:val="5F2B7667"/>
    <w:rsid w:val="5F32E279"/>
    <w:rsid w:val="5F592E8D"/>
    <w:rsid w:val="600A9D91"/>
    <w:rsid w:val="601FA19D"/>
    <w:rsid w:val="602EC4B1"/>
    <w:rsid w:val="6150AD4C"/>
    <w:rsid w:val="6168354E"/>
    <w:rsid w:val="61A18B4B"/>
    <w:rsid w:val="61FAECEA"/>
    <w:rsid w:val="63027A4A"/>
    <w:rsid w:val="634E5BFB"/>
    <w:rsid w:val="636FA0F2"/>
    <w:rsid w:val="638F211A"/>
    <w:rsid w:val="63AE69CC"/>
    <w:rsid w:val="63D7940F"/>
    <w:rsid w:val="63DEF4DC"/>
    <w:rsid w:val="63F33FDE"/>
    <w:rsid w:val="6401F72B"/>
    <w:rsid w:val="64501962"/>
    <w:rsid w:val="64D557AC"/>
    <w:rsid w:val="65780482"/>
    <w:rsid w:val="65EB11F2"/>
    <w:rsid w:val="6615F33B"/>
    <w:rsid w:val="66447380"/>
    <w:rsid w:val="6676CDD7"/>
    <w:rsid w:val="6687ABED"/>
    <w:rsid w:val="67155AA4"/>
    <w:rsid w:val="67204E59"/>
    <w:rsid w:val="672262EE"/>
    <w:rsid w:val="674E8E28"/>
    <w:rsid w:val="67D76E36"/>
    <w:rsid w:val="681089FC"/>
    <w:rsid w:val="6879FBA2"/>
    <w:rsid w:val="689E197A"/>
    <w:rsid w:val="6916301D"/>
    <w:rsid w:val="6990C009"/>
    <w:rsid w:val="69BE6B17"/>
    <w:rsid w:val="69C7B137"/>
    <w:rsid w:val="69FCB934"/>
    <w:rsid w:val="6A7BF181"/>
    <w:rsid w:val="6AA3F8EE"/>
    <w:rsid w:val="6BDA74C9"/>
    <w:rsid w:val="6BE2887B"/>
    <w:rsid w:val="6C5C2A17"/>
    <w:rsid w:val="6CDBBA67"/>
    <w:rsid w:val="6E18ED5B"/>
    <w:rsid w:val="6EC7E726"/>
    <w:rsid w:val="6F47B893"/>
    <w:rsid w:val="6F69C7A0"/>
    <w:rsid w:val="6FD5A686"/>
    <w:rsid w:val="700FD539"/>
    <w:rsid w:val="7101D1C8"/>
    <w:rsid w:val="711AE3AE"/>
    <w:rsid w:val="7181CE9F"/>
    <w:rsid w:val="7198163B"/>
    <w:rsid w:val="72206B84"/>
    <w:rsid w:val="729F7225"/>
    <w:rsid w:val="72FC4716"/>
    <w:rsid w:val="7316A967"/>
    <w:rsid w:val="732B7371"/>
    <w:rsid w:val="734442DD"/>
    <w:rsid w:val="73D09AA8"/>
    <w:rsid w:val="746E7FBC"/>
    <w:rsid w:val="750F34DF"/>
    <w:rsid w:val="75750E0F"/>
    <w:rsid w:val="7643B59B"/>
    <w:rsid w:val="76792AEA"/>
    <w:rsid w:val="770C928F"/>
    <w:rsid w:val="773507D4"/>
    <w:rsid w:val="776ABAD8"/>
    <w:rsid w:val="778147FE"/>
    <w:rsid w:val="782F71FC"/>
    <w:rsid w:val="7847AC10"/>
    <w:rsid w:val="78709455"/>
    <w:rsid w:val="787FB3C4"/>
    <w:rsid w:val="78A7C9E9"/>
    <w:rsid w:val="791CA265"/>
    <w:rsid w:val="79329209"/>
    <w:rsid w:val="797C58DE"/>
    <w:rsid w:val="7A15337B"/>
    <w:rsid w:val="7A3BBE6E"/>
    <w:rsid w:val="7A5EA298"/>
    <w:rsid w:val="7A787BD6"/>
    <w:rsid w:val="7AAABE26"/>
    <w:rsid w:val="7ACF6A8C"/>
    <w:rsid w:val="7B392C6A"/>
    <w:rsid w:val="7B4969C4"/>
    <w:rsid w:val="7B900E09"/>
    <w:rsid w:val="7BA063BC"/>
    <w:rsid w:val="7D6038E7"/>
    <w:rsid w:val="7D672BEA"/>
    <w:rsid w:val="7D958E31"/>
    <w:rsid w:val="7D95A23E"/>
    <w:rsid w:val="7DD99999"/>
    <w:rsid w:val="7E1F9115"/>
    <w:rsid w:val="7E5CF68A"/>
    <w:rsid w:val="7EB74A90"/>
    <w:rsid w:val="7F6496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44D8F21"/>
  <w15:docId w15:val="{9DD56BFF-1C11-463E-8688-73DDC5DF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4F12"/>
    <w:rPr>
      <w:kern w:val="28"/>
      <w:sz w:val="24"/>
    </w:rPr>
  </w:style>
  <w:style w:type="paragraph" w:styleId="Heading1">
    <w:name w:val="heading 1"/>
    <w:basedOn w:val="Normal"/>
    <w:next w:val="Normal"/>
    <w:link w:val="Heading1Char"/>
    <w:uiPriority w:val="99"/>
    <w:qFormat/>
    <w:rsid w:val="00E34A12"/>
    <w:pPr>
      <w:keepNext/>
      <w:outlineLvl w:val="0"/>
    </w:pPr>
    <w:rPr>
      <w:sz w:val="28"/>
    </w:rPr>
  </w:style>
  <w:style w:type="paragraph" w:styleId="Heading2">
    <w:name w:val="heading 2"/>
    <w:basedOn w:val="Normal"/>
    <w:next w:val="Normal"/>
    <w:link w:val="Heading2Char"/>
    <w:uiPriority w:val="99"/>
    <w:qFormat/>
    <w:rsid w:val="00E34A12"/>
    <w:pPr>
      <w:keepNext/>
      <w:numPr>
        <w:numId w:val="1"/>
      </w:numPr>
      <w:outlineLvl w:val="1"/>
    </w:pPr>
    <w:rPr>
      <w:b/>
      <w:sz w:val="28"/>
    </w:rPr>
  </w:style>
  <w:style w:type="paragraph" w:styleId="Heading3">
    <w:name w:val="heading 3"/>
    <w:basedOn w:val="Normal"/>
    <w:next w:val="Normal"/>
    <w:link w:val="Heading3Char"/>
    <w:uiPriority w:val="99"/>
    <w:qFormat/>
    <w:rsid w:val="00E34A12"/>
    <w:pPr>
      <w:keepNext/>
      <w:outlineLvl w:val="2"/>
    </w:pPr>
    <w:rPr>
      <w:b/>
    </w:rPr>
  </w:style>
  <w:style w:type="paragraph" w:styleId="Heading4">
    <w:name w:val="heading 4"/>
    <w:basedOn w:val="Normal"/>
    <w:next w:val="Normal"/>
    <w:link w:val="Heading4Char"/>
    <w:uiPriority w:val="99"/>
    <w:qFormat/>
    <w:rsid w:val="00E34A12"/>
    <w:pPr>
      <w:keepNext/>
      <w:jc w:val="center"/>
      <w:outlineLvl w:val="3"/>
    </w:pPr>
    <w:rPr>
      <w:b/>
    </w:rPr>
  </w:style>
  <w:style w:type="paragraph" w:styleId="Heading5">
    <w:name w:val="heading 5"/>
    <w:basedOn w:val="Normal"/>
    <w:next w:val="Normal"/>
    <w:link w:val="Heading5Char"/>
    <w:uiPriority w:val="99"/>
    <w:qFormat/>
    <w:rsid w:val="00E34A12"/>
    <w:pPr>
      <w:keepNext/>
      <w:outlineLvl w:val="4"/>
    </w:pPr>
    <w:rPr>
      <w:b/>
      <w:sz w:val="20"/>
    </w:rPr>
  </w:style>
  <w:style w:type="paragraph" w:styleId="Heading6">
    <w:name w:val="heading 6"/>
    <w:basedOn w:val="Normal"/>
    <w:next w:val="Normal"/>
    <w:link w:val="Heading6Char"/>
    <w:uiPriority w:val="99"/>
    <w:qFormat/>
    <w:rsid w:val="00E34A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5"/>
    </w:pPr>
    <w:rPr>
      <w:b/>
      <w:sz w:val="20"/>
    </w:rPr>
  </w:style>
  <w:style w:type="paragraph" w:styleId="Heading7">
    <w:name w:val="heading 7"/>
    <w:basedOn w:val="Normal"/>
    <w:next w:val="Normal"/>
    <w:link w:val="Heading7Char"/>
    <w:uiPriority w:val="99"/>
    <w:qFormat/>
    <w:rsid w:val="00E34A12"/>
    <w:pPr>
      <w:keepNext/>
      <w:outlineLvl w:val="6"/>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7247C"/>
    <w:rPr>
      <w:rFonts w:ascii="Cambria" w:hAnsi="Cambria" w:cs="Times New Roman"/>
      <w:b/>
      <w:bCs/>
      <w:kern w:val="32"/>
      <w:sz w:val="32"/>
      <w:szCs w:val="32"/>
    </w:rPr>
  </w:style>
  <w:style w:type="character" w:customStyle="1" w:styleId="Heading2Char">
    <w:name w:val="Heading 2 Char"/>
    <w:link w:val="Heading2"/>
    <w:uiPriority w:val="99"/>
    <w:locked/>
    <w:rsid w:val="00E7247C"/>
    <w:rPr>
      <w:b/>
      <w:kern w:val="28"/>
      <w:sz w:val="28"/>
    </w:rPr>
  </w:style>
  <w:style w:type="character" w:customStyle="1" w:styleId="Heading3Char">
    <w:name w:val="Heading 3 Char"/>
    <w:link w:val="Heading3"/>
    <w:uiPriority w:val="99"/>
    <w:semiHidden/>
    <w:locked/>
    <w:rsid w:val="00E7247C"/>
    <w:rPr>
      <w:rFonts w:ascii="Cambria" w:hAnsi="Cambria" w:cs="Times New Roman"/>
      <w:b/>
      <w:bCs/>
      <w:kern w:val="28"/>
      <w:sz w:val="26"/>
      <w:szCs w:val="26"/>
    </w:rPr>
  </w:style>
  <w:style w:type="character" w:customStyle="1" w:styleId="Heading4Char">
    <w:name w:val="Heading 4 Char"/>
    <w:link w:val="Heading4"/>
    <w:uiPriority w:val="99"/>
    <w:semiHidden/>
    <w:locked/>
    <w:rsid w:val="00E7247C"/>
    <w:rPr>
      <w:rFonts w:ascii="Calibri" w:hAnsi="Calibri" w:cs="Times New Roman"/>
      <w:b/>
      <w:bCs/>
      <w:kern w:val="28"/>
      <w:sz w:val="28"/>
      <w:szCs w:val="28"/>
    </w:rPr>
  </w:style>
  <w:style w:type="character" w:customStyle="1" w:styleId="Heading5Char">
    <w:name w:val="Heading 5 Char"/>
    <w:link w:val="Heading5"/>
    <w:uiPriority w:val="99"/>
    <w:semiHidden/>
    <w:locked/>
    <w:rsid w:val="00E7247C"/>
    <w:rPr>
      <w:rFonts w:ascii="Calibri" w:hAnsi="Calibri" w:cs="Times New Roman"/>
      <w:b/>
      <w:bCs/>
      <w:i/>
      <w:iCs/>
      <w:kern w:val="28"/>
      <w:sz w:val="26"/>
      <w:szCs w:val="26"/>
    </w:rPr>
  </w:style>
  <w:style w:type="character" w:customStyle="1" w:styleId="Heading6Char">
    <w:name w:val="Heading 6 Char"/>
    <w:link w:val="Heading6"/>
    <w:uiPriority w:val="99"/>
    <w:semiHidden/>
    <w:locked/>
    <w:rsid w:val="00E7247C"/>
    <w:rPr>
      <w:rFonts w:ascii="Calibri" w:hAnsi="Calibri" w:cs="Times New Roman"/>
      <w:b/>
      <w:bCs/>
      <w:kern w:val="28"/>
    </w:rPr>
  </w:style>
  <w:style w:type="character" w:customStyle="1" w:styleId="Heading7Char">
    <w:name w:val="Heading 7 Char"/>
    <w:link w:val="Heading7"/>
    <w:uiPriority w:val="99"/>
    <w:semiHidden/>
    <w:locked/>
    <w:rsid w:val="00E7247C"/>
    <w:rPr>
      <w:rFonts w:ascii="Calibri" w:hAnsi="Calibri" w:cs="Times New Roman"/>
      <w:kern w:val="28"/>
      <w:sz w:val="24"/>
      <w:szCs w:val="24"/>
    </w:rPr>
  </w:style>
  <w:style w:type="paragraph" w:customStyle="1" w:styleId="H1">
    <w:name w:val="H1"/>
    <w:basedOn w:val="Normal"/>
    <w:next w:val="Normal"/>
    <w:uiPriority w:val="99"/>
    <w:rsid w:val="00E34A12"/>
    <w:pPr>
      <w:keepNext/>
      <w:spacing w:before="100" w:after="100"/>
      <w:outlineLvl w:val="1"/>
    </w:pPr>
    <w:rPr>
      <w:b/>
      <w:kern w:val="36"/>
      <w:sz w:val="48"/>
    </w:rPr>
  </w:style>
  <w:style w:type="paragraph" w:customStyle="1" w:styleId="H2">
    <w:name w:val="H2"/>
    <w:basedOn w:val="Normal"/>
    <w:next w:val="Normal"/>
    <w:uiPriority w:val="99"/>
    <w:rsid w:val="00E34A12"/>
    <w:pPr>
      <w:keepNext/>
      <w:spacing w:before="100" w:after="100"/>
      <w:outlineLvl w:val="2"/>
    </w:pPr>
    <w:rPr>
      <w:b/>
      <w:kern w:val="0"/>
      <w:sz w:val="36"/>
    </w:rPr>
  </w:style>
  <w:style w:type="character" w:styleId="Hyperlink">
    <w:name w:val="Hyperlink"/>
    <w:uiPriority w:val="99"/>
    <w:rsid w:val="00E34A12"/>
    <w:rPr>
      <w:rFonts w:cs="Times New Roman"/>
      <w:color w:val="0000FF"/>
      <w:u w:val="single"/>
    </w:rPr>
  </w:style>
  <w:style w:type="character" w:styleId="Strong">
    <w:name w:val="Strong"/>
    <w:uiPriority w:val="22"/>
    <w:qFormat/>
    <w:rsid w:val="00E34A12"/>
    <w:rPr>
      <w:rFonts w:cs="Times New Roman"/>
      <w:b/>
    </w:rPr>
  </w:style>
  <w:style w:type="character" w:styleId="FollowedHyperlink">
    <w:name w:val="FollowedHyperlink"/>
    <w:uiPriority w:val="99"/>
    <w:rsid w:val="00E34A12"/>
    <w:rPr>
      <w:rFonts w:cs="Times New Roman"/>
      <w:color w:val="800080"/>
      <w:u w:val="single"/>
    </w:rPr>
  </w:style>
  <w:style w:type="paragraph" w:styleId="Footer">
    <w:name w:val="footer"/>
    <w:basedOn w:val="Normal"/>
    <w:link w:val="FooterChar"/>
    <w:uiPriority w:val="99"/>
    <w:rsid w:val="00E34A12"/>
    <w:pPr>
      <w:tabs>
        <w:tab w:val="center" w:pos="4320"/>
        <w:tab w:val="right" w:pos="8640"/>
      </w:tabs>
    </w:pPr>
  </w:style>
  <w:style w:type="character" w:customStyle="1" w:styleId="FooterChar">
    <w:name w:val="Footer Char"/>
    <w:link w:val="Footer"/>
    <w:uiPriority w:val="99"/>
    <w:locked/>
    <w:rsid w:val="00E7247C"/>
    <w:rPr>
      <w:rFonts w:cs="Times New Roman"/>
      <w:kern w:val="28"/>
      <w:sz w:val="20"/>
      <w:szCs w:val="20"/>
    </w:rPr>
  </w:style>
  <w:style w:type="character" w:styleId="PageNumber">
    <w:name w:val="page number"/>
    <w:uiPriority w:val="99"/>
    <w:rsid w:val="00E34A12"/>
    <w:rPr>
      <w:rFonts w:cs="Times New Roman"/>
    </w:rPr>
  </w:style>
  <w:style w:type="paragraph" w:styleId="BodyTextIndent">
    <w:name w:val="Body Text Indent"/>
    <w:basedOn w:val="Normal"/>
    <w:link w:val="BodyTextIndentChar"/>
    <w:uiPriority w:val="99"/>
    <w:rsid w:val="00E34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character" w:customStyle="1" w:styleId="BodyTextIndentChar">
    <w:name w:val="Body Text Indent Char"/>
    <w:link w:val="BodyTextIndent"/>
    <w:uiPriority w:val="99"/>
    <w:semiHidden/>
    <w:locked/>
    <w:rsid w:val="00E7247C"/>
    <w:rPr>
      <w:rFonts w:cs="Times New Roman"/>
      <w:kern w:val="28"/>
      <w:sz w:val="20"/>
      <w:szCs w:val="20"/>
    </w:rPr>
  </w:style>
  <w:style w:type="paragraph" w:styleId="BodyText2">
    <w:name w:val="Body Text 2"/>
    <w:basedOn w:val="Normal"/>
    <w:link w:val="BodyText2Char"/>
    <w:uiPriority w:val="99"/>
    <w:rsid w:val="00E34A12"/>
    <w:rPr>
      <w:kern w:val="0"/>
      <w:sz w:val="28"/>
    </w:rPr>
  </w:style>
  <w:style w:type="character" w:customStyle="1" w:styleId="BodyText2Char">
    <w:name w:val="Body Text 2 Char"/>
    <w:link w:val="BodyText2"/>
    <w:uiPriority w:val="99"/>
    <w:semiHidden/>
    <w:locked/>
    <w:rsid w:val="00E7247C"/>
    <w:rPr>
      <w:rFonts w:cs="Times New Roman"/>
      <w:kern w:val="28"/>
      <w:sz w:val="20"/>
      <w:szCs w:val="20"/>
    </w:rPr>
  </w:style>
  <w:style w:type="paragraph" w:styleId="Header">
    <w:name w:val="header"/>
    <w:basedOn w:val="Normal"/>
    <w:link w:val="HeaderChar"/>
    <w:uiPriority w:val="99"/>
    <w:rsid w:val="00E34A12"/>
    <w:pPr>
      <w:tabs>
        <w:tab w:val="center" w:pos="4320"/>
        <w:tab w:val="right" w:pos="8640"/>
      </w:tabs>
    </w:pPr>
  </w:style>
  <w:style w:type="character" w:customStyle="1" w:styleId="HeaderChar">
    <w:name w:val="Header Char"/>
    <w:link w:val="Header"/>
    <w:uiPriority w:val="99"/>
    <w:semiHidden/>
    <w:locked/>
    <w:rsid w:val="00E7247C"/>
    <w:rPr>
      <w:rFonts w:cs="Times New Roman"/>
      <w:kern w:val="28"/>
      <w:sz w:val="20"/>
      <w:szCs w:val="20"/>
    </w:rPr>
  </w:style>
  <w:style w:type="paragraph" w:styleId="BodyTextIndent2">
    <w:name w:val="Body Text Indent 2"/>
    <w:basedOn w:val="Normal"/>
    <w:link w:val="BodyTextIndent2Char"/>
    <w:uiPriority w:val="99"/>
    <w:rsid w:val="00E34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Pr>
      <w:rFonts w:ascii="Courier" w:hAnsi="Courier"/>
      <w:kern w:val="0"/>
    </w:rPr>
  </w:style>
  <w:style w:type="character" w:customStyle="1" w:styleId="BodyTextIndent2Char">
    <w:name w:val="Body Text Indent 2 Char"/>
    <w:link w:val="BodyTextIndent2"/>
    <w:uiPriority w:val="99"/>
    <w:semiHidden/>
    <w:locked/>
    <w:rsid w:val="00E7247C"/>
    <w:rPr>
      <w:rFonts w:cs="Times New Roman"/>
      <w:kern w:val="28"/>
      <w:sz w:val="20"/>
      <w:szCs w:val="20"/>
    </w:rPr>
  </w:style>
  <w:style w:type="paragraph" w:styleId="FootnoteText">
    <w:name w:val="footnote text"/>
    <w:basedOn w:val="Normal"/>
    <w:link w:val="FootnoteTextChar"/>
    <w:uiPriority w:val="99"/>
    <w:semiHidden/>
    <w:rsid w:val="00E34A12"/>
    <w:rPr>
      <w:sz w:val="20"/>
    </w:rPr>
  </w:style>
  <w:style w:type="character" w:customStyle="1" w:styleId="FootnoteTextChar">
    <w:name w:val="Footnote Text Char"/>
    <w:link w:val="FootnoteText"/>
    <w:uiPriority w:val="99"/>
    <w:semiHidden/>
    <w:locked/>
    <w:rsid w:val="00E7247C"/>
    <w:rPr>
      <w:rFonts w:cs="Times New Roman"/>
      <w:kern w:val="28"/>
      <w:sz w:val="20"/>
      <w:szCs w:val="20"/>
    </w:rPr>
  </w:style>
  <w:style w:type="character" w:styleId="FootnoteReference">
    <w:name w:val="footnote reference"/>
    <w:uiPriority w:val="99"/>
    <w:semiHidden/>
    <w:rsid w:val="00E34A12"/>
    <w:rPr>
      <w:rFonts w:cs="Times New Roman"/>
      <w:vertAlign w:val="superscript"/>
    </w:rPr>
  </w:style>
  <w:style w:type="paragraph" w:customStyle="1" w:styleId="DefinitionTerm">
    <w:name w:val="Definition Term"/>
    <w:basedOn w:val="Normal"/>
    <w:next w:val="DefinitionList"/>
    <w:uiPriority w:val="99"/>
    <w:rsid w:val="00E34A12"/>
    <w:rPr>
      <w:kern w:val="0"/>
    </w:rPr>
  </w:style>
  <w:style w:type="paragraph" w:customStyle="1" w:styleId="DefinitionList">
    <w:name w:val="Definition List"/>
    <w:basedOn w:val="Normal"/>
    <w:next w:val="DefinitionTerm"/>
    <w:uiPriority w:val="99"/>
    <w:rsid w:val="00E34A12"/>
    <w:pPr>
      <w:ind w:left="360"/>
    </w:pPr>
    <w:rPr>
      <w:kern w:val="0"/>
    </w:rPr>
  </w:style>
  <w:style w:type="character" w:customStyle="1" w:styleId="Definition">
    <w:name w:val="Definition"/>
    <w:uiPriority w:val="99"/>
    <w:rsid w:val="00E34A12"/>
    <w:rPr>
      <w:i/>
    </w:rPr>
  </w:style>
  <w:style w:type="paragraph" w:customStyle="1" w:styleId="H3">
    <w:name w:val="H3"/>
    <w:basedOn w:val="Normal"/>
    <w:next w:val="Normal"/>
    <w:uiPriority w:val="99"/>
    <w:rsid w:val="00E34A12"/>
    <w:pPr>
      <w:keepNext/>
      <w:spacing w:before="100" w:after="100"/>
      <w:outlineLvl w:val="3"/>
    </w:pPr>
    <w:rPr>
      <w:b/>
      <w:kern w:val="0"/>
      <w:sz w:val="28"/>
    </w:rPr>
  </w:style>
  <w:style w:type="paragraph" w:customStyle="1" w:styleId="H4">
    <w:name w:val="H4"/>
    <w:basedOn w:val="Normal"/>
    <w:next w:val="Normal"/>
    <w:uiPriority w:val="99"/>
    <w:rsid w:val="00E34A12"/>
    <w:pPr>
      <w:keepNext/>
      <w:spacing w:before="100" w:after="100"/>
      <w:outlineLvl w:val="4"/>
    </w:pPr>
    <w:rPr>
      <w:b/>
      <w:kern w:val="0"/>
    </w:rPr>
  </w:style>
  <w:style w:type="paragraph" w:customStyle="1" w:styleId="H5">
    <w:name w:val="H5"/>
    <w:basedOn w:val="Normal"/>
    <w:next w:val="Normal"/>
    <w:uiPriority w:val="99"/>
    <w:rsid w:val="00E34A12"/>
    <w:pPr>
      <w:keepNext/>
      <w:spacing w:before="100" w:after="100"/>
      <w:outlineLvl w:val="5"/>
    </w:pPr>
    <w:rPr>
      <w:b/>
      <w:kern w:val="0"/>
      <w:sz w:val="20"/>
    </w:rPr>
  </w:style>
  <w:style w:type="paragraph" w:customStyle="1" w:styleId="H6">
    <w:name w:val="H6"/>
    <w:basedOn w:val="Normal"/>
    <w:next w:val="Normal"/>
    <w:uiPriority w:val="99"/>
    <w:rsid w:val="00E34A12"/>
    <w:pPr>
      <w:keepNext/>
      <w:spacing w:before="100" w:after="100"/>
      <w:outlineLvl w:val="6"/>
    </w:pPr>
    <w:rPr>
      <w:b/>
      <w:kern w:val="0"/>
      <w:sz w:val="16"/>
    </w:rPr>
  </w:style>
  <w:style w:type="paragraph" w:customStyle="1" w:styleId="Address">
    <w:name w:val="Address"/>
    <w:basedOn w:val="Normal"/>
    <w:next w:val="Normal"/>
    <w:uiPriority w:val="99"/>
    <w:rsid w:val="00E34A12"/>
    <w:rPr>
      <w:i/>
      <w:kern w:val="0"/>
    </w:rPr>
  </w:style>
  <w:style w:type="paragraph" w:customStyle="1" w:styleId="Blockquote">
    <w:name w:val="Blockquote"/>
    <w:basedOn w:val="Normal"/>
    <w:uiPriority w:val="99"/>
    <w:rsid w:val="00E34A12"/>
    <w:pPr>
      <w:spacing w:before="100" w:after="100"/>
      <w:ind w:left="360" w:right="360"/>
    </w:pPr>
    <w:rPr>
      <w:kern w:val="0"/>
    </w:rPr>
  </w:style>
  <w:style w:type="character" w:customStyle="1" w:styleId="CITE">
    <w:name w:val="CITE"/>
    <w:uiPriority w:val="99"/>
    <w:rsid w:val="00E34A12"/>
    <w:rPr>
      <w:i/>
    </w:rPr>
  </w:style>
  <w:style w:type="character" w:customStyle="1" w:styleId="CODE">
    <w:name w:val="CODE"/>
    <w:uiPriority w:val="99"/>
    <w:rsid w:val="00E34A12"/>
    <w:rPr>
      <w:rFonts w:ascii="Courier New" w:hAnsi="Courier New"/>
      <w:sz w:val="20"/>
    </w:rPr>
  </w:style>
  <w:style w:type="character" w:customStyle="1" w:styleId="Keyboard">
    <w:name w:val="Keyboard"/>
    <w:uiPriority w:val="99"/>
    <w:rsid w:val="00E34A12"/>
    <w:rPr>
      <w:rFonts w:ascii="Courier New" w:hAnsi="Courier New"/>
      <w:b/>
      <w:sz w:val="20"/>
    </w:rPr>
  </w:style>
  <w:style w:type="paragraph" w:customStyle="1" w:styleId="Preformatted">
    <w:name w:val="Preformatted"/>
    <w:basedOn w:val="Normal"/>
    <w:uiPriority w:val="99"/>
    <w:rsid w:val="00E34A1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kern w:val="0"/>
      <w:sz w:val="20"/>
    </w:rPr>
  </w:style>
  <w:style w:type="paragraph" w:styleId="HTMLBottomofForm">
    <w:name w:val="HTML Bottom of Form"/>
    <w:basedOn w:val="Normal"/>
    <w:next w:val="Normal"/>
    <w:link w:val="z-BottomofFormChar"/>
    <w:hidden/>
    <w:uiPriority w:val="99"/>
    <w:rsid w:val="00E34A12"/>
    <w:pPr>
      <w:pBdr>
        <w:top w:val="double" w:sz="2" w:space="0" w:color="000000"/>
      </w:pBdr>
      <w:jc w:val="center"/>
    </w:pPr>
    <w:rPr>
      <w:rFonts w:ascii="Arial" w:hAnsi="Arial"/>
      <w:vanish/>
      <w:kern w:val="0"/>
      <w:sz w:val="16"/>
    </w:rPr>
  </w:style>
  <w:style w:type="character" w:customStyle="1" w:styleId="z-BottomofFormChar">
    <w:name w:val="z-Bottom of Form Char"/>
    <w:link w:val="HTMLBottomofForm"/>
    <w:uiPriority w:val="99"/>
    <w:semiHidden/>
    <w:locked/>
    <w:rsid w:val="00E7247C"/>
    <w:rPr>
      <w:rFonts w:ascii="Arial" w:hAnsi="Arial" w:cs="Arial"/>
      <w:vanish/>
      <w:kern w:val="28"/>
      <w:sz w:val="16"/>
      <w:szCs w:val="16"/>
    </w:rPr>
  </w:style>
  <w:style w:type="paragraph" w:styleId="HTMLTopofForm">
    <w:name w:val="HTML Top of Form"/>
    <w:basedOn w:val="Normal"/>
    <w:next w:val="Normal"/>
    <w:link w:val="z-TopofFormChar"/>
    <w:hidden/>
    <w:uiPriority w:val="99"/>
    <w:rsid w:val="00E34A12"/>
    <w:pPr>
      <w:pBdr>
        <w:bottom w:val="double" w:sz="2" w:space="0" w:color="000000"/>
      </w:pBdr>
      <w:jc w:val="center"/>
    </w:pPr>
    <w:rPr>
      <w:rFonts w:ascii="Arial" w:hAnsi="Arial"/>
      <w:vanish/>
      <w:kern w:val="0"/>
      <w:sz w:val="16"/>
    </w:rPr>
  </w:style>
  <w:style w:type="character" w:customStyle="1" w:styleId="z-TopofFormChar">
    <w:name w:val="z-Top of Form Char"/>
    <w:link w:val="HTMLTopofForm"/>
    <w:uiPriority w:val="99"/>
    <w:semiHidden/>
    <w:locked/>
    <w:rsid w:val="00E7247C"/>
    <w:rPr>
      <w:rFonts w:ascii="Arial" w:hAnsi="Arial" w:cs="Arial"/>
      <w:vanish/>
      <w:kern w:val="28"/>
      <w:sz w:val="16"/>
      <w:szCs w:val="16"/>
    </w:rPr>
  </w:style>
  <w:style w:type="character" w:customStyle="1" w:styleId="Sample">
    <w:name w:val="Sample"/>
    <w:uiPriority w:val="99"/>
    <w:rsid w:val="00E34A12"/>
    <w:rPr>
      <w:rFonts w:ascii="Courier New" w:hAnsi="Courier New"/>
    </w:rPr>
  </w:style>
  <w:style w:type="character" w:customStyle="1" w:styleId="Typewriter">
    <w:name w:val="Typewriter"/>
    <w:uiPriority w:val="99"/>
    <w:rsid w:val="00E34A12"/>
    <w:rPr>
      <w:rFonts w:ascii="Courier New" w:hAnsi="Courier New"/>
      <w:sz w:val="20"/>
    </w:rPr>
  </w:style>
  <w:style w:type="character" w:customStyle="1" w:styleId="Variable">
    <w:name w:val="Variable"/>
    <w:uiPriority w:val="99"/>
    <w:rsid w:val="00E34A12"/>
    <w:rPr>
      <w:i/>
    </w:rPr>
  </w:style>
  <w:style w:type="character" w:customStyle="1" w:styleId="HTMLMarkup">
    <w:name w:val="HTML Markup"/>
    <w:uiPriority w:val="99"/>
    <w:rsid w:val="00E34A12"/>
    <w:rPr>
      <w:vanish/>
      <w:color w:val="FF0000"/>
    </w:rPr>
  </w:style>
  <w:style w:type="character" w:customStyle="1" w:styleId="Comment">
    <w:name w:val="Comment"/>
    <w:uiPriority w:val="99"/>
    <w:rsid w:val="00E34A12"/>
    <w:rPr>
      <w:vanish/>
    </w:rPr>
  </w:style>
  <w:style w:type="paragraph" w:styleId="NormalWeb">
    <w:name w:val="Normal (Web)"/>
    <w:basedOn w:val="Normal"/>
    <w:uiPriority w:val="99"/>
    <w:rsid w:val="00D43855"/>
    <w:pPr>
      <w:spacing w:before="100" w:beforeAutospacing="1" w:after="100" w:afterAutospacing="1"/>
    </w:pPr>
    <w:rPr>
      <w:kern w:val="0"/>
      <w:szCs w:val="24"/>
    </w:rPr>
  </w:style>
  <w:style w:type="paragraph" w:styleId="BalloonText">
    <w:name w:val="Balloon Text"/>
    <w:basedOn w:val="Normal"/>
    <w:link w:val="BalloonTextChar"/>
    <w:uiPriority w:val="99"/>
    <w:semiHidden/>
    <w:rsid w:val="0019301C"/>
    <w:rPr>
      <w:rFonts w:ascii="Tahoma" w:hAnsi="Tahoma" w:cs="Tahoma"/>
      <w:sz w:val="16"/>
      <w:szCs w:val="16"/>
    </w:rPr>
  </w:style>
  <w:style w:type="character" w:customStyle="1" w:styleId="BalloonTextChar">
    <w:name w:val="Balloon Text Char"/>
    <w:link w:val="BalloonText"/>
    <w:uiPriority w:val="99"/>
    <w:semiHidden/>
    <w:locked/>
    <w:rsid w:val="00E7247C"/>
    <w:rPr>
      <w:rFonts w:cs="Times New Roman"/>
      <w:kern w:val="28"/>
      <w:sz w:val="2"/>
    </w:rPr>
  </w:style>
  <w:style w:type="paragraph" w:styleId="EndnoteText">
    <w:name w:val="endnote text"/>
    <w:basedOn w:val="Normal"/>
    <w:link w:val="EndnoteTextChar"/>
    <w:uiPriority w:val="99"/>
    <w:rsid w:val="0004195D"/>
    <w:rPr>
      <w:sz w:val="20"/>
    </w:rPr>
  </w:style>
  <w:style w:type="character" w:customStyle="1" w:styleId="EndnoteTextChar">
    <w:name w:val="Endnote Text Char"/>
    <w:link w:val="EndnoteText"/>
    <w:uiPriority w:val="99"/>
    <w:locked/>
    <w:rsid w:val="0004195D"/>
    <w:rPr>
      <w:rFonts w:cs="Times New Roman"/>
      <w:kern w:val="28"/>
    </w:rPr>
  </w:style>
  <w:style w:type="character" w:styleId="EndnoteReference">
    <w:name w:val="endnote reference"/>
    <w:uiPriority w:val="99"/>
    <w:rsid w:val="0004195D"/>
    <w:rPr>
      <w:rFonts w:cs="Times New Roman"/>
      <w:vertAlign w:val="superscript"/>
    </w:rPr>
  </w:style>
  <w:style w:type="paragraph" w:styleId="PlainText">
    <w:name w:val="Plain Text"/>
    <w:basedOn w:val="Normal"/>
    <w:link w:val="PlainTextChar"/>
    <w:uiPriority w:val="99"/>
    <w:rsid w:val="00A074B9"/>
    <w:rPr>
      <w:rFonts w:ascii="Courier New" w:hAnsi="Courier New" w:cs="Courier New"/>
      <w:sz w:val="20"/>
    </w:rPr>
  </w:style>
  <w:style w:type="character" w:customStyle="1" w:styleId="PlainTextChar">
    <w:name w:val="Plain Text Char"/>
    <w:link w:val="PlainText"/>
    <w:uiPriority w:val="99"/>
    <w:locked/>
    <w:rsid w:val="00A074B9"/>
    <w:rPr>
      <w:rFonts w:ascii="Courier New" w:hAnsi="Courier New" w:cs="Courier New"/>
      <w:kern w:val="28"/>
    </w:rPr>
  </w:style>
  <w:style w:type="paragraph" w:customStyle="1" w:styleId="Default">
    <w:name w:val="Default"/>
    <w:rsid w:val="00396962"/>
    <w:pPr>
      <w:autoSpaceDE w:val="0"/>
      <w:autoSpaceDN w:val="0"/>
      <w:adjustRightInd w:val="0"/>
    </w:pPr>
    <w:rPr>
      <w:color w:val="000000"/>
      <w:sz w:val="24"/>
      <w:szCs w:val="24"/>
    </w:rPr>
  </w:style>
  <w:style w:type="paragraph" w:styleId="Revision">
    <w:name w:val="Revision"/>
    <w:hidden/>
    <w:uiPriority w:val="99"/>
    <w:semiHidden/>
    <w:rsid w:val="00267CE3"/>
    <w:rPr>
      <w:kern w:val="28"/>
      <w:sz w:val="24"/>
    </w:rPr>
  </w:style>
  <w:style w:type="paragraph" w:styleId="ListParagraph">
    <w:name w:val="List Paragraph"/>
    <w:basedOn w:val="Normal"/>
    <w:uiPriority w:val="99"/>
    <w:qFormat/>
    <w:rsid w:val="00343635"/>
    <w:pPr>
      <w:ind w:left="720"/>
    </w:pPr>
  </w:style>
  <w:style w:type="paragraph" w:styleId="TOC1">
    <w:name w:val="toc 1"/>
    <w:basedOn w:val="Normal"/>
    <w:autoRedefine/>
    <w:uiPriority w:val="99"/>
    <w:rsid w:val="00701BAE"/>
    <w:pPr>
      <w:tabs>
        <w:tab w:val="left" w:pos="0"/>
        <w:tab w:val="left" w:pos="720"/>
        <w:tab w:val="right" w:leader="dot" w:pos="9494"/>
      </w:tabs>
      <w:spacing w:before="120" w:after="120" w:line="480" w:lineRule="auto"/>
      <w:jc w:val="both"/>
    </w:pPr>
    <w:rPr>
      <w:b/>
      <w:caps/>
      <w:noProof/>
      <w:kern w:val="0"/>
      <w:szCs w:val="24"/>
    </w:rPr>
  </w:style>
  <w:style w:type="paragraph" w:styleId="TOC2">
    <w:name w:val="toc 2"/>
    <w:basedOn w:val="Normal"/>
    <w:autoRedefine/>
    <w:uiPriority w:val="99"/>
    <w:rsid w:val="00701BAE"/>
    <w:pPr>
      <w:tabs>
        <w:tab w:val="left" w:pos="720"/>
        <w:tab w:val="right" w:leader="dot" w:pos="9494"/>
      </w:tabs>
      <w:spacing w:before="120" w:after="120" w:line="240" w:lineRule="atLeast"/>
      <w:ind w:left="720" w:hanging="720"/>
    </w:pPr>
    <w:rPr>
      <w:smallCaps/>
      <w:kern w:val="0"/>
      <w:sz w:val="20"/>
    </w:rPr>
  </w:style>
  <w:style w:type="paragraph" w:customStyle="1" w:styleId="P1-StandPara">
    <w:name w:val="P1-Stand Para"/>
    <w:uiPriority w:val="99"/>
    <w:rsid w:val="00701BAE"/>
    <w:pPr>
      <w:spacing w:line="480" w:lineRule="auto"/>
      <w:ind w:firstLine="720"/>
    </w:pPr>
    <w:rPr>
      <w:sz w:val="22"/>
    </w:rPr>
  </w:style>
  <w:style w:type="character" w:styleId="CommentReference">
    <w:name w:val="annotation reference"/>
    <w:uiPriority w:val="99"/>
    <w:semiHidden/>
    <w:unhideWhenUsed/>
    <w:rsid w:val="00CB77A9"/>
    <w:rPr>
      <w:sz w:val="16"/>
      <w:szCs w:val="16"/>
    </w:rPr>
  </w:style>
  <w:style w:type="paragraph" w:styleId="CommentText">
    <w:name w:val="annotation text"/>
    <w:basedOn w:val="Normal"/>
    <w:link w:val="CommentTextChar"/>
    <w:uiPriority w:val="99"/>
    <w:unhideWhenUsed/>
    <w:rsid w:val="00CB77A9"/>
    <w:rPr>
      <w:sz w:val="20"/>
    </w:rPr>
  </w:style>
  <w:style w:type="character" w:customStyle="1" w:styleId="CommentTextChar">
    <w:name w:val="Comment Text Char"/>
    <w:link w:val="CommentText"/>
    <w:uiPriority w:val="99"/>
    <w:rsid w:val="00CB77A9"/>
    <w:rPr>
      <w:kern w:val="28"/>
      <w:sz w:val="20"/>
      <w:szCs w:val="20"/>
    </w:rPr>
  </w:style>
  <w:style w:type="paragraph" w:styleId="CommentSubject">
    <w:name w:val="annotation subject"/>
    <w:basedOn w:val="CommentText"/>
    <w:next w:val="CommentText"/>
    <w:link w:val="CommentSubjectChar"/>
    <w:uiPriority w:val="99"/>
    <w:semiHidden/>
    <w:unhideWhenUsed/>
    <w:rsid w:val="00CB77A9"/>
    <w:rPr>
      <w:b/>
      <w:bCs/>
    </w:rPr>
  </w:style>
  <w:style w:type="character" w:customStyle="1" w:styleId="CommentSubjectChar">
    <w:name w:val="Comment Subject Char"/>
    <w:link w:val="CommentSubject"/>
    <w:uiPriority w:val="99"/>
    <w:semiHidden/>
    <w:rsid w:val="00CB77A9"/>
    <w:rPr>
      <w:b/>
      <w:bCs/>
      <w:kern w:val="28"/>
      <w:sz w:val="20"/>
      <w:szCs w:val="20"/>
    </w:rPr>
  </w:style>
  <w:style w:type="table" w:styleId="TableGrid">
    <w:name w:val="Table Grid"/>
    <w:basedOn w:val="TableNormal"/>
    <w:uiPriority w:val="39"/>
    <w:locked/>
    <w:rsid w:val="00866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uiPriority w:val="99"/>
    <w:rsid w:val="009D0324"/>
    <w:rPr>
      <w:kern w:val="0"/>
      <w:szCs w:val="24"/>
    </w:rPr>
  </w:style>
  <w:style w:type="character" w:customStyle="1" w:styleId="E-mailSignatureChar">
    <w:name w:val="E-mail Signature Char"/>
    <w:basedOn w:val="DefaultParagraphFont"/>
    <w:link w:val="E-mailSignature"/>
    <w:uiPriority w:val="99"/>
    <w:rsid w:val="009D0324"/>
    <w:rPr>
      <w:sz w:val="24"/>
      <w:szCs w:val="24"/>
    </w:rPr>
  </w:style>
  <w:style w:type="character" w:customStyle="1" w:styleId="apple-converted-space">
    <w:name w:val="apple-converted-space"/>
    <w:basedOn w:val="DefaultParagraphFont"/>
    <w:rsid w:val="000B0C44"/>
  </w:style>
  <w:style w:type="character" w:styleId="UnresolvedMention">
    <w:name w:val="Unresolved Mention"/>
    <w:basedOn w:val="DefaultParagraphFont"/>
    <w:uiPriority w:val="99"/>
    <w:semiHidden/>
    <w:unhideWhenUsed/>
    <w:rsid w:val="00FC0D2E"/>
    <w:rPr>
      <w:color w:val="605E5C"/>
      <w:shd w:val="clear" w:color="auto" w:fill="E1DFDD"/>
    </w:rPr>
  </w:style>
  <w:style w:type="character" w:styleId="Emphasis">
    <w:name w:val="Emphasis"/>
    <w:basedOn w:val="DefaultParagraphFont"/>
    <w:uiPriority w:val="20"/>
    <w:qFormat/>
    <w:locked/>
    <w:rsid w:val="00BC35F4"/>
    <w:rPr>
      <w:i/>
      <w:iCs/>
    </w:rPr>
  </w:style>
  <w:style w:type="character" w:customStyle="1" w:styleId="text">
    <w:name w:val="text"/>
    <w:basedOn w:val="DefaultParagraphFont"/>
    <w:rsid w:val="00BC3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tables.htm" TargetMode="External" /><Relationship Id="rId9" Type="http://schemas.openxmlformats.org/officeDocument/2006/relationships/hyperlink" Target="https://clinicaltrial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abc95b-0d17-4e5a-862c-f37ab5ea49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0BFBA25D83D34181F33DE285A92942" ma:contentTypeVersion="9" ma:contentTypeDescription="Create a new document." ma:contentTypeScope="" ma:versionID="77a398e24af1532df4628466410cc54c">
  <xsd:schema xmlns:xsd="http://www.w3.org/2001/XMLSchema" xmlns:xs="http://www.w3.org/2001/XMLSchema" xmlns:p="http://schemas.microsoft.com/office/2006/metadata/properties" xmlns:ns2="87abc95b-0d17-4e5a-862c-f37ab5ea492f" targetNamespace="http://schemas.microsoft.com/office/2006/metadata/properties" ma:root="true" ma:fieldsID="7f71129c3500c5b17ee9c2b426181fec" ns2:_="">
    <xsd:import namespace="87abc95b-0d17-4e5a-862c-f37ab5ea4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bc95b-0d17-4e5a-862c-f37ab5ea4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96BF3-E5ED-4D11-B193-8B125E05A85C}">
  <ds:schemaRefs>
    <ds:schemaRef ds:uri="http://schemas.microsoft.com/office/2006/metadata/properties"/>
    <ds:schemaRef ds:uri="http://schemas.microsoft.com/office/infopath/2007/PartnerControls"/>
    <ds:schemaRef ds:uri="87abc95b-0d17-4e5a-862c-f37ab5ea492f"/>
  </ds:schemaRefs>
</ds:datastoreItem>
</file>

<file path=customXml/itemProps2.xml><?xml version="1.0" encoding="utf-8"?>
<ds:datastoreItem xmlns:ds="http://schemas.openxmlformats.org/officeDocument/2006/customXml" ds:itemID="{179819F6-9773-4108-903C-69EDDEF29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bc95b-0d17-4e5a-862c-f37ab5ea4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13613-AF0C-4838-BD27-4155BDF1F80A}">
  <ds:schemaRefs>
    <ds:schemaRef ds:uri="http://schemas.openxmlformats.org/officeDocument/2006/bibliography"/>
  </ds:schemaRefs>
</ds:datastoreItem>
</file>

<file path=customXml/itemProps4.xml><?xml version="1.0" encoding="utf-8"?>
<ds:datastoreItem xmlns:ds="http://schemas.openxmlformats.org/officeDocument/2006/customXml" ds:itemID="{C91A60DD-4F7A-42AC-A72A-81242D2B0502}">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9336</Words>
  <Characters>53219</Characters>
  <Application>Microsoft Office Word</Application>
  <DocSecurity>0</DocSecurity>
  <Lines>443</Lines>
  <Paragraphs>124</Paragraphs>
  <ScaleCrop>false</ScaleCrop>
  <Company>Microsoft</Company>
  <LinksUpToDate>false</LinksUpToDate>
  <CharactersWithSpaces>62431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c:creator>
  <cp:lastModifiedBy>Currie, Mikia (NIH/OD) [E]</cp:lastModifiedBy>
  <cp:revision>2</cp:revision>
  <cp:lastPrinted>2025-09-05T02:57:00Z</cp:lastPrinted>
  <dcterms:created xsi:type="dcterms:W3CDTF">2026-02-19T18:13:00Z</dcterms:created>
  <dcterms:modified xsi:type="dcterms:W3CDTF">2026-02-19T18:13:00Z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0x0101007B0BFBA25D83D34181F33DE285A92942</vt:lpwstr>
  </property>
  <property fmtid="{D5CDD505-2E9C-101B-9397-08002B2CF9AE}" pid="3" name="MediaServiceImageTags">
    <vt:lpwstr/>
  </property>
</Properties>
</file>