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100B" w:rsidRPr="003F1ECF" w:rsidP="007B3FAB" w14:paraId="48173752" w14:textId="77777777">
      <w:pPr>
        <w:jc w:val="center"/>
        <w:rPr>
          <w:b/>
          <w:sz w:val="28"/>
        </w:rPr>
      </w:pPr>
      <w:bookmarkStart w:id="0" w:name="Supporting_Statement_for_Marketplace_Ope"/>
      <w:bookmarkStart w:id="1" w:name="(CMS-10637/OMB_Control_Number:_0938-NEW)"/>
      <w:bookmarkEnd w:id="0"/>
      <w:bookmarkEnd w:id="1"/>
      <w:r w:rsidRPr="003F1ECF">
        <w:rPr>
          <w:b/>
          <w:sz w:val="28"/>
        </w:rPr>
        <w:t>Supporting</w:t>
      </w:r>
      <w:r w:rsidRPr="003F1ECF" w:rsidR="00874D5F">
        <w:rPr>
          <w:b/>
          <w:sz w:val="28"/>
        </w:rPr>
        <w:t xml:space="preserve"> Statement for Marketplace O</w:t>
      </w:r>
      <w:r w:rsidRPr="003F1ECF">
        <w:rPr>
          <w:b/>
          <w:sz w:val="28"/>
        </w:rPr>
        <w:t xml:space="preserve">perations </w:t>
      </w:r>
    </w:p>
    <w:p w:rsidR="001C3F13" w:rsidRPr="003F1ECF" w:rsidP="007B3FAB" w14:paraId="27EA4643" w14:textId="0175E302">
      <w:pPr>
        <w:jc w:val="center"/>
        <w:rPr>
          <w:b/>
          <w:sz w:val="28"/>
        </w:rPr>
      </w:pPr>
      <w:r w:rsidRPr="003F1ECF">
        <w:rPr>
          <w:b/>
          <w:sz w:val="28"/>
        </w:rPr>
        <w:t>(CMS-10</w:t>
      </w:r>
      <w:r w:rsidRPr="003F1ECF" w:rsidR="00425559">
        <w:rPr>
          <w:b/>
          <w:sz w:val="28"/>
        </w:rPr>
        <w:t xml:space="preserve">637/OMB </w:t>
      </w:r>
      <w:r w:rsidRPr="003F1ECF" w:rsidR="00876291">
        <w:rPr>
          <w:b/>
          <w:sz w:val="28"/>
        </w:rPr>
        <w:t>control number</w:t>
      </w:r>
      <w:r w:rsidRPr="003F1ECF" w:rsidR="00425559">
        <w:rPr>
          <w:b/>
          <w:sz w:val="28"/>
        </w:rPr>
        <w:t>: 0938-1353</w:t>
      </w:r>
      <w:r w:rsidRPr="003F1ECF">
        <w:rPr>
          <w:b/>
          <w:sz w:val="28"/>
        </w:rPr>
        <w:t>)</w:t>
      </w:r>
    </w:p>
    <w:p w:rsidR="00FE3919" w:rsidRPr="003F1ECF" w:rsidP="007B3FAB" w14:paraId="686A50F6" w14:textId="77777777">
      <w:pPr>
        <w:rPr>
          <w:b/>
          <w:sz w:val="24"/>
          <w:szCs w:val="24"/>
        </w:rPr>
      </w:pPr>
    </w:p>
    <w:p w:rsidR="001C3F13" w:rsidRPr="003F1ECF" w:rsidP="007B3FAB" w14:paraId="61964404" w14:textId="77777777">
      <w:pPr>
        <w:pStyle w:val="Heading1"/>
        <w:numPr>
          <w:ilvl w:val="0"/>
          <w:numId w:val="1"/>
        </w:numPr>
        <w:tabs>
          <w:tab w:val="left" w:pos="549"/>
          <w:tab w:val="left" w:pos="550"/>
        </w:tabs>
        <w:ind w:left="0" w:firstLine="0"/>
        <w:rPr>
          <w:u w:val="none"/>
        </w:rPr>
      </w:pPr>
      <w:bookmarkStart w:id="2" w:name="A.___Background"/>
      <w:bookmarkEnd w:id="2"/>
      <w:r w:rsidRPr="003F1ECF">
        <w:rPr>
          <w:u w:val="thick"/>
        </w:rPr>
        <w:t>Background</w:t>
      </w:r>
    </w:p>
    <w:p w:rsidR="001C3F13" w:rsidRPr="003F1ECF" w:rsidP="007B3FAB" w14:paraId="5CBC38D3" w14:textId="77777777">
      <w:pPr>
        <w:pStyle w:val="BodyText"/>
        <w:rPr>
          <w:b/>
        </w:rPr>
      </w:pPr>
    </w:p>
    <w:p w:rsidR="001C3F13" w:rsidRPr="003F1ECF" w:rsidP="007B3FAB" w14:paraId="3BDCDBA8" w14:textId="7A5E35B7">
      <w:pPr>
        <w:pStyle w:val="BodyText"/>
      </w:pPr>
      <w:bookmarkStart w:id="3" w:name="The_Patient_Protection_and_Affordable_Ca"/>
      <w:bookmarkEnd w:id="3"/>
      <w:r w:rsidRPr="003F1ECF">
        <w:t>On March 23, 2010, the Patient Protection and Affordable Care Act (PPACA; P.L. 111-148) was signed into law and on March 30, 2010, the Health Care and Education Reconciliation Act of 2010 (P.L. 111-152) was signed into law. The two laws implement various health insurance policies.</w:t>
      </w:r>
    </w:p>
    <w:p w:rsidR="001C3F13" w:rsidRPr="003F1ECF" w:rsidP="007B3FAB" w14:paraId="22E3902E" w14:textId="77777777">
      <w:pPr>
        <w:pStyle w:val="BodyText"/>
      </w:pPr>
    </w:p>
    <w:p w:rsidR="00D72DC3" w:rsidRPr="00981AC1" w:rsidP="007B3FAB" w14:paraId="4027EA33" w14:textId="77777777">
      <w:pPr>
        <w:rPr>
          <w:sz w:val="24"/>
          <w:szCs w:val="24"/>
        </w:rPr>
      </w:pPr>
      <w:bookmarkStart w:id="4" w:name="On_June_19,_2013,_HHS_published_the_prop"/>
      <w:bookmarkEnd w:id="4"/>
      <w:r w:rsidRPr="003F1ECF">
        <w:rPr>
          <w:sz w:val="24"/>
          <w:szCs w:val="24"/>
        </w:rPr>
        <w:t xml:space="preserve">On June 19, 2013, HHS published the proposed rule CMS-9957-P: </w:t>
      </w:r>
      <w:r w:rsidRPr="003F1ECF">
        <w:rPr>
          <w:i/>
          <w:sz w:val="24"/>
          <w:szCs w:val="24"/>
        </w:rPr>
        <w:t xml:space="preserve">Program Integrity: Exchanges, SHOP, Premium Stabilization Programs, and Market Standards </w:t>
      </w:r>
      <w:r w:rsidRPr="003F1ECF">
        <w:rPr>
          <w:sz w:val="24"/>
          <w:szCs w:val="24"/>
        </w:rPr>
        <w:t xml:space="preserve">(78 FR 37302) (Program Integrity Proposed Rule). Among other things, the Program Integrity Proposed Rule sets forth financial integrity provisions and protections against fraud and abuse. On January 30, 2013, CMS published </w:t>
      </w:r>
      <w:r w:rsidRPr="003F1ECF">
        <w:rPr>
          <w:i/>
          <w:sz w:val="24"/>
          <w:szCs w:val="24"/>
        </w:rPr>
        <w:t xml:space="preserve">Eligibility Appeals and Other Provisions Related to Eligibility and Enrollment for Exchanges under the Affordable Care Act </w:t>
      </w:r>
      <w:r w:rsidRPr="003F1ECF">
        <w:rPr>
          <w:sz w:val="24"/>
          <w:szCs w:val="24"/>
        </w:rPr>
        <w:t xml:space="preserve">(CMS-2334-P) (E&amp;E II Proposed Rule). </w:t>
      </w:r>
    </w:p>
    <w:p w:rsidR="00D72DC3" w:rsidRPr="003F1ECF" w:rsidP="007B3FAB" w14:paraId="0C5BB1E2" w14:textId="77777777">
      <w:pPr>
        <w:rPr>
          <w:sz w:val="24"/>
          <w:szCs w:val="24"/>
        </w:rPr>
      </w:pPr>
    </w:p>
    <w:p w:rsidR="00385A66" w:rsidRPr="003F1ECF" w:rsidP="007B3FAB" w14:paraId="3C7766D8" w14:textId="202CE6AF">
      <w:pPr>
        <w:rPr>
          <w:sz w:val="24"/>
          <w:szCs w:val="24"/>
        </w:rPr>
      </w:pPr>
      <w:r w:rsidRPr="003F1ECF">
        <w:rPr>
          <w:sz w:val="24"/>
          <w:szCs w:val="24"/>
        </w:rPr>
        <w:t>On August 30, 2013, HHS published the final rule CMS-9957-F</w:t>
      </w:r>
      <w:r w:rsidRPr="003F1ECF">
        <w:rPr>
          <w:i/>
          <w:sz w:val="24"/>
          <w:szCs w:val="24"/>
        </w:rPr>
        <w:t xml:space="preserve">: Program Integrity: Exchanges, SHOP, Eligibility Appeals </w:t>
      </w:r>
      <w:r w:rsidRPr="003F1ECF">
        <w:rPr>
          <w:sz w:val="24"/>
          <w:szCs w:val="24"/>
        </w:rPr>
        <w:t xml:space="preserve">(Program Integrity </w:t>
      </w:r>
      <w:r w:rsidR="00E407C8">
        <w:rPr>
          <w:sz w:val="24"/>
          <w:szCs w:val="24"/>
        </w:rPr>
        <w:t>F</w:t>
      </w:r>
      <w:r w:rsidRPr="003F1ECF">
        <w:rPr>
          <w:sz w:val="24"/>
          <w:szCs w:val="24"/>
        </w:rPr>
        <w:t xml:space="preserve">inal </w:t>
      </w:r>
      <w:r w:rsidR="00E407C8">
        <w:rPr>
          <w:sz w:val="24"/>
          <w:szCs w:val="24"/>
        </w:rPr>
        <w:t>R</w:t>
      </w:r>
      <w:r w:rsidRPr="003F1ECF">
        <w:rPr>
          <w:sz w:val="24"/>
          <w:szCs w:val="24"/>
        </w:rPr>
        <w:t xml:space="preserve">ule), finalizing a number of the provisions from the Program Integrity and E&amp;E II Proposed Rules. The </w:t>
      </w:r>
      <w:r w:rsidRPr="003F1ECF" w:rsidR="00F31A7B">
        <w:rPr>
          <w:sz w:val="24"/>
          <w:szCs w:val="24"/>
        </w:rPr>
        <w:t>third-party</w:t>
      </w:r>
      <w:r w:rsidRPr="003F1ECF">
        <w:rPr>
          <w:sz w:val="24"/>
          <w:szCs w:val="24"/>
        </w:rPr>
        <w:t xml:space="preserve"> disclosure requirements and data collections in the Program Integrity </w:t>
      </w:r>
      <w:r w:rsidR="00E407C8">
        <w:rPr>
          <w:sz w:val="24"/>
          <w:szCs w:val="24"/>
        </w:rPr>
        <w:t>F</w:t>
      </w:r>
      <w:r w:rsidRPr="003F1ECF">
        <w:rPr>
          <w:sz w:val="24"/>
          <w:szCs w:val="24"/>
        </w:rPr>
        <w:t xml:space="preserve">inal </w:t>
      </w:r>
      <w:r w:rsidR="00E407C8">
        <w:rPr>
          <w:sz w:val="24"/>
          <w:szCs w:val="24"/>
        </w:rPr>
        <w:t>R</w:t>
      </w:r>
      <w:r w:rsidRPr="003F1ECF">
        <w:rPr>
          <w:sz w:val="24"/>
          <w:szCs w:val="24"/>
        </w:rPr>
        <w:t>ule support the oversight of qualified health plan (QHP) issuers in Federally-facilitated Exchang</w:t>
      </w:r>
      <w:r w:rsidRPr="003F1ECF">
        <w:rPr>
          <w:sz w:val="24"/>
          <w:szCs w:val="24"/>
        </w:rPr>
        <w:t>es (FFEs) and other provisions.</w:t>
      </w:r>
    </w:p>
    <w:p w:rsidR="00385A66" w:rsidRPr="003F1ECF" w:rsidP="007B3FAB" w14:paraId="1EABBCD2" w14:textId="77777777">
      <w:pPr>
        <w:rPr>
          <w:sz w:val="24"/>
          <w:szCs w:val="24"/>
        </w:rPr>
      </w:pPr>
    </w:p>
    <w:p w:rsidR="001C3F13" w:rsidRPr="003F1ECF" w:rsidP="007B3FAB" w14:paraId="0F1EE784" w14:textId="4F4348C7">
      <w:pPr>
        <w:rPr>
          <w:sz w:val="24"/>
          <w:szCs w:val="24"/>
        </w:rPr>
      </w:pPr>
      <w:r w:rsidRPr="003F1ECF">
        <w:rPr>
          <w:sz w:val="24"/>
          <w:szCs w:val="24"/>
        </w:rPr>
        <w:t>This Information Collection Request (ICR) ser</w:t>
      </w:r>
      <w:r w:rsidRPr="003F1ECF" w:rsidR="00D45E92">
        <w:rPr>
          <w:sz w:val="24"/>
          <w:szCs w:val="24"/>
        </w:rPr>
        <w:t xml:space="preserve">ves as the formal request for </w:t>
      </w:r>
      <w:r w:rsidR="00E55DD4">
        <w:rPr>
          <w:sz w:val="24"/>
          <w:szCs w:val="24"/>
        </w:rPr>
        <w:t xml:space="preserve">an extension without change of a currently approved </w:t>
      </w:r>
      <w:r w:rsidRPr="003F1ECF" w:rsidR="00D45E92">
        <w:rPr>
          <w:sz w:val="24"/>
          <w:szCs w:val="24"/>
        </w:rPr>
        <w:t>clearance</w:t>
      </w:r>
      <w:r w:rsidRPr="003F1ECF">
        <w:rPr>
          <w:sz w:val="24"/>
          <w:szCs w:val="24"/>
        </w:rPr>
        <w:t xml:space="preserve">. The original approved ICR affiliated with </w:t>
      </w:r>
      <w:r w:rsidRPr="003F1ECF" w:rsidR="005F46D6">
        <w:rPr>
          <w:sz w:val="24"/>
          <w:szCs w:val="24"/>
        </w:rPr>
        <w:t>th</w:t>
      </w:r>
      <w:r w:rsidR="005F46D6">
        <w:rPr>
          <w:sz w:val="24"/>
          <w:szCs w:val="24"/>
        </w:rPr>
        <w:t>e</w:t>
      </w:r>
      <w:r w:rsidRPr="003F1ECF" w:rsidR="005F46D6">
        <w:rPr>
          <w:sz w:val="24"/>
          <w:szCs w:val="24"/>
        </w:rPr>
        <w:t xml:space="preserve"> </w:t>
      </w:r>
      <w:r w:rsidRPr="003F1ECF" w:rsidR="005F46D6">
        <w:rPr>
          <w:i/>
          <w:sz w:val="24"/>
          <w:szCs w:val="24"/>
        </w:rPr>
        <w:t xml:space="preserve">Program Integrity and Additional State Information Collections </w:t>
      </w:r>
      <w:r w:rsidR="00E407C8">
        <w:rPr>
          <w:sz w:val="24"/>
          <w:szCs w:val="24"/>
        </w:rPr>
        <w:t>F</w:t>
      </w:r>
      <w:r w:rsidRPr="003F1ECF">
        <w:rPr>
          <w:sz w:val="24"/>
          <w:szCs w:val="24"/>
        </w:rPr>
        <w:t xml:space="preserve">inal </w:t>
      </w:r>
      <w:r w:rsidR="00E407C8">
        <w:rPr>
          <w:sz w:val="24"/>
          <w:szCs w:val="24"/>
        </w:rPr>
        <w:t>R</w:t>
      </w:r>
      <w:r w:rsidRPr="003F1ECF">
        <w:rPr>
          <w:sz w:val="24"/>
          <w:szCs w:val="24"/>
        </w:rPr>
        <w:t xml:space="preserve">ule (OMB </w:t>
      </w:r>
      <w:r w:rsidRPr="003F1ECF" w:rsidR="00F31A7B">
        <w:rPr>
          <w:sz w:val="24"/>
          <w:szCs w:val="24"/>
        </w:rPr>
        <w:t>control number</w:t>
      </w:r>
      <w:r w:rsidRPr="003F1ECF">
        <w:rPr>
          <w:sz w:val="24"/>
          <w:szCs w:val="24"/>
        </w:rPr>
        <w:t xml:space="preserve">: 0938-1213) </w:t>
      </w:r>
      <w:r w:rsidRPr="003F1ECF" w:rsidR="00D72DC3">
        <w:rPr>
          <w:sz w:val="24"/>
          <w:szCs w:val="24"/>
        </w:rPr>
        <w:t xml:space="preserve">was </w:t>
      </w:r>
      <w:r w:rsidRPr="003F1ECF">
        <w:rPr>
          <w:sz w:val="24"/>
          <w:szCs w:val="24"/>
        </w:rPr>
        <w:t xml:space="preserve">approved on </w:t>
      </w:r>
      <w:r w:rsidRPr="003F1ECF" w:rsidR="00F31A7B">
        <w:rPr>
          <w:sz w:val="24"/>
          <w:szCs w:val="24"/>
        </w:rPr>
        <w:t>November 21,</w:t>
      </w:r>
      <w:r w:rsidRPr="003F1ECF" w:rsidR="00F31A7B">
        <w:rPr>
          <w:sz w:val="24"/>
          <w:szCs w:val="24"/>
        </w:rPr>
        <w:t xml:space="preserve"> </w:t>
      </w:r>
      <w:r w:rsidRPr="003F1ECF">
        <w:rPr>
          <w:sz w:val="24"/>
          <w:szCs w:val="24"/>
        </w:rPr>
        <w:t>2013.</w:t>
      </w:r>
      <w:r w:rsidRPr="003F1ECF" w:rsidR="004B437A">
        <w:rPr>
          <w:sz w:val="24"/>
          <w:szCs w:val="24"/>
        </w:rPr>
        <w:t xml:space="preserve"> </w:t>
      </w:r>
      <w:r w:rsidRPr="003F1ECF">
        <w:rPr>
          <w:sz w:val="24"/>
          <w:szCs w:val="24"/>
        </w:rPr>
        <w:t xml:space="preserve">This ICR also includes some of the information collection requirements from the previously approved </w:t>
      </w:r>
      <w:r w:rsidR="00E407C8">
        <w:rPr>
          <w:sz w:val="24"/>
          <w:szCs w:val="24"/>
        </w:rPr>
        <w:t>F</w:t>
      </w:r>
      <w:r w:rsidRPr="003F1ECF">
        <w:rPr>
          <w:sz w:val="24"/>
          <w:szCs w:val="24"/>
        </w:rPr>
        <w:t xml:space="preserve">inal </w:t>
      </w:r>
      <w:r w:rsidR="00E407C8">
        <w:rPr>
          <w:sz w:val="24"/>
          <w:szCs w:val="24"/>
        </w:rPr>
        <w:t>R</w:t>
      </w:r>
      <w:r w:rsidRPr="003F1ECF">
        <w:rPr>
          <w:sz w:val="24"/>
          <w:szCs w:val="24"/>
        </w:rPr>
        <w:t>ule.</w:t>
      </w:r>
    </w:p>
    <w:p w:rsidR="001C3F13" w:rsidRPr="003F1ECF" w:rsidP="007B3FAB" w14:paraId="2FA46C46" w14:textId="77777777">
      <w:pPr>
        <w:pStyle w:val="BodyText"/>
      </w:pPr>
    </w:p>
    <w:p w:rsidR="001C3F13" w:rsidRPr="003F1ECF" w:rsidP="007B3FAB" w14:paraId="51DA918B" w14:textId="77777777">
      <w:pPr>
        <w:pStyle w:val="Heading1"/>
        <w:numPr>
          <w:ilvl w:val="0"/>
          <w:numId w:val="1"/>
        </w:numPr>
        <w:tabs>
          <w:tab w:val="left" w:pos="699"/>
          <w:tab w:val="left" w:pos="701"/>
        </w:tabs>
        <w:ind w:left="0" w:firstLine="0"/>
        <w:rPr>
          <w:u w:val="none"/>
        </w:rPr>
      </w:pPr>
      <w:bookmarkStart w:id="5" w:name="B._Justification"/>
      <w:bookmarkEnd w:id="5"/>
      <w:r w:rsidRPr="003F1ECF">
        <w:rPr>
          <w:u w:val="thick"/>
        </w:rPr>
        <w:t>Justification</w:t>
      </w:r>
    </w:p>
    <w:p w:rsidR="001C3F13" w:rsidRPr="003F1ECF" w:rsidP="007B3FAB" w14:paraId="490E72B6" w14:textId="77777777">
      <w:pPr>
        <w:pStyle w:val="BodyText"/>
        <w:rPr>
          <w:b/>
        </w:rPr>
      </w:pPr>
    </w:p>
    <w:p w:rsidR="001C3F13" w:rsidRPr="003F1ECF" w:rsidP="007B3FAB" w14:paraId="4A539B90" w14:textId="77777777">
      <w:pPr>
        <w:pStyle w:val="ListParagraph"/>
        <w:numPr>
          <w:ilvl w:val="1"/>
          <w:numId w:val="1"/>
        </w:numPr>
        <w:tabs>
          <w:tab w:val="left" w:pos="699"/>
          <w:tab w:val="left" w:pos="701"/>
        </w:tabs>
        <w:ind w:left="0" w:firstLine="0"/>
        <w:rPr>
          <w:sz w:val="24"/>
          <w:szCs w:val="24"/>
        </w:rPr>
      </w:pPr>
      <w:bookmarkStart w:id="6" w:name="1._Need_and_Legal_Basis"/>
      <w:bookmarkEnd w:id="6"/>
      <w:r w:rsidRPr="003F1ECF">
        <w:rPr>
          <w:sz w:val="24"/>
          <w:szCs w:val="24"/>
          <w:u w:val="single"/>
        </w:rPr>
        <w:t xml:space="preserve">Need and </w:t>
      </w:r>
      <w:r w:rsidRPr="003F1ECF">
        <w:rPr>
          <w:spacing w:val="-3"/>
          <w:sz w:val="24"/>
          <w:szCs w:val="24"/>
          <w:u w:val="single"/>
        </w:rPr>
        <w:t>Legal</w:t>
      </w:r>
      <w:r w:rsidRPr="003F1ECF">
        <w:rPr>
          <w:sz w:val="24"/>
          <w:szCs w:val="24"/>
          <w:u w:val="single"/>
        </w:rPr>
        <w:t xml:space="preserve"> </w:t>
      </w:r>
      <w:r w:rsidRPr="003F1ECF">
        <w:rPr>
          <w:spacing w:val="-3"/>
          <w:sz w:val="24"/>
          <w:szCs w:val="24"/>
          <w:u w:val="single"/>
        </w:rPr>
        <w:t>Basis</w:t>
      </w:r>
    </w:p>
    <w:p w:rsidR="001C3F13" w:rsidRPr="003F1ECF" w:rsidP="007B3FAB" w14:paraId="0483CF4A" w14:textId="77777777">
      <w:pPr>
        <w:pStyle w:val="BodyText"/>
      </w:pPr>
    </w:p>
    <w:p w:rsidR="001C3F13" w:rsidRPr="003F1ECF" w:rsidP="007B3FAB" w14:paraId="4FB3F38B" w14:textId="5AE6C0C5">
      <w:pPr>
        <w:pStyle w:val="BodyText"/>
      </w:pPr>
      <w:bookmarkStart w:id="7" w:name="Section_1321(c)(1)_of_the_Affordable_Car"/>
      <w:bookmarkEnd w:id="7"/>
      <w:r w:rsidRPr="003F1ECF">
        <w:t>Section 1321(c)(1) of the Affordable Care Act requires the Secretary to establish and operate an FFE within States that either do not elect to operate an Exchange; or, as determined by the Secretary, will not have any required Exchange operational by January 1, 2014.</w:t>
      </w:r>
    </w:p>
    <w:p w:rsidR="001C3F13" w:rsidRPr="003F1ECF" w:rsidP="007B3FAB" w14:paraId="4592F509" w14:textId="77777777">
      <w:pPr>
        <w:pStyle w:val="BodyText"/>
      </w:pPr>
    </w:p>
    <w:p w:rsidR="001C3F13" w:rsidRPr="003F1ECF" w:rsidP="007B3FAB" w14:paraId="3267F578" w14:textId="76705922">
      <w:pPr>
        <w:pStyle w:val="BodyText"/>
      </w:pPr>
      <w:bookmarkStart w:id="8" w:name="Section_1321(c)(2)_of_the_Affordable_Car"/>
      <w:bookmarkEnd w:id="8"/>
      <w:r w:rsidRPr="003F1ECF">
        <w:t xml:space="preserve">Section 1321(c)(2) of the Affordable Care Act authorizes the Secretary to enforce the Exchange standards using civil money penalties (CMPs) </w:t>
      </w:r>
      <w:r w:rsidRPr="003F1ECF" w:rsidR="00874D5F">
        <w:t xml:space="preserve">on the same basis as detailed in </w:t>
      </w:r>
      <w:r w:rsidRPr="003F1ECF">
        <w:t>section 2723(b) of the Public Health Service Act (PHS Act).</w:t>
      </w:r>
      <w:r>
        <w:rPr>
          <w:rStyle w:val="FootnoteReference"/>
        </w:rPr>
        <w:footnoteReference w:id="2"/>
      </w:r>
      <w:r w:rsidRPr="003F1ECF">
        <w:t xml:space="preserve"> Section 2723(b) of the PHS Act authorizes the Secretary to impose CMPs as a means of enforcing the individual and group market reforms contained in Title XXVII, Part A of the PHS Act when a State fails to substantially enforce these provisions.</w:t>
      </w:r>
    </w:p>
    <w:p w:rsidR="001C3F13" w:rsidRPr="003F1ECF" w:rsidP="007B3FAB" w14:paraId="5940D66E" w14:textId="77777777">
      <w:pPr>
        <w:pStyle w:val="BodyText"/>
      </w:pPr>
    </w:p>
    <w:p w:rsidR="001C3F13" w:rsidRPr="003F1ECF" w:rsidP="007B3FAB" w14:paraId="6FDDDD06" w14:textId="51C5B736">
      <w:pPr>
        <w:pStyle w:val="BodyText"/>
      </w:pPr>
      <w:bookmarkStart w:id="9" w:name="Section_1313_of_the_Affordable_Care_Act,"/>
      <w:bookmarkEnd w:id="9"/>
      <w:r w:rsidRPr="003F1ECF">
        <w:t>Section</w:t>
      </w:r>
      <w:r w:rsidRPr="003F1ECF" w:rsidR="00F31A7B">
        <w:t>s</w:t>
      </w:r>
      <w:r w:rsidRPr="003F1ECF">
        <w:t xml:space="preserve"> 1313 </w:t>
      </w:r>
      <w:r w:rsidRPr="003F1ECF" w:rsidR="00F31A7B">
        <w:t>and</w:t>
      </w:r>
      <w:r w:rsidRPr="003F1ECF">
        <w:t xml:space="preserve"> 1321 of the Affordable Care Act provide the Secretary with the authority to oversee the financial integrity</w:t>
      </w:r>
      <w:r w:rsidRPr="003F1ECF" w:rsidR="004A61EC">
        <w:t xml:space="preserve"> of QHP issuers</w:t>
      </w:r>
      <w:r w:rsidRPr="003F1ECF">
        <w:t>, compliance with HHS standards, and efficient and non-discriminatory administration of State Exchange activities. Section 1313(a)(6)(A) of the Affordable Care Act specifies that payments made by, through, or in connection with an Exchange are subject to the False Claims Act (31 U.S.C.</w:t>
      </w:r>
      <w:r w:rsidRPr="003F1ECF" w:rsidR="007B3FAB">
        <w:t xml:space="preserve"> </w:t>
      </w:r>
      <w:r w:rsidRPr="003F1ECF">
        <w:t>3729, et seq.) if those payments include any Federal funds.</w:t>
      </w:r>
    </w:p>
    <w:p w:rsidR="001C3F13" w:rsidRPr="003F1ECF" w:rsidP="007B3FAB" w14:paraId="2D7523C5" w14:textId="77777777">
      <w:pPr>
        <w:pStyle w:val="BodyText"/>
      </w:pPr>
    </w:p>
    <w:p w:rsidR="001C3F13" w:rsidRPr="003F1ECF" w:rsidP="007B3FAB" w14:paraId="01EA0853" w14:textId="77777777">
      <w:pPr>
        <w:pStyle w:val="BodyText"/>
      </w:pPr>
      <w:bookmarkStart w:id="10" w:name="Section_1401_of_the_Affordable_Care_Act_"/>
      <w:bookmarkEnd w:id="10"/>
      <w:r w:rsidRPr="003F1ECF">
        <w:t>Section 1401 of the Affordable Care Act amended the Internal Revenue Code (26 U.S.C.) to add § 36B, allowing a refundable premium tax credit to help individuals and families afford health insurance coverage. Under sections 1401, 1411, and 1412 of the Affordable Care Act and 45 CFR part 155, subpart D, an Exchange will make a determination of advance payments of the premium tax credit for individuals who enroll in QHP coverage through an Exchange and seek financial assistance. Section 1402 of the Affordable Care Act provides for the reduction of cost sharing for certain individuals enrolled in a QHP through an Exchange, and section 1412 of the Affordable Care Act provides for the advance payment of these reductions to issuers.</w:t>
      </w:r>
    </w:p>
    <w:p w:rsidR="001C3F13" w:rsidRPr="003F1ECF" w:rsidP="007B3FAB" w14:paraId="0A4DFDC5" w14:textId="77777777">
      <w:pPr>
        <w:pStyle w:val="BodyText"/>
      </w:pPr>
    </w:p>
    <w:p w:rsidR="001C3F13" w:rsidRPr="003F1ECF" w:rsidP="007B3FAB" w14:paraId="6D0D2916" w14:textId="4EE313FA">
      <w:pPr>
        <w:pStyle w:val="BodyText"/>
      </w:pPr>
      <w:bookmarkStart w:id="11" w:name="Section_1411_of_the_Affordable_Care_Act,"/>
      <w:bookmarkEnd w:id="11"/>
      <w:r w:rsidRPr="003F1ECF">
        <w:t>Section 1411 of the Affordable Care Act directs the Secretary to establish a program for determining whether an individual meets the eligibility standards for Exchange participation, advance payments of the premium tax credit, cost</w:t>
      </w:r>
      <w:r w:rsidRPr="003F1ECF" w:rsidR="004A61EC">
        <w:t xml:space="preserve"> </w:t>
      </w:r>
      <w:r w:rsidRPr="003F1ECF">
        <w:t>sharing reductions, and exemptions from the shared responsibility payment.</w:t>
      </w:r>
    </w:p>
    <w:p w:rsidR="001C3F13" w:rsidRPr="003F1ECF" w:rsidP="007B3FAB" w14:paraId="2CEE1C82" w14:textId="77777777">
      <w:pPr>
        <w:pStyle w:val="BodyText"/>
      </w:pPr>
    </w:p>
    <w:p w:rsidR="001C3F13" w:rsidRPr="003F1ECF" w:rsidP="007B3FAB" w14:paraId="45C86498" w14:textId="70F4319C">
      <w:pPr>
        <w:pStyle w:val="BodyText"/>
      </w:pPr>
      <w:bookmarkStart w:id="12" w:name="Sections_1412_and_1413_of_the_Affordable"/>
      <w:bookmarkEnd w:id="12"/>
      <w:r w:rsidRPr="003F1ECF">
        <w:t>Sections 1412 and 1413 of the Affordable Care Act and section 1943 of the Social Security Act (the Act), as added by section 2201 of the Affordable Care Act, contain additional provisions regarding eligibility for advance payments of the premium tax credit and cost</w:t>
      </w:r>
      <w:r w:rsidRPr="003F1ECF" w:rsidR="004A61EC">
        <w:t xml:space="preserve"> </w:t>
      </w:r>
      <w:r w:rsidRPr="003F1ECF">
        <w:t>sharing reductions, as well as provisions regarding simplification and coordination of eligibility determinations and enrollment with other health programs.</w:t>
      </w:r>
    </w:p>
    <w:p w:rsidR="001C3F13" w:rsidRPr="003F1ECF" w:rsidP="007B3FAB" w14:paraId="33C7EBFE" w14:textId="77777777">
      <w:pPr>
        <w:pStyle w:val="BodyText"/>
      </w:pPr>
    </w:p>
    <w:p w:rsidR="001C3F13" w:rsidRPr="003F1ECF" w:rsidP="007B3FAB" w14:paraId="17B541C6" w14:textId="0346D3D1">
      <w:pPr>
        <w:pStyle w:val="BodyText"/>
      </w:pPr>
      <w:bookmarkStart w:id="13" w:name="The_Affordable_Care_Act_directs_issuers_"/>
      <w:bookmarkEnd w:id="13"/>
      <w:r w:rsidRPr="003F1ECF">
        <w:t>The Affordable Care Act directs issuers offering non-grandfathered health insurance coverage in the individual and small group markets to ensure that plans meet an actuarial value (AV) level of coverage specified in section 1302(a)(3) of the Affordable Care Act and as defined in 45 CFR 156.140(b). Consistent with section 1302(d)(2)(A) of the Affordable Care Act, AV is calculated based on the provision of the essential health benefits (EHB) to a standard population and is a measure of the percentage of expected health care costs a health plan will cover for a standard population.</w:t>
      </w:r>
    </w:p>
    <w:p w:rsidR="009D100B" w:rsidRPr="003F1ECF" w:rsidP="007B3FAB" w14:paraId="52D86254" w14:textId="255D2233">
      <w:pPr>
        <w:pStyle w:val="BodyText"/>
      </w:pPr>
    </w:p>
    <w:p w:rsidR="001C3F13" w:rsidRPr="003F1ECF" w:rsidP="007B3FAB" w14:paraId="420E2CF1" w14:textId="357A60D4">
      <w:pPr>
        <w:pStyle w:val="ListParagraph"/>
        <w:numPr>
          <w:ilvl w:val="1"/>
          <w:numId w:val="1"/>
        </w:numPr>
        <w:tabs>
          <w:tab w:val="left" w:pos="699"/>
          <w:tab w:val="left" w:pos="701"/>
        </w:tabs>
        <w:ind w:left="0" w:firstLine="0"/>
        <w:rPr>
          <w:sz w:val="24"/>
          <w:szCs w:val="24"/>
        </w:rPr>
      </w:pPr>
      <w:bookmarkStart w:id="14" w:name="2._Information_Users"/>
      <w:bookmarkEnd w:id="14"/>
      <w:r w:rsidRPr="003F1ECF">
        <w:rPr>
          <w:sz w:val="24"/>
          <w:szCs w:val="24"/>
          <w:u w:val="single"/>
        </w:rPr>
        <w:t>Information</w:t>
      </w:r>
      <w:r w:rsidRPr="003F1ECF">
        <w:rPr>
          <w:spacing w:val="-9"/>
          <w:sz w:val="24"/>
          <w:szCs w:val="24"/>
          <w:u w:val="single"/>
        </w:rPr>
        <w:t xml:space="preserve"> </w:t>
      </w:r>
      <w:r w:rsidRPr="003F1ECF" w:rsidR="009D100B">
        <w:rPr>
          <w:spacing w:val="-3"/>
          <w:sz w:val="24"/>
          <w:szCs w:val="24"/>
          <w:u w:val="single"/>
        </w:rPr>
        <w:t>User</w:t>
      </w:r>
      <w:r w:rsidRPr="003F1ECF">
        <w:rPr>
          <w:spacing w:val="-3"/>
          <w:sz w:val="24"/>
          <w:szCs w:val="24"/>
          <w:u w:val="single"/>
        </w:rPr>
        <w:t>s</w:t>
      </w:r>
      <w:bookmarkStart w:id="15" w:name="_bookmark0"/>
      <w:bookmarkEnd w:id="15"/>
    </w:p>
    <w:p w:rsidR="009D100B" w:rsidRPr="003F1ECF" w:rsidP="007B3FAB" w14:paraId="4C01EB54" w14:textId="77777777">
      <w:pPr>
        <w:pStyle w:val="ListParagraph"/>
        <w:tabs>
          <w:tab w:val="left" w:pos="699"/>
          <w:tab w:val="left" w:pos="701"/>
        </w:tabs>
        <w:ind w:left="0" w:firstLine="0"/>
        <w:rPr>
          <w:sz w:val="24"/>
          <w:szCs w:val="24"/>
        </w:rPr>
      </w:pPr>
    </w:p>
    <w:p w:rsidR="001C3F13" w:rsidRPr="003F1ECF" w:rsidP="007B3FAB" w14:paraId="34DEED52" w14:textId="74DD02D6">
      <w:pPr>
        <w:pStyle w:val="BodyText"/>
      </w:pPr>
      <w:bookmarkStart w:id="16" w:name="The_data_collections_and_third-party_dis"/>
      <w:bookmarkEnd w:id="16"/>
      <w:r w:rsidRPr="003F1ECF">
        <w:t>The data collections and third-party disclosure requirements will assist HHS in determining Exchange compliance with Federal standards and monitoring QHP issuers in FFEs for compliance with Federal QHP issuer standards. The</w:t>
      </w:r>
      <w:r w:rsidRPr="003F1ECF" w:rsidR="004A61EC">
        <w:t>se</w:t>
      </w:r>
      <w:r w:rsidRPr="003F1ECF">
        <w:t xml:space="preserve"> data collection</w:t>
      </w:r>
      <w:r w:rsidRPr="003F1ECF" w:rsidR="004A61EC">
        <w:t>s</w:t>
      </w:r>
      <w:r w:rsidRPr="003F1ECF">
        <w:t xml:space="preserve"> will assist HHS in monitoring </w:t>
      </w:r>
      <w:r w:rsidRPr="003F1ECF" w:rsidR="007C4527">
        <w:t>w</w:t>
      </w:r>
      <w:r w:rsidRPr="003F1ECF">
        <w:t xml:space="preserve">eb-brokers for compliance with Federal </w:t>
      </w:r>
      <w:r w:rsidRPr="003F1ECF" w:rsidR="007C4527">
        <w:t>w</w:t>
      </w:r>
      <w:r w:rsidRPr="003F1ECF">
        <w:t>eb-broker standards. The data collected by health insurance issuers and Exchanges will help to inform HHS, Exchanges, and health insurance issuers as to the participation of individuals, employers, and employees in the individual Exchange, the SHOP, and the premium stabilization programs.</w:t>
      </w:r>
    </w:p>
    <w:p w:rsidR="001C3F13" w:rsidRPr="003F1ECF" w:rsidP="007B3FAB" w14:paraId="67433F79" w14:textId="77777777">
      <w:pPr>
        <w:pStyle w:val="BodyText"/>
      </w:pPr>
    </w:p>
    <w:p w:rsidR="001C3F13" w:rsidRPr="003F1ECF" w:rsidP="007B3FAB" w14:paraId="19E6F940" w14:textId="77777777">
      <w:pPr>
        <w:pStyle w:val="ListParagraph"/>
        <w:numPr>
          <w:ilvl w:val="1"/>
          <w:numId w:val="1"/>
        </w:numPr>
        <w:tabs>
          <w:tab w:val="left" w:pos="699"/>
          <w:tab w:val="left" w:pos="701"/>
        </w:tabs>
        <w:ind w:left="0" w:firstLine="0"/>
        <w:rPr>
          <w:sz w:val="24"/>
          <w:szCs w:val="24"/>
        </w:rPr>
      </w:pPr>
      <w:bookmarkStart w:id="17" w:name="3._Use_of_Information_Technology"/>
      <w:bookmarkEnd w:id="17"/>
      <w:r w:rsidRPr="003F1ECF">
        <w:rPr>
          <w:spacing w:val="-3"/>
          <w:sz w:val="24"/>
          <w:szCs w:val="24"/>
          <w:u w:val="single"/>
        </w:rPr>
        <w:t xml:space="preserve">Use </w:t>
      </w:r>
      <w:r w:rsidRPr="003F1ECF">
        <w:rPr>
          <w:sz w:val="24"/>
          <w:szCs w:val="24"/>
          <w:u w:val="single"/>
        </w:rPr>
        <w:t>of Information</w:t>
      </w:r>
      <w:r w:rsidRPr="003F1ECF">
        <w:rPr>
          <w:spacing w:val="-21"/>
          <w:sz w:val="24"/>
          <w:szCs w:val="24"/>
          <w:u w:val="single"/>
        </w:rPr>
        <w:t xml:space="preserve"> </w:t>
      </w:r>
      <w:r w:rsidRPr="003F1ECF">
        <w:rPr>
          <w:sz w:val="24"/>
          <w:szCs w:val="24"/>
          <w:u w:val="single"/>
        </w:rPr>
        <w:t>Technology</w:t>
      </w:r>
    </w:p>
    <w:p w:rsidR="001C3F13" w:rsidRPr="003F1ECF" w:rsidP="007B3FAB" w14:paraId="4CF4BC21" w14:textId="77777777">
      <w:pPr>
        <w:pStyle w:val="BodyText"/>
      </w:pPr>
    </w:p>
    <w:p w:rsidR="001C3F13" w:rsidRPr="003F1ECF" w:rsidP="007B3FAB" w14:paraId="63E21A73" w14:textId="11A6902D">
      <w:pPr>
        <w:pStyle w:val="BodyText"/>
      </w:pPr>
      <w:bookmarkStart w:id="18" w:name="HHS_anticipates_that_a_majority_of_the_s"/>
      <w:bookmarkEnd w:id="18"/>
      <w:r w:rsidRPr="003F1ECF">
        <w:t>HHS anticipates that a majority of the systems, notices, and information collection required will be automated. A majority of the information that is required by the collection of information will be submitted electronically. HHS staff will analyze or review the data in the same manner by which it was s</w:t>
      </w:r>
      <w:r w:rsidRPr="003F1ECF" w:rsidR="00BD0EA5">
        <w:t>ubmitted and communicate with s</w:t>
      </w:r>
      <w:r w:rsidRPr="003F1ECF">
        <w:t>tates, health insurance issuers, and other entities using e-mail, telephone, or other electronic means.</w:t>
      </w:r>
    </w:p>
    <w:p w:rsidR="001C3F13" w:rsidRPr="003F1ECF" w:rsidP="007B3FAB" w14:paraId="741D8D29" w14:textId="77777777">
      <w:pPr>
        <w:pStyle w:val="BodyText"/>
      </w:pPr>
    </w:p>
    <w:p w:rsidR="001C3F13" w:rsidRPr="003F1ECF" w:rsidP="007B3FAB" w14:paraId="2CBD4080" w14:textId="77777777">
      <w:pPr>
        <w:pStyle w:val="ListParagraph"/>
        <w:numPr>
          <w:ilvl w:val="1"/>
          <w:numId w:val="1"/>
        </w:numPr>
        <w:tabs>
          <w:tab w:val="left" w:pos="699"/>
          <w:tab w:val="left" w:pos="701"/>
        </w:tabs>
        <w:ind w:left="0" w:firstLine="0"/>
        <w:rPr>
          <w:sz w:val="24"/>
          <w:szCs w:val="24"/>
        </w:rPr>
      </w:pPr>
      <w:bookmarkStart w:id="19" w:name="4._Duplication_of_Efforts"/>
      <w:bookmarkEnd w:id="19"/>
      <w:r w:rsidRPr="003F1ECF">
        <w:rPr>
          <w:sz w:val="24"/>
          <w:szCs w:val="24"/>
          <w:u w:val="single"/>
        </w:rPr>
        <w:t>Duplication of</w:t>
      </w:r>
      <w:r w:rsidRPr="003F1ECF">
        <w:rPr>
          <w:spacing w:val="2"/>
          <w:sz w:val="24"/>
          <w:szCs w:val="24"/>
          <w:u w:val="single"/>
        </w:rPr>
        <w:t xml:space="preserve"> </w:t>
      </w:r>
      <w:r w:rsidRPr="003F1ECF">
        <w:rPr>
          <w:sz w:val="24"/>
          <w:szCs w:val="24"/>
          <w:u w:val="single"/>
        </w:rPr>
        <w:t>Efforts</w:t>
      </w:r>
    </w:p>
    <w:p w:rsidR="001C3F13" w:rsidRPr="003F1ECF" w:rsidP="007B3FAB" w14:paraId="736049D6" w14:textId="77777777">
      <w:pPr>
        <w:pStyle w:val="BodyText"/>
      </w:pPr>
    </w:p>
    <w:p w:rsidR="001C3F13" w:rsidRPr="003F1ECF" w:rsidP="007B3FAB" w14:paraId="4FFD80B1" w14:textId="77777777">
      <w:pPr>
        <w:pStyle w:val="BodyText"/>
      </w:pPr>
      <w:bookmarkStart w:id="20" w:name="This_information_collection_does_not_dup"/>
      <w:bookmarkEnd w:id="20"/>
      <w:r w:rsidRPr="003F1ECF">
        <w:t>This information collection does not duplicate any other Federal effort.</w:t>
      </w:r>
    </w:p>
    <w:p w:rsidR="001C3F13" w:rsidRPr="003F1ECF" w:rsidP="007B3FAB" w14:paraId="4B3EDA25" w14:textId="77777777">
      <w:pPr>
        <w:pStyle w:val="BodyText"/>
      </w:pPr>
    </w:p>
    <w:p w:rsidR="001C3F13" w:rsidRPr="003F1ECF" w:rsidP="007B3FAB" w14:paraId="4543A119" w14:textId="77777777">
      <w:pPr>
        <w:pStyle w:val="ListParagraph"/>
        <w:numPr>
          <w:ilvl w:val="1"/>
          <w:numId w:val="1"/>
        </w:numPr>
        <w:tabs>
          <w:tab w:val="left" w:pos="699"/>
          <w:tab w:val="left" w:pos="701"/>
        </w:tabs>
        <w:ind w:left="0" w:firstLine="0"/>
        <w:rPr>
          <w:sz w:val="24"/>
          <w:szCs w:val="24"/>
        </w:rPr>
      </w:pPr>
      <w:bookmarkStart w:id="21" w:name="5._Small_Businesses"/>
      <w:bookmarkEnd w:id="21"/>
      <w:r w:rsidRPr="003F1ECF">
        <w:rPr>
          <w:sz w:val="24"/>
          <w:szCs w:val="24"/>
          <w:u w:val="single"/>
        </w:rPr>
        <w:t>Small</w:t>
      </w:r>
      <w:r w:rsidRPr="003F1ECF">
        <w:rPr>
          <w:spacing w:val="-17"/>
          <w:sz w:val="24"/>
          <w:szCs w:val="24"/>
          <w:u w:val="single"/>
        </w:rPr>
        <w:t xml:space="preserve"> </w:t>
      </w:r>
      <w:r w:rsidRPr="003F1ECF">
        <w:rPr>
          <w:sz w:val="24"/>
          <w:szCs w:val="24"/>
          <w:u w:val="single"/>
        </w:rPr>
        <w:t>Businesses</w:t>
      </w:r>
    </w:p>
    <w:p w:rsidR="001C3F13" w:rsidRPr="003F1ECF" w:rsidP="007B3FAB" w14:paraId="4E8805E3" w14:textId="77777777">
      <w:pPr>
        <w:pStyle w:val="BodyText"/>
      </w:pPr>
    </w:p>
    <w:p w:rsidR="001C3F13" w:rsidRPr="003F1ECF" w:rsidP="007B3FAB" w14:paraId="5356AC15" w14:textId="27044C30">
      <w:pPr>
        <w:pStyle w:val="BodyText"/>
      </w:pPr>
      <w:bookmarkStart w:id="22" w:name="This_information_collection_will_not_hav"/>
      <w:bookmarkEnd w:id="22"/>
      <w:r w:rsidRPr="003F1ECF">
        <w:t>This information collection will not have a significant impact on small business</w:t>
      </w:r>
      <w:r w:rsidRPr="003F1ECF" w:rsidR="00876291">
        <w:t>es</w:t>
      </w:r>
      <w:r w:rsidRPr="003F1ECF">
        <w:t>.</w:t>
      </w:r>
    </w:p>
    <w:p w:rsidR="001C3F13" w:rsidRPr="003F1ECF" w:rsidP="007B3FAB" w14:paraId="3F147A92" w14:textId="77777777">
      <w:pPr>
        <w:pStyle w:val="BodyText"/>
      </w:pPr>
    </w:p>
    <w:p w:rsidR="001C3F13" w:rsidRPr="003F1ECF" w:rsidP="007B3FAB" w14:paraId="0FAEFDD2" w14:textId="77777777">
      <w:pPr>
        <w:pStyle w:val="ListParagraph"/>
        <w:numPr>
          <w:ilvl w:val="1"/>
          <w:numId w:val="1"/>
        </w:numPr>
        <w:tabs>
          <w:tab w:val="left" w:pos="699"/>
          <w:tab w:val="left" w:pos="701"/>
        </w:tabs>
        <w:ind w:left="0" w:firstLine="0"/>
        <w:rPr>
          <w:sz w:val="24"/>
          <w:szCs w:val="24"/>
        </w:rPr>
      </w:pPr>
      <w:bookmarkStart w:id="23" w:name="6._Less_Frequent_Collection"/>
      <w:bookmarkEnd w:id="23"/>
      <w:r w:rsidRPr="003F1ECF">
        <w:rPr>
          <w:sz w:val="24"/>
          <w:szCs w:val="24"/>
          <w:u w:val="single"/>
        </w:rPr>
        <w:t>Less Frequent</w:t>
      </w:r>
      <w:r w:rsidRPr="003F1ECF">
        <w:rPr>
          <w:spacing w:val="-20"/>
          <w:sz w:val="24"/>
          <w:szCs w:val="24"/>
          <w:u w:val="single"/>
        </w:rPr>
        <w:t xml:space="preserve"> </w:t>
      </w:r>
      <w:r w:rsidRPr="003F1ECF">
        <w:rPr>
          <w:sz w:val="24"/>
          <w:szCs w:val="24"/>
          <w:u w:val="single"/>
        </w:rPr>
        <w:t>Collection</w:t>
      </w:r>
    </w:p>
    <w:p w:rsidR="001C3F13" w:rsidRPr="003F1ECF" w:rsidP="007B3FAB" w14:paraId="474C1F68" w14:textId="77777777">
      <w:pPr>
        <w:pStyle w:val="BodyText"/>
      </w:pPr>
    </w:p>
    <w:p w:rsidR="001C3F13" w:rsidRPr="003F1ECF" w:rsidP="007B3FAB" w14:paraId="4E5DA283" w14:textId="6090A1F7">
      <w:pPr>
        <w:pStyle w:val="BodyText"/>
      </w:pPr>
      <w:bookmarkStart w:id="24" w:name="Due_to_the_required_flow_of_information_"/>
      <w:bookmarkEnd w:id="24"/>
      <w:r w:rsidRPr="003F1ECF">
        <w:t>Due to the required flow of information between multiple parties and flow of funds for payments for health insurance coverage within the Exchange, it is necessary to collect information according to the indicated frequencies. If the information is collected less frequently, the result would be less accurate, untimely or unavailable eligibility, enrollment or payment information for Exchanges, insurers, employers</w:t>
      </w:r>
      <w:r w:rsidRPr="003F1ECF" w:rsidR="00F31694">
        <w:t>,</w:t>
      </w:r>
      <w:r w:rsidRPr="003F1ECF">
        <w:t xml:space="preserve"> and individuals. This would lead to delayed payments to </w:t>
      </w:r>
      <w:r w:rsidRPr="003F1ECF" w:rsidR="007C4527">
        <w:t>issuers</w:t>
      </w:r>
      <w:r w:rsidR="0009123E">
        <w:t>,</w:t>
      </w:r>
      <w:r w:rsidRPr="003F1ECF" w:rsidR="0009123E">
        <w:t xml:space="preserve"> </w:t>
      </w:r>
      <w:r w:rsidRPr="003F1ECF">
        <w:t>late charges to or payments by employers and enrollees</w:t>
      </w:r>
      <w:r w:rsidR="0009123E">
        <w:t>,</w:t>
      </w:r>
      <w:r w:rsidRPr="003F1ECF" w:rsidR="0009123E">
        <w:t xml:space="preserve"> </w:t>
      </w:r>
      <w:r w:rsidRPr="003F1ECF">
        <w:t>inaccurate or inappropriate payments of advance premium tax credits and cost sharing reductions</w:t>
      </w:r>
      <w:r w:rsidR="0009123E">
        <w:t>,</w:t>
      </w:r>
      <w:r w:rsidRPr="003F1ECF" w:rsidR="0009123E">
        <w:t xml:space="preserve"> </w:t>
      </w:r>
      <w:r w:rsidRPr="003F1ECF">
        <w:t>the release of misleading information regarding health care coverage to potential enrollees</w:t>
      </w:r>
      <w:r w:rsidR="0009123E">
        <w:t>,</w:t>
      </w:r>
      <w:r w:rsidRPr="003F1ECF" w:rsidR="0009123E">
        <w:t xml:space="preserve"> </w:t>
      </w:r>
      <w:r w:rsidRPr="003F1ECF">
        <w:t xml:space="preserve">and an overall stress on the organizational structure of the Exchanges. </w:t>
      </w:r>
      <w:r w:rsidRPr="003F1ECF" w:rsidR="004A61EC">
        <w:t>Furthermore, i</w:t>
      </w:r>
      <w:r w:rsidRPr="003F1ECF">
        <w:t>f the information is not collected in the timeframe, HHS will not be able to properly ensure the financial integrity of Federal funds.</w:t>
      </w:r>
    </w:p>
    <w:p w:rsidR="001C3F13" w:rsidRPr="003F1ECF" w:rsidP="007B3FAB" w14:paraId="79304B3C" w14:textId="77777777">
      <w:pPr>
        <w:pStyle w:val="BodyText"/>
      </w:pPr>
    </w:p>
    <w:p w:rsidR="001C3F13" w:rsidRPr="003F1ECF" w:rsidP="007B3FAB" w14:paraId="4CC34038" w14:textId="77777777">
      <w:pPr>
        <w:pStyle w:val="ListParagraph"/>
        <w:numPr>
          <w:ilvl w:val="1"/>
          <w:numId w:val="1"/>
        </w:numPr>
        <w:tabs>
          <w:tab w:val="left" w:pos="699"/>
          <w:tab w:val="left" w:pos="701"/>
        </w:tabs>
        <w:ind w:left="0" w:firstLine="0"/>
        <w:rPr>
          <w:sz w:val="24"/>
          <w:szCs w:val="24"/>
        </w:rPr>
      </w:pPr>
      <w:bookmarkStart w:id="25" w:name="7._Special_Circumstances"/>
      <w:bookmarkEnd w:id="25"/>
      <w:r w:rsidRPr="003F1ECF">
        <w:rPr>
          <w:sz w:val="24"/>
          <w:szCs w:val="24"/>
          <w:u w:val="single"/>
        </w:rPr>
        <w:t>Special</w:t>
      </w:r>
      <w:r w:rsidRPr="003F1ECF">
        <w:rPr>
          <w:spacing w:val="-3"/>
          <w:sz w:val="24"/>
          <w:szCs w:val="24"/>
          <w:u w:val="single"/>
        </w:rPr>
        <w:t xml:space="preserve"> </w:t>
      </w:r>
      <w:r w:rsidRPr="003F1ECF">
        <w:rPr>
          <w:sz w:val="24"/>
          <w:szCs w:val="24"/>
          <w:u w:val="single"/>
        </w:rPr>
        <w:t>Circumstances</w:t>
      </w:r>
    </w:p>
    <w:p w:rsidR="001C3F13" w:rsidRPr="003F1ECF" w:rsidP="007B3FAB" w14:paraId="79839542" w14:textId="77777777">
      <w:pPr>
        <w:pStyle w:val="BodyText"/>
      </w:pPr>
    </w:p>
    <w:p w:rsidR="001C3F13" w:rsidRPr="003F1ECF" w:rsidP="007B3FAB" w14:paraId="4801FAEA" w14:textId="77777777">
      <w:pPr>
        <w:pStyle w:val="BodyText"/>
      </w:pPr>
      <w:bookmarkStart w:id="26" w:name="There_are_no_special_circumstances."/>
      <w:bookmarkEnd w:id="26"/>
      <w:r w:rsidRPr="003F1ECF">
        <w:t>There are no special circumstances.</w:t>
      </w:r>
    </w:p>
    <w:p w:rsidR="001C3F13" w:rsidRPr="003F1ECF" w:rsidP="007B3FAB" w14:paraId="0F03B941" w14:textId="77777777">
      <w:pPr>
        <w:pStyle w:val="BodyText"/>
      </w:pPr>
    </w:p>
    <w:p w:rsidR="009D100B" w:rsidRPr="003F1ECF" w:rsidP="007B3FAB" w14:paraId="5EF26982" w14:textId="77777777">
      <w:pPr>
        <w:pStyle w:val="ListParagraph"/>
        <w:numPr>
          <w:ilvl w:val="1"/>
          <w:numId w:val="1"/>
        </w:numPr>
        <w:tabs>
          <w:tab w:val="left" w:pos="699"/>
          <w:tab w:val="left" w:pos="701"/>
        </w:tabs>
        <w:ind w:left="0" w:firstLine="0"/>
        <w:rPr>
          <w:sz w:val="24"/>
          <w:szCs w:val="24"/>
        </w:rPr>
      </w:pPr>
      <w:bookmarkStart w:id="27" w:name="8._Federal_Register/Outside_Consultation"/>
      <w:bookmarkEnd w:id="27"/>
      <w:r w:rsidRPr="003F1ECF">
        <w:rPr>
          <w:sz w:val="24"/>
          <w:szCs w:val="24"/>
          <w:u w:val="single"/>
        </w:rPr>
        <w:t>Federal Register/Outside</w:t>
      </w:r>
      <w:r w:rsidRPr="003F1ECF">
        <w:rPr>
          <w:spacing w:val="-31"/>
          <w:sz w:val="24"/>
          <w:szCs w:val="24"/>
          <w:u w:val="single"/>
        </w:rPr>
        <w:t xml:space="preserve"> </w:t>
      </w:r>
      <w:r w:rsidRPr="003F1ECF">
        <w:rPr>
          <w:sz w:val="24"/>
          <w:szCs w:val="24"/>
          <w:u w:val="single"/>
        </w:rPr>
        <w:t>Consultation</w:t>
      </w:r>
      <w:bookmarkStart w:id="28" w:name="_The_60-day_Federal_Register_Notice_was_"/>
      <w:bookmarkEnd w:id="28"/>
    </w:p>
    <w:p w:rsidR="009D100B" w:rsidRPr="003F1ECF" w:rsidP="007B3FAB" w14:paraId="34D767FE" w14:textId="77777777">
      <w:pPr>
        <w:pStyle w:val="ListParagraph"/>
        <w:tabs>
          <w:tab w:val="left" w:pos="699"/>
          <w:tab w:val="left" w:pos="701"/>
        </w:tabs>
        <w:ind w:left="0" w:firstLine="0"/>
        <w:rPr>
          <w:sz w:val="24"/>
          <w:szCs w:val="24"/>
        </w:rPr>
      </w:pPr>
    </w:p>
    <w:p w:rsidR="00AD5E07" w:rsidRPr="007021D2" w:rsidP="00AD5E07" w14:paraId="252F487A" w14:textId="5A74F051">
      <w:pPr>
        <w:rPr>
          <w:sz w:val="24"/>
          <w:szCs w:val="24"/>
        </w:rPr>
      </w:pPr>
      <w:r w:rsidRPr="003F1ECF">
        <w:rPr>
          <w:sz w:val="24"/>
          <w:szCs w:val="24"/>
        </w:rPr>
        <w:t xml:space="preserve">A </w:t>
      </w:r>
      <w:r w:rsidRPr="003F1ECF" w:rsidR="00601588">
        <w:rPr>
          <w:sz w:val="24"/>
          <w:szCs w:val="24"/>
        </w:rPr>
        <w:t xml:space="preserve">60-day Notice </w:t>
      </w:r>
      <w:r w:rsidR="009737CF">
        <w:rPr>
          <w:sz w:val="24"/>
          <w:szCs w:val="24"/>
        </w:rPr>
        <w:t xml:space="preserve">was </w:t>
      </w:r>
      <w:r w:rsidRPr="003F1ECF" w:rsidR="00601588">
        <w:rPr>
          <w:sz w:val="24"/>
          <w:szCs w:val="24"/>
        </w:rPr>
        <w:t>publish</w:t>
      </w:r>
      <w:r w:rsidRPr="003F1ECF" w:rsidR="00183287">
        <w:rPr>
          <w:sz w:val="24"/>
          <w:szCs w:val="24"/>
        </w:rPr>
        <w:t>ed</w:t>
      </w:r>
      <w:r w:rsidRPr="003F1ECF" w:rsidR="00601588">
        <w:rPr>
          <w:sz w:val="24"/>
          <w:szCs w:val="24"/>
        </w:rPr>
        <w:t xml:space="preserve"> in the Federal Register on </w:t>
      </w:r>
      <w:r w:rsidR="004A641F">
        <w:rPr>
          <w:sz w:val="24"/>
          <w:szCs w:val="24"/>
        </w:rPr>
        <w:t>July 11</w:t>
      </w:r>
      <w:r w:rsidR="0009123E">
        <w:rPr>
          <w:sz w:val="24"/>
          <w:szCs w:val="24"/>
        </w:rPr>
        <w:t>, 2025 (</w:t>
      </w:r>
      <w:r w:rsidR="00AB2EC8">
        <w:rPr>
          <w:sz w:val="24"/>
          <w:szCs w:val="24"/>
        </w:rPr>
        <w:t xml:space="preserve">90 </w:t>
      </w:r>
      <w:r w:rsidR="0009123E">
        <w:rPr>
          <w:sz w:val="24"/>
          <w:szCs w:val="24"/>
        </w:rPr>
        <w:t xml:space="preserve">FR </w:t>
      </w:r>
      <w:r w:rsidR="000C2121">
        <w:rPr>
          <w:sz w:val="24"/>
          <w:szCs w:val="24"/>
        </w:rPr>
        <w:t>30940</w:t>
      </w:r>
      <w:r w:rsidR="0009123E">
        <w:rPr>
          <w:sz w:val="24"/>
          <w:szCs w:val="24"/>
        </w:rPr>
        <w:t xml:space="preserve">) </w:t>
      </w:r>
      <w:r w:rsidRPr="003F1ECF" w:rsidR="00601588">
        <w:rPr>
          <w:sz w:val="24"/>
          <w:szCs w:val="24"/>
        </w:rPr>
        <w:t>for the public to submit written comment on the information collection requirements.</w:t>
      </w:r>
      <w:bookmarkStart w:id="29" w:name="No_additional_outside_consultation_was_s"/>
      <w:bookmarkEnd w:id="29"/>
      <w:r>
        <w:rPr>
          <w:sz w:val="24"/>
          <w:szCs w:val="24"/>
        </w:rPr>
        <w:t xml:space="preserve"> </w:t>
      </w:r>
      <w:r w:rsidR="002B6A1C">
        <w:rPr>
          <w:sz w:val="24"/>
          <w:szCs w:val="24"/>
        </w:rPr>
        <w:t>One comment was</w:t>
      </w:r>
      <w:r w:rsidRPr="007021D2">
        <w:rPr>
          <w:sz w:val="24"/>
          <w:szCs w:val="24"/>
        </w:rPr>
        <w:t xml:space="preserve"> received that </w:t>
      </w:r>
      <w:r w:rsidR="002B6A1C">
        <w:rPr>
          <w:sz w:val="24"/>
          <w:szCs w:val="24"/>
        </w:rPr>
        <w:t>was</w:t>
      </w:r>
      <w:r w:rsidRPr="007021D2">
        <w:rPr>
          <w:sz w:val="24"/>
          <w:szCs w:val="24"/>
        </w:rPr>
        <w:t xml:space="preserve"> relevant to this ICR. </w:t>
      </w:r>
      <w:r w:rsidR="00951DC6">
        <w:rPr>
          <w:sz w:val="24"/>
          <w:szCs w:val="24"/>
        </w:rPr>
        <w:t>This</w:t>
      </w:r>
      <w:r w:rsidRPr="007021D2">
        <w:rPr>
          <w:sz w:val="24"/>
          <w:szCs w:val="24"/>
        </w:rPr>
        <w:t xml:space="preserve"> comment </w:t>
      </w:r>
      <w:r w:rsidR="00951DC6">
        <w:rPr>
          <w:sz w:val="24"/>
          <w:szCs w:val="24"/>
        </w:rPr>
        <w:t>is</w:t>
      </w:r>
      <w:r w:rsidRPr="007021D2">
        <w:rPr>
          <w:sz w:val="24"/>
          <w:szCs w:val="24"/>
        </w:rPr>
        <w:t xml:space="preserve"> summarized and response provided in </w:t>
      </w:r>
      <w:r w:rsidRPr="007021D2">
        <w:rPr>
          <w:b/>
          <w:bCs/>
          <w:sz w:val="24"/>
          <w:szCs w:val="24"/>
        </w:rPr>
        <w:t xml:space="preserve">Appendix </w:t>
      </w:r>
      <w:r w:rsidR="002B6A1C">
        <w:rPr>
          <w:b/>
          <w:bCs/>
          <w:sz w:val="24"/>
          <w:szCs w:val="24"/>
        </w:rPr>
        <w:t>A</w:t>
      </w:r>
      <w:r w:rsidRPr="007021D2">
        <w:rPr>
          <w:sz w:val="24"/>
          <w:szCs w:val="24"/>
        </w:rPr>
        <w:t xml:space="preserve">. The </w:t>
      </w:r>
      <w:r w:rsidR="002B6A1C">
        <w:rPr>
          <w:sz w:val="24"/>
          <w:szCs w:val="24"/>
        </w:rPr>
        <w:t>comment</w:t>
      </w:r>
      <w:r w:rsidRPr="007021D2">
        <w:rPr>
          <w:sz w:val="24"/>
          <w:szCs w:val="24"/>
        </w:rPr>
        <w:t xml:space="preserve"> that </w:t>
      </w:r>
      <w:r w:rsidR="002B6A1C">
        <w:rPr>
          <w:sz w:val="24"/>
          <w:szCs w:val="24"/>
        </w:rPr>
        <w:t>was</w:t>
      </w:r>
      <w:r w:rsidRPr="007021D2">
        <w:rPr>
          <w:sz w:val="24"/>
          <w:szCs w:val="24"/>
        </w:rPr>
        <w:t xml:space="preserve"> received from the public </w:t>
      </w:r>
      <w:r w:rsidR="002B6A1C">
        <w:rPr>
          <w:sz w:val="24"/>
          <w:szCs w:val="24"/>
        </w:rPr>
        <w:t>is</w:t>
      </w:r>
      <w:r w:rsidRPr="007021D2">
        <w:rPr>
          <w:sz w:val="24"/>
          <w:szCs w:val="24"/>
        </w:rPr>
        <w:t xml:space="preserve"> provided in </w:t>
      </w:r>
      <w:r w:rsidRPr="007021D2">
        <w:rPr>
          <w:b/>
          <w:bCs/>
          <w:sz w:val="24"/>
          <w:szCs w:val="24"/>
        </w:rPr>
        <w:t xml:space="preserve">Appendix </w:t>
      </w:r>
      <w:r w:rsidR="002B6A1C">
        <w:rPr>
          <w:b/>
          <w:bCs/>
          <w:sz w:val="24"/>
          <w:szCs w:val="24"/>
        </w:rPr>
        <w:t>B</w:t>
      </w:r>
      <w:r w:rsidRPr="007021D2">
        <w:rPr>
          <w:b/>
          <w:bCs/>
          <w:sz w:val="24"/>
          <w:szCs w:val="24"/>
        </w:rPr>
        <w:t>.</w:t>
      </w:r>
      <w:r w:rsidRPr="007021D2">
        <w:rPr>
          <w:sz w:val="24"/>
          <w:szCs w:val="24"/>
        </w:rPr>
        <w:t xml:space="preserve"> </w:t>
      </w:r>
    </w:p>
    <w:p w:rsidR="00983227" w:rsidP="00970BE0" w14:paraId="481B80F8" w14:textId="77777777">
      <w:pPr>
        <w:tabs>
          <w:tab w:val="left" w:pos="699"/>
          <w:tab w:val="left" w:pos="701"/>
        </w:tabs>
        <w:rPr>
          <w:sz w:val="24"/>
          <w:szCs w:val="24"/>
        </w:rPr>
      </w:pPr>
    </w:p>
    <w:p w:rsidR="00983227" w:rsidRPr="007021D2" w:rsidP="00983227" w14:paraId="39931CAB" w14:textId="5071BFC1">
      <w:pPr>
        <w:pStyle w:val="BodyText"/>
      </w:pPr>
      <w:r w:rsidRPr="007021D2">
        <w:t xml:space="preserve">The 30-day Federal Register Notice will be published in the Federal Register on </w:t>
      </w:r>
      <w:r w:rsidR="00F0256C">
        <w:t>December 11,</w:t>
      </w:r>
      <w:r w:rsidRPr="007021D2">
        <w:t xml:space="preserve"> 2025 (</w:t>
      </w:r>
      <w:r w:rsidR="004C2DBF">
        <w:t xml:space="preserve">90 </w:t>
      </w:r>
      <w:r w:rsidRPr="007021D2">
        <w:t xml:space="preserve">FR </w:t>
      </w:r>
      <w:r w:rsidR="00F0256C">
        <w:t>57437</w:t>
      </w:r>
      <w:r w:rsidRPr="007021D2">
        <w:t>) for the public to submit written comment as part of a second-round public comment period.</w:t>
      </w:r>
    </w:p>
    <w:p w:rsidR="00983227" w:rsidRPr="003F1ECF" w:rsidP="00970BE0" w14:paraId="61B29146" w14:textId="77777777">
      <w:pPr>
        <w:tabs>
          <w:tab w:val="left" w:pos="699"/>
          <w:tab w:val="left" w:pos="701"/>
        </w:tabs>
        <w:rPr>
          <w:sz w:val="24"/>
          <w:szCs w:val="24"/>
        </w:rPr>
      </w:pPr>
    </w:p>
    <w:p w:rsidR="001C3F13" w:rsidRPr="003F1ECF" w:rsidP="007B3FAB" w14:paraId="571535E6" w14:textId="5419522C">
      <w:pPr>
        <w:tabs>
          <w:tab w:val="left" w:pos="699"/>
          <w:tab w:val="left" w:pos="701"/>
        </w:tabs>
        <w:rPr>
          <w:sz w:val="24"/>
          <w:szCs w:val="24"/>
        </w:rPr>
      </w:pPr>
      <w:r w:rsidRPr="003F1ECF">
        <w:rPr>
          <w:sz w:val="24"/>
          <w:szCs w:val="24"/>
        </w:rPr>
        <w:t>No additional outside consultation was sought.</w:t>
      </w:r>
    </w:p>
    <w:p w:rsidR="00B878F6" w:rsidRPr="003F1ECF" w:rsidP="007B3FAB" w14:paraId="3D3CDE52" w14:textId="77777777">
      <w:pPr>
        <w:pStyle w:val="BodyText"/>
      </w:pPr>
    </w:p>
    <w:p w:rsidR="001C3F13" w:rsidRPr="003F1ECF" w:rsidP="007B3FAB" w14:paraId="63C18A99" w14:textId="77777777">
      <w:pPr>
        <w:pStyle w:val="ListParagraph"/>
        <w:numPr>
          <w:ilvl w:val="1"/>
          <w:numId w:val="1"/>
        </w:numPr>
        <w:tabs>
          <w:tab w:val="left" w:pos="699"/>
          <w:tab w:val="left" w:pos="701"/>
        </w:tabs>
        <w:ind w:left="0" w:firstLine="0"/>
        <w:rPr>
          <w:sz w:val="24"/>
          <w:szCs w:val="24"/>
        </w:rPr>
      </w:pPr>
      <w:bookmarkStart w:id="30" w:name="9._Payments/Gifts_to_Respondents"/>
      <w:bookmarkEnd w:id="30"/>
      <w:r w:rsidRPr="003F1ECF">
        <w:rPr>
          <w:sz w:val="24"/>
          <w:szCs w:val="24"/>
          <w:u w:val="single"/>
        </w:rPr>
        <w:t>Payments/Gifts to</w:t>
      </w:r>
      <w:r w:rsidRPr="003F1ECF">
        <w:rPr>
          <w:spacing w:val="-9"/>
          <w:sz w:val="24"/>
          <w:szCs w:val="24"/>
          <w:u w:val="single"/>
        </w:rPr>
        <w:t xml:space="preserve"> </w:t>
      </w:r>
      <w:r w:rsidRPr="003F1ECF">
        <w:rPr>
          <w:sz w:val="24"/>
          <w:szCs w:val="24"/>
          <w:u w:val="single"/>
        </w:rPr>
        <w:t>Respondents</w:t>
      </w:r>
    </w:p>
    <w:p w:rsidR="001C3F13" w:rsidRPr="003F1ECF" w:rsidP="007B3FAB" w14:paraId="12EF0BD1" w14:textId="77777777">
      <w:pPr>
        <w:pStyle w:val="BodyText"/>
      </w:pPr>
    </w:p>
    <w:p w:rsidR="001C3F13" w:rsidRPr="003F1ECF" w:rsidP="007B3FAB" w14:paraId="77A50A8B" w14:textId="71798F24">
      <w:pPr>
        <w:pStyle w:val="BodyText"/>
      </w:pPr>
      <w:bookmarkStart w:id="31" w:name="No_payments_and/or_gifts_will_be_provide"/>
      <w:bookmarkEnd w:id="31"/>
      <w:r w:rsidRPr="003F1ECF">
        <w:t>No payments and/or gifts will be provided to respondents.</w:t>
      </w:r>
    </w:p>
    <w:p w:rsidR="00F92F86" w:rsidRPr="003F1ECF" w:rsidP="007B3FAB" w14:paraId="5F753D61" w14:textId="77777777">
      <w:pPr>
        <w:pStyle w:val="BodyText"/>
      </w:pPr>
    </w:p>
    <w:p w:rsidR="001C3F13" w:rsidRPr="003F1ECF" w:rsidP="007B3FAB" w14:paraId="390BF7C8" w14:textId="77777777">
      <w:pPr>
        <w:pStyle w:val="ListParagraph"/>
        <w:numPr>
          <w:ilvl w:val="1"/>
          <w:numId w:val="1"/>
        </w:numPr>
        <w:tabs>
          <w:tab w:val="left" w:pos="551"/>
        </w:tabs>
        <w:ind w:left="0" w:firstLine="0"/>
        <w:rPr>
          <w:sz w:val="24"/>
          <w:szCs w:val="24"/>
        </w:rPr>
      </w:pPr>
      <w:bookmarkStart w:id="32" w:name="10.__Confidentiality"/>
      <w:bookmarkEnd w:id="32"/>
      <w:r w:rsidRPr="003F1ECF">
        <w:rPr>
          <w:sz w:val="24"/>
          <w:szCs w:val="24"/>
          <w:u w:val="single"/>
        </w:rPr>
        <w:t>Confidentiality</w:t>
      </w:r>
    </w:p>
    <w:p w:rsidR="001C3F13" w:rsidRPr="003F1ECF" w:rsidP="007B3FAB" w14:paraId="1B2D7A3E" w14:textId="77777777">
      <w:pPr>
        <w:pStyle w:val="BodyText"/>
      </w:pPr>
    </w:p>
    <w:p w:rsidR="007C4527" w:rsidRPr="003F1ECF" w:rsidP="007B3FAB" w14:paraId="7870FF3B" w14:textId="732F3950">
      <w:pPr>
        <w:pStyle w:val="BodyText"/>
      </w:pPr>
      <w:bookmarkStart w:id="33" w:name="To_the_extent_of_the_applicable_law_and_"/>
      <w:bookmarkEnd w:id="33"/>
      <w:r w:rsidRPr="003F1ECF">
        <w:t xml:space="preserve">All information collected will be kept private in accordance with regulations at </w:t>
      </w:r>
      <w:r w:rsidR="00E42844">
        <w:t>45 CFR</w:t>
      </w:r>
      <w:r w:rsidRPr="003F1ECF" w:rsidR="00E42844">
        <w:t xml:space="preserve"> </w:t>
      </w:r>
      <w:r w:rsidRPr="003F1ECF">
        <w:t>155.260, Privacy and Security of Personally Identifiable Information. Pursuant to this regulation, Exchanges may only use or disclose personally identifiable information to the extent that such information is necessary to carry out their statutor</w:t>
      </w:r>
      <w:r w:rsidRPr="003F1ECF" w:rsidR="004A61EC">
        <w:t>il</w:t>
      </w:r>
      <w:r w:rsidRPr="003F1ECF">
        <w:t>y and regulator</w:t>
      </w:r>
      <w:r w:rsidRPr="003F1ECF" w:rsidR="004A61EC">
        <w:t>il</w:t>
      </w:r>
      <w:r w:rsidRPr="003F1ECF">
        <w:t>y mandated functions.</w:t>
      </w:r>
    </w:p>
    <w:p w:rsidR="001C3F13" w:rsidRPr="003F1ECF" w:rsidP="007B3FAB" w14:paraId="26201AB1" w14:textId="77777777">
      <w:pPr>
        <w:pStyle w:val="BodyText"/>
      </w:pPr>
    </w:p>
    <w:p w:rsidR="001C3F13" w:rsidRPr="003F1ECF" w:rsidP="007B3FAB" w14:paraId="38ACB2F8" w14:textId="3197A5AF">
      <w:pPr>
        <w:pStyle w:val="ListParagraph"/>
        <w:numPr>
          <w:ilvl w:val="1"/>
          <w:numId w:val="1"/>
        </w:numPr>
        <w:tabs>
          <w:tab w:val="left" w:pos="560"/>
        </w:tabs>
        <w:ind w:left="0" w:firstLine="0"/>
        <w:rPr>
          <w:sz w:val="24"/>
          <w:szCs w:val="24"/>
        </w:rPr>
      </w:pPr>
      <w:bookmarkStart w:id="34" w:name="11.__Sensitive_Questions"/>
      <w:bookmarkEnd w:id="34"/>
      <w:r w:rsidRPr="003F1ECF">
        <w:rPr>
          <w:sz w:val="24"/>
          <w:szCs w:val="24"/>
          <w:u w:val="single"/>
        </w:rPr>
        <w:t>Sensitive</w:t>
      </w:r>
      <w:r w:rsidRPr="003F1ECF">
        <w:rPr>
          <w:spacing w:val="-23"/>
          <w:sz w:val="24"/>
          <w:szCs w:val="24"/>
          <w:u w:val="single"/>
        </w:rPr>
        <w:t xml:space="preserve"> </w:t>
      </w:r>
      <w:r w:rsidRPr="003F1ECF">
        <w:rPr>
          <w:sz w:val="24"/>
          <w:szCs w:val="24"/>
          <w:u w:val="single"/>
        </w:rPr>
        <w:t>Questions</w:t>
      </w:r>
    </w:p>
    <w:p w:rsidR="00C1015C" w:rsidRPr="003F1ECF" w:rsidP="007B3FAB" w14:paraId="21BBECD0" w14:textId="77777777">
      <w:pPr>
        <w:pStyle w:val="ListParagraph"/>
        <w:tabs>
          <w:tab w:val="left" w:pos="560"/>
        </w:tabs>
        <w:ind w:left="0" w:firstLine="0"/>
        <w:rPr>
          <w:sz w:val="24"/>
          <w:szCs w:val="24"/>
        </w:rPr>
      </w:pPr>
    </w:p>
    <w:p w:rsidR="001C3F13" w:rsidRPr="003F1ECF" w:rsidP="007B3FAB" w14:paraId="545AB68C" w14:textId="77777777">
      <w:pPr>
        <w:pStyle w:val="BodyText"/>
      </w:pPr>
      <w:bookmarkStart w:id="35" w:name="There_are_no_sensitive_questions_include"/>
      <w:bookmarkEnd w:id="35"/>
      <w:r w:rsidRPr="003F1ECF">
        <w:t>There are no sensitive questions included in this information collection effort.</w:t>
      </w:r>
    </w:p>
    <w:p w:rsidR="001C3F13" w:rsidRPr="003F1ECF" w:rsidP="007B3FAB" w14:paraId="371A0CA0" w14:textId="77777777">
      <w:pPr>
        <w:pStyle w:val="BodyText"/>
      </w:pPr>
    </w:p>
    <w:p w:rsidR="001C3F13" w:rsidRPr="003F1ECF" w:rsidP="007B3FAB" w14:paraId="7D6321F3" w14:textId="77777777">
      <w:pPr>
        <w:pStyle w:val="ListParagraph"/>
        <w:numPr>
          <w:ilvl w:val="1"/>
          <w:numId w:val="1"/>
        </w:numPr>
        <w:tabs>
          <w:tab w:val="left" w:pos="551"/>
        </w:tabs>
        <w:ind w:left="0" w:firstLine="0"/>
        <w:rPr>
          <w:sz w:val="24"/>
          <w:szCs w:val="24"/>
        </w:rPr>
      </w:pPr>
      <w:bookmarkStart w:id="36" w:name="12.__Burden_Estimates_(Hours_&amp;_Wages)"/>
      <w:bookmarkEnd w:id="36"/>
      <w:r w:rsidRPr="003F1ECF">
        <w:rPr>
          <w:sz w:val="24"/>
          <w:szCs w:val="24"/>
          <w:u w:val="single"/>
        </w:rPr>
        <w:t>Burden Estimates (Hours &amp;</w:t>
      </w:r>
      <w:r w:rsidRPr="003F1ECF">
        <w:rPr>
          <w:spacing w:val="-21"/>
          <w:sz w:val="24"/>
          <w:szCs w:val="24"/>
          <w:u w:val="single"/>
        </w:rPr>
        <w:t xml:space="preserve"> </w:t>
      </w:r>
      <w:r w:rsidRPr="003F1ECF">
        <w:rPr>
          <w:sz w:val="24"/>
          <w:szCs w:val="24"/>
          <w:u w:val="single"/>
        </w:rPr>
        <w:t>Wages)</w:t>
      </w:r>
    </w:p>
    <w:p w:rsidR="001C3F13" w:rsidRPr="003F1ECF" w:rsidP="007B3FAB" w14:paraId="3AE43172" w14:textId="478D2573">
      <w:pPr>
        <w:pStyle w:val="BodyText"/>
      </w:pPr>
      <w:bookmarkStart w:id="37" w:name="The_following_sections_of_this_document_"/>
      <w:bookmarkStart w:id="38" w:name="The_salaries_for_the_health_policy_analy"/>
      <w:bookmarkEnd w:id="37"/>
      <w:bookmarkEnd w:id="38"/>
    </w:p>
    <w:p w:rsidR="008830C8" w:rsidRPr="003F1ECF" w:rsidP="007B3FAB" w14:paraId="028F69C8" w14:textId="233538F6">
      <w:pPr>
        <w:pStyle w:val="BodyText"/>
      </w:pPr>
      <w:r w:rsidRPr="003F1ECF">
        <w:t xml:space="preserve">The following section of this document contains an estimate of the burden imposed by the associated ICRs. </w:t>
      </w:r>
      <w:r w:rsidRPr="003F1ECF" w:rsidR="00FE3919">
        <w:t>Ave</w:t>
      </w:r>
      <w:r w:rsidRPr="003F1ECF" w:rsidR="004A612A">
        <w:t xml:space="preserve">rage labor costs (including 100% </w:t>
      </w:r>
      <w:r w:rsidRPr="003F1ECF" w:rsidR="00FE3919">
        <w:t xml:space="preserve">fringe benefits) used to estimate the </w:t>
      </w:r>
      <w:r w:rsidRPr="003F1ECF" w:rsidR="00B71DA8">
        <w:t xml:space="preserve">burden associated with the collections </w:t>
      </w:r>
      <w:r w:rsidRPr="003F1ECF" w:rsidR="00FE3919">
        <w:t xml:space="preserve">are calculated using data from the </w:t>
      </w:r>
      <w:bookmarkStart w:id="39" w:name="_Hlk170901795"/>
      <w:hyperlink r:id="rId9" w:anchor="/industry/000000" w:history="1">
        <w:r w:rsidRPr="003F1ECF" w:rsidR="007A012A">
          <w:rPr>
            <w:rStyle w:val="Hyperlink"/>
          </w:rPr>
          <w:t>May 202</w:t>
        </w:r>
        <w:r w:rsidR="005A0C7D">
          <w:rPr>
            <w:rStyle w:val="Hyperlink"/>
          </w:rPr>
          <w:t>4</w:t>
        </w:r>
        <w:r w:rsidRPr="003F1ECF" w:rsidR="007A012A">
          <w:rPr>
            <w:rStyle w:val="Hyperlink"/>
          </w:rPr>
          <w:t xml:space="preserve"> National Industry-Specific Occupational Employment and Wage Estimates</w:t>
        </w:r>
      </w:hyperlink>
      <w:r w:rsidRPr="003F1ECF" w:rsidR="004A612A">
        <w:t xml:space="preserve"> from the </w:t>
      </w:r>
      <w:r w:rsidRPr="003F1ECF" w:rsidR="00FE3919">
        <w:t>Bureau of Labor Statistics (BLS)</w:t>
      </w:r>
      <w:bookmarkEnd w:id="39"/>
      <w:r w:rsidRPr="003F1ECF" w:rsidR="00FE3919">
        <w:t xml:space="preserve">. </w:t>
      </w:r>
    </w:p>
    <w:p w:rsidR="004A612A" w:rsidRPr="003F1ECF" w:rsidP="007B3FAB" w14:paraId="3D91BBE2" w14:textId="0B0B9FEB">
      <w:pPr>
        <w:pStyle w:val="BodyText"/>
      </w:pPr>
    </w:p>
    <w:p w:rsidR="004A612A" w:rsidRPr="003F1ECF" w:rsidP="000D4B13" w14:paraId="65E35DA6" w14:textId="30BE5466">
      <w:pPr>
        <w:pStyle w:val="BodyText"/>
        <w:spacing w:after="120"/>
        <w:rPr>
          <w:b/>
        </w:rPr>
      </w:pPr>
      <w:r w:rsidRPr="004E6BC1">
        <w:rPr>
          <w:b/>
        </w:rPr>
        <w:t>Table 1:</w:t>
      </w:r>
      <w:r w:rsidRPr="004E6BC1">
        <w:rPr>
          <w:b/>
          <w:bCs/>
        </w:rPr>
        <w:t xml:space="preserve"> Adjusted Hourly Wages Used in Burden Estimates</w:t>
      </w:r>
    </w:p>
    <w:tbl>
      <w:tblPr>
        <w:tblStyle w:val="TableGrid"/>
        <w:tblW w:w="0" w:type="auto"/>
        <w:tblLayout w:type="fixed"/>
        <w:tblLook w:val="04A0"/>
      </w:tblPr>
      <w:tblGrid>
        <w:gridCol w:w="2245"/>
        <w:gridCol w:w="1620"/>
        <w:gridCol w:w="1800"/>
        <w:gridCol w:w="1710"/>
        <w:gridCol w:w="1855"/>
      </w:tblGrid>
      <w:tr w14:paraId="6E4CC94F" w14:textId="77777777" w:rsidTr="00AE53D1">
        <w:tblPrEx>
          <w:tblW w:w="0" w:type="auto"/>
          <w:tblLayout w:type="fixed"/>
          <w:tblLook w:val="04A0"/>
        </w:tblPrEx>
        <w:tc>
          <w:tcPr>
            <w:tcW w:w="2245" w:type="dxa"/>
          </w:tcPr>
          <w:p w:rsidR="0002074A" w:rsidRPr="003F1ECF" w:rsidP="004E6BC1" w14:paraId="69BC6309" w14:textId="2D38E9C8">
            <w:pPr>
              <w:pStyle w:val="BodyText"/>
              <w:rPr>
                <w:b/>
                <w:bCs/>
              </w:rPr>
            </w:pPr>
            <w:r w:rsidRPr="003F1ECF">
              <w:rPr>
                <w:b/>
                <w:bCs/>
              </w:rPr>
              <w:t>Occupational Title</w:t>
            </w:r>
          </w:p>
        </w:tc>
        <w:tc>
          <w:tcPr>
            <w:tcW w:w="1620" w:type="dxa"/>
          </w:tcPr>
          <w:p w:rsidR="0002074A" w:rsidRPr="003F1ECF" w:rsidP="00AE53D1" w14:paraId="7B304FDE" w14:textId="115B9E45">
            <w:pPr>
              <w:pStyle w:val="BodyText"/>
              <w:ind w:left="-110" w:right="-110"/>
              <w:jc w:val="center"/>
              <w:rPr>
                <w:b/>
                <w:bCs/>
              </w:rPr>
            </w:pPr>
            <w:r w:rsidRPr="003F1ECF">
              <w:rPr>
                <w:b/>
                <w:bCs/>
              </w:rPr>
              <w:t>Occupational Code</w:t>
            </w:r>
          </w:p>
        </w:tc>
        <w:tc>
          <w:tcPr>
            <w:tcW w:w="1800" w:type="dxa"/>
          </w:tcPr>
          <w:p w:rsidR="0002074A" w:rsidRPr="003F1ECF" w:rsidP="00AE53D1" w14:paraId="077504AB" w14:textId="0FC89FA7">
            <w:pPr>
              <w:pStyle w:val="BodyText"/>
              <w:ind w:left="-110" w:right="-110"/>
              <w:jc w:val="center"/>
              <w:rPr>
                <w:b/>
                <w:bCs/>
              </w:rPr>
            </w:pPr>
            <w:r w:rsidRPr="003F1ECF">
              <w:rPr>
                <w:b/>
                <w:bCs/>
              </w:rPr>
              <w:t xml:space="preserve">Median </w:t>
            </w:r>
            <w:r w:rsidRPr="003F1ECF">
              <w:rPr>
                <w:b/>
                <w:bCs/>
              </w:rPr>
              <w:t>Hourly Wage</w:t>
            </w:r>
            <w:r w:rsidR="004E6BC1">
              <w:rPr>
                <w:b/>
                <w:bCs/>
              </w:rPr>
              <w:t xml:space="preserve"> ($/hr)</w:t>
            </w:r>
          </w:p>
        </w:tc>
        <w:tc>
          <w:tcPr>
            <w:tcW w:w="1710" w:type="dxa"/>
          </w:tcPr>
          <w:p w:rsidR="0002074A" w:rsidRPr="003F1ECF" w:rsidP="00AE53D1" w14:paraId="2F40C1E7" w14:textId="16A2D5EB">
            <w:pPr>
              <w:pStyle w:val="BodyText"/>
              <w:ind w:left="-110" w:right="-110"/>
              <w:jc w:val="center"/>
              <w:rPr>
                <w:b/>
                <w:bCs/>
              </w:rPr>
            </w:pPr>
            <w:r w:rsidRPr="003F1ECF">
              <w:rPr>
                <w:b/>
                <w:bCs/>
              </w:rPr>
              <w:t>Fringe Benefits</w:t>
            </w:r>
            <w:r w:rsidR="004E6BC1">
              <w:rPr>
                <w:b/>
                <w:bCs/>
              </w:rPr>
              <w:t xml:space="preserve"> &amp; Overhead</w:t>
            </w:r>
            <w:r w:rsidRPr="003F1ECF">
              <w:rPr>
                <w:b/>
                <w:bCs/>
              </w:rPr>
              <w:t xml:space="preserve"> (100%)</w:t>
            </w:r>
            <w:r w:rsidR="004E6BC1">
              <w:rPr>
                <w:b/>
                <w:bCs/>
              </w:rPr>
              <w:t>($/hr)</w:t>
            </w:r>
          </w:p>
        </w:tc>
        <w:tc>
          <w:tcPr>
            <w:tcW w:w="1855" w:type="dxa"/>
          </w:tcPr>
          <w:p w:rsidR="0002074A" w:rsidRPr="003F1ECF" w:rsidP="00AE53D1" w14:paraId="625B9415" w14:textId="1E3D793A">
            <w:pPr>
              <w:pStyle w:val="BodyText"/>
              <w:ind w:left="-110" w:right="-110"/>
              <w:jc w:val="center"/>
              <w:rPr>
                <w:b/>
                <w:bCs/>
              </w:rPr>
            </w:pPr>
            <w:r w:rsidRPr="003F1ECF">
              <w:rPr>
                <w:b/>
                <w:bCs/>
              </w:rPr>
              <w:t>Adjusted Hourly Wage</w:t>
            </w:r>
            <w:r w:rsidR="004E6BC1">
              <w:rPr>
                <w:b/>
                <w:bCs/>
              </w:rPr>
              <w:t xml:space="preserve"> ($/hr)</w:t>
            </w:r>
          </w:p>
        </w:tc>
      </w:tr>
      <w:tr w14:paraId="7DCE2B02" w14:textId="77777777" w:rsidTr="00AE53D1">
        <w:tblPrEx>
          <w:tblW w:w="0" w:type="auto"/>
          <w:tblLayout w:type="fixed"/>
          <w:tblLook w:val="04A0"/>
        </w:tblPrEx>
        <w:tc>
          <w:tcPr>
            <w:tcW w:w="2245" w:type="dxa"/>
          </w:tcPr>
          <w:p w:rsidR="0002074A" w:rsidRPr="003F1ECF" w:rsidP="007B3FAB" w14:paraId="12D3DA2E" w14:textId="6DF3F180">
            <w:pPr>
              <w:pStyle w:val="BodyText"/>
            </w:pPr>
            <w:r w:rsidRPr="003F1ECF">
              <w:t>Database Administrator</w:t>
            </w:r>
          </w:p>
        </w:tc>
        <w:tc>
          <w:tcPr>
            <w:tcW w:w="1620" w:type="dxa"/>
          </w:tcPr>
          <w:p w:rsidR="0002074A" w:rsidRPr="003F1ECF" w:rsidP="00AE53D1" w14:paraId="6465E190" w14:textId="4284BEC6">
            <w:pPr>
              <w:pStyle w:val="BodyText"/>
              <w:ind w:left="-110" w:right="-110"/>
              <w:jc w:val="center"/>
            </w:pPr>
            <w:r w:rsidRPr="003F1ECF">
              <w:t>15-124</w:t>
            </w:r>
            <w:r w:rsidRPr="003F1ECF" w:rsidR="00970BE0">
              <w:t>2</w:t>
            </w:r>
          </w:p>
        </w:tc>
        <w:tc>
          <w:tcPr>
            <w:tcW w:w="1800" w:type="dxa"/>
          </w:tcPr>
          <w:p w:rsidR="0002074A" w:rsidRPr="003F1ECF" w:rsidP="00AE53D1" w14:paraId="338B3CC3" w14:textId="187E2D20">
            <w:pPr>
              <w:pStyle w:val="BodyText"/>
              <w:ind w:left="-110" w:right="-110"/>
              <w:jc w:val="center"/>
            </w:pPr>
            <w:r w:rsidRPr="003F1ECF">
              <w:t>$</w:t>
            </w:r>
            <w:r w:rsidR="005A0C7D">
              <w:t>50.30</w:t>
            </w:r>
          </w:p>
        </w:tc>
        <w:tc>
          <w:tcPr>
            <w:tcW w:w="1710" w:type="dxa"/>
          </w:tcPr>
          <w:p w:rsidR="0002074A" w:rsidRPr="003F1ECF" w:rsidP="00AE53D1" w14:paraId="7FA6CA72" w14:textId="6A0811F3">
            <w:pPr>
              <w:pStyle w:val="BodyText"/>
              <w:ind w:left="-110" w:right="-110"/>
              <w:jc w:val="center"/>
            </w:pPr>
            <w:r w:rsidRPr="003F1ECF">
              <w:t>$</w:t>
            </w:r>
            <w:r w:rsidR="005A0C7D">
              <w:t>50.30</w:t>
            </w:r>
          </w:p>
        </w:tc>
        <w:tc>
          <w:tcPr>
            <w:tcW w:w="1855" w:type="dxa"/>
          </w:tcPr>
          <w:p w:rsidR="0002074A" w:rsidRPr="003F1ECF" w:rsidP="00AE53D1" w14:paraId="3CB16DCD" w14:textId="127C4D73">
            <w:pPr>
              <w:pStyle w:val="BodyText"/>
              <w:ind w:left="-110" w:right="-110"/>
              <w:jc w:val="center"/>
            </w:pPr>
            <w:r w:rsidRPr="003F1ECF">
              <w:t>$</w:t>
            </w:r>
            <w:r w:rsidR="009A70D5">
              <w:t>100.60</w:t>
            </w:r>
          </w:p>
        </w:tc>
      </w:tr>
      <w:tr w14:paraId="3631C4F6" w14:textId="77777777" w:rsidTr="00AE53D1">
        <w:tblPrEx>
          <w:tblW w:w="0" w:type="auto"/>
          <w:tblLayout w:type="fixed"/>
          <w:tblLook w:val="04A0"/>
        </w:tblPrEx>
        <w:tc>
          <w:tcPr>
            <w:tcW w:w="2245" w:type="dxa"/>
          </w:tcPr>
          <w:p w:rsidR="0002074A" w:rsidRPr="003F1ECF" w:rsidP="007B3FAB" w14:paraId="6954EE40" w14:textId="52AFEDE8">
            <w:pPr>
              <w:pStyle w:val="BodyText"/>
            </w:pPr>
            <w:r w:rsidRPr="003F1ECF">
              <w:t>Actuary</w:t>
            </w:r>
          </w:p>
        </w:tc>
        <w:tc>
          <w:tcPr>
            <w:tcW w:w="1620" w:type="dxa"/>
          </w:tcPr>
          <w:p w:rsidR="0002074A" w:rsidRPr="003F1ECF" w:rsidP="00AE53D1" w14:paraId="7A44F745" w14:textId="70232823">
            <w:pPr>
              <w:pStyle w:val="BodyText"/>
              <w:ind w:left="-110" w:right="-110"/>
              <w:jc w:val="center"/>
            </w:pPr>
            <w:r w:rsidRPr="003F1ECF">
              <w:t>15-2011</w:t>
            </w:r>
          </w:p>
        </w:tc>
        <w:tc>
          <w:tcPr>
            <w:tcW w:w="1800" w:type="dxa"/>
          </w:tcPr>
          <w:p w:rsidR="0002074A" w:rsidRPr="003F1ECF" w:rsidP="00AE53D1" w14:paraId="42CF1318" w14:textId="3717A30C">
            <w:pPr>
              <w:pStyle w:val="BodyText"/>
              <w:ind w:left="-110" w:right="-110"/>
              <w:jc w:val="center"/>
            </w:pPr>
            <w:r w:rsidRPr="003F1ECF">
              <w:t>$</w:t>
            </w:r>
            <w:r w:rsidR="009A70D5">
              <w:t>60.47</w:t>
            </w:r>
          </w:p>
        </w:tc>
        <w:tc>
          <w:tcPr>
            <w:tcW w:w="1710" w:type="dxa"/>
          </w:tcPr>
          <w:p w:rsidR="0002074A" w:rsidRPr="003F1ECF" w:rsidP="00AE53D1" w14:paraId="1D1C5178" w14:textId="0123D65C">
            <w:pPr>
              <w:pStyle w:val="BodyText"/>
              <w:ind w:left="-110" w:right="-110"/>
              <w:jc w:val="center"/>
            </w:pPr>
            <w:r w:rsidRPr="003F1ECF">
              <w:t>$</w:t>
            </w:r>
            <w:r w:rsidR="009A70D5">
              <w:t>60.47</w:t>
            </w:r>
          </w:p>
        </w:tc>
        <w:tc>
          <w:tcPr>
            <w:tcW w:w="1855" w:type="dxa"/>
          </w:tcPr>
          <w:p w:rsidR="0002074A" w:rsidRPr="003F1ECF" w:rsidP="00AE53D1" w14:paraId="626E2296" w14:textId="1808E7BB">
            <w:pPr>
              <w:pStyle w:val="BodyText"/>
              <w:ind w:left="-110" w:right="-110"/>
              <w:jc w:val="center"/>
            </w:pPr>
            <w:r w:rsidRPr="003F1ECF">
              <w:t>$</w:t>
            </w:r>
            <w:r w:rsidR="009A70D5">
              <w:t>120.94</w:t>
            </w:r>
          </w:p>
        </w:tc>
      </w:tr>
      <w:tr w14:paraId="54F5CD31" w14:textId="77777777" w:rsidTr="00AE53D1">
        <w:tblPrEx>
          <w:tblW w:w="0" w:type="auto"/>
          <w:tblLayout w:type="fixed"/>
          <w:tblLook w:val="04A0"/>
        </w:tblPrEx>
        <w:tc>
          <w:tcPr>
            <w:tcW w:w="2245" w:type="dxa"/>
          </w:tcPr>
          <w:p w:rsidR="0002074A" w:rsidRPr="003F1ECF" w:rsidP="007B3FAB" w14:paraId="2E5DDD7F" w14:textId="501F11B6">
            <w:pPr>
              <w:pStyle w:val="BodyText"/>
            </w:pPr>
            <w:r w:rsidRPr="003F1ECF">
              <w:t>General and Operations Manager</w:t>
            </w:r>
          </w:p>
        </w:tc>
        <w:tc>
          <w:tcPr>
            <w:tcW w:w="1620" w:type="dxa"/>
          </w:tcPr>
          <w:p w:rsidR="0002074A" w:rsidRPr="003F1ECF" w:rsidP="00AE53D1" w14:paraId="62071997" w14:textId="6EA349D0">
            <w:pPr>
              <w:pStyle w:val="BodyText"/>
              <w:ind w:left="-110" w:right="-110"/>
              <w:jc w:val="center"/>
            </w:pPr>
            <w:r w:rsidRPr="003F1ECF">
              <w:t>11-1021</w:t>
            </w:r>
          </w:p>
        </w:tc>
        <w:tc>
          <w:tcPr>
            <w:tcW w:w="1800" w:type="dxa"/>
          </w:tcPr>
          <w:p w:rsidR="0002074A" w:rsidRPr="003F1ECF" w:rsidP="00AE53D1" w14:paraId="456DA87F" w14:textId="4EE56159">
            <w:pPr>
              <w:pStyle w:val="BodyText"/>
              <w:ind w:left="-110" w:right="-110"/>
              <w:jc w:val="center"/>
            </w:pPr>
            <w:r w:rsidRPr="003F1ECF">
              <w:t>$</w:t>
            </w:r>
            <w:r w:rsidR="0049766B">
              <w:t>49.50</w:t>
            </w:r>
          </w:p>
        </w:tc>
        <w:tc>
          <w:tcPr>
            <w:tcW w:w="1710" w:type="dxa"/>
          </w:tcPr>
          <w:p w:rsidR="0002074A" w:rsidRPr="003F1ECF" w:rsidP="00AE53D1" w14:paraId="1AE5E688" w14:textId="399DDBEF">
            <w:pPr>
              <w:pStyle w:val="BodyText"/>
              <w:ind w:left="-110" w:right="-110"/>
              <w:jc w:val="center"/>
            </w:pPr>
            <w:r w:rsidRPr="003F1ECF">
              <w:t>$</w:t>
            </w:r>
            <w:r w:rsidR="0049766B">
              <w:t>49.50</w:t>
            </w:r>
          </w:p>
        </w:tc>
        <w:tc>
          <w:tcPr>
            <w:tcW w:w="1855" w:type="dxa"/>
          </w:tcPr>
          <w:p w:rsidR="0002074A" w:rsidRPr="003F1ECF" w:rsidP="00AE53D1" w14:paraId="00C9B372" w14:textId="216C282D">
            <w:pPr>
              <w:pStyle w:val="BodyText"/>
              <w:ind w:left="-110" w:right="-110"/>
              <w:jc w:val="center"/>
            </w:pPr>
            <w:r w:rsidRPr="003F1ECF">
              <w:t>$</w:t>
            </w:r>
            <w:r w:rsidR="0049766B">
              <w:t>99.00</w:t>
            </w:r>
          </w:p>
        </w:tc>
      </w:tr>
      <w:tr w14:paraId="0FFFE7D1" w14:textId="77777777" w:rsidTr="00AE53D1">
        <w:tblPrEx>
          <w:tblW w:w="0" w:type="auto"/>
          <w:tblLayout w:type="fixed"/>
          <w:tblLook w:val="04A0"/>
        </w:tblPrEx>
        <w:tc>
          <w:tcPr>
            <w:tcW w:w="2245" w:type="dxa"/>
          </w:tcPr>
          <w:p w:rsidR="00792592" w:rsidRPr="003F1ECF" w:rsidP="007B3FAB" w14:paraId="74CDB427" w14:textId="699D6D6E">
            <w:pPr>
              <w:pStyle w:val="BodyText"/>
            </w:pPr>
            <w:r w:rsidRPr="003F1ECF">
              <w:t>Compliance Officer</w:t>
            </w:r>
          </w:p>
        </w:tc>
        <w:tc>
          <w:tcPr>
            <w:tcW w:w="1620" w:type="dxa"/>
          </w:tcPr>
          <w:p w:rsidR="00792592" w:rsidRPr="003F1ECF" w:rsidP="00AE53D1" w14:paraId="1285424B" w14:textId="091CE0B4">
            <w:pPr>
              <w:pStyle w:val="BodyText"/>
              <w:ind w:left="-110" w:right="-110"/>
              <w:jc w:val="center"/>
            </w:pPr>
            <w:r w:rsidRPr="003F1ECF">
              <w:t>13-1041</w:t>
            </w:r>
          </w:p>
        </w:tc>
        <w:tc>
          <w:tcPr>
            <w:tcW w:w="1800" w:type="dxa"/>
          </w:tcPr>
          <w:p w:rsidR="00792592" w:rsidRPr="003F1ECF" w:rsidP="00AE53D1" w14:paraId="1D4CF01E" w14:textId="5AD49C6B">
            <w:pPr>
              <w:pStyle w:val="BodyText"/>
              <w:ind w:left="-110" w:right="-110"/>
              <w:jc w:val="center"/>
            </w:pPr>
            <w:r w:rsidRPr="003F1ECF">
              <w:t>$</w:t>
            </w:r>
            <w:r w:rsidR="006C7CD7">
              <w:t>37.70</w:t>
            </w:r>
          </w:p>
        </w:tc>
        <w:tc>
          <w:tcPr>
            <w:tcW w:w="1710" w:type="dxa"/>
          </w:tcPr>
          <w:p w:rsidR="00792592" w:rsidRPr="003F1ECF" w:rsidP="00AE53D1" w14:paraId="2BA48392" w14:textId="2E07F767">
            <w:pPr>
              <w:pStyle w:val="BodyText"/>
              <w:ind w:left="-110" w:right="-110"/>
              <w:jc w:val="center"/>
            </w:pPr>
            <w:r w:rsidRPr="003F1ECF">
              <w:t>$</w:t>
            </w:r>
            <w:r w:rsidR="006C7CD7">
              <w:t>37.70</w:t>
            </w:r>
          </w:p>
        </w:tc>
        <w:tc>
          <w:tcPr>
            <w:tcW w:w="1855" w:type="dxa"/>
          </w:tcPr>
          <w:p w:rsidR="00792592" w:rsidRPr="003F1ECF" w:rsidP="00AE53D1" w14:paraId="61583541" w14:textId="649ED0D2">
            <w:pPr>
              <w:pStyle w:val="BodyText"/>
              <w:ind w:left="-110" w:right="-110"/>
              <w:jc w:val="center"/>
            </w:pPr>
            <w:r w:rsidRPr="003F1ECF">
              <w:t>$</w:t>
            </w:r>
            <w:r w:rsidR="006C7CD7">
              <w:t>75.40</w:t>
            </w:r>
          </w:p>
        </w:tc>
      </w:tr>
      <w:tr w14:paraId="22075A5E" w14:textId="77777777" w:rsidTr="00AE53D1">
        <w:tblPrEx>
          <w:tblW w:w="0" w:type="auto"/>
          <w:tblLayout w:type="fixed"/>
          <w:tblLook w:val="04A0"/>
        </w:tblPrEx>
        <w:tc>
          <w:tcPr>
            <w:tcW w:w="2245" w:type="dxa"/>
          </w:tcPr>
          <w:p w:rsidR="00792592" w:rsidRPr="003F1ECF" w:rsidP="007B3FAB" w14:paraId="76169BAF" w14:textId="4A1D2DC8">
            <w:pPr>
              <w:pStyle w:val="BodyText"/>
            </w:pPr>
            <w:r w:rsidRPr="003F1ECF">
              <w:t>Lawyer</w:t>
            </w:r>
          </w:p>
        </w:tc>
        <w:tc>
          <w:tcPr>
            <w:tcW w:w="1620" w:type="dxa"/>
          </w:tcPr>
          <w:p w:rsidR="00792592" w:rsidRPr="003F1ECF" w:rsidP="00AE53D1" w14:paraId="5C5F88C6" w14:textId="2E77F557">
            <w:pPr>
              <w:pStyle w:val="BodyText"/>
              <w:ind w:left="-110" w:right="-110"/>
              <w:jc w:val="center"/>
            </w:pPr>
            <w:r w:rsidRPr="003F1ECF">
              <w:t>23-1011</w:t>
            </w:r>
          </w:p>
        </w:tc>
        <w:tc>
          <w:tcPr>
            <w:tcW w:w="1800" w:type="dxa"/>
          </w:tcPr>
          <w:p w:rsidR="00792592" w:rsidRPr="003F1ECF" w:rsidP="00AE53D1" w14:paraId="580F0C0A" w14:textId="6D7C992A">
            <w:pPr>
              <w:pStyle w:val="BodyText"/>
              <w:ind w:left="-110" w:right="-110"/>
              <w:jc w:val="center"/>
            </w:pPr>
            <w:r w:rsidRPr="003F1ECF">
              <w:t>$</w:t>
            </w:r>
            <w:r w:rsidR="006C7CD7">
              <w:t>72.67</w:t>
            </w:r>
          </w:p>
        </w:tc>
        <w:tc>
          <w:tcPr>
            <w:tcW w:w="1710" w:type="dxa"/>
          </w:tcPr>
          <w:p w:rsidR="00792592" w:rsidRPr="003F1ECF" w:rsidP="00AE53D1" w14:paraId="544DBBFD" w14:textId="2CF4D1EC">
            <w:pPr>
              <w:pStyle w:val="BodyText"/>
              <w:ind w:left="-110" w:right="-110"/>
              <w:jc w:val="center"/>
            </w:pPr>
            <w:r w:rsidRPr="003F1ECF">
              <w:t>$</w:t>
            </w:r>
            <w:r w:rsidR="006C7CD7">
              <w:t>72.67</w:t>
            </w:r>
          </w:p>
        </w:tc>
        <w:tc>
          <w:tcPr>
            <w:tcW w:w="1855" w:type="dxa"/>
          </w:tcPr>
          <w:p w:rsidR="00792592" w:rsidRPr="003F1ECF" w:rsidP="00AE53D1" w14:paraId="4531C961" w14:textId="363830D9">
            <w:pPr>
              <w:pStyle w:val="BodyText"/>
              <w:ind w:left="-110" w:right="-110"/>
              <w:jc w:val="center"/>
            </w:pPr>
            <w:r w:rsidRPr="003F1ECF">
              <w:t>$</w:t>
            </w:r>
            <w:r w:rsidR="006C7CD7">
              <w:t>145.34</w:t>
            </w:r>
          </w:p>
        </w:tc>
      </w:tr>
      <w:tr w14:paraId="0F8F623E" w14:textId="77777777" w:rsidTr="00AE53D1">
        <w:tblPrEx>
          <w:tblW w:w="0" w:type="auto"/>
          <w:tblLayout w:type="fixed"/>
          <w:tblLook w:val="04A0"/>
        </w:tblPrEx>
        <w:tc>
          <w:tcPr>
            <w:tcW w:w="2245" w:type="dxa"/>
          </w:tcPr>
          <w:p w:rsidR="0002074A" w:rsidRPr="003F1ECF" w:rsidP="007B3FAB" w14:paraId="676CF14C" w14:textId="243A4E9C">
            <w:pPr>
              <w:pStyle w:val="BodyText"/>
            </w:pPr>
            <w:r w:rsidRPr="003F1ECF">
              <w:t>Insurance Cla</w:t>
            </w:r>
            <w:r w:rsidRPr="003F1ECF" w:rsidR="00B41B5C">
              <w:t>ims and Policy Processing Clerk</w:t>
            </w:r>
          </w:p>
        </w:tc>
        <w:tc>
          <w:tcPr>
            <w:tcW w:w="1620" w:type="dxa"/>
          </w:tcPr>
          <w:p w:rsidR="0002074A" w:rsidRPr="003F1ECF" w:rsidP="00AE53D1" w14:paraId="5971EF89" w14:textId="766F9161">
            <w:pPr>
              <w:pStyle w:val="BodyText"/>
              <w:ind w:left="-110" w:right="-110"/>
              <w:jc w:val="center"/>
            </w:pPr>
            <w:r w:rsidRPr="003F1ECF">
              <w:t>43-9041</w:t>
            </w:r>
          </w:p>
        </w:tc>
        <w:tc>
          <w:tcPr>
            <w:tcW w:w="1800" w:type="dxa"/>
          </w:tcPr>
          <w:p w:rsidR="0002074A" w:rsidRPr="003F1ECF" w:rsidP="00AE53D1" w14:paraId="02FF4F70" w14:textId="2437AF60">
            <w:pPr>
              <w:pStyle w:val="BodyText"/>
              <w:ind w:left="-110" w:right="-110"/>
              <w:jc w:val="center"/>
            </w:pPr>
            <w:r w:rsidRPr="003F1ECF">
              <w:t>$</w:t>
            </w:r>
            <w:r w:rsidR="006C7CD7">
              <w:t>23.29</w:t>
            </w:r>
          </w:p>
        </w:tc>
        <w:tc>
          <w:tcPr>
            <w:tcW w:w="1710" w:type="dxa"/>
          </w:tcPr>
          <w:p w:rsidR="0002074A" w:rsidRPr="003F1ECF" w:rsidP="00AE53D1" w14:paraId="1797280C" w14:textId="2D0C19E6">
            <w:pPr>
              <w:pStyle w:val="BodyText"/>
              <w:ind w:left="-110" w:right="-110"/>
              <w:jc w:val="center"/>
            </w:pPr>
            <w:r w:rsidRPr="003F1ECF">
              <w:t>$</w:t>
            </w:r>
            <w:r w:rsidR="006C7CD7">
              <w:t>23.29</w:t>
            </w:r>
          </w:p>
        </w:tc>
        <w:tc>
          <w:tcPr>
            <w:tcW w:w="1855" w:type="dxa"/>
          </w:tcPr>
          <w:p w:rsidR="0002074A" w:rsidRPr="003F1ECF" w:rsidP="00AE53D1" w14:paraId="1CE81C38" w14:textId="2CB8356B">
            <w:pPr>
              <w:pStyle w:val="BodyText"/>
              <w:ind w:left="-110" w:right="-110"/>
              <w:jc w:val="center"/>
            </w:pPr>
            <w:r w:rsidRPr="003F1ECF">
              <w:t>$</w:t>
            </w:r>
            <w:r w:rsidR="006C7CD7">
              <w:t>46.58</w:t>
            </w:r>
          </w:p>
        </w:tc>
      </w:tr>
      <w:tr w14:paraId="7AFF2858" w14:textId="77777777" w:rsidTr="00AE53D1">
        <w:tblPrEx>
          <w:tblW w:w="0" w:type="auto"/>
          <w:tblLayout w:type="fixed"/>
          <w:tblLook w:val="04A0"/>
        </w:tblPrEx>
        <w:tc>
          <w:tcPr>
            <w:tcW w:w="2245" w:type="dxa"/>
          </w:tcPr>
          <w:p w:rsidR="00FF314F" w:rsidRPr="003F1ECF" w:rsidP="007B3FAB" w14:paraId="396D4E99" w14:textId="6851C970">
            <w:pPr>
              <w:pStyle w:val="BodyText"/>
            </w:pPr>
            <w:r w:rsidRPr="003F1ECF">
              <w:t xml:space="preserve">Software </w:t>
            </w:r>
            <w:r w:rsidRPr="003F1ECF" w:rsidR="009B729C">
              <w:t>Developer</w:t>
            </w:r>
          </w:p>
        </w:tc>
        <w:tc>
          <w:tcPr>
            <w:tcW w:w="1620" w:type="dxa"/>
          </w:tcPr>
          <w:p w:rsidR="00FF314F" w:rsidRPr="003F1ECF" w:rsidP="00AE53D1" w14:paraId="316D096B" w14:textId="24C96285">
            <w:pPr>
              <w:pStyle w:val="BodyText"/>
              <w:ind w:left="-110" w:right="-110"/>
              <w:jc w:val="center"/>
            </w:pPr>
            <w:r w:rsidRPr="003F1ECF">
              <w:t>15-125</w:t>
            </w:r>
            <w:r w:rsidRPr="003F1ECF" w:rsidR="00CB37C2">
              <w:t>2</w:t>
            </w:r>
          </w:p>
        </w:tc>
        <w:tc>
          <w:tcPr>
            <w:tcW w:w="1800" w:type="dxa"/>
          </w:tcPr>
          <w:p w:rsidR="00FF314F" w:rsidRPr="003F1ECF" w:rsidP="00AE53D1" w14:paraId="3F0F0C70" w14:textId="3FB704B9">
            <w:pPr>
              <w:pStyle w:val="BodyText"/>
              <w:ind w:left="-110" w:right="-110"/>
              <w:jc w:val="center"/>
            </w:pPr>
            <w:r w:rsidRPr="003F1ECF">
              <w:t>$</w:t>
            </w:r>
            <w:r w:rsidR="006C7CD7">
              <w:t>63.98</w:t>
            </w:r>
          </w:p>
        </w:tc>
        <w:tc>
          <w:tcPr>
            <w:tcW w:w="1710" w:type="dxa"/>
          </w:tcPr>
          <w:p w:rsidR="00FF314F" w:rsidRPr="003F1ECF" w:rsidP="00AE53D1" w14:paraId="3F5CF1DD" w14:textId="282B904B">
            <w:pPr>
              <w:pStyle w:val="BodyText"/>
              <w:ind w:left="-110" w:right="-110"/>
              <w:jc w:val="center"/>
            </w:pPr>
            <w:r w:rsidRPr="003F1ECF">
              <w:t>$</w:t>
            </w:r>
            <w:r w:rsidR="006C7CD7">
              <w:t>63.98</w:t>
            </w:r>
          </w:p>
        </w:tc>
        <w:tc>
          <w:tcPr>
            <w:tcW w:w="1855" w:type="dxa"/>
          </w:tcPr>
          <w:p w:rsidR="00FF314F" w:rsidRPr="003F1ECF" w:rsidP="00AE53D1" w14:paraId="6BB78892" w14:textId="26F1E955">
            <w:pPr>
              <w:pStyle w:val="BodyText"/>
              <w:ind w:left="-110" w:right="-110"/>
              <w:jc w:val="center"/>
            </w:pPr>
            <w:r w:rsidRPr="003F1ECF">
              <w:t>$</w:t>
            </w:r>
            <w:r w:rsidR="006C7CD7">
              <w:t>127.96</w:t>
            </w:r>
          </w:p>
        </w:tc>
      </w:tr>
    </w:tbl>
    <w:p w:rsidR="004A612A" w:rsidRPr="003F1ECF" w:rsidP="007B3FAB" w14:paraId="1AB6AED8" w14:textId="5DA233DB">
      <w:pPr>
        <w:pStyle w:val="BodyText"/>
      </w:pPr>
    </w:p>
    <w:p w:rsidR="001C3F13" w:rsidRPr="003F1ECF" w:rsidP="007B3FAB" w14:paraId="5F49C1B9" w14:textId="24E0C8FA">
      <w:pPr>
        <w:pStyle w:val="BodyText"/>
        <w:rPr>
          <w:b/>
        </w:rPr>
      </w:pPr>
      <w:bookmarkStart w:id="40" w:name="State_Specific_Standard_Population_(45_C"/>
      <w:bookmarkEnd w:id="40"/>
      <w:r w:rsidRPr="003F1ECF">
        <w:rPr>
          <w:b/>
          <w:u w:val="single"/>
        </w:rPr>
        <w:t>State</w:t>
      </w:r>
      <w:r w:rsidRPr="003F1ECF" w:rsidR="00705E53">
        <w:rPr>
          <w:b/>
          <w:u w:val="single"/>
        </w:rPr>
        <w:t>-</w:t>
      </w:r>
      <w:r w:rsidRPr="003F1ECF">
        <w:rPr>
          <w:b/>
          <w:u w:val="single"/>
        </w:rPr>
        <w:t>Specific Standard Population (</w:t>
      </w:r>
      <w:r w:rsidRPr="003F1ECF" w:rsidR="0091284F">
        <w:rPr>
          <w:b/>
          <w:u w:val="single"/>
        </w:rPr>
        <w:t xml:space="preserve">§ </w:t>
      </w:r>
      <w:r w:rsidRPr="003F1ECF">
        <w:rPr>
          <w:b/>
          <w:u w:val="single"/>
        </w:rPr>
        <w:t>156.135)</w:t>
      </w:r>
    </w:p>
    <w:p w:rsidR="001C3F13" w:rsidRPr="003F1ECF" w:rsidP="007B3FAB" w14:paraId="2B99B1D9" w14:textId="77777777">
      <w:pPr>
        <w:pStyle w:val="BodyText"/>
      </w:pPr>
    </w:p>
    <w:p w:rsidR="00C1015C" w:rsidRPr="003F1ECF" w:rsidP="007B3FAB" w14:paraId="3D85423E" w14:textId="6EACB06B">
      <w:pPr>
        <w:pStyle w:val="BodyText"/>
      </w:pPr>
      <w:bookmarkStart w:id="41" w:name="This_information_collection_is_not_direc"/>
      <w:bookmarkEnd w:id="41"/>
      <w:r w:rsidRPr="003F1ECF">
        <w:t xml:space="preserve">In accordance with </w:t>
      </w:r>
      <w:r w:rsidRPr="003F1ECF" w:rsidR="00601588">
        <w:t xml:space="preserve">45 CFR 156.135(d), HHS established that beginning in 2015, a State may submit a State-specific standard population to be used for AV calculations, so long as the criteria </w:t>
      </w:r>
      <w:r w:rsidRPr="003F1ECF" w:rsidR="00B71DA8">
        <w:t>at</w:t>
      </w:r>
      <w:r w:rsidRPr="003F1ECF" w:rsidR="00601588">
        <w:t xml:space="preserve"> § 156.135(d)(1) through (6) are met. </w:t>
      </w:r>
      <w:r w:rsidRPr="003F1ECF" w:rsidR="00B71DA8">
        <w:t xml:space="preserve">In particular, a </w:t>
      </w:r>
      <w:r w:rsidRPr="003F1ECF" w:rsidR="00601588">
        <w:t xml:space="preserve">State that </w:t>
      </w:r>
      <w:r w:rsidRPr="003F1ECF" w:rsidR="00B71DA8">
        <w:t xml:space="preserve">intends to submit a State-specific standard population </w:t>
      </w:r>
      <w:r w:rsidRPr="003F1ECF" w:rsidR="00601588">
        <w:t>must submit to HHS summary evidence that the requirements described in §156.135 are met and</w:t>
      </w:r>
      <w:r w:rsidRPr="003F1ECF" w:rsidR="00BD0EA5">
        <w:t xml:space="preserve"> that</w:t>
      </w:r>
      <w:r w:rsidRPr="003F1ECF" w:rsidR="00601588">
        <w:t xml:space="preserve"> the dataset is in a format that will support the use of the </w:t>
      </w:r>
      <w:r w:rsidRPr="003F1ECF" w:rsidR="00601588">
        <w:t>AV calculator.</w:t>
      </w:r>
    </w:p>
    <w:p w:rsidR="00C1015C" w:rsidRPr="003F1ECF" w:rsidP="007B3FAB" w14:paraId="3816AF5A" w14:textId="77777777">
      <w:pPr>
        <w:pStyle w:val="BodyText"/>
      </w:pPr>
    </w:p>
    <w:p w:rsidR="00714652" w:rsidRPr="003F1ECF" w:rsidP="00714652" w14:paraId="7A3B37B0" w14:textId="0347F092">
      <w:pPr>
        <w:pStyle w:val="BodyText"/>
      </w:pPr>
      <w:r>
        <w:t>N</w:t>
      </w:r>
      <w:r w:rsidRPr="003F1ECF">
        <w:t xml:space="preserve">o States have elected to pursue this option to date, we anticipate a limited number of States pursuing this option in the future. </w:t>
      </w:r>
      <w:r w:rsidRPr="00E93283">
        <w:rPr>
          <w:b/>
          <w:bCs/>
        </w:rPr>
        <w:t>Given that we estimate that only one State will pursue this option</w:t>
      </w:r>
      <w:r>
        <w:rPr>
          <w:b/>
          <w:bCs/>
        </w:rPr>
        <w:t xml:space="preserve"> in the next three years</w:t>
      </w:r>
      <w:r w:rsidRPr="00E93283">
        <w:rPr>
          <w:b/>
          <w:bCs/>
        </w:rPr>
        <w:t>, this collection is exempt from PRA requirements and will not be included in total burden calculations</w:t>
      </w:r>
      <w:r w:rsidRPr="003F1ECF">
        <w:t xml:space="preserve">. </w:t>
      </w:r>
      <w:r w:rsidRPr="003F1ECF">
        <w:t>We estimate that for each State pursuing this option, the data submission will require 15 hours from a database administrator at a median hourly cost of $</w:t>
      </w:r>
      <w:r w:rsidR="005E1EB5">
        <w:t>100.60</w:t>
      </w:r>
      <w:r w:rsidRPr="003F1ECF">
        <w:t>, four hours from an actuary at a median hourly cost of $</w:t>
      </w:r>
      <w:r w:rsidR="005E1EB5">
        <w:t>120.94</w:t>
      </w:r>
      <w:r w:rsidRPr="003F1ECF">
        <w:t>, and one hour from a general and operations manager at a median hourly cost of $</w:t>
      </w:r>
      <w:r w:rsidR="005E1EB5">
        <w:t>99.00</w:t>
      </w:r>
      <w:r>
        <w:t>. We estimate the</w:t>
      </w:r>
      <w:r w:rsidRPr="003F1ECF">
        <w:t xml:space="preserve"> total burden</w:t>
      </w:r>
      <w:r>
        <w:t xml:space="preserve"> for a State to be</w:t>
      </w:r>
      <w:r w:rsidRPr="003F1ECF">
        <w:t xml:space="preserve"> </w:t>
      </w:r>
      <w:r w:rsidRPr="003F1ECF" w:rsidR="00475E26">
        <w:t xml:space="preserve">20 hours </w:t>
      </w:r>
      <w:r>
        <w:t>at a cost of</w:t>
      </w:r>
      <w:r w:rsidRPr="003F1ECF" w:rsidR="00475E26">
        <w:t xml:space="preserve"> </w:t>
      </w:r>
      <w:r w:rsidRPr="003F1ECF">
        <w:t>$</w:t>
      </w:r>
      <w:r w:rsidR="00474425">
        <w:t>2,091.76</w:t>
      </w:r>
      <w:r w:rsidRPr="003F1ECF">
        <w:t xml:space="preserve">. </w:t>
      </w:r>
    </w:p>
    <w:p w:rsidR="00876291" w:rsidRPr="003F1ECF" w:rsidP="007B3FAB" w14:paraId="2CF1FC88" w14:textId="77777777">
      <w:pPr>
        <w:pStyle w:val="BodyText"/>
      </w:pPr>
    </w:p>
    <w:p w:rsidR="004A612A" w:rsidRPr="003F1ECF" w:rsidP="000D4B13" w14:paraId="68698C91" w14:textId="691B81E3">
      <w:pPr>
        <w:pStyle w:val="BodyText"/>
        <w:spacing w:after="120"/>
        <w:rPr>
          <w:b/>
        </w:rPr>
      </w:pPr>
      <w:bookmarkStart w:id="42" w:name="Table_A"/>
      <w:bookmarkEnd w:id="42"/>
      <w:r w:rsidRPr="00C6238C">
        <w:rPr>
          <w:b/>
        </w:rPr>
        <w:t xml:space="preserve">Table </w:t>
      </w:r>
      <w:r w:rsidRPr="00C6238C">
        <w:rPr>
          <w:b/>
        </w:rPr>
        <w:t xml:space="preserve">2: </w:t>
      </w:r>
      <w:r w:rsidRPr="00C6238C" w:rsidR="00F26977">
        <w:rPr>
          <w:b/>
        </w:rPr>
        <w:t xml:space="preserve">State Burden in </w:t>
      </w:r>
      <w:r w:rsidRPr="00C6238C" w:rsidR="00071EAD">
        <w:rPr>
          <w:b/>
        </w:rPr>
        <w:t>Submitting Information Required for</w:t>
      </w:r>
      <w:r w:rsidRPr="00C6238C" w:rsidR="00F26977">
        <w:rPr>
          <w:b/>
        </w:rPr>
        <w:t xml:space="preserve"> State</w:t>
      </w:r>
      <w:r w:rsidRPr="00C6238C" w:rsidR="00714652">
        <w:rPr>
          <w:b/>
        </w:rPr>
        <w:t>-</w:t>
      </w:r>
      <w:r w:rsidRPr="00C6238C" w:rsidR="00F26977">
        <w:rPr>
          <w:b/>
        </w:rPr>
        <w:t>Specific Standard Population Option</w:t>
      </w:r>
    </w:p>
    <w:tbl>
      <w:tblPr>
        <w:tblStyle w:val="TableGrid"/>
        <w:tblW w:w="9355" w:type="dxa"/>
        <w:tblLayout w:type="fixed"/>
        <w:tblLook w:val="04A0"/>
      </w:tblPr>
      <w:tblGrid>
        <w:gridCol w:w="1795"/>
        <w:gridCol w:w="1440"/>
        <w:gridCol w:w="1800"/>
        <w:gridCol w:w="1440"/>
        <w:gridCol w:w="1440"/>
        <w:gridCol w:w="1440"/>
      </w:tblGrid>
      <w:tr w14:paraId="658A9655" w14:textId="77777777" w:rsidTr="00E55DD4">
        <w:tblPrEx>
          <w:tblW w:w="9355" w:type="dxa"/>
          <w:tblLayout w:type="fixed"/>
          <w:tblLook w:val="04A0"/>
        </w:tblPrEx>
        <w:tc>
          <w:tcPr>
            <w:tcW w:w="1795" w:type="dxa"/>
          </w:tcPr>
          <w:p w:rsidR="00C350A2" w:rsidRPr="003F1ECF" w:rsidP="00A108DC" w14:paraId="64B82A57" w14:textId="559F48B4">
            <w:pPr>
              <w:pStyle w:val="BodyText"/>
              <w:rPr>
                <w:b/>
                <w:bCs/>
              </w:rPr>
            </w:pPr>
            <w:r w:rsidRPr="003F1ECF">
              <w:rPr>
                <w:b/>
                <w:bCs/>
              </w:rPr>
              <w:t>Labor Category</w:t>
            </w:r>
          </w:p>
        </w:tc>
        <w:tc>
          <w:tcPr>
            <w:tcW w:w="1440" w:type="dxa"/>
          </w:tcPr>
          <w:p w:rsidR="00C350A2" w:rsidRPr="003F1ECF" w:rsidP="006804C6" w14:paraId="083D43F2" w14:textId="4E4F7FAF">
            <w:pPr>
              <w:pStyle w:val="BodyText"/>
              <w:ind w:left="-110" w:right="-110"/>
              <w:jc w:val="center"/>
              <w:rPr>
                <w:b/>
                <w:bCs/>
              </w:rPr>
            </w:pPr>
            <w:r w:rsidRPr="003F1ECF">
              <w:rPr>
                <w:b/>
                <w:bCs/>
              </w:rPr>
              <w:t>Number of Respondents</w:t>
            </w:r>
          </w:p>
        </w:tc>
        <w:tc>
          <w:tcPr>
            <w:tcW w:w="1800" w:type="dxa"/>
          </w:tcPr>
          <w:p w:rsidR="00C350A2" w:rsidRPr="003F1ECF" w:rsidP="006804C6" w14:paraId="31644374" w14:textId="4AD12E45">
            <w:pPr>
              <w:pStyle w:val="BodyText"/>
              <w:ind w:left="-110" w:right="-110"/>
              <w:jc w:val="center"/>
              <w:rPr>
                <w:b/>
                <w:bCs/>
              </w:rPr>
            </w:pPr>
            <w:r w:rsidRPr="003F1ECF">
              <w:rPr>
                <w:b/>
                <w:bCs/>
              </w:rPr>
              <w:t>Hourly Labor Costs (Hourly</w:t>
            </w:r>
            <w:r w:rsidRPr="003F1ECF" w:rsidR="0036580F">
              <w:rPr>
                <w:b/>
                <w:bCs/>
              </w:rPr>
              <w:t xml:space="preserve"> Rate</w:t>
            </w:r>
            <w:r w:rsidRPr="003F1ECF">
              <w:rPr>
                <w:b/>
                <w:bCs/>
              </w:rPr>
              <w:t xml:space="preserve"> + 100% Fringe Benefits)</w:t>
            </w:r>
          </w:p>
        </w:tc>
        <w:tc>
          <w:tcPr>
            <w:tcW w:w="1440" w:type="dxa"/>
          </w:tcPr>
          <w:p w:rsidR="00C350A2" w:rsidRPr="003F1ECF" w:rsidP="006804C6" w14:paraId="6E7C76E1" w14:textId="01F36D2E">
            <w:pPr>
              <w:pStyle w:val="BodyText"/>
              <w:ind w:left="-110" w:right="-110"/>
              <w:jc w:val="center"/>
              <w:rPr>
                <w:b/>
                <w:bCs/>
              </w:rPr>
            </w:pPr>
            <w:r w:rsidRPr="003F1ECF">
              <w:rPr>
                <w:b/>
                <w:bCs/>
              </w:rPr>
              <w:t>Burden Hours</w:t>
            </w:r>
            <w:r w:rsidRPr="003F1ECF" w:rsidR="007C4527">
              <w:rPr>
                <w:b/>
                <w:bCs/>
              </w:rPr>
              <w:t xml:space="preserve"> (Per Respondent)</w:t>
            </w:r>
          </w:p>
        </w:tc>
        <w:tc>
          <w:tcPr>
            <w:tcW w:w="1440" w:type="dxa"/>
          </w:tcPr>
          <w:p w:rsidR="00C350A2" w:rsidRPr="003F1ECF" w:rsidP="006804C6" w14:paraId="37E9895A" w14:textId="541F57DD">
            <w:pPr>
              <w:pStyle w:val="BodyText"/>
              <w:ind w:left="-110" w:right="-110"/>
              <w:jc w:val="center"/>
              <w:rPr>
                <w:b/>
                <w:bCs/>
              </w:rPr>
            </w:pPr>
            <w:r w:rsidRPr="003F1ECF">
              <w:rPr>
                <w:b/>
                <w:bCs/>
              </w:rPr>
              <w:t>Total Burden Costs (P</w:t>
            </w:r>
            <w:r w:rsidRPr="003F1ECF" w:rsidR="0002074A">
              <w:rPr>
                <w:b/>
                <w:bCs/>
              </w:rPr>
              <w:t>er Respondent)</w:t>
            </w:r>
          </w:p>
        </w:tc>
        <w:tc>
          <w:tcPr>
            <w:tcW w:w="1440" w:type="dxa"/>
          </w:tcPr>
          <w:p w:rsidR="00C350A2" w:rsidRPr="003F1ECF" w:rsidP="006804C6" w14:paraId="15472607" w14:textId="2AA638BB">
            <w:pPr>
              <w:pStyle w:val="BodyText"/>
              <w:ind w:left="-110" w:right="-110"/>
              <w:jc w:val="center"/>
              <w:rPr>
                <w:b/>
                <w:bCs/>
              </w:rPr>
            </w:pPr>
            <w:r w:rsidRPr="003F1ECF">
              <w:rPr>
                <w:b/>
                <w:bCs/>
              </w:rPr>
              <w:t>Total Burden Costs (All Respondents)</w:t>
            </w:r>
          </w:p>
        </w:tc>
      </w:tr>
      <w:tr w14:paraId="4B6D5948" w14:textId="77777777" w:rsidTr="00E55DD4">
        <w:tblPrEx>
          <w:tblW w:w="9355" w:type="dxa"/>
          <w:tblLayout w:type="fixed"/>
          <w:tblLook w:val="04A0"/>
        </w:tblPrEx>
        <w:tc>
          <w:tcPr>
            <w:tcW w:w="1795" w:type="dxa"/>
          </w:tcPr>
          <w:p w:rsidR="000074DC" w:rsidRPr="003F1ECF" w:rsidP="007B3FAB" w14:paraId="10B63923" w14:textId="68225FE2">
            <w:pPr>
              <w:pStyle w:val="BodyText"/>
            </w:pPr>
            <w:r w:rsidRPr="003F1ECF">
              <w:t xml:space="preserve">Database Administrator </w:t>
            </w:r>
          </w:p>
        </w:tc>
        <w:tc>
          <w:tcPr>
            <w:tcW w:w="1440" w:type="dxa"/>
          </w:tcPr>
          <w:p w:rsidR="000074DC" w:rsidRPr="003F1ECF" w:rsidP="006804C6" w14:paraId="39BAA9AA" w14:textId="12A8C756">
            <w:pPr>
              <w:pStyle w:val="BodyText"/>
              <w:ind w:left="-110" w:right="-110"/>
              <w:jc w:val="center"/>
            </w:pPr>
            <w:r w:rsidRPr="003F1ECF">
              <w:t>1</w:t>
            </w:r>
          </w:p>
        </w:tc>
        <w:tc>
          <w:tcPr>
            <w:tcW w:w="1800" w:type="dxa"/>
          </w:tcPr>
          <w:p w:rsidR="000074DC" w:rsidRPr="003F1ECF" w:rsidP="006804C6" w14:paraId="490BB034" w14:textId="3DD0FAF0">
            <w:pPr>
              <w:pStyle w:val="BodyText"/>
              <w:ind w:left="-110" w:right="-110"/>
              <w:jc w:val="center"/>
            </w:pPr>
            <w:r w:rsidRPr="003F1ECF">
              <w:t>$</w:t>
            </w:r>
            <w:r w:rsidR="00FD4151">
              <w:t>100.60</w:t>
            </w:r>
          </w:p>
        </w:tc>
        <w:tc>
          <w:tcPr>
            <w:tcW w:w="1440" w:type="dxa"/>
          </w:tcPr>
          <w:p w:rsidR="000074DC" w:rsidRPr="003F1ECF" w:rsidP="006804C6" w14:paraId="6073A5BD" w14:textId="67EE003A">
            <w:pPr>
              <w:pStyle w:val="BodyText"/>
              <w:ind w:left="-110" w:right="-110"/>
              <w:jc w:val="center"/>
            </w:pPr>
            <w:r w:rsidRPr="003F1ECF">
              <w:t>15</w:t>
            </w:r>
          </w:p>
        </w:tc>
        <w:tc>
          <w:tcPr>
            <w:tcW w:w="1440" w:type="dxa"/>
          </w:tcPr>
          <w:p w:rsidR="000074DC" w:rsidRPr="003F1ECF" w:rsidP="006804C6" w14:paraId="4FAA1E3F" w14:textId="424A5381">
            <w:pPr>
              <w:pStyle w:val="BodyText"/>
              <w:ind w:left="-110" w:right="-110"/>
              <w:jc w:val="center"/>
            </w:pPr>
            <w:r w:rsidRPr="003F1ECF">
              <w:t>$</w:t>
            </w:r>
            <w:r w:rsidR="00474425">
              <w:t>1,509.00</w:t>
            </w:r>
          </w:p>
        </w:tc>
        <w:tc>
          <w:tcPr>
            <w:tcW w:w="1440" w:type="dxa"/>
          </w:tcPr>
          <w:p w:rsidR="000074DC" w:rsidRPr="003F1ECF" w:rsidP="006804C6" w14:paraId="4C5747E1" w14:textId="4B840BE1">
            <w:pPr>
              <w:pStyle w:val="BodyText"/>
              <w:ind w:left="-110" w:right="-110"/>
              <w:jc w:val="center"/>
            </w:pPr>
            <w:r w:rsidRPr="003F1ECF">
              <w:t>$</w:t>
            </w:r>
            <w:r w:rsidR="00474425">
              <w:t>1,509.00</w:t>
            </w:r>
          </w:p>
        </w:tc>
      </w:tr>
      <w:tr w14:paraId="4F0F22D2" w14:textId="77777777" w:rsidTr="00E55DD4">
        <w:tblPrEx>
          <w:tblW w:w="9355" w:type="dxa"/>
          <w:tblLayout w:type="fixed"/>
          <w:tblLook w:val="04A0"/>
        </w:tblPrEx>
        <w:tc>
          <w:tcPr>
            <w:tcW w:w="1795" w:type="dxa"/>
          </w:tcPr>
          <w:p w:rsidR="000074DC" w:rsidRPr="003F1ECF" w:rsidP="007B3FAB" w14:paraId="3D06F121" w14:textId="3A7CC607">
            <w:pPr>
              <w:pStyle w:val="BodyText"/>
            </w:pPr>
            <w:r w:rsidRPr="003F1ECF">
              <w:t>Actuary</w:t>
            </w:r>
          </w:p>
        </w:tc>
        <w:tc>
          <w:tcPr>
            <w:tcW w:w="1440" w:type="dxa"/>
          </w:tcPr>
          <w:p w:rsidR="000074DC" w:rsidRPr="003F1ECF" w:rsidP="006804C6" w14:paraId="4E5D4DE3" w14:textId="54A07B79">
            <w:pPr>
              <w:pStyle w:val="BodyText"/>
              <w:ind w:left="-110" w:right="-110"/>
              <w:jc w:val="center"/>
            </w:pPr>
            <w:r w:rsidRPr="003F1ECF">
              <w:t>1</w:t>
            </w:r>
          </w:p>
        </w:tc>
        <w:tc>
          <w:tcPr>
            <w:tcW w:w="1800" w:type="dxa"/>
          </w:tcPr>
          <w:p w:rsidR="000074DC" w:rsidRPr="003F1ECF" w:rsidP="006804C6" w14:paraId="6C81E191" w14:textId="09960BAC">
            <w:pPr>
              <w:pStyle w:val="BodyText"/>
              <w:ind w:left="-110" w:right="-110"/>
              <w:jc w:val="center"/>
            </w:pPr>
            <w:r w:rsidRPr="003F1ECF">
              <w:t>$</w:t>
            </w:r>
            <w:r w:rsidR="00FD4151">
              <w:t>120.94</w:t>
            </w:r>
          </w:p>
        </w:tc>
        <w:tc>
          <w:tcPr>
            <w:tcW w:w="1440" w:type="dxa"/>
          </w:tcPr>
          <w:p w:rsidR="000074DC" w:rsidRPr="003F1ECF" w:rsidP="006804C6" w14:paraId="4DB76B4A" w14:textId="40ED871C">
            <w:pPr>
              <w:pStyle w:val="BodyText"/>
              <w:ind w:left="-110" w:right="-110"/>
              <w:jc w:val="center"/>
            </w:pPr>
            <w:r w:rsidRPr="003F1ECF">
              <w:t>4</w:t>
            </w:r>
          </w:p>
        </w:tc>
        <w:tc>
          <w:tcPr>
            <w:tcW w:w="1440" w:type="dxa"/>
          </w:tcPr>
          <w:p w:rsidR="000074DC" w:rsidRPr="003F1ECF" w:rsidP="006804C6" w14:paraId="109BDA37" w14:textId="5821825B">
            <w:pPr>
              <w:pStyle w:val="BodyText"/>
              <w:ind w:left="-110" w:right="-110"/>
              <w:jc w:val="center"/>
            </w:pPr>
            <w:r w:rsidRPr="003F1ECF">
              <w:t>$</w:t>
            </w:r>
            <w:r w:rsidR="00474425">
              <w:t>483.76</w:t>
            </w:r>
          </w:p>
        </w:tc>
        <w:tc>
          <w:tcPr>
            <w:tcW w:w="1440" w:type="dxa"/>
          </w:tcPr>
          <w:p w:rsidR="000074DC" w:rsidRPr="003F1ECF" w:rsidP="006804C6" w14:paraId="460F2BC6" w14:textId="05741BE3">
            <w:pPr>
              <w:pStyle w:val="BodyText"/>
              <w:ind w:left="-110" w:right="-110"/>
              <w:jc w:val="center"/>
            </w:pPr>
            <w:r w:rsidRPr="003F1ECF">
              <w:t>$</w:t>
            </w:r>
            <w:r w:rsidR="00474425">
              <w:t>483.76</w:t>
            </w:r>
          </w:p>
        </w:tc>
      </w:tr>
      <w:tr w14:paraId="40B5D675" w14:textId="77777777" w:rsidTr="00E55DD4">
        <w:tblPrEx>
          <w:tblW w:w="9355" w:type="dxa"/>
          <w:tblLayout w:type="fixed"/>
          <w:tblLook w:val="04A0"/>
        </w:tblPrEx>
        <w:tc>
          <w:tcPr>
            <w:tcW w:w="1795" w:type="dxa"/>
          </w:tcPr>
          <w:p w:rsidR="000074DC" w:rsidRPr="003F1ECF" w:rsidP="007B3FAB" w14:paraId="12B7AE9B" w14:textId="3D708CEE">
            <w:pPr>
              <w:pStyle w:val="BodyText"/>
            </w:pPr>
            <w:r w:rsidRPr="003F1ECF">
              <w:t>General and Operations Manager</w:t>
            </w:r>
          </w:p>
        </w:tc>
        <w:tc>
          <w:tcPr>
            <w:tcW w:w="1440" w:type="dxa"/>
          </w:tcPr>
          <w:p w:rsidR="000074DC" w:rsidRPr="003F1ECF" w:rsidP="006804C6" w14:paraId="2BB21B65" w14:textId="60280554">
            <w:pPr>
              <w:pStyle w:val="BodyText"/>
              <w:ind w:left="-110" w:right="-110"/>
              <w:jc w:val="center"/>
            </w:pPr>
            <w:r w:rsidRPr="003F1ECF">
              <w:t>1</w:t>
            </w:r>
          </w:p>
        </w:tc>
        <w:tc>
          <w:tcPr>
            <w:tcW w:w="1800" w:type="dxa"/>
          </w:tcPr>
          <w:p w:rsidR="000074DC" w:rsidRPr="003F1ECF" w:rsidP="006804C6" w14:paraId="6AD1B62C" w14:textId="227E9628">
            <w:pPr>
              <w:pStyle w:val="BodyText"/>
              <w:ind w:left="-110" w:right="-110"/>
              <w:jc w:val="center"/>
            </w:pPr>
            <w:r w:rsidRPr="003F1ECF">
              <w:t>$</w:t>
            </w:r>
            <w:r w:rsidR="00FD4151">
              <w:t>99.00</w:t>
            </w:r>
          </w:p>
        </w:tc>
        <w:tc>
          <w:tcPr>
            <w:tcW w:w="1440" w:type="dxa"/>
          </w:tcPr>
          <w:p w:rsidR="000074DC" w:rsidRPr="003F1ECF" w:rsidP="006804C6" w14:paraId="0A46B6F1" w14:textId="686901FF">
            <w:pPr>
              <w:pStyle w:val="BodyText"/>
              <w:ind w:left="-110" w:right="-110"/>
              <w:jc w:val="center"/>
            </w:pPr>
            <w:r w:rsidRPr="003F1ECF">
              <w:t>1</w:t>
            </w:r>
          </w:p>
        </w:tc>
        <w:tc>
          <w:tcPr>
            <w:tcW w:w="1440" w:type="dxa"/>
          </w:tcPr>
          <w:p w:rsidR="000074DC" w:rsidRPr="003F1ECF" w:rsidP="006804C6" w14:paraId="55E4DFE4" w14:textId="4F8DEBA4">
            <w:pPr>
              <w:pStyle w:val="BodyText"/>
              <w:ind w:left="-110" w:right="-110"/>
              <w:jc w:val="center"/>
            </w:pPr>
            <w:r w:rsidRPr="003F1ECF">
              <w:t>$</w:t>
            </w:r>
            <w:r w:rsidR="00474425">
              <w:t>99.00</w:t>
            </w:r>
          </w:p>
        </w:tc>
        <w:tc>
          <w:tcPr>
            <w:tcW w:w="1440" w:type="dxa"/>
          </w:tcPr>
          <w:p w:rsidR="000074DC" w:rsidRPr="003F1ECF" w:rsidP="006804C6" w14:paraId="486E0B57" w14:textId="56F0C175">
            <w:pPr>
              <w:pStyle w:val="BodyText"/>
              <w:ind w:left="-110" w:right="-110"/>
              <w:jc w:val="center"/>
            </w:pPr>
            <w:r w:rsidRPr="003F1ECF">
              <w:t>$</w:t>
            </w:r>
            <w:r w:rsidR="00474425">
              <w:t>99.00</w:t>
            </w:r>
          </w:p>
        </w:tc>
      </w:tr>
      <w:tr w14:paraId="5AF0DB22" w14:textId="77777777" w:rsidTr="00AB2EC8">
        <w:tblPrEx>
          <w:tblW w:w="9355" w:type="dxa"/>
          <w:tblLayout w:type="fixed"/>
          <w:tblLook w:val="04A0"/>
        </w:tblPrEx>
        <w:trPr>
          <w:trHeight w:val="377"/>
        </w:trPr>
        <w:tc>
          <w:tcPr>
            <w:tcW w:w="1795" w:type="dxa"/>
          </w:tcPr>
          <w:p w:rsidR="000074DC" w:rsidRPr="003F1ECF" w:rsidP="007B3FAB" w14:paraId="1AF115C8" w14:textId="2C50ECBE">
            <w:pPr>
              <w:pStyle w:val="BodyText"/>
              <w:rPr>
                <w:b/>
                <w:bCs/>
              </w:rPr>
            </w:pPr>
            <w:r w:rsidRPr="003F1ECF">
              <w:rPr>
                <w:b/>
                <w:bCs/>
              </w:rPr>
              <w:t>Total</w:t>
            </w:r>
          </w:p>
        </w:tc>
        <w:tc>
          <w:tcPr>
            <w:tcW w:w="1440" w:type="dxa"/>
          </w:tcPr>
          <w:p w:rsidR="000074DC" w:rsidRPr="003F1ECF" w:rsidP="006804C6" w14:paraId="2DDD53E1" w14:textId="77777777">
            <w:pPr>
              <w:pStyle w:val="BodyText"/>
              <w:ind w:left="-110" w:right="-110"/>
              <w:jc w:val="center"/>
              <w:rPr>
                <w:b/>
                <w:bCs/>
              </w:rPr>
            </w:pPr>
          </w:p>
        </w:tc>
        <w:tc>
          <w:tcPr>
            <w:tcW w:w="1800" w:type="dxa"/>
          </w:tcPr>
          <w:p w:rsidR="000074DC" w:rsidRPr="003F1ECF" w:rsidP="006804C6" w14:paraId="1EE79763" w14:textId="77777777">
            <w:pPr>
              <w:pStyle w:val="BodyText"/>
              <w:ind w:left="-110" w:right="-110"/>
              <w:jc w:val="center"/>
              <w:rPr>
                <w:b/>
                <w:bCs/>
              </w:rPr>
            </w:pPr>
          </w:p>
        </w:tc>
        <w:tc>
          <w:tcPr>
            <w:tcW w:w="1440" w:type="dxa"/>
          </w:tcPr>
          <w:p w:rsidR="000074DC" w:rsidRPr="003F1ECF" w:rsidP="006804C6" w14:paraId="35A770BB" w14:textId="30A59452">
            <w:pPr>
              <w:pStyle w:val="BodyText"/>
              <w:ind w:left="-110" w:right="-110"/>
              <w:jc w:val="center"/>
              <w:rPr>
                <w:b/>
                <w:bCs/>
              </w:rPr>
            </w:pPr>
            <w:r w:rsidRPr="003F1ECF">
              <w:rPr>
                <w:b/>
                <w:bCs/>
              </w:rPr>
              <w:t>20</w:t>
            </w:r>
          </w:p>
        </w:tc>
        <w:tc>
          <w:tcPr>
            <w:tcW w:w="1440" w:type="dxa"/>
          </w:tcPr>
          <w:p w:rsidR="000074DC" w:rsidRPr="003F1ECF" w:rsidP="006804C6" w14:paraId="739C7F83" w14:textId="36A4876B">
            <w:pPr>
              <w:pStyle w:val="BodyText"/>
              <w:ind w:left="-110" w:right="-110"/>
              <w:jc w:val="center"/>
              <w:rPr>
                <w:b/>
                <w:bCs/>
              </w:rPr>
            </w:pPr>
            <w:r w:rsidRPr="003F1ECF">
              <w:rPr>
                <w:b/>
                <w:bCs/>
              </w:rPr>
              <w:t>$</w:t>
            </w:r>
            <w:r w:rsidR="00474425">
              <w:rPr>
                <w:b/>
                <w:bCs/>
              </w:rPr>
              <w:t>2,091.76</w:t>
            </w:r>
          </w:p>
        </w:tc>
        <w:tc>
          <w:tcPr>
            <w:tcW w:w="1440" w:type="dxa"/>
          </w:tcPr>
          <w:p w:rsidR="000074DC" w:rsidRPr="003F1ECF" w:rsidP="006804C6" w14:paraId="55D4ACAA" w14:textId="32CF6C0D">
            <w:pPr>
              <w:pStyle w:val="BodyText"/>
              <w:ind w:left="-110" w:right="-110"/>
              <w:jc w:val="center"/>
              <w:rPr>
                <w:b/>
                <w:bCs/>
              </w:rPr>
            </w:pPr>
            <w:r w:rsidRPr="003F1ECF">
              <w:rPr>
                <w:b/>
                <w:bCs/>
              </w:rPr>
              <w:t>$</w:t>
            </w:r>
            <w:r w:rsidR="00474425">
              <w:rPr>
                <w:b/>
                <w:bCs/>
              </w:rPr>
              <w:t>2,091.76</w:t>
            </w:r>
          </w:p>
        </w:tc>
      </w:tr>
    </w:tbl>
    <w:p w:rsidR="001C3F13" w:rsidRPr="003F1ECF" w:rsidP="007B3FAB" w14:paraId="33C6041A" w14:textId="3F465457">
      <w:pPr>
        <w:pStyle w:val="BodyText"/>
      </w:pPr>
    </w:p>
    <w:p w:rsidR="001C3F13" w:rsidRPr="003F1ECF" w:rsidP="007B3FAB" w14:paraId="4E983708" w14:textId="70C88970">
      <w:pPr>
        <w:pStyle w:val="BodyText"/>
        <w:rPr>
          <w:b/>
        </w:rPr>
      </w:pPr>
      <w:bookmarkStart w:id="43" w:name="Enforcement_Remedies_in_Federally-facili"/>
      <w:bookmarkEnd w:id="43"/>
      <w:r w:rsidRPr="003F1ECF">
        <w:rPr>
          <w:b/>
          <w:u w:val="single"/>
        </w:rPr>
        <w:t>Enforcement Remedies in Federally-facilitated Exchanges (§</w:t>
      </w:r>
      <w:r w:rsidRPr="003F1ECF" w:rsidR="0091284F">
        <w:rPr>
          <w:b/>
          <w:u w:val="single"/>
        </w:rPr>
        <w:t xml:space="preserve"> </w:t>
      </w:r>
      <w:r w:rsidRPr="003F1ECF">
        <w:rPr>
          <w:b/>
          <w:u w:val="single"/>
        </w:rPr>
        <w:t xml:space="preserve">156.800 </w:t>
      </w:r>
      <w:r w:rsidRPr="003F1ECF" w:rsidR="002F3D35">
        <w:rPr>
          <w:b/>
          <w:u w:val="single"/>
        </w:rPr>
        <w:t>and §</w:t>
      </w:r>
      <w:r w:rsidRPr="003F1ECF" w:rsidR="0091284F">
        <w:rPr>
          <w:b/>
          <w:u w:val="single"/>
        </w:rPr>
        <w:t xml:space="preserve"> </w:t>
      </w:r>
      <w:r w:rsidRPr="003F1ECF">
        <w:rPr>
          <w:b/>
          <w:u w:val="single"/>
        </w:rPr>
        <w:t>156.810)</w:t>
      </w:r>
    </w:p>
    <w:p w:rsidR="001C3F13" w:rsidRPr="003F1ECF" w:rsidP="007B3FAB" w14:paraId="408402BA" w14:textId="77777777">
      <w:pPr>
        <w:pStyle w:val="BodyText"/>
      </w:pPr>
    </w:p>
    <w:p w:rsidR="002A3925" w:rsidRPr="003F1ECF" w:rsidP="002A3925" w14:paraId="3AA1C6D7" w14:textId="4CE3D8CA">
      <w:pPr>
        <w:pStyle w:val="BodyText"/>
      </w:pPr>
      <w:bookmarkStart w:id="44" w:name="Subpart_I_of_Part_156_discusses_the_enfo"/>
      <w:bookmarkEnd w:id="44"/>
      <w:r w:rsidRPr="003F1ECF">
        <w:t xml:space="preserve">Subpart I of Part 156 </w:t>
      </w:r>
      <w:r w:rsidRPr="003F1ECF">
        <w:t>provides HHS the authority to enact a range of</w:t>
      </w:r>
      <w:r w:rsidRPr="003F1ECF">
        <w:t xml:space="preserve"> enforcement remedies in the FFE</w:t>
      </w:r>
      <w:r w:rsidRPr="003F1ECF">
        <w:t xml:space="preserve">s. </w:t>
      </w:r>
      <w:r w:rsidRPr="003F1ECF" w:rsidR="003C2618">
        <w:t>In accordance with</w:t>
      </w:r>
      <w:r w:rsidRPr="003F1ECF">
        <w:t xml:space="preserve"> </w:t>
      </w:r>
      <w:r w:rsidRPr="003F1ECF" w:rsidR="00212922">
        <w:t>§</w:t>
      </w:r>
      <w:r w:rsidRPr="003F1ECF">
        <w:t xml:space="preserve"> 156.800</w:t>
      </w:r>
      <w:r w:rsidRPr="003F1ECF" w:rsidR="003C2618">
        <w:t>,</w:t>
      </w:r>
      <w:r w:rsidRPr="003F1ECF">
        <w:t xml:space="preserve"> </w:t>
      </w:r>
      <w:r w:rsidRPr="003F1ECF">
        <w:t xml:space="preserve">HHS </w:t>
      </w:r>
      <w:r w:rsidRPr="003F1ECF" w:rsidR="003C2618">
        <w:t>may</w:t>
      </w:r>
      <w:r w:rsidRPr="003F1ECF">
        <w:t xml:space="preserve"> impose sanctions on QHP issuers in </w:t>
      </w:r>
      <w:r w:rsidRPr="003F1ECF" w:rsidR="003C2618">
        <w:t xml:space="preserve">the </w:t>
      </w:r>
      <w:r w:rsidRPr="003F1ECF">
        <w:t>FFE</w:t>
      </w:r>
      <w:r w:rsidRPr="003F1ECF" w:rsidR="003C2618">
        <w:t xml:space="preserve">s </w:t>
      </w:r>
      <w:r w:rsidRPr="003F1ECF">
        <w:t xml:space="preserve">that </w:t>
      </w:r>
      <w:r w:rsidRPr="003F1ECF" w:rsidR="003C2618">
        <w:t>fail to comply</w:t>
      </w:r>
      <w:r w:rsidRPr="003F1ECF" w:rsidR="001620CC">
        <w:t xml:space="preserve"> </w:t>
      </w:r>
      <w:r w:rsidRPr="003F1ECF">
        <w:t>with</w:t>
      </w:r>
      <w:r w:rsidRPr="003F1ECF" w:rsidR="003C2618">
        <w:t xml:space="preserve"> applicable</w:t>
      </w:r>
      <w:r w:rsidRPr="003F1ECF">
        <w:t xml:space="preserve"> Federal standards</w:t>
      </w:r>
      <w:bookmarkStart w:id="45" w:name="Section_156.805(a)_states_the_general_pr"/>
      <w:bookmarkEnd w:id="45"/>
      <w:r w:rsidRPr="003F1ECF">
        <w:t>. These sanctions may be in the form of</w:t>
      </w:r>
      <w:r w:rsidRPr="003F1ECF" w:rsidR="003C2618">
        <w:t xml:space="preserve"> HHS issuing</w:t>
      </w:r>
      <w:r w:rsidRPr="003F1ECF">
        <w:t xml:space="preserve"> </w:t>
      </w:r>
      <w:r w:rsidRPr="003F1ECF" w:rsidR="003C2618">
        <w:t xml:space="preserve">noncompliant issuers </w:t>
      </w:r>
      <w:r w:rsidRPr="003F1ECF">
        <w:t xml:space="preserve">CMPs in accordance with §156.805 or </w:t>
      </w:r>
      <w:r w:rsidRPr="003F1ECF" w:rsidR="003C2618">
        <w:t>HHS decertifying</w:t>
      </w:r>
      <w:r w:rsidRPr="003F1ECF">
        <w:t xml:space="preserve"> </w:t>
      </w:r>
      <w:r w:rsidRPr="003F1ECF" w:rsidR="003C2618">
        <w:t xml:space="preserve">noncompliant issuers’ </w:t>
      </w:r>
      <w:r w:rsidRPr="003F1ECF">
        <w:t>QHPs in accordance with §156.810.</w:t>
      </w:r>
    </w:p>
    <w:p w:rsidR="002A3925" w:rsidRPr="003F1ECF" w:rsidP="002A3925" w14:paraId="51D93028" w14:textId="77777777">
      <w:pPr>
        <w:pStyle w:val="BodyText"/>
      </w:pPr>
    </w:p>
    <w:p w:rsidR="002F3D35" w:rsidRPr="003F1ECF" w:rsidP="002A3925" w14:paraId="027BCB36" w14:textId="046C2350">
      <w:pPr>
        <w:pStyle w:val="BodyText"/>
      </w:pPr>
      <w:r w:rsidRPr="003F1ECF">
        <w:t xml:space="preserve">The general process and bases for </w:t>
      </w:r>
      <w:r w:rsidRPr="003F1ECF" w:rsidR="003C2618">
        <w:t xml:space="preserve">HHS </w:t>
      </w:r>
      <w:r w:rsidRPr="003F1ECF">
        <w:t xml:space="preserve">imposing a CMP on </w:t>
      </w:r>
      <w:r w:rsidRPr="003F1ECF" w:rsidR="003C2618">
        <w:t xml:space="preserve">noncompliant </w:t>
      </w:r>
      <w:r w:rsidRPr="003F1ECF">
        <w:t xml:space="preserve">issuers offering QHPs in </w:t>
      </w:r>
      <w:r w:rsidRPr="003F1ECF" w:rsidR="003C2618">
        <w:t>the</w:t>
      </w:r>
      <w:r w:rsidRPr="003F1ECF">
        <w:t xml:space="preserve"> FFE</w:t>
      </w:r>
      <w:r w:rsidRPr="003F1ECF" w:rsidR="003C2618">
        <w:t>s</w:t>
      </w:r>
      <w:r w:rsidRPr="003F1ECF">
        <w:t xml:space="preserve"> are specified at §</w:t>
      </w:r>
      <w:r w:rsidRPr="003F1ECF" w:rsidR="00601588">
        <w:t xml:space="preserve"> 156.805(a)</w:t>
      </w:r>
      <w:r w:rsidRPr="003F1ECF">
        <w:t>.</w:t>
      </w:r>
      <w:r w:rsidRPr="003F1ECF" w:rsidR="00601588">
        <w:t xml:space="preserve"> CMPs </w:t>
      </w:r>
      <w:r w:rsidRPr="003F1ECF" w:rsidR="003C2618">
        <w:t>are</w:t>
      </w:r>
      <w:r w:rsidRPr="003F1ECF" w:rsidR="00601588">
        <w:t xml:space="preserve"> </w:t>
      </w:r>
      <w:r w:rsidRPr="003F1ECF" w:rsidR="003C2618">
        <w:t xml:space="preserve">generally only </w:t>
      </w:r>
      <w:r w:rsidRPr="003F1ECF" w:rsidR="00601588">
        <w:t xml:space="preserve">imposed </w:t>
      </w:r>
      <w:r w:rsidRPr="003F1ECF" w:rsidR="003C2618">
        <w:t>in instances of</w:t>
      </w:r>
      <w:r w:rsidRPr="003F1ECF" w:rsidR="00601588">
        <w:t xml:space="preserve"> </w:t>
      </w:r>
      <w:r w:rsidRPr="003F1ECF" w:rsidR="003C2618">
        <w:t xml:space="preserve">severe </w:t>
      </w:r>
      <w:r w:rsidRPr="003F1ECF" w:rsidR="00601588">
        <w:t>noncompliance</w:t>
      </w:r>
      <w:r w:rsidRPr="003F1ECF" w:rsidR="003C2618">
        <w:t xml:space="preserve"> with applicable Federal standards</w:t>
      </w:r>
      <w:r w:rsidRPr="003F1ECF" w:rsidR="00601588">
        <w:t xml:space="preserve">. We </w:t>
      </w:r>
      <w:r w:rsidRPr="003F1ECF">
        <w:t xml:space="preserve">will continue </w:t>
      </w:r>
      <w:r w:rsidRPr="003F1ECF" w:rsidR="00601588">
        <w:t xml:space="preserve">to provide technical assistance to issuers, as appropriate, to assist them in maintaining compliance with the applicable </w:t>
      </w:r>
      <w:r w:rsidRPr="003F1ECF" w:rsidR="003C2618">
        <w:t xml:space="preserve">Federal </w:t>
      </w:r>
      <w:r w:rsidRPr="003F1ECF" w:rsidR="00601588">
        <w:t>standards. W</w:t>
      </w:r>
      <w:r w:rsidRPr="003F1ECF" w:rsidR="00071EAD">
        <w:t>e also plan to</w:t>
      </w:r>
      <w:r w:rsidRPr="003F1ECF" w:rsidR="003C2618">
        <w:t xml:space="preserve"> continue</w:t>
      </w:r>
      <w:r w:rsidRPr="003F1ECF" w:rsidR="00071EAD">
        <w:t xml:space="preserve"> coordinat</w:t>
      </w:r>
      <w:r w:rsidRPr="003F1ECF" w:rsidR="003C2618">
        <w:t>ing</w:t>
      </w:r>
      <w:r w:rsidRPr="003F1ECF" w:rsidR="00071EAD">
        <w:t xml:space="preserve"> with S</w:t>
      </w:r>
      <w:r w:rsidRPr="003F1ECF" w:rsidR="00601588">
        <w:t>tates in our oversight and enforcement activities to avoid duplicative enforcement efforts.</w:t>
      </w:r>
      <w:bookmarkStart w:id="46" w:name="Section_156.810_sets_forth_the_bases_for"/>
      <w:bookmarkEnd w:id="46"/>
    </w:p>
    <w:p w:rsidR="002F3D35" w:rsidRPr="003F1ECF" w:rsidP="007B3FAB" w14:paraId="1850D50A" w14:textId="77777777">
      <w:pPr>
        <w:pStyle w:val="BodyText"/>
      </w:pPr>
    </w:p>
    <w:p w:rsidR="00F11040" w:rsidRPr="003F1ECF" w:rsidP="007B3FAB" w14:paraId="6D8FF233" w14:textId="583B411F">
      <w:pPr>
        <w:pStyle w:val="BodyText"/>
      </w:pPr>
      <w:r>
        <w:t>N</w:t>
      </w:r>
      <w:r w:rsidRPr="003F1ECF">
        <w:t>o CMPs have been imposed in the last several years</w:t>
      </w:r>
      <w:r>
        <w:t xml:space="preserve"> and w</w:t>
      </w:r>
      <w:r w:rsidRPr="003F1ECF" w:rsidR="008F495A">
        <w:t xml:space="preserve">e estimate that this trend will continue in the </w:t>
      </w:r>
      <w:r w:rsidRPr="003F1ECF" w:rsidR="00FF1FD3">
        <w:t>future.</w:t>
      </w:r>
      <w:r w:rsidRPr="003F1ECF" w:rsidR="00390491">
        <w:t xml:space="preserve"> </w:t>
      </w:r>
      <w:r w:rsidRPr="00E93283" w:rsidR="00E93283">
        <w:rPr>
          <w:b/>
          <w:bCs/>
        </w:rPr>
        <w:t xml:space="preserve">Given that we estimate that only one </w:t>
      </w:r>
      <w:r w:rsidR="00E93283">
        <w:rPr>
          <w:b/>
          <w:bCs/>
        </w:rPr>
        <w:t>issuer will receive and appeal a CMP</w:t>
      </w:r>
      <w:r w:rsidRPr="00E93283" w:rsidR="00E93283">
        <w:rPr>
          <w:b/>
          <w:bCs/>
        </w:rPr>
        <w:t xml:space="preserve"> </w:t>
      </w:r>
      <w:r w:rsidR="00E93283">
        <w:rPr>
          <w:b/>
          <w:bCs/>
        </w:rPr>
        <w:t>in the next three years</w:t>
      </w:r>
      <w:r w:rsidRPr="00E93283" w:rsidR="00E93283">
        <w:rPr>
          <w:b/>
          <w:bCs/>
        </w:rPr>
        <w:t>, this collection is exempt from PRA requirements and will not be included in total burden calculations</w:t>
      </w:r>
      <w:r w:rsidR="00E93283">
        <w:rPr>
          <w:b/>
          <w:bCs/>
        </w:rPr>
        <w:t>.</w:t>
      </w:r>
      <w:r w:rsidRPr="003F1ECF" w:rsidR="00E93283">
        <w:t xml:space="preserve"> </w:t>
      </w:r>
      <w:r w:rsidRPr="003F1ECF" w:rsidR="008F495A">
        <w:t xml:space="preserve">We estimate that </w:t>
      </w:r>
      <w:r w:rsidRPr="003F1ECF" w:rsidR="00FF1FD3">
        <w:t>each</w:t>
      </w:r>
      <w:r w:rsidRPr="003F1ECF" w:rsidR="008F495A">
        <w:t xml:space="preserve"> issuer receiving and appealing a CMP will utilize a compliance off</w:t>
      </w:r>
      <w:r w:rsidRPr="003F1ECF" w:rsidR="00806DEE">
        <w:t>ic</w:t>
      </w:r>
      <w:r w:rsidRPr="003F1ECF" w:rsidR="008F495A">
        <w:t xml:space="preserve">er at </w:t>
      </w:r>
      <w:r w:rsidRPr="003F1ECF" w:rsidR="003C2618">
        <w:t>a median hourly rate of $</w:t>
      </w:r>
      <w:r>
        <w:t>75.40</w:t>
      </w:r>
      <w:r w:rsidRPr="003F1ECF" w:rsidR="008F495A">
        <w:t xml:space="preserve"> for 60 hours, a lawyer </w:t>
      </w:r>
      <w:r w:rsidRPr="003F1ECF" w:rsidR="008F495A">
        <w:t xml:space="preserve">at </w:t>
      </w:r>
      <w:r w:rsidRPr="003F1ECF" w:rsidR="003C2618">
        <w:t>a median hourly rate of $</w:t>
      </w:r>
      <w:r>
        <w:t>145.34</w:t>
      </w:r>
      <w:r w:rsidRPr="003F1ECF" w:rsidR="003C2618">
        <w:t xml:space="preserve"> </w:t>
      </w:r>
      <w:r w:rsidRPr="003F1ECF" w:rsidR="008F495A">
        <w:t>for 60 hours, and a general and operations manager at</w:t>
      </w:r>
      <w:r w:rsidRPr="003F1ECF" w:rsidR="003C2618">
        <w:t xml:space="preserve"> a median hourly rate of</w:t>
      </w:r>
      <w:r w:rsidRPr="003F1ECF" w:rsidR="008F495A">
        <w:t xml:space="preserve"> </w:t>
      </w:r>
      <w:r w:rsidRPr="003F1ECF" w:rsidR="003C2618">
        <w:t>$</w:t>
      </w:r>
      <w:r>
        <w:t>99.00</w:t>
      </w:r>
      <w:r w:rsidRPr="003F1ECF" w:rsidR="003C2618">
        <w:t xml:space="preserve"> </w:t>
      </w:r>
      <w:r w:rsidRPr="003F1ECF" w:rsidR="008F495A">
        <w:t xml:space="preserve">for 30 hours. </w:t>
      </w:r>
      <w:r w:rsidR="003468E8">
        <w:t>W</w:t>
      </w:r>
      <w:r w:rsidRPr="003F1ECF" w:rsidR="008F495A">
        <w:t xml:space="preserve">e estimate the </w:t>
      </w:r>
      <w:r w:rsidRPr="003F1ECF" w:rsidR="003C2618">
        <w:t xml:space="preserve">total burden </w:t>
      </w:r>
      <w:r w:rsidRPr="003F1ECF" w:rsidR="008F495A">
        <w:t>for an issuer receiving and appealing a CMP to be</w:t>
      </w:r>
      <w:r w:rsidRPr="003F1ECF" w:rsidR="003C2618">
        <w:t xml:space="preserve"> 150 hours </w:t>
      </w:r>
      <w:r w:rsidR="003468E8">
        <w:t>at a cost of</w:t>
      </w:r>
      <w:r w:rsidRPr="003F1ECF" w:rsidR="008F495A">
        <w:t xml:space="preserve"> </w:t>
      </w:r>
      <w:r w:rsidRPr="003F1ECF" w:rsidR="003C2618">
        <w:t>$</w:t>
      </w:r>
      <w:r>
        <w:t>16,214.40</w:t>
      </w:r>
      <w:r w:rsidRPr="003F1ECF" w:rsidR="00E878C9">
        <w:t>.</w:t>
      </w:r>
    </w:p>
    <w:p w:rsidR="007D21B0" w:rsidP="007B3FAB" w14:paraId="6FC600DC" w14:textId="77777777">
      <w:pPr>
        <w:pStyle w:val="BodyText"/>
        <w:rPr>
          <w:b/>
        </w:rPr>
      </w:pPr>
    </w:p>
    <w:p w:rsidR="00792592" w:rsidRPr="000D4B13" w:rsidP="000D4B13" w14:paraId="2937D6DF" w14:textId="7D8F36C1">
      <w:pPr>
        <w:pStyle w:val="BodyText"/>
        <w:spacing w:after="120"/>
        <w:rPr>
          <w:b/>
        </w:rPr>
      </w:pPr>
      <w:r w:rsidRPr="00C6238C">
        <w:rPr>
          <w:b/>
        </w:rPr>
        <w:t>Table 3: Issuer Burden in Receiving and</w:t>
      </w:r>
      <w:r w:rsidRPr="00C6238C" w:rsidR="00071EAD">
        <w:rPr>
          <w:b/>
        </w:rPr>
        <w:t xml:space="preserve"> Appealing Civil Money Penalty</w:t>
      </w:r>
    </w:p>
    <w:tbl>
      <w:tblPr>
        <w:tblStyle w:val="TableGrid"/>
        <w:tblW w:w="9355" w:type="dxa"/>
        <w:tblLayout w:type="fixed"/>
        <w:tblLook w:val="04A0"/>
      </w:tblPr>
      <w:tblGrid>
        <w:gridCol w:w="1795"/>
        <w:gridCol w:w="1440"/>
        <w:gridCol w:w="1800"/>
        <w:gridCol w:w="1350"/>
        <w:gridCol w:w="1530"/>
        <w:gridCol w:w="1440"/>
      </w:tblGrid>
      <w:tr w14:paraId="7493EBBA" w14:textId="77777777" w:rsidTr="00276C8E">
        <w:tblPrEx>
          <w:tblW w:w="9355" w:type="dxa"/>
          <w:tblLayout w:type="fixed"/>
          <w:tblLook w:val="04A0"/>
        </w:tblPrEx>
        <w:tc>
          <w:tcPr>
            <w:tcW w:w="1795" w:type="dxa"/>
          </w:tcPr>
          <w:p w:rsidR="00792592" w:rsidRPr="003F1ECF" w:rsidP="00A108DC" w14:paraId="5E3AE1F5" w14:textId="32D7FC79">
            <w:pPr>
              <w:pStyle w:val="BodyText"/>
              <w:rPr>
                <w:b/>
                <w:bCs/>
              </w:rPr>
            </w:pPr>
            <w:r w:rsidRPr="003F1ECF">
              <w:rPr>
                <w:b/>
                <w:bCs/>
              </w:rPr>
              <w:t xml:space="preserve">Labor </w:t>
            </w:r>
            <w:r w:rsidRPr="003F1ECF" w:rsidR="00806DEE">
              <w:rPr>
                <w:b/>
                <w:bCs/>
              </w:rPr>
              <w:t>C</w:t>
            </w:r>
            <w:r w:rsidRPr="003F1ECF">
              <w:rPr>
                <w:b/>
                <w:bCs/>
              </w:rPr>
              <w:t>ategory</w:t>
            </w:r>
          </w:p>
        </w:tc>
        <w:tc>
          <w:tcPr>
            <w:tcW w:w="1440" w:type="dxa"/>
          </w:tcPr>
          <w:p w:rsidR="00792592" w:rsidRPr="003F1ECF" w:rsidP="006804C6" w14:paraId="13FB4FA5" w14:textId="77777777">
            <w:pPr>
              <w:pStyle w:val="BodyText"/>
              <w:ind w:left="-110" w:right="-110"/>
              <w:jc w:val="center"/>
              <w:rPr>
                <w:b/>
                <w:bCs/>
              </w:rPr>
            </w:pPr>
            <w:r w:rsidRPr="003F1ECF">
              <w:rPr>
                <w:b/>
                <w:bCs/>
              </w:rPr>
              <w:t>Number of Respondents</w:t>
            </w:r>
          </w:p>
        </w:tc>
        <w:tc>
          <w:tcPr>
            <w:tcW w:w="1800" w:type="dxa"/>
          </w:tcPr>
          <w:p w:rsidR="00792592" w:rsidRPr="003F1ECF" w:rsidP="006804C6" w14:paraId="2B2B260A" w14:textId="3E34F1DB">
            <w:pPr>
              <w:pStyle w:val="BodyText"/>
              <w:ind w:left="-110" w:right="-110"/>
              <w:jc w:val="center"/>
              <w:rPr>
                <w:b/>
                <w:bCs/>
              </w:rPr>
            </w:pPr>
            <w:r w:rsidRPr="003F1ECF">
              <w:rPr>
                <w:b/>
                <w:bCs/>
              </w:rPr>
              <w:t xml:space="preserve">Hourly Labor Costs (Hourly </w:t>
            </w:r>
            <w:r w:rsidRPr="003F1ECF" w:rsidR="00806DEE">
              <w:rPr>
                <w:b/>
                <w:bCs/>
              </w:rPr>
              <w:t xml:space="preserve">Rate </w:t>
            </w:r>
            <w:r w:rsidRPr="003F1ECF">
              <w:rPr>
                <w:b/>
                <w:bCs/>
              </w:rPr>
              <w:t>+ 100% Fringe Benefits)</w:t>
            </w:r>
          </w:p>
        </w:tc>
        <w:tc>
          <w:tcPr>
            <w:tcW w:w="1350" w:type="dxa"/>
          </w:tcPr>
          <w:p w:rsidR="00792592" w:rsidRPr="003F1ECF" w:rsidP="006804C6" w14:paraId="315F10D8" w14:textId="72B02FAF">
            <w:pPr>
              <w:pStyle w:val="BodyText"/>
              <w:ind w:left="-110" w:right="-110"/>
              <w:jc w:val="center"/>
              <w:rPr>
                <w:b/>
                <w:bCs/>
              </w:rPr>
            </w:pPr>
            <w:r w:rsidRPr="003F1ECF">
              <w:rPr>
                <w:b/>
                <w:bCs/>
              </w:rPr>
              <w:t>Burden Hours</w:t>
            </w:r>
            <w:r w:rsidRPr="003F1ECF" w:rsidR="002F3D35">
              <w:rPr>
                <w:b/>
                <w:bCs/>
              </w:rPr>
              <w:t xml:space="preserve"> (Per Respondent)</w:t>
            </w:r>
          </w:p>
        </w:tc>
        <w:tc>
          <w:tcPr>
            <w:tcW w:w="1530" w:type="dxa"/>
          </w:tcPr>
          <w:p w:rsidR="00792592" w:rsidRPr="003F1ECF" w:rsidP="006804C6" w14:paraId="271605B0" w14:textId="093ED99B">
            <w:pPr>
              <w:pStyle w:val="BodyText"/>
              <w:ind w:left="-110" w:right="-110"/>
              <w:jc w:val="center"/>
              <w:rPr>
                <w:b/>
                <w:bCs/>
              </w:rPr>
            </w:pPr>
            <w:r w:rsidRPr="003F1ECF">
              <w:rPr>
                <w:b/>
                <w:bCs/>
              </w:rPr>
              <w:t>Total Burden Costs (P</w:t>
            </w:r>
            <w:r w:rsidRPr="003F1ECF">
              <w:rPr>
                <w:b/>
                <w:bCs/>
              </w:rPr>
              <w:t>er Respondent)</w:t>
            </w:r>
          </w:p>
        </w:tc>
        <w:tc>
          <w:tcPr>
            <w:tcW w:w="1440" w:type="dxa"/>
          </w:tcPr>
          <w:p w:rsidR="00792592" w:rsidRPr="003F1ECF" w:rsidP="006804C6" w14:paraId="12E4F4E7" w14:textId="77777777">
            <w:pPr>
              <w:pStyle w:val="BodyText"/>
              <w:ind w:left="-110" w:right="-110"/>
              <w:jc w:val="center"/>
              <w:rPr>
                <w:b/>
                <w:bCs/>
              </w:rPr>
            </w:pPr>
            <w:r w:rsidRPr="003F1ECF">
              <w:rPr>
                <w:b/>
                <w:bCs/>
              </w:rPr>
              <w:t>Total Burden Costs (All Respondents)</w:t>
            </w:r>
          </w:p>
        </w:tc>
      </w:tr>
      <w:tr w14:paraId="67CD9984" w14:textId="77777777" w:rsidTr="00276C8E">
        <w:tblPrEx>
          <w:tblW w:w="9355" w:type="dxa"/>
          <w:tblLayout w:type="fixed"/>
          <w:tblLook w:val="04A0"/>
        </w:tblPrEx>
        <w:tc>
          <w:tcPr>
            <w:tcW w:w="1795" w:type="dxa"/>
          </w:tcPr>
          <w:p w:rsidR="00F21C98" w:rsidRPr="003F1ECF" w:rsidP="00F21C98" w14:paraId="69C7260B" w14:textId="77777777">
            <w:pPr>
              <w:pStyle w:val="BodyText"/>
            </w:pPr>
            <w:r w:rsidRPr="003F1ECF">
              <w:t>Compliance Officer</w:t>
            </w:r>
          </w:p>
        </w:tc>
        <w:tc>
          <w:tcPr>
            <w:tcW w:w="1440" w:type="dxa"/>
          </w:tcPr>
          <w:p w:rsidR="00F21C98" w:rsidRPr="00F21C98" w:rsidP="006804C6" w14:paraId="180B6E5B" w14:textId="600192CC">
            <w:pPr>
              <w:pStyle w:val="BodyText"/>
              <w:ind w:left="-110" w:right="-110"/>
              <w:jc w:val="center"/>
            </w:pPr>
            <w:r w:rsidRPr="00F21C98">
              <w:t>1</w:t>
            </w:r>
          </w:p>
        </w:tc>
        <w:tc>
          <w:tcPr>
            <w:tcW w:w="1800" w:type="dxa"/>
          </w:tcPr>
          <w:p w:rsidR="00F21C98" w:rsidRPr="00F21C98" w:rsidP="006804C6" w14:paraId="0995644A" w14:textId="33830744">
            <w:pPr>
              <w:pStyle w:val="BodyText"/>
              <w:ind w:left="-110" w:right="-110"/>
              <w:jc w:val="center"/>
            </w:pPr>
            <w:r w:rsidRPr="00F21C98">
              <w:t>$</w:t>
            </w:r>
            <w:r w:rsidR="00E92731">
              <w:t>75.40</w:t>
            </w:r>
          </w:p>
        </w:tc>
        <w:tc>
          <w:tcPr>
            <w:tcW w:w="1350" w:type="dxa"/>
          </w:tcPr>
          <w:p w:rsidR="00F21C98" w:rsidRPr="003F1ECF" w:rsidP="006804C6" w14:paraId="43352C72" w14:textId="77777777">
            <w:pPr>
              <w:pStyle w:val="BodyText"/>
              <w:ind w:left="-110" w:right="-110"/>
              <w:jc w:val="center"/>
            </w:pPr>
            <w:r w:rsidRPr="003F1ECF">
              <w:t>60</w:t>
            </w:r>
          </w:p>
        </w:tc>
        <w:tc>
          <w:tcPr>
            <w:tcW w:w="1530" w:type="dxa"/>
          </w:tcPr>
          <w:p w:rsidR="00F21C98" w:rsidRPr="003F1ECF" w:rsidP="006804C6" w14:paraId="69F6E8C7" w14:textId="34FBF890">
            <w:pPr>
              <w:pStyle w:val="BodyText"/>
              <w:ind w:left="-110" w:right="-110"/>
              <w:jc w:val="center"/>
            </w:pPr>
            <w:r w:rsidRPr="003F1ECF">
              <w:t>$</w:t>
            </w:r>
            <w:r w:rsidR="00E92731">
              <w:t>4,524.00</w:t>
            </w:r>
          </w:p>
        </w:tc>
        <w:tc>
          <w:tcPr>
            <w:tcW w:w="1440" w:type="dxa"/>
          </w:tcPr>
          <w:p w:rsidR="00F21C98" w:rsidRPr="008D4DFB" w:rsidP="006804C6" w14:paraId="404D128E" w14:textId="4C870940">
            <w:pPr>
              <w:pStyle w:val="BodyText"/>
              <w:ind w:left="-110" w:right="-110"/>
              <w:jc w:val="center"/>
              <w:rPr>
                <w:color w:val="FF0000"/>
                <w:highlight w:val="yellow"/>
              </w:rPr>
            </w:pPr>
            <w:r w:rsidRPr="003F1ECF">
              <w:t>$</w:t>
            </w:r>
            <w:r w:rsidR="00E92731">
              <w:t>4,524.00</w:t>
            </w:r>
          </w:p>
        </w:tc>
      </w:tr>
      <w:tr w14:paraId="6D936FB9" w14:textId="77777777" w:rsidTr="00276C8E">
        <w:tblPrEx>
          <w:tblW w:w="9355" w:type="dxa"/>
          <w:tblLayout w:type="fixed"/>
          <w:tblLook w:val="04A0"/>
        </w:tblPrEx>
        <w:tc>
          <w:tcPr>
            <w:tcW w:w="1795" w:type="dxa"/>
          </w:tcPr>
          <w:p w:rsidR="00F21C98" w:rsidRPr="003F1ECF" w:rsidP="00F21C98" w14:paraId="5587452D" w14:textId="6B882A5C">
            <w:pPr>
              <w:pStyle w:val="BodyText"/>
            </w:pPr>
            <w:r w:rsidRPr="003F1ECF">
              <w:t>Lawyer</w:t>
            </w:r>
          </w:p>
        </w:tc>
        <w:tc>
          <w:tcPr>
            <w:tcW w:w="1440" w:type="dxa"/>
          </w:tcPr>
          <w:p w:rsidR="00F21C98" w:rsidRPr="00F21C98" w:rsidP="006804C6" w14:paraId="4175C296" w14:textId="637461BB">
            <w:pPr>
              <w:pStyle w:val="BodyText"/>
              <w:ind w:left="-110" w:right="-110"/>
              <w:jc w:val="center"/>
            </w:pPr>
            <w:r w:rsidRPr="00F21C98">
              <w:t>1</w:t>
            </w:r>
          </w:p>
        </w:tc>
        <w:tc>
          <w:tcPr>
            <w:tcW w:w="1800" w:type="dxa"/>
          </w:tcPr>
          <w:p w:rsidR="00F21C98" w:rsidRPr="00F21C98" w:rsidP="006804C6" w14:paraId="5DB6DC44" w14:textId="66EF3115">
            <w:pPr>
              <w:pStyle w:val="BodyText"/>
              <w:ind w:left="-110" w:right="-110"/>
              <w:jc w:val="center"/>
            </w:pPr>
            <w:r w:rsidRPr="00F21C98">
              <w:t>$</w:t>
            </w:r>
            <w:r w:rsidR="00E92731">
              <w:t>145.34</w:t>
            </w:r>
          </w:p>
        </w:tc>
        <w:tc>
          <w:tcPr>
            <w:tcW w:w="1350" w:type="dxa"/>
          </w:tcPr>
          <w:p w:rsidR="00F21C98" w:rsidRPr="003F1ECF" w:rsidP="006804C6" w14:paraId="4B2D0C7F" w14:textId="77777777">
            <w:pPr>
              <w:pStyle w:val="BodyText"/>
              <w:ind w:left="-110" w:right="-110"/>
              <w:jc w:val="center"/>
            </w:pPr>
            <w:r w:rsidRPr="003F1ECF">
              <w:t>60</w:t>
            </w:r>
          </w:p>
        </w:tc>
        <w:tc>
          <w:tcPr>
            <w:tcW w:w="1530" w:type="dxa"/>
          </w:tcPr>
          <w:p w:rsidR="00F21C98" w:rsidRPr="003F1ECF" w:rsidP="006804C6" w14:paraId="1A453E47" w14:textId="243DC514">
            <w:pPr>
              <w:pStyle w:val="BodyText"/>
              <w:ind w:left="-110" w:right="-110"/>
              <w:jc w:val="center"/>
            </w:pPr>
            <w:r w:rsidRPr="003F1ECF">
              <w:t>$</w:t>
            </w:r>
            <w:r w:rsidR="00E92731">
              <w:t>8,720.40</w:t>
            </w:r>
          </w:p>
        </w:tc>
        <w:tc>
          <w:tcPr>
            <w:tcW w:w="1440" w:type="dxa"/>
          </w:tcPr>
          <w:p w:rsidR="00F21C98" w:rsidRPr="008D4DFB" w:rsidP="006804C6" w14:paraId="6D72F0F9" w14:textId="10C69453">
            <w:pPr>
              <w:pStyle w:val="BodyText"/>
              <w:ind w:left="-110" w:right="-110"/>
              <w:jc w:val="center"/>
              <w:rPr>
                <w:color w:val="FF0000"/>
                <w:highlight w:val="yellow"/>
              </w:rPr>
            </w:pPr>
            <w:r w:rsidRPr="003F1ECF">
              <w:t>$</w:t>
            </w:r>
            <w:r w:rsidR="00E92731">
              <w:t>8,720.40</w:t>
            </w:r>
          </w:p>
        </w:tc>
      </w:tr>
      <w:tr w14:paraId="40E23CB5" w14:textId="77777777" w:rsidTr="00276C8E">
        <w:tblPrEx>
          <w:tblW w:w="9355" w:type="dxa"/>
          <w:tblLayout w:type="fixed"/>
          <w:tblLook w:val="04A0"/>
        </w:tblPrEx>
        <w:tc>
          <w:tcPr>
            <w:tcW w:w="1795" w:type="dxa"/>
          </w:tcPr>
          <w:p w:rsidR="00F21C98" w:rsidRPr="003F1ECF" w:rsidP="00F21C98" w14:paraId="4C32025E" w14:textId="39771662">
            <w:pPr>
              <w:pStyle w:val="BodyText"/>
            </w:pPr>
            <w:r w:rsidRPr="003F1ECF">
              <w:t>General and Operations Manager</w:t>
            </w:r>
          </w:p>
        </w:tc>
        <w:tc>
          <w:tcPr>
            <w:tcW w:w="1440" w:type="dxa"/>
          </w:tcPr>
          <w:p w:rsidR="00F21C98" w:rsidRPr="00F21C98" w:rsidP="006804C6" w14:paraId="3591BB39" w14:textId="70A3C9D7">
            <w:pPr>
              <w:pStyle w:val="BodyText"/>
              <w:ind w:left="-110" w:right="-110"/>
              <w:jc w:val="center"/>
            </w:pPr>
            <w:r w:rsidRPr="00F21C98">
              <w:t>1</w:t>
            </w:r>
          </w:p>
        </w:tc>
        <w:tc>
          <w:tcPr>
            <w:tcW w:w="1800" w:type="dxa"/>
          </w:tcPr>
          <w:p w:rsidR="00F21C98" w:rsidRPr="00F21C98" w:rsidP="006804C6" w14:paraId="32C842D7" w14:textId="7E14A0A5">
            <w:pPr>
              <w:pStyle w:val="BodyText"/>
              <w:ind w:left="-110" w:right="-110"/>
              <w:jc w:val="center"/>
            </w:pPr>
            <w:r w:rsidRPr="00F21C98">
              <w:t>$</w:t>
            </w:r>
            <w:r w:rsidR="00E92731">
              <w:t>99.00</w:t>
            </w:r>
          </w:p>
        </w:tc>
        <w:tc>
          <w:tcPr>
            <w:tcW w:w="1350" w:type="dxa"/>
          </w:tcPr>
          <w:p w:rsidR="00F21C98" w:rsidRPr="003F1ECF" w:rsidP="006804C6" w14:paraId="47B8F05F" w14:textId="77777777">
            <w:pPr>
              <w:pStyle w:val="BodyText"/>
              <w:ind w:left="-110" w:right="-110"/>
              <w:jc w:val="center"/>
            </w:pPr>
            <w:r w:rsidRPr="003F1ECF">
              <w:t>30</w:t>
            </w:r>
          </w:p>
        </w:tc>
        <w:tc>
          <w:tcPr>
            <w:tcW w:w="1530" w:type="dxa"/>
          </w:tcPr>
          <w:p w:rsidR="00F21C98" w:rsidRPr="003F1ECF" w:rsidP="006804C6" w14:paraId="1CEA442E" w14:textId="60E3DD41">
            <w:pPr>
              <w:pStyle w:val="BodyText"/>
              <w:ind w:left="-110" w:right="-110"/>
              <w:jc w:val="center"/>
            </w:pPr>
            <w:r w:rsidRPr="003F1ECF">
              <w:t>$</w:t>
            </w:r>
            <w:r w:rsidR="00E92731">
              <w:t>2,970.00</w:t>
            </w:r>
          </w:p>
        </w:tc>
        <w:tc>
          <w:tcPr>
            <w:tcW w:w="1440" w:type="dxa"/>
          </w:tcPr>
          <w:p w:rsidR="00F21C98" w:rsidRPr="008D4DFB" w:rsidP="006804C6" w14:paraId="6246601E" w14:textId="461A8DFC">
            <w:pPr>
              <w:pStyle w:val="BodyText"/>
              <w:ind w:left="-110" w:right="-110"/>
              <w:jc w:val="center"/>
              <w:rPr>
                <w:color w:val="FF0000"/>
                <w:highlight w:val="yellow"/>
              </w:rPr>
            </w:pPr>
            <w:r w:rsidRPr="003F1ECF">
              <w:t>$</w:t>
            </w:r>
            <w:r w:rsidR="00E92731">
              <w:t>2,970.00</w:t>
            </w:r>
          </w:p>
        </w:tc>
      </w:tr>
      <w:tr w14:paraId="29BFF4D6" w14:textId="77777777" w:rsidTr="00AB2EC8">
        <w:tblPrEx>
          <w:tblW w:w="9355" w:type="dxa"/>
          <w:tblLayout w:type="fixed"/>
          <w:tblLook w:val="04A0"/>
        </w:tblPrEx>
        <w:trPr>
          <w:trHeight w:val="332"/>
        </w:trPr>
        <w:tc>
          <w:tcPr>
            <w:tcW w:w="1795" w:type="dxa"/>
          </w:tcPr>
          <w:p w:rsidR="00F21C98" w:rsidRPr="003F1ECF" w:rsidP="00F21C98" w14:paraId="423FD57A" w14:textId="77777777">
            <w:pPr>
              <w:pStyle w:val="BodyText"/>
              <w:rPr>
                <w:b/>
                <w:bCs/>
              </w:rPr>
            </w:pPr>
            <w:r w:rsidRPr="003F1ECF">
              <w:rPr>
                <w:b/>
                <w:bCs/>
              </w:rPr>
              <w:t>Total</w:t>
            </w:r>
          </w:p>
        </w:tc>
        <w:tc>
          <w:tcPr>
            <w:tcW w:w="1440" w:type="dxa"/>
          </w:tcPr>
          <w:p w:rsidR="00F21C98" w:rsidRPr="003F1ECF" w:rsidP="006804C6" w14:paraId="25ED8E7A" w14:textId="77777777">
            <w:pPr>
              <w:pStyle w:val="BodyText"/>
              <w:ind w:left="-110" w:right="-110"/>
              <w:jc w:val="center"/>
              <w:rPr>
                <w:b/>
                <w:bCs/>
              </w:rPr>
            </w:pPr>
          </w:p>
        </w:tc>
        <w:tc>
          <w:tcPr>
            <w:tcW w:w="1800" w:type="dxa"/>
          </w:tcPr>
          <w:p w:rsidR="00F21C98" w:rsidRPr="003F1ECF" w:rsidP="006804C6" w14:paraId="257F9A0A" w14:textId="77777777">
            <w:pPr>
              <w:pStyle w:val="BodyText"/>
              <w:ind w:left="-110" w:right="-110"/>
              <w:jc w:val="center"/>
              <w:rPr>
                <w:b/>
                <w:bCs/>
              </w:rPr>
            </w:pPr>
          </w:p>
        </w:tc>
        <w:tc>
          <w:tcPr>
            <w:tcW w:w="1350" w:type="dxa"/>
          </w:tcPr>
          <w:p w:rsidR="00F21C98" w:rsidRPr="003F1ECF" w:rsidP="006804C6" w14:paraId="2B45428F" w14:textId="77777777">
            <w:pPr>
              <w:pStyle w:val="BodyText"/>
              <w:ind w:left="-110" w:right="-110"/>
              <w:jc w:val="center"/>
              <w:rPr>
                <w:b/>
                <w:bCs/>
              </w:rPr>
            </w:pPr>
            <w:r w:rsidRPr="003F1ECF">
              <w:rPr>
                <w:b/>
                <w:bCs/>
              </w:rPr>
              <w:t>150</w:t>
            </w:r>
          </w:p>
        </w:tc>
        <w:tc>
          <w:tcPr>
            <w:tcW w:w="1530" w:type="dxa"/>
          </w:tcPr>
          <w:p w:rsidR="00F21C98" w:rsidRPr="003F1ECF" w:rsidP="006804C6" w14:paraId="1B172205" w14:textId="5D548591">
            <w:pPr>
              <w:pStyle w:val="BodyText"/>
              <w:ind w:left="-110" w:right="-110"/>
              <w:jc w:val="center"/>
              <w:rPr>
                <w:b/>
                <w:bCs/>
              </w:rPr>
            </w:pPr>
            <w:r w:rsidRPr="003F1ECF">
              <w:rPr>
                <w:b/>
                <w:bCs/>
              </w:rPr>
              <w:t>$</w:t>
            </w:r>
            <w:r w:rsidR="00E92731">
              <w:rPr>
                <w:b/>
                <w:bCs/>
              </w:rPr>
              <w:t>16,214.40</w:t>
            </w:r>
          </w:p>
        </w:tc>
        <w:tc>
          <w:tcPr>
            <w:tcW w:w="1440" w:type="dxa"/>
          </w:tcPr>
          <w:p w:rsidR="00F21C98" w:rsidRPr="003F1ECF" w:rsidP="006804C6" w14:paraId="6180EAE3" w14:textId="30421642">
            <w:pPr>
              <w:pStyle w:val="BodyText"/>
              <w:ind w:left="-110" w:right="-110"/>
              <w:jc w:val="center"/>
              <w:rPr>
                <w:b/>
                <w:bCs/>
              </w:rPr>
            </w:pPr>
            <w:r w:rsidRPr="003F1ECF">
              <w:rPr>
                <w:b/>
                <w:bCs/>
              </w:rPr>
              <w:t>$</w:t>
            </w:r>
            <w:r w:rsidR="00E92731">
              <w:rPr>
                <w:b/>
                <w:bCs/>
              </w:rPr>
              <w:t>16,214.40</w:t>
            </w:r>
          </w:p>
        </w:tc>
      </w:tr>
    </w:tbl>
    <w:p w:rsidR="00792592" w:rsidRPr="003F1ECF" w:rsidP="007B3FAB" w14:paraId="003E805F" w14:textId="0C09C6D4">
      <w:pPr>
        <w:pStyle w:val="BodyText"/>
      </w:pPr>
    </w:p>
    <w:p w:rsidR="007F348C" w:rsidRPr="003F1ECF" w:rsidP="007B3FAB" w14:paraId="45285192" w14:textId="2C2E1BE8">
      <w:pPr>
        <w:pStyle w:val="BodyText"/>
      </w:pPr>
      <w:r w:rsidRPr="003F1ECF">
        <w:t xml:space="preserve">Section 156.810 </w:t>
      </w:r>
      <w:r w:rsidRPr="003F1ECF">
        <w:t>provides</w:t>
      </w:r>
      <w:r w:rsidRPr="003F1ECF">
        <w:t xml:space="preserve"> the bases for </w:t>
      </w:r>
      <w:r w:rsidRPr="003F1ECF">
        <w:rPr>
          <w:spacing w:val="-3"/>
        </w:rPr>
        <w:t xml:space="preserve">the </w:t>
      </w:r>
      <w:r w:rsidRPr="003F1ECF">
        <w:t xml:space="preserve">decertification of a </w:t>
      </w:r>
      <w:r w:rsidRPr="003F1ECF">
        <w:rPr>
          <w:spacing w:val="-3"/>
        </w:rPr>
        <w:t xml:space="preserve">QHP </w:t>
      </w:r>
      <w:r w:rsidRPr="003F1ECF">
        <w:rPr>
          <w:spacing w:val="-4"/>
        </w:rPr>
        <w:t xml:space="preserve">in </w:t>
      </w:r>
      <w:r w:rsidRPr="003F1ECF">
        <w:t xml:space="preserve">an </w:t>
      </w:r>
      <w:r w:rsidRPr="003F1ECF">
        <w:rPr>
          <w:spacing w:val="-3"/>
        </w:rPr>
        <w:t xml:space="preserve">FFE </w:t>
      </w:r>
      <w:r w:rsidRPr="003F1ECF">
        <w:t xml:space="preserve">and the general process for decertification. </w:t>
      </w:r>
      <w:r w:rsidRPr="003F1ECF" w:rsidR="00AE2A13">
        <w:t>Decertification is reserved fo</w:t>
      </w:r>
      <w:r w:rsidRPr="003F1ECF" w:rsidR="0045112C">
        <w:t xml:space="preserve">r only instances of </w:t>
      </w:r>
      <w:r w:rsidRPr="003F1ECF">
        <w:t xml:space="preserve">severe </w:t>
      </w:r>
      <w:r w:rsidRPr="003F1ECF" w:rsidR="0045112C">
        <w:t>non</w:t>
      </w:r>
      <w:r w:rsidRPr="003F1ECF" w:rsidR="00AE2A13">
        <w:t>compliance with applicable</w:t>
      </w:r>
      <w:r w:rsidRPr="003F1ECF">
        <w:t xml:space="preserve"> Federal</w:t>
      </w:r>
      <w:r w:rsidRPr="003F1ECF" w:rsidR="00AE2A13">
        <w:t xml:space="preserve"> standards. </w:t>
      </w:r>
      <w:r w:rsidRPr="003F1ECF">
        <w:rPr>
          <w:spacing w:val="4"/>
        </w:rPr>
        <w:t xml:space="preserve">HHS </w:t>
      </w:r>
      <w:r w:rsidRPr="003F1ECF">
        <w:t xml:space="preserve">anticipates </w:t>
      </w:r>
      <w:r w:rsidRPr="003F1ECF">
        <w:t xml:space="preserve">that decertification will </w:t>
      </w:r>
      <w:r w:rsidRPr="003F1ECF" w:rsidR="00AE2A13">
        <w:t>occur</w:t>
      </w:r>
      <w:r w:rsidRPr="003F1ECF">
        <w:t xml:space="preserve"> relatively</w:t>
      </w:r>
      <w:r w:rsidRPr="003F1ECF">
        <w:t xml:space="preserve"> infrequent</w:t>
      </w:r>
      <w:r w:rsidRPr="003F1ECF" w:rsidR="00AE2A13">
        <w:t>ly.</w:t>
      </w:r>
      <w:r w:rsidRPr="003F1ECF" w:rsidR="00071EAD">
        <w:t xml:space="preserve"> </w:t>
      </w:r>
      <w:r w:rsidR="00E92731">
        <w:t>N</w:t>
      </w:r>
      <w:r w:rsidRPr="003F1ECF" w:rsidR="0044302B">
        <w:t>o issuers</w:t>
      </w:r>
      <w:r w:rsidRPr="003F1ECF" w:rsidR="0009428B">
        <w:t>’ QHPs</w:t>
      </w:r>
      <w:r w:rsidRPr="003F1ECF" w:rsidR="0044302B">
        <w:t xml:space="preserve"> have been decertified in the last several years</w:t>
      </w:r>
      <w:r w:rsidR="00E92731">
        <w:t xml:space="preserve"> and</w:t>
      </w:r>
      <w:r w:rsidRPr="003F1ECF" w:rsidR="0044302B">
        <w:t xml:space="preserve"> we estimate that this trend will continue in the future. </w:t>
      </w:r>
    </w:p>
    <w:p w:rsidR="007F348C" w:rsidRPr="003F1ECF" w:rsidP="007B3FAB" w14:paraId="69A881AF" w14:textId="77777777">
      <w:pPr>
        <w:pStyle w:val="BodyText"/>
      </w:pPr>
    </w:p>
    <w:p w:rsidR="00E645BF" w:rsidRPr="003F1ECF" w:rsidP="007B3FAB" w14:paraId="67D6AA30" w14:textId="6829C670">
      <w:pPr>
        <w:pStyle w:val="BodyText"/>
      </w:pPr>
      <w:r w:rsidRPr="00E93283">
        <w:rPr>
          <w:b/>
          <w:bCs/>
        </w:rPr>
        <w:t xml:space="preserve">Given that we estimate that only one </w:t>
      </w:r>
      <w:r>
        <w:rPr>
          <w:b/>
          <w:bCs/>
        </w:rPr>
        <w:t xml:space="preserve">issuer will </w:t>
      </w:r>
      <w:r w:rsidR="00C13BEF">
        <w:rPr>
          <w:b/>
          <w:bCs/>
        </w:rPr>
        <w:t xml:space="preserve">appeal said decertification in </w:t>
      </w:r>
      <w:r>
        <w:rPr>
          <w:b/>
          <w:bCs/>
        </w:rPr>
        <w:t>the next three years</w:t>
      </w:r>
      <w:r w:rsidRPr="00E93283">
        <w:rPr>
          <w:b/>
          <w:bCs/>
        </w:rPr>
        <w:t>, this collection is exempt from PRA requirements and will not be included in total burden calculations</w:t>
      </w:r>
      <w:r>
        <w:rPr>
          <w:b/>
          <w:bCs/>
        </w:rPr>
        <w:t xml:space="preserve">. </w:t>
      </w:r>
      <w:r w:rsidRPr="003F1ECF" w:rsidR="0044302B">
        <w:t xml:space="preserve">We estimate </w:t>
      </w:r>
      <w:r w:rsidRPr="003F1ECF" w:rsidR="00B53F0D">
        <w:t>an</w:t>
      </w:r>
      <w:r w:rsidRPr="003F1ECF" w:rsidR="0044302B">
        <w:t xml:space="preserve"> issuer that is decertified </w:t>
      </w:r>
      <w:r w:rsidRPr="003F1ECF" w:rsidR="0045112C">
        <w:t xml:space="preserve">and </w:t>
      </w:r>
      <w:r w:rsidRPr="003F1ECF" w:rsidR="0044302B">
        <w:t xml:space="preserve">that appeals this decertification will utilize a compliance officer </w:t>
      </w:r>
      <w:r w:rsidRPr="003F1ECF" w:rsidR="00E271A4">
        <w:t xml:space="preserve">for 40 hours </w:t>
      </w:r>
      <w:r w:rsidRPr="003F1ECF" w:rsidR="0044302B">
        <w:t xml:space="preserve">at </w:t>
      </w:r>
      <w:r w:rsidRPr="003F1ECF" w:rsidR="007F348C">
        <w:t>a median hourly rate of $</w:t>
      </w:r>
      <w:r w:rsidR="00A108DC">
        <w:t>75.40</w:t>
      </w:r>
      <w:r w:rsidRPr="003F1ECF" w:rsidR="0044302B">
        <w:t xml:space="preserve">, a lawyer </w:t>
      </w:r>
      <w:r w:rsidRPr="003F1ECF" w:rsidR="00E271A4">
        <w:t xml:space="preserve">for 40 hours </w:t>
      </w:r>
      <w:r w:rsidRPr="003F1ECF" w:rsidR="0044302B">
        <w:t xml:space="preserve">at </w:t>
      </w:r>
      <w:r w:rsidRPr="003F1ECF" w:rsidR="007F348C">
        <w:t>a median hourly rate of $</w:t>
      </w:r>
      <w:r w:rsidR="00A108DC">
        <w:t>145.34</w:t>
      </w:r>
      <w:r w:rsidRPr="003F1ECF" w:rsidR="0044302B">
        <w:t xml:space="preserve">, and a general and operations manager </w:t>
      </w:r>
      <w:r w:rsidRPr="003F1ECF" w:rsidR="00E271A4">
        <w:t xml:space="preserve">for 20 hours </w:t>
      </w:r>
      <w:r w:rsidRPr="003F1ECF" w:rsidR="0044302B">
        <w:t xml:space="preserve">at </w:t>
      </w:r>
      <w:r w:rsidRPr="003F1ECF" w:rsidR="007F348C">
        <w:t>a median hourly rate of $</w:t>
      </w:r>
      <w:r w:rsidR="00A108DC">
        <w:t>99.00</w:t>
      </w:r>
      <w:r w:rsidRPr="003F1ECF" w:rsidR="0044302B">
        <w:t xml:space="preserve">. </w:t>
      </w:r>
      <w:r w:rsidR="003468E8">
        <w:t xml:space="preserve">We </w:t>
      </w:r>
      <w:r w:rsidRPr="003F1ECF" w:rsidR="003468E8">
        <w:t xml:space="preserve">estimate </w:t>
      </w:r>
      <w:r w:rsidR="003468E8">
        <w:t>the</w:t>
      </w:r>
      <w:r w:rsidRPr="003F1ECF" w:rsidR="003468E8">
        <w:t xml:space="preserve"> total burden </w:t>
      </w:r>
      <w:r w:rsidRPr="003F1ECF" w:rsidR="006318AD">
        <w:t>for an issuer that is decertified and appeals this decertification</w:t>
      </w:r>
      <w:r w:rsidR="003468E8">
        <w:t xml:space="preserve"> to be</w:t>
      </w:r>
      <w:r w:rsidRPr="003F1ECF" w:rsidR="006318AD">
        <w:t xml:space="preserve"> 100 hours at a </w:t>
      </w:r>
      <w:r w:rsidRPr="003F1ECF" w:rsidR="0044302B">
        <w:t xml:space="preserve">cost </w:t>
      </w:r>
      <w:r w:rsidRPr="003F1ECF" w:rsidR="006318AD">
        <w:t>of $</w:t>
      </w:r>
      <w:r w:rsidR="00AE53D1">
        <w:t>10,809.60</w:t>
      </w:r>
      <w:r w:rsidRPr="003F1ECF" w:rsidR="006318AD">
        <w:t>.</w:t>
      </w:r>
      <w:r w:rsidR="00FD0E25">
        <w:t xml:space="preserve"> </w:t>
      </w:r>
    </w:p>
    <w:p w:rsidR="00876291" w:rsidRPr="003F1ECF" w:rsidP="007B3FAB" w14:paraId="1F86EBD6" w14:textId="77777777">
      <w:pPr>
        <w:pStyle w:val="BodyText"/>
      </w:pPr>
    </w:p>
    <w:p w:rsidR="00AB2EC8" w:rsidRPr="00C6238C" w:rsidP="0095498E" w14:paraId="110CC326" w14:textId="77777777">
      <w:pPr>
        <w:pStyle w:val="BodyText"/>
        <w:keepNext/>
        <w:spacing w:after="120"/>
        <w:jc w:val="both"/>
        <w:rPr>
          <w:b/>
        </w:rPr>
      </w:pPr>
      <w:r w:rsidRPr="00C6238C">
        <w:rPr>
          <w:b/>
        </w:rPr>
        <w:t>Table 4: Issuer Burden in Decertification and Appeal of Decertification Action</w:t>
      </w:r>
    </w:p>
    <w:tbl>
      <w:tblPr>
        <w:tblStyle w:val="TableGrid"/>
        <w:tblW w:w="9355" w:type="dxa"/>
        <w:tblLayout w:type="fixed"/>
        <w:tblLook w:val="04A0"/>
      </w:tblPr>
      <w:tblGrid>
        <w:gridCol w:w="1795"/>
        <w:gridCol w:w="1530"/>
        <w:gridCol w:w="1800"/>
        <w:gridCol w:w="1350"/>
        <w:gridCol w:w="1440"/>
        <w:gridCol w:w="1440"/>
      </w:tblGrid>
      <w:tr w14:paraId="5DA9AC38" w14:textId="77777777" w:rsidTr="004625ED">
        <w:tblPrEx>
          <w:tblW w:w="9355" w:type="dxa"/>
          <w:tblLayout w:type="fixed"/>
          <w:tblLook w:val="04A0"/>
        </w:tblPrEx>
        <w:tc>
          <w:tcPr>
            <w:tcW w:w="1795" w:type="dxa"/>
          </w:tcPr>
          <w:p w:rsidR="00AB2EC8" w:rsidRPr="003F1ECF" w:rsidP="004625ED" w14:paraId="7786EA69" w14:textId="77777777">
            <w:pPr>
              <w:pStyle w:val="BodyText"/>
              <w:keepNext/>
              <w:rPr>
                <w:b/>
                <w:bCs/>
              </w:rPr>
            </w:pPr>
            <w:r w:rsidRPr="003F1ECF">
              <w:rPr>
                <w:b/>
                <w:bCs/>
              </w:rPr>
              <w:t>Labor Category</w:t>
            </w:r>
          </w:p>
        </w:tc>
        <w:tc>
          <w:tcPr>
            <w:tcW w:w="1530" w:type="dxa"/>
          </w:tcPr>
          <w:p w:rsidR="00AB2EC8" w:rsidRPr="008D4DFB" w:rsidP="004625ED" w14:paraId="0DDBC398" w14:textId="77777777">
            <w:pPr>
              <w:pStyle w:val="BodyText"/>
              <w:keepNext/>
              <w:ind w:left="-110" w:right="-110"/>
              <w:jc w:val="center"/>
              <w:rPr>
                <w:b/>
                <w:bCs/>
              </w:rPr>
            </w:pPr>
            <w:r w:rsidRPr="008D4DFB">
              <w:rPr>
                <w:b/>
                <w:bCs/>
              </w:rPr>
              <w:t>Number of Respondents</w:t>
            </w:r>
          </w:p>
        </w:tc>
        <w:tc>
          <w:tcPr>
            <w:tcW w:w="1800" w:type="dxa"/>
          </w:tcPr>
          <w:p w:rsidR="00AB2EC8" w:rsidRPr="003F1ECF" w:rsidP="004625ED" w14:paraId="42EB6507" w14:textId="77777777">
            <w:pPr>
              <w:pStyle w:val="BodyText"/>
              <w:keepNext/>
              <w:ind w:left="-110" w:right="-110"/>
              <w:jc w:val="center"/>
              <w:rPr>
                <w:b/>
                <w:bCs/>
              </w:rPr>
            </w:pPr>
            <w:r w:rsidRPr="003F1ECF">
              <w:rPr>
                <w:b/>
                <w:bCs/>
              </w:rPr>
              <w:t>Hourly Labor Costs (Hourly Rate + 100% Fringe Benefits)</w:t>
            </w:r>
          </w:p>
        </w:tc>
        <w:tc>
          <w:tcPr>
            <w:tcW w:w="1350" w:type="dxa"/>
          </w:tcPr>
          <w:p w:rsidR="00AB2EC8" w:rsidRPr="003F1ECF" w:rsidP="004625ED" w14:paraId="5B8F89F8" w14:textId="77777777">
            <w:pPr>
              <w:pStyle w:val="BodyText"/>
              <w:keepNext/>
              <w:ind w:left="-110" w:right="-110"/>
              <w:jc w:val="center"/>
              <w:rPr>
                <w:b/>
                <w:bCs/>
              </w:rPr>
            </w:pPr>
            <w:r w:rsidRPr="003F1ECF">
              <w:rPr>
                <w:b/>
                <w:bCs/>
              </w:rPr>
              <w:t>Burden Hours (Per Respondent)</w:t>
            </w:r>
          </w:p>
        </w:tc>
        <w:tc>
          <w:tcPr>
            <w:tcW w:w="1440" w:type="dxa"/>
          </w:tcPr>
          <w:p w:rsidR="00AB2EC8" w:rsidRPr="003F1ECF" w:rsidP="004625ED" w14:paraId="2CACD36D" w14:textId="77777777">
            <w:pPr>
              <w:pStyle w:val="BodyText"/>
              <w:keepNext/>
              <w:ind w:left="-110" w:right="-110"/>
              <w:jc w:val="center"/>
              <w:rPr>
                <w:b/>
                <w:bCs/>
              </w:rPr>
            </w:pPr>
            <w:r w:rsidRPr="003F1ECF">
              <w:rPr>
                <w:b/>
                <w:bCs/>
              </w:rPr>
              <w:t>Total Burden Costs (Per Respondent)</w:t>
            </w:r>
          </w:p>
        </w:tc>
        <w:tc>
          <w:tcPr>
            <w:tcW w:w="1440" w:type="dxa"/>
          </w:tcPr>
          <w:p w:rsidR="00AB2EC8" w:rsidRPr="003F1ECF" w:rsidP="004625ED" w14:paraId="7D37B863" w14:textId="77777777">
            <w:pPr>
              <w:pStyle w:val="BodyText"/>
              <w:keepNext/>
              <w:ind w:left="-110" w:right="-110"/>
              <w:jc w:val="center"/>
              <w:rPr>
                <w:b/>
                <w:bCs/>
              </w:rPr>
            </w:pPr>
            <w:r w:rsidRPr="003F1ECF">
              <w:rPr>
                <w:b/>
                <w:bCs/>
              </w:rPr>
              <w:t>Total Burden Costs (All Respondents)</w:t>
            </w:r>
          </w:p>
        </w:tc>
      </w:tr>
      <w:tr w14:paraId="3997EC16" w14:textId="77777777" w:rsidTr="004625ED">
        <w:tblPrEx>
          <w:tblW w:w="9355" w:type="dxa"/>
          <w:tblLayout w:type="fixed"/>
          <w:tblLook w:val="04A0"/>
        </w:tblPrEx>
        <w:tc>
          <w:tcPr>
            <w:tcW w:w="1795" w:type="dxa"/>
          </w:tcPr>
          <w:p w:rsidR="00AB2EC8" w:rsidRPr="003F1ECF" w:rsidP="004625ED" w14:paraId="5140BCBB" w14:textId="77777777">
            <w:pPr>
              <w:pStyle w:val="BodyText"/>
            </w:pPr>
            <w:r w:rsidRPr="003F1ECF">
              <w:t>Compliance Officer</w:t>
            </w:r>
          </w:p>
        </w:tc>
        <w:tc>
          <w:tcPr>
            <w:tcW w:w="1530" w:type="dxa"/>
          </w:tcPr>
          <w:p w:rsidR="00AB2EC8" w:rsidRPr="008D4DFB" w:rsidP="004625ED" w14:paraId="3B952A59" w14:textId="77777777">
            <w:pPr>
              <w:pStyle w:val="BodyText"/>
              <w:ind w:left="-110" w:right="-110"/>
              <w:jc w:val="center"/>
            </w:pPr>
            <w:r w:rsidRPr="008D4DFB">
              <w:t>1</w:t>
            </w:r>
          </w:p>
        </w:tc>
        <w:tc>
          <w:tcPr>
            <w:tcW w:w="1800" w:type="dxa"/>
          </w:tcPr>
          <w:p w:rsidR="00AB2EC8" w:rsidRPr="003F1ECF" w:rsidP="004625ED" w14:paraId="64867F0F" w14:textId="77777777">
            <w:pPr>
              <w:pStyle w:val="BodyText"/>
              <w:ind w:left="-110" w:right="-110"/>
              <w:jc w:val="center"/>
            </w:pPr>
            <w:r w:rsidRPr="003F1ECF">
              <w:t>$</w:t>
            </w:r>
            <w:r>
              <w:t>75.40</w:t>
            </w:r>
          </w:p>
        </w:tc>
        <w:tc>
          <w:tcPr>
            <w:tcW w:w="1350" w:type="dxa"/>
          </w:tcPr>
          <w:p w:rsidR="00AB2EC8" w:rsidRPr="003F1ECF" w:rsidP="004625ED" w14:paraId="16C53D6A" w14:textId="77777777">
            <w:pPr>
              <w:pStyle w:val="BodyText"/>
              <w:ind w:left="-110" w:right="-110"/>
              <w:jc w:val="center"/>
            </w:pPr>
            <w:r w:rsidRPr="003F1ECF">
              <w:t>40</w:t>
            </w:r>
          </w:p>
        </w:tc>
        <w:tc>
          <w:tcPr>
            <w:tcW w:w="1440" w:type="dxa"/>
          </w:tcPr>
          <w:p w:rsidR="00AB2EC8" w:rsidRPr="003F1ECF" w:rsidP="004625ED" w14:paraId="27D1D29E" w14:textId="77777777">
            <w:pPr>
              <w:pStyle w:val="BodyText"/>
              <w:ind w:left="-110" w:right="-110"/>
              <w:jc w:val="center"/>
            </w:pPr>
            <w:r w:rsidRPr="003F1ECF">
              <w:t>$</w:t>
            </w:r>
            <w:r>
              <w:t>3,016.00</w:t>
            </w:r>
          </w:p>
        </w:tc>
        <w:tc>
          <w:tcPr>
            <w:tcW w:w="1440" w:type="dxa"/>
          </w:tcPr>
          <w:p w:rsidR="00AB2EC8" w:rsidRPr="00FD0E25" w:rsidP="004625ED" w14:paraId="3789B956" w14:textId="77777777">
            <w:pPr>
              <w:pStyle w:val="BodyText"/>
              <w:ind w:left="-110" w:right="-110"/>
              <w:jc w:val="center"/>
            </w:pPr>
            <w:r w:rsidRPr="003F1ECF">
              <w:t>$</w:t>
            </w:r>
            <w:r>
              <w:t>3,016.00</w:t>
            </w:r>
          </w:p>
        </w:tc>
      </w:tr>
      <w:tr w14:paraId="69BB3A05" w14:textId="77777777" w:rsidTr="004625ED">
        <w:tblPrEx>
          <w:tblW w:w="9355" w:type="dxa"/>
          <w:tblLayout w:type="fixed"/>
          <w:tblLook w:val="04A0"/>
        </w:tblPrEx>
        <w:tc>
          <w:tcPr>
            <w:tcW w:w="1795" w:type="dxa"/>
          </w:tcPr>
          <w:p w:rsidR="00AB2EC8" w:rsidRPr="003F1ECF" w:rsidP="004625ED" w14:paraId="1448EBA6" w14:textId="77777777">
            <w:pPr>
              <w:pStyle w:val="BodyText"/>
            </w:pPr>
            <w:r w:rsidRPr="003F1ECF">
              <w:t>Lawyer</w:t>
            </w:r>
          </w:p>
        </w:tc>
        <w:tc>
          <w:tcPr>
            <w:tcW w:w="1530" w:type="dxa"/>
          </w:tcPr>
          <w:p w:rsidR="00AB2EC8" w:rsidRPr="008D4DFB" w:rsidP="004625ED" w14:paraId="4C85091C" w14:textId="77777777">
            <w:pPr>
              <w:pStyle w:val="BodyText"/>
              <w:ind w:left="-110" w:right="-110"/>
              <w:jc w:val="center"/>
            </w:pPr>
            <w:r w:rsidRPr="008D4DFB">
              <w:t>1</w:t>
            </w:r>
          </w:p>
        </w:tc>
        <w:tc>
          <w:tcPr>
            <w:tcW w:w="1800" w:type="dxa"/>
          </w:tcPr>
          <w:p w:rsidR="00AB2EC8" w:rsidRPr="003F1ECF" w:rsidP="004625ED" w14:paraId="26BB4DCA" w14:textId="77777777">
            <w:pPr>
              <w:pStyle w:val="BodyText"/>
              <w:ind w:left="-110" w:right="-110"/>
              <w:jc w:val="center"/>
            </w:pPr>
            <w:r w:rsidRPr="003F1ECF">
              <w:t>$</w:t>
            </w:r>
            <w:r>
              <w:t>145.34</w:t>
            </w:r>
          </w:p>
        </w:tc>
        <w:tc>
          <w:tcPr>
            <w:tcW w:w="1350" w:type="dxa"/>
          </w:tcPr>
          <w:p w:rsidR="00AB2EC8" w:rsidRPr="003F1ECF" w:rsidP="004625ED" w14:paraId="7AA41752" w14:textId="77777777">
            <w:pPr>
              <w:pStyle w:val="BodyText"/>
              <w:ind w:left="-110" w:right="-110"/>
              <w:jc w:val="center"/>
            </w:pPr>
            <w:r w:rsidRPr="003F1ECF">
              <w:t>40</w:t>
            </w:r>
          </w:p>
        </w:tc>
        <w:tc>
          <w:tcPr>
            <w:tcW w:w="1440" w:type="dxa"/>
          </w:tcPr>
          <w:p w:rsidR="00AB2EC8" w:rsidRPr="003F1ECF" w:rsidP="004625ED" w14:paraId="041F95EF" w14:textId="77777777">
            <w:pPr>
              <w:pStyle w:val="BodyText"/>
              <w:ind w:left="-110" w:right="-110"/>
              <w:jc w:val="center"/>
            </w:pPr>
            <w:r w:rsidRPr="003F1ECF">
              <w:t>$</w:t>
            </w:r>
            <w:r>
              <w:t>5,813.60</w:t>
            </w:r>
          </w:p>
        </w:tc>
        <w:tc>
          <w:tcPr>
            <w:tcW w:w="1440" w:type="dxa"/>
          </w:tcPr>
          <w:p w:rsidR="00AB2EC8" w:rsidRPr="00FD0E25" w:rsidP="004625ED" w14:paraId="4AC7B017" w14:textId="77777777">
            <w:pPr>
              <w:pStyle w:val="BodyText"/>
              <w:ind w:left="-110" w:right="-110"/>
              <w:jc w:val="center"/>
            </w:pPr>
            <w:r w:rsidRPr="003F1ECF">
              <w:t>$</w:t>
            </w:r>
            <w:r>
              <w:t>5,813.60</w:t>
            </w:r>
          </w:p>
        </w:tc>
      </w:tr>
      <w:tr w14:paraId="6B6544F0" w14:textId="77777777" w:rsidTr="004625ED">
        <w:tblPrEx>
          <w:tblW w:w="9355" w:type="dxa"/>
          <w:tblLayout w:type="fixed"/>
          <w:tblLook w:val="04A0"/>
        </w:tblPrEx>
        <w:tc>
          <w:tcPr>
            <w:tcW w:w="1795" w:type="dxa"/>
          </w:tcPr>
          <w:p w:rsidR="00AB2EC8" w:rsidRPr="003F1ECF" w:rsidP="004625ED" w14:paraId="4EADBF96" w14:textId="77777777">
            <w:pPr>
              <w:pStyle w:val="BodyText"/>
            </w:pPr>
            <w:r w:rsidRPr="003F1ECF">
              <w:t>General and Operations Manager</w:t>
            </w:r>
          </w:p>
        </w:tc>
        <w:tc>
          <w:tcPr>
            <w:tcW w:w="1530" w:type="dxa"/>
          </w:tcPr>
          <w:p w:rsidR="00AB2EC8" w:rsidRPr="008D4DFB" w:rsidP="004625ED" w14:paraId="7A9BBB4D" w14:textId="77777777">
            <w:pPr>
              <w:pStyle w:val="BodyText"/>
              <w:ind w:left="-110" w:right="-110"/>
              <w:jc w:val="center"/>
            </w:pPr>
            <w:r w:rsidRPr="008D4DFB">
              <w:t>1</w:t>
            </w:r>
          </w:p>
        </w:tc>
        <w:tc>
          <w:tcPr>
            <w:tcW w:w="1800" w:type="dxa"/>
          </w:tcPr>
          <w:p w:rsidR="00AB2EC8" w:rsidRPr="003F1ECF" w:rsidP="004625ED" w14:paraId="436D62B2" w14:textId="77777777">
            <w:pPr>
              <w:pStyle w:val="BodyText"/>
              <w:ind w:left="-110" w:right="-110"/>
              <w:jc w:val="center"/>
            </w:pPr>
            <w:r w:rsidRPr="003F1ECF">
              <w:t>$</w:t>
            </w:r>
            <w:r>
              <w:t>99.00</w:t>
            </w:r>
          </w:p>
        </w:tc>
        <w:tc>
          <w:tcPr>
            <w:tcW w:w="1350" w:type="dxa"/>
          </w:tcPr>
          <w:p w:rsidR="00AB2EC8" w:rsidRPr="003F1ECF" w:rsidP="004625ED" w14:paraId="56702BE4" w14:textId="77777777">
            <w:pPr>
              <w:pStyle w:val="BodyText"/>
              <w:ind w:left="-110" w:right="-110"/>
              <w:jc w:val="center"/>
            </w:pPr>
            <w:r w:rsidRPr="003F1ECF">
              <w:t>20</w:t>
            </w:r>
          </w:p>
        </w:tc>
        <w:tc>
          <w:tcPr>
            <w:tcW w:w="1440" w:type="dxa"/>
          </w:tcPr>
          <w:p w:rsidR="00AB2EC8" w:rsidRPr="003F1ECF" w:rsidP="004625ED" w14:paraId="2850B2E1" w14:textId="77777777">
            <w:pPr>
              <w:pStyle w:val="BodyText"/>
              <w:ind w:left="-110" w:right="-110"/>
              <w:jc w:val="center"/>
            </w:pPr>
            <w:r w:rsidRPr="003F1ECF">
              <w:t>$</w:t>
            </w:r>
            <w:r>
              <w:t>1,980.00</w:t>
            </w:r>
          </w:p>
        </w:tc>
        <w:tc>
          <w:tcPr>
            <w:tcW w:w="1440" w:type="dxa"/>
          </w:tcPr>
          <w:p w:rsidR="00AB2EC8" w:rsidRPr="00FD0E25" w:rsidP="004625ED" w14:paraId="3AEB2E8A" w14:textId="77777777">
            <w:pPr>
              <w:pStyle w:val="BodyText"/>
              <w:ind w:left="-110" w:right="-110"/>
              <w:jc w:val="center"/>
            </w:pPr>
            <w:r w:rsidRPr="003F1ECF">
              <w:t>$</w:t>
            </w:r>
            <w:r>
              <w:t>1,980.00</w:t>
            </w:r>
          </w:p>
        </w:tc>
      </w:tr>
      <w:tr w14:paraId="403F7859" w14:textId="77777777" w:rsidTr="0095498E">
        <w:tblPrEx>
          <w:tblW w:w="9355" w:type="dxa"/>
          <w:tblLayout w:type="fixed"/>
          <w:tblLook w:val="04A0"/>
        </w:tblPrEx>
        <w:trPr>
          <w:trHeight w:val="332"/>
        </w:trPr>
        <w:tc>
          <w:tcPr>
            <w:tcW w:w="1795" w:type="dxa"/>
          </w:tcPr>
          <w:p w:rsidR="00AB2EC8" w:rsidRPr="003F1ECF" w:rsidP="004625ED" w14:paraId="27129F1A" w14:textId="77777777">
            <w:pPr>
              <w:pStyle w:val="BodyText"/>
              <w:rPr>
                <w:b/>
                <w:bCs/>
              </w:rPr>
            </w:pPr>
            <w:r w:rsidRPr="003F1ECF">
              <w:rPr>
                <w:b/>
                <w:bCs/>
              </w:rPr>
              <w:t>Total</w:t>
            </w:r>
            <w:r>
              <w:rPr>
                <w:b/>
                <w:bCs/>
              </w:rPr>
              <w:t xml:space="preserve"> </w:t>
            </w:r>
          </w:p>
        </w:tc>
        <w:tc>
          <w:tcPr>
            <w:tcW w:w="1530" w:type="dxa"/>
          </w:tcPr>
          <w:p w:rsidR="00AB2EC8" w:rsidRPr="008D4DFB" w:rsidP="004625ED" w14:paraId="106E824A" w14:textId="77777777">
            <w:pPr>
              <w:pStyle w:val="BodyText"/>
              <w:ind w:left="-110" w:right="-110"/>
              <w:jc w:val="center"/>
              <w:rPr>
                <w:b/>
                <w:bCs/>
              </w:rPr>
            </w:pPr>
          </w:p>
        </w:tc>
        <w:tc>
          <w:tcPr>
            <w:tcW w:w="1800" w:type="dxa"/>
          </w:tcPr>
          <w:p w:rsidR="00AB2EC8" w:rsidRPr="003F1ECF" w:rsidP="004625ED" w14:paraId="7A88FC30" w14:textId="77777777">
            <w:pPr>
              <w:pStyle w:val="BodyText"/>
              <w:ind w:left="-110" w:right="-110"/>
              <w:jc w:val="center"/>
              <w:rPr>
                <w:b/>
                <w:bCs/>
              </w:rPr>
            </w:pPr>
          </w:p>
        </w:tc>
        <w:tc>
          <w:tcPr>
            <w:tcW w:w="1350" w:type="dxa"/>
          </w:tcPr>
          <w:p w:rsidR="00AB2EC8" w:rsidRPr="003F1ECF" w:rsidP="004625ED" w14:paraId="743FBD30" w14:textId="77777777">
            <w:pPr>
              <w:pStyle w:val="BodyText"/>
              <w:ind w:left="-110" w:right="-110"/>
              <w:jc w:val="center"/>
              <w:rPr>
                <w:b/>
                <w:bCs/>
              </w:rPr>
            </w:pPr>
            <w:r w:rsidRPr="003F1ECF">
              <w:rPr>
                <w:b/>
                <w:bCs/>
              </w:rPr>
              <w:t>100</w:t>
            </w:r>
          </w:p>
        </w:tc>
        <w:tc>
          <w:tcPr>
            <w:tcW w:w="1440" w:type="dxa"/>
          </w:tcPr>
          <w:p w:rsidR="00AB2EC8" w:rsidRPr="003F1ECF" w:rsidP="004625ED" w14:paraId="4C49CF1A" w14:textId="77777777">
            <w:pPr>
              <w:pStyle w:val="BodyText"/>
              <w:ind w:left="-110" w:right="-110"/>
              <w:jc w:val="center"/>
              <w:rPr>
                <w:b/>
                <w:bCs/>
              </w:rPr>
            </w:pPr>
            <w:r w:rsidRPr="003F1ECF">
              <w:rPr>
                <w:b/>
                <w:bCs/>
              </w:rPr>
              <w:t>$</w:t>
            </w:r>
            <w:r>
              <w:rPr>
                <w:b/>
                <w:bCs/>
              </w:rPr>
              <w:t>10,809.60</w:t>
            </w:r>
          </w:p>
        </w:tc>
        <w:tc>
          <w:tcPr>
            <w:tcW w:w="1440" w:type="dxa"/>
          </w:tcPr>
          <w:p w:rsidR="00AB2EC8" w:rsidRPr="00FD0E25" w:rsidP="004625ED" w14:paraId="469AEB3E" w14:textId="77777777">
            <w:pPr>
              <w:pStyle w:val="BodyText"/>
              <w:ind w:left="-110" w:right="-110"/>
              <w:jc w:val="center"/>
              <w:rPr>
                <w:b/>
                <w:bCs/>
              </w:rPr>
            </w:pPr>
            <w:r w:rsidRPr="003F1ECF">
              <w:rPr>
                <w:b/>
                <w:bCs/>
              </w:rPr>
              <w:t>$</w:t>
            </w:r>
            <w:r>
              <w:rPr>
                <w:b/>
                <w:bCs/>
              </w:rPr>
              <w:t>10,809.60</w:t>
            </w:r>
          </w:p>
        </w:tc>
      </w:tr>
    </w:tbl>
    <w:p w:rsidR="007D21B0" w:rsidP="007B3FAB" w14:paraId="026894C1" w14:textId="77777777">
      <w:pPr>
        <w:pStyle w:val="BodyText"/>
        <w:rPr>
          <w:b/>
          <w:u w:val="single"/>
        </w:rPr>
      </w:pPr>
      <w:bookmarkStart w:id="47" w:name="Consumer_Cases_Related_to_Qualified_Heal"/>
      <w:bookmarkStart w:id="48" w:name="_Hlk170743716"/>
      <w:bookmarkEnd w:id="47"/>
    </w:p>
    <w:p w:rsidR="007D21B0" w:rsidP="007B3FAB" w14:paraId="2E5BB117" w14:textId="77777777">
      <w:pPr>
        <w:pStyle w:val="BodyText"/>
        <w:rPr>
          <w:b/>
          <w:u w:val="single"/>
        </w:rPr>
      </w:pPr>
    </w:p>
    <w:p w:rsidR="001C3F13" w:rsidRPr="003F1ECF" w:rsidP="007B3FAB" w14:paraId="50863A7F" w14:textId="011F71C1">
      <w:pPr>
        <w:pStyle w:val="BodyText"/>
        <w:rPr>
          <w:b/>
        </w:rPr>
      </w:pPr>
      <w:r w:rsidRPr="003F1ECF">
        <w:rPr>
          <w:b/>
          <w:u w:val="single"/>
        </w:rPr>
        <w:t xml:space="preserve">Consumer Cases Related to Qualified Health Plans and Qualified Health Plan Issuers </w:t>
      </w:r>
      <w:bookmarkStart w:id="49" w:name="_Hlk198736490"/>
      <w:r w:rsidRPr="003F1ECF">
        <w:rPr>
          <w:b/>
          <w:u w:val="single"/>
        </w:rPr>
        <w:t>(§</w:t>
      </w:r>
      <w:r w:rsidRPr="003F1ECF" w:rsidR="0091284F">
        <w:rPr>
          <w:b/>
          <w:u w:val="single"/>
        </w:rPr>
        <w:t xml:space="preserve"> </w:t>
      </w:r>
      <w:r w:rsidRPr="003F1ECF">
        <w:rPr>
          <w:b/>
          <w:u w:val="single"/>
        </w:rPr>
        <w:t>156.1010</w:t>
      </w:r>
      <w:bookmarkEnd w:id="49"/>
      <w:r w:rsidRPr="003F1ECF">
        <w:rPr>
          <w:b/>
          <w:u w:val="single"/>
        </w:rPr>
        <w:t>)</w:t>
      </w:r>
    </w:p>
    <w:bookmarkEnd w:id="48"/>
    <w:p w:rsidR="001C3F13" w:rsidRPr="003F1ECF" w:rsidP="007B3FAB" w14:paraId="487EF626" w14:textId="77777777">
      <w:pPr>
        <w:pStyle w:val="BodyText"/>
      </w:pPr>
    </w:p>
    <w:p w:rsidR="001F2845" w:rsidRPr="003F1ECF" w:rsidP="007B3FAB" w14:paraId="53BE195F" w14:textId="38E27884">
      <w:pPr>
        <w:pStyle w:val="BodyText"/>
      </w:pPr>
      <w:bookmarkStart w:id="50" w:name="In_subpart_K_of_part_156,_we_describe_th"/>
      <w:bookmarkEnd w:id="50"/>
      <w:r w:rsidRPr="003F1ECF">
        <w:t>In subpart K of part 156, we describe the information collection requirements pertain</w:t>
      </w:r>
      <w:r w:rsidRPr="003F1ECF" w:rsidR="00A639DE">
        <w:t>ing</w:t>
      </w:r>
      <w:r w:rsidRPr="003F1ECF">
        <w:t xml:space="preserve"> </w:t>
      </w:r>
      <w:r w:rsidRPr="003F1ECF" w:rsidR="00385A66">
        <w:t>to</w:t>
      </w:r>
      <w:r w:rsidRPr="003F1ECF" w:rsidR="001F7330">
        <w:t xml:space="preserve"> the</w:t>
      </w:r>
      <w:r w:rsidRPr="003F1ECF">
        <w:t xml:space="preserve"> resolution of consumer cases related to QHPs and </w:t>
      </w:r>
      <w:r w:rsidRPr="003F1ECF">
        <w:rPr>
          <w:spacing w:val="-3"/>
        </w:rPr>
        <w:t xml:space="preserve">QHP </w:t>
      </w:r>
      <w:r w:rsidRPr="003F1ECF">
        <w:t xml:space="preserve">issuers. </w:t>
      </w:r>
      <w:r w:rsidRPr="003F1ECF" w:rsidR="00FA5A8C">
        <w:t>Section</w:t>
      </w:r>
      <w:r w:rsidRPr="003F1ECF" w:rsidR="00C42579">
        <w:t xml:space="preserve"> </w:t>
      </w:r>
      <w:r w:rsidRPr="003F1ECF">
        <w:t xml:space="preserve">156.1010(g)(1) </w:t>
      </w:r>
      <w:r w:rsidRPr="003F1ECF" w:rsidR="00A639DE">
        <w:t xml:space="preserve">provides </w:t>
      </w:r>
      <w:r w:rsidRPr="003F1ECF">
        <w:t xml:space="preserve">that </w:t>
      </w:r>
      <w:r w:rsidRPr="003F1ECF">
        <w:rPr>
          <w:spacing w:val="-3"/>
        </w:rPr>
        <w:t xml:space="preserve">QHP </w:t>
      </w:r>
      <w:r w:rsidRPr="003F1ECF">
        <w:t xml:space="preserve">issuers </w:t>
      </w:r>
      <w:r w:rsidRPr="003F1ECF">
        <w:rPr>
          <w:spacing w:val="-3"/>
        </w:rPr>
        <w:t xml:space="preserve">must </w:t>
      </w:r>
      <w:r w:rsidRPr="003F1ECF">
        <w:t>include the date of case resolution, §</w:t>
      </w:r>
      <w:r w:rsidRPr="003F1ECF" w:rsidR="00C42579">
        <w:t xml:space="preserve"> </w:t>
      </w:r>
      <w:r w:rsidRPr="003F1ECF">
        <w:t xml:space="preserve">156.1010(g)(2) </w:t>
      </w:r>
      <w:r w:rsidRPr="003F1ECF" w:rsidR="00A639DE">
        <w:t xml:space="preserve">provides </w:t>
      </w:r>
      <w:r w:rsidRPr="003F1ECF">
        <w:t xml:space="preserve">that </w:t>
      </w:r>
      <w:r w:rsidRPr="003F1ECF">
        <w:rPr>
          <w:spacing w:val="-3"/>
        </w:rPr>
        <w:t xml:space="preserve">QHP </w:t>
      </w:r>
      <w:r w:rsidRPr="003F1ECF">
        <w:t xml:space="preserve">issuers must record a clear and concise narrative documenting the resolution of a consumer case </w:t>
      </w:r>
      <w:r w:rsidRPr="003F1ECF">
        <w:rPr>
          <w:spacing w:val="-4"/>
        </w:rPr>
        <w:t xml:space="preserve">in </w:t>
      </w:r>
      <w:r w:rsidRPr="003F1ECF">
        <w:t xml:space="preserve">the HHS-developed casework </w:t>
      </w:r>
      <w:r w:rsidRPr="003F1ECF">
        <w:rPr>
          <w:spacing w:val="2"/>
        </w:rPr>
        <w:t xml:space="preserve">tracking </w:t>
      </w:r>
      <w:r w:rsidRPr="003F1ECF">
        <w:t>system, and §</w:t>
      </w:r>
      <w:r w:rsidRPr="003F1ECF" w:rsidR="00C42579">
        <w:t xml:space="preserve"> </w:t>
      </w:r>
      <w:r w:rsidRPr="003F1ECF">
        <w:t xml:space="preserve">156.1010(g)(3) </w:t>
      </w:r>
      <w:r w:rsidRPr="003F1ECF" w:rsidR="00A639DE">
        <w:t xml:space="preserve">provides </w:t>
      </w:r>
      <w:r w:rsidRPr="003F1ECF">
        <w:t xml:space="preserve">that </w:t>
      </w:r>
      <w:r w:rsidRPr="003F1ECF">
        <w:rPr>
          <w:spacing w:val="-3"/>
        </w:rPr>
        <w:t xml:space="preserve">QHP </w:t>
      </w:r>
      <w:r w:rsidRPr="003F1ECF">
        <w:t xml:space="preserve">issuers </w:t>
      </w:r>
      <w:r w:rsidRPr="003F1ECF">
        <w:rPr>
          <w:spacing w:val="-3"/>
        </w:rPr>
        <w:t xml:space="preserve">must </w:t>
      </w:r>
      <w:r w:rsidRPr="003F1ECF">
        <w:t>provide information abou</w:t>
      </w:r>
      <w:r w:rsidRPr="003F1ECF" w:rsidR="001E7972">
        <w:t>t compliance issues found by a S</w:t>
      </w:r>
      <w:r w:rsidRPr="003F1ECF">
        <w:t xml:space="preserve">tate </w:t>
      </w:r>
      <w:r w:rsidRPr="003F1ECF" w:rsidR="00813225">
        <w:rPr>
          <w:spacing w:val="2"/>
        </w:rPr>
        <w:t xml:space="preserve">during </w:t>
      </w:r>
      <w:r w:rsidRPr="003F1ECF">
        <w:t xml:space="preserve">the investigation of a case. </w:t>
      </w:r>
    </w:p>
    <w:p w:rsidR="001F2845" w:rsidRPr="003F1ECF" w:rsidP="007B3FAB" w14:paraId="34ABF8BB" w14:textId="77777777">
      <w:pPr>
        <w:pStyle w:val="BodyText"/>
      </w:pPr>
    </w:p>
    <w:p w:rsidR="00656815" w:rsidP="00D46B21" w14:paraId="27ABD5DD" w14:textId="39B60DCC">
      <w:pPr>
        <w:pStyle w:val="BodyText"/>
      </w:pPr>
      <w:r w:rsidRPr="003F1ECF">
        <w:rPr>
          <w:spacing w:val="-3"/>
        </w:rPr>
        <w:t xml:space="preserve">The </w:t>
      </w:r>
      <w:r w:rsidRPr="003F1ECF">
        <w:t xml:space="preserve">burden associated with this requirement </w:t>
      </w:r>
      <w:r w:rsidRPr="003F1ECF" w:rsidR="001F2845">
        <w:t>is</w:t>
      </w:r>
      <w:r w:rsidRPr="003F1ECF">
        <w:t xml:space="preserve"> the time and effort necessary for </w:t>
      </w:r>
      <w:r w:rsidRPr="003F1ECF" w:rsidR="001F2845">
        <w:t xml:space="preserve">the </w:t>
      </w:r>
      <w:r w:rsidRPr="003F1ECF">
        <w:t>staf</w:t>
      </w:r>
      <w:r w:rsidRPr="003F1ECF" w:rsidR="00F915AC">
        <w:t xml:space="preserve">f of a QHP issuer to gather </w:t>
      </w:r>
      <w:r w:rsidRPr="003F1ECF">
        <w:t xml:space="preserve">information </w:t>
      </w:r>
      <w:r w:rsidRPr="003F1ECF">
        <w:rPr>
          <w:spacing w:val="2"/>
        </w:rPr>
        <w:t xml:space="preserve">related </w:t>
      </w:r>
      <w:r w:rsidRPr="003F1ECF">
        <w:t>to the consumer complaint, draft the narrative, and enter the nar</w:t>
      </w:r>
      <w:r w:rsidRPr="003F1ECF" w:rsidR="001F2845">
        <w:t>rative into the electronic HHS-</w:t>
      </w:r>
      <w:r w:rsidRPr="003F1ECF">
        <w:t xml:space="preserve">developed case tracking system. </w:t>
      </w:r>
      <w:r w:rsidRPr="003F1ECF" w:rsidR="00A639DE">
        <w:t>W</w:t>
      </w:r>
      <w:r w:rsidRPr="003F1ECF">
        <w:t>e estim</w:t>
      </w:r>
      <w:r w:rsidRPr="00F21C98">
        <w:t xml:space="preserve">ate </w:t>
      </w:r>
      <w:r w:rsidR="00E31B66">
        <w:t>4</w:t>
      </w:r>
      <w:r w:rsidRPr="00F21C98" w:rsidR="00F21C98">
        <w:t>15</w:t>
      </w:r>
      <w:r w:rsidRPr="00F21C98" w:rsidR="00EC6B48">
        <w:t xml:space="preserve"> </w:t>
      </w:r>
      <w:r w:rsidRPr="003F1ECF">
        <w:t>issuers</w:t>
      </w:r>
      <w:r w:rsidRPr="003F1ECF" w:rsidR="001F2845">
        <w:t xml:space="preserve"> </w:t>
      </w:r>
      <w:r w:rsidR="00E31B66">
        <w:t>(including both medical QHP and standalone dental plan (SADP) issuers</w:t>
      </w:r>
      <w:r w:rsidR="00610167">
        <w:t xml:space="preserve"> in the FFEs and State-based Exchanges on the Federal Platform (SBE-FPs)</w:t>
      </w:r>
      <w:r w:rsidR="00E31B66">
        <w:t xml:space="preserve">) </w:t>
      </w:r>
      <w:r w:rsidRPr="003F1ECF" w:rsidR="001F2845">
        <w:t>will be subject to this requirement</w:t>
      </w:r>
      <w:r w:rsidRPr="003F1ECF" w:rsidR="00F915AC">
        <w:t xml:space="preserve"> based on the number of QHP issuers in Plan Year 202</w:t>
      </w:r>
      <w:r w:rsidR="00353987">
        <w:t>6</w:t>
      </w:r>
      <w:r w:rsidRPr="003F1ECF" w:rsidR="00F915AC">
        <w:t xml:space="preserve">. We estimate that </w:t>
      </w:r>
      <w:r w:rsidRPr="003F1ECF">
        <w:rPr>
          <w:spacing w:val="2"/>
        </w:rPr>
        <w:t xml:space="preserve">each </w:t>
      </w:r>
      <w:r w:rsidRPr="003F1ECF">
        <w:t>issuer will utilize</w:t>
      </w:r>
      <w:r w:rsidRPr="003F1ECF" w:rsidR="00813225">
        <w:t xml:space="preserve"> insurance </w:t>
      </w:r>
      <w:r w:rsidRPr="003F1ECF" w:rsidR="001F7330">
        <w:t>claims processing clerks</w:t>
      </w:r>
      <w:r w:rsidRPr="003F1ECF">
        <w:t xml:space="preserve"> for </w:t>
      </w:r>
      <w:r w:rsidRPr="003F1ECF" w:rsidR="006A6EED">
        <w:t>4,800</w:t>
      </w:r>
      <w:r w:rsidRPr="003F1ECF" w:rsidR="00F915AC">
        <w:t xml:space="preserve"> </w:t>
      </w:r>
      <w:r w:rsidRPr="003F1ECF">
        <w:t xml:space="preserve">hours </w:t>
      </w:r>
      <w:bookmarkStart w:id="51" w:name="Table_B"/>
      <w:bookmarkEnd w:id="51"/>
      <w:r w:rsidRPr="003F1ECF" w:rsidR="00F915AC">
        <w:t>at</w:t>
      </w:r>
      <w:r w:rsidRPr="003F1ECF" w:rsidR="007B4CC0">
        <w:t xml:space="preserve"> a median hourly rate of</w:t>
      </w:r>
      <w:r w:rsidRPr="003F1ECF" w:rsidR="006A6EED">
        <w:t xml:space="preserve"> </w:t>
      </w:r>
      <w:r w:rsidRPr="003F1ECF" w:rsidR="007B4CC0">
        <w:t>$</w:t>
      </w:r>
      <w:r w:rsidR="005F103D">
        <w:t>46.58</w:t>
      </w:r>
      <w:r w:rsidRPr="003F1ECF" w:rsidR="007B4CC0">
        <w:t xml:space="preserve"> </w:t>
      </w:r>
      <w:r w:rsidRPr="003F1ECF" w:rsidR="006A6EED">
        <w:t>and general</w:t>
      </w:r>
      <w:r w:rsidRPr="003F1ECF" w:rsidR="000074DC">
        <w:t xml:space="preserve"> and operations</w:t>
      </w:r>
      <w:r w:rsidRPr="003F1ECF" w:rsidR="006A6EED">
        <w:t xml:space="preserve"> manager</w:t>
      </w:r>
      <w:r w:rsidRPr="003F1ECF" w:rsidR="007B4CC0">
        <w:t>s</w:t>
      </w:r>
      <w:r w:rsidRPr="003F1ECF" w:rsidR="006A6EED">
        <w:t xml:space="preserve"> for 800 hours at </w:t>
      </w:r>
      <w:r w:rsidRPr="003F1ECF" w:rsidR="007B4CC0">
        <w:t>a median hourly rate of $</w:t>
      </w:r>
      <w:r w:rsidR="005F103D">
        <w:t>99.00.</w:t>
      </w:r>
      <w:r w:rsidRPr="003F1ECF" w:rsidR="007B4CC0">
        <w:t xml:space="preserve"> </w:t>
      </w:r>
      <w:r w:rsidR="00D46B21">
        <w:t xml:space="preserve">We estimate the total burden per issuer is </w:t>
      </w:r>
      <w:r w:rsidR="00C9640A">
        <w:t>5,600</w:t>
      </w:r>
      <w:r w:rsidR="00D46B21">
        <w:t xml:space="preserve"> hours at a cost of </w:t>
      </w:r>
      <w:r w:rsidRPr="003F1ECF" w:rsidR="00F915AC">
        <w:t>$</w:t>
      </w:r>
      <w:r w:rsidR="00C9640A">
        <w:t>302,784.00</w:t>
      </w:r>
      <w:r w:rsidR="005F103D">
        <w:t xml:space="preserve">. We </w:t>
      </w:r>
      <w:r w:rsidRPr="003F1ECF" w:rsidR="005F103D">
        <w:t xml:space="preserve">estimate </w:t>
      </w:r>
      <w:r w:rsidR="005F103D">
        <w:t>the</w:t>
      </w:r>
      <w:r w:rsidRPr="003F1ECF" w:rsidR="005F103D">
        <w:t xml:space="preserve"> total burden for a</w:t>
      </w:r>
      <w:r w:rsidR="005F103D">
        <w:t>ll</w:t>
      </w:r>
      <w:r w:rsidRPr="003F1ECF" w:rsidR="005F103D">
        <w:t xml:space="preserve"> issuer</w:t>
      </w:r>
      <w:r w:rsidR="005F103D">
        <w:t>s</w:t>
      </w:r>
      <w:r w:rsidRPr="003F1ECF" w:rsidR="005F103D">
        <w:t xml:space="preserve"> </w:t>
      </w:r>
      <w:r w:rsidR="005F103D">
        <w:t>to be</w:t>
      </w:r>
      <w:r w:rsidRPr="003F1ECF" w:rsidR="005F103D">
        <w:t xml:space="preserve"> </w:t>
      </w:r>
      <w:r w:rsidR="00C9640A">
        <w:t>2,324,000</w:t>
      </w:r>
      <w:r w:rsidRPr="003F1ECF" w:rsidR="005F103D">
        <w:t xml:space="preserve"> hours at a cost of $</w:t>
      </w:r>
      <w:r w:rsidR="00C9640A">
        <w:t>125,655,360.00</w:t>
      </w:r>
      <w:r w:rsidRPr="003F1ECF" w:rsidR="005F103D">
        <w:t>.</w:t>
      </w:r>
      <w:r w:rsidR="005F103D">
        <w:t xml:space="preserve"> </w:t>
      </w:r>
    </w:p>
    <w:p w:rsidR="0048008B" w:rsidRPr="00D46B21" w:rsidP="00D46B21" w14:paraId="1D143933" w14:textId="77777777">
      <w:pPr>
        <w:pStyle w:val="BodyText"/>
      </w:pPr>
    </w:p>
    <w:p w:rsidR="00F26977" w:rsidRPr="003F1ECF" w:rsidP="0095498E" w14:paraId="61D42F56" w14:textId="260A2E68">
      <w:pPr>
        <w:pStyle w:val="BodyText"/>
        <w:keepNext/>
        <w:keepLines/>
        <w:spacing w:after="120"/>
      </w:pPr>
      <w:bookmarkStart w:id="52" w:name="_Hlk170743732"/>
      <w:r w:rsidRPr="00C6238C">
        <w:rPr>
          <w:b/>
        </w:rPr>
        <w:t>Table 5</w:t>
      </w:r>
      <w:r w:rsidRPr="00C6238C">
        <w:rPr>
          <w:b/>
        </w:rPr>
        <w:t xml:space="preserve">: Issuer Burden in Maintaining </w:t>
      </w:r>
      <w:bookmarkStart w:id="53" w:name="_Hlk198736460"/>
      <w:r w:rsidRPr="00C6238C" w:rsidR="001E7972">
        <w:rPr>
          <w:b/>
        </w:rPr>
        <w:t xml:space="preserve">Records of </w:t>
      </w:r>
      <w:r w:rsidRPr="00C6238C">
        <w:rPr>
          <w:b/>
        </w:rPr>
        <w:t>Consumer Case</w:t>
      </w:r>
      <w:r w:rsidRPr="00C6238C" w:rsidR="001E7972">
        <w:rPr>
          <w:b/>
        </w:rPr>
        <w:t xml:space="preserve"> Resolution and</w:t>
      </w:r>
      <w:r w:rsidR="00C6238C">
        <w:rPr>
          <w:b/>
        </w:rPr>
        <w:t xml:space="preserve"> </w:t>
      </w:r>
      <w:r w:rsidRPr="00C6238C" w:rsidR="001E7972">
        <w:rPr>
          <w:b/>
        </w:rPr>
        <w:t>Inputting into HHS-Developed Casework</w:t>
      </w:r>
      <w:r w:rsidRPr="00C6238C">
        <w:rPr>
          <w:b/>
        </w:rPr>
        <w:t xml:space="preserve"> Tracking System</w:t>
      </w:r>
      <w:bookmarkEnd w:id="53"/>
      <w:bookmarkEnd w:id="52"/>
    </w:p>
    <w:tbl>
      <w:tblPr>
        <w:tblStyle w:val="TableGrid"/>
        <w:tblW w:w="9535" w:type="dxa"/>
        <w:tblLayout w:type="fixed"/>
        <w:tblLook w:val="04A0"/>
      </w:tblPr>
      <w:tblGrid>
        <w:gridCol w:w="2065"/>
        <w:gridCol w:w="1350"/>
        <w:gridCol w:w="1710"/>
        <w:gridCol w:w="1350"/>
        <w:gridCol w:w="1440"/>
        <w:gridCol w:w="1620"/>
      </w:tblGrid>
      <w:tr w14:paraId="23094F31" w14:textId="77777777" w:rsidTr="0048008B">
        <w:tblPrEx>
          <w:tblW w:w="9535" w:type="dxa"/>
          <w:tblLayout w:type="fixed"/>
          <w:tblLook w:val="04A0"/>
        </w:tblPrEx>
        <w:tc>
          <w:tcPr>
            <w:tcW w:w="2065" w:type="dxa"/>
          </w:tcPr>
          <w:p w:rsidR="002D165F" w:rsidRPr="003F1ECF" w:rsidP="00AE53D1" w14:paraId="11F3AC2B" w14:textId="77777777">
            <w:pPr>
              <w:pStyle w:val="BodyText"/>
              <w:keepNext/>
              <w:keepLines/>
              <w:rPr>
                <w:b/>
                <w:bCs/>
              </w:rPr>
            </w:pPr>
            <w:r w:rsidRPr="003F1ECF">
              <w:rPr>
                <w:b/>
                <w:bCs/>
              </w:rPr>
              <w:t>Labor Category</w:t>
            </w:r>
          </w:p>
        </w:tc>
        <w:tc>
          <w:tcPr>
            <w:tcW w:w="1350" w:type="dxa"/>
          </w:tcPr>
          <w:p w:rsidR="002D165F" w:rsidRPr="003F1ECF" w:rsidP="00C70DBF" w14:paraId="4C20A511" w14:textId="77777777">
            <w:pPr>
              <w:pStyle w:val="BodyText"/>
              <w:keepNext/>
              <w:keepLines/>
              <w:ind w:left="-110" w:right="-110"/>
              <w:jc w:val="center"/>
              <w:rPr>
                <w:b/>
                <w:bCs/>
              </w:rPr>
            </w:pPr>
            <w:r w:rsidRPr="003F1ECF">
              <w:rPr>
                <w:b/>
                <w:bCs/>
              </w:rPr>
              <w:t>Number of Respondents</w:t>
            </w:r>
          </w:p>
        </w:tc>
        <w:tc>
          <w:tcPr>
            <w:tcW w:w="1710" w:type="dxa"/>
          </w:tcPr>
          <w:p w:rsidR="002D165F" w:rsidRPr="003F1ECF" w:rsidP="00C70DBF" w14:paraId="1B6966E7" w14:textId="4B89B6D0">
            <w:pPr>
              <w:pStyle w:val="BodyText"/>
              <w:keepNext/>
              <w:keepLines/>
              <w:ind w:left="-110" w:right="-110"/>
              <w:jc w:val="center"/>
              <w:rPr>
                <w:b/>
                <w:bCs/>
              </w:rPr>
            </w:pPr>
            <w:r w:rsidRPr="003F1ECF">
              <w:rPr>
                <w:b/>
                <w:bCs/>
              </w:rPr>
              <w:t>Hourly Labor Costs (Hourly</w:t>
            </w:r>
            <w:r w:rsidRPr="003F1ECF" w:rsidR="00656815">
              <w:rPr>
                <w:b/>
                <w:bCs/>
              </w:rPr>
              <w:t xml:space="preserve"> Rate</w:t>
            </w:r>
            <w:r w:rsidRPr="003F1ECF">
              <w:rPr>
                <w:b/>
                <w:bCs/>
              </w:rPr>
              <w:t xml:space="preserve"> + 100% Fringe Benefits)</w:t>
            </w:r>
          </w:p>
        </w:tc>
        <w:tc>
          <w:tcPr>
            <w:tcW w:w="1350" w:type="dxa"/>
          </w:tcPr>
          <w:p w:rsidR="002D165F" w:rsidRPr="003F1ECF" w:rsidP="00C70DBF" w14:paraId="359D6AB5" w14:textId="2133BC94">
            <w:pPr>
              <w:pStyle w:val="BodyText"/>
              <w:keepNext/>
              <w:keepLines/>
              <w:ind w:left="-110" w:right="-110"/>
              <w:jc w:val="center"/>
              <w:rPr>
                <w:b/>
                <w:bCs/>
              </w:rPr>
            </w:pPr>
            <w:r w:rsidRPr="003F1ECF">
              <w:rPr>
                <w:b/>
                <w:bCs/>
              </w:rPr>
              <w:t>Burden Hours</w:t>
            </w:r>
            <w:r w:rsidRPr="003F1ECF" w:rsidR="007B4CC0">
              <w:rPr>
                <w:b/>
                <w:bCs/>
              </w:rPr>
              <w:t xml:space="preserve"> (Per Respondent)</w:t>
            </w:r>
          </w:p>
        </w:tc>
        <w:tc>
          <w:tcPr>
            <w:tcW w:w="1440" w:type="dxa"/>
          </w:tcPr>
          <w:p w:rsidR="002D165F" w:rsidRPr="003F1ECF" w:rsidP="00C70DBF" w14:paraId="731383D5" w14:textId="13E17F6C">
            <w:pPr>
              <w:pStyle w:val="BodyText"/>
              <w:keepNext/>
              <w:keepLines/>
              <w:ind w:left="-110" w:right="-110"/>
              <w:jc w:val="center"/>
              <w:rPr>
                <w:b/>
                <w:bCs/>
              </w:rPr>
            </w:pPr>
            <w:r w:rsidRPr="003F1ECF">
              <w:rPr>
                <w:b/>
                <w:bCs/>
              </w:rPr>
              <w:t>Total Burden Costs (</w:t>
            </w:r>
            <w:r w:rsidRPr="003F1ECF" w:rsidR="00656815">
              <w:rPr>
                <w:b/>
                <w:bCs/>
              </w:rPr>
              <w:t>P</w:t>
            </w:r>
            <w:r w:rsidRPr="003F1ECF">
              <w:rPr>
                <w:b/>
                <w:bCs/>
              </w:rPr>
              <w:t>er Respondent)</w:t>
            </w:r>
          </w:p>
        </w:tc>
        <w:tc>
          <w:tcPr>
            <w:tcW w:w="1620" w:type="dxa"/>
          </w:tcPr>
          <w:p w:rsidR="002D165F" w:rsidRPr="003F1ECF" w:rsidP="00C70DBF" w14:paraId="4EB579AA" w14:textId="77777777">
            <w:pPr>
              <w:pStyle w:val="BodyText"/>
              <w:keepNext/>
              <w:keepLines/>
              <w:ind w:left="-110" w:right="-110"/>
              <w:jc w:val="center"/>
              <w:rPr>
                <w:b/>
                <w:bCs/>
              </w:rPr>
            </w:pPr>
            <w:r w:rsidRPr="003F1ECF">
              <w:rPr>
                <w:b/>
                <w:bCs/>
              </w:rPr>
              <w:t>Total Burden Costs (All Respondents)</w:t>
            </w:r>
          </w:p>
        </w:tc>
      </w:tr>
      <w:tr w14:paraId="320389EF" w14:textId="77777777" w:rsidTr="0048008B">
        <w:tblPrEx>
          <w:tblW w:w="9535" w:type="dxa"/>
          <w:tblLayout w:type="fixed"/>
          <w:tblLook w:val="04A0"/>
        </w:tblPrEx>
        <w:tc>
          <w:tcPr>
            <w:tcW w:w="2065" w:type="dxa"/>
          </w:tcPr>
          <w:p w:rsidR="002D165F" w:rsidRPr="003F1ECF" w:rsidP="00C6238C" w14:paraId="372FDBE0" w14:textId="547CD93C">
            <w:pPr>
              <w:pStyle w:val="BodyText"/>
              <w:keepNext/>
              <w:keepLines/>
            </w:pPr>
            <w:r w:rsidRPr="003F1ECF">
              <w:t xml:space="preserve">Insurance Claims </w:t>
            </w:r>
            <w:r w:rsidRPr="003F1ECF" w:rsidR="00DE06FE">
              <w:t xml:space="preserve">and Policy </w:t>
            </w:r>
            <w:r w:rsidRPr="003F1ECF">
              <w:t>Processing Clerk</w:t>
            </w:r>
          </w:p>
        </w:tc>
        <w:tc>
          <w:tcPr>
            <w:tcW w:w="1350" w:type="dxa"/>
          </w:tcPr>
          <w:p w:rsidR="002D165F" w:rsidRPr="00EC6B48" w:rsidP="00C70DBF" w14:paraId="4212E862" w14:textId="57495636">
            <w:pPr>
              <w:pStyle w:val="BodyText"/>
              <w:keepNext/>
              <w:keepLines/>
              <w:ind w:left="-110" w:right="-110"/>
              <w:jc w:val="center"/>
            </w:pPr>
            <w:r>
              <w:t>4</w:t>
            </w:r>
            <w:r w:rsidRPr="00EC6B48" w:rsidR="00EC6B48">
              <w:t>1</w:t>
            </w:r>
            <w:r w:rsidR="00F21C98">
              <w:t>5</w:t>
            </w:r>
          </w:p>
        </w:tc>
        <w:tc>
          <w:tcPr>
            <w:tcW w:w="1710" w:type="dxa"/>
          </w:tcPr>
          <w:p w:rsidR="002D165F" w:rsidRPr="003F1ECF" w:rsidP="00C70DBF" w14:paraId="6A69C06E" w14:textId="2BE3165F">
            <w:pPr>
              <w:pStyle w:val="BodyText"/>
              <w:keepNext/>
              <w:keepLines/>
              <w:ind w:left="-110" w:right="-110"/>
              <w:jc w:val="center"/>
            </w:pPr>
            <w:r w:rsidRPr="003F1ECF">
              <w:t>$</w:t>
            </w:r>
            <w:r w:rsidR="00C9640A">
              <w:t>46.58</w:t>
            </w:r>
          </w:p>
        </w:tc>
        <w:tc>
          <w:tcPr>
            <w:tcW w:w="1350" w:type="dxa"/>
          </w:tcPr>
          <w:p w:rsidR="002D165F" w:rsidRPr="003F1ECF" w:rsidP="00C70DBF" w14:paraId="76082B14" w14:textId="25AFEBEB">
            <w:pPr>
              <w:pStyle w:val="BodyText"/>
              <w:keepNext/>
              <w:keepLines/>
              <w:ind w:left="-110" w:right="-110"/>
              <w:jc w:val="center"/>
            </w:pPr>
            <w:r w:rsidRPr="003F1ECF">
              <w:t>4,800</w:t>
            </w:r>
          </w:p>
        </w:tc>
        <w:tc>
          <w:tcPr>
            <w:tcW w:w="1440" w:type="dxa"/>
          </w:tcPr>
          <w:p w:rsidR="002D165F" w:rsidRPr="003F1ECF" w:rsidP="00C70DBF" w14:paraId="3269866B" w14:textId="464DB6F8">
            <w:pPr>
              <w:pStyle w:val="BodyText"/>
              <w:keepNext/>
              <w:keepLines/>
              <w:ind w:left="-110" w:right="-110"/>
              <w:jc w:val="center"/>
            </w:pPr>
            <w:r w:rsidRPr="003F1ECF">
              <w:t>$</w:t>
            </w:r>
            <w:r w:rsidR="00C9640A">
              <w:t>223,584.00</w:t>
            </w:r>
          </w:p>
        </w:tc>
        <w:tc>
          <w:tcPr>
            <w:tcW w:w="1620" w:type="dxa"/>
          </w:tcPr>
          <w:p w:rsidR="002D165F" w:rsidRPr="00EC6B48" w:rsidP="00C70DBF" w14:paraId="15567CEF" w14:textId="1364D1B4">
            <w:pPr>
              <w:pStyle w:val="BodyText"/>
              <w:keepNext/>
              <w:keepLines/>
              <w:ind w:left="-110" w:right="-110"/>
              <w:jc w:val="center"/>
            </w:pPr>
            <w:r w:rsidRPr="00EC6B48">
              <w:t>$</w:t>
            </w:r>
            <w:r w:rsidR="00C9640A">
              <w:t>92,787,360.00</w:t>
            </w:r>
          </w:p>
        </w:tc>
      </w:tr>
      <w:tr w14:paraId="03CF8925" w14:textId="77777777" w:rsidTr="0048008B">
        <w:tblPrEx>
          <w:tblW w:w="9535" w:type="dxa"/>
          <w:tblLayout w:type="fixed"/>
          <w:tblLook w:val="04A0"/>
        </w:tblPrEx>
        <w:tc>
          <w:tcPr>
            <w:tcW w:w="2065" w:type="dxa"/>
          </w:tcPr>
          <w:p w:rsidR="001A517C" w:rsidRPr="003F1ECF" w:rsidP="00C6238C" w14:paraId="0958A9EB" w14:textId="3C6123DA">
            <w:pPr>
              <w:pStyle w:val="BodyText"/>
              <w:keepNext/>
              <w:keepLines/>
            </w:pPr>
            <w:r w:rsidRPr="003F1ECF">
              <w:t xml:space="preserve">General </w:t>
            </w:r>
            <w:r w:rsidRPr="003F1ECF" w:rsidR="00F70966">
              <w:t xml:space="preserve">and Operations </w:t>
            </w:r>
            <w:r w:rsidRPr="003F1ECF">
              <w:t>Manager</w:t>
            </w:r>
          </w:p>
        </w:tc>
        <w:tc>
          <w:tcPr>
            <w:tcW w:w="1350" w:type="dxa"/>
          </w:tcPr>
          <w:p w:rsidR="001A517C" w:rsidRPr="00EC6B48" w:rsidP="00C70DBF" w14:paraId="297B5F95" w14:textId="639B384C">
            <w:pPr>
              <w:pStyle w:val="BodyText"/>
              <w:keepNext/>
              <w:keepLines/>
              <w:ind w:left="-110" w:right="-110"/>
              <w:jc w:val="center"/>
            </w:pPr>
            <w:r>
              <w:t>4</w:t>
            </w:r>
            <w:r w:rsidR="00F21C98">
              <w:t>15</w:t>
            </w:r>
          </w:p>
        </w:tc>
        <w:tc>
          <w:tcPr>
            <w:tcW w:w="1710" w:type="dxa"/>
          </w:tcPr>
          <w:p w:rsidR="001A517C" w:rsidRPr="00EC6B48" w:rsidP="00C70DBF" w14:paraId="7D0EAE58" w14:textId="2479ADD5">
            <w:pPr>
              <w:pStyle w:val="BodyText"/>
              <w:keepNext/>
              <w:keepLines/>
              <w:ind w:left="-110" w:right="-110"/>
              <w:jc w:val="center"/>
            </w:pPr>
            <w:r w:rsidRPr="00EC6B48">
              <w:t>$</w:t>
            </w:r>
            <w:r w:rsidR="00C9640A">
              <w:t>99.00</w:t>
            </w:r>
          </w:p>
        </w:tc>
        <w:tc>
          <w:tcPr>
            <w:tcW w:w="1350" w:type="dxa"/>
          </w:tcPr>
          <w:p w:rsidR="001A517C" w:rsidRPr="00EC6B48" w:rsidP="00C70DBF" w14:paraId="3743504B" w14:textId="24D107DF">
            <w:pPr>
              <w:pStyle w:val="BodyText"/>
              <w:keepNext/>
              <w:keepLines/>
              <w:ind w:left="-110" w:right="-110"/>
              <w:jc w:val="center"/>
            </w:pPr>
            <w:r w:rsidRPr="00EC6B48">
              <w:t>800</w:t>
            </w:r>
          </w:p>
        </w:tc>
        <w:tc>
          <w:tcPr>
            <w:tcW w:w="1440" w:type="dxa"/>
          </w:tcPr>
          <w:p w:rsidR="001A517C" w:rsidRPr="003F1ECF" w:rsidP="00C70DBF" w14:paraId="2C6C1D7F" w14:textId="6FB41A67">
            <w:pPr>
              <w:pStyle w:val="BodyText"/>
              <w:keepNext/>
              <w:keepLines/>
              <w:ind w:left="-110" w:right="-110"/>
              <w:jc w:val="center"/>
            </w:pPr>
            <w:r w:rsidRPr="003F1ECF">
              <w:t>$</w:t>
            </w:r>
            <w:r w:rsidR="00C9640A">
              <w:t>79,200.00</w:t>
            </w:r>
          </w:p>
        </w:tc>
        <w:tc>
          <w:tcPr>
            <w:tcW w:w="1620" w:type="dxa"/>
          </w:tcPr>
          <w:p w:rsidR="001A517C" w:rsidRPr="00EC6B48" w:rsidP="00C70DBF" w14:paraId="4AB45938" w14:textId="7C4102F6">
            <w:pPr>
              <w:pStyle w:val="BodyText"/>
              <w:keepNext/>
              <w:keepLines/>
              <w:ind w:left="-110" w:right="-110"/>
              <w:jc w:val="center"/>
            </w:pPr>
            <w:r w:rsidRPr="00EC6B48">
              <w:t>$</w:t>
            </w:r>
            <w:r w:rsidR="00C9640A">
              <w:t>32,868,000.00</w:t>
            </w:r>
          </w:p>
        </w:tc>
      </w:tr>
      <w:tr w14:paraId="60253E06" w14:textId="77777777" w:rsidTr="0095498E">
        <w:tblPrEx>
          <w:tblW w:w="9535" w:type="dxa"/>
          <w:tblLayout w:type="fixed"/>
          <w:tblLook w:val="04A0"/>
        </w:tblPrEx>
        <w:trPr>
          <w:trHeight w:val="359"/>
        </w:trPr>
        <w:tc>
          <w:tcPr>
            <w:tcW w:w="2065" w:type="dxa"/>
          </w:tcPr>
          <w:p w:rsidR="00AE53D1" w:rsidRPr="00AE53D1" w:rsidP="00C6238C" w14:paraId="2030E544" w14:textId="258CA30E">
            <w:pPr>
              <w:pStyle w:val="BodyText"/>
              <w:keepNext/>
              <w:keepLines/>
              <w:rPr>
                <w:b/>
                <w:bCs/>
              </w:rPr>
            </w:pPr>
            <w:r w:rsidRPr="00AE53D1">
              <w:rPr>
                <w:b/>
                <w:bCs/>
              </w:rPr>
              <w:t>T</w:t>
            </w:r>
            <w:r w:rsidRPr="00AE53D1" w:rsidR="00B6354D">
              <w:rPr>
                <w:b/>
                <w:bCs/>
              </w:rPr>
              <w:t xml:space="preserve">otal </w:t>
            </w:r>
          </w:p>
        </w:tc>
        <w:tc>
          <w:tcPr>
            <w:tcW w:w="1350" w:type="dxa"/>
          </w:tcPr>
          <w:p w:rsidR="002D165F" w:rsidRPr="00AE53D1" w:rsidP="00C70DBF" w14:paraId="0ED8200C" w14:textId="47F36EEF">
            <w:pPr>
              <w:pStyle w:val="BodyText"/>
              <w:keepNext/>
              <w:keepLines/>
              <w:ind w:left="-110" w:right="-110"/>
              <w:jc w:val="center"/>
              <w:rPr>
                <w:b/>
                <w:bCs/>
              </w:rPr>
            </w:pPr>
          </w:p>
        </w:tc>
        <w:tc>
          <w:tcPr>
            <w:tcW w:w="1710" w:type="dxa"/>
          </w:tcPr>
          <w:p w:rsidR="002D165F" w:rsidRPr="00AE53D1" w:rsidP="00C70DBF" w14:paraId="145224A2" w14:textId="77777777">
            <w:pPr>
              <w:pStyle w:val="BodyText"/>
              <w:keepNext/>
              <w:keepLines/>
              <w:ind w:left="-110" w:right="-110"/>
              <w:jc w:val="center"/>
              <w:rPr>
                <w:b/>
                <w:bCs/>
              </w:rPr>
            </w:pPr>
          </w:p>
        </w:tc>
        <w:tc>
          <w:tcPr>
            <w:tcW w:w="1350" w:type="dxa"/>
          </w:tcPr>
          <w:p w:rsidR="00373D9B" w:rsidRPr="00AE53D1" w:rsidP="00C70DBF" w14:paraId="2E541E23" w14:textId="60E4F319">
            <w:pPr>
              <w:pStyle w:val="BodyText"/>
              <w:keepNext/>
              <w:keepLines/>
              <w:ind w:left="-110" w:right="-110"/>
              <w:jc w:val="center"/>
              <w:rPr>
                <w:b/>
                <w:bCs/>
              </w:rPr>
            </w:pPr>
            <w:r w:rsidRPr="00AE53D1">
              <w:rPr>
                <w:b/>
                <w:bCs/>
              </w:rPr>
              <w:t>5,600</w:t>
            </w:r>
          </w:p>
        </w:tc>
        <w:tc>
          <w:tcPr>
            <w:tcW w:w="1440" w:type="dxa"/>
          </w:tcPr>
          <w:p w:rsidR="002D165F" w:rsidRPr="00AE53D1" w:rsidP="00C70DBF" w14:paraId="6C1502E6" w14:textId="1885816B">
            <w:pPr>
              <w:pStyle w:val="BodyText"/>
              <w:keepNext/>
              <w:keepLines/>
              <w:ind w:left="-110" w:right="-110"/>
              <w:jc w:val="center"/>
              <w:rPr>
                <w:b/>
                <w:bCs/>
              </w:rPr>
            </w:pPr>
            <w:r w:rsidRPr="00AE53D1">
              <w:rPr>
                <w:b/>
                <w:bCs/>
              </w:rPr>
              <w:t>$</w:t>
            </w:r>
            <w:r w:rsidR="00C9640A">
              <w:rPr>
                <w:b/>
                <w:bCs/>
              </w:rPr>
              <w:t>302,784.00</w:t>
            </w:r>
          </w:p>
        </w:tc>
        <w:tc>
          <w:tcPr>
            <w:tcW w:w="1620" w:type="dxa"/>
          </w:tcPr>
          <w:p w:rsidR="002D165F" w:rsidRPr="00AE53D1" w:rsidP="00C70DBF" w14:paraId="7D1D17C1" w14:textId="5926E074">
            <w:pPr>
              <w:pStyle w:val="BodyText"/>
              <w:keepNext/>
              <w:keepLines/>
              <w:ind w:left="-110" w:right="-110"/>
              <w:jc w:val="center"/>
              <w:rPr>
                <w:b/>
                <w:bCs/>
              </w:rPr>
            </w:pPr>
            <w:r w:rsidRPr="00AE53D1">
              <w:rPr>
                <w:b/>
                <w:bCs/>
              </w:rPr>
              <w:t>$</w:t>
            </w:r>
            <w:r w:rsidR="00C9640A">
              <w:rPr>
                <w:b/>
                <w:bCs/>
              </w:rPr>
              <w:t>125,655,360.00</w:t>
            </w:r>
          </w:p>
        </w:tc>
      </w:tr>
    </w:tbl>
    <w:p w:rsidR="007B5C26" w:rsidRPr="003F1ECF" w:rsidP="007B3FAB" w14:paraId="5776BBC2" w14:textId="158344FA">
      <w:pPr>
        <w:pStyle w:val="BodyText"/>
        <w:rPr>
          <w:u w:val="single"/>
        </w:rPr>
      </w:pPr>
      <w:bookmarkStart w:id="54" w:name="Insurance"/>
      <w:bookmarkStart w:id="55" w:name="Caseworker"/>
      <w:bookmarkStart w:id="56" w:name="Enrollment_Process_for_Qualified_Individ"/>
      <w:bookmarkEnd w:id="54"/>
      <w:bookmarkEnd w:id="55"/>
      <w:bookmarkEnd w:id="56"/>
    </w:p>
    <w:p w:rsidR="002628B1" w:rsidRPr="003F1ECF" w:rsidP="007B3FAB" w14:paraId="173358B8" w14:textId="12EC1346">
      <w:pPr>
        <w:pStyle w:val="BodyText"/>
        <w:rPr>
          <w:b/>
          <w:u w:val="single"/>
        </w:rPr>
      </w:pPr>
      <w:r w:rsidRPr="003F1ECF">
        <w:rPr>
          <w:b/>
          <w:u w:val="single"/>
        </w:rPr>
        <w:t>Enrollment Process for Qualified Individuals (§</w:t>
      </w:r>
      <w:r w:rsidRPr="003F1ECF" w:rsidR="0091284F">
        <w:rPr>
          <w:b/>
          <w:u w:val="single"/>
        </w:rPr>
        <w:t xml:space="preserve"> </w:t>
      </w:r>
      <w:r w:rsidRPr="003F1ECF">
        <w:rPr>
          <w:b/>
          <w:u w:val="single"/>
        </w:rPr>
        <w:t>156.1230)</w:t>
      </w:r>
    </w:p>
    <w:p w:rsidR="002628B1" w:rsidRPr="003F1ECF" w:rsidP="007B3FAB" w14:paraId="27DF54BA" w14:textId="77777777">
      <w:pPr>
        <w:pStyle w:val="BodyText"/>
        <w:rPr>
          <w:u w:val="single"/>
        </w:rPr>
      </w:pPr>
    </w:p>
    <w:p w:rsidR="00FF314F" w:rsidRPr="003F1ECF" w:rsidP="007B3FAB" w14:paraId="4A252155" w14:textId="213EE557">
      <w:pPr>
        <w:pStyle w:val="BodyText"/>
      </w:pPr>
      <w:r w:rsidRPr="003F1ECF">
        <w:t xml:space="preserve">In accordance with </w:t>
      </w:r>
      <w:r w:rsidRPr="003F1ECF" w:rsidR="002628B1">
        <w:t>§</w:t>
      </w:r>
      <w:r w:rsidRPr="003F1ECF" w:rsidR="006A62DE">
        <w:t xml:space="preserve"> </w:t>
      </w:r>
      <w:r w:rsidRPr="003F1ECF" w:rsidR="002628B1">
        <w:t xml:space="preserve">156.1230(a)(1)(ii), issuers must provide information on available QHPs when they use their </w:t>
      </w:r>
      <w:r w:rsidRPr="003F1ECF">
        <w:t>web</w:t>
      </w:r>
      <w:r w:rsidRPr="003F1ECF" w:rsidR="002628B1">
        <w:t>site</w:t>
      </w:r>
      <w:r w:rsidRPr="003F1ECF" w:rsidR="006C790E">
        <w:t>s</w:t>
      </w:r>
      <w:r w:rsidRPr="003F1ECF" w:rsidR="002628B1">
        <w:t xml:space="preserve"> to directly enroll qualified individuals into QHPs in a manner considered to be through the Exchange</w:t>
      </w:r>
      <w:r w:rsidRPr="003F1ECF" w:rsidR="00EC6AFF">
        <w:t xml:space="preserve">, a process known as </w:t>
      </w:r>
      <w:r w:rsidRPr="003F1ECF">
        <w:t xml:space="preserve">Direct Enrollment </w:t>
      </w:r>
      <w:r w:rsidRPr="003F1ECF" w:rsidR="00EC6AFF">
        <w:t>(DE)</w:t>
      </w:r>
      <w:r w:rsidRPr="003F1ECF" w:rsidR="002628B1">
        <w:t xml:space="preserve">. The QHP information required to be posted on the </w:t>
      </w:r>
      <w:r w:rsidRPr="003F1ECF" w:rsidR="002D767D">
        <w:t xml:space="preserve">DE </w:t>
      </w:r>
      <w:r w:rsidRPr="003F1ECF" w:rsidR="00BC6C62">
        <w:t>w</w:t>
      </w:r>
      <w:r w:rsidRPr="003F1ECF" w:rsidR="002628B1">
        <w:t>ebsite</w:t>
      </w:r>
      <w:r w:rsidRPr="003F1ECF" w:rsidR="006C790E">
        <w:t>s</w:t>
      </w:r>
      <w:r w:rsidRPr="003F1ECF" w:rsidR="002628B1">
        <w:t xml:space="preserve"> includes premium and cost</w:t>
      </w:r>
      <w:r w:rsidRPr="003F1ECF" w:rsidR="00BC6C62">
        <w:t xml:space="preserve"> </w:t>
      </w:r>
      <w:r w:rsidRPr="003F1ECF" w:rsidR="002628B1">
        <w:t xml:space="preserve">sharing information, the summary of benefits and coverage, </w:t>
      </w:r>
      <w:r w:rsidRPr="003F1ECF" w:rsidR="00EC6AFF">
        <w:t xml:space="preserve">metal </w:t>
      </w:r>
      <w:r w:rsidRPr="003F1ECF" w:rsidR="002628B1">
        <w:t xml:space="preserve">level, results of the enrollee satisfaction survey, quality ratings, medical loss ratio information, transparency </w:t>
      </w:r>
      <w:r w:rsidRPr="003F1ECF" w:rsidR="00A367A0">
        <w:t>in</w:t>
      </w:r>
      <w:r w:rsidRPr="003F1ECF" w:rsidR="002628B1">
        <w:t xml:space="preserve"> coverage measures, and a provider directory</w:t>
      </w:r>
      <w:r w:rsidRPr="003F1ECF" w:rsidR="00A367A0">
        <w:t>.</w:t>
      </w:r>
    </w:p>
    <w:p w:rsidR="00FF314F" w:rsidRPr="003F1ECF" w:rsidP="007B3FAB" w14:paraId="188743EC" w14:textId="77777777">
      <w:pPr>
        <w:pStyle w:val="BodyText"/>
      </w:pPr>
    </w:p>
    <w:p w:rsidR="002628B1" w:rsidRPr="003F1ECF" w:rsidP="007B3FAB" w14:paraId="7055E968" w14:textId="2CBD9790">
      <w:pPr>
        <w:pStyle w:val="BodyText"/>
      </w:pPr>
      <w:r w:rsidRPr="003F1ECF">
        <w:t>Additionally, §</w:t>
      </w:r>
      <w:r w:rsidRPr="003F1ECF" w:rsidR="006A62DE">
        <w:t xml:space="preserve"> </w:t>
      </w:r>
      <w:r w:rsidRPr="003F1ECF">
        <w:t>156.1230(a)(1)(iv) requires issuer</w:t>
      </w:r>
      <w:r w:rsidRPr="003F1ECF" w:rsidR="006C790E">
        <w:t>s’</w:t>
      </w:r>
      <w:r w:rsidRPr="003F1ECF">
        <w:t xml:space="preserve"> </w:t>
      </w:r>
      <w:r w:rsidRPr="003F1ECF" w:rsidR="006C790E">
        <w:t xml:space="preserve">DE </w:t>
      </w:r>
      <w:r w:rsidRPr="003F1ECF" w:rsidR="00BC6C62">
        <w:t>w</w:t>
      </w:r>
      <w:r w:rsidRPr="003F1ECF">
        <w:t>ebsite</w:t>
      </w:r>
      <w:r w:rsidRPr="003F1ECF" w:rsidR="006C790E">
        <w:t>s</w:t>
      </w:r>
      <w:r w:rsidRPr="003F1ECF">
        <w:t xml:space="preserve"> to inform applicants about the availability of other QHP products available through an Exchange through an HHS-approved universal disclaimer and to display a link to the appropriate Exchange </w:t>
      </w:r>
      <w:r w:rsidRPr="003F1ECF" w:rsidR="00BC6C62">
        <w:t>w</w:t>
      </w:r>
      <w:r w:rsidRPr="003F1ECF">
        <w:t xml:space="preserve">ebsite. Issuers are also required to distinguish between QHPs for which a consumer is eligible and other non-QHPs that an issuer may offer </w:t>
      </w:r>
      <w:r w:rsidRPr="003F1ECF" w:rsidR="002D767D">
        <w:t>pursuant to</w:t>
      </w:r>
      <w:r w:rsidRPr="003F1ECF">
        <w:t xml:space="preserve"> §</w:t>
      </w:r>
      <w:r w:rsidRPr="003F1ECF" w:rsidR="006A62DE">
        <w:t xml:space="preserve"> </w:t>
      </w:r>
      <w:r w:rsidRPr="003F1ECF">
        <w:t xml:space="preserve">156.1230(a)(1)(iii). Finally, an issuer </w:t>
      </w:r>
      <w:r w:rsidRPr="003F1ECF" w:rsidR="00A367A0">
        <w:t>must</w:t>
      </w:r>
      <w:r w:rsidRPr="003F1ECF">
        <w:t xml:space="preserve"> </w:t>
      </w:r>
      <w:r w:rsidRPr="003F1ECF" w:rsidR="00955180">
        <w:t>allow a consumer to select and attest to an</w:t>
      </w:r>
      <w:r w:rsidRPr="003F1ECF">
        <w:t xml:space="preserve"> APTC amount </w:t>
      </w:r>
      <w:r w:rsidRPr="003F1ECF" w:rsidR="00955180">
        <w:t>pursuant to</w:t>
      </w:r>
      <w:r w:rsidRPr="003F1ECF">
        <w:t xml:space="preserve"> §</w:t>
      </w:r>
      <w:r w:rsidRPr="003F1ECF" w:rsidR="006A62DE">
        <w:t xml:space="preserve"> </w:t>
      </w:r>
      <w:r w:rsidRPr="003F1ECF">
        <w:t>156.1230(a)(1)(v).</w:t>
      </w:r>
    </w:p>
    <w:p w:rsidR="002628B1" w:rsidRPr="003F1ECF" w:rsidP="007B3FAB" w14:paraId="2AE83F8E" w14:textId="77777777">
      <w:pPr>
        <w:pStyle w:val="BodyText"/>
      </w:pPr>
    </w:p>
    <w:p w:rsidR="00C70521" w:rsidRPr="003F1ECF" w:rsidP="007B3FAB" w14:paraId="038DEAD3" w14:textId="12CA7560">
      <w:pPr>
        <w:pStyle w:val="BodyText"/>
      </w:pPr>
      <w:r w:rsidRPr="003F1ECF">
        <w:t xml:space="preserve">The burden for </w:t>
      </w:r>
      <w:r w:rsidRPr="003F1ECF" w:rsidR="002D767D">
        <w:t xml:space="preserve">these </w:t>
      </w:r>
      <w:r w:rsidRPr="003F1ECF">
        <w:t>requirement</w:t>
      </w:r>
      <w:r w:rsidRPr="003F1ECF" w:rsidR="002D767D">
        <w:t>s</w:t>
      </w:r>
      <w:r w:rsidRPr="003F1ECF">
        <w:t xml:space="preserve"> </w:t>
      </w:r>
      <w:r w:rsidRPr="003F1ECF" w:rsidR="002D767D">
        <w:t>relates to</w:t>
      </w:r>
      <w:r w:rsidRPr="003F1ECF">
        <w:t xml:space="preserve"> issuer</w:t>
      </w:r>
      <w:r w:rsidRPr="003F1ECF" w:rsidR="002D767D">
        <w:t>s</w:t>
      </w:r>
      <w:r w:rsidRPr="003F1ECF">
        <w:t xml:space="preserve"> develop</w:t>
      </w:r>
      <w:r w:rsidRPr="003F1ECF" w:rsidR="002D767D">
        <w:t>ing</w:t>
      </w:r>
      <w:r w:rsidRPr="003F1ECF">
        <w:t xml:space="preserve"> </w:t>
      </w:r>
      <w:r w:rsidRPr="003F1ECF" w:rsidR="00EC6AFF">
        <w:t>and</w:t>
      </w:r>
      <w:r w:rsidRPr="003F1ECF">
        <w:t xml:space="preserve"> maintain</w:t>
      </w:r>
      <w:r w:rsidRPr="003F1ECF" w:rsidR="002D767D">
        <w:t>ing</w:t>
      </w:r>
      <w:r w:rsidRPr="003F1ECF">
        <w:t xml:space="preserve"> </w:t>
      </w:r>
      <w:r w:rsidRPr="003F1ECF" w:rsidR="002D767D">
        <w:t>DE</w:t>
      </w:r>
      <w:r w:rsidRPr="003F1ECF">
        <w:t xml:space="preserve"> </w:t>
      </w:r>
      <w:r w:rsidRPr="003F1ECF" w:rsidR="00BC6C62">
        <w:t>w</w:t>
      </w:r>
      <w:r w:rsidRPr="003F1ECF">
        <w:t>ebsite</w:t>
      </w:r>
      <w:r w:rsidRPr="003F1ECF" w:rsidR="002D767D">
        <w:t>s</w:t>
      </w:r>
      <w:r w:rsidRPr="003F1ECF">
        <w:t xml:space="preserve"> </w:t>
      </w:r>
      <w:r w:rsidRPr="003F1ECF" w:rsidR="00EC6AFF">
        <w:t>in accordance with the requirements described above</w:t>
      </w:r>
      <w:r w:rsidRPr="003F1ECF">
        <w:t>.</w:t>
      </w:r>
      <w:r w:rsidRPr="003F1ECF" w:rsidR="00A367A0">
        <w:t xml:space="preserve"> </w:t>
      </w:r>
      <w:r w:rsidRPr="003F1ECF" w:rsidR="007F473A">
        <w:t xml:space="preserve">Approximately </w:t>
      </w:r>
      <w:r w:rsidRPr="003F1ECF" w:rsidR="00CB37C2">
        <w:t>74</w:t>
      </w:r>
      <w:r w:rsidRPr="003F1ECF">
        <w:t xml:space="preserve"> issuers</w:t>
      </w:r>
      <w:r w:rsidRPr="003F1ECF" w:rsidR="00A367A0">
        <w:t xml:space="preserve"> currently</w:t>
      </w:r>
      <w:r w:rsidRPr="003F1ECF">
        <w:t xml:space="preserve"> </w:t>
      </w:r>
      <w:r w:rsidRPr="003F1ECF" w:rsidR="007F473A">
        <w:t>utilize DE and are</w:t>
      </w:r>
      <w:r w:rsidRPr="003F1ECF" w:rsidR="00A367A0">
        <w:t xml:space="preserve"> thus</w:t>
      </w:r>
      <w:r w:rsidRPr="003F1ECF">
        <w:t xml:space="preserve"> subject to </w:t>
      </w:r>
      <w:r w:rsidRPr="003F1ECF" w:rsidR="007F473A">
        <w:t>the</w:t>
      </w:r>
      <w:r w:rsidRPr="003F1ECF">
        <w:t xml:space="preserve"> disclosure requirements</w:t>
      </w:r>
      <w:r w:rsidRPr="003F1ECF" w:rsidR="007F473A">
        <w:t xml:space="preserve"> described above</w:t>
      </w:r>
      <w:r w:rsidRPr="003F1ECF">
        <w:t>.</w:t>
      </w:r>
      <w:r w:rsidRPr="003F1ECF" w:rsidR="007F473A">
        <w:t xml:space="preserve"> </w:t>
      </w:r>
      <w:r w:rsidRPr="003F1ECF" w:rsidR="003A092D">
        <w:t xml:space="preserve">Based on current DE issuer participation </w:t>
      </w:r>
      <w:r w:rsidRPr="003F1ECF" w:rsidR="00BC6C62">
        <w:t xml:space="preserve">as well as </w:t>
      </w:r>
      <w:r w:rsidRPr="003F1ECF" w:rsidR="00A367A0">
        <w:t xml:space="preserve">future </w:t>
      </w:r>
      <w:r w:rsidRPr="003F1ECF" w:rsidR="003A092D">
        <w:t xml:space="preserve">potential market size, we estimate </w:t>
      </w:r>
      <w:r w:rsidRPr="003F1ECF" w:rsidR="002E2C4F">
        <w:t>the</w:t>
      </w:r>
      <w:r w:rsidRPr="003F1ECF" w:rsidR="003A092D">
        <w:t xml:space="preserve"> number of participating issuers </w:t>
      </w:r>
      <w:r w:rsidRPr="003F1ECF" w:rsidR="00BC6C62">
        <w:t xml:space="preserve">to </w:t>
      </w:r>
      <w:r w:rsidRPr="003F1ECF" w:rsidR="003A092D">
        <w:t xml:space="preserve">increase to </w:t>
      </w:r>
      <w:r w:rsidRPr="003F1ECF" w:rsidR="00CB37C2">
        <w:t>88</w:t>
      </w:r>
      <w:r w:rsidRPr="003F1ECF" w:rsidR="003A092D">
        <w:t xml:space="preserve"> total in subsequent years</w:t>
      </w:r>
      <w:r w:rsidRPr="003F1ECF">
        <w:t>.</w:t>
      </w:r>
      <w:r w:rsidRPr="003F1ECF" w:rsidR="00A367A0">
        <w:t xml:space="preserve"> This is the number of issuers used in calculating burden estimates.</w:t>
      </w:r>
      <w:r w:rsidRPr="003F1ECF" w:rsidR="00C26591">
        <w:t xml:space="preserve"> </w:t>
      </w:r>
    </w:p>
    <w:p w:rsidR="00C70521" w:rsidRPr="003F1ECF" w:rsidP="007B3FAB" w14:paraId="0ABB9D24" w14:textId="77777777">
      <w:pPr>
        <w:pStyle w:val="BodyText"/>
      </w:pPr>
    </w:p>
    <w:p w:rsidR="00435F44" w:rsidP="007B3FAB" w14:paraId="0E336E1A" w14:textId="3D2C2FE8">
      <w:pPr>
        <w:pStyle w:val="BodyText"/>
      </w:pPr>
      <w:r w:rsidRPr="003F1ECF">
        <w:t xml:space="preserve">We </w:t>
      </w:r>
      <w:r w:rsidRPr="003F1ECF" w:rsidR="00C70521">
        <w:t xml:space="preserve">estimate </w:t>
      </w:r>
      <w:r w:rsidRPr="003F1ECF">
        <w:t xml:space="preserve">that it will </w:t>
      </w:r>
      <w:r w:rsidRPr="003F1ECF" w:rsidR="00C70521">
        <w:t xml:space="preserve">require </w:t>
      </w:r>
      <w:r w:rsidRPr="003F1ECF">
        <w:t xml:space="preserve">a </w:t>
      </w:r>
      <w:r w:rsidRPr="003F1ECF" w:rsidR="00BD792A">
        <w:t xml:space="preserve">software </w:t>
      </w:r>
      <w:r w:rsidRPr="003F1ECF">
        <w:t xml:space="preserve">developer 15 hours at </w:t>
      </w:r>
      <w:r w:rsidRPr="003F1ECF" w:rsidR="00C70521">
        <w:t xml:space="preserve">a median hourly cost of </w:t>
      </w:r>
      <w:r w:rsidRPr="003F1ECF" w:rsidR="008330F7">
        <w:t>$</w:t>
      </w:r>
      <w:r>
        <w:t>127.96</w:t>
      </w:r>
      <w:r w:rsidRPr="003F1ECF" w:rsidR="00C26591">
        <w:t xml:space="preserve"> to </w:t>
      </w:r>
      <w:r w:rsidRPr="003F1ECF" w:rsidR="002E2C4F">
        <w:t xml:space="preserve">develop and </w:t>
      </w:r>
      <w:r w:rsidRPr="003F1ECF" w:rsidR="00C26591">
        <w:t xml:space="preserve">maintain </w:t>
      </w:r>
      <w:r w:rsidRPr="003F1ECF" w:rsidR="002E2C4F">
        <w:t>the required</w:t>
      </w:r>
      <w:r w:rsidRPr="003F1ECF" w:rsidR="00C26591">
        <w:t xml:space="preserve"> QHP information on their </w:t>
      </w:r>
      <w:r w:rsidRPr="003F1ECF" w:rsidR="00C70521">
        <w:t>w</w:t>
      </w:r>
      <w:r w:rsidRPr="003F1ECF" w:rsidR="00A367A0">
        <w:t>ebsites</w:t>
      </w:r>
      <w:r w:rsidRPr="003F1ECF" w:rsidR="00C26591">
        <w:t xml:space="preserve"> </w:t>
      </w:r>
      <w:r w:rsidRPr="003F1ECF" w:rsidR="002E2C4F">
        <w:t>in accordance with</w:t>
      </w:r>
      <w:r w:rsidRPr="003F1ECF" w:rsidR="00C26591">
        <w:t xml:space="preserve"> §156.1230(a)(1) </w:t>
      </w:r>
      <w:r w:rsidRPr="003F1ECF" w:rsidR="00C70521">
        <w:t xml:space="preserve">annually for each issuer. </w:t>
      </w:r>
      <w:r>
        <w:t>We estimate the total burden per issuer to be</w:t>
      </w:r>
      <w:r w:rsidRPr="003F1ECF">
        <w:t xml:space="preserve"> 15 hours at a total annual cost of $</w:t>
      </w:r>
      <w:r w:rsidR="00264878">
        <w:t>1,919.40</w:t>
      </w:r>
      <w:r>
        <w:t xml:space="preserve">. We </w:t>
      </w:r>
      <w:r w:rsidRPr="003F1ECF">
        <w:t xml:space="preserve">estimate </w:t>
      </w:r>
      <w:r>
        <w:t>the</w:t>
      </w:r>
      <w:r w:rsidRPr="003F1ECF">
        <w:t xml:space="preserve"> total burden for a</w:t>
      </w:r>
      <w:r>
        <w:t>ll</w:t>
      </w:r>
      <w:r w:rsidRPr="003F1ECF">
        <w:t xml:space="preserve"> issuer</w:t>
      </w:r>
      <w:r>
        <w:t>s</w:t>
      </w:r>
      <w:r w:rsidRPr="003F1ECF">
        <w:t xml:space="preserve"> </w:t>
      </w:r>
      <w:r>
        <w:t>to be</w:t>
      </w:r>
      <w:r w:rsidR="004042BF">
        <w:t xml:space="preserve"> </w:t>
      </w:r>
      <w:r w:rsidRPr="003F1ECF" w:rsidR="004042BF">
        <w:t xml:space="preserve">1,320 hours </w:t>
      </w:r>
      <w:r w:rsidRPr="003F1ECF">
        <w:t xml:space="preserve">at </w:t>
      </w:r>
      <w:r w:rsidRPr="003F1ECF" w:rsidR="007C3631">
        <w:t>a</w:t>
      </w:r>
      <w:r w:rsidRPr="003F1ECF">
        <w:t xml:space="preserve"> cost of </w:t>
      </w:r>
      <w:r w:rsidRPr="003F1ECF" w:rsidR="004042BF">
        <w:t>$</w:t>
      </w:r>
      <w:r w:rsidR="00264878">
        <w:t>168,907.20</w:t>
      </w:r>
      <w:r w:rsidRPr="003F1ECF">
        <w:t>.</w:t>
      </w:r>
    </w:p>
    <w:p w:rsidR="00876291" w:rsidRPr="003F1ECF" w:rsidP="007B3FAB" w14:paraId="3D15E4DD" w14:textId="265907DE">
      <w:pPr>
        <w:pStyle w:val="BodyText"/>
      </w:pPr>
    </w:p>
    <w:p w:rsidR="00E34CA1" w:rsidRPr="003F1ECF" w:rsidP="0095498E" w14:paraId="63B9B365" w14:textId="2CB92B5F">
      <w:pPr>
        <w:pStyle w:val="BodyText"/>
        <w:spacing w:after="120"/>
        <w:rPr>
          <w:u w:val="single"/>
        </w:rPr>
      </w:pPr>
      <w:r w:rsidRPr="00C6238C">
        <w:rPr>
          <w:b/>
        </w:rPr>
        <w:t xml:space="preserve">Table 6: </w:t>
      </w:r>
      <w:r w:rsidRPr="00C6238C" w:rsidR="006B1B21">
        <w:rPr>
          <w:b/>
        </w:rPr>
        <w:t>Issuer Burden in Maintaining DE Web Site</w:t>
      </w:r>
    </w:p>
    <w:tbl>
      <w:tblPr>
        <w:tblStyle w:val="TableGrid"/>
        <w:tblW w:w="9355" w:type="dxa"/>
        <w:tblLayout w:type="fixed"/>
        <w:tblLook w:val="04A0"/>
      </w:tblPr>
      <w:tblGrid>
        <w:gridCol w:w="1615"/>
        <w:gridCol w:w="1440"/>
        <w:gridCol w:w="1710"/>
        <w:gridCol w:w="1440"/>
        <w:gridCol w:w="1530"/>
        <w:gridCol w:w="90"/>
        <w:gridCol w:w="1530"/>
      </w:tblGrid>
      <w:tr w14:paraId="52D32AA1" w14:textId="77777777" w:rsidTr="0069080B">
        <w:tblPrEx>
          <w:tblW w:w="9355" w:type="dxa"/>
          <w:tblLayout w:type="fixed"/>
          <w:tblLook w:val="04A0"/>
        </w:tblPrEx>
        <w:trPr>
          <w:trHeight w:val="1160"/>
        </w:trPr>
        <w:tc>
          <w:tcPr>
            <w:tcW w:w="1615" w:type="dxa"/>
          </w:tcPr>
          <w:p w:rsidR="00E34CA1" w:rsidRPr="003F1ECF" w:rsidP="00276C8E" w14:paraId="5C2414C4" w14:textId="77777777">
            <w:pPr>
              <w:pStyle w:val="BodyText"/>
              <w:rPr>
                <w:b/>
                <w:bCs/>
              </w:rPr>
            </w:pPr>
            <w:r w:rsidRPr="003F1ECF">
              <w:rPr>
                <w:b/>
                <w:bCs/>
              </w:rPr>
              <w:t>Labor Category</w:t>
            </w:r>
          </w:p>
        </w:tc>
        <w:tc>
          <w:tcPr>
            <w:tcW w:w="1440" w:type="dxa"/>
          </w:tcPr>
          <w:p w:rsidR="00E34CA1" w:rsidRPr="003F1ECF" w:rsidP="00276C8E" w14:paraId="6F3D85A8" w14:textId="77777777">
            <w:pPr>
              <w:pStyle w:val="BodyText"/>
              <w:ind w:left="-110" w:right="-110"/>
              <w:jc w:val="center"/>
              <w:rPr>
                <w:b/>
                <w:bCs/>
              </w:rPr>
            </w:pPr>
            <w:r w:rsidRPr="003F1ECF">
              <w:rPr>
                <w:b/>
                <w:bCs/>
              </w:rPr>
              <w:t>Number of Respondents</w:t>
            </w:r>
          </w:p>
        </w:tc>
        <w:tc>
          <w:tcPr>
            <w:tcW w:w="1710" w:type="dxa"/>
          </w:tcPr>
          <w:p w:rsidR="00E34CA1" w:rsidRPr="003F1ECF" w:rsidP="00276C8E" w14:paraId="263D71CC" w14:textId="73746511">
            <w:pPr>
              <w:pStyle w:val="BodyText"/>
              <w:ind w:left="-110" w:right="-110"/>
              <w:jc w:val="center"/>
              <w:rPr>
                <w:b/>
                <w:bCs/>
              </w:rPr>
            </w:pPr>
            <w:r w:rsidRPr="003F1ECF">
              <w:rPr>
                <w:b/>
                <w:bCs/>
              </w:rPr>
              <w:t xml:space="preserve">Hourly Labor Costs (Hourly </w:t>
            </w:r>
            <w:r w:rsidRPr="003F1ECF" w:rsidR="00CF1753">
              <w:rPr>
                <w:b/>
                <w:bCs/>
              </w:rPr>
              <w:t xml:space="preserve">Rate </w:t>
            </w:r>
            <w:r w:rsidRPr="003F1ECF">
              <w:rPr>
                <w:b/>
                <w:bCs/>
              </w:rPr>
              <w:t>+ 100% Fringe Benefits)</w:t>
            </w:r>
          </w:p>
        </w:tc>
        <w:tc>
          <w:tcPr>
            <w:tcW w:w="1440" w:type="dxa"/>
          </w:tcPr>
          <w:p w:rsidR="00E34CA1" w:rsidRPr="003F1ECF" w:rsidP="00276C8E" w14:paraId="1E436B04" w14:textId="40CBA3C8">
            <w:pPr>
              <w:pStyle w:val="BodyText"/>
              <w:ind w:left="-110" w:right="-110"/>
              <w:jc w:val="center"/>
              <w:rPr>
                <w:b/>
                <w:bCs/>
              </w:rPr>
            </w:pPr>
            <w:r w:rsidRPr="003F1ECF">
              <w:rPr>
                <w:b/>
                <w:bCs/>
              </w:rPr>
              <w:t>Burden Hours</w:t>
            </w:r>
            <w:r w:rsidRPr="003F1ECF" w:rsidR="00C70521">
              <w:rPr>
                <w:b/>
                <w:bCs/>
              </w:rPr>
              <w:t xml:space="preserve"> (Per Respondent)</w:t>
            </w:r>
          </w:p>
        </w:tc>
        <w:tc>
          <w:tcPr>
            <w:tcW w:w="1620" w:type="dxa"/>
            <w:gridSpan w:val="2"/>
          </w:tcPr>
          <w:p w:rsidR="00E34CA1" w:rsidRPr="003F1ECF" w:rsidP="00276C8E" w14:paraId="1B6D2C02" w14:textId="2BFDF201">
            <w:pPr>
              <w:pStyle w:val="BodyText"/>
              <w:ind w:left="-110" w:right="-110"/>
              <w:jc w:val="center"/>
              <w:rPr>
                <w:b/>
                <w:bCs/>
              </w:rPr>
            </w:pPr>
            <w:r w:rsidRPr="003F1ECF">
              <w:rPr>
                <w:b/>
                <w:bCs/>
              </w:rPr>
              <w:t>Total Burden Costs (P</w:t>
            </w:r>
            <w:r w:rsidRPr="003F1ECF">
              <w:rPr>
                <w:b/>
                <w:bCs/>
              </w:rPr>
              <w:t>er Respondent)</w:t>
            </w:r>
          </w:p>
        </w:tc>
        <w:tc>
          <w:tcPr>
            <w:tcW w:w="1530" w:type="dxa"/>
          </w:tcPr>
          <w:p w:rsidR="00E34CA1" w:rsidRPr="003F1ECF" w:rsidP="00276C8E" w14:paraId="463DFB01" w14:textId="77777777">
            <w:pPr>
              <w:pStyle w:val="BodyText"/>
              <w:ind w:left="-110" w:right="-110"/>
              <w:jc w:val="center"/>
              <w:rPr>
                <w:b/>
                <w:bCs/>
              </w:rPr>
            </w:pPr>
            <w:r w:rsidRPr="003F1ECF">
              <w:rPr>
                <w:b/>
                <w:bCs/>
              </w:rPr>
              <w:t>Total Burden Costs (All Respondents)</w:t>
            </w:r>
          </w:p>
        </w:tc>
      </w:tr>
      <w:tr w14:paraId="38A4CF26" w14:textId="77777777" w:rsidTr="0069080B">
        <w:tblPrEx>
          <w:tblW w:w="9355" w:type="dxa"/>
          <w:tblLayout w:type="fixed"/>
          <w:tblLook w:val="04A0"/>
        </w:tblPrEx>
        <w:trPr>
          <w:trHeight w:val="817"/>
        </w:trPr>
        <w:tc>
          <w:tcPr>
            <w:tcW w:w="1615" w:type="dxa"/>
          </w:tcPr>
          <w:p w:rsidR="00E34CA1" w:rsidRPr="003F1ECF" w:rsidP="00D75A26" w14:paraId="0A175774" w14:textId="348082EF">
            <w:pPr>
              <w:pStyle w:val="BodyText"/>
            </w:pPr>
            <w:r w:rsidRPr="003F1ECF">
              <w:t>Software Developer</w:t>
            </w:r>
          </w:p>
        </w:tc>
        <w:tc>
          <w:tcPr>
            <w:tcW w:w="1440" w:type="dxa"/>
          </w:tcPr>
          <w:p w:rsidR="00E34CA1" w:rsidRPr="003F1ECF" w:rsidP="00276C8E" w14:paraId="3C82C55F" w14:textId="11F9A41F">
            <w:pPr>
              <w:pStyle w:val="BodyText"/>
              <w:ind w:left="-110" w:right="-110"/>
              <w:jc w:val="center"/>
            </w:pPr>
            <w:r w:rsidRPr="003F1ECF">
              <w:t>88</w:t>
            </w:r>
          </w:p>
        </w:tc>
        <w:tc>
          <w:tcPr>
            <w:tcW w:w="1710" w:type="dxa"/>
          </w:tcPr>
          <w:p w:rsidR="00E34CA1" w:rsidRPr="003F1ECF" w:rsidP="00276C8E" w14:paraId="7FDAAB3E" w14:textId="0D0FCDA8">
            <w:pPr>
              <w:pStyle w:val="BodyText"/>
              <w:ind w:left="-110" w:right="-110"/>
              <w:jc w:val="center"/>
            </w:pPr>
            <w:r w:rsidRPr="003F1ECF">
              <w:t>$</w:t>
            </w:r>
            <w:r w:rsidR="00264878">
              <w:t>127.96</w:t>
            </w:r>
          </w:p>
        </w:tc>
        <w:tc>
          <w:tcPr>
            <w:tcW w:w="1440" w:type="dxa"/>
          </w:tcPr>
          <w:p w:rsidR="00E34CA1" w:rsidRPr="003F1ECF" w:rsidP="00276C8E" w14:paraId="02E872A5" w14:textId="7A6F2077">
            <w:pPr>
              <w:pStyle w:val="BodyText"/>
              <w:ind w:left="-110" w:right="-110"/>
              <w:jc w:val="center"/>
            </w:pPr>
            <w:r w:rsidRPr="003F1ECF">
              <w:t>15</w:t>
            </w:r>
          </w:p>
        </w:tc>
        <w:tc>
          <w:tcPr>
            <w:tcW w:w="1530" w:type="dxa"/>
          </w:tcPr>
          <w:p w:rsidR="00E34CA1" w:rsidRPr="003F1ECF" w:rsidP="00276C8E" w14:paraId="2A82E701" w14:textId="781BFD86">
            <w:pPr>
              <w:pStyle w:val="BodyText"/>
              <w:ind w:left="-110" w:right="-110"/>
              <w:jc w:val="center"/>
            </w:pPr>
            <w:r w:rsidRPr="003F1ECF">
              <w:t>$</w:t>
            </w:r>
            <w:r w:rsidR="00264878">
              <w:t>1,919.40</w:t>
            </w:r>
          </w:p>
        </w:tc>
        <w:tc>
          <w:tcPr>
            <w:tcW w:w="1620" w:type="dxa"/>
            <w:gridSpan w:val="2"/>
          </w:tcPr>
          <w:p w:rsidR="00E34CA1" w:rsidRPr="003F1ECF" w:rsidP="00276C8E" w14:paraId="7AE4DAA4" w14:textId="436BA5F4">
            <w:pPr>
              <w:pStyle w:val="BodyText"/>
              <w:ind w:left="-110" w:right="-110"/>
              <w:jc w:val="center"/>
            </w:pPr>
            <w:r w:rsidRPr="003F1ECF">
              <w:t>$</w:t>
            </w:r>
            <w:r w:rsidR="00264878">
              <w:t>168,907.20</w:t>
            </w:r>
          </w:p>
        </w:tc>
      </w:tr>
      <w:tr w14:paraId="6B248E33" w14:textId="77777777" w:rsidTr="0069080B">
        <w:tblPrEx>
          <w:tblW w:w="9355" w:type="dxa"/>
          <w:tblLayout w:type="fixed"/>
          <w:tblLook w:val="04A0"/>
        </w:tblPrEx>
        <w:trPr>
          <w:trHeight w:val="404"/>
        </w:trPr>
        <w:tc>
          <w:tcPr>
            <w:tcW w:w="1615" w:type="dxa"/>
          </w:tcPr>
          <w:p w:rsidR="00E34CA1" w:rsidRPr="00435F44" w:rsidP="00CF1753" w14:paraId="25ABAB2A" w14:textId="009D573F">
            <w:pPr>
              <w:pStyle w:val="BodyText"/>
              <w:rPr>
                <w:b/>
                <w:bCs/>
              </w:rPr>
            </w:pPr>
            <w:r w:rsidRPr="00435F44">
              <w:rPr>
                <w:b/>
                <w:bCs/>
              </w:rPr>
              <w:t xml:space="preserve">Total </w:t>
            </w:r>
          </w:p>
        </w:tc>
        <w:tc>
          <w:tcPr>
            <w:tcW w:w="1440" w:type="dxa"/>
          </w:tcPr>
          <w:p w:rsidR="00E34CA1" w:rsidRPr="00435F44" w:rsidP="00276C8E" w14:paraId="45D2333D" w14:textId="6B6FF1BA">
            <w:pPr>
              <w:pStyle w:val="BodyText"/>
              <w:ind w:left="-110" w:right="-110"/>
              <w:jc w:val="center"/>
              <w:rPr>
                <w:b/>
                <w:bCs/>
              </w:rPr>
            </w:pPr>
          </w:p>
        </w:tc>
        <w:tc>
          <w:tcPr>
            <w:tcW w:w="1710" w:type="dxa"/>
          </w:tcPr>
          <w:p w:rsidR="00E34CA1" w:rsidRPr="00435F44" w:rsidP="00276C8E" w14:paraId="2C0481DB" w14:textId="5EFB581B">
            <w:pPr>
              <w:pStyle w:val="BodyText"/>
              <w:ind w:left="-110" w:right="-110"/>
              <w:jc w:val="center"/>
              <w:rPr>
                <w:b/>
                <w:bCs/>
              </w:rPr>
            </w:pPr>
          </w:p>
        </w:tc>
        <w:tc>
          <w:tcPr>
            <w:tcW w:w="1440" w:type="dxa"/>
          </w:tcPr>
          <w:p w:rsidR="00E34CA1" w:rsidRPr="00435F44" w:rsidP="00276C8E" w14:paraId="43F6681B" w14:textId="0BD5685D">
            <w:pPr>
              <w:pStyle w:val="BodyText"/>
              <w:ind w:left="-110" w:right="-110"/>
              <w:jc w:val="center"/>
              <w:rPr>
                <w:b/>
                <w:bCs/>
              </w:rPr>
            </w:pPr>
            <w:r w:rsidRPr="00435F44">
              <w:rPr>
                <w:b/>
                <w:bCs/>
              </w:rPr>
              <w:t>15</w:t>
            </w:r>
          </w:p>
        </w:tc>
        <w:tc>
          <w:tcPr>
            <w:tcW w:w="1530" w:type="dxa"/>
          </w:tcPr>
          <w:p w:rsidR="00E34CA1" w:rsidRPr="00435F44" w:rsidP="00276C8E" w14:paraId="5F049A77" w14:textId="1F1C3AE0">
            <w:pPr>
              <w:pStyle w:val="BodyText"/>
              <w:ind w:left="-110" w:right="-110"/>
              <w:jc w:val="center"/>
              <w:rPr>
                <w:b/>
                <w:bCs/>
              </w:rPr>
            </w:pPr>
            <w:r w:rsidRPr="00435F44">
              <w:rPr>
                <w:b/>
                <w:bCs/>
              </w:rPr>
              <w:t>$</w:t>
            </w:r>
            <w:r w:rsidR="00264878">
              <w:rPr>
                <w:b/>
                <w:bCs/>
              </w:rPr>
              <w:t>1,919.40</w:t>
            </w:r>
          </w:p>
        </w:tc>
        <w:tc>
          <w:tcPr>
            <w:tcW w:w="1620" w:type="dxa"/>
            <w:gridSpan w:val="2"/>
          </w:tcPr>
          <w:p w:rsidR="00E34CA1" w:rsidRPr="00435F44" w:rsidP="00276C8E" w14:paraId="4EA6AC15" w14:textId="0F6CD0A4">
            <w:pPr>
              <w:pStyle w:val="BodyText"/>
              <w:ind w:left="-110" w:right="-110"/>
              <w:jc w:val="center"/>
              <w:rPr>
                <w:b/>
                <w:bCs/>
              </w:rPr>
            </w:pPr>
            <w:bookmarkStart w:id="57" w:name="_Hlk181182510"/>
            <w:r w:rsidRPr="00435F44">
              <w:rPr>
                <w:b/>
                <w:bCs/>
              </w:rPr>
              <w:t>$</w:t>
            </w:r>
            <w:bookmarkEnd w:id="57"/>
            <w:r w:rsidR="00264878">
              <w:rPr>
                <w:b/>
                <w:bCs/>
              </w:rPr>
              <w:t>168,907.20</w:t>
            </w:r>
          </w:p>
        </w:tc>
      </w:tr>
    </w:tbl>
    <w:p w:rsidR="00D75A26" w:rsidRPr="003F1ECF" w:rsidP="007B3FAB" w14:paraId="0E8B0343" w14:textId="77777777">
      <w:pPr>
        <w:pStyle w:val="BodyText"/>
        <w:rPr>
          <w:u w:val="single"/>
        </w:rPr>
      </w:pPr>
    </w:p>
    <w:p w:rsidR="00B6354D" w:rsidRPr="003F1ECF" w:rsidP="0095498E" w14:paraId="7A36FA45" w14:textId="62B49C8D">
      <w:pPr>
        <w:pStyle w:val="Body"/>
        <w:spacing w:after="120" w:line="240" w:lineRule="auto"/>
        <w:rPr>
          <w:rFonts w:eastAsia="Calibri"/>
          <w:b/>
          <w:u w:val="single"/>
        </w:rPr>
      </w:pPr>
      <w:r w:rsidRPr="00C6238C">
        <w:rPr>
          <w:rFonts w:eastAsia="Calibri"/>
          <w:b/>
        </w:rPr>
        <w:t>Table 7</w:t>
      </w:r>
      <w:r w:rsidR="00C6238C">
        <w:rPr>
          <w:rFonts w:eastAsia="Calibri"/>
          <w:b/>
        </w:rPr>
        <w:t xml:space="preserve">. </w:t>
      </w:r>
      <w:r w:rsidRPr="00C6238C">
        <w:rPr>
          <w:rFonts w:eastAsia="Calibri"/>
          <w:b/>
        </w:rPr>
        <w:t xml:space="preserve">Summary of </w:t>
      </w:r>
      <w:r w:rsidR="00264878">
        <w:rPr>
          <w:rFonts w:eastAsia="Calibri"/>
          <w:b/>
        </w:rPr>
        <w:t xml:space="preserve">Annual </w:t>
      </w:r>
      <w:r w:rsidRPr="00C6238C">
        <w:rPr>
          <w:rFonts w:eastAsia="Calibri"/>
          <w:b/>
        </w:rPr>
        <w:t>Total Burden</w:t>
      </w:r>
    </w:p>
    <w:tbl>
      <w:tblPr>
        <w:tblStyle w:val="TableGrid"/>
        <w:tblW w:w="9285" w:type="dxa"/>
        <w:jc w:val="center"/>
        <w:tblLayout w:type="fixed"/>
        <w:tblLook w:val="04A0"/>
      </w:tblPr>
      <w:tblGrid>
        <w:gridCol w:w="3435"/>
        <w:gridCol w:w="2340"/>
        <w:gridCol w:w="1605"/>
        <w:gridCol w:w="1905"/>
      </w:tblGrid>
      <w:tr w14:paraId="72F0E694" w14:textId="77777777" w:rsidTr="00B6354D">
        <w:tblPrEx>
          <w:tblW w:w="9285" w:type="dxa"/>
          <w:jc w:val="center"/>
          <w:tblLayout w:type="fixed"/>
          <w:tblLook w:val="04A0"/>
        </w:tblPrEx>
        <w:trPr>
          <w:jc w:val="center"/>
        </w:trPr>
        <w:tc>
          <w:tcPr>
            <w:tcW w:w="3435" w:type="dxa"/>
            <w:vAlign w:val="center"/>
          </w:tcPr>
          <w:p w:rsidR="00876291" w:rsidRPr="003F1ECF" w:rsidP="007B3FAB" w14:paraId="1A6DC34C" w14:textId="77777777">
            <w:pPr>
              <w:adjustRightInd w:val="0"/>
              <w:rPr>
                <w:b/>
                <w:sz w:val="24"/>
                <w:szCs w:val="24"/>
              </w:rPr>
            </w:pPr>
            <w:r w:rsidRPr="003F1ECF">
              <w:rPr>
                <w:b/>
                <w:spacing w:val="-5"/>
                <w:sz w:val="24"/>
                <w:szCs w:val="24"/>
              </w:rPr>
              <w:t>Table Number: Name</w:t>
            </w:r>
          </w:p>
        </w:tc>
        <w:tc>
          <w:tcPr>
            <w:tcW w:w="2340" w:type="dxa"/>
            <w:vAlign w:val="center"/>
          </w:tcPr>
          <w:p w:rsidR="00876291" w:rsidRPr="003F1ECF" w:rsidP="007B3FAB" w14:paraId="7FE9F25A" w14:textId="77777777">
            <w:pPr>
              <w:adjustRightInd w:val="0"/>
              <w:jc w:val="center"/>
              <w:rPr>
                <w:b/>
                <w:sz w:val="24"/>
                <w:szCs w:val="24"/>
              </w:rPr>
            </w:pPr>
            <w:r w:rsidRPr="003F1ECF">
              <w:rPr>
                <w:b/>
                <w:sz w:val="24"/>
                <w:szCs w:val="24"/>
              </w:rPr>
              <w:t>CFR Section</w:t>
            </w:r>
          </w:p>
        </w:tc>
        <w:tc>
          <w:tcPr>
            <w:tcW w:w="1605" w:type="dxa"/>
            <w:vAlign w:val="center"/>
          </w:tcPr>
          <w:p w:rsidR="00876291" w:rsidRPr="003F1ECF" w:rsidP="007B3FAB" w14:paraId="4D036C4B" w14:textId="77777777">
            <w:pPr>
              <w:jc w:val="center"/>
              <w:rPr>
                <w:b/>
                <w:sz w:val="24"/>
                <w:szCs w:val="24"/>
              </w:rPr>
            </w:pPr>
            <w:r w:rsidRPr="003F1ECF">
              <w:rPr>
                <w:b/>
                <w:spacing w:val="-2"/>
                <w:sz w:val="24"/>
                <w:szCs w:val="24"/>
              </w:rPr>
              <w:t xml:space="preserve"> B</w:t>
            </w:r>
            <w:r w:rsidRPr="003F1ECF">
              <w:rPr>
                <w:b/>
                <w:sz w:val="24"/>
                <w:szCs w:val="24"/>
              </w:rPr>
              <w:t>u</w:t>
            </w:r>
            <w:r w:rsidRPr="003F1ECF">
              <w:rPr>
                <w:b/>
                <w:spacing w:val="-1"/>
                <w:sz w:val="24"/>
                <w:szCs w:val="24"/>
              </w:rPr>
              <w:t>r</w:t>
            </w:r>
            <w:r w:rsidRPr="003F1ECF">
              <w:rPr>
                <w:b/>
                <w:sz w:val="24"/>
                <w:szCs w:val="24"/>
              </w:rPr>
              <w:t>d</w:t>
            </w:r>
            <w:r w:rsidRPr="003F1ECF">
              <w:rPr>
                <w:b/>
                <w:spacing w:val="-1"/>
                <w:sz w:val="24"/>
                <w:szCs w:val="24"/>
              </w:rPr>
              <w:t>e</w:t>
            </w:r>
            <w:r w:rsidRPr="003F1ECF">
              <w:rPr>
                <w:b/>
                <w:sz w:val="24"/>
                <w:szCs w:val="24"/>
              </w:rPr>
              <w:t>n</w:t>
            </w:r>
          </w:p>
          <w:p w:rsidR="00876291" w:rsidRPr="003F1ECF" w:rsidP="007B3FAB" w14:paraId="175E4DFE" w14:textId="77777777">
            <w:pPr>
              <w:adjustRightInd w:val="0"/>
              <w:jc w:val="center"/>
              <w:rPr>
                <w:b/>
                <w:sz w:val="24"/>
                <w:szCs w:val="24"/>
              </w:rPr>
            </w:pPr>
            <w:r w:rsidRPr="003F1ECF">
              <w:rPr>
                <w:b/>
                <w:sz w:val="24"/>
                <w:szCs w:val="24"/>
              </w:rPr>
              <w:t>Hou</w:t>
            </w:r>
            <w:r w:rsidRPr="003F1ECF">
              <w:rPr>
                <w:b/>
                <w:spacing w:val="-1"/>
                <w:sz w:val="24"/>
                <w:szCs w:val="24"/>
              </w:rPr>
              <w:t>r</w:t>
            </w:r>
            <w:r w:rsidRPr="003F1ECF">
              <w:rPr>
                <w:b/>
                <w:sz w:val="24"/>
                <w:szCs w:val="24"/>
              </w:rPr>
              <w:t>s</w:t>
            </w:r>
          </w:p>
        </w:tc>
        <w:tc>
          <w:tcPr>
            <w:tcW w:w="1905" w:type="dxa"/>
            <w:vAlign w:val="center"/>
          </w:tcPr>
          <w:p w:rsidR="00876291" w:rsidRPr="003F1ECF" w:rsidP="007B3FAB" w14:paraId="17E2CD76" w14:textId="77777777">
            <w:pPr>
              <w:adjustRightInd w:val="0"/>
              <w:jc w:val="center"/>
              <w:rPr>
                <w:b/>
                <w:sz w:val="24"/>
                <w:szCs w:val="24"/>
              </w:rPr>
            </w:pPr>
            <w:r w:rsidRPr="003F1ECF">
              <w:rPr>
                <w:b/>
                <w:sz w:val="24"/>
                <w:szCs w:val="24"/>
              </w:rPr>
              <w:t xml:space="preserve"> Burden Cost</w:t>
            </w:r>
          </w:p>
        </w:tc>
      </w:tr>
      <w:tr w14:paraId="69BD5903" w14:textId="77777777" w:rsidTr="00B6354D">
        <w:tblPrEx>
          <w:tblW w:w="9285" w:type="dxa"/>
          <w:jc w:val="center"/>
          <w:tblLayout w:type="fixed"/>
          <w:tblLook w:val="04A0"/>
        </w:tblPrEx>
        <w:trPr>
          <w:jc w:val="center"/>
        </w:trPr>
        <w:tc>
          <w:tcPr>
            <w:tcW w:w="3435" w:type="dxa"/>
            <w:vAlign w:val="center"/>
          </w:tcPr>
          <w:p w:rsidR="004950B4" w:rsidRPr="003F1ECF" w:rsidP="007B3FAB" w14:paraId="3477F4F0" w14:textId="3F98D286">
            <w:pPr>
              <w:adjustRightInd w:val="0"/>
              <w:rPr>
                <w:spacing w:val="-5"/>
                <w:sz w:val="24"/>
                <w:szCs w:val="24"/>
              </w:rPr>
            </w:pPr>
            <w:r w:rsidRPr="003F1ECF">
              <w:rPr>
                <w:spacing w:val="-5"/>
                <w:sz w:val="24"/>
                <w:szCs w:val="24"/>
              </w:rPr>
              <w:t>Table 5: Issuer Burden in Maintaining Records of Consumer Case Resolution and Inputting into HHS-Developed Casework Tracking System</w:t>
            </w:r>
          </w:p>
        </w:tc>
        <w:tc>
          <w:tcPr>
            <w:tcW w:w="2340" w:type="dxa"/>
            <w:vAlign w:val="center"/>
          </w:tcPr>
          <w:p w:rsidR="004950B4" w:rsidRPr="003F1ECF" w:rsidP="007B3FAB" w14:paraId="78FC5BFF" w14:textId="3B1A80D2">
            <w:pPr>
              <w:adjustRightInd w:val="0"/>
              <w:jc w:val="center"/>
              <w:rPr>
                <w:sz w:val="24"/>
                <w:szCs w:val="24"/>
              </w:rPr>
            </w:pPr>
            <w:r w:rsidRPr="003F1ECF">
              <w:rPr>
                <w:sz w:val="24"/>
                <w:szCs w:val="24"/>
              </w:rPr>
              <w:t xml:space="preserve">45 C.F.R. 156.1010(g)(1)-(3) </w:t>
            </w:r>
          </w:p>
        </w:tc>
        <w:tc>
          <w:tcPr>
            <w:tcW w:w="1605" w:type="dxa"/>
            <w:vAlign w:val="center"/>
          </w:tcPr>
          <w:p w:rsidR="004950B4" w:rsidRPr="000620CA" w:rsidP="007B3FAB" w14:paraId="04624A6A" w14:textId="5E68D82C">
            <w:pPr>
              <w:jc w:val="center"/>
              <w:rPr>
                <w:spacing w:val="-2"/>
                <w:sz w:val="24"/>
                <w:szCs w:val="24"/>
              </w:rPr>
            </w:pPr>
            <w:r>
              <w:rPr>
                <w:spacing w:val="-2"/>
                <w:sz w:val="24"/>
                <w:szCs w:val="24"/>
              </w:rPr>
              <w:t>2,324,000</w:t>
            </w:r>
          </w:p>
        </w:tc>
        <w:tc>
          <w:tcPr>
            <w:tcW w:w="1905" w:type="dxa"/>
            <w:vAlign w:val="center"/>
          </w:tcPr>
          <w:p w:rsidR="004950B4" w:rsidRPr="000620CA" w:rsidP="007B3FAB" w14:paraId="49CD72E3" w14:textId="0D2185B0">
            <w:pPr>
              <w:adjustRightInd w:val="0"/>
              <w:jc w:val="center"/>
              <w:rPr>
                <w:bCs/>
                <w:sz w:val="24"/>
                <w:szCs w:val="24"/>
              </w:rPr>
            </w:pPr>
            <w:r w:rsidRPr="00353987">
              <w:rPr>
                <w:bCs/>
                <w:sz w:val="24"/>
                <w:szCs w:val="24"/>
              </w:rPr>
              <w:t>$</w:t>
            </w:r>
            <w:r w:rsidR="00264878">
              <w:t>125,655,360.00</w:t>
            </w:r>
          </w:p>
        </w:tc>
      </w:tr>
      <w:tr w14:paraId="159E582C" w14:textId="77777777" w:rsidTr="00B6354D">
        <w:tblPrEx>
          <w:tblW w:w="9285" w:type="dxa"/>
          <w:jc w:val="center"/>
          <w:tblLayout w:type="fixed"/>
          <w:tblLook w:val="04A0"/>
        </w:tblPrEx>
        <w:trPr>
          <w:jc w:val="center"/>
        </w:trPr>
        <w:tc>
          <w:tcPr>
            <w:tcW w:w="3435" w:type="dxa"/>
            <w:vAlign w:val="center"/>
          </w:tcPr>
          <w:p w:rsidR="004950B4" w:rsidRPr="003F1ECF" w:rsidP="007B3FAB" w14:paraId="7F8A1FBC" w14:textId="604FEF56">
            <w:pPr>
              <w:adjustRightInd w:val="0"/>
              <w:rPr>
                <w:spacing w:val="-5"/>
                <w:sz w:val="24"/>
                <w:szCs w:val="24"/>
              </w:rPr>
            </w:pPr>
            <w:r w:rsidRPr="003F1ECF">
              <w:rPr>
                <w:spacing w:val="-5"/>
                <w:sz w:val="24"/>
                <w:szCs w:val="24"/>
              </w:rPr>
              <w:t>Table 6: Issuer Burden in Maintaining DE Web Site</w:t>
            </w:r>
          </w:p>
        </w:tc>
        <w:tc>
          <w:tcPr>
            <w:tcW w:w="2340" w:type="dxa"/>
            <w:vAlign w:val="center"/>
          </w:tcPr>
          <w:p w:rsidR="004950B4" w:rsidRPr="003F1ECF" w:rsidP="007B3FAB" w14:paraId="70F07D49" w14:textId="7C101E1A">
            <w:pPr>
              <w:adjustRightInd w:val="0"/>
              <w:jc w:val="center"/>
              <w:rPr>
                <w:sz w:val="24"/>
                <w:szCs w:val="24"/>
              </w:rPr>
            </w:pPr>
            <w:r w:rsidRPr="003F1ECF">
              <w:rPr>
                <w:sz w:val="24"/>
                <w:szCs w:val="24"/>
              </w:rPr>
              <w:t>45</w:t>
            </w:r>
            <w:r w:rsidRPr="003F1ECF" w:rsidR="001854ED">
              <w:rPr>
                <w:sz w:val="24"/>
                <w:szCs w:val="24"/>
              </w:rPr>
              <w:t xml:space="preserve"> C.F.R. 156.1230(a)(1)(ii)-(iv)</w:t>
            </w:r>
          </w:p>
        </w:tc>
        <w:tc>
          <w:tcPr>
            <w:tcW w:w="1605" w:type="dxa"/>
            <w:vAlign w:val="center"/>
          </w:tcPr>
          <w:p w:rsidR="004950B4" w:rsidRPr="003F1ECF" w:rsidP="007B3FAB" w14:paraId="55033B73" w14:textId="32FD86F3">
            <w:pPr>
              <w:jc w:val="center"/>
              <w:rPr>
                <w:spacing w:val="-2"/>
                <w:sz w:val="24"/>
                <w:szCs w:val="24"/>
              </w:rPr>
            </w:pPr>
            <w:r w:rsidRPr="003F1ECF">
              <w:rPr>
                <w:spacing w:val="-2"/>
                <w:sz w:val="24"/>
                <w:szCs w:val="24"/>
              </w:rPr>
              <w:t>1,320</w:t>
            </w:r>
          </w:p>
        </w:tc>
        <w:tc>
          <w:tcPr>
            <w:tcW w:w="1905" w:type="dxa"/>
            <w:vAlign w:val="center"/>
          </w:tcPr>
          <w:p w:rsidR="004950B4" w:rsidRPr="003F1ECF" w:rsidP="007B3FAB" w14:paraId="780C9433" w14:textId="5FEBF3B6">
            <w:pPr>
              <w:adjustRightInd w:val="0"/>
              <w:jc w:val="center"/>
              <w:rPr>
                <w:bCs/>
                <w:color w:val="000000"/>
                <w:sz w:val="24"/>
                <w:szCs w:val="24"/>
              </w:rPr>
            </w:pPr>
            <w:r w:rsidRPr="007865CA">
              <w:t>$</w:t>
            </w:r>
            <w:r w:rsidR="00264878">
              <w:t>168,907.20</w:t>
            </w:r>
          </w:p>
        </w:tc>
      </w:tr>
      <w:tr w14:paraId="07AD8450" w14:textId="77777777" w:rsidTr="00264878">
        <w:tblPrEx>
          <w:tblW w:w="9285" w:type="dxa"/>
          <w:jc w:val="center"/>
          <w:tblLayout w:type="fixed"/>
          <w:tblLook w:val="04A0"/>
        </w:tblPrEx>
        <w:trPr>
          <w:trHeight w:val="359"/>
          <w:jc w:val="center"/>
        </w:trPr>
        <w:tc>
          <w:tcPr>
            <w:tcW w:w="3435" w:type="dxa"/>
            <w:vAlign w:val="center"/>
          </w:tcPr>
          <w:p w:rsidR="00AD5BE6" w:rsidRPr="003F1ECF" w:rsidP="007B3FAB" w14:paraId="1893D054" w14:textId="0ED3E433">
            <w:pPr>
              <w:adjustRightInd w:val="0"/>
              <w:rPr>
                <w:b/>
                <w:spacing w:val="-5"/>
                <w:sz w:val="24"/>
                <w:szCs w:val="24"/>
              </w:rPr>
            </w:pPr>
            <w:r w:rsidRPr="003F1ECF">
              <w:rPr>
                <w:b/>
                <w:spacing w:val="-5"/>
                <w:sz w:val="24"/>
                <w:szCs w:val="24"/>
              </w:rPr>
              <w:t>Total</w:t>
            </w:r>
            <w:r w:rsidRPr="003F1ECF" w:rsidR="00E878C9">
              <w:rPr>
                <w:b/>
                <w:spacing w:val="-5"/>
                <w:sz w:val="24"/>
                <w:szCs w:val="24"/>
              </w:rPr>
              <w:t xml:space="preserve"> </w:t>
            </w:r>
          </w:p>
        </w:tc>
        <w:tc>
          <w:tcPr>
            <w:tcW w:w="2340" w:type="dxa"/>
            <w:vAlign w:val="center"/>
          </w:tcPr>
          <w:p w:rsidR="00AD5BE6" w:rsidRPr="003F1ECF" w:rsidP="007B3FAB" w14:paraId="79ABEE38" w14:textId="77777777">
            <w:pPr>
              <w:adjustRightInd w:val="0"/>
              <w:jc w:val="center"/>
              <w:rPr>
                <w:b/>
                <w:sz w:val="24"/>
                <w:szCs w:val="24"/>
              </w:rPr>
            </w:pPr>
          </w:p>
        </w:tc>
        <w:tc>
          <w:tcPr>
            <w:tcW w:w="1605" w:type="dxa"/>
            <w:vAlign w:val="center"/>
          </w:tcPr>
          <w:p w:rsidR="00AD5BE6" w:rsidRPr="003F1ECF" w:rsidP="007B3FAB" w14:paraId="53DED407" w14:textId="6289865A">
            <w:pPr>
              <w:jc w:val="center"/>
              <w:rPr>
                <w:b/>
                <w:spacing w:val="-2"/>
                <w:sz w:val="24"/>
                <w:szCs w:val="24"/>
              </w:rPr>
            </w:pPr>
            <w:r>
              <w:rPr>
                <w:b/>
                <w:spacing w:val="-2"/>
                <w:sz w:val="24"/>
                <w:szCs w:val="24"/>
              </w:rPr>
              <w:t>2,325,320</w:t>
            </w:r>
          </w:p>
        </w:tc>
        <w:tc>
          <w:tcPr>
            <w:tcW w:w="1905" w:type="dxa"/>
            <w:vAlign w:val="center"/>
          </w:tcPr>
          <w:p w:rsidR="00AD5BE6" w:rsidRPr="003F1ECF" w:rsidP="007B3FAB" w14:paraId="2678E9C9" w14:textId="62879D7A">
            <w:pPr>
              <w:adjustRightInd w:val="0"/>
              <w:jc w:val="center"/>
              <w:rPr>
                <w:b/>
                <w:sz w:val="24"/>
                <w:szCs w:val="24"/>
              </w:rPr>
            </w:pPr>
            <w:r>
              <w:rPr>
                <w:b/>
                <w:sz w:val="24"/>
                <w:szCs w:val="24"/>
              </w:rPr>
              <w:t>$</w:t>
            </w:r>
            <w:r w:rsidR="00264878">
              <w:rPr>
                <w:b/>
                <w:sz w:val="24"/>
                <w:szCs w:val="24"/>
              </w:rPr>
              <w:t>125,824,267.20</w:t>
            </w:r>
          </w:p>
        </w:tc>
      </w:tr>
    </w:tbl>
    <w:p w:rsidR="00876291" w:rsidP="007B3FAB" w14:paraId="4578F8A4" w14:textId="77777777">
      <w:pPr>
        <w:pStyle w:val="BodyText"/>
        <w:rPr>
          <w:u w:val="single"/>
        </w:rPr>
      </w:pPr>
    </w:p>
    <w:p w:rsidR="0095498E" w:rsidRPr="003F1ECF" w:rsidP="007B3FAB" w14:paraId="7C530630" w14:textId="77777777">
      <w:pPr>
        <w:pStyle w:val="BodyText"/>
        <w:rPr>
          <w:u w:val="single"/>
        </w:rPr>
      </w:pPr>
    </w:p>
    <w:p w:rsidR="009D100B" w:rsidRPr="003F1ECF" w:rsidP="007B3FAB" w14:paraId="5945807E" w14:textId="77777777">
      <w:pPr>
        <w:pStyle w:val="ListParagraph"/>
        <w:numPr>
          <w:ilvl w:val="1"/>
          <w:numId w:val="1"/>
        </w:numPr>
        <w:tabs>
          <w:tab w:val="left" w:pos="551"/>
        </w:tabs>
        <w:ind w:left="0" w:firstLine="0"/>
        <w:rPr>
          <w:sz w:val="24"/>
          <w:szCs w:val="24"/>
        </w:rPr>
      </w:pPr>
      <w:bookmarkStart w:id="58" w:name="13.__Capital_Costs"/>
      <w:bookmarkEnd w:id="58"/>
      <w:r w:rsidRPr="003F1ECF">
        <w:rPr>
          <w:sz w:val="24"/>
          <w:szCs w:val="24"/>
          <w:u w:val="single"/>
        </w:rPr>
        <w:t>Capital</w:t>
      </w:r>
      <w:r w:rsidRPr="003F1ECF">
        <w:rPr>
          <w:spacing w:val="-7"/>
          <w:sz w:val="24"/>
          <w:szCs w:val="24"/>
          <w:u w:val="single"/>
        </w:rPr>
        <w:t xml:space="preserve"> </w:t>
      </w:r>
      <w:r w:rsidRPr="003F1ECF">
        <w:rPr>
          <w:sz w:val="24"/>
          <w:szCs w:val="24"/>
          <w:u w:val="single"/>
        </w:rPr>
        <w:t>Costs</w:t>
      </w:r>
      <w:bookmarkStart w:id="59" w:name="_bookmark6"/>
      <w:bookmarkStart w:id="60" w:name="There_are_no_anticipated_capital_costs_a"/>
      <w:bookmarkEnd w:id="59"/>
      <w:bookmarkEnd w:id="60"/>
    </w:p>
    <w:p w:rsidR="009D100B" w:rsidRPr="003F1ECF" w:rsidP="007B3FAB" w14:paraId="10F25A99" w14:textId="77777777">
      <w:pPr>
        <w:pStyle w:val="ListParagraph"/>
        <w:tabs>
          <w:tab w:val="left" w:pos="551"/>
        </w:tabs>
        <w:ind w:left="0" w:firstLine="0"/>
        <w:rPr>
          <w:sz w:val="24"/>
          <w:szCs w:val="24"/>
        </w:rPr>
      </w:pPr>
    </w:p>
    <w:p w:rsidR="001C3F13" w:rsidRPr="003F1ECF" w:rsidP="007B3FAB" w14:paraId="39BAF1C2" w14:textId="15D38AE5">
      <w:pPr>
        <w:tabs>
          <w:tab w:val="left" w:pos="551"/>
        </w:tabs>
        <w:rPr>
          <w:sz w:val="24"/>
          <w:szCs w:val="24"/>
        </w:rPr>
      </w:pPr>
      <w:r w:rsidRPr="003F1ECF">
        <w:rPr>
          <w:sz w:val="24"/>
          <w:szCs w:val="24"/>
        </w:rPr>
        <w:t>There are no anticipated capital costs associated with these information collections.</w:t>
      </w:r>
    </w:p>
    <w:p w:rsidR="001C3F13" w:rsidRPr="003F1ECF" w:rsidP="007B3FAB" w14:paraId="53D96AA1" w14:textId="77777777">
      <w:pPr>
        <w:pStyle w:val="BodyText"/>
      </w:pPr>
    </w:p>
    <w:p w:rsidR="001C3F13" w:rsidRPr="003F1ECF" w:rsidP="007B3FAB" w14:paraId="56DC8372" w14:textId="77777777">
      <w:pPr>
        <w:pStyle w:val="ListParagraph"/>
        <w:numPr>
          <w:ilvl w:val="1"/>
          <w:numId w:val="1"/>
        </w:numPr>
        <w:tabs>
          <w:tab w:val="left" w:pos="551"/>
        </w:tabs>
        <w:ind w:left="0" w:firstLine="0"/>
        <w:rPr>
          <w:sz w:val="24"/>
          <w:szCs w:val="24"/>
        </w:rPr>
      </w:pPr>
      <w:bookmarkStart w:id="61" w:name="14.__Cost_to_Federal_Government"/>
      <w:bookmarkEnd w:id="61"/>
      <w:r w:rsidRPr="003F1ECF">
        <w:rPr>
          <w:sz w:val="24"/>
          <w:szCs w:val="24"/>
          <w:u w:val="single"/>
        </w:rPr>
        <w:t>Cost to Federal</w:t>
      </w:r>
      <w:r w:rsidRPr="003F1ECF">
        <w:rPr>
          <w:spacing w:val="-7"/>
          <w:sz w:val="24"/>
          <w:szCs w:val="24"/>
          <w:u w:val="single"/>
        </w:rPr>
        <w:t xml:space="preserve"> </w:t>
      </w:r>
      <w:r w:rsidRPr="003F1ECF">
        <w:rPr>
          <w:sz w:val="24"/>
          <w:szCs w:val="24"/>
          <w:u w:val="single"/>
        </w:rPr>
        <w:t>Government</w:t>
      </w:r>
    </w:p>
    <w:p w:rsidR="001C3F13" w:rsidRPr="003F1ECF" w:rsidP="007B3FAB" w14:paraId="64AB87E6" w14:textId="77777777">
      <w:pPr>
        <w:pStyle w:val="BodyText"/>
      </w:pPr>
    </w:p>
    <w:p w:rsidR="00C1015C" w:rsidRPr="003F1ECF" w:rsidP="007B3FAB" w14:paraId="6E7854DE" w14:textId="5F8B681E">
      <w:pPr>
        <w:pStyle w:val="BodyText"/>
      </w:pPr>
      <w:bookmarkStart w:id="62" w:name="The_initial_burden_to_the_Federal_govern"/>
      <w:bookmarkEnd w:id="62"/>
      <w:r w:rsidRPr="003F1ECF">
        <w:t xml:space="preserve">The burden to the Federal government for </w:t>
      </w:r>
      <w:r w:rsidRPr="003F1ECF" w:rsidR="00C87E7E">
        <w:t>maintaining</w:t>
      </w:r>
      <w:r w:rsidRPr="003F1ECF">
        <w:t xml:space="preserve"> the systems and policies associated with this information collection is </w:t>
      </w:r>
      <w:r w:rsidRPr="003F1ECF" w:rsidR="006F49E5">
        <w:t>$</w:t>
      </w:r>
      <w:r w:rsidR="00D87B54">
        <w:t>888,078.00</w:t>
      </w:r>
      <w:r w:rsidRPr="003F1ECF">
        <w:t xml:space="preserve">. The calculations for </w:t>
      </w:r>
      <w:r w:rsidRPr="003F1ECF" w:rsidR="001620CC">
        <w:t>the Center for Consumer Information and Insurance Oversight (</w:t>
      </w:r>
      <w:r w:rsidRPr="003F1ECF">
        <w:t>CCIIO</w:t>
      </w:r>
      <w:r w:rsidRPr="003F1ECF" w:rsidR="001620CC">
        <w:t>)</w:t>
      </w:r>
      <w:r w:rsidRPr="003F1ECF">
        <w:t xml:space="preserve"> employees’ hourly salary was</w:t>
      </w:r>
      <w:r w:rsidRPr="003F1ECF" w:rsidR="005D019C">
        <w:t xml:space="preserve"> obtained from the </w:t>
      </w:r>
      <w:hyperlink r:id="rId10" w:history="1">
        <w:r w:rsidRPr="003F1ECF" w:rsidR="005D019C">
          <w:rPr>
            <w:rStyle w:val="Hyperlink"/>
          </w:rPr>
          <w:t>OPM website</w:t>
        </w:r>
      </w:hyperlink>
      <w:r w:rsidRPr="003F1ECF" w:rsidR="006F49E5">
        <w:t>.</w:t>
      </w:r>
      <w:r w:rsidRPr="003F1ECF" w:rsidR="006F49E5">
        <w:t xml:space="preserve"> </w:t>
      </w:r>
    </w:p>
    <w:p w:rsidR="005D019C" w:rsidRPr="003F1ECF" w:rsidP="007B3FAB" w14:paraId="79FA89DD" w14:textId="4E505718">
      <w:pPr>
        <w:pStyle w:val="BodyText"/>
      </w:pPr>
    </w:p>
    <w:p w:rsidR="004A612A" w:rsidRPr="003F1ECF" w:rsidP="0095498E" w14:paraId="2CE318C7" w14:textId="08AE4C69">
      <w:pPr>
        <w:pStyle w:val="BodyText"/>
        <w:spacing w:after="120"/>
        <w:rPr>
          <w:b/>
        </w:rPr>
      </w:pPr>
      <w:r w:rsidRPr="007F6645">
        <w:rPr>
          <w:b/>
        </w:rPr>
        <w:t xml:space="preserve">Table </w:t>
      </w:r>
      <w:r w:rsidRPr="007F6645" w:rsidR="001620CC">
        <w:rPr>
          <w:b/>
        </w:rPr>
        <w:t>8</w:t>
      </w:r>
      <w:r w:rsidRPr="007F6645" w:rsidR="00F11040">
        <w:rPr>
          <w:b/>
        </w:rPr>
        <w:t>:</w:t>
      </w:r>
      <w:bookmarkStart w:id="63" w:name="Program_Integrity_and_Additional_State_C"/>
      <w:bookmarkEnd w:id="63"/>
      <w:r w:rsidRPr="007F6645" w:rsidR="00601588">
        <w:rPr>
          <w:b/>
        </w:rPr>
        <w:t xml:space="preserve"> Administrative Burden Costs for the Federal</w:t>
      </w:r>
      <w:r w:rsidRPr="007F6645" w:rsidR="00C1015C">
        <w:rPr>
          <w:b/>
        </w:rPr>
        <w:t xml:space="preserve"> Government Associated with the </w:t>
      </w:r>
      <w:r w:rsidRPr="007F6645" w:rsidR="00601588">
        <w:rPr>
          <w:b/>
        </w:rPr>
        <w:t>Program Integrity and Additional State Collections</w:t>
      </w: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5"/>
        <w:gridCol w:w="4410"/>
      </w:tblGrid>
      <w:tr w14:paraId="0DE1BC75" w14:textId="77777777" w:rsidTr="007F6645">
        <w:tblPrEx>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310"/>
        </w:trPr>
        <w:tc>
          <w:tcPr>
            <w:tcW w:w="4785" w:type="dxa"/>
          </w:tcPr>
          <w:p w:rsidR="001C3F13" w:rsidRPr="003F1ECF" w:rsidP="00F33309" w14:paraId="00BC7ADE" w14:textId="77777777">
            <w:pPr>
              <w:pStyle w:val="TableParagraph"/>
              <w:spacing w:line="240" w:lineRule="auto"/>
              <w:ind w:left="80"/>
              <w:rPr>
                <w:b/>
                <w:sz w:val="24"/>
                <w:szCs w:val="24"/>
              </w:rPr>
            </w:pPr>
            <w:bookmarkStart w:id="64" w:name="Task"/>
            <w:bookmarkStart w:id="65" w:name="Development_of_Program_Integrity_Informa"/>
            <w:bookmarkEnd w:id="64"/>
            <w:bookmarkEnd w:id="65"/>
            <w:r w:rsidRPr="003F1ECF">
              <w:rPr>
                <w:b/>
                <w:sz w:val="24"/>
                <w:szCs w:val="24"/>
              </w:rPr>
              <w:t>Task</w:t>
            </w:r>
          </w:p>
        </w:tc>
        <w:tc>
          <w:tcPr>
            <w:tcW w:w="4410" w:type="dxa"/>
          </w:tcPr>
          <w:p w:rsidR="001C3F13" w:rsidRPr="003F1ECF" w:rsidP="00D87B54" w14:paraId="59C24BC5" w14:textId="77777777">
            <w:pPr>
              <w:pStyle w:val="TableParagraph"/>
              <w:spacing w:line="240" w:lineRule="auto"/>
              <w:ind w:left="70"/>
              <w:rPr>
                <w:b/>
                <w:sz w:val="24"/>
                <w:szCs w:val="24"/>
              </w:rPr>
            </w:pPr>
            <w:bookmarkStart w:id="66" w:name="Estimated_Cost"/>
            <w:bookmarkEnd w:id="66"/>
            <w:r w:rsidRPr="003F1ECF">
              <w:rPr>
                <w:b/>
                <w:sz w:val="24"/>
                <w:szCs w:val="24"/>
              </w:rPr>
              <w:t>Estimated Cost</w:t>
            </w:r>
          </w:p>
        </w:tc>
      </w:tr>
      <w:tr w14:paraId="61AD7E36" w14:textId="77777777" w:rsidTr="007F6645">
        <w:tblPrEx>
          <w:tblW w:w="9195" w:type="dxa"/>
          <w:tblLayout w:type="fixed"/>
          <w:tblCellMar>
            <w:left w:w="0" w:type="dxa"/>
            <w:right w:w="0" w:type="dxa"/>
          </w:tblCellMar>
          <w:tblLook w:val="01E0"/>
        </w:tblPrEx>
        <w:trPr>
          <w:trHeight w:hRule="exact" w:val="580"/>
        </w:trPr>
        <w:tc>
          <w:tcPr>
            <w:tcW w:w="4785" w:type="dxa"/>
          </w:tcPr>
          <w:p w:rsidR="001C3F13" w:rsidRPr="003F1ECF" w:rsidP="00F33309" w14:paraId="2807850F" w14:textId="0FD406A0">
            <w:pPr>
              <w:pStyle w:val="TableParagraph"/>
              <w:spacing w:line="240" w:lineRule="auto"/>
              <w:ind w:left="80"/>
              <w:rPr>
                <w:sz w:val="24"/>
                <w:szCs w:val="24"/>
              </w:rPr>
            </w:pPr>
            <w:bookmarkStart w:id="67" w:name="Collections"/>
            <w:bookmarkEnd w:id="67"/>
            <w:r w:rsidRPr="003F1ECF">
              <w:rPr>
                <w:sz w:val="24"/>
                <w:szCs w:val="24"/>
              </w:rPr>
              <w:t>Maintenance</w:t>
            </w:r>
            <w:r w:rsidRPr="003F1ECF" w:rsidR="00601588">
              <w:rPr>
                <w:sz w:val="24"/>
                <w:szCs w:val="24"/>
              </w:rPr>
              <w:t xml:space="preserve"> of Program Integrity Information Collections</w:t>
            </w:r>
          </w:p>
        </w:tc>
        <w:tc>
          <w:tcPr>
            <w:tcW w:w="4410" w:type="dxa"/>
          </w:tcPr>
          <w:p w:rsidR="001C3F13" w:rsidRPr="003F1ECF" w:rsidP="00F96D01" w14:paraId="43885EE6" w14:textId="77777777">
            <w:pPr>
              <w:ind w:left="70"/>
              <w:rPr>
                <w:sz w:val="24"/>
                <w:szCs w:val="24"/>
              </w:rPr>
            </w:pPr>
          </w:p>
        </w:tc>
      </w:tr>
      <w:tr w14:paraId="1436FB07" w14:textId="77777777" w:rsidTr="007F6645">
        <w:tblPrEx>
          <w:tblW w:w="9195" w:type="dxa"/>
          <w:tblLayout w:type="fixed"/>
          <w:tblCellMar>
            <w:left w:w="0" w:type="dxa"/>
            <w:right w:w="0" w:type="dxa"/>
          </w:tblCellMar>
          <w:tblLook w:val="01E0"/>
        </w:tblPrEx>
        <w:trPr>
          <w:trHeight w:hRule="exact" w:val="310"/>
        </w:trPr>
        <w:tc>
          <w:tcPr>
            <w:tcW w:w="4785" w:type="dxa"/>
          </w:tcPr>
          <w:p w:rsidR="001C3F13" w:rsidRPr="003F1ECF" w:rsidP="00F33309" w14:paraId="57CFC398" w14:textId="28F40C5B">
            <w:pPr>
              <w:pStyle w:val="TableParagraph"/>
              <w:spacing w:line="240" w:lineRule="auto"/>
              <w:ind w:left="80"/>
              <w:rPr>
                <w:sz w:val="24"/>
                <w:szCs w:val="24"/>
              </w:rPr>
            </w:pPr>
            <w:r w:rsidRPr="003F1ECF">
              <w:rPr>
                <w:sz w:val="24"/>
                <w:szCs w:val="24"/>
              </w:rPr>
              <w:t>15 GS-13</w:t>
            </w:r>
            <w:r w:rsidRPr="003F1ECF" w:rsidR="006F49E5">
              <w:rPr>
                <w:sz w:val="24"/>
                <w:szCs w:val="24"/>
              </w:rPr>
              <w:t xml:space="preserve"> (step 7)</w:t>
            </w:r>
            <w:r w:rsidRPr="003F1ECF">
              <w:rPr>
                <w:sz w:val="24"/>
                <w:szCs w:val="24"/>
              </w:rPr>
              <w:t xml:space="preserve">: 15 x </w:t>
            </w:r>
            <w:r w:rsidRPr="003F1ECF" w:rsidR="006F49E5">
              <w:rPr>
                <w:sz w:val="24"/>
                <w:szCs w:val="24"/>
              </w:rPr>
              <w:t>$</w:t>
            </w:r>
            <w:r w:rsidR="00D87B54">
              <w:rPr>
                <w:sz w:val="24"/>
                <w:szCs w:val="24"/>
              </w:rPr>
              <w:t>138.66</w:t>
            </w:r>
            <w:r w:rsidR="00D87B54">
              <w:rPr>
                <w:sz w:val="24"/>
                <w:szCs w:val="24"/>
                <w:vertAlign w:val="superscript"/>
              </w:rPr>
              <w:t>1</w:t>
            </w:r>
            <w:r w:rsidRPr="003F1ECF" w:rsidR="006F49E5">
              <w:rPr>
                <w:sz w:val="24"/>
                <w:szCs w:val="24"/>
              </w:rPr>
              <w:t xml:space="preserve"> </w:t>
            </w:r>
            <w:r w:rsidRPr="003F1ECF" w:rsidR="00601588">
              <w:rPr>
                <w:sz w:val="24"/>
                <w:szCs w:val="24"/>
              </w:rPr>
              <w:t>x 200 hours</w:t>
            </w:r>
          </w:p>
        </w:tc>
        <w:tc>
          <w:tcPr>
            <w:tcW w:w="4410" w:type="dxa"/>
          </w:tcPr>
          <w:p w:rsidR="001C3F13" w:rsidRPr="003F1ECF" w:rsidP="00F96D01" w14:paraId="588F8039" w14:textId="4FCEF954">
            <w:pPr>
              <w:pStyle w:val="TableParagraph"/>
              <w:spacing w:line="240" w:lineRule="auto"/>
              <w:ind w:left="70" w:right="110"/>
              <w:rPr>
                <w:sz w:val="24"/>
                <w:szCs w:val="24"/>
              </w:rPr>
            </w:pPr>
            <w:r w:rsidRPr="003F1ECF">
              <w:rPr>
                <w:sz w:val="24"/>
                <w:szCs w:val="24"/>
              </w:rPr>
              <w:t>$</w:t>
            </w:r>
            <w:r w:rsidR="00D87B54">
              <w:rPr>
                <w:sz w:val="24"/>
                <w:szCs w:val="24"/>
              </w:rPr>
              <w:t>415,980.00</w:t>
            </w:r>
          </w:p>
        </w:tc>
      </w:tr>
      <w:tr w14:paraId="47EE4867" w14:textId="77777777" w:rsidTr="007F6645">
        <w:tblPrEx>
          <w:tblW w:w="9195" w:type="dxa"/>
          <w:tblLayout w:type="fixed"/>
          <w:tblCellMar>
            <w:left w:w="0" w:type="dxa"/>
            <w:right w:w="0" w:type="dxa"/>
          </w:tblCellMar>
          <w:tblLook w:val="01E0"/>
        </w:tblPrEx>
        <w:trPr>
          <w:trHeight w:hRule="exact" w:val="310"/>
        </w:trPr>
        <w:tc>
          <w:tcPr>
            <w:tcW w:w="4785" w:type="dxa"/>
          </w:tcPr>
          <w:p w:rsidR="001C3F13" w:rsidRPr="003F1ECF" w:rsidP="00F33309" w14:paraId="73159BB1" w14:textId="77777777">
            <w:pPr>
              <w:pStyle w:val="TableParagraph"/>
              <w:spacing w:line="240" w:lineRule="auto"/>
              <w:ind w:left="80"/>
              <w:rPr>
                <w:sz w:val="24"/>
                <w:szCs w:val="24"/>
              </w:rPr>
            </w:pPr>
            <w:bookmarkStart w:id="68" w:name="Technical_Assistance_to_States"/>
            <w:bookmarkEnd w:id="68"/>
            <w:r w:rsidRPr="003F1ECF">
              <w:rPr>
                <w:sz w:val="24"/>
                <w:szCs w:val="24"/>
              </w:rPr>
              <w:t>Technical Assistance to States</w:t>
            </w:r>
          </w:p>
        </w:tc>
        <w:tc>
          <w:tcPr>
            <w:tcW w:w="4410" w:type="dxa"/>
          </w:tcPr>
          <w:p w:rsidR="001C3F13" w:rsidRPr="003F1ECF" w:rsidP="00F96D01" w14:paraId="1F02C28C" w14:textId="77777777">
            <w:pPr>
              <w:ind w:left="70" w:right="110"/>
              <w:rPr>
                <w:sz w:val="24"/>
                <w:szCs w:val="24"/>
              </w:rPr>
            </w:pPr>
          </w:p>
        </w:tc>
      </w:tr>
      <w:tr w14:paraId="17CF4C11" w14:textId="77777777" w:rsidTr="007F6645">
        <w:tblPrEx>
          <w:tblW w:w="9195" w:type="dxa"/>
          <w:tblLayout w:type="fixed"/>
          <w:tblCellMar>
            <w:left w:w="0" w:type="dxa"/>
            <w:right w:w="0" w:type="dxa"/>
          </w:tblCellMar>
          <w:tblLook w:val="01E0"/>
        </w:tblPrEx>
        <w:trPr>
          <w:trHeight w:hRule="exact" w:val="310"/>
        </w:trPr>
        <w:tc>
          <w:tcPr>
            <w:tcW w:w="4785" w:type="dxa"/>
          </w:tcPr>
          <w:p w:rsidR="005D019C" w:rsidRPr="003F1ECF" w:rsidP="00F33309" w14:paraId="1B5C8591" w14:textId="1FA08B84">
            <w:pPr>
              <w:pStyle w:val="TableParagraph"/>
              <w:spacing w:line="240" w:lineRule="auto"/>
              <w:ind w:left="80"/>
              <w:rPr>
                <w:sz w:val="24"/>
                <w:szCs w:val="24"/>
              </w:rPr>
            </w:pPr>
            <w:bookmarkStart w:id="69" w:name="15_GS-13:_15_x_$44.15_x_200_hours"/>
            <w:bookmarkEnd w:id="69"/>
            <w:r w:rsidRPr="003F1ECF">
              <w:rPr>
                <w:sz w:val="24"/>
                <w:szCs w:val="24"/>
              </w:rPr>
              <w:t>15 GS-13</w:t>
            </w:r>
            <w:r w:rsidRPr="003F1ECF" w:rsidR="006F49E5">
              <w:rPr>
                <w:sz w:val="24"/>
                <w:szCs w:val="24"/>
              </w:rPr>
              <w:t xml:space="preserve"> (step 7)</w:t>
            </w:r>
            <w:r w:rsidRPr="003F1ECF">
              <w:rPr>
                <w:sz w:val="24"/>
                <w:szCs w:val="24"/>
              </w:rPr>
              <w:t>: 15 x $</w:t>
            </w:r>
            <w:r w:rsidR="00D87B54">
              <w:rPr>
                <w:sz w:val="24"/>
                <w:szCs w:val="24"/>
              </w:rPr>
              <w:t>138.66</w:t>
            </w:r>
            <w:r w:rsidR="00D87B54">
              <w:rPr>
                <w:sz w:val="24"/>
                <w:szCs w:val="24"/>
                <w:vertAlign w:val="superscript"/>
              </w:rPr>
              <w:t>1</w:t>
            </w:r>
            <w:r w:rsidRPr="003F1ECF" w:rsidR="006F49E5">
              <w:rPr>
                <w:sz w:val="24"/>
                <w:szCs w:val="24"/>
              </w:rPr>
              <w:t xml:space="preserve"> </w:t>
            </w:r>
            <w:r w:rsidRPr="003F1ECF">
              <w:rPr>
                <w:sz w:val="24"/>
                <w:szCs w:val="24"/>
              </w:rPr>
              <w:t>x 200 hours</w:t>
            </w:r>
          </w:p>
        </w:tc>
        <w:tc>
          <w:tcPr>
            <w:tcW w:w="4410" w:type="dxa"/>
          </w:tcPr>
          <w:p w:rsidR="005D019C" w:rsidRPr="003F1ECF" w:rsidP="00F96D01" w14:paraId="477CBF9A" w14:textId="72E0162E">
            <w:pPr>
              <w:pStyle w:val="TableParagraph"/>
              <w:spacing w:line="240" w:lineRule="auto"/>
              <w:ind w:left="70" w:right="110"/>
              <w:rPr>
                <w:sz w:val="24"/>
                <w:szCs w:val="24"/>
              </w:rPr>
            </w:pPr>
            <w:bookmarkStart w:id="70" w:name="$132,450.00"/>
            <w:bookmarkEnd w:id="70"/>
            <w:r w:rsidRPr="003F1ECF">
              <w:rPr>
                <w:sz w:val="24"/>
                <w:szCs w:val="24"/>
              </w:rPr>
              <w:t>$</w:t>
            </w:r>
            <w:r w:rsidR="00D87B54">
              <w:rPr>
                <w:sz w:val="24"/>
                <w:szCs w:val="24"/>
              </w:rPr>
              <w:t>415,980.00</w:t>
            </w:r>
          </w:p>
        </w:tc>
      </w:tr>
      <w:tr w14:paraId="4B06F225" w14:textId="77777777" w:rsidTr="007F6645">
        <w:tblPrEx>
          <w:tblW w:w="9195" w:type="dxa"/>
          <w:tblLayout w:type="fixed"/>
          <w:tblCellMar>
            <w:left w:w="0" w:type="dxa"/>
            <w:right w:w="0" w:type="dxa"/>
          </w:tblCellMar>
          <w:tblLook w:val="01E0"/>
        </w:tblPrEx>
        <w:trPr>
          <w:trHeight w:hRule="exact" w:val="310"/>
        </w:trPr>
        <w:tc>
          <w:tcPr>
            <w:tcW w:w="4785" w:type="dxa"/>
          </w:tcPr>
          <w:p w:rsidR="005D019C" w:rsidRPr="003F1ECF" w:rsidP="00F33309" w14:paraId="2E21218D" w14:textId="77777777">
            <w:pPr>
              <w:pStyle w:val="TableParagraph"/>
              <w:spacing w:line="240" w:lineRule="auto"/>
              <w:ind w:left="80"/>
              <w:rPr>
                <w:sz w:val="24"/>
                <w:szCs w:val="24"/>
              </w:rPr>
            </w:pPr>
            <w:bookmarkStart w:id="71" w:name="Managerial_Review_and_Oversight"/>
            <w:bookmarkEnd w:id="71"/>
            <w:r w:rsidRPr="003F1ECF">
              <w:rPr>
                <w:sz w:val="24"/>
                <w:szCs w:val="24"/>
              </w:rPr>
              <w:t>Managerial Review and Oversight</w:t>
            </w:r>
          </w:p>
        </w:tc>
        <w:tc>
          <w:tcPr>
            <w:tcW w:w="4410" w:type="dxa"/>
          </w:tcPr>
          <w:p w:rsidR="005D019C" w:rsidRPr="003F1ECF" w:rsidP="00F96D01" w14:paraId="4810E3FB" w14:textId="77777777">
            <w:pPr>
              <w:ind w:left="70" w:right="110"/>
              <w:rPr>
                <w:sz w:val="24"/>
                <w:szCs w:val="24"/>
              </w:rPr>
            </w:pPr>
          </w:p>
        </w:tc>
      </w:tr>
      <w:tr w14:paraId="639BCCDE" w14:textId="77777777" w:rsidTr="007F6645">
        <w:tblPrEx>
          <w:tblW w:w="9195" w:type="dxa"/>
          <w:tblLayout w:type="fixed"/>
          <w:tblCellMar>
            <w:left w:w="0" w:type="dxa"/>
            <w:right w:w="0" w:type="dxa"/>
          </w:tblCellMar>
          <w:tblLook w:val="01E0"/>
        </w:tblPrEx>
        <w:trPr>
          <w:trHeight w:hRule="exact" w:val="300"/>
        </w:trPr>
        <w:tc>
          <w:tcPr>
            <w:tcW w:w="4785" w:type="dxa"/>
          </w:tcPr>
          <w:p w:rsidR="005D019C" w:rsidRPr="003F1ECF" w:rsidP="00F33309" w14:paraId="648446BD" w14:textId="4F5BEBF9">
            <w:pPr>
              <w:pStyle w:val="TableParagraph"/>
              <w:spacing w:line="240" w:lineRule="auto"/>
              <w:ind w:left="80"/>
              <w:rPr>
                <w:sz w:val="24"/>
                <w:szCs w:val="24"/>
              </w:rPr>
            </w:pPr>
            <w:bookmarkStart w:id="72" w:name="2_GS-15:_2_x_$61.37_x_150_hours"/>
            <w:bookmarkEnd w:id="72"/>
            <w:r w:rsidRPr="003F1ECF">
              <w:rPr>
                <w:sz w:val="24"/>
                <w:szCs w:val="24"/>
              </w:rPr>
              <w:t>2 GS-15</w:t>
            </w:r>
            <w:r w:rsidRPr="003F1ECF" w:rsidR="006F49E5">
              <w:rPr>
                <w:sz w:val="24"/>
                <w:szCs w:val="24"/>
              </w:rPr>
              <w:t xml:space="preserve"> (step 7)</w:t>
            </w:r>
            <w:r w:rsidRPr="003F1ECF">
              <w:rPr>
                <w:sz w:val="24"/>
                <w:szCs w:val="24"/>
              </w:rPr>
              <w:t>: 2 x $</w:t>
            </w:r>
            <w:r w:rsidR="00D87B54">
              <w:rPr>
                <w:sz w:val="24"/>
                <w:szCs w:val="24"/>
              </w:rPr>
              <w:t>187.06</w:t>
            </w:r>
            <w:r w:rsidR="00D87B54">
              <w:rPr>
                <w:sz w:val="24"/>
                <w:szCs w:val="24"/>
                <w:vertAlign w:val="superscript"/>
              </w:rPr>
              <w:t>1</w:t>
            </w:r>
            <w:r w:rsidRPr="003F1ECF">
              <w:rPr>
                <w:sz w:val="24"/>
                <w:szCs w:val="24"/>
              </w:rPr>
              <w:t xml:space="preserve"> x 150 hours</w:t>
            </w:r>
          </w:p>
        </w:tc>
        <w:tc>
          <w:tcPr>
            <w:tcW w:w="4410" w:type="dxa"/>
          </w:tcPr>
          <w:p w:rsidR="005D019C" w:rsidRPr="003F1ECF" w:rsidP="00F96D01" w14:paraId="419A9D92" w14:textId="51BE026A">
            <w:pPr>
              <w:pStyle w:val="TableParagraph"/>
              <w:spacing w:line="240" w:lineRule="auto"/>
              <w:ind w:left="70" w:right="110"/>
              <w:rPr>
                <w:sz w:val="24"/>
                <w:szCs w:val="24"/>
              </w:rPr>
            </w:pPr>
            <w:bookmarkStart w:id="73" w:name="$18,411.00"/>
            <w:bookmarkEnd w:id="73"/>
            <w:r w:rsidRPr="003F1ECF">
              <w:rPr>
                <w:sz w:val="24"/>
                <w:szCs w:val="24"/>
              </w:rPr>
              <w:t>$</w:t>
            </w:r>
            <w:r w:rsidR="00D87B54">
              <w:rPr>
                <w:sz w:val="24"/>
                <w:szCs w:val="24"/>
              </w:rPr>
              <w:t>56,118.00</w:t>
            </w:r>
          </w:p>
        </w:tc>
      </w:tr>
      <w:tr w14:paraId="3A1B5BF5" w14:textId="77777777" w:rsidTr="00F96D01">
        <w:tblPrEx>
          <w:tblW w:w="9195" w:type="dxa"/>
          <w:tblLayout w:type="fixed"/>
          <w:tblCellMar>
            <w:left w:w="0" w:type="dxa"/>
            <w:right w:w="0" w:type="dxa"/>
          </w:tblCellMar>
          <w:tblLook w:val="01E0"/>
        </w:tblPrEx>
        <w:trPr>
          <w:trHeight w:hRule="exact" w:val="388"/>
        </w:trPr>
        <w:tc>
          <w:tcPr>
            <w:tcW w:w="4785" w:type="dxa"/>
          </w:tcPr>
          <w:p w:rsidR="005D019C" w:rsidRPr="003F1ECF" w:rsidP="00F33309" w14:paraId="3E56948A" w14:textId="77777777">
            <w:pPr>
              <w:pStyle w:val="TableParagraph"/>
              <w:spacing w:line="240" w:lineRule="auto"/>
              <w:ind w:left="80"/>
              <w:rPr>
                <w:b/>
                <w:sz w:val="24"/>
                <w:szCs w:val="24"/>
              </w:rPr>
            </w:pPr>
            <w:bookmarkStart w:id="74" w:name="Total_Costs_to_Government"/>
            <w:bookmarkEnd w:id="74"/>
            <w:r w:rsidRPr="003F1ECF">
              <w:rPr>
                <w:b/>
                <w:sz w:val="24"/>
                <w:szCs w:val="24"/>
              </w:rPr>
              <w:t>Total Costs to Government</w:t>
            </w:r>
          </w:p>
        </w:tc>
        <w:tc>
          <w:tcPr>
            <w:tcW w:w="4410" w:type="dxa"/>
          </w:tcPr>
          <w:p w:rsidR="005D019C" w:rsidRPr="003F1ECF" w:rsidP="00F96D01" w14:paraId="1A8D4EF9" w14:textId="74F54137">
            <w:pPr>
              <w:pStyle w:val="TableParagraph"/>
              <w:spacing w:line="240" w:lineRule="auto"/>
              <w:ind w:left="70" w:right="110"/>
              <w:rPr>
                <w:b/>
                <w:sz w:val="24"/>
                <w:szCs w:val="24"/>
              </w:rPr>
            </w:pPr>
            <w:bookmarkStart w:id="75" w:name="$283,311.00"/>
            <w:bookmarkEnd w:id="75"/>
            <w:r w:rsidRPr="003F1ECF">
              <w:rPr>
                <w:b/>
                <w:sz w:val="24"/>
                <w:szCs w:val="24"/>
              </w:rPr>
              <w:t>$</w:t>
            </w:r>
            <w:r w:rsidR="00D87B54">
              <w:rPr>
                <w:b/>
                <w:sz w:val="24"/>
                <w:szCs w:val="24"/>
              </w:rPr>
              <w:t>888,078.00</w:t>
            </w:r>
          </w:p>
        </w:tc>
      </w:tr>
    </w:tbl>
    <w:p w:rsidR="001C3F13" w:rsidRPr="00D87B54" w:rsidP="007B3FAB" w14:paraId="46A39401" w14:textId="74F84101">
      <w:pPr>
        <w:pStyle w:val="BodyText"/>
        <w:rPr>
          <w:sz w:val="20"/>
          <w:szCs w:val="20"/>
        </w:rPr>
      </w:pPr>
      <w:r w:rsidRPr="0095498E">
        <w:rPr>
          <w:sz w:val="20"/>
          <w:szCs w:val="20"/>
          <w:vertAlign w:val="superscript"/>
        </w:rPr>
        <w:t>1</w:t>
      </w:r>
      <w:r w:rsidRPr="00D87B54">
        <w:rPr>
          <w:sz w:val="20"/>
          <w:szCs w:val="20"/>
        </w:rPr>
        <w:t xml:space="preserve"> Hourly basic rate + 100% fringe benefit rate.</w:t>
      </w:r>
    </w:p>
    <w:p w:rsidR="00D87B54" w:rsidRPr="003F1ECF" w:rsidP="007B3FAB" w14:paraId="065917CF" w14:textId="77777777">
      <w:pPr>
        <w:pStyle w:val="BodyText"/>
      </w:pPr>
    </w:p>
    <w:p w:rsidR="001C3F13" w:rsidRPr="003F1ECF" w:rsidP="007B3FAB" w14:paraId="0C71C794" w14:textId="1BB2F743">
      <w:pPr>
        <w:pStyle w:val="ListParagraph"/>
        <w:numPr>
          <w:ilvl w:val="1"/>
          <w:numId w:val="1"/>
        </w:numPr>
        <w:tabs>
          <w:tab w:val="left" w:pos="551"/>
        </w:tabs>
        <w:ind w:left="0" w:firstLine="0"/>
        <w:rPr>
          <w:sz w:val="24"/>
          <w:szCs w:val="24"/>
        </w:rPr>
      </w:pPr>
      <w:bookmarkStart w:id="76" w:name="15.__Changes_to_Burden"/>
      <w:bookmarkEnd w:id="76"/>
      <w:r w:rsidRPr="003F1ECF">
        <w:rPr>
          <w:sz w:val="24"/>
          <w:szCs w:val="24"/>
          <w:u w:val="single"/>
        </w:rPr>
        <w:t>Changes to</w:t>
      </w:r>
      <w:r w:rsidRPr="003F1ECF">
        <w:rPr>
          <w:spacing w:val="-4"/>
          <w:sz w:val="24"/>
          <w:szCs w:val="24"/>
          <w:u w:val="single"/>
        </w:rPr>
        <w:t xml:space="preserve"> </w:t>
      </w:r>
      <w:r w:rsidRPr="003F1ECF">
        <w:rPr>
          <w:sz w:val="24"/>
          <w:szCs w:val="24"/>
          <w:u w:val="single"/>
        </w:rPr>
        <w:t>Burden</w:t>
      </w:r>
    </w:p>
    <w:p w:rsidR="00C1015C" w:rsidRPr="003F1ECF" w:rsidP="007B3FAB" w14:paraId="3BC496B6" w14:textId="77777777">
      <w:pPr>
        <w:pStyle w:val="ListParagraph"/>
        <w:tabs>
          <w:tab w:val="left" w:pos="551"/>
        </w:tabs>
        <w:ind w:left="0" w:firstLine="0"/>
        <w:rPr>
          <w:sz w:val="24"/>
          <w:szCs w:val="24"/>
        </w:rPr>
      </w:pPr>
    </w:p>
    <w:p w:rsidR="00D87B54" w:rsidP="007865CA" w14:paraId="69B89FFB" w14:textId="4E6E419F">
      <w:pPr>
        <w:pStyle w:val="BodyText"/>
      </w:pPr>
      <w:bookmarkStart w:id="77" w:name="There_are_no_changes_to_the_burden._This"/>
      <w:bookmarkEnd w:id="77"/>
      <w:r>
        <w:t xml:space="preserve">There is an overall </w:t>
      </w:r>
      <w:r w:rsidR="00617DBE">
        <w:t xml:space="preserve">increase in the financial burden from the 2022 PRA package </w:t>
      </w:r>
      <w:r w:rsidR="006949E4">
        <w:t xml:space="preserve">because of the increase in the number of issuers from 437 to 503, which is an increase of 66 issuers. </w:t>
      </w:r>
      <w:r w:rsidR="00BD6465">
        <w:t>Regarding the i</w:t>
      </w:r>
      <w:r w:rsidRPr="00675BA3" w:rsidR="00BD6465">
        <w:t xml:space="preserve">ssuer </w:t>
      </w:r>
      <w:r w:rsidR="00BD6465">
        <w:t>b</w:t>
      </w:r>
      <w:r w:rsidRPr="00675BA3" w:rsidR="00BD6465">
        <w:t xml:space="preserve">urden in </w:t>
      </w:r>
      <w:r w:rsidR="00BD6465">
        <w:t>m</w:t>
      </w:r>
      <w:r w:rsidRPr="00675BA3" w:rsidR="00BD6465">
        <w:t xml:space="preserve">aintaining </w:t>
      </w:r>
      <w:r w:rsidR="00BD6465">
        <w:t>r</w:t>
      </w:r>
      <w:r w:rsidRPr="00675BA3" w:rsidR="00BD6465">
        <w:t xml:space="preserve">ecords of </w:t>
      </w:r>
      <w:r w:rsidR="00BD6465">
        <w:t>c</w:t>
      </w:r>
      <w:r w:rsidRPr="00675BA3" w:rsidR="00BD6465">
        <w:t xml:space="preserve">onsumer </w:t>
      </w:r>
      <w:r w:rsidR="00BD6465">
        <w:t>c</w:t>
      </w:r>
      <w:r w:rsidRPr="00675BA3" w:rsidR="00BD6465">
        <w:t xml:space="preserve">ase </w:t>
      </w:r>
      <w:r w:rsidR="00BD6465">
        <w:t>r</w:t>
      </w:r>
      <w:r w:rsidRPr="00675BA3" w:rsidR="00BD6465">
        <w:t xml:space="preserve">esolution and </w:t>
      </w:r>
      <w:r w:rsidR="00BD6465">
        <w:t>i</w:t>
      </w:r>
      <w:r w:rsidRPr="00675BA3" w:rsidR="00BD6465">
        <w:t>nputting into</w:t>
      </w:r>
      <w:r w:rsidR="00BD6465">
        <w:t xml:space="preserve"> the</w:t>
      </w:r>
      <w:r w:rsidRPr="00675BA3" w:rsidR="00BD6465">
        <w:t xml:space="preserve"> HHS-</w:t>
      </w:r>
      <w:r w:rsidR="00BD6465">
        <w:t>d</w:t>
      </w:r>
      <w:r w:rsidRPr="00675BA3" w:rsidR="00BD6465">
        <w:t xml:space="preserve">eveloped </w:t>
      </w:r>
      <w:r w:rsidR="00BD6465">
        <w:t>c</w:t>
      </w:r>
      <w:r w:rsidRPr="00675BA3" w:rsidR="00BD6465">
        <w:t xml:space="preserve">asework </w:t>
      </w:r>
      <w:r w:rsidR="00BD6465">
        <w:t>t</w:t>
      </w:r>
      <w:r w:rsidRPr="00675BA3" w:rsidR="00BD6465">
        <w:t xml:space="preserve">racking </w:t>
      </w:r>
      <w:r w:rsidR="00BD6465">
        <w:t>s</w:t>
      </w:r>
      <w:r w:rsidRPr="00675BA3" w:rsidR="00BD6465">
        <w:t>ystem</w:t>
      </w:r>
      <w:r w:rsidR="00BD6465">
        <w:t>, there was an increase in the number of respondents from 361 in the previous package to 415 in the current package.</w:t>
      </w:r>
      <w:r w:rsidRPr="00BD6465" w:rsidR="00BD6465">
        <w:t xml:space="preserve"> </w:t>
      </w:r>
      <w:r w:rsidR="00BD6465">
        <w:t xml:space="preserve">Additionally, </w:t>
      </w:r>
      <w:r w:rsidR="00BD6465">
        <w:rPr>
          <w:spacing w:val="-5"/>
        </w:rPr>
        <w:t>regarding i</w:t>
      </w:r>
      <w:r w:rsidRPr="003F1ECF" w:rsidR="00BD6465">
        <w:rPr>
          <w:spacing w:val="-5"/>
        </w:rPr>
        <w:t xml:space="preserve">ssuer </w:t>
      </w:r>
      <w:r w:rsidR="00BD6465">
        <w:rPr>
          <w:spacing w:val="-5"/>
        </w:rPr>
        <w:t>b</w:t>
      </w:r>
      <w:r w:rsidRPr="003F1ECF" w:rsidR="00BD6465">
        <w:rPr>
          <w:spacing w:val="-5"/>
        </w:rPr>
        <w:t xml:space="preserve">urden in </w:t>
      </w:r>
      <w:r w:rsidR="00BD6465">
        <w:rPr>
          <w:spacing w:val="-5"/>
        </w:rPr>
        <w:t>m</w:t>
      </w:r>
      <w:r w:rsidRPr="003F1ECF" w:rsidR="00BD6465">
        <w:rPr>
          <w:spacing w:val="-5"/>
        </w:rPr>
        <w:t xml:space="preserve">aintaining </w:t>
      </w:r>
      <w:r w:rsidR="00BD6465">
        <w:rPr>
          <w:spacing w:val="-5"/>
        </w:rPr>
        <w:t xml:space="preserve">a </w:t>
      </w:r>
      <w:r w:rsidRPr="003F1ECF" w:rsidR="00BD6465">
        <w:rPr>
          <w:spacing w:val="-5"/>
        </w:rPr>
        <w:t xml:space="preserve">DE </w:t>
      </w:r>
      <w:r w:rsidR="00BD6465">
        <w:rPr>
          <w:spacing w:val="-5"/>
        </w:rPr>
        <w:t>w</w:t>
      </w:r>
      <w:r w:rsidRPr="003F1ECF" w:rsidR="00BD6465">
        <w:rPr>
          <w:spacing w:val="-5"/>
        </w:rPr>
        <w:t xml:space="preserve">eb </w:t>
      </w:r>
      <w:r w:rsidR="00BD6465">
        <w:rPr>
          <w:spacing w:val="-5"/>
        </w:rPr>
        <w:t>s</w:t>
      </w:r>
      <w:r w:rsidRPr="003F1ECF" w:rsidR="00BD6465">
        <w:rPr>
          <w:spacing w:val="-5"/>
        </w:rPr>
        <w:t>ite</w:t>
      </w:r>
      <w:r w:rsidR="00BD6465">
        <w:rPr>
          <w:spacing w:val="-5"/>
        </w:rPr>
        <w:t>, there was an increase in the number of respondents from 77 in the previous package to 88 in the current package.</w:t>
      </w:r>
    </w:p>
    <w:p w:rsidR="00BD6465" w:rsidP="007865CA" w14:paraId="0B3ED657" w14:textId="77777777">
      <w:pPr>
        <w:pStyle w:val="BodyText"/>
      </w:pPr>
    </w:p>
    <w:p w:rsidR="00BD6465" w:rsidP="007865CA" w14:paraId="5246233B" w14:textId="57DC5B4B">
      <w:pPr>
        <w:pStyle w:val="BodyText"/>
      </w:pPr>
      <w:r>
        <w:t>The total annual burden in</w:t>
      </w:r>
      <w:r>
        <w:t xml:space="preserve">creased from </w:t>
      </w:r>
      <w:r>
        <w:t xml:space="preserve">2,022,725 hours </w:t>
      </w:r>
      <w:r>
        <w:t xml:space="preserve">to </w:t>
      </w:r>
      <w:r w:rsidRPr="00353987" w:rsidR="00353987">
        <w:t>2,325,3</w:t>
      </w:r>
      <w:r w:rsidR="000A4027">
        <w:t>4</w:t>
      </w:r>
      <w:r w:rsidRPr="00353987" w:rsidR="00353987">
        <w:t>0</w:t>
      </w:r>
      <w:r w:rsidR="00353987">
        <w:t xml:space="preserve"> hours</w:t>
      </w:r>
      <w:r>
        <w:t xml:space="preserve">, which is an increase of 302,595 hours. </w:t>
      </w:r>
      <w:r w:rsidRPr="000B4F4F">
        <w:t xml:space="preserve">The estimated annual cost increased from </w:t>
      </w:r>
      <w:r w:rsidRPr="009E398E">
        <w:t>$110,015,472</w:t>
      </w:r>
      <w:r>
        <w:t xml:space="preserve">.00 </w:t>
      </w:r>
      <w:r w:rsidRPr="000B4F4F">
        <w:t xml:space="preserve">to </w:t>
      </w:r>
      <w:r w:rsidRPr="00EC6B48">
        <w:t>$</w:t>
      </w:r>
      <w:r>
        <w:t>125,824,267.20</w:t>
      </w:r>
      <w:r w:rsidRPr="000B4F4F">
        <w:t xml:space="preserve">, </w:t>
      </w:r>
      <w:r>
        <w:t xml:space="preserve">which is </w:t>
      </w:r>
      <w:r w:rsidRPr="000B4F4F">
        <w:t>an increase of $</w:t>
      </w:r>
      <w:r>
        <w:t>15,685,180.20</w:t>
      </w:r>
      <w:r w:rsidRPr="000B4F4F">
        <w:t>.</w:t>
      </w:r>
      <w:r>
        <w:t xml:space="preserve"> </w:t>
      </w:r>
      <w:r w:rsidRPr="000B4F4F">
        <w:t>All prior iterations of wage data was based on mean values and the current iteration is based on median values.</w:t>
      </w:r>
    </w:p>
    <w:p w:rsidR="001C3F13" w:rsidRPr="003F1ECF" w:rsidP="007B3FAB" w14:paraId="622E9AC8" w14:textId="77777777">
      <w:pPr>
        <w:pStyle w:val="BodyText"/>
      </w:pPr>
    </w:p>
    <w:p w:rsidR="001C3F13" w:rsidRPr="003F1ECF" w:rsidP="007B3FAB" w14:paraId="30F4C9BE" w14:textId="77777777">
      <w:pPr>
        <w:pStyle w:val="ListParagraph"/>
        <w:numPr>
          <w:ilvl w:val="1"/>
          <w:numId w:val="1"/>
        </w:numPr>
        <w:tabs>
          <w:tab w:val="left" w:pos="551"/>
        </w:tabs>
        <w:ind w:left="0" w:firstLine="0"/>
        <w:rPr>
          <w:sz w:val="24"/>
          <w:szCs w:val="24"/>
        </w:rPr>
      </w:pPr>
      <w:bookmarkStart w:id="78" w:name="16.__Publication/Tabulation_Dates"/>
      <w:bookmarkEnd w:id="78"/>
      <w:r w:rsidRPr="003F1ECF">
        <w:rPr>
          <w:sz w:val="24"/>
          <w:szCs w:val="24"/>
          <w:u w:val="single"/>
        </w:rPr>
        <w:t>Publication/Tabulation</w:t>
      </w:r>
      <w:r w:rsidRPr="003F1ECF">
        <w:rPr>
          <w:spacing w:val="-11"/>
          <w:sz w:val="24"/>
          <w:szCs w:val="24"/>
          <w:u w:val="single"/>
        </w:rPr>
        <w:t xml:space="preserve"> </w:t>
      </w:r>
      <w:r w:rsidRPr="003F1ECF">
        <w:rPr>
          <w:sz w:val="24"/>
          <w:szCs w:val="24"/>
          <w:u w:val="single"/>
        </w:rPr>
        <w:t>Dates</w:t>
      </w:r>
    </w:p>
    <w:p w:rsidR="001C3F13" w:rsidRPr="003F1ECF" w:rsidP="007B3FAB" w14:paraId="39EC44C2" w14:textId="77777777">
      <w:pPr>
        <w:pStyle w:val="BodyText"/>
      </w:pPr>
    </w:p>
    <w:p w:rsidR="00111E8E" w:rsidP="007B3FAB" w14:paraId="05392582" w14:textId="68BE22D0">
      <w:pPr>
        <w:pStyle w:val="BodyText"/>
      </w:pPr>
      <w:bookmarkStart w:id="79" w:name="The_results_of_the_collection_will_not_b"/>
      <w:bookmarkEnd w:id="79"/>
      <w:r>
        <w:t>T</w:t>
      </w:r>
      <w:r w:rsidRPr="00AC42BA">
        <w:t>he OPEN Government Data Act (Title II of the Foundations for Evidence-Based Policymaking Act of 2018, P.L. 115-435)</w:t>
      </w:r>
      <w:r>
        <w:t xml:space="preserve"> </w:t>
      </w:r>
      <w:r w:rsidRPr="00AC42BA">
        <w:t xml:space="preserve">requires Federal agencies to publish all public government data assets online as open data, using standardized, machine-readable data formats. </w:t>
      </w:r>
    </w:p>
    <w:p w:rsidR="00111E8E" w:rsidP="007B3FAB" w14:paraId="642DA4EB" w14:textId="77777777">
      <w:pPr>
        <w:pStyle w:val="BodyText"/>
      </w:pPr>
    </w:p>
    <w:p w:rsidR="00E476E3" w:rsidP="007B3FAB" w14:paraId="0FE984F9" w14:textId="6087C242">
      <w:pPr>
        <w:pStyle w:val="BodyText"/>
      </w:pPr>
      <w:r>
        <w:t>Regarding the</w:t>
      </w:r>
      <w:r>
        <w:t xml:space="preserve"> first ICR pertaining to</w:t>
      </w:r>
      <w:r>
        <w:t xml:space="preserve"> </w:t>
      </w:r>
      <w:r w:rsidR="006E2B58">
        <w:t>S</w:t>
      </w:r>
      <w:r w:rsidRPr="00AC42BA">
        <w:t>tate-</w:t>
      </w:r>
      <w:r>
        <w:t>s</w:t>
      </w:r>
      <w:r w:rsidRPr="00AC42BA">
        <w:t xml:space="preserve">pecific </w:t>
      </w:r>
      <w:r>
        <w:t>s</w:t>
      </w:r>
      <w:r w:rsidRPr="00AC42BA">
        <w:t xml:space="preserve">tandard </w:t>
      </w:r>
      <w:r>
        <w:t>p</w:t>
      </w:r>
      <w:r w:rsidRPr="00AC42BA">
        <w:t>opulation</w:t>
      </w:r>
      <w:r w:rsidR="00E366A8">
        <w:t>s</w:t>
      </w:r>
      <w:r>
        <w:t xml:space="preserve"> at </w:t>
      </w:r>
      <w:r w:rsidRPr="00AC42BA">
        <w:t>§ 156.135</w:t>
      </w:r>
      <w:r>
        <w:t xml:space="preserve">, given that no States have elected to pursue this option to date, there is no data to publish at this time. Regarding </w:t>
      </w:r>
      <w:r w:rsidR="00E366A8">
        <w:t xml:space="preserve">the </w:t>
      </w:r>
      <w:r>
        <w:t xml:space="preserve">second ICR pertaining to </w:t>
      </w:r>
      <w:r>
        <w:t>e</w:t>
      </w:r>
      <w:r w:rsidRPr="00AC42BA">
        <w:t xml:space="preserve">nforcement </w:t>
      </w:r>
      <w:r>
        <w:t>r</w:t>
      </w:r>
      <w:r w:rsidRPr="00AC42BA">
        <w:t xml:space="preserve">emedies in </w:t>
      </w:r>
      <w:r w:rsidR="00E366A8">
        <w:t xml:space="preserve">the </w:t>
      </w:r>
      <w:r>
        <w:t>FFEs at</w:t>
      </w:r>
      <w:r w:rsidRPr="00AC42BA">
        <w:t xml:space="preserve"> §</w:t>
      </w:r>
      <w:r>
        <w:t>§</w:t>
      </w:r>
      <w:r w:rsidRPr="00AC42BA">
        <w:t xml:space="preserve"> 156.800 and</w:t>
      </w:r>
      <w:r>
        <w:t xml:space="preserve"> </w:t>
      </w:r>
      <w:r w:rsidRPr="00AC42BA">
        <w:t>156.810</w:t>
      </w:r>
      <w:r>
        <w:t xml:space="preserve">, </w:t>
      </w:r>
      <w:r w:rsidRPr="00E476E3">
        <w:t>Plan Year FFE Compliance Review Summary Report</w:t>
      </w:r>
      <w:r>
        <w:t>s, which are</w:t>
      </w:r>
      <w:r w:rsidRPr="00E476E3">
        <w:t xml:space="preserve"> </w:t>
      </w:r>
      <w:r w:rsidRPr="00AC42BA">
        <w:t>deidentified aggregate report</w:t>
      </w:r>
      <w:r>
        <w:t>s on a given year’s compliance reviews</w:t>
      </w:r>
      <w:r>
        <w:t>,</w:t>
      </w:r>
      <w:r>
        <w:t xml:space="preserve"> can be found on the </w:t>
      </w:r>
      <w:hyperlink r:id="rId11" w:anchor="ffe" w:history="1">
        <w:r w:rsidRPr="00AC42BA">
          <w:rPr>
            <w:rStyle w:val="Hyperlink"/>
          </w:rPr>
          <w:t>CCIIO Examinations, Audits and Reviews of Issuers: Issuer Resources website</w:t>
        </w:r>
      </w:hyperlink>
      <w:r>
        <w:t>.</w:t>
      </w:r>
    </w:p>
    <w:p w:rsidR="00E476E3" w:rsidP="007B3FAB" w14:paraId="7FC80301" w14:textId="77777777">
      <w:pPr>
        <w:pStyle w:val="BodyText"/>
      </w:pPr>
    </w:p>
    <w:p w:rsidR="00E476E3" w:rsidRPr="003F1ECF" w:rsidP="007B3FAB" w14:paraId="4AF9A408" w14:textId="27E24F80">
      <w:pPr>
        <w:pStyle w:val="BodyText"/>
      </w:pPr>
      <w:r>
        <w:t>Regarding the third ICR pertaining to c</w:t>
      </w:r>
      <w:r w:rsidRPr="00E476E3">
        <w:t xml:space="preserve">onsumer </w:t>
      </w:r>
      <w:r>
        <w:t>c</w:t>
      </w:r>
      <w:r w:rsidRPr="00E476E3">
        <w:t xml:space="preserve">ases </w:t>
      </w:r>
      <w:r>
        <w:t>r</w:t>
      </w:r>
      <w:r w:rsidRPr="00E476E3">
        <w:t xml:space="preserve">elated to </w:t>
      </w:r>
      <w:r>
        <w:t>QHPs</w:t>
      </w:r>
      <w:r w:rsidRPr="00E476E3">
        <w:t xml:space="preserve"> and </w:t>
      </w:r>
      <w:r>
        <w:t>QHP</w:t>
      </w:r>
      <w:r w:rsidRPr="00E476E3">
        <w:t xml:space="preserve"> </w:t>
      </w:r>
      <w:r>
        <w:t>i</w:t>
      </w:r>
      <w:r w:rsidRPr="00E476E3">
        <w:t>ssuers</w:t>
      </w:r>
      <w:r>
        <w:t xml:space="preserve"> ICR at </w:t>
      </w:r>
      <w:r w:rsidRPr="00E476E3">
        <w:t>§ 156.1010</w:t>
      </w:r>
      <w:r>
        <w:t>,</w:t>
      </w:r>
      <w:r w:rsidR="00111E8E">
        <w:t xml:space="preserve"> there </w:t>
      </w:r>
      <w:r w:rsidR="006E2B58">
        <w:t>is</w:t>
      </w:r>
      <w:r w:rsidR="00111E8E">
        <w:t xml:space="preserve"> no </w:t>
      </w:r>
      <w:r w:rsidR="006E2B58">
        <w:t>publicly available</w:t>
      </w:r>
      <w:r w:rsidR="00111E8E">
        <w:t xml:space="preserve"> data since this data </w:t>
      </w:r>
      <w:r w:rsidR="006E2B58">
        <w:t>contains</w:t>
      </w:r>
      <w:r w:rsidR="00111E8E">
        <w:t xml:space="preserve"> consumer p</w:t>
      </w:r>
      <w:r w:rsidRPr="00111E8E" w:rsidR="00111E8E">
        <w:t xml:space="preserve">ersonally </w:t>
      </w:r>
      <w:r w:rsidR="00111E8E">
        <w:t>i</w:t>
      </w:r>
      <w:r w:rsidRPr="00111E8E" w:rsidR="00111E8E">
        <w:t xml:space="preserve">dentifiable </w:t>
      </w:r>
      <w:r w:rsidR="00111E8E">
        <w:t>i</w:t>
      </w:r>
      <w:r w:rsidRPr="00111E8E" w:rsidR="00111E8E">
        <w:t>nformation</w:t>
      </w:r>
      <w:r w:rsidR="00111E8E">
        <w:t xml:space="preserve"> (</w:t>
      </w:r>
      <w:r w:rsidRPr="00111E8E" w:rsidR="00111E8E">
        <w:t xml:space="preserve">PII) and </w:t>
      </w:r>
      <w:r w:rsidR="00111E8E">
        <w:t>p</w:t>
      </w:r>
      <w:r w:rsidRPr="00111E8E" w:rsidR="00111E8E">
        <w:t xml:space="preserve">rotected </w:t>
      </w:r>
      <w:r w:rsidR="00111E8E">
        <w:t>h</w:t>
      </w:r>
      <w:r w:rsidRPr="00111E8E" w:rsidR="00111E8E">
        <w:t xml:space="preserve">ealth </w:t>
      </w:r>
      <w:r w:rsidR="00111E8E">
        <w:t>i</w:t>
      </w:r>
      <w:r w:rsidRPr="00111E8E" w:rsidR="00111E8E">
        <w:t>nformation (PHI)</w:t>
      </w:r>
      <w:r w:rsidR="00111E8E">
        <w:t xml:space="preserve"> as well as confidential issuer information. </w:t>
      </w:r>
      <w:r>
        <w:t>Regarding the final ICR pertaining to the e</w:t>
      </w:r>
      <w:r w:rsidRPr="00E476E3">
        <w:t xml:space="preserve">nrollment </w:t>
      </w:r>
      <w:r>
        <w:t>p</w:t>
      </w:r>
      <w:r w:rsidRPr="00E476E3">
        <w:t xml:space="preserve">rocess for </w:t>
      </w:r>
      <w:r>
        <w:t>q</w:t>
      </w:r>
      <w:r w:rsidRPr="00E476E3">
        <w:t xml:space="preserve">ualified </w:t>
      </w:r>
      <w:r>
        <w:t>i</w:t>
      </w:r>
      <w:r w:rsidRPr="00E476E3">
        <w:t xml:space="preserve">ndividuals </w:t>
      </w:r>
      <w:r>
        <w:t xml:space="preserve">at </w:t>
      </w:r>
      <w:r w:rsidRPr="00E476E3">
        <w:t>§ 156.1230</w:t>
      </w:r>
      <w:r>
        <w:t xml:space="preserve">, </w:t>
      </w:r>
      <w:r w:rsidR="00E366A8">
        <w:t xml:space="preserve">there </w:t>
      </w:r>
      <w:r w:rsidR="006E2B58">
        <w:t>is no publicly available data</w:t>
      </w:r>
      <w:r w:rsidR="00E366A8">
        <w:t xml:space="preserve"> for this ICR since it pertains to </w:t>
      </w:r>
      <w:r w:rsidRPr="003F1ECF" w:rsidR="00E366A8">
        <w:t>developing and maintaining DE websites</w:t>
      </w:r>
      <w:r w:rsidR="00E366A8">
        <w:t>, which are publicly available.</w:t>
      </w:r>
      <w:r w:rsidR="00111E8E">
        <w:t xml:space="preserve"> Furthermore, all</w:t>
      </w:r>
      <w:r w:rsidR="006E2B58">
        <w:t xml:space="preserve"> available data for the health plans offered</w:t>
      </w:r>
      <w:r w:rsidR="00111E8E">
        <w:t xml:space="preserve"> on these DE websites are also publicly available for the corresponding plans on </w:t>
      </w:r>
      <w:r w:rsidR="00111E8E">
        <w:rPr>
          <w:i/>
          <w:iCs/>
        </w:rPr>
        <w:t>HealthCare.gov</w:t>
      </w:r>
      <w:r w:rsidR="00111E8E">
        <w:t>.</w:t>
      </w:r>
    </w:p>
    <w:p w:rsidR="001C3F13" w:rsidRPr="003F1ECF" w:rsidP="007B3FAB" w14:paraId="54033846" w14:textId="77777777">
      <w:pPr>
        <w:pStyle w:val="BodyText"/>
      </w:pPr>
    </w:p>
    <w:p w:rsidR="001C3F13" w:rsidRPr="003F1ECF" w:rsidP="007B3FAB" w14:paraId="098B6E09" w14:textId="2B3740FA">
      <w:pPr>
        <w:pStyle w:val="ListParagraph"/>
        <w:numPr>
          <w:ilvl w:val="1"/>
          <w:numId w:val="1"/>
        </w:numPr>
        <w:tabs>
          <w:tab w:val="left" w:pos="551"/>
        </w:tabs>
        <w:ind w:left="0" w:firstLine="0"/>
        <w:rPr>
          <w:sz w:val="24"/>
          <w:szCs w:val="24"/>
        </w:rPr>
      </w:pPr>
      <w:bookmarkStart w:id="80" w:name="17.__Expiration_Date"/>
      <w:bookmarkEnd w:id="80"/>
      <w:r w:rsidRPr="003F1ECF">
        <w:rPr>
          <w:sz w:val="24"/>
          <w:szCs w:val="24"/>
          <w:u w:val="single"/>
        </w:rPr>
        <w:t>Expiration</w:t>
      </w:r>
      <w:r w:rsidRPr="003F1ECF">
        <w:rPr>
          <w:spacing w:val="-1"/>
          <w:sz w:val="24"/>
          <w:szCs w:val="24"/>
          <w:u w:val="single"/>
        </w:rPr>
        <w:t xml:space="preserve"> </w:t>
      </w:r>
      <w:r w:rsidRPr="003F1ECF">
        <w:rPr>
          <w:sz w:val="24"/>
          <w:szCs w:val="24"/>
          <w:u w:val="single"/>
        </w:rPr>
        <w:t>Date</w:t>
      </w:r>
    </w:p>
    <w:p w:rsidR="00446AF0" w:rsidRPr="003F1ECF" w:rsidP="007B3FAB" w14:paraId="01C484FA" w14:textId="77777777">
      <w:pPr>
        <w:pStyle w:val="ListParagraph"/>
        <w:tabs>
          <w:tab w:val="left" w:pos="551"/>
        </w:tabs>
        <w:ind w:left="0" w:firstLine="0"/>
        <w:rPr>
          <w:sz w:val="24"/>
          <w:szCs w:val="24"/>
        </w:rPr>
      </w:pPr>
    </w:p>
    <w:p w:rsidR="001C3F13" w:rsidP="003E1B8E" w14:paraId="0370C572" w14:textId="4CFD4203">
      <w:pPr>
        <w:pStyle w:val="BodyText"/>
        <w:rPr>
          <w:spacing w:val="-1"/>
        </w:rPr>
      </w:pPr>
      <w:bookmarkStart w:id="81" w:name="XX/XX/2021"/>
      <w:bookmarkStart w:id="82" w:name="There_are_no_instruments_associated_with"/>
      <w:bookmarkEnd w:id="81"/>
      <w:bookmarkEnd w:id="82"/>
      <w:r w:rsidRPr="003F1ECF">
        <w:rPr>
          <w:spacing w:val="-1"/>
        </w:rPr>
        <w:t>The expiration date and OMB control number will appear on the first page of the instrument (top-right corner).</w:t>
      </w:r>
    </w:p>
    <w:p w:rsidR="00D911F1" w:rsidP="003E1B8E" w14:paraId="31509D0F" w14:textId="77777777">
      <w:pPr>
        <w:pStyle w:val="BodyText"/>
        <w:rPr>
          <w:spacing w:val="-1"/>
        </w:rPr>
      </w:pPr>
    </w:p>
    <w:p w:rsidR="00D911F1" w:rsidRPr="00E8061F" w:rsidP="00D911F1" w14:paraId="0E1911D1" w14:textId="77777777">
      <w:pPr>
        <w:tabs>
          <w:tab w:val="left" w:pos="9540"/>
        </w:tabs>
        <w:ind w:right="10"/>
        <w:rPr>
          <w:rFonts w:eastAsia="Calibri"/>
          <w:sz w:val="24"/>
          <w:szCs w:val="24"/>
        </w:rPr>
      </w:pPr>
      <w:r>
        <w:rPr>
          <w:rFonts w:eastAsia="Calibri"/>
          <w:sz w:val="24"/>
          <w:szCs w:val="24"/>
        </w:rPr>
        <w:t xml:space="preserve">18. </w:t>
      </w:r>
      <w:r w:rsidRPr="0097717C">
        <w:rPr>
          <w:rFonts w:eastAsia="Calibri"/>
          <w:sz w:val="24"/>
          <w:szCs w:val="24"/>
          <w:u w:val="single"/>
        </w:rPr>
        <w:t>Certification Statement</w:t>
      </w:r>
    </w:p>
    <w:p w:rsidR="00D911F1" w:rsidP="003E1B8E" w14:paraId="0CA0C102" w14:textId="77777777">
      <w:pPr>
        <w:pStyle w:val="BodyText"/>
      </w:pPr>
    </w:p>
    <w:p w:rsidR="00D911F1" w:rsidRPr="00B078BA" w:rsidP="00D911F1" w14:paraId="7A70E9FE" w14:textId="77777777">
      <w:r w:rsidRPr="00B078BA">
        <w:rPr>
          <w:sz w:val="24"/>
          <w:szCs w:val="24"/>
        </w:rPr>
        <w:t>There are no exceptions to the certification statement.</w:t>
      </w:r>
    </w:p>
    <w:p w:rsidR="00D911F1" w:rsidRPr="00874D5F" w:rsidP="003E1B8E" w14:paraId="7BC925F0" w14:textId="77777777">
      <w:pPr>
        <w:pStyle w:val="BodyText"/>
      </w:pPr>
    </w:p>
    <w:sectPr w:rsidSect="00F92F86">
      <w:footerReference w:type="default" r:id="rId12"/>
      <w:pgSz w:w="12240" w:h="15840"/>
      <w:pgMar w:top="1440" w:right="1440" w:bottom="1440" w:left="1440" w:header="0" w:footer="53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124421"/>
      <w:docPartObj>
        <w:docPartGallery w:val="Page Numbers (Bottom of Page)"/>
        <w:docPartUnique/>
      </w:docPartObj>
    </w:sdtPr>
    <w:sdtEndPr>
      <w:rPr>
        <w:noProof/>
      </w:rPr>
    </w:sdtEndPr>
    <w:sdtContent>
      <w:p w:rsidR="00D911F1" w14:paraId="6C3D1425" w14:textId="008E03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D181D" w14:paraId="74E69A2F" w14:textId="4746EB2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181C" w14:paraId="277C59C5" w14:textId="77777777">
      <w:r>
        <w:separator/>
      </w:r>
    </w:p>
  </w:footnote>
  <w:footnote w:type="continuationSeparator" w:id="1">
    <w:p w:rsidR="00F4181C" w14:paraId="77E95759" w14:textId="77777777">
      <w:r>
        <w:continuationSeparator/>
      </w:r>
    </w:p>
  </w:footnote>
  <w:footnote w:id="2">
    <w:p w:rsidR="009D181D" w14:paraId="47B5D3B6" w14:textId="426C5BB4">
      <w:pPr>
        <w:pStyle w:val="FootnoteText"/>
      </w:pPr>
      <w:r>
        <w:rPr>
          <w:rStyle w:val="FootnoteReference"/>
        </w:rPr>
        <w:footnoteRef/>
      </w:r>
      <w:r>
        <w:t xml:space="preserve"> </w:t>
      </w:r>
      <w:r w:rsidRPr="00874D5F">
        <w:t>Section 1321(c) of the Affordable Care Act erroneously cites to section 2736(b) of the PHS Act instead of 2723(b) of the PHS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B64308"/>
    <w:multiLevelType w:val="hybridMultilevel"/>
    <w:tmpl w:val="BE1CED24"/>
    <w:lvl w:ilvl="0">
      <w:start w:val="1"/>
      <w:numFmt w:val="upperLetter"/>
      <w:lvlText w:val="%1."/>
      <w:lvlJc w:val="left"/>
      <w:pPr>
        <w:ind w:left="549" w:hanging="430"/>
      </w:pPr>
      <w:rPr>
        <w:rFonts w:hint="default"/>
        <w:spacing w:val="-4"/>
        <w:w w:val="99"/>
        <w:u w:val="thick" w:color="000000"/>
      </w:rPr>
    </w:lvl>
    <w:lvl w:ilvl="1">
      <w:start w:val="1"/>
      <w:numFmt w:val="decimal"/>
      <w:lvlText w:val="%2."/>
      <w:lvlJc w:val="left"/>
      <w:pPr>
        <w:ind w:left="700" w:hanging="581"/>
      </w:pPr>
      <w:rPr>
        <w:rFonts w:ascii="Times New Roman" w:eastAsia="Times New Roman" w:hAnsi="Times New Roman" w:cs="Times New Roman" w:hint="default"/>
        <w:spacing w:val="-11"/>
        <w:w w:val="99"/>
        <w:sz w:val="24"/>
        <w:szCs w:val="24"/>
      </w:rPr>
    </w:lvl>
    <w:lvl w:ilvl="2">
      <w:start w:val="0"/>
      <w:numFmt w:val="bullet"/>
      <w:lvlText w:val="•"/>
      <w:lvlJc w:val="left"/>
      <w:pPr>
        <w:ind w:left="1686" w:hanging="581"/>
      </w:pPr>
      <w:rPr>
        <w:rFonts w:hint="default"/>
      </w:rPr>
    </w:lvl>
    <w:lvl w:ilvl="3">
      <w:start w:val="0"/>
      <w:numFmt w:val="bullet"/>
      <w:lvlText w:val="•"/>
      <w:lvlJc w:val="left"/>
      <w:pPr>
        <w:ind w:left="2673" w:hanging="581"/>
      </w:pPr>
      <w:rPr>
        <w:rFonts w:hint="default"/>
      </w:rPr>
    </w:lvl>
    <w:lvl w:ilvl="4">
      <w:start w:val="0"/>
      <w:numFmt w:val="bullet"/>
      <w:lvlText w:val="•"/>
      <w:lvlJc w:val="left"/>
      <w:pPr>
        <w:ind w:left="3660" w:hanging="581"/>
      </w:pPr>
      <w:rPr>
        <w:rFonts w:hint="default"/>
      </w:rPr>
    </w:lvl>
    <w:lvl w:ilvl="5">
      <w:start w:val="0"/>
      <w:numFmt w:val="bullet"/>
      <w:lvlText w:val="•"/>
      <w:lvlJc w:val="left"/>
      <w:pPr>
        <w:ind w:left="4646" w:hanging="581"/>
      </w:pPr>
      <w:rPr>
        <w:rFonts w:hint="default"/>
      </w:rPr>
    </w:lvl>
    <w:lvl w:ilvl="6">
      <w:start w:val="0"/>
      <w:numFmt w:val="bullet"/>
      <w:lvlText w:val="•"/>
      <w:lvlJc w:val="left"/>
      <w:pPr>
        <w:ind w:left="5633" w:hanging="581"/>
      </w:pPr>
      <w:rPr>
        <w:rFonts w:hint="default"/>
      </w:rPr>
    </w:lvl>
    <w:lvl w:ilvl="7">
      <w:start w:val="0"/>
      <w:numFmt w:val="bullet"/>
      <w:lvlText w:val="•"/>
      <w:lvlJc w:val="left"/>
      <w:pPr>
        <w:ind w:left="6620" w:hanging="581"/>
      </w:pPr>
      <w:rPr>
        <w:rFonts w:hint="default"/>
      </w:rPr>
    </w:lvl>
    <w:lvl w:ilvl="8">
      <w:start w:val="0"/>
      <w:numFmt w:val="bullet"/>
      <w:lvlText w:val="•"/>
      <w:lvlJc w:val="left"/>
      <w:pPr>
        <w:ind w:left="7606" w:hanging="581"/>
      </w:pPr>
      <w:rPr>
        <w:rFonts w:hint="default"/>
      </w:rPr>
    </w:lvl>
  </w:abstractNum>
  <w:num w:numId="1" w16cid:durableId="113541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13"/>
    <w:rsid w:val="000002B8"/>
    <w:rsid w:val="00001112"/>
    <w:rsid w:val="00001AEF"/>
    <w:rsid w:val="00004852"/>
    <w:rsid w:val="00004B25"/>
    <w:rsid w:val="000074DC"/>
    <w:rsid w:val="00017814"/>
    <w:rsid w:val="0002074A"/>
    <w:rsid w:val="000242FA"/>
    <w:rsid w:val="000314D6"/>
    <w:rsid w:val="000355BA"/>
    <w:rsid w:val="00035ADB"/>
    <w:rsid w:val="00036D3F"/>
    <w:rsid w:val="00037806"/>
    <w:rsid w:val="000620CA"/>
    <w:rsid w:val="00071EAD"/>
    <w:rsid w:val="000741BC"/>
    <w:rsid w:val="0009123E"/>
    <w:rsid w:val="0009428B"/>
    <w:rsid w:val="000A4027"/>
    <w:rsid w:val="000B4F4F"/>
    <w:rsid w:val="000C2121"/>
    <w:rsid w:val="000D4B13"/>
    <w:rsid w:val="00111E8E"/>
    <w:rsid w:val="00115522"/>
    <w:rsid w:val="00125C79"/>
    <w:rsid w:val="001351C0"/>
    <w:rsid w:val="001420E5"/>
    <w:rsid w:val="00145CC3"/>
    <w:rsid w:val="001475EF"/>
    <w:rsid w:val="00151B02"/>
    <w:rsid w:val="00156066"/>
    <w:rsid w:val="00161016"/>
    <w:rsid w:val="001620CC"/>
    <w:rsid w:val="0017098E"/>
    <w:rsid w:val="00170DDB"/>
    <w:rsid w:val="00176185"/>
    <w:rsid w:val="00183287"/>
    <w:rsid w:val="001854ED"/>
    <w:rsid w:val="00185A34"/>
    <w:rsid w:val="00194FAB"/>
    <w:rsid w:val="001A517C"/>
    <w:rsid w:val="001B58B6"/>
    <w:rsid w:val="001C0B4F"/>
    <w:rsid w:val="001C3F13"/>
    <w:rsid w:val="001D4BB1"/>
    <w:rsid w:val="001E7972"/>
    <w:rsid w:val="001F2845"/>
    <w:rsid w:val="001F34EB"/>
    <w:rsid w:val="001F3C04"/>
    <w:rsid w:val="001F7330"/>
    <w:rsid w:val="00205D25"/>
    <w:rsid w:val="00212922"/>
    <w:rsid w:val="002209F9"/>
    <w:rsid w:val="0022768E"/>
    <w:rsid w:val="00227BBA"/>
    <w:rsid w:val="002349AF"/>
    <w:rsid w:val="00240A47"/>
    <w:rsid w:val="002628B1"/>
    <w:rsid w:val="00264878"/>
    <w:rsid w:val="00265EBC"/>
    <w:rsid w:val="00276C8E"/>
    <w:rsid w:val="002A3925"/>
    <w:rsid w:val="002B6A1C"/>
    <w:rsid w:val="002C704F"/>
    <w:rsid w:val="002D165F"/>
    <w:rsid w:val="002D767D"/>
    <w:rsid w:val="002E0245"/>
    <w:rsid w:val="002E2C4F"/>
    <w:rsid w:val="002F3D35"/>
    <w:rsid w:val="003064D7"/>
    <w:rsid w:val="003071BF"/>
    <w:rsid w:val="0033473F"/>
    <w:rsid w:val="00337925"/>
    <w:rsid w:val="00342F25"/>
    <w:rsid w:val="003468E8"/>
    <w:rsid w:val="00353987"/>
    <w:rsid w:val="0036580F"/>
    <w:rsid w:val="00373D9B"/>
    <w:rsid w:val="0037591F"/>
    <w:rsid w:val="003815EF"/>
    <w:rsid w:val="00385A66"/>
    <w:rsid w:val="00390491"/>
    <w:rsid w:val="003914B7"/>
    <w:rsid w:val="003A092D"/>
    <w:rsid w:val="003B0C13"/>
    <w:rsid w:val="003B3A05"/>
    <w:rsid w:val="003C2618"/>
    <w:rsid w:val="003C790E"/>
    <w:rsid w:val="003E0960"/>
    <w:rsid w:val="003E1B8E"/>
    <w:rsid w:val="003F1ECF"/>
    <w:rsid w:val="003F424A"/>
    <w:rsid w:val="0040293D"/>
    <w:rsid w:val="004042BF"/>
    <w:rsid w:val="004042C4"/>
    <w:rsid w:val="00405A9D"/>
    <w:rsid w:val="0041343E"/>
    <w:rsid w:val="004251F1"/>
    <w:rsid w:val="00425559"/>
    <w:rsid w:val="004260B3"/>
    <w:rsid w:val="004335C6"/>
    <w:rsid w:val="00435F44"/>
    <w:rsid w:val="0044302B"/>
    <w:rsid w:val="00446AF0"/>
    <w:rsid w:val="0045112C"/>
    <w:rsid w:val="0045194A"/>
    <w:rsid w:val="00456670"/>
    <w:rsid w:val="004625ED"/>
    <w:rsid w:val="00474425"/>
    <w:rsid w:val="00475E26"/>
    <w:rsid w:val="0048008B"/>
    <w:rsid w:val="00494C63"/>
    <w:rsid w:val="004950B4"/>
    <w:rsid w:val="0049766B"/>
    <w:rsid w:val="004A612A"/>
    <w:rsid w:val="004A61EC"/>
    <w:rsid w:val="004A641F"/>
    <w:rsid w:val="004A6B97"/>
    <w:rsid w:val="004B437A"/>
    <w:rsid w:val="004C2DBF"/>
    <w:rsid w:val="004E6BC1"/>
    <w:rsid w:val="004F2252"/>
    <w:rsid w:val="004F22FE"/>
    <w:rsid w:val="00503C06"/>
    <w:rsid w:val="005130BC"/>
    <w:rsid w:val="005428B8"/>
    <w:rsid w:val="00560536"/>
    <w:rsid w:val="0056157F"/>
    <w:rsid w:val="00562DD5"/>
    <w:rsid w:val="005902B3"/>
    <w:rsid w:val="005A0C7D"/>
    <w:rsid w:val="005A6AFA"/>
    <w:rsid w:val="005A7E79"/>
    <w:rsid w:val="005B0E65"/>
    <w:rsid w:val="005B2071"/>
    <w:rsid w:val="005D019C"/>
    <w:rsid w:val="005D320A"/>
    <w:rsid w:val="005D673D"/>
    <w:rsid w:val="005E1EB5"/>
    <w:rsid w:val="005E76F1"/>
    <w:rsid w:val="005F103D"/>
    <w:rsid w:val="005F46D6"/>
    <w:rsid w:val="00601588"/>
    <w:rsid w:val="00607708"/>
    <w:rsid w:val="00610167"/>
    <w:rsid w:val="00611277"/>
    <w:rsid w:val="00617DBE"/>
    <w:rsid w:val="006318AD"/>
    <w:rsid w:val="00633D6C"/>
    <w:rsid w:val="006374B6"/>
    <w:rsid w:val="00641FF9"/>
    <w:rsid w:val="006473A2"/>
    <w:rsid w:val="00656815"/>
    <w:rsid w:val="0067169A"/>
    <w:rsid w:val="00675BA3"/>
    <w:rsid w:val="006804C6"/>
    <w:rsid w:val="0069080B"/>
    <w:rsid w:val="006949E4"/>
    <w:rsid w:val="006A62DE"/>
    <w:rsid w:val="006A6EED"/>
    <w:rsid w:val="006B156A"/>
    <w:rsid w:val="006B1B21"/>
    <w:rsid w:val="006C0A48"/>
    <w:rsid w:val="006C790E"/>
    <w:rsid w:val="006C7CD7"/>
    <w:rsid w:val="006E2B58"/>
    <w:rsid w:val="006E4C26"/>
    <w:rsid w:val="006E5761"/>
    <w:rsid w:val="006E77A3"/>
    <w:rsid w:val="006F49E5"/>
    <w:rsid w:val="007021D2"/>
    <w:rsid w:val="00705E53"/>
    <w:rsid w:val="00714652"/>
    <w:rsid w:val="00722399"/>
    <w:rsid w:val="00730131"/>
    <w:rsid w:val="00740A0E"/>
    <w:rsid w:val="00740B81"/>
    <w:rsid w:val="00745C86"/>
    <w:rsid w:val="00767D7D"/>
    <w:rsid w:val="007806A9"/>
    <w:rsid w:val="00782980"/>
    <w:rsid w:val="007865CA"/>
    <w:rsid w:val="00792592"/>
    <w:rsid w:val="00792F10"/>
    <w:rsid w:val="007A012A"/>
    <w:rsid w:val="007A35E5"/>
    <w:rsid w:val="007B3FAB"/>
    <w:rsid w:val="007B4CC0"/>
    <w:rsid w:val="007B5C26"/>
    <w:rsid w:val="007C296D"/>
    <w:rsid w:val="007C3631"/>
    <w:rsid w:val="007C4527"/>
    <w:rsid w:val="007C65A8"/>
    <w:rsid w:val="007D12CF"/>
    <w:rsid w:val="007D21B0"/>
    <w:rsid w:val="007D403B"/>
    <w:rsid w:val="007E382E"/>
    <w:rsid w:val="007F348C"/>
    <w:rsid w:val="007F3856"/>
    <w:rsid w:val="007F45D8"/>
    <w:rsid w:val="007F473A"/>
    <w:rsid w:val="007F6645"/>
    <w:rsid w:val="00806DEE"/>
    <w:rsid w:val="00812BD6"/>
    <w:rsid w:val="00813225"/>
    <w:rsid w:val="00816329"/>
    <w:rsid w:val="008330F7"/>
    <w:rsid w:val="00835A82"/>
    <w:rsid w:val="008370AF"/>
    <w:rsid w:val="00872400"/>
    <w:rsid w:val="008740A5"/>
    <w:rsid w:val="00874D5F"/>
    <w:rsid w:val="00876291"/>
    <w:rsid w:val="008830C8"/>
    <w:rsid w:val="0089228E"/>
    <w:rsid w:val="008B427E"/>
    <w:rsid w:val="008B654C"/>
    <w:rsid w:val="008D04BC"/>
    <w:rsid w:val="008D474E"/>
    <w:rsid w:val="008D4DFB"/>
    <w:rsid w:val="008D53A1"/>
    <w:rsid w:val="008E0051"/>
    <w:rsid w:val="008F29E5"/>
    <w:rsid w:val="008F495A"/>
    <w:rsid w:val="00900D8D"/>
    <w:rsid w:val="00905ADA"/>
    <w:rsid w:val="009126AE"/>
    <w:rsid w:val="0091284F"/>
    <w:rsid w:val="00915924"/>
    <w:rsid w:val="009165DA"/>
    <w:rsid w:val="00922A00"/>
    <w:rsid w:val="0092782E"/>
    <w:rsid w:val="00934148"/>
    <w:rsid w:val="00941077"/>
    <w:rsid w:val="00951DC6"/>
    <w:rsid w:val="009534A5"/>
    <w:rsid w:val="0095498E"/>
    <w:rsid w:val="00955180"/>
    <w:rsid w:val="0096121B"/>
    <w:rsid w:val="00962327"/>
    <w:rsid w:val="00970BE0"/>
    <w:rsid w:val="009716EA"/>
    <w:rsid w:val="009737CF"/>
    <w:rsid w:val="0097717C"/>
    <w:rsid w:val="00981AC1"/>
    <w:rsid w:val="00983227"/>
    <w:rsid w:val="009A70D5"/>
    <w:rsid w:val="009B1062"/>
    <w:rsid w:val="009B729C"/>
    <w:rsid w:val="009C5F56"/>
    <w:rsid w:val="009D05DF"/>
    <w:rsid w:val="009D100B"/>
    <w:rsid w:val="009D181D"/>
    <w:rsid w:val="009E37FE"/>
    <w:rsid w:val="009E398E"/>
    <w:rsid w:val="009F3907"/>
    <w:rsid w:val="00A038AE"/>
    <w:rsid w:val="00A108DC"/>
    <w:rsid w:val="00A23840"/>
    <w:rsid w:val="00A320F6"/>
    <w:rsid w:val="00A32908"/>
    <w:rsid w:val="00A34DF9"/>
    <w:rsid w:val="00A367A0"/>
    <w:rsid w:val="00A52134"/>
    <w:rsid w:val="00A54423"/>
    <w:rsid w:val="00A60403"/>
    <w:rsid w:val="00A639DE"/>
    <w:rsid w:val="00A85CDA"/>
    <w:rsid w:val="00A94A05"/>
    <w:rsid w:val="00A97B22"/>
    <w:rsid w:val="00AA27DD"/>
    <w:rsid w:val="00AA54C3"/>
    <w:rsid w:val="00AB2EC8"/>
    <w:rsid w:val="00AC252E"/>
    <w:rsid w:val="00AC42BA"/>
    <w:rsid w:val="00AD5BE6"/>
    <w:rsid w:val="00AD5E07"/>
    <w:rsid w:val="00AD7D05"/>
    <w:rsid w:val="00AE2A13"/>
    <w:rsid w:val="00AE53D1"/>
    <w:rsid w:val="00AF05B8"/>
    <w:rsid w:val="00B039B4"/>
    <w:rsid w:val="00B0734D"/>
    <w:rsid w:val="00B078BA"/>
    <w:rsid w:val="00B10919"/>
    <w:rsid w:val="00B11581"/>
    <w:rsid w:val="00B1687B"/>
    <w:rsid w:val="00B33D09"/>
    <w:rsid w:val="00B41B5C"/>
    <w:rsid w:val="00B42DDD"/>
    <w:rsid w:val="00B45AFD"/>
    <w:rsid w:val="00B527DE"/>
    <w:rsid w:val="00B53F0D"/>
    <w:rsid w:val="00B56A3D"/>
    <w:rsid w:val="00B6354D"/>
    <w:rsid w:val="00B71DA8"/>
    <w:rsid w:val="00B77251"/>
    <w:rsid w:val="00B878F6"/>
    <w:rsid w:val="00B9548B"/>
    <w:rsid w:val="00B959F3"/>
    <w:rsid w:val="00BA2F13"/>
    <w:rsid w:val="00BC6C62"/>
    <w:rsid w:val="00BC6D34"/>
    <w:rsid w:val="00BD0620"/>
    <w:rsid w:val="00BD0EA5"/>
    <w:rsid w:val="00BD5429"/>
    <w:rsid w:val="00BD6465"/>
    <w:rsid w:val="00BD792A"/>
    <w:rsid w:val="00BF6703"/>
    <w:rsid w:val="00C1015C"/>
    <w:rsid w:val="00C13BEF"/>
    <w:rsid w:val="00C26591"/>
    <w:rsid w:val="00C3477E"/>
    <w:rsid w:val="00C34A30"/>
    <w:rsid w:val="00C350A2"/>
    <w:rsid w:val="00C3558A"/>
    <w:rsid w:val="00C42579"/>
    <w:rsid w:val="00C42ECF"/>
    <w:rsid w:val="00C51CA3"/>
    <w:rsid w:val="00C53294"/>
    <w:rsid w:val="00C6238C"/>
    <w:rsid w:val="00C62830"/>
    <w:rsid w:val="00C70521"/>
    <w:rsid w:val="00C70DBF"/>
    <w:rsid w:val="00C80740"/>
    <w:rsid w:val="00C87E7E"/>
    <w:rsid w:val="00C9410B"/>
    <w:rsid w:val="00C9416D"/>
    <w:rsid w:val="00C9640A"/>
    <w:rsid w:val="00CA0600"/>
    <w:rsid w:val="00CA1583"/>
    <w:rsid w:val="00CB051E"/>
    <w:rsid w:val="00CB3698"/>
    <w:rsid w:val="00CB37C2"/>
    <w:rsid w:val="00CC2A6B"/>
    <w:rsid w:val="00CD2413"/>
    <w:rsid w:val="00CD690F"/>
    <w:rsid w:val="00CF1753"/>
    <w:rsid w:val="00D01842"/>
    <w:rsid w:val="00D05406"/>
    <w:rsid w:val="00D34705"/>
    <w:rsid w:val="00D34788"/>
    <w:rsid w:val="00D379DA"/>
    <w:rsid w:val="00D45E92"/>
    <w:rsid w:val="00D46B21"/>
    <w:rsid w:val="00D61682"/>
    <w:rsid w:val="00D62E3C"/>
    <w:rsid w:val="00D67BA6"/>
    <w:rsid w:val="00D72DC3"/>
    <w:rsid w:val="00D75A26"/>
    <w:rsid w:val="00D817D0"/>
    <w:rsid w:val="00D87B54"/>
    <w:rsid w:val="00D911F1"/>
    <w:rsid w:val="00D92157"/>
    <w:rsid w:val="00D9513A"/>
    <w:rsid w:val="00DB5691"/>
    <w:rsid w:val="00DD0231"/>
    <w:rsid w:val="00DD0D0E"/>
    <w:rsid w:val="00DD441E"/>
    <w:rsid w:val="00DE06FE"/>
    <w:rsid w:val="00DF7B0E"/>
    <w:rsid w:val="00E271A4"/>
    <w:rsid w:val="00E31B66"/>
    <w:rsid w:val="00E34CA1"/>
    <w:rsid w:val="00E366A8"/>
    <w:rsid w:val="00E403EE"/>
    <w:rsid w:val="00E407C8"/>
    <w:rsid w:val="00E42844"/>
    <w:rsid w:val="00E44C87"/>
    <w:rsid w:val="00E476E3"/>
    <w:rsid w:val="00E55DD4"/>
    <w:rsid w:val="00E645BF"/>
    <w:rsid w:val="00E662EF"/>
    <w:rsid w:val="00E8061F"/>
    <w:rsid w:val="00E8237B"/>
    <w:rsid w:val="00E878C9"/>
    <w:rsid w:val="00E92731"/>
    <w:rsid w:val="00E93283"/>
    <w:rsid w:val="00EB2273"/>
    <w:rsid w:val="00EB4EB9"/>
    <w:rsid w:val="00EC5C5F"/>
    <w:rsid w:val="00EC6AFF"/>
    <w:rsid w:val="00EC6B48"/>
    <w:rsid w:val="00ED0C6F"/>
    <w:rsid w:val="00ED5E74"/>
    <w:rsid w:val="00EE613E"/>
    <w:rsid w:val="00EF0EDC"/>
    <w:rsid w:val="00F0256C"/>
    <w:rsid w:val="00F07917"/>
    <w:rsid w:val="00F11040"/>
    <w:rsid w:val="00F11A4B"/>
    <w:rsid w:val="00F21C98"/>
    <w:rsid w:val="00F25837"/>
    <w:rsid w:val="00F26977"/>
    <w:rsid w:val="00F31694"/>
    <w:rsid w:val="00F31A7B"/>
    <w:rsid w:val="00F33309"/>
    <w:rsid w:val="00F36A4D"/>
    <w:rsid w:val="00F4181C"/>
    <w:rsid w:val="00F70966"/>
    <w:rsid w:val="00F74498"/>
    <w:rsid w:val="00F75E62"/>
    <w:rsid w:val="00F915AC"/>
    <w:rsid w:val="00F92F86"/>
    <w:rsid w:val="00F96D01"/>
    <w:rsid w:val="00FA5A8C"/>
    <w:rsid w:val="00FA781C"/>
    <w:rsid w:val="00FD0BD6"/>
    <w:rsid w:val="00FD0E25"/>
    <w:rsid w:val="00FD4151"/>
    <w:rsid w:val="00FD7567"/>
    <w:rsid w:val="00FE3919"/>
    <w:rsid w:val="00FF0C63"/>
    <w:rsid w:val="00FF1FD3"/>
    <w:rsid w:val="00FF314F"/>
    <w:rsid w:val="00FF5110"/>
    <w:rsid w:val="00FF51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B196E5"/>
  <w15:docId w15:val="{0B298FD5-22B8-4ACA-BF50-6512CAC4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B2EC8"/>
    <w:rPr>
      <w:rFonts w:ascii="Times New Roman" w:eastAsia="Times New Roman" w:hAnsi="Times New Roman" w:cs="Times New Roman"/>
    </w:rPr>
  </w:style>
  <w:style w:type="paragraph" w:styleId="Heading1">
    <w:name w:val="heading 1"/>
    <w:basedOn w:val="Normal"/>
    <w:uiPriority w:val="1"/>
    <w:qFormat/>
    <w:pPr>
      <w:ind w:left="549" w:hanging="580"/>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2D16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00" w:hanging="580"/>
    </w:pPr>
  </w:style>
  <w:style w:type="paragraph" w:customStyle="1" w:styleId="TableParagraph">
    <w:name w:val="Table Paragraph"/>
    <w:basedOn w:val="Normal"/>
    <w:uiPriority w:val="1"/>
    <w:qFormat/>
    <w:pPr>
      <w:spacing w:line="259" w:lineRule="exact"/>
    </w:pPr>
  </w:style>
  <w:style w:type="paragraph" w:styleId="BalloonText">
    <w:name w:val="Balloon Text"/>
    <w:basedOn w:val="Normal"/>
    <w:link w:val="BalloonTextChar"/>
    <w:uiPriority w:val="99"/>
    <w:semiHidden/>
    <w:unhideWhenUsed/>
    <w:rsid w:val="00135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C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351C0"/>
    <w:rPr>
      <w:sz w:val="16"/>
      <w:szCs w:val="16"/>
    </w:rPr>
  </w:style>
  <w:style w:type="paragraph" w:styleId="CommentText">
    <w:name w:val="annotation text"/>
    <w:basedOn w:val="Normal"/>
    <w:link w:val="CommentTextChar"/>
    <w:uiPriority w:val="99"/>
    <w:unhideWhenUsed/>
    <w:rsid w:val="001351C0"/>
    <w:rPr>
      <w:sz w:val="20"/>
      <w:szCs w:val="20"/>
    </w:rPr>
  </w:style>
  <w:style w:type="character" w:customStyle="1" w:styleId="CommentTextChar">
    <w:name w:val="Comment Text Char"/>
    <w:basedOn w:val="DefaultParagraphFont"/>
    <w:link w:val="CommentText"/>
    <w:uiPriority w:val="99"/>
    <w:rsid w:val="001351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51C0"/>
    <w:rPr>
      <w:b/>
      <w:bCs/>
    </w:rPr>
  </w:style>
  <w:style w:type="character" w:customStyle="1" w:styleId="CommentSubjectChar">
    <w:name w:val="Comment Subject Char"/>
    <w:basedOn w:val="CommentTextChar"/>
    <w:link w:val="CommentSubject"/>
    <w:uiPriority w:val="99"/>
    <w:semiHidden/>
    <w:rsid w:val="001351C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3919"/>
    <w:rPr>
      <w:color w:val="0000FF" w:themeColor="hyperlink"/>
      <w:u w:val="single"/>
    </w:rPr>
  </w:style>
  <w:style w:type="paragraph" w:styleId="Revision">
    <w:name w:val="Revision"/>
    <w:hidden/>
    <w:uiPriority w:val="99"/>
    <w:semiHidden/>
    <w:rsid w:val="00D817D0"/>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874D5F"/>
    <w:rPr>
      <w:sz w:val="20"/>
      <w:szCs w:val="20"/>
    </w:rPr>
  </w:style>
  <w:style w:type="character" w:customStyle="1" w:styleId="FootnoteTextChar">
    <w:name w:val="Footnote Text Char"/>
    <w:basedOn w:val="DefaultParagraphFont"/>
    <w:link w:val="FootnoteText"/>
    <w:uiPriority w:val="99"/>
    <w:semiHidden/>
    <w:rsid w:val="00874D5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4D5F"/>
    <w:rPr>
      <w:vertAlign w:val="superscript"/>
    </w:rPr>
  </w:style>
  <w:style w:type="table" w:styleId="TableGrid">
    <w:name w:val="Table Grid"/>
    <w:basedOn w:val="TableNormal"/>
    <w:uiPriority w:val="59"/>
    <w:rsid w:val="004A6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612A"/>
    <w:rPr>
      <w:color w:val="800080" w:themeColor="followedHyperlink"/>
      <w:u w:val="single"/>
    </w:rPr>
  </w:style>
  <w:style w:type="character" w:customStyle="1" w:styleId="Heading2Char">
    <w:name w:val="Heading 2 Char"/>
    <w:basedOn w:val="DefaultParagraphFont"/>
    <w:link w:val="Heading2"/>
    <w:uiPriority w:val="9"/>
    <w:semiHidden/>
    <w:rsid w:val="002D165F"/>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1"/>
    <w:rsid w:val="00E34CA1"/>
    <w:rPr>
      <w:rFonts w:ascii="Times New Roman" w:eastAsia="Times New Roman" w:hAnsi="Times New Roman" w:cs="Times New Roman"/>
      <w:sz w:val="24"/>
      <w:szCs w:val="24"/>
    </w:rPr>
  </w:style>
  <w:style w:type="paragraph" w:customStyle="1" w:styleId="Body">
    <w:name w:val="Body"/>
    <w:basedOn w:val="Normal"/>
    <w:link w:val="BodyChar"/>
    <w:qFormat/>
    <w:rsid w:val="00876291"/>
    <w:pPr>
      <w:widowControl/>
      <w:autoSpaceDE/>
      <w:autoSpaceDN/>
      <w:spacing w:after="200" w:line="276" w:lineRule="auto"/>
    </w:pPr>
    <w:rPr>
      <w:sz w:val="24"/>
      <w:szCs w:val="24"/>
    </w:rPr>
  </w:style>
  <w:style w:type="character" w:customStyle="1" w:styleId="BodyChar">
    <w:name w:val="Body Char"/>
    <w:link w:val="Body"/>
    <w:rsid w:val="0087629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A012A"/>
    <w:rPr>
      <w:color w:val="605E5C"/>
      <w:shd w:val="clear" w:color="auto" w:fill="E1DFDD"/>
    </w:rPr>
  </w:style>
  <w:style w:type="paragraph" w:styleId="Header">
    <w:name w:val="header"/>
    <w:basedOn w:val="Normal"/>
    <w:link w:val="HeaderChar"/>
    <w:uiPriority w:val="99"/>
    <w:unhideWhenUsed/>
    <w:rsid w:val="00D911F1"/>
    <w:pPr>
      <w:tabs>
        <w:tab w:val="center" w:pos="4680"/>
        <w:tab w:val="right" w:pos="9360"/>
      </w:tabs>
    </w:pPr>
  </w:style>
  <w:style w:type="character" w:customStyle="1" w:styleId="HeaderChar">
    <w:name w:val="Header Char"/>
    <w:basedOn w:val="DefaultParagraphFont"/>
    <w:link w:val="Header"/>
    <w:uiPriority w:val="99"/>
    <w:rsid w:val="00D911F1"/>
    <w:rPr>
      <w:rFonts w:ascii="Times New Roman" w:eastAsia="Times New Roman" w:hAnsi="Times New Roman" w:cs="Times New Roman"/>
    </w:rPr>
  </w:style>
  <w:style w:type="paragraph" w:styleId="Footer">
    <w:name w:val="footer"/>
    <w:basedOn w:val="Normal"/>
    <w:link w:val="FooterChar"/>
    <w:uiPriority w:val="99"/>
    <w:unhideWhenUsed/>
    <w:rsid w:val="00D911F1"/>
    <w:pPr>
      <w:tabs>
        <w:tab w:val="center" w:pos="4680"/>
        <w:tab w:val="right" w:pos="9360"/>
      </w:tabs>
    </w:pPr>
  </w:style>
  <w:style w:type="character" w:customStyle="1" w:styleId="FooterChar">
    <w:name w:val="Footer Char"/>
    <w:basedOn w:val="DefaultParagraphFont"/>
    <w:link w:val="Footer"/>
    <w:uiPriority w:val="99"/>
    <w:rsid w:val="00D911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25Tables/html/DCB_h.aspx" TargetMode="External" /><Relationship Id="rId11" Type="http://schemas.openxmlformats.org/officeDocument/2006/relationships/hyperlink" Target="https://www.cms.gov/cciio/resources/forms-reports-and-other-resources/exams_audits_reviews_issuer_resource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de84d-5fb8-4eb5-a4f3-137921e19a30">
      <Terms xmlns="http://schemas.microsoft.com/office/infopath/2007/PartnerControls"/>
    </lcf76f155ced4ddcb4097134ff3c332f>
    <TaxCatchAll xmlns="710b8bb8-e162-4b3c-9559-dc90529d8982" xsi:nil="true"/>
    <Date xmlns="683de84d-5fb8-4eb5-a4f3-137921e19a30">2025-04-18T16:28:40+00:00</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578BCD0A5C2A4BBD05EA6AD5FE1F46" ma:contentTypeVersion="14" ma:contentTypeDescription="Create a new document." ma:contentTypeScope="" ma:versionID="8e97fbd3dbc330ccdd1e37bc2272c1a7">
  <xsd:schema xmlns:xsd="http://www.w3.org/2001/XMLSchema" xmlns:xs="http://www.w3.org/2001/XMLSchema" xmlns:p="http://schemas.microsoft.com/office/2006/metadata/properties" xmlns:ns2="683de84d-5fb8-4eb5-a4f3-137921e19a30" xmlns:ns3="710b8bb8-e162-4b3c-9559-dc90529d8982" targetNamespace="http://schemas.microsoft.com/office/2006/metadata/properties" ma:root="true" ma:fieldsID="501e969330d7573cf43fdacb8f54cef4" ns2:_="" ns3:_="">
    <xsd:import namespace="683de84d-5fb8-4eb5-a4f3-137921e19a30"/>
    <xsd:import namespace="710b8bb8-e162-4b3c-9559-dc90529d8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de84d-5fb8-4eb5-a4f3-137921e19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default="[today]" ma:format="DateOnly" ma:internalName="Date">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b8bb8-e162-4b3c-9559-dc90529d89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0c8ea0-02e1-4f09-94f0-f63a1a993a7c}" ma:internalName="TaxCatchAll" ma:showField="CatchAllData" ma:web="710b8bb8-e162-4b3c-9559-dc90529d8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2070A-ABC8-4DBE-82E3-363F7E192180}">
  <ds:schemaRefs>
    <ds:schemaRef ds:uri="http://schemas.microsoft.com/sharepoint/v3/contenttype/forms"/>
  </ds:schemaRefs>
</ds:datastoreItem>
</file>

<file path=customXml/itemProps2.xml><?xml version="1.0" encoding="utf-8"?>
<ds:datastoreItem xmlns:ds="http://schemas.openxmlformats.org/officeDocument/2006/customXml" ds:itemID="{EB21D182-3FE6-4C59-8620-D4FBE2F1C77B}">
  <ds:schemaRefs>
    <ds:schemaRef ds:uri="http://schemas.microsoft.com/office/2006/metadata/properties"/>
    <ds:schemaRef ds:uri="http://schemas.microsoft.com/office/infopath/2007/PartnerControls"/>
    <ds:schemaRef ds:uri="683de84d-5fb8-4eb5-a4f3-137921e19a30"/>
    <ds:schemaRef ds:uri="710b8bb8-e162-4b3c-9559-dc90529d8982"/>
  </ds:schemaRefs>
</ds:datastoreItem>
</file>

<file path=customXml/itemProps3.xml><?xml version="1.0" encoding="utf-8"?>
<ds:datastoreItem xmlns:ds="http://schemas.openxmlformats.org/officeDocument/2006/customXml" ds:itemID="{29C7C18B-A02C-4448-881C-68C3AA3AC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de84d-5fb8-4eb5-a4f3-137921e19a30"/>
    <ds:schemaRef ds:uri="710b8bb8-e162-4b3c-9559-dc90529d8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659F2-E079-4E06-9B30-8376DCA9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3975</Words>
  <Characters>20199</Characters>
  <Application>Microsoft Office Word</Application>
  <DocSecurity>0</DocSecurity>
  <Lines>918</Lines>
  <Paragraphs>779</Paragraphs>
  <ScaleCrop>false</ScaleCrop>
  <HeadingPairs>
    <vt:vector size="2" baseType="variant">
      <vt:variant>
        <vt:lpstr>Title</vt:lpstr>
      </vt:variant>
      <vt:variant>
        <vt:i4>1</vt:i4>
      </vt:variant>
    </vt:vector>
  </HeadingPairs>
  <TitlesOfParts>
    <vt:vector size="1" baseType="lpstr">
      <vt:lpstr>CMS-10637 Marketplace Operations Supporting Statement</vt:lpstr>
    </vt:vector>
  </TitlesOfParts>
  <Company>CMS</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CMS-10637 Marketplace Operations Supporting Statement</dc:title>
  <dc:creator>Benjamin Shirley</dc:creator>
  <cp:lastModifiedBy>Hill, Jamaa (CMS/OSORA)</cp:lastModifiedBy>
  <cp:revision>2</cp:revision>
  <dcterms:created xsi:type="dcterms:W3CDTF">2025-12-16T21:08:00Z</dcterms:created>
  <dcterms:modified xsi:type="dcterms:W3CDTF">2025-12-16T21:08:00Z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0x0101009E578BCD0A5C2A4BBD05EA6AD5FE1F46</vt:lpwstr>
  </property>
  <property fmtid="{D5CDD505-2E9C-101B-9397-08002B2CF9AE}" pid="3" name="Created">
    <vt:filetime>2018-03-28T00:00:00Z</vt:filetime>
  </property>
  <property fmtid="{D5CDD505-2E9C-101B-9397-08002B2CF9AE}" pid="4" name="Creator">
    <vt:lpwstr>Acrobat PDFMaker 15 for Word</vt:lpwstr>
  </property>
  <property fmtid="{D5CDD505-2E9C-101B-9397-08002B2CF9AE}" pid="5" name="LastSaved">
    <vt:filetime>2018-05-01T00:00:00Z</vt:filetime>
  </property>
  <property fmtid="{D5CDD505-2E9C-101B-9397-08002B2CF9AE}" pid="6" name="MediaServiceImageTags">
    <vt:lpwstr/>
  </property>
  <property fmtid="{D5CDD505-2E9C-101B-9397-08002B2CF9AE}" pid="7" name="Order">
    <vt:r8>100</vt:r8>
  </property>
  <property fmtid="{D5CDD505-2E9C-101B-9397-08002B2CF9AE}" pid="8" name="_dlc_DocId">
    <vt:lpwstr>QSXZK4DW25JC-1146626974-4016</vt:lpwstr>
  </property>
  <property fmtid="{D5CDD505-2E9C-101B-9397-08002B2CF9AE}" pid="9" name="_dlc_DocIdItemGuid">
    <vt:lpwstr>6551d651-7598-4973-ad24-0cb00c0c8617</vt:lpwstr>
  </property>
  <property fmtid="{D5CDD505-2E9C-101B-9397-08002B2CF9AE}" pid="10" name="_dlc_DocIdUrl">
    <vt:lpwstr>https://share.cms.gov/center/cciio/MPMG/_layouts/15/DocIdRedir.aspx?ID=QSXZK4DW25JC-1146626974-4016, QSXZK4DW25JC-1146626974-4016</vt:lpwstr>
  </property>
</Properties>
</file>