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Toc530890422"/>
    <w:p w:rsidR="007452C5" w:rsidRPr="008A7D39" w:rsidP="007452C5" w14:paraId="4B23AE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F40EC">
        <w:rPr>
          <w:b/>
          <w:bCs/>
          <w:sz w:val="32"/>
          <w:szCs w:val="32"/>
        </w:rPr>
        <w:fldChar w:fldCharType="begin"/>
      </w:r>
      <w:r w:rsidRPr="006F40EC">
        <w:rPr>
          <w:b/>
          <w:bCs/>
          <w:sz w:val="32"/>
          <w:szCs w:val="32"/>
        </w:rPr>
        <w:instrText xml:space="preserve"> SEQ CHAPTER \h \r 1</w:instrText>
      </w:r>
      <w:r w:rsidRPr="006F40EC">
        <w:rPr>
          <w:b/>
          <w:bCs/>
          <w:sz w:val="32"/>
          <w:szCs w:val="32"/>
        </w:rPr>
        <w:fldChar w:fldCharType="separate"/>
      </w:r>
      <w:r w:rsidRPr="006F40EC">
        <w:rPr>
          <w:b/>
          <w:bCs/>
          <w:sz w:val="32"/>
          <w:szCs w:val="32"/>
        </w:rPr>
        <w:fldChar w:fldCharType="end"/>
      </w:r>
      <w:r w:rsidRPr="008A7D39">
        <w:rPr>
          <w:b/>
          <w:bCs/>
          <w:sz w:val="32"/>
          <w:szCs w:val="32"/>
        </w:rPr>
        <w:t>Supporting Statement A</w:t>
      </w:r>
    </w:p>
    <w:p w:rsidR="006F40EC" w:rsidP="007452C5" w14:paraId="32DC69C1" w14:textId="4F14DB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United States West Coast Port Infrastructure Survey</w:t>
      </w:r>
    </w:p>
    <w:p w:rsidR="007452C5" w:rsidRPr="00CA32F1" w:rsidP="007452C5" w14:paraId="4CD1E0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A32F1">
        <w:rPr>
          <w:b/>
          <w:bCs/>
          <w:sz w:val="32"/>
          <w:szCs w:val="32"/>
        </w:rPr>
        <w:t xml:space="preserve">OMB Control Number </w:t>
      </w:r>
      <w:r w:rsidR="00FB65E0">
        <w:rPr>
          <w:b/>
          <w:bCs/>
          <w:sz w:val="32"/>
          <w:szCs w:val="32"/>
        </w:rPr>
        <w:t>1010-NEW</w:t>
      </w:r>
    </w:p>
    <w:p w:rsidR="007452C5" w:rsidRPr="00CA32F1" w:rsidP="007452C5" w14:paraId="2A9736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Bureau of Ocean Energy Management, Interior</w:t>
      </w:r>
    </w:p>
    <w:p w:rsidR="00FD0BEC" w:rsidRPr="00CA32F1" w:rsidP="008A0423" w14:paraId="06196DFB" w14:textId="77777777">
      <w:pPr>
        <w:jc w:val="center"/>
        <w:rPr>
          <w:b/>
          <w:sz w:val="32"/>
          <w:szCs w:val="32"/>
        </w:rPr>
      </w:pPr>
    </w:p>
    <w:p w:rsidR="007452C5" w:rsidRPr="00CA32F1" w:rsidP="007452C5" w14:paraId="189CF5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rPr>
          <w:b/>
        </w:rPr>
        <w:t>Terms of Clearance:</w:t>
      </w:r>
      <w:r w:rsidRPr="00CA32F1">
        <w:t xml:space="preserve"> None.</w:t>
      </w:r>
    </w:p>
    <w:p w:rsidR="009D5721" w:rsidRPr="00CA32F1" w:rsidP="009D5721" w14:paraId="5885D581" w14:textId="77777777"/>
    <w:p w:rsidR="009D5721" w:rsidRPr="00CA32F1" w:rsidP="009D5721" w14:paraId="215C8C2F" w14:textId="77777777">
      <w:r w:rsidRPr="00CA32F1">
        <w:rPr>
          <w:b/>
        </w:rPr>
        <w:t>General Instructions</w:t>
      </w:r>
    </w:p>
    <w:p w:rsidR="009D5721" w:rsidRPr="00CA32F1" w:rsidP="009D5721" w14:paraId="767AA423" w14:textId="77777777"/>
    <w:p w:rsidR="007452C5" w:rsidRPr="00CA32F1" w:rsidP="007452C5" w14:paraId="59F7D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32F1">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OMB reserves the right to require the submission of additional information with respect to any request for approval.</w:t>
      </w:r>
    </w:p>
    <w:p w:rsidR="00FD0BEC" w:rsidRPr="00CA32F1" w:rsidP="009D5721" w14:paraId="1399F0BD" w14:textId="77777777"/>
    <w:p w:rsidR="009D5721" w:rsidRPr="00CA32F1" w:rsidP="009D5721" w14:paraId="13B5420D" w14:textId="77777777">
      <w:pPr>
        <w:rPr>
          <w:b/>
        </w:rPr>
      </w:pPr>
      <w:r w:rsidRPr="00CA32F1">
        <w:rPr>
          <w:b/>
        </w:rPr>
        <w:t>Specific Instructions</w:t>
      </w:r>
    </w:p>
    <w:p w:rsidR="009D5721" w:rsidRPr="00CA32F1" w:rsidP="009D5721" w14:paraId="2BB3B9D3" w14:textId="77777777"/>
    <w:p w:rsidR="007452C5" w:rsidRPr="00CA32F1" w:rsidP="009D5721" w14:paraId="28ECA9F9" w14:textId="77777777">
      <w:pPr>
        <w:rPr>
          <w:b/>
        </w:rPr>
      </w:pPr>
      <w:r w:rsidRPr="00CA32F1">
        <w:rPr>
          <w:b/>
        </w:rPr>
        <w:t>Justification</w:t>
      </w:r>
    </w:p>
    <w:p w:rsidR="00BF3194" w:rsidRPr="00CA32F1" w:rsidP="00BF3194" w14:paraId="1A417287" w14:textId="777D603F">
      <w:pPr>
        <w:pStyle w:val="Heading2"/>
        <w:numPr>
          <w:ilvl w:val="0"/>
          <w:numId w:val="3"/>
        </w:numPr>
        <w:rPr>
          <w:sz w:val="24"/>
        </w:rPr>
      </w:pPr>
      <w:bookmarkStart w:id="1" w:name="_Toc530890423"/>
      <w:bookmarkEnd w:id="0"/>
      <w:r w:rsidRPr="00CA32F1">
        <w:rPr>
          <w:sz w:val="24"/>
        </w:rPr>
        <w:t>Explain the circumstances that make the collection of information necessary. Identify any legal or administrative requirements that necessitate the collection.</w:t>
      </w:r>
    </w:p>
    <w:p w:rsidR="00BF3194" w:rsidRPr="00CA32F1" w:rsidP="00BF3194" w14:paraId="5BD359F1" w14:textId="77777777"/>
    <w:bookmarkEnd w:id="1"/>
    <w:p w:rsidR="00785C37" w:rsidP="006300F8" w14:paraId="24676585" w14:textId="547043BD">
      <w:pPr>
        <w:ind w:left="360"/>
      </w:pPr>
      <w:r w:rsidRPr="006300F8">
        <w:t>The Bureau of Ocean Energy Management (BOEM) proposes to gather information</w:t>
      </w:r>
      <w:r>
        <w:t xml:space="preserve"> through a survey</w:t>
      </w:r>
      <w:r w:rsidRPr="006300F8">
        <w:t xml:space="preserve"> about the use of </w:t>
      </w:r>
      <w:r>
        <w:t xml:space="preserve">U.S. </w:t>
      </w:r>
      <w:r w:rsidRPr="006300F8">
        <w:t>West Coast port infrastructure and how offshore energy activities may affect port-based industries, especially those related to commercial and recreational fishing. BOEM understands that there are potential conflicts between fishing and offshore energy activities on the Outer Continental Shelf (OCS</w:t>
      </w:r>
      <w:r w:rsidR="00937B91">
        <w:t>)</w:t>
      </w:r>
      <w:r w:rsidRPr="006300F8">
        <w:t xml:space="preserve">. BOEM seeks to establish connectivity between fishing and the greater community of fishers to obtain baseline data and help guide and manage these activities along the U.S. West Coast. </w:t>
      </w:r>
    </w:p>
    <w:p w:rsidR="00785C37" w:rsidP="006300F8" w14:paraId="74BD6AF3" w14:textId="77777777">
      <w:pPr>
        <w:ind w:left="360"/>
      </w:pPr>
    </w:p>
    <w:p w:rsidR="00937B91" w:rsidP="006300F8" w14:paraId="399682CE" w14:textId="6A75724B">
      <w:pPr>
        <w:ind w:left="360"/>
      </w:pPr>
      <w:r w:rsidRPr="006300F8">
        <w:t>BOEM is lacking understanding about potential effects to both Trib</w:t>
      </w:r>
      <w:r w:rsidR="00785C37">
        <w:t>al communities</w:t>
      </w:r>
      <w:r w:rsidRPr="006300F8">
        <w:t xml:space="preserve"> and the fishing industry. This stakeholder survey will document existing port infrastructure, services, and their uses so future activities related to offshore energy activities can avoid, minimize, or offset potential conflicts and enhance beneficial opportunities among port-based industries. </w:t>
      </w:r>
    </w:p>
    <w:p w:rsidR="00937B91" w:rsidP="006300F8" w14:paraId="0223401E" w14:textId="77777777">
      <w:pPr>
        <w:ind w:left="360"/>
      </w:pPr>
    </w:p>
    <w:p w:rsidR="00D652DD" w:rsidP="004A48BC" w14:paraId="073BACCC" w14:textId="28765F73">
      <w:pPr>
        <w:ind w:left="360"/>
        <w:rPr>
          <w:lang w:val="en-CA"/>
        </w:rPr>
      </w:pPr>
      <w:r w:rsidRPr="006300F8">
        <w:t>The insights gained from this feedback are critical for BOEM's planning, environmental reviews, Coastal Zone Management Act (CZMA) determinations, local harbor planning, and inter-industry negotiations.</w:t>
      </w:r>
      <w:r w:rsidR="00937B91">
        <w:t xml:space="preserve"> </w:t>
      </w:r>
      <w:r w:rsidR="00785C37">
        <w:rPr>
          <w:lang w:val="en-CA"/>
        </w:rPr>
        <w:t>BOEM</w:t>
      </w:r>
      <w:r w:rsidRPr="49D3E332" w:rsidR="00DF6FC0">
        <w:rPr>
          <w:lang w:val="en-CA"/>
        </w:rPr>
        <w:t xml:space="preserve"> is requesting approval for a new information collection to </w:t>
      </w:r>
      <w:r w:rsidRPr="49D3E332" w:rsidR="00DA6F95">
        <w:rPr>
          <w:lang w:val="en-CA"/>
        </w:rPr>
        <w:t>gather information</w:t>
      </w:r>
      <w:r w:rsidRPr="49D3E332" w:rsidR="3E58AEE5">
        <w:rPr>
          <w:lang w:val="en-CA"/>
        </w:rPr>
        <w:t xml:space="preserve"> from stakeholders</w:t>
      </w:r>
      <w:r w:rsidR="00785C37">
        <w:rPr>
          <w:lang w:val="en-CA"/>
        </w:rPr>
        <w:t>.</w:t>
      </w:r>
    </w:p>
    <w:p w:rsidR="00D652DD" w:rsidP="00DF6FC0" w14:paraId="73B642C5" w14:textId="77777777">
      <w:pPr>
        <w:pStyle w:val="cond"/>
        <w:spacing w:after="0"/>
        <w:ind w:left="360"/>
        <w:rPr>
          <w:rFonts w:ascii="Times New Roman" w:hAnsi="Times New Roman"/>
          <w:lang w:val="en-CA"/>
        </w:rPr>
      </w:pPr>
    </w:p>
    <w:p w:rsidR="007A7B02" w:rsidP="000058D2" w14:paraId="09EA892D" w14:textId="3E5C2127">
      <w:pPr>
        <w:pStyle w:val="cond"/>
        <w:spacing w:after="0"/>
        <w:ind w:left="360"/>
        <w:rPr>
          <w:rFonts w:ascii="Times New Roman" w:hAnsi="Times New Roman"/>
          <w:lang w:val="en-CA"/>
        </w:rPr>
      </w:pPr>
      <w:r>
        <w:rPr>
          <w:rFonts w:ascii="Times New Roman" w:hAnsi="Times New Roman"/>
          <w:lang w:val="en-CA"/>
        </w:rPr>
        <w:t>Currently, BOEM has l</w:t>
      </w:r>
      <w:r>
        <w:rPr>
          <w:rFonts w:ascii="Times New Roman" w:hAnsi="Times New Roman"/>
          <w:lang w:val="en-CA"/>
        </w:rPr>
        <w:t xml:space="preserve">imited baseline information concerning port infrastructure that supports existing users, even though such infrastructure may be dramatically affected by changes associated with offshore wind development or oil and gas platform decommissioning activities. </w:t>
      </w:r>
    </w:p>
    <w:p w:rsidR="007A7B02" w:rsidP="000058D2" w14:paraId="7E216DBB" w14:textId="77777777">
      <w:pPr>
        <w:pStyle w:val="cond"/>
        <w:spacing w:after="0"/>
        <w:ind w:left="360"/>
        <w:rPr>
          <w:rFonts w:ascii="Times New Roman" w:hAnsi="Times New Roman"/>
          <w:lang w:val="en-CA"/>
        </w:rPr>
      </w:pPr>
    </w:p>
    <w:p w:rsidR="000058D2" w:rsidP="000058D2" w14:paraId="562E5588" w14:textId="5F472CD2">
      <w:pPr>
        <w:pStyle w:val="cond"/>
        <w:spacing w:after="0"/>
        <w:ind w:left="360"/>
        <w:rPr>
          <w:rFonts w:ascii="Times New Roman" w:hAnsi="Times New Roman"/>
          <w:lang w:val="en-CA"/>
        </w:rPr>
      </w:pPr>
      <w:r w:rsidRPr="49D3E332">
        <w:rPr>
          <w:rFonts w:ascii="Times New Roman" w:hAnsi="Times New Roman"/>
          <w:lang w:val="en-CA"/>
        </w:rPr>
        <w:t>The Outer Continental Shelf Lands Act</w:t>
      </w:r>
      <w:r w:rsidRPr="49D3E332" w:rsidR="009967A6">
        <w:rPr>
          <w:rFonts w:ascii="Times New Roman" w:hAnsi="Times New Roman"/>
          <w:lang w:val="en-CA"/>
        </w:rPr>
        <w:t xml:space="preserve"> (OCSLA)</w:t>
      </w:r>
      <w:r w:rsidRPr="49D3E332">
        <w:rPr>
          <w:rFonts w:ascii="Times New Roman" w:hAnsi="Times New Roman"/>
          <w:lang w:val="en-CA"/>
        </w:rPr>
        <w:t xml:space="preserve"> charges</w:t>
      </w:r>
      <w:r w:rsidRPr="49D3E332" w:rsidR="00B63BA2">
        <w:rPr>
          <w:rFonts w:ascii="Times New Roman" w:hAnsi="Times New Roman"/>
          <w:lang w:val="en-CA"/>
        </w:rPr>
        <w:t xml:space="preserve"> </w:t>
      </w:r>
      <w:r w:rsidRPr="49D3E332">
        <w:rPr>
          <w:rFonts w:ascii="Times New Roman" w:hAnsi="Times New Roman"/>
          <w:lang w:val="en-CA"/>
        </w:rPr>
        <w:t xml:space="preserve">BOEM with managing the energy and mineral resources of the OCS for protection of marine and coastal environments that support human lives and society. </w:t>
      </w:r>
    </w:p>
    <w:p w:rsidR="009967A6" w:rsidP="000058D2" w14:paraId="4A941A39" w14:textId="77777777">
      <w:pPr>
        <w:pStyle w:val="cond"/>
        <w:spacing w:after="0"/>
        <w:ind w:left="360"/>
        <w:rPr>
          <w:rFonts w:ascii="Times New Roman" w:hAnsi="Times New Roman"/>
          <w:lang w:val="en-CA"/>
        </w:rPr>
      </w:pPr>
    </w:p>
    <w:p w:rsidR="009967A6" w:rsidP="009967A6" w14:paraId="2EBED20D" w14:textId="447E0143">
      <w:pPr>
        <w:ind w:left="360"/>
        <w:rPr>
          <w:lang w:val="en-CA"/>
        </w:rPr>
      </w:pPr>
      <w:r w:rsidRPr="49D3E332">
        <w:rPr>
          <w:lang w:val="en-CA"/>
        </w:rPr>
        <w:t>Section 20 of OCSLA (43 U.S.C. 1346) requires the Secretary of the Interior to study any area or region included in oil, gas, or other lease sale to gather information needed for assessment and management of impacts on the human, marine, and coastal environments of the OCS and the affected coastal areas.</w:t>
      </w:r>
      <w:r>
        <w:t xml:space="preserve"> Additionally, </w:t>
      </w:r>
      <w:r>
        <w:t>subsequent to</w:t>
      </w:r>
      <w:r>
        <w:t xml:space="preserve"> the leasing and developing on any OCS area, the Secretary may authorize further environmental studies to gather information that can be used for identifying significant changes and trends in the quality and productivity of such environments and for designing experiments to identify the causes of such changes. </w:t>
      </w:r>
    </w:p>
    <w:p w:rsidR="00111EEB" w:rsidP="009967A6" w14:paraId="0BEBCB90" w14:textId="77777777">
      <w:pPr>
        <w:ind w:left="360"/>
        <w:rPr>
          <w:lang w:val="en-CA"/>
        </w:rPr>
      </w:pPr>
    </w:p>
    <w:p w:rsidR="000058D2" w:rsidP="000058D2" w14:paraId="698D124A" w14:textId="2A8369E3">
      <w:pPr>
        <w:ind w:left="360"/>
        <w:rPr>
          <w:lang w:val="en-CA"/>
        </w:rPr>
      </w:pPr>
      <w:r>
        <w:t>The data gathered will be synthesized with other information to produce a final report as well as summary of port</w:t>
      </w:r>
      <w:r w:rsidR="00986B85">
        <w:t xml:space="preserve"> </w:t>
      </w:r>
      <w:r>
        <w:t>profiles that will inform BOEM</w:t>
      </w:r>
      <w:r w:rsidR="00986B85">
        <w:t xml:space="preserve"> </w:t>
      </w:r>
      <w:r>
        <w:t>planning and decision-making. The</w:t>
      </w:r>
      <w:r w:rsidR="00986B85">
        <w:t xml:space="preserve"> </w:t>
      </w:r>
      <w:r>
        <w:t>final report and port profiles will help</w:t>
      </w:r>
      <w:r w:rsidR="00986B85">
        <w:t xml:space="preserve"> </w:t>
      </w:r>
      <w:r>
        <w:t>ensure that future activities related to</w:t>
      </w:r>
      <w:r w:rsidR="00986B85">
        <w:t xml:space="preserve"> </w:t>
      </w:r>
      <w:r>
        <w:t>offshore energy can</w:t>
      </w:r>
      <w:r w:rsidR="00986B85">
        <w:t xml:space="preserve"> a</w:t>
      </w:r>
      <w:r>
        <w:t>void, minimize, or</w:t>
      </w:r>
      <w:r w:rsidR="00986B85">
        <w:t xml:space="preserve"> </w:t>
      </w:r>
      <w:r>
        <w:t>offset potential space-use conflicts and</w:t>
      </w:r>
      <w:r w:rsidR="00986B85">
        <w:t xml:space="preserve"> </w:t>
      </w:r>
      <w:r>
        <w:t>enhance space-use synergies among</w:t>
      </w:r>
      <w:r w:rsidR="00986B85">
        <w:t xml:space="preserve"> </w:t>
      </w:r>
      <w:r>
        <w:t>port-based industries (especially</w:t>
      </w:r>
      <w:r w:rsidR="00986B85">
        <w:t xml:space="preserve"> </w:t>
      </w:r>
      <w:r>
        <w:t>commercial fishing) when interacting</w:t>
      </w:r>
      <w:r w:rsidR="00986B85">
        <w:t xml:space="preserve"> </w:t>
      </w:r>
      <w:r>
        <w:t>with the offshore energy industry.</w:t>
      </w:r>
    </w:p>
    <w:p w:rsidR="003724E4" w:rsidP="000058D2" w14:paraId="0180944E" w14:textId="77777777">
      <w:pPr>
        <w:ind w:left="360"/>
        <w:rPr>
          <w:lang w:val="en-CA"/>
        </w:rPr>
      </w:pPr>
    </w:p>
    <w:p w:rsidR="00BF3194" w:rsidRPr="00CA32F1" w:rsidP="00BF3194" w14:paraId="2C53FEB0"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A32F1">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C3A1F" w:rsidP="00A46405" w14:paraId="2D5E7AE8" w14:textId="77777777">
      <w:pPr>
        <w:ind w:left="360"/>
      </w:pPr>
    </w:p>
    <w:p w:rsidR="00FF78D9" w:rsidP="00CF12E9" w14:paraId="435A8B55" w14:textId="2DAD571E">
      <w:pPr>
        <w:ind w:left="360"/>
      </w:pPr>
      <w:r>
        <w:t>BOEM seeks approval for a set of standardized questions for stakeholders that w</w:t>
      </w:r>
      <w:r w:rsidR="479D663D">
        <w:t>ould</w:t>
      </w:r>
      <w:r>
        <w:t xml:space="preserve"> document </w:t>
      </w:r>
      <w:r w:rsidR="00FE73E3">
        <w:t xml:space="preserve">existing port infrastructure, services, and their uses so future activities related to offshore energy, including oil and gas platforms, can avoid, minimize, or offset potential conflicts and enhance beneficial opportunities among port-based </w:t>
      </w:r>
      <w:r w:rsidR="53AA92EE">
        <w:t xml:space="preserve">industries. The insights gained from this feedback are critical for BOEM’s planning, environmental reviews, </w:t>
      </w:r>
      <w:r w:rsidR="1EB30AC2">
        <w:t>C</w:t>
      </w:r>
      <w:r w:rsidR="00937B91">
        <w:t>ZMA</w:t>
      </w:r>
      <w:r w:rsidR="1EB30AC2">
        <w:t xml:space="preserve"> determinations, local harbor planning, and inter-industry negotiations.</w:t>
      </w:r>
    </w:p>
    <w:p w:rsidR="00FE73E3" w:rsidP="00CF12E9" w14:paraId="1FCA366B" w14:textId="77777777">
      <w:pPr>
        <w:ind w:left="360"/>
      </w:pPr>
    </w:p>
    <w:p w:rsidR="06EDC822" w:rsidP="49D3E332" w14:paraId="18210A0B" w14:textId="078255B6">
      <w:pPr>
        <w:ind w:left="360"/>
      </w:pPr>
      <w:r>
        <w:t xml:space="preserve">The survey </w:t>
      </w:r>
      <w:r w:rsidR="6AA90B27">
        <w:t xml:space="preserve">would </w:t>
      </w:r>
      <w:r>
        <w:t xml:space="preserve">consists of approximately 30 questions asking about topics that include </w:t>
      </w:r>
      <w:r w:rsidR="49E8BD0E">
        <w:t>availability of port infrastructure and fishery-related facilities; historical and projected facility use; economic and cultural benefits of port industries and presence; level of concern about potential impacts of offshore energy, including decommissioning of oil and gas platforms, on port users; the importance of port infrastructure to local Tribes; and further comments and suggestions. The survey would be available in an online format or in a printed format that would be distributed to potential respondents. Respondents will also have the option to respond to the survey through an onsite interview. Interviews will be for the purpose of answering and clarifying the survey questions only; no new questions will be introduced.</w:t>
      </w:r>
    </w:p>
    <w:p w:rsidR="00DF6FC0" w:rsidP="00CF12E9" w14:paraId="24BAFF81" w14:textId="77777777">
      <w:pPr>
        <w:ind w:left="360"/>
      </w:pPr>
    </w:p>
    <w:p w:rsidR="49A82EC4" w:rsidP="49D3E332" w14:paraId="59B4CE1C" w14:textId="6134902B">
      <w:pPr>
        <w:spacing w:line="259" w:lineRule="auto"/>
        <w:ind w:left="360"/>
      </w:pPr>
      <w:r>
        <w:t>Respondents may include, but are not limited to:</w:t>
      </w:r>
    </w:p>
    <w:p w:rsidR="00DF6FC0" w:rsidP="00CF12E9" w14:paraId="674220DB" w14:textId="479C2834">
      <w:pPr>
        <w:ind w:left="360"/>
      </w:pPr>
      <w:r>
        <w:t>•</w:t>
      </w:r>
      <w:r w:rsidR="1151CE50">
        <w:t xml:space="preserve"> C</w:t>
      </w:r>
      <w:r>
        <w:t xml:space="preserve">ommercial and recreational fishers and </w:t>
      </w:r>
      <w:r w:rsidR="006300F8">
        <w:t>people</w:t>
      </w:r>
      <w:r>
        <w:t xml:space="preserve"> knowledgeable about </w:t>
      </w:r>
      <w:r w:rsidR="00B144D3">
        <w:t>W</w:t>
      </w:r>
      <w:r>
        <w:t xml:space="preserve">est </w:t>
      </w:r>
      <w:r w:rsidR="00B144D3">
        <w:t>C</w:t>
      </w:r>
      <w:r>
        <w:t xml:space="preserve">oast commercial fisheries using methods (e.g., guided discussions, workshops) appropriate to the source. </w:t>
      </w:r>
    </w:p>
    <w:p w:rsidR="00DF6FC0" w:rsidP="00CF12E9" w14:paraId="0AE4A896" w14:textId="225D2E20">
      <w:pPr>
        <w:ind w:left="360"/>
      </w:pPr>
      <w:r>
        <w:t xml:space="preserve">•  </w:t>
      </w:r>
      <w:r w:rsidR="755A01D5">
        <w:t>O</w:t>
      </w:r>
      <w:r>
        <w:t>ther port industries (e.g., aquaculture) using methods (e.g., guided discussions, workshops) appropriate to the source.</w:t>
      </w:r>
    </w:p>
    <w:p w:rsidR="007A7B02" w:rsidP="00CF12E9" w14:paraId="39D30317" w14:textId="6EF367DE">
      <w:pPr>
        <w:ind w:left="360"/>
      </w:pPr>
      <w:r w:rsidRPr="007A7B02">
        <w:t xml:space="preserve"> </w:t>
      </w:r>
    </w:p>
    <w:p w:rsidR="007A7B02" w:rsidP="49D3E332" w14:paraId="04F6F814" w14:textId="77777777">
      <w:pPr>
        <w:ind w:left="360"/>
        <w:rPr>
          <w:i/>
          <w:iCs/>
        </w:rPr>
      </w:pPr>
      <w:r w:rsidRPr="49D3E332">
        <w:rPr>
          <w:i/>
          <w:iCs/>
        </w:rPr>
        <w:t xml:space="preserve">Specific Research Question(s): For port facilities that may be affected by offshore energy leases: </w:t>
      </w:r>
    </w:p>
    <w:p w:rsidR="007A7B02" w:rsidP="49D3E332" w14:paraId="06A2FFB2" w14:textId="77777777">
      <w:pPr>
        <w:ind w:left="360"/>
        <w:rPr>
          <w:i/>
          <w:iCs/>
        </w:rPr>
      </w:pPr>
      <w:r w:rsidRPr="49D3E332">
        <w:rPr>
          <w:i/>
          <w:iCs/>
        </w:rPr>
        <w:t xml:space="preserve">1. By industry, gear, and fishery, what existing port infrastructure or services are a) used, b) critically used, and c) desired? Are there seasonal patterns of use? What future infrastructure services may be needed because of climate change? </w:t>
      </w:r>
    </w:p>
    <w:p w:rsidR="007A7B02" w:rsidP="49D3E332" w14:paraId="202CBB25" w14:textId="77777777">
      <w:pPr>
        <w:ind w:left="360"/>
        <w:rPr>
          <w:i/>
          <w:iCs/>
        </w:rPr>
      </w:pPr>
      <w:r w:rsidRPr="49D3E332">
        <w:rPr>
          <w:i/>
          <w:iCs/>
        </w:rPr>
        <w:t xml:space="preserve">2. Given local space constraints, are there facilities or services that could be obtained or improved during future port upgrades that would benefit existing industries (including fisheries) and/or enable new ones? Are there any facilities currently being subsidized that could benefit from additional use? </w:t>
      </w:r>
    </w:p>
    <w:p w:rsidR="007A7B02" w:rsidP="49D3E332" w14:paraId="74FB98FD" w14:textId="77777777">
      <w:pPr>
        <w:ind w:left="360"/>
        <w:rPr>
          <w:i/>
          <w:iCs/>
        </w:rPr>
      </w:pPr>
      <w:r w:rsidRPr="49D3E332">
        <w:rPr>
          <w:i/>
          <w:iCs/>
        </w:rPr>
        <w:t xml:space="preserve">3. Are there specific port infrastructure or services critical to Tribal needs? </w:t>
      </w:r>
    </w:p>
    <w:p w:rsidR="00F86BB3" w:rsidP="49D3E332" w14:paraId="715F0AD2" w14:textId="6F143329">
      <w:pPr>
        <w:ind w:left="360"/>
        <w:rPr>
          <w:i/>
          <w:iCs/>
        </w:rPr>
      </w:pPr>
      <w:r w:rsidRPr="49D3E332">
        <w:rPr>
          <w:i/>
          <w:iCs/>
        </w:rPr>
        <w:t>4. Would expected infrastructure changes disproportionately affect (benefit/harm) stakeholders?</w:t>
      </w:r>
    </w:p>
    <w:p w:rsidR="007A7B02" w:rsidP="00CF12E9" w14:paraId="47FE48E8" w14:textId="77777777">
      <w:pPr>
        <w:ind w:left="360"/>
      </w:pPr>
    </w:p>
    <w:p w:rsidR="006A0AC4" w:rsidRPr="006A0AC4" w:rsidP="006A0AC4" w14:paraId="72E41B01" w14:textId="6E682E31">
      <w:pPr>
        <w:ind w:left="360"/>
      </w:pPr>
      <w:r w:rsidRPr="006A0AC4">
        <w:t xml:space="preserve">BOEM will use the collected information to assess the adequacy of infrastructure in selected West Coast ports; current usage of that infrastructure, especially by commercial and recreational fishers; and potential changes in infrastructure use. This information will help BOEM with planning future offshore energy activities while mitigating or avoiding adverse effects to port and fishing operations. Another goal of </w:t>
      </w:r>
      <w:r w:rsidRPr="006A0AC4" w:rsidR="006300F8">
        <w:t>data</w:t>
      </w:r>
      <w:r w:rsidRPr="006A0AC4">
        <w:t xml:space="preserve"> collection is to establish linkages and interrelationships between the ports, as activities that affect one port may have a ripple effect to others. Finally, the information will be used to compile port profiles, which will provide information on specific ports to be used by BOEM for purposes such as harbor planning and CZMA determinations. </w:t>
      </w:r>
    </w:p>
    <w:p w:rsidR="006A0AC4" w:rsidRPr="006A0AC4" w:rsidP="006A0AC4" w14:paraId="33ECDE57" w14:textId="77777777">
      <w:pPr>
        <w:ind w:left="360"/>
      </w:pPr>
    </w:p>
    <w:p w:rsidR="006A0AC4" w:rsidRPr="006A0AC4" w:rsidP="006A0AC4" w14:paraId="211A83E7" w14:textId="77777777">
      <w:pPr>
        <w:ind w:left="360"/>
      </w:pPr>
      <w:r w:rsidRPr="006A0AC4">
        <w:t xml:space="preserve">Justification of individual questions follows below.  </w:t>
      </w:r>
    </w:p>
    <w:p w:rsidR="006A0AC4" w:rsidP="006A0AC4" w14:paraId="1142F5A9" w14:textId="77777777">
      <w:pPr>
        <w:ind w:left="360"/>
        <w:rPr>
          <w:b/>
        </w:rPr>
      </w:pPr>
    </w:p>
    <w:p w:rsidR="00937B91" w:rsidRPr="006A0AC4" w:rsidP="00937B91" w14:paraId="0BF6E1CE" w14:textId="77777777">
      <w:pPr>
        <w:ind w:left="360"/>
      </w:pPr>
      <w:r w:rsidRPr="79A582E0">
        <w:t xml:space="preserve">(Q 1–3) Contact information would assist researchers in conducting follow-up on the survey and in some cases confirm that the survey reached the intended recipient. Survey results will be anonymized, and personally identifiable information will be stored in a separate file from other survey information. </w:t>
      </w:r>
    </w:p>
    <w:p w:rsidR="00937B91" w:rsidRPr="006A0AC4" w:rsidP="006A0AC4" w14:paraId="734FD124" w14:textId="77777777">
      <w:pPr>
        <w:ind w:left="360"/>
        <w:rPr>
          <w:b/>
        </w:rPr>
      </w:pPr>
    </w:p>
    <w:p w:rsidR="006A0AC4" w:rsidRPr="006A0AC4" w:rsidP="006A0AC4" w14:paraId="50D70579" w14:textId="77777777">
      <w:pPr>
        <w:numPr>
          <w:ilvl w:val="0"/>
          <w:numId w:val="20"/>
        </w:numPr>
        <w:tabs>
          <w:tab w:val="left" w:pos="720"/>
        </w:tabs>
        <w:rPr>
          <w:b/>
          <w:bCs/>
        </w:rPr>
      </w:pPr>
      <w:r w:rsidRPr="006A0AC4">
        <w:rPr>
          <w:b/>
          <w:bCs/>
          <w:lang w:val="en"/>
        </w:rPr>
        <w:t xml:space="preserve">Name: </w:t>
      </w:r>
    </w:p>
    <w:p w:rsidR="006A0AC4" w:rsidRPr="006A0AC4" w:rsidP="006A0AC4" w14:paraId="63F9CBD2" w14:textId="77777777">
      <w:pPr>
        <w:numPr>
          <w:ilvl w:val="0"/>
          <w:numId w:val="22"/>
        </w:numPr>
        <w:tabs>
          <w:tab w:val="left" w:pos="720"/>
        </w:tabs>
        <w:rPr>
          <w:b/>
        </w:rPr>
      </w:pPr>
      <w:r w:rsidRPr="006A0AC4">
        <w:rPr>
          <w:b/>
          <w:bCs/>
          <w:lang w:val="en"/>
        </w:rPr>
        <w:t xml:space="preserve">Email: </w:t>
      </w:r>
    </w:p>
    <w:p w:rsidR="006A0AC4" w:rsidRPr="006A0AC4" w:rsidP="006A0AC4" w14:paraId="010D2177" w14:textId="77777777">
      <w:pPr>
        <w:numPr>
          <w:ilvl w:val="0"/>
          <w:numId w:val="24"/>
        </w:numPr>
        <w:tabs>
          <w:tab w:val="left" w:pos="720"/>
        </w:tabs>
        <w:rPr>
          <w:b/>
        </w:rPr>
      </w:pPr>
      <w:r w:rsidRPr="006A0AC4">
        <w:rPr>
          <w:b/>
          <w:bCs/>
          <w:lang w:val="en"/>
        </w:rPr>
        <w:t>Phone number:</w:t>
      </w:r>
    </w:p>
    <w:p w:rsidR="006A0AC4" w:rsidP="006A0AC4" w14:paraId="235188F4" w14:textId="77777777">
      <w:pPr>
        <w:ind w:left="360"/>
        <w:rPr>
          <w:b/>
        </w:rPr>
      </w:pPr>
    </w:p>
    <w:p w:rsidR="00937B91" w:rsidRPr="006A0AC4" w:rsidP="00937B91" w14:paraId="2923F8AD" w14:textId="77777777">
      <w:pPr>
        <w:ind w:left="360"/>
        <w:rPr>
          <w:bCs/>
        </w:rPr>
      </w:pPr>
      <w:r w:rsidRPr="006A0AC4">
        <w:rPr>
          <w:bCs/>
        </w:rPr>
        <w:t>(Q 4</w:t>
      </w:r>
      <w:r w:rsidRPr="006A0AC4">
        <w:rPr>
          <w:lang w:val="en"/>
        </w:rPr>
        <w:t xml:space="preserve">–5) </w:t>
      </w:r>
      <w:r w:rsidRPr="006A0AC4">
        <w:rPr>
          <w:bCs/>
        </w:rPr>
        <w:t xml:space="preserve">Questions 4 and 5 establish the role of the respondent and their involvement with the port. This gives context to their answers and provides additional information about the respondent universe. </w:t>
      </w:r>
    </w:p>
    <w:p w:rsidR="00937B91" w:rsidRPr="006A0AC4" w:rsidP="006A0AC4" w14:paraId="246FB1BB" w14:textId="77777777">
      <w:pPr>
        <w:ind w:left="360"/>
        <w:rPr>
          <w:b/>
        </w:rPr>
      </w:pPr>
    </w:p>
    <w:p w:rsidR="006A0AC4" w:rsidP="006A0AC4" w14:paraId="09FFB111" w14:textId="77777777">
      <w:pPr>
        <w:numPr>
          <w:ilvl w:val="0"/>
          <w:numId w:val="24"/>
        </w:numPr>
        <w:tabs>
          <w:tab w:val="left" w:pos="720"/>
        </w:tabs>
        <w:rPr>
          <w:b/>
        </w:rPr>
      </w:pPr>
      <w:r w:rsidRPr="006A0AC4">
        <w:rPr>
          <w:b/>
        </w:rPr>
        <w:t xml:space="preserve">How would you describe yourself in relation to the port you are addressing? </w:t>
      </w:r>
    </w:p>
    <w:p w:rsidR="00937B91" w:rsidP="000E227D" w14:paraId="0492E4B5" w14:textId="77777777">
      <w:pPr>
        <w:rPr>
          <w:b/>
        </w:rPr>
      </w:pPr>
    </w:p>
    <w:p w:rsidR="00937B91" w:rsidP="000E227D" w14:paraId="532D9448" w14:textId="4FF13BB9">
      <w:pPr>
        <w:pStyle w:val="ListParagraph"/>
        <w:rPr>
          <w:b/>
        </w:rPr>
      </w:pPr>
      <w:r>
        <w:rPr>
          <w:rFonts w:ascii="Symbol" w:eastAsia="Symbol" w:hAnsi="Symbol" w:cs="Symbol"/>
          <w:b/>
        </w:rPr>
        <w:t>ð</w:t>
      </w:r>
      <w:r>
        <w:rPr>
          <w:b/>
        </w:rPr>
        <w:t xml:space="preserve"> Manager</w:t>
      </w:r>
    </w:p>
    <w:p w:rsidR="00937B91" w:rsidP="000E227D" w14:paraId="2928ADC2" w14:textId="713BED4D">
      <w:pPr>
        <w:pStyle w:val="ListParagraph"/>
        <w:rPr>
          <w:b/>
        </w:rPr>
      </w:pPr>
      <w:r>
        <w:rPr>
          <w:rFonts w:ascii="Symbol" w:eastAsia="Symbol" w:hAnsi="Symbol" w:cs="Symbol"/>
          <w:b/>
        </w:rPr>
        <w:t>ð</w:t>
      </w:r>
      <w:r>
        <w:rPr>
          <w:b/>
        </w:rPr>
        <w:t xml:space="preserve"> Regulator</w:t>
      </w:r>
    </w:p>
    <w:p w:rsidR="00937B91" w:rsidP="000E227D" w14:paraId="40B0BD14" w14:textId="15D20833">
      <w:pPr>
        <w:pStyle w:val="ListParagraph"/>
        <w:rPr>
          <w:b/>
        </w:rPr>
      </w:pPr>
      <w:r>
        <w:rPr>
          <w:rFonts w:ascii="Symbol" w:eastAsia="Symbol" w:hAnsi="Symbol" w:cs="Symbol"/>
          <w:b/>
        </w:rPr>
        <w:t>ð</w:t>
      </w:r>
      <w:r>
        <w:rPr>
          <w:b/>
        </w:rPr>
        <w:t xml:space="preserve"> User</w:t>
      </w:r>
    </w:p>
    <w:p w:rsidR="00937B91" w:rsidP="000E227D" w14:paraId="6015C467" w14:textId="5D8B7AFF">
      <w:pPr>
        <w:pStyle w:val="ListParagraph"/>
        <w:rPr>
          <w:b/>
        </w:rPr>
      </w:pPr>
      <w:r>
        <w:rPr>
          <w:rFonts w:ascii="Symbol" w:eastAsia="Symbol" w:hAnsi="Symbol" w:cs="Symbol"/>
          <w:b/>
        </w:rPr>
        <w:t>ð</w:t>
      </w:r>
      <w:r>
        <w:rPr>
          <w:b/>
        </w:rPr>
        <w:t xml:space="preserve"> Interested Party</w:t>
      </w:r>
    </w:p>
    <w:p w:rsidR="00937B91" w:rsidP="000E227D" w14:paraId="3B66DCD1" w14:textId="73EBEACF">
      <w:pPr>
        <w:pStyle w:val="ListParagraph"/>
        <w:rPr>
          <w:b/>
        </w:rPr>
      </w:pPr>
      <w:r>
        <w:rPr>
          <w:rFonts w:ascii="Symbol" w:eastAsia="Symbol" w:hAnsi="Symbol" w:cs="Symbol"/>
          <w:b/>
        </w:rPr>
        <w:t>ð</w:t>
      </w:r>
      <w:r>
        <w:rPr>
          <w:b/>
        </w:rPr>
        <w:t xml:space="preserve"> Other (write in)</w:t>
      </w:r>
    </w:p>
    <w:p w:rsidR="00937B91" w:rsidRPr="004A48BC" w:rsidP="004A48BC" w14:paraId="32745BC4" w14:textId="77777777">
      <w:pPr>
        <w:pStyle w:val="ListParagraph"/>
        <w:rPr>
          <w:b/>
        </w:rPr>
      </w:pPr>
    </w:p>
    <w:p w:rsidR="006A0AC4" w:rsidP="006A0AC4" w14:paraId="612295A3" w14:textId="77777777">
      <w:pPr>
        <w:numPr>
          <w:ilvl w:val="0"/>
          <w:numId w:val="24"/>
        </w:numPr>
        <w:tabs>
          <w:tab w:val="left" w:pos="720"/>
        </w:tabs>
        <w:rPr>
          <w:b/>
        </w:rPr>
      </w:pPr>
      <w:r w:rsidRPr="006A0AC4">
        <w:rPr>
          <w:b/>
        </w:rPr>
        <w:t xml:space="preserve">How long have you been involved with the Port in your current or past roles? </w:t>
      </w:r>
    </w:p>
    <w:p w:rsidR="00937B91" w:rsidP="000E227D" w14:paraId="0721C7FA" w14:textId="77777777">
      <w:pPr>
        <w:rPr>
          <w:b/>
        </w:rPr>
      </w:pPr>
    </w:p>
    <w:p w:rsidR="00937B91" w:rsidP="000E227D" w14:paraId="33A5E1FE" w14:textId="6851F4BF">
      <w:pPr>
        <w:pStyle w:val="ListParagraph"/>
        <w:numPr>
          <w:ilvl w:val="0"/>
          <w:numId w:val="26"/>
        </w:numPr>
        <w:rPr>
          <w:b/>
        </w:rPr>
      </w:pPr>
      <w:r>
        <w:rPr>
          <w:b/>
        </w:rPr>
        <w:t xml:space="preserve">As a </w:t>
      </w:r>
      <w:r w:rsidR="009D6272">
        <w:rPr>
          <w:b/>
        </w:rPr>
        <w:t xml:space="preserve">manager, </w:t>
      </w:r>
      <w:r>
        <w:rPr>
          <w:b/>
        </w:rPr>
        <w:t xml:space="preserve">__________ </w:t>
      </w:r>
    </w:p>
    <w:p w:rsidR="00937B91" w:rsidP="000E227D" w14:paraId="4B60FED9" w14:textId="107708D5">
      <w:pPr>
        <w:pStyle w:val="ListParagraph"/>
        <w:numPr>
          <w:ilvl w:val="0"/>
          <w:numId w:val="26"/>
        </w:numPr>
        <w:rPr>
          <w:b/>
        </w:rPr>
      </w:pPr>
      <w:r>
        <w:rPr>
          <w:b/>
        </w:rPr>
        <w:t>As a regulatory, ____________</w:t>
      </w:r>
    </w:p>
    <w:p w:rsidR="00937B91" w:rsidP="000E227D" w14:paraId="4252C94F" w14:textId="19DA1267">
      <w:pPr>
        <w:pStyle w:val="ListParagraph"/>
        <w:numPr>
          <w:ilvl w:val="0"/>
          <w:numId w:val="26"/>
        </w:numPr>
        <w:rPr>
          <w:b/>
        </w:rPr>
      </w:pPr>
      <w:r>
        <w:rPr>
          <w:b/>
        </w:rPr>
        <w:t>As a user, ____________</w:t>
      </w:r>
    </w:p>
    <w:p w:rsidR="00937B91" w:rsidP="000E227D" w14:paraId="46024EC6" w14:textId="53801253">
      <w:pPr>
        <w:pStyle w:val="ListParagraph"/>
        <w:numPr>
          <w:ilvl w:val="0"/>
          <w:numId w:val="26"/>
        </w:numPr>
        <w:rPr>
          <w:b/>
        </w:rPr>
      </w:pPr>
      <w:r>
        <w:rPr>
          <w:b/>
        </w:rPr>
        <w:t>As an interested party, _________</w:t>
      </w:r>
    </w:p>
    <w:p w:rsidR="00937B91" w:rsidRPr="004A48BC" w:rsidP="004A48BC" w14:paraId="5F206DD4" w14:textId="54F020A8">
      <w:pPr>
        <w:pStyle w:val="ListParagraph"/>
        <w:numPr>
          <w:ilvl w:val="0"/>
          <w:numId w:val="26"/>
        </w:numPr>
        <w:rPr>
          <w:b/>
        </w:rPr>
      </w:pPr>
      <w:r>
        <w:rPr>
          <w:b/>
        </w:rPr>
        <w:t>As an other (write in), __________________</w:t>
      </w:r>
    </w:p>
    <w:p w:rsidR="000E227D" w:rsidP="006A0AC4" w14:paraId="1CC44E84" w14:textId="77777777">
      <w:pPr>
        <w:ind w:left="360"/>
        <w:rPr>
          <w:b/>
        </w:rPr>
      </w:pPr>
    </w:p>
    <w:p w:rsidR="000E227D" w:rsidRPr="006A0AC4" w:rsidP="000E227D" w14:paraId="11762CA1" w14:textId="77777777">
      <w:pPr>
        <w:ind w:left="360"/>
      </w:pPr>
      <w:r w:rsidRPr="006A0AC4">
        <w:t xml:space="preserve">(Q 6) Question 6 identifies the port so answers can be correlated with locations. </w:t>
      </w:r>
    </w:p>
    <w:p w:rsidR="00937B91" w:rsidP="006A0AC4" w14:paraId="3CC6BB66" w14:textId="77777777">
      <w:pPr>
        <w:ind w:left="360"/>
        <w:rPr>
          <w:bCs/>
        </w:rPr>
      </w:pPr>
    </w:p>
    <w:p w:rsidR="006A0AC4" w:rsidRPr="006A0AC4" w:rsidP="006A0AC4" w14:paraId="597E8DAE" w14:textId="77777777">
      <w:pPr>
        <w:numPr>
          <w:ilvl w:val="0"/>
          <w:numId w:val="24"/>
        </w:numPr>
        <w:tabs>
          <w:tab w:val="left" w:pos="720"/>
        </w:tabs>
        <w:rPr>
          <w:b/>
        </w:rPr>
      </w:pPr>
      <w:r w:rsidRPr="006A0AC4">
        <w:rPr>
          <w:b/>
          <w:bCs/>
          <w:lang w:val="en"/>
        </w:rPr>
        <w:t>Port Name:</w:t>
      </w:r>
      <w:r w:rsidRPr="006A0AC4">
        <w:rPr>
          <w:b/>
        </w:rPr>
        <w:t> </w:t>
      </w:r>
    </w:p>
    <w:p w:rsidR="000E227D" w:rsidP="006A0AC4" w14:paraId="2CC70AD2" w14:textId="77777777">
      <w:pPr>
        <w:ind w:left="360"/>
      </w:pPr>
    </w:p>
    <w:p w:rsidR="000E227D" w:rsidRPr="006A0AC4" w:rsidP="000E227D" w14:paraId="15234839" w14:textId="77777777">
      <w:pPr>
        <w:ind w:left="360"/>
      </w:pPr>
      <w:r w:rsidRPr="006A0AC4">
        <w:t>(Q 7) One of the primary purposes of this project is to determine the potential impact of offshore energy activities on fisheries. Information about existing fishery-related infrastructure helps BOEM understand the amount and type of support currently provided at the port for fishing activities, the likelihood of its use, potential impacts of offshore energy activities to fishing infrastructure, and the potential for future improvements.</w:t>
      </w:r>
    </w:p>
    <w:p w:rsidR="006A0AC4" w:rsidRPr="006A0AC4" w:rsidP="006A0AC4" w14:paraId="26B97CAB" w14:textId="77777777">
      <w:pPr>
        <w:ind w:left="360"/>
        <w:rPr>
          <w:b/>
        </w:rPr>
      </w:pPr>
      <w:r w:rsidRPr="006A0AC4">
        <w:rPr>
          <w:b/>
        </w:rPr>
        <w:t> </w:t>
      </w:r>
    </w:p>
    <w:p w:rsidR="006A0AC4" w:rsidRPr="006A0AC4" w:rsidP="006A0AC4" w14:paraId="34F083B7" w14:textId="77777777">
      <w:pPr>
        <w:numPr>
          <w:ilvl w:val="0"/>
          <w:numId w:val="24"/>
        </w:numPr>
        <w:rPr>
          <w:b/>
        </w:rPr>
      </w:pPr>
      <w:r w:rsidRPr="006A0AC4">
        <w:rPr>
          <w:b/>
          <w:bCs/>
          <w:lang w:val="en"/>
        </w:rPr>
        <w:t xml:space="preserve">How adequate is the fishery-related infrastructure at your port? </w:t>
      </w:r>
    </w:p>
    <w:p w:rsidR="006A0AC4" w:rsidRPr="006A0AC4" w:rsidP="006A0AC4" w14:paraId="09F9C3EC" w14:textId="77777777">
      <w:pPr>
        <w:ind w:left="360"/>
      </w:pPr>
    </w:p>
    <w:tbl>
      <w:tblPr>
        <w:tblW w:w="9442" w:type="dxa"/>
        <w:tblBorders>
          <w:top w:val="single" w:sz="6" w:space="0" w:color="auto"/>
          <w:left w:val="single" w:sz="6" w:space="0" w:color="auto"/>
          <w:bottom w:val="single" w:sz="6" w:space="0" w:color="auto"/>
          <w:right w:val="single" w:sz="6" w:space="0" w:color="auto"/>
        </w:tblBorders>
        <w:tblLayout w:type="fixed"/>
        <w:tblLook w:val="04A0"/>
      </w:tblPr>
      <w:tblGrid>
        <w:gridCol w:w="3645"/>
        <w:gridCol w:w="1185"/>
        <w:gridCol w:w="1260"/>
        <w:gridCol w:w="1215"/>
        <w:gridCol w:w="1200"/>
        <w:gridCol w:w="937"/>
      </w:tblGrid>
      <w:tr w14:paraId="2BF9A65A" w14:textId="77777777" w:rsidTr="004A48BC">
        <w:tblPrEx>
          <w:tblW w:w="9442"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4DDDF04D" w14:textId="77777777">
            <w:r w:rsidRPr="006A0AC4">
              <w:rPr>
                <w:b/>
                <w:bCs/>
                <w:lang w:val="en"/>
              </w:rPr>
              <w:t>Fishery-related Infrastructure</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5658A352" w14:textId="77777777">
            <w:r w:rsidRPr="006A0AC4">
              <w:rPr>
                <w:i/>
                <w:iCs/>
                <w:lang w:val="en"/>
              </w:rPr>
              <w:t>Not adequate</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217E6977" w14:textId="77777777">
            <w:r w:rsidRPr="006A0AC4">
              <w:rPr>
                <w:i/>
                <w:iCs/>
              </w:rPr>
              <w:t>Somewhat adequate</w:t>
            </w:r>
          </w:p>
        </w:tc>
        <w:tc>
          <w:tcPr>
            <w:tcW w:w="12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09A0CA8F" w14:textId="77777777">
            <w:r w:rsidRPr="006A0AC4">
              <w:rPr>
                <w:i/>
                <w:iCs/>
                <w:lang w:val="en"/>
              </w:rPr>
              <w:t>Adequate</w:t>
            </w: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788778A2" w14:textId="77777777">
            <w:r w:rsidRPr="006A0AC4">
              <w:rPr>
                <w:i/>
                <w:iCs/>
                <w:lang w:val="en"/>
              </w:rPr>
              <w:t>Very Adequate</w:t>
            </w:r>
          </w:p>
        </w:tc>
        <w:tc>
          <w:tcPr>
            <w:tcW w:w="9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002BD0E6" w14:textId="77777777">
            <w:r w:rsidRPr="006A0AC4">
              <w:rPr>
                <w:i/>
                <w:iCs/>
                <w:lang w:val="en"/>
              </w:rPr>
              <w:t>N/A</w:t>
            </w:r>
          </w:p>
        </w:tc>
      </w:tr>
      <w:tr w14:paraId="31EFBC53"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236F9747" w14:textId="77777777">
            <w:r w:rsidRPr="006A0AC4">
              <w:rPr>
                <w:lang w:val="en"/>
              </w:rPr>
              <w:t xml:space="preserve">Commercial Fishing Docks </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0B0B32B9"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47A591F6" w14:textId="77777777">
            <w:pPr>
              <w:ind w:left="360"/>
            </w:pP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5DD7165" w14:textId="77777777">
            <w:pPr>
              <w:ind w:left="360"/>
            </w:pP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B54002B" w14:textId="77777777">
            <w:pPr>
              <w:ind w:left="360"/>
            </w:pPr>
          </w:p>
        </w:tc>
        <w:tc>
          <w:tcPr>
            <w:tcW w:w="93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097283F" w14:textId="77777777">
            <w:pPr>
              <w:ind w:left="360"/>
            </w:pPr>
          </w:p>
        </w:tc>
      </w:tr>
      <w:tr w14:paraId="7054E4A7"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551881E9" w14:textId="77777777">
            <w:r w:rsidRPr="006A0AC4">
              <w:rPr>
                <w:lang w:val="en"/>
              </w:rPr>
              <w:t xml:space="preserve">Recreational Fishing Docks </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283CA59B"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9A9FC9B" w14:textId="77777777">
            <w:pPr>
              <w:ind w:left="360"/>
            </w:pPr>
          </w:p>
        </w:tc>
        <w:tc>
          <w:tcPr>
            <w:tcW w:w="12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94CA338" w14:textId="77777777">
            <w:pPr>
              <w:ind w:left="360"/>
            </w:pP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C1E7E2D" w14:textId="77777777">
            <w:pPr>
              <w:ind w:left="360"/>
            </w:pPr>
          </w:p>
        </w:tc>
        <w:tc>
          <w:tcPr>
            <w:tcW w:w="9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8DB4E3A" w14:textId="77777777">
            <w:pPr>
              <w:ind w:left="360"/>
            </w:pPr>
          </w:p>
        </w:tc>
      </w:tr>
      <w:tr w14:paraId="30DE4DAD"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03D4D5DB" w14:textId="77777777">
            <w:r w:rsidRPr="006A0AC4">
              <w:rPr>
                <w:lang w:val="en"/>
              </w:rPr>
              <w:t xml:space="preserve">Boat Ramps </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171CD75A"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487E524A" w14:textId="77777777">
            <w:pPr>
              <w:ind w:left="360"/>
            </w:pP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127BC5F" w14:textId="77777777">
            <w:pPr>
              <w:ind w:left="360"/>
            </w:pP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C725A08" w14:textId="77777777">
            <w:pPr>
              <w:ind w:left="360"/>
            </w:pPr>
          </w:p>
        </w:tc>
        <w:tc>
          <w:tcPr>
            <w:tcW w:w="93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29F4D6B9" w14:textId="77777777">
            <w:pPr>
              <w:ind w:left="360"/>
            </w:pPr>
          </w:p>
        </w:tc>
      </w:tr>
      <w:tr w14:paraId="376E21DA"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5B56B0D9" w14:textId="77777777">
            <w:r w:rsidRPr="006A0AC4">
              <w:rPr>
                <w:lang w:val="en"/>
              </w:rPr>
              <w:t xml:space="preserve">Cold Storage Facilities </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27CB6E38"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25017B6" w14:textId="77777777">
            <w:pPr>
              <w:ind w:left="360"/>
            </w:pPr>
          </w:p>
        </w:tc>
        <w:tc>
          <w:tcPr>
            <w:tcW w:w="12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5AA71E5" w14:textId="77777777">
            <w:pPr>
              <w:ind w:left="360"/>
            </w:pP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6E00A53" w14:textId="77777777">
            <w:pPr>
              <w:ind w:left="360"/>
            </w:pPr>
          </w:p>
        </w:tc>
        <w:tc>
          <w:tcPr>
            <w:tcW w:w="9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BF8EB78" w14:textId="77777777">
            <w:pPr>
              <w:ind w:left="360"/>
            </w:pPr>
          </w:p>
        </w:tc>
      </w:tr>
      <w:tr w14:paraId="2F7EF653"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17157812" w14:textId="77777777">
            <w:r w:rsidRPr="006A0AC4">
              <w:rPr>
                <w:lang w:val="en"/>
              </w:rPr>
              <w:t xml:space="preserve">Fish Processing Facilities </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2DAC1625"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DDA477C" w14:textId="77777777">
            <w:pPr>
              <w:ind w:left="360"/>
            </w:pP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9F522CE" w14:textId="77777777">
            <w:pPr>
              <w:ind w:left="360"/>
            </w:pP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4C4532F8" w14:textId="77777777">
            <w:pPr>
              <w:ind w:left="360"/>
            </w:pPr>
          </w:p>
        </w:tc>
        <w:tc>
          <w:tcPr>
            <w:tcW w:w="93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15C130EF" w14:textId="77777777">
            <w:pPr>
              <w:ind w:left="360"/>
            </w:pPr>
          </w:p>
        </w:tc>
      </w:tr>
      <w:tr w14:paraId="52E537A5"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34BC9C27" w14:textId="77777777">
            <w:r w:rsidRPr="006A0AC4">
              <w:rPr>
                <w:lang w:val="en"/>
              </w:rPr>
              <w:t xml:space="preserve">Maintenance and Repair Facilities </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42BF6161"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3079E94" w14:textId="77777777">
            <w:pPr>
              <w:ind w:left="360"/>
            </w:pPr>
          </w:p>
        </w:tc>
        <w:tc>
          <w:tcPr>
            <w:tcW w:w="12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65B7387" w14:textId="77777777">
            <w:pPr>
              <w:ind w:left="360"/>
            </w:pP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D6BBAC3" w14:textId="77777777">
            <w:pPr>
              <w:ind w:left="360"/>
            </w:pPr>
          </w:p>
        </w:tc>
        <w:tc>
          <w:tcPr>
            <w:tcW w:w="9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8E8B7F0" w14:textId="77777777">
            <w:pPr>
              <w:ind w:left="360"/>
            </w:pPr>
          </w:p>
        </w:tc>
      </w:tr>
      <w:tr w14:paraId="4B0DD7E5"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3E949D64" w14:textId="77777777">
            <w:r w:rsidRPr="006A0AC4">
              <w:rPr>
                <w:lang w:val="en"/>
              </w:rPr>
              <w:t xml:space="preserve">Marine Fishing Supply Stores </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6666E71C"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14BCF896" w14:textId="77777777">
            <w:pPr>
              <w:ind w:left="360"/>
            </w:pP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0995D0C" w14:textId="77777777">
            <w:pPr>
              <w:ind w:left="360"/>
            </w:pP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69364F0" w14:textId="77777777">
            <w:pPr>
              <w:ind w:left="360"/>
            </w:pPr>
          </w:p>
        </w:tc>
        <w:tc>
          <w:tcPr>
            <w:tcW w:w="93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F93FAEA" w14:textId="77777777">
            <w:pPr>
              <w:ind w:left="360"/>
            </w:pPr>
          </w:p>
        </w:tc>
      </w:tr>
      <w:tr w14:paraId="56A6A27B"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6D2053D1" w14:textId="77777777">
            <w:r w:rsidRPr="006A0AC4">
              <w:rPr>
                <w:lang w:val="en"/>
              </w:rPr>
              <w:t xml:space="preserve">Marine Storage Facility or Yard </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0C3C5AC9"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2738D31" w14:textId="77777777">
            <w:pPr>
              <w:ind w:left="360"/>
            </w:pPr>
          </w:p>
        </w:tc>
        <w:tc>
          <w:tcPr>
            <w:tcW w:w="12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25FC3ECF" w14:textId="77777777">
            <w:pPr>
              <w:ind w:left="360"/>
            </w:pP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90252E8" w14:textId="77777777">
            <w:pPr>
              <w:ind w:left="360"/>
            </w:pPr>
          </w:p>
        </w:tc>
        <w:tc>
          <w:tcPr>
            <w:tcW w:w="9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933789B" w14:textId="77777777">
            <w:pPr>
              <w:ind w:left="360"/>
            </w:pPr>
          </w:p>
        </w:tc>
      </w:tr>
      <w:tr w14:paraId="3AD5E371"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51B43029" w14:textId="77777777">
            <w:r w:rsidRPr="006A0AC4">
              <w:rPr>
                <w:lang w:val="en"/>
              </w:rPr>
              <w:t xml:space="preserve">Ice Machines </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08A868D1"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FC9DE30" w14:textId="77777777">
            <w:pPr>
              <w:ind w:left="360"/>
            </w:pP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E5D9D1F" w14:textId="77777777">
            <w:pPr>
              <w:ind w:left="360"/>
            </w:pP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28618541" w14:textId="77777777">
            <w:pPr>
              <w:ind w:left="360"/>
            </w:pPr>
          </w:p>
        </w:tc>
        <w:tc>
          <w:tcPr>
            <w:tcW w:w="93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4041E408" w14:textId="77777777">
            <w:pPr>
              <w:ind w:left="360"/>
            </w:pPr>
          </w:p>
        </w:tc>
      </w:tr>
      <w:tr w14:paraId="328ADF4F"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3A834C67" w14:textId="77777777">
            <w:r w:rsidRPr="006A0AC4">
              <w:rPr>
                <w:lang w:val="en"/>
              </w:rPr>
              <w:t xml:space="preserve">Fish Pumps </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5A16E9E7"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C181EA1" w14:textId="77777777">
            <w:pPr>
              <w:ind w:left="360"/>
            </w:pPr>
          </w:p>
        </w:tc>
        <w:tc>
          <w:tcPr>
            <w:tcW w:w="12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45BECEB" w14:textId="77777777">
            <w:pPr>
              <w:ind w:left="360"/>
            </w:pP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59CB276" w14:textId="77777777">
            <w:pPr>
              <w:ind w:left="360"/>
            </w:pPr>
          </w:p>
        </w:tc>
        <w:tc>
          <w:tcPr>
            <w:tcW w:w="9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7773075" w14:textId="77777777">
            <w:pPr>
              <w:ind w:left="360"/>
            </w:pPr>
          </w:p>
        </w:tc>
      </w:tr>
      <w:tr w14:paraId="55FF395C"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14A59545" w14:textId="77777777">
            <w:r w:rsidRPr="006A0AC4">
              <w:rPr>
                <w:lang w:val="en"/>
              </w:rPr>
              <w:t>Hoists</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2F5C3B0E"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0524A67" w14:textId="77777777">
            <w:pPr>
              <w:ind w:left="360"/>
            </w:pP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6FFCFB60" w14:textId="77777777">
            <w:pPr>
              <w:ind w:left="360"/>
            </w:pP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744874A" w14:textId="77777777">
            <w:pPr>
              <w:ind w:left="360"/>
            </w:pPr>
          </w:p>
        </w:tc>
        <w:tc>
          <w:tcPr>
            <w:tcW w:w="93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B06FC05" w14:textId="77777777">
            <w:pPr>
              <w:ind w:left="360"/>
            </w:pPr>
          </w:p>
        </w:tc>
      </w:tr>
      <w:tr w14:paraId="7733BB91"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3B486DD7" w14:textId="77777777">
            <w:r w:rsidRPr="006A0AC4">
              <w:rPr>
                <w:lang w:val="en"/>
              </w:rPr>
              <w:t>Forklifts</w:t>
            </w:r>
          </w:p>
        </w:tc>
        <w:tc>
          <w:tcPr>
            <w:tcW w:w="1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64AAAEC4" w14:textId="77777777">
            <w:pPr>
              <w:ind w:left="360"/>
            </w:pP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2FF70FF" w14:textId="77777777">
            <w:pPr>
              <w:ind w:left="360"/>
            </w:pP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1C9E874F" w14:textId="77777777">
            <w:pPr>
              <w:ind w:left="360"/>
            </w:pP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8B99CAD" w14:textId="77777777">
            <w:pPr>
              <w:ind w:left="360"/>
            </w:pPr>
          </w:p>
        </w:tc>
        <w:tc>
          <w:tcPr>
            <w:tcW w:w="93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3BC3B17" w14:textId="77777777">
            <w:pPr>
              <w:ind w:left="360"/>
            </w:pPr>
          </w:p>
        </w:tc>
      </w:tr>
      <w:tr w14:paraId="72A7A587" w14:textId="77777777" w:rsidTr="004A48BC">
        <w:tblPrEx>
          <w:tblW w:w="9442" w:type="dxa"/>
          <w:tblLayout w:type="fixed"/>
          <w:tblLook w:val="04A0"/>
        </w:tblPrEx>
        <w:trPr>
          <w:trHeight w:val="300"/>
        </w:trPr>
        <w:tc>
          <w:tcPr>
            <w:tcW w:w="36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4A48BC" w14:paraId="16AF9E31" w14:textId="77777777">
            <w:r w:rsidRPr="006A0AC4">
              <w:rPr>
                <w:lang w:val="en"/>
              </w:rPr>
              <w:t>Other (please specify):</w:t>
            </w:r>
          </w:p>
        </w:tc>
        <w:tc>
          <w:tcPr>
            <w:tcW w:w="11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6A5482A8"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7256476" w14:textId="77777777">
            <w:pPr>
              <w:ind w:left="360"/>
            </w:pPr>
          </w:p>
        </w:tc>
        <w:tc>
          <w:tcPr>
            <w:tcW w:w="121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08BDF42" w14:textId="77777777">
            <w:pPr>
              <w:ind w:left="360"/>
            </w:pPr>
          </w:p>
        </w:tc>
        <w:tc>
          <w:tcPr>
            <w:tcW w:w="12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1009908" w14:textId="77777777">
            <w:pPr>
              <w:ind w:left="360"/>
            </w:pPr>
          </w:p>
        </w:tc>
        <w:tc>
          <w:tcPr>
            <w:tcW w:w="9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EFB8845" w14:textId="77777777">
            <w:pPr>
              <w:ind w:left="360"/>
            </w:pPr>
          </w:p>
        </w:tc>
      </w:tr>
    </w:tbl>
    <w:p w:rsidR="006A0AC4" w:rsidRPr="006A0AC4" w:rsidP="006A0AC4" w14:paraId="24862820" w14:textId="77777777">
      <w:pPr>
        <w:ind w:left="360"/>
        <w:rPr>
          <w:b/>
          <w:bCs/>
        </w:rPr>
      </w:pPr>
    </w:p>
    <w:p w:rsidR="00B45A60" w:rsidRPr="006A0AC4" w:rsidP="006A0AC4" w14:paraId="5F3C357F" w14:textId="77777777">
      <w:pPr>
        <w:ind w:left="360"/>
      </w:pPr>
    </w:p>
    <w:p w:rsidR="00B45A60" w:rsidRPr="006A0AC4" w:rsidP="00B45A60" w14:paraId="6C0772AF" w14:textId="77777777">
      <w:pPr>
        <w:ind w:left="360"/>
      </w:pPr>
      <w:r w:rsidRPr="006A0AC4">
        <w:t>(Q 8) This identifies other non-fishing activities that may take place at the port that may potentially be impacted by offshore energy activities and helps estimate the level of intensity of those activities.</w:t>
      </w:r>
    </w:p>
    <w:p w:rsidR="006A0AC4" w:rsidRPr="006A0AC4" w:rsidP="006A0AC4" w14:paraId="15E515AE" w14:textId="77777777">
      <w:pPr>
        <w:ind w:left="360"/>
      </w:pPr>
    </w:p>
    <w:p w:rsidR="006A0AC4" w:rsidRPr="006A0AC4" w:rsidP="006A0AC4" w14:paraId="107D81D7" w14:textId="77777777">
      <w:pPr>
        <w:numPr>
          <w:ilvl w:val="0"/>
          <w:numId w:val="24"/>
        </w:numPr>
        <w:rPr>
          <w:b/>
          <w:bCs/>
        </w:rPr>
      </w:pPr>
      <w:r w:rsidRPr="006A0AC4">
        <w:rPr>
          <w:b/>
          <w:bCs/>
        </w:rPr>
        <w:t>How adequate is the other port infrastructure at your port?</w:t>
      </w:r>
    </w:p>
    <w:p w:rsidR="006A0AC4" w:rsidRPr="006A0AC4" w:rsidP="006A0AC4" w14:paraId="39EACF7A" w14:textId="77777777">
      <w:pPr>
        <w:ind w:left="360"/>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675"/>
        <w:gridCol w:w="1170"/>
        <w:gridCol w:w="1260"/>
        <w:gridCol w:w="1170"/>
        <w:gridCol w:w="1260"/>
        <w:gridCol w:w="630"/>
      </w:tblGrid>
      <w:tr w14:paraId="2876E87D" w14:textId="77777777">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002641E8" w14:textId="77777777">
            <w:r w:rsidRPr="006A0AC4">
              <w:rPr>
                <w:b/>
                <w:bCs/>
                <w:lang w:val="en"/>
              </w:rPr>
              <w:t>Port Infrastructure</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56BB18CD" w14:textId="77777777">
            <w:r w:rsidRPr="006A0AC4">
              <w:rPr>
                <w:i/>
                <w:iCs/>
                <w:lang w:val="en"/>
              </w:rPr>
              <w:t>Not adequate</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62B3612A" w14:textId="77777777">
            <w:r w:rsidRPr="006A0AC4">
              <w:rPr>
                <w:i/>
                <w:iCs/>
              </w:rPr>
              <w:t>Somewhat adequate</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16A377AE" w14:textId="77777777">
            <w:r w:rsidRPr="006A0AC4">
              <w:rPr>
                <w:i/>
                <w:iCs/>
                <w:lang w:val="en"/>
              </w:rPr>
              <w:t>Adequate</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18330583" w14:textId="77777777">
            <w:r w:rsidRPr="006A0AC4">
              <w:rPr>
                <w:i/>
                <w:iCs/>
                <w:lang w:val="en"/>
              </w:rPr>
              <w:t>Very Adequate</w:t>
            </w: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78672803" w14:textId="77777777">
            <w:r w:rsidRPr="006A0AC4">
              <w:rPr>
                <w:i/>
                <w:iCs/>
                <w:lang w:val="en"/>
              </w:rPr>
              <w:t>N/A</w:t>
            </w:r>
          </w:p>
        </w:tc>
      </w:tr>
      <w:tr w14:paraId="5D2EE687" w14:textId="77777777">
        <w:tblPrEx>
          <w:tblW w:w="0" w:type="auto"/>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74C1BE60" w14:textId="77777777">
            <w:r w:rsidRPr="006A0AC4">
              <w:rPr>
                <w:lang w:val="en"/>
              </w:rPr>
              <w:t xml:space="preserve">Commercial Shipping </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47B16734"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BD11951" w14:textId="77777777">
            <w:pPr>
              <w:ind w:left="360"/>
            </w:pP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1FC53A0E" w14:textId="77777777">
            <w:pPr>
              <w:ind w:left="360"/>
            </w:pP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6C50E7DA" w14:textId="77777777">
            <w:pPr>
              <w:ind w:left="360"/>
            </w:pPr>
          </w:p>
        </w:tc>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6DB7BF2" w14:textId="77777777">
            <w:pPr>
              <w:ind w:left="360"/>
            </w:pPr>
          </w:p>
        </w:tc>
      </w:tr>
      <w:tr w14:paraId="1EDD54AE" w14:textId="77777777">
        <w:tblPrEx>
          <w:tblW w:w="0" w:type="auto"/>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6B4EAD5F" w14:textId="77777777">
            <w:r w:rsidRPr="006A0AC4">
              <w:rPr>
                <w:lang w:val="en"/>
              </w:rPr>
              <w:t xml:space="preserve">Military Support Facilities </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445DF7AB"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3F33329"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3FE9626"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8D2D2A5"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2AE7EF8A" w14:textId="77777777">
            <w:pPr>
              <w:ind w:left="360"/>
            </w:pPr>
          </w:p>
        </w:tc>
      </w:tr>
      <w:tr w14:paraId="5BCD272E" w14:textId="77777777">
        <w:tblPrEx>
          <w:tblW w:w="0" w:type="auto"/>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2C065EFE" w14:textId="77777777">
            <w:r w:rsidRPr="006A0AC4">
              <w:rPr>
                <w:lang w:val="en"/>
              </w:rPr>
              <w:t>Coast Guard/Public Safety Facilities</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0B771091"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1C3396E" w14:textId="77777777">
            <w:pPr>
              <w:ind w:left="360"/>
            </w:pP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697F17FC" w14:textId="77777777">
            <w:pPr>
              <w:ind w:left="360"/>
            </w:pP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4BC81575" w14:textId="77777777">
            <w:pPr>
              <w:ind w:left="360"/>
            </w:pPr>
          </w:p>
        </w:tc>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5EC0D75" w14:textId="77777777">
            <w:pPr>
              <w:ind w:left="360"/>
            </w:pPr>
          </w:p>
        </w:tc>
      </w:tr>
      <w:tr w14:paraId="44E04D7A" w14:textId="77777777">
        <w:tblPrEx>
          <w:tblW w:w="0" w:type="auto"/>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6864FC34" w14:textId="77777777">
            <w:r w:rsidRPr="006A0AC4">
              <w:rPr>
                <w:lang w:val="en"/>
              </w:rPr>
              <w:t xml:space="preserve">Scientific Research Facilities/Docks </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052C57B2"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12D045C"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70CF5D9"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74030B2"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498CC3F" w14:textId="77777777">
            <w:pPr>
              <w:ind w:left="360"/>
            </w:pPr>
          </w:p>
        </w:tc>
      </w:tr>
      <w:tr w14:paraId="17695D95" w14:textId="77777777">
        <w:tblPrEx>
          <w:tblW w:w="0" w:type="auto"/>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6C090AD3" w14:textId="77777777">
            <w:r w:rsidRPr="006A0AC4">
              <w:t>Tourism/Recreational Activities/Docks</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6A0AC4" w14:paraId="31F121C3"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AA8F8E7" w14:textId="77777777">
            <w:pPr>
              <w:ind w:left="360"/>
            </w:pP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F617F33" w14:textId="77777777">
            <w:pPr>
              <w:ind w:left="360"/>
            </w:pP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2A5993BB" w14:textId="77777777">
            <w:pPr>
              <w:ind w:left="360"/>
            </w:pPr>
          </w:p>
        </w:tc>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49853C5B" w14:textId="77777777">
            <w:pPr>
              <w:ind w:left="360"/>
            </w:pPr>
          </w:p>
        </w:tc>
      </w:tr>
      <w:tr w14:paraId="673EFAF0" w14:textId="77777777">
        <w:tblPrEx>
          <w:tblW w:w="0" w:type="auto"/>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4037CD88" w14:textId="77777777">
            <w:r w:rsidRPr="006A0AC4">
              <w:rPr>
                <w:lang w:val="en"/>
              </w:rPr>
              <w:t xml:space="preserve">Small recreational (non-fishing) boating facilities  </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37D4C149"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807D00E"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EC58E50"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BF17C2F"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A361135" w14:textId="77777777">
            <w:pPr>
              <w:ind w:left="360"/>
            </w:pPr>
          </w:p>
        </w:tc>
      </w:tr>
      <w:tr w14:paraId="4F9E71D2" w14:textId="77777777">
        <w:tblPrEx>
          <w:tblW w:w="0" w:type="auto"/>
          <w:tblLayout w:type="fixed"/>
          <w:tblLook w:val="04A0"/>
        </w:tblPrEx>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rsidR="006A0AC4" w:rsidRPr="006A0AC4" w:rsidP="004A48BC" w14:paraId="762DBD79" w14:textId="77777777">
            <w:r w:rsidRPr="006A0AC4">
              <w:rPr>
                <w:lang w:val="en"/>
              </w:rPr>
              <w:t xml:space="preserve">Other (please specify): </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3CAC790" w14:textId="77777777">
            <w:pPr>
              <w:ind w:left="360"/>
            </w:pP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2556BBDA" w14:textId="77777777">
            <w:pPr>
              <w:ind w:left="360"/>
            </w:pP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B715A30" w14:textId="77777777">
            <w:pPr>
              <w:ind w:left="360"/>
            </w:pP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169D9B90" w14:textId="77777777">
            <w:pPr>
              <w:ind w:left="360"/>
            </w:pPr>
          </w:p>
        </w:tc>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76598AA" w14:textId="77777777">
            <w:pPr>
              <w:ind w:left="360"/>
            </w:pPr>
          </w:p>
        </w:tc>
      </w:tr>
    </w:tbl>
    <w:p w:rsidR="006A0AC4" w:rsidRPr="006A0AC4" w:rsidP="006A0AC4" w14:paraId="0C816ABF" w14:textId="77777777">
      <w:pPr>
        <w:ind w:left="360"/>
      </w:pPr>
    </w:p>
    <w:p w:rsidR="00B45A60" w:rsidRPr="006A0AC4" w:rsidP="006A0AC4" w14:paraId="51CA6EBB" w14:textId="77777777">
      <w:pPr>
        <w:ind w:left="360"/>
      </w:pPr>
    </w:p>
    <w:p w:rsidR="00B45A60" w:rsidRPr="006A0AC4" w:rsidP="00B45A60" w14:paraId="63EA5CD9" w14:textId="77777777">
      <w:pPr>
        <w:ind w:left="360"/>
      </w:pPr>
      <w:r w:rsidRPr="006A0AC4">
        <w:t xml:space="preserve">(Q 9) Sufficient transportation infrastructure, including truck-related infrastructure, is a key requirement for offshore energy activities. Access for semi-trucks and oversized trucks, weight-bearing docks, overhead clearance, and other factors are necessary for hauling equipment and parts in and out of a port. Likewise, rail access may be necessary at some sites to deliver parts or supplies that are too large to fit on a truck. Understanding current available transportation infrastructure can help BOEM assess a port’s suitability for use in offshore energy activities and helps identify potential space-use conflicts between the fishing industry and other port industries and offshore energy activities. </w:t>
      </w:r>
    </w:p>
    <w:p w:rsidR="00B45A60" w:rsidRPr="006A0AC4" w:rsidP="00B45A60" w14:paraId="30F8DDB4" w14:textId="77777777">
      <w:pPr>
        <w:ind w:left="360"/>
        <w:rPr>
          <w:b/>
        </w:rPr>
      </w:pPr>
    </w:p>
    <w:p w:rsidR="006A0AC4" w:rsidP="006A0AC4" w14:paraId="1A6D6EAD" w14:textId="77777777">
      <w:pPr>
        <w:numPr>
          <w:ilvl w:val="0"/>
          <w:numId w:val="24"/>
        </w:numPr>
        <w:rPr>
          <w:b/>
          <w:bCs/>
        </w:rPr>
      </w:pPr>
      <w:r w:rsidRPr="006A0AC4">
        <w:rPr>
          <w:b/>
          <w:bCs/>
        </w:rPr>
        <w:t>How adequate is transportation-related infrastructure at your port?</w:t>
      </w:r>
    </w:p>
    <w:p w:rsidR="00B45A60" w:rsidRPr="006A0AC4" w:rsidP="004A48BC" w14:paraId="52F9B03B" w14:textId="77777777">
      <w:pPr>
        <w:ind w:left="720"/>
        <w:rPr>
          <w:b/>
          <w:bCs/>
        </w:rPr>
      </w:pPr>
    </w:p>
    <w:tbl>
      <w:tblPr>
        <w:tblStyle w:val="PlainTable1"/>
        <w:tblW w:w="0" w:type="auto"/>
        <w:tblBorders>
          <w:top w:val="single" w:sz="6" w:space="0" w:color="auto"/>
          <w:left w:val="single" w:sz="6" w:space="0" w:color="auto"/>
          <w:bottom w:val="single" w:sz="6" w:space="0" w:color="auto"/>
          <w:right w:val="single" w:sz="6" w:space="0" w:color="auto"/>
        </w:tblBorders>
        <w:tblLayout w:type="fixed"/>
        <w:tblLook w:val="0400"/>
      </w:tblPr>
      <w:tblGrid>
        <w:gridCol w:w="3675"/>
        <w:gridCol w:w="1170"/>
        <w:gridCol w:w="1260"/>
        <w:gridCol w:w="1170"/>
        <w:gridCol w:w="1260"/>
        <w:gridCol w:w="630"/>
      </w:tblGrid>
      <w:tr w14:paraId="204F5DB2" w14:textId="77777777">
        <w:tblPrEx>
          <w:tblW w:w="0" w:type="auto"/>
          <w:tblBorders>
            <w:top w:val="single" w:sz="6" w:space="0" w:color="auto"/>
            <w:left w:val="single" w:sz="6" w:space="0" w:color="auto"/>
            <w:bottom w:val="single" w:sz="6" w:space="0" w:color="auto"/>
            <w:right w:val="single" w:sz="6" w:space="0" w:color="auto"/>
          </w:tblBorders>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33BA5D5" w14:textId="77777777">
            <w:pPr>
              <w:ind w:left="360"/>
            </w:pP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105" w:type="dxa"/>
              <w:bottom w:w="0" w:type="dxa"/>
              <w:right w:w="105" w:type="dxa"/>
            </w:tcMar>
            <w:vAlign w:val="center"/>
            <w:hideMark/>
          </w:tcPr>
          <w:p w:rsidR="006A0AC4" w:rsidRPr="006A0AC4" w:rsidP="004A48BC" w14:paraId="5255C50E" w14:textId="77777777">
            <w:r w:rsidRPr="006A0AC4">
              <w:rPr>
                <w:i/>
                <w:iCs/>
                <w:lang w:val="en"/>
              </w:rPr>
              <w:t>Not adequate</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105" w:type="dxa"/>
              <w:bottom w:w="0" w:type="dxa"/>
              <w:right w:w="105" w:type="dxa"/>
            </w:tcMar>
            <w:vAlign w:val="center"/>
            <w:hideMark/>
          </w:tcPr>
          <w:p w:rsidR="006A0AC4" w:rsidRPr="006A0AC4" w:rsidP="004A48BC" w14:paraId="3F757A7C" w14:textId="77777777">
            <w:r w:rsidRPr="006A0AC4">
              <w:rPr>
                <w:i/>
                <w:iCs/>
              </w:rPr>
              <w:t>Somewhat adequate</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105" w:type="dxa"/>
              <w:bottom w:w="0" w:type="dxa"/>
              <w:right w:w="105" w:type="dxa"/>
            </w:tcMar>
            <w:vAlign w:val="center"/>
            <w:hideMark/>
          </w:tcPr>
          <w:p w:rsidR="006A0AC4" w:rsidRPr="006A0AC4" w:rsidP="004A48BC" w14:paraId="18E8BD11" w14:textId="77777777">
            <w:r w:rsidRPr="006A0AC4">
              <w:rPr>
                <w:i/>
                <w:iCs/>
                <w:lang w:val="en"/>
              </w:rPr>
              <w:t>Adequate</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105" w:type="dxa"/>
              <w:bottom w:w="0" w:type="dxa"/>
              <w:right w:w="105" w:type="dxa"/>
            </w:tcMar>
            <w:vAlign w:val="center"/>
            <w:hideMark/>
          </w:tcPr>
          <w:p w:rsidR="006A0AC4" w:rsidRPr="006A0AC4" w:rsidP="004A48BC" w14:paraId="33A9FCBC" w14:textId="77777777">
            <w:r w:rsidRPr="006A0AC4">
              <w:rPr>
                <w:i/>
                <w:iCs/>
                <w:lang w:val="en"/>
              </w:rPr>
              <w:t>Very Adequate</w:t>
            </w:r>
          </w:p>
        </w:tc>
        <w:tc>
          <w:tcPr>
            <w:tcW w:w="630" w:type="dxa"/>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105" w:type="dxa"/>
              <w:bottom w:w="0" w:type="dxa"/>
              <w:right w:w="105" w:type="dxa"/>
            </w:tcMar>
            <w:vAlign w:val="center"/>
            <w:hideMark/>
          </w:tcPr>
          <w:p w:rsidR="006A0AC4" w:rsidRPr="006A0AC4" w:rsidP="004A48BC" w14:paraId="1B517DAF" w14:textId="77777777">
            <w:r w:rsidRPr="006A0AC4">
              <w:rPr>
                <w:i/>
                <w:iCs/>
                <w:lang w:val="en"/>
              </w:rPr>
              <w:t>N/A</w:t>
            </w:r>
          </w:p>
        </w:tc>
      </w:tr>
      <w:tr w14:paraId="2B67E6EE" w14:textId="77777777">
        <w:tblPrEx>
          <w:tblW w:w="0" w:type="auto"/>
          <w:tblLayout w:type="fixed"/>
          <w:tblLook w:val="0400"/>
        </w:tblPrEx>
        <w:trPr>
          <w:trHeight w:val="300"/>
        </w:trPr>
        <w:tc>
          <w:tcPr>
            <w:tcW w:w="9165"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1FCA3535" w14:textId="77777777">
            <w:r w:rsidRPr="006A0AC4">
              <w:rPr>
                <w:b/>
                <w:bCs/>
                <w:lang w:val="en"/>
              </w:rPr>
              <w:t>Trucking-Related Infrastructure</w:t>
            </w:r>
          </w:p>
        </w:tc>
      </w:tr>
      <w:tr w14:paraId="7AD58996"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4C130689" w14:textId="77777777">
            <w:r w:rsidRPr="006A0AC4">
              <w:rPr>
                <w:lang w:val="en"/>
              </w:rPr>
              <w:t xml:space="preserve">Dock height compatibility for efficient truck loading </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0EE99F4"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2C94D380"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64828F45"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FBF25A0"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31369FA" w14:textId="77777777">
            <w:pPr>
              <w:ind w:left="360"/>
            </w:pPr>
          </w:p>
        </w:tc>
      </w:tr>
      <w:tr w14:paraId="372C802F"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6D0C43AA" w14:textId="77777777">
            <w:r w:rsidRPr="006A0AC4">
              <w:rPr>
                <w:lang w:val="en"/>
              </w:rPr>
              <w:t xml:space="preserve">Sufficient space for truck turning and maneuvering </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A8CBA7C"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3DAE5E9"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0FB304B3"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1C7ED77"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DEDCF0A" w14:textId="77777777">
            <w:pPr>
              <w:ind w:left="360"/>
            </w:pPr>
          </w:p>
        </w:tc>
      </w:tr>
      <w:tr w14:paraId="276C02C3"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413E64D7" w14:textId="77777777">
            <w:r w:rsidRPr="006A0AC4">
              <w:rPr>
                <w:lang w:val="en"/>
              </w:rPr>
              <w:t xml:space="preserve">Docks designed to support heavy truckloads </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1AF56D0"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EA220B7"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7CCDB3F7"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A7E005D"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EE0F6E1" w14:textId="77777777">
            <w:pPr>
              <w:ind w:left="360"/>
            </w:pPr>
          </w:p>
        </w:tc>
      </w:tr>
      <w:tr w14:paraId="790A2419"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75B2B154" w14:textId="77777777">
            <w:r w:rsidRPr="006A0AC4">
              <w:rPr>
                <w:lang w:val="en"/>
              </w:rPr>
              <w:t xml:space="preserve">Designated loading bays </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349D016"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21C0BD7A"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7A31B0DB"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F5AC2F5"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7F62585" w14:textId="77777777">
            <w:pPr>
              <w:ind w:left="360"/>
            </w:pPr>
          </w:p>
        </w:tc>
      </w:tr>
      <w:tr w14:paraId="4F9BA947"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1517C98C" w14:textId="77777777">
            <w:r w:rsidRPr="006A0AC4">
              <w:rPr>
                <w:lang w:val="en"/>
              </w:rPr>
              <w:t>Truck staging areas</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C9BBA14"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D3E7047"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2F66138F" w14:textId="77777777">
            <w:pPr>
              <w:ind w:left="360"/>
            </w:pPr>
            <w:r w:rsidRPr="006A0AC4">
              <w:rPr>
                <w:lang w:val="en"/>
              </w:rPr>
              <w:t xml:space="preserve"> </w:t>
            </w: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A091E87"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AE5091E" w14:textId="77777777">
            <w:pPr>
              <w:ind w:left="360"/>
            </w:pPr>
          </w:p>
        </w:tc>
      </w:tr>
      <w:tr w14:paraId="38E81779"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21B9D96B" w14:textId="77777777">
            <w:r w:rsidRPr="006A0AC4">
              <w:rPr>
                <w:lang w:val="en"/>
              </w:rPr>
              <w:t>Clear access road to and from port</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1D6A26E"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2223784"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5B8AFFA"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943C850"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8686B45" w14:textId="77777777">
            <w:pPr>
              <w:ind w:left="360"/>
            </w:pPr>
          </w:p>
        </w:tc>
      </w:tr>
      <w:tr w14:paraId="5B114CAB"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3AD95BE4" w14:textId="77777777">
            <w:r w:rsidRPr="006A0AC4">
              <w:rPr>
                <w:lang w:val="en"/>
              </w:rPr>
              <w:t>Oversized truck space</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FA718FD"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8766F9D"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2A49B5F"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FE97456"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A20E580" w14:textId="77777777">
            <w:pPr>
              <w:ind w:left="360"/>
            </w:pPr>
          </w:p>
        </w:tc>
      </w:tr>
      <w:tr w14:paraId="2B9264D9" w14:textId="77777777">
        <w:tblPrEx>
          <w:tblW w:w="0" w:type="auto"/>
          <w:tblLayout w:type="fixed"/>
          <w:tblLook w:val="0400"/>
        </w:tblPrEx>
        <w:trPr>
          <w:trHeight w:val="300"/>
        </w:trPr>
        <w:tc>
          <w:tcPr>
            <w:tcW w:w="9165" w:type="dxa"/>
            <w:gridSpan w:val="6"/>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41B72EFD" w14:textId="77777777">
            <w:r w:rsidRPr="006A0AC4">
              <w:rPr>
                <w:b/>
                <w:bCs/>
                <w:lang w:val="en"/>
              </w:rPr>
              <w:t>Railway-Related Infrastructure</w:t>
            </w:r>
          </w:p>
        </w:tc>
      </w:tr>
      <w:tr w14:paraId="72710012"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2A339081" w14:textId="77777777">
            <w:r w:rsidRPr="006A0AC4">
              <w:rPr>
                <w:lang w:val="en"/>
              </w:rPr>
              <w:t>Access to Railways</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73B7D22"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03C33C7"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09B3C81"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E6CC0DB"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D2F80E8" w14:textId="77777777">
            <w:pPr>
              <w:ind w:left="360"/>
            </w:pPr>
          </w:p>
        </w:tc>
      </w:tr>
      <w:tr w14:paraId="677C730F" w14:textId="77777777">
        <w:tblPrEx>
          <w:tblW w:w="0" w:type="auto"/>
          <w:tblLayout w:type="fixed"/>
          <w:tblLook w:val="0400"/>
        </w:tblPrEx>
        <w:trPr>
          <w:trHeight w:val="300"/>
        </w:trPr>
        <w:tc>
          <w:tcPr>
            <w:tcW w:w="36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4A48BC" w14:paraId="741CB0CA" w14:textId="77777777">
            <w:r w:rsidRPr="006A0AC4">
              <w:rPr>
                <w:b/>
                <w:bCs/>
                <w:lang w:val="en"/>
              </w:rPr>
              <w:t>Other (please specify):</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BB73823"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0EF148D8" w14:textId="77777777">
            <w:pPr>
              <w:ind w:left="360"/>
            </w:pP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9844DCD" w14:textId="77777777">
            <w:pPr>
              <w:ind w:left="360"/>
            </w:pPr>
          </w:p>
        </w:tc>
        <w:tc>
          <w:tcPr>
            <w:tcW w:w="12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43A98851" w14:textId="77777777">
            <w:pPr>
              <w:ind w:left="360"/>
            </w:pPr>
          </w:p>
        </w:tc>
        <w:tc>
          <w:tcPr>
            <w:tcW w:w="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59DF52E8" w14:textId="77777777">
            <w:pPr>
              <w:ind w:left="360"/>
            </w:pPr>
          </w:p>
        </w:tc>
      </w:tr>
    </w:tbl>
    <w:p w:rsidR="006A0AC4" w:rsidP="006A0AC4" w14:paraId="2C56EC0E" w14:textId="77777777">
      <w:pPr>
        <w:ind w:left="360"/>
        <w:rPr>
          <w:b/>
          <w:bCs/>
        </w:rPr>
      </w:pPr>
    </w:p>
    <w:p w:rsidR="0041486E" w:rsidRPr="006A0AC4" w:rsidP="0041486E" w14:paraId="76DA5981" w14:textId="77777777">
      <w:pPr>
        <w:ind w:left="360"/>
      </w:pPr>
      <w:r w:rsidRPr="006A0AC4">
        <w:t xml:space="preserve">(Q10) Ports being used for fishing may have a variety of facilities available. BOEM must be aware of these facilities and any potential impact to them to conform with Coastal Zone Management regulations of the western states. Washington, Oregon, and California all have enforceable policies that mandate the protection of fisheries at some level. To conform to these policies, BOEM must have knowledge of the type of facilities that may potentially be impacted and to what degree. This question helps identify the types and estimate the level of fishing-related activities at a port that could potentially be impacted by offshore energy activities. The level of activity is relevant because if facilities are present but are not being used, that would lessen the degree of impact. </w:t>
      </w:r>
    </w:p>
    <w:p w:rsidR="0041486E" w:rsidRPr="006A0AC4" w:rsidP="006A0AC4" w14:paraId="4206C3CD" w14:textId="77777777">
      <w:pPr>
        <w:ind w:left="360"/>
        <w:rPr>
          <w:b/>
          <w:bCs/>
        </w:rPr>
      </w:pPr>
    </w:p>
    <w:p w:rsidR="006A0AC4" w:rsidRPr="0041486E" w:rsidP="006A0AC4" w14:paraId="6DE49CE1" w14:textId="77777777">
      <w:pPr>
        <w:numPr>
          <w:ilvl w:val="0"/>
          <w:numId w:val="24"/>
        </w:numPr>
        <w:rPr>
          <w:b/>
        </w:rPr>
      </w:pPr>
      <w:r w:rsidRPr="006A0AC4">
        <w:rPr>
          <w:b/>
          <w:bCs/>
        </w:rPr>
        <w:t>How frequently are the following fishery-related facilities used at your port?</w:t>
      </w:r>
    </w:p>
    <w:p w:rsidR="0041486E" w:rsidRPr="006A0AC4" w:rsidP="004A48BC" w14:paraId="78DD1740" w14:textId="77777777">
      <w:pPr>
        <w:ind w:left="720"/>
        <w:rPr>
          <w:b/>
        </w:rPr>
      </w:pPr>
    </w:p>
    <w:tbl>
      <w:tblPr>
        <w:tblStyle w:val="PlainTable1"/>
        <w:tblW w:w="0" w:type="auto"/>
        <w:tblBorders>
          <w:top w:val="single" w:sz="6" w:space="0" w:color="auto"/>
          <w:left w:val="single" w:sz="6" w:space="0" w:color="auto"/>
          <w:bottom w:val="single" w:sz="6" w:space="0" w:color="auto"/>
          <w:right w:val="single" w:sz="6" w:space="0" w:color="auto"/>
        </w:tblBorders>
        <w:tblLayout w:type="fixed"/>
        <w:tblLook w:val="0400"/>
      </w:tblPr>
      <w:tblGrid>
        <w:gridCol w:w="3225"/>
        <w:gridCol w:w="900"/>
        <w:gridCol w:w="975"/>
        <w:gridCol w:w="1125"/>
        <w:gridCol w:w="1035"/>
        <w:gridCol w:w="1035"/>
        <w:gridCol w:w="810"/>
      </w:tblGrid>
      <w:tr w14:paraId="18667DC4" w14:textId="77777777">
        <w:tblPrEx>
          <w:tblW w:w="0" w:type="auto"/>
          <w:tblBorders>
            <w:top w:val="single" w:sz="6" w:space="0" w:color="auto"/>
            <w:left w:val="single" w:sz="6" w:space="0" w:color="auto"/>
            <w:bottom w:val="single" w:sz="6" w:space="0" w:color="auto"/>
            <w:right w:val="single" w:sz="6" w:space="0" w:color="auto"/>
          </w:tblBorders>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vAlign w:val="center"/>
            <w:hideMark/>
          </w:tcPr>
          <w:p w:rsidR="006A0AC4" w:rsidRPr="006A0AC4" w:rsidP="004A48BC" w14:paraId="7663460B" w14:textId="77777777">
            <w:r w:rsidRPr="006A0AC4">
              <w:rPr>
                <w:b/>
                <w:bCs/>
                <w:lang w:val="en"/>
              </w:rPr>
              <w:t>Facility Type</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vAlign w:val="center"/>
            <w:hideMark/>
          </w:tcPr>
          <w:p w:rsidR="006A0AC4" w:rsidRPr="006A0AC4" w:rsidP="004A48BC" w14:paraId="5982F9D3" w14:textId="77777777">
            <w:r w:rsidRPr="006A0AC4">
              <w:rPr>
                <w:b/>
                <w:bCs/>
                <w:lang w:val="en"/>
              </w:rPr>
              <w:t>Never</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vAlign w:val="center"/>
            <w:hideMark/>
          </w:tcPr>
          <w:p w:rsidR="006A0AC4" w:rsidRPr="006A0AC4" w:rsidP="004A48BC" w14:paraId="10B6E7CD" w14:textId="77777777">
            <w:r w:rsidRPr="006A0AC4">
              <w:rPr>
                <w:b/>
                <w:bCs/>
                <w:lang w:val="en"/>
              </w:rPr>
              <w:t>Rarely</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vAlign w:val="center"/>
            <w:hideMark/>
          </w:tcPr>
          <w:p w:rsidR="006A0AC4" w:rsidRPr="006A0AC4" w:rsidP="004A48BC" w14:paraId="53E75646" w14:textId="77777777">
            <w:r w:rsidRPr="006A0AC4">
              <w:rPr>
                <w:b/>
                <w:bCs/>
                <w:lang w:val="en"/>
              </w:rPr>
              <w:t>Monthly</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vAlign w:val="center"/>
            <w:hideMark/>
          </w:tcPr>
          <w:p w:rsidR="006A0AC4" w:rsidRPr="006A0AC4" w:rsidP="004A48BC" w14:paraId="6CE59B1C" w14:textId="77777777">
            <w:r w:rsidRPr="006A0AC4">
              <w:rPr>
                <w:b/>
                <w:bCs/>
                <w:lang w:val="en"/>
              </w:rPr>
              <w:t>Weekly</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vAlign w:val="center"/>
            <w:hideMark/>
          </w:tcPr>
          <w:p w:rsidR="006A0AC4" w:rsidRPr="006A0AC4" w:rsidP="004A48BC" w14:paraId="3F7C7FA7" w14:textId="77777777">
            <w:r w:rsidRPr="006A0AC4">
              <w:rPr>
                <w:b/>
                <w:bCs/>
                <w:lang w:val="en"/>
              </w:rPr>
              <w:t xml:space="preserve">Daily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105" w:type="dxa"/>
              <w:bottom w:w="0" w:type="dxa"/>
              <w:right w:w="105" w:type="dxa"/>
            </w:tcMar>
            <w:vAlign w:val="center"/>
            <w:hideMark/>
          </w:tcPr>
          <w:p w:rsidR="006A0AC4" w:rsidRPr="006A0AC4" w:rsidP="004A48BC" w14:paraId="2639F486" w14:textId="77777777">
            <w:r w:rsidRPr="006A0AC4">
              <w:rPr>
                <w:b/>
                <w:bCs/>
                <w:lang w:val="en"/>
              </w:rPr>
              <w:t>N/A</w:t>
            </w:r>
          </w:p>
        </w:tc>
      </w:tr>
      <w:tr w14:paraId="00E57C13"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2EF38DD0" w14:textId="77777777">
            <w:r w:rsidRPr="006A0AC4">
              <w:rPr>
                <w:lang w:val="en"/>
              </w:rPr>
              <w:t>Commercial Fishing Docks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0943496"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0B23808"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01C6712"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CAAE10D"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2887C73"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91B219D" w14:textId="77777777">
            <w:pPr>
              <w:ind w:left="360"/>
            </w:pPr>
            <w:r w:rsidRPr="006A0AC4">
              <w:rPr>
                <w:lang w:val="en"/>
              </w:rPr>
              <w:t xml:space="preserve"> </w:t>
            </w:r>
          </w:p>
        </w:tc>
      </w:tr>
      <w:tr w14:paraId="3021CE6B"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7ED597ED" w14:textId="77777777">
            <w:r w:rsidRPr="006A0AC4">
              <w:rPr>
                <w:lang w:val="en"/>
              </w:rPr>
              <w:t>Recreational Fishing Docks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33253AF"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CC15E3B"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148C85D"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03B63D7"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171F098"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B27C79E" w14:textId="77777777">
            <w:pPr>
              <w:ind w:left="360"/>
            </w:pPr>
            <w:r w:rsidRPr="006A0AC4">
              <w:rPr>
                <w:lang w:val="en"/>
              </w:rPr>
              <w:t xml:space="preserve"> </w:t>
            </w:r>
          </w:p>
        </w:tc>
      </w:tr>
      <w:tr w14:paraId="5C66AD19"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1BF8A66E" w14:textId="77777777">
            <w:r w:rsidRPr="006A0AC4">
              <w:rPr>
                <w:lang w:val="en"/>
              </w:rPr>
              <w:t xml:space="preserve">Boat Ramps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D158F59"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F290474"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39C95AE"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9270F40"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A80D854"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BF7CC55" w14:textId="77777777">
            <w:pPr>
              <w:ind w:left="360"/>
            </w:pPr>
            <w:r w:rsidRPr="006A0AC4">
              <w:rPr>
                <w:lang w:val="en"/>
              </w:rPr>
              <w:t xml:space="preserve"> </w:t>
            </w:r>
          </w:p>
        </w:tc>
      </w:tr>
      <w:tr w14:paraId="782D174E"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6A0B7836" w14:textId="77777777">
            <w:r w:rsidRPr="006A0AC4">
              <w:rPr>
                <w:lang w:val="en"/>
              </w:rPr>
              <w:t>Cold Storage Facilities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50FB18B"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61AF9FC"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3F5263D"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EC8EF5D"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D93B0A2"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5EBF544" w14:textId="77777777">
            <w:pPr>
              <w:ind w:left="360"/>
            </w:pPr>
            <w:r w:rsidRPr="006A0AC4">
              <w:rPr>
                <w:lang w:val="en"/>
              </w:rPr>
              <w:t xml:space="preserve"> </w:t>
            </w:r>
          </w:p>
        </w:tc>
      </w:tr>
      <w:tr w14:paraId="177BE092"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74E3F0DC" w14:textId="77777777">
            <w:r w:rsidRPr="006A0AC4">
              <w:rPr>
                <w:lang w:val="en"/>
              </w:rPr>
              <w:t xml:space="preserve">Fish Processing Facilities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79C2CEB"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D741D18"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A8D06E0"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F4D7B3E"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A7DD862"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8E2FFCA" w14:textId="77777777">
            <w:pPr>
              <w:ind w:left="360"/>
            </w:pPr>
            <w:r w:rsidRPr="006A0AC4">
              <w:rPr>
                <w:lang w:val="en"/>
              </w:rPr>
              <w:t xml:space="preserve"> </w:t>
            </w:r>
          </w:p>
        </w:tc>
      </w:tr>
      <w:tr w14:paraId="1688A566"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06630201" w14:textId="77777777">
            <w:r w:rsidRPr="006A0AC4">
              <w:rPr>
                <w:lang w:val="en"/>
              </w:rPr>
              <w:t xml:space="preserve">Maintenance and Repair Facilities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F50A659"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40A70D5"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F9786AD"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31678E3"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0284E5F"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55344F0" w14:textId="77777777">
            <w:pPr>
              <w:ind w:left="360"/>
            </w:pPr>
            <w:r w:rsidRPr="006A0AC4">
              <w:rPr>
                <w:lang w:val="en"/>
              </w:rPr>
              <w:t xml:space="preserve"> </w:t>
            </w:r>
          </w:p>
        </w:tc>
      </w:tr>
      <w:tr w14:paraId="38AD3574"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133DF76D" w14:textId="77777777">
            <w:r w:rsidRPr="006A0AC4">
              <w:rPr>
                <w:lang w:val="en"/>
              </w:rPr>
              <w:t>Marine Fishing Supply Stores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B49BB02"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6980E38"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2667A05"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063FF6F"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74B3BA2"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C3BAECA" w14:textId="77777777">
            <w:pPr>
              <w:ind w:left="360"/>
            </w:pPr>
            <w:r w:rsidRPr="006A0AC4">
              <w:rPr>
                <w:lang w:val="en"/>
              </w:rPr>
              <w:t xml:space="preserve"> </w:t>
            </w:r>
          </w:p>
        </w:tc>
      </w:tr>
      <w:tr w14:paraId="00E9DAFF"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67E87436" w14:textId="77777777">
            <w:r w:rsidRPr="006A0AC4">
              <w:rPr>
                <w:lang w:val="en"/>
              </w:rPr>
              <w:t>Marine Storage Facility or Yard</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BBF29FC" w14:textId="77777777">
            <w:pPr>
              <w:ind w:left="360"/>
            </w:pPr>
            <w:r w:rsidRPr="006A0AC4">
              <w:rPr>
                <w:lang w:val="en"/>
              </w:rPr>
              <w:t xml:space="preserve"> </w:t>
            </w: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FBA97BD" w14:textId="77777777">
            <w:pPr>
              <w:ind w:left="360"/>
            </w:pPr>
            <w:r w:rsidRPr="006A0AC4">
              <w:rPr>
                <w:lang w:val="en"/>
              </w:rPr>
              <w:t xml:space="preserv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45C1CC7"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CC8E672" w14:textId="77777777">
            <w:pPr>
              <w:ind w:left="360"/>
            </w:pPr>
            <w:r w:rsidRPr="006A0AC4">
              <w:rPr>
                <w:lang w:val="en"/>
              </w:rPr>
              <w:t xml:space="preserve">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23D6952" w14:textId="77777777">
            <w:pPr>
              <w:ind w:left="360"/>
            </w:pPr>
            <w:r w:rsidRPr="006A0AC4">
              <w:rPr>
                <w:lang w:val="en"/>
              </w:rPr>
              <w:t xml:space="preserv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8FE5AAF" w14:textId="77777777">
            <w:pPr>
              <w:ind w:left="360"/>
            </w:pPr>
          </w:p>
        </w:tc>
      </w:tr>
      <w:tr w14:paraId="4AF52841"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26831FF0" w14:textId="77777777">
            <w:r w:rsidRPr="006A0AC4">
              <w:rPr>
                <w:lang w:val="en"/>
              </w:rPr>
              <w:t>Ice Machines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F6CEF9E"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1312C91"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687A6A8"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D115373"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CBB2323"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23FF70A" w14:textId="77777777">
            <w:pPr>
              <w:ind w:left="360"/>
            </w:pPr>
          </w:p>
        </w:tc>
      </w:tr>
      <w:tr w14:paraId="4050B726"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3A16157D" w14:textId="77777777">
            <w:r w:rsidRPr="006A0AC4">
              <w:rPr>
                <w:lang w:val="en"/>
              </w:rPr>
              <w:t>Fish Pumps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C432802"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762DF7F"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724CDE5"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9FBC454"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1AA780D7"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7068608" w14:textId="77777777">
            <w:pPr>
              <w:ind w:left="360"/>
            </w:pPr>
          </w:p>
        </w:tc>
      </w:tr>
      <w:tr w14:paraId="310CD4EB"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738F0943" w14:textId="77777777">
            <w:r w:rsidRPr="006A0AC4">
              <w:rPr>
                <w:lang w:val="en"/>
              </w:rPr>
              <w:t>Hoists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51635516"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AC40FAC"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E9A1BC9"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928FA35"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413BDC3"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463BB14" w14:textId="77777777">
            <w:pPr>
              <w:ind w:left="360"/>
            </w:pPr>
          </w:p>
        </w:tc>
      </w:tr>
      <w:tr w14:paraId="4280FE6C"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54510F84" w14:textId="77777777">
            <w:r w:rsidRPr="006A0AC4">
              <w:rPr>
                <w:lang w:val="en"/>
              </w:rPr>
              <w:t>Forklifts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4CD141E"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A89A296"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5D2F063E"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00F69BD"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1A58631C"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BDEEEEE" w14:textId="77777777">
            <w:pPr>
              <w:ind w:left="360"/>
            </w:pPr>
          </w:p>
        </w:tc>
      </w:tr>
      <w:tr w14:paraId="281385BC"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69AD4688" w14:textId="77777777">
            <w:r w:rsidRPr="006A0AC4">
              <w:rPr>
                <w:lang w:val="en"/>
              </w:rPr>
              <w:t>Commercial Shipping</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777AC51"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51A8243"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503E7DB"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1E29A24"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D405242"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7A09F7E" w14:textId="77777777">
            <w:pPr>
              <w:ind w:left="360"/>
            </w:pPr>
          </w:p>
        </w:tc>
      </w:tr>
      <w:tr w14:paraId="15768DDA"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0FFE326D" w14:textId="77777777">
            <w:r w:rsidRPr="006A0AC4">
              <w:rPr>
                <w:lang w:val="en"/>
              </w:rPr>
              <w:t xml:space="preserve">Military Support Facilities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5E12AC2"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A321FEE"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FFFC3ED"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120C4C78"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CDE4453"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5F00ED9" w14:textId="77777777">
            <w:pPr>
              <w:ind w:left="360"/>
            </w:pPr>
          </w:p>
        </w:tc>
      </w:tr>
      <w:tr w14:paraId="01661471"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002C90C8" w14:textId="77777777">
            <w:r w:rsidRPr="006A0AC4">
              <w:rPr>
                <w:lang w:val="en"/>
              </w:rPr>
              <w:t>Coast Guard/Public Safety Facilities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8BAFF0E"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8D790FB"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10E1CDB2"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19CD757"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8FE0EDB"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58CB0C4" w14:textId="77777777">
            <w:pPr>
              <w:ind w:left="360"/>
            </w:pPr>
          </w:p>
        </w:tc>
      </w:tr>
      <w:tr w14:paraId="26A4CFB9"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442AE03C" w14:textId="77777777">
            <w:r w:rsidRPr="006A0AC4">
              <w:rPr>
                <w:lang w:val="en"/>
              </w:rPr>
              <w:t xml:space="preserve">Scientific Research Facilities/Docks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BE92594"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A538484"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10FAF6A"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1C97244"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8315ED1"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90F2FAE" w14:textId="77777777">
            <w:pPr>
              <w:ind w:left="360"/>
            </w:pPr>
          </w:p>
        </w:tc>
      </w:tr>
      <w:tr w14:paraId="2FF1A05F"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1BC1B7D0" w14:textId="77777777">
            <w:r w:rsidRPr="006A0AC4">
              <w:rPr>
                <w:lang w:val="en"/>
              </w:rPr>
              <w:t xml:space="preserve">Tourism/Recreational Activities/Docks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1B5649A"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56E15112"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1CEFF363"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C58DA42"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7B9DFC8"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0CAD245" w14:textId="77777777">
            <w:pPr>
              <w:ind w:left="360"/>
            </w:pPr>
          </w:p>
        </w:tc>
      </w:tr>
      <w:tr w14:paraId="760E9A00"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4A48BC" w14:paraId="63A2275D" w14:textId="77777777">
            <w:r w:rsidRPr="006A0AC4">
              <w:rPr>
                <w:lang w:val="en"/>
              </w:rPr>
              <w:t>Small recreational (non-fishing) boating facilities</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5ECD063B"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A74F167"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35DF2CD"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638A25F"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tcPr>
          <w:p w:rsidR="006A0AC4" w:rsidRPr="006A0AC4" w:rsidP="006A0AC4" w14:paraId="75BA191C"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F623816" w14:textId="77777777">
            <w:pPr>
              <w:ind w:left="360"/>
            </w:pPr>
          </w:p>
        </w:tc>
      </w:tr>
      <w:tr w14:paraId="0342E0A6" w14:textId="77777777">
        <w:tblPrEx>
          <w:tblW w:w="0" w:type="auto"/>
          <w:tblLayout w:type="fixed"/>
          <w:tblLook w:val="0400"/>
        </w:tblPrEx>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4A48BC" w14:paraId="2936F580" w14:textId="77777777">
            <w:r w:rsidRPr="006A0AC4">
              <w:rPr>
                <w:lang w:val="en"/>
              </w:rPr>
              <w:t>Other (please specify):</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C7500F3" w14:textId="77777777">
            <w:pPr>
              <w:ind w:left="360"/>
            </w:pPr>
          </w:p>
        </w:tc>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FB22EC2" w14:textId="77777777">
            <w:pPr>
              <w:ind w:left="360"/>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1B8C96E"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9144BAA" w14:textId="77777777">
            <w:pPr>
              <w:ind w:left="360"/>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AA79645" w14:textId="77777777">
            <w:pPr>
              <w:ind w:left="360"/>
            </w:pP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A3CA2EA" w14:textId="77777777">
            <w:pPr>
              <w:ind w:left="360"/>
            </w:pPr>
          </w:p>
        </w:tc>
      </w:tr>
    </w:tbl>
    <w:p w:rsidR="006A0AC4" w:rsidRPr="006A0AC4" w:rsidP="006A0AC4" w14:paraId="37B0FAAD" w14:textId="77777777">
      <w:pPr>
        <w:ind w:left="360"/>
      </w:pPr>
    </w:p>
    <w:p w:rsidR="006A0AC4" w:rsidRPr="006A0AC4" w:rsidP="006A0AC4" w14:paraId="1F44C1DA" w14:textId="77777777">
      <w:pPr>
        <w:ind w:left="360"/>
        <w:rPr>
          <w:bCs/>
        </w:rPr>
      </w:pPr>
    </w:p>
    <w:p w:rsidR="00AD20E9" w:rsidRPr="006A0AC4" w:rsidP="00AD20E9" w14:paraId="1741E6EC" w14:textId="55A68679">
      <w:pPr>
        <w:ind w:left="360"/>
        <w:rPr>
          <w:bCs/>
        </w:rPr>
      </w:pPr>
      <w:r w:rsidRPr="006A0AC4">
        <w:t xml:space="preserve">(Q 11) BOEM is interested in exploring potential synergies between offshore energy activities and other port industries. Increased use generated by offshore energy activities could potentially help reduce the need for subsidies for some port facilities, thereby saving government funds. </w:t>
      </w:r>
    </w:p>
    <w:p w:rsidR="00AD20E9" w:rsidP="004A48BC" w14:paraId="528266E1" w14:textId="77777777">
      <w:pPr>
        <w:ind w:left="720"/>
        <w:rPr>
          <w:b/>
          <w:bCs/>
        </w:rPr>
      </w:pPr>
    </w:p>
    <w:p w:rsidR="006A0AC4" w:rsidRPr="006A0AC4" w:rsidP="006A0AC4" w14:paraId="2BCD8976" w14:textId="178E8B4A">
      <w:pPr>
        <w:numPr>
          <w:ilvl w:val="0"/>
          <w:numId w:val="24"/>
        </w:numPr>
        <w:rPr>
          <w:b/>
          <w:bCs/>
        </w:rPr>
      </w:pPr>
      <w:r w:rsidRPr="006A0AC4">
        <w:rPr>
          <w:b/>
          <w:bCs/>
        </w:rPr>
        <w:t xml:space="preserve">Are there federally, state, or locally subsidized facilities (e.g. commercial slips, fuel </w:t>
      </w:r>
    </w:p>
    <w:p w:rsidR="006A0AC4" w:rsidP="006A0AC4" w14:paraId="071F2F5D" w14:textId="77777777">
      <w:pPr>
        <w:ind w:left="360"/>
        <w:rPr>
          <w:b/>
          <w:bCs/>
        </w:rPr>
      </w:pPr>
      <w:r w:rsidRPr="006A0AC4">
        <w:rPr>
          <w:b/>
          <w:bCs/>
        </w:rPr>
        <w:t>docks) in the port where increased use and associated fees might reduce the need for such subsidies? If Yes, Please Describe:</w:t>
      </w:r>
    </w:p>
    <w:p w:rsidR="00AD20E9" w:rsidP="006A0AC4" w14:paraId="630602D0" w14:textId="77777777">
      <w:pPr>
        <w:ind w:left="360"/>
        <w:rPr>
          <w:b/>
          <w:bCs/>
        </w:rPr>
      </w:pPr>
    </w:p>
    <w:p w:rsidR="00AD20E9" w:rsidRPr="006A0AC4" w:rsidP="00AD20E9" w14:paraId="10BE707E" w14:textId="77777777">
      <w:pPr>
        <w:ind w:left="360"/>
      </w:pPr>
      <w:r w:rsidRPr="006A0AC4">
        <w:t>(Q 12</w:t>
      </w:r>
      <w:r w:rsidRPr="006A0AC4">
        <w:rPr>
          <w:lang w:val="en"/>
        </w:rPr>
        <w:t xml:space="preserve">–13) </w:t>
      </w:r>
      <w:r w:rsidRPr="006A0AC4">
        <w:t xml:space="preserve">Because projects involving offshore energy activities are likely to require several years for planning and execution, BOEM seeks to identify trends in port infrastructure use. This information may inform BOEM’s port selection for involvement in offshore operations and help the agency plan operations that may impact port activities. </w:t>
      </w:r>
    </w:p>
    <w:p w:rsidR="00AD20E9" w:rsidRPr="006A0AC4" w:rsidP="00AD20E9" w14:paraId="74EE3BCE" w14:textId="77777777">
      <w:pPr>
        <w:ind w:left="360"/>
      </w:pPr>
    </w:p>
    <w:p w:rsidR="006A0AC4" w:rsidRPr="00AD20E9" w:rsidP="006A0AC4" w14:paraId="3EF34604" w14:textId="77777777">
      <w:pPr>
        <w:numPr>
          <w:ilvl w:val="0"/>
          <w:numId w:val="24"/>
        </w:numPr>
        <w:rPr>
          <w:b/>
        </w:rPr>
      </w:pPr>
      <w:r w:rsidRPr="006A0AC4">
        <w:rPr>
          <w:b/>
          <w:bCs/>
        </w:rPr>
        <w:t xml:space="preserve">What, if any, change in </w:t>
      </w:r>
      <w:r w:rsidRPr="006A0AC4">
        <w:rPr>
          <w:b/>
          <w:bCs/>
          <w:u w:val="single"/>
        </w:rPr>
        <w:t>level of use</w:t>
      </w:r>
      <w:r w:rsidRPr="006A0AC4">
        <w:rPr>
          <w:b/>
          <w:bCs/>
        </w:rPr>
        <w:t xml:space="preserve"> have you observed for each facility listed below at your port over the past TEN years?</w:t>
      </w:r>
    </w:p>
    <w:p w:rsidR="00AD20E9" w:rsidRPr="006A0AC4" w:rsidP="004A48BC" w14:paraId="7F1A2227" w14:textId="77777777">
      <w:pPr>
        <w:ind w:left="720"/>
        <w:rPr>
          <w:b/>
        </w:rPr>
      </w:pPr>
    </w:p>
    <w:p w:rsidR="006A0AC4" w:rsidRPr="006A0AC4" w:rsidP="006A0AC4" w14:paraId="15D1DA07" w14:textId="77777777">
      <w:pPr>
        <w:numPr>
          <w:ilvl w:val="0"/>
          <w:numId w:val="24"/>
        </w:numPr>
        <w:rPr>
          <w:b/>
        </w:rPr>
      </w:pPr>
      <w:r w:rsidRPr="006A0AC4">
        <w:rPr>
          <w:b/>
          <w:bCs/>
        </w:rPr>
        <w:t>What are your expectations for the</w:t>
      </w:r>
      <w:r w:rsidRPr="006A0AC4">
        <w:rPr>
          <w:b/>
          <w:bCs/>
          <w:u w:val="single"/>
        </w:rPr>
        <w:t xml:space="preserve"> future use</w:t>
      </w:r>
      <w:r w:rsidRPr="006A0AC4">
        <w:rPr>
          <w:b/>
          <w:bCs/>
        </w:rPr>
        <w:t xml:space="preserve"> of each facility listed below at your port over the next TEN years?</w:t>
      </w:r>
    </w:p>
    <w:tbl>
      <w:tblPr>
        <w:tblW w:w="0" w:type="auto"/>
        <w:tblBorders>
          <w:top w:val="single" w:sz="6" w:space="0" w:color="auto"/>
          <w:left w:val="single" w:sz="6" w:space="0" w:color="auto"/>
          <w:bottom w:val="single" w:sz="6" w:space="0" w:color="auto"/>
          <w:right w:val="single" w:sz="6" w:space="0" w:color="auto"/>
        </w:tblBorders>
        <w:tblLayout w:type="fixed"/>
        <w:tblLook w:val="0400"/>
      </w:tblPr>
      <w:tblGrid>
        <w:gridCol w:w="2325"/>
        <w:gridCol w:w="1260"/>
        <w:gridCol w:w="1350"/>
        <w:gridCol w:w="1080"/>
        <w:gridCol w:w="1290"/>
        <w:gridCol w:w="1290"/>
        <w:gridCol w:w="735"/>
      </w:tblGrid>
      <w:tr w14:paraId="189AFA6E" w14:textId="77777777">
        <w:tblPrEx>
          <w:tblW w:w="0" w:type="auto"/>
          <w:tblBorders>
            <w:top w:val="single" w:sz="6" w:space="0" w:color="auto"/>
            <w:left w:val="single" w:sz="6" w:space="0" w:color="auto"/>
            <w:bottom w:val="single" w:sz="6" w:space="0" w:color="auto"/>
            <w:right w:val="single" w:sz="6" w:space="0" w:color="auto"/>
          </w:tblBorders>
          <w:tblLayout w:type="fixed"/>
          <w:tblLook w:val="0400"/>
        </w:tblPrEx>
        <w:trPr>
          <w:trHeight w:val="300"/>
        </w:trPr>
        <w:tc>
          <w:tcPr>
            <w:tcW w:w="2325"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2EA5F877" w14:textId="77777777">
            <w:r w:rsidRPr="006A0AC4">
              <w:rPr>
                <w:b/>
                <w:bCs/>
                <w:lang w:val="en"/>
              </w:rPr>
              <w:t>Facility Type</w:t>
            </w:r>
          </w:p>
        </w:tc>
        <w:tc>
          <w:tcPr>
            <w:tcW w:w="1260" w:type="dxa"/>
            <w:tcBorders>
              <w:top w:val="single" w:sz="6" w:space="0" w:color="000000" w:themeColor="text1"/>
              <w:left w:val="single" w:sz="12"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AD20E9" w:rsidP="00FB2E5C" w14:paraId="05E61198" w14:textId="77777777">
            <w:pPr>
              <w:rPr>
                <w:b/>
                <w:bCs/>
              </w:rPr>
            </w:pPr>
            <w:r w:rsidRPr="006A0AC4">
              <w:rPr>
                <w:b/>
                <w:bCs/>
              </w:rPr>
              <w:t>Large Decrease</w:t>
            </w:r>
          </w:p>
          <w:p w:rsidR="006A0AC4" w:rsidRPr="006A0AC4" w:rsidP="004A48BC" w14:paraId="3039B05E" w14:textId="243AFC19">
            <w:r w:rsidRPr="006A0AC4">
              <w:rPr>
                <w:lang w:val="en"/>
              </w:rPr>
              <w:t>greater than 25% loss</w:t>
            </w:r>
          </w:p>
        </w:tc>
        <w:tc>
          <w:tcPr>
            <w:tcW w:w="135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302FD666" w14:textId="77777777">
            <w:r w:rsidRPr="006A0AC4">
              <w:rPr>
                <w:b/>
                <w:bCs/>
                <w:lang w:val="en"/>
              </w:rPr>
              <w:t>Small Decrease</w:t>
            </w:r>
          </w:p>
          <w:p w:rsidR="006A0AC4" w:rsidRPr="006A0AC4" w:rsidP="004A48BC" w14:paraId="3640CF23" w14:textId="77777777">
            <w:r w:rsidRPr="006A0AC4">
              <w:rPr>
                <w:lang w:val="en"/>
              </w:rPr>
              <w:t>5 -25% loss</w:t>
            </w:r>
          </w:p>
        </w:tc>
        <w:tc>
          <w:tcPr>
            <w:tcW w:w="108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6F574183" w14:textId="77777777">
            <w:pPr>
              <w:rPr>
                <w:b/>
                <w:bCs/>
                <w:lang w:val="en"/>
              </w:rPr>
            </w:pPr>
            <w:r w:rsidRPr="006A0AC4">
              <w:rPr>
                <w:b/>
                <w:bCs/>
                <w:lang w:val="en"/>
              </w:rPr>
              <w:t>No Change</w:t>
            </w:r>
          </w:p>
          <w:p w:rsidR="006A0AC4" w:rsidRPr="006A0AC4" w:rsidP="004A48BC" w14:paraId="01792997" w14:textId="77777777">
            <w:r w:rsidRPr="006A0AC4">
              <w:rPr>
                <w:lang w:val="en"/>
              </w:rPr>
              <w:t>less than 5%</w:t>
            </w:r>
          </w:p>
        </w:tc>
        <w:tc>
          <w:tcPr>
            <w:tcW w:w="129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203D4805" w14:textId="77777777">
            <w:r w:rsidRPr="006A0AC4">
              <w:rPr>
                <w:b/>
                <w:bCs/>
                <w:lang w:val="en"/>
              </w:rPr>
              <w:t>Small Increase</w:t>
            </w:r>
          </w:p>
          <w:p w:rsidR="006A0AC4" w:rsidRPr="006A0AC4" w:rsidP="004A48BC" w14:paraId="6A00AA34" w14:textId="77777777">
            <w:r w:rsidRPr="006A0AC4">
              <w:rPr>
                <w:lang w:val="en"/>
              </w:rPr>
              <w:t>5-25% gain</w:t>
            </w:r>
          </w:p>
        </w:tc>
        <w:tc>
          <w:tcPr>
            <w:tcW w:w="129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368E6FAF" w14:textId="77777777">
            <w:r w:rsidRPr="006A0AC4">
              <w:rPr>
                <w:b/>
                <w:bCs/>
                <w:lang w:val="en"/>
              </w:rPr>
              <w:t>Large Increase</w:t>
            </w:r>
          </w:p>
          <w:p w:rsidR="006A0AC4" w:rsidRPr="006A0AC4" w:rsidP="004A48BC" w14:paraId="115F6631" w14:textId="77777777">
            <w:r w:rsidRPr="006A0AC4">
              <w:rPr>
                <w:lang w:val="en"/>
              </w:rPr>
              <w:t>greater than 25% gain</w:t>
            </w:r>
          </w:p>
        </w:tc>
        <w:tc>
          <w:tcPr>
            <w:tcW w:w="735"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13E02292" w14:textId="77777777">
            <w:r w:rsidRPr="006A0AC4">
              <w:rPr>
                <w:b/>
                <w:bCs/>
                <w:lang w:val="en"/>
              </w:rPr>
              <w:t>N/A</w:t>
            </w:r>
          </w:p>
        </w:tc>
      </w:tr>
      <w:tr w14:paraId="2A50DF4C" w14:textId="77777777">
        <w:tblPrEx>
          <w:tblW w:w="0" w:type="auto"/>
          <w:tblLayout w:type="fixed"/>
          <w:tblLook w:val="0400"/>
        </w:tblPrEx>
        <w:trPr>
          <w:trHeight w:val="300"/>
        </w:trPr>
        <w:tc>
          <w:tcPr>
            <w:tcW w:w="2325"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0C861B11" w14:textId="77777777">
            <w:r w:rsidRPr="006A0AC4">
              <w:rPr>
                <w:lang w:val="en"/>
              </w:rPr>
              <w:t xml:space="preserve">Commercial Fishing Docks </w:t>
            </w:r>
          </w:p>
        </w:tc>
        <w:tc>
          <w:tcPr>
            <w:tcW w:w="1260"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FC90B22" w14:textId="77777777">
            <w:pPr>
              <w:ind w:left="360"/>
            </w:pPr>
            <w:r w:rsidRPr="006A0AC4">
              <w:rPr>
                <w:lang w:val="en"/>
              </w:rPr>
              <w:t xml:space="preserve">  </w:t>
            </w:r>
          </w:p>
        </w:tc>
        <w:tc>
          <w:tcPr>
            <w:tcW w:w="135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EBCD46B" w14:textId="77777777">
            <w:pPr>
              <w:ind w:left="360"/>
            </w:pPr>
            <w:r w:rsidRPr="006A0AC4">
              <w:rPr>
                <w:lang w:val="en"/>
              </w:rPr>
              <w:t xml:space="preserve">  </w:t>
            </w:r>
          </w:p>
        </w:tc>
        <w:tc>
          <w:tcPr>
            <w:tcW w:w="108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D2DE823" w14:textId="77777777">
            <w:pPr>
              <w:ind w:left="360"/>
            </w:pPr>
            <w:r w:rsidRPr="006A0AC4">
              <w:rPr>
                <w:lang w:val="en"/>
              </w:rPr>
              <w:t xml:space="preserve">  </w:t>
            </w:r>
          </w:p>
        </w:tc>
        <w:tc>
          <w:tcPr>
            <w:tcW w:w="129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52F4356" w14:textId="77777777">
            <w:pPr>
              <w:ind w:left="360"/>
            </w:pPr>
            <w:r w:rsidRPr="006A0AC4">
              <w:rPr>
                <w:lang w:val="en"/>
              </w:rPr>
              <w:t xml:space="preserve">  </w:t>
            </w:r>
          </w:p>
        </w:tc>
        <w:tc>
          <w:tcPr>
            <w:tcW w:w="129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136EBB3" w14:textId="77777777">
            <w:pPr>
              <w:ind w:left="360"/>
            </w:pPr>
            <w:r w:rsidRPr="006A0AC4">
              <w:rPr>
                <w:lang w:val="en"/>
              </w:rPr>
              <w:t xml:space="preserve">  </w:t>
            </w:r>
          </w:p>
        </w:tc>
        <w:tc>
          <w:tcPr>
            <w:tcW w:w="73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32FCE102" w14:textId="77777777">
            <w:pPr>
              <w:ind w:left="360"/>
            </w:pPr>
            <w:r w:rsidRPr="006A0AC4">
              <w:rPr>
                <w:lang w:val="en"/>
              </w:rPr>
              <w:t xml:space="preserve"> </w:t>
            </w:r>
          </w:p>
        </w:tc>
      </w:tr>
      <w:tr w14:paraId="70BF6CCA"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7B933638" w14:textId="77777777">
            <w:r w:rsidRPr="006A0AC4">
              <w:rPr>
                <w:lang w:val="en"/>
              </w:rPr>
              <w:t xml:space="preserve">Recreational Fishing Docks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993EF1A"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B489822"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B01021B"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0BA90AB"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04C8ED8"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410BA14" w14:textId="77777777">
            <w:pPr>
              <w:ind w:left="360"/>
            </w:pPr>
            <w:r w:rsidRPr="006A0AC4">
              <w:rPr>
                <w:lang w:val="en"/>
              </w:rPr>
              <w:t xml:space="preserve"> </w:t>
            </w:r>
          </w:p>
        </w:tc>
      </w:tr>
      <w:tr w14:paraId="5DF9A804"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7ABD6988" w14:textId="77777777">
            <w:r w:rsidRPr="006A0AC4">
              <w:rPr>
                <w:lang w:val="en"/>
              </w:rPr>
              <w:t xml:space="preserve">Boat Ramps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4F8672D4"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3F0028F"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599F1618"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471F7128"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C44EE97"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B81CF47" w14:textId="77777777">
            <w:pPr>
              <w:ind w:left="360"/>
            </w:pPr>
            <w:r w:rsidRPr="006A0AC4">
              <w:rPr>
                <w:lang w:val="en"/>
              </w:rPr>
              <w:t xml:space="preserve"> </w:t>
            </w:r>
          </w:p>
        </w:tc>
      </w:tr>
      <w:tr w14:paraId="49B24F8E"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4DAF7765" w14:textId="77777777">
            <w:r w:rsidRPr="006A0AC4">
              <w:rPr>
                <w:lang w:val="en"/>
              </w:rPr>
              <w:t xml:space="preserve">Cold Storage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F8444A4"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04A3772"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A3DF185"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56764BD"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A90964E"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7E2FA8A" w14:textId="77777777">
            <w:pPr>
              <w:ind w:left="360"/>
            </w:pPr>
            <w:r w:rsidRPr="006A0AC4">
              <w:rPr>
                <w:lang w:val="en"/>
              </w:rPr>
              <w:t xml:space="preserve"> </w:t>
            </w:r>
          </w:p>
        </w:tc>
      </w:tr>
      <w:tr w14:paraId="7DE0837D"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58A2E91B" w14:textId="77777777">
            <w:r w:rsidRPr="006A0AC4">
              <w:rPr>
                <w:lang w:val="en"/>
              </w:rPr>
              <w:t xml:space="preserve">Fish Processing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CD58792"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6BEF948"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76E01C5"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246A867"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BB735FD"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E9ED1BA" w14:textId="77777777">
            <w:pPr>
              <w:ind w:left="360"/>
            </w:pPr>
            <w:r w:rsidRPr="006A0AC4">
              <w:rPr>
                <w:lang w:val="en"/>
              </w:rPr>
              <w:t xml:space="preserve"> </w:t>
            </w:r>
          </w:p>
        </w:tc>
      </w:tr>
      <w:tr w14:paraId="6A646568"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29215815" w14:textId="77777777">
            <w:r w:rsidRPr="006A0AC4">
              <w:rPr>
                <w:lang w:val="en"/>
              </w:rPr>
              <w:t xml:space="preserve">Maintenance and Repair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F3CF943"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1338529"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0885F9F"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AC9158D"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F4CA44D"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A481542" w14:textId="77777777">
            <w:pPr>
              <w:ind w:left="360"/>
            </w:pPr>
            <w:r w:rsidRPr="006A0AC4">
              <w:rPr>
                <w:lang w:val="en"/>
              </w:rPr>
              <w:t xml:space="preserve"> </w:t>
            </w:r>
          </w:p>
        </w:tc>
      </w:tr>
      <w:tr w14:paraId="2EED831E"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28933E38" w14:textId="77777777">
            <w:r w:rsidRPr="006A0AC4">
              <w:rPr>
                <w:lang w:val="en"/>
              </w:rPr>
              <w:t>Marine Fishing Supply Stores</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33C6B25A" w14:textId="77777777">
            <w:pPr>
              <w:ind w:left="360"/>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68B4EF86" w14:textId="77777777">
            <w:pPr>
              <w:ind w:left="360"/>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0055D6CD"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781E3842"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3A612840" w14:textId="77777777">
            <w:pPr>
              <w:ind w:left="360"/>
            </w:pP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3C51F33F" w14:textId="77777777">
            <w:pPr>
              <w:ind w:left="360"/>
            </w:pPr>
          </w:p>
        </w:tc>
      </w:tr>
      <w:tr w14:paraId="0BF02732"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68CBD775" w14:textId="77777777">
            <w:r w:rsidRPr="006A0AC4">
              <w:rPr>
                <w:lang w:val="en"/>
              </w:rPr>
              <w:t>Marine Storage Facility or Yard</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F15A13B" w14:textId="77777777">
            <w:pPr>
              <w:ind w:left="360"/>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BD74CB2" w14:textId="77777777">
            <w:pPr>
              <w:ind w:left="360"/>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DA610AB"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6DA5F50"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2876F2E" w14:textId="77777777">
            <w:pPr>
              <w:ind w:left="360"/>
            </w:pP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0C11FDE" w14:textId="77777777">
            <w:pPr>
              <w:ind w:left="360"/>
            </w:pPr>
          </w:p>
        </w:tc>
      </w:tr>
      <w:tr w14:paraId="093CF95B"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171C6EB4" w14:textId="77777777">
            <w:r w:rsidRPr="006A0AC4">
              <w:rPr>
                <w:lang w:val="en"/>
              </w:rPr>
              <w:t>Ice Machines</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38CF9D96" w14:textId="77777777">
            <w:pPr>
              <w:ind w:left="360"/>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0FDD4971" w14:textId="77777777">
            <w:pPr>
              <w:ind w:left="360"/>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375729DA"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25ED53B5"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1CB1137C" w14:textId="77777777">
            <w:pPr>
              <w:ind w:left="360"/>
            </w:pP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50452F86" w14:textId="77777777">
            <w:pPr>
              <w:ind w:left="360"/>
            </w:pPr>
          </w:p>
        </w:tc>
      </w:tr>
      <w:tr w14:paraId="6C425F63"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0336CB17" w14:textId="77777777">
            <w:r w:rsidRPr="006A0AC4">
              <w:rPr>
                <w:lang w:val="en"/>
              </w:rPr>
              <w:t>Fish Pumps</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819D937" w14:textId="77777777">
            <w:pPr>
              <w:ind w:left="360"/>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2AF0519" w14:textId="77777777">
            <w:pPr>
              <w:ind w:left="360"/>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F637310"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354204A1"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0B869D5" w14:textId="77777777">
            <w:pPr>
              <w:ind w:left="360"/>
            </w:pP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DC0E5F2" w14:textId="77777777">
            <w:pPr>
              <w:ind w:left="360"/>
            </w:pPr>
          </w:p>
        </w:tc>
      </w:tr>
      <w:tr w14:paraId="3C36562E"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49523726" w14:textId="77777777">
            <w:r w:rsidRPr="006A0AC4">
              <w:rPr>
                <w:lang w:val="en"/>
              </w:rPr>
              <w:t>Hoists</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721A9314" w14:textId="77777777">
            <w:pPr>
              <w:ind w:left="360"/>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00896426" w14:textId="77777777">
            <w:pPr>
              <w:ind w:left="360"/>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31D3BF47"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235DC67C"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5F945128" w14:textId="77777777">
            <w:pPr>
              <w:ind w:left="360"/>
            </w:pP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57FA6660" w14:textId="77777777">
            <w:pPr>
              <w:ind w:left="360"/>
            </w:pPr>
          </w:p>
        </w:tc>
      </w:tr>
      <w:tr w14:paraId="540237D2"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0B94EC5E" w14:textId="77777777">
            <w:r w:rsidRPr="006A0AC4">
              <w:rPr>
                <w:lang w:val="en"/>
              </w:rPr>
              <w:t>Forklifts</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B3C9AD4" w14:textId="77777777">
            <w:pPr>
              <w:ind w:left="360"/>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0F0C9833" w14:textId="77777777">
            <w:pPr>
              <w:ind w:left="360"/>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137A6A1"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F0060FA" w14:textId="77777777">
            <w:pPr>
              <w:ind w:left="360"/>
            </w:pP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C9545A4" w14:textId="77777777">
            <w:pPr>
              <w:ind w:left="360"/>
            </w:pP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159D70EF" w14:textId="77777777">
            <w:pPr>
              <w:ind w:left="360"/>
            </w:pPr>
          </w:p>
        </w:tc>
      </w:tr>
      <w:tr w14:paraId="1A61D15A"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74245990" w14:textId="77777777">
            <w:r w:rsidRPr="006A0AC4">
              <w:rPr>
                <w:lang w:val="en"/>
              </w:rPr>
              <w:t>Commercial Shipping</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318CE731"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58E22A3"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38D386E8"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5EB34E5"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4B58FB06"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FA2FA1C" w14:textId="77777777">
            <w:pPr>
              <w:ind w:left="360"/>
            </w:pPr>
            <w:r w:rsidRPr="006A0AC4">
              <w:rPr>
                <w:lang w:val="en"/>
              </w:rPr>
              <w:t xml:space="preserve"> </w:t>
            </w:r>
          </w:p>
        </w:tc>
      </w:tr>
      <w:tr w14:paraId="0FA1387B"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35A9209E" w14:textId="77777777">
            <w:r w:rsidRPr="006A0AC4">
              <w:rPr>
                <w:lang w:val="en"/>
              </w:rPr>
              <w:t xml:space="preserve">Military Support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4552CB5"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2A0F764"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43F96CA"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6888699"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EA04C70"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6A128A6" w14:textId="77777777">
            <w:pPr>
              <w:ind w:left="360"/>
            </w:pPr>
            <w:r w:rsidRPr="006A0AC4">
              <w:rPr>
                <w:lang w:val="en"/>
              </w:rPr>
              <w:t xml:space="preserve"> </w:t>
            </w:r>
          </w:p>
        </w:tc>
      </w:tr>
      <w:tr w14:paraId="0551C9C7"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370087CC" w14:textId="77777777">
            <w:r w:rsidRPr="006A0AC4">
              <w:rPr>
                <w:lang w:val="en"/>
              </w:rPr>
              <w:t>Coast Guard/Public Safety Facilities</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A667108"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370B042B"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3CABAB4E"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0D7A654"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C14B9F0"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22DE25D" w14:textId="77777777">
            <w:pPr>
              <w:ind w:left="360"/>
            </w:pPr>
            <w:r w:rsidRPr="006A0AC4">
              <w:rPr>
                <w:lang w:val="en"/>
              </w:rPr>
              <w:t xml:space="preserve"> </w:t>
            </w:r>
          </w:p>
        </w:tc>
      </w:tr>
      <w:tr w14:paraId="0C083BCD"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2DB68F6A" w14:textId="77777777">
            <w:r w:rsidRPr="006A0AC4">
              <w:rPr>
                <w:lang w:val="en"/>
              </w:rPr>
              <w:t xml:space="preserve">Scientific Research Facilities/Docks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FA8B138"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5A397C6"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0024605"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2450569"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CED4D96"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6C62F0F" w14:textId="77777777">
            <w:pPr>
              <w:ind w:left="360"/>
            </w:pPr>
            <w:r w:rsidRPr="006A0AC4">
              <w:rPr>
                <w:lang w:val="en"/>
              </w:rPr>
              <w:t xml:space="preserve"> </w:t>
            </w:r>
          </w:p>
        </w:tc>
      </w:tr>
      <w:tr w14:paraId="7A08966D"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32EAE9C9" w14:textId="77777777">
            <w:r w:rsidRPr="006A0AC4">
              <w:rPr>
                <w:lang w:val="en"/>
              </w:rPr>
              <w:t xml:space="preserve">Tourism/Recreational Activities/Docks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9179457"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8A2C305"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37206292"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0724704"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6B1B4555"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03FC8D7" w14:textId="77777777">
            <w:pPr>
              <w:ind w:left="360"/>
            </w:pPr>
            <w:r w:rsidRPr="006A0AC4">
              <w:rPr>
                <w:lang w:val="en"/>
              </w:rPr>
              <w:t xml:space="preserve"> </w:t>
            </w:r>
          </w:p>
        </w:tc>
      </w:tr>
      <w:tr w14:paraId="618C6972"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367FC7E3" w14:textId="77777777">
            <w:r w:rsidRPr="006A0AC4">
              <w:rPr>
                <w:lang w:val="en"/>
              </w:rPr>
              <w:t xml:space="preserve">Small recreational (non-fishing) boating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F2425B5"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8C76D38"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5B5B65D"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721F065"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C1007AB"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E02EEB5" w14:textId="77777777">
            <w:pPr>
              <w:ind w:left="360"/>
            </w:pPr>
            <w:r w:rsidRPr="006A0AC4">
              <w:rPr>
                <w:lang w:val="en"/>
              </w:rPr>
              <w:t xml:space="preserve"> </w:t>
            </w:r>
          </w:p>
        </w:tc>
      </w:tr>
      <w:tr w14:paraId="4AD415DA" w14:textId="77777777">
        <w:tblPrEx>
          <w:tblW w:w="0" w:type="auto"/>
          <w:tblLayout w:type="fixed"/>
          <w:tblLook w:val="0400"/>
        </w:tblPrEx>
        <w:trPr>
          <w:trHeight w:val="300"/>
        </w:trPr>
        <w:tc>
          <w:tcPr>
            <w:tcW w:w="232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4A48BC" w14:paraId="62B6367E" w14:textId="77777777">
            <w:r w:rsidRPr="006A0AC4">
              <w:rPr>
                <w:lang w:val="en"/>
              </w:rPr>
              <w:t xml:space="preserve">Other (please specify):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3557830"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0F078F2"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45C9589"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EE17666" w14:textId="77777777">
            <w:pPr>
              <w:ind w:left="360"/>
            </w:pPr>
            <w:r w:rsidRPr="006A0AC4">
              <w:rPr>
                <w:lang w:val="en"/>
              </w:rPr>
              <w:t xml:space="preserve"> </w:t>
            </w:r>
          </w:p>
        </w:tc>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A87ECEC" w14:textId="77777777">
            <w:pPr>
              <w:ind w:left="360"/>
            </w:pPr>
            <w:r w:rsidRPr="006A0AC4">
              <w:rPr>
                <w:lang w:val="en"/>
              </w:rPr>
              <w:t xml:space="preserve">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4B991554" w14:textId="77777777">
            <w:pPr>
              <w:ind w:left="360"/>
            </w:pPr>
          </w:p>
        </w:tc>
      </w:tr>
    </w:tbl>
    <w:p w:rsidR="006A0AC4" w:rsidP="006A0AC4" w14:paraId="455719F9" w14:textId="77777777">
      <w:pPr>
        <w:ind w:left="360"/>
      </w:pPr>
    </w:p>
    <w:p w:rsidR="00AD20E9" w:rsidP="006A0AC4" w14:paraId="1D62D862" w14:textId="77777777">
      <w:pPr>
        <w:ind w:left="360"/>
      </w:pPr>
    </w:p>
    <w:p w:rsidR="00AD20E9" w:rsidRPr="006A0AC4" w:rsidP="00AD20E9" w14:paraId="54521132" w14:textId="77777777">
      <w:pPr>
        <w:ind w:left="360"/>
      </w:pPr>
      <w:r w:rsidRPr="006A0AC4">
        <w:t xml:space="preserve">(Q 14) Location and intensity of fishing activities vary throughout the year due to the seasonality of species and their migration patterns along the coast. Fishery activity at ports is expected to vary in kind. Additional factors may influence the seasonality of other port activities. Data about seasonal use may inform BOEM’s planning and timing of offshore energy activities. </w:t>
      </w:r>
    </w:p>
    <w:p w:rsidR="00AD20E9" w:rsidRPr="006A0AC4" w:rsidP="006A0AC4" w14:paraId="19A9B262" w14:textId="77777777">
      <w:pPr>
        <w:ind w:left="360"/>
      </w:pPr>
    </w:p>
    <w:p w:rsidR="006A0AC4" w:rsidRPr="006A0AC4" w:rsidP="006A0AC4" w14:paraId="79049121" w14:textId="77777777">
      <w:pPr>
        <w:numPr>
          <w:ilvl w:val="0"/>
          <w:numId w:val="24"/>
        </w:numPr>
        <w:rPr>
          <w:b/>
          <w:bCs/>
        </w:rPr>
      </w:pPr>
      <w:r w:rsidRPr="006A0AC4">
        <w:rPr>
          <w:b/>
          <w:bCs/>
        </w:rPr>
        <w:t xml:space="preserve">How does the use of port facilities change seasonally? Describe the level of use for port facilities during each season using H (High = above 75% use), M (Medium = between 50% to 75% use) or L (Low = below 50% use). </w:t>
      </w:r>
      <w:r w:rsidRPr="006A0AC4">
        <w:t>(Please complete for each season or select N/A if the facility is not present at your port.)</w:t>
      </w:r>
      <w:r w:rsidRPr="006A0AC4">
        <w:rPr>
          <w:b/>
          <w:bCs/>
        </w:rPr>
        <w:t xml:space="preserve"> </w:t>
      </w:r>
      <w:r w:rsidRPr="006A0AC4">
        <w:t xml:space="preserve"> </w:t>
      </w:r>
    </w:p>
    <w:p w:rsidR="006A0AC4" w:rsidRPr="006A0AC4" w:rsidP="006A0AC4" w14:paraId="3F4088A3" w14:textId="77777777">
      <w:pPr>
        <w:ind w:left="360"/>
        <w:rPr>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430"/>
        <w:gridCol w:w="1260"/>
        <w:gridCol w:w="1500"/>
        <w:gridCol w:w="1350"/>
        <w:gridCol w:w="1530"/>
        <w:gridCol w:w="1080"/>
      </w:tblGrid>
      <w:tr w14:paraId="77E63BBF" w14:textId="77777777">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43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6A0AC4" w14:paraId="29C6B38D" w14:textId="77777777">
            <w:pPr>
              <w:ind w:left="360"/>
            </w:pPr>
            <w:r w:rsidRPr="006A0AC4">
              <w:rPr>
                <w:b/>
                <w:bCs/>
                <w:lang w:val="en"/>
              </w:rPr>
              <w:t>Facility Type</w:t>
            </w:r>
          </w:p>
        </w:tc>
        <w:tc>
          <w:tcPr>
            <w:tcW w:w="1260" w:type="dxa"/>
            <w:tcBorders>
              <w:top w:val="single" w:sz="6" w:space="0" w:color="000000" w:themeColor="text1"/>
              <w:left w:val="single" w:sz="12"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46E2F600" w14:textId="77777777">
            <w:r w:rsidRPr="006A0AC4">
              <w:rPr>
                <w:b/>
                <w:bCs/>
                <w:lang w:val="en"/>
              </w:rPr>
              <w:t xml:space="preserve">Winter </w:t>
            </w:r>
            <w:r w:rsidRPr="006A0AC4">
              <w:rPr>
                <w:i/>
                <w:iCs/>
                <w:lang w:val="en"/>
              </w:rPr>
              <w:t>(Dec-Feb)</w:t>
            </w:r>
          </w:p>
        </w:tc>
        <w:tc>
          <w:tcPr>
            <w:tcW w:w="150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0C04264F" w14:textId="77777777">
            <w:r w:rsidRPr="006A0AC4">
              <w:rPr>
                <w:b/>
                <w:bCs/>
                <w:lang w:val="en"/>
              </w:rPr>
              <w:t>Spring</w:t>
            </w:r>
          </w:p>
          <w:p w:rsidR="006A0AC4" w:rsidRPr="006A0AC4" w:rsidP="004A48BC" w14:paraId="163E630B" w14:textId="77777777">
            <w:r w:rsidRPr="006A0AC4">
              <w:rPr>
                <w:i/>
                <w:iCs/>
                <w:lang w:val="en"/>
              </w:rPr>
              <w:t>(March -May)</w:t>
            </w:r>
          </w:p>
        </w:tc>
        <w:tc>
          <w:tcPr>
            <w:tcW w:w="135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726A5544" w14:textId="77777777">
            <w:r w:rsidRPr="006A0AC4">
              <w:rPr>
                <w:b/>
                <w:bCs/>
                <w:lang w:val="en"/>
              </w:rPr>
              <w:t xml:space="preserve">Summer </w:t>
            </w:r>
            <w:r w:rsidRPr="006A0AC4">
              <w:rPr>
                <w:i/>
                <w:iCs/>
                <w:lang w:val="en"/>
              </w:rPr>
              <w:t>(June-Aug)</w:t>
            </w:r>
          </w:p>
        </w:tc>
        <w:tc>
          <w:tcPr>
            <w:tcW w:w="153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vAlign w:val="center"/>
            <w:hideMark/>
          </w:tcPr>
          <w:p w:rsidR="006A0AC4" w:rsidRPr="006A0AC4" w:rsidP="004A48BC" w14:paraId="7455FB59" w14:textId="77777777">
            <w:r w:rsidRPr="006A0AC4">
              <w:rPr>
                <w:b/>
                <w:bCs/>
                <w:lang w:val="en"/>
              </w:rPr>
              <w:t>Fall</w:t>
            </w:r>
          </w:p>
          <w:p w:rsidR="006A0AC4" w:rsidRPr="006A0AC4" w:rsidP="004A48BC" w14:paraId="21988A08" w14:textId="77777777">
            <w:r w:rsidRPr="006A0AC4">
              <w:rPr>
                <w:lang w:val="en"/>
              </w:rPr>
              <w:t>(Sept-Nov)</w:t>
            </w:r>
          </w:p>
        </w:tc>
        <w:tc>
          <w:tcPr>
            <w:tcW w:w="108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0" w:type="dxa"/>
              <w:left w:w="105" w:type="dxa"/>
              <w:bottom w:w="0" w:type="dxa"/>
              <w:right w:w="105" w:type="dxa"/>
            </w:tcMar>
            <w:hideMark/>
          </w:tcPr>
          <w:p w:rsidR="00AD20E9" w:rsidP="00FB2E5C" w14:paraId="75FB5444" w14:textId="77777777">
            <w:pPr>
              <w:rPr>
                <w:b/>
                <w:bCs/>
                <w:lang w:val="en"/>
              </w:rPr>
            </w:pPr>
          </w:p>
          <w:p w:rsidR="006A0AC4" w:rsidRPr="006A0AC4" w:rsidP="004A48BC" w14:paraId="73F422C1" w14:textId="2D9631A5">
            <w:r w:rsidRPr="006A0AC4">
              <w:rPr>
                <w:b/>
                <w:bCs/>
                <w:lang w:val="en"/>
              </w:rPr>
              <w:t>N/A</w:t>
            </w:r>
          </w:p>
        </w:tc>
      </w:tr>
      <w:tr w14:paraId="47F48D1A" w14:textId="77777777">
        <w:tblPrEx>
          <w:tblW w:w="0" w:type="auto"/>
          <w:tblLayout w:type="fixed"/>
          <w:tblLook w:val="04A0"/>
        </w:tblPrEx>
        <w:trPr>
          <w:trHeight w:val="300"/>
        </w:trPr>
        <w:tc>
          <w:tcPr>
            <w:tcW w:w="2430"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568F157B" w14:textId="77777777">
            <w:r w:rsidRPr="006A0AC4">
              <w:rPr>
                <w:lang w:val="en"/>
              </w:rPr>
              <w:t xml:space="preserve">Commercial Fishing Docks </w:t>
            </w:r>
          </w:p>
        </w:tc>
        <w:tc>
          <w:tcPr>
            <w:tcW w:w="1260"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4A37FCB4" w14:textId="77777777">
            <w:pPr>
              <w:ind w:left="360"/>
            </w:pPr>
            <w:r w:rsidRPr="006A0AC4">
              <w:rPr>
                <w:lang w:val="en"/>
              </w:rPr>
              <w:t xml:space="preserve">  </w:t>
            </w:r>
          </w:p>
        </w:tc>
        <w:tc>
          <w:tcPr>
            <w:tcW w:w="150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60E66A3E" w14:textId="77777777">
            <w:pPr>
              <w:ind w:left="360"/>
            </w:pPr>
            <w:r w:rsidRPr="006A0AC4">
              <w:rPr>
                <w:lang w:val="en"/>
              </w:rPr>
              <w:t xml:space="preserve">  </w:t>
            </w:r>
          </w:p>
        </w:tc>
        <w:tc>
          <w:tcPr>
            <w:tcW w:w="135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286B919" w14:textId="77777777">
            <w:pPr>
              <w:ind w:left="360"/>
            </w:pPr>
            <w:r w:rsidRPr="006A0AC4">
              <w:rPr>
                <w:lang w:val="en"/>
              </w:rPr>
              <w:t xml:space="preserve">  </w:t>
            </w:r>
          </w:p>
        </w:tc>
        <w:tc>
          <w:tcPr>
            <w:tcW w:w="153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577AF21" w14:textId="77777777">
            <w:pPr>
              <w:ind w:left="360"/>
            </w:pPr>
            <w:r w:rsidRPr="006A0AC4">
              <w:rPr>
                <w:lang w:val="en"/>
              </w:rPr>
              <w:t xml:space="preserve">  </w:t>
            </w:r>
          </w:p>
        </w:tc>
        <w:tc>
          <w:tcPr>
            <w:tcW w:w="1080"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5B863D8F" w14:textId="77777777">
            <w:pPr>
              <w:ind w:left="360"/>
            </w:pPr>
          </w:p>
        </w:tc>
      </w:tr>
      <w:tr w14:paraId="5C675B3C"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0BD5FA29" w14:textId="77777777">
            <w:r w:rsidRPr="006A0AC4">
              <w:rPr>
                <w:lang w:val="en"/>
              </w:rPr>
              <w:t xml:space="preserve">Recreational Fishing Docks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AEAB6F6"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979BA76"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1DF2F219"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C3E6986"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5162F53F" w14:textId="77777777">
            <w:pPr>
              <w:ind w:left="360"/>
            </w:pPr>
          </w:p>
        </w:tc>
      </w:tr>
      <w:tr w14:paraId="2AC0ECF4"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0423F57A" w14:textId="77777777">
            <w:r w:rsidRPr="006A0AC4">
              <w:rPr>
                <w:lang w:val="en"/>
              </w:rPr>
              <w:t xml:space="preserve">Boat Ramps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28CF347"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45DE035"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406F1D02"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1B8A1B5"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23205746" w14:textId="77777777">
            <w:pPr>
              <w:ind w:left="360"/>
            </w:pPr>
          </w:p>
        </w:tc>
      </w:tr>
      <w:tr w14:paraId="5E90D1F1"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464F12EC" w14:textId="77777777">
            <w:r w:rsidRPr="006A0AC4">
              <w:rPr>
                <w:lang w:val="en"/>
              </w:rPr>
              <w:t xml:space="preserve">Cold Storage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295D01C"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85D9CFD"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A5C4F15"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252A2CF"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73CB24C" w14:textId="77777777">
            <w:pPr>
              <w:ind w:left="360"/>
            </w:pPr>
          </w:p>
        </w:tc>
      </w:tr>
      <w:tr w14:paraId="5E6E78A5"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74D2FD90" w14:textId="77777777">
            <w:r w:rsidRPr="006A0AC4">
              <w:rPr>
                <w:lang w:val="en"/>
              </w:rPr>
              <w:t xml:space="preserve">Fish Processing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5D56768C"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590EAECD"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354D56D"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88C801B"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111B468E" w14:textId="77777777">
            <w:pPr>
              <w:ind w:left="360"/>
            </w:pPr>
          </w:p>
        </w:tc>
      </w:tr>
      <w:tr w14:paraId="2E6DA59E"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auto"/>
              <w:right w:val="single" w:sz="12" w:space="0" w:color="000000" w:themeColor="text1"/>
            </w:tcBorders>
            <w:tcMar>
              <w:top w:w="0" w:type="dxa"/>
              <w:left w:w="105" w:type="dxa"/>
              <w:bottom w:w="0" w:type="dxa"/>
              <w:right w:w="105" w:type="dxa"/>
            </w:tcMar>
            <w:vAlign w:val="center"/>
            <w:hideMark/>
          </w:tcPr>
          <w:p w:rsidR="006A0AC4" w:rsidRPr="006A0AC4" w:rsidP="004A48BC" w14:paraId="4F174195" w14:textId="77777777">
            <w:r w:rsidRPr="006A0AC4">
              <w:rPr>
                <w:lang w:val="en"/>
              </w:rPr>
              <w:t xml:space="preserve">Maintenance and Repair Facilities  </w:t>
            </w:r>
          </w:p>
        </w:tc>
        <w:tc>
          <w:tcPr>
            <w:tcW w:w="1260" w:type="dxa"/>
            <w:tcBorders>
              <w:top w:val="single" w:sz="6" w:space="0" w:color="000000" w:themeColor="text1"/>
              <w:left w:val="single" w:sz="12" w:space="0" w:color="000000" w:themeColor="text1"/>
              <w:bottom w:val="single" w:sz="6" w:space="0" w:color="auto"/>
              <w:right w:val="single" w:sz="6" w:space="0" w:color="000000" w:themeColor="text1"/>
            </w:tcBorders>
            <w:tcMar>
              <w:top w:w="0" w:type="dxa"/>
              <w:left w:w="105" w:type="dxa"/>
              <w:bottom w:w="0" w:type="dxa"/>
              <w:right w:w="105" w:type="dxa"/>
            </w:tcMar>
            <w:hideMark/>
          </w:tcPr>
          <w:p w:rsidR="006A0AC4" w:rsidRPr="006A0AC4" w:rsidP="006A0AC4" w14:paraId="4A3BE3B2"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769AF316"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316C8183"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AB1556F"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70274ACE" w14:textId="77777777">
            <w:pPr>
              <w:ind w:left="360"/>
            </w:pPr>
          </w:p>
        </w:tc>
      </w:tr>
      <w:tr w14:paraId="512E9F86" w14:textId="77777777">
        <w:tblPrEx>
          <w:tblW w:w="0" w:type="auto"/>
          <w:tblLayout w:type="fixed"/>
          <w:tblLook w:val="04A0"/>
        </w:tblPrEx>
        <w:trPr>
          <w:trHeight w:val="300"/>
        </w:trPr>
        <w:tc>
          <w:tcPr>
            <w:tcW w:w="243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Mar>
              <w:top w:w="0" w:type="dxa"/>
              <w:left w:w="105" w:type="dxa"/>
              <w:bottom w:w="0" w:type="dxa"/>
              <w:right w:w="105" w:type="dxa"/>
            </w:tcMar>
            <w:hideMark/>
          </w:tcPr>
          <w:p w:rsidR="006A0AC4" w:rsidRPr="006A0AC4" w:rsidP="004A48BC" w14:paraId="3F775DB7" w14:textId="77777777">
            <w:r w:rsidRPr="006A0AC4">
              <w:rPr>
                <w:lang w:val="en"/>
              </w:rPr>
              <w:t>Marine Fishing Supply Stores</w:t>
            </w:r>
          </w:p>
        </w:tc>
        <w:tc>
          <w:tcPr>
            <w:tcW w:w="126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6152FB9D" w14:textId="77777777">
            <w:pPr>
              <w:ind w:left="360"/>
            </w:pP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478B9079" w14:textId="77777777">
            <w:pPr>
              <w:ind w:left="360"/>
            </w:pP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0325503" w14:textId="77777777">
            <w:pPr>
              <w:ind w:left="360"/>
            </w:pP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5F432E0" w14:textId="77777777">
            <w:pPr>
              <w:ind w:left="360"/>
            </w:pP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4508C98" w14:textId="77777777">
            <w:pPr>
              <w:ind w:left="360"/>
            </w:pPr>
          </w:p>
        </w:tc>
      </w:tr>
      <w:tr w14:paraId="2517896C" w14:textId="77777777">
        <w:tblPrEx>
          <w:tblW w:w="0" w:type="auto"/>
          <w:tblLayout w:type="fixed"/>
          <w:tblLook w:val="04A0"/>
        </w:tblPrEx>
        <w:trPr>
          <w:trHeight w:val="300"/>
        </w:trPr>
        <w:tc>
          <w:tcPr>
            <w:tcW w:w="2430"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hideMark/>
          </w:tcPr>
          <w:p w:rsidR="006A0AC4" w:rsidRPr="006A0AC4" w:rsidP="004A48BC" w14:paraId="04AABEB6" w14:textId="77777777">
            <w:r w:rsidRPr="006A0AC4">
              <w:rPr>
                <w:lang w:val="en"/>
              </w:rPr>
              <w:t>Marine Storage Facility or Yard</w:t>
            </w:r>
          </w:p>
        </w:tc>
        <w:tc>
          <w:tcPr>
            <w:tcW w:w="1260"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tcPr>
          <w:p w:rsidR="006A0AC4" w:rsidRPr="006A0AC4" w:rsidP="006A0AC4" w14:paraId="2562F63B" w14:textId="77777777">
            <w:pPr>
              <w:ind w:left="360"/>
            </w:pP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08CEC0E" w14:textId="77777777">
            <w:pPr>
              <w:ind w:left="360"/>
            </w:pPr>
          </w:p>
        </w:tc>
        <w:tc>
          <w:tcPr>
            <w:tcW w:w="13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948BEE3" w14:textId="77777777">
            <w:pPr>
              <w:ind w:left="360"/>
            </w:pP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16CFD03A" w14:textId="77777777">
            <w:pPr>
              <w:ind w:left="360"/>
            </w:pPr>
          </w:p>
        </w:tc>
        <w:tc>
          <w:tcPr>
            <w:tcW w:w="1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D73F8AB" w14:textId="77777777">
            <w:pPr>
              <w:ind w:left="360"/>
            </w:pPr>
          </w:p>
        </w:tc>
      </w:tr>
      <w:tr w14:paraId="2587AFD6" w14:textId="77777777">
        <w:tblPrEx>
          <w:tblW w:w="0" w:type="auto"/>
          <w:tblLayout w:type="fixed"/>
          <w:tblLook w:val="04A0"/>
        </w:tblPrEx>
        <w:trPr>
          <w:trHeight w:val="300"/>
        </w:trPr>
        <w:tc>
          <w:tcPr>
            <w:tcW w:w="243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12FFAAC9" w14:textId="77777777">
            <w:r w:rsidRPr="006A0AC4">
              <w:rPr>
                <w:lang w:val="en"/>
              </w:rPr>
              <w:t>Ice Machines</w:t>
            </w:r>
          </w:p>
        </w:tc>
        <w:tc>
          <w:tcPr>
            <w:tcW w:w="126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5479D7C" w14:textId="77777777">
            <w:pPr>
              <w:ind w:left="360"/>
            </w:pP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7718E4A" w14:textId="77777777">
            <w:pPr>
              <w:ind w:left="360"/>
            </w:pP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3A6C8A9E" w14:textId="77777777">
            <w:pPr>
              <w:ind w:left="360"/>
            </w:pP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10EB227" w14:textId="77777777">
            <w:pPr>
              <w:ind w:left="360"/>
            </w:pP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BD56B71" w14:textId="77777777">
            <w:pPr>
              <w:ind w:left="360"/>
            </w:pPr>
          </w:p>
        </w:tc>
      </w:tr>
      <w:tr w14:paraId="43A452D9" w14:textId="77777777">
        <w:tblPrEx>
          <w:tblW w:w="0" w:type="auto"/>
          <w:tblLayout w:type="fixed"/>
          <w:tblLook w:val="04A0"/>
        </w:tblPrEx>
        <w:trPr>
          <w:trHeight w:val="300"/>
        </w:trPr>
        <w:tc>
          <w:tcPr>
            <w:tcW w:w="2430"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6A0AC4" w:rsidRPr="006A0AC4" w:rsidP="004A48BC" w14:paraId="617159CA" w14:textId="77777777">
            <w:r w:rsidRPr="006A0AC4">
              <w:rPr>
                <w:lang w:val="en"/>
              </w:rPr>
              <w:t>Fish Pumps</w:t>
            </w:r>
          </w:p>
        </w:tc>
        <w:tc>
          <w:tcPr>
            <w:tcW w:w="1260"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tcPr>
          <w:p w:rsidR="006A0AC4" w:rsidRPr="006A0AC4" w:rsidP="006A0AC4" w14:paraId="548E8B4C" w14:textId="77777777">
            <w:pPr>
              <w:ind w:left="360"/>
            </w:pP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B82D88B" w14:textId="77777777">
            <w:pPr>
              <w:ind w:left="360"/>
            </w:pPr>
          </w:p>
        </w:tc>
        <w:tc>
          <w:tcPr>
            <w:tcW w:w="13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5BA48F3" w14:textId="77777777">
            <w:pPr>
              <w:ind w:left="360"/>
            </w:pP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68D873E" w14:textId="77777777">
            <w:pPr>
              <w:ind w:left="360"/>
            </w:pPr>
          </w:p>
        </w:tc>
        <w:tc>
          <w:tcPr>
            <w:tcW w:w="1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E8A1DC0" w14:textId="77777777">
            <w:pPr>
              <w:ind w:left="360"/>
            </w:pPr>
          </w:p>
        </w:tc>
      </w:tr>
      <w:tr w14:paraId="630BD3BA" w14:textId="77777777">
        <w:tblPrEx>
          <w:tblW w:w="0" w:type="auto"/>
          <w:tblLayout w:type="fixed"/>
          <w:tblLook w:val="04A0"/>
        </w:tblPrEx>
        <w:trPr>
          <w:trHeight w:val="300"/>
        </w:trPr>
        <w:tc>
          <w:tcPr>
            <w:tcW w:w="243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120B31AA" w14:textId="77777777">
            <w:r w:rsidRPr="006A0AC4">
              <w:rPr>
                <w:lang w:val="en"/>
              </w:rPr>
              <w:t>Hoists</w:t>
            </w:r>
          </w:p>
        </w:tc>
        <w:tc>
          <w:tcPr>
            <w:tcW w:w="1260" w:type="dxa"/>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527D10A3" w14:textId="77777777">
            <w:pPr>
              <w:ind w:left="360"/>
            </w:pP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22F41ACD" w14:textId="77777777">
            <w:pPr>
              <w:ind w:left="360"/>
            </w:pP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9B4FF4C" w14:textId="77777777">
            <w:pPr>
              <w:ind w:left="360"/>
            </w:pP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7FB2AB65" w14:textId="77777777">
            <w:pPr>
              <w:ind w:left="360"/>
            </w:pP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tcPr>
          <w:p w:rsidR="006A0AC4" w:rsidRPr="006A0AC4" w:rsidP="006A0AC4" w14:paraId="04664904" w14:textId="77777777">
            <w:pPr>
              <w:ind w:left="360"/>
            </w:pPr>
          </w:p>
        </w:tc>
      </w:tr>
      <w:tr w14:paraId="2C6F77FA" w14:textId="77777777">
        <w:tblPrEx>
          <w:tblW w:w="0" w:type="auto"/>
          <w:tblLayout w:type="fixed"/>
          <w:tblLook w:val="04A0"/>
        </w:tblPrEx>
        <w:trPr>
          <w:trHeight w:val="300"/>
        </w:trPr>
        <w:tc>
          <w:tcPr>
            <w:tcW w:w="2430" w:type="dxa"/>
            <w:tcBorders>
              <w:top w:val="single" w:sz="6" w:space="0" w:color="auto"/>
              <w:left w:val="single" w:sz="6" w:space="0" w:color="auto"/>
              <w:bottom w:val="single" w:sz="6" w:space="0" w:color="auto"/>
              <w:right w:val="single" w:sz="12" w:space="0" w:color="auto"/>
            </w:tcBorders>
            <w:tcMar>
              <w:top w:w="0" w:type="dxa"/>
              <w:left w:w="105" w:type="dxa"/>
              <w:bottom w:w="0" w:type="dxa"/>
              <w:right w:w="105" w:type="dxa"/>
            </w:tcMar>
            <w:vAlign w:val="center"/>
            <w:hideMark/>
          </w:tcPr>
          <w:p w:rsidR="006A0AC4" w:rsidRPr="006A0AC4" w:rsidP="004A48BC" w14:paraId="57C66607" w14:textId="77777777">
            <w:r w:rsidRPr="006A0AC4">
              <w:rPr>
                <w:lang w:val="en"/>
              </w:rPr>
              <w:t>Forklifts</w:t>
            </w:r>
          </w:p>
        </w:tc>
        <w:tc>
          <w:tcPr>
            <w:tcW w:w="1260" w:type="dxa"/>
            <w:tcBorders>
              <w:top w:val="single" w:sz="6" w:space="0" w:color="auto"/>
              <w:left w:val="single" w:sz="12" w:space="0" w:color="auto"/>
              <w:bottom w:val="single" w:sz="6" w:space="0" w:color="auto"/>
              <w:right w:val="single" w:sz="6" w:space="0" w:color="auto"/>
            </w:tcBorders>
            <w:tcMar>
              <w:top w:w="0" w:type="dxa"/>
              <w:left w:w="105" w:type="dxa"/>
              <w:bottom w:w="0" w:type="dxa"/>
              <w:right w:w="105" w:type="dxa"/>
            </w:tcMar>
          </w:tcPr>
          <w:p w:rsidR="006A0AC4" w:rsidRPr="006A0AC4" w:rsidP="006A0AC4" w14:paraId="7145041D" w14:textId="77777777">
            <w:pPr>
              <w:ind w:left="360"/>
            </w:pP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7FBBCA1D" w14:textId="77777777">
            <w:pPr>
              <w:ind w:left="360"/>
            </w:pPr>
          </w:p>
        </w:tc>
        <w:tc>
          <w:tcPr>
            <w:tcW w:w="13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6245A4DB" w14:textId="77777777">
            <w:pPr>
              <w:ind w:left="360"/>
            </w:pP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24D25C2C" w14:textId="77777777">
            <w:pPr>
              <w:ind w:left="360"/>
            </w:pPr>
          </w:p>
        </w:tc>
        <w:tc>
          <w:tcPr>
            <w:tcW w:w="1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6A0AC4" w:rsidRPr="006A0AC4" w:rsidP="006A0AC4" w14:paraId="3526CC11" w14:textId="77777777">
            <w:pPr>
              <w:ind w:left="360"/>
            </w:pPr>
          </w:p>
        </w:tc>
      </w:tr>
      <w:tr w14:paraId="3249D9CD" w14:textId="77777777">
        <w:tblPrEx>
          <w:tblW w:w="0" w:type="auto"/>
          <w:tblLayout w:type="fixed"/>
          <w:tblLook w:val="04A0"/>
        </w:tblPrEx>
        <w:trPr>
          <w:trHeight w:val="300"/>
        </w:trPr>
        <w:tc>
          <w:tcPr>
            <w:tcW w:w="2430" w:type="dxa"/>
            <w:tcBorders>
              <w:top w:val="single" w:sz="6" w:space="0" w:color="auto"/>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4B5A7674" w14:textId="77777777">
            <w:r w:rsidRPr="006A0AC4">
              <w:rPr>
                <w:lang w:val="en"/>
              </w:rPr>
              <w:t>Commercial Shipping</w:t>
            </w:r>
          </w:p>
        </w:tc>
        <w:tc>
          <w:tcPr>
            <w:tcW w:w="1260" w:type="dxa"/>
            <w:tcBorders>
              <w:top w:val="single" w:sz="6" w:space="0" w:color="auto"/>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687F28AA"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147EA81"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6EFC5484"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61433D51"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6B9445E2" w14:textId="77777777">
            <w:pPr>
              <w:ind w:left="360"/>
            </w:pPr>
          </w:p>
        </w:tc>
      </w:tr>
      <w:tr w14:paraId="494703E0"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56355A20" w14:textId="77777777">
            <w:r w:rsidRPr="006A0AC4">
              <w:rPr>
                <w:lang w:val="en"/>
              </w:rPr>
              <w:t xml:space="preserve">Military Support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7CF507F"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74FEDEE"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0679C79"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1EAC612"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26BD5A89" w14:textId="77777777">
            <w:pPr>
              <w:ind w:left="360"/>
            </w:pPr>
          </w:p>
        </w:tc>
      </w:tr>
      <w:tr w14:paraId="1CDB62A4"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446C8B81" w14:textId="77777777">
            <w:r w:rsidRPr="006A0AC4">
              <w:rPr>
                <w:lang w:val="en"/>
              </w:rPr>
              <w:t>Coast Guard/Public Safety Facilities</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330B99E"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4F4DAF80"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25297D1"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6597105B"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6F5B4E65" w14:textId="77777777">
            <w:pPr>
              <w:ind w:left="360"/>
            </w:pPr>
          </w:p>
        </w:tc>
      </w:tr>
      <w:tr w14:paraId="72B9A556"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2764016D" w14:textId="77777777">
            <w:r w:rsidRPr="006A0AC4">
              <w:rPr>
                <w:lang w:val="en"/>
              </w:rPr>
              <w:t xml:space="preserve">Scientific Research Facilities/Docks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2976FE4"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46AC47A2"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A44E878"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0971C89"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602E7E8C" w14:textId="77777777">
            <w:pPr>
              <w:ind w:left="360"/>
            </w:pPr>
          </w:p>
        </w:tc>
      </w:tr>
      <w:tr w14:paraId="3119062C"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vAlign w:val="center"/>
            <w:hideMark/>
          </w:tcPr>
          <w:p w:rsidR="006A0AC4" w:rsidRPr="006A0AC4" w:rsidP="004A48BC" w14:paraId="5708C455" w14:textId="77777777">
            <w:r w:rsidRPr="006A0AC4">
              <w:rPr>
                <w:lang w:val="en"/>
              </w:rPr>
              <w:t xml:space="preserve">Tourism/Recreational Activities/Docks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0660E6E5"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4E8695E3"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C31163C"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222EBD70"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762629A8" w14:textId="77777777">
            <w:pPr>
              <w:ind w:left="360"/>
            </w:pPr>
          </w:p>
        </w:tc>
      </w:tr>
      <w:tr w14:paraId="1C5F6851"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5" w:type="dxa"/>
              <w:bottom w:w="0" w:type="dxa"/>
              <w:right w:w="105" w:type="dxa"/>
            </w:tcMar>
            <w:vAlign w:val="center"/>
            <w:hideMark/>
          </w:tcPr>
          <w:p w:rsidR="006A0AC4" w:rsidRPr="006A0AC4" w:rsidP="004A48BC" w14:paraId="280E8E71" w14:textId="77777777">
            <w:r w:rsidRPr="006A0AC4">
              <w:rPr>
                <w:lang w:val="en"/>
              </w:rPr>
              <w:t xml:space="preserve">Small recreational (non-fishing) boating facilities  </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517B5154"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02EBD9E9"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2D1383AE"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rsidR="006A0AC4" w:rsidRPr="006A0AC4" w:rsidP="006A0AC4" w14:paraId="60AF815A"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rsidR="006A0AC4" w:rsidRPr="006A0AC4" w:rsidP="006A0AC4" w14:paraId="4802540E" w14:textId="77777777">
            <w:pPr>
              <w:ind w:left="360"/>
            </w:pPr>
          </w:p>
        </w:tc>
      </w:tr>
      <w:tr w14:paraId="6553AA0B" w14:textId="77777777">
        <w:tblPrEx>
          <w:tblW w:w="0" w:type="auto"/>
          <w:tblLayout w:type="fixed"/>
          <w:tblLook w:val="04A0"/>
        </w:tblPrEx>
        <w:trPr>
          <w:trHeight w:val="300"/>
        </w:trPr>
        <w:tc>
          <w:tcPr>
            <w:tcW w:w="2430"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4A48BC" w14:paraId="1331ACFE" w14:textId="77777777">
            <w:r w:rsidRPr="006A0AC4">
              <w:rPr>
                <w:lang w:val="en"/>
              </w:rPr>
              <w:t>Other (please specify):</w:t>
            </w:r>
          </w:p>
        </w:tc>
        <w:tc>
          <w:tcPr>
            <w:tcW w:w="1260"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73C63D46" w14:textId="77777777">
            <w:pPr>
              <w:ind w:left="360"/>
            </w:pPr>
            <w:r w:rsidRPr="006A0AC4">
              <w:rPr>
                <w:lang w:val="en"/>
              </w:rPr>
              <w:t xml:space="preserve">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7299EB1" w14:textId="77777777">
            <w:pPr>
              <w:ind w:left="360"/>
            </w:pPr>
            <w:r w:rsidRPr="006A0AC4">
              <w:rPr>
                <w:lang w:val="en"/>
              </w:rPr>
              <w:t xml:space="preserve">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32B9B44F" w14:textId="77777777">
            <w:pPr>
              <w:ind w:left="360"/>
            </w:pPr>
            <w:r w:rsidRPr="006A0AC4">
              <w:rPr>
                <w:lang w:val="en"/>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hideMark/>
          </w:tcPr>
          <w:p w:rsidR="006A0AC4" w:rsidRPr="006A0AC4" w:rsidP="006A0AC4" w14:paraId="19470388" w14:textId="77777777">
            <w:pPr>
              <w:ind w:left="360"/>
            </w:pPr>
            <w:r w:rsidRPr="006A0AC4">
              <w:rPr>
                <w:lang w:val="en"/>
              </w:rPr>
              <w:t xml:space="preserv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5" w:type="dxa"/>
              <w:bottom w:w="0" w:type="dxa"/>
              <w:right w:w="105" w:type="dxa"/>
            </w:tcMar>
          </w:tcPr>
          <w:p w:rsidR="006A0AC4" w:rsidRPr="006A0AC4" w:rsidP="006A0AC4" w14:paraId="545F4129" w14:textId="77777777">
            <w:pPr>
              <w:ind w:left="360"/>
            </w:pPr>
          </w:p>
        </w:tc>
      </w:tr>
    </w:tbl>
    <w:p w:rsidR="006A0AC4" w:rsidRPr="006A0AC4" w:rsidP="006A0AC4" w14:paraId="55AF5444" w14:textId="77777777">
      <w:pPr>
        <w:ind w:left="360"/>
      </w:pPr>
    </w:p>
    <w:p w:rsidR="00AD20E9" w:rsidRPr="006A0AC4" w:rsidP="00AD20E9" w14:paraId="60837BCE" w14:textId="77777777">
      <w:pPr>
        <w:ind w:left="360"/>
      </w:pPr>
      <w:r w:rsidRPr="006A0AC4">
        <w:t>(Q 15) There are ports along the West Coast that have the potential to be used for offshore energy activities but would require some infrastructure upgrades to be operational for those purposes. This question helps BOEM predict whether necessary upgrades are already planned for a port or would need to be initiated.</w:t>
      </w:r>
    </w:p>
    <w:p w:rsidR="006A0AC4" w:rsidRPr="006A0AC4" w:rsidP="006A0AC4" w14:paraId="445DFD00" w14:textId="77777777">
      <w:pPr>
        <w:ind w:left="360"/>
      </w:pPr>
    </w:p>
    <w:p w:rsidR="006A0AC4" w:rsidRPr="006A0AC4" w:rsidP="006A0AC4" w14:paraId="64BFC6A9" w14:textId="77777777">
      <w:pPr>
        <w:numPr>
          <w:ilvl w:val="0"/>
          <w:numId w:val="24"/>
        </w:numPr>
        <w:rPr>
          <w:lang w:val="en"/>
        </w:rPr>
      </w:pPr>
      <w:r w:rsidRPr="006A0AC4">
        <w:rPr>
          <w:b/>
          <w:bCs/>
        </w:rPr>
        <w:t xml:space="preserve">Are there any planned upgrades to the port within the next 5 years? (If yes, please briefly describe the upgrade.) </w:t>
      </w:r>
    </w:p>
    <w:p w:rsidR="00AD20E9" w:rsidP="006A0AC4" w14:paraId="5220D51E" w14:textId="77777777">
      <w:pPr>
        <w:ind w:left="360"/>
      </w:pPr>
    </w:p>
    <w:p w:rsidR="00AD20E9" w:rsidRPr="006A0AC4" w:rsidP="00AD20E9" w14:paraId="4184FEEA" w14:textId="77777777">
      <w:pPr>
        <w:ind w:left="360"/>
        <w:rPr>
          <w:b/>
          <w:bCs/>
        </w:rPr>
      </w:pPr>
      <w:r w:rsidRPr="006A0AC4">
        <w:t>(Q 16) BOEM is interested in exploring ways that other port-based industries could benefit from infrastructure upgrades made for the purposes of offshore energy activities. For example, upgraded rail access to a port could enable cargo shipping. This question examines where there may be overlap and potential synergy between offshore energy activities and other industries. At the same time, it may also help predict new industries coming into a port that would have potential conflicts with offshore energy activities.</w:t>
      </w:r>
    </w:p>
    <w:p w:rsidR="006A0AC4" w:rsidRPr="006A0AC4" w:rsidP="004A48BC" w14:paraId="0CAD5B1C" w14:textId="77777777"/>
    <w:p w:rsidR="006A0AC4" w:rsidP="006A0AC4" w14:paraId="718CFC23" w14:textId="77777777">
      <w:pPr>
        <w:numPr>
          <w:ilvl w:val="0"/>
          <w:numId w:val="24"/>
        </w:numPr>
        <w:rPr>
          <w:b/>
          <w:bCs/>
        </w:rPr>
      </w:pPr>
      <w:r w:rsidRPr="006A0AC4">
        <w:rPr>
          <w:b/>
          <w:bCs/>
        </w:rPr>
        <w:t>Please think of any upgrades or additions to port infrastructure that would benefit existing industries utilizing the port or enable new industries. Please describe.</w:t>
      </w:r>
    </w:p>
    <w:p w:rsidR="00AD20E9" w:rsidP="00FB2E5C" w14:paraId="3748D6E1" w14:textId="77777777">
      <w:pPr>
        <w:ind w:left="720"/>
        <w:rPr>
          <w:b/>
          <w:bCs/>
        </w:rPr>
      </w:pPr>
    </w:p>
    <w:p w:rsidR="00AD20E9" w:rsidRPr="006A0AC4" w:rsidP="00AD20E9" w14:paraId="7995433E" w14:textId="77777777">
      <w:pPr>
        <w:ind w:left="360"/>
      </w:pPr>
      <w:r w:rsidRPr="006A0AC4">
        <w:t>(Q 17</w:t>
      </w:r>
      <w:r w:rsidRPr="006A0AC4">
        <w:rPr>
          <w:lang w:val="en"/>
        </w:rPr>
        <w:t xml:space="preserve">–18) </w:t>
      </w:r>
      <w:r w:rsidRPr="006A0AC4">
        <w:t>These questions address changes in port facilities that may impact existing or new industries and predict the potential for expanded or reduced use of the port. For example, if a staging area originally used for fishing purposes was not being used, it might be repurposed for use by another industry. This helps BOEM predict both the potential for new industries being introduced into the port and for port infrastructure to be repurposed for use for offshore energy activities.</w:t>
      </w:r>
    </w:p>
    <w:p w:rsidR="00AD20E9" w:rsidRPr="006A0AC4" w:rsidP="004A48BC" w14:paraId="5622EF2C" w14:textId="77777777">
      <w:pPr>
        <w:ind w:left="720"/>
        <w:rPr>
          <w:b/>
          <w:bCs/>
        </w:rPr>
      </w:pPr>
    </w:p>
    <w:p w:rsidR="006A0AC4" w:rsidRPr="006A0AC4" w:rsidP="006A0AC4" w14:paraId="63B6C6DC" w14:textId="77777777">
      <w:pPr>
        <w:numPr>
          <w:ilvl w:val="0"/>
          <w:numId w:val="24"/>
        </w:numPr>
        <w:rPr>
          <w:b/>
          <w:bCs/>
        </w:rPr>
      </w:pPr>
      <w:r w:rsidRPr="006A0AC4">
        <w:rPr>
          <w:b/>
          <w:bCs/>
        </w:rPr>
        <w:t xml:space="preserve">Are there any facilities in the port that are planned to be decommissioned or repurposed within the next 5 years? (If yes, please briefly describe what facility and why) </w:t>
      </w:r>
    </w:p>
    <w:p w:rsidR="006A0AC4" w:rsidRPr="006A0AC4" w:rsidP="006A0AC4" w14:paraId="75F7C8E6" w14:textId="77777777">
      <w:pPr>
        <w:numPr>
          <w:ilvl w:val="0"/>
          <w:numId w:val="24"/>
        </w:numPr>
        <w:rPr>
          <w:b/>
        </w:rPr>
      </w:pPr>
      <w:r w:rsidRPr="006A0AC4">
        <w:rPr>
          <w:b/>
          <w:bCs/>
          <w:lang w:val="en"/>
        </w:rPr>
        <w:t>What facilities, if any, can you think of or recommend that could be decommissioned or repurposed to benefit existing industries</w:t>
      </w:r>
      <w:r w:rsidRPr="006A0AC4">
        <w:rPr>
          <w:b/>
          <w:bCs/>
        </w:rPr>
        <w:t xml:space="preserve"> and/or enable new industries to utilize the port</w:t>
      </w:r>
      <w:r w:rsidRPr="006A0AC4">
        <w:rPr>
          <w:b/>
          <w:bCs/>
          <w:lang w:val="en"/>
        </w:rPr>
        <w:t>?</w:t>
      </w:r>
      <w:r w:rsidRPr="006A0AC4">
        <w:rPr>
          <w:b/>
        </w:rPr>
        <w:t> </w:t>
      </w:r>
    </w:p>
    <w:p w:rsidR="00AD20E9" w:rsidP="006A0AC4" w14:paraId="08DEAC54" w14:textId="77777777">
      <w:pPr>
        <w:ind w:left="360"/>
      </w:pPr>
    </w:p>
    <w:p w:rsidR="00AD20E9" w:rsidRPr="006A0AC4" w:rsidP="00AD20E9" w14:paraId="7F84A689" w14:textId="77777777">
      <w:pPr>
        <w:ind w:left="360"/>
      </w:pPr>
      <w:r w:rsidRPr="006A0AC4">
        <w:t xml:space="preserve">(Q 19) Communities near ports are often economically dependent on fishing and other marine activities. The port may also play a role in local culture, if, for example, it is a location for public events or if its identity as a fishing port is a strong element of an area’s sense of place. This question helps the agency identify potential impacts that changes in port infrastructure and use could have on local economy and culture. </w:t>
      </w:r>
    </w:p>
    <w:p w:rsidR="006A0AC4" w:rsidRPr="006A0AC4" w:rsidP="006A0AC4" w14:paraId="4CF88AA4" w14:textId="77777777">
      <w:pPr>
        <w:ind w:left="360"/>
        <w:rPr>
          <w:b/>
        </w:rPr>
      </w:pPr>
    </w:p>
    <w:p w:rsidR="006A0AC4" w:rsidRPr="006A0AC4" w:rsidP="006A0AC4" w14:paraId="75EB8B25" w14:textId="77777777">
      <w:pPr>
        <w:numPr>
          <w:ilvl w:val="0"/>
          <w:numId w:val="24"/>
        </w:numPr>
        <w:rPr>
          <w:b/>
          <w:bCs/>
        </w:rPr>
      </w:pPr>
      <w:r w:rsidRPr="006A0AC4">
        <w:rPr>
          <w:b/>
          <w:bCs/>
        </w:rPr>
        <w:t xml:space="preserve">What unique characteristics of the port are important to the local economy, community and culture? (Please provide specific examples. e.g. environmental awareness/restoration, social gathering space, preservation of maritime heritage, etc.)  </w:t>
      </w:r>
    </w:p>
    <w:p w:rsidR="00AD20E9" w:rsidP="006A0AC4" w14:paraId="14A6CDE6" w14:textId="77777777">
      <w:pPr>
        <w:ind w:left="360"/>
      </w:pPr>
    </w:p>
    <w:p w:rsidR="00AD20E9" w:rsidRPr="006A0AC4" w:rsidP="00AD20E9" w14:paraId="29BF422C" w14:textId="77777777">
      <w:pPr>
        <w:ind w:left="360"/>
      </w:pPr>
      <w:r w:rsidRPr="006A0AC4">
        <w:t>(Q 20</w:t>
      </w:r>
      <w:r w:rsidRPr="006A0AC4">
        <w:rPr>
          <w:lang w:val="en"/>
        </w:rPr>
        <w:t xml:space="preserve">–21) </w:t>
      </w:r>
      <w:r w:rsidRPr="006A0AC4">
        <w:t>One of the main purposes of this research is to examine the potential for impacts of offshore energy activities on ports and users and potential conflict that may arise from these interests utilizing the same port infrastructure. BOEM is particularly interested in impacts on fisheries. These questions help the agency foresee and understand potential conflicts between offshore energy activities, with the goal of avoiding or mitigating them. These questions also capture the perceptions of port users and their level of concern regarding these potential conflicts.</w:t>
      </w:r>
    </w:p>
    <w:p w:rsidR="006A0AC4" w:rsidRPr="006A0AC4" w:rsidP="006A0AC4" w14:paraId="5ED19331" w14:textId="77777777">
      <w:pPr>
        <w:ind w:left="360"/>
        <w:rPr>
          <w:b/>
        </w:rPr>
      </w:pPr>
    </w:p>
    <w:p w:rsidR="006A0AC4" w:rsidP="006A0AC4" w14:paraId="2908A501" w14:textId="48D69C5C">
      <w:pPr>
        <w:numPr>
          <w:ilvl w:val="0"/>
          <w:numId w:val="24"/>
        </w:numPr>
        <w:rPr>
          <w:b/>
          <w:bCs/>
          <w:lang w:val="en"/>
        </w:rPr>
      </w:pPr>
      <w:r w:rsidRPr="006A0AC4">
        <w:rPr>
          <w:b/>
          <w:bCs/>
          <w:lang w:val="en"/>
        </w:rPr>
        <w:t xml:space="preserve">To what extent are you concerned about the potential impacts on </w:t>
      </w:r>
      <w:r w:rsidRPr="006A0AC4">
        <w:rPr>
          <w:b/>
          <w:bCs/>
          <w:u w:val="single"/>
          <w:lang w:val="en"/>
        </w:rPr>
        <w:t xml:space="preserve">future </w:t>
      </w:r>
      <w:r w:rsidRPr="006A0AC4" w:rsidR="006300F8">
        <w:rPr>
          <w:b/>
          <w:bCs/>
          <w:u w:val="single"/>
          <w:lang w:val="en"/>
        </w:rPr>
        <w:t>offshore energy</w:t>
      </w:r>
      <w:r w:rsidRPr="006A0AC4">
        <w:rPr>
          <w:b/>
          <w:bCs/>
          <w:u w:val="single"/>
          <w:lang w:val="en"/>
        </w:rPr>
        <w:t xml:space="preserve"> activities</w:t>
      </w:r>
      <w:r w:rsidRPr="006A0AC4">
        <w:rPr>
          <w:b/>
          <w:bCs/>
          <w:lang w:val="en"/>
        </w:rPr>
        <w:t xml:space="preserve"> and commercial, recreational, and/or subsistence/ceremonial fishing activities and other users?</w:t>
      </w:r>
      <w:r w:rsidRPr="006A0AC4">
        <w:rPr>
          <w:lang w:val="en"/>
        </w:rPr>
        <w:t xml:space="preserve"> </w:t>
      </w:r>
      <w:r w:rsidRPr="006A0AC4">
        <w:rPr>
          <w:b/>
          <w:bCs/>
          <w:lang w:val="en"/>
        </w:rPr>
        <w:t>(Please check one response and describe specific concerns below.)</w:t>
      </w:r>
    </w:p>
    <w:p w:rsidR="00AD20E9" w:rsidRPr="006A0AC4" w:rsidP="004A48BC" w14:paraId="6966BCF0" w14:textId="77777777">
      <w:pPr>
        <w:ind w:left="720"/>
        <w:rPr>
          <w:b/>
          <w:bCs/>
          <w:lang w:val="en"/>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1875"/>
        <w:gridCol w:w="1440"/>
        <w:gridCol w:w="1530"/>
        <w:gridCol w:w="1440"/>
        <w:gridCol w:w="1440"/>
        <w:gridCol w:w="1440"/>
      </w:tblGrid>
      <w:tr w14:paraId="55D9C32C" w14:textId="77777777">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4BAEE7E9"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1003B99A" w14:textId="77777777">
            <w:r w:rsidRPr="006A0AC4">
              <w:rPr>
                <w:b/>
                <w:bCs/>
                <w:lang w:val="en"/>
              </w:rPr>
              <w:t>Not Concerned</w:t>
            </w: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79F40842" w14:textId="77777777">
            <w:r w:rsidRPr="006A0AC4">
              <w:rPr>
                <w:b/>
                <w:bCs/>
                <w:lang w:val="en"/>
              </w:rPr>
              <w:t>Somewhat Concerned</w:t>
            </w: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21EDB87A" w14:textId="77777777">
            <w:r w:rsidRPr="006A0AC4">
              <w:rPr>
                <w:b/>
                <w:bCs/>
                <w:lang w:val="en"/>
              </w:rPr>
              <w:t>Concerned</w:t>
            </w: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37CAD465" w14:textId="77777777">
            <w:r w:rsidRPr="006A0AC4">
              <w:rPr>
                <w:b/>
                <w:bCs/>
                <w:lang w:val="en"/>
              </w:rPr>
              <w:t>Very Concerned</w:t>
            </w: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7B4309BE" w14:textId="77777777">
            <w:r w:rsidRPr="006A0AC4">
              <w:rPr>
                <w:b/>
                <w:bCs/>
                <w:lang w:val="en"/>
              </w:rPr>
              <w:t>Extremely Concerned</w:t>
            </w:r>
          </w:p>
        </w:tc>
      </w:tr>
      <w:tr w14:paraId="55EC5385" w14:textId="77777777">
        <w:tblPrEx>
          <w:tblW w:w="0" w:type="auto"/>
          <w:tblLayout w:type="fixed"/>
          <w:tblLook w:val="04A0"/>
        </w:tblPrEx>
        <w:trPr>
          <w:trHeight w:val="300"/>
        </w:trPr>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1E214049" w14:textId="77777777">
            <w:r w:rsidRPr="006A0AC4">
              <w:rPr>
                <w:lang w:val="en"/>
              </w:rPr>
              <w:t>Commercial</w:t>
            </w: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6A0AC4" w14:paraId="7CABE710" w14:textId="77777777">
            <w:pPr>
              <w:ind w:left="360"/>
            </w:pPr>
            <w:r w:rsidRPr="006A0AC4">
              <w:rPr>
                <w:lang w:val="en"/>
              </w:rPr>
              <w:t xml:space="preserve"> </w:t>
            </w: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69CC5A01"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5FA5C8AE"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76109FC3"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76CDF2E6" w14:textId="77777777">
            <w:pPr>
              <w:ind w:left="360"/>
            </w:pPr>
          </w:p>
        </w:tc>
      </w:tr>
      <w:tr w14:paraId="10F17917" w14:textId="77777777">
        <w:tblPrEx>
          <w:tblW w:w="0" w:type="auto"/>
          <w:tblLayout w:type="fixed"/>
          <w:tblLook w:val="04A0"/>
        </w:tblPrEx>
        <w:trPr>
          <w:trHeight w:val="300"/>
        </w:trPr>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664CF9CB" w14:textId="77777777">
            <w:r w:rsidRPr="006A0AC4">
              <w:rPr>
                <w:lang w:val="en"/>
              </w:rPr>
              <w:t>Recreational</w:t>
            </w: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6A0AC4" w14:paraId="3217D0D7" w14:textId="77777777">
            <w:pPr>
              <w:ind w:left="360"/>
            </w:pPr>
            <w:r w:rsidRPr="006A0AC4">
              <w:rPr>
                <w:lang w:val="en"/>
              </w:rPr>
              <w:t xml:space="preserve"> </w:t>
            </w: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56B397C1"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42D1A42D"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7F941CBF"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701FD9BF" w14:textId="77777777">
            <w:pPr>
              <w:ind w:left="360"/>
            </w:pPr>
          </w:p>
        </w:tc>
      </w:tr>
      <w:tr w14:paraId="4DFA9E7C" w14:textId="77777777">
        <w:tblPrEx>
          <w:tblW w:w="0" w:type="auto"/>
          <w:tblLayout w:type="fixed"/>
          <w:tblLook w:val="04A0"/>
        </w:tblPrEx>
        <w:trPr>
          <w:trHeight w:val="300"/>
        </w:trPr>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4A48BC" w14:paraId="1ABF0ED8" w14:textId="77777777">
            <w:r w:rsidRPr="006A0AC4">
              <w:rPr>
                <w:lang w:val="en"/>
              </w:rPr>
              <w:t>Subsistence/ Ceremonial</w:t>
            </w: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6A0AC4" w:rsidRPr="006A0AC4" w:rsidP="006A0AC4" w14:paraId="2EA943BF" w14:textId="77777777">
            <w:pPr>
              <w:ind w:left="360"/>
            </w:pPr>
            <w:r w:rsidRPr="006A0AC4">
              <w:rPr>
                <w:lang w:val="en"/>
              </w:rPr>
              <w:t xml:space="preserve"> </w:t>
            </w: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2E98B09B"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32BC0952"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72BE4E8D"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09D8672B" w14:textId="77777777">
            <w:pPr>
              <w:ind w:left="360"/>
            </w:pPr>
          </w:p>
        </w:tc>
      </w:tr>
      <w:tr w14:paraId="6B3D276E" w14:textId="77777777">
        <w:tblPrEx>
          <w:tblW w:w="0" w:type="auto"/>
          <w:tblLayout w:type="fixed"/>
          <w:tblLook w:val="04A0"/>
        </w:tblPrEx>
        <w:trPr>
          <w:trHeight w:val="300"/>
        </w:trPr>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4A48BC" w14:paraId="229EC7ED" w14:textId="77777777">
            <w:r w:rsidRPr="006A0AC4">
              <w:rPr>
                <w:lang w:val="en"/>
              </w:rPr>
              <w:t>Other:</w:t>
            </w: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6A0AC4" w:rsidRPr="006A0AC4" w:rsidP="006A0AC4" w14:paraId="40689083" w14:textId="77777777">
            <w:pPr>
              <w:ind w:left="360"/>
            </w:pPr>
            <w:r w:rsidRPr="006A0AC4">
              <w:rPr>
                <w:lang w:val="en"/>
              </w:rPr>
              <w:t xml:space="preserve"> </w:t>
            </w:r>
          </w:p>
        </w:tc>
        <w:tc>
          <w:tcPr>
            <w:tcW w:w="15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067CBB06"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7A1F88F4"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26D5E630" w14:textId="77777777">
            <w:pPr>
              <w:ind w:left="360"/>
            </w:pPr>
          </w:p>
        </w:tc>
        <w:tc>
          <w:tcPr>
            <w:tcW w:w="14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6A0AC4" w:rsidRPr="006A0AC4" w:rsidP="006A0AC4" w14:paraId="76EC887D" w14:textId="77777777">
            <w:pPr>
              <w:ind w:left="360"/>
            </w:pPr>
          </w:p>
        </w:tc>
      </w:tr>
    </w:tbl>
    <w:p w:rsidR="006A0AC4" w:rsidRPr="006A0AC4" w:rsidP="006A0AC4" w14:paraId="241EA943" w14:textId="77777777">
      <w:pPr>
        <w:ind w:left="360"/>
        <w:rPr>
          <w:b/>
          <w:bCs/>
          <w:lang w:val="en"/>
        </w:rPr>
      </w:pPr>
    </w:p>
    <w:p w:rsidR="006A0AC4" w:rsidRPr="006A0AC4" w:rsidP="006A0AC4" w14:paraId="47504462" w14:textId="77777777">
      <w:pPr>
        <w:numPr>
          <w:ilvl w:val="0"/>
          <w:numId w:val="24"/>
        </w:numPr>
        <w:rPr>
          <w:b/>
          <w:bCs/>
          <w:lang w:val="en"/>
        </w:rPr>
      </w:pPr>
      <w:r w:rsidRPr="006A0AC4">
        <w:rPr>
          <w:b/>
          <w:bCs/>
          <w:lang w:val="en"/>
        </w:rPr>
        <w:t>What potential conflicts do you foresee, if any, between future offshore</w:t>
      </w:r>
    </w:p>
    <w:p w:rsidR="006A0AC4" w:rsidRPr="006A0AC4" w:rsidP="006A0AC4" w14:paraId="6D5C43A8" w14:textId="77777777">
      <w:pPr>
        <w:ind w:left="360"/>
        <w:rPr>
          <w:b/>
          <w:bCs/>
          <w:lang w:val="en"/>
        </w:rPr>
      </w:pPr>
      <w:r w:rsidRPr="006A0AC4">
        <w:rPr>
          <w:b/>
          <w:bCs/>
          <w:lang w:val="en"/>
        </w:rPr>
        <w:t xml:space="preserve">energy activities and existing port infrastructure, fishing operations, or other </w:t>
      </w:r>
    </w:p>
    <w:p w:rsidR="006A0AC4" w:rsidRPr="006A0AC4" w:rsidP="006A0AC4" w14:paraId="079C7EFE" w14:textId="77777777">
      <w:pPr>
        <w:ind w:left="360"/>
        <w:rPr>
          <w:b/>
          <w:bCs/>
          <w:lang w:val="en"/>
        </w:rPr>
      </w:pPr>
      <w:r w:rsidRPr="006A0AC4">
        <w:rPr>
          <w:b/>
          <w:bCs/>
          <w:lang w:val="en"/>
        </w:rPr>
        <w:t>associated users at the port?</w:t>
      </w:r>
    </w:p>
    <w:p w:rsidR="006A0AC4" w:rsidRPr="006A0AC4" w:rsidP="006A0AC4" w14:paraId="0ADE9783" w14:textId="77777777">
      <w:pPr>
        <w:ind w:left="360"/>
      </w:pPr>
    </w:p>
    <w:p w:rsidR="00FB2E5C" w:rsidRPr="006A0AC4" w:rsidP="00FB2E5C" w14:paraId="327CF3EB" w14:textId="77777777">
      <w:pPr>
        <w:ind w:left="360"/>
      </w:pPr>
      <w:r w:rsidRPr="006A0AC4">
        <w:t xml:space="preserve">(Q </w:t>
      </w:r>
      <w:r w:rsidRPr="006A0AC4">
        <w:rPr>
          <w:lang w:val="en"/>
        </w:rPr>
        <w:t xml:space="preserve">22) </w:t>
      </w:r>
      <w:r w:rsidRPr="006A0AC4">
        <w:t>Th</w:t>
      </w:r>
      <w:r>
        <w:t>is</w:t>
      </w:r>
      <w:r w:rsidRPr="006A0AC4">
        <w:t xml:space="preserve"> question seek</w:t>
      </w:r>
      <w:r>
        <w:t>s</w:t>
      </w:r>
      <w:r w:rsidRPr="006A0AC4">
        <w:t xml:space="preserve"> to tap into knowledge and insight of respondents and port users regarding the potential for synergies between port-based industries and offshore energy activities. </w:t>
      </w:r>
    </w:p>
    <w:p w:rsidR="006A0AC4" w:rsidRPr="006A0AC4" w:rsidP="006A0AC4" w14:paraId="18672C79" w14:textId="77777777">
      <w:pPr>
        <w:ind w:left="360"/>
        <w:rPr>
          <w:b/>
        </w:rPr>
      </w:pPr>
    </w:p>
    <w:p w:rsidR="006A0AC4" w:rsidRPr="006A0AC4" w:rsidP="006A0AC4" w14:paraId="4921D40E" w14:textId="77777777">
      <w:pPr>
        <w:numPr>
          <w:ilvl w:val="0"/>
          <w:numId w:val="24"/>
        </w:numPr>
        <w:rPr>
          <w:b/>
          <w:bCs/>
        </w:rPr>
      </w:pPr>
      <w:r w:rsidRPr="006A0AC4">
        <w:rPr>
          <w:b/>
          <w:bCs/>
        </w:rPr>
        <w:t xml:space="preserve">What opportunities do you see, if any, for collaborations or cooperation between </w:t>
      </w:r>
    </w:p>
    <w:p w:rsidR="006A0AC4" w:rsidP="006A0AC4" w14:paraId="31D0FC79" w14:textId="77777777">
      <w:pPr>
        <w:ind w:left="360"/>
        <w:rPr>
          <w:b/>
          <w:bCs/>
        </w:rPr>
      </w:pPr>
      <w:r w:rsidRPr="006A0AC4">
        <w:rPr>
          <w:b/>
          <w:bCs/>
        </w:rPr>
        <w:t>future offshore energy activities and other port-based industries?</w:t>
      </w:r>
    </w:p>
    <w:p w:rsidR="00FB2E5C" w:rsidRPr="006A0AC4" w:rsidP="00FB2E5C" w14:paraId="1F6BFDF1" w14:textId="77777777">
      <w:pPr>
        <w:ind w:left="360"/>
      </w:pPr>
      <w:r w:rsidRPr="006A0AC4">
        <w:t>(Q 23</w:t>
      </w:r>
      <w:r w:rsidRPr="006A0AC4">
        <w:rPr>
          <w:lang w:val="en"/>
        </w:rPr>
        <w:t xml:space="preserve">–24) </w:t>
      </w:r>
      <w:r w:rsidRPr="006A0AC4">
        <w:t>In any action affecting port infrastructure or services, BOEM will need to analyze cultural impacts, including impacts on Tribes, and possibly engage in government-to-government consultation. These questions can help the agency foresee potential impacts to Tribal use of port infrastructure and services related to offshore energy activities. As part of the port profile, it may also be valuable information for stakeholder engagement.</w:t>
      </w:r>
    </w:p>
    <w:p w:rsidR="00FB2E5C" w:rsidRPr="006A0AC4" w:rsidP="00FB2E5C" w14:paraId="0CF9C21F" w14:textId="77777777">
      <w:pPr>
        <w:ind w:left="360"/>
        <w:rPr>
          <w:b/>
        </w:rPr>
      </w:pPr>
    </w:p>
    <w:p w:rsidR="00FB2E5C" w:rsidP="00FB2E5C" w14:paraId="2D7FDF80" w14:textId="77777777">
      <w:pPr>
        <w:numPr>
          <w:ilvl w:val="0"/>
          <w:numId w:val="24"/>
        </w:numPr>
        <w:rPr>
          <w:b/>
          <w:bCs/>
        </w:rPr>
      </w:pPr>
      <w:r w:rsidRPr="00FB2E5C">
        <w:rPr>
          <w:b/>
          <w:bCs/>
        </w:rPr>
        <w:t>What specific port infrastructure or services are used by Tribal communities in your area? (e.g. Ceremonial, Docks, Boat ramps, Maintenance and Repair facilities, Tourism</w:t>
      </w:r>
      <w:r>
        <w:rPr>
          <w:b/>
          <w:bCs/>
        </w:rPr>
        <w:t xml:space="preserve"> </w:t>
      </w:r>
      <w:r w:rsidRPr="00FB2E5C">
        <w:rPr>
          <w:b/>
          <w:bCs/>
        </w:rPr>
        <w:t>Activities, Recreational (non-fishing) boating facilities, Event space, etc.)</w:t>
      </w:r>
    </w:p>
    <w:p w:rsidR="00FB2E5C" w:rsidRPr="00FB2E5C" w:rsidP="00FB2E5C" w14:paraId="5A9C5B93" w14:textId="44A6143F">
      <w:pPr>
        <w:ind w:left="360"/>
        <w:rPr>
          <w:b/>
          <w:bCs/>
        </w:rPr>
      </w:pPr>
    </w:p>
    <w:p w:rsidR="006A0AC4" w:rsidRPr="006A0AC4" w:rsidP="006A0AC4" w14:paraId="67891499" w14:textId="77777777">
      <w:pPr>
        <w:numPr>
          <w:ilvl w:val="0"/>
          <w:numId w:val="24"/>
        </w:numPr>
        <w:tabs>
          <w:tab w:val="left" w:pos="720"/>
        </w:tabs>
        <w:rPr>
          <w:b/>
          <w:bCs/>
        </w:rPr>
      </w:pPr>
      <w:r w:rsidRPr="006A0AC4">
        <w:rPr>
          <w:b/>
          <w:bCs/>
        </w:rPr>
        <w:t>Does your port currently have any formal partnerships, agreements, or other forms of regular engagement with Tribal communities? If yes, please describe.</w:t>
      </w:r>
    </w:p>
    <w:p w:rsidR="00FB2E5C" w:rsidP="006A0AC4" w14:paraId="4AA94D04" w14:textId="77777777">
      <w:pPr>
        <w:ind w:left="360"/>
      </w:pPr>
    </w:p>
    <w:p w:rsidR="00FB2E5C" w:rsidRPr="006A0AC4" w:rsidP="00FB2E5C" w14:paraId="2A398F62" w14:textId="77777777">
      <w:pPr>
        <w:ind w:left="360"/>
      </w:pPr>
      <w:r w:rsidRPr="006A0AC4">
        <w:t xml:space="preserve">(Q 25) This question investigates what outreach work has already been done by the port, which BOEM could potentially follow up on. </w:t>
      </w:r>
    </w:p>
    <w:p w:rsidR="006A0AC4" w:rsidRPr="006A0AC4" w:rsidP="006A0AC4" w14:paraId="364F2341" w14:textId="77777777">
      <w:pPr>
        <w:ind w:left="360"/>
        <w:rPr>
          <w:b/>
          <w:bCs/>
        </w:rPr>
      </w:pPr>
    </w:p>
    <w:p w:rsidR="006A0AC4" w:rsidRPr="006A0AC4" w:rsidP="006A0AC4" w14:paraId="15083F65" w14:textId="77777777">
      <w:pPr>
        <w:numPr>
          <w:ilvl w:val="0"/>
          <w:numId w:val="24"/>
        </w:numPr>
        <w:tabs>
          <w:tab w:val="left" w:pos="720"/>
        </w:tabs>
        <w:rPr>
          <w:b/>
          <w:bCs/>
        </w:rPr>
      </w:pPr>
      <w:r w:rsidRPr="006A0AC4">
        <w:rPr>
          <w:b/>
          <w:bCs/>
        </w:rPr>
        <w:t xml:space="preserve">Are there current or recent efforts at your port to increase or improve engagement </w:t>
      </w:r>
    </w:p>
    <w:p w:rsidR="006A0AC4" w:rsidRPr="006A0AC4" w:rsidP="006A0AC4" w14:paraId="7874C3CE" w14:textId="77777777">
      <w:pPr>
        <w:ind w:left="360"/>
        <w:rPr>
          <w:b/>
          <w:bCs/>
        </w:rPr>
      </w:pPr>
      <w:r w:rsidRPr="006A0AC4">
        <w:rPr>
          <w:b/>
          <w:bCs/>
        </w:rPr>
        <w:t xml:space="preserve">with specific communities including, but not limited to, Tribal communities? (If yes, </w:t>
      </w:r>
    </w:p>
    <w:p w:rsidR="006A0AC4" w:rsidRPr="006A0AC4" w:rsidP="006A0AC4" w14:paraId="3F526B1C" w14:textId="1010106F">
      <w:pPr>
        <w:ind w:left="360"/>
        <w:rPr>
          <w:b/>
          <w:bCs/>
        </w:rPr>
      </w:pPr>
      <w:r w:rsidRPr="006A0AC4">
        <w:rPr>
          <w:b/>
          <w:bCs/>
        </w:rPr>
        <w:t>please describe with whom and what are the specific opportunities or issues addressed by</w:t>
      </w:r>
      <w:r w:rsidR="00937B91">
        <w:rPr>
          <w:b/>
          <w:bCs/>
        </w:rPr>
        <w:t xml:space="preserve"> </w:t>
      </w:r>
      <w:r w:rsidRPr="006A0AC4">
        <w:rPr>
          <w:b/>
          <w:bCs/>
        </w:rPr>
        <w:t>these initiatives.) If yes, please describe.</w:t>
      </w:r>
    </w:p>
    <w:p w:rsidR="00FB2E5C" w:rsidRPr="006A0AC4" w:rsidP="006A0AC4" w14:paraId="425F1225" w14:textId="77777777">
      <w:pPr>
        <w:ind w:left="360"/>
      </w:pPr>
    </w:p>
    <w:p w:rsidR="00FB2E5C" w:rsidRPr="006A0AC4" w:rsidP="00FB2E5C" w14:paraId="6D5E16DB" w14:textId="77777777">
      <w:pPr>
        <w:ind w:left="360"/>
      </w:pPr>
      <w:r w:rsidRPr="006A0AC4">
        <w:t>(Q 26) This offers the opportunity to collect additional information that was not covered in other survey questions and to document respondents’ other input.</w:t>
      </w:r>
    </w:p>
    <w:p w:rsidR="006A0AC4" w:rsidRPr="006A0AC4" w:rsidP="006A0AC4" w14:paraId="5E373E33" w14:textId="77777777">
      <w:pPr>
        <w:ind w:left="360"/>
        <w:rPr>
          <w:b/>
          <w:bCs/>
        </w:rPr>
      </w:pPr>
    </w:p>
    <w:p w:rsidR="006A0AC4" w:rsidRPr="006A0AC4" w:rsidP="006A0AC4" w14:paraId="085A1288" w14:textId="77777777">
      <w:pPr>
        <w:numPr>
          <w:ilvl w:val="0"/>
          <w:numId w:val="24"/>
        </w:numPr>
        <w:tabs>
          <w:tab w:val="left" w:pos="720"/>
        </w:tabs>
        <w:rPr>
          <w:b/>
          <w:bCs/>
        </w:rPr>
      </w:pPr>
      <w:r w:rsidRPr="006A0AC4">
        <w:rPr>
          <w:b/>
          <w:bCs/>
        </w:rPr>
        <w:t>Do you have any additional comments or suggestions regarding the impact of future offshore energy activities on port authorities and stakeholders? If so, please use the space below to tell us.</w:t>
      </w:r>
    </w:p>
    <w:p w:rsidR="006A0AC4" w:rsidRPr="006A0AC4" w:rsidP="006A0AC4" w14:paraId="5BD98E03" w14:textId="77777777">
      <w:pPr>
        <w:ind w:left="360"/>
      </w:pPr>
    </w:p>
    <w:p w:rsidR="006A0AC4" w:rsidRPr="006A0AC4" w:rsidP="006A0AC4" w14:paraId="4429F7C3" w14:textId="77777777">
      <w:pPr>
        <w:ind w:left="360"/>
        <w:rPr>
          <w:i/>
        </w:rPr>
      </w:pPr>
      <w:r w:rsidRPr="006A0AC4">
        <w:rPr>
          <w:b/>
          <w:i/>
        </w:rPr>
        <w:t>3.</w:t>
      </w:r>
      <w:r w:rsidRPr="006A0AC4">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A0AC4">
        <w:rPr>
          <w:i/>
        </w:rPr>
        <w:t xml:space="preserve"> </w:t>
      </w:r>
    </w:p>
    <w:p w:rsidR="00B144D3" w:rsidP="006A0AC4" w14:paraId="5DADCD65" w14:textId="77777777">
      <w:pPr>
        <w:ind w:left="360"/>
      </w:pPr>
    </w:p>
    <w:p w:rsidR="006A0AC4" w:rsidRPr="006A0AC4" w:rsidP="006A0AC4" w14:paraId="1912C930" w14:textId="4CBF3053">
      <w:pPr>
        <w:ind w:left="360"/>
      </w:pPr>
      <w:r w:rsidRPr="006A0AC4">
        <w:t xml:space="preserve">The survey will be available in online format and as a booklet. The length of the survey and the format of the questions and answers informed the choice of an online instrument (i.e., most answers require the respondent to check a box). All respondents will have the option of responding electronically, in conformance with GPEA requirements. </w:t>
      </w:r>
    </w:p>
    <w:p w:rsidR="006A0AC4" w:rsidRPr="006A0AC4" w:rsidP="006A0AC4" w14:paraId="00BCE5A6" w14:textId="77777777">
      <w:pPr>
        <w:ind w:left="360"/>
        <w:rPr>
          <w:b/>
        </w:rPr>
      </w:pPr>
    </w:p>
    <w:p w:rsidR="006A0AC4" w:rsidRPr="006A0AC4" w:rsidP="006A0AC4" w14:paraId="69C2AF0D" w14:textId="77777777">
      <w:pPr>
        <w:ind w:left="360"/>
        <w:rPr>
          <w:b/>
          <w:bCs/>
          <w:i/>
          <w:iCs/>
        </w:rPr>
      </w:pPr>
      <w:r w:rsidRPr="006A0AC4">
        <w:rPr>
          <w:b/>
          <w:bCs/>
          <w:i/>
          <w:iCs/>
        </w:rPr>
        <w:t>4.</w:t>
      </w:r>
      <w:r w:rsidRPr="006A0AC4">
        <w:tab/>
      </w:r>
      <w:r w:rsidRPr="006A0AC4">
        <w:rPr>
          <w:b/>
          <w:bCs/>
          <w:i/>
          <w:iCs/>
        </w:rPr>
        <w:t xml:space="preserve">Describe efforts to identify duplication.  Show specifically why any similar information already available cannot be used or modified for use for the purposes described in Item 2 above.  </w:t>
      </w:r>
    </w:p>
    <w:p w:rsidR="00B144D3" w:rsidP="006A0AC4" w14:paraId="714B3CFC" w14:textId="77777777">
      <w:pPr>
        <w:ind w:left="360"/>
      </w:pPr>
    </w:p>
    <w:p w:rsidR="006A0AC4" w:rsidRPr="006A0AC4" w:rsidP="006A0AC4" w14:paraId="6CC263D5" w14:textId="6FAD9573">
      <w:pPr>
        <w:ind w:left="360"/>
      </w:pPr>
      <w:r w:rsidRPr="006A0AC4">
        <w:t xml:space="preserve">To evaluate whether similar information had been documented or collected, the team conducted a thorough review of literature relating to ports on the West Coast, fisheries, </w:t>
      </w:r>
      <w:r w:rsidRPr="006A0AC4">
        <w:t xml:space="preserve">fishing communities, and offshore energy activities. We did not find data that duplicates or was directly within the scope of this survey. BOEM has previously found that this data was unavailable, and this study was designed specifically to address this knowledge gap. </w:t>
      </w:r>
    </w:p>
    <w:p w:rsidR="006A0AC4" w:rsidRPr="006A0AC4" w:rsidP="006A0AC4" w14:paraId="66D444EA" w14:textId="77777777">
      <w:pPr>
        <w:ind w:left="360"/>
      </w:pPr>
    </w:p>
    <w:p w:rsidR="006A0AC4" w:rsidRPr="006A0AC4" w:rsidP="006A0AC4" w14:paraId="7864BE50" w14:textId="77777777">
      <w:pPr>
        <w:ind w:left="360"/>
        <w:rPr>
          <w:i/>
          <w:iCs/>
        </w:rPr>
      </w:pPr>
      <w:r w:rsidRPr="006A0AC4">
        <w:rPr>
          <w:b/>
          <w:bCs/>
          <w:i/>
          <w:iCs/>
        </w:rPr>
        <w:t>5.</w:t>
      </w:r>
      <w:r w:rsidRPr="006A0AC4">
        <w:tab/>
      </w:r>
      <w:r w:rsidRPr="006A0AC4">
        <w:rPr>
          <w:b/>
          <w:bCs/>
          <w:i/>
          <w:iCs/>
        </w:rPr>
        <w:t xml:space="preserve">If the collection of information impacts small businesses or other small entities, describe any methods used to minimize burden. </w:t>
      </w:r>
      <w:r w:rsidRPr="006A0AC4">
        <w:rPr>
          <w:i/>
          <w:iCs/>
        </w:rPr>
        <w:t xml:space="preserve">  </w:t>
      </w:r>
    </w:p>
    <w:p w:rsidR="00B144D3" w:rsidP="00674E1B" w14:paraId="44783DB6" w14:textId="77777777">
      <w:pPr>
        <w:ind w:left="360"/>
      </w:pPr>
    </w:p>
    <w:p w:rsidR="00674E1B" w:rsidRPr="00CA32F1" w:rsidP="00674E1B" w14:paraId="7EE55B6C" w14:textId="6E6F7213">
      <w:pPr>
        <w:ind w:left="360"/>
      </w:pPr>
      <w:r w:rsidRPr="00CA32F1">
        <w:t>The proposed collection of information will not have a</w:t>
      </w:r>
      <w:r>
        <w:t xml:space="preserve"> significant </w:t>
      </w:r>
      <w:r w:rsidRPr="00CA32F1">
        <w:t xml:space="preserve">impact on small businesses or other </w:t>
      </w:r>
      <w:r>
        <w:t xml:space="preserve">small </w:t>
      </w:r>
      <w:r w:rsidRPr="00CA32F1">
        <w:t>entities.</w:t>
      </w:r>
      <w:r>
        <w:t xml:space="preserve"> </w:t>
      </w:r>
    </w:p>
    <w:p w:rsidR="006A0AC4" w:rsidRPr="006A0AC4" w:rsidP="006A0AC4" w14:paraId="5288347B" w14:textId="77777777">
      <w:pPr>
        <w:ind w:left="360"/>
        <w:rPr>
          <w:b/>
        </w:rPr>
      </w:pPr>
    </w:p>
    <w:p w:rsidR="006A0AC4" w:rsidRPr="006A0AC4" w:rsidP="006A0AC4" w14:paraId="4271779E" w14:textId="77777777">
      <w:pPr>
        <w:ind w:left="360"/>
      </w:pPr>
      <w:r w:rsidRPr="006A0AC4">
        <w:rPr>
          <w:b/>
          <w:i/>
        </w:rPr>
        <w:t>6.</w:t>
      </w:r>
      <w:r w:rsidRPr="006A0AC4">
        <w:rPr>
          <w:b/>
          <w:i/>
        </w:rPr>
        <w:tab/>
        <w:t>Describe the consequence to Federal program or policy activities if the collection is not conducted or is conducted less frequently, as well as any technical or legal obstacles to reducing burden.</w:t>
      </w:r>
      <w:r w:rsidRPr="006A0AC4">
        <w:t xml:space="preserve">  </w:t>
      </w:r>
    </w:p>
    <w:p w:rsidR="00B144D3" w:rsidP="006A0AC4" w14:paraId="762643D0" w14:textId="77777777">
      <w:pPr>
        <w:ind w:left="360"/>
      </w:pPr>
    </w:p>
    <w:p w:rsidR="006A0AC4" w:rsidRPr="006A0AC4" w:rsidP="006A0AC4" w14:paraId="1606C503" w14:textId="53E43DDE">
      <w:pPr>
        <w:ind w:left="360"/>
      </w:pPr>
      <w:r w:rsidRPr="006A0AC4">
        <w:t>This survey addresses a knowledge gap identified by BOEM: a lack of information about potential impacts of offshore energy activities on port infrastructure use, especially use by commercial and recreational fisheries. This information is vital to BOEM’s project planning, environmental reviews, CZMA determinations, local harbor planning, and inter-industry negotiations. There are no technical or legal obstacles to reducing the information collection burden.</w:t>
      </w:r>
    </w:p>
    <w:p w:rsidR="006A0AC4" w:rsidRPr="006A0AC4" w:rsidP="006A0AC4" w14:paraId="1CC0CB0D" w14:textId="77777777">
      <w:pPr>
        <w:ind w:left="360"/>
      </w:pPr>
    </w:p>
    <w:p w:rsidR="006A0AC4" w:rsidRPr="006A0AC4" w:rsidP="006A0AC4" w14:paraId="2B3A65B9" w14:textId="77777777">
      <w:pPr>
        <w:ind w:left="360"/>
        <w:rPr>
          <w:i/>
        </w:rPr>
      </w:pPr>
      <w:r w:rsidRPr="006A0AC4">
        <w:rPr>
          <w:b/>
          <w:i/>
        </w:rPr>
        <w:t>7.</w:t>
      </w:r>
      <w:r w:rsidRPr="006A0AC4">
        <w:rPr>
          <w:b/>
          <w:i/>
        </w:rPr>
        <w:tab/>
        <w:t>Explain any special circumstances that would cause an information collection to be conducted in a manner:</w:t>
      </w:r>
      <w:r w:rsidRPr="006A0AC4">
        <w:rPr>
          <w:i/>
        </w:rPr>
        <w:t xml:space="preserve">  </w:t>
      </w:r>
    </w:p>
    <w:p w:rsidR="006A0AC4" w:rsidRPr="006A0AC4" w:rsidP="006A0AC4" w14:paraId="7A5D464A" w14:textId="77777777">
      <w:pPr>
        <w:ind w:left="360"/>
      </w:pPr>
      <w:r w:rsidRPr="006A0AC4">
        <w:tab/>
      </w:r>
    </w:p>
    <w:p w:rsidR="006A0AC4" w:rsidRPr="006A0AC4" w:rsidP="006A0AC4" w14:paraId="675E8E26" w14:textId="77777777">
      <w:pPr>
        <w:ind w:left="360"/>
        <w:rPr>
          <w:b/>
        </w:rPr>
      </w:pPr>
      <w:r w:rsidRPr="006A0AC4">
        <w:tab/>
      </w:r>
      <w:r w:rsidRPr="006A0AC4">
        <w:rPr>
          <w:b/>
          <w:bCs/>
          <w:i/>
          <w:iCs/>
        </w:rPr>
        <w:t>(a) requiring respondents to report information to the agency more often than quarterly;</w:t>
      </w:r>
    </w:p>
    <w:p w:rsidR="00B144D3" w:rsidP="001B5E3B" w14:paraId="0872B274" w14:textId="77777777">
      <w:pPr>
        <w:ind w:left="720"/>
      </w:pPr>
    </w:p>
    <w:p w:rsidR="001B5E3B" w:rsidRPr="00CA32F1" w:rsidP="001B5E3B" w14:paraId="511C6D11" w14:textId="35047E6C">
      <w:pPr>
        <w:ind w:left="720"/>
      </w:pPr>
      <w:r>
        <w:t>Information will be collected one time only.</w:t>
      </w:r>
    </w:p>
    <w:p w:rsidR="006A0AC4" w:rsidRPr="006A0AC4" w:rsidP="006A0AC4" w14:paraId="31803F04" w14:textId="77777777">
      <w:pPr>
        <w:ind w:left="360"/>
      </w:pPr>
    </w:p>
    <w:p w:rsidR="006A0AC4" w:rsidP="006A0AC4" w14:paraId="1FFE55EB" w14:textId="77777777">
      <w:pPr>
        <w:ind w:left="360"/>
        <w:rPr>
          <w:b/>
          <w:bCs/>
          <w:i/>
          <w:iCs/>
        </w:rPr>
      </w:pPr>
      <w:r w:rsidRPr="006A0AC4">
        <w:rPr>
          <w:b/>
        </w:rPr>
        <w:tab/>
      </w:r>
      <w:r w:rsidRPr="006A0AC4">
        <w:rPr>
          <w:b/>
          <w:bCs/>
          <w:i/>
          <w:iCs/>
        </w:rPr>
        <w:t>(b) requiring respondents to prepare a written response to a collection of information in fewer than 30 days after receipt of it;</w:t>
      </w:r>
    </w:p>
    <w:p w:rsidR="00B144D3" w:rsidP="001B5E3B" w14:paraId="0BF52790" w14:textId="77777777">
      <w:pPr>
        <w:ind w:left="720"/>
      </w:pPr>
      <w:bookmarkStart w:id="2" w:name="_Hlk150776669"/>
    </w:p>
    <w:p w:rsidR="001B5E3B" w:rsidRPr="00CA32F1" w:rsidP="001B5E3B" w14:paraId="4C75089C" w14:textId="3334CEFA">
      <w:pPr>
        <w:ind w:left="720"/>
      </w:pPr>
      <w:r>
        <w:t>This information collection will be obtained through guided discussions and online surveys that are completely voluntary. There is no 30-day requirement to prepare a written response.</w:t>
      </w:r>
      <w:bookmarkEnd w:id="2"/>
      <w:r>
        <w:t xml:space="preserve"> </w:t>
      </w:r>
    </w:p>
    <w:p w:rsidR="00B144D3" w:rsidP="006A0AC4" w14:paraId="073EA342" w14:textId="77777777">
      <w:pPr>
        <w:ind w:left="360"/>
        <w:rPr>
          <w:b/>
        </w:rPr>
      </w:pPr>
    </w:p>
    <w:p w:rsidR="006A0AC4" w:rsidRPr="006A0AC4" w:rsidP="006A0AC4" w14:paraId="6BD09B4E" w14:textId="56FB7183">
      <w:pPr>
        <w:ind w:left="360"/>
        <w:rPr>
          <w:b/>
          <w:i/>
        </w:rPr>
      </w:pPr>
      <w:r w:rsidRPr="006A0AC4">
        <w:rPr>
          <w:b/>
        </w:rPr>
        <w:tab/>
      </w:r>
      <w:r w:rsidRPr="006A0AC4">
        <w:rPr>
          <w:b/>
          <w:bCs/>
          <w:i/>
          <w:iCs/>
        </w:rPr>
        <w:t>(c) requiring respondents to submit more than an original and two copies of any document;</w:t>
      </w:r>
    </w:p>
    <w:p w:rsidR="00B144D3" w:rsidP="001B5E3B" w14:paraId="5730F619" w14:textId="77777777">
      <w:pPr>
        <w:ind w:left="720"/>
      </w:pPr>
    </w:p>
    <w:p w:rsidR="001B5E3B" w:rsidRPr="00CA32F1" w:rsidP="001B5E3B" w14:paraId="388B7A47" w14:textId="0909C756">
      <w:pPr>
        <w:ind w:left="720"/>
      </w:pPr>
      <w:r w:rsidRPr="00CA32F1">
        <w:t xml:space="preserve">Respondents will only be asked to </w:t>
      </w:r>
      <w:r>
        <w:t>participate once</w:t>
      </w:r>
      <w:r w:rsidRPr="00CA32F1">
        <w:t>.</w:t>
      </w:r>
      <w:r>
        <w:t xml:space="preserve"> No copies of any documents will be requested.</w:t>
      </w:r>
    </w:p>
    <w:p w:rsidR="006A0AC4" w:rsidRPr="006A0AC4" w:rsidP="001B5E3B" w14:paraId="3CE2F20D" w14:textId="59DEC3CB">
      <w:pPr>
        <w:tabs>
          <w:tab w:val="left" w:pos="2595"/>
        </w:tabs>
        <w:ind w:left="360"/>
        <w:rPr>
          <w:b/>
        </w:rPr>
      </w:pPr>
    </w:p>
    <w:p w:rsidR="006A0AC4" w:rsidP="006A0AC4" w14:paraId="696CBA28" w14:textId="77777777">
      <w:pPr>
        <w:ind w:left="360"/>
        <w:rPr>
          <w:b/>
          <w:bCs/>
          <w:i/>
          <w:iCs/>
        </w:rPr>
      </w:pPr>
      <w:r w:rsidRPr="006A0AC4">
        <w:rPr>
          <w:b/>
        </w:rPr>
        <w:tab/>
      </w:r>
      <w:r w:rsidRPr="006A0AC4">
        <w:rPr>
          <w:b/>
          <w:bCs/>
          <w:i/>
          <w:iCs/>
        </w:rPr>
        <w:t>(d) requiring respondents to retain records, other than health, medical, government contract, grant-in-aid, or tax records, for more than 3 years;</w:t>
      </w:r>
    </w:p>
    <w:p w:rsidR="00B144D3" w:rsidP="001B5E3B" w14:paraId="0CF3209B" w14:textId="77777777">
      <w:pPr>
        <w:ind w:left="720"/>
      </w:pPr>
    </w:p>
    <w:p w:rsidR="001B5E3B" w:rsidRPr="00E17A32" w:rsidP="001B5E3B" w14:paraId="2E13E754" w14:textId="0C5DFE58">
      <w:pPr>
        <w:ind w:left="720"/>
      </w:pPr>
      <w:r w:rsidRPr="00CA32F1">
        <w:t xml:space="preserve">Respondents will </w:t>
      </w:r>
      <w:r w:rsidRPr="00E17A32">
        <w:t>not be required to retain any records associated with this information collection.</w:t>
      </w:r>
    </w:p>
    <w:p w:rsidR="006A0AC4" w:rsidRPr="006A0AC4" w:rsidP="006A0AC4" w14:paraId="0B2E7DC8" w14:textId="77777777">
      <w:pPr>
        <w:ind w:left="360"/>
        <w:rPr>
          <w:b/>
        </w:rPr>
      </w:pPr>
    </w:p>
    <w:p w:rsidR="006A0AC4" w:rsidRPr="006A0AC4" w:rsidP="006A0AC4" w14:paraId="119C0EB1" w14:textId="77777777">
      <w:pPr>
        <w:ind w:left="360"/>
        <w:rPr>
          <w:b/>
          <w:i/>
        </w:rPr>
      </w:pPr>
      <w:r w:rsidRPr="006A0AC4">
        <w:rPr>
          <w:b/>
          <w:i/>
        </w:rPr>
        <w:tab/>
      </w:r>
      <w:r w:rsidRPr="006A0AC4">
        <w:rPr>
          <w:b/>
          <w:bCs/>
          <w:i/>
          <w:iCs/>
        </w:rPr>
        <w:t>(e) in connection with a statistical survey, that is not designed to produce valid and reliable results that can be generalized to the universe of study;</w:t>
      </w:r>
    </w:p>
    <w:p w:rsidR="00B144D3" w:rsidP="001B5E3B" w14:paraId="57F272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1B5E3B" w:rsidRPr="004A48BC" w:rsidP="001B5E3B" w14:paraId="44308AF7" w14:textId="66369B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4A48BC">
        <w:t xml:space="preserve">The collection will use a statistical survey that is designed to produce valid and reliable results that can be generalized to the universe of the study. </w:t>
      </w:r>
    </w:p>
    <w:p w:rsidR="006A0AC4" w:rsidRPr="006A0AC4" w:rsidP="006A0AC4" w14:paraId="2AEC5626" w14:textId="77777777">
      <w:pPr>
        <w:ind w:left="360"/>
        <w:rPr>
          <w:b/>
          <w:i/>
        </w:rPr>
      </w:pPr>
    </w:p>
    <w:p w:rsidR="006A0AC4" w:rsidP="006A0AC4" w14:paraId="47B1ABF9" w14:textId="77777777">
      <w:pPr>
        <w:ind w:left="360"/>
        <w:rPr>
          <w:b/>
          <w:bCs/>
          <w:i/>
          <w:iCs/>
        </w:rPr>
      </w:pPr>
      <w:r w:rsidRPr="006A0AC4">
        <w:rPr>
          <w:b/>
          <w:i/>
        </w:rPr>
        <w:tab/>
      </w:r>
      <w:r w:rsidRPr="006A0AC4">
        <w:rPr>
          <w:b/>
          <w:bCs/>
          <w:i/>
          <w:iCs/>
        </w:rPr>
        <w:t>(f) requiring the use of statistical data classification that has been reviewed and approved by OMB;</w:t>
      </w:r>
    </w:p>
    <w:p w:rsidR="00B144D3" w:rsidP="001B5E3B" w14:paraId="11A2BD3B" w14:textId="77777777">
      <w:pPr>
        <w:ind w:left="720"/>
      </w:pPr>
    </w:p>
    <w:p w:rsidR="001B5E3B" w:rsidRPr="00EC2AFA" w:rsidP="001B5E3B" w14:paraId="2BDF65BA" w14:textId="0B1722E7">
      <w:pPr>
        <w:ind w:left="720"/>
        <w:rPr>
          <w:i/>
          <w:iCs/>
        </w:rPr>
      </w:pPr>
      <w:r w:rsidRPr="004A48BC">
        <w:t>The proposed information collection will use a statistical data classification that will be reviewed and approved by OMB</w:t>
      </w:r>
      <w:r w:rsidRPr="00EC2AFA">
        <w:rPr>
          <w:i/>
          <w:iCs/>
        </w:rPr>
        <w:t xml:space="preserve">. </w:t>
      </w:r>
    </w:p>
    <w:p w:rsidR="006A0AC4" w:rsidRPr="006A0AC4" w:rsidP="006A0AC4" w14:paraId="061F43D5" w14:textId="77777777">
      <w:pPr>
        <w:ind w:left="360"/>
        <w:rPr>
          <w:b/>
        </w:rPr>
      </w:pPr>
    </w:p>
    <w:p w:rsidR="006A0AC4" w:rsidRPr="006A0AC4" w:rsidP="006A0AC4" w14:paraId="7879E3B8" w14:textId="77777777">
      <w:pPr>
        <w:ind w:left="360"/>
        <w:rPr>
          <w:b/>
          <w:i/>
        </w:rPr>
      </w:pPr>
      <w:r w:rsidRPr="006A0AC4">
        <w:rPr>
          <w:b/>
        </w:rPr>
        <w:tab/>
      </w:r>
      <w:r w:rsidRPr="006A0AC4">
        <w:rPr>
          <w:b/>
          <w:bCs/>
          <w:i/>
          <w:i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A0AC4" w:rsidRPr="006A0AC4" w:rsidP="006A0AC4" w14:paraId="77220386" w14:textId="77777777">
      <w:pPr>
        <w:ind w:left="360"/>
        <w:rPr>
          <w:bCs/>
          <w:iCs/>
        </w:rPr>
      </w:pPr>
    </w:p>
    <w:p w:rsidR="001B5E3B" w:rsidRPr="00BA0BDF" w:rsidP="001B5E3B" w14:paraId="28D491AD"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No personally identifiable information will be collected as part of this effort. Thus, no pledge of confidentiality will be necessary or made. </w:t>
      </w:r>
    </w:p>
    <w:p w:rsidR="006A0AC4" w:rsidRPr="006A0AC4" w:rsidP="006A0AC4" w14:paraId="6EEE2B48" w14:textId="77777777">
      <w:pPr>
        <w:ind w:left="360"/>
        <w:rPr>
          <w:b/>
        </w:rPr>
      </w:pPr>
    </w:p>
    <w:p w:rsidR="006A0AC4" w:rsidRPr="006A0AC4" w:rsidP="006A0AC4" w14:paraId="41FF4FE2" w14:textId="77777777">
      <w:pPr>
        <w:ind w:left="360"/>
        <w:rPr>
          <w:b/>
          <w:i/>
        </w:rPr>
      </w:pPr>
      <w:r w:rsidRPr="006A0AC4">
        <w:rPr>
          <w:b/>
        </w:rPr>
        <w:tab/>
      </w:r>
      <w:r w:rsidRPr="006A0AC4">
        <w:rPr>
          <w:b/>
          <w:bCs/>
          <w:i/>
          <w:iCs/>
        </w:rPr>
        <w:t>(h) requiring respondents to submit proprietary trade secrets, or other confidential information, unless the agency can demonstrate that it has instituted procedures to protect the information’s confidentiality to the extent permitted by law.</w:t>
      </w:r>
    </w:p>
    <w:p w:rsidR="00B144D3" w:rsidP="006A0AC4" w14:paraId="25E82228" w14:textId="77777777">
      <w:pPr>
        <w:ind w:left="360"/>
      </w:pPr>
    </w:p>
    <w:p w:rsidR="006A0AC4" w:rsidRPr="006A0AC4" w:rsidP="006A0AC4" w14:paraId="7AA86C23" w14:textId="2B423496">
      <w:pPr>
        <w:ind w:left="360"/>
      </w:pPr>
      <w:r w:rsidRPr="006A0AC4">
        <w:t xml:space="preserve">The survey is one-time only. It does not require a response within any given time frame. The survey does not require the submission of more than one document. Respondents are not required to retain any records in conjunction with the survey. </w:t>
      </w:r>
    </w:p>
    <w:p w:rsidR="006A0AC4" w:rsidRPr="006A0AC4" w:rsidP="006A0AC4" w14:paraId="2A496F28" w14:textId="77777777">
      <w:pPr>
        <w:ind w:left="360"/>
      </w:pPr>
    </w:p>
    <w:p w:rsidR="006A0AC4" w:rsidRPr="006A0AC4" w:rsidP="006A0AC4" w14:paraId="5E3A0F7F" w14:textId="77777777">
      <w:pPr>
        <w:ind w:left="360"/>
      </w:pPr>
      <w:r w:rsidRPr="006A0AC4">
        <w:t>The survey is designed as part of exploratory research, not to collect information that can be generalized to the survey universe. Rather, the data gathered will be specific to each of the ports or states being surveyed. The data collected will be largely qualitative, not quantitative.</w:t>
      </w:r>
    </w:p>
    <w:p w:rsidR="006A0AC4" w:rsidRPr="006A0AC4" w:rsidP="006A0AC4" w14:paraId="74715D4A" w14:textId="77777777">
      <w:pPr>
        <w:ind w:left="360"/>
      </w:pPr>
      <w:r w:rsidRPr="006A0AC4">
        <w:t xml:space="preserve"> </w:t>
      </w:r>
    </w:p>
    <w:p w:rsidR="006A0AC4" w:rsidRPr="006A0AC4" w:rsidP="006A0AC4" w14:paraId="3C14DE23" w14:textId="77777777">
      <w:pPr>
        <w:ind w:left="360"/>
      </w:pPr>
      <w:r w:rsidRPr="006A0AC4">
        <w:t xml:space="preserve">This information collection includes a pledge of confidentiality supported by disclosure and data security policies, which are consistent with the pledge and which do not unnecessarily impede sharing of data with other agencies for compatible confidential use. It does not attempt to solicit trade secrets or other confidential information. </w:t>
      </w:r>
    </w:p>
    <w:p w:rsidR="006A0AC4" w:rsidRPr="006A0AC4" w:rsidP="006A0AC4" w14:paraId="079AC11B" w14:textId="77777777">
      <w:pPr>
        <w:ind w:left="360"/>
      </w:pPr>
    </w:p>
    <w:p w:rsidR="006A0AC4" w:rsidRPr="006A0AC4" w:rsidP="006A0AC4" w14:paraId="56EEDADC" w14:textId="77777777">
      <w:pPr>
        <w:ind w:left="360"/>
        <w:rPr>
          <w:b/>
          <w:i/>
        </w:rPr>
      </w:pPr>
      <w:r w:rsidRPr="006A0AC4">
        <w:rPr>
          <w:b/>
          <w:i/>
        </w:rPr>
        <w:t>8.</w:t>
      </w:r>
      <w:r w:rsidRPr="006A0AC4">
        <w:rPr>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w:t>
      </w:r>
      <w:r w:rsidRPr="006A0AC4">
        <w:rPr>
          <w:b/>
          <w:i/>
        </w:rPr>
        <w:t xml:space="preserve">agency in response to these comments.  Specifically address comments received on cost and hour burden.  </w:t>
      </w:r>
    </w:p>
    <w:p w:rsidR="006A0AC4" w:rsidRPr="006A0AC4" w:rsidP="006A0AC4" w14:paraId="244F10A7" w14:textId="77777777">
      <w:pPr>
        <w:ind w:left="360"/>
      </w:pPr>
      <w:r w:rsidRPr="006A0AC4">
        <w:t xml:space="preserve"> </w:t>
      </w:r>
    </w:p>
    <w:p w:rsidR="006A0AC4" w:rsidRPr="006A0AC4" w:rsidP="006A0AC4" w14:paraId="62719D2C" w14:textId="77777777">
      <w:pPr>
        <w:ind w:left="360"/>
        <w:rPr>
          <w:b/>
          <w:i/>
        </w:rPr>
      </w:pPr>
      <w:r w:rsidRPr="006A0AC4">
        <w:rPr>
          <w:b/>
          <w:i/>
        </w:rPr>
        <w:t xml:space="preserve">Describe efforts to consult with persons outside the agency to obtain their views on </w:t>
      </w:r>
      <w:bookmarkStart w:id="3" w:name="_Hlk192779059"/>
      <w:r w:rsidRPr="006A0AC4">
        <w:rPr>
          <w:b/>
          <w:i/>
        </w:rPr>
        <w:t>the availability of data, frequency of collection, the clarity of instructions and recordkeeping, disclosure, or reporting format (if any), and on the data elements to be recorded, disclosed, or reported</w:t>
      </w:r>
      <w:bookmarkEnd w:id="3"/>
      <w:r w:rsidRPr="006A0AC4">
        <w:rPr>
          <w:b/>
          <w:i/>
        </w:rPr>
        <w:t xml:space="preserve">. </w:t>
      </w:r>
    </w:p>
    <w:p w:rsidR="0040647C" w:rsidP="006A0AC4" w14:paraId="05BFADC7" w14:textId="77777777">
      <w:pPr>
        <w:ind w:left="360"/>
      </w:pPr>
    </w:p>
    <w:p w:rsidR="0040647C" w:rsidP="006A0AC4" w14:paraId="44F477CD" w14:textId="185C829C">
      <w:pPr>
        <w:ind w:left="360"/>
      </w:pPr>
      <w:r>
        <w:t>The 60-day notice was published on</w:t>
      </w:r>
      <w:r w:rsidR="00524ED0">
        <w:t xml:space="preserve"> August 11, 2025</w:t>
      </w:r>
      <w:r w:rsidR="00300DAD">
        <w:t xml:space="preserve"> (90 FR 38660)</w:t>
      </w:r>
      <w:r>
        <w:t xml:space="preserve">. BOEM did not receive any comments on it. </w:t>
      </w:r>
    </w:p>
    <w:p w:rsidR="0040647C" w:rsidP="006A0AC4" w14:paraId="3815931D" w14:textId="77777777">
      <w:pPr>
        <w:ind w:left="360"/>
      </w:pPr>
    </w:p>
    <w:p w:rsidR="006A0AC4" w:rsidRPr="006A0AC4" w:rsidP="006A0AC4" w14:paraId="3BA78949" w14:textId="689FA18B">
      <w:pPr>
        <w:ind w:left="360"/>
      </w:pPr>
      <w:r>
        <w:t xml:space="preserve">BOEM is working with </w:t>
      </w:r>
      <w:r w:rsidRPr="006A0AC4">
        <w:t xml:space="preserve">a team of specialists with direct knowledge of the study universe and experience with data collection to design the survey, identify respondents, and collect and collate the information. </w:t>
      </w:r>
      <w:r w:rsidR="00DD170B">
        <w:t>These specialists have</w:t>
      </w:r>
      <w:r w:rsidRPr="006A0AC4">
        <w:t xml:space="preserve"> informed the survey design.</w:t>
      </w:r>
    </w:p>
    <w:p w:rsidR="006A0AC4" w:rsidRPr="006A0AC4" w:rsidP="006A0AC4" w14:paraId="254A895E" w14:textId="77777777">
      <w:pPr>
        <w:ind w:left="360"/>
        <w:rPr>
          <w:b/>
          <w:i/>
        </w:rPr>
      </w:pPr>
    </w:p>
    <w:p w:rsidR="006A0AC4" w:rsidRPr="006A0AC4" w:rsidP="006A0AC4" w14:paraId="37849871" w14:textId="77777777">
      <w:pPr>
        <w:ind w:left="360"/>
        <w:rPr>
          <w:b/>
        </w:rPr>
      </w:pPr>
      <w:r w:rsidRPr="006A0AC4">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6A0AC4">
        <w:rPr>
          <w:b/>
        </w:rPr>
        <w:t xml:space="preserve">  </w:t>
      </w:r>
    </w:p>
    <w:p w:rsidR="006A0AC4" w:rsidRPr="006A0AC4" w:rsidP="006A0AC4" w14:paraId="74D8F0DA" w14:textId="77777777">
      <w:pPr>
        <w:ind w:left="360"/>
        <w:rPr>
          <w:bCs/>
        </w:rPr>
      </w:pPr>
    </w:p>
    <w:p w:rsidR="006A0AC4" w:rsidRPr="006A0AC4" w:rsidP="006A0AC4" w14:paraId="419CD82D" w14:textId="77777777">
      <w:pPr>
        <w:ind w:left="360"/>
      </w:pPr>
      <w:r w:rsidRPr="006A0AC4">
        <w:t>N/A</w:t>
      </w:r>
    </w:p>
    <w:p w:rsidR="006A0AC4" w:rsidRPr="006A0AC4" w:rsidP="006A0AC4" w14:paraId="391E0F4A" w14:textId="77777777">
      <w:pPr>
        <w:ind w:left="360"/>
      </w:pPr>
    </w:p>
    <w:p w:rsidR="006A0AC4" w:rsidRPr="006A0AC4" w:rsidP="006A0AC4" w14:paraId="513D54A9" w14:textId="77777777">
      <w:pPr>
        <w:ind w:left="360"/>
        <w:rPr>
          <w:b/>
        </w:rPr>
      </w:pPr>
      <w:r w:rsidRPr="006A0AC4">
        <w:rPr>
          <w:b/>
          <w:i/>
        </w:rPr>
        <w:t>9.</w:t>
      </w:r>
      <w:r w:rsidRPr="006A0AC4">
        <w:rPr>
          <w:b/>
          <w:i/>
        </w:rPr>
        <w:tab/>
        <w:t>Explain any decision to provide any payment or gift to respondents, other than remuneration of contractors or grantees.</w:t>
      </w:r>
      <w:r w:rsidRPr="006A0AC4">
        <w:rPr>
          <w:b/>
        </w:rPr>
        <w:t xml:space="preserve"> </w:t>
      </w:r>
    </w:p>
    <w:p w:rsidR="00B144D3" w:rsidP="006A0AC4" w14:paraId="04BB79E0" w14:textId="77777777">
      <w:pPr>
        <w:ind w:left="360"/>
        <w:rPr>
          <w:bCs/>
        </w:rPr>
      </w:pPr>
    </w:p>
    <w:p w:rsidR="006A0AC4" w:rsidRPr="006A0AC4" w:rsidP="006A0AC4" w14:paraId="38E5BBE0" w14:textId="198B013E">
      <w:pPr>
        <w:ind w:left="360"/>
        <w:rPr>
          <w:bCs/>
        </w:rPr>
      </w:pPr>
      <w:r>
        <w:rPr>
          <w:bCs/>
        </w:rPr>
        <w:t>N</w:t>
      </w:r>
      <w:r w:rsidRPr="006A0AC4">
        <w:rPr>
          <w:bCs/>
        </w:rPr>
        <w:t>o payment or gift is provided to respondents.</w:t>
      </w:r>
    </w:p>
    <w:p w:rsidR="006A0AC4" w:rsidRPr="006A0AC4" w:rsidP="006A0AC4" w14:paraId="28D8BD76" w14:textId="77777777">
      <w:pPr>
        <w:ind w:left="360"/>
      </w:pPr>
    </w:p>
    <w:p w:rsidR="006A0AC4" w:rsidRPr="006A0AC4" w:rsidP="006A0AC4" w14:paraId="1DE90E91" w14:textId="77777777">
      <w:pPr>
        <w:ind w:left="360"/>
        <w:rPr>
          <w:i/>
        </w:rPr>
      </w:pPr>
      <w:r w:rsidRPr="006A0AC4">
        <w:rPr>
          <w:b/>
          <w:i/>
        </w:rPr>
        <w:t>10.</w:t>
      </w:r>
      <w:r w:rsidRPr="006A0AC4">
        <w:rPr>
          <w:b/>
          <w:i/>
        </w:rPr>
        <w:tab/>
        <w:t>Describe any assurance of confidentiality provided to respondents and the basis for the assurance in statute, regulation, or agency policy.</w:t>
      </w:r>
      <w:r w:rsidRPr="006A0AC4">
        <w:rPr>
          <w:i/>
        </w:rPr>
        <w:t xml:space="preserve">  </w:t>
      </w:r>
    </w:p>
    <w:p w:rsidR="00B144D3" w:rsidP="006A0AC4" w14:paraId="3D706AD4" w14:textId="77777777">
      <w:pPr>
        <w:ind w:left="360"/>
        <w:rPr>
          <w:iCs/>
        </w:rPr>
      </w:pPr>
    </w:p>
    <w:p w:rsidR="006A0AC4" w:rsidP="006A0AC4" w14:paraId="432B2669" w14:textId="273F2B64">
      <w:pPr>
        <w:ind w:left="360"/>
        <w:rPr>
          <w:iCs/>
        </w:rPr>
      </w:pPr>
      <w:r w:rsidRPr="006A0AC4">
        <w:rPr>
          <w:iCs/>
        </w:rPr>
        <w:t>The survey will be prefaced with standard OMB language regarding confidentiality</w:t>
      </w:r>
      <w:r w:rsidR="00485401">
        <w:rPr>
          <w:iCs/>
        </w:rPr>
        <w:t>.</w:t>
      </w:r>
    </w:p>
    <w:p w:rsidR="00485401" w:rsidP="006A0AC4" w14:paraId="28154A3F" w14:textId="77777777">
      <w:pPr>
        <w:ind w:left="360"/>
        <w:rPr>
          <w:iCs/>
        </w:rPr>
      </w:pPr>
    </w:p>
    <w:p w:rsidR="00BA7E3C" w:rsidP="00BA7E3C" w14:paraId="1A79A492" w14:textId="77777777">
      <w:pPr>
        <w:ind w:left="360"/>
        <w:rPr>
          <w:iCs/>
        </w:rPr>
      </w:pPr>
      <w:r w:rsidRPr="00BA7E3C">
        <w:rPr>
          <w:iCs/>
        </w:rPr>
        <w:t xml:space="preserve">Privacy Notice: The Bureau of Ocean Energy Management (BOEM) is conducting this survey to obtain reliable data and information about the use of U.S. West Coast port infrastructure and how offshore energy activities may affect port-based industries, especially those related commercial and recreational fishing. BOEM seeks to establish connectivity between fishing and the greater community of fishers to obtain baseline data and help guide and manage these activities along the U.S. West Coast. </w:t>
      </w:r>
    </w:p>
    <w:p w:rsidR="00BA7E3C" w:rsidRPr="00BA7E3C" w:rsidP="00BA7E3C" w14:paraId="7675CF7A" w14:textId="77777777">
      <w:pPr>
        <w:ind w:left="360"/>
        <w:rPr>
          <w:iCs/>
        </w:rPr>
      </w:pPr>
    </w:p>
    <w:p w:rsidR="00BA7E3C" w:rsidP="00BA7E3C" w14:paraId="47AB42AA" w14:textId="77777777">
      <w:pPr>
        <w:ind w:left="360"/>
        <w:rPr>
          <w:iCs/>
        </w:rPr>
      </w:pPr>
      <w:r w:rsidRPr="00BA7E3C">
        <w:rPr>
          <w:iCs/>
        </w:rPr>
        <w:t xml:space="preserve">Your participation in this survey is voluntary and your responses are confidential. This survey does not collect any data that will allow anyone to associate responses you provide back to you. Anonymized, aggregated data will be shared in a final report. Only approved personnel will have access to the complete data we collect from you. We take the appropriate steps to secure data and prevent any threats to data confidentiality. </w:t>
      </w:r>
    </w:p>
    <w:p w:rsidR="00BA7E3C" w:rsidRPr="00BA7E3C" w:rsidP="00BA7E3C" w14:paraId="3DA0A848" w14:textId="77777777">
      <w:pPr>
        <w:ind w:left="360"/>
        <w:rPr>
          <w:iCs/>
        </w:rPr>
      </w:pPr>
    </w:p>
    <w:p w:rsidR="00BA7E3C" w:rsidP="00BA7E3C" w14:paraId="1029547E" w14:textId="77777777">
      <w:pPr>
        <w:ind w:left="360"/>
        <w:rPr>
          <w:iCs/>
        </w:rPr>
      </w:pPr>
      <w:r w:rsidRPr="00BA7E3C">
        <w:rPr>
          <w:iCs/>
        </w:rPr>
        <w:t xml:space="preserve">PAPERWORK REDUCTION ACT STATEMENT: BOEM is collecting this information subject to the Paperwork Reduction Act (44 U.S.C. 3501 et seq.). BOEM may not conduct or sponsor, and a person is not required to respond to, a collection of information unless it displays a currently valid OMB control number and expiration date. OMB has reviewed and approved this survey and assigned OMB Control Number 1010-#### (expiration date: ##/##/20##). </w:t>
      </w:r>
    </w:p>
    <w:p w:rsidR="00BA7E3C" w:rsidRPr="00BA7E3C" w:rsidP="00BA7E3C" w14:paraId="39A7C9A8" w14:textId="77777777">
      <w:pPr>
        <w:ind w:left="360"/>
        <w:rPr>
          <w:iCs/>
        </w:rPr>
      </w:pPr>
    </w:p>
    <w:p w:rsidR="00BA7E3C" w:rsidRPr="00BA7E3C" w:rsidP="00BA7E3C" w14:paraId="1C9B2C5C" w14:textId="04027B36">
      <w:pPr>
        <w:ind w:left="360"/>
        <w:rPr>
          <w:iCs/>
        </w:rPr>
      </w:pPr>
      <w:r w:rsidRPr="00BA7E3C">
        <w:rPr>
          <w:iCs/>
        </w:rPr>
        <w:t xml:space="preserve">BURDEN ESTIMATE STATEMENT: BOEM estimates this survey will take you </w:t>
      </w:r>
      <w:r w:rsidR="00B144D3">
        <w:rPr>
          <w:iCs/>
        </w:rPr>
        <w:t>30 minutes to 1</w:t>
      </w:r>
      <w:r w:rsidRPr="00BA7E3C">
        <w:rPr>
          <w:iCs/>
        </w:rPr>
        <w:t xml:space="preserve"> hour to complete. Comments regarding the burden estimate or any other aspect of this form may be submitted to the Information Collection Clearance Officer, Bureau of Ocean Energy Management, 45600 Woodland Road, Sterling, VA 20166.</w:t>
      </w:r>
    </w:p>
    <w:p w:rsidR="00BA7E3C" w:rsidRPr="006A0AC4" w:rsidP="006A0AC4" w14:paraId="5EB40FCA" w14:textId="77777777">
      <w:pPr>
        <w:ind w:left="360"/>
        <w:rPr>
          <w:iCs/>
        </w:rPr>
      </w:pPr>
    </w:p>
    <w:p w:rsidR="006A0AC4" w:rsidRPr="006A0AC4" w:rsidP="006A0AC4" w14:paraId="2200EA7C" w14:textId="77777777">
      <w:pPr>
        <w:ind w:left="360"/>
        <w:rPr>
          <w:i/>
        </w:rPr>
      </w:pPr>
      <w:r w:rsidRPr="006A0AC4">
        <w:rPr>
          <w:b/>
          <w:i/>
        </w:rPr>
        <w:t>11.</w:t>
      </w:r>
      <w:r w:rsidRPr="006A0AC4">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A0AC4">
        <w:rPr>
          <w:i/>
        </w:rPr>
        <w:t xml:space="preserve">  </w:t>
      </w:r>
    </w:p>
    <w:p w:rsidR="006A0AC4" w:rsidRPr="006A0AC4" w:rsidP="006A0AC4" w14:paraId="18304F52" w14:textId="77777777">
      <w:pPr>
        <w:ind w:left="360"/>
      </w:pPr>
    </w:p>
    <w:p w:rsidR="006A0AC4" w:rsidRPr="006A0AC4" w:rsidP="006A0AC4" w14:paraId="105FC014" w14:textId="77777777">
      <w:pPr>
        <w:ind w:left="360"/>
      </w:pPr>
      <w:r w:rsidRPr="006A0AC4">
        <w:t xml:space="preserve">The survey contains no questions of a sensitive nature. </w:t>
      </w:r>
    </w:p>
    <w:p w:rsidR="006A0AC4" w:rsidRPr="006A0AC4" w:rsidP="006A0AC4" w14:paraId="44587716" w14:textId="77777777">
      <w:pPr>
        <w:ind w:left="360"/>
      </w:pPr>
    </w:p>
    <w:p w:rsidR="006A0AC4" w:rsidRPr="006A0AC4" w:rsidP="006A0AC4" w14:paraId="10DD6D33" w14:textId="77777777">
      <w:pPr>
        <w:ind w:left="360"/>
        <w:rPr>
          <w:b/>
          <w:i/>
        </w:rPr>
      </w:pPr>
      <w:r w:rsidRPr="006A0AC4">
        <w:rPr>
          <w:b/>
          <w:i/>
        </w:rPr>
        <w:t>12.</w:t>
      </w:r>
      <w:r w:rsidRPr="006A0AC4">
        <w:rPr>
          <w:b/>
          <w:i/>
        </w:rPr>
        <w:tab/>
        <w:t>Provide estimates of the hour burden of the collection of information.  The statement should:</w:t>
      </w:r>
    </w:p>
    <w:p w:rsidR="006A0AC4" w:rsidRPr="006A0AC4" w:rsidP="006A0AC4" w14:paraId="19B2E7B7" w14:textId="77777777">
      <w:pPr>
        <w:ind w:left="360"/>
        <w:rPr>
          <w:b/>
          <w:i/>
        </w:rPr>
      </w:pPr>
    </w:p>
    <w:p w:rsidR="006A0AC4" w:rsidRPr="006A0AC4" w:rsidP="006A0AC4" w14:paraId="7F701511" w14:textId="77777777">
      <w:pPr>
        <w:ind w:left="360"/>
        <w:rPr>
          <w:b/>
          <w:i/>
        </w:rPr>
      </w:pPr>
      <w:r w:rsidRPr="006A0AC4">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A0AC4" w:rsidRPr="006A0AC4" w:rsidP="006A0AC4" w14:paraId="09E53938" w14:textId="77777777">
      <w:pPr>
        <w:ind w:left="360"/>
        <w:rPr>
          <w:b/>
          <w:i/>
        </w:rPr>
      </w:pPr>
    </w:p>
    <w:p w:rsidR="006A0AC4" w:rsidRPr="006A0AC4" w:rsidP="006A0AC4" w14:paraId="39D0DF8D" w14:textId="77777777">
      <w:pPr>
        <w:ind w:left="360"/>
        <w:rPr>
          <w:b/>
          <w:i/>
        </w:rPr>
      </w:pPr>
      <w:r w:rsidRPr="006A0AC4">
        <w:rPr>
          <w:b/>
          <w:i/>
        </w:rPr>
        <w:tab/>
        <w:t>(b) If this request for approval covers more than one form, provide separate hour burden estimates for each form and aggregate the hour burdens.</w:t>
      </w:r>
    </w:p>
    <w:p w:rsidR="006A0AC4" w:rsidRPr="006A0AC4" w:rsidP="006A0AC4" w14:paraId="1D1D05A2" w14:textId="77777777">
      <w:pPr>
        <w:ind w:left="360"/>
      </w:pPr>
    </w:p>
    <w:p w:rsidR="00DD170B" w:rsidP="006A0AC4" w14:paraId="117289FD" w14:textId="77777777">
      <w:pPr>
        <w:ind w:left="360"/>
      </w:pPr>
      <w:r w:rsidRPr="006A0AC4">
        <w:t xml:space="preserve">Respondents include port authority staff, port commissioners, Tribal representatives, fishing association representatives, fish processing plant managers, local business owners, state commissioners with </w:t>
      </w:r>
      <w:r w:rsidRPr="006A0AC4" w:rsidR="006300F8">
        <w:t>purviews</w:t>
      </w:r>
      <w:r w:rsidRPr="006A0AC4">
        <w:t xml:space="preserve"> over ports or fish and wildlife, and state consistency reviewers. Responses are voluntary, and the survey is a one-time information collection. </w:t>
      </w:r>
    </w:p>
    <w:p w:rsidR="00DD170B" w:rsidP="006A0AC4" w14:paraId="6CCF5C31" w14:textId="77777777">
      <w:pPr>
        <w:ind w:left="360"/>
      </w:pPr>
    </w:p>
    <w:p w:rsidR="00DD170B" w:rsidP="006A0AC4" w14:paraId="126B9F5F" w14:textId="0A337E39">
      <w:pPr>
        <w:ind w:left="360"/>
      </w:pPr>
      <w:r>
        <w:t xml:space="preserve">Number of Respondents: 108 respondents are expected </w:t>
      </w:r>
      <w:r w:rsidR="002C2525">
        <w:t>to participate</w:t>
      </w:r>
      <w:r>
        <w:t xml:space="preserve">. </w:t>
      </w:r>
    </w:p>
    <w:p w:rsidR="00DD170B" w:rsidP="006A0AC4" w14:paraId="6A2EEAFF" w14:textId="01FE4033">
      <w:pPr>
        <w:ind w:left="360"/>
      </w:pPr>
      <w:r>
        <w:t xml:space="preserve">Estimated Completion Time per </w:t>
      </w:r>
      <w:r w:rsidRPr="009431B0">
        <w:t xml:space="preserve">Response is </w:t>
      </w:r>
      <w:r w:rsidRPr="009431B0" w:rsidR="004F158F">
        <w:t>30</w:t>
      </w:r>
      <w:r w:rsidRPr="009431B0" w:rsidR="009431B0">
        <w:t>-60</w:t>
      </w:r>
      <w:r w:rsidRPr="009431B0" w:rsidR="004F158F">
        <w:t xml:space="preserve"> minutes</w:t>
      </w:r>
      <w:r>
        <w:t xml:space="preserve"> </w:t>
      </w:r>
    </w:p>
    <w:p w:rsidR="00DD170B" w:rsidP="006A0AC4" w14:paraId="513B30B9" w14:textId="247BA1D5">
      <w:pPr>
        <w:ind w:left="360"/>
      </w:pPr>
      <w:r>
        <w:t xml:space="preserve">Total Estimated Number of Annual Burden Hours is 108 hours. </w:t>
      </w:r>
    </w:p>
    <w:p w:rsidR="00DD170B" w:rsidP="006A0AC4" w14:paraId="21F95F3F" w14:textId="77777777">
      <w:pPr>
        <w:ind w:left="360"/>
      </w:pPr>
    </w:p>
    <w:p w:rsidR="006A0AC4" w:rsidRPr="006A0AC4" w:rsidP="006A0AC4" w14:paraId="7D6DD06B" w14:textId="0608FDB3">
      <w:pPr>
        <w:ind w:left="360"/>
      </w:pPr>
      <w:r w:rsidRPr="006A0AC4">
        <w:t>We estimate the total annual burden is 108 hours. This is based on a maximum of one hour per response. Refer to the following table for a breakdown of the burdens.</w:t>
      </w:r>
    </w:p>
    <w:p w:rsidR="006A0AC4" w:rsidRPr="006A0AC4" w:rsidP="006A0AC4" w14:paraId="78E19E64" w14:textId="77777777">
      <w:pPr>
        <w:ind w:left="360"/>
      </w:pPr>
    </w:p>
    <w:p w:rsidR="006A0AC4" w:rsidRPr="006A0AC4" w:rsidP="006A0AC4" w14:paraId="0286568C" w14:textId="77777777">
      <w:pPr>
        <w:ind w:left="360"/>
        <w:rPr>
          <w:b/>
        </w:rPr>
      </w:pPr>
      <w:r w:rsidRPr="006A0AC4">
        <w:rPr>
          <w:b/>
          <w:bCs/>
        </w:rPr>
        <w:t>BURDEN BREAKDOWN</w:t>
      </w:r>
    </w:p>
    <w:p w:rsidR="006A0AC4" w:rsidRPr="006A0AC4" w:rsidP="006A0AC4" w14:paraId="76B2E1D8" w14:textId="77777777">
      <w:pPr>
        <w:ind w:left="360"/>
        <w:rPr>
          <w:b/>
          <w:bCs/>
        </w:rPr>
      </w:pPr>
    </w:p>
    <w:tbl>
      <w:tblPr>
        <w:tblW w:w="10081" w:type="dxa"/>
        <w:tblLayout w:type="fixed"/>
        <w:tblLook w:val="04A0"/>
      </w:tblPr>
      <w:tblGrid>
        <w:gridCol w:w="2690"/>
        <w:gridCol w:w="1170"/>
        <w:gridCol w:w="1080"/>
        <w:gridCol w:w="1064"/>
        <w:gridCol w:w="1359"/>
        <w:gridCol w:w="1359"/>
        <w:gridCol w:w="1359"/>
      </w:tblGrid>
      <w:tr w14:paraId="655B8A54"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4A48BC" w:rsidP="004A48BC" w14:paraId="478F0306" w14:textId="77777777">
            <w:pPr>
              <w:rPr>
                <w:b/>
                <w:bCs/>
                <w:sz w:val="22"/>
                <w:szCs w:val="22"/>
              </w:rPr>
            </w:pPr>
            <w:r w:rsidRPr="004A48BC">
              <w:rPr>
                <w:b/>
                <w:bCs/>
                <w:sz w:val="22"/>
                <w:szCs w:val="22"/>
              </w:rPr>
              <w:t>Respondent type</w:t>
            </w:r>
          </w:p>
        </w:tc>
        <w:tc>
          <w:tcPr>
            <w:tcW w:w="1170" w:type="dxa"/>
            <w:tcBorders>
              <w:top w:val="single" w:sz="8" w:space="0" w:color="auto"/>
              <w:left w:val="single" w:sz="8" w:space="0" w:color="auto"/>
              <w:bottom w:val="single" w:sz="8" w:space="0" w:color="auto"/>
              <w:right w:val="single" w:sz="8" w:space="0" w:color="auto"/>
            </w:tcBorders>
            <w:hideMark/>
          </w:tcPr>
          <w:p w:rsidR="006A0AC4" w:rsidRPr="004A48BC" w:rsidP="004A48BC" w14:paraId="5473C8C8" w14:textId="77777777">
            <w:pPr>
              <w:rPr>
                <w:b/>
                <w:bCs/>
                <w:sz w:val="22"/>
                <w:szCs w:val="22"/>
              </w:rPr>
            </w:pPr>
            <w:r w:rsidRPr="004A48BC">
              <w:rPr>
                <w:b/>
                <w:bCs/>
                <w:sz w:val="22"/>
                <w:szCs w:val="22"/>
              </w:rPr>
              <w:t>Per Port (20 ports)</w:t>
            </w:r>
          </w:p>
        </w:tc>
        <w:tc>
          <w:tcPr>
            <w:tcW w:w="1080" w:type="dxa"/>
            <w:tcBorders>
              <w:top w:val="single" w:sz="8" w:space="0" w:color="auto"/>
              <w:left w:val="single" w:sz="8" w:space="0" w:color="auto"/>
              <w:bottom w:val="single" w:sz="8" w:space="0" w:color="auto"/>
              <w:right w:val="single" w:sz="8" w:space="0" w:color="auto"/>
            </w:tcBorders>
            <w:hideMark/>
          </w:tcPr>
          <w:p w:rsidR="006A0AC4" w:rsidRPr="004A48BC" w:rsidP="004A48BC" w14:paraId="78EA850F" w14:textId="77777777">
            <w:pPr>
              <w:rPr>
                <w:b/>
                <w:bCs/>
                <w:sz w:val="22"/>
                <w:szCs w:val="22"/>
              </w:rPr>
            </w:pPr>
            <w:r w:rsidRPr="004A48BC">
              <w:rPr>
                <w:b/>
                <w:bCs/>
                <w:sz w:val="22"/>
                <w:szCs w:val="22"/>
              </w:rPr>
              <w:t>Per State (3 states)</w:t>
            </w:r>
          </w:p>
        </w:tc>
        <w:tc>
          <w:tcPr>
            <w:tcW w:w="1064" w:type="dxa"/>
            <w:tcBorders>
              <w:top w:val="single" w:sz="8" w:space="0" w:color="auto"/>
              <w:left w:val="single" w:sz="8" w:space="0" w:color="auto"/>
              <w:bottom w:val="single" w:sz="8" w:space="0" w:color="auto"/>
              <w:right w:val="single" w:sz="8" w:space="0" w:color="auto"/>
            </w:tcBorders>
            <w:hideMark/>
          </w:tcPr>
          <w:p w:rsidR="006A0AC4" w:rsidRPr="004A48BC" w:rsidP="004A48BC" w14:paraId="57FF7993" w14:textId="16DE02BD">
            <w:pPr>
              <w:rPr>
                <w:b/>
                <w:bCs/>
                <w:sz w:val="22"/>
                <w:szCs w:val="22"/>
              </w:rPr>
            </w:pPr>
            <w:r w:rsidRPr="004A48BC">
              <w:rPr>
                <w:b/>
                <w:bCs/>
                <w:sz w:val="22"/>
                <w:szCs w:val="22"/>
              </w:rPr>
              <w:t>Total N</w:t>
            </w:r>
            <w:r w:rsidR="00F62C7B">
              <w:rPr>
                <w:b/>
                <w:bCs/>
                <w:sz w:val="22"/>
                <w:szCs w:val="22"/>
              </w:rPr>
              <w:t>umber</w:t>
            </w:r>
          </w:p>
        </w:tc>
        <w:tc>
          <w:tcPr>
            <w:tcW w:w="1359" w:type="dxa"/>
            <w:tcBorders>
              <w:top w:val="single" w:sz="8" w:space="0" w:color="auto"/>
              <w:left w:val="single" w:sz="8" w:space="0" w:color="auto"/>
              <w:bottom w:val="single" w:sz="8" w:space="0" w:color="auto"/>
              <w:right w:val="single" w:sz="8" w:space="0" w:color="auto"/>
            </w:tcBorders>
            <w:hideMark/>
          </w:tcPr>
          <w:p w:rsidR="006A0AC4" w:rsidRPr="004A48BC" w:rsidP="004A48BC" w14:paraId="7EE7D03E" w14:textId="77777777">
            <w:pPr>
              <w:rPr>
                <w:b/>
                <w:bCs/>
                <w:sz w:val="22"/>
                <w:szCs w:val="22"/>
              </w:rPr>
            </w:pPr>
            <w:r w:rsidRPr="004A48BC">
              <w:rPr>
                <w:b/>
                <w:bCs/>
                <w:sz w:val="22"/>
                <w:szCs w:val="22"/>
              </w:rPr>
              <w:t>Expected Response Rate</w:t>
            </w:r>
          </w:p>
        </w:tc>
        <w:tc>
          <w:tcPr>
            <w:tcW w:w="1359" w:type="dxa"/>
            <w:tcBorders>
              <w:top w:val="single" w:sz="8" w:space="0" w:color="auto"/>
              <w:left w:val="single" w:sz="8" w:space="0" w:color="auto"/>
              <w:bottom w:val="single" w:sz="8" w:space="0" w:color="auto"/>
              <w:right w:val="single" w:sz="8" w:space="0" w:color="auto"/>
            </w:tcBorders>
            <w:hideMark/>
          </w:tcPr>
          <w:p w:rsidR="006A0AC4" w:rsidRPr="004A48BC" w:rsidP="004A48BC" w14:paraId="1E2CE48B" w14:textId="77777777">
            <w:pPr>
              <w:rPr>
                <w:b/>
                <w:bCs/>
                <w:sz w:val="22"/>
                <w:szCs w:val="22"/>
              </w:rPr>
            </w:pPr>
            <w:r w:rsidRPr="004A48BC">
              <w:rPr>
                <w:b/>
                <w:bCs/>
                <w:sz w:val="22"/>
                <w:szCs w:val="22"/>
              </w:rPr>
              <w:t>Expected Responses</w:t>
            </w:r>
          </w:p>
        </w:tc>
        <w:tc>
          <w:tcPr>
            <w:tcW w:w="1359" w:type="dxa"/>
            <w:tcBorders>
              <w:top w:val="single" w:sz="8" w:space="0" w:color="auto"/>
              <w:left w:val="single" w:sz="8" w:space="0" w:color="auto"/>
              <w:bottom w:val="single" w:sz="8" w:space="0" w:color="auto"/>
              <w:right w:val="single" w:sz="8" w:space="0" w:color="auto"/>
            </w:tcBorders>
            <w:hideMark/>
          </w:tcPr>
          <w:p w:rsidR="006A0AC4" w:rsidRPr="004A48BC" w:rsidP="004A48BC" w14:paraId="3B487273" w14:textId="77777777">
            <w:pPr>
              <w:rPr>
                <w:b/>
                <w:bCs/>
                <w:sz w:val="22"/>
                <w:szCs w:val="22"/>
              </w:rPr>
            </w:pPr>
            <w:r w:rsidRPr="004A48BC">
              <w:rPr>
                <w:b/>
                <w:bCs/>
                <w:sz w:val="22"/>
                <w:szCs w:val="22"/>
              </w:rPr>
              <w:t>Total Expected Burden Hours</w:t>
            </w:r>
          </w:p>
        </w:tc>
      </w:tr>
      <w:tr w14:paraId="6A5C1DC5"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03D6AF95" w14:textId="77777777">
            <w:pPr>
              <w:ind w:left="360"/>
            </w:pPr>
            <w:r w:rsidRPr="006A0AC4">
              <w:t>Port Authority Staff</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A48BC" w14:paraId="5E1A8C4B" w14:textId="77777777">
            <w:pPr>
              <w:jc w:val="right"/>
            </w:pPr>
            <w:r w:rsidRPr="006A0AC4">
              <w:t>3</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A48BC" w14:paraId="3B84F6AF" w14:textId="77777777">
            <w:pPr>
              <w:ind w:left="360"/>
              <w:jc w:val="right"/>
            </w:pPr>
            <w:r w:rsidRPr="006A0AC4">
              <w:t xml:space="preserve"> </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A48BC" w14:paraId="76F85E74" w14:textId="77777777">
            <w:pPr>
              <w:jc w:val="right"/>
            </w:pPr>
            <w:r w:rsidRPr="006A0AC4">
              <w:t>60</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314C81E6"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5F2034D6" w14:textId="77777777">
            <w:pPr>
              <w:jc w:val="right"/>
            </w:pPr>
            <w:r w:rsidRPr="006A0AC4">
              <w:t>15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7197DF3D" w14:textId="77777777">
            <w:pPr>
              <w:jc w:val="right"/>
            </w:pPr>
            <w:r w:rsidRPr="006A0AC4">
              <w:t>15</w:t>
            </w:r>
          </w:p>
        </w:tc>
      </w:tr>
      <w:tr w14:paraId="3CE17219"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6AEEFD15" w14:textId="77777777">
            <w:pPr>
              <w:ind w:left="360"/>
            </w:pPr>
            <w:r w:rsidRPr="006A0AC4">
              <w:t>Port Commissioner</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85401" w14:paraId="6D700BC2" w14:textId="77777777">
            <w:pPr>
              <w:jc w:val="right"/>
            </w:pPr>
            <w:r w:rsidRPr="006A0AC4">
              <w:t>3</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85401" w14:paraId="7E7FF880" w14:textId="77777777">
            <w:pPr>
              <w:ind w:left="360"/>
              <w:jc w:val="right"/>
            </w:pPr>
            <w:r w:rsidRPr="006A0AC4">
              <w:t xml:space="preserve"> </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85401" w14:paraId="0E6D3D6A" w14:textId="77777777">
            <w:pPr>
              <w:jc w:val="right"/>
            </w:pPr>
            <w:r w:rsidRPr="006A0AC4">
              <w:t>60</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0FD9C92D"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310789A2" w14:textId="77777777">
            <w:pPr>
              <w:jc w:val="right"/>
            </w:pPr>
            <w:r w:rsidRPr="006A0AC4">
              <w:t>15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0937CDDE" w14:textId="77777777">
            <w:pPr>
              <w:jc w:val="right"/>
            </w:pPr>
            <w:r w:rsidRPr="006A0AC4">
              <w:t>15</w:t>
            </w:r>
          </w:p>
        </w:tc>
      </w:tr>
      <w:tr w14:paraId="602354A9"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2FE3089E" w14:textId="77777777">
            <w:pPr>
              <w:ind w:left="360"/>
            </w:pPr>
            <w:r w:rsidRPr="006A0AC4">
              <w:t>Tribal Representative</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85401" w14:paraId="33CE5F94" w14:textId="77777777">
            <w:pPr>
              <w:jc w:val="right"/>
            </w:pPr>
            <w:r w:rsidRPr="006A0AC4">
              <w:t>5</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85401" w14:paraId="0F3583DD" w14:textId="77777777">
            <w:pPr>
              <w:ind w:left="360"/>
              <w:jc w:val="right"/>
            </w:pPr>
            <w:r w:rsidRPr="006A0AC4">
              <w:t xml:space="preserve"> </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85401" w14:paraId="1310799F" w14:textId="77777777">
            <w:pPr>
              <w:jc w:val="right"/>
            </w:pPr>
            <w:r w:rsidRPr="006A0AC4">
              <w:t>100</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7A169569"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4F6ED661"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6A231D2E" w14:textId="77777777">
            <w:pPr>
              <w:jc w:val="right"/>
            </w:pPr>
            <w:r w:rsidRPr="006A0AC4">
              <w:t>25</w:t>
            </w:r>
          </w:p>
        </w:tc>
      </w:tr>
      <w:tr w14:paraId="431FD2B8"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4673C743" w14:textId="77777777">
            <w:pPr>
              <w:ind w:left="360"/>
            </w:pPr>
            <w:r w:rsidRPr="006A0AC4">
              <w:t>Fishing Assoc. Representative</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85401" w14:paraId="62B03672" w14:textId="77777777">
            <w:pPr>
              <w:jc w:val="right"/>
            </w:pPr>
            <w:r w:rsidRPr="006A0AC4">
              <w:t>2</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85401" w14:paraId="1D259CD7" w14:textId="77777777">
            <w:pPr>
              <w:ind w:left="360"/>
              <w:jc w:val="right"/>
            </w:pPr>
            <w:r w:rsidRPr="006A0AC4">
              <w:t xml:space="preserve"> </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85401" w14:paraId="46FEAD63" w14:textId="77777777">
            <w:pPr>
              <w:jc w:val="right"/>
            </w:pPr>
            <w:r w:rsidRPr="006A0AC4">
              <w:t>60</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334E7B2B"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64D7F00B" w14:textId="77777777">
            <w:pPr>
              <w:jc w:val="right"/>
            </w:pPr>
            <w:r w:rsidRPr="006A0AC4">
              <w:t>15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4B20C484" w14:textId="77777777">
            <w:pPr>
              <w:jc w:val="right"/>
            </w:pPr>
            <w:r w:rsidRPr="006A0AC4">
              <w:t>15</w:t>
            </w:r>
          </w:p>
        </w:tc>
      </w:tr>
      <w:tr w14:paraId="0325B363"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36E3C3B9" w14:textId="77777777">
            <w:pPr>
              <w:ind w:left="360"/>
            </w:pPr>
            <w:r w:rsidRPr="006A0AC4">
              <w:t>Fish Processing Plant Manager</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85401" w14:paraId="5AD852BE" w14:textId="77777777">
            <w:pPr>
              <w:jc w:val="right"/>
            </w:pPr>
            <w:r w:rsidRPr="006A0AC4">
              <w:t>3</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85401" w14:paraId="37EB2841" w14:textId="77777777">
            <w:pPr>
              <w:ind w:left="360"/>
              <w:jc w:val="right"/>
            </w:pPr>
            <w:r w:rsidRPr="006A0AC4">
              <w:t xml:space="preserve"> </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85401" w14:paraId="5374084C" w14:textId="77777777">
            <w:pPr>
              <w:jc w:val="right"/>
            </w:pPr>
            <w:r w:rsidRPr="006A0AC4">
              <w:t>40</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256F3EC7"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37C812BD" w14:textId="77777777">
            <w:pPr>
              <w:jc w:val="right"/>
            </w:pPr>
            <w:r w:rsidRPr="006A0AC4">
              <w:t>10</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85401" w14:paraId="1183AA37" w14:textId="77777777">
            <w:pPr>
              <w:jc w:val="right"/>
            </w:pPr>
            <w:r w:rsidRPr="006A0AC4">
              <w:t>10</w:t>
            </w:r>
          </w:p>
        </w:tc>
      </w:tr>
      <w:tr w14:paraId="011DAF7D"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585F814E" w14:textId="77777777">
            <w:pPr>
              <w:ind w:left="360"/>
            </w:pPr>
            <w:r w:rsidRPr="006A0AC4">
              <w:t>Local Business Owner</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A48BC" w14:paraId="62F06AD9" w14:textId="77777777">
            <w:pPr>
              <w:jc w:val="right"/>
            </w:pPr>
            <w:r w:rsidRPr="006A0AC4">
              <w:t>5</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A48BC" w14:paraId="3C3FEBB0" w14:textId="77777777">
            <w:pPr>
              <w:ind w:left="360"/>
              <w:jc w:val="right"/>
            </w:pPr>
            <w:r w:rsidRPr="006A0AC4">
              <w:t xml:space="preserve"> </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A48BC" w14:paraId="7B418524" w14:textId="77777777">
            <w:pPr>
              <w:jc w:val="right"/>
            </w:pPr>
            <w:r w:rsidRPr="006A0AC4">
              <w:t>100</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1B9DBDDA"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0D890CC5"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5DBB9A5C" w14:textId="77777777">
            <w:pPr>
              <w:jc w:val="right"/>
            </w:pPr>
            <w:r w:rsidRPr="006A0AC4">
              <w:t>25</w:t>
            </w:r>
          </w:p>
        </w:tc>
      </w:tr>
      <w:tr w14:paraId="446EB2D1"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6AE20FBF" w14:textId="77777777">
            <w:pPr>
              <w:ind w:left="360"/>
            </w:pPr>
            <w:r w:rsidRPr="006A0AC4">
              <w:t>State Commissioner</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A48BC" w14:paraId="7D82FB36" w14:textId="77777777">
            <w:pPr>
              <w:ind w:left="360"/>
              <w:jc w:val="right"/>
            </w:pPr>
            <w:r w:rsidRPr="006A0AC4">
              <w:t xml:space="preserve"> </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A48BC" w14:paraId="24EC307E" w14:textId="77777777">
            <w:pPr>
              <w:jc w:val="right"/>
            </w:pPr>
            <w:r w:rsidRPr="006A0AC4">
              <w:t>2</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A48BC" w14:paraId="140D1E94" w14:textId="77777777">
            <w:pPr>
              <w:jc w:val="right"/>
            </w:pPr>
            <w:r w:rsidRPr="006A0AC4">
              <w:t>6</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565ACE35"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74A5BB2A" w14:textId="77777777">
            <w:pPr>
              <w:jc w:val="right"/>
            </w:pPr>
            <w:r w:rsidRPr="006A0AC4">
              <w:t>1.5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150A3A63" w14:textId="77777777">
            <w:pPr>
              <w:jc w:val="right"/>
            </w:pPr>
            <w:r w:rsidRPr="006A0AC4">
              <w:t>1.5</w:t>
            </w:r>
          </w:p>
        </w:tc>
      </w:tr>
      <w:tr w14:paraId="3542EF6A"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hideMark/>
          </w:tcPr>
          <w:p w:rsidR="006A0AC4" w:rsidRPr="006A0AC4" w:rsidP="006A0AC4" w14:paraId="65CEE75F" w14:textId="77777777">
            <w:pPr>
              <w:ind w:left="360"/>
            </w:pPr>
            <w:r w:rsidRPr="006A0AC4">
              <w:t>State Consistency Review Contacts</w:t>
            </w:r>
          </w:p>
        </w:tc>
        <w:tc>
          <w:tcPr>
            <w:tcW w:w="1170" w:type="dxa"/>
            <w:tcBorders>
              <w:top w:val="single" w:sz="8" w:space="0" w:color="auto"/>
              <w:left w:val="single" w:sz="8" w:space="0" w:color="auto"/>
              <w:bottom w:val="single" w:sz="8" w:space="0" w:color="auto"/>
              <w:right w:val="single" w:sz="8" w:space="0" w:color="auto"/>
            </w:tcBorders>
            <w:hideMark/>
          </w:tcPr>
          <w:p w:rsidR="006A0AC4" w:rsidRPr="006A0AC4" w:rsidP="004A48BC" w14:paraId="4D8F137C" w14:textId="77777777">
            <w:pPr>
              <w:ind w:left="360"/>
              <w:jc w:val="right"/>
            </w:pPr>
            <w:r w:rsidRPr="006A0AC4">
              <w:t xml:space="preserve"> </w:t>
            </w:r>
          </w:p>
        </w:tc>
        <w:tc>
          <w:tcPr>
            <w:tcW w:w="1080" w:type="dxa"/>
            <w:tcBorders>
              <w:top w:val="single" w:sz="8" w:space="0" w:color="auto"/>
              <w:left w:val="single" w:sz="8" w:space="0" w:color="auto"/>
              <w:bottom w:val="single" w:sz="8" w:space="0" w:color="auto"/>
              <w:right w:val="single" w:sz="8" w:space="0" w:color="auto"/>
            </w:tcBorders>
            <w:hideMark/>
          </w:tcPr>
          <w:p w:rsidR="006A0AC4" w:rsidRPr="006A0AC4" w:rsidP="004A48BC" w14:paraId="04EB4C13" w14:textId="77777777">
            <w:pPr>
              <w:jc w:val="right"/>
            </w:pPr>
            <w:r w:rsidRPr="006A0AC4">
              <w:t>2</w:t>
            </w:r>
          </w:p>
        </w:tc>
        <w:tc>
          <w:tcPr>
            <w:tcW w:w="1064" w:type="dxa"/>
            <w:tcBorders>
              <w:top w:val="single" w:sz="8" w:space="0" w:color="auto"/>
              <w:left w:val="single" w:sz="8" w:space="0" w:color="auto"/>
              <w:bottom w:val="single" w:sz="8" w:space="0" w:color="auto"/>
              <w:right w:val="single" w:sz="8" w:space="0" w:color="auto"/>
            </w:tcBorders>
            <w:hideMark/>
          </w:tcPr>
          <w:p w:rsidR="006A0AC4" w:rsidRPr="006A0AC4" w:rsidP="004A48BC" w14:paraId="51D22814" w14:textId="77777777">
            <w:pPr>
              <w:jc w:val="right"/>
            </w:pPr>
            <w:r w:rsidRPr="006A0AC4">
              <w:t>6</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0658636E" w14:textId="77777777">
            <w:pPr>
              <w:jc w:val="right"/>
            </w:pPr>
            <w:r w:rsidRPr="006A0AC4">
              <w:t>25%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07EB367A" w14:textId="77777777">
            <w:pPr>
              <w:jc w:val="right"/>
            </w:pPr>
            <w:r w:rsidRPr="006A0AC4">
              <w:t>1.5</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65958CAE" w14:textId="77777777">
            <w:pPr>
              <w:jc w:val="right"/>
            </w:pPr>
            <w:r w:rsidRPr="006A0AC4">
              <w:t>1.5</w:t>
            </w:r>
          </w:p>
        </w:tc>
      </w:tr>
      <w:tr w14:paraId="7C50D607" w14:textId="77777777" w:rsidTr="004A48BC">
        <w:tblPrEx>
          <w:tblW w:w="10081" w:type="dxa"/>
          <w:tblLayout w:type="fixed"/>
          <w:tblLook w:val="04A0"/>
        </w:tblPrEx>
        <w:trPr>
          <w:trHeight w:val="300"/>
        </w:trPr>
        <w:tc>
          <w:tcPr>
            <w:tcW w:w="2690" w:type="dxa"/>
            <w:tcBorders>
              <w:top w:val="single" w:sz="8" w:space="0" w:color="auto"/>
              <w:left w:val="single" w:sz="8" w:space="0" w:color="auto"/>
              <w:bottom w:val="single" w:sz="8" w:space="0" w:color="auto"/>
              <w:right w:val="single" w:sz="8" w:space="0" w:color="auto"/>
            </w:tcBorders>
          </w:tcPr>
          <w:p w:rsidR="006A0AC4" w:rsidRPr="004A48BC" w:rsidP="006A0AC4" w14:paraId="63E7872E" w14:textId="34880DB8">
            <w:pPr>
              <w:ind w:left="360"/>
              <w:rPr>
                <w:b/>
                <w:bCs/>
              </w:rPr>
            </w:pPr>
            <w:r w:rsidRPr="004A48BC">
              <w:rPr>
                <w:b/>
                <w:bCs/>
              </w:rPr>
              <w:t>Total</w:t>
            </w:r>
          </w:p>
        </w:tc>
        <w:tc>
          <w:tcPr>
            <w:tcW w:w="1170" w:type="dxa"/>
            <w:tcBorders>
              <w:top w:val="single" w:sz="8" w:space="0" w:color="auto"/>
              <w:left w:val="single" w:sz="8" w:space="0" w:color="auto"/>
              <w:bottom w:val="single" w:sz="8" w:space="0" w:color="auto"/>
              <w:right w:val="single" w:sz="8" w:space="0" w:color="auto"/>
            </w:tcBorders>
          </w:tcPr>
          <w:p w:rsidR="006A0AC4" w:rsidRPr="006A0AC4" w:rsidP="006A0AC4" w14:paraId="4439C91A" w14:textId="77777777">
            <w:pPr>
              <w:ind w:left="360"/>
            </w:pPr>
          </w:p>
        </w:tc>
        <w:tc>
          <w:tcPr>
            <w:tcW w:w="1080" w:type="dxa"/>
            <w:tcBorders>
              <w:top w:val="single" w:sz="8" w:space="0" w:color="auto"/>
              <w:left w:val="single" w:sz="8" w:space="0" w:color="auto"/>
              <w:bottom w:val="single" w:sz="8" w:space="0" w:color="auto"/>
              <w:right w:val="single" w:sz="8" w:space="0" w:color="auto"/>
            </w:tcBorders>
          </w:tcPr>
          <w:p w:rsidR="006A0AC4" w:rsidRPr="006A0AC4" w:rsidP="006A0AC4" w14:paraId="77E4B8AB" w14:textId="77777777">
            <w:pPr>
              <w:ind w:left="360"/>
            </w:pPr>
          </w:p>
        </w:tc>
        <w:tc>
          <w:tcPr>
            <w:tcW w:w="1064" w:type="dxa"/>
            <w:tcBorders>
              <w:top w:val="single" w:sz="8" w:space="0" w:color="auto"/>
              <w:left w:val="single" w:sz="8" w:space="0" w:color="auto"/>
              <w:bottom w:val="single" w:sz="8" w:space="0" w:color="auto"/>
              <w:right w:val="single" w:sz="8" w:space="0" w:color="auto"/>
            </w:tcBorders>
          </w:tcPr>
          <w:p w:rsidR="006A0AC4" w:rsidRPr="006A0AC4" w:rsidP="006A0AC4" w14:paraId="1C8D6A3D" w14:textId="05974576">
            <w:pPr>
              <w:ind w:left="360"/>
            </w:pPr>
            <w:r>
              <w:t>432</w:t>
            </w:r>
          </w:p>
        </w:tc>
        <w:tc>
          <w:tcPr>
            <w:tcW w:w="1359" w:type="dxa"/>
            <w:tcBorders>
              <w:top w:val="single" w:sz="8" w:space="0" w:color="auto"/>
              <w:left w:val="single" w:sz="8" w:space="0" w:color="auto"/>
              <w:bottom w:val="single" w:sz="8" w:space="0" w:color="auto"/>
              <w:right w:val="single" w:sz="8" w:space="0" w:color="auto"/>
            </w:tcBorders>
          </w:tcPr>
          <w:p w:rsidR="006A0AC4" w:rsidRPr="006A0AC4" w:rsidP="006A0AC4" w14:paraId="78317236" w14:textId="77777777">
            <w:pPr>
              <w:ind w:left="360"/>
            </w:pP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6A0AC4" w14:paraId="1BF76978" w14:textId="2549ED0E">
            <w:pPr>
              <w:ind w:left="360"/>
              <w:rPr>
                <w:b/>
                <w:bCs/>
              </w:rPr>
            </w:pPr>
            <w:r>
              <w:rPr>
                <w:b/>
                <w:bCs/>
              </w:rPr>
              <w:t>108</w:t>
            </w:r>
          </w:p>
        </w:tc>
        <w:tc>
          <w:tcPr>
            <w:tcW w:w="1359" w:type="dxa"/>
            <w:tcBorders>
              <w:top w:val="single" w:sz="8" w:space="0" w:color="auto"/>
              <w:left w:val="single" w:sz="8" w:space="0" w:color="auto"/>
              <w:bottom w:val="single" w:sz="8" w:space="0" w:color="auto"/>
              <w:right w:val="single" w:sz="8" w:space="0" w:color="auto"/>
            </w:tcBorders>
            <w:hideMark/>
          </w:tcPr>
          <w:p w:rsidR="006A0AC4" w:rsidRPr="006A0AC4" w:rsidP="004A48BC" w14:paraId="7D95F123" w14:textId="77777777">
            <w:pPr>
              <w:jc w:val="right"/>
            </w:pPr>
            <w:r w:rsidRPr="006A0AC4">
              <w:t>108</w:t>
            </w:r>
          </w:p>
        </w:tc>
      </w:tr>
    </w:tbl>
    <w:p w:rsidR="006A0AC4" w:rsidRPr="006A0AC4" w:rsidP="006A0AC4" w14:paraId="442FD6BC" w14:textId="77777777">
      <w:pPr>
        <w:ind w:left="360"/>
        <w:rPr>
          <w:b/>
          <w:bCs/>
        </w:rPr>
      </w:pPr>
    </w:p>
    <w:p w:rsidR="006A0AC4" w:rsidRPr="006A0AC4" w:rsidP="006A0AC4" w14:paraId="7A4DBE70" w14:textId="77777777">
      <w:pPr>
        <w:ind w:left="360"/>
      </w:pPr>
    </w:p>
    <w:p w:rsidR="006A0AC4" w:rsidRPr="006A0AC4" w:rsidP="006A0AC4" w14:paraId="138FCE38" w14:textId="77777777">
      <w:pPr>
        <w:ind w:left="360"/>
      </w:pPr>
    </w:p>
    <w:p w:rsidR="006A0AC4" w:rsidRPr="006A0AC4" w:rsidP="006A0AC4" w14:paraId="0EE6F3D1" w14:textId="77777777">
      <w:pPr>
        <w:ind w:left="360"/>
        <w:rPr>
          <w:b/>
          <w:bCs/>
          <w:i/>
          <w:iCs/>
        </w:rPr>
      </w:pPr>
      <w:r w:rsidRPr="006A0AC4">
        <w:rPr>
          <w:b/>
          <w:i/>
        </w:rPr>
        <w:tab/>
      </w:r>
      <w:r w:rsidRPr="006A0AC4">
        <w:rPr>
          <w:b/>
          <w:bCs/>
          <w:i/>
          <w:iCs/>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6A0AC4" w:rsidP="006A0AC4" w14:paraId="4D24589D" w14:textId="77777777">
      <w:pPr>
        <w:ind w:left="360"/>
        <w:rPr>
          <w:i/>
          <w:iCs/>
        </w:rPr>
      </w:pPr>
    </w:p>
    <w:p w:rsidR="00A52F19" w:rsidP="006A0AC4" w14:paraId="3314D791" w14:textId="66AC125E">
      <w:pPr>
        <w:ind w:left="360"/>
      </w:pPr>
      <w:r>
        <w:t xml:space="preserve">The table below shows the annualized costs to the respondents. </w:t>
      </w:r>
    </w:p>
    <w:p w:rsidR="00A52F19" w:rsidRPr="004A48BC" w:rsidP="006A0AC4" w14:paraId="5B80966C" w14:textId="77777777">
      <w:pPr>
        <w:ind w:left="360"/>
      </w:pPr>
    </w:p>
    <w:tbl>
      <w:tblPr>
        <w:tblStyle w:val="TableGrid"/>
        <w:tblW w:w="10079" w:type="dxa"/>
        <w:tblLayout w:type="fixed"/>
        <w:tblLook w:val="06A0"/>
      </w:tblPr>
      <w:tblGrid>
        <w:gridCol w:w="1705"/>
        <w:gridCol w:w="1440"/>
        <w:gridCol w:w="1440"/>
        <w:gridCol w:w="1350"/>
        <w:gridCol w:w="900"/>
        <w:gridCol w:w="1620"/>
        <w:gridCol w:w="1624"/>
      </w:tblGrid>
      <w:tr w14:paraId="083B3F5F"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hideMark/>
          </w:tcPr>
          <w:p w:rsidR="006A0AC4" w:rsidRPr="004A48BC" w:rsidP="004A48BC" w14:paraId="06686803" w14:textId="77777777">
            <w:pPr>
              <w:jc w:val="center"/>
              <w:rPr>
                <w:b/>
                <w:bCs/>
                <w:sz w:val="20"/>
                <w:szCs w:val="20"/>
              </w:rPr>
            </w:pPr>
            <w:r w:rsidRPr="004A48BC">
              <w:rPr>
                <w:b/>
                <w:bCs/>
                <w:sz w:val="20"/>
                <w:szCs w:val="20"/>
              </w:rPr>
              <w:t>Title</w:t>
            </w:r>
          </w:p>
        </w:tc>
        <w:tc>
          <w:tcPr>
            <w:tcW w:w="1440" w:type="dxa"/>
            <w:tcBorders>
              <w:top w:val="single" w:sz="4" w:space="0" w:color="auto"/>
              <w:left w:val="single" w:sz="4" w:space="0" w:color="auto"/>
              <w:bottom w:val="single" w:sz="4" w:space="0" w:color="auto"/>
              <w:right w:val="single" w:sz="4" w:space="0" w:color="auto"/>
            </w:tcBorders>
            <w:hideMark/>
          </w:tcPr>
          <w:p w:rsidR="006A0AC4" w:rsidRPr="004A48BC" w:rsidP="004A48BC" w14:paraId="6E6B00EC" w14:textId="753FD1EE">
            <w:pPr>
              <w:jc w:val="center"/>
              <w:rPr>
                <w:b/>
                <w:bCs/>
                <w:sz w:val="20"/>
                <w:szCs w:val="20"/>
              </w:rPr>
            </w:pPr>
            <w:r w:rsidRPr="004A48BC">
              <w:rPr>
                <w:b/>
                <w:bCs/>
                <w:sz w:val="20"/>
                <w:szCs w:val="20"/>
              </w:rPr>
              <w:t>Position</w:t>
            </w:r>
          </w:p>
        </w:tc>
        <w:tc>
          <w:tcPr>
            <w:tcW w:w="1440" w:type="dxa"/>
            <w:tcBorders>
              <w:top w:val="single" w:sz="4" w:space="0" w:color="auto"/>
              <w:left w:val="single" w:sz="4" w:space="0" w:color="auto"/>
              <w:bottom w:val="single" w:sz="4" w:space="0" w:color="auto"/>
              <w:right w:val="single" w:sz="4" w:space="0" w:color="auto"/>
            </w:tcBorders>
            <w:hideMark/>
          </w:tcPr>
          <w:p w:rsidR="006A0AC4" w:rsidRPr="004A48BC" w:rsidP="004A48BC" w14:paraId="1A0F42AA" w14:textId="77777777">
            <w:pPr>
              <w:jc w:val="center"/>
              <w:rPr>
                <w:b/>
                <w:bCs/>
                <w:sz w:val="20"/>
                <w:szCs w:val="20"/>
              </w:rPr>
            </w:pPr>
            <w:r w:rsidRPr="004A48BC">
              <w:rPr>
                <w:b/>
                <w:bCs/>
                <w:sz w:val="20"/>
                <w:szCs w:val="20"/>
              </w:rPr>
              <w:t>Occupational Code</w:t>
            </w:r>
          </w:p>
        </w:tc>
        <w:tc>
          <w:tcPr>
            <w:tcW w:w="1350" w:type="dxa"/>
            <w:tcBorders>
              <w:top w:val="single" w:sz="4" w:space="0" w:color="auto"/>
              <w:left w:val="single" w:sz="4" w:space="0" w:color="auto"/>
              <w:bottom w:val="single" w:sz="4" w:space="0" w:color="auto"/>
              <w:right w:val="single" w:sz="4" w:space="0" w:color="auto"/>
            </w:tcBorders>
            <w:hideMark/>
          </w:tcPr>
          <w:p w:rsidR="006A0AC4" w:rsidRPr="004A48BC" w:rsidP="004A48BC" w14:paraId="567D4102" w14:textId="77777777">
            <w:pPr>
              <w:jc w:val="center"/>
              <w:rPr>
                <w:b/>
                <w:bCs/>
                <w:sz w:val="20"/>
                <w:szCs w:val="20"/>
              </w:rPr>
            </w:pPr>
            <w:r w:rsidRPr="004A48BC">
              <w:rPr>
                <w:b/>
                <w:bCs/>
                <w:sz w:val="20"/>
                <w:szCs w:val="20"/>
              </w:rPr>
              <w:t>Number of Respondents</w:t>
            </w:r>
          </w:p>
        </w:tc>
        <w:tc>
          <w:tcPr>
            <w:tcW w:w="900" w:type="dxa"/>
            <w:tcBorders>
              <w:top w:val="single" w:sz="4" w:space="0" w:color="auto"/>
              <w:left w:val="single" w:sz="4" w:space="0" w:color="auto"/>
              <w:bottom w:val="single" w:sz="4" w:space="0" w:color="auto"/>
              <w:right w:val="single" w:sz="4" w:space="0" w:color="auto"/>
            </w:tcBorders>
            <w:hideMark/>
          </w:tcPr>
          <w:p w:rsidR="006A0AC4" w:rsidRPr="004A48BC" w:rsidP="004A48BC" w14:paraId="1E33CDFC" w14:textId="77777777">
            <w:pPr>
              <w:jc w:val="center"/>
              <w:rPr>
                <w:b/>
                <w:bCs/>
                <w:sz w:val="20"/>
                <w:szCs w:val="20"/>
              </w:rPr>
            </w:pPr>
            <w:r w:rsidRPr="004A48BC">
              <w:rPr>
                <w:b/>
                <w:bCs/>
                <w:sz w:val="20"/>
                <w:szCs w:val="20"/>
              </w:rPr>
              <w:t>Burden Hours</w:t>
            </w:r>
          </w:p>
        </w:tc>
        <w:tc>
          <w:tcPr>
            <w:tcW w:w="1620" w:type="dxa"/>
            <w:tcBorders>
              <w:top w:val="single" w:sz="4" w:space="0" w:color="auto"/>
              <w:left w:val="single" w:sz="4" w:space="0" w:color="auto"/>
              <w:bottom w:val="single" w:sz="4" w:space="0" w:color="auto"/>
              <w:right w:val="single" w:sz="4" w:space="0" w:color="auto"/>
            </w:tcBorders>
            <w:hideMark/>
          </w:tcPr>
          <w:p w:rsidR="00F62C7B" w:rsidP="00F62C7B" w14:paraId="114B294B" w14:textId="77777777">
            <w:pPr>
              <w:jc w:val="center"/>
              <w:rPr>
                <w:b/>
                <w:bCs/>
                <w:sz w:val="20"/>
                <w:szCs w:val="20"/>
              </w:rPr>
            </w:pPr>
            <w:r w:rsidRPr="004A48BC">
              <w:rPr>
                <w:b/>
                <w:bCs/>
                <w:sz w:val="20"/>
                <w:szCs w:val="20"/>
              </w:rPr>
              <w:t xml:space="preserve">Hourly Rate </w:t>
            </w:r>
          </w:p>
          <w:p w:rsidR="006A0AC4" w:rsidRPr="004A48BC" w:rsidP="004A48BC" w14:paraId="4471F15F" w14:textId="4F086D05">
            <w:pPr>
              <w:jc w:val="center"/>
              <w:rPr>
                <w:b/>
                <w:bCs/>
                <w:sz w:val="20"/>
                <w:szCs w:val="20"/>
              </w:rPr>
            </w:pPr>
            <w:r w:rsidRPr="004A48BC">
              <w:rPr>
                <w:b/>
                <w:bCs/>
                <w:sz w:val="20"/>
                <w:szCs w:val="20"/>
              </w:rPr>
              <w:t>(for respondent type)</w:t>
            </w:r>
          </w:p>
        </w:tc>
        <w:tc>
          <w:tcPr>
            <w:tcW w:w="1624" w:type="dxa"/>
            <w:tcBorders>
              <w:top w:val="single" w:sz="4" w:space="0" w:color="auto"/>
              <w:left w:val="single" w:sz="4" w:space="0" w:color="auto"/>
              <w:bottom w:val="single" w:sz="4" w:space="0" w:color="auto"/>
              <w:right w:val="single" w:sz="4" w:space="0" w:color="auto"/>
            </w:tcBorders>
            <w:hideMark/>
          </w:tcPr>
          <w:p w:rsidR="006A0AC4" w:rsidRPr="004A48BC" w:rsidP="004A48BC" w14:paraId="6245A586" w14:textId="77777777">
            <w:pPr>
              <w:jc w:val="center"/>
              <w:rPr>
                <w:b/>
                <w:bCs/>
                <w:sz w:val="20"/>
                <w:szCs w:val="20"/>
              </w:rPr>
            </w:pPr>
            <w:r w:rsidRPr="004A48BC">
              <w:rPr>
                <w:b/>
                <w:bCs/>
                <w:sz w:val="20"/>
                <w:szCs w:val="20"/>
              </w:rPr>
              <w:t>Total</w:t>
            </w:r>
          </w:p>
          <w:p w:rsidR="006A0AC4" w:rsidRPr="004A48BC" w:rsidP="004A48BC" w14:paraId="24EBE19E" w14:textId="77777777">
            <w:pPr>
              <w:jc w:val="center"/>
              <w:rPr>
                <w:b/>
                <w:bCs/>
                <w:sz w:val="20"/>
                <w:szCs w:val="20"/>
              </w:rPr>
            </w:pPr>
            <w:r w:rsidRPr="004A48BC">
              <w:rPr>
                <w:b/>
                <w:bCs/>
                <w:sz w:val="20"/>
                <w:szCs w:val="20"/>
              </w:rPr>
              <w:t>Annualized Wage Burden</w:t>
            </w:r>
          </w:p>
        </w:tc>
      </w:tr>
      <w:tr w14:paraId="0982CE02"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63FAD23C" w14:textId="599CEF76">
            <w:r w:rsidRPr="006A0AC4">
              <w:t xml:space="preserve">Port </w:t>
            </w:r>
            <w:r w:rsidR="00F62C7B">
              <w:t>A</w:t>
            </w:r>
            <w:r w:rsidRPr="006A0AC4">
              <w:t xml:space="preserve">uthority </w:t>
            </w:r>
            <w:r w:rsidR="00F62C7B">
              <w:t>S</w:t>
            </w:r>
            <w:r w:rsidRPr="006A0AC4">
              <w:t>taff</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286046E1" w14:textId="77777777">
            <w:r w:rsidRPr="006A0AC4">
              <w:t>General &amp; operation managers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08BDB9D" w14:textId="77777777">
            <w:pPr>
              <w:ind w:left="360"/>
              <w:jc w:val="center"/>
            </w:pPr>
            <w:r w:rsidRPr="006A0AC4">
              <w:t>11-1021</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6074E083" w14:textId="77777777">
            <w:pPr>
              <w:ind w:left="360"/>
              <w:jc w:val="right"/>
            </w:pPr>
            <w:r w:rsidRPr="006A0AC4">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ED5F08E" w14:textId="77777777">
            <w:pPr>
              <w:ind w:left="360"/>
              <w:jc w:val="right"/>
            </w:pPr>
            <w:r w:rsidRPr="006A0AC4">
              <w:t>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07A7829" w14:textId="77777777">
            <w:pPr>
              <w:ind w:left="360"/>
              <w:jc w:val="right"/>
            </w:pPr>
            <w:r w:rsidRPr="006A0AC4">
              <w:t>$56.87</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2560B169" w14:textId="77777777">
            <w:pPr>
              <w:ind w:left="360"/>
              <w:jc w:val="right"/>
            </w:pPr>
            <w:r w:rsidRPr="006A0AC4">
              <w:t>$853.05</w:t>
            </w:r>
          </w:p>
        </w:tc>
      </w:tr>
      <w:tr w14:paraId="6947106C"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A25D36D" w14:textId="36C75532">
            <w:r w:rsidRPr="006A0AC4">
              <w:t xml:space="preserve">Port </w:t>
            </w:r>
            <w:r w:rsidR="00F62C7B">
              <w:t>C</w:t>
            </w:r>
            <w:r w:rsidRPr="006A0AC4">
              <w:t>ommissioner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82CFF5A" w14:textId="77777777">
            <w:r w:rsidRPr="006A0AC4">
              <w:t>Legislator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14CD1D3" w14:textId="77777777">
            <w:pPr>
              <w:ind w:left="360"/>
              <w:jc w:val="center"/>
            </w:pPr>
            <w:r w:rsidRPr="006A0AC4">
              <w:t>11-1031</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B1A52FC" w14:textId="77777777">
            <w:pPr>
              <w:ind w:left="360"/>
              <w:jc w:val="right"/>
            </w:pPr>
            <w:r w:rsidRPr="006A0AC4">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BEE6463" w14:textId="77777777">
            <w:pPr>
              <w:ind w:left="360"/>
              <w:jc w:val="right"/>
            </w:pPr>
            <w:r w:rsidRPr="006A0AC4">
              <w:t>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38E17D0" w14:textId="77777777">
            <w:pPr>
              <w:ind w:left="360"/>
              <w:jc w:val="right"/>
            </w:pPr>
            <w:r w:rsidRPr="006A0AC4">
              <w:t>$35.57</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D3444FA" w14:textId="77777777">
            <w:pPr>
              <w:ind w:left="360"/>
              <w:jc w:val="right"/>
            </w:pPr>
            <w:r w:rsidRPr="006A0AC4">
              <w:t>$533.55</w:t>
            </w:r>
          </w:p>
        </w:tc>
      </w:tr>
      <w:tr w14:paraId="04A682BC"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664DE4C3" w14:textId="77777777">
            <w:r w:rsidRPr="006A0AC4">
              <w:t>Fish processing plant manager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54DEB66" w14:textId="77777777">
            <w:r w:rsidRPr="006A0AC4">
              <w:t>Industrial production manager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294C8ABD" w14:textId="77777777">
            <w:pPr>
              <w:ind w:left="360"/>
              <w:jc w:val="center"/>
            </w:pPr>
            <w:r w:rsidRPr="006A0AC4">
              <w:t>11-3051</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873309A" w14:textId="77777777">
            <w:pPr>
              <w:ind w:left="360"/>
              <w:jc w:val="right"/>
            </w:pPr>
            <w:r w:rsidRPr="006A0AC4">
              <w:t>10</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61C69C5" w14:textId="77777777">
            <w:pPr>
              <w:ind w:left="360"/>
              <w:jc w:val="right"/>
            </w:pPr>
            <w:r w:rsidRPr="006A0AC4">
              <w:t>10</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3B12A513" w14:textId="77777777">
            <w:pPr>
              <w:ind w:left="360"/>
              <w:jc w:val="right"/>
            </w:pPr>
            <w:r w:rsidRPr="006A0AC4">
              <w:t>$60.06</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553A324" w14:textId="77777777">
            <w:pPr>
              <w:ind w:left="360"/>
              <w:jc w:val="right"/>
            </w:pPr>
            <w:r w:rsidRPr="006A0AC4">
              <w:t>$600.60</w:t>
            </w:r>
          </w:p>
        </w:tc>
      </w:tr>
      <w:tr w14:paraId="7ADBFAED"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2F213EF" w14:textId="45F73CE5">
            <w:r w:rsidRPr="006A0AC4">
              <w:t xml:space="preserve">Tribal </w:t>
            </w:r>
            <w:r w:rsidR="00F62C7B">
              <w:t>R</w:t>
            </w:r>
            <w:r w:rsidRPr="006A0AC4">
              <w:t>epresentative</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BF35CB1" w14:textId="77777777">
            <w:r w:rsidRPr="006A0AC4">
              <w:t>Legislator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6237B3DD" w14:textId="77777777">
            <w:pPr>
              <w:ind w:left="360"/>
              <w:jc w:val="center"/>
            </w:pPr>
            <w:r w:rsidRPr="006A0AC4">
              <w:t>11-1031</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DFC13A8" w14:textId="77777777">
            <w:pPr>
              <w:ind w:left="360"/>
              <w:jc w:val="right"/>
            </w:pPr>
            <w:r w:rsidRPr="006A0AC4">
              <w:t>25</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A8ADCDD" w14:textId="77777777">
            <w:pPr>
              <w:ind w:left="360"/>
              <w:jc w:val="right"/>
            </w:pPr>
            <w:r w:rsidRPr="006A0AC4">
              <w:t>25</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C47D30A" w14:textId="77777777">
            <w:pPr>
              <w:ind w:left="360"/>
              <w:jc w:val="right"/>
            </w:pPr>
            <w:r w:rsidRPr="006A0AC4">
              <w:t>$35.57</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A780EC8" w14:textId="115C2997">
            <w:pPr>
              <w:ind w:left="360"/>
              <w:jc w:val="right"/>
            </w:pPr>
            <w:r w:rsidRPr="006A0AC4">
              <w:t>$</w:t>
            </w:r>
            <w:r w:rsidR="00A52F19">
              <w:t>889.25</w:t>
            </w:r>
          </w:p>
        </w:tc>
      </w:tr>
      <w:tr w14:paraId="5CF1D66E"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643641FE" w14:textId="77904734">
            <w:r w:rsidRPr="006A0AC4">
              <w:t xml:space="preserve">Recreational </w:t>
            </w:r>
            <w:r w:rsidR="00F62C7B">
              <w:t>F</w:t>
            </w:r>
            <w:r w:rsidRPr="006A0AC4">
              <w:t xml:space="preserve">ishing </w:t>
            </w:r>
            <w:r w:rsidR="00F62C7B">
              <w:t>A</w:t>
            </w:r>
            <w:r w:rsidRPr="006A0AC4">
              <w:t>ss</w:t>
            </w:r>
            <w:r w:rsidR="00F62C7B">
              <w:t>n.</w:t>
            </w:r>
            <w:r w:rsidRPr="006A0AC4">
              <w:t xml:space="preserve"> </w:t>
            </w:r>
            <w:r w:rsidR="00F62C7B">
              <w:t>R</w:t>
            </w:r>
            <w:r w:rsidRPr="006A0AC4">
              <w:t>epresentative</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08E9CB2" w14:textId="320877F2">
            <w:r w:rsidRPr="006A0AC4">
              <w:t>First-line supervisors of farming, fishing, and forestry workers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A1E0FF6" w14:textId="77777777">
            <w:pPr>
              <w:ind w:left="360"/>
              <w:jc w:val="center"/>
            </w:pPr>
            <w:r w:rsidRPr="006A0AC4">
              <w:t>45-1011</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E572C27" w14:textId="77777777">
            <w:pPr>
              <w:ind w:left="360"/>
              <w:jc w:val="right"/>
            </w:pPr>
            <w:r w:rsidRPr="006A0AC4">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145C190" w14:textId="77777777">
            <w:pPr>
              <w:ind w:left="360"/>
              <w:jc w:val="right"/>
            </w:pPr>
            <w:r w:rsidRPr="006A0AC4">
              <w:t>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C1F92A6" w14:textId="77777777">
            <w:pPr>
              <w:ind w:left="360"/>
              <w:jc w:val="right"/>
            </w:pPr>
            <w:r w:rsidRPr="006A0AC4">
              <w:t>$16.20</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2499BFC" w14:textId="1F76EEDE">
            <w:pPr>
              <w:ind w:left="360"/>
              <w:jc w:val="right"/>
            </w:pPr>
            <w:r w:rsidRPr="006A0AC4">
              <w:t>$243</w:t>
            </w:r>
            <w:r w:rsidR="00A52F19">
              <w:t>.00</w:t>
            </w:r>
          </w:p>
        </w:tc>
      </w:tr>
      <w:tr w14:paraId="5D3A525D"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4BC2988" w14:textId="77777777">
            <w:r w:rsidRPr="006A0AC4">
              <w:t>Local business owner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19222A6" w14:textId="77777777">
            <w:r w:rsidRPr="006A0AC4">
              <w:t>Sales manager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E47DE6B" w14:textId="77777777">
            <w:pPr>
              <w:ind w:left="360"/>
              <w:jc w:val="center"/>
            </w:pPr>
            <w:r w:rsidRPr="006A0AC4">
              <w:t>11-2022</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62C9DD8" w14:textId="77777777">
            <w:pPr>
              <w:ind w:left="360"/>
              <w:jc w:val="right"/>
            </w:pPr>
            <w:r w:rsidRPr="006A0AC4">
              <w:t>25</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8B026C8" w14:textId="77777777">
            <w:pPr>
              <w:ind w:left="360"/>
              <w:jc w:val="right"/>
            </w:pPr>
            <w:r w:rsidRPr="006A0AC4">
              <w:t>25</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8CCB328" w14:textId="77777777">
            <w:pPr>
              <w:ind w:left="360"/>
              <w:jc w:val="right"/>
            </w:pPr>
            <w:r w:rsidRPr="006A0AC4">
              <w:t>$68.50</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001B99C" w14:textId="3181462A">
            <w:pPr>
              <w:ind w:left="360"/>
              <w:jc w:val="right"/>
            </w:pPr>
            <w:r w:rsidRPr="006A0AC4">
              <w:t>$1712.5</w:t>
            </w:r>
            <w:r w:rsidR="00A52F19">
              <w:t>0</w:t>
            </w:r>
          </w:p>
        </w:tc>
      </w:tr>
      <w:tr w14:paraId="6C423208"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21769893" w14:textId="075F7235">
            <w:r w:rsidRPr="006A0AC4">
              <w:t xml:space="preserve">State </w:t>
            </w:r>
            <w:r w:rsidR="00F62C7B">
              <w:t>C</w:t>
            </w:r>
            <w:r w:rsidRPr="006A0AC4">
              <w:t>ommissioner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DC7F81F" w14:textId="77777777">
            <w:r w:rsidRPr="006A0AC4">
              <w:t>Legislator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B86AA5B" w14:textId="77777777">
            <w:pPr>
              <w:ind w:left="360"/>
              <w:jc w:val="center"/>
            </w:pPr>
            <w:r w:rsidRPr="006A0AC4">
              <w:t>11-1031</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84250E1" w14:textId="77777777">
            <w:pPr>
              <w:ind w:left="360"/>
              <w:jc w:val="right"/>
            </w:pPr>
            <w:r w:rsidRPr="006A0AC4">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325B031" w14:textId="77777777">
            <w:pPr>
              <w:ind w:left="360"/>
              <w:jc w:val="right"/>
            </w:pPr>
            <w:r w:rsidRPr="006A0AC4">
              <w:t>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7E50338" w14:textId="77777777">
            <w:pPr>
              <w:ind w:left="360"/>
              <w:jc w:val="right"/>
            </w:pPr>
            <w:r w:rsidRPr="006A0AC4">
              <w:t>$35.57</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7B956C3" w14:textId="7DE0BCD3">
            <w:pPr>
              <w:ind w:left="360"/>
              <w:jc w:val="right"/>
            </w:pPr>
            <w:r w:rsidRPr="006A0AC4">
              <w:t>$53</w:t>
            </w:r>
            <w:r w:rsidR="00A52F19">
              <w:t>.36</w:t>
            </w:r>
          </w:p>
        </w:tc>
      </w:tr>
      <w:tr w14:paraId="2347081E"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28649C7" w14:textId="77777777">
            <w:r w:rsidRPr="006A0AC4">
              <w:t>Consistency reviewer</w:t>
            </w:r>
          </w:p>
        </w:tc>
        <w:tc>
          <w:tcPr>
            <w:tcW w:w="1440" w:type="dxa"/>
            <w:tcBorders>
              <w:top w:val="single" w:sz="4" w:space="0" w:color="auto"/>
              <w:left w:val="single" w:sz="4" w:space="0" w:color="auto"/>
              <w:bottom w:val="single" w:sz="4" w:space="0" w:color="auto"/>
              <w:right w:val="single" w:sz="4" w:space="0" w:color="auto"/>
            </w:tcBorders>
            <w:vAlign w:val="center"/>
          </w:tcPr>
          <w:p w:rsidR="006A0AC4" w:rsidRPr="006A0AC4" w:rsidP="004A48BC" w14:paraId="34C92E49" w14:textId="77777777">
            <w:r w:rsidRPr="006A0AC4">
              <w:t>Legislator</w:t>
            </w:r>
          </w:p>
          <w:p w:rsidR="006A0AC4" w:rsidRPr="006A0AC4" w:rsidP="004A48BC" w14:paraId="25017BF1" w14:textId="77777777">
            <w:pPr>
              <w:ind w:left="360"/>
              <w:jc w:val="center"/>
            </w:pPr>
          </w:p>
        </w:tc>
        <w:tc>
          <w:tcPr>
            <w:tcW w:w="144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4FC82B9" w14:textId="77777777">
            <w:pPr>
              <w:ind w:left="360"/>
              <w:jc w:val="center"/>
            </w:pPr>
            <w:r w:rsidRPr="006A0AC4">
              <w:t>11-1031</w:t>
            </w: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262FD990" w14:textId="77777777">
            <w:pPr>
              <w:ind w:left="360"/>
              <w:jc w:val="right"/>
            </w:pPr>
            <w:r w:rsidRPr="006A0AC4">
              <w:t>1.5</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14BA2170" w14:textId="77777777">
            <w:pPr>
              <w:ind w:left="360"/>
              <w:jc w:val="right"/>
            </w:pPr>
            <w:r w:rsidRPr="006A0AC4">
              <w:t>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43A17B09" w14:textId="77777777">
            <w:pPr>
              <w:ind w:left="360"/>
              <w:jc w:val="right"/>
            </w:pPr>
            <w:r w:rsidRPr="006A0AC4">
              <w:t>$35.57</w:t>
            </w: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24F9EEB3" w14:textId="0DDB7195">
            <w:pPr>
              <w:ind w:left="360"/>
              <w:jc w:val="right"/>
            </w:pPr>
            <w:r w:rsidRPr="006A0AC4">
              <w:t>$53</w:t>
            </w:r>
            <w:r w:rsidR="00A52F19">
              <w:t>.36</w:t>
            </w:r>
          </w:p>
        </w:tc>
      </w:tr>
      <w:tr w14:paraId="2AD48C38" w14:textId="77777777" w:rsidTr="004A48BC">
        <w:tblPrEx>
          <w:tblW w:w="10079" w:type="dxa"/>
          <w:tblLayout w:type="fixed"/>
          <w:tblLook w:val="06A0"/>
        </w:tblPrEx>
        <w:trPr>
          <w:trHeight w:val="300"/>
        </w:trPr>
        <w:tc>
          <w:tcPr>
            <w:tcW w:w="1705"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770F3E7D" w14:textId="77777777">
            <w:pPr>
              <w:ind w:left="360"/>
              <w:jc w:val="center"/>
            </w:pPr>
            <w:r w:rsidRPr="006A0AC4">
              <w:t>Total</w:t>
            </w:r>
          </w:p>
        </w:tc>
        <w:tc>
          <w:tcPr>
            <w:tcW w:w="1440" w:type="dxa"/>
            <w:tcBorders>
              <w:top w:val="single" w:sz="4" w:space="0" w:color="auto"/>
              <w:left w:val="single" w:sz="4" w:space="0" w:color="auto"/>
              <w:bottom w:val="single" w:sz="4" w:space="0" w:color="auto"/>
              <w:right w:val="single" w:sz="4" w:space="0" w:color="auto"/>
            </w:tcBorders>
            <w:vAlign w:val="center"/>
          </w:tcPr>
          <w:p w:rsidR="006A0AC4" w:rsidRPr="006A0AC4" w:rsidP="004A48BC" w14:paraId="1EDD2837" w14:textId="77777777">
            <w:pPr>
              <w:ind w:left="360"/>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6A0AC4" w:rsidRPr="006A0AC4" w:rsidP="004A48BC" w14:paraId="255C818D" w14:textId="77777777">
            <w:pPr>
              <w:ind w:left="360"/>
              <w:jc w:val="center"/>
            </w:pPr>
          </w:p>
        </w:tc>
        <w:tc>
          <w:tcPr>
            <w:tcW w:w="135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68E2C135" w14:textId="77777777">
            <w:pPr>
              <w:ind w:left="360"/>
              <w:jc w:val="right"/>
            </w:pPr>
            <w:r w:rsidRPr="006A0AC4">
              <w:t>108</w:t>
            </w:r>
          </w:p>
        </w:tc>
        <w:tc>
          <w:tcPr>
            <w:tcW w:w="900"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5E1AF6ED" w14:textId="5F0F71A4">
            <w:r>
              <w:t xml:space="preserve">    </w:t>
            </w:r>
            <w:r w:rsidRPr="006A0AC4">
              <w:t>108</w:t>
            </w:r>
          </w:p>
        </w:tc>
        <w:tc>
          <w:tcPr>
            <w:tcW w:w="1620" w:type="dxa"/>
            <w:tcBorders>
              <w:top w:val="single" w:sz="4" w:space="0" w:color="auto"/>
              <w:left w:val="single" w:sz="4" w:space="0" w:color="auto"/>
              <w:bottom w:val="single" w:sz="4" w:space="0" w:color="auto"/>
              <w:right w:val="single" w:sz="4" w:space="0" w:color="auto"/>
            </w:tcBorders>
            <w:vAlign w:val="center"/>
          </w:tcPr>
          <w:p w:rsidR="006A0AC4" w:rsidRPr="006A0AC4" w:rsidP="004A48BC" w14:paraId="4B7FD8C9" w14:textId="77777777">
            <w:pPr>
              <w:ind w:left="360"/>
              <w:jc w:val="right"/>
            </w:pPr>
          </w:p>
        </w:tc>
        <w:tc>
          <w:tcPr>
            <w:tcW w:w="1624" w:type="dxa"/>
            <w:tcBorders>
              <w:top w:val="single" w:sz="4" w:space="0" w:color="auto"/>
              <w:left w:val="single" w:sz="4" w:space="0" w:color="auto"/>
              <w:bottom w:val="single" w:sz="4" w:space="0" w:color="auto"/>
              <w:right w:val="single" w:sz="4" w:space="0" w:color="auto"/>
            </w:tcBorders>
            <w:vAlign w:val="center"/>
            <w:hideMark/>
          </w:tcPr>
          <w:p w:rsidR="006A0AC4" w:rsidRPr="006A0AC4" w:rsidP="004A48BC" w14:paraId="02AC6613" w14:textId="305A40F2">
            <w:pPr>
              <w:ind w:left="360"/>
              <w:jc w:val="right"/>
            </w:pPr>
            <w:r w:rsidRPr="006A0AC4">
              <w:t>$</w:t>
            </w:r>
            <w:r w:rsidR="00A52F19">
              <w:t>4,938.67</w:t>
            </w:r>
          </w:p>
        </w:tc>
      </w:tr>
    </w:tbl>
    <w:p w:rsidR="006A0AC4" w:rsidRPr="006A0AC4" w:rsidP="006A0AC4" w14:paraId="3714055B" w14:textId="77777777">
      <w:pPr>
        <w:ind w:left="360"/>
      </w:pPr>
    </w:p>
    <w:p w:rsidR="006A0AC4" w:rsidP="006A0AC4" w14:paraId="161E49B4" w14:textId="77777777">
      <w:pPr>
        <w:ind w:left="360"/>
      </w:pPr>
      <w:r w:rsidRPr="006A0AC4">
        <w:t>Wages were calculated using the U.S. Bureau of Labor Statistics Occupational Employment and Wage Statistics (OEWS) Maps (</w:t>
      </w:r>
      <w:hyperlink r:id="rId8" w:history="1">
        <w:r w:rsidRPr="006A0AC4">
          <w:rPr>
            <w:rStyle w:val="Hyperlink"/>
          </w:rPr>
          <w:t>https://data.bls.gov/oesmap/</w:t>
        </w:r>
      </w:hyperlink>
      <w:r w:rsidRPr="006A0AC4">
        <w:t>). Median hourly wages for each occupational group were averaged for Washington, Oregon, and California, except in the case of legislators. Only annual salaries were available for legislators, so this was divided into an hourly rate. The salary for Oregon legislators was not available from the U.S. Bureau of Labor Statistics, so was obtained from the National Conference of State Legislators (</w:t>
      </w:r>
      <w:hyperlink r:id="rId9" w:history="1">
        <w:r w:rsidRPr="006A0AC4">
          <w:rPr>
            <w:rStyle w:val="Hyperlink"/>
          </w:rPr>
          <w:t>https://www.ncsl.org/about-state-legislatures/2024-legislator-compensation</w:t>
        </w:r>
      </w:hyperlink>
      <w:r w:rsidRPr="006A0AC4">
        <w:t>). It was assumed that representatives of recreational fishing associations received only a minimal stipend, so their hourly rate was calculated based on an average of state minimum wages.</w:t>
      </w:r>
    </w:p>
    <w:p w:rsidR="00A52F19" w:rsidP="006A0AC4" w14:paraId="405F823E" w14:textId="77777777">
      <w:pPr>
        <w:ind w:left="360"/>
      </w:pPr>
    </w:p>
    <w:p w:rsidR="00A52F19" w:rsidRPr="006A0AC4" w:rsidP="006A0AC4" w14:paraId="67CED016" w14:textId="3C4C9A24">
      <w:pPr>
        <w:ind w:left="360"/>
      </w:pPr>
      <w:r>
        <w:t>The total cost to the public is $4,938.67.</w:t>
      </w:r>
    </w:p>
    <w:p w:rsidR="006A0AC4" w:rsidRPr="006A0AC4" w:rsidP="006A0AC4" w14:paraId="22FE4979" w14:textId="77777777">
      <w:pPr>
        <w:ind w:left="360"/>
      </w:pPr>
    </w:p>
    <w:p w:rsidR="006A0AC4" w:rsidRPr="006A0AC4" w:rsidP="006A0AC4" w14:paraId="10555A96" w14:textId="77777777">
      <w:pPr>
        <w:ind w:left="360"/>
        <w:rPr>
          <w:b/>
          <w:i/>
        </w:rPr>
      </w:pPr>
      <w:r w:rsidRPr="006A0AC4">
        <w:rPr>
          <w:b/>
          <w:bCs/>
          <w:i/>
          <w:iCs/>
        </w:rPr>
        <w:t>13.</w:t>
      </w:r>
      <w:r w:rsidRPr="006A0AC4">
        <w:tab/>
      </w:r>
      <w:r w:rsidRPr="006A0AC4">
        <w:rPr>
          <w:b/>
          <w:bCs/>
          <w:i/>
          <w:iCs/>
        </w:rPr>
        <w:t>Provide an estimate of the total annual non-hour cost burden to respondents or recordkeepers resulting from the collection of information.  (Do not include the cost of any hour burden reflected in Item 12).</w:t>
      </w:r>
    </w:p>
    <w:p w:rsidR="006A0AC4" w:rsidRPr="006A0AC4" w:rsidP="006A0AC4" w14:paraId="3580E5BD" w14:textId="77777777">
      <w:pPr>
        <w:ind w:left="360"/>
      </w:pPr>
    </w:p>
    <w:p w:rsidR="006A0AC4" w:rsidRPr="006A0AC4" w:rsidP="006A0AC4" w14:paraId="2CFA54CF" w14:textId="77777777">
      <w:pPr>
        <w:ind w:left="360"/>
        <w:rPr>
          <w:b/>
          <w:bCs/>
          <w:i/>
          <w:iCs/>
        </w:rPr>
      </w:pPr>
      <w:r w:rsidRPr="006A0AC4">
        <w:rPr>
          <w:b/>
          <w:i/>
        </w:rPr>
        <w:tab/>
      </w:r>
      <w:r w:rsidRPr="006A0AC4">
        <w:rPr>
          <w:b/>
          <w:bCs/>
          <w:i/>
          <w:iCs/>
        </w:rPr>
        <w:t xml:space="preserve">(a) The cost estimate should be split into two components: (1) a total capital and start-up cost component (annualized over its expected useful life) and (2) a total operation and maintenance and purchase of services component.  The estimates should </w:t>
      </w:r>
      <w:r w:rsidRPr="006A0AC4">
        <w:rPr>
          <w:b/>
          <w:bCs/>
          <w:i/>
          <w:iCs/>
        </w:rPr>
        <w:t>take into account</w:t>
      </w:r>
      <w:r w:rsidRPr="006A0AC4">
        <w:rPr>
          <w:b/>
          <w:bCs/>
          <w:i/>
          <w:iCs/>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6A0AC4">
        <w:rPr>
          <w:b/>
          <w:bCs/>
          <w:i/>
          <w:iCs/>
        </w:rPr>
        <w:t>time period</w:t>
      </w:r>
      <w:r w:rsidRPr="006A0AC4">
        <w:rPr>
          <w:b/>
          <w:bCs/>
          <w:i/>
          <w:iCs/>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6A0AC4" w:rsidRPr="006A0AC4" w:rsidP="006A0AC4" w14:paraId="1A94582D" w14:textId="77777777">
      <w:pPr>
        <w:ind w:left="360"/>
        <w:rPr>
          <w:b/>
          <w:i/>
        </w:rPr>
      </w:pPr>
    </w:p>
    <w:p w:rsidR="006A0AC4" w:rsidRPr="006A0AC4" w:rsidP="006A0AC4" w14:paraId="48077B0F" w14:textId="77777777">
      <w:pPr>
        <w:ind w:left="360"/>
        <w:rPr>
          <w:i/>
          <w:iCs/>
        </w:rPr>
      </w:pPr>
      <w:r w:rsidRPr="006A0AC4">
        <w:rPr>
          <w:b/>
          <w:i/>
        </w:rPr>
        <w:tab/>
      </w:r>
      <w:r w:rsidRPr="006A0AC4">
        <w:rPr>
          <w:b/>
          <w:bCs/>
          <w:i/>
          <w:iCs/>
        </w:rPr>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6A0AC4">
        <w:rPr>
          <w:b/>
          <w:bCs/>
        </w:rPr>
        <w:t xml:space="preserve"> </w:t>
      </w:r>
      <w:r w:rsidRPr="006A0AC4">
        <w:rPr>
          <w:b/>
          <w:bCs/>
          <w:i/>
          <w:iCs/>
        </w:rPr>
        <w:t>pre-OMB</w:t>
      </w:r>
      <w:r w:rsidRPr="006A0AC4">
        <w:rPr>
          <w:b/>
          <w:bCs/>
        </w:rPr>
        <w:t xml:space="preserve"> </w:t>
      </w:r>
      <w:r w:rsidRPr="006A0AC4">
        <w:rPr>
          <w:b/>
          <w:bCs/>
          <w:i/>
          <w:iCs/>
        </w:rPr>
        <w:t xml:space="preserve">submission public comment process and use </w:t>
      </w:r>
      <w:r w:rsidRPr="006A0AC4">
        <w:rPr>
          <w:b/>
          <w:bCs/>
          <w:i/>
          <w:iCs/>
        </w:rPr>
        <w:t>existing economic or regulatory impact analysis associated with the rulemaking containing the information collection, as appropriate.</w:t>
      </w:r>
      <w:r w:rsidRPr="006A0AC4">
        <w:rPr>
          <w:i/>
          <w:iCs/>
        </w:rPr>
        <w:t xml:space="preserve"> </w:t>
      </w:r>
    </w:p>
    <w:p w:rsidR="006A0AC4" w:rsidRPr="006A0AC4" w:rsidP="006A0AC4" w14:paraId="6208B794" w14:textId="77777777">
      <w:pPr>
        <w:ind w:left="360"/>
        <w:rPr>
          <w:i/>
        </w:rPr>
      </w:pPr>
    </w:p>
    <w:p w:rsidR="006A0AC4" w:rsidRPr="006A0AC4" w:rsidP="006A0AC4" w14:paraId="03778D66" w14:textId="77777777">
      <w:pPr>
        <w:ind w:left="360"/>
        <w:rPr>
          <w:i/>
          <w:iCs/>
        </w:rPr>
      </w:pPr>
      <w:r w:rsidRPr="006A0AC4">
        <w:rPr>
          <w:i/>
        </w:rPr>
        <w:tab/>
      </w:r>
      <w:r w:rsidRPr="006A0AC4">
        <w:rPr>
          <w:b/>
          <w:bCs/>
          <w:i/>
          <w:iCs/>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A0AC4">
        <w:rPr>
          <w:i/>
          <w:iCs/>
        </w:rPr>
        <w:t xml:space="preserve">  </w:t>
      </w:r>
    </w:p>
    <w:p w:rsidR="006A0AC4" w:rsidRPr="006A0AC4" w:rsidP="006A0AC4" w14:paraId="1C78335C" w14:textId="77777777">
      <w:pPr>
        <w:ind w:left="360"/>
        <w:rPr>
          <w:i/>
          <w:iCs/>
        </w:rPr>
      </w:pPr>
    </w:p>
    <w:p w:rsidR="006A0AC4" w:rsidRPr="006A0AC4" w:rsidP="006A0AC4" w14:paraId="4A5717D4" w14:textId="2E1EFFC8">
      <w:pPr>
        <w:ind w:left="360"/>
      </w:pPr>
      <w:r w:rsidRPr="006A0AC4">
        <w:t>There will be no non-hour costs. Respondents will be provided with a self-addressed stamped envelope for returning the survey form.</w:t>
      </w:r>
    </w:p>
    <w:p w:rsidR="006A0AC4" w:rsidRPr="006A0AC4" w:rsidP="006A0AC4" w14:paraId="0A39FDD4" w14:textId="77777777">
      <w:pPr>
        <w:ind w:left="360"/>
      </w:pPr>
    </w:p>
    <w:p w:rsidR="006A0AC4" w:rsidRPr="006A0AC4" w:rsidP="006A0AC4" w14:paraId="6DCB7160" w14:textId="77777777">
      <w:pPr>
        <w:ind w:left="360"/>
        <w:rPr>
          <w:b/>
          <w:i/>
        </w:rPr>
      </w:pPr>
      <w:r w:rsidRPr="006A0AC4">
        <w:rPr>
          <w:b/>
          <w:i/>
        </w:rPr>
        <w:t>14.</w:t>
      </w:r>
      <w:r w:rsidRPr="006A0AC4">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A0AC4" w:rsidRPr="006A0AC4" w:rsidP="006A0AC4" w14:paraId="30C95508" w14:textId="77777777">
      <w:pPr>
        <w:ind w:left="360"/>
        <w:rPr>
          <w:b/>
          <w:i/>
        </w:rPr>
      </w:pPr>
    </w:p>
    <w:p w:rsidR="006A0AC4" w:rsidRPr="006A0AC4" w:rsidP="006A0AC4" w14:paraId="36CFCFC6" w14:textId="16E96700">
      <w:pPr>
        <w:ind w:left="360"/>
        <w:rPr>
          <w:bCs/>
          <w:iCs/>
        </w:rPr>
      </w:pPr>
      <w:r>
        <w:rPr>
          <w:bCs/>
          <w:iCs/>
        </w:rPr>
        <w:t xml:space="preserve">The cost the Federal government (including contractor costs) </w:t>
      </w:r>
      <w:r w:rsidRPr="006A0AC4">
        <w:rPr>
          <w:bCs/>
          <w:iCs/>
        </w:rPr>
        <w:t xml:space="preserve">will have data collection, analysis, report writing, and administrative responsibilities associated with information collections at each of these 20 ports. </w:t>
      </w:r>
    </w:p>
    <w:p w:rsidR="006A0AC4" w:rsidRPr="006A0AC4" w:rsidP="006A0AC4" w14:paraId="5D62BDCA" w14:textId="77777777">
      <w:pPr>
        <w:ind w:left="360"/>
        <w:rPr>
          <w:bCs/>
          <w:iCs/>
        </w:rPr>
      </w:pPr>
    </w:p>
    <w:tbl>
      <w:tblPr>
        <w:tblStyle w:val="TableGrid"/>
        <w:tblW w:w="0" w:type="auto"/>
        <w:tblInd w:w="824" w:type="dxa"/>
        <w:tblLook w:val="04A0"/>
      </w:tblPr>
      <w:tblGrid>
        <w:gridCol w:w="2003"/>
        <w:gridCol w:w="1601"/>
        <w:gridCol w:w="1616"/>
        <w:gridCol w:w="1656"/>
      </w:tblGrid>
      <w:tr w14:paraId="5F1B321D" w14:textId="77777777" w:rsidTr="00485401">
        <w:tblPrEx>
          <w:tblW w:w="0" w:type="auto"/>
          <w:tblInd w:w="824"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6A0AC4" w:rsidRPr="006A0AC4" w:rsidP="006A0AC4" w14:paraId="3017C693" w14:textId="77777777">
            <w:pPr>
              <w:ind w:left="360"/>
              <w:rPr>
                <w:b/>
                <w:iCs/>
              </w:rPr>
            </w:pPr>
            <w:r w:rsidRPr="006A0AC4">
              <w:rPr>
                <w:b/>
                <w:iCs/>
              </w:rPr>
              <w:t>Position</w:t>
            </w:r>
          </w:p>
        </w:tc>
        <w:tc>
          <w:tcPr>
            <w:tcW w:w="1601" w:type="dxa"/>
            <w:tcBorders>
              <w:top w:val="single" w:sz="4" w:space="0" w:color="auto"/>
              <w:left w:val="single" w:sz="4" w:space="0" w:color="auto"/>
              <w:bottom w:val="single" w:sz="4" w:space="0" w:color="auto"/>
              <w:right w:val="single" w:sz="4" w:space="0" w:color="auto"/>
            </w:tcBorders>
            <w:hideMark/>
          </w:tcPr>
          <w:p w:rsidR="006A0AC4" w:rsidRPr="006A0AC4" w:rsidP="006A0AC4" w14:paraId="1B29C73A" w14:textId="77777777">
            <w:pPr>
              <w:ind w:left="360"/>
              <w:rPr>
                <w:b/>
                <w:iCs/>
              </w:rPr>
            </w:pPr>
            <w:r w:rsidRPr="006A0AC4">
              <w:rPr>
                <w:b/>
                <w:iCs/>
              </w:rPr>
              <w:t>Hourly Rate</w:t>
            </w:r>
          </w:p>
        </w:tc>
        <w:tc>
          <w:tcPr>
            <w:tcW w:w="1616" w:type="dxa"/>
            <w:tcBorders>
              <w:top w:val="single" w:sz="4" w:space="0" w:color="auto"/>
              <w:left w:val="single" w:sz="4" w:space="0" w:color="auto"/>
              <w:bottom w:val="single" w:sz="4" w:space="0" w:color="auto"/>
              <w:right w:val="single" w:sz="4" w:space="0" w:color="auto"/>
            </w:tcBorders>
            <w:hideMark/>
          </w:tcPr>
          <w:p w:rsidR="006A0AC4" w:rsidRPr="006A0AC4" w:rsidP="006A0AC4" w14:paraId="2CCCBD09" w14:textId="77777777">
            <w:pPr>
              <w:ind w:left="360"/>
              <w:rPr>
                <w:b/>
                <w:iCs/>
              </w:rPr>
            </w:pPr>
            <w:r w:rsidRPr="006A0AC4">
              <w:rPr>
                <w:b/>
                <w:iCs/>
              </w:rPr>
              <w:t>Estimated Hours</w:t>
            </w:r>
          </w:p>
        </w:tc>
        <w:tc>
          <w:tcPr>
            <w:tcW w:w="1505" w:type="dxa"/>
            <w:tcBorders>
              <w:top w:val="single" w:sz="4" w:space="0" w:color="auto"/>
              <w:left w:val="single" w:sz="4" w:space="0" w:color="auto"/>
              <w:bottom w:val="single" w:sz="4" w:space="0" w:color="auto"/>
              <w:right w:val="single" w:sz="4" w:space="0" w:color="auto"/>
            </w:tcBorders>
            <w:hideMark/>
          </w:tcPr>
          <w:p w:rsidR="006A0AC4" w:rsidRPr="006A0AC4" w:rsidP="006A0AC4" w14:paraId="457CC841" w14:textId="77777777">
            <w:pPr>
              <w:ind w:left="360"/>
              <w:rPr>
                <w:b/>
                <w:iCs/>
              </w:rPr>
            </w:pPr>
            <w:r w:rsidRPr="006A0AC4">
              <w:rPr>
                <w:b/>
                <w:iCs/>
              </w:rPr>
              <w:t>Total</w:t>
            </w:r>
          </w:p>
        </w:tc>
      </w:tr>
      <w:tr w14:paraId="29EC5E20" w14:textId="77777777" w:rsidTr="00485401">
        <w:tblPrEx>
          <w:tblW w:w="0" w:type="auto"/>
          <w:tblInd w:w="824"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6A0AC4" w:rsidRPr="006A0AC4" w:rsidP="006A0AC4" w14:paraId="315E6DD5" w14:textId="77777777">
            <w:pPr>
              <w:ind w:left="360"/>
              <w:rPr>
                <w:bCs/>
                <w:iCs/>
              </w:rPr>
            </w:pPr>
            <w:r w:rsidRPr="006A0AC4">
              <w:rPr>
                <w:bCs/>
                <w:iCs/>
              </w:rPr>
              <w:t>Environmental Planning Specialist I</w:t>
            </w:r>
          </w:p>
        </w:tc>
        <w:tc>
          <w:tcPr>
            <w:tcW w:w="1601" w:type="dxa"/>
            <w:tcBorders>
              <w:top w:val="single" w:sz="4" w:space="0" w:color="auto"/>
              <w:left w:val="single" w:sz="4" w:space="0" w:color="auto"/>
              <w:bottom w:val="single" w:sz="4" w:space="0" w:color="auto"/>
              <w:right w:val="single" w:sz="4" w:space="0" w:color="auto"/>
            </w:tcBorders>
            <w:hideMark/>
          </w:tcPr>
          <w:p w:rsidR="006A0AC4" w:rsidRPr="006A0AC4" w:rsidP="00485401" w14:paraId="0EA8626B" w14:textId="77777777">
            <w:pPr>
              <w:ind w:left="360"/>
              <w:jc w:val="right"/>
              <w:rPr>
                <w:b/>
                <w:iCs/>
              </w:rPr>
            </w:pPr>
            <w:r w:rsidRPr="006A0AC4">
              <w:rPr>
                <w:bCs/>
                <w:iCs/>
              </w:rPr>
              <w:t>$98.53</w:t>
            </w:r>
          </w:p>
        </w:tc>
        <w:tc>
          <w:tcPr>
            <w:tcW w:w="1616" w:type="dxa"/>
            <w:tcBorders>
              <w:top w:val="single" w:sz="4" w:space="0" w:color="auto"/>
              <w:left w:val="single" w:sz="4" w:space="0" w:color="auto"/>
              <w:bottom w:val="single" w:sz="4" w:space="0" w:color="auto"/>
              <w:right w:val="single" w:sz="4" w:space="0" w:color="auto"/>
            </w:tcBorders>
            <w:hideMark/>
          </w:tcPr>
          <w:p w:rsidR="006A0AC4" w:rsidRPr="006A0AC4" w:rsidP="00485401" w14:paraId="6CD454C5" w14:textId="77777777">
            <w:pPr>
              <w:ind w:left="360"/>
              <w:jc w:val="right"/>
              <w:rPr>
                <w:bCs/>
                <w:iCs/>
              </w:rPr>
            </w:pPr>
            <w:r w:rsidRPr="006A0AC4">
              <w:rPr>
                <w:bCs/>
                <w:iCs/>
              </w:rPr>
              <w:t>76.5</w:t>
            </w:r>
          </w:p>
        </w:tc>
        <w:tc>
          <w:tcPr>
            <w:tcW w:w="1505" w:type="dxa"/>
            <w:tcBorders>
              <w:top w:val="single" w:sz="4" w:space="0" w:color="auto"/>
              <w:left w:val="single" w:sz="4" w:space="0" w:color="auto"/>
              <w:bottom w:val="single" w:sz="4" w:space="0" w:color="auto"/>
              <w:right w:val="single" w:sz="4" w:space="0" w:color="auto"/>
            </w:tcBorders>
            <w:hideMark/>
          </w:tcPr>
          <w:p w:rsidR="006A0AC4" w:rsidRPr="006A0AC4" w:rsidP="00485401" w14:paraId="28C508B9" w14:textId="6512DF98">
            <w:pPr>
              <w:ind w:left="360"/>
              <w:jc w:val="right"/>
              <w:rPr>
                <w:bCs/>
                <w:iCs/>
              </w:rPr>
            </w:pPr>
            <w:r w:rsidRPr="006A0AC4">
              <w:rPr>
                <w:bCs/>
                <w:iCs/>
              </w:rPr>
              <w:t>$</w:t>
            </w:r>
            <w:r w:rsidR="00BA7E3C">
              <w:rPr>
                <w:bCs/>
                <w:iCs/>
              </w:rPr>
              <w:t>7,537.55</w:t>
            </w:r>
          </w:p>
        </w:tc>
      </w:tr>
      <w:tr w14:paraId="49E4371E" w14:textId="77777777" w:rsidTr="00485401">
        <w:tblPrEx>
          <w:tblW w:w="0" w:type="auto"/>
          <w:tblInd w:w="824"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6A0AC4" w:rsidRPr="006A0AC4" w:rsidP="006A0AC4" w14:paraId="6BE3BEF3" w14:textId="77777777">
            <w:pPr>
              <w:ind w:left="360"/>
              <w:rPr>
                <w:bCs/>
                <w:iCs/>
              </w:rPr>
            </w:pPr>
            <w:r w:rsidRPr="006A0AC4">
              <w:rPr>
                <w:bCs/>
                <w:iCs/>
              </w:rPr>
              <w:t>Social Scientist II</w:t>
            </w:r>
          </w:p>
        </w:tc>
        <w:tc>
          <w:tcPr>
            <w:tcW w:w="1601" w:type="dxa"/>
            <w:tcBorders>
              <w:top w:val="single" w:sz="4" w:space="0" w:color="auto"/>
              <w:left w:val="single" w:sz="4" w:space="0" w:color="auto"/>
              <w:bottom w:val="single" w:sz="4" w:space="0" w:color="auto"/>
              <w:right w:val="single" w:sz="4" w:space="0" w:color="auto"/>
            </w:tcBorders>
            <w:hideMark/>
          </w:tcPr>
          <w:p w:rsidR="006A0AC4" w:rsidRPr="006A0AC4" w:rsidP="00485401" w14:paraId="1B215B81" w14:textId="77777777">
            <w:pPr>
              <w:ind w:left="360"/>
              <w:jc w:val="right"/>
              <w:rPr>
                <w:bCs/>
                <w:iCs/>
              </w:rPr>
            </w:pPr>
            <w:r w:rsidRPr="006A0AC4">
              <w:rPr>
                <w:bCs/>
                <w:iCs/>
              </w:rPr>
              <w:t>$250.00</w:t>
            </w:r>
          </w:p>
        </w:tc>
        <w:tc>
          <w:tcPr>
            <w:tcW w:w="1616" w:type="dxa"/>
            <w:tcBorders>
              <w:top w:val="single" w:sz="4" w:space="0" w:color="auto"/>
              <w:left w:val="single" w:sz="4" w:space="0" w:color="auto"/>
              <w:bottom w:val="single" w:sz="4" w:space="0" w:color="auto"/>
              <w:right w:val="single" w:sz="4" w:space="0" w:color="auto"/>
            </w:tcBorders>
            <w:hideMark/>
          </w:tcPr>
          <w:p w:rsidR="006A0AC4" w:rsidRPr="006A0AC4" w:rsidP="00485401" w14:paraId="69C014A4" w14:textId="77777777">
            <w:pPr>
              <w:ind w:left="360"/>
              <w:jc w:val="right"/>
              <w:rPr>
                <w:bCs/>
                <w:iCs/>
              </w:rPr>
            </w:pPr>
            <w:r w:rsidRPr="006A0AC4">
              <w:rPr>
                <w:bCs/>
                <w:iCs/>
              </w:rPr>
              <w:t>16</w:t>
            </w:r>
          </w:p>
        </w:tc>
        <w:tc>
          <w:tcPr>
            <w:tcW w:w="1505" w:type="dxa"/>
            <w:tcBorders>
              <w:top w:val="single" w:sz="4" w:space="0" w:color="auto"/>
              <w:left w:val="single" w:sz="4" w:space="0" w:color="auto"/>
              <w:bottom w:val="single" w:sz="4" w:space="0" w:color="auto"/>
              <w:right w:val="single" w:sz="4" w:space="0" w:color="auto"/>
            </w:tcBorders>
            <w:hideMark/>
          </w:tcPr>
          <w:p w:rsidR="006A0AC4" w:rsidRPr="006A0AC4" w:rsidP="00485401" w14:paraId="08E4BAF0" w14:textId="7471BF20">
            <w:pPr>
              <w:ind w:left="360"/>
              <w:jc w:val="right"/>
              <w:rPr>
                <w:bCs/>
                <w:iCs/>
              </w:rPr>
            </w:pPr>
            <w:r w:rsidRPr="006A0AC4">
              <w:rPr>
                <w:bCs/>
                <w:iCs/>
              </w:rPr>
              <w:t>$</w:t>
            </w:r>
            <w:r w:rsidR="00BA7E3C">
              <w:rPr>
                <w:bCs/>
                <w:iCs/>
              </w:rPr>
              <w:t>4,000.00</w:t>
            </w:r>
          </w:p>
        </w:tc>
      </w:tr>
      <w:tr w14:paraId="5A319F4F" w14:textId="77777777" w:rsidTr="00485401">
        <w:tblPrEx>
          <w:tblW w:w="0" w:type="auto"/>
          <w:tblInd w:w="824"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6A0AC4" w:rsidRPr="006A0AC4" w:rsidP="006A0AC4" w14:paraId="53236100" w14:textId="77777777">
            <w:pPr>
              <w:ind w:left="360"/>
              <w:rPr>
                <w:bCs/>
                <w:iCs/>
              </w:rPr>
            </w:pPr>
            <w:r w:rsidRPr="006A0AC4">
              <w:rPr>
                <w:bCs/>
                <w:iCs/>
              </w:rPr>
              <w:t>Technical Advisor</w:t>
            </w:r>
          </w:p>
        </w:tc>
        <w:tc>
          <w:tcPr>
            <w:tcW w:w="1601" w:type="dxa"/>
            <w:tcBorders>
              <w:top w:val="single" w:sz="4" w:space="0" w:color="auto"/>
              <w:left w:val="single" w:sz="4" w:space="0" w:color="auto"/>
              <w:bottom w:val="single" w:sz="4" w:space="0" w:color="auto"/>
              <w:right w:val="single" w:sz="4" w:space="0" w:color="auto"/>
            </w:tcBorders>
            <w:hideMark/>
          </w:tcPr>
          <w:p w:rsidR="006A0AC4" w:rsidRPr="006A0AC4" w:rsidP="00485401" w14:paraId="0F4D1472" w14:textId="77777777">
            <w:pPr>
              <w:ind w:left="360"/>
              <w:jc w:val="right"/>
              <w:rPr>
                <w:bCs/>
                <w:iCs/>
              </w:rPr>
            </w:pPr>
            <w:r w:rsidRPr="006A0AC4">
              <w:rPr>
                <w:bCs/>
                <w:iCs/>
              </w:rPr>
              <w:t>$140.00</w:t>
            </w:r>
          </w:p>
        </w:tc>
        <w:tc>
          <w:tcPr>
            <w:tcW w:w="1616" w:type="dxa"/>
            <w:tcBorders>
              <w:top w:val="single" w:sz="4" w:space="0" w:color="auto"/>
              <w:left w:val="single" w:sz="4" w:space="0" w:color="auto"/>
              <w:bottom w:val="single" w:sz="4" w:space="0" w:color="auto"/>
              <w:right w:val="single" w:sz="4" w:space="0" w:color="auto"/>
            </w:tcBorders>
            <w:hideMark/>
          </w:tcPr>
          <w:p w:rsidR="006A0AC4" w:rsidRPr="006A0AC4" w:rsidP="00485401" w14:paraId="1B160BEB" w14:textId="77777777">
            <w:pPr>
              <w:ind w:left="360"/>
              <w:jc w:val="right"/>
              <w:rPr>
                <w:bCs/>
                <w:iCs/>
              </w:rPr>
            </w:pPr>
            <w:r w:rsidRPr="006A0AC4">
              <w:rPr>
                <w:bCs/>
                <w:iCs/>
              </w:rPr>
              <w:t>37.5</w:t>
            </w:r>
          </w:p>
        </w:tc>
        <w:tc>
          <w:tcPr>
            <w:tcW w:w="1505" w:type="dxa"/>
            <w:tcBorders>
              <w:top w:val="single" w:sz="4" w:space="0" w:color="auto"/>
              <w:left w:val="single" w:sz="4" w:space="0" w:color="auto"/>
              <w:bottom w:val="single" w:sz="4" w:space="0" w:color="auto"/>
              <w:right w:val="single" w:sz="4" w:space="0" w:color="auto"/>
            </w:tcBorders>
            <w:hideMark/>
          </w:tcPr>
          <w:p w:rsidR="006A0AC4" w:rsidRPr="006A0AC4" w:rsidP="00485401" w14:paraId="37D3FA2F" w14:textId="25935563">
            <w:pPr>
              <w:ind w:left="360"/>
              <w:jc w:val="right"/>
              <w:rPr>
                <w:bCs/>
                <w:iCs/>
              </w:rPr>
            </w:pPr>
            <w:r w:rsidRPr="006A0AC4">
              <w:rPr>
                <w:bCs/>
                <w:iCs/>
              </w:rPr>
              <w:t>$</w:t>
            </w:r>
            <w:r w:rsidR="00BA7E3C">
              <w:rPr>
                <w:bCs/>
                <w:iCs/>
              </w:rPr>
              <w:t>5,250.00</w:t>
            </w:r>
          </w:p>
        </w:tc>
      </w:tr>
      <w:tr w14:paraId="06EDD01D" w14:textId="77777777" w:rsidTr="00485401">
        <w:tblPrEx>
          <w:tblW w:w="0" w:type="auto"/>
          <w:tblInd w:w="824"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6A0AC4" w:rsidRPr="006A0AC4" w:rsidP="006A0AC4" w14:paraId="3CB9896B" w14:textId="77777777">
            <w:pPr>
              <w:ind w:left="360"/>
              <w:rPr>
                <w:bCs/>
                <w:iCs/>
              </w:rPr>
            </w:pPr>
            <w:r w:rsidRPr="006A0AC4">
              <w:rPr>
                <w:bCs/>
                <w:iCs/>
              </w:rPr>
              <w:t>Researcher</w:t>
            </w:r>
          </w:p>
        </w:tc>
        <w:tc>
          <w:tcPr>
            <w:tcW w:w="1601" w:type="dxa"/>
            <w:tcBorders>
              <w:top w:val="single" w:sz="4" w:space="0" w:color="auto"/>
              <w:left w:val="single" w:sz="4" w:space="0" w:color="auto"/>
              <w:bottom w:val="single" w:sz="4" w:space="0" w:color="auto"/>
              <w:right w:val="single" w:sz="4" w:space="0" w:color="auto"/>
            </w:tcBorders>
            <w:hideMark/>
          </w:tcPr>
          <w:p w:rsidR="006A0AC4" w:rsidRPr="006A0AC4" w:rsidP="00485401" w14:paraId="34D9A10B" w14:textId="77777777">
            <w:pPr>
              <w:ind w:left="360"/>
              <w:jc w:val="right"/>
              <w:rPr>
                <w:bCs/>
                <w:iCs/>
              </w:rPr>
            </w:pPr>
            <w:r w:rsidRPr="006A0AC4">
              <w:rPr>
                <w:bCs/>
                <w:iCs/>
              </w:rPr>
              <w:t>$80.00</w:t>
            </w:r>
          </w:p>
        </w:tc>
        <w:tc>
          <w:tcPr>
            <w:tcW w:w="1616" w:type="dxa"/>
            <w:tcBorders>
              <w:top w:val="single" w:sz="4" w:space="0" w:color="auto"/>
              <w:left w:val="single" w:sz="4" w:space="0" w:color="auto"/>
              <w:bottom w:val="single" w:sz="4" w:space="0" w:color="auto"/>
              <w:right w:val="single" w:sz="4" w:space="0" w:color="auto"/>
            </w:tcBorders>
            <w:hideMark/>
          </w:tcPr>
          <w:p w:rsidR="006A0AC4" w:rsidRPr="006A0AC4" w:rsidP="00485401" w14:paraId="1C03EE4D" w14:textId="77777777">
            <w:pPr>
              <w:ind w:left="360"/>
              <w:jc w:val="right"/>
              <w:rPr>
                <w:bCs/>
                <w:iCs/>
              </w:rPr>
            </w:pPr>
            <w:r w:rsidRPr="006A0AC4">
              <w:rPr>
                <w:bCs/>
                <w:iCs/>
              </w:rPr>
              <w:t>135</w:t>
            </w:r>
          </w:p>
        </w:tc>
        <w:tc>
          <w:tcPr>
            <w:tcW w:w="1505" w:type="dxa"/>
            <w:tcBorders>
              <w:top w:val="single" w:sz="4" w:space="0" w:color="auto"/>
              <w:left w:val="single" w:sz="4" w:space="0" w:color="auto"/>
              <w:bottom w:val="single" w:sz="4" w:space="0" w:color="auto"/>
              <w:right w:val="single" w:sz="4" w:space="0" w:color="auto"/>
            </w:tcBorders>
            <w:hideMark/>
          </w:tcPr>
          <w:p w:rsidR="006A0AC4" w:rsidRPr="006A0AC4" w:rsidP="00485401" w14:paraId="5DD9C880" w14:textId="62641AE6">
            <w:pPr>
              <w:ind w:left="360"/>
              <w:jc w:val="right"/>
              <w:rPr>
                <w:bCs/>
                <w:iCs/>
              </w:rPr>
            </w:pPr>
            <w:r w:rsidRPr="006A0AC4">
              <w:rPr>
                <w:bCs/>
                <w:iCs/>
              </w:rPr>
              <w:t>$</w:t>
            </w:r>
            <w:r w:rsidR="00BA7E3C">
              <w:rPr>
                <w:bCs/>
                <w:iCs/>
              </w:rPr>
              <w:t>10,800.00</w:t>
            </w:r>
          </w:p>
        </w:tc>
      </w:tr>
      <w:tr w14:paraId="1EAF53C6" w14:textId="77777777" w:rsidTr="00485401">
        <w:tblPrEx>
          <w:tblW w:w="0" w:type="auto"/>
          <w:tblInd w:w="824" w:type="dxa"/>
          <w:tblLook w:val="04A0"/>
        </w:tblPrEx>
        <w:tc>
          <w:tcPr>
            <w:tcW w:w="2003" w:type="dxa"/>
            <w:tcBorders>
              <w:top w:val="single" w:sz="4" w:space="0" w:color="auto"/>
              <w:left w:val="single" w:sz="4" w:space="0" w:color="auto"/>
              <w:bottom w:val="single" w:sz="4" w:space="0" w:color="auto"/>
              <w:right w:val="single" w:sz="4" w:space="0" w:color="auto"/>
            </w:tcBorders>
            <w:hideMark/>
          </w:tcPr>
          <w:p w:rsidR="006A0AC4" w:rsidRPr="006A0AC4" w:rsidP="006A0AC4" w14:paraId="6C559471" w14:textId="77777777">
            <w:pPr>
              <w:ind w:left="360"/>
              <w:rPr>
                <w:b/>
                <w:iCs/>
              </w:rPr>
            </w:pPr>
            <w:r w:rsidRPr="006A0AC4">
              <w:rPr>
                <w:b/>
                <w:iCs/>
              </w:rPr>
              <w:t>TOTAL</w:t>
            </w:r>
          </w:p>
        </w:tc>
        <w:tc>
          <w:tcPr>
            <w:tcW w:w="1601" w:type="dxa"/>
            <w:tcBorders>
              <w:top w:val="single" w:sz="4" w:space="0" w:color="auto"/>
              <w:left w:val="single" w:sz="4" w:space="0" w:color="auto"/>
              <w:bottom w:val="single" w:sz="4" w:space="0" w:color="auto"/>
              <w:right w:val="single" w:sz="4" w:space="0" w:color="auto"/>
            </w:tcBorders>
          </w:tcPr>
          <w:p w:rsidR="006A0AC4" w:rsidRPr="006A0AC4" w:rsidP="006A0AC4" w14:paraId="2A2C9DD3" w14:textId="77777777">
            <w:pPr>
              <w:ind w:left="360"/>
              <w:rPr>
                <w:b/>
                <w:iCs/>
              </w:rPr>
            </w:pPr>
          </w:p>
        </w:tc>
        <w:tc>
          <w:tcPr>
            <w:tcW w:w="1616" w:type="dxa"/>
            <w:tcBorders>
              <w:top w:val="single" w:sz="4" w:space="0" w:color="auto"/>
              <w:left w:val="single" w:sz="4" w:space="0" w:color="auto"/>
              <w:bottom w:val="single" w:sz="4" w:space="0" w:color="auto"/>
              <w:right w:val="single" w:sz="4" w:space="0" w:color="auto"/>
            </w:tcBorders>
          </w:tcPr>
          <w:p w:rsidR="006A0AC4" w:rsidRPr="006A0AC4" w:rsidP="006A0AC4" w14:paraId="0CAF7B5A" w14:textId="77777777">
            <w:pPr>
              <w:ind w:left="360"/>
              <w:rPr>
                <w:b/>
                <w:iCs/>
              </w:rPr>
            </w:pPr>
          </w:p>
        </w:tc>
        <w:tc>
          <w:tcPr>
            <w:tcW w:w="1505" w:type="dxa"/>
            <w:tcBorders>
              <w:top w:val="single" w:sz="4" w:space="0" w:color="auto"/>
              <w:left w:val="single" w:sz="4" w:space="0" w:color="auto"/>
              <w:bottom w:val="single" w:sz="4" w:space="0" w:color="auto"/>
              <w:right w:val="single" w:sz="4" w:space="0" w:color="auto"/>
            </w:tcBorders>
            <w:hideMark/>
          </w:tcPr>
          <w:p w:rsidR="006A0AC4" w:rsidRPr="006A0AC4" w:rsidP="00485401" w14:paraId="431BDB0D" w14:textId="01F5BDCE">
            <w:pPr>
              <w:ind w:left="360"/>
              <w:jc w:val="right"/>
              <w:rPr>
                <w:b/>
                <w:iCs/>
              </w:rPr>
            </w:pPr>
            <w:r w:rsidRPr="006A0AC4">
              <w:rPr>
                <w:b/>
                <w:iCs/>
              </w:rPr>
              <w:t>$</w:t>
            </w:r>
            <w:r w:rsidR="00BA7E3C">
              <w:rPr>
                <w:b/>
                <w:iCs/>
              </w:rPr>
              <w:t>27,587.55</w:t>
            </w:r>
            <w:r w:rsidRPr="006A0AC4">
              <w:rPr>
                <w:b/>
                <w:iCs/>
              </w:rPr>
              <w:t xml:space="preserve"> </w:t>
            </w:r>
          </w:p>
        </w:tc>
      </w:tr>
    </w:tbl>
    <w:p w:rsidR="006A0AC4" w:rsidRPr="006A0AC4" w:rsidP="006A0AC4" w14:paraId="472D826F" w14:textId="77777777">
      <w:pPr>
        <w:ind w:left="360"/>
        <w:rPr>
          <w:bCs/>
          <w:iCs/>
        </w:rPr>
      </w:pPr>
    </w:p>
    <w:p w:rsidR="006A0AC4" w:rsidRPr="006A0AC4" w:rsidP="006A0AC4" w14:paraId="37F1BC4F" w14:textId="77777777">
      <w:pPr>
        <w:ind w:left="360"/>
        <w:rPr>
          <w:bCs/>
          <w:iCs/>
        </w:rPr>
      </w:pPr>
      <w:r w:rsidRPr="006A0AC4">
        <w:rPr>
          <w:bCs/>
          <w:iCs/>
        </w:rPr>
        <w:t>Operating Costs</w:t>
      </w:r>
    </w:p>
    <w:tbl>
      <w:tblPr>
        <w:tblStyle w:val="TableGrid"/>
        <w:tblW w:w="0" w:type="auto"/>
        <w:tblInd w:w="755" w:type="dxa"/>
        <w:tblLook w:val="04A0"/>
      </w:tblPr>
      <w:tblGrid>
        <w:gridCol w:w="2120"/>
        <w:gridCol w:w="4696"/>
      </w:tblGrid>
      <w:tr w14:paraId="6F464B0B" w14:textId="77777777" w:rsidTr="004A48BC">
        <w:tblPrEx>
          <w:tblW w:w="0" w:type="auto"/>
          <w:tblInd w:w="755" w:type="dxa"/>
          <w:tblLook w:val="04A0"/>
        </w:tblPrEx>
        <w:tc>
          <w:tcPr>
            <w:tcW w:w="2120" w:type="dxa"/>
            <w:tcBorders>
              <w:top w:val="single" w:sz="4" w:space="0" w:color="auto"/>
              <w:left w:val="single" w:sz="4" w:space="0" w:color="auto"/>
              <w:bottom w:val="single" w:sz="4" w:space="0" w:color="auto"/>
              <w:right w:val="single" w:sz="4" w:space="0" w:color="auto"/>
            </w:tcBorders>
            <w:hideMark/>
          </w:tcPr>
          <w:p w:rsidR="006A0AC4" w:rsidRPr="006A0AC4" w:rsidP="006A0AC4" w14:paraId="4FD1F053" w14:textId="77777777">
            <w:pPr>
              <w:ind w:left="360"/>
              <w:rPr>
                <w:b/>
                <w:iCs/>
              </w:rPr>
            </w:pPr>
            <w:r w:rsidRPr="006A0AC4">
              <w:rPr>
                <w:b/>
                <w:iCs/>
              </w:rPr>
              <w:t>Activity</w:t>
            </w:r>
          </w:p>
        </w:tc>
        <w:tc>
          <w:tcPr>
            <w:tcW w:w="4696" w:type="dxa"/>
            <w:tcBorders>
              <w:top w:val="single" w:sz="4" w:space="0" w:color="auto"/>
              <w:left w:val="single" w:sz="4" w:space="0" w:color="auto"/>
              <w:bottom w:val="single" w:sz="4" w:space="0" w:color="auto"/>
              <w:right w:val="single" w:sz="4" w:space="0" w:color="auto"/>
            </w:tcBorders>
            <w:hideMark/>
          </w:tcPr>
          <w:p w:rsidR="006A0AC4" w:rsidRPr="006A0AC4" w:rsidP="006A0AC4" w14:paraId="43FD80E3" w14:textId="77777777">
            <w:pPr>
              <w:ind w:left="360"/>
              <w:rPr>
                <w:b/>
                <w:iCs/>
              </w:rPr>
            </w:pPr>
            <w:r w:rsidRPr="006A0AC4">
              <w:rPr>
                <w:b/>
                <w:iCs/>
              </w:rPr>
              <w:t>Cost</w:t>
            </w:r>
          </w:p>
        </w:tc>
      </w:tr>
      <w:tr w14:paraId="0EEA5EF6" w14:textId="77777777" w:rsidTr="004A48BC">
        <w:tblPrEx>
          <w:tblW w:w="0" w:type="auto"/>
          <w:tblInd w:w="755" w:type="dxa"/>
          <w:tblLook w:val="04A0"/>
        </w:tblPrEx>
        <w:tc>
          <w:tcPr>
            <w:tcW w:w="2120" w:type="dxa"/>
            <w:tcBorders>
              <w:top w:val="single" w:sz="4" w:space="0" w:color="auto"/>
              <w:left w:val="single" w:sz="4" w:space="0" w:color="auto"/>
              <w:bottom w:val="single" w:sz="4" w:space="0" w:color="auto"/>
              <w:right w:val="single" w:sz="4" w:space="0" w:color="auto"/>
            </w:tcBorders>
            <w:hideMark/>
          </w:tcPr>
          <w:p w:rsidR="006A0AC4" w:rsidRPr="006A0AC4" w:rsidP="006A0AC4" w14:paraId="76B9E93E" w14:textId="77777777">
            <w:pPr>
              <w:ind w:left="360"/>
              <w:rPr>
                <w:bCs/>
                <w:iCs/>
              </w:rPr>
            </w:pPr>
            <w:r w:rsidRPr="006A0AC4">
              <w:rPr>
                <w:bCs/>
                <w:iCs/>
              </w:rPr>
              <w:t>Printing</w:t>
            </w:r>
          </w:p>
        </w:tc>
        <w:tc>
          <w:tcPr>
            <w:tcW w:w="4696" w:type="dxa"/>
            <w:tcBorders>
              <w:top w:val="single" w:sz="4" w:space="0" w:color="auto"/>
              <w:left w:val="single" w:sz="4" w:space="0" w:color="auto"/>
              <w:bottom w:val="single" w:sz="4" w:space="0" w:color="auto"/>
              <w:right w:val="single" w:sz="4" w:space="0" w:color="auto"/>
            </w:tcBorders>
            <w:hideMark/>
          </w:tcPr>
          <w:p w:rsidR="006A0AC4" w:rsidRPr="006A0AC4" w:rsidP="004A48BC" w14:paraId="5535E04A" w14:textId="77777777">
            <w:pPr>
              <w:ind w:left="360"/>
              <w:jc w:val="right"/>
              <w:rPr>
                <w:bCs/>
                <w:iCs/>
              </w:rPr>
            </w:pPr>
            <w:r w:rsidRPr="006A0AC4">
              <w:rPr>
                <w:bCs/>
                <w:iCs/>
              </w:rPr>
              <w:t>$648.00</w:t>
            </w:r>
          </w:p>
        </w:tc>
      </w:tr>
      <w:tr w14:paraId="56EFDDBD" w14:textId="77777777" w:rsidTr="004A48BC">
        <w:tblPrEx>
          <w:tblW w:w="0" w:type="auto"/>
          <w:tblInd w:w="755" w:type="dxa"/>
          <w:tblLook w:val="04A0"/>
        </w:tblPrEx>
        <w:tc>
          <w:tcPr>
            <w:tcW w:w="2120" w:type="dxa"/>
            <w:tcBorders>
              <w:top w:val="single" w:sz="4" w:space="0" w:color="auto"/>
              <w:left w:val="single" w:sz="4" w:space="0" w:color="auto"/>
              <w:bottom w:val="single" w:sz="4" w:space="0" w:color="auto"/>
              <w:right w:val="single" w:sz="4" w:space="0" w:color="auto"/>
            </w:tcBorders>
            <w:hideMark/>
          </w:tcPr>
          <w:p w:rsidR="006A0AC4" w:rsidRPr="006A0AC4" w:rsidP="006A0AC4" w14:paraId="5049C24E" w14:textId="77777777">
            <w:pPr>
              <w:ind w:left="360"/>
              <w:rPr>
                <w:bCs/>
                <w:iCs/>
              </w:rPr>
            </w:pPr>
            <w:r w:rsidRPr="006A0AC4">
              <w:rPr>
                <w:bCs/>
                <w:iCs/>
              </w:rPr>
              <w:t>Postage</w:t>
            </w:r>
          </w:p>
        </w:tc>
        <w:tc>
          <w:tcPr>
            <w:tcW w:w="4696" w:type="dxa"/>
            <w:tcBorders>
              <w:top w:val="single" w:sz="4" w:space="0" w:color="auto"/>
              <w:left w:val="single" w:sz="4" w:space="0" w:color="auto"/>
              <w:bottom w:val="single" w:sz="4" w:space="0" w:color="auto"/>
              <w:right w:val="single" w:sz="4" w:space="0" w:color="auto"/>
            </w:tcBorders>
            <w:hideMark/>
          </w:tcPr>
          <w:p w:rsidR="006A0AC4" w:rsidRPr="006A0AC4" w:rsidP="004A48BC" w14:paraId="38B01A5B" w14:textId="5BD42705">
            <w:pPr>
              <w:ind w:left="360"/>
              <w:jc w:val="right"/>
              <w:rPr>
                <w:bCs/>
                <w:iCs/>
              </w:rPr>
            </w:pPr>
            <w:r w:rsidRPr="006A0AC4">
              <w:rPr>
                <w:bCs/>
                <w:iCs/>
              </w:rPr>
              <w:tab/>
            </w:r>
            <w:r w:rsidRPr="006A0AC4">
              <w:rPr>
                <w:bCs/>
                <w:iCs/>
              </w:rPr>
              <w:tab/>
              <w:t>$1</w:t>
            </w:r>
            <w:r w:rsidR="00485401">
              <w:rPr>
                <w:bCs/>
                <w:iCs/>
              </w:rPr>
              <w:t>,</w:t>
            </w:r>
            <w:r w:rsidRPr="006A0AC4">
              <w:rPr>
                <w:bCs/>
                <w:iCs/>
              </w:rPr>
              <w:t>360.80</w:t>
            </w:r>
          </w:p>
        </w:tc>
      </w:tr>
      <w:tr w14:paraId="37CED7A9" w14:textId="77777777" w:rsidTr="004A48BC">
        <w:tblPrEx>
          <w:tblW w:w="0" w:type="auto"/>
          <w:tblInd w:w="755" w:type="dxa"/>
          <w:tblLook w:val="04A0"/>
        </w:tblPrEx>
        <w:tc>
          <w:tcPr>
            <w:tcW w:w="2120" w:type="dxa"/>
            <w:tcBorders>
              <w:top w:val="single" w:sz="4" w:space="0" w:color="auto"/>
              <w:left w:val="single" w:sz="4" w:space="0" w:color="auto"/>
              <w:bottom w:val="single" w:sz="4" w:space="0" w:color="auto"/>
              <w:right w:val="single" w:sz="4" w:space="0" w:color="auto"/>
            </w:tcBorders>
            <w:hideMark/>
          </w:tcPr>
          <w:p w:rsidR="006A0AC4" w:rsidRPr="006A0AC4" w:rsidP="006A0AC4" w14:paraId="4B1A7CD8" w14:textId="77777777">
            <w:pPr>
              <w:ind w:left="360"/>
              <w:rPr>
                <w:bCs/>
                <w:iCs/>
              </w:rPr>
            </w:pPr>
            <w:r w:rsidRPr="006A0AC4">
              <w:rPr>
                <w:bCs/>
                <w:iCs/>
              </w:rPr>
              <w:t>Travel</w:t>
            </w:r>
          </w:p>
        </w:tc>
        <w:tc>
          <w:tcPr>
            <w:tcW w:w="4696" w:type="dxa"/>
            <w:tcBorders>
              <w:top w:val="single" w:sz="4" w:space="0" w:color="auto"/>
              <w:left w:val="single" w:sz="4" w:space="0" w:color="auto"/>
              <w:bottom w:val="single" w:sz="4" w:space="0" w:color="auto"/>
              <w:right w:val="single" w:sz="4" w:space="0" w:color="auto"/>
            </w:tcBorders>
            <w:hideMark/>
          </w:tcPr>
          <w:p w:rsidR="006A0AC4" w:rsidRPr="006A0AC4" w:rsidP="004A48BC" w14:paraId="5234347F" w14:textId="77777777">
            <w:pPr>
              <w:ind w:left="360"/>
              <w:jc w:val="right"/>
              <w:rPr>
                <w:bCs/>
                <w:iCs/>
              </w:rPr>
            </w:pPr>
            <w:r w:rsidRPr="006A0AC4">
              <w:rPr>
                <w:bCs/>
                <w:iCs/>
              </w:rPr>
              <w:t>$12,000.00</w:t>
            </w:r>
          </w:p>
        </w:tc>
      </w:tr>
      <w:tr w14:paraId="674A5955" w14:textId="77777777" w:rsidTr="004A48BC">
        <w:tblPrEx>
          <w:tblW w:w="0" w:type="auto"/>
          <w:tblInd w:w="755" w:type="dxa"/>
          <w:tblLook w:val="04A0"/>
        </w:tblPrEx>
        <w:tc>
          <w:tcPr>
            <w:tcW w:w="2120" w:type="dxa"/>
            <w:tcBorders>
              <w:top w:val="single" w:sz="4" w:space="0" w:color="auto"/>
              <w:left w:val="single" w:sz="4" w:space="0" w:color="auto"/>
              <w:bottom w:val="single" w:sz="4" w:space="0" w:color="auto"/>
              <w:right w:val="single" w:sz="4" w:space="0" w:color="auto"/>
            </w:tcBorders>
            <w:hideMark/>
          </w:tcPr>
          <w:p w:rsidR="006A0AC4" w:rsidRPr="006A0AC4" w:rsidP="006A0AC4" w14:paraId="15343AF9" w14:textId="77777777">
            <w:pPr>
              <w:ind w:left="360"/>
              <w:rPr>
                <w:b/>
                <w:iCs/>
              </w:rPr>
            </w:pPr>
            <w:r w:rsidRPr="006A0AC4">
              <w:rPr>
                <w:b/>
                <w:iCs/>
              </w:rPr>
              <w:t>TOTAL</w:t>
            </w:r>
          </w:p>
        </w:tc>
        <w:tc>
          <w:tcPr>
            <w:tcW w:w="4696" w:type="dxa"/>
            <w:tcBorders>
              <w:top w:val="single" w:sz="4" w:space="0" w:color="auto"/>
              <w:left w:val="single" w:sz="4" w:space="0" w:color="auto"/>
              <w:bottom w:val="single" w:sz="4" w:space="0" w:color="auto"/>
              <w:right w:val="single" w:sz="4" w:space="0" w:color="auto"/>
            </w:tcBorders>
            <w:hideMark/>
          </w:tcPr>
          <w:p w:rsidR="006A0AC4" w:rsidRPr="006A0AC4" w:rsidP="004A48BC" w14:paraId="0FC72E5D" w14:textId="77777777">
            <w:pPr>
              <w:ind w:left="360"/>
              <w:jc w:val="right"/>
              <w:rPr>
                <w:b/>
                <w:iCs/>
              </w:rPr>
            </w:pPr>
            <w:r w:rsidRPr="006A0AC4">
              <w:rPr>
                <w:b/>
                <w:iCs/>
              </w:rPr>
              <w:t>$14,008.80</w:t>
            </w:r>
          </w:p>
        </w:tc>
      </w:tr>
    </w:tbl>
    <w:p w:rsidR="006A0AC4" w:rsidRPr="006A0AC4" w:rsidP="006A0AC4" w14:paraId="2A5210E2" w14:textId="77777777">
      <w:pPr>
        <w:ind w:left="360"/>
        <w:rPr>
          <w:bCs/>
          <w:iCs/>
        </w:rPr>
      </w:pPr>
    </w:p>
    <w:p w:rsidR="006A0AC4" w:rsidRPr="006A0AC4" w:rsidP="006A0AC4" w14:paraId="295E835F" w14:textId="59D68EF5">
      <w:pPr>
        <w:ind w:left="360"/>
        <w:rPr>
          <w:bCs/>
        </w:rPr>
      </w:pPr>
      <w:r w:rsidRPr="006A0AC4">
        <w:rPr>
          <w:bCs/>
        </w:rPr>
        <w:t xml:space="preserve">Total cost of labor plus operating costs is </w:t>
      </w:r>
      <w:r w:rsidRPr="006A0AC4">
        <w:rPr>
          <w:b/>
        </w:rPr>
        <w:t>$</w:t>
      </w:r>
      <w:r w:rsidR="00BA7E3C">
        <w:rPr>
          <w:b/>
        </w:rPr>
        <w:t>41,596.35</w:t>
      </w:r>
      <w:r w:rsidRPr="006A0AC4">
        <w:rPr>
          <w:bCs/>
        </w:rPr>
        <w:t>.</w:t>
      </w:r>
    </w:p>
    <w:p w:rsidR="006A0AC4" w:rsidRPr="006A0AC4" w:rsidP="006A0AC4" w14:paraId="29E2A21D" w14:textId="77777777">
      <w:pPr>
        <w:ind w:left="360"/>
        <w:rPr>
          <w:b/>
        </w:rPr>
      </w:pPr>
    </w:p>
    <w:p w:rsidR="006A0AC4" w:rsidRPr="006A0AC4" w:rsidP="006A0AC4" w14:paraId="7671FAC3" w14:textId="77777777">
      <w:pPr>
        <w:ind w:left="360"/>
      </w:pPr>
      <w:r w:rsidRPr="006A0AC4">
        <w:rPr>
          <w:b/>
          <w:i/>
        </w:rPr>
        <w:t>15.</w:t>
      </w:r>
      <w:r w:rsidRPr="006A0AC4">
        <w:rPr>
          <w:b/>
          <w:i/>
        </w:rPr>
        <w:tab/>
        <w:t>Explain the reasons for any program changes or adjustments in hour or cost burden.</w:t>
      </w:r>
      <w:r w:rsidRPr="006A0AC4">
        <w:t xml:space="preserve">  </w:t>
      </w:r>
    </w:p>
    <w:p w:rsidR="002C2525" w:rsidP="009331E3" w14:paraId="216D9102" w14:textId="77777777">
      <w:pPr>
        <w:ind w:left="360"/>
      </w:pPr>
    </w:p>
    <w:p w:rsidR="009331E3" w:rsidRPr="009331E3" w:rsidP="009331E3" w14:paraId="67E83732" w14:textId="747E0408">
      <w:pPr>
        <w:ind w:left="360"/>
      </w:pPr>
      <w:r w:rsidRPr="009331E3">
        <w:t>This is a new data collection, so no changes or adjustments have been made to previous estimates of burden.</w:t>
      </w:r>
    </w:p>
    <w:p w:rsidR="009331E3" w:rsidRPr="009331E3" w:rsidP="009331E3" w14:paraId="529A595F" w14:textId="77777777">
      <w:pPr>
        <w:ind w:left="360"/>
      </w:pPr>
    </w:p>
    <w:p w:rsidR="006A0AC4" w:rsidRPr="006A0AC4" w:rsidP="006A0AC4" w14:paraId="6C27B9B1" w14:textId="77777777">
      <w:pPr>
        <w:ind w:left="360"/>
        <w:rPr>
          <w:b/>
          <w:bCs/>
          <w:i/>
          <w:iCs/>
        </w:rPr>
      </w:pPr>
      <w:r w:rsidRPr="006A0AC4">
        <w:rPr>
          <w:b/>
          <w:bCs/>
          <w:i/>
          <w:iCs/>
        </w:rPr>
        <w:t>16.</w:t>
      </w:r>
      <w:r w:rsidRPr="006A0AC4">
        <w:tab/>
      </w:r>
      <w:r w:rsidRPr="006A0AC4">
        <w:rPr>
          <w:b/>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C2525" w:rsidP="006A0AC4" w14:paraId="300C681D" w14:textId="77777777">
      <w:pPr>
        <w:ind w:left="360"/>
      </w:pPr>
    </w:p>
    <w:p w:rsidR="006A0AC4" w:rsidRPr="006A0AC4" w:rsidP="006A0AC4" w14:paraId="4B0BBF40" w14:textId="60729D84">
      <w:pPr>
        <w:ind w:left="360"/>
      </w:pPr>
      <w:r w:rsidRPr="006A0AC4">
        <w:t xml:space="preserve">The project began in November 2024. The collection of information is anticipated to begin in April 2026 and end in </w:t>
      </w:r>
      <w:r w:rsidR="00B543AE">
        <w:t>August</w:t>
      </w:r>
      <w:r w:rsidRPr="006A0AC4">
        <w:t xml:space="preserve"> 2026</w:t>
      </w:r>
      <w:r w:rsidR="002C2525">
        <w:t xml:space="preserve"> (Note: this date may change due to timing of OMB approval)</w:t>
      </w:r>
      <w:r w:rsidRPr="006A0AC4">
        <w:t xml:space="preserve">. The final report will be completed in </w:t>
      </w:r>
      <w:r w:rsidR="006300F8">
        <w:t>August</w:t>
      </w:r>
      <w:r w:rsidRPr="006A0AC4">
        <w:t xml:space="preserve"> 2027. A publication date for the final report has not been determined. </w:t>
      </w:r>
    </w:p>
    <w:p w:rsidR="006A0AC4" w:rsidRPr="006A0AC4" w:rsidP="006A0AC4" w14:paraId="1CB4CF25" w14:textId="77777777">
      <w:pPr>
        <w:ind w:left="360"/>
      </w:pPr>
    </w:p>
    <w:p w:rsidR="006A0AC4" w:rsidRPr="006A0AC4" w:rsidP="006A0AC4" w14:paraId="5F7B9090" w14:textId="77777777">
      <w:pPr>
        <w:ind w:left="360"/>
      </w:pPr>
      <w:r w:rsidRPr="006A0AC4">
        <w:t xml:space="preserve">The surveys will be used to generate 20 port profiles detailing each port’s infrastructure, usage, capacity, applicable regulations, and environmental and ecological conditions. The analysis products and the underlying data will be used by BOEM to inform future planning, environmental reviews, harbor planning, CZMA determinations, and inter-industry negotiations on the West Coast.  </w:t>
      </w:r>
    </w:p>
    <w:p w:rsidR="006A0AC4" w:rsidRPr="006A0AC4" w:rsidP="006A0AC4" w14:paraId="2265C127" w14:textId="77777777">
      <w:pPr>
        <w:ind w:left="360"/>
      </w:pPr>
    </w:p>
    <w:p w:rsidR="006A0AC4" w:rsidRPr="006A0AC4" w:rsidP="006A0AC4" w14:paraId="34AFAAAB" w14:textId="77777777">
      <w:pPr>
        <w:ind w:left="360"/>
      </w:pPr>
      <w:r w:rsidRPr="006A0AC4">
        <w:t>Preliminary outreach and research for port visits</w:t>
      </w:r>
      <w:r w:rsidRPr="006A0AC4">
        <w:tab/>
      </w:r>
      <w:r w:rsidRPr="006A0AC4">
        <w:tab/>
        <w:t>July  October 2025</w:t>
      </w:r>
    </w:p>
    <w:p w:rsidR="006A0AC4" w:rsidRPr="006A0AC4" w:rsidP="006A0AC4" w14:paraId="5233301F" w14:textId="77777777">
      <w:pPr>
        <w:ind w:left="360"/>
      </w:pPr>
      <w:r w:rsidRPr="006A0AC4">
        <w:t>Pilot study (four respondents)</w:t>
      </w:r>
      <w:r w:rsidRPr="006A0AC4">
        <w:tab/>
      </w:r>
      <w:r w:rsidRPr="006A0AC4">
        <w:tab/>
      </w:r>
      <w:r w:rsidRPr="006A0AC4">
        <w:tab/>
      </w:r>
      <w:r w:rsidRPr="006A0AC4">
        <w:tab/>
        <w:t>November-December 2025</w:t>
      </w:r>
    </w:p>
    <w:p w:rsidR="006A0AC4" w:rsidRPr="006A0AC4" w:rsidP="006A0AC4" w14:paraId="10C9F27A" w14:textId="32B7940F">
      <w:pPr>
        <w:ind w:left="360"/>
      </w:pPr>
      <w:r w:rsidRPr="006A0AC4">
        <w:t>Survey distribution and site visits</w:t>
      </w:r>
      <w:r w:rsidRPr="006A0AC4">
        <w:tab/>
      </w:r>
      <w:r w:rsidRPr="006A0AC4">
        <w:tab/>
      </w:r>
      <w:r w:rsidRPr="006A0AC4">
        <w:tab/>
      </w:r>
      <w:r w:rsidRPr="006A0AC4">
        <w:tab/>
      </w:r>
      <w:r w:rsidR="002C2525">
        <w:t>June</w:t>
      </w:r>
      <w:r w:rsidRPr="006A0AC4">
        <w:t xml:space="preserve"> 2026–</w:t>
      </w:r>
      <w:r w:rsidR="006300F8">
        <w:t>August</w:t>
      </w:r>
      <w:r w:rsidRPr="006A0AC4">
        <w:t xml:space="preserve"> 2026</w:t>
      </w:r>
    </w:p>
    <w:p w:rsidR="006A0AC4" w:rsidRPr="006A0AC4" w:rsidP="006A0AC4" w14:paraId="2E67E44D" w14:textId="0CDF7E51">
      <w:pPr>
        <w:ind w:left="360"/>
      </w:pPr>
      <w:r w:rsidRPr="006A0AC4">
        <w:t>Data Tabulation and Analysis</w:t>
      </w:r>
      <w:r w:rsidRPr="006A0AC4">
        <w:tab/>
      </w:r>
      <w:r w:rsidRPr="006A0AC4">
        <w:tab/>
      </w:r>
      <w:r w:rsidRPr="006A0AC4">
        <w:tab/>
      </w:r>
      <w:r w:rsidRPr="006A0AC4">
        <w:tab/>
      </w:r>
      <w:r w:rsidR="006300F8">
        <w:t>August</w:t>
      </w:r>
      <w:r w:rsidRPr="006A0AC4">
        <w:t xml:space="preserve"> 2026–</w:t>
      </w:r>
      <w:r w:rsidR="006300F8">
        <w:t>March</w:t>
      </w:r>
      <w:r w:rsidRPr="006A0AC4">
        <w:t xml:space="preserve"> 2027</w:t>
      </w:r>
    </w:p>
    <w:p w:rsidR="006A0AC4" w:rsidRPr="006A0AC4" w:rsidP="006A0AC4" w14:paraId="62AE175E" w14:textId="2837ED3A">
      <w:pPr>
        <w:ind w:left="360"/>
      </w:pPr>
      <w:r w:rsidRPr="006A0AC4">
        <w:t>Draft report</w:t>
      </w:r>
      <w:r w:rsidRPr="006A0AC4">
        <w:tab/>
      </w:r>
      <w:r w:rsidRPr="006A0AC4">
        <w:tab/>
      </w:r>
      <w:r w:rsidRPr="006A0AC4">
        <w:tab/>
      </w:r>
      <w:r w:rsidRPr="006A0AC4">
        <w:tab/>
      </w:r>
      <w:r w:rsidRPr="006A0AC4">
        <w:tab/>
      </w:r>
      <w:r w:rsidRPr="006A0AC4">
        <w:tab/>
      </w:r>
      <w:r w:rsidR="006300F8">
        <w:t>April</w:t>
      </w:r>
      <w:r w:rsidRPr="006A0AC4">
        <w:t xml:space="preserve"> 2027</w:t>
      </w:r>
    </w:p>
    <w:p w:rsidR="006A0AC4" w:rsidRPr="006A0AC4" w:rsidP="006A0AC4" w14:paraId="4BC3503B" w14:textId="22A22DE8">
      <w:pPr>
        <w:ind w:left="360"/>
      </w:pPr>
      <w:r w:rsidRPr="006A0AC4">
        <w:t xml:space="preserve">Final report </w:t>
      </w:r>
      <w:r w:rsidRPr="006A0AC4">
        <w:tab/>
      </w:r>
      <w:r w:rsidRPr="006A0AC4">
        <w:tab/>
      </w:r>
      <w:r w:rsidRPr="006A0AC4">
        <w:tab/>
      </w:r>
      <w:r w:rsidRPr="006A0AC4">
        <w:tab/>
      </w:r>
      <w:r w:rsidRPr="006A0AC4">
        <w:tab/>
      </w:r>
      <w:r w:rsidRPr="006A0AC4">
        <w:tab/>
      </w:r>
      <w:r w:rsidR="006300F8">
        <w:t>August</w:t>
      </w:r>
      <w:r w:rsidRPr="006A0AC4">
        <w:t xml:space="preserve"> 2027</w:t>
      </w:r>
    </w:p>
    <w:p w:rsidR="006A0AC4" w:rsidRPr="006A0AC4" w:rsidP="006A0AC4" w14:paraId="1EE9D488" w14:textId="77777777">
      <w:pPr>
        <w:ind w:left="360"/>
      </w:pPr>
    </w:p>
    <w:p w:rsidR="006A0AC4" w:rsidRPr="006A0AC4" w:rsidP="006A0AC4" w14:paraId="0B8B2ADE" w14:textId="77777777">
      <w:pPr>
        <w:ind w:left="360"/>
      </w:pPr>
      <w:r w:rsidRPr="006A0AC4">
        <w:t xml:space="preserve">It is anticipated that the final report will be published on BOEM’s website.   </w:t>
      </w:r>
    </w:p>
    <w:p w:rsidR="006A0AC4" w:rsidRPr="006A0AC4" w:rsidP="006A0AC4" w14:paraId="74F848BB" w14:textId="77777777">
      <w:pPr>
        <w:ind w:left="360"/>
      </w:pPr>
    </w:p>
    <w:p w:rsidR="006A0AC4" w:rsidRPr="006A0AC4" w:rsidP="006A0AC4" w14:paraId="740B3613" w14:textId="77777777">
      <w:pPr>
        <w:ind w:left="360"/>
      </w:pPr>
      <w:r w:rsidRPr="006A0AC4">
        <w:rPr>
          <w:b/>
          <w:i/>
        </w:rPr>
        <w:t>17.</w:t>
      </w:r>
      <w:r w:rsidRPr="006A0AC4">
        <w:rPr>
          <w:b/>
          <w:i/>
        </w:rPr>
        <w:tab/>
        <w:t>If seeking approval to not display the expiration date for OMB approval of the information collection, explain the reasons that display would be inappropriate.</w:t>
      </w:r>
      <w:r w:rsidRPr="006A0AC4">
        <w:t xml:space="preserve">  </w:t>
      </w:r>
    </w:p>
    <w:p w:rsidR="00385E58" w:rsidP="006A0AC4" w14:paraId="56C2673F" w14:textId="77777777">
      <w:pPr>
        <w:ind w:left="360"/>
      </w:pPr>
    </w:p>
    <w:p w:rsidR="006A0AC4" w:rsidRPr="006A0AC4" w:rsidP="006A0AC4" w14:paraId="6D2678C0" w14:textId="2A88A22D">
      <w:pPr>
        <w:ind w:left="360"/>
      </w:pPr>
      <w:r w:rsidRPr="006A0AC4">
        <w:t>Each form will display the OMB control number and expiration date.</w:t>
      </w:r>
    </w:p>
    <w:p w:rsidR="006A0AC4" w:rsidRPr="006A0AC4" w:rsidP="006A0AC4" w14:paraId="77F355B5" w14:textId="77777777">
      <w:pPr>
        <w:ind w:left="360"/>
      </w:pPr>
    </w:p>
    <w:p w:rsidR="00385E58" w:rsidRPr="006A0AC4" w:rsidP="006A0AC4" w14:paraId="03C28DE7" w14:textId="4FDCF94D">
      <w:pPr>
        <w:ind w:left="360"/>
      </w:pPr>
      <w:r w:rsidRPr="006A0AC4">
        <w:rPr>
          <w:b/>
          <w:i/>
        </w:rPr>
        <w:t>18.</w:t>
      </w:r>
      <w:r w:rsidRPr="006A0AC4">
        <w:rPr>
          <w:b/>
          <w:i/>
        </w:rPr>
        <w:tab/>
        <w:t>Explain each exception to the topics of the certification statement identified in, “Certification for Paperwork Reduction Act Submissions.”</w:t>
      </w:r>
      <w:r w:rsidRPr="006A0AC4">
        <w:t xml:space="preserve">  </w:t>
      </w:r>
    </w:p>
    <w:p w:rsidR="0065050B" w:rsidRPr="00CA32F1" w:rsidP="0043389A" w14:paraId="6103B995" w14:textId="262758B1">
      <w:pPr>
        <w:ind w:left="360"/>
      </w:pPr>
      <w:r w:rsidRPr="006A0AC4">
        <w:t>There are no exceptions.</w:t>
      </w:r>
    </w:p>
    <w:sectPr w:rsidSect="002B0A1B">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C354D2" w14:paraId="3E7EF3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37191" w14:paraId="275579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rsidP="000D7761" w14:paraId="1909309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87794">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191" w14:paraId="6FEAC509" w14:textId="77777777">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78C807E2"/>
    <w:lvl w:ilvl="0">
      <w:start w:val="1"/>
      <w:numFmt w:val="upperLetter"/>
      <w:pStyle w:val="QuickA"/>
      <w:lvlText w:val="%1."/>
      <w:lvlJc w:val="left"/>
      <w:pPr>
        <w:tabs>
          <w:tab w:val="num" w:pos="360"/>
        </w:tabs>
        <w:ind w:left="0" w:firstLine="0"/>
      </w:pPr>
      <w:rPr>
        <w:rFonts w:ascii="GoudyOlSt BT" w:hAnsi="GoudyOlSt BT"/>
        <w:b/>
        <w:sz w:val="24"/>
      </w:rPr>
    </w:lvl>
  </w:abstractNum>
  <w:abstractNum w:abstractNumId="1">
    <w:nsid w:val="024A7C76"/>
    <w:multiLevelType w:val="hybridMultilevel"/>
    <w:tmpl w:val="FD74E044"/>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E0CE9"/>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D95E20"/>
    <w:multiLevelType w:val="hybridMultilevel"/>
    <w:tmpl w:val="86609A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681D1D"/>
    <w:multiLevelType w:val="multilevel"/>
    <w:tmpl w:val="4DCC19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6443AC"/>
    <w:multiLevelType w:val="hybridMultilevel"/>
    <w:tmpl w:val="A190AA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47D0C01"/>
    <w:multiLevelType w:val="hybridMultilevel"/>
    <w:tmpl w:val="48728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216B65"/>
    <w:multiLevelType w:val="hybridMultilevel"/>
    <w:tmpl w:val="9A12521E"/>
    <w:lvl w:ilvl="0">
      <w:start w:val="1"/>
      <w:numFmt w:val="bullet"/>
      <w:lvlText w:val=""/>
      <w:lvlJc w:val="left"/>
      <w:pPr>
        <w:ind w:left="1139" w:hanging="360"/>
      </w:pPr>
      <w:rPr>
        <w:rFonts w:ascii="Symbol" w:hAnsi="Symbol" w:hint="default"/>
      </w:rPr>
    </w:lvl>
    <w:lvl w:ilvl="1" w:tentative="1">
      <w:start w:val="1"/>
      <w:numFmt w:val="bullet"/>
      <w:lvlText w:val="o"/>
      <w:lvlJc w:val="left"/>
      <w:pPr>
        <w:ind w:left="1859" w:hanging="360"/>
      </w:pPr>
      <w:rPr>
        <w:rFonts w:ascii="Courier New" w:hAnsi="Courier New" w:cs="Courier New" w:hint="default"/>
      </w:rPr>
    </w:lvl>
    <w:lvl w:ilvl="2" w:tentative="1">
      <w:start w:val="1"/>
      <w:numFmt w:val="bullet"/>
      <w:lvlText w:val=""/>
      <w:lvlJc w:val="left"/>
      <w:pPr>
        <w:ind w:left="2579" w:hanging="360"/>
      </w:pPr>
      <w:rPr>
        <w:rFonts w:ascii="Wingdings" w:hAnsi="Wingdings" w:hint="default"/>
      </w:rPr>
    </w:lvl>
    <w:lvl w:ilvl="3" w:tentative="1">
      <w:start w:val="1"/>
      <w:numFmt w:val="bullet"/>
      <w:lvlText w:val=""/>
      <w:lvlJc w:val="left"/>
      <w:pPr>
        <w:ind w:left="3299" w:hanging="360"/>
      </w:pPr>
      <w:rPr>
        <w:rFonts w:ascii="Symbol" w:hAnsi="Symbol" w:hint="default"/>
      </w:rPr>
    </w:lvl>
    <w:lvl w:ilvl="4" w:tentative="1">
      <w:start w:val="1"/>
      <w:numFmt w:val="bullet"/>
      <w:lvlText w:val="o"/>
      <w:lvlJc w:val="left"/>
      <w:pPr>
        <w:ind w:left="4019" w:hanging="360"/>
      </w:pPr>
      <w:rPr>
        <w:rFonts w:ascii="Courier New" w:hAnsi="Courier New" w:cs="Courier New" w:hint="default"/>
      </w:rPr>
    </w:lvl>
    <w:lvl w:ilvl="5" w:tentative="1">
      <w:start w:val="1"/>
      <w:numFmt w:val="bullet"/>
      <w:lvlText w:val=""/>
      <w:lvlJc w:val="left"/>
      <w:pPr>
        <w:ind w:left="4739" w:hanging="360"/>
      </w:pPr>
      <w:rPr>
        <w:rFonts w:ascii="Wingdings" w:hAnsi="Wingdings" w:hint="default"/>
      </w:rPr>
    </w:lvl>
    <w:lvl w:ilvl="6" w:tentative="1">
      <w:start w:val="1"/>
      <w:numFmt w:val="bullet"/>
      <w:lvlText w:val=""/>
      <w:lvlJc w:val="left"/>
      <w:pPr>
        <w:ind w:left="5459" w:hanging="360"/>
      </w:pPr>
      <w:rPr>
        <w:rFonts w:ascii="Symbol" w:hAnsi="Symbol" w:hint="default"/>
      </w:rPr>
    </w:lvl>
    <w:lvl w:ilvl="7" w:tentative="1">
      <w:start w:val="1"/>
      <w:numFmt w:val="bullet"/>
      <w:lvlText w:val="o"/>
      <w:lvlJc w:val="left"/>
      <w:pPr>
        <w:ind w:left="6179" w:hanging="360"/>
      </w:pPr>
      <w:rPr>
        <w:rFonts w:ascii="Courier New" w:hAnsi="Courier New" w:cs="Courier New" w:hint="default"/>
      </w:rPr>
    </w:lvl>
    <w:lvl w:ilvl="8" w:tentative="1">
      <w:start w:val="1"/>
      <w:numFmt w:val="bullet"/>
      <w:lvlText w:val=""/>
      <w:lvlJc w:val="left"/>
      <w:pPr>
        <w:ind w:left="6899" w:hanging="360"/>
      </w:pPr>
      <w:rPr>
        <w:rFonts w:ascii="Wingdings" w:hAnsi="Wingdings" w:hint="default"/>
      </w:rPr>
    </w:lvl>
  </w:abstractNum>
  <w:abstractNum w:abstractNumId="8">
    <w:nsid w:val="2FF93140"/>
    <w:multiLevelType w:val="multilevel"/>
    <w:tmpl w:val="3412F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871CCC"/>
    <w:multiLevelType w:val="hybridMultilevel"/>
    <w:tmpl w:val="F8162E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4211035"/>
    <w:multiLevelType w:val="multilevel"/>
    <w:tmpl w:val="DCFE85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DAE0143"/>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F90257"/>
    <w:multiLevelType w:val="hybridMultilevel"/>
    <w:tmpl w:val="871832B8"/>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3">
    <w:nsid w:val="4C8D08D3"/>
    <w:multiLevelType w:val="hybridMultilevel"/>
    <w:tmpl w:val="2C24B3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2A41455"/>
    <w:multiLevelType w:val="hybridMultilevel"/>
    <w:tmpl w:val="C4E03C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87C5562"/>
    <w:multiLevelType w:val="hybridMultilevel"/>
    <w:tmpl w:val="C6C2A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0C1BBA"/>
    <w:multiLevelType w:val="hybridMultilevel"/>
    <w:tmpl w:val="84FAED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373F46"/>
    <w:multiLevelType w:val="hybridMultilevel"/>
    <w:tmpl w:val="25BCEF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5E25471"/>
    <w:multiLevelType w:val="hybridMultilevel"/>
    <w:tmpl w:val="723CE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6F50318"/>
    <w:multiLevelType w:val="hybridMultilevel"/>
    <w:tmpl w:val="9796E2F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0">
    <w:nsid w:val="6E9B0EE1"/>
    <w:multiLevelType w:val="hybridMultilevel"/>
    <w:tmpl w:val="2738E0D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1">
    <w:nsid w:val="7AD108AB"/>
    <w:multiLevelType w:val="hybridMultilevel"/>
    <w:tmpl w:val="9580C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3204895">
    <w:abstractNumId w:val="18"/>
  </w:num>
  <w:num w:numId="2" w16cid:durableId="665521644">
    <w:abstractNumId w:val="17"/>
  </w:num>
  <w:num w:numId="3" w16cid:durableId="963732314">
    <w:abstractNumId w:val="13"/>
  </w:num>
  <w:num w:numId="4" w16cid:durableId="122232850">
    <w:abstractNumId w:val="16"/>
  </w:num>
  <w:num w:numId="5" w16cid:durableId="198201449">
    <w:abstractNumId w:val="15"/>
  </w:num>
  <w:num w:numId="6" w16cid:durableId="539173956">
    <w:abstractNumId w:val="11"/>
  </w:num>
  <w:num w:numId="7" w16cid:durableId="898519053">
    <w:abstractNumId w:val="2"/>
  </w:num>
  <w:num w:numId="8" w16cid:durableId="1601645676">
    <w:abstractNumId w:val="1"/>
  </w:num>
  <w:num w:numId="9" w16cid:durableId="1933932862">
    <w:abstractNumId w:val="3"/>
  </w:num>
  <w:num w:numId="10" w16cid:durableId="131141170">
    <w:abstractNumId w:val="14"/>
  </w:num>
  <w:num w:numId="11" w16cid:durableId="533620473">
    <w:abstractNumId w:val="12"/>
  </w:num>
  <w:num w:numId="12" w16cid:durableId="588925352">
    <w:abstractNumId w:val="5"/>
  </w:num>
  <w:num w:numId="13" w16cid:durableId="1380547570">
    <w:abstractNumId w:val="20"/>
  </w:num>
  <w:num w:numId="14" w16cid:durableId="961419110">
    <w:abstractNumId w:val="19"/>
  </w:num>
  <w:num w:numId="15" w16cid:durableId="300578220">
    <w:abstractNumId w:val="9"/>
  </w:num>
  <w:num w:numId="16" w16cid:durableId="1226062352">
    <w:abstractNumId w:val="7"/>
  </w:num>
  <w:num w:numId="17" w16cid:durableId="1490516027">
    <w:abstractNumId w:val="0"/>
  </w:num>
  <w:num w:numId="18" w16cid:durableId="1209341685">
    <w:abstractNumId w:val="0"/>
    <w:lvlOverride w:ilvl="0">
      <w:lvl w:ilvl="0">
        <w:start w:val="1"/>
        <w:numFmt w:val="decimal"/>
        <w:pStyle w:val="QuickA"/>
        <w:lvlText w:val="%1."/>
        <w:lvlJc w:val="left"/>
        <w:pPr>
          <w:ind w:left="0" w:firstLine="0"/>
        </w:pPr>
        <w:rPr>
          <w:rFonts w:ascii="GoudyOlSt BT" w:hAnsi="GoudyOlSt BT"/>
          <w:b/>
          <w:sz w:val="24"/>
        </w:rPr>
      </w:lvl>
    </w:lvlOverride>
  </w:num>
  <w:num w:numId="19" w16cid:durableId="1736972088">
    <w:abstractNumId w:val="8"/>
  </w:num>
  <w:num w:numId="20" w16cid:durableId="51462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758551">
    <w:abstractNumId w:val="10"/>
  </w:num>
  <w:num w:numId="22" w16cid:durableId="15298628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2753200">
    <w:abstractNumId w:val="4"/>
  </w:num>
  <w:num w:numId="24" w16cid:durableId="1861964184">
    <w:abstractNumId w:val="4"/>
  </w:num>
  <w:num w:numId="25" w16cid:durableId="2095006918">
    <w:abstractNumId w:val="6"/>
  </w:num>
  <w:num w:numId="26" w16cid:durableId="619066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8D"/>
    <w:rsid w:val="00001416"/>
    <w:rsid w:val="000026A3"/>
    <w:rsid w:val="00002708"/>
    <w:rsid w:val="0000289B"/>
    <w:rsid w:val="000035C6"/>
    <w:rsid w:val="00004C83"/>
    <w:rsid w:val="00004F32"/>
    <w:rsid w:val="000058D2"/>
    <w:rsid w:val="00005B26"/>
    <w:rsid w:val="000063B9"/>
    <w:rsid w:val="00007458"/>
    <w:rsid w:val="00007AF8"/>
    <w:rsid w:val="00010250"/>
    <w:rsid w:val="000103F1"/>
    <w:rsid w:val="00012182"/>
    <w:rsid w:val="0001244D"/>
    <w:rsid w:val="00014FB1"/>
    <w:rsid w:val="00020953"/>
    <w:rsid w:val="00020A85"/>
    <w:rsid w:val="00021C99"/>
    <w:rsid w:val="00022823"/>
    <w:rsid w:val="00022E0C"/>
    <w:rsid w:val="00024063"/>
    <w:rsid w:val="00024725"/>
    <w:rsid w:val="000250C7"/>
    <w:rsid w:val="00025809"/>
    <w:rsid w:val="0002591B"/>
    <w:rsid w:val="000259E3"/>
    <w:rsid w:val="00026DB5"/>
    <w:rsid w:val="00027675"/>
    <w:rsid w:val="00027FE0"/>
    <w:rsid w:val="000311E6"/>
    <w:rsid w:val="000316B6"/>
    <w:rsid w:val="00032545"/>
    <w:rsid w:val="00033FFF"/>
    <w:rsid w:val="00034A89"/>
    <w:rsid w:val="00035478"/>
    <w:rsid w:val="00035A64"/>
    <w:rsid w:val="0003657C"/>
    <w:rsid w:val="0003790C"/>
    <w:rsid w:val="00040A4A"/>
    <w:rsid w:val="000413E1"/>
    <w:rsid w:val="000415DC"/>
    <w:rsid w:val="000428AF"/>
    <w:rsid w:val="00043CFE"/>
    <w:rsid w:val="00043ED0"/>
    <w:rsid w:val="00044409"/>
    <w:rsid w:val="00045902"/>
    <w:rsid w:val="0004698B"/>
    <w:rsid w:val="00046CA3"/>
    <w:rsid w:val="0004780C"/>
    <w:rsid w:val="000479BE"/>
    <w:rsid w:val="00047B52"/>
    <w:rsid w:val="00050A14"/>
    <w:rsid w:val="000511AF"/>
    <w:rsid w:val="00051599"/>
    <w:rsid w:val="000516E2"/>
    <w:rsid w:val="00051B07"/>
    <w:rsid w:val="00053E83"/>
    <w:rsid w:val="00053EF6"/>
    <w:rsid w:val="00053F9B"/>
    <w:rsid w:val="000542E7"/>
    <w:rsid w:val="00054776"/>
    <w:rsid w:val="0005569B"/>
    <w:rsid w:val="00055BC5"/>
    <w:rsid w:val="000569BF"/>
    <w:rsid w:val="00057EC7"/>
    <w:rsid w:val="00060A01"/>
    <w:rsid w:val="0006153F"/>
    <w:rsid w:val="000623AA"/>
    <w:rsid w:val="000665D8"/>
    <w:rsid w:val="00066A97"/>
    <w:rsid w:val="00070336"/>
    <w:rsid w:val="000710B0"/>
    <w:rsid w:val="000711BD"/>
    <w:rsid w:val="00071D0B"/>
    <w:rsid w:val="0007216F"/>
    <w:rsid w:val="00072F15"/>
    <w:rsid w:val="00073C29"/>
    <w:rsid w:val="00073DD7"/>
    <w:rsid w:val="000741FE"/>
    <w:rsid w:val="00074378"/>
    <w:rsid w:val="0007497E"/>
    <w:rsid w:val="00074E81"/>
    <w:rsid w:val="000751A6"/>
    <w:rsid w:val="0007524A"/>
    <w:rsid w:val="000763F4"/>
    <w:rsid w:val="00076953"/>
    <w:rsid w:val="00077208"/>
    <w:rsid w:val="000805D0"/>
    <w:rsid w:val="00080722"/>
    <w:rsid w:val="000809E1"/>
    <w:rsid w:val="00080D84"/>
    <w:rsid w:val="00080F4F"/>
    <w:rsid w:val="00080FAB"/>
    <w:rsid w:val="000815AA"/>
    <w:rsid w:val="00082B55"/>
    <w:rsid w:val="00083F7D"/>
    <w:rsid w:val="000844D4"/>
    <w:rsid w:val="00084688"/>
    <w:rsid w:val="00086F9A"/>
    <w:rsid w:val="00090736"/>
    <w:rsid w:val="000909A4"/>
    <w:rsid w:val="00091CA8"/>
    <w:rsid w:val="000921B7"/>
    <w:rsid w:val="00092C3F"/>
    <w:rsid w:val="000931E3"/>
    <w:rsid w:val="000935F3"/>
    <w:rsid w:val="00094A93"/>
    <w:rsid w:val="000950F1"/>
    <w:rsid w:val="000953AD"/>
    <w:rsid w:val="000960BD"/>
    <w:rsid w:val="0009671D"/>
    <w:rsid w:val="000A0834"/>
    <w:rsid w:val="000A155B"/>
    <w:rsid w:val="000A235C"/>
    <w:rsid w:val="000A260E"/>
    <w:rsid w:val="000A3349"/>
    <w:rsid w:val="000A3ED3"/>
    <w:rsid w:val="000A4894"/>
    <w:rsid w:val="000A4AF6"/>
    <w:rsid w:val="000A7922"/>
    <w:rsid w:val="000A7E54"/>
    <w:rsid w:val="000B0E0E"/>
    <w:rsid w:val="000B13AE"/>
    <w:rsid w:val="000B1B91"/>
    <w:rsid w:val="000B3DF0"/>
    <w:rsid w:val="000B3FD3"/>
    <w:rsid w:val="000B59E6"/>
    <w:rsid w:val="000B7B3D"/>
    <w:rsid w:val="000C0EC9"/>
    <w:rsid w:val="000C18F8"/>
    <w:rsid w:val="000C53A2"/>
    <w:rsid w:val="000C5A5E"/>
    <w:rsid w:val="000C6F5A"/>
    <w:rsid w:val="000C748A"/>
    <w:rsid w:val="000D0BAC"/>
    <w:rsid w:val="000D17E9"/>
    <w:rsid w:val="000D17F6"/>
    <w:rsid w:val="000D2295"/>
    <w:rsid w:val="000D26AC"/>
    <w:rsid w:val="000D338E"/>
    <w:rsid w:val="000D479B"/>
    <w:rsid w:val="000D7761"/>
    <w:rsid w:val="000D7AFD"/>
    <w:rsid w:val="000D7B87"/>
    <w:rsid w:val="000E06CF"/>
    <w:rsid w:val="000E0A59"/>
    <w:rsid w:val="000E0CBE"/>
    <w:rsid w:val="000E15F9"/>
    <w:rsid w:val="000E227D"/>
    <w:rsid w:val="000E4CE2"/>
    <w:rsid w:val="000E4F75"/>
    <w:rsid w:val="000E5D90"/>
    <w:rsid w:val="000E5EDA"/>
    <w:rsid w:val="000E73BF"/>
    <w:rsid w:val="000E7462"/>
    <w:rsid w:val="000E7B23"/>
    <w:rsid w:val="000F08A9"/>
    <w:rsid w:val="000F0B52"/>
    <w:rsid w:val="000F1971"/>
    <w:rsid w:val="000F20C2"/>
    <w:rsid w:val="000F7D3D"/>
    <w:rsid w:val="000F7F02"/>
    <w:rsid w:val="00101000"/>
    <w:rsid w:val="00101FAD"/>
    <w:rsid w:val="00104FE4"/>
    <w:rsid w:val="001053A7"/>
    <w:rsid w:val="00105724"/>
    <w:rsid w:val="001078D1"/>
    <w:rsid w:val="001078DE"/>
    <w:rsid w:val="00107925"/>
    <w:rsid w:val="00107939"/>
    <w:rsid w:val="001111D6"/>
    <w:rsid w:val="00111EEB"/>
    <w:rsid w:val="00112B09"/>
    <w:rsid w:val="00115D6A"/>
    <w:rsid w:val="00117923"/>
    <w:rsid w:val="00117FDF"/>
    <w:rsid w:val="00121074"/>
    <w:rsid w:val="00121261"/>
    <w:rsid w:val="00121A2E"/>
    <w:rsid w:val="001221D1"/>
    <w:rsid w:val="00122392"/>
    <w:rsid w:val="0012299A"/>
    <w:rsid w:val="001236F4"/>
    <w:rsid w:val="00123C25"/>
    <w:rsid w:val="00124021"/>
    <w:rsid w:val="0012434D"/>
    <w:rsid w:val="00124804"/>
    <w:rsid w:val="00125490"/>
    <w:rsid w:val="00126278"/>
    <w:rsid w:val="00126DBF"/>
    <w:rsid w:val="00126DF3"/>
    <w:rsid w:val="00127585"/>
    <w:rsid w:val="00127AA5"/>
    <w:rsid w:val="00130359"/>
    <w:rsid w:val="0013073C"/>
    <w:rsid w:val="00131498"/>
    <w:rsid w:val="001314C8"/>
    <w:rsid w:val="001317C3"/>
    <w:rsid w:val="001326D1"/>
    <w:rsid w:val="0013308F"/>
    <w:rsid w:val="00133303"/>
    <w:rsid w:val="00133353"/>
    <w:rsid w:val="00136B41"/>
    <w:rsid w:val="00136FF7"/>
    <w:rsid w:val="001370C0"/>
    <w:rsid w:val="00137E7E"/>
    <w:rsid w:val="001426C9"/>
    <w:rsid w:val="00143178"/>
    <w:rsid w:val="00143EF9"/>
    <w:rsid w:val="00144B08"/>
    <w:rsid w:val="00144D99"/>
    <w:rsid w:val="001458E2"/>
    <w:rsid w:val="00146208"/>
    <w:rsid w:val="00146D7A"/>
    <w:rsid w:val="0014730B"/>
    <w:rsid w:val="00147D2E"/>
    <w:rsid w:val="0015028C"/>
    <w:rsid w:val="001505AE"/>
    <w:rsid w:val="00150C58"/>
    <w:rsid w:val="00150D84"/>
    <w:rsid w:val="0015412B"/>
    <w:rsid w:val="00154270"/>
    <w:rsid w:val="00154997"/>
    <w:rsid w:val="001550D4"/>
    <w:rsid w:val="00155B9A"/>
    <w:rsid w:val="00155C8F"/>
    <w:rsid w:val="00157630"/>
    <w:rsid w:val="00161261"/>
    <w:rsid w:val="001613E0"/>
    <w:rsid w:val="001621F1"/>
    <w:rsid w:val="00162DFC"/>
    <w:rsid w:val="0016387D"/>
    <w:rsid w:val="00163A11"/>
    <w:rsid w:val="00164FCF"/>
    <w:rsid w:val="00167390"/>
    <w:rsid w:val="00167CAB"/>
    <w:rsid w:val="00167F2C"/>
    <w:rsid w:val="00167F41"/>
    <w:rsid w:val="00170749"/>
    <w:rsid w:val="00171AC4"/>
    <w:rsid w:val="00171AF1"/>
    <w:rsid w:val="001726CD"/>
    <w:rsid w:val="001747E7"/>
    <w:rsid w:val="00174E80"/>
    <w:rsid w:val="0017570B"/>
    <w:rsid w:val="00175A8D"/>
    <w:rsid w:val="001761C0"/>
    <w:rsid w:val="00176352"/>
    <w:rsid w:val="0017687E"/>
    <w:rsid w:val="00176D8F"/>
    <w:rsid w:val="00177A74"/>
    <w:rsid w:val="00177F3C"/>
    <w:rsid w:val="00180495"/>
    <w:rsid w:val="001826BF"/>
    <w:rsid w:val="00185BE1"/>
    <w:rsid w:val="00186B53"/>
    <w:rsid w:val="001870B3"/>
    <w:rsid w:val="001874D0"/>
    <w:rsid w:val="001902A9"/>
    <w:rsid w:val="00190649"/>
    <w:rsid w:val="001910AA"/>
    <w:rsid w:val="00191B21"/>
    <w:rsid w:val="00192FDD"/>
    <w:rsid w:val="0019309F"/>
    <w:rsid w:val="0019360F"/>
    <w:rsid w:val="00193B76"/>
    <w:rsid w:val="001A0731"/>
    <w:rsid w:val="001A0E8C"/>
    <w:rsid w:val="001A10B4"/>
    <w:rsid w:val="001A1E09"/>
    <w:rsid w:val="001A21B2"/>
    <w:rsid w:val="001A2E72"/>
    <w:rsid w:val="001A55D4"/>
    <w:rsid w:val="001A5FEA"/>
    <w:rsid w:val="001B01E0"/>
    <w:rsid w:val="001B12F7"/>
    <w:rsid w:val="001B19BF"/>
    <w:rsid w:val="001B1AA6"/>
    <w:rsid w:val="001B23BF"/>
    <w:rsid w:val="001B2D89"/>
    <w:rsid w:val="001B39CB"/>
    <w:rsid w:val="001B3C3E"/>
    <w:rsid w:val="001B4141"/>
    <w:rsid w:val="001B5E3B"/>
    <w:rsid w:val="001B65A9"/>
    <w:rsid w:val="001B7188"/>
    <w:rsid w:val="001B79C7"/>
    <w:rsid w:val="001C11E3"/>
    <w:rsid w:val="001C2C02"/>
    <w:rsid w:val="001C44D9"/>
    <w:rsid w:val="001C4910"/>
    <w:rsid w:val="001C53AB"/>
    <w:rsid w:val="001C5F1E"/>
    <w:rsid w:val="001C5FC5"/>
    <w:rsid w:val="001D118E"/>
    <w:rsid w:val="001D12CF"/>
    <w:rsid w:val="001D2299"/>
    <w:rsid w:val="001D239D"/>
    <w:rsid w:val="001D3678"/>
    <w:rsid w:val="001D425D"/>
    <w:rsid w:val="001D4471"/>
    <w:rsid w:val="001D4DF7"/>
    <w:rsid w:val="001D4FD6"/>
    <w:rsid w:val="001D58B2"/>
    <w:rsid w:val="001D5EBB"/>
    <w:rsid w:val="001D5F10"/>
    <w:rsid w:val="001D6B40"/>
    <w:rsid w:val="001D7367"/>
    <w:rsid w:val="001D7C19"/>
    <w:rsid w:val="001E014C"/>
    <w:rsid w:val="001E0777"/>
    <w:rsid w:val="001E0DA3"/>
    <w:rsid w:val="001E11BE"/>
    <w:rsid w:val="001E13D6"/>
    <w:rsid w:val="001E2BFA"/>
    <w:rsid w:val="001E511D"/>
    <w:rsid w:val="001E5A5B"/>
    <w:rsid w:val="001E5B08"/>
    <w:rsid w:val="001E6B84"/>
    <w:rsid w:val="001E70FC"/>
    <w:rsid w:val="001F0AC4"/>
    <w:rsid w:val="001F22FF"/>
    <w:rsid w:val="001F26FF"/>
    <w:rsid w:val="001F3C9D"/>
    <w:rsid w:val="001F404A"/>
    <w:rsid w:val="001F443D"/>
    <w:rsid w:val="001F4A9C"/>
    <w:rsid w:val="001F552D"/>
    <w:rsid w:val="001F74D3"/>
    <w:rsid w:val="001F7FF8"/>
    <w:rsid w:val="002008A9"/>
    <w:rsid w:val="00200E9F"/>
    <w:rsid w:val="00201430"/>
    <w:rsid w:val="0020159E"/>
    <w:rsid w:val="00201930"/>
    <w:rsid w:val="00201DDA"/>
    <w:rsid w:val="0020272C"/>
    <w:rsid w:val="00203564"/>
    <w:rsid w:val="00206462"/>
    <w:rsid w:val="00206E90"/>
    <w:rsid w:val="00207079"/>
    <w:rsid w:val="00207C8F"/>
    <w:rsid w:val="00210A14"/>
    <w:rsid w:val="00210F13"/>
    <w:rsid w:val="00213585"/>
    <w:rsid w:val="00214957"/>
    <w:rsid w:val="00214BEC"/>
    <w:rsid w:val="00215C1E"/>
    <w:rsid w:val="00217067"/>
    <w:rsid w:val="002203D5"/>
    <w:rsid w:val="0022090E"/>
    <w:rsid w:val="00221C98"/>
    <w:rsid w:val="00222571"/>
    <w:rsid w:val="00223807"/>
    <w:rsid w:val="00226401"/>
    <w:rsid w:val="00226D66"/>
    <w:rsid w:val="0022721E"/>
    <w:rsid w:val="00227D45"/>
    <w:rsid w:val="00227DBB"/>
    <w:rsid w:val="00230B5B"/>
    <w:rsid w:val="00231CFA"/>
    <w:rsid w:val="0023205B"/>
    <w:rsid w:val="00232622"/>
    <w:rsid w:val="0023327A"/>
    <w:rsid w:val="00233B7D"/>
    <w:rsid w:val="00233D84"/>
    <w:rsid w:val="00235299"/>
    <w:rsid w:val="00235417"/>
    <w:rsid w:val="00235CA3"/>
    <w:rsid w:val="00241203"/>
    <w:rsid w:val="00242C55"/>
    <w:rsid w:val="0024369A"/>
    <w:rsid w:val="0024382E"/>
    <w:rsid w:val="0024700B"/>
    <w:rsid w:val="00250A8D"/>
    <w:rsid w:val="002512ED"/>
    <w:rsid w:val="002514D5"/>
    <w:rsid w:val="00252033"/>
    <w:rsid w:val="00252A09"/>
    <w:rsid w:val="00253B65"/>
    <w:rsid w:val="00254E98"/>
    <w:rsid w:val="00255BC3"/>
    <w:rsid w:val="00256764"/>
    <w:rsid w:val="00257070"/>
    <w:rsid w:val="00257DCA"/>
    <w:rsid w:val="00257FFC"/>
    <w:rsid w:val="00261CE3"/>
    <w:rsid w:val="002645CB"/>
    <w:rsid w:val="002645CD"/>
    <w:rsid w:val="00264A7B"/>
    <w:rsid w:val="002651C9"/>
    <w:rsid w:val="002651E8"/>
    <w:rsid w:val="00266345"/>
    <w:rsid w:val="00266473"/>
    <w:rsid w:val="00266B15"/>
    <w:rsid w:val="00266D16"/>
    <w:rsid w:val="00267412"/>
    <w:rsid w:val="00267EA1"/>
    <w:rsid w:val="0027085B"/>
    <w:rsid w:val="00270A2B"/>
    <w:rsid w:val="00270D28"/>
    <w:rsid w:val="002712C4"/>
    <w:rsid w:val="002714FD"/>
    <w:rsid w:val="00271851"/>
    <w:rsid w:val="00272017"/>
    <w:rsid w:val="002732E7"/>
    <w:rsid w:val="002733FF"/>
    <w:rsid w:val="00273A24"/>
    <w:rsid w:val="00274949"/>
    <w:rsid w:val="00276B33"/>
    <w:rsid w:val="00276C8C"/>
    <w:rsid w:val="00280874"/>
    <w:rsid w:val="002825F2"/>
    <w:rsid w:val="00282C07"/>
    <w:rsid w:val="0028330A"/>
    <w:rsid w:val="00284037"/>
    <w:rsid w:val="00285B01"/>
    <w:rsid w:val="0028601D"/>
    <w:rsid w:val="00287202"/>
    <w:rsid w:val="00287298"/>
    <w:rsid w:val="00293410"/>
    <w:rsid w:val="00293CF5"/>
    <w:rsid w:val="00296738"/>
    <w:rsid w:val="00297F91"/>
    <w:rsid w:val="002A041E"/>
    <w:rsid w:val="002A05EF"/>
    <w:rsid w:val="002A123B"/>
    <w:rsid w:val="002A3236"/>
    <w:rsid w:val="002A39E1"/>
    <w:rsid w:val="002A48BC"/>
    <w:rsid w:val="002A4B3E"/>
    <w:rsid w:val="002A56A4"/>
    <w:rsid w:val="002A7809"/>
    <w:rsid w:val="002A78A3"/>
    <w:rsid w:val="002A7F75"/>
    <w:rsid w:val="002B01CB"/>
    <w:rsid w:val="002B0A1B"/>
    <w:rsid w:val="002B0E76"/>
    <w:rsid w:val="002B16BD"/>
    <w:rsid w:val="002B1D7C"/>
    <w:rsid w:val="002B24BF"/>
    <w:rsid w:val="002B2A5E"/>
    <w:rsid w:val="002B2FD1"/>
    <w:rsid w:val="002B3396"/>
    <w:rsid w:val="002B471C"/>
    <w:rsid w:val="002B5272"/>
    <w:rsid w:val="002B624D"/>
    <w:rsid w:val="002B6863"/>
    <w:rsid w:val="002B74F5"/>
    <w:rsid w:val="002B789C"/>
    <w:rsid w:val="002B7EB8"/>
    <w:rsid w:val="002C0600"/>
    <w:rsid w:val="002C2525"/>
    <w:rsid w:val="002C2A85"/>
    <w:rsid w:val="002C2AC4"/>
    <w:rsid w:val="002C30B5"/>
    <w:rsid w:val="002C3259"/>
    <w:rsid w:val="002C3CBD"/>
    <w:rsid w:val="002C41EC"/>
    <w:rsid w:val="002C4363"/>
    <w:rsid w:val="002C48D3"/>
    <w:rsid w:val="002C4B17"/>
    <w:rsid w:val="002C5E4B"/>
    <w:rsid w:val="002C5FE7"/>
    <w:rsid w:val="002D1838"/>
    <w:rsid w:val="002D2D4A"/>
    <w:rsid w:val="002D39D7"/>
    <w:rsid w:val="002D3C8C"/>
    <w:rsid w:val="002D5A90"/>
    <w:rsid w:val="002D6221"/>
    <w:rsid w:val="002D6717"/>
    <w:rsid w:val="002D78A3"/>
    <w:rsid w:val="002E0DC0"/>
    <w:rsid w:val="002E222D"/>
    <w:rsid w:val="002E3ABC"/>
    <w:rsid w:val="002E4794"/>
    <w:rsid w:val="002E5052"/>
    <w:rsid w:val="002E53A7"/>
    <w:rsid w:val="002E59DF"/>
    <w:rsid w:val="002E7EAB"/>
    <w:rsid w:val="002F07C5"/>
    <w:rsid w:val="002F0CEE"/>
    <w:rsid w:val="002F1B6C"/>
    <w:rsid w:val="002F1B76"/>
    <w:rsid w:val="002F1C40"/>
    <w:rsid w:val="002F2D83"/>
    <w:rsid w:val="002F3AD4"/>
    <w:rsid w:val="002F50ED"/>
    <w:rsid w:val="002F5651"/>
    <w:rsid w:val="002F607F"/>
    <w:rsid w:val="002F7C75"/>
    <w:rsid w:val="00300DAD"/>
    <w:rsid w:val="003013D8"/>
    <w:rsid w:val="00301F5F"/>
    <w:rsid w:val="00303000"/>
    <w:rsid w:val="003041C3"/>
    <w:rsid w:val="0030519F"/>
    <w:rsid w:val="003055D7"/>
    <w:rsid w:val="00305AC4"/>
    <w:rsid w:val="00306FA8"/>
    <w:rsid w:val="00307CFF"/>
    <w:rsid w:val="00307F76"/>
    <w:rsid w:val="00310DB4"/>
    <w:rsid w:val="003110A0"/>
    <w:rsid w:val="003111A4"/>
    <w:rsid w:val="00312766"/>
    <w:rsid w:val="00312876"/>
    <w:rsid w:val="00312A1E"/>
    <w:rsid w:val="00312A62"/>
    <w:rsid w:val="00313408"/>
    <w:rsid w:val="00320ADF"/>
    <w:rsid w:val="00321867"/>
    <w:rsid w:val="00322891"/>
    <w:rsid w:val="003228F4"/>
    <w:rsid w:val="00323233"/>
    <w:rsid w:val="00324342"/>
    <w:rsid w:val="00324AD5"/>
    <w:rsid w:val="00324C67"/>
    <w:rsid w:val="00325A94"/>
    <w:rsid w:val="003269A6"/>
    <w:rsid w:val="00326EFF"/>
    <w:rsid w:val="0032737F"/>
    <w:rsid w:val="00327D2F"/>
    <w:rsid w:val="00330723"/>
    <w:rsid w:val="003307DC"/>
    <w:rsid w:val="003308D2"/>
    <w:rsid w:val="003310DB"/>
    <w:rsid w:val="00334556"/>
    <w:rsid w:val="003362C7"/>
    <w:rsid w:val="003363A1"/>
    <w:rsid w:val="00336AEB"/>
    <w:rsid w:val="0033788C"/>
    <w:rsid w:val="00340CE0"/>
    <w:rsid w:val="0034223A"/>
    <w:rsid w:val="003443B7"/>
    <w:rsid w:val="003449A8"/>
    <w:rsid w:val="00345142"/>
    <w:rsid w:val="0034519D"/>
    <w:rsid w:val="00345CEC"/>
    <w:rsid w:val="0034603F"/>
    <w:rsid w:val="003500AB"/>
    <w:rsid w:val="0035067F"/>
    <w:rsid w:val="003513B6"/>
    <w:rsid w:val="0035209A"/>
    <w:rsid w:val="003526C1"/>
    <w:rsid w:val="0035286E"/>
    <w:rsid w:val="00352B66"/>
    <w:rsid w:val="00353976"/>
    <w:rsid w:val="00354A87"/>
    <w:rsid w:val="00356C41"/>
    <w:rsid w:val="0035766C"/>
    <w:rsid w:val="00357A13"/>
    <w:rsid w:val="00360231"/>
    <w:rsid w:val="00362036"/>
    <w:rsid w:val="00362D88"/>
    <w:rsid w:val="003633A6"/>
    <w:rsid w:val="0036362B"/>
    <w:rsid w:val="00363A42"/>
    <w:rsid w:val="00365703"/>
    <w:rsid w:val="003658BE"/>
    <w:rsid w:val="0036617B"/>
    <w:rsid w:val="003666B7"/>
    <w:rsid w:val="00366CCE"/>
    <w:rsid w:val="003677AA"/>
    <w:rsid w:val="003709B3"/>
    <w:rsid w:val="0037149C"/>
    <w:rsid w:val="0037194F"/>
    <w:rsid w:val="003724E4"/>
    <w:rsid w:val="00372849"/>
    <w:rsid w:val="003733FA"/>
    <w:rsid w:val="0037413B"/>
    <w:rsid w:val="00374EE6"/>
    <w:rsid w:val="00375119"/>
    <w:rsid w:val="00376062"/>
    <w:rsid w:val="003762E1"/>
    <w:rsid w:val="00376E4C"/>
    <w:rsid w:val="00381999"/>
    <w:rsid w:val="00382FC7"/>
    <w:rsid w:val="003831CE"/>
    <w:rsid w:val="00383358"/>
    <w:rsid w:val="003833E6"/>
    <w:rsid w:val="003838DA"/>
    <w:rsid w:val="00384079"/>
    <w:rsid w:val="003845B5"/>
    <w:rsid w:val="00385CF1"/>
    <w:rsid w:val="00385E58"/>
    <w:rsid w:val="00385F68"/>
    <w:rsid w:val="00386027"/>
    <w:rsid w:val="00386D5E"/>
    <w:rsid w:val="003875C1"/>
    <w:rsid w:val="00387AC9"/>
    <w:rsid w:val="00387BFD"/>
    <w:rsid w:val="00392D8E"/>
    <w:rsid w:val="0039314B"/>
    <w:rsid w:val="00393894"/>
    <w:rsid w:val="00394210"/>
    <w:rsid w:val="00394384"/>
    <w:rsid w:val="00394C69"/>
    <w:rsid w:val="00394CEB"/>
    <w:rsid w:val="00396AF9"/>
    <w:rsid w:val="003A0128"/>
    <w:rsid w:val="003A02F8"/>
    <w:rsid w:val="003A1355"/>
    <w:rsid w:val="003A3384"/>
    <w:rsid w:val="003A356A"/>
    <w:rsid w:val="003A36BD"/>
    <w:rsid w:val="003A3845"/>
    <w:rsid w:val="003A3F20"/>
    <w:rsid w:val="003A4E7A"/>
    <w:rsid w:val="003A50AF"/>
    <w:rsid w:val="003A53C1"/>
    <w:rsid w:val="003A78F2"/>
    <w:rsid w:val="003A7AD3"/>
    <w:rsid w:val="003B0DAE"/>
    <w:rsid w:val="003B1FA2"/>
    <w:rsid w:val="003B20C8"/>
    <w:rsid w:val="003B214F"/>
    <w:rsid w:val="003B28E1"/>
    <w:rsid w:val="003B3E89"/>
    <w:rsid w:val="003B4750"/>
    <w:rsid w:val="003B4DF9"/>
    <w:rsid w:val="003B66B8"/>
    <w:rsid w:val="003C1604"/>
    <w:rsid w:val="003C265E"/>
    <w:rsid w:val="003C2D81"/>
    <w:rsid w:val="003C3BBB"/>
    <w:rsid w:val="003C463A"/>
    <w:rsid w:val="003C469D"/>
    <w:rsid w:val="003C5019"/>
    <w:rsid w:val="003C555E"/>
    <w:rsid w:val="003C5692"/>
    <w:rsid w:val="003C6DB0"/>
    <w:rsid w:val="003C6DE3"/>
    <w:rsid w:val="003C7B56"/>
    <w:rsid w:val="003D0519"/>
    <w:rsid w:val="003D068E"/>
    <w:rsid w:val="003D11D8"/>
    <w:rsid w:val="003D3309"/>
    <w:rsid w:val="003D5490"/>
    <w:rsid w:val="003D593D"/>
    <w:rsid w:val="003D671F"/>
    <w:rsid w:val="003D6990"/>
    <w:rsid w:val="003D6DEA"/>
    <w:rsid w:val="003D7A1E"/>
    <w:rsid w:val="003E0784"/>
    <w:rsid w:val="003E0A17"/>
    <w:rsid w:val="003E2964"/>
    <w:rsid w:val="003E2BF2"/>
    <w:rsid w:val="003E5597"/>
    <w:rsid w:val="003E5BA9"/>
    <w:rsid w:val="003E62DF"/>
    <w:rsid w:val="003E62ED"/>
    <w:rsid w:val="003E6AEA"/>
    <w:rsid w:val="003E702C"/>
    <w:rsid w:val="003F01CE"/>
    <w:rsid w:val="003F063E"/>
    <w:rsid w:val="003F06E6"/>
    <w:rsid w:val="003F0E2A"/>
    <w:rsid w:val="003F5FCB"/>
    <w:rsid w:val="003F6753"/>
    <w:rsid w:val="003F6C36"/>
    <w:rsid w:val="003F7A4B"/>
    <w:rsid w:val="004001B6"/>
    <w:rsid w:val="00400701"/>
    <w:rsid w:val="00400AF5"/>
    <w:rsid w:val="00400C74"/>
    <w:rsid w:val="0040245C"/>
    <w:rsid w:val="00402472"/>
    <w:rsid w:val="00403249"/>
    <w:rsid w:val="00405804"/>
    <w:rsid w:val="0040614A"/>
    <w:rsid w:val="00406294"/>
    <w:rsid w:val="0040647C"/>
    <w:rsid w:val="00406928"/>
    <w:rsid w:val="00406A81"/>
    <w:rsid w:val="00410712"/>
    <w:rsid w:val="00410D34"/>
    <w:rsid w:val="00410FD5"/>
    <w:rsid w:val="00412B8B"/>
    <w:rsid w:val="0041486E"/>
    <w:rsid w:val="00414FDB"/>
    <w:rsid w:val="00415675"/>
    <w:rsid w:val="00415B3C"/>
    <w:rsid w:val="00415EC4"/>
    <w:rsid w:val="00415ED7"/>
    <w:rsid w:val="00416E39"/>
    <w:rsid w:val="00417135"/>
    <w:rsid w:val="00417187"/>
    <w:rsid w:val="00417384"/>
    <w:rsid w:val="0042050F"/>
    <w:rsid w:val="0042497A"/>
    <w:rsid w:val="00425512"/>
    <w:rsid w:val="004259C1"/>
    <w:rsid w:val="004266FD"/>
    <w:rsid w:val="00426E28"/>
    <w:rsid w:val="0042750C"/>
    <w:rsid w:val="00427557"/>
    <w:rsid w:val="00427A19"/>
    <w:rsid w:val="004314C9"/>
    <w:rsid w:val="00433195"/>
    <w:rsid w:val="0043389A"/>
    <w:rsid w:val="00434BA8"/>
    <w:rsid w:val="00435D6B"/>
    <w:rsid w:val="004370DF"/>
    <w:rsid w:val="004373BC"/>
    <w:rsid w:val="00440BA7"/>
    <w:rsid w:val="00440D30"/>
    <w:rsid w:val="00441286"/>
    <w:rsid w:val="00441DFF"/>
    <w:rsid w:val="00441F5F"/>
    <w:rsid w:val="00442650"/>
    <w:rsid w:val="004428E5"/>
    <w:rsid w:val="00442948"/>
    <w:rsid w:val="00443CDE"/>
    <w:rsid w:val="00444592"/>
    <w:rsid w:val="00444A40"/>
    <w:rsid w:val="00444B55"/>
    <w:rsid w:val="00446296"/>
    <w:rsid w:val="004462A0"/>
    <w:rsid w:val="004501A0"/>
    <w:rsid w:val="004502A0"/>
    <w:rsid w:val="00451071"/>
    <w:rsid w:val="00451422"/>
    <w:rsid w:val="00451D19"/>
    <w:rsid w:val="00453C23"/>
    <w:rsid w:val="00455AC5"/>
    <w:rsid w:val="00455B8D"/>
    <w:rsid w:val="00455C2A"/>
    <w:rsid w:val="004564FA"/>
    <w:rsid w:val="004565F7"/>
    <w:rsid w:val="00456A06"/>
    <w:rsid w:val="0045751C"/>
    <w:rsid w:val="004600BC"/>
    <w:rsid w:val="00460A64"/>
    <w:rsid w:val="00460BE1"/>
    <w:rsid w:val="0046129C"/>
    <w:rsid w:val="00461A37"/>
    <w:rsid w:val="004622D9"/>
    <w:rsid w:val="00462500"/>
    <w:rsid w:val="0046299A"/>
    <w:rsid w:val="00462BD9"/>
    <w:rsid w:val="00464A61"/>
    <w:rsid w:val="00464BC1"/>
    <w:rsid w:val="00465223"/>
    <w:rsid w:val="00466C20"/>
    <w:rsid w:val="00467CE5"/>
    <w:rsid w:val="00470468"/>
    <w:rsid w:val="00470613"/>
    <w:rsid w:val="004707CE"/>
    <w:rsid w:val="00471103"/>
    <w:rsid w:val="0047161C"/>
    <w:rsid w:val="00471E47"/>
    <w:rsid w:val="00471EB7"/>
    <w:rsid w:val="00471FC5"/>
    <w:rsid w:val="0047316D"/>
    <w:rsid w:val="004749BA"/>
    <w:rsid w:val="00474C15"/>
    <w:rsid w:val="004760B7"/>
    <w:rsid w:val="00476FBE"/>
    <w:rsid w:val="0047777F"/>
    <w:rsid w:val="004777B8"/>
    <w:rsid w:val="004778BE"/>
    <w:rsid w:val="0048032E"/>
    <w:rsid w:val="004803EB"/>
    <w:rsid w:val="00480590"/>
    <w:rsid w:val="00480696"/>
    <w:rsid w:val="00480EE5"/>
    <w:rsid w:val="00481DF6"/>
    <w:rsid w:val="00482D13"/>
    <w:rsid w:val="00483865"/>
    <w:rsid w:val="00484369"/>
    <w:rsid w:val="00484D29"/>
    <w:rsid w:val="00484E78"/>
    <w:rsid w:val="004850B5"/>
    <w:rsid w:val="00485401"/>
    <w:rsid w:val="004864F7"/>
    <w:rsid w:val="00486E89"/>
    <w:rsid w:val="00487794"/>
    <w:rsid w:val="00487CCF"/>
    <w:rsid w:val="00487DD6"/>
    <w:rsid w:val="00487DED"/>
    <w:rsid w:val="004904FC"/>
    <w:rsid w:val="004906A0"/>
    <w:rsid w:val="00491878"/>
    <w:rsid w:val="00491AEB"/>
    <w:rsid w:val="00493085"/>
    <w:rsid w:val="004933CE"/>
    <w:rsid w:val="00494AE2"/>
    <w:rsid w:val="00494FB4"/>
    <w:rsid w:val="004953CE"/>
    <w:rsid w:val="0049554A"/>
    <w:rsid w:val="00495578"/>
    <w:rsid w:val="00496600"/>
    <w:rsid w:val="00496752"/>
    <w:rsid w:val="0049764D"/>
    <w:rsid w:val="004A02A7"/>
    <w:rsid w:val="004A0650"/>
    <w:rsid w:val="004A06EC"/>
    <w:rsid w:val="004A0DB9"/>
    <w:rsid w:val="004A1188"/>
    <w:rsid w:val="004A120D"/>
    <w:rsid w:val="004A1764"/>
    <w:rsid w:val="004A1784"/>
    <w:rsid w:val="004A20C0"/>
    <w:rsid w:val="004A25BC"/>
    <w:rsid w:val="004A340F"/>
    <w:rsid w:val="004A3A39"/>
    <w:rsid w:val="004A48BC"/>
    <w:rsid w:val="004A4F2B"/>
    <w:rsid w:val="004A57F8"/>
    <w:rsid w:val="004A60FF"/>
    <w:rsid w:val="004B06A0"/>
    <w:rsid w:val="004B2158"/>
    <w:rsid w:val="004B2188"/>
    <w:rsid w:val="004B4095"/>
    <w:rsid w:val="004B5C7D"/>
    <w:rsid w:val="004B650F"/>
    <w:rsid w:val="004B66C2"/>
    <w:rsid w:val="004B6E59"/>
    <w:rsid w:val="004B7E8C"/>
    <w:rsid w:val="004C1201"/>
    <w:rsid w:val="004C1C60"/>
    <w:rsid w:val="004C2201"/>
    <w:rsid w:val="004C4882"/>
    <w:rsid w:val="004C4F68"/>
    <w:rsid w:val="004C5064"/>
    <w:rsid w:val="004C54E4"/>
    <w:rsid w:val="004C61DD"/>
    <w:rsid w:val="004C6B83"/>
    <w:rsid w:val="004C704B"/>
    <w:rsid w:val="004C7780"/>
    <w:rsid w:val="004D07E2"/>
    <w:rsid w:val="004D0BB7"/>
    <w:rsid w:val="004D1208"/>
    <w:rsid w:val="004D133A"/>
    <w:rsid w:val="004D1604"/>
    <w:rsid w:val="004D16A4"/>
    <w:rsid w:val="004D2B4D"/>
    <w:rsid w:val="004D3739"/>
    <w:rsid w:val="004D6BFB"/>
    <w:rsid w:val="004D6CE4"/>
    <w:rsid w:val="004D6E28"/>
    <w:rsid w:val="004D7860"/>
    <w:rsid w:val="004E1897"/>
    <w:rsid w:val="004E2CFF"/>
    <w:rsid w:val="004E4C15"/>
    <w:rsid w:val="004E4E3A"/>
    <w:rsid w:val="004E51ED"/>
    <w:rsid w:val="004E59C2"/>
    <w:rsid w:val="004E5CBE"/>
    <w:rsid w:val="004E63E7"/>
    <w:rsid w:val="004F158F"/>
    <w:rsid w:val="004F2C0A"/>
    <w:rsid w:val="004F34EA"/>
    <w:rsid w:val="004F3B75"/>
    <w:rsid w:val="004F4332"/>
    <w:rsid w:val="004F44AA"/>
    <w:rsid w:val="004F4758"/>
    <w:rsid w:val="004F675F"/>
    <w:rsid w:val="004F6808"/>
    <w:rsid w:val="004F6D6C"/>
    <w:rsid w:val="004F7CC9"/>
    <w:rsid w:val="00501330"/>
    <w:rsid w:val="005013EF"/>
    <w:rsid w:val="00502F29"/>
    <w:rsid w:val="00503329"/>
    <w:rsid w:val="00503579"/>
    <w:rsid w:val="005038F6"/>
    <w:rsid w:val="00503AE5"/>
    <w:rsid w:val="00506802"/>
    <w:rsid w:val="00507589"/>
    <w:rsid w:val="00510A59"/>
    <w:rsid w:val="00510B46"/>
    <w:rsid w:val="00511FDA"/>
    <w:rsid w:val="00514049"/>
    <w:rsid w:val="00514647"/>
    <w:rsid w:val="00515178"/>
    <w:rsid w:val="00515BEC"/>
    <w:rsid w:val="00515D91"/>
    <w:rsid w:val="00516A7B"/>
    <w:rsid w:val="005172AD"/>
    <w:rsid w:val="00520D84"/>
    <w:rsid w:val="0052248D"/>
    <w:rsid w:val="00523493"/>
    <w:rsid w:val="00524429"/>
    <w:rsid w:val="00524ED0"/>
    <w:rsid w:val="00525201"/>
    <w:rsid w:val="00527302"/>
    <w:rsid w:val="00527641"/>
    <w:rsid w:val="00527976"/>
    <w:rsid w:val="00527A0A"/>
    <w:rsid w:val="0053033E"/>
    <w:rsid w:val="0053170D"/>
    <w:rsid w:val="00531757"/>
    <w:rsid w:val="00531C22"/>
    <w:rsid w:val="00531C7C"/>
    <w:rsid w:val="005330BF"/>
    <w:rsid w:val="00533337"/>
    <w:rsid w:val="005339F5"/>
    <w:rsid w:val="005345A3"/>
    <w:rsid w:val="005347D2"/>
    <w:rsid w:val="00534B1E"/>
    <w:rsid w:val="00534DFC"/>
    <w:rsid w:val="00535C9A"/>
    <w:rsid w:val="00535CE7"/>
    <w:rsid w:val="0053754F"/>
    <w:rsid w:val="00537EF2"/>
    <w:rsid w:val="00545355"/>
    <w:rsid w:val="0054624C"/>
    <w:rsid w:val="005462EB"/>
    <w:rsid w:val="0054640E"/>
    <w:rsid w:val="0054644A"/>
    <w:rsid w:val="00546611"/>
    <w:rsid w:val="00546F92"/>
    <w:rsid w:val="00552CA5"/>
    <w:rsid w:val="00552DE2"/>
    <w:rsid w:val="00555184"/>
    <w:rsid w:val="00555287"/>
    <w:rsid w:val="00555533"/>
    <w:rsid w:val="00555736"/>
    <w:rsid w:val="00555BE8"/>
    <w:rsid w:val="005573E0"/>
    <w:rsid w:val="00557BF5"/>
    <w:rsid w:val="00560B73"/>
    <w:rsid w:val="00560E81"/>
    <w:rsid w:val="005619B0"/>
    <w:rsid w:val="00561D84"/>
    <w:rsid w:val="00561EB1"/>
    <w:rsid w:val="005623DD"/>
    <w:rsid w:val="005624E5"/>
    <w:rsid w:val="00562B32"/>
    <w:rsid w:val="0056302F"/>
    <w:rsid w:val="005630D8"/>
    <w:rsid w:val="005643E7"/>
    <w:rsid w:val="00564C28"/>
    <w:rsid w:val="00564C5F"/>
    <w:rsid w:val="005652BB"/>
    <w:rsid w:val="005652CA"/>
    <w:rsid w:val="00566CDC"/>
    <w:rsid w:val="00567457"/>
    <w:rsid w:val="005679D0"/>
    <w:rsid w:val="0057020A"/>
    <w:rsid w:val="00570C21"/>
    <w:rsid w:val="00571450"/>
    <w:rsid w:val="0057153F"/>
    <w:rsid w:val="0057257C"/>
    <w:rsid w:val="00572931"/>
    <w:rsid w:val="00573E08"/>
    <w:rsid w:val="005744EE"/>
    <w:rsid w:val="0057488D"/>
    <w:rsid w:val="005749DF"/>
    <w:rsid w:val="00574B6B"/>
    <w:rsid w:val="00574F09"/>
    <w:rsid w:val="0057560E"/>
    <w:rsid w:val="005764D1"/>
    <w:rsid w:val="0057668E"/>
    <w:rsid w:val="00576DE4"/>
    <w:rsid w:val="00577A8B"/>
    <w:rsid w:val="00580092"/>
    <w:rsid w:val="00581E11"/>
    <w:rsid w:val="00582EAB"/>
    <w:rsid w:val="00583165"/>
    <w:rsid w:val="00584743"/>
    <w:rsid w:val="00584A81"/>
    <w:rsid w:val="00585445"/>
    <w:rsid w:val="005864F7"/>
    <w:rsid w:val="00586AFA"/>
    <w:rsid w:val="00587506"/>
    <w:rsid w:val="005879F4"/>
    <w:rsid w:val="00587AEB"/>
    <w:rsid w:val="00587E55"/>
    <w:rsid w:val="005905E5"/>
    <w:rsid w:val="00590D32"/>
    <w:rsid w:val="00592627"/>
    <w:rsid w:val="005935F9"/>
    <w:rsid w:val="00594378"/>
    <w:rsid w:val="0059444F"/>
    <w:rsid w:val="0059476A"/>
    <w:rsid w:val="0059748A"/>
    <w:rsid w:val="0059771D"/>
    <w:rsid w:val="00597FD4"/>
    <w:rsid w:val="005A0522"/>
    <w:rsid w:val="005A0A3D"/>
    <w:rsid w:val="005A164E"/>
    <w:rsid w:val="005A17A2"/>
    <w:rsid w:val="005A18EC"/>
    <w:rsid w:val="005A2008"/>
    <w:rsid w:val="005A2AC4"/>
    <w:rsid w:val="005A2E1B"/>
    <w:rsid w:val="005A319D"/>
    <w:rsid w:val="005A345F"/>
    <w:rsid w:val="005A3938"/>
    <w:rsid w:val="005A52CD"/>
    <w:rsid w:val="005A5712"/>
    <w:rsid w:val="005A5B35"/>
    <w:rsid w:val="005A6444"/>
    <w:rsid w:val="005A6DE8"/>
    <w:rsid w:val="005A791C"/>
    <w:rsid w:val="005A7CCA"/>
    <w:rsid w:val="005A7E8F"/>
    <w:rsid w:val="005B13C9"/>
    <w:rsid w:val="005B14E3"/>
    <w:rsid w:val="005B1EA2"/>
    <w:rsid w:val="005B1F5A"/>
    <w:rsid w:val="005B26A5"/>
    <w:rsid w:val="005B26E9"/>
    <w:rsid w:val="005B2797"/>
    <w:rsid w:val="005B3800"/>
    <w:rsid w:val="005B381E"/>
    <w:rsid w:val="005B53E6"/>
    <w:rsid w:val="005B609C"/>
    <w:rsid w:val="005B789B"/>
    <w:rsid w:val="005C005E"/>
    <w:rsid w:val="005C04D4"/>
    <w:rsid w:val="005C08E9"/>
    <w:rsid w:val="005C0CDB"/>
    <w:rsid w:val="005C112E"/>
    <w:rsid w:val="005C1253"/>
    <w:rsid w:val="005C12DD"/>
    <w:rsid w:val="005C2115"/>
    <w:rsid w:val="005C245C"/>
    <w:rsid w:val="005C416A"/>
    <w:rsid w:val="005C43DE"/>
    <w:rsid w:val="005C4452"/>
    <w:rsid w:val="005C5245"/>
    <w:rsid w:val="005C53A6"/>
    <w:rsid w:val="005C5E5C"/>
    <w:rsid w:val="005C63B7"/>
    <w:rsid w:val="005C6639"/>
    <w:rsid w:val="005C67FD"/>
    <w:rsid w:val="005C689E"/>
    <w:rsid w:val="005C6D7B"/>
    <w:rsid w:val="005D01E8"/>
    <w:rsid w:val="005D143F"/>
    <w:rsid w:val="005D1660"/>
    <w:rsid w:val="005D25DB"/>
    <w:rsid w:val="005D27E2"/>
    <w:rsid w:val="005D2EAB"/>
    <w:rsid w:val="005D36BF"/>
    <w:rsid w:val="005D40EB"/>
    <w:rsid w:val="005D4113"/>
    <w:rsid w:val="005D448E"/>
    <w:rsid w:val="005D47D0"/>
    <w:rsid w:val="005D6978"/>
    <w:rsid w:val="005D79D8"/>
    <w:rsid w:val="005D7D4D"/>
    <w:rsid w:val="005E006C"/>
    <w:rsid w:val="005E176D"/>
    <w:rsid w:val="005E3992"/>
    <w:rsid w:val="005E4268"/>
    <w:rsid w:val="005E56E1"/>
    <w:rsid w:val="005E60A9"/>
    <w:rsid w:val="005E63E0"/>
    <w:rsid w:val="005E664E"/>
    <w:rsid w:val="005E6984"/>
    <w:rsid w:val="005E7792"/>
    <w:rsid w:val="005E77E6"/>
    <w:rsid w:val="005E7D90"/>
    <w:rsid w:val="005F02A1"/>
    <w:rsid w:val="005F0FAE"/>
    <w:rsid w:val="005F1000"/>
    <w:rsid w:val="005F11E0"/>
    <w:rsid w:val="005F2174"/>
    <w:rsid w:val="005F2B22"/>
    <w:rsid w:val="005F3607"/>
    <w:rsid w:val="005F3F8E"/>
    <w:rsid w:val="005F4C09"/>
    <w:rsid w:val="005F4CB1"/>
    <w:rsid w:val="005F57CE"/>
    <w:rsid w:val="005F61BA"/>
    <w:rsid w:val="005F73A1"/>
    <w:rsid w:val="005F7E39"/>
    <w:rsid w:val="00600EB2"/>
    <w:rsid w:val="00601BE1"/>
    <w:rsid w:val="00601C80"/>
    <w:rsid w:val="00602100"/>
    <w:rsid w:val="0060264F"/>
    <w:rsid w:val="00602FC9"/>
    <w:rsid w:val="00604B6A"/>
    <w:rsid w:val="006057DE"/>
    <w:rsid w:val="006063EB"/>
    <w:rsid w:val="00606431"/>
    <w:rsid w:val="0060708C"/>
    <w:rsid w:val="0060755F"/>
    <w:rsid w:val="006076A0"/>
    <w:rsid w:val="00607C32"/>
    <w:rsid w:val="00607EB9"/>
    <w:rsid w:val="00610B42"/>
    <w:rsid w:val="0061141A"/>
    <w:rsid w:val="006118F1"/>
    <w:rsid w:val="006121AF"/>
    <w:rsid w:val="00613012"/>
    <w:rsid w:val="006134C7"/>
    <w:rsid w:val="006134CC"/>
    <w:rsid w:val="0061502B"/>
    <w:rsid w:val="0061517B"/>
    <w:rsid w:val="0061535E"/>
    <w:rsid w:val="00615B34"/>
    <w:rsid w:val="00615E19"/>
    <w:rsid w:val="00616EB7"/>
    <w:rsid w:val="006206BB"/>
    <w:rsid w:val="0062153A"/>
    <w:rsid w:val="006235B5"/>
    <w:rsid w:val="00623C05"/>
    <w:rsid w:val="00624168"/>
    <w:rsid w:val="00624551"/>
    <w:rsid w:val="0062604C"/>
    <w:rsid w:val="00627918"/>
    <w:rsid w:val="00627972"/>
    <w:rsid w:val="006300F8"/>
    <w:rsid w:val="00630382"/>
    <w:rsid w:val="006317FE"/>
    <w:rsid w:val="006321F4"/>
    <w:rsid w:val="00632307"/>
    <w:rsid w:val="00633F5D"/>
    <w:rsid w:val="0063462F"/>
    <w:rsid w:val="006347B7"/>
    <w:rsid w:val="00634C56"/>
    <w:rsid w:val="00634CE3"/>
    <w:rsid w:val="006350B4"/>
    <w:rsid w:val="00636F5C"/>
    <w:rsid w:val="00636F97"/>
    <w:rsid w:val="0063710F"/>
    <w:rsid w:val="00637126"/>
    <w:rsid w:val="0063797E"/>
    <w:rsid w:val="00637ACA"/>
    <w:rsid w:val="006407BE"/>
    <w:rsid w:val="006411DE"/>
    <w:rsid w:val="00641280"/>
    <w:rsid w:val="00641ED7"/>
    <w:rsid w:val="00642BD9"/>
    <w:rsid w:val="00642DFE"/>
    <w:rsid w:val="00644EEB"/>
    <w:rsid w:val="006464C0"/>
    <w:rsid w:val="00646AE8"/>
    <w:rsid w:val="00647E83"/>
    <w:rsid w:val="00647EF7"/>
    <w:rsid w:val="00650276"/>
    <w:rsid w:val="0065050B"/>
    <w:rsid w:val="006506CF"/>
    <w:rsid w:val="0065075D"/>
    <w:rsid w:val="006513F6"/>
    <w:rsid w:val="00653974"/>
    <w:rsid w:val="00653D18"/>
    <w:rsid w:val="00654261"/>
    <w:rsid w:val="00654B46"/>
    <w:rsid w:val="00655FF1"/>
    <w:rsid w:val="006564EE"/>
    <w:rsid w:val="0065731C"/>
    <w:rsid w:val="00657464"/>
    <w:rsid w:val="006579CB"/>
    <w:rsid w:val="00657C53"/>
    <w:rsid w:val="00661420"/>
    <w:rsid w:val="00662900"/>
    <w:rsid w:val="00662DDD"/>
    <w:rsid w:val="00666088"/>
    <w:rsid w:val="0066686E"/>
    <w:rsid w:val="0067286F"/>
    <w:rsid w:val="00673AC5"/>
    <w:rsid w:val="00674841"/>
    <w:rsid w:val="00674E1B"/>
    <w:rsid w:val="00675313"/>
    <w:rsid w:val="00675540"/>
    <w:rsid w:val="00675B58"/>
    <w:rsid w:val="00676E17"/>
    <w:rsid w:val="00677464"/>
    <w:rsid w:val="0067746B"/>
    <w:rsid w:val="00680665"/>
    <w:rsid w:val="006819AE"/>
    <w:rsid w:val="006827AB"/>
    <w:rsid w:val="006842A7"/>
    <w:rsid w:val="006850B2"/>
    <w:rsid w:val="006852FE"/>
    <w:rsid w:val="00685378"/>
    <w:rsid w:val="0068649C"/>
    <w:rsid w:val="006867A5"/>
    <w:rsid w:val="0068686E"/>
    <w:rsid w:val="00686976"/>
    <w:rsid w:val="00687482"/>
    <w:rsid w:val="00687A76"/>
    <w:rsid w:val="0069021B"/>
    <w:rsid w:val="00690633"/>
    <w:rsid w:val="00690B9A"/>
    <w:rsid w:val="006936D9"/>
    <w:rsid w:val="006943D5"/>
    <w:rsid w:val="00694993"/>
    <w:rsid w:val="006959AE"/>
    <w:rsid w:val="006960CA"/>
    <w:rsid w:val="00696530"/>
    <w:rsid w:val="00696938"/>
    <w:rsid w:val="00697B36"/>
    <w:rsid w:val="006A0AC4"/>
    <w:rsid w:val="006A1F86"/>
    <w:rsid w:val="006A2D98"/>
    <w:rsid w:val="006A2EDE"/>
    <w:rsid w:val="006A3820"/>
    <w:rsid w:val="006A3860"/>
    <w:rsid w:val="006A4AB2"/>
    <w:rsid w:val="006A5E96"/>
    <w:rsid w:val="006A6224"/>
    <w:rsid w:val="006A7346"/>
    <w:rsid w:val="006A7DB7"/>
    <w:rsid w:val="006B0457"/>
    <w:rsid w:val="006B19B0"/>
    <w:rsid w:val="006B2010"/>
    <w:rsid w:val="006B2171"/>
    <w:rsid w:val="006B21BA"/>
    <w:rsid w:val="006B32C7"/>
    <w:rsid w:val="006B35C4"/>
    <w:rsid w:val="006B37F1"/>
    <w:rsid w:val="006B3AEA"/>
    <w:rsid w:val="006B3D3B"/>
    <w:rsid w:val="006B451C"/>
    <w:rsid w:val="006B4525"/>
    <w:rsid w:val="006B455A"/>
    <w:rsid w:val="006B45F2"/>
    <w:rsid w:val="006B5FED"/>
    <w:rsid w:val="006B633A"/>
    <w:rsid w:val="006B67D1"/>
    <w:rsid w:val="006B7590"/>
    <w:rsid w:val="006B7C05"/>
    <w:rsid w:val="006B7CD6"/>
    <w:rsid w:val="006B7E2B"/>
    <w:rsid w:val="006C0906"/>
    <w:rsid w:val="006C0B33"/>
    <w:rsid w:val="006C0EBE"/>
    <w:rsid w:val="006C1D6B"/>
    <w:rsid w:val="006C217E"/>
    <w:rsid w:val="006C2554"/>
    <w:rsid w:val="006C263E"/>
    <w:rsid w:val="006C2BC1"/>
    <w:rsid w:val="006C3142"/>
    <w:rsid w:val="006C3B3F"/>
    <w:rsid w:val="006C3F4C"/>
    <w:rsid w:val="006C4A93"/>
    <w:rsid w:val="006D05FA"/>
    <w:rsid w:val="006D069C"/>
    <w:rsid w:val="006D06AB"/>
    <w:rsid w:val="006D11D5"/>
    <w:rsid w:val="006D1D24"/>
    <w:rsid w:val="006D1F22"/>
    <w:rsid w:val="006D1F95"/>
    <w:rsid w:val="006D24F3"/>
    <w:rsid w:val="006D2E90"/>
    <w:rsid w:val="006D353F"/>
    <w:rsid w:val="006D6727"/>
    <w:rsid w:val="006D6AB7"/>
    <w:rsid w:val="006D6CEB"/>
    <w:rsid w:val="006E1EBF"/>
    <w:rsid w:val="006E33DB"/>
    <w:rsid w:val="006E41DA"/>
    <w:rsid w:val="006E55EA"/>
    <w:rsid w:val="006E59B2"/>
    <w:rsid w:val="006E608B"/>
    <w:rsid w:val="006E7E52"/>
    <w:rsid w:val="006F0206"/>
    <w:rsid w:val="006F057B"/>
    <w:rsid w:val="006F1262"/>
    <w:rsid w:val="006F178C"/>
    <w:rsid w:val="006F2AB9"/>
    <w:rsid w:val="006F3062"/>
    <w:rsid w:val="006F3820"/>
    <w:rsid w:val="006F40EC"/>
    <w:rsid w:val="006F46CD"/>
    <w:rsid w:val="006F4CFF"/>
    <w:rsid w:val="006F5037"/>
    <w:rsid w:val="006F5460"/>
    <w:rsid w:val="006F5677"/>
    <w:rsid w:val="0070021D"/>
    <w:rsid w:val="007005B5"/>
    <w:rsid w:val="0070140A"/>
    <w:rsid w:val="00701501"/>
    <w:rsid w:val="00703BE2"/>
    <w:rsid w:val="00704441"/>
    <w:rsid w:val="007052B7"/>
    <w:rsid w:val="00706542"/>
    <w:rsid w:val="00707259"/>
    <w:rsid w:val="00707AAD"/>
    <w:rsid w:val="00707B50"/>
    <w:rsid w:val="00711BCA"/>
    <w:rsid w:val="00711C2B"/>
    <w:rsid w:val="0071256C"/>
    <w:rsid w:val="007125A3"/>
    <w:rsid w:val="00713E53"/>
    <w:rsid w:val="007151A5"/>
    <w:rsid w:val="00716AB5"/>
    <w:rsid w:val="00716C4C"/>
    <w:rsid w:val="00717239"/>
    <w:rsid w:val="00717BA5"/>
    <w:rsid w:val="00717EFF"/>
    <w:rsid w:val="007203EC"/>
    <w:rsid w:val="00720808"/>
    <w:rsid w:val="007208E5"/>
    <w:rsid w:val="00720DFD"/>
    <w:rsid w:val="007210FE"/>
    <w:rsid w:val="007215AC"/>
    <w:rsid w:val="00723490"/>
    <w:rsid w:val="00723896"/>
    <w:rsid w:val="007264AA"/>
    <w:rsid w:val="007275A7"/>
    <w:rsid w:val="00727E45"/>
    <w:rsid w:val="0073029B"/>
    <w:rsid w:val="0073040C"/>
    <w:rsid w:val="007307D1"/>
    <w:rsid w:val="0073128F"/>
    <w:rsid w:val="00731E85"/>
    <w:rsid w:val="00731F50"/>
    <w:rsid w:val="007336BF"/>
    <w:rsid w:val="0073388D"/>
    <w:rsid w:val="00734235"/>
    <w:rsid w:val="0073436F"/>
    <w:rsid w:val="007347EB"/>
    <w:rsid w:val="0073510D"/>
    <w:rsid w:val="00735646"/>
    <w:rsid w:val="00735754"/>
    <w:rsid w:val="00736237"/>
    <w:rsid w:val="00737FD1"/>
    <w:rsid w:val="0074033B"/>
    <w:rsid w:val="0074075C"/>
    <w:rsid w:val="00741180"/>
    <w:rsid w:val="007416A0"/>
    <w:rsid w:val="007416D8"/>
    <w:rsid w:val="00742388"/>
    <w:rsid w:val="0074398E"/>
    <w:rsid w:val="00745217"/>
    <w:rsid w:val="007452C5"/>
    <w:rsid w:val="00747231"/>
    <w:rsid w:val="007511BF"/>
    <w:rsid w:val="00751768"/>
    <w:rsid w:val="00753901"/>
    <w:rsid w:val="007540E3"/>
    <w:rsid w:val="0075420E"/>
    <w:rsid w:val="00754507"/>
    <w:rsid w:val="0075737C"/>
    <w:rsid w:val="0075F636"/>
    <w:rsid w:val="007613E2"/>
    <w:rsid w:val="0076147D"/>
    <w:rsid w:val="007628E9"/>
    <w:rsid w:val="0076292E"/>
    <w:rsid w:val="00763692"/>
    <w:rsid w:val="0076550C"/>
    <w:rsid w:val="00765B3C"/>
    <w:rsid w:val="00765E57"/>
    <w:rsid w:val="00767DD9"/>
    <w:rsid w:val="00767FDB"/>
    <w:rsid w:val="00770E6B"/>
    <w:rsid w:val="007726AA"/>
    <w:rsid w:val="00772FB9"/>
    <w:rsid w:val="00773DB3"/>
    <w:rsid w:val="00773F86"/>
    <w:rsid w:val="00774781"/>
    <w:rsid w:val="007755A9"/>
    <w:rsid w:val="007764F1"/>
    <w:rsid w:val="007800E2"/>
    <w:rsid w:val="00780987"/>
    <w:rsid w:val="00781B8F"/>
    <w:rsid w:val="007820AB"/>
    <w:rsid w:val="00782CB4"/>
    <w:rsid w:val="00782E82"/>
    <w:rsid w:val="00782F61"/>
    <w:rsid w:val="00784211"/>
    <w:rsid w:val="00784445"/>
    <w:rsid w:val="00784BF2"/>
    <w:rsid w:val="00785C37"/>
    <w:rsid w:val="00785D5F"/>
    <w:rsid w:val="007903E7"/>
    <w:rsid w:val="00790B46"/>
    <w:rsid w:val="00791077"/>
    <w:rsid w:val="007926DB"/>
    <w:rsid w:val="00792805"/>
    <w:rsid w:val="00793159"/>
    <w:rsid w:val="007936C7"/>
    <w:rsid w:val="007942B6"/>
    <w:rsid w:val="007945B1"/>
    <w:rsid w:val="00796DAF"/>
    <w:rsid w:val="007973A7"/>
    <w:rsid w:val="007A086E"/>
    <w:rsid w:val="007A0F44"/>
    <w:rsid w:val="007A10B4"/>
    <w:rsid w:val="007A1F38"/>
    <w:rsid w:val="007A1FBC"/>
    <w:rsid w:val="007A21EB"/>
    <w:rsid w:val="007A23DB"/>
    <w:rsid w:val="007A2CF2"/>
    <w:rsid w:val="007A30E9"/>
    <w:rsid w:val="007A4BE3"/>
    <w:rsid w:val="007A5B3A"/>
    <w:rsid w:val="007A6605"/>
    <w:rsid w:val="007A6625"/>
    <w:rsid w:val="007A6B94"/>
    <w:rsid w:val="007A6CC2"/>
    <w:rsid w:val="007A7B02"/>
    <w:rsid w:val="007A7D44"/>
    <w:rsid w:val="007A7F8A"/>
    <w:rsid w:val="007B1405"/>
    <w:rsid w:val="007B1B2D"/>
    <w:rsid w:val="007B2C20"/>
    <w:rsid w:val="007B3572"/>
    <w:rsid w:val="007B4D81"/>
    <w:rsid w:val="007B4E8E"/>
    <w:rsid w:val="007B57E3"/>
    <w:rsid w:val="007B62CE"/>
    <w:rsid w:val="007B6349"/>
    <w:rsid w:val="007B6511"/>
    <w:rsid w:val="007B74A9"/>
    <w:rsid w:val="007B77B2"/>
    <w:rsid w:val="007C019E"/>
    <w:rsid w:val="007C023B"/>
    <w:rsid w:val="007C10E3"/>
    <w:rsid w:val="007C1628"/>
    <w:rsid w:val="007C36F1"/>
    <w:rsid w:val="007C5015"/>
    <w:rsid w:val="007C5038"/>
    <w:rsid w:val="007C53CA"/>
    <w:rsid w:val="007C5CC7"/>
    <w:rsid w:val="007C76B9"/>
    <w:rsid w:val="007C7E22"/>
    <w:rsid w:val="007D0F87"/>
    <w:rsid w:val="007D1255"/>
    <w:rsid w:val="007D1B16"/>
    <w:rsid w:val="007D2425"/>
    <w:rsid w:val="007D25B8"/>
    <w:rsid w:val="007D2C5D"/>
    <w:rsid w:val="007D2DF8"/>
    <w:rsid w:val="007D362E"/>
    <w:rsid w:val="007D6A99"/>
    <w:rsid w:val="007D6ACF"/>
    <w:rsid w:val="007D6CD6"/>
    <w:rsid w:val="007D6CFC"/>
    <w:rsid w:val="007D707F"/>
    <w:rsid w:val="007D7EA2"/>
    <w:rsid w:val="007D7FDC"/>
    <w:rsid w:val="007E0DE2"/>
    <w:rsid w:val="007E11E8"/>
    <w:rsid w:val="007E15EB"/>
    <w:rsid w:val="007E1997"/>
    <w:rsid w:val="007E1B8F"/>
    <w:rsid w:val="007E25C1"/>
    <w:rsid w:val="007E3597"/>
    <w:rsid w:val="007E3910"/>
    <w:rsid w:val="007E3E5A"/>
    <w:rsid w:val="007E4190"/>
    <w:rsid w:val="007E4D65"/>
    <w:rsid w:val="007E6935"/>
    <w:rsid w:val="007F0F80"/>
    <w:rsid w:val="007F170A"/>
    <w:rsid w:val="007F2261"/>
    <w:rsid w:val="007F2B25"/>
    <w:rsid w:val="007F369F"/>
    <w:rsid w:val="007F3925"/>
    <w:rsid w:val="007F3B22"/>
    <w:rsid w:val="007F3F41"/>
    <w:rsid w:val="007F4032"/>
    <w:rsid w:val="007F477D"/>
    <w:rsid w:val="007F4856"/>
    <w:rsid w:val="007F5547"/>
    <w:rsid w:val="007F6A8B"/>
    <w:rsid w:val="0080327D"/>
    <w:rsid w:val="008040B2"/>
    <w:rsid w:val="00804132"/>
    <w:rsid w:val="00804CD3"/>
    <w:rsid w:val="00807804"/>
    <w:rsid w:val="008101BF"/>
    <w:rsid w:val="00810E26"/>
    <w:rsid w:val="00811E98"/>
    <w:rsid w:val="008130F6"/>
    <w:rsid w:val="00813A60"/>
    <w:rsid w:val="00813AA4"/>
    <w:rsid w:val="008144DE"/>
    <w:rsid w:val="0081474D"/>
    <w:rsid w:val="008154B8"/>
    <w:rsid w:val="00816014"/>
    <w:rsid w:val="0081717B"/>
    <w:rsid w:val="00820932"/>
    <w:rsid w:val="00822C92"/>
    <w:rsid w:val="00823B7C"/>
    <w:rsid w:val="0082492B"/>
    <w:rsid w:val="008256DE"/>
    <w:rsid w:val="0082692C"/>
    <w:rsid w:val="00827EDA"/>
    <w:rsid w:val="00830004"/>
    <w:rsid w:val="00830472"/>
    <w:rsid w:val="00830863"/>
    <w:rsid w:val="008316E0"/>
    <w:rsid w:val="008319AF"/>
    <w:rsid w:val="00831E27"/>
    <w:rsid w:val="00832FF0"/>
    <w:rsid w:val="00833365"/>
    <w:rsid w:val="00833531"/>
    <w:rsid w:val="008345BC"/>
    <w:rsid w:val="00835B2D"/>
    <w:rsid w:val="00836107"/>
    <w:rsid w:val="00836560"/>
    <w:rsid w:val="00837319"/>
    <w:rsid w:val="00837555"/>
    <w:rsid w:val="008412F4"/>
    <w:rsid w:val="00842C20"/>
    <w:rsid w:val="00842F51"/>
    <w:rsid w:val="00844EAB"/>
    <w:rsid w:val="0084527E"/>
    <w:rsid w:val="00845620"/>
    <w:rsid w:val="008463F5"/>
    <w:rsid w:val="00847343"/>
    <w:rsid w:val="0085038C"/>
    <w:rsid w:val="00850637"/>
    <w:rsid w:val="00852052"/>
    <w:rsid w:val="00852A52"/>
    <w:rsid w:val="00853900"/>
    <w:rsid w:val="00853F21"/>
    <w:rsid w:val="008545D9"/>
    <w:rsid w:val="00854BA9"/>
    <w:rsid w:val="00856A1B"/>
    <w:rsid w:val="00857969"/>
    <w:rsid w:val="008603B2"/>
    <w:rsid w:val="008619FF"/>
    <w:rsid w:val="00861CAE"/>
    <w:rsid w:val="008629AF"/>
    <w:rsid w:val="00863089"/>
    <w:rsid w:val="008635F8"/>
    <w:rsid w:val="00863651"/>
    <w:rsid w:val="008638F2"/>
    <w:rsid w:val="008638FD"/>
    <w:rsid w:val="0086395C"/>
    <w:rsid w:val="00866332"/>
    <w:rsid w:val="00866CC4"/>
    <w:rsid w:val="00870F70"/>
    <w:rsid w:val="00872CB8"/>
    <w:rsid w:val="0087306B"/>
    <w:rsid w:val="00873A7E"/>
    <w:rsid w:val="008765B6"/>
    <w:rsid w:val="00876DFA"/>
    <w:rsid w:val="008774AA"/>
    <w:rsid w:val="00877E10"/>
    <w:rsid w:val="00880C7F"/>
    <w:rsid w:val="00881488"/>
    <w:rsid w:val="008814F6"/>
    <w:rsid w:val="008818D7"/>
    <w:rsid w:val="00882B75"/>
    <w:rsid w:val="00883683"/>
    <w:rsid w:val="00883A11"/>
    <w:rsid w:val="00883B4B"/>
    <w:rsid w:val="00884B3D"/>
    <w:rsid w:val="008905AF"/>
    <w:rsid w:val="008921B4"/>
    <w:rsid w:val="008926D2"/>
    <w:rsid w:val="00893139"/>
    <w:rsid w:val="00893880"/>
    <w:rsid w:val="00894B58"/>
    <w:rsid w:val="00895539"/>
    <w:rsid w:val="0089612E"/>
    <w:rsid w:val="008968D9"/>
    <w:rsid w:val="00897332"/>
    <w:rsid w:val="0089751B"/>
    <w:rsid w:val="00897FEB"/>
    <w:rsid w:val="008A0423"/>
    <w:rsid w:val="008A07E6"/>
    <w:rsid w:val="008A1136"/>
    <w:rsid w:val="008A15B2"/>
    <w:rsid w:val="008A16CE"/>
    <w:rsid w:val="008A1BE8"/>
    <w:rsid w:val="008A2FA9"/>
    <w:rsid w:val="008A43E8"/>
    <w:rsid w:val="008A4526"/>
    <w:rsid w:val="008A4970"/>
    <w:rsid w:val="008A58B0"/>
    <w:rsid w:val="008A702D"/>
    <w:rsid w:val="008A7360"/>
    <w:rsid w:val="008A78BE"/>
    <w:rsid w:val="008A7D39"/>
    <w:rsid w:val="008B0790"/>
    <w:rsid w:val="008B10C6"/>
    <w:rsid w:val="008B275F"/>
    <w:rsid w:val="008B3DBC"/>
    <w:rsid w:val="008B40E7"/>
    <w:rsid w:val="008B5054"/>
    <w:rsid w:val="008B78E5"/>
    <w:rsid w:val="008B7B93"/>
    <w:rsid w:val="008C12DD"/>
    <w:rsid w:val="008C149D"/>
    <w:rsid w:val="008C3E30"/>
    <w:rsid w:val="008C3F11"/>
    <w:rsid w:val="008C51A0"/>
    <w:rsid w:val="008C5659"/>
    <w:rsid w:val="008C60E7"/>
    <w:rsid w:val="008C7537"/>
    <w:rsid w:val="008C7B10"/>
    <w:rsid w:val="008D1D9D"/>
    <w:rsid w:val="008D1E4A"/>
    <w:rsid w:val="008D4181"/>
    <w:rsid w:val="008D42D4"/>
    <w:rsid w:val="008D572F"/>
    <w:rsid w:val="008D6306"/>
    <w:rsid w:val="008D6CB9"/>
    <w:rsid w:val="008D7D16"/>
    <w:rsid w:val="008E208E"/>
    <w:rsid w:val="008E3B87"/>
    <w:rsid w:val="008E4E58"/>
    <w:rsid w:val="008E5058"/>
    <w:rsid w:val="008E5B19"/>
    <w:rsid w:val="008E6B7B"/>
    <w:rsid w:val="008E6CBF"/>
    <w:rsid w:val="008E7788"/>
    <w:rsid w:val="008E7B82"/>
    <w:rsid w:val="008E7EAE"/>
    <w:rsid w:val="008F03E8"/>
    <w:rsid w:val="008F090E"/>
    <w:rsid w:val="008F0F28"/>
    <w:rsid w:val="008F2406"/>
    <w:rsid w:val="008F32C2"/>
    <w:rsid w:val="008F3A19"/>
    <w:rsid w:val="008F5ECF"/>
    <w:rsid w:val="008F6B57"/>
    <w:rsid w:val="008F7BBA"/>
    <w:rsid w:val="009001BD"/>
    <w:rsid w:val="009002F4"/>
    <w:rsid w:val="00900ABB"/>
    <w:rsid w:val="00901B8F"/>
    <w:rsid w:val="00901DAF"/>
    <w:rsid w:val="00901F07"/>
    <w:rsid w:val="009028D3"/>
    <w:rsid w:val="00902BE0"/>
    <w:rsid w:val="009030B0"/>
    <w:rsid w:val="00903977"/>
    <w:rsid w:val="00903C59"/>
    <w:rsid w:val="009046C4"/>
    <w:rsid w:val="00905A39"/>
    <w:rsid w:val="00906582"/>
    <w:rsid w:val="009070E1"/>
    <w:rsid w:val="0091009F"/>
    <w:rsid w:val="009111FD"/>
    <w:rsid w:val="00912330"/>
    <w:rsid w:val="009133DB"/>
    <w:rsid w:val="0091343F"/>
    <w:rsid w:val="00913775"/>
    <w:rsid w:val="00914769"/>
    <w:rsid w:val="00914887"/>
    <w:rsid w:val="00914BD6"/>
    <w:rsid w:val="00916A60"/>
    <w:rsid w:val="00917E8C"/>
    <w:rsid w:val="00917E99"/>
    <w:rsid w:val="00920951"/>
    <w:rsid w:val="0092096F"/>
    <w:rsid w:val="00921CC8"/>
    <w:rsid w:val="0092250B"/>
    <w:rsid w:val="009225D2"/>
    <w:rsid w:val="00922C1F"/>
    <w:rsid w:val="009236B3"/>
    <w:rsid w:val="0092537E"/>
    <w:rsid w:val="009253D3"/>
    <w:rsid w:val="00925BBE"/>
    <w:rsid w:val="009315C2"/>
    <w:rsid w:val="009331E3"/>
    <w:rsid w:val="0093341F"/>
    <w:rsid w:val="00933FC8"/>
    <w:rsid w:val="00934753"/>
    <w:rsid w:val="0093489E"/>
    <w:rsid w:val="0093514B"/>
    <w:rsid w:val="0093570B"/>
    <w:rsid w:val="00937310"/>
    <w:rsid w:val="0093747C"/>
    <w:rsid w:val="009374C3"/>
    <w:rsid w:val="00937622"/>
    <w:rsid w:val="0093793A"/>
    <w:rsid w:val="00937B91"/>
    <w:rsid w:val="00942389"/>
    <w:rsid w:val="00942B3E"/>
    <w:rsid w:val="009431B0"/>
    <w:rsid w:val="009431BA"/>
    <w:rsid w:val="00943501"/>
    <w:rsid w:val="009439EF"/>
    <w:rsid w:val="00944167"/>
    <w:rsid w:val="00944B18"/>
    <w:rsid w:val="009457C7"/>
    <w:rsid w:val="009461DD"/>
    <w:rsid w:val="00947DE1"/>
    <w:rsid w:val="009503FB"/>
    <w:rsid w:val="00951B79"/>
    <w:rsid w:val="00952D96"/>
    <w:rsid w:val="009536DA"/>
    <w:rsid w:val="009546AA"/>
    <w:rsid w:val="0095477A"/>
    <w:rsid w:val="00955463"/>
    <w:rsid w:val="009565B2"/>
    <w:rsid w:val="009569C2"/>
    <w:rsid w:val="00960C71"/>
    <w:rsid w:val="00960CF2"/>
    <w:rsid w:val="00960DB7"/>
    <w:rsid w:val="00960F11"/>
    <w:rsid w:val="00961E62"/>
    <w:rsid w:val="00962DDE"/>
    <w:rsid w:val="00962EDE"/>
    <w:rsid w:val="00963D6C"/>
    <w:rsid w:val="00964270"/>
    <w:rsid w:val="00964924"/>
    <w:rsid w:val="009655C1"/>
    <w:rsid w:val="009669F3"/>
    <w:rsid w:val="00966B3B"/>
    <w:rsid w:val="00966D2E"/>
    <w:rsid w:val="00967355"/>
    <w:rsid w:val="00967944"/>
    <w:rsid w:val="0097032B"/>
    <w:rsid w:val="00970CC4"/>
    <w:rsid w:val="00971A0E"/>
    <w:rsid w:val="009721CD"/>
    <w:rsid w:val="00973B21"/>
    <w:rsid w:val="009751B6"/>
    <w:rsid w:val="009764B3"/>
    <w:rsid w:val="00976CEE"/>
    <w:rsid w:val="0097727D"/>
    <w:rsid w:val="00980A2C"/>
    <w:rsid w:val="0098138F"/>
    <w:rsid w:val="00981699"/>
    <w:rsid w:val="0098215D"/>
    <w:rsid w:val="00982A77"/>
    <w:rsid w:val="009831E5"/>
    <w:rsid w:val="009841F9"/>
    <w:rsid w:val="00984ECB"/>
    <w:rsid w:val="0098570F"/>
    <w:rsid w:val="00986B85"/>
    <w:rsid w:val="00986CEB"/>
    <w:rsid w:val="00987EA3"/>
    <w:rsid w:val="0099029D"/>
    <w:rsid w:val="00990A78"/>
    <w:rsid w:val="009921A7"/>
    <w:rsid w:val="00992B73"/>
    <w:rsid w:val="00993FCD"/>
    <w:rsid w:val="00993FCE"/>
    <w:rsid w:val="00994362"/>
    <w:rsid w:val="00994661"/>
    <w:rsid w:val="0099483A"/>
    <w:rsid w:val="00995324"/>
    <w:rsid w:val="0099566A"/>
    <w:rsid w:val="0099576C"/>
    <w:rsid w:val="00996151"/>
    <w:rsid w:val="0099645B"/>
    <w:rsid w:val="00996761"/>
    <w:rsid w:val="009967A6"/>
    <w:rsid w:val="00996A40"/>
    <w:rsid w:val="009973B6"/>
    <w:rsid w:val="009979D4"/>
    <w:rsid w:val="00997B50"/>
    <w:rsid w:val="009A0C6A"/>
    <w:rsid w:val="009A0CF6"/>
    <w:rsid w:val="009A1061"/>
    <w:rsid w:val="009A10F3"/>
    <w:rsid w:val="009A16C4"/>
    <w:rsid w:val="009A259F"/>
    <w:rsid w:val="009A34C3"/>
    <w:rsid w:val="009A4A39"/>
    <w:rsid w:val="009A6C91"/>
    <w:rsid w:val="009A6CF8"/>
    <w:rsid w:val="009B0CED"/>
    <w:rsid w:val="009B142B"/>
    <w:rsid w:val="009B40E3"/>
    <w:rsid w:val="009B48D8"/>
    <w:rsid w:val="009B4E83"/>
    <w:rsid w:val="009B5806"/>
    <w:rsid w:val="009B5ACB"/>
    <w:rsid w:val="009B5AE2"/>
    <w:rsid w:val="009B68CE"/>
    <w:rsid w:val="009C01FD"/>
    <w:rsid w:val="009C0C70"/>
    <w:rsid w:val="009C1022"/>
    <w:rsid w:val="009C11AC"/>
    <w:rsid w:val="009C2985"/>
    <w:rsid w:val="009C2ADE"/>
    <w:rsid w:val="009C2E94"/>
    <w:rsid w:val="009C3757"/>
    <w:rsid w:val="009C4C25"/>
    <w:rsid w:val="009C5F72"/>
    <w:rsid w:val="009C623A"/>
    <w:rsid w:val="009C65C0"/>
    <w:rsid w:val="009C664B"/>
    <w:rsid w:val="009C712E"/>
    <w:rsid w:val="009D140E"/>
    <w:rsid w:val="009D1D79"/>
    <w:rsid w:val="009D24D3"/>
    <w:rsid w:val="009D311A"/>
    <w:rsid w:val="009D4044"/>
    <w:rsid w:val="009D5721"/>
    <w:rsid w:val="009D6272"/>
    <w:rsid w:val="009D6A0F"/>
    <w:rsid w:val="009D7929"/>
    <w:rsid w:val="009E0E64"/>
    <w:rsid w:val="009E14AD"/>
    <w:rsid w:val="009E17EE"/>
    <w:rsid w:val="009E189E"/>
    <w:rsid w:val="009E442D"/>
    <w:rsid w:val="009E45E8"/>
    <w:rsid w:val="009E4930"/>
    <w:rsid w:val="009E56B4"/>
    <w:rsid w:val="009E57A0"/>
    <w:rsid w:val="009E5B88"/>
    <w:rsid w:val="009E625E"/>
    <w:rsid w:val="009E6E0D"/>
    <w:rsid w:val="009E7339"/>
    <w:rsid w:val="009F0B0C"/>
    <w:rsid w:val="009F157A"/>
    <w:rsid w:val="009F1841"/>
    <w:rsid w:val="009F1B0F"/>
    <w:rsid w:val="009F2218"/>
    <w:rsid w:val="009F41E9"/>
    <w:rsid w:val="009F4EF3"/>
    <w:rsid w:val="009F4F19"/>
    <w:rsid w:val="009F5157"/>
    <w:rsid w:val="009F56A5"/>
    <w:rsid w:val="009F5F68"/>
    <w:rsid w:val="009F6101"/>
    <w:rsid w:val="009F6381"/>
    <w:rsid w:val="009F73BE"/>
    <w:rsid w:val="009F7B4F"/>
    <w:rsid w:val="00A00C62"/>
    <w:rsid w:val="00A01F3B"/>
    <w:rsid w:val="00A02064"/>
    <w:rsid w:val="00A02F49"/>
    <w:rsid w:val="00A03611"/>
    <w:rsid w:val="00A038F8"/>
    <w:rsid w:val="00A03C70"/>
    <w:rsid w:val="00A04FC2"/>
    <w:rsid w:val="00A07449"/>
    <w:rsid w:val="00A07E81"/>
    <w:rsid w:val="00A10A19"/>
    <w:rsid w:val="00A10BCE"/>
    <w:rsid w:val="00A10C9F"/>
    <w:rsid w:val="00A1276D"/>
    <w:rsid w:val="00A1289E"/>
    <w:rsid w:val="00A12F9A"/>
    <w:rsid w:val="00A134B0"/>
    <w:rsid w:val="00A13840"/>
    <w:rsid w:val="00A16C7A"/>
    <w:rsid w:val="00A206CA"/>
    <w:rsid w:val="00A212D8"/>
    <w:rsid w:val="00A22590"/>
    <w:rsid w:val="00A227BD"/>
    <w:rsid w:val="00A22E4A"/>
    <w:rsid w:val="00A23546"/>
    <w:rsid w:val="00A238BA"/>
    <w:rsid w:val="00A30265"/>
    <w:rsid w:val="00A312E1"/>
    <w:rsid w:val="00A32C58"/>
    <w:rsid w:val="00A3396A"/>
    <w:rsid w:val="00A33A9A"/>
    <w:rsid w:val="00A33BE2"/>
    <w:rsid w:val="00A3413C"/>
    <w:rsid w:val="00A35623"/>
    <w:rsid w:val="00A35C45"/>
    <w:rsid w:val="00A364B0"/>
    <w:rsid w:val="00A364E1"/>
    <w:rsid w:val="00A37191"/>
    <w:rsid w:val="00A37DCB"/>
    <w:rsid w:val="00A40656"/>
    <w:rsid w:val="00A41630"/>
    <w:rsid w:val="00A42101"/>
    <w:rsid w:val="00A421B9"/>
    <w:rsid w:val="00A4418C"/>
    <w:rsid w:val="00A449C8"/>
    <w:rsid w:val="00A44BBA"/>
    <w:rsid w:val="00A45290"/>
    <w:rsid w:val="00A46405"/>
    <w:rsid w:val="00A471F9"/>
    <w:rsid w:val="00A47224"/>
    <w:rsid w:val="00A475E2"/>
    <w:rsid w:val="00A50022"/>
    <w:rsid w:val="00A5183B"/>
    <w:rsid w:val="00A51B1C"/>
    <w:rsid w:val="00A51C40"/>
    <w:rsid w:val="00A52902"/>
    <w:rsid w:val="00A52F19"/>
    <w:rsid w:val="00A5391C"/>
    <w:rsid w:val="00A5437E"/>
    <w:rsid w:val="00A54C27"/>
    <w:rsid w:val="00A57012"/>
    <w:rsid w:val="00A57271"/>
    <w:rsid w:val="00A57A66"/>
    <w:rsid w:val="00A605B5"/>
    <w:rsid w:val="00A606D6"/>
    <w:rsid w:val="00A60899"/>
    <w:rsid w:val="00A63433"/>
    <w:rsid w:val="00A6434A"/>
    <w:rsid w:val="00A64F16"/>
    <w:rsid w:val="00A65C13"/>
    <w:rsid w:val="00A6627D"/>
    <w:rsid w:val="00A70607"/>
    <w:rsid w:val="00A709CC"/>
    <w:rsid w:val="00A70A29"/>
    <w:rsid w:val="00A70C2E"/>
    <w:rsid w:val="00A729D7"/>
    <w:rsid w:val="00A72EA5"/>
    <w:rsid w:val="00A73B56"/>
    <w:rsid w:val="00A744C9"/>
    <w:rsid w:val="00A759C3"/>
    <w:rsid w:val="00A75F7E"/>
    <w:rsid w:val="00A7623C"/>
    <w:rsid w:val="00A811F8"/>
    <w:rsid w:val="00A81360"/>
    <w:rsid w:val="00A82735"/>
    <w:rsid w:val="00A82B7A"/>
    <w:rsid w:val="00A82BBE"/>
    <w:rsid w:val="00A8336F"/>
    <w:rsid w:val="00A83E29"/>
    <w:rsid w:val="00A84902"/>
    <w:rsid w:val="00A84991"/>
    <w:rsid w:val="00A85CD0"/>
    <w:rsid w:val="00A86EAB"/>
    <w:rsid w:val="00A906E4"/>
    <w:rsid w:val="00A91CE4"/>
    <w:rsid w:val="00A92035"/>
    <w:rsid w:val="00A92194"/>
    <w:rsid w:val="00A93CCE"/>
    <w:rsid w:val="00A94A3B"/>
    <w:rsid w:val="00A94DE0"/>
    <w:rsid w:val="00A953ED"/>
    <w:rsid w:val="00A95D39"/>
    <w:rsid w:val="00A96266"/>
    <w:rsid w:val="00A96F43"/>
    <w:rsid w:val="00A97657"/>
    <w:rsid w:val="00AA0417"/>
    <w:rsid w:val="00AA08DE"/>
    <w:rsid w:val="00AA09E1"/>
    <w:rsid w:val="00AA0EA7"/>
    <w:rsid w:val="00AA176F"/>
    <w:rsid w:val="00AA2C67"/>
    <w:rsid w:val="00AA3704"/>
    <w:rsid w:val="00AA49BA"/>
    <w:rsid w:val="00AA5B46"/>
    <w:rsid w:val="00AA5B88"/>
    <w:rsid w:val="00AA5F99"/>
    <w:rsid w:val="00AA6DEE"/>
    <w:rsid w:val="00AA78BA"/>
    <w:rsid w:val="00AB0478"/>
    <w:rsid w:val="00AB1306"/>
    <w:rsid w:val="00AB2544"/>
    <w:rsid w:val="00AB3AEF"/>
    <w:rsid w:val="00AB4118"/>
    <w:rsid w:val="00AB52BB"/>
    <w:rsid w:val="00AB5376"/>
    <w:rsid w:val="00AB58A2"/>
    <w:rsid w:val="00AB604D"/>
    <w:rsid w:val="00AB7887"/>
    <w:rsid w:val="00AC02C8"/>
    <w:rsid w:val="00AC1160"/>
    <w:rsid w:val="00AC13A0"/>
    <w:rsid w:val="00AC18FC"/>
    <w:rsid w:val="00AC1D4B"/>
    <w:rsid w:val="00AC22A1"/>
    <w:rsid w:val="00AC279A"/>
    <w:rsid w:val="00AC3A1F"/>
    <w:rsid w:val="00AC674D"/>
    <w:rsid w:val="00AC6B47"/>
    <w:rsid w:val="00AC6D5E"/>
    <w:rsid w:val="00AC7B2E"/>
    <w:rsid w:val="00AD05F0"/>
    <w:rsid w:val="00AD156D"/>
    <w:rsid w:val="00AD1802"/>
    <w:rsid w:val="00AD1EEF"/>
    <w:rsid w:val="00AD20E9"/>
    <w:rsid w:val="00AD2157"/>
    <w:rsid w:val="00AD2247"/>
    <w:rsid w:val="00AD3C9D"/>
    <w:rsid w:val="00AD5669"/>
    <w:rsid w:val="00AD5F97"/>
    <w:rsid w:val="00AD7EAD"/>
    <w:rsid w:val="00AE0C73"/>
    <w:rsid w:val="00AE18E4"/>
    <w:rsid w:val="00AE230C"/>
    <w:rsid w:val="00AE3096"/>
    <w:rsid w:val="00AE3EE3"/>
    <w:rsid w:val="00AE3FAB"/>
    <w:rsid w:val="00AE4BC1"/>
    <w:rsid w:val="00AE519D"/>
    <w:rsid w:val="00AE6B02"/>
    <w:rsid w:val="00AE6B84"/>
    <w:rsid w:val="00AF05AF"/>
    <w:rsid w:val="00AF1D06"/>
    <w:rsid w:val="00AF22EC"/>
    <w:rsid w:val="00AF2A1E"/>
    <w:rsid w:val="00AF340F"/>
    <w:rsid w:val="00AF406F"/>
    <w:rsid w:val="00AF43E8"/>
    <w:rsid w:val="00AF674C"/>
    <w:rsid w:val="00AF678D"/>
    <w:rsid w:val="00AF6AF4"/>
    <w:rsid w:val="00AF7510"/>
    <w:rsid w:val="00B00546"/>
    <w:rsid w:val="00B009E8"/>
    <w:rsid w:val="00B011D4"/>
    <w:rsid w:val="00B018ED"/>
    <w:rsid w:val="00B0307D"/>
    <w:rsid w:val="00B03115"/>
    <w:rsid w:val="00B039F1"/>
    <w:rsid w:val="00B04BE6"/>
    <w:rsid w:val="00B051B6"/>
    <w:rsid w:val="00B056FB"/>
    <w:rsid w:val="00B06DDF"/>
    <w:rsid w:val="00B0745E"/>
    <w:rsid w:val="00B07614"/>
    <w:rsid w:val="00B07C23"/>
    <w:rsid w:val="00B11EAC"/>
    <w:rsid w:val="00B1245A"/>
    <w:rsid w:val="00B13E15"/>
    <w:rsid w:val="00B13FC6"/>
    <w:rsid w:val="00B144D3"/>
    <w:rsid w:val="00B14F34"/>
    <w:rsid w:val="00B1543D"/>
    <w:rsid w:val="00B15640"/>
    <w:rsid w:val="00B16F8A"/>
    <w:rsid w:val="00B16F93"/>
    <w:rsid w:val="00B1703A"/>
    <w:rsid w:val="00B2156F"/>
    <w:rsid w:val="00B23063"/>
    <w:rsid w:val="00B23AF8"/>
    <w:rsid w:val="00B2422A"/>
    <w:rsid w:val="00B24593"/>
    <w:rsid w:val="00B248AC"/>
    <w:rsid w:val="00B25173"/>
    <w:rsid w:val="00B275AC"/>
    <w:rsid w:val="00B30E6E"/>
    <w:rsid w:val="00B312AB"/>
    <w:rsid w:val="00B32857"/>
    <w:rsid w:val="00B32D54"/>
    <w:rsid w:val="00B33F1F"/>
    <w:rsid w:val="00B342AD"/>
    <w:rsid w:val="00B34E15"/>
    <w:rsid w:val="00B3526A"/>
    <w:rsid w:val="00B361A3"/>
    <w:rsid w:val="00B36A6C"/>
    <w:rsid w:val="00B41BAA"/>
    <w:rsid w:val="00B42427"/>
    <w:rsid w:val="00B43012"/>
    <w:rsid w:val="00B43CBC"/>
    <w:rsid w:val="00B43F2A"/>
    <w:rsid w:val="00B44BCC"/>
    <w:rsid w:val="00B45A60"/>
    <w:rsid w:val="00B466AF"/>
    <w:rsid w:val="00B470E9"/>
    <w:rsid w:val="00B478D9"/>
    <w:rsid w:val="00B519A1"/>
    <w:rsid w:val="00B51D0D"/>
    <w:rsid w:val="00B52323"/>
    <w:rsid w:val="00B543AE"/>
    <w:rsid w:val="00B54957"/>
    <w:rsid w:val="00B55A3D"/>
    <w:rsid w:val="00B55E48"/>
    <w:rsid w:val="00B55EB2"/>
    <w:rsid w:val="00B5618A"/>
    <w:rsid w:val="00B56F5D"/>
    <w:rsid w:val="00B571A3"/>
    <w:rsid w:val="00B57BCE"/>
    <w:rsid w:val="00B6021B"/>
    <w:rsid w:val="00B6170A"/>
    <w:rsid w:val="00B61894"/>
    <w:rsid w:val="00B62A7B"/>
    <w:rsid w:val="00B62FAD"/>
    <w:rsid w:val="00B63110"/>
    <w:rsid w:val="00B63BA2"/>
    <w:rsid w:val="00B641FA"/>
    <w:rsid w:val="00B65217"/>
    <w:rsid w:val="00B655F7"/>
    <w:rsid w:val="00B6687A"/>
    <w:rsid w:val="00B672AE"/>
    <w:rsid w:val="00B67415"/>
    <w:rsid w:val="00B679AB"/>
    <w:rsid w:val="00B705BF"/>
    <w:rsid w:val="00B706C8"/>
    <w:rsid w:val="00B71C9C"/>
    <w:rsid w:val="00B7374C"/>
    <w:rsid w:val="00B74757"/>
    <w:rsid w:val="00B77282"/>
    <w:rsid w:val="00B77711"/>
    <w:rsid w:val="00B80018"/>
    <w:rsid w:val="00B8073A"/>
    <w:rsid w:val="00B81378"/>
    <w:rsid w:val="00B909CA"/>
    <w:rsid w:val="00B90C26"/>
    <w:rsid w:val="00B9184B"/>
    <w:rsid w:val="00B930A8"/>
    <w:rsid w:val="00B93194"/>
    <w:rsid w:val="00B93D9D"/>
    <w:rsid w:val="00B93EF9"/>
    <w:rsid w:val="00B94B1A"/>
    <w:rsid w:val="00B9577F"/>
    <w:rsid w:val="00B961FD"/>
    <w:rsid w:val="00B97A6A"/>
    <w:rsid w:val="00B97BFF"/>
    <w:rsid w:val="00B97C4A"/>
    <w:rsid w:val="00BA02B5"/>
    <w:rsid w:val="00BA0620"/>
    <w:rsid w:val="00BA0BDF"/>
    <w:rsid w:val="00BA11FD"/>
    <w:rsid w:val="00BA3434"/>
    <w:rsid w:val="00BA3C3A"/>
    <w:rsid w:val="00BA5B49"/>
    <w:rsid w:val="00BA5FD8"/>
    <w:rsid w:val="00BA7E3C"/>
    <w:rsid w:val="00BB03A7"/>
    <w:rsid w:val="00BB1F95"/>
    <w:rsid w:val="00BB2D2E"/>
    <w:rsid w:val="00BB50A1"/>
    <w:rsid w:val="00BB556E"/>
    <w:rsid w:val="00BB5C1E"/>
    <w:rsid w:val="00BB5F1E"/>
    <w:rsid w:val="00BB6525"/>
    <w:rsid w:val="00BB66F1"/>
    <w:rsid w:val="00BB6999"/>
    <w:rsid w:val="00BB6FC6"/>
    <w:rsid w:val="00BB710A"/>
    <w:rsid w:val="00BC0247"/>
    <w:rsid w:val="00BC0D46"/>
    <w:rsid w:val="00BC1564"/>
    <w:rsid w:val="00BC167D"/>
    <w:rsid w:val="00BC1F59"/>
    <w:rsid w:val="00BC2730"/>
    <w:rsid w:val="00BC3E5C"/>
    <w:rsid w:val="00BC531D"/>
    <w:rsid w:val="00BC6080"/>
    <w:rsid w:val="00BC62C7"/>
    <w:rsid w:val="00BC6D24"/>
    <w:rsid w:val="00BC71DB"/>
    <w:rsid w:val="00BC7C78"/>
    <w:rsid w:val="00BC7FA5"/>
    <w:rsid w:val="00BC7FC7"/>
    <w:rsid w:val="00BD0DE7"/>
    <w:rsid w:val="00BD0FF2"/>
    <w:rsid w:val="00BD2255"/>
    <w:rsid w:val="00BD2E04"/>
    <w:rsid w:val="00BD4BDD"/>
    <w:rsid w:val="00BD579A"/>
    <w:rsid w:val="00BD61D0"/>
    <w:rsid w:val="00BE02FE"/>
    <w:rsid w:val="00BE06D7"/>
    <w:rsid w:val="00BE0EF9"/>
    <w:rsid w:val="00BE0FA9"/>
    <w:rsid w:val="00BE1CAB"/>
    <w:rsid w:val="00BE2DA9"/>
    <w:rsid w:val="00BE4A6C"/>
    <w:rsid w:val="00BE4A9B"/>
    <w:rsid w:val="00BE546F"/>
    <w:rsid w:val="00BE580B"/>
    <w:rsid w:val="00BE5B3B"/>
    <w:rsid w:val="00BE61BE"/>
    <w:rsid w:val="00BF0480"/>
    <w:rsid w:val="00BF0592"/>
    <w:rsid w:val="00BF0BDD"/>
    <w:rsid w:val="00BF29E6"/>
    <w:rsid w:val="00BF2B4F"/>
    <w:rsid w:val="00BF3194"/>
    <w:rsid w:val="00BF4542"/>
    <w:rsid w:val="00BF5523"/>
    <w:rsid w:val="00BF5535"/>
    <w:rsid w:val="00BF7209"/>
    <w:rsid w:val="00C00BED"/>
    <w:rsid w:val="00C01A2B"/>
    <w:rsid w:val="00C01AB8"/>
    <w:rsid w:val="00C026D6"/>
    <w:rsid w:val="00C02C02"/>
    <w:rsid w:val="00C0504F"/>
    <w:rsid w:val="00C05504"/>
    <w:rsid w:val="00C05C10"/>
    <w:rsid w:val="00C0748F"/>
    <w:rsid w:val="00C074EB"/>
    <w:rsid w:val="00C10ABE"/>
    <w:rsid w:val="00C10E6D"/>
    <w:rsid w:val="00C1131E"/>
    <w:rsid w:val="00C11F19"/>
    <w:rsid w:val="00C13736"/>
    <w:rsid w:val="00C13F77"/>
    <w:rsid w:val="00C143D0"/>
    <w:rsid w:val="00C155CE"/>
    <w:rsid w:val="00C160A8"/>
    <w:rsid w:val="00C166D3"/>
    <w:rsid w:val="00C172A8"/>
    <w:rsid w:val="00C17C59"/>
    <w:rsid w:val="00C17CAE"/>
    <w:rsid w:val="00C225E0"/>
    <w:rsid w:val="00C22E05"/>
    <w:rsid w:val="00C233B3"/>
    <w:rsid w:val="00C23844"/>
    <w:rsid w:val="00C2496B"/>
    <w:rsid w:val="00C2589E"/>
    <w:rsid w:val="00C25CAB"/>
    <w:rsid w:val="00C25EEC"/>
    <w:rsid w:val="00C2625D"/>
    <w:rsid w:val="00C270B3"/>
    <w:rsid w:val="00C27631"/>
    <w:rsid w:val="00C276D5"/>
    <w:rsid w:val="00C276D9"/>
    <w:rsid w:val="00C308BB"/>
    <w:rsid w:val="00C31177"/>
    <w:rsid w:val="00C31C58"/>
    <w:rsid w:val="00C31D7B"/>
    <w:rsid w:val="00C322B8"/>
    <w:rsid w:val="00C325E1"/>
    <w:rsid w:val="00C3300D"/>
    <w:rsid w:val="00C354D2"/>
    <w:rsid w:val="00C35658"/>
    <w:rsid w:val="00C35A69"/>
    <w:rsid w:val="00C36B0F"/>
    <w:rsid w:val="00C37E2B"/>
    <w:rsid w:val="00C40E52"/>
    <w:rsid w:val="00C42EF4"/>
    <w:rsid w:val="00C43D43"/>
    <w:rsid w:val="00C4456C"/>
    <w:rsid w:val="00C45FCD"/>
    <w:rsid w:val="00C4608E"/>
    <w:rsid w:val="00C46AC8"/>
    <w:rsid w:val="00C46F1E"/>
    <w:rsid w:val="00C518B0"/>
    <w:rsid w:val="00C5223C"/>
    <w:rsid w:val="00C52C2B"/>
    <w:rsid w:val="00C52ECD"/>
    <w:rsid w:val="00C5341C"/>
    <w:rsid w:val="00C53F18"/>
    <w:rsid w:val="00C55002"/>
    <w:rsid w:val="00C550AD"/>
    <w:rsid w:val="00C557A6"/>
    <w:rsid w:val="00C55F9C"/>
    <w:rsid w:val="00C56C35"/>
    <w:rsid w:val="00C57DD6"/>
    <w:rsid w:val="00C605AB"/>
    <w:rsid w:val="00C60A4C"/>
    <w:rsid w:val="00C6227E"/>
    <w:rsid w:val="00C6266B"/>
    <w:rsid w:val="00C62703"/>
    <w:rsid w:val="00C63D5F"/>
    <w:rsid w:val="00C6433F"/>
    <w:rsid w:val="00C64F6A"/>
    <w:rsid w:val="00C70155"/>
    <w:rsid w:val="00C703DE"/>
    <w:rsid w:val="00C71B9D"/>
    <w:rsid w:val="00C72487"/>
    <w:rsid w:val="00C72B35"/>
    <w:rsid w:val="00C72D04"/>
    <w:rsid w:val="00C72D7D"/>
    <w:rsid w:val="00C73667"/>
    <w:rsid w:val="00C737EE"/>
    <w:rsid w:val="00C73957"/>
    <w:rsid w:val="00C73E10"/>
    <w:rsid w:val="00C74080"/>
    <w:rsid w:val="00C749AE"/>
    <w:rsid w:val="00C74B6C"/>
    <w:rsid w:val="00C75B74"/>
    <w:rsid w:val="00C76484"/>
    <w:rsid w:val="00C76791"/>
    <w:rsid w:val="00C7778B"/>
    <w:rsid w:val="00C77A93"/>
    <w:rsid w:val="00C77CAF"/>
    <w:rsid w:val="00C77F24"/>
    <w:rsid w:val="00C812ED"/>
    <w:rsid w:val="00C81FF1"/>
    <w:rsid w:val="00C83571"/>
    <w:rsid w:val="00C8453D"/>
    <w:rsid w:val="00C851AE"/>
    <w:rsid w:val="00C858F7"/>
    <w:rsid w:val="00C87FC3"/>
    <w:rsid w:val="00C9121B"/>
    <w:rsid w:val="00C91BD4"/>
    <w:rsid w:val="00C91F32"/>
    <w:rsid w:val="00C923B5"/>
    <w:rsid w:val="00C929AA"/>
    <w:rsid w:val="00C92CC2"/>
    <w:rsid w:val="00C9307A"/>
    <w:rsid w:val="00C93E43"/>
    <w:rsid w:val="00C9538D"/>
    <w:rsid w:val="00C9554B"/>
    <w:rsid w:val="00C958C4"/>
    <w:rsid w:val="00CA0D12"/>
    <w:rsid w:val="00CA0E83"/>
    <w:rsid w:val="00CA22A2"/>
    <w:rsid w:val="00CA2892"/>
    <w:rsid w:val="00CA32B5"/>
    <w:rsid w:val="00CA32F1"/>
    <w:rsid w:val="00CA3DDA"/>
    <w:rsid w:val="00CA3F2B"/>
    <w:rsid w:val="00CA4970"/>
    <w:rsid w:val="00CA4A4E"/>
    <w:rsid w:val="00CA4D73"/>
    <w:rsid w:val="00CB0738"/>
    <w:rsid w:val="00CB0AF5"/>
    <w:rsid w:val="00CB0FFE"/>
    <w:rsid w:val="00CB231F"/>
    <w:rsid w:val="00CB253F"/>
    <w:rsid w:val="00CB2C5E"/>
    <w:rsid w:val="00CB2D90"/>
    <w:rsid w:val="00CB3A17"/>
    <w:rsid w:val="00CB46A6"/>
    <w:rsid w:val="00CB4E46"/>
    <w:rsid w:val="00CB53F1"/>
    <w:rsid w:val="00CB7937"/>
    <w:rsid w:val="00CC087E"/>
    <w:rsid w:val="00CC0946"/>
    <w:rsid w:val="00CC101E"/>
    <w:rsid w:val="00CC11E2"/>
    <w:rsid w:val="00CC138D"/>
    <w:rsid w:val="00CC17EC"/>
    <w:rsid w:val="00CC447C"/>
    <w:rsid w:val="00CC570F"/>
    <w:rsid w:val="00CC7BBF"/>
    <w:rsid w:val="00CD02F2"/>
    <w:rsid w:val="00CD2D2C"/>
    <w:rsid w:val="00CD4DAE"/>
    <w:rsid w:val="00CD5851"/>
    <w:rsid w:val="00CD6364"/>
    <w:rsid w:val="00CD6ABA"/>
    <w:rsid w:val="00CD6F89"/>
    <w:rsid w:val="00CD7044"/>
    <w:rsid w:val="00CD73F7"/>
    <w:rsid w:val="00CD764B"/>
    <w:rsid w:val="00CD7D09"/>
    <w:rsid w:val="00CD7EAD"/>
    <w:rsid w:val="00CE12CA"/>
    <w:rsid w:val="00CE17A8"/>
    <w:rsid w:val="00CE1A8D"/>
    <w:rsid w:val="00CE2228"/>
    <w:rsid w:val="00CE2AD5"/>
    <w:rsid w:val="00CE420F"/>
    <w:rsid w:val="00CE4E91"/>
    <w:rsid w:val="00CE5DA9"/>
    <w:rsid w:val="00CE6106"/>
    <w:rsid w:val="00CF054E"/>
    <w:rsid w:val="00CF05F2"/>
    <w:rsid w:val="00CF076D"/>
    <w:rsid w:val="00CF0CAF"/>
    <w:rsid w:val="00CF11EB"/>
    <w:rsid w:val="00CF12E9"/>
    <w:rsid w:val="00CF4491"/>
    <w:rsid w:val="00CF4635"/>
    <w:rsid w:val="00CF595D"/>
    <w:rsid w:val="00CF5EF2"/>
    <w:rsid w:val="00CF6690"/>
    <w:rsid w:val="00CF7D1D"/>
    <w:rsid w:val="00D0199C"/>
    <w:rsid w:val="00D01A27"/>
    <w:rsid w:val="00D0210C"/>
    <w:rsid w:val="00D02892"/>
    <w:rsid w:val="00D04B1B"/>
    <w:rsid w:val="00D055FF"/>
    <w:rsid w:val="00D0578A"/>
    <w:rsid w:val="00D05AA7"/>
    <w:rsid w:val="00D06659"/>
    <w:rsid w:val="00D10124"/>
    <w:rsid w:val="00D126E0"/>
    <w:rsid w:val="00D13F86"/>
    <w:rsid w:val="00D146E2"/>
    <w:rsid w:val="00D14F22"/>
    <w:rsid w:val="00D1522B"/>
    <w:rsid w:val="00D154BD"/>
    <w:rsid w:val="00D15613"/>
    <w:rsid w:val="00D1717F"/>
    <w:rsid w:val="00D209AD"/>
    <w:rsid w:val="00D20D72"/>
    <w:rsid w:val="00D21A72"/>
    <w:rsid w:val="00D21DEA"/>
    <w:rsid w:val="00D22449"/>
    <w:rsid w:val="00D22CE7"/>
    <w:rsid w:val="00D22E93"/>
    <w:rsid w:val="00D22F97"/>
    <w:rsid w:val="00D244C8"/>
    <w:rsid w:val="00D248F6"/>
    <w:rsid w:val="00D24F4E"/>
    <w:rsid w:val="00D2529C"/>
    <w:rsid w:val="00D26311"/>
    <w:rsid w:val="00D276C5"/>
    <w:rsid w:val="00D2790A"/>
    <w:rsid w:val="00D27B05"/>
    <w:rsid w:val="00D31E9D"/>
    <w:rsid w:val="00D32BBB"/>
    <w:rsid w:val="00D34DBF"/>
    <w:rsid w:val="00D35AC9"/>
    <w:rsid w:val="00D35EB9"/>
    <w:rsid w:val="00D362EE"/>
    <w:rsid w:val="00D373F6"/>
    <w:rsid w:val="00D405B5"/>
    <w:rsid w:val="00D41246"/>
    <w:rsid w:val="00D4159F"/>
    <w:rsid w:val="00D4343A"/>
    <w:rsid w:val="00D43ED2"/>
    <w:rsid w:val="00D43F22"/>
    <w:rsid w:val="00D44BD4"/>
    <w:rsid w:val="00D44DBF"/>
    <w:rsid w:val="00D450E4"/>
    <w:rsid w:val="00D45713"/>
    <w:rsid w:val="00D45DE6"/>
    <w:rsid w:val="00D467B7"/>
    <w:rsid w:val="00D502A6"/>
    <w:rsid w:val="00D509C2"/>
    <w:rsid w:val="00D51136"/>
    <w:rsid w:val="00D51870"/>
    <w:rsid w:val="00D51CD6"/>
    <w:rsid w:val="00D525E8"/>
    <w:rsid w:val="00D52AE0"/>
    <w:rsid w:val="00D52EDD"/>
    <w:rsid w:val="00D53609"/>
    <w:rsid w:val="00D54180"/>
    <w:rsid w:val="00D544B8"/>
    <w:rsid w:val="00D5451A"/>
    <w:rsid w:val="00D54831"/>
    <w:rsid w:val="00D55EF9"/>
    <w:rsid w:val="00D568E7"/>
    <w:rsid w:val="00D569B2"/>
    <w:rsid w:val="00D577B5"/>
    <w:rsid w:val="00D618C6"/>
    <w:rsid w:val="00D626B6"/>
    <w:rsid w:val="00D636F1"/>
    <w:rsid w:val="00D63A41"/>
    <w:rsid w:val="00D63AFC"/>
    <w:rsid w:val="00D63B60"/>
    <w:rsid w:val="00D64023"/>
    <w:rsid w:val="00D6499B"/>
    <w:rsid w:val="00D64B19"/>
    <w:rsid w:val="00D64F0B"/>
    <w:rsid w:val="00D652DD"/>
    <w:rsid w:val="00D65396"/>
    <w:rsid w:val="00D6690E"/>
    <w:rsid w:val="00D66977"/>
    <w:rsid w:val="00D66BFE"/>
    <w:rsid w:val="00D670DA"/>
    <w:rsid w:val="00D670E1"/>
    <w:rsid w:val="00D6718C"/>
    <w:rsid w:val="00D67667"/>
    <w:rsid w:val="00D67C97"/>
    <w:rsid w:val="00D70273"/>
    <w:rsid w:val="00D705D1"/>
    <w:rsid w:val="00D7112F"/>
    <w:rsid w:val="00D711CA"/>
    <w:rsid w:val="00D72479"/>
    <w:rsid w:val="00D73022"/>
    <w:rsid w:val="00D74EAF"/>
    <w:rsid w:val="00D76131"/>
    <w:rsid w:val="00D76663"/>
    <w:rsid w:val="00D77C6A"/>
    <w:rsid w:val="00D8037F"/>
    <w:rsid w:val="00D80995"/>
    <w:rsid w:val="00D80BA3"/>
    <w:rsid w:val="00D81234"/>
    <w:rsid w:val="00D81A5F"/>
    <w:rsid w:val="00D81AD5"/>
    <w:rsid w:val="00D82C75"/>
    <w:rsid w:val="00D83ADB"/>
    <w:rsid w:val="00D848B7"/>
    <w:rsid w:val="00D84AD4"/>
    <w:rsid w:val="00D84E13"/>
    <w:rsid w:val="00D86683"/>
    <w:rsid w:val="00D868A2"/>
    <w:rsid w:val="00D91C65"/>
    <w:rsid w:val="00D921C0"/>
    <w:rsid w:val="00D936DB"/>
    <w:rsid w:val="00D94A18"/>
    <w:rsid w:val="00D95867"/>
    <w:rsid w:val="00D95FBF"/>
    <w:rsid w:val="00D9662A"/>
    <w:rsid w:val="00DA014D"/>
    <w:rsid w:val="00DA03DA"/>
    <w:rsid w:val="00DA2951"/>
    <w:rsid w:val="00DA310D"/>
    <w:rsid w:val="00DA3CF2"/>
    <w:rsid w:val="00DA418E"/>
    <w:rsid w:val="00DA60C8"/>
    <w:rsid w:val="00DA68B9"/>
    <w:rsid w:val="00DA6F95"/>
    <w:rsid w:val="00DA7309"/>
    <w:rsid w:val="00DB01C1"/>
    <w:rsid w:val="00DB2FF3"/>
    <w:rsid w:val="00DB3C30"/>
    <w:rsid w:val="00DB3F2E"/>
    <w:rsid w:val="00DB5D2F"/>
    <w:rsid w:val="00DB60CA"/>
    <w:rsid w:val="00DB6796"/>
    <w:rsid w:val="00DB6FBB"/>
    <w:rsid w:val="00DC04E0"/>
    <w:rsid w:val="00DC0847"/>
    <w:rsid w:val="00DC09BD"/>
    <w:rsid w:val="00DC1C7B"/>
    <w:rsid w:val="00DC3707"/>
    <w:rsid w:val="00DC3979"/>
    <w:rsid w:val="00DC3EFB"/>
    <w:rsid w:val="00DC4F9D"/>
    <w:rsid w:val="00DC5195"/>
    <w:rsid w:val="00DC54DE"/>
    <w:rsid w:val="00DC64E3"/>
    <w:rsid w:val="00DC6DEF"/>
    <w:rsid w:val="00DC738A"/>
    <w:rsid w:val="00DC79A9"/>
    <w:rsid w:val="00DD0191"/>
    <w:rsid w:val="00DD08C5"/>
    <w:rsid w:val="00DD170B"/>
    <w:rsid w:val="00DD2CD7"/>
    <w:rsid w:val="00DD3E69"/>
    <w:rsid w:val="00DD3F4A"/>
    <w:rsid w:val="00DD3FCA"/>
    <w:rsid w:val="00DD43D5"/>
    <w:rsid w:val="00DD4456"/>
    <w:rsid w:val="00DD4675"/>
    <w:rsid w:val="00DD4FCB"/>
    <w:rsid w:val="00DD51FC"/>
    <w:rsid w:val="00DD56C6"/>
    <w:rsid w:val="00DD5884"/>
    <w:rsid w:val="00DD5E31"/>
    <w:rsid w:val="00DD61B3"/>
    <w:rsid w:val="00DD68B4"/>
    <w:rsid w:val="00DD6BE6"/>
    <w:rsid w:val="00DD6CB4"/>
    <w:rsid w:val="00DD79DC"/>
    <w:rsid w:val="00DD7DD6"/>
    <w:rsid w:val="00DE17B1"/>
    <w:rsid w:val="00DE3B4F"/>
    <w:rsid w:val="00DE3D91"/>
    <w:rsid w:val="00DE3F1D"/>
    <w:rsid w:val="00DE4284"/>
    <w:rsid w:val="00DE4714"/>
    <w:rsid w:val="00DE4795"/>
    <w:rsid w:val="00DE4F09"/>
    <w:rsid w:val="00DE4FE7"/>
    <w:rsid w:val="00DE6659"/>
    <w:rsid w:val="00DE70FE"/>
    <w:rsid w:val="00DE7575"/>
    <w:rsid w:val="00DE7A4A"/>
    <w:rsid w:val="00DE7A73"/>
    <w:rsid w:val="00DF09E8"/>
    <w:rsid w:val="00DF0BA2"/>
    <w:rsid w:val="00DF34F0"/>
    <w:rsid w:val="00DF3A98"/>
    <w:rsid w:val="00DF3BE1"/>
    <w:rsid w:val="00DF3D42"/>
    <w:rsid w:val="00DF458C"/>
    <w:rsid w:val="00DF609E"/>
    <w:rsid w:val="00DF69D0"/>
    <w:rsid w:val="00DF6FC0"/>
    <w:rsid w:val="00E00446"/>
    <w:rsid w:val="00E00A21"/>
    <w:rsid w:val="00E0144D"/>
    <w:rsid w:val="00E02AD8"/>
    <w:rsid w:val="00E035FA"/>
    <w:rsid w:val="00E03C67"/>
    <w:rsid w:val="00E040FC"/>
    <w:rsid w:val="00E05A2F"/>
    <w:rsid w:val="00E06498"/>
    <w:rsid w:val="00E0697D"/>
    <w:rsid w:val="00E06B53"/>
    <w:rsid w:val="00E101B9"/>
    <w:rsid w:val="00E1105E"/>
    <w:rsid w:val="00E11858"/>
    <w:rsid w:val="00E13162"/>
    <w:rsid w:val="00E145E4"/>
    <w:rsid w:val="00E14A62"/>
    <w:rsid w:val="00E14E1A"/>
    <w:rsid w:val="00E171F0"/>
    <w:rsid w:val="00E17A32"/>
    <w:rsid w:val="00E17BFF"/>
    <w:rsid w:val="00E2112D"/>
    <w:rsid w:val="00E21B32"/>
    <w:rsid w:val="00E21E82"/>
    <w:rsid w:val="00E22A88"/>
    <w:rsid w:val="00E24C0F"/>
    <w:rsid w:val="00E259CC"/>
    <w:rsid w:val="00E25B70"/>
    <w:rsid w:val="00E274AB"/>
    <w:rsid w:val="00E2775D"/>
    <w:rsid w:val="00E302F0"/>
    <w:rsid w:val="00E307EC"/>
    <w:rsid w:val="00E31C78"/>
    <w:rsid w:val="00E322B5"/>
    <w:rsid w:val="00E33282"/>
    <w:rsid w:val="00E33C3A"/>
    <w:rsid w:val="00E34517"/>
    <w:rsid w:val="00E34CB1"/>
    <w:rsid w:val="00E3569D"/>
    <w:rsid w:val="00E35915"/>
    <w:rsid w:val="00E36B16"/>
    <w:rsid w:val="00E3771B"/>
    <w:rsid w:val="00E4082F"/>
    <w:rsid w:val="00E40B5E"/>
    <w:rsid w:val="00E41697"/>
    <w:rsid w:val="00E41A27"/>
    <w:rsid w:val="00E43500"/>
    <w:rsid w:val="00E43FEA"/>
    <w:rsid w:val="00E44790"/>
    <w:rsid w:val="00E44EB0"/>
    <w:rsid w:val="00E45B85"/>
    <w:rsid w:val="00E45C87"/>
    <w:rsid w:val="00E45D67"/>
    <w:rsid w:val="00E468E4"/>
    <w:rsid w:val="00E47DFB"/>
    <w:rsid w:val="00E5010E"/>
    <w:rsid w:val="00E511D5"/>
    <w:rsid w:val="00E52E94"/>
    <w:rsid w:val="00E531E0"/>
    <w:rsid w:val="00E53C35"/>
    <w:rsid w:val="00E543A4"/>
    <w:rsid w:val="00E5476A"/>
    <w:rsid w:val="00E55C46"/>
    <w:rsid w:val="00E56754"/>
    <w:rsid w:val="00E56A2C"/>
    <w:rsid w:val="00E6036F"/>
    <w:rsid w:val="00E606DB"/>
    <w:rsid w:val="00E61EB4"/>
    <w:rsid w:val="00E666D4"/>
    <w:rsid w:val="00E66E32"/>
    <w:rsid w:val="00E67059"/>
    <w:rsid w:val="00E679F6"/>
    <w:rsid w:val="00E7011A"/>
    <w:rsid w:val="00E70F24"/>
    <w:rsid w:val="00E71B63"/>
    <w:rsid w:val="00E722C9"/>
    <w:rsid w:val="00E726E6"/>
    <w:rsid w:val="00E73937"/>
    <w:rsid w:val="00E741E7"/>
    <w:rsid w:val="00E74566"/>
    <w:rsid w:val="00E753E4"/>
    <w:rsid w:val="00E7641F"/>
    <w:rsid w:val="00E77D96"/>
    <w:rsid w:val="00E80642"/>
    <w:rsid w:val="00E80C6A"/>
    <w:rsid w:val="00E81604"/>
    <w:rsid w:val="00E8163D"/>
    <w:rsid w:val="00E8197A"/>
    <w:rsid w:val="00E82F56"/>
    <w:rsid w:val="00E836D4"/>
    <w:rsid w:val="00E838F5"/>
    <w:rsid w:val="00E83DCA"/>
    <w:rsid w:val="00E84BCA"/>
    <w:rsid w:val="00E85950"/>
    <w:rsid w:val="00E85F5F"/>
    <w:rsid w:val="00E8650B"/>
    <w:rsid w:val="00E87CCC"/>
    <w:rsid w:val="00E901F8"/>
    <w:rsid w:val="00E90ADA"/>
    <w:rsid w:val="00E92216"/>
    <w:rsid w:val="00E92761"/>
    <w:rsid w:val="00E92F0A"/>
    <w:rsid w:val="00E93725"/>
    <w:rsid w:val="00E9407A"/>
    <w:rsid w:val="00E94312"/>
    <w:rsid w:val="00E94803"/>
    <w:rsid w:val="00E94870"/>
    <w:rsid w:val="00E95824"/>
    <w:rsid w:val="00E96094"/>
    <w:rsid w:val="00EA0345"/>
    <w:rsid w:val="00EA0627"/>
    <w:rsid w:val="00EA1597"/>
    <w:rsid w:val="00EA19E0"/>
    <w:rsid w:val="00EA3725"/>
    <w:rsid w:val="00EA4BCA"/>
    <w:rsid w:val="00EA4C55"/>
    <w:rsid w:val="00EA5770"/>
    <w:rsid w:val="00EA6E19"/>
    <w:rsid w:val="00EA7A46"/>
    <w:rsid w:val="00EA7AE0"/>
    <w:rsid w:val="00EA7E88"/>
    <w:rsid w:val="00EB0047"/>
    <w:rsid w:val="00EB0B0C"/>
    <w:rsid w:val="00EB2374"/>
    <w:rsid w:val="00EB280F"/>
    <w:rsid w:val="00EB2E11"/>
    <w:rsid w:val="00EB3917"/>
    <w:rsid w:val="00EB410A"/>
    <w:rsid w:val="00EB6222"/>
    <w:rsid w:val="00EB713E"/>
    <w:rsid w:val="00EC2AFA"/>
    <w:rsid w:val="00EC36CE"/>
    <w:rsid w:val="00EC41DD"/>
    <w:rsid w:val="00EC4E38"/>
    <w:rsid w:val="00EC542B"/>
    <w:rsid w:val="00EC6F1B"/>
    <w:rsid w:val="00EC7364"/>
    <w:rsid w:val="00EC7F91"/>
    <w:rsid w:val="00ED0FAE"/>
    <w:rsid w:val="00ED1BF0"/>
    <w:rsid w:val="00ED2DE9"/>
    <w:rsid w:val="00ED3430"/>
    <w:rsid w:val="00ED39D9"/>
    <w:rsid w:val="00ED3CD5"/>
    <w:rsid w:val="00ED3EAF"/>
    <w:rsid w:val="00ED3F71"/>
    <w:rsid w:val="00ED412E"/>
    <w:rsid w:val="00ED4A73"/>
    <w:rsid w:val="00EE02C8"/>
    <w:rsid w:val="00EE1ABF"/>
    <w:rsid w:val="00EE278D"/>
    <w:rsid w:val="00EE28AF"/>
    <w:rsid w:val="00EE357F"/>
    <w:rsid w:val="00EE41DF"/>
    <w:rsid w:val="00EE4263"/>
    <w:rsid w:val="00EE5839"/>
    <w:rsid w:val="00EE593F"/>
    <w:rsid w:val="00EE6034"/>
    <w:rsid w:val="00EE622B"/>
    <w:rsid w:val="00EE6308"/>
    <w:rsid w:val="00EF0615"/>
    <w:rsid w:val="00EF07C6"/>
    <w:rsid w:val="00EF092F"/>
    <w:rsid w:val="00EF0CEF"/>
    <w:rsid w:val="00EF297A"/>
    <w:rsid w:val="00EF2A2A"/>
    <w:rsid w:val="00EF2B65"/>
    <w:rsid w:val="00EF3026"/>
    <w:rsid w:val="00EF42A7"/>
    <w:rsid w:val="00EF42B1"/>
    <w:rsid w:val="00EF45CE"/>
    <w:rsid w:val="00EF4EAD"/>
    <w:rsid w:val="00EF5280"/>
    <w:rsid w:val="00EF56C2"/>
    <w:rsid w:val="00F0049E"/>
    <w:rsid w:val="00F00C8E"/>
    <w:rsid w:val="00F01495"/>
    <w:rsid w:val="00F028C0"/>
    <w:rsid w:val="00F02950"/>
    <w:rsid w:val="00F0419F"/>
    <w:rsid w:val="00F06771"/>
    <w:rsid w:val="00F07E7E"/>
    <w:rsid w:val="00F07E84"/>
    <w:rsid w:val="00F118E9"/>
    <w:rsid w:val="00F12783"/>
    <w:rsid w:val="00F12C09"/>
    <w:rsid w:val="00F14E15"/>
    <w:rsid w:val="00F15699"/>
    <w:rsid w:val="00F15AAA"/>
    <w:rsid w:val="00F161B9"/>
    <w:rsid w:val="00F22B60"/>
    <w:rsid w:val="00F24CBB"/>
    <w:rsid w:val="00F24F6E"/>
    <w:rsid w:val="00F25ABC"/>
    <w:rsid w:val="00F25BDE"/>
    <w:rsid w:val="00F264DB"/>
    <w:rsid w:val="00F2681C"/>
    <w:rsid w:val="00F2707B"/>
    <w:rsid w:val="00F2714E"/>
    <w:rsid w:val="00F27557"/>
    <w:rsid w:val="00F3031D"/>
    <w:rsid w:val="00F316A9"/>
    <w:rsid w:val="00F33E7F"/>
    <w:rsid w:val="00F34375"/>
    <w:rsid w:val="00F3687A"/>
    <w:rsid w:val="00F36F04"/>
    <w:rsid w:val="00F3761E"/>
    <w:rsid w:val="00F37D83"/>
    <w:rsid w:val="00F404FB"/>
    <w:rsid w:val="00F40CAA"/>
    <w:rsid w:val="00F41B1E"/>
    <w:rsid w:val="00F43166"/>
    <w:rsid w:val="00F44A61"/>
    <w:rsid w:val="00F4571D"/>
    <w:rsid w:val="00F45961"/>
    <w:rsid w:val="00F5034F"/>
    <w:rsid w:val="00F506A4"/>
    <w:rsid w:val="00F51E29"/>
    <w:rsid w:val="00F525A6"/>
    <w:rsid w:val="00F529CD"/>
    <w:rsid w:val="00F5315E"/>
    <w:rsid w:val="00F5371F"/>
    <w:rsid w:val="00F53C6B"/>
    <w:rsid w:val="00F54503"/>
    <w:rsid w:val="00F5464E"/>
    <w:rsid w:val="00F549CE"/>
    <w:rsid w:val="00F54D40"/>
    <w:rsid w:val="00F54EE7"/>
    <w:rsid w:val="00F553BC"/>
    <w:rsid w:val="00F554B1"/>
    <w:rsid w:val="00F56330"/>
    <w:rsid w:val="00F5687C"/>
    <w:rsid w:val="00F578E2"/>
    <w:rsid w:val="00F57C84"/>
    <w:rsid w:val="00F60144"/>
    <w:rsid w:val="00F61155"/>
    <w:rsid w:val="00F61AC1"/>
    <w:rsid w:val="00F61DF8"/>
    <w:rsid w:val="00F62510"/>
    <w:rsid w:val="00F62C7B"/>
    <w:rsid w:val="00F63387"/>
    <w:rsid w:val="00F6412B"/>
    <w:rsid w:val="00F641D1"/>
    <w:rsid w:val="00F64603"/>
    <w:rsid w:val="00F646F8"/>
    <w:rsid w:val="00F64D27"/>
    <w:rsid w:val="00F66D6D"/>
    <w:rsid w:val="00F67A88"/>
    <w:rsid w:val="00F7354D"/>
    <w:rsid w:val="00F742A3"/>
    <w:rsid w:val="00F75962"/>
    <w:rsid w:val="00F76662"/>
    <w:rsid w:val="00F772F7"/>
    <w:rsid w:val="00F775F2"/>
    <w:rsid w:val="00F777D3"/>
    <w:rsid w:val="00F77ACD"/>
    <w:rsid w:val="00F809A3"/>
    <w:rsid w:val="00F83B0D"/>
    <w:rsid w:val="00F83FA5"/>
    <w:rsid w:val="00F84AA6"/>
    <w:rsid w:val="00F85BBB"/>
    <w:rsid w:val="00F86BB3"/>
    <w:rsid w:val="00F90F25"/>
    <w:rsid w:val="00F92B5C"/>
    <w:rsid w:val="00F932BE"/>
    <w:rsid w:val="00F93A67"/>
    <w:rsid w:val="00F958CC"/>
    <w:rsid w:val="00F95F5A"/>
    <w:rsid w:val="00F96C22"/>
    <w:rsid w:val="00F977E9"/>
    <w:rsid w:val="00F97AF8"/>
    <w:rsid w:val="00FA0060"/>
    <w:rsid w:val="00FA02C9"/>
    <w:rsid w:val="00FA1EFD"/>
    <w:rsid w:val="00FA2CDC"/>
    <w:rsid w:val="00FA407E"/>
    <w:rsid w:val="00FA427E"/>
    <w:rsid w:val="00FA4411"/>
    <w:rsid w:val="00FA50A7"/>
    <w:rsid w:val="00FA6870"/>
    <w:rsid w:val="00FA6B6C"/>
    <w:rsid w:val="00FA6C8E"/>
    <w:rsid w:val="00FA7166"/>
    <w:rsid w:val="00FA7AF6"/>
    <w:rsid w:val="00FB07C4"/>
    <w:rsid w:val="00FB1743"/>
    <w:rsid w:val="00FB1941"/>
    <w:rsid w:val="00FB1BDB"/>
    <w:rsid w:val="00FB272C"/>
    <w:rsid w:val="00FB2E5C"/>
    <w:rsid w:val="00FB409D"/>
    <w:rsid w:val="00FB5DFC"/>
    <w:rsid w:val="00FB65E0"/>
    <w:rsid w:val="00FB69D9"/>
    <w:rsid w:val="00FB752E"/>
    <w:rsid w:val="00FB7D4F"/>
    <w:rsid w:val="00FB7DDB"/>
    <w:rsid w:val="00FC0465"/>
    <w:rsid w:val="00FC2CF7"/>
    <w:rsid w:val="00FC36B7"/>
    <w:rsid w:val="00FC49F7"/>
    <w:rsid w:val="00FC4B36"/>
    <w:rsid w:val="00FC4F7C"/>
    <w:rsid w:val="00FC61F1"/>
    <w:rsid w:val="00FC677E"/>
    <w:rsid w:val="00FC6FC3"/>
    <w:rsid w:val="00FC7B75"/>
    <w:rsid w:val="00FC7E8D"/>
    <w:rsid w:val="00FD002A"/>
    <w:rsid w:val="00FD051B"/>
    <w:rsid w:val="00FD0A1C"/>
    <w:rsid w:val="00FD0BEC"/>
    <w:rsid w:val="00FD1170"/>
    <w:rsid w:val="00FD1290"/>
    <w:rsid w:val="00FD1374"/>
    <w:rsid w:val="00FD1446"/>
    <w:rsid w:val="00FD24AF"/>
    <w:rsid w:val="00FD2E9F"/>
    <w:rsid w:val="00FD2FA3"/>
    <w:rsid w:val="00FD30D3"/>
    <w:rsid w:val="00FD3525"/>
    <w:rsid w:val="00FD393B"/>
    <w:rsid w:val="00FD3F82"/>
    <w:rsid w:val="00FD4300"/>
    <w:rsid w:val="00FD4A54"/>
    <w:rsid w:val="00FD4D4E"/>
    <w:rsid w:val="00FD4E72"/>
    <w:rsid w:val="00FD59AA"/>
    <w:rsid w:val="00FD6745"/>
    <w:rsid w:val="00FD75E5"/>
    <w:rsid w:val="00FE14B3"/>
    <w:rsid w:val="00FE34D9"/>
    <w:rsid w:val="00FE5048"/>
    <w:rsid w:val="00FE519E"/>
    <w:rsid w:val="00FE610F"/>
    <w:rsid w:val="00FE6C50"/>
    <w:rsid w:val="00FE73E3"/>
    <w:rsid w:val="00FE7440"/>
    <w:rsid w:val="00FE7C22"/>
    <w:rsid w:val="00FF0128"/>
    <w:rsid w:val="00FF0ACE"/>
    <w:rsid w:val="00FF1A71"/>
    <w:rsid w:val="00FF1D0E"/>
    <w:rsid w:val="00FF2259"/>
    <w:rsid w:val="00FF32B0"/>
    <w:rsid w:val="00FF339F"/>
    <w:rsid w:val="00FF39C5"/>
    <w:rsid w:val="00FF4A8D"/>
    <w:rsid w:val="00FF53E5"/>
    <w:rsid w:val="00FF6B00"/>
    <w:rsid w:val="00FF78D9"/>
    <w:rsid w:val="00FF7E65"/>
    <w:rsid w:val="0185422C"/>
    <w:rsid w:val="01A71BAB"/>
    <w:rsid w:val="02C8BE81"/>
    <w:rsid w:val="02CFFE6B"/>
    <w:rsid w:val="02D57AE9"/>
    <w:rsid w:val="02E980CE"/>
    <w:rsid w:val="037FD314"/>
    <w:rsid w:val="03EBF1A5"/>
    <w:rsid w:val="04271DA7"/>
    <w:rsid w:val="0454C52A"/>
    <w:rsid w:val="04D7C4AD"/>
    <w:rsid w:val="056FBDE5"/>
    <w:rsid w:val="059D060E"/>
    <w:rsid w:val="05A1ACA2"/>
    <w:rsid w:val="05BBFB05"/>
    <w:rsid w:val="06E4DB2E"/>
    <w:rsid w:val="06EDC822"/>
    <w:rsid w:val="06FBE60A"/>
    <w:rsid w:val="07C5C526"/>
    <w:rsid w:val="07D98D41"/>
    <w:rsid w:val="07EF1E44"/>
    <w:rsid w:val="0882B513"/>
    <w:rsid w:val="08944A6B"/>
    <w:rsid w:val="089923F0"/>
    <w:rsid w:val="09257E5A"/>
    <w:rsid w:val="0A066F4E"/>
    <w:rsid w:val="0A4A3AE1"/>
    <w:rsid w:val="0A5BB212"/>
    <w:rsid w:val="0A73AD36"/>
    <w:rsid w:val="0A7B77AF"/>
    <w:rsid w:val="0AF57E94"/>
    <w:rsid w:val="0B077B4D"/>
    <w:rsid w:val="0B174F1E"/>
    <w:rsid w:val="0B2F2830"/>
    <w:rsid w:val="0B70BDFD"/>
    <w:rsid w:val="0B99767D"/>
    <w:rsid w:val="0BD67110"/>
    <w:rsid w:val="0C372BA2"/>
    <w:rsid w:val="0C9F9649"/>
    <w:rsid w:val="0CB76F94"/>
    <w:rsid w:val="0CC2AA36"/>
    <w:rsid w:val="0CD2CE82"/>
    <w:rsid w:val="0D0F0395"/>
    <w:rsid w:val="0D9D6133"/>
    <w:rsid w:val="0E05D8C2"/>
    <w:rsid w:val="0E16B0EB"/>
    <w:rsid w:val="0E73E738"/>
    <w:rsid w:val="0EE4CC82"/>
    <w:rsid w:val="0F39E98B"/>
    <w:rsid w:val="0F4298E1"/>
    <w:rsid w:val="0FCDC81A"/>
    <w:rsid w:val="0FEE9C44"/>
    <w:rsid w:val="1057D6EE"/>
    <w:rsid w:val="10BBF36D"/>
    <w:rsid w:val="10DB3F68"/>
    <w:rsid w:val="111F85B8"/>
    <w:rsid w:val="1151CE50"/>
    <w:rsid w:val="1177CF74"/>
    <w:rsid w:val="119756DC"/>
    <w:rsid w:val="12648A3D"/>
    <w:rsid w:val="1305AD33"/>
    <w:rsid w:val="134F6A08"/>
    <w:rsid w:val="13540088"/>
    <w:rsid w:val="13905F6E"/>
    <w:rsid w:val="13FD7896"/>
    <w:rsid w:val="14247927"/>
    <w:rsid w:val="144A5D34"/>
    <w:rsid w:val="150477BC"/>
    <w:rsid w:val="1506BE6F"/>
    <w:rsid w:val="154C124D"/>
    <w:rsid w:val="1582EB65"/>
    <w:rsid w:val="1655B6EC"/>
    <w:rsid w:val="16683DF5"/>
    <w:rsid w:val="16806B15"/>
    <w:rsid w:val="16BCCB31"/>
    <w:rsid w:val="16CBE7CF"/>
    <w:rsid w:val="16D7DB62"/>
    <w:rsid w:val="170CDFC2"/>
    <w:rsid w:val="1736E6F7"/>
    <w:rsid w:val="17808EB8"/>
    <w:rsid w:val="17CCCC26"/>
    <w:rsid w:val="181EC065"/>
    <w:rsid w:val="18AC3268"/>
    <w:rsid w:val="190EE639"/>
    <w:rsid w:val="193B4AD4"/>
    <w:rsid w:val="19D08095"/>
    <w:rsid w:val="1A5A1FA7"/>
    <w:rsid w:val="1AC153DA"/>
    <w:rsid w:val="1AD2F864"/>
    <w:rsid w:val="1B51F38B"/>
    <w:rsid w:val="1B6F2E11"/>
    <w:rsid w:val="1B9B90BE"/>
    <w:rsid w:val="1BF29FD6"/>
    <w:rsid w:val="1C04C7D8"/>
    <w:rsid w:val="1C71FDC9"/>
    <w:rsid w:val="1C7D7CA7"/>
    <w:rsid w:val="1D05EB5A"/>
    <w:rsid w:val="1D393497"/>
    <w:rsid w:val="1D6E5F48"/>
    <w:rsid w:val="1D848E53"/>
    <w:rsid w:val="1D8F28FA"/>
    <w:rsid w:val="1E1A3936"/>
    <w:rsid w:val="1E8E45CB"/>
    <w:rsid w:val="1EB30AC2"/>
    <w:rsid w:val="1EBB5689"/>
    <w:rsid w:val="1EF6EB23"/>
    <w:rsid w:val="1FA9C2EE"/>
    <w:rsid w:val="1FF7A5B6"/>
    <w:rsid w:val="2022ECB7"/>
    <w:rsid w:val="20657DA1"/>
    <w:rsid w:val="2072D980"/>
    <w:rsid w:val="218B3A68"/>
    <w:rsid w:val="21A34244"/>
    <w:rsid w:val="21E973DF"/>
    <w:rsid w:val="224A97AA"/>
    <w:rsid w:val="2286E628"/>
    <w:rsid w:val="22B3C1B7"/>
    <w:rsid w:val="22FE75CA"/>
    <w:rsid w:val="230F8AA1"/>
    <w:rsid w:val="23116E34"/>
    <w:rsid w:val="2364F705"/>
    <w:rsid w:val="23D5570C"/>
    <w:rsid w:val="2424F13B"/>
    <w:rsid w:val="24984A60"/>
    <w:rsid w:val="24A5C975"/>
    <w:rsid w:val="24C4C554"/>
    <w:rsid w:val="24F2CD00"/>
    <w:rsid w:val="255394D0"/>
    <w:rsid w:val="264CC96D"/>
    <w:rsid w:val="26509697"/>
    <w:rsid w:val="26B2A7B4"/>
    <w:rsid w:val="27048FE9"/>
    <w:rsid w:val="2718DD9F"/>
    <w:rsid w:val="273D952D"/>
    <w:rsid w:val="27A4A4E5"/>
    <w:rsid w:val="282AF9AF"/>
    <w:rsid w:val="286EF86D"/>
    <w:rsid w:val="287C35C3"/>
    <w:rsid w:val="29A74404"/>
    <w:rsid w:val="29B39D22"/>
    <w:rsid w:val="29EDDD82"/>
    <w:rsid w:val="2A67AD8C"/>
    <w:rsid w:val="2A8E0E8F"/>
    <w:rsid w:val="2AB06ED6"/>
    <w:rsid w:val="2AC90B11"/>
    <w:rsid w:val="2B0A5285"/>
    <w:rsid w:val="2B5D296F"/>
    <w:rsid w:val="2BB21C04"/>
    <w:rsid w:val="2CB7A5C3"/>
    <w:rsid w:val="2D52F548"/>
    <w:rsid w:val="2D5315A5"/>
    <w:rsid w:val="2DF00E93"/>
    <w:rsid w:val="2E26D603"/>
    <w:rsid w:val="2E325750"/>
    <w:rsid w:val="2E418A6E"/>
    <w:rsid w:val="2E800FE1"/>
    <w:rsid w:val="2E91504C"/>
    <w:rsid w:val="2F1B7BC5"/>
    <w:rsid w:val="2F5C4AAB"/>
    <w:rsid w:val="30009C81"/>
    <w:rsid w:val="3006B362"/>
    <w:rsid w:val="302FD9A8"/>
    <w:rsid w:val="31026A15"/>
    <w:rsid w:val="31C5FC94"/>
    <w:rsid w:val="3227BB74"/>
    <w:rsid w:val="322C6ED8"/>
    <w:rsid w:val="324035F4"/>
    <w:rsid w:val="32A59955"/>
    <w:rsid w:val="33919219"/>
    <w:rsid w:val="33C25E5D"/>
    <w:rsid w:val="33DBB6B2"/>
    <w:rsid w:val="33F09A8C"/>
    <w:rsid w:val="342E8269"/>
    <w:rsid w:val="34B0088C"/>
    <w:rsid w:val="3528BED4"/>
    <w:rsid w:val="36130217"/>
    <w:rsid w:val="36D19AEA"/>
    <w:rsid w:val="3719DE90"/>
    <w:rsid w:val="37F37DB6"/>
    <w:rsid w:val="38C5E98C"/>
    <w:rsid w:val="39232831"/>
    <w:rsid w:val="39664538"/>
    <w:rsid w:val="39A26266"/>
    <w:rsid w:val="39CDFF67"/>
    <w:rsid w:val="39FCAE5F"/>
    <w:rsid w:val="3A3F7B77"/>
    <w:rsid w:val="3A51DA9B"/>
    <w:rsid w:val="3A6AB698"/>
    <w:rsid w:val="3ABEF2E9"/>
    <w:rsid w:val="3AC2FBF7"/>
    <w:rsid w:val="3B7962A9"/>
    <w:rsid w:val="3B81E428"/>
    <w:rsid w:val="3B90D640"/>
    <w:rsid w:val="3BA608F7"/>
    <w:rsid w:val="3BC11BD9"/>
    <w:rsid w:val="3C1C66C5"/>
    <w:rsid w:val="3D2CF0F2"/>
    <w:rsid w:val="3D68E0E3"/>
    <w:rsid w:val="3DBD8F87"/>
    <w:rsid w:val="3E3948D8"/>
    <w:rsid w:val="3E58AEE5"/>
    <w:rsid w:val="3EFE50FB"/>
    <w:rsid w:val="3F539232"/>
    <w:rsid w:val="3F5746E0"/>
    <w:rsid w:val="402438AF"/>
    <w:rsid w:val="4033697A"/>
    <w:rsid w:val="40614E29"/>
    <w:rsid w:val="40B46C42"/>
    <w:rsid w:val="416950F7"/>
    <w:rsid w:val="41C5521A"/>
    <w:rsid w:val="41F262E5"/>
    <w:rsid w:val="422463F8"/>
    <w:rsid w:val="42558EFF"/>
    <w:rsid w:val="42C8FCB9"/>
    <w:rsid w:val="42E4669C"/>
    <w:rsid w:val="43292361"/>
    <w:rsid w:val="43AE9BFF"/>
    <w:rsid w:val="43DB0536"/>
    <w:rsid w:val="442E51B0"/>
    <w:rsid w:val="446FFE37"/>
    <w:rsid w:val="447B51FF"/>
    <w:rsid w:val="4496B09C"/>
    <w:rsid w:val="44BF2606"/>
    <w:rsid w:val="452441FC"/>
    <w:rsid w:val="453446D4"/>
    <w:rsid w:val="454F8A23"/>
    <w:rsid w:val="45511B15"/>
    <w:rsid w:val="455E62A4"/>
    <w:rsid w:val="4580371E"/>
    <w:rsid w:val="45CAF383"/>
    <w:rsid w:val="46137BD2"/>
    <w:rsid w:val="4636F35C"/>
    <w:rsid w:val="479D663D"/>
    <w:rsid w:val="4841443D"/>
    <w:rsid w:val="48686A09"/>
    <w:rsid w:val="48CD39F5"/>
    <w:rsid w:val="49309F56"/>
    <w:rsid w:val="497BF911"/>
    <w:rsid w:val="498D1FA7"/>
    <w:rsid w:val="49A82EC4"/>
    <w:rsid w:val="49C17421"/>
    <w:rsid w:val="49C269D2"/>
    <w:rsid w:val="49C584CB"/>
    <w:rsid w:val="49D3E332"/>
    <w:rsid w:val="49D8C687"/>
    <w:rsid w:val="49E8BD0E"/>
    <w:rsid w:val="4A22C20E"/>
    <w:rsid w:val="4A55CB7B"/>
    <w:rsid w:val="4A98CEC5"/>
    <w:rsid w:val="4AA343B7"/>
    <w:rsid w:val="4ABA1E25"/>
    <w:rsid w:val="4AE55584"/>
    <w:rsid w:val="4B05BA04"/>
    <w:rsid w:val="4B6F562F"/>
    <w:rsid w:val="4B7A0577"/>
    <w:rsid w:val="4B9A5736"/>
    <w:rsid w:val="4C28FABC"/>
    <w:rsid w:val="4C2F2A34"/>
    <w:rsid w:val="4C370D50"/>
    <w:rsid w:val="4C9712CF"/>
    <w:rsid w:val="4CC2BA81"/>
    <w:rsid w:val="4CE9E965"/>
    <w:rsid w:val="4D337AAD"/>
    <w:rsid w:val="4DC74030"/>
    <w:rsid w:val="4E6B26B5"/>
    <w:rsid w:val="4E8665AB"/>
    <w:rsid w:val="4F0E8661"/>
    <w:rsid w:val="4F37A4BA"/>
    <w:rsid w:val="4F8D9412"/>
    <w:rsid w:val="4FB4922D"/>
    <w:rsid w:val="4FC73FC8"/>
    <w:rsid w:val="4FF0A17D"/>
    <w:rsid w:val="503CC021"/>
    <w:rsid w:val="50C5AC26"/>
    <w:rsid w:val="50CF908E"/>
    <w:rsid w:val="50DC994A"/>
    <w:rsid w:val="5142F705"/>
    <w:rsid w:val="51718275"/>
    <w:rsid w:val="51AE27BF"/>
    <w:rsid w:val="5299FC79"/>
    <w:rsid w:val="52AB14D5"/>
    <w:rsid w:val="52C9FA11"/>
    <w:rsid w:val="52D4A133"/>
    <w:rsid w:val="531EF12C"/>
    <w:rsid w:val="535BE45A"/>
    <w:rsid w:val="5379E3CC"/>
    <w:rsid w:val="5392546F"/>
    <w:rsid w:val="5397DD30"/>
    <w:rsid w:val="53AA92EE"/>
    <w:rsid w:val="5428F61C"/>
    <w:rsid w:val="54D08CDB"/>
    <w:rsid w:val="54E2430F"/>
    <w:rsid w:val="55960EC5"/>
    <w:rsid w:val="55ABACBA"/>
    <w:rsid w:val="55F7F04E"/>
    <w:rsid w:val="56C5F923"/>
    <w:rsid w:val="56D154FC"/>
    <w:rsid w:val="56E14AE7"/>
    <w:rsid w:val="56F2E04E"/>
    <w:rsid w:val="57CDCC56"/>
    <w:rsid w:val="57D1ECAF"/>
    <w:rsid w:val="582AB82C"/>
    <w:rsid w:val="59A88933"/>
    <w:rsid w:val="59B39572"/>
    <w:rsid w:val="59BB4C4B"/>
    <w:rsid w:val="5A035327"/>
    <w:rsid w:val="5A074E7E"/>
    <w:rsid w:val="5A100E9C"/>
    <w:rsid w:val="5B5AC724"/>
    <w:rsid w:val="5B7B0D6F"/>
    <w:rsid w:val="5BCE65DC"/>
    <w:rsid w:val="5C816E6E"/>
    <w:rsid w:val="5C8EE94D"/>
    <w:rsid w:val="5CD1BFE2"/>
    <w:rsid w:val="5EBBAFE5"/>
    <w:rsid w:val="5EEE2DB9"/>
    <w:rsid w:val="5F23EFE6"/>
    <w:rsid w:val="5F55A326"/>
    <w:rsid w:val="5F8EF4C9"/>
    <w:rsid w:val="600CA488"/>
    <w:rsid w:val="60128366"/>
    <w:rsid w:val="60548B9C"/>
    <w:rsid w:val="60701DF3"/>
    <w:rsid w:val="616785E2"/>
    <w:rsid w:val="61E26165"/>
    <w:rsid w:val="62705A14"/>
    <w:rsid w:val="62A65B6C"/>
    <w:rsid w:val="62C3B40D"/>
    <w:rsid w:val="62C58DF4"/>
    <w:rsid w:val="63E90E73"/>
    <w:rsid w:val="646BA252"/>
    <w:rsid w:val="648AB489"/>
    <w:rsid w:val="64F36E18"/>
    <w:rsid w:val="654FF93D"/>
    <w:rsid w:val="657738EE"/>
    <w:rsid w:val="65EC9F03"/>
    <w:rsid w:val="662792C2"/>
    <w:rsid w:val="664C1AE2"/>
    <w:rsid w:val="6656F1F6"/>
    <w:rsid w:val="671274F2"/>
    <w:rsid w:val="67175A96"/>
    <w:rsid w:val="67793406"/>
    <w:rsid w:val="6781E912"/>
    <w:rsid w:val="6786A7EA"/>
    <w:rsid w:val="679B5561"/>
    <w:rsid w:val="67CACCAD"/>
    <w:rsid w:val="67E8B870"/>
    <w:rsid w:val="67F977C0"/>
    <w:rsid w:val="684D3A99"/>
    <w:rsid w:val="696419EC"/>
    <w:rsid w:val="698CA49C"/>
    <w:rsid w:val="69FD734E"/>
    <w:rsid w:val="6A34B833"/>
    <w:rsid w:val="6A679373"/>
    <w:rsid w:val="6A7D5A6B"/>
    <w:rsid w:val="6AA135F0"/>
    <w:rsid w:val="6AA90B27"/>
    <w:rsid w:val="6ACEE5C0"/>
    <w:rsid w:val="6B72DBDA"/>
    <w:rsid w:val="6BA56083"/>
    <w:rsid w:val="6C76543B"/>
    <w:rsid w:val="6CF0EC64"/>
    <w:rsid w:val="6D65608A"/>
    <w:rsid w:val="6DC06A4B"/>
    <w:rsid w:val="6E11A8AF"/>
    <w:rsid w:val="6E4800B5"/>
    <w:rsid w:val="6E58D7EE"/>
    <w:rsid w:val="6EFE43D4"/>
    <w:rsid w:val="6F518DED"/>
    <w:rsid w:val="6F87EA20"/>
    <w:rsid w:val="6FECEEEA"/>
    <w:rsid w:val="708E55DF"/>
    <w:rsid w:val="7091B9FE"/>
    <w:rsid w:val="70D277E6"/>
    <w:rsid w:val="712FCB4D"/>
    <w:rsid w:val="71568A61"/>
    <w:rsid w:val="715AFC90"/>
    <w:rsid w:val="71C91D2A"/>
    <w:rsid w:val="725C745B"/>
    <w:rsid w:val="7342BFE3"/>
    <w:rsid w:val="73519960"/>
    <w:rsid w:val="73F29433"/>
    <w:rsid w:val="7427B24A"/>
    <w:rsid w:val="74CA78FC"/>
    <w:rsid w:val="751883B6"/>
    <w:rsid w:val="753EB5EF"/>
    <w:rsid w:val="755A01D5"/>
    <w:rsid w:val="76DEB562"/>
    <w:rsid w:val="76E96841"/>
    <w:rsid w:val="771DF750"/>
    <w:rsid w:val="7769C117"/>
    <w:rsid w:val="77896D63"/>
    <w:rsid w:val="778FCF45"/>
    <w:rsid w:val="782F806D"/>
    <w:rsid w:val="78CE5B27"/>
    <w:rsid w:val="78D9BEEA"/>
    <w:rsid w:val="78FE35D8"/>
    <w:rsid w:val="796B035E"/>
    <w:rsid w:val="79A582E0"/>
    <w:rsid w:val="79BA1F89"/>
    <w:rsid w:val="79FE5BB4"/>
    <w:rsid w:val="7A35DEAD"/>
    <w:rsid w:val="7B02D539"/>
    <w:rsid w:val="7B56BA31"/>
    <w:rsid w:val="7B974817"/>
    <w:rsid w:val="7BEB1B46"/>
    <w:rsid w:val="7C0E6FBA"/>
    <w:rsid w:val="7C472A4E"/>
    <w:rsid w:val="7DE0BE4A"/>
    <w:rsid w:val="7DF498AB"/>
    <w:rsid w:val="7E679785"/>
    <w:rsid w:val="7EBAE6E2"/>
    <w:rsid w:val="7EC9041E"/>
    <w:rsid w:val="7EFFBA7D"/>
    <w:rsid w:val="7F35CF94"/>
    <w:rsid w:val="7F459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5FE020"/>
  <w15:docId w15:val="{59927EF1-2889-48EB-B0D9-66BF3B1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semiHidden/>
    <w:unhideWhenUsed/>
    <w:rsid w:val="002C4363"/>
    <w:rPr>
      <w:rFonts w:ascii="Tahoma" w:hAnsi="Tahoma" w:cs="Tahoma"/>
      <w:sz w:val="16"/>
      <w:szCs w:val="16"/>
    </w:rPr>
  </w:style>
  <w:style w:type="character" w:customStyle="1" w:styleId="BalloonTextChar">
    <w:name w:val="Balloon Text Char"/>
    <w:link w:val="BalloonText"/>
    <w:semiHidden/>
    <w:rsid w:val="002C4363"/>
    <w:rPr>
      <w:rFonts w:ascii="Tahoma" w:hAnsi="Tahoma" w:cs="Tahoma"/>
      <w:sz w:val="16"/>
      <w:szCs w:val="16"/>
    </w:rPr>
  </w:style>
  <w:style w:type="character" w:styleId="CommentReference">
    <w:name w:val="annotation reference"/>
    <w:semiHidden/>
    <w:unhideWhenUsed/>
    <w:rsid w:val="00A709CC"/>
    <w:rPr>
      <w:sz w:val="16"/>
      <w:szCs w:val="16"/>
    </w:rPr>
  </w:style>
  <w:style w:type="paragraph" w:styleId="CommentText">
    <w:name w:val="annotation text"/>
    <w:basedOn w:val="Normal"/>
    <w:link w:val="CommentTextChar"/>
    <w:unhideWhenUsed/>
    <w:rsid w:val="00A709CC"/>
    <w:rPr>
      <w:sz w:val="20"/>
      <w:szCs w:val="20"/>
    </w:rPr>
  </w:style>
  <w:style w:type="character" w:customStyle="1" w:styleId="CommentTextChar">
    <w:name w:val="Comment Text Char"/>
    <w:basedOn w:val="DefaultParagraphFont"/>
    <w:link w:val="CommentText"/>
    <w:rsid w:val="00A709CC"/>
  </w:style>
  <w:style w:type="paragraph" w:styleId="CommentSubject">
    <w:name w:val="annotation subject"/>
    <w:basedOn w:val="CommentText"/>
    <w:next w:val="CommentText"/>
    <w:link w:val="CommentSubjectChar"/>
    <w:semiHidden/>
    <w:unhideWhenUsed/>
    <w:rsid w:val="00A709CC"/>
    <w:rPr>
      <w:b/>
      <w:bCs/>
    </w:rPr>
  </w:style>
  <w:style w:type="character" w:customStyle="1" w:styleId="CommentSubjectChar">
    <w:name w:val="Comment Subject Char"/>
    <w:link w:val="CommentSubject"/>
    <w:semiHidden/>
    <w:rsid w:val="00A709CC"/>
    <w:rPr>
      <w:b/>
      <w:bCs/>
    </w:rPr>
  </w:style>
  <w:style w:type="paragraph" w:styleId="Revision">
    <w:name w:val="Revision"/>
    <w:hidden/>
    <w:uiPriority w:val="99"/>
    <w:semiHidden/>
    <w:rsid w:val="00765B3C"/>
    <w:rPr>
      <w:sz w:val="24"/>
      <w:szCs w:val="24"/>
    </w:rPr>
  </w:style>
  <w:style w:type="character" w:customStyle="1" w:styleId="UnresolvedMention1">
    <w:name w:val="Unresolved Mention1"/>
    <w:basedOn w:val="DefaultParagraphFont"/>
    <w:uiPriority w:val="99"/>
    <w:semiHidden/>
    <w:unhideWhenUsed/>
    <w:rsid w:val="0001244D"/>
    <w:rPr>
      <w:color w:val="808080"/>
      <w:shd w:val="clear" w:color="auto" w:fill="E6E6E6"/>
    </w:rPr>
  </w:style>
  <w:style w:type="paragraph" w:styleId="HTMLPreformatted">
    <w:name w:val="HTML Preformatted"/>
    <w:basedOn w:val="Normal"/>
    <w:link w:val="HTMLPreformattedChar"/>
    <w:rsid w:val="004E6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E63E7"/>
    <w:rPr>
      <w:rFonts w:ascii="Courier New" w:hAnsi="Courier New" w:cs="Courier New"/>
    </w:rPr>
  </w:style>
  <w:style w:type="paragraph" w:styleId="ListParagraph">
    <w:name w:val="List Paragraph"/>
    <w:basedOn w:val="Normal"/>
    <w:uiPriority w:val="34"/>
    <w:qFormat/>
    <w:rsid w:val="00AC3A1F"/>
    <w:pPr>
      <w:ind w:left="720"/>
      <w:contextualSpacing/>
    </w:pPr>
  </w:style>
  <w:style w:type="paragraph" w:styleId="FootnoteText">
    <w:name w:val="footnote text"/>
    <w:basedOn w:val="Normal"/>
    <w:link w:val="FootnoteTextChar"/>
    <w:uiPriority w:val="99"/>
    <w:semiHidden/>
    <w:unhideWhenUsed/>
    <w:rsid w:val="00B36A6C"/>
    <w:rPr>
      <w:sz w:val="20"/>
      <w:szCs w:val="20"/>
    </w:rPr>
  </w:style>
  <w:style w:type="character" w:customStyle="1" w:styleId="FootnoteTextChar">
    <w:name w:val="Footnote Text Char"/>
    <w:basedOn w:val="DefaultParagraphFont"/>
    <w:link w:val="FootnoteText"/>
    <w:uiPriority w:val="99"/>
    <w:semiHidden/>
    <w:rsid w:val="00B36A6C"/>
  </w:style>
  <w:style w:type="character" w:styleId="FootnoteReference">
    <w:name w:val="footnote reference"/>
    <w:basedOn w:val="DefaultParagraphFont"/>
    <w:uiPriority w:val="99"/>
    <w:semiHidden/>
    <w:unhideWhenUsed/>
    <w:rsid w:val="00B36A6C"/>
    <w:rPr>
      <w:vertAlign w:val="superscript"/>
    </w:rPr>
  </w:style>
  <w:style w:type="character" w:styleId="UnresolvedMention">
    <w:name w:val="Unresolved Mention"/>
    <w:basedOn w:val="DefaultParagraphFont"/>
    <w:uiPriority w:val="99"/>
    <w:semiHidden/>
    <w:unhideWhenUsed/>
    <w:rsid w:val="003709B3"/>
    <w:rPr>
      <w:color w:val="605E5C"/>
      <w:shd w:val="clear" w:color="auto" w:fill="E1DFDD"/>
    </w:rPr>
  </w:style>
  <w:style w:type="paragraph" w:customStyle="1" w:styleId="cond">
    <w:name w:val="cond"/>
    <w:basedOn w:val="Normal"/>
    <w:link w:val="condChar"/>
    <w:qFormat/>
    <w:rsid w:val="000909A4"/>
    <w:pPr>
      <w:spacing w:after="60"/>
    </w:pPr>
    <w:rPr>
      <w:rFonts w:ascii="Arial Narrow" w:eastAsia="Times" w:hAnsi="Arial Narrow"/>
      <w:iCs/>
    </w:rPr>
  </w:style>
  <w:style w:type="character" w:customStyle="1" w:styleId="condChar">
    <w:name w:val="cond Char"/>
    <w:link w:val="cond"/>
    <w:rsid w:val="000909A4"/>
    <w:rPr>
      <w:rFonts w:ascii="Arial Narrow" w:eastAsia="Times" w:hAnsi="Arial Narrow"/>
      <w:iCs/>
      <w:sz w:val="24"/>
      <w:szCs w:val="24"/>
    </w:rPr>
  </w:style>
  <w:style w:type="paragraph" w:customStyle="1" w:styleId="IEcNormalText">
    <w:name w:val="IEc Normal Text"/>
    <w:basedOn w:val="Normal"/>
    <w:link w:val="IEcNormalTextChar"/>
    <w:rsid w:val="00336AEB"/>
    <w:pPr>
      <w:spacing w:after="120" w:line="280" w:lineRule="exact"/>
    </w:pPr>
    <w:rPr>
      <w:rFonts w:eastAsia="Times"/>
      <w:sz w:val="22"/>
      <w:szCs w:val="20"/>
    </w:rPr>
  </w:style>
  <w:style w:type="character" w:customStyle="1" w:styleId="IEcNormalTextChar">
    <w:name w:val="IEc Normal Text Char"/>
    <w:link w:val="IEcNormalText"/>
    <w:rsid w:val="00336AEB"/>
    <w:rPr>
      <w:rFonts w:eastAsia="Times"/>
      <w:sz w:val="22"/>
    </w:rPr>
  </w:style>
  <w:style w:type="paragraph" w:styleId="BlockText">
    <w:name w:val="Block Text"/>
    <w:basedOn w:val="Normal"/>
    <w:rsid w:val="00336AEB"/>
    <w:pPr>
      <w:ind w:left="360" w:right="360"/>
      <w:jc w:val="both"/>
    </w:pPr>
    <w:rPr>
      <w:szCs w:val="20"/>
    </w:rPr>
  </w:style>
  <w:style w:type="character" w:customStyle="1" w:styleId="cf01">
    <w:name w:val="cf01"/>
    <w:basedOn w:val="DefaultParagraphFont"/>
    <w:rsid w:val="005F4C09"/>
    <w:rPr>
      <w:rFonts w:ascii="Segoe UI" w:hAnsi="Segoe UI" w:cs="Segoe UI" w:hint="default"/>
      <w:sz w:val="18"/>
      <w:szCs w:val="18"/>
    </w:rPr>
  </w:style>
  <w:style w:type="table" w:styleId="PlainTable1">
    <w:name w:val="Plain Table 1"/>
    <w:basedOn w:val="TableNormal"/>
    <w:uiPriority w:val="41"/>
    <w:rsid w:val="006A0A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
    <w:name w:val="msonormal"/>
    <w:basedOn w:val="Normal"/>
    <w:rsid w:val="006A0AC4"/>
    <w:pPr>
      <w:spacing w:before="100" w:beforeAutospacing="1" w:after="100" w:afterAutospacing="1"/>
    </w:pPr>
  </w:style>
  <w:style w:type="character" w:customStyle="1" w:styleId="HeaderChar">
    <w:name w:val="Header Char"/>
    <w:basedOn w:val="DefaultParagraphFont"/>
    <w:link w:val="Header"/>
    <w:rsid w:val="006A0AC4"/>
    <w:rPr>
      <w:sz w:val="24"/>
      <w:szCs w:val="24"/>
    </w:rPr>
  </w:style>
  <w:style w:type="character" w:customStyle="1" w:styleId="FooterChar">
    <w:name w:val="Footer Char"/>
    <w:basedOn w:val="DefaultParagraphFont"/>
    <w:link w:val="Footer"/>
    <w:rsid w:val="006A0AC4"/>
    <w:rPr>
      <w:sz w:val="24"/>
      <w:szCs w:val="24"/>
    </w:rPr>
  </w:style>
  <w:style w:type="paragraph" w:customStyle="1" w:styleId="QuickA">
    <w:name w:val="Quick A."/>
    <w:basedOn w:val="Normal"/>
    <w:rsid w:val="006A0AC4"/>
    <w:pPr>
      <w:widowControl w:val="0"/>
      <w:numPr>
        <w:numId w:val="17"/>
      </w:numPr>
      <w:tabs>
        <w:tab w:val="clear" w:pos="360"/>
      </w:tabs>
      <w:snapToGrid w:val="0"/>
      <w:ind w:left="360" w:hanging="360"/>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map/" TargetMode="External" /><Relationship Id="rId9" Type="http://schemas.openxmlformats.org/officeDocument/2006/relationships/hyperlink" Target="https://www.ncsl.org/about-state-legislatures/2024-legislator-compens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01d62d-b642-471d-9935-a884417d86ca" xsi:nil="true"/>
    <Expiration xmlns="2d06dc4c-d386-4abe-8260-cac4388c7be4" xsi:nil="true"/>
    <lcf76f155ced4ddcb4097134ff3c332f xmlns="2d06dc4c-d386-4abe-8260-cac4388c7b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B310927E34FC499CA964336D8A2EFA" ma:contentTypeVersion="13" ma:contentTypeDescription="Create a new document." ma:contentTypeScope="" ma:versionID="f8f7fe0d0fd84a19d915ea8d63748f4d">
  <xsd:schema xmlns:xsd="http://www.w3.org/2001/XMLSchema" xmlns:xs="http://www.w3.org/2001/XMLSchema" xmlns:p="http://schemas.microsoft.com/office/2006/metadata/properties" xmlns:ns2="2d06dc4c-d386-4abe-8260-cac4388c7be4" xmlns:ns3="9501d62d-b642-471d-9935-a884417d86ca" targetNamespace="http://schemas.microsoft.com/office/2006/metadata/properties" ma:root="true" ma:fieldsID="02083de4689fb05b3340b0e18f47cd50" ns2:_="" ns3:_="">
    <xsd:import namespace="2d06dc4c-d386-4abe-8260-cac4388c7be4"/>
    <xsd:import namespace="9501d62d-b642-471d-9935-a884417d8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6dc4c-d386-4abe-8260-cac4388c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Expiration" ma:index="19" nillable="true" ma:displayName="Expiration" ma:format="DateOnly" ma:internalName="Expir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01d62d-b642-471d-9935-a884417d8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36afc0-824a-409a-8d70-70fbea9fdb6c}" ma:internalName="TaxCatchAll" ma:showField="CatchAllData" ma:web="9501d62d-b642-471d-9935-a884417d8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D970-0FD6-4889-9194-2EDD2040092E}">
  <ds:schemaRefs>
    <ds:schemaRef ds:uri="http://purl.org/dc/dcmitype/"/>
    <ds:schemaRef ds:uri="http://purl.org/dc/elements/1.1/"/>
    <ds:schemaRef ds:uri="http://schemas.microsoft.com/office/infopath/2007/PartnerControls"/>
    <ds:schemaRef ds:uri="9501d62d-b642-471d-9935-a884417d86ca"/>
    <ds:schemaRef ds:uri="http://schemas.microsoft.com/office/2006/metadata/properties"/>
    <ds:schemaRef ds:uri="http://schemas.openxmlformats.org/package/2006/metadata/core-properties"/>
    <ds:schemaRef ds:uri="http://schemas.microsoft.com/office/2006/documentManagement/types"/>
    <ds:schemaRef ds:uri="2d06dc4c-d386-4abe-8260-cac4388c7be4"/>
    <ds:schemaRef ds:uri="http://www.w3.org/XML/1998/namespace"/>
    <ds:schemaRef ds:uri="http://purl.org/dc/terms/"/>
  </ds:schemaRefs>
</ds:datastoreItem>
</file>

<file path=customXml/itemProps2.xml><?xml version="1.0" encoding="utf-8"?>
<ds:datastoreItem xmlns:ds="http://schemas.openxmlformats.org/officeDocument/2006/customXml" ds:itemID="{7D959BC1-F2C2-4F0D-A52D-D6AF5370D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6dc4c-d386-4abe-8260-cac4388c7be4"/>
    <ds:schemaRef ds:uri="9501d62d-b642-471d-9935-a884417d8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A015C-76EE-4E5E-8AB2-58DBA01CD0F7}">
  <ds:schemaRefs>
    <ds:schemaRef ds:uri="http://schemas.microsoft.com/sharepoint/v3/contenttype/forms"/>
  </ds:schemaRefs>
</ds:datastoreItem>
</file>

<file path=customXml/itemProps4.xml><?xml version="1.0" encoding="utf-8"?>
<ds:datastoreItem xmlns:ds="http://schemas.openxmlformats.org/officeDocument/2006/customXml" ds:itemID="{B9221F6E-976F-4CDA-8745-02F77328B8E6}">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125</TotalTime>
  <Pages>19</Pages>
  <Words>5933</Words>
  <Characters>35457</Characters>
  <Application>Microsoft Office Word</Application>
  <DocSecurity>0</DocSecurity>
  <Lines>1611</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Biedron, Ingrid S</dc:creator>
  <cp:lastModifiedBy>AA</cp:lastModifiedBy>
  <cp:revision>9</cp:revision>
  <dcterms:created xsi:type="dcterms:W3CDTF">2026-04-27T18:26:00Z</dcterms:created>
  <dcterms:modified xsi:type="dcterms:W3CDTF">2026-05-01T15:42:00Z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0x010100BFB310927E34FC499CA964336D8A2EFA</vt:lpwstr>
  </property>
  <property fmtid="{D5CDD505-2E9C-101B-9397-08002B2CF9AE}" pid="3" name="docLang">
    <vt:lpwstr>en</vt:lpwstr>
  </property>
  <property fmtid="{D5CDD505-2E9C-101B-9397-08002B2CF9AE}" pid="4" name="MediaServiceImageTags">
    <vt:lpwstr/>
  </property>
</Properties>
</file>