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CF1D73" w:rsidP="00280EE3" w14:paraId="5103D573" w14:textId="77777777">
      <w:pPr>
        <w:pStyle w:val="Title"/>
        <w:rPr>
          <w:b/>
          <w:bCs/>
        </w:rPr>
      </w:pPr>
      <w:r w:rsidRPr="00CF1D73">
        <w:rPr>
          <w:b/>
          <w:bCs/>
        </w:rPr>
        <w:fldChar w:fldCharType="begin"/>
      </w:r>
      <w:r w:rsidRPr="00CF1D73">
        <w:rPr>
          <w:b/>
          <w:bCs/>
        </w:rPr>
        <w:instrText xml:space="preserve"> SEQ CHAPTER \h \r 1</w:instrText>
      </w:r>
      <w:r w:rsidR="00120387">
        <w:rPr>
          <w:b/>
          <w:bCs/>
        </w:rPr>
        <w:fldChar w:fldCharType="separate"/>
      </w:r>
      <w:r w:rsidRPr="00CF1D73">
        <w:rPr>
          <w:b/>
          <w:bCs/>
        </w:rPr>
        <w:fldChar w:fldCharType="end"/>
      </w:r>
      <w:r w:rsidRPr="00CF1D73">
        <w:rPr>
          <w:b/>
          <w:bCs/>
        </w:rPr>
        <w:t xml:space="preserve">Supporting Statement </w:t>
      </w:r>
      <w:r w:rsidRPr="00CF1D73" w:rsidR="007851E9">
        <w:rPr>
          <w:b/>
          <w:bCs/>
        </w:rPr>
        <w:t>A</w:t>
      </w:r>
    </w:p>
    <w:p w:rsidR="002C325E" w:rsidRPr="00CF1D73" w:rsidP="00280EE3" w14:paraId="1B20739F" w14:textId="77777777">
      <w:pPr>
        <w:pStyle w:val="Title"/>
        <w:rPr>
          <w:b/>
          <w:bCs/>
        </w:rPr>
      </w:pPr>
      <w:r w:rsidRPr="00CF1D73">
        <w:rPr>
          <w:b/>
          <w:bCs/>
        </w:rPr>
        <w:t>for paperwork reduction act submission</w:t>
      </w:r>
    </w:p>
    <w:p w:rsidR="002C325E" w:rsidRPr="00CF1D73" w:rsidP="006319A2" w14:paraId="4700623E" w14:textId="77777777">
      <w:pPr>
        <w:tabs>
          <w:tab w:val="left" w:pos="720"/>
        </w:tabs>
        <w:jc w:val="center"/>
        <w:rPr>
          <w:rFonts w:ascii="Arial" w:hAnsi="Arial" w:cs="Arial"/>
          <w:b/>
          <w:bCs/>
          <w:sz w:val="26"/>
          <w:szCs w:val="26"/>
          <w:highlight w:val="lightGray"/>
        </w:rPr>
      </w:pPr>
    </w:p>
    <w:p w:rsidR="009B359F" w:rsidRPr="00CF1D73" w:rsidP="002F3FA8" w14:paraId="74C5C94D" w14:textId="44F05CCA">
      <w:pPr>
        <w:pStyle w:val="Subtitle"/>
      </w:pPr>
      <w:r>
        <w:rPr>
          <w:rStyle w:val="normaltextrun"/>
          <w:color w:val="000000"/>
          <w:shd w:val="clear" w:color="auto" w:fill="FFFFFF"/>
        </w:rPr>
        <w:t>Pollinator Conservation Social Network Analysis Survey</w:t>
      </w:r>
      <w:r>
        <w:rPr>
          <w:rStyle w:val="eop"/>
          <w:color w:val="000000"/>
          <w:shd w:val="clear" w:color="auto" w:fill="FFFFFF"/>
        </w:rPr>
        <w:t> </w:t>
      </w:r>
    </w:p>
    <w:p w:rsidR="00295103" w:rsidRPr="00CF1D73" w:rsidP="00280EE3" w14:paraId="62C87493" w14:textId="5058F40C">
      <w:pPr>
        <w:pStyle w:val="Subtitle"/>
        <w:rPr>
          <w:sz w:val="22"/>
          <w:szCs w:val="22"/>
        </w:rPr>
      </w:pPr>
      <w:r w:rsidRPr="00CF1D73">
        <w:t xml:space="preserve">OMB Control Number </w:t>
      </w:r>
      <w:r w:rsidRPr="00CF1D73" w:rsidR="00AD5387">
        <w:t>1018-New</w:t>
      </w:r>
    </w:p>
    <w:p w:rsidR="009B359F" w:rsidRPr="00CF1D73" w:rsidP="006319A2" w14:paraId="3F2D10EE" w14:textId="77777777">
      <w:pPr>
        <w:tabs>
          <w:tab w:val="left" w:pos="720"/>
        </w:tabs>
        <w:jc w:val="center"/>
        <w:rPr>
          <w:rFonts w:ascii="Arial" w:hAnsi="Arial" w:cs="Arial"/>
          <w:sz w:val="22"/>
          <w:szCs w:val="22"/>
        </w:rPr>
      </w:pPr>
    </w:p>
    <w:p w:rsidR="006B6BDA" w:rsidRPr="00317DBA" w:rsidP="006B6BDA" w14:paraId="1F6BD8C8" w14:textId="77777777">
      <w:pPr>
        <w:tabs>
          <w:tab w:val="left" w:pos="360"/>
          <w:tab w:val="left" w:pos="720"/>
          <w:tab w:val="left" w:pos="1440"/>
        </w:tabs>
        <w:rPr>
          <w:rFonts w:ascii="Arial" w:hAnsi="Arial" w:cs="Arial"/>
          <w:sz w:val="22"/>
          <w:szCs w:val="22"/>
        </w:rPr>
      </w:pPr>
      <w:r w:rsidRPr="00317DBA">
        <w:rPr>
          <w:rFonts w:ascii="Arial" w:hAnsi="Arial" w:cs="Arial"/>
          <w:b/>
          <w:sz w:val="22"/>
          <w:szCs w:val="22"/>
        </w:rPr>
        <w:t>Terms of Clearance:</w:t>
      </w:r>
      <w:r w:rsidRPr="00317DBA">
        <w:rPr>
          <w:rFonts w:ascii="Arial" w:hAnsi="Arial" w:cs="Arial"/>
          <w:sz w:val="22"/>
          <w:szCs w:val="22"/>
        </w:rPr>
        <w:t xml:space="preserve">  This is a request for a new OMB control number.</w:t>
      </w:r>
    </w:p>
    <w:p w:rsidR="00295103" w:rsidRPr="00317DBA" w:rsidP="006319A2" w14:paraId="448422F9" w14:textId="77777777">
      <w:pPr>
        <w:tabs>
          <w:tab w:val="left" w:pos="720"/>
        </w:tabs>
        <w:rPr>
          <w:rFonts w:ascii="Arial" w:hAnsi="Arial" w:cs="Arial"/>
          <w:sz w:val="22"/>
          <w:szCs w:val="22"/>
        </w:rPr>
      </w:pPr>
    </w:p>
    <w:p w:rsidR="00295103" w:rsidRPr="00317DBA" w:rsidP="00280EE3" w14:paraId="1C3E75B0" w14:textId="77777777">
      <w:pPr>
        <w:pStyle w:val="Heading1"/>
      </w:pPr>
      <w:r w:rsidRPr="00317DBA">
        <w:t>1.</w:t>
      </w:r>
      <w:r w:rsidRPr="00317DBA">
        <w:tab/>
        <w:t>Explain the circumstances that make the collection of information necessary.  Identify any legal or administrative requirements that necessitate the collection</w:t>
      </w:r>
      <w:r w:rsidRPr="00317DBA" w:rsidR="000F3AF1">
        <w:t>.</w:t>
      </w:r>
    </w:p>
    <w:p w:rsidR="00E332B5" w:rsidRPr="00317DBA" w:rsidP="00E332B5" w14:paraId="24F7F1C7" w14:textId="77777777">
      <w:pPr>
        <w:rPr>
          <w:rFonts w:ascii="Arial" w:hAnsi="Arial" w:cs="Arial"/>
          <w:sz w:val="22"/>
          <w:szCs w:val="22"/>
        </w:rPr>
      </w:pPr>
    </w:p>
    <w:p w:rsidR="00E332B5" w:rsidRPr="00317DBA" w:rsidP="00E332B5" w14:paraId="0A782C48" w14:textId="147BEF0D">
      <w:pPr>
        <w:pStyle w:val="paragraph"/>
        <w:spacing w:before="0" w:beforeAutospacing="0" w:after="0" w:afterAutospacing="0"/>
        <w:textAlignment w:val="baseline"/>
        <w:rPr>
          <w:rFonts w:ascii="Arial" w:hAnsi="Arial" w:cs="Arial"/>
          <w:sz w:val="22"/>
          <w:szCs w:val="22"/>
        </w:rPr>
      </w:pPr>
      <w:r w:rsidRPr="00317DBA">
        <w:rPr>
          <w:rStyle w:val="normaltextrun"/>
          <w:rFonts w:ascii="Arial" w:hAnsi="Arial" w:cs="Arial"/>
          <w:sz w:val="22"/>
          <w:szCs w:val="22"/>
        </w:rPr>
        <w:t>The Fish and Wildlife Act of 1956 (16 U.S.C. 742d) designates the Department of the Interior as a key agency responsible for the conservation and protection of wildlife and fisheries resources in the United States</w:t>
      </w:r>
      <w:r w:rsidR="004A63CA">
        <w:rPr>
          <w:rStyle w:val="normaltextrun"/>
          <w:rFonts w:ascii="Arial" w:hAnsi="Arial" w:cs="Arial"/>
          <w:sz w:val="22"/>
          <w:szCs w:val="22"/>
        </w:rPr>
        <w:t xml:space="preserve"> (U.S.)</w:t>
      </w:r>
      <w:r w:rsidRPr="00317DBA">
        <w:rPr>
          <w:rStyle w:val="normaltextrun"/>
          <w:rFonts w:ascii="Arial" w:hAnsi="Arial" w:cs="Arial"/>
          <w:sz w:val="22"/>
          <w:szCs w:val="22"/>
        </w:rPr>
        <w:t xml:space="preserve">.  This responsibility dictates that we gather accurate data on conservation efforts through means such as research to improve the development, management, and advancement of efforts.  At the June 2022, Monarch Butterfly Summit, the Secretary of Interior announced that the U.S. Fish and Wildlife Service </w:t>
      </w:r>
      <w:r w:rsidRPr="00317DBA" w:rsidR="005A1210">
        <w:rPr>
          <w:rStyle w:val="normaltextrun"/>
          <w:rFonts w:ascii="Arial" w:hAnsi="Arial" w:cs="Arial"/>
          <w:sz w:val="22"/>
          <w:szCs w:val="22"/>
        </w:rPr>
        <w:t xml:space="preserve">(Service) </w:t>
      </w:r>
      <w:r w:rsidRPr="00317DBA">
        <w:rPr>
          <w:rStyle w:val="normaltextrun"/>
          <w:rFonts w:ascii="Arial" w:hAnsi="Arial" w:cs="Arial"/>
          <w:sz w:val="22"/>
          <w:szCs w:val="22"/>
        </w:rPr>
        <w:t>would establish a national Center for Pollinator Conservation</w:t>
      </w:r>
      <w:r w:rsidRPr="00317DBA" w:rsidR="005A1210">
        <w:rPr>
          <w:rStyle w:val="normaltextrun"/>
          <w:rFonts w:ascii="Arial" w:hAnsi="Arial" w:cs="Arial"/>
          <w:sz w:val="22"/>
          <w:szCs w:val="22"/>
        </w:rPr>
        <w:t xml:space="preserve"> (Center)</w:t>
      </w:r>
      <w:r w:rsidRPr="00317DBA">
        <w:rPr>
          <w:rStyle w:val="normaltextrun"/>
          <w:rFonts w:ascii="Arial" w:hAnsi="Arial" w:cs="Arial"/>
          <w:sz w:val="22"/>
          <w:szCs w:val="22"/>
        </w:rPr>
        <w:t xml:space="preserve">, funded through annual appropriations. </w:t>
      </w:r>
      <w:r w:rsidRPr="00317DBA" w:rsidR="005A1210">
        <w:rPr>
          <w:rStyle w:val="normaltextrun"/>
          <w:rFonts w:ascii="Arial" w:hAnsi="Arial" w:cs="Arial"/>
          <w:sz w:val="22"/>
          <w:szCs w:val="22"/>
        </w:rPr>
        <w:t xml:space="preserve"> </w:t>
      </w:r>
      <w:r w:rsidRPr="00317DBA">
        <w:rPr>
          <w:rStyle w:val="normaltextrun"/>
          <w:rFonts w:ascii="Arial" w:hAnsi="Arial" w:cs="Arial"/>
          <w:sz w:val="22"/>
          <w:szCs w:val="22"/>
        </w:rPr>
        <w:t xml:space="preserve">The Center would serve as a science and collaboration hub across internal Service programs and regions as well as with external agencies and partners. </w:t>
      </w:r>
      <w:r w:rsidRPr="00317DBA" w:rsidR="005A1210">
        <w:rPr>
          <w:rStyle w:val="normaltextrun"/>
          <w:rFonts w:ascii="Arial" w:hAnsi="Arial" w:cs="Arial"/>
          <w:sz w:val="22"/>
          <w:szCs w:val="22"/>
        </w:rPr>
        <w:t xml:space="preserve"> </w:t>
      </w:r>
      <w:r w:rsidRPr="00317DBA">
        <w:rPr>
          <w:rStyle w:val="normaltextrun"/>
          <w:rFonts w:ascii="Arial" w:hAnsi="Arial" w:cs="Arial"/>
          <w:sz w:val="22"/>
          <w:szCs w:val="22"/>
        </w:rPr>
        <w:t>It would help direct conservation actions that can reverse declining pollinator population trends.</w:t>
      </w:r>
      <w:r w:rsidRPr="00317DBA">
        <w:rPr>
          <w:rStyle w:val="eop"/>
          <w:rFonts w:ascii="Arial" w:hAnsi="Arial" w:cs="Arial"/>
          <w:sz w:val="22"/>
          <w:szCs w:val="22"/>
        </w:rPr>
        <w:t> </w:t>
      </w:r>
    </w:p>
    <w:p w:rsidR="00E332B5" w:rsidRPr="00317DBA" w:rsidP="00E332B5" w14:paraId="3F47871F" w14:textId="77777777">
      <w:pPr>
        <w:pStyle w:val="paragraph"/>
        <w:spacing w:before="0" w:beforeAutospacing="0" w:after="0" w:afterAutospacing="0"/>
        <w:textAlignment w:val="baseline"/>
        <w:rPr>
          <w:rFonts w:ascii="Arial" w:hAnsi="Arial" w:cs="Arial"/>
          <w:sz w:val="22"/>
          <w:szCs w:val="22"/>
        </w:rPr>
      </w:pPr>
      <w:r w:rsidRPr="00317DBA">
        <w:rPr>
          <w:rStyle w:val="eop"/>
          <w:rFonts w:ascii="Arial" w:hAnsi="Arial" w:cs="Arial"/>
          <w:sz w:val="22"/>
          <w:szCs w:val="22"/>
        </w:rPr>
        <w:t> </w:t>
      </w:r>
    </w:p>
    <w:p w:rsidR="00E332B5" w:rsidRPr="00317DBA" w:rsidP="00E332B5" w14:paraId="3617763F" w14:textId="04494D87">
      <w:pPr>
        <w:pStyle w:val="paragraph"/>
        <w:spacing w:before="0" w:beforeAutospacing="0" w:after="0" w:afterAutospacing="0"/>
        <w:textAlignment w:val="baseline"/>
        <w:rPr>
          <w:rFonts w:ascii="Arial" w:hAnsi="Arial" w:cs="Arial"/>
          <w:sz w:val="22"/>
          <w:szCs w:val="22"/>
        </w:rPr>
      </w:pPr>
      <w:r w:rsidRPr="00317DBA">
        <w:rPr>
          <w:rStyle w:val="normaltextrun"/>
          <w:rFonts w:ascii="Arial" w:hAnsi="Arial" w:cs="Arial"/>
          <w:sz w:val="22"/>
          <w:szCs w:val="22"/>
        </w:rPr>
        <w:t xml:space="preserve">The Center is seeking to conduct a social network analysis to collect information regarding the structure and functions of pollinator networks throughout the country, key influencers and network clusters, network gaps, and the diffusion of information across the broad pollinator conservation community. </w:t>
      </w:r>
      <w:r w:rsidRPr="00317DBA" w:rsidR="005A1210">
        <w:rPr>
          <w:rStyle w:val="normaltextrun"/>
          <w:rFonts w:ascii="Arial" w:hAnsi="Arial" w:cs="Arial"/>
          <w:sz w:val="22"/>
          <w:szCs w:val="22"/>
        </w:rPr>
        <w:t xml:space="preserve"> </w:t>
      </w:r>
      <w:r w:rsidRPr="00317DBA">
        <w:rPr>
          <w:rStyle w:val="normaltextrun"/>
          <w:rFonts w:ascii="Arial" w:hAnsi="Arial" w:cs="Arial"/>
          <w:sz w:val="22"/>
          <w:szCs w:val="22"/>
        </w:rPr>
        <w:t>The proposed survey collects information necessary to support the Center’s role as a science and collaboration hub helping inform evidence-based decisions to create, sustain, and strengthen relationships and communication channels across individuals and organizations to increase awareness of, collaboration on, and efficacy of pollinator conservation efforts.</w:t>
      </w:r>
      <w:r w:rsidRPr="00317DBA">
        <w:rPr>
          <w:rStyle w:val="eop"/>
          <w:rFonts w:ascii="Arial" w:hAnsi="Arial" w:cs="Arial"/>
          <w:sz w:val="22"/>
          <w:szCs w:val="22"/>
        </w:rPr>
        <w:t> </w:t>
      </w:r>
    </w:p>
    <w:p w:rsidR="00E332B5" w:rsidRPr="00317DBA" w:rsidP="00E332B5" w14:paraId="5A9462B6" w14:textId="77777777">
      <w:pPr>
        <w:rPr>
          <w:rFonts w:ascii="Arial" w:hAnsi="Arial" w:cs="Arial"/>
          <w:sz w:val="22"/>
          <w:szCs w:val="22"/>
        </w:rPr>
      </w:pPr>
    </w:p>
    <w:p w:rsidR="00295103" w:rsidRPr="00317DBA" w:rsidP="00280EE3" w14:paraId="1994D7CB" w14:textId="77777777">
      <w:pPr>
        <w:pStyle w:val="Heading1"/>
      </w:pPr>
      <w:r w:rsidRPr="00317DBA">
        <w:t>2.</w:t>
      </w:r>
      <w:r w:rsidRPr="00317DBA">
        <w:tab/>
        <w:t xml:space="preserve">Indicate how, by whom, and for what purpose the information is to be used.  Except for a new collection, indicate the actual use the agency has made of the information received from the current collection. </w:t>
      </w:r>
      <w:r w:rsidRPr="00317DBA" w:rsidR="00DE1FFE">
        <w:t xml:space="preserve"> </w:t>
      </w:r>
      <w:r w:rsidRPr="00317DBA">
        <w:t xml:space="preserve">Be specific.  If this collection is a form or a questionnaire, every </w:t>
      </w:r>
      <w:r w:rsidRPr="00317DBA" w:rsidR="00DE1FFE">
        <w:t>question needs to be justified.</w:t>
      </w:r>
    </w:p>
    <w:p w:rsidR="00295103" w:rsidRPr="00317DBA" w:rsidP="006319A2" w14:paraId="7E27489B" w14:textId="77777777">
      <w:pPr>
        <w:tabs>
          <w:tab w:val="left" w:pos="360"/>
          <w:tab w:val="left" w:pos="720"/>
        </w:tabs>
        <w:rPr>
          <w:rFonts w:ascii="Arial" w:hAnsi="Arial" w:cs="Arial"/>
          <w:sz w:val="22"/>
          <w:szCs w:val="22"/>
        </w:rPr>
      </w:pPr>
    </w:p>
    <w:p w:rsidR="009A4BE8" w:rsidRPr="00317DBA" w:rsidP="009A4BE8" w14:paraId="55D7DB97" w14:textId="7C4645DC">
      <w:pPr>
        <w:pStyle w:val="paragraph"/>
        <w:spacing w:before="0" w:beforeAutospacing="0" w:after="0" w:afterAutospacing="0"/>
        <w:textAlignment w:val="baseline"/>
        <w:rPr>
          <w:rFonts w:ascii="Arial" w:hAnsi="Arial" w:cs="Arial"/>
          <w:sz w:val="22"/>
          <w:szCs w:val="22"/>
        </w:rPr>
      </w:pPr>
      <w:r w:rsidRPr="00317DBA">
        <w:rPr>
          <w:rFonts w:ascii="Arial" w:hAnsi="Arial" w:cs="Arial"/>
          <w:sz w:val="22"/>
          <w:szCs w:val="22"/>
        </w:rPr>
        <w:t xml:space="preserve">The </w:t>
      </w:r>
      <w:r w:rsidRPr="00317DBA" w:rsidR="005A1210">
        <w:rPr>
          <w:rFonts w:ascii="Arial" w:hAnsi="Arial" w:cs="Arial"/>
          <w:sz w:val="22"/>
          <w:szCs w:val="22"/>
        </w:rPr>
        <w:t xml:space="preserve">Center </w:t>
      </w:r>
      <w:r w:rsidRPr="00317DBA">
        <w:rPr>
          <w:rFonts w:ascii="Arial" w:hAnsi="Arial" w:cs="Arial"/>
          <w:sz w:val="22"/>
          <w:szCs w:val="22"/>
        </w:rPr>
        <w:t xml:space="preserve">is seeking to conduct a social network analysis to collect information regarding </w:t>
      </w:r>
      <w:r w:rsidRPr="00317DBA">
        <w:rPr>
          <w:rStyle w:val="normaltextrun"/>
          <w:rFonts w:ascii="Arial" w:hAnsi="Arial" w:cs="Arial"/>
          <w:sz w:val="22"/>
          <w:szCs w:val="22"/>
        </w:rPr>
        <w:t xml:space="preserve">the structure and functions of pollinator networks throughout the country, key influencers and network clusters, network gaps, and the diffusion of information across the broad pollinator conservation community. </w:t>
      </w:r>
      <w:r w:rsidRPr="00317DBA" w:rsidR="005A1210">
        <w:rPr>
          <w:rStyle w:val="normaltextrun"/>
          <w:rFonts w:ascii="Arial" w:hAnsi="Arial" w:cs="Arial"/>
          <w:sz w:val="22"/>
          <w:szCs w:val="22"/>
        </w:rPr>
        <w:t xml:space="preserve"> </w:t>
      </w:r>
      <w:r w:rsidRPr="00317DBA">
        <w:rPr>
          <w:rStyle w:val="normaltextrun"/>
          <w:rFonts w:ascii="Arial" w:hAnsi="Arial" w:cs="Arial"/>
          <w:sz w:val="22"/>
          <w:szCs w:val="22"/>
        </w:rPr>
        <w:t>The proposed survey collects information necessary to support the Center’s role as a science and collaboration hub helping inform evidence-based decisions to create, sustain, and strengthen relationships and communication channels across individuals and organizations to increase awareness of, collaboration on, and efficacy of pollinator conservation efforts.</w:t>
      </w:r>
      <w:r w:rsidRPr="00317DBA">
        <w:rPr>
          <w:rStyle w:val="eop"/>
          <w:rFonts w:ascii="Arial" w:hAnsi="Arial" w:cs="Arial"/>
          <w:sz w:val="22"/>
          <w:szCs w:val="22"/>
        </w:rPr>
        <w:t> </w:t>
      </w:r>
    </w:p>
    <w:p w:rsidR="00807094" w:rsidRPr="00317DBA" w:rsidP="00807094" w14:paraId="70D1F1BC" w14:textId="551020EC">
      <w:pPr>
        <w:tabs>
          <w:tab w:val="left" w:pos="360"/>
          <w:tab w:val="left" w:pos="720"/>
        </w:tabs>
        <w:rPr>
          <w:rFonts w:ascii="Arial" w:hAnsi="Arial" w:cs="Arial"/>
          <w:sz w:val="22"/>
          <w:szCs w:val="22"/>
        </w:rPr>
      </w:pPr>
    </w:p>
    <w:p w:rsidR="000F6920" w:rsidRPr="00317DBA" w:rsidP="00807094" w14:paraId="0D0462B4" w14:textId="360CFF94">
      <w:pPr>
        <w:tabs>
          <w:tab w:val="left" w:pos="360"/>
          <w:tab w:val="left" w:pos="720"/>
        </w:tabs>
        <w:rPr>
          <w:rFonts w:ascii="Arial" w:hAnsi="Arial" w:cs="Arial"/>
          <w:sz w:val="22"/>
          <w:szCs w:val="22"/>
        </w:rPr>
      </w:pPr>
      <w:r w:rsidRPr="00317DBA">
        <w:rPr>
          <w:rFonts w:ascii="Arial" w:hAnsi="Arial" w:cs="Arial"/>
          <w:sz w:val="22"/>
          <w:szCs w:val="22"/>
        </w:rPr>
        <w:t xml:space="preserve">Respondents will include members of organizations (e.g., </w:t>
      </w:r>
      <w:r w:rsidRPr="00317DBA" w:rsidR="005A1210">
        <w:rPr>
          <w:rFonts w:ascii="Arial" w:hAnsi="Arial" w:cs="Arial"/>
          <w:sz w:val="22"/>
          <w:szCs w:val="22"/>
        </w:rPr>
        <w:t>F</w:t>
      </w:r>
      <w:r w:rsidRPr="00317DBA">
        <w:rPr>
          <w:rFonts w:ascii="Arial" w:hAnsi="Arial" w:cs="Arial"/>
          <w:sz w:val="22"/>
          <w:szCs w:val="22"/>
        </w:rPr>
        <w:t xml:space="preserve">ederal, </w:t>
      </w:r>
      <w:r w:rsidRPr="00317DBA" w:rsidR="005A1210">
        <w:rPr>
          <w:rFonts w:ascii="Arial" w:hAnsi="Arial" w:cs="Arial"/>
          <w:sz w:val="22"/>
          <w:szCs w:val="22"/>
        </w:rPr>
        <w:t>S</w:t>
      </w:r>
      <w:r w:rsidRPr="00317DBA">
        <w:rPr>
          <w:rFonts w:ascii="Arial" w:hAnsi="Arial" w:cs="Arial"/>
          <w:sz w:val="22"/>
          <w:szCs w:val="22"/>
        </w:rPr>
        <w:t xml:space="preserve">tate, Tribal, NGO, academic, private sector, etc.) that work on pollinator conservation efforts throughout North America, with primary focus in the </w:t>
      </w:r>
      <w:r w:rsidR="004A63CA">
        <w:rPr>
          <w:rFonts w:ascii="Arial" w:hAnsi="Arial" w:cs="Arial"/>
          <w:sz w:val="22"/>
          <w:szCs w:val="22"/>
        </w:rPr>
        <w:t>U.S</w:t>
      </w:r>
      <w:r w:rsidRPr="00317DBA">
        <w:rPr>
          <w:rFonts w:ascii="Arial" w:hAnsi="Arial" w:cs="Arial"/>
          <w:sz w:val="22"/>
          <w:szCs w:val="22"/>
        </w:rPr>
        <w:t xml:space="preserve">. </w:t>
      </w:r>
    </w:p>
    <w:p w:rsidR="005A1210" w:rsidRPr="00317DBA" w:rsidP="00807094" w14:paraId="3E02332B" w14:textId="77777777">
      <w:pPr>
        <w:tabs>
          <w:tab w:val="left" w:pos="360"/>
          <w:tab w:val="left" w:pos="720"/>
        </w:tabs>
        <w:rPr>
          <w:rFonts w:ascii="Arial" w:hAnsi="Arial" w:cs="Arial"/>
          <w:sz w:val="22"/>
          <w:szCs w:val="22"/>
        </w:rPr>
      </w:pPr>
    </w:p>
    <w:p w:rsidR="00807094" w:rsidRPr="00317DBA" w:rsidP="00807094" w14:paraId="5356F37F" w14:textId="4017C68C">
      <w:pPr>
        <w:tabs>
          <w:tab w:val="left" w:pos="360"/>
          <w:tab w:val="left" w:pos="720"/>
        </w:tabs>
        <w:rPr>
          <w:rFonts w:ascii="Arial" w:hAnsi="Arial" w:cs="Arial"/>
          <w:sz w:val="22"/>
          <w:szCs w:val="22"/>
        </w:rPr>
      </w:pPr>
      <w:r w:rsidRPr="00317DBA">
        <w:rPr>
          <w:rFonts w:ascii="Arial" w:hAnsi="Arial" w:cs="Arial"/>
          <w:color w:val="333333"/>
          <w:sz w:val="22"/>
          <w:szCs w:val="22"/>
          <w:shd w:val="clear" w:color="auto" w:fill="FFFFFF"/>
        </w:rPr>
        <w:t>In addition to an overview of the survey (Section 1), the proposed survey collects the following information:</w:t>
      </w:r>
    </w:p>
    <w:p w:rsidR="00E85299" w:rsidRPr="00317DBA" w:rsidP="00807094" w14:paraId="730731CF" w14:textId="77777777">
      <w:pPr>
        <w:tabs>
          <w:tab w:val="left" w:pos="360"/>
          <w:tab w:val="left" w:pos="720"/>
        </w:tabs>
        <w:rPr>
          <w:rFonts w:ascii="Arial" w:hAnsi="Arial" w:cs="Arial"/>
          <w:sz w:val="22"/>
          <w:szCs w:val="22"/>
        </w:rPr>
      </w:pPr>
    </w:p>
    <w:p w:rsidR="00E85299" w:rsidRPr="00317DBA" w:rsidP="00E85299" w14:paraId="792F0028" w14:textId="359DFFDD">
      <w:pPr>
        <w:pStyle w:val="ListParagraph"/>
        <w:widowControl/>
        <w:numPr>
          <w:ilvl w:val="0"/>
          <w:numId w:val="6"/>
        </w:numPr>
        <w:tabs>
          <w:tab w:val="left" w:pos="450"/>
        </w:tabs>
        <w:autoSpaceDE/>
        <w:autoSpaceDN/>
        <w:adjustRightInd/>
        <w:rPr>
          <w:rFonts w:ascii="Arial" w:hAnsi="Arial" w:cs="Arial"/>
          <w:sz w:val="22"/>
          <w:szCs w:val="22"/>
        </w:rPr>
      </w:pPr>
      <w:r w:rsidRPr="00317DBA">
        <w:rPr>
          <w:rFonts w:ascii="Arial" w:hAnsi="Arial" w:cs="Arial"/>
          <w:sz w:val="22"/>
          <w:szCs w:val="22"/>
        </w:rPr>
        <w:t>Overview of organization and its involvement in pollinator conservation efforts (Section 2)</w:t>
      </w:r>
    </w:p>
    <w:p w:rsidR="00D45648" w:rsidRPr="00317DBA" w:rsidP="005A1210" w14:paraId="49DD1B33" w14:textId="000472DE">
      <w:pPr>
        <w:pStyle w:val="ListParagraph"/>
        <w:widowControl/>
        <w:numPr>
          <w:ilvl w:val="1"/>
          <w:numId w:val="8"/>
        </w:numPr>
        <w:tabs>
          <w:tab w:val="left" w:pos="450"/>
        </w:tabs>
        <w:autoSpaceDE/>
        <w:autoSpaceDN/>
        <w:adjustRightInd/>
        <w:rPr>
          <w:rFonts w:ascii="Arial" w:hAnsi="Arial" w:cs="Arial"/>
          <w:sz w:val="22"/>
          <w:szCs w:val="22"/>
        </w:rPr>
      </w:pPr>
      <w:r w:rsidRPr="00317DBA">
        <w:rPr>
          <w:rFonts w:ascii="Arial" w:hAnsi="Arial" w:cs="Arial"/>
          <w:sz w:val="22"/>
          <w:szCs w:val="22"/>
        </w:rPr>
        <w:t>Name of organization</w:t>
      </w:r>
    </w:p>
    <w:p w:rsidR="00C60E1D" w:rsidRPr="00317DBA" w:rsidP="005A1210" w14:paraId="2713F91C" w14:textId="49AFD85E">
      <w:pPr>
        <w:pStyle w:val="ListParagraph"/>
        <w:widowControl/>
        <w:numPr>
          <w:ilvl w:val="1"/>
          <w:numId w:val="8"/>
        </w:numPr>
        <w:tabs>
          <w:tab w:val="left" w:pos="450"/>
        </w:tabs>
        <w:autoSpaceDE/>
        <w:autoSpaceDN/>
        <w:adjustRightInd/>
        <w:rPr>
          <w:rFonts w:ascii="Arial" w:hAnsi="Arial" w:cs="Arial"/>
          <w:sz w:val="22"/>
          <w:szCs w:val="22"/>
        </w:rPr>
      </w:pPr>
      <w:r w:rsidRPr="00317DBA">
        <w:rPr>
          <w:rFonts w:ascii="Arial" w:hAnsi="Arial" w:cs="Arial"/>
          <w:sz w:val="22"/>
          <w:szCs w:val="22"/>
        </w:rPr>
        <w:t>Website of organization (if available)</w:t>
      </w:r>
    </w:p>
    <w:p w:rsidR="00C60E1D" w:rsidRPr="00317DBA" w:rsidP="005A1210" w14:paraId="47DEB384" w14:textId="7C6F3C90">
      <w:pPr>
        <w:pStyle w:val="ListParagraph"/>
        <w:widowControl/>
        <w:numPr>
          <w:ilvl w:val="1"/>
          <w:numId w:val="8"/>
        </w:numPr>
        <w:tabs>
          <w:tab w:val="left" w:pos="450"/>
        </w:tabs>
        <w:autoSpaceDE/>
        <w:autoSpaceDN/>
        <w:adjustRightInd/>
        <w:rPr>
          <w:rFonts w:ascii="Arial" w:hAnsi="Arial" w:cs="Arial"/>
          <w:sz w:val="22"/>
          <w:szCs w:val="22"/>
        </w:rPr>
      </w:pPr>
      <w:r w:rsidRPr="00317DBA">
        <w:rPr>
          <w:rFonts w:ascii="Arial" w:hAnsi="Arial" w:cs="Arial"/>
          <w:sz w:val="22"/>
          <w:szCs w:val="22"/>
        </w:rPr>
        <w:t>Sector of organization</w:t>
      </w:r>
    </w:p>
    <w:p w:rsidR="004F6954" w:rsidRPr="00317DBA" w:rsidP="005A1210" w14:paraId="31138537" w14:textId="636BC38B">
      <w:pPr>
        <w:pStyle w:val="ListParagraph"/>
        <w:widowControl/>
        <w:numPr>
          <w:ilvl w:val="1"/>
          <w:numId w:val="8"/>
        </w:numPr>
        <w:tabs>
          <w:tab w:val="left" w:pos="450"/>
        </w:tabs>
        <w:autoSpaceDE/>
        <w:autoSpaceDN/>
        <w:adjustRightInd/>
        <w:rPr>
          <w:rFonts w:ascii="Arial" w:hAnsi="Arial" w:cs="Arial"/>
          <w:sz w:val="22"/>
          <w:szCs w:val="22"/>
        </w:rPr>
      </w:pPr>
      <w:r w:rsidRPr="00317DBA">
        <w:rPr>
          <w:rFonts w:ascii="Arial" w:hAnsi="Arial" w:cs="Arial"/>
          <w:sz w:val="22"/>
          <w:szCs w:val="22"/>
        </w:rPr>
        <w:t>Organizational s</w:t>
      </w:r>
      <w:r w:rsidRPr="00317DBA" w:rsidR="004F6045">
        <w:rPr>
          <w:rFonts w:ascii="Arial" w:hAnsi="Arial" w:cs="Arial"/>
          <w:sz w:val="22"/>
          <w:szCs w:val="22"/>
        </w:rPr>
        <w:t xml:space="preserve">ustained focus on pollinator conservation </w:t>
      </w:r>
    </w:p>
    <w:p w:rsidR="004F6045" w:rsidRPr="00317DBA" w:rsidP="005A1210" w14:paraId="0FCBB695" w14:textId="6DBC6607">
      <w:pPr>
        <w:pStyle w:val="ListParagraph"/>
        <w:widowControl/>
        <w:numPr>
          <w:ilvl w:val="1"/>
          <w:numId w:val="8"/>
        </w:numPr>
        <w:tabs>
          <w:tab w:val="left" w:pos="450"/>
        </w:tabs>
        <w:autoSpaceDE/>
        <w:autoSpaceDN/>
        <w:adjustRightInd/>
        <w:rPr>
          <w:rFonts w:ascii="Arial" w:hAnsi="Arial" w:cs="Arial"/>
          <w:sz w:val="22"/>
          <w:szCs w:val="22"/>
        </w:rPr>
      </w:pPr>
      <w:r w:rsidRPr="00317DBA">
        <w:rPr>
          <w:rFonts w:ascii="Arial" w:hAnsi="Arial" w:cs="Arial"/>
          <w:sz w:val="22"/>
          <w:szCs w:val="22"/>
        </w:rPr>
        <w:t xml:space="preserve">Organizational </w:t>
      </w:r>
      <w:r w:rsidRPr="00317DBA" w:rsidR="00E35C66">
        <w:rPr>
          <w:rFonts w:ascii="Arial" w:hAnsi="Arial" w:cs="Arial"/>
          <w:sz w:val="22"/>
          <w:szCs w:val="22"/>
        </w:rPr>
        <w:t>capacity d</w:t>
      </w:r>
      <w:r w:rsidRPr="00317DBA" w:rsidR="00A41129">
        <w:rPr>
          <w:rFonts w:ascii="Arial" w:hAnsi="Arial" w:cs="Arial"/>
          <w:sz w:val="22"/>
          <w:szCs w:val="22"/>
        </w:rPr>
        <w:t xml:space="preserve">edicated to pollinator </w:t>
      </w:r>
      <w:r w:rsidRPr="00317DBA" w:rsidR="00E81051">
        <w:rPr>
          <w:rFonts w:ascii="Arial" w:hAnsi="Arial" w:cs="Arial"/>
          <w:sz w:val="22"/>
          <w:szCs w:val="22"/>
        </w:rPr>
        <w:t>conservation</w:t>
      </w:r>
    </w:p>
    <w:p w:rsidR="00D305F9" w:rsidRPr="00317DBA" w:rsidP="005A1210" w14:paraId="533D1748" w14:textId="7B53483E">
      <w:pPr>
        <w:pStyle w:val="ListParagraph"/>
        <w:widowControl/>
        <w:numPr>
          <w:ilvl w:val="1"/>
          <w:numId w:val="8"/>
        </w:numPr>
        <w:tabs>
          <w:tab w:val="left" w:pos="450"/>
        </w:tabs>
        <w:autoSpaceDE/>
        <w:autoSpaceDN/>
        <w:adjustRightInd/>
        <w:rPr>
          <w:rFonts w:ascii="Arial" w:hAnsi="Arial" w:cs="Arial"/>
          <w:sz w:val="22"/>
          <w:szCs w:val="22"/>
        </w:rPr>
      </w:pPr>
      <w:r w:rsidRPr="00317DBA">
        <w:rPr>
          <w:rFonts w:ascii="Arial" w:hAnsi="Arial" w:cs="Arial"/>
          <w:sz w:val="22"/>
          <w:szCs w:val="22"/>
        </w:rPr>
        <w:t>Organizational pollinator conservation priorities</w:t>
      </w:r>
    </w:p>
    <w:p w:rsidR="00E71DD7" w:rsidRPr="00317DBA" w:rsidP="005A1210" w14:paraId="4FE6FFEA" w14:textId="0EC0C5A1">
      <w:pPr>
        <w:pStyle w:val="ListParagraph"/>
        <w:widowControl/>
        <w:numPr>
          <w:ilvl w:val="1"/>
          <w:numId w:val="8"/>
        </w:numPr>
        <w:tabs>
          <w:tab w:val="left" w:pos="450"/>
        </w:tabs>
        <w:autoSpaceDE/>
        <w:autoSpaceDN/>
        <w:adjustRightInd/>
        <w:rPr>
          <w:rFonts w:ascii="Arial" w:hAnsi="Arial" w:cs="Arial"/>
          <w:sz w:val="22"/>
          <w:szCs w:val="22"/>
        </w:rPr>
      </w:pPr>
      <w:r w:rsidRPr="00317DBA">
        <w:rPr>
          <w:rFonts w:ascii="Arial" w:hAnsi="Arial" w:cs="Arial"/>
          <w:sz w:val="22"/>
          <w:szCs w:val="22"/>
        </w:rPr>
        <w:t xml:space="preserve">Organizational pollinator conservation </w:t>
      </w:r>
      <w:r w:rsidRPr="00317DBA" w:rsidR="000C5D29">
        <w:rPr>
          <w:rFonts w:ascii="Arial" w:hAnsi="Arial" w:cs="Arial"/>
          <w:sz w:val="22"/>
          <w:szCs w:val="22"/>
        </w:rPr>
        <w:t>primary focus</w:t>
      </w:r>
    </w:p>
    <w:p w:rsidR="000C5D29" w:rsidRPr="00317DBA" w:rsidP="005A1210" w14:paraId="50514DAB" w14:textId="74052517">
      <w:pPr>
        <w:pStyle w:val="ListParagraph"/>
        <w:widowControl/>
        <w:numPr>
          <w:ilvl w:val="1"/>
          <w:numId w:val="8"/>
        </w:numPr>
        <w:tabs>
          <w:tab w:val="left" w:pos="450"/>
        </w:tabs>
        <w:autoSpaceDE/>
        <w:autoSpaceDN/>
        <w:adjustRightInd/>
        <w:rPr>
          <w:rFonts w:ascii="Arial" w:hAnsi="Arial" w:cs="Arial"/>
          <w:sz w:val="22"/>
          <w:szCs w:val="22"/>
        </w:rPr>
      </w:pPr>
      <w:r w:rsidRPr="00317DBA">
        <w:rPr>
          <w:rFonts w:ascii="Arial" w:hAnsi="Arial" w:cs="Arial"/>
          <w:sz w:val="22"/>
          <w:szCs w:val="22"/>
        </w:rPr>
        <w:t xml:space="preserve">Organizational pollinator conservation </w:t>
      </w:r>
      <w:r w:rsidRPr="00317DBA" w:rsidR="00B11B14">
        <w:rPr>
          <w:rFonts w:ascii="Arial" w:hAnsi="Arial" w:cs="Arial"/>
          <w:sz w:val="22"/>
          <w:szCs w:val="22"/>
        </w:rPr>
        <w:t xml:space="preserve">services </w:t>
      </w:r>
      <w:r w:rsidRPr="00317DBA" w:rsidR="00E81051">
        <w:rPr>
          <w:rFonts w:ascii="Arial" w:hAnsi="Arial" w:cs="Arial"/>
          <w:sz w:val="22"/>
          <w:szCs w:val="22"/>
        </w:rPr>
        <w:t>provided</w:t>
      </w:r>
    </w:p>
    <w:p w:rsidR="00E81051" w:rsidRPr="00317DBA" w:rsidP="005A1210" w14:paraId="612C3C99" w14:textId="350318F2">
      <w:pPr>
        <w:pStyle w:val="ListParagraph"/>
        <w:widowControl/>
        <w:numPr>
          <w:ilvl w:val="1"/>
          <w:numId w:val="8"/>
        </w:numPr>
        <w:tabs>
          <w:tab w:val="left" w:pos="450"/>
        </w:tabs>
        <w:autoSpaceDE/>
        <w:autoSpaceDN/>
        <w:adjustRightInd/>
        <w:rPr>
          <w:rFonts w:ascii="Arial" w:hAnsi="Arial" w:cs="Arial"/>
          <w:sz w:val="22"/>
          <w:szCs w:val="22"/>
        </w:rPr>
      </w:pPr>
      <w:r w:rsidRPr="00317DBA">
        <w:rPr>
          <w:rFonts w:ascii="Arial" w:hAnsi="Arial" w:cs="Arial"/>
          <w:sz w:val="22"/>
          <w:szCs w:val="22"/>
        </w:rPr>
        <w:t>Organizational pollinator conservation services needed</w:t>
      </w:r>
    </w:p>
    <w:p w:rsidR="00E85299" w:rsidRPr="00317DBA" w:rsidP="00E85299" w14:paraId="1B25F8AB" w14:textId="0F8D1FFC">
      <w:pPr>
        <w:pStyle w:val="ListParagraph"/>
        <w:widowControl/>
        <w:numPr>
          <w:ilvl w:val="0"/>
          <w:numId w:val="6"/>
        </w:numPr>
        <w:tabs>
          <w:tab w:val="left" w:pos="450"/>
        </w:tabs>
        <w:autoSpaceDE/>
        <w:autoSpaceDN/>
        <w:adjustRightInd/>
        <w:rPr>
          <w:rFonts w:ascii="Arial" w:hAnsi="Arial" w:cs="Arial"/>
          <w:sz w:val="22"/>
          <w:szCs w:val="22"/>
        </w:rPr>
      </w:pPr>
      <w:r w:rsidRPr="00317DBA">
        <w:rPr>
          <w:rFonts w:ascii="Arial" w:hAnsi="Arial" w:cs="Arial"/>
          <w:sz w:val="22"/>
          <w:szCs w:val="22"/>
        </w:rPr>
        <w:t>Pollinator conservation collaboration, including identification of collaborative organizations and collaboration types (Section 3)</w:t>
      </w:r>
    </w:p>
    <w:p w:rsidR="00D45648" w:rsidRPr="00317DBA" w:rsidP="005A1210" w14:paraId="00390FCE" w14:textId="4BAE2D75">
      <w:pPr>
        <w:pStyle w:val="ListParagraph"/>
        <w:widowControl/>
        <w:numPr>
          <w:ilvl w:val="1"/>
          <w:numId w:val="9"/>
        </w:numPr>
        <w:tabs>
          <w:tab w:val="left" w:pos="450"/>
        </w:tabs>
        <w:autoSpaceDE/>
        <w:autoSpaceDN/>
        <w:adjustRightInd/>
        <w:rPr>
          <w:rFonts w:ascii="Arial" w:hAnsi="Arial" w:cs="Arial"/>
          <w:sz w:val="22"/>
          <w:szCs w:val="22"/>
        </w:rPr>
      </w:pPr>
      <w:r w:rsidRPr="00317DBA">
        <w:rPr>
          <w:rFonts w:ascii="Arial" w:hAnsi="Arial" w:cs="Arial"/>
          <w:sz w:val="22"/>
          <w:szCs w:val="22"/>
        </w:rPr>
        <w:t>Scale of organizational pollinator conservation work</w:t>
      </w:r>
    </w:p>
    <w:p w:rsidR="004B70FF" w:rsidRPr="00317DBA" w:rsidP="005A1210" w14:paraId="0ED20353" w14:textId="23E40B21">
      <w:pPr>
        <w:pStyle w:val="ListParagraph"/>
        <w:widowControl/>
        <w:numPr>
          <w:ilvl w:val="1"/>
          <w:numId w:val="9"/>
        </w:numPr>
        <w:tabs>
          <w:tab w:val="left" w:pos="450"/>
        </w:tabs>
        <w:autoSpaceDE/>
        <w:autoSpaceDN/>
        <w:adjustRightInd/>
        <w:rPr>
          <w:rFonts w:ascii="Arial" w:hAnsi="Arial" w:cs="Arial"/>
          <w:sz w:val="22"/>
          <w:szCs w:val="22"/>
        </w:rPr>
      </w:pPr>
      <w:r w:rsidRPr="00317DBA">
        <w:rPr>
          <w:rFonts w:ascii="Arial" w:hAnsi="Arial" w:cs="Arial"/>
          <w:sz w:val="22"/>
          <w:szCs w:val="22"/>
        </w:rPr>
        <w:t xml:space="preserve">Identification of </w:t>
      </w:r>
      <w:r w:rsidRPr="00317DBA" w:rsidR="001831A2">
        <w:rPr>
          <w:rFonts w:ascii="Arial" w:hAnsi="Arial" w:cs="Arial"/>
          <w:sz w:val="22"/>
          <w:szCs w:val="22"/>
        </w:rPr>
        <w:t xml:space="preserve">organizational pollinator conservation collaborators </w:t>
      </w:r>
      <w:r w:rsidRPr="00317DBA" w:rsidR="001831A2">
        <w:rPr>
          <w:rFonts w:ascii="Arial" w:hAnsi="Arial" w:cs="Arial"/>
          <w:sz w:val="22"/>
          <w:szCs w:val="22"/>
        </w:rPr>
        <w:t>a</w:t>
      </w:r>
      <w:r w:rsidRPr="00317DBA" w:rsidR="001831A2">
        <w:rPr>
          <w:rFonts w:ascii="Arial" w:hAnsi="Arial" w:cs="Arial"/>
          <w:sz w:val="22"/>
          <w:szCs w:val="22"/>
        </w:rPr>
        <w:t xml:space="preserve"> applicable scales</w:t>
      </w:r>
    </w:p>
    <w:p w:rsidR="001A6C0A" w:rsidRPr="00317DBA" w:rsidP="005A1210" w14:paraId="485DD8E5" w14:textId="367926B2">
      <w:pPr>
        <w:pStyle w:val="ListParagraph"/>
        <w:widowControl/>
        <w:numPr>
          <w:ilvl w:val="1"/>
          <w:numId w:val="9"/>
        </w:numPr>
        <w:tabs>
          <w:tab w:val="left" w:pos="450"/>
        </w:tabs>
        <w:autoSpaceDE/>
        <w:autoSpaceDN/>
        <w:adjustRightInd/>
        <w:rPr>
          <w:rFonts w:ascii="Arial" w:hAnsi="Arial" w:cs="Arial"/>
          <w:sz w:val="22"/>
          <w:szCs w:val="22"/>
        </w:rPr>
      </w:pPr>
      <w:r w:rsidRPr="00317DBA">
        <w:rPr>
          <w:rFonts w:ascii="Arial" w:hAnsi="Arial" w:cs="Arial"/>
          <w:sz w:val="22"/>
          <w:szCs w:val="22"/>
        </w:rPr>
        <w:t xml:space="preserve">Identification of </w:t>
      </w:r>
      <w:r w:rsidRPr="00317DBA" w:rsidR="00557311">
        <w:rPr>
          <w:rFonts w:ascii="Arial" w:hAnsi="Arial" w:cs="Arial"/>
          <w:sz w:val="22"/>
          <w:szCs w:val="22"/>
        </w:rPr>
        <w:t>pollinator conservation issue(s) at focus of each collaboration identified</w:t>
      </w:r>
    </w:p>
    <w:p w:rsidR="009C6971" w:rsidRPr="00317DBA" w:rsidP="005A1210" w14:paraId="0CA4F4D5" w14:textId="053C3706">
      <w:pPr>
        <w:pStyle w:val="ListParagraph"/>
        <w:widowControl/>
        <w:numPr>
          <w:ilvl w:val="1"/>
          <w:numId w:val="9"/>
        </w:numPr>
        <w:tabs>
          <w:tab w:val="left" w:pos="450"/>
        </w:tabs>
        <w:autoSpaceDE/>
        <w:autoSpaceDN/>
        <w:adjustRightInd/>
        <w:rPr>
          <w:rFonts w:ascii="Arial" w:hAnsi="Arial" w:cs="Arial"/>
          <w:sz w:val="22"/>
          <w:szCs w:val="22"/>
        </w:rPr>
      </w:pPr>
      <w:r w:rsidRPr="00317DBA">
        <w:rPr>
          <w:rFonts w:ascii="Arial" w:hAnsi="Arial" w:cs="Arial"/>
          <w:sz w:val="22"/>
          <w:szCs w:val="22"/>
        </w:rPr>
        <w:t xml:space="preserve">Contact </w:t>
      </w:r>
      <w:r w:rsidRPr="00317DBA" w:rsidR="00281FDB">
        <w:rPr>
          <w:rFonts w:ascii="Arial" w:hAnsi="Arial" w:cs="Arial"/>
          <w:sz w:val="22"/>
          <w:szCs w:val="22"/>
        </w:rPr>
        <w:t>emails for identified (for Researchers to invite to participate in the survey)</w:t>
      </w:r>
    </w:p>
    <w:p w:rsidR="00607136" w:rsidRPr="00317DBA" w:rsidP="005A1210" w14:paraId="3568720E" w14:textId="19427C73">
      <w:pPr>
        <w:pStyle w:val="ListParagraph"/>
        <w:numPr>
          <w:ilvl w:val="1"/>
          <w:numId w:val="9"/>
        </w:numPr>
        <w:tabs>
          <w:tab w:val="left" w:pos="360"/>
          <w:tab w:val="left" w:pos="720"/>
        </w:tabs>
        <w:rPr>
          <w:rFonts w:ascii="Arial" w:hAnsi="Arial" w:cs="Arial"/>
          <w:sz w:val="22"/>
          <w:szCs w:val="22"/>
        </w:rPr>
      </w:pPr>
      <w:r w:rsidRPr="00317DBA">
        <w:rPr>
          <w:rFonts w:ascii="Arial" w:hAnsi="Arial" w:cs="Arial"/>
          <w:sz w:val="22"/>
          <w:szCs w:val="22"/>
        </w:rPr>
        <w:t>Identification of forums or venues used to exchange knowledge and information</w:t>
      </w:r>
      <w:r w:rsidRPr="00317DBA" w:rsidR="009627E9">
        <w:rPr>
          <w:rFonts w:ascii="Arial" w:hAnsi="Arial" w:cs="Arial"/>
          <w:sz w:val="22"/>
          <w:szCs w:val="22"/>
        </w:rPr>
        <w:t xml:space="preserve"> about pollinator conservation</w:t>
      </w:r>
    </w:p>
    <w:p w:rsidR="00D45648" w:rsidRPr="00317DBA" w:rsidP="00FF753F" w14:paraId="391DC870" w14:textId="1A7F7FBF">
      <w:pPr>
        <w:pStyle w:val="ListParagraph"/>
        <w:widowControl/>
        <w:numPr>
          <w:ilvl w:val="0"/>
          <w:numId w:val="6"/>
        </w:numPr>
        <w:tabs>
          <w:tab w:val="left" w:pos="450"/>
        </w:tabs>
        <w:autoSpaceDE/>
        <w:autoSpaceDN/>
        <w:adjustRightInd/>
        <w:rPr>
          <w:rFonts w:ascii="Arial" w:hAnsi="Arial" w:cs="Arial"/>
          <w:sz w:val="22"/>
          <w:szCs w:val="22"/>
        </w:rPr>
      </w:pPr>
      <w:r w:rsidRPr="00317DBA">
        <w:rPr>
          <w:rFonts w:ascii="Arial" w:hAnsi="Arial" w:cs="Arial"/>
          <w:sz w:val="22"/>
          <w:szCs w:val="22"/>
        </w:rPr>
        <w:t>Network characteristics, including how organizations work together and potential barriers (Section 4).</w:t>
      </w:r>
      <w:r w:rsidRPr="00317DBA">
        <w:rPr>
          <w:rFonts w:ascii="Arial" w:hAnsi="Arial" w:cs="Arial"/>
          <w:sz w:val="22"/>
          <w:szCs w:val="22"/>
        </w:rPr>
        <w:tab/>
      </w:r>
    </w:p>
    <w:p w:rsidR="00FF753F" w:rsidRPr="00317DBA" w:rsidP="005A1210" w14:paraId="4E8A6ACE" w14:textId="362D1FD9">
      <w:pPr>
        <w:pStyle w:val="ListParagraph"/>
        <w:widowControl/>
        <w:numPr>
          <w:ilvl w:val="1"/>
          <w:numId w:val="10"/>
        </w:numPr>
        <w:tabs>
          <w:tab w:val="left" w:pos="450"/>
        </w:tabs>
        <w:autoSpaceDE/>
        <w:autoSpaceDN/>
        <w:adjustRightInd/>
        <w:rPr>
          <w:rFonts w:ascii="Arial" w:hAnsi="Arial" w:cs="Arial"/>
          <w:sz w:val="22"/>
          <w:szCs w:val="22"/>
        </w:rPr>
      </w:pPr>
      <w:r w:rsidRPr="00317DBA">
        <w:rPr>
          <w:rFonts w:ascii="Arial" w:hAnsi="Arial" w:cs="Arial"/>
          <w:sz w:val="22"/>
          <w:szCs w:val="22"/>
        </w:rPr>
        <w:t xml:space="preserve">Perspective of </w:t>
      </w:r>
      <w:r w:rsidRPr="00317DBA" w:rsidR="00BA57FB">
        <w:rPr>
          <w:rFonts w:ascii="Arial" w:hAnsi="Arial" w:cs="Arial"/>
          <w:sz w:val="22"/>
          <w:szCs w:val="22"/>
        </w:rPr>
        <w:t>agreement on shared goals (</w:t>
      </w:r>
      <w:r w:rsidRPr="00317DBA" w:rsidR="00A16886">
        <w:rPr>
          <w:rFonts w:ascii="Arial" w:hAnsi="Arial" w:cs="Arial"/>
          <w:sz w:val="22"/>
          <w:szCs w:val="22"/>
        </w:rPr>
        <w:t>direction)</w:t>
      </w:r>
      <w:r w:rsidRPr="00317DBA" w:rsidR="00C53BE4">
        <w:rPr>
          <w:rFonts w:ascii="Arial" w:hAnsi="Arial" w:cs="Arial"/>
          <w:sz w:val="22"/>
          <w:szCs w:val="22"/>
        </w:rPr>
        <w:t xml:space="preserve"> within identified collaborator network</w:t>
      </w:r>
    </w:p>
    <w:p w:rsidR="00C53BE4" w:rsidRPr="00317DBA" w:rsidP="005A1210" w14:paraId="5EAF780B" w14:textId="2A331CE1">
      <w:pPr>
        <w:pStyle w:val="ListParagraph"/>
        <w:widowControl/>
        <w:numPr>
          <w:ilvl w:val="1"/>
          <w:numId w:val="10"/>
        </w:numPr>
        <w:tabs>
          <w:tab w:val="left" w:pos="450"/>
        </w:tabs>
        <w:autoSpaceDE/>
        <w:autoSpaceDN/>
        <w:adjustRightInd/>
        <w:rPr>
          <w:rFonts w:ascii="Arial" w:hAnsi="Arial" w:cs="Arial"/>
          <w:sz w:val="22"/>
          <w:szCs w:val="22"/>
        </w:rPr>
      </w:pPr>
      <w:r w:rsidRPr="00317DBA">
        <w:rPr>
          <w:rFonts w:ascii="Arial" w:hAnsi="Arial" w:cs="Arial"/>
          <w:sz w:val="22"/>
          <w:szCs w:val="22"/>
        </w:rPr>
        <w:t>Perspective on</w:t>
      </w:r>
      <w:r w:rsidRPr="00317DBA">
        <w:rPr>
          <w:rFonts w:ascii="Arial" w:hAnsi="Arial" w:cs="Arial"/>
          <w:sz w:val="22"/>
          <w:szCs w:val="22"/>
        </w:rPr>
        <w:t xml:space="preserve"> coordination (alignment) within identified</w:t>
      </w:r>
      <w:r w:rsidRPr="00317DBA">
        <w:rPr>
          <w:rFonts w:ascii="Arial" w:hAnsi="Arial" w:cs="Arial"/>
          <w:sz w:val="22"/>
          <w:szCs w:val="22"/>
        </w:rPr>
        <w:t xml:space="preserve"> collaborator network</w:t>
      </w:r>
    </w:p>
    <w:p w:rsidR="00A16886" w:rsidRPr="00317DBA" w:rsidP="005A1210" w14:paraId="49F80AF3" w14:textId="64D60949">
      <w:pPr>
        <w:pStyle w:val="ListParagraph"/>
        <w:widowControl/>
        <w:numPr>
          <w:ilvl w:val="1"/>
          <w:numId w:val="10"/>
        </w:numPr>
        <w:tabs>
          <w:tab w:val="left" w:pos="450"/>
        </w:tabs>
        <w:autoSpaceDE/>
        <w:autoSpaceDN/>
        <w:adjustRightInd/>
        <w:rPr>
          <w:rFonts w:ascii="Arial" w:hAnsi="Arial" w:cs="Arial"/>
          <w:sz w:val="22"/>
          <w:szCs w:val="22"/>
        </w:rPr>
      </w:pPr>
      <w:r w:rsidRPr="00317DBA">
        <w:rPr>
          <w:rFonts w:ascii="Arial" w:hAnsi="Arial" w:cs="Arial"/>
          <w:sz w:val="22"/>
          <w:szCs w:val="22"/>
        </w:rPr>
        <w:t xml:space="preserve">Perspective on </w:t>
      </w:r>
      <w:r w:rsidRPr="00317DBA" w:rsidR="00504A59">
        <w:rPr>
          <w:rFonts w:ascii="Arial" w:hAnsi="Arial" w:cs="Arial"/>
          <w:sz w:val="22"/>
          <w:szCs w:val="22"/>
        </w:rPr>
        <w:t>mutual responsibility (commitment) within identified collaborator network</w:t>
      </w:r>
    </w:p>
    <w:p w:rsidR="0083557F" w:rsidRPr="00317DBA" w:rsidP="005A1210" w14:paraId="38D9CF25" w14:textId="783E36BF">
      <w:pPr>
        <w:pStyle w:val="ListParagraph"/>
        <w:widowControl/>
        <w:numPr>
          <w:ilvl w:val="1"/>
          <w:numId w:val="10"/>
        </w:numPr>
        <w:tabs>
          <w:tab w:val="left" w:pos="450"/>
        </w:tabs>
        <w:autoSpaceDE/>
        <w:autoSpaceDN/>
        <w:adjustRightInd/>
        <w:rPr>
          <w:rFonts w:ascii="Arial" w:hAnsi="Arial" w:cs="Arial"/>
          <w:sz w:val="22"/>
          <w:szCs w:val="22"/>
        </w:rPr>
      </w:pPr>
      <w:r w:rsidRPr="00317DBA">
        <w:rPr>
          <w:rFonts w:ascii="Arial" w:hAnsi="Arial" w:cs="Arial"/>
          <w:sz w:val="22"/>
          <w:szCs w:val="22"/>
        </w:rPr>
        <w:t>Barriers to collaboration within identified collaborator network</w:t>
      </w:r>
    </w:p>
    <w:p w:rsidR="00735CAA" w:rsidRPr="00317DBA" w:rsidP="005A1210" w14:paraId="126B57E4" w14:textId="26194019">
      <w:pPr>
        <w:pStyle w:val="ListParagraph"/>
        <w:numPr>
          <w:ilvl w:val="0"/>
          <w:numId w:val="3"/>
        </w:numPr>
        <w:tabs>
          <w:tab w:val="left" w:pos="360"/>
          <w:tab w:val="left" w:pos="720"/>
        </w:tabs>
        <w:rPr>
          <w:rFonts w:ascii="Arial" w:hAnsi="Arial" w:cs="Arial"/>
          <w:sz w:val="22"/>
          <w:szCs w:val="22"/>
        </w:rPr>
      </w:pPr>
      <w:r w:rsidRPr="00317DBA">
        <w:rPr>
          <w:rFonts w:ascii="Arial" w:hAnsi="Arial" w:cs="Arial"/>
          <w:sz w:val="22"/>
          <w:szCs w:val="22"/>
        </w:rPr>
        <w:t>Organizational information, including</w:t>
      </w:r>
      <w:r w:rsidRPr="00317DBA" w:rsidR="0015729E">
        <w:rPr>
          <w:rFonts w:ascii="Arial" w:hAnsi="Arial" w:cs="Arial"/>
          <w:sz w:val="22"/>
          <w:szCs w:val="22"/>
        </w:rPr>
        <w:t xml:space="preserve"> respondent</w:t>
      </w:r>
      <w:r w:rsidRPr="00317DBA">
        <w:rPr>
          <w:rFonts w:ascii="Arial" w:hAnsi="Arial" w:cs="Arial"/>
          <w:sz w:val="22"/>
          <w:szCs w:val="22"/>
        </w:rPr>
        <w:t xml:space="preserve"> </w:t>
      </w:r>
      <w:r w:rsidRPr="00317DBA" w:rsidR="008C746A">
        <w:rPr>
          <w:rFonts w:ascii="Arial" w:hAnsi="Arial" w:cs="Arial"/>
          <w:sz w:val="22"/>
          <w:szCs w:val="22"/>
        </w:rPr>
        <w:t>role</w:t>
      </w:r>
      <w:r w:rsidRPr="00317DBA" w:rsidR="0015729E">
        <w:rPr>
          <w:rFonts w:ascii="Arial" w:hAnsi="Arial" w:cs="Arial"/>
          <w:sz w:val="22"/>
          <w:szCs w:val="22"/>
        </w:rPr>
        <w:t xml:space="preserve">, interest in follow ups, and optional contact information </w:t>
      </w:r>
      <w:r w:rsidRPr="00317DBA">
        <w:rPr>
          <w:rFonts w:ascii="Arial" w:hAnsi="Arial" w:cs="Arial"/>
          <w:sz w:val="22"/>
          <w:szCs w:val="22"/>
        </w:rPr>
        <w:t>(Section 5).</w:t>
      </w:r>
    </w:p>
    <w:p w:rsidR="00735CAA" w:rsidRPr="00317DBA" w:rsidP="00735CAA" w14:paraId="247175D1" w14:textId="77777777">
      <w:pPr>
        <w:widowControl/>
        <w:numPr>
          <w:ilvl w:val="0"/>
          <w:numId w:val="3"/>
        </w:numPr>
        <w:shd w:val="clear" w:color="auto" w:fill="FFFFFF"/>
        <w:autoSpaceDE/>
        <w:autoSpaceDN/>
        <w:adjustRightInd/>
        <w:spacing w:before="100" w:beforeAutospacing="1" w:after="100" w:afterAutospacing="1"/>
        <w:rPr>
          <w:rFonts w:ascii="Arial" w:hAnsi="Arial" w:cs="Arial"/>
          <w:color w:val="333333"/>
          <w:sz w:val="22"/>
          <w:szCs w:val="22"/>
        </w:rPr>
      </w:pPr>
      <w:r w:rsidRPr="00317DBA">
        <w:rPr>
          <w:rFonts w:ascii="Arial" w:hAnsi="Arial" w:cs="Arial"/>
          <w:color w:val="333333"/>
          <w:sz w:val="22"/>
          <w:szCs w:val="22"/>
        </w:rPr>
        <w:t>Additional comments on the survey or pollinator conservation in general (Section 6).</w:t>
      </w:r>
    </w:p>
    <w:p w:rsidR="00D77451" w:rsidRPr="00317DBA" w:rsidP="00D77451" w14:paraId="1525A490" w14:textId="77777777">
      <w:pPr>
        <w:tabs>
          <w:tab w:val="left" w:pos="360"/>
          <w:tab w:val="left" w:pos="720"/>
        </w:tabs>
        <w:rPr>
          <w:rFonts w:ascii="Arial" w:hAnsi="Arial" w:cs="Arial"/>
          <w:sz w:val="22"/>
          <w:szCs w:val="22"/>
        </w:rPr>
      </w:pPr>
      <w:r w:rsidRPr="00317DBA">
        <w:rPr>
          <w:rFonts w:ascii="Arial" w:hAnsi="Arial" w:cs="Arial"/>
          <w:sz w:val="22"/>
          <w:szCs w:val="22"/>
        </w:rPr>
        <w:t>The information collected in this effort will be used to develop multiple products aimed at translating the data into information that can strengthen partnerships, identify gaps, and inform conservation decisions.</w:t>
      </w:r>
    </w:p>
    <w:p w:rsidR="00E85299" w:rsidRPr="00317DBA" w:rsidP="00807094" w14:paraId="2E6BD09E" w14:textId="77777777">
      <w:pPr>
        <w:tabs>
          <w:tab w:val="left" w:pos="360"/>
          <w:tab w:val="left" w:pos="720"/>
        </w:tabs>
        <w:rPr>
          <w:rFonts w:ascii="Arial" w:hAnsi="Arial" w:cs="Arial"/>
          <w:sz w:val="22"/>
          <w:szCs w:val="22"/>
        </w:rPr>
      </w:pPr>
    </w:p>
    <w:p w:rsidR="00295103" w:rsidRPr="00317DBA" w:rsidP="00280EE3" w14:paraId="14AACD64" w14:textId="77777777">
      <w:pPr>
        <w:pStyle w:val="Heading1"/>
      </w:pPr>
      <w:r w:rsidRPr="00317DBA">
        <w:t>3.</w:t>
      </w:r>
      <w:r w:rsidRPr="00317DBA">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Pr="00317DBA" w:rsidP="006319A2" w14:paraId="779620DC" w14:textId="77777777">
      <w:pPr>
        <w:tabs>
          <w:tab w:val="left" w:pos="360"/>
          <w:tab w:val="left" w:pos="720"/>
        </w:tabs>
        <w:rPr>
          <w:rFonts w:ascii="Arial" w:hAnsi="Arial" w:cs="Arial"/>
          <w:sz w:val="22"/>
          <w:szCs w:val="22"/>
        </w:rPr>
      </w:pPr>
    </w:p>
    <w:p w:rsidR="00251281" w:rsidRPr="00317DBA" w:rsidP="006319A2" w14:paraId="55778637" w14:textId="3CAA833B">
      <w:pPr>
        <w:tabs>
          <w:tab w:val="left" w:pos="360"/>
          <w:tab w:val="left" w:pos="720"/>
        </w:tabs>
        <w:rPr>
          <w:rFonts w:ascii="Arial" w:hAnsi="Arial" w:cs="Arial"/>
          <w:sz w:val="22"/>
          <w:szCs w:val="22"/>
        </w:rPr>
      </w:pPr>
      <w:r w:rsidRPr="00317DBA">
        <w:rPr>
          <w:rFonts w:ascii="Arial" w:hAnsi="Arial" w:cs="Arial"/>
          <w:sz w:val="22"/>
          <w:szCs w:val="22"/>
        </w:rPr>
        <w:t xml:space="preserve">All </w:t>
      </w:r>
      <w:r w:rsidRPr="00317DBA" w:rsidR="00BE35A1">
        <w:rPr>
          <w:rFonts w:ascii="Arial" w:hAnsi="Arial" w:cs="Arial"/>
          <w:sz w:val="22"/>
          <w:szCs w:val="22"/>
        </w:rPr>
        <w:t>information</w:t>
      </w:r>
      <w:r w:rsidRPr="00317DBA">
        <w:rPr>
          <w:rFonts w:ascii="Arial" w:hAnsi="Arial" w:cs="Arial"/>
          <w:sz w:val="22"/>
          <w:szCs w:val="22"/>
        </w:rPr>
        <w:t xml:space="preserve"> </w:t>
      </w:r>
      <w:r w:rsidRPr="00317DBA" w:rsidR="00F11D6F">
        <w:rPr>
          <w:rFonts w:ascii="Arial" w:hAnsi="Arial" w:cs="Arial"/>
          <w:sz w:val="22"/>
          <w:szCs w:val="22"/>
        </w:rPr>
        <w:t xml:space="preserve">will be </w:t>
      </w:r>
      <w:r w:rsidRPr="00317DBA">
        <w:rPr>
          <w:rFonts w:ascii="Arial" w:hAnsi="Arial" w:cs="Arial"/>
          <w:sz w:val="22"/>
          <w:szCs w:val="22"/>
        </w:rPr>
        <w:t>collected</w:t>
      </w:r>
      <w:r w:rsidRPr="00317DBA" w:rsidR="00BE35A1">
        <w:rPr>
          <w:rFonts w:ascii="Arial" w:hAnsi="Arial" w:cs="Arial"/>
          <w:sz w:val="22"/>
          <w:szCs w:val="22"/>
        </w:rPr>
        <w:t xml:space="preserve"> </w:t>
      </w:r>
      <w:r w:rsidRPr="00317DBA" w:rsidR="00F11D6F">
        <w:rPr>
          <w:rFonts w:ascii="Arial" w:hAnsi="Arial" w:cs="Arial"/>
          <w:sz w:val="22"/>
          <w:szCs w:val="22"/>
        </w:rPr>
        <w:t>using</w:t>
      </w:r>
      <w:r w:rsidRPr="00317DBA" w:rsidR="00B319EB">
        <w:rPr>
          <w:rFonts w:ascii="Arial" w:hAnsi="Arial" w:cs="Arial"/>
          <w:sz w:val="22"/>
          <w:szCs w:val="22"/>
        </w:rPr>
        <w:t xml:space="preserve"> electronic </w:t>
      </w:r>
      <w:r w:rsidRPr="00317DBA" w:rsidR="00D530A7">
        <w:rPr>
          <w:rFonts w:ascii="Arial" w:hAnsi="Arial" w:cs="Arial"/>
          <w:sz w:val="22"/>
          <w:szCs w:val="22"/>
        </w:rPr>
        <w:t>collection</w:t>
      </w:r>
      <w:r w:rsidRPr="00317DBA" w:rsidR="00916E41">
        <w:rPr>
          <w:rFonts w:ascii="Arial" w:hAnsi="Arial" w:cs="Arial"/>
          <w:sz w:val="22"/>
          <w:szCs w:val="22"/>
        </w:rPr>
        <w:t xml:space="preserve"> techniques</w:t>
      </w:r>
      <w:r w:rsidRPr="00317DBA" w:rsidR="00F11D6F">
        <w:rPr>
          <w:rFonts w:ascii="Arial" w:hAnsi="Arial" w:cs="Arial"/>
          <w:sz w:val="22"/>
          <w:szCs w:val="22"/>
        </w:rPr>
        <w:t>.</w:t>
      </w:r>
      <w:r w:rsidRPr="00317DBA" w:rsidR="006A6F15">
        <w:rPr>
          <w:rFonts w:ascii="Arial" w:hAnsi="Arial" w:cs="Arial"/>
          <w:sz w:val="22"/>
          <w:szCs w:val="22"/>
        </w:rPr>
        <w:t xml:space="preserve"> </w:t>
      </w:r>
      <w:r w:rsidRPr="00317DBA" w:rsidR="00F11D6F">
        <w:rPr>
          <w:rFonts w:ascii="Arial" w:hAnsi="Arial" w:cs="Arial"/>
          <w:sz w:val="22"/>
          <w:szCs w:val="22"/>
        </w:rPr>
        <w:t xml:space="preserve"> </w:t>
      </w:r>
      <w:r w:rsidRPr="00317DBA" w:rsidR="001C0C37">
        <w:rPr>
          <w:rFonts w:ascii="Arial" w:hAnsi="Arial" w:cs="Arial"/>
          <w:sz w:val="22"/>
          <w:szCs w:val="22"/>
        </w:rPr>
        <w:t xml:space="preserve">This means of collection </w:t>
      </w:r>
      <w:r w:rsidRPr="00317DBA" w:rsidR="001C0C37">
        <w:rPr>
          <w:rFonts w:ascii="Arial" w:hAnsi="Arial" w:cs="Arial"/>
          <w:sz w:val="22"/>
          <w:szCs w:val="22"/>
        </w:rPr>
        <w:t xml:space="preserve">is the </w:t>
      </w:r>
      <w:r w:rsidRPr="00317DBA" w:rsidR="000D5E92">
        <w:rPr>
          <w:rFonts w:ascii="Arial" w:hAnsi="Arial" w:cs="Arial"/>
          <w:sz w:val="22"/>
          <w:szCs w:val="22"/>
        </w:rPr>
        <w:t>currently accepted best practice for this type of social network analysis</w:t>
      </w:r>
      <w:r w:rsidRPr="00317DBA" w:rsidR="00CD42E1">
        <w:rPr>
          <w:rFonts w:ascii="Arial" w:hAnsi="Arial" w:cs="Arial"/>
          <w:sz w:val="22"/>
          <w:szCs w:val="22"/>
        </w:rPr>
        <w:t xml:space="preserve">. </w:t>
      </w:r>
      <w:r w:rsidRPr="00317DBA" w:rsidR="006A6F15">
        <w:rPr>
          <w:rFonts w:ascii="Arial" w:hAnsi="Arial" w:cs="Arial"/>
          <w:sz w:val="22"/>
          <w:szCs w:val="22"/>
        </w:rPr>
        <w:t xml:space="preserve"> </w:t>
      </w:r>
      <w:r w:rsidRPr="00317DBA" w:rsidR="00CD42E1">
        <w:rPr>
          <w:rFonts w:ascii="Arial" w:hAnsi="Arial" w:cs="Arial"/>
          <w:sz w:val="22"/>
          <w:szCs w:val="22"/>
        </w:rPr>
        <w:t xml:space="preserve">Collecting information electronically </w:t>
      </w:r>
      <w:r w:rsidRPr="00317DBA" w:rsidR="00807E80">
        <w:rPr>
          <w:rFonts w:ascii="Arial" w:hAnsi="Arial" w:cs="Arial"/>
          <w:sz w:val="22"/>
          <w:szCs w:val="22"/>
        </w:rPr>
        <w:t>reduc</w:t>
      </w:r>
      <w:r w:rsidRPr="00317DBA" w:rsidR="00B169C5">
        <w:rPr>
          <w:rFonts w:ascii="Arial" w:hAnsi="Arial" w:cs="Arial"/>
          <w:sz w:val="22"/>
          <w:szCs w:val="22"/>
        </w:rPr>
        <w:t>es</w:t>
      </w:r>
      <w:r w:rsidRPr="00317DBA" w:rsidR="00807E80">
        <w:rPr>
          <w:rFonts w:ascii="Arial" w:hAnsi="Arial" w:cs="Arial"/>
          <w:sz w:val="22"/>
          <w:szCs w:val="22"/>
        </w:rPr>
        <w:t xml:space="preserve"> </w:t>
      </w:r>
      <w:r w:rsidRPr="00317DBA" w:rsidR="00CB1961">
        <w:rPr>
          <w:rFonts w:ascii="Arial" w:hAnsi="Arial" w:cs="Arial"/>
          <w:sz w:val="22"/>
          <w:szCs w:val="22"/>
        </w:rPr>
        <w:t xml:space="preserve">the </w:t>
      </w:r>
      <w:r w:rsidRPr="00317DBA" w:rsidR="00807E80">
        <w:rPr>
          <w:rFonts w:ascii="Arial" w:hAnsi="Arial" w:cs="Arial"/>
          <w:sz w:val="22"/>
          <w:szCs w:val="22"/>
        </w:rPr>
        <w:t>burden associated with this survey because it will not require additional time and labor associated with mail</w:t>
      </w:r>
      <w:r w:rsidRPr="00317DBA" w:rsidR="00910DCF">
        <w:rPr>
          <w:rFonts w:ascii="Arial" w:hAnsi="Arial" w:cs="Arial"/>
          <w:sz w:val="22"/>
          <w:szCs w:val="22"/>
        </w:rPr>
        <w:t xml:space="preserve">, phone, </w:t>
      </w:r>
      <w:r w:rsidRPr="00317DBA" w:rsidR="00807E80">
        <w:rPr>
          <w:rFonts w:ascii="Arial" w:hAnsi="Arial" w:cs="Arial"/>
          <w:sz w:val="22"/>
          <w:szCs w:val="22"/>
        </w:rPr>
        <w:t>or in-person survey efforts</w:t>
      </w:r>
      <w:r w:rsidRPr="00317DBA" w:rsidR="00910DCF">
        <w:rPr>
          <w:rFonts w:ascii="Arial" w:hAnsi="Arial" w:cs="Arial"/>
          <w:sz w:val="22"/>
          <w:szCs w:val="22"/>
        </w:rPr>
        <w:t xml:space="preserve"> and it reduces respondent</w:t>
      </w:r>
      <w:r w:rsidRPr="00317DBA" w:rsidR="00CB1961">
        <w:rPr>
          <w:rFonts w:ascii="Arial" w:hAnsi="Arial" w:cs="Arial"/>
          <w:sz w:val="22"/>
          <w:szCs w:val="22"/>
        </w:rPr>
        <w:t>s’</w:t>
      </w:r>
      <w:r w:rsidRPr="00317DBA" w:rsidR="00910DCF">
        <w:rPr>
          <w:rFonts w:ascii="Arial" w:hAnsi="Arial" w:cs="Arial"/>
          <w:sz w:val="22"/>
          <w:szCs w:val="22"/>
        </w:rPr>
        <w:t xml:space="preserve"> burden by not requiring them to schedule tim</w:t>
      </w:r>
      <w:r w:rsidRPr="00317DBA" w:rsidR="00B169C5">
        <w:rPr>
          <w:rFonts w:ascii="Arial" w:hAnsi="Arial" w:cs="Arial"/>
          <w:sz w:val="22"/>
          <w:szCs w:val="22"/>
        </w:rPr>
        <w:t>e or travel to meet.</w:t>
      </w:r>
    </w:p>
    <w:p w:rsidR="00251281" w:rsidRPr="00317DBA" w:rsidP="006319A2" w14:paraId="6564D434" w14:textId="77777777">
      <w:pPr>
        <w:tabs>
          <w:tab w:val="left" w:pos="360"/>
          <w:tab w:val="left" w:pos="720"/>
        </w:tabs>
        <w:rPr>
          <w:rFonts w:ascii="Arial" w:hAnsi="Arial" w:cs="Arial"/>
          <w:sz w:val="22"/>
          <w:szCs w:val="22"/>
        </w:rPr>
      </w:pPr>
    </w:p>
    <w:p w:rsidR="00295103" w:rsidRPr="00317DBA" w:rsidP="00280EE3" w14:paraId="682DC221" w14:textId="77777777">
      <w:pPr>
        <w:pStyle w:val="Heading1"/>
      </w:pPr>
      <w:r w:rsidRPr="00317DBA">
        <w:t>4.</w:t>
      </w:r>
      <w:r w:rsidRPr="00317DBA">
        <w:tab/>
        <w:t>Describe efforts to identify duplication.  Show specifically why any similar information already available cannot be used or modified for use for the purposes described in Item 2 above.</w:t>
      </w:r>
    </w:p>
    <w:p w:rsidR="00295103" w:rsidRPr="00317DBA" w:rsidP="006319A2" w14:paraId="3E7D53C4" w14:textId="77777777">
      <w:pPr>
        <w:tabs>
          <w:tab w:val="left" w:pos="360"/>
          <w:tab w:val="left" w:pos="720"/>
        </w:tabs>
        <w:rPr>
          <w:rFonts w:ascii="Arial" w:hAnsi="Arial" w:cs="Arial"/>
          <w:sz w:val="22"/>
          <w:szCs w:val="22"/>
        </w:rPr>
      </w:pPr>
    </w:p>
    <w:p w:rsidR="00251281" w:rsidRPr="00317DBA" w:rsidP="0015037A" w14:paraId="69034FA1" w14:textId="0BCB6BC9">
      <w:pPr>
        <w:pStyle w:val="paragraph"/>
        <w:spacing w:before="0" w:beforeAutospacing="0" w:after="0" w:afterAutospacing="0"/>
        <w:textAlignment w:val="baseline"/>
        <w:rPr>
          <w:rFonts w:ascii="Arial" w:hAnsi="Arial" w:cs="Arial"/>
          <w:sz w:val="22"/>
          <w:szCs w:val="22"/>
        </w:rPr>
      </w:pPr>
      <w:r w:rsidRPr="00317DBA">
        <w:rPr>
          <w:rFonts w:ascii="Arial" w:hAnsi="Arial" w:cs="Arial"/>
          <w:sz w:val="22"/>
          <w:szCs w:val="22"/>
        </w:rPr>
        <w:t xml:space="preserve">There is no duplication.  The information collected is specific to </w:t>
      </w:r>
      <w:r w:rsidRPr="00317DBA" w:rsidR="00B320EB">
        <w:rPr>
          <w:rFonts w:ascii="Arial" w:hAnsi="Arial" w:cs="Arial"/>
          <w:sz w:val="22"/>
          <w:szCs w:val="22"/>
        </w:rPr>
        <w:t xml:space="preserve">1) </w:t>
      </w:r>
      <w:r w:rsidRPr="00317DBA">
        <w:rPr>
          <w:rFonts w:ascii="Arial" w:hAnsi="Arial" w:cs="Arial"/>
          <w:sz w:val="22"/>
          <w:szCs w:val="22"/>
        </w:rPr>
        <w:t>the Service</w:t>
      </w:r>
      <w:r w:rsidRPr="00317DBA" w:rsidR="000B4810">
        <w:rPr>
          <w:rFonts w:ascii="Arial" w:hAnsi="Arial" w:cs="Arial"/>
          <w:sz w:val="22"/>
          <w:szCs w:val="22"/>
        </w:rPr>
        <w:t>’</w:t>
      </w:r>
      <w:r w:rsidRPr="00317DBA">
        <w:rPr>
          <w:rFonts w:ascii="Arial" w:hAnsi="Arial" w:cs="Arial"/>
          <w:sz w:val="22"/>
          <w:szCs w:val="22"/>
        </w:rPr>
        <w:t>s efforts related to the conservation and protection of wildlife and fisheries resources in support of the Service’s mission</w:t>
      </w:r>
      <w:r w:rsidRPr="00317DBA" w:rsidR="00B320EB">
        <w:rPr>
          <w:rFonts w:ascii="Arial" w:hAnsi="Arial" w:cs="Arial"/>
          <w:sz w:val="22"/>
          <w:szCs w:val="22"/>
        </w:rPr>
        <w:t xml:space="preserve">, </w:t>
      </w:r>
      <w:r w:rsidRPr="00317DBA" w:rsidR="0015037A">
        <w:rPr>
          <w:rFonts w:ascii="Arial" w:hAnsi="Arial" w:cs="Arial"/>
          <w:sz w:val="22"/>
          <w:szCs w:val="22"/>
        </w:rPr>
        <w:t xml:space="preserve">and </w:t>
      </w:r>
      <w:r w:rsidRPr="00317DBA" w:rsidR="00B320EB">
        <w:rPr>
          <w:rFonts w:ascii="Arial" w:hAnsi="Arial" w:cs="Arial"/>
          <w:sz w:val="22"/>
          <w:szCs w:val="22"/>
        </w:rPr>
        <w:t xml:space="preserve">2) </w:t>
      </w:r>
      <w:r w:rsidRPr="00317DBA" w:rsidR="0015037A">
        <w:rPr>
          <w:rFonts w:ascii="Arial" w:hAnsi="Arial" w:cs="Arial"/>
          <w:sz w:val="22"/>
          <w:szCs w:val="22"/>
        </w:rPr>
        <w:t xml:space="preserve">the Center’s role as a </w:t>
      </w:r>
      <w:r w:rsidRPr="00317DBA" w:rsidR="0015037A">
        <w:rPr>
          <w:rStyle w:val="normaltextrun"/>
          <w:rFonts w:ascii="Arial" w:hAnsi="Arial" w:cs="Arial"/>
          <w:sz w:val="22"/>
          <w:szCs w:val="22"/>
        </w:rPr>
        <w:t>science and collaboration hub to direct conservation actions that can reverse declining pollinator population trends.</w:t>
      </w:r>
      <w:r w:rsidRPr="00317DBA" w:rsidR="0015037A">
        <w:rPr>
          <w:rStyle w:val="eop"/>
          <w:rFonts w:ascii="Arial" w:hAnsi="Arial" w:cs="Arial"/>
          <w:sz w:val="22"/>
          <w:szCs w:val="22"/>
        </w:rPr>
        <w:t> </w:t>
      </w:r>
      <w:r w:rsidR="00AE3E91">
        <w:rPr>
          <w:rStyle w:val="eop"/>
          <w:rFonts w:ascii="Arial" w:hAnsi="Arial" w:cs="Arial"/>
          <w:sz w:val="22"/>
          <w:szCs w:val="22"/>
        </w:rPr>
        <w:t xml:space="preserve"> </w:t>
      </w:r>
      <w:r w:rsidRPr="00317DBA">
        <w:rPr>
          <w:rFonts w:ascii="Arial" w:hAnsi="Arial" w:cs="Arial"/>
          <w:sz w:val="22"/>
          <w:szCs w:val="22"/>
        </w:rPr>
        <w:t xml:space="preserve">Due to the unique </w:t>
      </w:r>
      <w:r w:rsidRPr="00317DBA" w:rsidR="00616B2F">
        <w:rPr>
          <w:rFonts w:ascii="Arial" w:hAnsi="Arial" w:cs="Arial"/>
          <w:sz w:val="22"/>
          <w:szCs w:val="22"/>
        </w:rPr>
        <w:t>roles of the Service and Center</w:t>
      </w:r>
      <w:r w:rsidRPr="00317DBA">
        <w:rPr>
          <w:rFonts w:ascii="Arial" w:hAnsi="Arial" w:cs="Arial"/>
          <w:sz w:val="22"/>
          <w:szCs w:val="22"/>
        </w:rPr>
        <w:t>, no other Federal agency collects this information from the public.</w:t>
      </w:r>
    </w:p>
    <w:p w:rsidR="00251281" w:rsidRPr="00317DBA" w:rsidP="006319A2" w14:paraId="3F12D3FE" w14:textId="77777777">
      <w:pPr>
        <w:tabs>
          <w:tab w:val="left" w:pos="360"/>
          <w:tab w:val="left" w:pos="720"/>
        </w:tabs>
        <w:rPr>
          <w:rFonts w:ascii="Arial" w:hAnsi="Arial" w:cs="Arial"/>
          <w:sz w:val="22"/>
          <w:szCs w:val="22"/>
        </w:rPr>
      </w:pPr>
    </w:p>
    <w:p w:rsidR="00295103" w:rsidRPr="00317DBA" w:rsidP="00280EE3" w14:paraId="505B7E74" w14:textId="77777777">
      <w:pPr>
        <w:pStyle w:val="Heading1"/>
      </w:pPr>
      <w:r w:rsidRPr="00317DBA">
        <w:t>5.</w:t>
      </w:r>
      <w:r w:rsidRPr="00317DBA">
        <w:tab/>
        <w:t>If the collection of information impacts small bus</w:t>
      </w:r>
      <w:r w:rsidRPr="00317DBA" w:rsidR="006E339F">
        <w:t>inesses or other small entities</w:t>
      </w:r>
      <w:r w:rsidRPr="00317DBA">
        <w:t>, describe any methods used to minimize burden.</w:t>
      </w:r>
    </w:p>
    <w:p w:rsidR="00295103" w:rsidRPr="00317DBA" w:rsidP="006319A2" w14:paraId="610F1768" w14:textId="77777777">
      <w:pPr>
        <w:tabs>
          <w:tab w:val="left" w:pos="360"/>
          <w:tab w:val="left" w:pos="720"/>
        </w:tabs>
        <w:rPr>
          <w:rFonts w:ascii="Arial" w:hAnsi="Arial" w:cs="Arial"/>
          <w:sz w:val="22"/>
          <w:szCs w:val="22"/>
        </w:rPr>
      </w:pPr>
    </w:p>
    <w:p w:rsidR="00251281" w:rsidRPr="00317DBA" w:rsidP="006319A2" w14:paraId="1B01E6DF" w14:textId="7674A492">
      <w:pPr>
        <w:tabs>
          <w:tab w:val="left" w:pos="360"/>
          <w:tab w:val="left" w:pos="720"/>
        </w:tabs>
        <w:rPr>
          <w:rFonts w:ascii="Arial" w:hAnsi="Arial" w:cs="Arial"/>
          <w:sz w:val="22"/>
          <w:szCs w:val="22"/>
        </w:rPr>
      </w:pPr>
      <w:r w:rsidRPr="00317DBA">
        <w:rPr>
          <w:rFonts w:ascii="Arial" w:hAnsi="Arial" w:cs="Arial"/>
          <w:color w:val="000000" w:themeColor="text1"/>
          <w:sz w:val="22"/>
          <w:szCs w:val="22"/>
        </w:rPr>
        <w:t xml:space="preserve">We collect only the minimum information necessary to improve the Service’s efforts to </w:t>
      </w:r>
      <w:r w:rsidRPr="00317DBA">
        <w:rPr>
          <w:rFonts w:ascii="Arial" w:hAnsi="Arial" w:cs="Arial"/>
          <w:sz w:val="22"/>
          <w:szCs w:val="22"/>
        </w:rPr>
        <w:t>conserve and protect wildlife and fisheries resources</w:t>
      </w:r>
      <w:r w:rsidRPr="00317DBA">
        <w:rPr>
          <w:rFonts w:ascii="Arial" w:hAnsi="Arial" w:cs="Arial"/>
          <w:color w:val="000000" w:themeColor="text1"/>
          <w:sz w:val="22"/>
          <w:szCs w:val="22"/>
        </w:rPr>
        <w:t xml:space="preserve">. </w:t>
      </w:r>
      <w:r w:rsidRPr="00317DBA">
        <w:rPr>
          <w:rFonts w:ascii="Arial" w:hAnsi="Arial" w:cs="Arial"/>
          <w:color w:val="000000"/>
          <w:sz w:val="22"/>
          <w:szCs w:val="22"/>
        </w:rPr>
        <w:t xml:space="preserve"> </w:t>
      </w:r>
      <w:r w:rsidRPr="00317DBA">
        <w:rPr>
          <w:rFonts w:ascii="Arial" w:hAnsi="Arial" w:cs="Arial"/>
          <w:color w:val="000000" w:themeColor="text1"/>
          <w:sz w:val="22"/>
          <w:szCs w:val="22"/>
        </w:rPr>
        <w:t>This information collection will not significantly impact small businesses or other small entities.</w:t>
      </w:r>
      <w:r w:rsidRPr="00317DBA">
        <w:rPr>
          <w:rFonts w:ascii="Arial" w:hAnsi="Arial" w:cs="Arial"/>
          <w:sz w:val="22"/>
          <w:szCs w:val="22"/>
        </w:rPr>
        <w:t xml:space="preserve">  </w:t>
      </w:r>
    </w:p>
    <w:p w:rsidR="00251281" w:rsidRPr="00317DBA" w:rsidP="006319A2" w14:paraId="3302B6AE" w14:textId="77777777">
      <w:pPr>
        <w:tabs>
          <w:tab w:val="left" w:pos="360"/>
          <w:tab w:val="left" w:pos="720"/>
        </w:tabs>
        <w:rPr>
          <w:rFonts w:ascii="Arial" w:hAnsi="Arial" w:cs="Arial"/>
          <w:sz w:val="22"/>
          <w:szCs w:val="22"/>
        </w:rPr>
      </w:pPr>
    </w:p>
    <w:p w:rsidR="00295103" w:rsidRPr="00317DBA" w:rsidP="00280EE3" w14:paraId="0A26F77F" w14:textId="77777777">
      <w:pPr>
        <w:pStyle w:val="Heading1"/>
      </w:pPr>
      <w:r w:rsidRPr="00317DBA">
        <w:t>6.</w:t>
      </w:r>
      <w:r w:rsidRPr="00317DBA">
        <w:tab/>
        <w:t>Describe the consequence to Federal program or policy activities if the collection is not conducted or is conducted less frequently, as well as any technical or legal obstacles to reducing burden.</w:t>
      </w:r>
    </w:p>
    <w:p w:rsidR="00295103" w:rsidRPr="00317DBA" w:rsidP="006319A2" w14:paraId="13F18527" w14:textId="77777777">
      <w:pPr>
        <w:tabs>
          <w:tab w:val="left" w:pos="360"/>
          <w:tab w:val="left" w:pos="720"/>
        </w:tabs>
        <w:rPr>
          <w:rFonts w:ascii="Arial" w:hAnsi="Arial" w:cs="Arial"/>
          <w:sz w:val="22"/>
          <w:szCs w:val="22"/>
        </w:rPr>
      </w:pPr>
    </w:p>
    <w:p w:rsidR="00251281" w:rsidRPr="00317DBA" w:rsidP="006319A2" w14:paraId="338DDD9E" w14:textId="3268EEFB">
      <w:pPr>
        <w:tabs>
          <w:tab w:val="left" w:pos="360"/>
          <w:tab w:val="left" w:pos="720"/>
        </w:tabs>
        <w:rPr>
          <w:rFonts w:ascii="Arial" w:hAnsi="Arial" w:cs="Arial"/>
          <w:sz w:val="22"/>
          <w:szCs w:val="22"/>
        </w:rPr>
      </w:pPr>
      <w:r w:rsidRPr="00317DBA">
        <w:rPr>
          <w:rFonts w:ascii="Arial" w:hAnsi="Arial" w:cs="Arial"/>
          <w:sz w:val="22"/>
          <w:szCs w:val="22"/>
        </w:rPr>
        <w:t>If we did not collect the information, the Service</w:t>
      </w:r>
      <w:r w:rsidRPr="00317DBA" w:rsidR="008700F6">
        <w:rPr>
          <w:rFonts w:ascii="Arial" w:hAnsi="Arial" w:cs="Arial"/>
          <w:sz w:val="22"/>
          <w:szCs w:val="22"/>
        </w:rPr>
        <w:t xml:space="preserve"> and Center </w:t>
      </w:r>
      <w:r w:rsidRPr="00317DBA">
        <w:rPr>
          <w:rFonts w:ascii="Arial" w:hAnsi="Arial" w:cs="Arial"/>
          <w:sz w:val="22"/>
          <w:szCs w:val="22"/>
        </w:rPr>
        <w:t xml:space="preserve">would be unable to </w:t>
      </w:r>
      <w:r w:rsidR="00AE3E91">
        <w:rPr>
          <w:rFonts w:ascii="Arial" w:hAnsi="Arial" w:cs="Arial"/>
          <w:sz w:val="22"/>
          <w:szCs w:val="22"/>
        </w:rPr>
        <w:t xml:space="preserve">work </w:t>
      </w:r>
      <w:r w:rsidRPr="00317DBA">
        <w:rPr>
          <w:rFonts w:ascii="Arial" w:hAnsi="Arial" w:cs="Arial"/>
          <w:sz w:val="22"/>
          <w:szCs w:val="22"/>
        </w:rPr>
        <w:t xml:space="preserve">effectively with our partners and public for the conservation </w:t>
      </w:r>
      <w:r w:rsidRPr="00317DBA" w:rsidR="00727596">
        <w:rPr>
          <w:rFonts w:ascii="Arial" w:hAnsi="Arial" w:cs="Arial"/>
          <w:sz w:val="22"/>
          <w:szCs w:val="22"/>
        </w:rPr>
        <w:t xml:space="preserve">pollinators on efforts to reverse declining pollinator population trends. </w:t>
      </w:r>
    </w:p>
    <w:p w:rsidR="00251281" w:rsidRPr="00317DBA" w:rsidP="006319A2" w14:paraId="647BD5EE" w14:textId="77777777">
      <w:pPr>
        <w:tabs>
          <w:tab w:val="left" w:pos="360"/>
          <w:tab w:val="left" w:pos="720"/>
        </w:tabs>
        <w:rPr>
          <w:rFonts w:ascii="Arial" w:hAnsi="Arial" w:cs="Arial"/>
          <w:sz w:val="22"/>
          <w:szCs w:val="22"/>
        </w:rPr>
      </w:pPr>
    </w:p>
    <w:p w:rsidR="00295103" w:rsidRPr="00317DBA" w:rsidP="00280EE3" w14:paraId="7DCAFC00" w14:textId="77777777">
      <w:pPr>
        <w:pStyle w:val="Heading1"/>
        <w:ind w:left="360" w:hanging="360"/>
      </w:pPr>
      <w:r w:rsidRPr="00317DBA">
        <w:t>7.</w:t>
      </w:r>
      <w:r w:rsidRPr="00317DBA">
        <w:tab/>
        <w:t>Explain any special circumstances that would cause an information collection to be conducted in a manner:</w:t>
      </w:r>
    </w:p>
    <w:p w:rsidR="00295103" w:rsidRPr="00317DBA" w:rsidP="00280EE3" w14:paraId="6F328575" w14:textId="77777777">
      <w:pPr>
        <w:pStyle w:val="Heading1"/>
        <w:ind w:left="360" w:hanging="360"/>
      </w:pPr>
      <w:r w:rsidRPr="00317DBA">
        <w:tab/>
        <w:t>*</w:t>
      </w:r>
      <w:r w:rsidRPr="00317DBA">
        <w:tab/>
        <w:t>requiring respondents to report information to the agency more often than quarterly;</w:t>
      </w:r>
    </w:p>
    <w:p w:rsidR="00295103" w:rsidRPr="00317DBA" w:rsidP="00280EE3" w14:paraId="0036C448" w14:textId="77777777">
      <w:pPr>
        <w:pStyle w:val="Heading1"/>
        <w:ind w:left="360" w:hanging="360"/>
      </w:pPr>
      <w:r w:rsidRPr="00317DBA">
        <w:tab/>
        <w:t>*</w:t>
      </w:r>
      <w:r w:rsidRPr="00317DBA">
        <w:tab/>
        <w:t>requiring respondents to prepare a written response to a collection of information in fewer than 30 days after receipt of it;</w:t>
      </w:r>
    </w:p>
    <w:p w:rsidR="00295103" w:rsidRPr="00317DBA" w:rsidP="00280EE3" w14:paraId="5014AB7D" w14:textId="77777777">
      <w:pPr>
        <w:pStyle w:val="Heading1"/>
        <w:ind w:left="360" w:hanging="360"/>
      </w:pPr>
      <w:r w:rsidRPr="00317DBA">
        <w:tab/>
        <w:t>*</w:t>
      </w:r>
      <w:r w:rsidRPr="00317DBA">
        <w:tab/>
        <w:t>requiring respondents to submit more than an original and two copies of any document;</w:t>
      </w:r>
    </w:p>
    <w:p w:rsidR="00295103" w:rsidRPr="00317DBA" w:rsidP="00280EE3" w14:paraId="4403B021" w14:textId="77777777">
      <w:pPr>
        <w:pStyle w:val="Heading1"/>
        <w:ind w:left="360" w:hanging="360"/>
      </w:pPr>
      <w:r w:rsidRPr="00317DBA">
        <w:tab/>
        <w:t>*</w:t>
      </w:r>
      <w:r w:rsidRPr="00317DBA">
        <w:tab/>
        <w:t>requiring respondents to retain records, other than health, medical, government contract, grant-in-aid, or tax records, for more than three years;</w:t>
      </w:r>
    </w:p>
    <w:p w:rsidR="00295103" w:rsidRPr="00317DBA" w:rsidP="00280EE3" w14:paraId="5C88C26B" w14:textId="77777777">
      <w:pPr>
        <w:pStyle w:val="Heading1"/>
        <w:ind w:left="360" w:hanging="360"/>
      </w:pPr>
      <w:r w:rsidRPr="00317DBA">
        <w:tab/>
        <w:t>*</w:t>
      </w:r>
      <w:r w:rsidRPr="00317DBA">
        <w:tab/>
        <w:t>in conne</w:t>
      </w:r>
      <w:r w:rsidRPr="00317DBA" w:rsidR="00352210">
        <w:t>ction with a statistical survey</w:t>
      </w:r>
      <w:r w:rsidRPr="00317DBA">
        <w:t xml:space="preserve"> that is not designed to produce valid and reliable results that can be generalized to the universe of study;</w:t>
      </w:r>
    </w:p>
    <w:p w:rsidR="00295103" w:rsidRPr="00317DBA" w:rsidP="00280EE3" w14:paraId="05977A50" w14:textId="77777777">
      <w:pPr>
        <w:pStyle w:val="Heading1"/>
        <w:ind w:left="360" w:hanging="360"/>
      </w:pPr>
      <w:r w:rsidRPr="00317DBA">
        <w:tab/>
        <w:t>*</w:t>
      </w:r>
      <w:r w:rsidRPr="00317DBA">
        <w:tab/>
        <w:t>requiring the use of a statistical data classification that has not been reviewed and approved by OMB;</w:t>
      </w:r>
    </w:p>
    <w:p w:rsidR="00295103" w:rsidRPr="00317DBA" w:rsidP="00280EE3" w14:paraId="1F3BF0B5" w14:textId="77777777">
      <w:pPr>
        <w:pStyle w:val="Heading1"/>
        <w:ind w:left="360" w:hanging="360"/>
      </w:pPr>
      <w:r w:rsidRPr="00317DBA">
        <w:tab/>
        <w:t>*</w:t>
      </w:r>
      <w:r w:rsidRPr="00317DBA">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317DBA" w:rsidP="00280EE3" w14:paraId="598E1895" w14:textId="77777777">
      <w:pPr>
        <w:pStyle w:val="Heading1"/>
        <w:ind w:left="360" w:hanging="360"/>
      </w:pPr>
      <w:r w:rsidRPr="00317DBA">
        <w:tab/>
        <w:t>*</w:t>
      </w:r>
      <w:r w:rsidRPr="00317DBA">
        <w:tab/>
        <w:t>requiring respondents to submit proprietary trade secrets, or other confidential information</w:t>
      </w:r>
      <w:r w:rsidRPr="00317DBA" w:rsidR="00352210">
        <w:t>,</w:t>
      </w:r>
      <w:r w:rsidRPr="00317DBA">
        <w:t xml:space="preserve"> unless the agency can demonstrate that it has instituted procedures to </w:t>
      </w:r>
      <w:r w:rsidRPr="00317DBA">
        <w:t>protect the information's confidentiality to the extent permitted by law.</w:t>
      </w:r>
    </w:p>
    <w:p w:rsidR="00295103" w:rsidRPr="00317DBA" w:rsidP="006319A2" w14:paraId="3B51FB40" w14:textId="77777777">
      <w:pPr>
        <w:tabs>
          <w:tab w:val="left" w:pos="360"/>
          <w:tab w:val="left" w:pos="720"/>
        </w:tabs>
        <w:rPr>
          <w:rFonts w:ascii="Arial" w:hAnsi="Arial" w:cs="Arial"/>
          <w:sz w:val="22"/>
          <w:szCs w:val="22"/>
        </w:rPr>
      </w:pPr>
    </w:p>
    <w:p w:rsidR="003649C4" w:rsidRPr="00317DBA" w:rsidP="003649C4" w14:paraId="039C4FA1" w14:textId="77777777">
      <w:pPr>
        <w:tabs>
          <w:tab w:val="left" w:pos="360"/>
          <w:tab w:val="left" w:pos="720"/>
          <w:tab w:val="left" w:pos="1440"/>
        </w:tabs>
        <w:rPr>
          <w:rFonts w:ascii="Arial" w:hAnsi="Arial" w:cs="Arial"/>
          <w:sz w:val="22"/>
          <w:szCs w:val="22"/>
        </w:rPr>
      </w:pPr>
      <w:r w:rsidRPr="00317DBA">
        <w:rPr>
          <w:rFonts w:ascii="Arial" w:hAnsi="Arial" w:cs="Arial"/>
          <w:sz w:val="22"/>
          <w:szCs w:val="22"/>
        </w:rPr>
        <w:t>There are no special circumstances requiring collection of the information in a manner inconsistent with OMB guidelines.</w:t>
      </w:r>
    </w:p>
    <w:p w:rsidR="00251281" w:rsidRPr="00317DBA" w:rsidP="006319A2" w14:paraId="220FAD8B" w14:textId="77777777">
      <w:pPr>
        <w:tabs>
          <w:tab w:val="left" w:pos="360"/>
          <w:tab w:val="left" w:pos="720"/>
        </w:tabs>
        <w:rPr>
          <w:rFonts w:ascii="Arial" w:hAnsi="Arial" w:cs="Arial"/>
          <w:sz w:val="22"/>
          <w:szCs w:val="22"/>
        </w:rPr>
      </w:pPr>
    </w:p>
    <w:p w:rsidR="00295103" w:rsidRPr="00317DBA" w:rsidP="00280EE3" w14:paraId="4E817307" w14:textId="77777777">
      <w:pPr>
        <w:pStyle w:val="Heading1"/>
      </w:pPr>
      <w:r w:rsidRPr="00317DBA">
        <w:t>8.</w:t>
      </w:r>
      <w:r w:rsidRPr="00317DBA">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317DBA" w:rsidR="00DE1FFE">
        <w:t xml:space="preserve">ved in response to that notice </w:t>
      </w:r>
      <w:r w:rsidRPr="00317DBA">
        <w:t>and in response to the PRA statement associated with the collec</w:t>
      </w:r>
      <w:r w:rsidRPr="00317DBA" w:rsidR="00DE1FFE">
        <w:t xml:space="preserve">tion over the past three years, </w:t>
      </w:r>
      <w:r w:rsidRPr="00317DBA">
        <w:t>and describe actions taken by the agency in response to these comments.  Specifically address comments received on cost and hour burden.</w:t>
      </w:r>
    </w:p>
    <w:p w:rsidR="00295103" w:rsidRPr="00317DBA" w:rsidP="00280EE3" w14:paraId="5726C2F6" w14:textId="77777777">
      <w:pPr>
        <w:pStyle w:val="Heading1"/>
      </w:pPr>
    </w:p>
    <w:p w:rsidR="00295103" w:rsidRPr="00317DBA" w:rsidP="00280EE3" w14:paraId="05123508" w14:textId="77777777">
      <w:pPr>
        <w:pStyle w:val="Heading1"/>
      </w:pPr>
      <w:r w:rsidRPr="00317DBA">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317DBA" w:rsidR="00352210">
        <w:t>.</w:t>
      </w:r>
    </w:p>
    <w:p w:rsidR="00295103" w:rsidRPr="00317DBA" w:rsidP="00280EE3" w14:paraId="26892955" w14:textId="77777777">
      <w:pPr>
        <w:pStyle w:val="Heading1"/>
      </w:pPr>
    </w:p>
    <w:p w:rsidR="00295103" w:rsidRPr="00317DBA" w:rsidP="00280EE3" w14:paraId="770368E8" w14:textId="77777777">
      <w:pPr>
        <w:pStyle w:val="Heading1"/>
      </w:pPr>
      <w:r w:rsidRPr="00317DBA">
        <w:t xml:space="preserve">Consultation with representatives of those from whom information is to be obtained or those who must compile records should occur at least once every </w:t>
      </w:r>
      <w:r w:rsidRPr="00317DBA" w:rsidR="00352210">
        <w:t>three</w:t>
      </w:r>
      <w:r w:rsidRPr="00317DBA">
        <w:t xml:space="preserve"> years — even if the collection of information activity is the same as in prior periods.  There may be circumstances that may preclude consultation in a specific situation.  These circumstances should be explained.</w:t>
      </w:r>
    </w:p>
    <w:p w:rsidR="00295103" w:rsidRPr="00317DBA" w:rsidP="006319A2" w14:paraId="58DC93FA" w14:textId="77777777">
      <w:pPr>
        <w:tabs>
          <w:tab w:val="left" w:pos="360"/>
          <w:tab w:val="left" w:pos="720"/>
        </w:tabs>
        <w:rPr>
          <w:rFonts w:ascii="Arial" w:hAnsi="Arial" w:cs="Arial"/>
          <w:sz w:val="22"/>
          <w:szCs w:val="22"/>
        </w:rPr>
      </w:pPr>
    </w:p>
    <w:p w:rsidR="00E71923" w:rsidRPr="00317DBA" w:rsidP="006319A2" w14:paraId="2125B5DD" w14:textId="46565B95">
      <w:pPr>
        <w:tabs>
          <w:tab w:val="left" w:pos="360"/>
          <w:tab w:val="left" w:pos="720"/>
          <w:tab w:val="left" w:pos="1440"/>
        </w:tabs>
        <w:adjustRightInd/>
        <w:ind w:right="186"/>
        <w:rPr>
          <w:rFonts w:ascii="Arial" w:eastAsia="Arial" w:hAnsi="Arial" w:cs="Arial"/>
          <w:sz w:val="22"/>
          <w:szCs w:val="22"/>
        </w:rPr>
      </w:pPr>
      <w:r w:rsidRPr="00317DBA">
        <w:rPr>
          <w:rFonts w:ascii="Arial" w:eastAsia="Arial" w:hAnsi="Arial" w:cs="Arial"/>
          <w:sz w:val="22"/>
          <w:szCs w:val="22"/>
        </w:rPr>
        <w:t xml:space="preserve">On </w:t>
      </w:r>
      <w:r w:rsidRPr="00317DBA" w:rsidR="00733942">
        <w:rPr>
          <w:rFonts w:ascii="Arial" w:eastAsia="Arial" w:hAnsi="Arial" w:cs="Arial"/>
          <w:sz w:val="22"/>
          <w:szCs w:val="22"/>
        </w:rPr>
        <w:t>May</w:t>
      </w:r>
      <w:r w:rsidRPr="00317DBA" w:rsidR="00807094">
        <w:rPr>
          <w:rFonts w:ascii="Arial" w:eastAsia="Arial" w:hAnsi="Arial" w:cs="Arial"/>
          <w:sz w:val="22"/>
          <w:szCs w:val="22"/>
        </w:rPr>
        <w:t xml:space="preserve"> </w:t>
      </w:r>
      <w:r w:rsidRPr="00317DBA" w:rsidR="00733942">
        <w:rPr>
          <w:rFonts w:ascii="Arial" w:eastAsia="Arial" w:hAnsi="Arial" w:cs="Arial"/>
          <w:sz w:val="22"/>
          <w:szCs w:val="22"/>
        </w:rPr>
        <w:t>22</w:t>
      </w:r>
      <w:r w:rsidRPr="00317DBA" w:rsidR="00807094">
        <w:rPr>
          <w:rFonts w:ascii="Arial" w:eastAsia="Arial" w:hAnsi="Arial" w:cs="Arial"/>
          <w:sz w:val="22"/>
          <w:szCs w:val="22"/>
        </w:rPr>
        <w:t>, 202</w:t>
      </w:r>
      <w:r w:rsidRPr="00317DBA" w:rsidR="00733942">
        <w:rPr>
          <w:rFonts w:ascii="Arial" w:eastAsia="Arial" w:hAnsi="Arial" w:cs="Arial"/>
          <w:sz w:val="22"/>
          <w:szCs w:val="22"/>
        </w:rPr>
        <w:t>4</w:t>
      </w:r>
      <w:r w:rsidRPr="00317DBA">
        <w:rPr>
          <w:rFonts w:ascii="Arial" w:eastAsia="Arial" w:hAnsi="Arial" w:cs="Arial"/>
          <w:sz w:val="22"/>
          <w:szCs w:val="22"/>
        </w:rPr>
        <w:t xml:space="preserve">, we published in the </w:t>
      </w:r>
      <w:r w:rsidRPr="00317DBA">
        <w:rPr>
          <w:rFonts w:ascii="Arial" w:eastAsia="Arial" w:hAnsi="Arial" w:cs="Arial"/>
          <w:i/>
          <w:sz w:val="22"/>
          <w:szCs w:val="22"/>
        </w:rPr>
        <w:t>Federal Register</w:t>
      </w:r>
      <w:r w:rsidRPr="00317DBA" w:rsidR="00BD180F">
        <w:rPr>
          <w:rFonts w:ascii="Arial" w:eastAsia="Arial" w:hAnsi="Arial" w:cs="Arial"/>
          <w:i/>
          <w:sz w:val="22"/>
          <w:szCs w:val="22"/>
        </w:rPr>
        <w:t xml:space="preserve"> </w:t>
      </w:r>
      <w:r w:rsidRPr="00317DBA" w:rsidR="00BD180F">
        <w:rPr>
          <w:rFonts w:ascii="Arial" w:eastAsia="Arial" w:hAnsi="Arial" w:cs="Arial"/>
          <w:iCs/>
          <w:sz w:val="22"/>
          <w:szCs w:val="22"/>
        </w:rPr>
        <w:t>(</w:t>
      </w:r>
      <w:hyperlink r:id="rId4" w:history="1">
        <w:r w:rsidRPr="00317DBA" w:rsidR="004050E0">
          <w:rPr>
            <w:rStyle w:val="Hyperlink"/>
            <w:rFonts w:ascii="Arial" w:eastAsia="Arial" w:hAnsi="Arial" w:cs="Arial"/>
            <w:iCs/>
            <w:sz w:val="22"/>
            <w:szCs w:val="22"/>
            <w:u w:val="none"/>
          </w:rPr>
          <w:t>89 FR 45006</w:t>
        </w:r>
      </w:hyperlink>
      <w:r w:rsidRPr="00317DBA" w:rsidR="004050E0">
        <w:rPr>
          <w:rFonts w:ascii="Arial" w:eastAsia="Arial" w:hAnsi="Arial" w:cs="Arial"/>
          <w:iCs/>
          <w:sz w:val="22"/>
          <w:szCs w:val="22"/>
        </w:rPr>
        <w:t>)</w:t>
      </w:r>
      <w:r w:rsidRPr="00317DBA">
        <w:rPr>
          <w:rFonts w:ascii="Arial" w:eastAsia="Arial" w:hAnsi="Arial" w:cs="Arial"/>
          <w:iCs/>
          <w:sz w:val="22"/>
          <w:szCs w:val="22"/>
        </w:rPr>
        <w:t xml:space="preserve"> </w:t>
      </w:r>
      <w:r w:rsidRPr="00317DBA">
        <w:rPr>
          <w:rFonts w:ascii="Arial" w:eastAsia="Arial" w:hAnsi="Arial" w:cs="Arial"/>
          <w:sz w:val="22"/>
          <w:szCs w:val="22"/>
        </w:rPr>
        <w:t xml:space="preserve">a notice of our intent to request that OMB approve this information collection.  In that notice, we solicited comments for 60 days, ending on </w:t>
      </w:r>
      <w:r w:rsidRPr="00317DBA" w:rsidR="00222A57">
        <w:rPr>
          <w:rFonts w:ascii="Arial" w:eastAsia="Arial" w:hAnsi="Arial" w:cs="Arial"/>
          <w:sz w:val="22"/>
          <w:szCs w:val="22"/>
        </w:rPr>
        <w:t>July 22</w:t>
      </w:r>
      <w:r w:rsidRPr="00317DBA" w:rsidR="00807094">
        <w:rPr>
          <w:rFonts w:ascii="Arial" w:eastAsia="Arial" w:hAnsi="Arial" w:cs="Arial"/>
          <w:sz w:val="22"/>
          <w:szCs w:val="22"/>
        </w:rPr>
        <w:t>, 202</w:t>
      </w:r>
      <w:r w:rsidRPr="00317DBA" w:rsidR="00222A57">
        <w:rPr>
          <w:rFonts w:ascii="Arial" w:eastAsia="Arial" w:hAnsi="Arial" w:cs="Arial"/>
          <w:sz w:val="22"/>
          <w:szCs w:val="22"/>
        </w:rPr>
        <w:t>4</w:t>
      </w:r>
      <w:r w:rsidRPr="00317DBA">
        <w:rPr>
          <w:rFonts w:ascii="Arial" w:eastAsia="Arial" w:hAnsi="Arial" w:cs="Arial"/>
          <w:sz w:val="22"/>
          <w:szCs w:val="22"/>
        </w:rPr>
        <w:t xml:space="preserve">.  </w:t>
      </w:r>
      <w:r w:rsidRPr="00317DBA" w:rsidR="006B6BDA">
        <w:rPr>
          <w:rFonts w:ascii="Arial" w:hAnsi="Arial" w:cs="Arial"/>
          <w:sz w:val="22"/>
          <w:szCs w:val="22"/>
        </w:rPr>
        <w:t xml:space="preserve">In an effort to increase public awareness of, and participation in, our public commenting processes associated with information collection requests, the Service also published the </w:t>
      </w:r>
      <w:r w:rsidRPr="00317DBA" w:rsidR="006B6BDA">
        <w:rPr>
          <w:rFonts w:ascii="Arial" w:hAnsi="Arial" w:cs="Arial"/>
          <w:i/>
          <w:iCs/>
          <w:sz w:val="22"/>
          <w:szCs w:val="22"/>
        </w:rPr>
        <w:t>Federal Register</w:t>
      </w:r>
      <w:r w:rsidRPr="00317DBA" w:rsidR="006B6BDA">
        <w:rPr>
          <w:rFonts w:ascii="Arial" w:hAnsi="Arial" w:cs="Arial"/>
          <w:sz w:val="22"/>
          <w:szCs w:val="22"/>
        </w:rPr>
        <w:t xml:space="preserve"> notice on Regulations.gov (Docket </w:t>
      </w:r>
      <w:hyperlink r:id="rId5" w:history="1">
        <w:r w:rsidRPr="00317DBA" w:rsidR="00A65F31">
          <w:rPr>
            <w:rStyle w:val="Hyperlink"/>
            <w:rFonts w:ascii="Arial" w:hAnsi="Arial" w:cs="Arial"/>
            <w:sz w:val="22"/>
            <w:szCs w:val="22"/>
            <w:u w:val="none"/>
          </w:rPr>
          <w:t>FWS</w:t>
        </w:r>
        <w:r w:rsidRPr="00317DBA" w:rsidR="00317DBA">
          <w:rPr>
            <w:rStyle w:val="Hyperlink"/>
            <w:rFonts w:ascii="Arial" w:hAnsi="Arial" w:cs="Arial"/>
            <w:sz w:val="22"/>
            <w:szCs w:val="22"/>
            <w:u w:val="none"/>
          </w:rPr>
          <w:t>-</w:t>
        </w:r>
        <w:r w:rsidRPr="00317DBA" w:rsidR="00A65F31">
          <w:rPr>
            <w:rStyle w:val="Hyperlink"/>
            <w:rFonts w:ascii="Arial" w:hAnsi="Arial" w:cs="Arial"/>
            <w:sz w:val="22"/>
            <w:szCs w:val="22"/>
            <w:u w:val="none"/>
          </w:rPr>
          <w:t>R3</w:t>
        </w:r>
        <w:r w:rsidRPr="00317DBA" w:rsidR="00317DBA">
          <w:rPr>
            <w:rStyle w:val="Hyperlink"/>
            <w:rFonts w:ascii="Arial" w:hAnsi="Arial" w:cs="Arial"/>
            <w:sz w:val="22"/>
            <w:szCs w:val="22"/>
            <w:u w:val="none"/>
          </w:rPr>
          <w:t>-</w:t>
        </w:r>
        <w:r w:rsidRPr="00317DBA" w:rsidR="00A65F31">
          <w:rPr>
            <w:rStyle w:val="Hyperlink"/>
            <w:rFonts w:ascii="Arial" w:hAnsi="Arial" w:cs="Arial"/>
            <w:sz w:val="22"/>
            <w:szCs w:val="22"/>
            <w:u w:val="none"/>
          </w:rPr>
          <w:t>OSA</w:t>
        </w:r>
        <w:r w:rsidRPr="00317DBA" w:rsidR="00317DBA">
          <w:rPr>
            <w:rStyle w:val="Hyperlink"/>
            <w:rFonts w:ascii="Arial" w:hAnsi="Arial" w:cs="Arial"/>
            <w:sz w:val="22"/>
            <w:szCs w:val="22"/>
            <w:u w:val="none"/>
          </w:rPr>
          <w:t>-</w:t>
        </w:r>
        <w:r w:rsidRPr="00317DBA" w:rsidR="00A65F31">
          <w:rPr>
            <w:rStyle w:val="Hyperlink"/>
            <w:rFonts w:ascii="Arial" w:hAnsi="Arial" w:cs="Arial"/>
            <w:sz w:val="22"/>
            <w:szCs w:val="22"/>
            <w:u w:val="none"/>
          </w:rPr>
          <w:t>2024</w:t>
        </w:r>
        <w:r w:rsidRPr="00317DBA" w:rsidR="00317DBA">
          <w:rPr>
            <w:rStyle w:val="Hyperlink"/>
            <w:rFonts w:ascii="Arial" w:hAnsi="Arial" w:cs="Arial"/>
            <w:sz w:val="22"/>
            <w:szCs w:val="22"/>
            <w:u w:val="none"/>
          </w:rPr>
          <w:t>-</w:t>
        </w:r>
        <w:r w:rsidRPr="00317DBA" w:rsidR="00A65F31">
          <w:rPr>
            <w:rStyle w:val="Hyperlink"/>
            <w:rFonts w:ascii="Arial" w:hAnsi="Arial" w:cs="Arial"/>
            <w:sz w:val="22"/>
            <w:szCs w:val="22"/>
            <w:u w:val="none"/>
          </w:rPr>
          <w:t>0064</w:t>
        </w:r>
      </w:hyperlink>
      <w:r w:rsidR="004A63CA">
        <w:rPr>
          <w:rFonts w:ascii="Arial" w:hAnsi="Arial" w:cs="Arial"/>
          <w:sz w:val="22"/>
          <w:szCs w:val="22"/>
        </w:rPr>
        <w:t xml:space="preserve">) </w:t>
      </w:r>
      <w:r w:rsidRPr="00317DBA" w:rsidR="006B6BDA">
        <w:rPr>
          <w:rFonts w:ascii="Arial" w:hAnsi="Arial" w:cs="Arial"/>
          <w:sz w:val="22"/>
          <w:szCs w:val="22"/>
        </w:rPr>
        <w:t xml:space="preserve">to provide the public with an additional method to submit comments (in addition to the typical U.S. mail submission method).  </w:t>
      </w:r>
      <w:r w:rsidRPr="00317DBA">
        <w:rPr>
          <w:rFonts w:ascii="Arial" w:eastAsia="Arial" w:hAnsi="Arial" w:cs="Arial"/>
          <w:sz w:val="22"/>
          <w:szCs w:val="22"/>
        </w:rPr>
        <w:t xml:space="preserve">We received </w:t>
      </w:r>
      <w:r w:rsidRPr="00317DBA" w:rsidR="00317DBA">
        <w:rPr>
          <w:rFonts w:ascii="Arial" w:eastAsia="Arial" w:hAnsi="Arial" w:cs="Arial"/>
          <w:sz w:val="22"/>
          <w:szCs w:val="22"/>
        </w:rPr>
        <w:t xml:space="preserve">two </w:t>
      </w:r>
      <w:r w:rsidRPr="00317DBA">
        <w:rPr>
          <w:rFonts w:ascii="Arial" w:eastAsia="Arial" w:hAnsi="Arial" w:cs="Arial"/>
          <w:sz w:val="22"/>
          <w:szCs w:val="22"/>
        </w:rPr>
        <w:t>comment</w:t>
      </w:r>
      <w:r w:rsidRPr="00317DBA" w:rsidR="00317DBA">
        <w:rPr>
          <w:rFonts w:ascii="Arial" w:eastAsia="Arial" w:hAnsi="Arial" w:cs="Arial"/>
          <w:sz w:val="22"/>
          <w:szCs w:val="22"/>
        </w:rPr>
        <w:t>s</w:t>
      </w:r>
      <w:r w:rsidRPr="00317DBA">
        <w:rPr>
          <w:rFonts w:ascii="Arial" w:eastAsia="Arial" w:hAnsi="Arial" w:cs="Arial"/>
          <w:sz w:val="22"/>
          <w:szCs w:val="22"/>
        </w:rPr>
        <w:t xml:space="preserve"> in response to that </w:t>
      </w:r>
      <w:r w:rsidRPr="00317DBA" w:rsidR="00E60EFE">
        <w:rPr>
          <w:rFonts w:ascii="Arial" w:eastAsia="Arial" w:hAnsi="Arial" w:cs="Arial"/>
          <w:sz w:val="22"/>
          <w:szCs w:val="22"/>
        </w:rPr>
        <w:t>n</w:t>
      </w:r>
      <w:r w:rsidRPr="00317DBA">
        <w:rPr>
          <w:rFonts w:ascii="Arial" w:eastAsia="Arial" w:hAnsi="Arial" w:cs="Arial"/>
          <w:sz w:val="22"/>
          <w:szCs w:val="22"/>
        </w:rPr>
        <w:t>otice</w:t>
      </w:r>
      <w:r w:rsidRPr="00317DBA" w:rsidR="00317DBA">
        <w:rPr>
          <w:rFonts w:ascii="Arial" w:eastAsia="Arial" w:hAnsi="Arial" w:cs="Arial"/>
          <w:sz w:val="22"/>
          <w:szCs w:val="22"/>
        </w:rPr>
        <w:t xml:space="preserve"> which did not address the information collection requirements; therefore, no response is required.</w:t>
      </w:r>
    </w:p>
    <w:p w:rsidR="006849A1" w:rsidRPr="00317DBA" w:rsidP="0077018D" w14:paraId="31BFE48C" w14:textId="77777777">
      <w:pPr>
        <w:tabs>
          <w:tab w:val="left" w:pos="360"/>
          <w:tab w:val="left" w:pos="720"/>
          <w:tab w:val="left" w:pos="1440"/>
        </w:tabs>
        <w:adjustRightInd/>
        <w:ind w:right="186"/>
        <w:rPr>
          <w:rFonts w:ascii="Arial" w:eastAsia="Arial" w:hAnsi="Arial" w:cs="Arial"/>
          <w:sz w:val="22"/>
          <w:szCs w:val="22"/>
        </w:rPr>
      </w:pPr>
    </w:p>
    <w:p w:rsidR="00295103" w:rsidRPr="00317DBA" w:rsidP="00F464E2" w14:paraId="7D21AFBE" w14:textId="77777777">
      <w:pPr>
        <w:pStyle w:val="Heading1"/>
      </w:pPr>
      <w:r w:rsidRPr="00317DBA">
        <w:t>9.</w:t>
      </w:r>
      <w:r w:rsidRPr="00317DBA">
        <w:tab/>
        <w:t>Explain any decision to provide any payment or gift to respondents, other than remuneration of contractors or grantees.</w:t>
      </w:r>
    </w:p>
    <w:p w:rsidR="00295103" w:rsidRPr="00317DBA" w:rsidP="006319A2" w14:paraId="10600C61" w14:textId="77777777">
      <w:pPr>
        <w:tabs>
          <w:tab w:val="left" w:pos="360"/>
          <w:tab w:val="left" w:pos="720"/>
        </w:tabs>
        <w:rPr>
          <w:rFonts w:ascii="Arial" w:hAnsi="Arial" w:cs="Arial"/>
          <w:sz w:val="22"/>
          <w:szCs w:val="22"/>
        </w:rPr>
      </w:pPr>
    </w:p>
    <w:p w:rsidR="006849A1" w:rsidRPr="00317DBA" w:rsidP="003649C4" w14:paraId="30E36C1E" w14:textId="29AFA8ED">
      <w:pPr>
        <w:tabs>
          <w:tab w:val="left" w:pos="360"/>
          <w:tab w:val="left" w:pos="720"/>
          <w:tab w:val="left" w:pos="1440"/>
        </w:tabs>
        <w:rPr>
          <w:rFonts w:ascii="Arial" w:hAnsi="Arial" w:cs="Arial"/>
          <w:color w:val="000000" w:themeColor="text1"/>
          <w:sz w:val="22"/>
          <w:szCs w:val="22"/>
        </w:rPr>
      </w:pPr>
      <w:r w:rsidRPr="00317DBA">
        <w:rPr>
          <w:rFonts w:ascii="Arial" w:hAnsi="Arial" w:cs="Arial"/>
          <w:color w:val="000000" w:themeColor="text1"/>
          <w:sz w:val="22"/>
          <w:szCs w:val="22"/>
        </w:rPr>
        <w:t xml:space="preserve">We will not provide any payment or gifts to respondents.  </w:t>
      </w:r>
    </w:p>
    <w:p w:rsidR="00251281" w:rsidRPr="00317DBA" w:rsidP="006319A2" w14:paraId="381AAC11" w14:textId="77777777">
      <w:pPr>
        <w:tabs>
          <w:tab w:val="left" w:pos="360"/>
          <w:tab w:val="left" w:pos="720"/>
        </w:tabs>
        <w:rPr>
          <w:rFonts w:ascii="Arial" w:hAnsi="Arial" w:cs="Arial"/>
          <w:sz w:val="22"/>
          <w:szCs w:val="22"/>
        </w:rPr>
      </w:pPr>
    </w:p>
    <w:p w:rsidR="004A6DFA" w:rsidRPr="00317DBA" w:rsidP="00F464E2" w14:paraId="7247D307" w14:textId="77777777">
      <w:pPr>
        <w:pStyle w:val="Heading1"/>
        <w:tabs>
          <w:tab w:val="clear" w:pos="360"/>
          <w:tab w:val="left" w:pos="450"/>
        </w:tabs>
      </w:pPr>
      <w:r w:rsidRPr="00317DBA">
        <w:t>10.</w:t>
      </w:r>
      <w:r w:rsidRPr="00317DBA">
        <w:tab/>
        <w:t>Describe any assurance of confidentiality provided to respondents and the basis for the assurance in statute, regulation, or agency policy.</w:t>
      </w:r>
    </w:p>
    <w:p w:rsidR="004A6DFA" w:rsidRPr="00317DBA" w:rsidP="006319A2" w14:paraId="48779EFD" w14:textId="77777777">
      <w:pPr>
        <w:tabs>
          <w:tab w:val="left" w:pos="450"/>
          <w:tab w:val="left" w:pos="720"/>
        </w:tabs>
        <w:rPr>
          <w:rFonts w:ascii="Arial" w:hAnsi="Arial" w:cs="Arial"/>
          <w:sz w:val="22"/>
          <w:szCs w:val="22"/>
        </w:rPr>
      </w:pPr>
    </w:p>
    <w:p w:rsidR="006B7923" w:rsidRPr="00317DBA" w:rsidP="006B7923" w14:paraId="301B3C08" w14:textId="644FCDD8">
      <w:pPr>
        <w:tabs>
          <w:tab w:val="left" w:pos="450"/>
          <w:tab w:val="left" w:pos="720"/>
        </w:tabs>
        <w:rPr>
          <w:rFonts w:ascii="Arial" w:hAnsi="Arial" w:cs="Arial"/>
          <w:sz w:val="22"/>
          <w:szCs w:val="22"/>
        </w:rPr>
      </w:pPr>
      <w:r w:rsidRPr="00317DBA">
        <w:rPr>
          <w:rFonts w:ascii="Arial" w:hAnsi="Arial" w:cs="Arial"/>
          <w:sz w:val="22"/>
          <w:szCs w:val="22"/>
        </w:rPr>
        <w:t xml:space="preserve">We do not provide any assurance of confidentiality. </w:t>
      </w:r>
      <w:r w:rsidR="00620E11">
        <w:rPr>
          <w:rFonts w:ascii="Arial" w:hAnsi="Arial" w:cs="Arial"/>
          <w:sz w:val="22"/>
          <w:szCs w:val="22"/>
        </w:rPr>
        <w:t xml:space="preserve"> </w:t>
      </w:r>
      <w:r w:rsidRPr="00317DBA">
        <w:rPr>
          <w:rFonts w:ascii="Arial" w:hAnsi="Arial" w:cs="Arial"/>
          <w:sz w:val="22"/>
          <w:szCs w:val="22"/>
        </w:rPr>
        <w:t xml:space="preserve">Information maintained by FWS as a result of this project may be disclosed pursuant to the Freedom of Information Act (FOIA), the Privacy Act of 1974, and the routine uses listed in System of Records Notice </w:t>
      </w:r>
      <w:hyperlink r:id="rId6" w:history="1">
        <w:r w:rsidRPr="00317DBA">
          <w:rPr>
            <w:rStyle w:val="Hyperlink"/>
            <w:rFonts w:ascii="Arial" w:hAnsi="Arial" w:cs="Arial"/>
            <w:sz w:val="22"/>
            <w:szCs w:val="22"/>
            <w:u w:val="none"/>
          </w:rPr>
          <w:t>FWS-27, Correspondence Control System</w:t>
        </w:r>
      </w:hyperlink>
      <w:r w:rsidRPr="00317DBA" w:rsidR="007E4350">
        <w:rPr>
          <w:rFonts w:ascii="Arial" w:hAnsi="Arial" w:cs="Arial"/>
          <w:sz w:val="22"/>
          <w:szCs w:val="22"/>
        </w:rPr>
        <w:t xml:space="preserve"> (64 FR 29055</w:t>
      </w:r>
      <w:r w:rsidR="00317DBA">
        <w:rPr>
          <w:rFonts w:ascii="Arial" w:hAnsi="Arial" w:cs="Arial"/>
          <w:sz w:val="22"/>
          <w:szCs w:val="22"/>
        </w:rPr>
        <w:t xml:space="preserve">, dated </w:t>
      </w:r>
      <w:r w:rsidRPr="00317DBA" w:rsidR="007E4350">
        <w:rPr>
          <w:rFonts w:ascii="Arial" w:hAnsi="Arial" w:cs="Arial"/>
          <w:sz w:val="22"/>
          <w:szCs w:val="22"/>
        </w:rPr>
        <w:t>May 28, 1999; modification published 73 FR 31877</w:t>
      </w:r>
      <w:r w:rsidR="00317DBA">
        <w:rPr>
          <w:rFonts w:ascii="Arial" w:hAnsi="Arial" w:cs="Arial"/>
          <w:sz w:val="22"/>
          <w:szCs w:val="22"/>
        </w:rPr>
        <w:t>,</w:t>
      </w:r>
      <w:r w:rsidRPr="00317DBA" w:rsidR="007E4350">
        <w:rPr>
          <w:rFonts w:ascii="Arial" w:hAnsi="Arial" w:cs="Arial"/>
          <w:sz w:val="22"/>
          <w:szCs w:val="22"/>
        </w:rPr>
        <w:t xml:space="preserve"> </w:t>
      </w:r>
      <w:r w:rsidR="00317DBA">
        <w:rPr>
          <w:rFonts w:ascii="Arial" w:hAnsi="Arial" w:cs="Arial"/>
          <w:sz w:val="22"/>
          <w:szCs w:val="22"/>
        </w:rPr>
        <w:t xml:space="preserve">dated </w:t>
      </w:r>
      <w:r w:rsidRPr="00317DBA" w:rsidR="007E4350">
        <w:rPr>
          <w:rFonts w:ascii="Arial" w:hAnsi="Arial" w:cs="Arial"/>
          <w:sz w:val="22"/>
          <w:szCs w:val="22"/>
        </w:rPr>
        <w:t>June 4, 2008)</w:t>
      </w:r>
      <w:r w:rsidRPr="00317DBA">
        <w:rPr>
          <w:rFonts w:ascii="Arial" w:hAnsi="Arial" w:cs="Arial"/>
          <w:sz w:val="22"/>
          <w:szCs w:val="22"/>
        </w:rPr>
        <w:t xml:space="preserve">. </w:t>
      </w:r>
    </w:p>
    <w:p w:rsidR="006B7923" w:rsidRPr="00317DBA" w:rsidP="006B7923" w14:paraId="1FDADCDE" w14:textId="77777777">
      <w:pPr>
        <w:tabs>
          <w:tab w:val="left" w:pos="450"/>
          <w:tab w:val="left" w:pos="720"/>
        </w:tabs>
        <w:rPr>
          <w:rFonts w:ascii="Arial" w:hAnsi="Arial" w:cs="Arial"/>
          <w:sz w:val="22"/>
          <w:szCs w:val="22"/>
        </w:rPr>
      </w:pPr>
    </w:p>
    <w:p w:rsidR="00295103" w:rsidRPr="00317DBA" w:rsidP="00F464E2" w14:paraId="2A5801F3" w14:textId="77777777">
      <w:pPr>
        <w:pStyle w:val="Heading1"/>
        <w:tabs>
          <w:tab w:val="clear" w:pos="360"/>
          <w:tab w:val="left" w:pos="450"/>
        </w:tabs>
      </w:pPr>
      <w:r w:rsidRPr="00317DBA">
        <w:t>11.</w:t>
      </w:r>
      <w:r w:rsidRPr="00317DBA">
        <w:tab/>
        <w:t xml:space="preserve">Provide additional justification for any questions of a sensitive nature, such as sexual behavior and attitudes, religious beliefs, and other matters that are commonly </w:t>
      </w:r>
      <w:r w:rsidRPr="00317DBA">
        <w:t>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Pr="00317DBA" w:rsidP="006319A2" w14:paraId="0D4F7DD4" w14:textId="77777777">
      <w:pPr>
        <w:tabs>
          <w:tab w:val="left" w:pos="450"/>
          <w:tab w:val="left" w:pos="720"/>
        </w:tabs>
        <w:rPr>
          <w:rFonts w:ascii="Arial" w:hAnsi="Arial" w:cs="Arial"/>
          <w:sz w:val="22"/>
          <w:szCs w:val="22"/>
        </w:rPr>
      </w:pPr>
    </w:p>
    <w:p w:rsidR="003649C4" w:rsidRPr="00317DBA" w:rsidP="003649C4" w14:paraId="52F3B96E" w14:textId="77777777">
      <w:pPr>
        <w:tabs>
          <w:tab w:val="left" w:pos="360"/>
          <w:tab w:val="left" w:pos="720"/>
          <w:tab w:val="left" w:pos="1440"/>
        </w:tabs>
        <w:rPr>
          <w:rFonts w:ascii="Arial" w:hAnsi="Arial" w:cs="Arial"/>
          <w:sz w:val="22"/>
          <w:szCs w:val="22"/>
        </w:rPr>
      </w:pPr>
      <w:r w:rsidRPr="00317DBA">
        <w:rPr>
          <w:rFonts w:ascii="Arial" w:hAnsi="Arial" w:cs="Arial"/>
          <w:color w:val="000000" w:themeColor="text1"/>
          <w:sz w:val="22"/>
          <w:szCs w:val="22"/>
        </w:rPr>
        <w:t>We will not ask any questions of a sensitive nature.</w:t>
      </w:r>
    </w:p>
    <w:p w:rsidR="00251281" w:rsidRPr="00317DBA" w:rsidP="006319A2" w14:paraId="7B2260EC" w14:textId="77777777">
      <w:pPr>
        <w:tabs>
          <w:tab w:val="left" w:pos="450"/>
          <w:tab w:val="left" w:pos="720"/>
        </w:tabs>
        <w:rPr>
          <w:rFonts w:ascii="Arial" w:hAnsi="Arial" w:cs="Arial"/>
          <w:sz w:val="22"/>
          <w:szCs w:val="22"/>
        </w:rPr>
      </w:pPr>
    </w:p>
    <w:p w:rsidR="00295103" w:rsidRPr="00317DBA" w:rsidP="00F464E2" w14:paraId="70ED41AE" w14:textId="3AB7EDDD">
      <w:pPr>
        <w:pStyle w:val="Heading1"/>
        <w:tabs>
          <w:tab w:val="clear" w:pos="360"/>
          <w:tab w:val="left" w:pos="450"/>
        </w:tabs>
      </w:pPr>
      <w:r w:rsidRPr="00317DBA">
        <w:t>12.</w:t>
      </w:r>
      <w:r w:rsidRPr="00317DBA">
        <w:tab/>
        <w:t>Provide estimates of the hour burden of the collection of information.  The statement should:</w:t>
      </w:r>
    </w:p>
    <w:p w:rsidR="00295103" w:rsidRPr="00317DBA" w:rsidP="006319A2" w14:paraId="58FDAB77" w14:textId="77777777">
      <w:pPr>
        <w:tabs>
          <w:tab w:val="left" w:pos="360"/>
          <w:tab w:val="left" w:pos="720"/>
        </w:tabs>
        <w:ind w:left="720" w:hanging="720"/>
        <w:rPr>
          <w:rFonts w:ascii="Arial" w:hAnsi="Arial" w:cs="Arial"/>
          <w:b/>
          <w:sz w:val="22"/>
          <w:szCs w:val="22"/>
        </w:rPr>
      </w:pPr>
      <w:r w:rsidRPr="00317DBA">
        <w:rPr>
          <w:rFonts w:ascii="Arial" w:hAnsi="Arial" w:cs="Arial"/>
          <w:b/>
          <w:sz w:val="22"/>
          <w:szCs w:val="22"/>
        </w:rPr>
        <w:tab/>
        <w:t>*</w:t>
      </w:r>
      <w:r w:rsidRPr="00317DBA">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317DBA" w:rsidP="006319A2" w14:paraId="16A7ECCB" w14:textId="77777777">
      <w:pPr>
        <w:tabs>
          <w:tab w:val="left" w:pos="360"/>
          <w:tab w:val="left" w:pos="720"/>
        </w:tabs>
        <w:ind w:left="720" w:hanging="720"/>
        <w:rPr>
          <w:rFonts w:ascii="Arial" w:hAnsi="Arial" w:cs="Arial"/>
          <w:b/>
          <w:sz w:val="22"/>
          <w:szCs w:val="22"/>
        </w:rPr>
      </w:pPr>
      <w:r w:rsidRPr="00317DBA">
        <w:rPr>
          <w:rFonts w:ascii="Arial" w:hAnsi="Arial" w:cs="Arial"/>
          <w:b/>
          <w:sz w:val="22"/>
          <w:szCs w:val="22"/>
        </w:rPr>
        <w:tab/>
        <w:t>*</w:t>
      </w:r>
      <w:r w:rsidRPr="00317DBA">
        <w:rPr>
          <w:rFonts w:ascii="Arial" w:hAnsi="Arial" w:cs="Arial"/>
          <w:b/>
          <w:sz w:val="22"/>
          <w:szCs w:val="22"/>
        </w:rPr>
        <w:tab/>
        <w:t xml:space="preserve">If this request for approval covers more than one form, provide separate hour burden estimates for each </w:t>
      </w:r>
      <w:r w:rsidRPr="00317DBA">
        <w:rPr>
          <w:rFonts w:ascii="Arial" w:hAnsi="Arial" w:cs="Arial"/>
          <w:b/>
          <w:sz w:val="22"/>
          <w:szCs w:val="22"/>
        </w:rPr>
        <w:t>form</w:t>
      </w:r>
      <w:r w:rsidRPr="00317DBA">
        <w:rPr>
          <w:rFonts w:ascii="Arial" w:hAnsi="Arial" w:cs="Arial"/>
          <w:b/>
          <w:sz w:val="22"/>
          <w:szCs w:val="22"/>
        </w:rPr>
        <w:t xml:space="preserve"> and aggregate the hour burdens.</w:t>
      </w:r>
    </w:p>
    <w:p w:rsidR="00251281" w:rsidRPr="00317DBA" w:rsidP="006319A2" w14:paraId="4333E530" w14:textId="77777777">
      <w:pPr>
        <w:tabs>
          <w:tab w:val="left" w:pos="360"/>
          <w:tab w:val="left" w:pos="720"/>
        </w:tabs>
        <w:ind w:left="720" w:hanging="720"/>
        <w:rPr>
          <w:rFonts w:ascii="Arial" w:hAnsi="Arial" w:cs="Arial"/>
          <w:sz w:val="22"/>
          <w:szCs w:val="22"/>
        </w:rPr>
      </w:pPr>
      <w:r w:rsidRPr="00317DBA">
        <w:rPr>
          <w:rFonts w:ascii="Arial" w:hAnsi="Arial" w:cs="Arial"/>
          <w:b/>
          <w:sz w:val="22"/>
          <w:szCs w:val="22"/>
        </w:rPr>
        <w:tab/>
      </w:r>
      <w:r w:rsidRPr="00317DBA" w:rsidR="00295103">
        <w:rPr>
          <w:rFonts w:ascii="Arial" w:hAnsi="Arial" w:cs="Arial"/>
          <w:b/>
          <w:sz w:val="22"/>
          <w:szCs w:val="22"/>
        </w:rPr>
        <w:t>*</w:t>
      </w:r>
      <w:r w:rsidRPr="00317DBA" w:rsidR="00295103">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317DBA" w:rsidR="00DE7630">
        <w:rPr>
          <w:rFonts w:ascii="Arial" w:hAnsi="Arial" w:cs="Arial"/>
          <w:b/>
          <w:sz w:val="22"/>
          <w:szCs w:val="22"/>
        </w:rPr>
        <w:t>.</w:t>
      </w:r>
    </w:p>
    <w:p w:rsidR="00B50214" w:rsidRPr="00317DBA" w:rsidP="006319A2" w14:paraId="38EC3A2E" w14:textId="77777777">
      <w:pPr>
        <w:tabs>
          <w:tab w:val="left" w:pos="450"/>
          <w:tab w:val="left" w:pos="720"/>
        </w:tabs>
        <w:rPr>
          <w:rFonts w:ascii="Arial" w:hAnsi="Arial" w:cs="Arial"/>
          <w:sz w:val="22"/>
          <w:szCs w:val="22"/>
        </w:rPr>
      </w:pPr>
    </w:p>
    <w:p w:rsidR="009F0FAE" w:rsidRPr="00C82CD7" w:rsidP="009F0FAE" w14:paraId="5ADF2B39" w14:textId="4CAB6E26">
      <w:pPr>
        <w:tabs>
          <w:tab w:val="left" w:pos="360"/>
          <w:tab w:val="left" w:pos="720"/>
        </w:tabs>
        <w:rPr>
          <w:rFonts w:ascii="Arial" w:hAnsi="Arial" w:cs="Arial"/>
          <w:sz w:val="22"/>
          <w:szCs w:val="22"/>
        </w:rPr>
      </w:pPr>
      <w:bookmarkStart w:id="0" w:name="_Hlk106771185"/>
      <w:r w:rsidRPr="049DD704">
        <w:rPr>
          <w:rFonts w:ascii="Arial" w:hAnsi="Arial" w:cs="Arial"/>
          <w:sz w:val="22"/>
          <w:szCs w:val="22"/>
        </w:rPr>
        <w:t xml:space="preserve">We estimate that we will receive </w:t>
      </w:r>
      <w:r w:rsidRPr="049DD704" w:rsidR="005D7B71">
        <w:rPr>
          <w:rFonts w:ascii="Arial" w:hAnsi="Arial" w:cs="Arial"/>
          <w:b/>
          <w:bCs/>
          <w:sz w:val="22"/>
          <w:szCs w:val="22"/>
        </w:rPr>
        <w:t>2</w:t>
      </w:r>
      <w:r w:rsidRPr="049DD704">
        <w:rPr>
          <w:rFonts w:ascii="Arial" w:hAnsi="Arial" w:cs="Arial"/>
          <w:b/>
          <w:bCs/>
          <w:sz w:val="22"/>
          <w:szCs w:val="22"/>
        </w:rPr>
        <w:t xml:space="preserve">65 responses </w:t>
      </w:r>
      <w:r w:rsidRPr="049DD704" w:rsidR="004816F1">
        <w:rPr>
          <w:rFonts w:ascii="Arial" w:hAnsi="Arial" w:cs="Arial"/>
          <w:sz w:val="22"/>
          <w:szCs w:val="22"/>
        </w:rPr>
        <w:t xml:space="preserve">(plus 100 </w:t>
      </w:r>
      <w:r w:rsidRPr="049DD704" w:rsidR="00236C9E">
        <w:rPr>
          <w:rFonts w:ascii="Arial" w:hAnsi="Arial" w:cs="Arial"/>
          <w:sz w:val="22"/>
          <w:szCs w:val="22"/>
        </w:rPr>
        <w:t>U.S.</w:t>
      </w:r>
      <w:r w:rsidRPr="049DD704" w:rsidR="004816F1">
        <w:rPr>
          <w:rFonts w:ascii="Arial" w:hAnsi="Arial" w:cs="Arial"/>
          <w:sz w:val="22"/>
          <w:szCs w:val="22"/>
        </w:rPr>
        <w:t xml:space="preserve"> Federal workers </w:t>
      </w:r>
      <w:r w:rsidRPr="049DD704" w:rsidR="005D7B71">
        <w:rPr>
          <w:rFonts w:ascii="Arial" w:hAnsi="Arial" w:cs="Arial"/>
          <w:sz w:val="22"/>
          <w:szCs w:val="22"/>
        </w:rPr>
        <w:t>exempt from burden estimates per Paperwork Reduction Act)</w:t>
      </w:r>
      <w:r w:rsidRPr="049DD704">
        <w:rPr>
          <w:rFonts w:ascii="Arial" w:hAnsi="Arial" w:cs="Arial"/>
          <w:sz w:val="22"/>
          <w:szCs w:val="22"/>
        </w:rPr>
        <w:t xml:space="preserve"> totaling </w:t>
      </w:r>
      <w:r w:rsidRPr="049DD704" w:rsidR="0075436B">
        <w:rPr>
          <w:rFonts w:ascii="Arial" w:hAnsi="Arial" w:cs="Arial"/>
          <w:b/>
          <w:bCs/>
          <w:sz w:val="22"/>
          <w:szCs w:val="22"/>
        </w:rPr>
        <w:t>8</w:t>
      </w:r>
      <w:r w:rsidR="00C82CD7">
        <w:rPr>
          <w:rFonts w:ascii="Arial" w:hAnsi="Arial" w:cs="Arial"/>
          <w:b/>
          <w:bCs/>
          <w:sz w:val="22"/>
          <w:szCs w:val="22"/>
        </w:rPr>
        <w:t>9</w:t>
      </w:r>
      <w:r w:rsidRPr="049DD704">
        <w:rPr>
          <w:rFonts w:ascii="Arial" w:hAnsi="Arial" w:cs="Arial"/>
          <w:b/>
          <w:bCs/>
          <w:sz w:val="22"/>
          <w:szCs w:val="22"/>
        </w:rPr>
        <w:t xml:space="preserve"> burden hours</w:t>
      </w:r>
      <w:r w:rsidRPr="049DD704">
        <w:rPr>
          <w:rFonts w:ascii="Arial" w:hAnsi="Arial" w:cs="Arial"/>
          <w:sz w:val="22"/>
          <w:szCs w:val="22"/>
        </w:rPr>
        <w:t xml:space="preserve">. We estimate the annual dollar value of the burden hours is </w:t>
      </w:r>
      <w:r w:rsidRPr="049DD704">
        <w:rPr>
          <w:rFonts w:ascii="Arial" w:hAnsi="Arial" w:cs="Arial"/>
          <w:b/>
          <w:bCs/>
          <w:sz w:val="22"/>
          <w:szCs w:val="22"/>
        </w:rPr>
        <w:t>$</w:t>
      </w:r>
      <w:r w:rsidRPr="049DD704" w:rsidR="008F70FC">
        <w:rPr>
          <w:rFonts w:ascii="Arial" w:hAnsi="Arial" w:cs="Arial"/>
          <w:b/>
          <w:bCs/>
          <w:sz w:val="22"/>
          <w:szCs w:val="22"/>
        </w:rPr>
        <w:t>4</w:t>
      </w:r>
      <w:r w:rsidRPr="049DD704">
        <w:rPr>
          <w:rFonts w:ascii="Arial" w:hAnsi="Arial" w:cs="Arial"/>
          <w:b/>
          <w:bCs/>
          <w:sz w:val="22"/>
          <w:szCs w:val="22"/>
        </w:rPr>
        <w:t>,</w:t>
      </w:r>
      <w:r w:rsidRPr="049DD704" w:rsidR="46500D77">
        <w:rPr>
          <w:rFonts w:ascii="Arial" w:hAnsi="Arial" w:cs="Arial"/>
          <w:b/>
          <w:bCs/>
          <w:sz w:val="22"/>
          <w:szCs w:val="22"/>
        </w:rPr>
        <w:t>1</w:t>
      </w:r>
      <w:r w:rsidR="00C82CD7">
        <w:rPr>
          <w:rFonts w:ascii="Arial" w:hAnsi="Arial" w:cs="Arial"/>
          <w:b/>
          <w:bCs/>
          <w:sz w:val="22"/>
          <w:szCs w:val="22"/>
        </w:rPr>
        <w:t>99</w:t>
      </w:r>
      <w:r w:rsidR="00C82CD7">
        <w:rPr>
          <w:rFonts w:ascii="Arial" w:hAnsi="Arial" w:cs="Arial"/>
          <w:sz w:val="22"/>
          <w:szCs w:val="22"/>
        </w:rPr>
        <w:t xml:space="preserve"> (rounded).</w:t>
      </w:r>
    </w:p>
    <w:p w:rsidR="009F0FAE" w:rsidRPr="00317DBA" w:rsidP="009F0FAE" w14:paraId="3E8A0079" w14:textId="77777777">
      <w:pPr>
        <w:tabs>
          <w:tab w:val="left" w:pos="360"/>
          <w:tab w:val="left" w:pos="720"/>
        </w:tabs>
        <w:rPr>
          <w:rFonts w:ascii="Arial" w:hAnsi="Arial" w:cs="Arial"/>
          <w:sz w:val="22"/>
          <w:szCs w:val="22"/>
        </w:rPr>
      </w:pPr>
    </w:p>
    <w:p w:rsidR="009F0FAE" w:rsidRPr="00317DBA" w:rsidP="009F0FAE" w14:paraId="4F4108D5" w14:textId="4AFEA595">
      <w:pPr>
        <w:tabs>
          <w:tab w:val="left" w:pos="360"/>
          <w:tab w:val="left" w:pos="720"/>
        </w:tabs>
        <w:rPr>
          <w:rFonts w:ascii="Arial" w:hAnsi="Arial" w:cs="Arial"/>
          <w:sz w:val="22"/>
          <w:szCs w:val="22"/>
        </w:rPr>
      </w:pPr>
      <w:r w:rsidRPr="35EB59F3">
        <w:rPr>
          <w:rFonts w:ascii="Arial" w:hAnsi="Arial" w:cs="Arial"/>
          <w:sz w:val="22"/>
          <w:szCs w:val="22"/>
        </w:rPr>
        <w:t xml:space="preserve">We estimate the following breakdown of respondents by type and country: </w:t>
      </w:r>
    </w:p>
    <w:p w:rsidR="35EB59F3" w:rsidP="35EB59F3" w14:paraId="58E25E4E" w14:textId="0AA1CDEB">
      <w:pPr>
        <w:tabs>
          <w:tab w:val="left" w:pos="360"/>
          <w:tab w:val="left" w:pos="720"/>
        </w:tab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
      <w:tblGrid>
        <w:gridCol w:w="3092"/>
        <w:gridCol w:w="1435"/>
        <w:gridCol w:w="1335"/>
        <w:gridCol w:w="1287"/>
        <w:gridCol w:w="1522"/>
      </w:tblGrid>
      <w:tr w14:paraId="4106161D" w14:textId="77777777" w:rsidTr="009C166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Ex>
        <w:trPr>
          <w:trHeight w:val="20"/>
        </w:trPr>
        <w:tc>
          <w:tcPr>
            <w:tcW w:w="3092" w:type="dxa"/>
            <w:tcMar>
              <w:top w:w="15" w:type="dxa"/>
              <w:left w:w="15" w:type="dxa"/>
              <w:right w:w="15" w:type="dxa"/>
            </w:tcMar>
            <w:vAlign w:val="bottom"/>
          </w:tcPr>
          <w:p w:rsidR="35EB59F3" w:rsidRPr="009C1664" w:rsidP="009C1664" w14:paraId="402FEC25" w14:textId="4AC93383">
            <w:pPr>
              <w:jc w:val="center"/>
            </w:pPr>
            <w:r w:rsidRPr="009C1664">
              <w:rPr>
                <w:rFonts w:ascii="Arial" w:eastAsia="Arial" w:hAnsi="Arial" w:cs="Arial"/>
                <w:b/>
                <w:bCs/>
                <w:i/>
                <w:iCs/>
                <w:color w:val="000000" w:themeColor="text1"/>
              </w:rPr>
              <w:t>Respondent Type</w:t>
            </w:r>
          </w:p>
        </w:tc>
        <w:tc>
          <w:tcPr>
            <w:tcW w:w="1435" w:type="dxa"/>
            <w:tcMar>
              <w:top w:w="15" w:type="dxa"/>
              <w:left w:w="15" w:type="dxa"/>
              <w:right w:w="15" w:type="dxa"/>
            </w:tcMar>
            <w:vAlign w:val="bottom"/>
          </w:tcPr>
          <w:p w:rsidR="35EB59F3" w:rsidRPr="009C1664" w:rsidP="009C1664" w14:paraId="25281B03" w14:textId="4EA92D8B">
            <w:pPr>
              <w:jc w:val="center"/>
            </w:pPr>
            <w:r w:rsidRPr="009C1664">
              <w:rPr>
                <w:rFonts w:ascii="Arial" w:eastAsia="Arial" w:hAnsi="Arial" w:cs="Arial"/>
                <w:b/>
                <w:bCs/>
                <w:i/>
                <w:iCs/>
                <w:color w:val="000000" w:themeColor="text1"/>
              </w:rPr>
              <w:t>Total</w:t>
            </w:r>
          </w:p>
        </w:tc>
        <w:tc>
          <w:tcPr>
            <w:tcW w:w="4144" w:type="dxa"/>
            <w:gridSpan w:val="3"/>
            <w:tcMar>
              <w:top w:w="15" w:type="dxa"/>
              <w:left w:w="15" w:type="dxa"/>
              <w:right w:w="15" w:type="dxa"/>
            </w:tcMar>
            <w:vAlign w:val="bottom"/>
          </w:tcPr>
          <w:p w:rsidR="433E4B33" w:rsidRPr="009C1664" w:rsidP="009C1664" w14:paraId="66A7F4FF" w14:textId="4B450DEE">
            <w:pPr>
              <w:jc w:val="center"/>
            </w:pPr>
            <w:r w:rsidRPr="009C1664">
              <w:rPr>
                <w:rFonts w:ascii="Arial" w:eastAsia="Arial" w:hAnsi="Arial" w:cs="Arial"/>
                <w:b/>
                <w:bCs/>
                <w:color w:val="000000" w:themeColor="text1"/>
              </w:rPr>
              <w:t>Respondent</w:t>
            </w:r>
            <w:r w:rsidRPr="009C1664" w:rsidR="35EB59F3">
              <w:rPr>
                <w:rFonts w:ascii="Arial" w:eastAsia="Arial" w:hAnsi="Arial" w:cs="Arial"/>
                <w:b/>
                <w:bCs/>
                <w:color w:val="000000" w:themeColor="text1"/>
              </w:rPr>
              <w:t xml:space="preserve"> County</w:t>
            </w:r>
          </w:p>
        </w:tc>
      </w:tr>
      <w:tr w14:paraId="58410A57" w14:textId="77777777" w:rsidTr="009C1664">
        <w:tblPrEx>
          <w:tblW w:w="0" w:type="auto"/>
          <w:tblLayout w:type="fixed"/>
          <w:tblLook w:val="06A0"/>
        </w:tblPrEx>
        <w:trPr>
          <w:trHeight w:val="20"/>
        </w:trPr>
        <w:tc>
          <w:tcPr>
            <w:tcW w:w="3092" w:type="dxa"/>
            <w:tcMar>
              <w:top w:w="15" w:type="dxa"/>
              <w:left w:w="15" w:type="dxa"/>
              <w:right w:w="15" w:type="dxa"/>
            </w:tcMar>
            <w:vAlign w:val="bottom"/>
          </w:tcPr>
          <w:p w:rsidR="35EB59F3" w:rsidRPr="009C1664" w:rsidP="35EB59F3" w14:paraId="37199B9A" w14:textId="5C61F8CC">
            <w:r w:rsidRPr="009C1664">
              <w:rPr>
                <w:rFonts w:ascii="Arial" w:eastAsia="Arial" w:hAnsi="Arial" w:cs="Arial"/>
                <w:color w:val="000000" w:themeColor="text1"/>
              </w:rPr>
              <w:t xml:space="preserve"> </w:t>
            </w:r>
          </w:p>
        </w:tc>
        <w:tc>
          <w:tcPr>
            <w:tcW w:w="1435" w:type="dxa"/>
            <w:tcMar>
              <w:top w:w="15" w:type="dxa"/>
              <w:left w:w="15" w:type="dxa"/>
              <w:right w:w="15" w:type="dxa"/>
            </w:tcMar>
            <w:vAlign w:val="center"/>
          </w:tcPr>
          <w:p w:rsidR="35EB59F3" w:rsidRPr="009C1664" w:rsidP="009C1664" w14:paraId="078D2220" w14:textId="79B6926B">
            <w:pPr>
              <w:jc w:val="center"/>
            </w:pPr>
          </w:p>
        </w:tc>
        <w:tc>
          <w:tcPr>
            <w:tcW w:w="1335" w:type="dxa"/>
            <w:tcMar>
              <w:top w:w="15" w:type="dxa"/>
              <w:left w:w="15" w:type="dxa"/>
              <w:right w:w="15" w:type="dxa"/>
            </w:tcMar>
            <w:vAlign w:val="center"/>
          </w:tcPr>
          <w:p w:rsidR="35EB59F3" w:rsidRPr="009C1664" w:rsidP="009C1664" w14:paraId="74923CCD" w14:textId="46E292B2">
            <w:pPr>
              <w:jc w:val="center"/>
            </w:pPr>
            <w:r w:rsidRPr="009C1664">
              <w:rPr>
                <w:rFonts w:ascii="Arial" w:eastAsia="Arial" w:hAnsi="Arial" w:cs="Arial"/>
                <w:b/>
                <w:bCs/>
                <w:i/>
                <w:iCs/>
                <w:color w:val="000000" w:themeColor="text1"/>
              </w:rPr>
              <w:t>US</w:t>
            </w:r>
          </w:p>
        </w:tc>
        <w:tc>
          <w:tcPr>
            <w:tcW w:w="1287" w:type="dxa"/>
            <w:tcMar>
              <w:top w:w="15" w:type="dxa"/>
              <w:left w:w="15" w:type="dxa"/>
              <w:right w:w="15" w:type="dxa"/>
            </w:tcMar>
            <w:vAlign w:val="center"/>
          </w:tcPr>
          <w:p w:rsidR="35EB59F3" w:rsidRPr="009C1664" w:rsidP="009C1664" w14:paraId="01EC261C" w14:textId="0BF60215">
            <w:pPr>
              <w:jc w:val="center"/>
            </w:pPr>
            <w:r w:rsidRPr="009C1664">
              <w:rPr>
                <w:rFonts w:ascii="Arial" w:eastAsia="Arial" w:hAnsi="Arial" w:cs="Arial"/>
                <w:b/>
                <w:bCs/>
                <w:i/>
                <w:iCs/>
                <w:color w:val="000000" w:themeColor="text1"/>
              </w:rPr>
              <w:t>Canada</w:t>
            </w:r>
          </w:p>
        </w:tc>
        <w:tc>
          <w:tcPr>
            <w:tcW w:w="1522" w:type="dxa"/>
            <w:tcMar>
              <w:top w:w="15" w:type="dxa"/>
              <w:left w:w="15" w:type="dxa"/>
              <w:right w:w="15" w:type="dxa"/>
            </w:tcMar>
            <w:vAlign w:val="center"/>
          </w:tcPr>
          <w:p w:rsidR="35EB59F3" w:rsidRPr="009C1664" w:rsidP="009C1664" w14:paraId="54C5558C" w14:textId="219D67CF">
            <w:pPr>
              <w:jc w:val="center"/>
            </w:pPr>
            <w:r w:rsidRPr="009C1664">
              <w:rPr>
                <w:rFonts w:ascii="Arial" w:eastAsia="Arial" w:hAnsi="Arial" w:cs="Arial"/>
                <w:b/>
                <w:bCs/>
                <w:i/>
                <w:iCs/>
                <w:color w:val="000000" w:themeColor="text1"/>
              </w:rPr>
              <w:t>Mexico</w:t>
            </w:r>
          </w:p>
        </w:tc>
      </w:tr>
      <w:tr w14:paraId="77723DDC" w14:textId="77777777" w:rsidTr="009C1664">
        <w:tblPrEx>
          <w:tblW w:w="0" w:type="auto"/>
          <w:tblLayout w:type="fixed"/>
          <w:tblLook w:val="06A0"/>
        </w:tblPrEx>
        <w:trPr>
          <w:trHeight w:val="20"/>
        </w:trPr>
        <w:tc>
          <w:tcPr>
            <w:tcW w:w="3092" w:type="dxa"/>
            <w:tcMar>
              <w:top w:w="15" w:type="dxa"/>
              <w:left w:w="15" w:type="dxa"/>
              <w:right w:w="15" w:type="dxa"/>
            </w:tcMar>
            <w:vAlign w:val="center"/>
          </w:tcPr>
          <w:p w:rsidR="35EB59F3" w:rsidRPr="009C1664" w:rsidP="009C1664" w14:paraId="7E2067A4" w14:textId="4F47919D">
            <w:r w:rsidRPr="009C1664">
              <w:rPr>
                <w:rFonts w:ascii="Arial" w:eastAsia="Arial" w:hAnsi="Arial" w:cs="Arial"/>
                <w:color w:val="000000" w:themeColor="text1"/>
              </w:rPr>
              <w:t>Private Sector</w:t>
            </w:r>
          </w:p>
        </w:tc>
        <w:tc>
          <w:tcPr>
            <w:tcW w:w="1435" w:type="dxa"/>
            <w:tcMar>
              <w:top w:w="15" w:type="dxa"/>
              <w:left w:w="15" w:type="dxa"/>
              <w:right w:w="15" w:type="dxa"/>
            </w:tcMar>
            <w:vAlign w:val="center"/>
          </w:tcPr>
          <w:p w:rsidR="35EB59F3" w:rsidRPr="009C1664" w:rsidP="009C1664" w14:paraId="3FA0B928" w14:textId="3782D84D">
            <w:pPr>
              <w:jc w:val="center"/>
            </w:pPr>
            <w:r w:rsidRPr="009C1664">
              <w:rPr>
                <w:rFonts w:ascii="Arial" w:eastAsia="Arial" w:hAnsi="Arial" w:cs="Arial"/>
                <w:color w:val="000000" w:themeColor="text1"/>
              </w:rPr>
              <w:t>160</w:t>
            </w:r>
          </w:p>
        </w:tc>
        <w:tc>
          <w:tcPr>
            <w:tcW w:w="1335" w:type="dxa"/>
            <w:tcMar>
              <w:top w:w="15" w:type="dxa"/>
              <w:left w:w="15" w:type="dxa"/>
              <w:right w:w="15" w:type="dxa"/>
            </w:tcMar>
            <w:vAlign w:val="center"/>
          </w:tcPr>
          <w:p w:rsidR="35EB59F3" w:rsidRPr="009C1664" w:rsidP="009C1664" w14:paraId="7BC8D78B" w14:textId="3D5F12FB">
            <w:pPr>
              <w:jc w:val="center"/>
            </w:pPr>
            <w:r w:rsidRPr="009C1664">
              <w:rPr>
                <w:rFonts w:ascii="Arial" w:eastAsia="Arial" w:hAnsi="Arial" w:cs="Arial"/>
                <w:color w:val="000000" w:themeColor="text1"/>
              </w:rPr>
              <w:t>142</w:t>
            </w:r>
          </w:p>
        </w:tc>
        <w:tc>
          <w:tcPr>
            <w:tcW w:w="1287" w:type="dxa"/>
            <w:tcMar>
              <w:top w:w="15" w:type="dxa"/>
              <w:left w:w="15" w:type="dxa"/>
              <w:right w:w="15" w:type="dxa"/>
            </w:tcMar>
            <w:vAlign w:val="center"/>
          </w:tcPr>
          <w:p w:rsidR="35EB59F3" w:rsidRPr="009C1664" w:rsidP="009C1664" w14:paraId="71D71105" w14:textId="37D12A0A">
            <w:pPr>
              <w:jc w:val="center"/>
            </w:pPr>
            <w:r w:rsidRPr="009C1664">
              <w:rPr>
                <w:rFonts w:ascii="Arial" w:eastAsia="Arial" w:hAnsi="Arial" w:cs="Arial"/>
                <w:color w:val="000000" w:themeColor="text1"/>
              </w:rPr>
              <w:t>9</w:t>
            </w:r>
          </w:p>
        </w:tc>
        <w:tc>
          <w:tcPr>
            <w:tcW w:w="1522" w:type="dxa"/>
            <w:tcMar>
              <w:top w:w="15" w:type="dxa"/>
              <w:left w:w="15" w:type="dxa"/>
              <w:right w:w="15" w:type="dxa"/>
            </w:tcMar>
            <w:vAlign w:val="center"/>
          </w:tcPr>
          <w:p w:rsidR="35EB59F3" w:rsidRPr="009C1664" w:rsidP="009C1664" w14:paraId="4E7BE64B" w14:textId="1CDFE5D6">
            <w:pPr>
              <w:jc w:val="center"/>
            </w:pPr>
            <w:r w:rsidRPr="009C1664">
              <w:rPr>
                <w:rFonts w:ascii="Arial" w:eastAsia="Arial" w:hAnsi="Arial" w:cs="Arial"/>
                <w:color w:val="000000" w:themeColor="text1"/>
              </w:rPr>
              <w:t>9</w:t>
            </w:r>
          </w:p>
        </w:tc>
      </w:tr>
      <w:tr w14:paraId="409766DF" w14:textId="77777777" w:rsidTr="009C1664">
        <w:tblPrEx>
          <w:tblW w:w="0" w:type="auto"/>
          <w:tblLayout w:type="fixed"/>
          <w:tblLook w:val="06A0"/>
        </w:tblPrEx>
        <w:trPr>
          <w:trHeight w:val="20"/>
        </w:trPr>
        <w:tc>
          <w:tcPr>
            <w:tcW w:w="3092" w:type="dxa"/>
            <w:tcMar>
              <w:top w:w="15" w:type="dxa"/>
              <w:left w:w="15" w:type="dxa"/>
              <w:right w:w="15" w:type="dxa"/>
            </w:tcMar>
            <w:vAlign w:val="center"/>
          </w:tcPr>
          <w:p w:rsidR="11BF0E63" w:rsidRPr="009C1664" w:rsidP="009C1664" w14:paraId="4BD7E086" w14:textId="53FC0D76">
            <w:r w:rsidRPr="009C1664">
              <w:rPr>
                <w:rFonts w:ascii="Arial" w:eastAsia="Arial" w:hAnsi="Arial" w:cs="Arial"/>
                <w:color w:val="000000" w:themeColor="text1"/>
              </w:rPr>
              <w:t>Government</w:t>
            </w:r>
            <w:r w:rsidRPr="009C1664" w:rsidR="35EB59F3">
              <w:rPr>
                <w:rFonts w:ascii="Arial" w:eastAsia="Arial" w:hAnsi="Arial" w:cs="Arial"/>
                <w:color w:val="000000" w:themeColor="text1"/>
              </w:rPr>
              <w:t>- State/Local/Tribal</w:t>
            </w:r>
          </w:p>
        </w:tc>
        <w:tc>
          <w:tcPr>
            <w:tcW w:w="1435" w:type="dxa"/>
            <w:tcMar>
              <w:top w:w="15" w:type="dxa"/>
              <w:left w:w="15" w:type="dxa"/>
              <w:right w:w="15" w:type="dxa"/>
            </w:tcMar>
            <w:vAlign w:val="center"/>
          </w:tcPr>
          <w:p w:rsidR="35EB59F3" w:rsidRPr="009C1664" w:rsidP="009C1664" w14:paraId="2F4F15B9" w14:textId="04BCC6A7">
            <w:pPr>
              <w:jc w:val="center"/>
            </w:pPr>
            <w:r w:rsidRPr="009C1664">
              <w:rPr>
                <w:rFonts w:ascii="Arial" w:eastAsia="Arial" w:hAnsi="Arial" w:cs="Arial"/>
                <w:color w:val="000000" w:themeColor="text1"/>
              </w:rPr>
              <w:t>95</w:t>
            </w:r>
          </w:p>
        </w:tc>
        <w:tc>
          <w:tcPr>
            <w:tcW w:w="1335" w:type="dxa"/>
            <w:tcMar>
              <w:top w:w="15" w:type="dxa"/>
              <w:left w:w="15" w:type="dxa"/>
              <w:right w:w="15" w:type="dxa"/>
            </w:tcMar>
            <w:vAlign w:val="center"/>
          </w:tcPr>
          <w:p w:rsidR="35EB59F3" w:rsidRPr="009C1664" w:rsidP="009C1664" w14:paraId="43D01CAE" w14:textId="19174AE3">
            <w:pPr>
              <w:jc w:val="center"/>
            </w:pPr>
            <w:r w:rsidRPr="009C1664">
              <w:rPr>
                <w:rFonts w:ascii="Arial" w:eastAsia="Arial" w:hAnsi="Arial" w:cs="Arial"/>
                <w:color w:val="000000" w:themeColor="text1"/>
              </w:rPr>
              <w:t>85</w:t>
            </w:r>
            <w:r w:rsidRPr="009C1664" w:rsidR="28A3A84E">
              <w:rPr>
                <w:rFonts w:ascii="Arial" w:eastAsia="Arial" w:hAnsi="Arial" w:cs="Arial"/>
                <w:color w:val="000000" w:themeColor="text1"/>
              </w:rPr>
              <w:t>*</w:t>
            </w:r>
          </w:p>
        </w:tc>
        <w:tc>
          <w:tcPr>
            <w:tcW w:w="1287" w:type="dxa"/>
            <w:tcMar>
              <w:top w:w="15" w:type="dxa"/>
              <w:left w:w="15" w:type="dxa"/>
              <w:right w:w="15" w:type="dxa"/>
            </w:tcMar>
            <w:vAlign w:val="center"/>
          </w:tcPr>
          <w:p w:rsidR="35EB59F3" w:rsidRPr="009C1664" w:rsidP="009C1664" w14:paraId="73A8D6E5" w14:textId="2539F38E">
            <w:pPr>
              <w:jc w:val="center"/>
            </w:pPr>
            <w:r w:rsidRPr="009C1664">
              <w:rPr>
                <w:rFonts w:ascii="Arial" w:eastAsia="Arial" w:hAnsi="Arial" w:cs="Arial"/>
                <w:color w:val="000000" w:themeColor="text1"/>
              </w:rPr>
              <w:t>5</w:t>
            </w:r>
          </w:p>
        </w:tc>
        <w:tc>
          <w:tcPr>
            <w:tcW w:w="1522" w:type="dxa"/>
            <w:tcMar>
              <w:top w:w="15" w:type="dxa"/>
              <w:left w:w="15" w:type="dxa"/>
              <w:right w:w="15" w:type="dxa"/>
            </w:tcMar>
            <w:vAlign w:val="center"/>
          </w:tcPr>
          <w:p w:rsidR="35EB59F3" w:rsidRPr="009C1664" w:rsidP="009C1664" w14:paraId="681EE498" w14:textId="4C4F4537">
            <w:pPr>
              <w:jc w:val="center"/>
            </w:pPr>
            <w:r w:rsidRPr="009C1664">
              <w:rPr>
                <w:rFonts w:ascii="Arial" w:eastAsia="Arial" w:hAnsi="Arial" w:cs="Arial"/>
                <w:color w:val="000000" w:themeColor="text1"/>
              </w:rPr>
              <w:t>5</w:t>
            </w:r>
          </w:p>
        </w:tc>
      </w:tr>
      <w:tr w14:paraId="073DE00D" w14:textId="77777777" w:rsidTr="009C1664">
        <w:tblPrEx>
          <w:tblW w:w="0" w:type="auto"/>
          <w:tblLayout w:type="fixed"/>
          <w:tblLook w:val="06A0"/>
        </w:tblPrEx>
        <w:trPr>
          <w:trHeight w:val="20"/>
        </w:trPr>
        <w:tc>
          <w:tcPr>
            <w:tcW w:w="3092" w:type="dxa"/>
            <w:tcMar>
              <w:top w:w="15" w:type="dxa"/>
              <w:left w:w="15" w:type="dxa"/>
              <w:right w:w="15" w:type="dxa"/>
            </w:tcMar>
            <w:vAlign w:val="center"/>
          </w:tcPr>
          <w:p w:rsidR="35EB59F3" w:rsidRPr="009C1664" w:rsidP="009C1664" w14:paraId="7C613268" w14:textId="43602499">
            <w:r w:rsidRPr="009C1664">
              <w:rPr>
                <w:rFonts w:ascii="Arial" w:eastAsia="Arial" w:hAnsi="Arial" w:cs="Arial"/>
                <w:color w:val="000000" w:themeColor="text1"/>
              </w:rPr>
              <w:t>Government - Federal</w:t>
            </w:r>
          </w:p>
        </w:tc>
        <w:tc>
          <w:tcPr>
            <w:tcW w:w="1435" w:type="dxa"/>
            <w:tcMar>
              <w:top w:w="15" w:type="dxa"/>
              <w:left w:w="15" w:type="dxa"/>
              <w:right w:w="15" w:type="dxa"/>
            </w:tcMar>
            <w:vAlign w:val="center"/>
          </w:tcPr>
          <w:p w:rsidR="35EB59F3" w:rsidRPr="009C1664" w:rsidP="009C1664" w14:paraId="665B4675" w14:textId="041D89F7">
            <w:pPr>
              <w:jc w:val="center"/>
            </w:pPr>
            <w:r w:rsidRPr="009C1664">
              <w:rPr>
                <w:rFonts w:ascii="Arial" w:eastAsia="Arial" w:hAnsi="Arial" w:cs="Arial"/>
                <w:color w:val="000000" w:themeColor="text1"/>
              </w:rPr>
              <w:t>10</w:t>
            </w:r>
          </w:p>
        </w:tc>
        <w:tc>
          <w:tcPr>
            <w:tcW w:w="1335" w:type="dxa"/>
            <w:tcMar>
              <w:top w:w="15" w:type="dxa"/>
              <w:left w:w="15" w:type="dxa"/>
              <w:right w:w="15" w:type="dxa"/>
            </w:tcMar>
            <w:vAlign w:val="center"/>
          </w:tcPr>
          <w:p w:rsidR="35EB59F3" w:rsidRPr="009C1664" w:rsidP="009C1664" w14:paraId="6EB3DB73" w14:textId="57557276">
            <w:pPr>
              <w:jc w:val="center"/>
            </w:pPr>
            <w:r w:rsidRPr="009C1664">
              <w:rPr>
                <w:rFonts w:ascii="Arial" w:eastAsia="Arial" w:hAnsi="Arial" w:cs="Arial"/>
                <w:color w:val="000000" w:themeColor="text1"/>
              </w:rPr>
              <w:t>N/A</w:t>
            </w:r>
            <w:r w:rsidRPr="009C1664" w:rsidR="35339A91">
              <w:rPr>
                <w:rFonts w:ascii="Arial" w:eastAsia="Arial" w:hAnsi="Arial" w:cs="Arial"/>
                <w:color w:val="000000" w:themeColor="text1"/>
              </w:rPr>
              <w:t>*</w:t>
            </w:r>
          </w:p>
        </w:tc>
        <w:tc>
          <w:tcPr>
            <w:tcW w:w="1287" w:type="dxa"/>
            <w:tcMar>
              <w:top w:w="15" w:type="dxa"/>
              <w:left w:w="15" w:type="dxa"/>
              <w:right w:w="15" w:type="dxa"/>
            </w:tcMar>
            <w:vAlign w:val="center"/>
          </w:tcPr>
          <w:p w:rsidR="35EB59F3" w:rsidRPr="009C1664" w:rsidP="009C1664" w14:paraId="7A49F0D6" w14:textId="0241623A">
            <w:pPr>
              <w:jc w:val="center"/>
            </w:pPr>
            <w:r w:rsidRPr="009C1664">
              <w:rPr>
                <w:rFonts w:ascii="Arial" w:eastAsia="Arial" w:hAnsi="Arial" w:cs="Arial"/>
                <w:color w:val="000000" w:themeColor="text1"/>
              </w:rPr>
              <w:t>5</w:t>
            </w:r>
          </w:p>
        </w:tc>
        <w:tc>
          <w:tcPr>
            <w:tcW w:w="1522" w:type="dxa"/>
            <w:tcMar>
              <w:top w:w="15" w:type="dxa"/>
              <w:left w:w="15" w:type="dxa"/>
              <w:right w:w="15" w:type="dxa"/>
            </w:tcMar>
            <w:vAlign w:val="center"/>
          </w:tcPr>
          <w:p w:rsidR="35EB59F3" w:rsidRPr="009C1664" w:rsidP="009C1664" w14:paraId="6A67DB1C" w14:textId="1CECDCBB">
            <w:pPr>
              <w:jc w:val="center"/>
            </w:pPr>
            <w:r w:rsidRPr="009C1664">
              <w:rPr>
                <w:rFonts w:ascii="Arial" w:eastAsia="Arial" w:hAnsi="Arial" w:cs="Arial"/>
                <w:color w:val="000000" w:themeColor="text1"/>
              </w:rPr>
              <w:t>5</w:t>
            </w:r>
          </w:p>
        </w:tc>
      </w:tr>
      <w:tr w14:paraId="60576A30" w14:textId="77777777" w:rsidTr="009C1664">
        <w:tblPrEx>
          <w:tblW w:w="0" w:type="auto"/>
          <w:tblLayout w:type="fixed"/>
          <w:tblLook w:val="06A0"/>
        </w:tblPrEx>
        <w:trPr>
          <w:trHeight w:val="20"/>
        </w:trPr>
        <w:tc>
          <w:tcPr>
            <w:tcW w:w="3092" w:type="dxa"/>
            <w:tcMar>
              <w:top w:w="15" w:type="dxa"/>
              <w:left w:w="15" w:type="dxa"/>
              <w:right w:w="15" w:type="dxa"/>
            </w:tcMar>
            <w:vAlign w:val="center"/>
          </w:tcPr>
          <w:p w:rsidR="35EB59F3" w:rsidRPr="009C1664" w:rsidP="009C1664" w14:paraId="49EA4505" w14:textId="2C245EB1">
            <w:r w:rsidRPr="009C1664">
              <w:rPr>
                <w:rFonts w:ascii="Arial" w:eastAsia="Arial" w:hAnsi="Arial" w:cs="Arial"/>
                <w:b/>
                <w:bCs/>
                <w:color w:val="000000" w:themeColor="text1"/>
              </w:rPr>
              <w:t>Total</w:t>
            </w:r>
          </w:p>
        </w:tc>
        <w:tc>
          <w:tcPr>
            <w:tcW w:w="1435" w:type="dxa"/>
            <w:tcMar>
              <w:top w:w="15" w:type="dxa"/>
              <w:left w:w="15" w:type="dxa"/>
              <w:right w:w="15" w:type="dxa"/>
            </w:tcMar>
            <w:vAlign w:val="center"/>
          </w:tcPr>
          <w:p w:rsidR="35EB59F3" w:rsidRPr="009C1664" w:rsidP="009C1664" w14:paraId="30AC4ED5" w14:textId="73017484">
            <w:pPr>
              <w:jc w:val="center"/>
            </w:pPr>
            <w:r w:rsidRPr="009C1664">
              <w:rPr>
                <w:rFonts w:ascii="Arial" w:eastAsia="Arial" w:hAnsi="Arial" w:cs="Arial"/>
                <w:b/>
                <w:bCs/>
                <w:color w:val="000000" w:themeColor="text1"/>
              </w:rPr>
              <w:t>265</w:t>
            </w:r>
            <w:r w:rsidRPr="009C1664" w:rsidR="4277B840">
              <w:rPr>
                <w:rFonts w:ascii="Arial" w:eastAsia="Arial" w:hAnsi="Arial" w:cs="Arial"/>
                <w:b/>
                <w:bCs/>
                <w:color w:val="000000" w:themeColor="text1"/>
              </w:rPr>
              <w:t>*</w:t>
            </w:r>
          </w:p>
        </w:tc>
        <w:tc>
          <w:tcPr>
            <w:tcW w:w="1335" w:type="dxa"/>
            <w:tcMar>
              <w:top w:w="15" w:type="dxa"/>
              <w:left w:w="15" w:type="dxa"/>
              <w:right w:w="15" w:type="dxa"/>
            </w:tcMar>
            <w:vAlign w:val="center"/>
          </w:tcPr>
          <w:p w:rsidR="35EB59F3" w:rsidRPr="009C1664" w:rsidP="009C1664" w14:paraId="6E6A9BD4" w14:textId="2D2B47E2">
            <w:pPr>
              <w:jc w:val="center"/>
            </w:pPr>
            <w:r w:rsidRPr="009C1664">
              <w:rPr>
                <w:rFonts w:ascii="Arial" w:eastAsia="Arial" w:hAnsi="Arial" w:cs="Arial"/>
                <w:b/>
                <w:bCs/>
                <w:color w:val="000000" w:themeColor="text1"/>
              </w:rPr>
              <w:t>227</w:t>
            </w:r>
          </w:p>
        </w:tc>
        <w:tc>
          <w:tcPr>
            <w:tcW w:w="1287" w:type="dxa"/>
            <w:tcMar>
              <w:top w:w="15" w:type="dxa"/>
              <w:left w:w="15" w:type="dxa"/>
              <w:right w:w="15" w:type="dxa"/>
            </w:tcMar>
            <w:vAlign w:val="center"/>
          </w:tcPr>
          <w:p w:rsidR="35EB59F3" w:rsidRPr="009C1664" w:rsidP="009C1664" w14:paraId="2E5A73D1" w14:textId="10D019A4">
            <w:pPr>
              <w:jc w:val="center"/>
            </w:pPr>
            <w:r w:rsidRPr="009C1664">
              <w:rPr>
                <w:rFonts w:ascii="Arial" w:eastAsia="Arial" w:hAnsi="Arial" w:cs="Arial"/>
                <w:b/>
                <w:bCs/>
                <w:color w:val="000000" w:themeColor="text1"/>
              </w:rPr>
              <w:t>19</w:t>
            </w:r>
          </w:p>
        </w:tc>
        <w:tc>
          <w:tcPr>
            <w:tcW w:w="1522" w:type="dxa"/>
            <w:tcMar>
              <w:top w:w="15" w:type="dxa"/>
              <w:left w:w="15" w:type="dxa"/>
              <w:right w:w="15" w:type="dxa"/>
            </w:tcMar>
            <w:vAlign w:val="center"/>
          </w:tcPr>
          <w:p w:rsidR="35EB59F3" w:rsidRPr="009C1664" w:rsidP="009C1664" w14:paraId="59B639BA" w14:textId="4D2FA7E4">
            <w:pPr>
              <w:jc w:val="center"/>
            </w:pPr>
            <w:r w:rsidRPr="009C1664">
              <w:rPr>
                <w:rFonts w:ascii="Arial" w:eastAsia="Arial" w:hAnsi="Arial" w:cs="Arial"/>
                <w:b/>
                <w:bCs/>
                <w:color w:val="000000" w:themeColor="text1"/>
              </w:rPr>
              <w:t>19</w:t>
            </w:r>
          </w:p>
        </w:tc>
      </w:tr>
    </w:tbl>
    <w:p w:rsidR="35EB59F3" w:rsidP="35EB59F3" w14:paraId="1E1C9630" w14:textId="5202980D">
      <w:pPr>
        <w:tabs>
          <w:tab w:val="left" w:pos="360"/>
          <w:tab w:val="left" w:pos="720"/>
        </w:tabs>
        <w:rPr>
          <w:rFonts w:ascii="Arial" w:hAnsi="Arial" w:cs="Arial"/>
          <w:sz w:val="22"/>
          <w:szCs w:val="22"/>
        </w:rPr>
      </w:pPr>
    </w:p>
    <w:p w:rsidR="00B51F1E" w:rsidRPr="00317DBA" w:rsidP="009F0FAE" w14:paraId="487726CD" w14:textId="2B52FEDB">
      <w:pPr>
        <w:tabs>
          <w:tab w:val="left" w:pos="360"/>
          <w:tab w:val="left" w:pos="720"/>
        </w:tabs>
        <w:rPr>
          <w:rFonts w:ascii="Arial" w:hAnsi="Arial" w:cs="Arial"/>
          <w:sz w:val="22"/>
          <w:szCs w:val="22"/>
        </w:rPr>
      </w:pPr>
      <w:r w:rsidRPr="00542410">
        <w:rPr>
          <w:rFonts w:ascii="Arial" w:hAnsi="Arial" w:cs="Arial"/>
          <w:b/>
          <w:bCs/>
          <w:sz w:val="22"/>
          <w:szCs w:val="22"/>
        </w:rPr>
        <w:t>*</w:t>
      </w:r>
      <w:r w:rsidRPr="00542410">
        <w:rPr>
          <w:rFonts w:ascii="Arial" w:hAnsi="Arial" w:cs="Arial"/>
          <w:b/>
          <w:bCs/>
          <w:sz w:val="22"/>
          <w:szCs w:val="22"/>
          <w:u w:val="single"/>
        </w:rPr>
        <w:t>Note</w:t>
      </w:r>
      <w:r w:rsidRPr="00542410">
        <w:rPr>
          <w:rFonts w:ascii="Arial" w:hAnsi="Arial" w:cs="Arial"/>
          <w:b/>
          <w:bCs/>
          <w:sz w:val="22"/>
          <w:szCs w:val="22"/>
        </w:rPr>
        <w:t>:</w:t>
      </w:r>
      <w:r w:rsidRPr="00317DBA">
        <w:rPr>
          <w:rFonts w:ascii="Arial" w:hAnsi="Arial" w:cs="Arial"/>
          <w:sz w:val="22"/>
          <w:szCs w:val="22"/>
        </w:rPr>
        <w:t xml:space="preserve"> </w:t>
      </w:r>
      <w:r w:rsidR="00542410">
        <w:rPr>
          <w:rFonts w:ascii="Arial" w:hAnsi="Arial" w:cs="Arial"/>
          <w:sz w:val="22"/>
          <w:szCs w:val="22"/>
        </w:rPr>
        <w:t xml:space="preserve"> </w:t>
      </w:r>
      <w:r w:rsidRPr="00317DBA" w:rsidR="0010798D">
        <w:rPr>
          <w:rFonts w:ascii="Arial" w:hAnsi="Arial" w:cs="Arial"/>
          <w:sz w:val="22"/>
          <w:szCs w:val="22"/>
        </w:rPr>
        <w:t xml:space="preserve">We estimate that approximately 100 </w:t>
      </w:r>
      <w:r w:rsidR="00236C9E">
        <w:rPr>
          <w:rFonts w:ascii="Arial" w:hAnsi="Arial" w:cs="Arial"/>
          <w:sz w:val="22"/>
          <w:szCs w:val="22"/>
        </w:rPr>
        <w:t>U.S.</w:t>
      </w:r>
      <w:r w:rsidRPr="00317DBA" w:rsidR="0010798D">
        <w:rPr>
          <w:rFonts w:ascii="Arial" w:hAnsi="Arial" w:cs="Arial"/>
          <w:sz w:val="22"/>
          <w:szCs w:val="22"/>
        </w:rPr>
        <w:t xml:space="preserve"> Federal employees will respond to the survey</w:t>
      </w:r>
      <w:r w:rsidRPr="00317DBA" w:rsidR="00521227">
        <w:rPr>
          <w:rFonts w:ascii="Arial" w:hAnsi="Arial" w:cs="Arial"/>
          <w:sz w:val="22"/>
          <w:szCs w:val="22"/>
        </w:rPr>
        <w:t xml:space="preserve"> (for a total estimate</w:t>
      </w:r>
      <w:r w:rsidRPr="00317DBA" w:rsidR="00D33F90">
        <w:rPr>
          <w:rFonts w:ascii="Arial" w:hAnsi="Arial" w:cs="Arial"/>
          <w:sz w:val="22"/>
          <w:szCs w:val="22"/>
        </w:rPr>
        <w:t xml:space="preserve"> of 365 respondents)</w:t>
      </w:r>
      <w:r w:rsidRPr="00317DBA" w:rsidR="0010798D">
        <w:rPr>
          <w:rFonts w:ascii="Arial" w:hAnsi="Arial" w:cs="Arial"/>
          <w:sz w:val="22"/>
          <w:szCs w:val="22"/>
        </w:rPr>
        <w:t xml:space="preserve">; however, </w:t>
      </w:r>
      <w:r w:rsidRPr="00317DBA" w:rsidR="000D0F9C">
        <w:rPr>
          <w:rFonts w:ascii="Arial" w:hAnsi="Arial" w:cs="Arial"/>
          <w:sz w:val="22"/>
          <w:szCs w:val="22"/>
        </w:rPr>
        <w:t xml:space="preserve">because </w:t>
      </w:r>
      <w:r w:rsidR="00236C9E">
        <w:rPr>
          <w:rFonts w:ascii="Arial" w:hAnsi="Arial" w:cs="Arial"/>
          <w:sz w:val="22"/>
          <w:szCs w:val="22"/>
        </w:rPr>
        <w:t>U.S.</w:t>
      </w:r>
      <w:r w:rsidRPr="00317DBA" w:rsidR="0010798D">
        <w:rPr>
          <w:rFonts w:ascii="Arial" w:hAnsi="Arial" w:cs="Arial"/>
          <w:sz w:val="22"/>
          <w:szCs w:val="22"/>
        </w:rPr>
        <w:t xml:space="preserve"> </w:t>
      </w:r>
      <w:r w:rsidRPr="00317DBA" w:rsidR="000D0F9C">
        <w:rPr>
          <w:rFonts w:ascii="Arial" w:hAnsi="Arial" w:cs="Arial"/>
          <w:sz w:val="22"/>
          <w:szCs w:val="22"/>
        </w:rPr>
        <w:t>F</w:t>
      </w:r>
      <w:r w:rsidRPr="00317DBA" w:rsidR="0010798D">
        <w:rPr>
          <w:rFonts w:ascii="Arial" w:hAnsi="Arial" w:cs="Arial"/>
          <w:sz w:val="22"/>
          <w:szCs w:val="22"/>
        </w:rPr>
        <w:t>ederal employees are exempt from Paperwork Reduction Act</w:t>
      </w:r>
      <w:r w:rsidRPr="00317DBA" w:rsidR="00211FBA">
        <w:rPr>
          <w:rFonts w:ascii="Arial" w:hAnsi="Arial" w:cs="Arial"/>
          <w:sz w:val="22"/>
          <w:szCs w:val="22"/>
        </w:rPr>
        <w:t>,</w:t>
      </w:r>
      <w:r w:rsidRPr="00317DBA" w:rsidR="0010798D">
        <w:rPr>
          <w:rFonts w:ascii="Arial" w:hAnsi="Arial" w:cs="Arial"/>
          <w:sz w:val="22"/>
          <w:szCs w:val="22"/>
        </w:rPr>
        <w:t xml:space="preserve"> </w:t>
      </w:r>
      <w:r w:rsidRPr="00317DBA" w:rsidR="000D0F9C">
        <w:rPr>
          <w:rFonts w:ascii="Arial" w:hAnsi="Arial" w:cs="Arial"/>
          <w:sz w:val="22"/>
          <w:szCs w:val="22"/>
        </w:rPr>
        <w:t xml:space="preserve">they are </w:t>
      </w:r>
      <w:r w:rsidRPr="00317DBA" w:rsidR="0010798D">
        <w:rPr>
          <w:rFonts w:ascii="Arial" w:hAnsi="Arial" w:cs="Arial"/>
          <w:sz w:val="22"/>
          <w:szCs w:val="22"/>
        </w:rPr>
        <w:t xml:space="preserve">removed from the burden calculations. </w:t>
      </w:r>
    </w:p>
    <w:p w:rsidR="009F0FAE" w:rsidRPr="00317DBA" w:rsidP="009F0FAE" w14:paraId="7526F5ED" w14:textId="77777777">
      <w:pPr>
        <w:tabs>
          <w:tab w:val="left" w:pos="360"/>
          <w:tab w:val="left" w:pos="720"/>
        </w:tabs>
        <w:rPr>
          <w:rFonts w:ascii="Arial" w:hAnsi="Arial" w:cs="Arial"/>
          <w:sz w:val="22"/>
          <w:szCs w:val="22"/>
        </w:rPr>
      </w:pPr>
    </w:p>
    <w:p w:rsidR="009F0FAE" w:rsidRPr="00317DBA" w:rsidP="009F0FAE" w14:paraId="72B58393" w14:textId="5DC71F6A">
      <w:pPr>
        <w:tabs>
          <w:tab w:val="left" w:pos="360"/>
          <w:tab w:val="left" w:pos="720"/>
        </w:tabs>
        <w:rPr>
          <w:rFonts w:ascii="Arial" w:hAnsi="Arial" w:cs="Arial"/>
          <w:sz w:val="22"/>
          <w:szCs w:val="22"/>
        </w:rPr>
      </w:pPr>
      <w:r w:rsidRPr="00317DBA">
        <w:rPr>
          <w:rFonts w:ascii="Arial" w:hAnsi="Arial" w:cs="Arial"/>
          <w:b/>
          <w:caps/>
          <w:sz w:val="22"/>
          <w:szCs w:val="22"/>
          <w:u w:val="single"/>
        </w:rPr>
        <w:t>Domestic (U</w:t>
      </w:r>
      <w:r w:rsidR="004A63CA">
        <w:rPr>
          <w:rFonts w:ascii="Arial" w:hAnsi="Arial" w:cs="Arial"/>
          <w:b/>
          <w:caps/>
          <w:sz w:val="22"/>
          <w:szCs w:val="22"/>
          <w:u w:val="single"/>
        </w:rPr>
        <w:t>.</w:t>
      </w:r>
      <w:r w:rsidRPr="00317DBA">
        <w:rPr>
          <w:rFonts w:ascii="Arial" w:hAnsi="Arial" w:cs="Arial"/>
          <w:b/>
          <w:caps/>
          <w:sz w:val="22"/>
          <w:szCs w:val="22"/>
          <w:u w:val="single"/>
        </w:rPr>
        <w:t>S</w:t>
      </w:r>
      <w:r w:rsidR="004A63CA">
        <w:rPr>
          <w:rFonts w:ascii="Arial" w:hAnsi="Arial" w:cs="Arial"/>
          <w:b/>
          <w:caps/>
          <w:sz w:val="22"/>
          <w:szCs w:val="22"/>
          <w:u w:val="single"/>
        </w:rPr>
        <w:t>.</w:t>
      </w:r>
      <w:r w:rsidRPr="00317DBA">
        <w:rPr>
          <w:rFonts w:ascii="Arial" w:hAnsi="Arial" w:cs="Arial"/>
          <w:b/>
          <w:caps/>
          <w:sz w:val="22"/>
          <w:szCs w:val="22"/>
          <w:u w:val="single"/>
        </w:rPr>
        <w:t>) ENTITIES Burden CALCULATION HOURLY RATEs:</w:t>
      </w:r>
    </w:p>
    <w:p w:rsidR="009F0FAE" w:rsidRPr="00317DBA" w:rsidP="009F0FAE" w14:paraId="38858F9F" w14:textId="037FF8E5">
      <w:pPr>
        <w:tabs>
          <w:tab w:val="left" w:pos="360"/>
          <w:tab w:val="left" w:pos="720"/>
        </w:tabs>
        <w:rPr>
          <w:rFonts w:ascii="Arial" w:hAnsi="Arial" w:cs="Arial"/>
          <w:sz w:val="22"/>
          <w:szCs w:val="22"/>
        </w:rPr>
      </w:pPr>
      <w:r w:rsidRPr="00317DBA">
        <w:rPr>
          <w:rFonts w:ascii="Arial" w:hAnsi="Arial" w:cs="Arial"/>
          <w:sz w:val="22"/>
          <w:szCs w:val="22"/>
        </w:rPr>
        <w:t xml:space="preserve">We used Table 1 from the Bureau of Labor Statistics (BLS) </w:t>
      </w:r>
      <w:bookmarkStart w:id="1" w:name="_Hlk107983543"/>
      <w:hyperlink r:id="rId7" w:history="1">
        <w:r w:rsidRPr="00317DBA">
          <w:rPr>
            <w:rStyle w:val="Hyperlink"/>
            <w:rFonts w:ascii="Arial" w:hAnsi="Arial" w:cs="Arial"/>
            <w:sz w:val="22"/>
            <w:szCs w:val="22"/>
          </w:rPr>
          <w:t>News Release</w:t>
        </w:r>
      </w:hyperlink>
      <w:r w:rsidRPr="00317DBA">
        <w:rPr>
          <w:rFonts w:ascii="Arial" w:hAnsi="Arial" w:cs="Arial"/>
          <w:sz w:val="22"/>
          <w:szCs w:val="22"/>
        </w:rPr>
        <w:t xml:space="preserve"> USDL-24-1172, June 18, 2024, Employer Costs for Employee Compensation—March 202</w:t>
      </w:r>
      <w:bookmarkEnd w:id="1"/>
      <w:r w:rsidRPr="00317DBA">
        <w:rPr>
          <w:rFonts w:ascii="Arial" w:hAnsi="Arial" w:cs="Arial"/>
          <w:sz w:val="22"/>
          <w:szCs w:val="22"/>
        </w:rPr>
        <w:t>4, to calculate the cost of the total annual burden hours:</w:t>
      </w:r>
    </w:p>
    <w:p w:rsidR="009F0FAE" w:rsidRPr="00317DBA" w:rsidP="009F0FAE" w14:paraId="76E38BEB" w14:textId="77777777">
      <w:pPr>
        <w:tabs>
          <w:tab w:val="left" w:pos="360"/>
          <w:tab w:val="left" w:pos="720"/>
        </w:tabs>
        <w:rPr>
          <w:rFonts w:ascii="Arial" w:hAnsi="Arial" w:cs="Arial"/>
          <w:sz w:val="22"/>
          <w:szCs w:val="22"/>
        </w:rPr>
      </w:pPr>
    </w:p>
    <w:p w:rsidR="009F0FAE" w:rsidRPr="00317DBA" w:rsidP="009F0FAE" w14:paraId="2D1B2E1E" w14:textId="0F0CC604">
      <w:pPr>
        <w:widowControl/>
        <w:numPr>
          <w:ilvl w:val="0"/>
          <w:numId w:val="2"/>
        </w:numPr>
        <w:autoSpaceDE/>
        <w:autoSpaceDN/>
        <w:adjustRightInd/>
        <w:rPr>
          <w:rFonts w:ascii="Arial" w:hAnsi="Arial" w:cs="Arial"/>
          <w:sz w:val="22"/>
          <w:szCs w:val="22"/>
        </w:rPr>
      </w:pPr>
      <w:r w:rsidRPr="00317DBA">
        <w:rPr>
          <w:rFonts w:ascii="Arial" w:hAnsi="Arial" w:cs="Arial"/>
          <w:sz w:val="22"/>
          <w:szCs w:val="22"/>
        </w:rPr>
        <w:t>U</w:t>
      </w:r>
      <w:r>
        <w:rPr>
          <w:rFonts w:ascii="Arial" w:hAnsi="Arial" w:cs="Arial"/>
          <w:sz w:val="22"/>
          <w:szCs w:val="22"/>
        </w:rPr>
        <w:t>.</w:t>
      </w:r>
      <w:r w:rsidRPr="00317DBA">
        <w:rPr>
          <w:rFonts w:ascii="Arial" w:hAnsi="Arial" w:cs="Arial"/>
          <w:sz w:val="22"/>
          <w:szCs w:val="22"/>
        </w:rPr>
        <w:t>S</w:t>
      </w:r>
      <w:r>
        <w:rPr>
          <w:rFonts w:ascii="Arial" w:hAnsi="Arial" w:cs="Arial"/>
          <w:sz w:val="22"/>
          <w:szCs w:val="22"/>
        </w:rPr>
        <w:t>.</w:t>
      </w:r>
      <w:r w:rsidRPr="00317DBA">
        <w:rPr>
          <w:rFonts w:ascii="Arial" w:hAnsi="Arial" w:cs="Arial"/>
          <w:sz w:val="22"/>
          <w:szCs w:val="22"/>
        </w:rPr>
        <w:t xml:space="preserve"> </w:t>
      </w:r>
      <w:r>
        <w:rPr>
          <w:rFonts w:ascii="Arial" w:hAnsi="Arial" w:cs="Arial"/>
          <w:sz w:val="22"/>
          <w:szCs w:val="22"/>
        </w:rPr>
        <w:t>p</w:t>
      </w:r>
      <w:r w:rsidRPr="00317DBA">
        <w:rPr>
          <w:rFonts w:ascii="Arial" w:hAnsi="Arial" w:cs="Arial"/>
          <w:sz w:val="22"/>
          <w:szCs w:val="22"/>
        </w:rPr>
        <w:t xml:space="preserve">rivate </w:t>
      </w:r>
      <w:r>
        <w:rPr>
          <w:rFonts w:ascii="Arial" w:hAnsi="Arial" w:cs="Arial"/>
          <w:sz w:val="22"/>
          <w:szCs w:val="22"/>
        </w:rPr>
        <w:t>s</w:t>
      </w:r>
      <w:r w:rsidRPr="00317DBA">
        <w:rPr>
          <w:rFonts w:ascii="Arial" w:hAnsi="Arial" w:cs="Arial"/>
          <w:sz w:val="22"/>
          <w:szCs w:val="22"/>
        </w:rPr>
        <w:t>ector – the hourly rate for all workers is $43</w:t>
      </w:r>
      <w:r w:rsidR="00A73317">
        <w:rPr>
          <w:rFonts w:ascii="Arial" w:hAnsi="Arial" w:cs="Arial"/>
          <w:sz w:val="22"/>
          <w:szCs w:val="22"/>
        </w:rPr>
        <w:t>.</w:t>
      </w:r>
      <w:r w:rsidRPr="00317DBA">
        <w:rPr>
          <w:rFonts w:ascii="Arial" w:hAnsi="Arial" w:cs="Arial"/>
          <w:sz w:val="22"/>
          <w:szCs w:val="22"/>
        </w:rPr>
        <w:t>78, including benefits.</w:t>
      </w:r>
    </w:p>
    <w:p w:rsidR="009F0FAE" w:rsidRPr="00317DBA" w:rsidP="009F0FAE" w14:paraId="06C4F664" w14:textId="419FD27A">
      <w:pPr>
        <w:widowControl/>
        <w:numPr>
          <w:ilvl w:val="0"/>
          <w:numId w:val="2"/>
        </w:numPr>
        <w:autoSpaceDE/>
        <w:autoSpaceDN/>
        <w:adjustRightInd/>
        <w:rPr>
          <w:rFonts w:ascii="Arial" w:hAnsi="Arial" w:cs="Arial"/>
          <w:sz w:val="22"/>
          <w:szCs w:val="22"/>
        </w:rPr>
      </w:pPr>
      <w:r w:rsidRPr="00317DBA">
        <w:rPr>
          <w:rFonts w:ascii="Arial" w:hAnsi="Arial" w:cs="Arial"/>
          <w:sz w:val="22"/>
          <w:szCs w:val="22"/>
        </w:rPr>
        <w:t>U</w:t>
      </w:r>
      <w:r>
        <w:rPr>
          <w:rFonts w:ascii="Arial" w:hAnsi="Arial" w:cs="Arial"/>
          <w:sz w:val="22"/>
          <w:szCs w:val="22"/>
        </w:rPr>
        <w:t>.</w:t>
      </w:r>
      <w:r w:rsidRPr="00317DBA">
        <w:rPr>
          <w:rFonts w:ascii="Arial" w:hAnsi="Arial" w:cs="Arial"/>
          <w:sz w:val="22"/>
          <w:szCs w:val="22"/>
        </w:rPr>
        <w:t>S</w:t>
      </w:r>
      <w:r>
        <w:rPr>
          <w:rFonts w:ascii="Arial" w:hAnsi="Arial" w:cs="Arial"/>
          <w:sz w:val="22"/>
          <w:szCs w:val="22"/>
        </w:rPr>
        <w:t>.</w:t>
      </w:r>
      <w:r w:rsidRPr="00317DBA">
        <w:rPr>
          <w:rFonts w:ascii="Arial" w:hAnsi="Arial" w:cs="Arial"/>
          <w:sz w:val="22"/>
          <w:szCs w:val="22"/>
        </w:rPr>
        <w:t xml:space="preserve"> </w:t>
      </w:r>
      <w:r>
        <w:rPr>
          <w:rFonts w:ascii="Arial" w:hAnsi="Arial" w:cs="Arial"/>
          <w:sz w:val="22"/>
          <w:szCs w:val="22"/>
        </w:rPr>
        <w:t>State/local/Tribal g</w:t>
      </w:r>
      <w:r w:rsidRPr="00317DBA">
        <w:rPr>
          <w:rFonts w:ascii="Arial" w:hAnsi="Arial" w:cs="Arial"/>
          <w:sz w:val="22"/>
          <w:szCs w:val="22"/>
        </w:rPr>
        <w:t>overnment – the hourly rate for all workers is $61.27, including benefits.</w:t>
      </w:r>
    </w:p>
    <w:p w:rsidR="009F0FAE" w:rsidRPr="00317DBA" w:rsidP="009F0FAE" w14:paraId="4D2D045D" w14:textId="77777777">
      <w:pPr>
        <w:widowControl/>
        <w:autoSpaceDE/>
        <w:autoSpaceDN/>
        <w:adjustRightInd/>
        <w:rPr>
          <w:rFonts w:ascii="Arial" w:hAnsi="Arial" w:cs="Arial"/>
          <w:sz w:val="22"/>
          <w:szCs w:val="22"/>
        </w:rPr>
      </w:pPr>
    </w:p>
    <w:p w:rsidR="009F0FAE" w:rsidRPr="00317DBA" w:rsidP="009F0FAE" w14:paraId="3D6F5B65" w14:textId="71DDDE0D">
      <w:pPr>
        <w:widowControl/>
        <w:autoSpaceDE/>
        <w:autoSpaceDN/>
        <w:adjustRightInd/>
        <w:rPr>
          <w:rFonts w:ascii="Arial" w:hAnsi="Arial" w:cs="Arial"/>
          <w:sz w:val="22"/>
          <w:szCs w:val="22"/>
        </w:rPr>
      </w:pPr>
      <w:r w:rsidRPr="5F5A26F5">
        <w:rPr>
          <w:rFonts w:ascii="Arial" w:hAnsi="Arial" w:cs="Arial"/>
          <w:sz w:val="22"/>
          <w:szCs w:val="22"/>
        </w:rPr>
        <w:t xml:space="preserve">We will use the </w:t>
      </w:r>
      <w:r w:rsidRPr="5F5A26F5" w:rsidR="00317DBA">
        <w:rPr>
          <w:rFonts w:ascii="Arial" w:hAnsi="Arial" w:cs="Arial"/>
          <w:sz w:val="22"/>
          <w:szCs w:val="22"/>
        </w:rPr>
        <w:t xml:space="preserve">U.S. </w:t>
      </w:r>
      <w:r w:rsidRPr="5F5A26F5" w:rsidR="585B6804">
        <w:rPr>
          <w:rFonts w:ascii="Arial" w:hAnsi="Arial" w:cs="Arial"/>
          <w:sz w:val="22"/>
          <w:szCs w:val="22"/>
        </w:rPr>
        <w:t xml:space="preserve">private sector worker hourly rate </w:t>
      </w:r>
      <w:r w:rsidRPr="5F5A26F5" w:rsidR="50BA1B7E">
        <w:rPr>
          <w:rFonts w:ascii="Arial" w:hAnsi="Arial" w:cs="Arial"/>
          <w:sz w:val="22"/>
          <w:szCs w:val="22"/>
        </w:rPr>
        <w:t>of $43</w:t>
      </w:r>
      <w:r w:rsidRPr="5F5A26F5" w:rsidR="2AC8A462">
        <w:rPr>
          <w:rFonts w:ascii="Arial" w:hAnsi="Arial" w:cs="Arial"/>
          <w:sz w:val="22"/>
          <w:szCs w:val="22"/>
        </w:rPr>
        <w:t>.</w:t>
      </w:r>
      <w:r w:rsidRPr="5F5A26F5" w:rsidR="50BA1B7E">
        <w:rPr>
          <w:rFonts w:ascii="Arial" w:hAnsi="Arial" w:cs="Arial"/>
          <w:sz w:val="22"/>
          <w:szCs w:val="22"/>
        </w:rPr>
        <w:t>78 for</w:t>
      </w:r>
      <w:r w:rsidRPr="5F5A26F5">
        <w:rPr>
          <w:rFonts w:ascii="Arial" w:hAnsi="Arial" w:cs="Arial"/>
          <w:sz w:val="22"/>
          <w:szCs w:val="22"/>
        </w:rPr>
        <w:t xml:space="preserve"> </w:t>
      </w:r>
      <w:r w:rsidRPr="5F5A26F5" w:rsidR="00A73317">
        <w:rPr>
          <w:rFonts w:ascii="Arial" w:hAnsi="Arial" w:cs="Arial"/>
          <w:sz w:val="22"/>
          <w:szCs w:val="22"/>
        </w:rPr>
        <w:t>a</w:t>
      </w:r>
      <w:r w:rsidRPr="5F5A26F5">
        <w:rPr>
          <w:rFonts w:ascii="Arial" w:hAnsi="Arial" w:cs="Arial"/>
          <w:sz w:val="22"/>
          <w:szCs w:val="22"/>
        </w:rPr>
        <w:t>cademic</w:t>
      </w:r>
      <w:r w:rsidRPr="5F5A26F5" w:rsidR="30E214BB">
        <w:rPr>
          <w:rFonts w:ascii="Arial" w:hAnsi="Arial" w:cs="Arial"/>
          <w:sz w:val="22"/>
          <w:szCs w:val="22"/>
        </w:rPr>
        <w:t xml:space="preserve">, </w:t>
      </w:r>
      <w:r w:rsidRPr="5F5A26F5">
        <w:rPr>
          <w:rFonts w:ascii="Arial" w:hAnsi="Arial" w:cs="Arial"/>
          <w:sz w:val="22"/>
          <w:szCs w:val="22"/>
        </w:rPr>
        <w:t>NGO</w:t>
      </w:r>
      <w:r w:rsidRPr="5F5A26F5" w:rsidR="2242B206">
        <w:rPr>
          <w:rFonts w:ascii="Arial" w:hAnsi="Arial" w:cs="Arial"/>
          <w:sz w:val="22"/>
          <w:szCs w:val="22"/>
        </w:rPr>
        <w:t xml:space="preserve">, and private sector </w:t>
      </w:r>
      <w:r w:rsidRPr="5F5A26F5">
        <w:rPr>
          <w:rFonts w:ascii="Arial" w:hAnsi="Arial" w:cs="Arial"/>
          <w:sz w:val="22"/>
          <w:szCs w:val="22"/>
        </w:rPr>
        <w:t>respondent</w:t>
      </w:r>
      <w:r w:rsidRPr="5F5A26F5" w:rsidR="28020A60">
        <w:rPr>
          <w:rFonts w:ascii="Arial" w:hAnsi="Arial" w:cs="Arial"/>
          <w:sz w:val="22"/>
          <w:szCs w:val="22"/>
        </w:rPr>
        <w:t>s</w:t>
      </w:r>
      <w:r w:rsidRPr="5F5A26F5" w:rsidR="558F460D">
        <w:rPr>
          <w:rFonts w:ascii="Arial" w:hAnsi="Arial" w:cs="Arial"/>
          <w:sz w:val="22"/>
          <w:szCs w:val="22"/>
        </w:rPr>
        <w:t xml:space="preserve"> </w:t>
      </w:r>
      <w:r w:rsidRPr="5F5A26F5">
        <w:rPr>
          <w:rFonts w:ascii="Arial" w:hAnsi="Arial" w:cs="Arial"/>
          <w:sz w:val="22"/>
          <w:szCs w:val="22"/>
        </w:rPr>
        <w:t xml:space="preserve">and the </w:t>
      </w:r>
      <w:r w:rsidRPr="5F5A26F5" w:rsidR="00317DBA">
        <w:rPr>
          <w:rFonts w:ascii="Arial" w:hAnsi="Arial" w:cs="Arial"/>
          <w:sz w:val="22"/>
          <w:szCs w:val="22"/>
        </w:rPr>
        <w:t>U.S.</w:t>
      </w:r>
      <w:r w:rsidRPr="5F5A26F5" w:rsidR="237A94D3">
        <w:rPr>
          <w:rFonts w:ascii="Arial" w:hAnsi="Arial" w:cs="Arial"/>
          <w:sz w:val="22"/>
          <w:szCs w:val="22"/>
        </w:rPr>
        <w:t xml:space="preserve"> government worker hourly rate of $61.27 for</w:t>
      </w:r>
      <w:r w:rsidRPr="5F5A26F5" w:rsidR="00317DBA">
        <w:rPr>
          <w:rFonts w:ascii="Arial" w:hAnsi="Arial" w:cs="Arial"/>
          <w:sz w:val="22"/>
          <w:szCs w:val="22"/>
        </w:rPr>
        <w:t xml:space="preserve"> State/local/Tribal</w:t>
      </w:r>
      <w:r w:rsidRPr="5F5A26F5" w:rsidR="56AB4061">
        <w:rPr>
          <w:rFonts w:ascii="Arial" w:hAnsi="Arial" w:cs="Arial"/>
          <w:sz w:val="22"/>
          <w:szCs w:val="22"/>
        </w:rPr>
        <w:t xml:space="preserve"> respondents.</w:t>
      </w:r>
      <w:r w:rsidRPr="5F5A26F5" w:rsidR="00317DBA">
        <w:rPr>
          <w:rFonts w:ascii="Arial" w:hAnsi="Arial" w:cs="Arial"/>
          <w:sz w:val="22"/>
          <w:szCs w:val="22"/>
        </w:rPr>
        <w:t xml:space="preserve"> </w:t>
      </w:r>
      <w:r w:rsidRPr="5F5A26F5">
        <w:rPr>
          <w:rFonts w:ascii="Arial" w:hAnsi="Arial" w:cs="Arial"/>
          <w:sz w:val="22"/>
          <w:szCs w:val="22"/>
        </w:rPr>
        <w:t xml:space="preserve"> </w:t>
      </w:r>
    </w:p>
    <w:p w:rsidR="009F0FAE" w:rsidRPr="00317DBA" w:rsidP="009F0FAE" w14:paraId="70407562" w14:textId="77777777">
      <w:pPr>
        <w:widowControl/>
        <w:autoSpaceDE/>
        <w:autoSpaceDN/>
        <w:adjustRightInd/>
        <w:rPr>
          <w:rFonts w:ascii="Arial" w:hAnsi="Arial" w:cs="Arial"/>
          <w:sz w:val="22"/>
          <w:szCs w:val="22"/>
        </w:rPr>
      </w:pPr>
    </w:p>
    <w:p w:rsidR="009F0FAE" w:rsidRPr="00317DBA" w:rsidP="009F0FAE" w14:paraId="73E41693" w14:textId="77777777">
      <w:pPr>
        <w:tabs>
          <w:tab w:val="left" w:pos="2340"/>
        </w:tabs>
        <w:contextualSpacing/>
        <w:rPr>
          <w:rFonts w:ascii="Arial" w:hAnsi="Arial" w:cs="Arial"/>
          <w:b/>
          <w:caps/>
          <w:sz w:val="22"/>
          <w:szCs w:val="22"/>
        </w:rPr>
      </w:pPr>
      <w:r w:rsidRPr="00317DBA">
        <w:rPr>
          <w:rFonts w:ascii="Arial" w:hAnsi="Arial" w:cs="Arial"/>
          <w:b/>
          <w:bCs/>
          <w:caps/>
          <w:sz w:val="22"/>
          <w:szCs w:val="22"/>
          <w:u w:val="single"/>
        </w:rPr>
        <w:t>CANADIAN</w:t>
      </w:r>
      <w:r w:rsidRPr="00317DBA">
        <w:rPr>
          <w:rFonts w:ascii="Arial" w:hAnsi="Arial" w:cs="Arial"/>
          <w:b/>
          <w:caps/>
          <w:sz w:val="22"/>
          <w:szCs w:val="22"/>
          <w:u w:val="single"/>
        </w:rPr>
        <w:t xml:space="preserve"> ENTITIES Burden CALCULATION HOURLY RATE</w:t>
      </w:r>
      <w:r w:rsidRPr="00317DBA">
        <w:rPr>
          <w:rFonts w:ascii="Arial" w:hAnsi="Arial" w:cs="Arial"/>
          <w:b/>
          <w:caps/>
          <w:sz w:val="22"/>
          <w:szCs w:val="22"/>
        </w:rPr>
        <w:t>:</w:t>
      </w:r>
    </w:p>
    <w:p w:rsidR="009F0FAE" w:rsidP="049DD704" w14:paraId="7ECE3037" w14:textId="0C071BC7">
      <w:pPr>
        <w:tabs>
          <w:tab w:val="left" w:pos="2340"/>
        </w:tabs>
        <w:contextualSpacing/>
        <w:rPr>
          <w:rFonts w:ascii="Arial" w:hAnsi="Arial" w:cs="Arial"/>
          <w:sz w:val="22"/>
          <w:szCs w:val="22"/>
        </w:rPr>
      </w:pPr>
      <w:r w:rsidRPr="049DD704">
        <w:rPr>
          <w:rFonts w:ascii="Arial" w:hAnsi="Arial" w:cs="Arial"/>
          <w:sz w:val="22"/>
          <w:szCs w:val="22"/>
        </w:rPr>
        <w:t>We were unable to locate comparable international wage information for similar sector categories as is provided by the U</w:t>
      </w:r>
      <w:r w:rsidRPr="049DD704" w:rsidR="00236C9E">
        <w:rPr>
          <w:rFonts w:ascii="Arial" w:hAnsi="Arial" w:cs="Arial"/>
          <w:sz w:val="22"/>
          <w:szCs w:val="22"/>
        </w:rPr>
        <w:t>.</w:t>
      </w:r>
      <w:r w:rsidRPr="049DD704">
        <w:rPr>
          <w:rFonts w:ascii="Arial" w:hAnsi="Arial" w:cs="Arial"/>
          <w:sz w:val="22"/>
          <w:szCs w:val="22"/>
        </w:rPr>
        <w:t>S</w:t>
      </w:r>
      <w:r w:rsidRPr="049DD704" w:rsidR="00236C9E">
        <w:rPr>
          <w:rFonts w:ascii="Arial" w:hAnsi="Arial" w:cs="Arial"/>
          <w:sz w:val="22"/>
          <w:szCs w:val="22"/>
        </w:rPr>
        <w:t>.</w:t>
      </w:r>
      <w:r w:rsidRPr="049DD704">
        <w:rPr>
          <w:rFonts w:ascii="Arial" w:hAnsi="Arial" w:cs="Arial"/>
          <w:sz w:val="22"/>
          <w:szCs w:val="22"/>
        </w:rPr>
        <w:t xml:space="preserve"> Bureau of Labor Statistics. To develop a basis for calculating the hourly cost burden of Canadian respondents, </w:t>
      </w:r>
      <w:r w:rsidRPr="049DD704" w:rsidR="0305D4C2">
        <w:rPr>
          <w:rFonts w:ascii="Arial" w:hAnsi="Arial" w:cs="Arial"/>
          <w:sz w:val="22"/>
          <w:szCs w:val="22"/>
        </w:rPr>
        <w:t xml:space="preserve">we used information from </w:t>
      </w:r>
      <w:hyperlink r:id="rId8">
        <w:r w:rsidRPr="049DD704" w:rsidR="0305D4C2">
          <w:rPr>
            <w:rStyle w:val="Hyperlink"/>
            <w:rFonts w:ascii="Arial" w:hAnsi="Arial"/>
            <w:sz w:val="22"/>
            <w:szCs w:val="22"/>
          </w:rPr>
          <w:t>WorldSalaries.com</w:t>
        </w:r>
      </w:hyperlink>
      <w:r w:rsidRPr="049DD704" w:rsidR="0305D4C2">
        <w:rPr>
          <w:rFonts w:ascii="Arial" w:hAnsi="Arial" w:cs="Arial"/>
          <w:sz w:val="22"/>
          <w:szCs w:val="22"/>
        </w:rPr>
        <w:t xml:space="preserve"> (accessed </w:t>
      </w:r>
      <w:r w:rsidR="00542410">
        <w:rPr>
          <w:rFonts w:ascii="Arial" w:hAnsi="Arial" w:cs="Arial"/>
          <w:sz w:val="22"/>
          <w:szCs w:val="22"/>
        </w:rPr>
        <w:t>0</w:t>
      </w:r>
      <w:r w:rsidRPr="049DD704" w:rsidR="0305D4C2">
        <w:rPr>
          <w:rFonts w:ascii="Arial" w:hAnsi="Arial" w:cs="Arial"/>
          <w:sz w:val="22"/>
          <w:szCs w:val="22"/>
        </w:rPr>
        <w:t xml:space="preserve">8-07-2024) </w:t>
      </w:r>
      <w:r w:rsidRPr="049DD704" w:rsidR="3CE31DB1">
        <w:rPr>
          <w:rFonts w:ascii="Arial" w:hAnsi="Arial" w:cs="Arial"/>
          <w:sz w:val="22"/>
          <w:szCs w:val="22"/>
        </w:rPr>
        <w:t xml:space="preserve">to </w:t>
      </w:r>
      <w:r w:rsidRPr="049DD704" w:rsidR="719347D6">
        <w:rPr>
          <w:rFonts w:ascii="Arial" w:hAnsi="Arial" w:cs="Arial"/>
          <w:sz w:val="22"/>
          <w:szCs w:val="22"/>
        </w:rPr>
        <w:t>identify</w:t>
      </w:r>
      <w:r w:rsidRPr="049DD704" w:rsidR="3CE31DB1">
        <w:rPr>
          <w:rFonts w:ascii="Arial" w:hAnsi="Arial" w:cs="Arial"/>
          <w:sz w:val="22"/>
          <w:szCs w:val="22"/>
        </w:rPr>
        <w:t xml:space="preserve"> average annual salaries for</w:t>
      </w:r>
      <w:r w:rsidRPr="049DD704" w:rsidR="0305D4C2">
        <w:rPr>
          <w:rFonts w:ascii="Arial" w:hAnsi="Arial" w:cs="Arial"/>
          <w:sz w:val="22"/>
          <w:szCs w:val="22"/>
        </w:rPr>
        <w:t xml:space="preserve"> private sector and government workers</w:t>
      </w:r>
      <w:r w:rsidRPr="049DD704" w:rsidR="3A5E22C6">
        <w:rPr>
          <w:rFonts w:ascii="Arial" w:hAnsi="Arial" w:cs="Arial"/>
          <w:sz w:val="22"/>
          <w:szCs w:val="22"/>
        </w:rPr>
        <w:t xml:space="preserve"> </w:t>
      </w:r>
      <w:r w:rsidRPr="049DD704" w:rsidR="577AD20A">
        <w:rPr>
          <w:rFonts w:ascii="Arial" w:hAnsi="Arial" w:cs="Arial"/>
          <w:sz w:val="22"/>
          <w:szCs w:val="22"/>
        </w:rPr>
        <w:t>in Canada and the United States.</w:t>
      </w:r>
      <w:r w:rsidRPr="049DD704" w:rsidR="355D78CE">
        <w:rPr>
          <w:rFonts w:ascii="Arial" w:hAnsi="Arial" w:cs="Arial"/>
          <w:sz w:val="22"/>
          <w:szCs w:val="22"/>
        </w:rPr>
        <w:t xml:space="preserve"> We used a currency exchange rate of 1 CAD = 0.7252 USD (from </w:t>
      </w:r>
      <w:hyperlink r:id="rId9">
        <w:r w:rsidRPr="049DD704" w:rsidR="355D78CE">
          <w:rPr>
            <w:rStyle w:val="Hyperlink"/>
            <w:rFonts w:ascii="Arial" w:hAnsi="Arial" w:cs="Arial"/>
            <w:sz w:val="22"/>
            <w:szCs w:val="22"/>
          </w:rPr>
          <w:t>Exchange-Rates.org</w:t>
        </w:r>
      </w:hyperlink>
      <w:r w:rsidRPr="049DD704" w:rsidR="355D78CE">
        <w:rPr>
          <w:rFonts w:ascii="Arial" w:hAnsi="Arial" w:cs="Arial"/>
          <w:sz w:val="22"/>
          <w:szCs w:val="22"/>
        </w:rPr>
        <w:t xml:space="preserve">, last updated </w:t>
      </w:r>
      <w:r w:rsidR="00542410">
        <w:rPr>
          <w:rFonts w:ascii="Arial" w:hAnsi="Arial" w:cs="Arial"/>
          <w:sz w:val="22"/>
          <w:szCs w:val="22"/>
        </w:rPr>
        <w:t>0</w:t>
      </w:r>
      <w:r w:rsidRPr="049DD704" w:rsidR="355D78CE">
        <w:rPr>
          <w:rFonts w:ascii="Arial" w:hAnsi="Arial" w:cs="Arial"/>
          <w:sz w:val="22"/>
          <w:szCs w:val="22"/>
        </w:rPr>
        <w:t>7-24-2024), to convert to the Canadian wages into U.S. dollars</w:t>
      </w:r>
      <w:r w:rsidRPr="049DD704" w:rsidR="4261554B">
        <w:rPr>
          <w:rFonts w:ascii="Arial" w:hAnsi="Arial" w:cs="Arial"/>
          <w:sz w:val="22"/>
          <w:szCs w:val="22"/>
        </w:rPr>
        <w:t xml:space="preserve"> for direct comparisons.</w:t>
      </w:r>
    </w:p>
    <w:p w:rsidR="049DD704" w:rsidP="049DD704" w14:paraId="572BA181" w14:textId="4749FA2D">
      <w:pPr>
        <w:tabs>
          <w:tab w:val="left" w:pos="2340"/>
        </w:tabs>
        <w:contextualSpacing/>
        <w:rPr>
          <w:rFonts w:ascii="Arial" w:hAnsi="Arial" w:cs="Arial"/>
          <w:sz w:val="22"/>
          <w:szCs w:val="22"/>
        </w:rPr>
      </w:pPr>
    </w:p>
    <w:p w:rsidR="66C43F58" w:rsidP="049DD704" w14:paraId="5CAB5930" w14:textId="07F36884">
      <w:pPr>
        <w:tabs>
          <w:tab w:val="left" w:pos="2340"/>
        </w:tabs>
        <w:contextualSpacing/>
        <w:rPr>
          <w:rFonts w:ascii="Arial" w:hAnsi="Arial" w:cs="Arial"/>
          <w:sz w:val="22"/>
          <w:szCs w:val="22"/>
        </w:rPr>
      </w:pPr>
      <w:r w:rsidRPr="049DD704">
        <w:rPr>
          <w:rFonts w:ascii="Arial" w:hAnsi="Arial" w:cs="Arial"/>
          <w:sz w:val="22"/>
          <w:szCs w:val="22"/>
        </w:rPr>
        <w:t>Based on this approach, we estimate that current average salaries</w:t>
      </w:r>
      <w:r w:rsidRPr="049DD704" w:rsidR="0071ED97">
        <w:rPr>
          <w:rFonts w:ascii="Arial" w:hAnsi="Arial" w:cs="Arial"/>
          <w:sz w:val="22"/>
          <w:szCs w:val="22"/>
        </w:rPr>
        <w:t xml:space="preserve"> for government and private sector workers</w:t>
      </w:r>
      <w:r w:rsidRPr="049DD704">
        <w:rPr>
          <w:rFonts w:ascii="Arial" w:hAnsi="Arial" w:cs="Arial"/>
          <w:sz w:val="22"/>
          <w:szCs w:val="22"/>
        </w:rPr>
        <w:t xml:space="preserve"> in Canada are approximately 90% of those for equivalent positions in the U.S.</w:t>
      </w:r>
    </w:p>
    <w:p w:rsidR="049DD704" w:rsidP="049DD704" w14:paraId="71C33D06" w14:textId="48E8E68D">
      <w:pPr>
        <w:tabs>
          <w:tab w:val="left" w:pos="2340"/>
        </w:tabs>
        <w:contextualSpacing/>
        <w:rPr>
          <w:rFonts w:ascii="Arial" w:hAnsi="Arial" w:cs="Arial"/>
          <w:sz w:val="22"/>
          <w:szCs w:val="22"/>
        </w:rPr>
      </w:pPr>
    </w:p>
    <w:p w:rsidR="12B704D4" w:rsidP="049DD704" w14:paraId="561AB5C8" w14:textId="0B37A612">
      <w:pPr>
        <w:tabs>
          <w:tab w:val="left" w:pos="2340"/>
        </w:tabs>
        <w:contextualSpacing/>
        <w:rPr>
          <w:rFonts w:ascii="Arial" w:hAnsi="Arial" w:cs="Arial"/>
          <w:sz w:val="22"/>
          <w:szCs w:val="22"/>
        </w:rPr>
      </w:pPr>
      <w:r w:rsidRPr="049DD704">
        <w:rPr>
          <w:rFonts w:ascii="Arial" w:hAnsi="Arial" w:cs="Arial"/>
          <w:sz w:val="22"/>
          <w:szCs w:val="22"/>
        </w:rPr>
        <w:t>We calculated the Canadian entity burden hours</w:t>
      </w:r>
      <w:r w:rsidRPr="049DD704" w:rsidR="608DF833">
        <w:rPr>
          <w:rFonts w:ascii="Arial" w:hAnsi="Arial" w:cs="Arial"/>
          <w:sz w:val="22"/>
          <w:szCs w:val="22"/>
        </w:rPr>
        <w:t xml:space="preserve"> (including benefits)</w:t>
      </w:r>
      <w:r w:rsidRPr="049DD704">
        <w:rPr>
          <w:rFonts w:ascii="Arial" w:hAnsi="Arial" w:cs="Arial"/>
          <w:sz w:val="22"/>
          <w:szCs w:val="22"/>
        </w:rPr>
        <w:t xml:space="preserve"> by applying the above percentages to the Bureau of Labor Statistics hourly rates for U.S. workers (including benefits), as follows:</w:t>
      </w:r>
      <w:r w:rsidRPr="049DD704" w:rsidR="66C43F58">
        <w:rPr>
          <w:rFonts w:ascii="Arial" w:hAnsi="Arial" w:cs="Arial"/>
          <w:sz w:val="22"/>
          <w:szCs w:val="22"/>
        </w:rPr>
        <w:t xml:space="preserve"> </w:t>
      </w:r>
    </w:p>
    <w:p w:rsidR="049DD704" w:rsidP="049DD704" w14:paraId="44760A43" w14:textId="011CD957">
      <w:pPr>
        <w:tabs>
          <w:tab w:val="left" w:pos="2340"/>
        </w:tabs>
        <w:contextualSpacing/>
        <w:rPr>
          <w:rFonts w:ascii="Arial" w:hAnsi="Arial" w:cs="Arial"/>
          <w:sz w:val="22"/>
          <w:szCs w:val="22"/>
        </w:rPr>
      </w:pPr>
    </w:p>
    <w:p w:rsidR="35EAD777" w:rsidP="049DD704" w14:paraId="0256FBFE" w14:textId="6722F1DE">
      <w:pPr>
        <w:pStyle w:val="ListParagraph"/>
        <w:numPr>
          <w:ilvl w:val="0"/>
          <w:numId w:val="1"/>
        </w:numPr>
        <w:tabs>
          <w:tab w:val="left" w:pos="2340"/>
        </w:tabs>
        <w:rPr>
          <w:rFonts w:ascii="Arial" w:hAnsi="Arial" w:cs="Arial"/>
          <w:sz w:val="22"/>
          <w:szCs w:val="22"/>
        </w:rPr>
      </w:pPr>
      <w:r w:rsidRPr="049DD704">
        <w:rPr>
          <w:rFonts w:ascii="Arial" w:hAnsi="Arial" w:cs="Arial"/>
          <w:sz w:val="22"/>
          <w:szCs w:val="22"/>
        </w:rPr>
        <w:t xml:space="preserve">Canada – Private sector: </w:t>
      </w:r>
      <w:r w:rsidRPr="049DD704" w:rsidR="68D608DA">
        <w:rPr>
          <w:rFonts w:ascii="Arial" w:hAnsi="Arial" w:cs="Arial"/>
          <w:sz w:val="22"/>
          <w:szCs w:val="22"/>
        </w:rPr>
        <w:t xml:space="preserve">$43.78 x </w:t>
      </w:r>
      <w:r w:rsidRPr="049DD704" w:rsidR="392DE401">
        <w:rPr>
          <w:rFonts w:ascii="Arial" w:hAnsi="Arial" w:cs="Arial"/>
          <w:sz w:val="22"/>
          <w:szCs w:val="22"/>
        </w:rPr>
        <w:t>0.9</w:t>
      </w:r>
      <w:r w:rsidRPr="049DD704" w:rsidR="68D608DA">
        <w:rPr>
          <w:rFonts w:ascii="Arial" w:hAnsi="Arial" w:cs="Arial"/>
          <w:sz w:val="22"/>
          <w:szCs w:val="22"/>
        </w:rPr>
        <w:t xml:space="preserve"> = $39.40</w:t>
      </w:r>
    </w:p>
    <w:p w:rsidR="35EAD777" w:rsidP="049DD704" w14:paraId="0C00CE20" w14:textId="6D2EF59D">
      <w:pPr>
        <w:pStyle w:val="ListParagraph"/>
        <w:numPr>
          <w:ilvl w:val="0"/>
          <w:numId w:val="1"/>
        </w:numPr>
        <w:tabs>
          <w:tab w:val="left" w:pos="2340"/>
        </w:tabs>
        <w:rPr>
          <w:rFonts w:ascii="Arial" w:hAnsi="Arial" w:cs="Arial"/>
          <w:sz w:val="22"/>
          <w:szCs w:val="22"/>
        </w:rPr>
      </w:pPr>
      <w:r w:rsidRPr="049DD704">
        <w:rPr>
          <w:rFonts w:ascii="Arial" w:hAnsi="Arial" w:cs="Arial"/>
          <w:sz w:val="22"/>
          <w:szCs w:val="22"/>
        </w:rPr>
        <w:t>Canada</w:t>
      </w:r>
      <w:r w:rsidRPr="049DD704" w:rsidR="09B5D384">
        <w:rPr>
          <w:rFonts w:ascii="Arial" w:hAnsi="Arial" w:cs="Arial"/>
          <w:sz w:val="22"/>
          <w:szCs w:val="22"/>
        </w:rPr>
        <w:t xml:space="preserve"> – </w:t>
      </w:r>
      <w:r w:rsidRPr="049DD704">
        <w:rPr>
          <w:rFonts w:ascii="Arial" w:hAnsi="Arial" w:cs="Arial"/>
          <w:sz w:val="22"/>
          <w:szCs w:val="22"/>
        </w:rPr>
        <w:t>Government</w:t>
      </w:r>
      <w:r w:rsidRPr="049DD704" w:rsidR="09B5D384">
        <w:rPr>
          <w:rFonts w:ascii="Arial" w:hAnsi="Arial" w:cs="Arial"/>
          <w:sz w:val="22"/>
          <w:szCs w:val="22"/>
        </w:rPr>
        <w:t xml:space="preserve">: $61.27 </w:t>
      </w:r>
      <w:r w:rsidRPr="049DD704" w:rsidR="52C6A444">
        <w:rPr>
          <w:rFonts w:ascii="Arial" w:hAnsi="Arial" w:cs="Arial"/>
          <w:sz w:val="22"/>
          <w:szCs w:val="22"/>
        </w:rPr>
        <w:t>x 0.9 = $</w:t>
      </w:r>
      <w:r w:rsidRPr="049DD704" w:rsidR="09B5D384">
        <w:rPr>
          <w:rFonts w:ascii="Arial" w:hAnsi="Arial" w:cs="Arial"/>
          <w:sz w:val="22"/>
          <w:szCs w:val="22"/>
        </w:rPr>
        <w:t>55.14</w:t>
      </w:r>
    </w:p>
    <w:p w:rsidR="049DD704" w:rsidP="049DD704" w14:paraId="2F0039BC" w14:textId="3CAB1F04">
      <w:pPr>
        <w:tabs>
          <w:tab w:val="left" w:pos="2340"/>
        </w:tabs>
        <w:contextualSpacing/>
        <w:rPr>
          <w:rFonts w:ascii="Arial" w:hAnsi="Arial" w:cs="Arial"/>
          <w:sz w:val="22"/>
          <w:szCs w:val="22"/>
        </w:rPr>
      </w:pPr>
    </w:p>
    <w:p w:rsidR="076DC4D2" w:rsidP="049DD704" w14:paraId="444C22CB" w14:textId="1CCA132A">
      <w:pPr>
        <w:tabs>
          <w:tab w:val="left" w:pos="2340"/>
        </w:tabs>
        <w:contextualSpacing/>
        <w:rPr>
          <w:rFonts w:ascii="Arial" w:hAnsi="Arial" w:cs="Arial"/>
          <w:sz w:val="22"/>
          <w:szCs w:val="22"/>
        </w:rPr>
      </w:pPr>
      <w:r w:rsidRPr="049DD704">
        <w:rPr>
          <w:rFonts w:ascii="Arial" w:hAnsi="Arial" w:cs="Arial"/>
          <w:sz w:val="22"/>
          <w:szCs w:val="22"/>
        </w:rPr>
        <w:t>We will use the Canadian private sector worker hourly rate of $39.40 for academic, NGO, and private sector respondents</w:t>
      </w:r>
      <w:r w:rsidR="00542410">
        <w:rPr>
          <w:rFonts w:ascii="Arial" w:hAnsi="Arial" w:cs="Arial"/>
          <w:sz w:val="22"/>
          <w:szCs w:val="22"/>
        </w:rPr>
        <w:t>,</w:t>
      </w:r>
      <w:r w:rsidRPr="049DD704">
        <w:rPr>
          <w:rFonts w:ascii="Arial" w:hAnsi="Arial" w:cs="Arial"/>
          <w:sz w:val="22"/>
          <w:szCs w:val="22"/>
        </w:rPr>
        <w:t xml:space="preserve"> and the Canadian government worker hourly rate of $55.14 for State/local/Tribal and Federal respondents.</w:t>
      </w:r>
    </w:p>
    <w:p w:rsidR="049DD704" w:rsidP="049DD704" w14:paraId="05B0449C" w14:textId="336E7DDC">
      <w:pPr>
        <w:tabs>
          <w:tab w:val="left" w:pos="2340"/>
        </w:tabs>
        <w:ind w:left="720"/>
        <w:contextualSpacing/>
        <w:rPr>
          <w:rFonts w:ascii="Arial" w:hAnsi="Arial" w:cs="Arial"/>
          <w:sz w:val="22"/>
          <w:szCs w:val="22"/>
        </w:rPr>
      </w:pPr>
    </w:p>
    <w:p w:rsidR="009F0FAE" w:rsidRPr="00317DBA" w:rsidP="009F0FAE" w14:paraId="4FC45847" w14:textId="77777777">
      <w:pPr>
        <w:tabs>
          <w:tab w:val="left" w:pos="2340"/>
        </w:tabs>
        <w:contextualSpacing/>
        <w:rPr>
          <w:rFonts w:ascii="Arial" w:hAnsi="Arial" w:cs="Arial"/>
          <w:b/>
          <w:caps/>
          <w:sz w:val="22"/>
          <w:szCs w:val="22"/>
        </w:rPr>
      </w:pPr>
      <w:r w:rsidRPr="049DD704">
        <w:rPr>
          <w:rFonts w:ascii="Arial" w:hAnsi="Arial" w:cs="Arial"/>
          <w:b/>
          <w:bCs/>
          <w:caps/>
          <w:sz w:val="22"/>
          <w:szCs w:val="22"/>
          <w:u w:val="single"/>
        </w:rPr>
        <w:t>Mexican ENTITIES Burden CALCULATION HOURLY RATE</w:t>
      </w:r>
      <w:r w:rsidRPr="049DD704">
        <w:rPr>
          <w:rFonts w:ascii="Arial" w:hAnsi="Arial" w:cs="Arial"/>
          <w:b/>
          <w:bCs/>
          <w:caps/>
          <w:sz w:val="22"/>
          <w:szCs w:val="22"/>
        </w:rPr>
        <w:t>:</w:t>
      </w:r>
    </w:p>
    <w:p w:rsidR="65A1090A" w:rsidP="049DD704" w14:paraId="308DC65D" w14:textId="31B2BCEE">
      <w:pPr>
        <w:tabs>
          <w:tab w:val="left" w:pos="2340"/>
        </w:tabs>
        <w:contextualSpacing/>
        <w:rPr>
          <w:rFonts w:ascii="Arial" w:hAnsi="Arial" w:cs="Arial"/>
          <w:sz w:val="22"/>
          <w:szCs w:val="22"/>
        </w:rPr>
      </w:pPr>
      <w:r w:rsidRPr="049DD704">
        <w:rPr>
          <w:rFonts w:ascii="Arial" w:hAnsi="Arial" w:cs="Arial"/>
          <w:sz w:val="22"/>
          <w:szCs w:val="22"/>
        </w:rPr>
        <w:t xml:space="preserve">We were unable to locate comparable international wage information for similar sector categories as is provided by the U.S. Bureau of Labor Statistics. To develop a basis for calculating the hourly cost burden of Mexican respondents, we used information from </w:t>
      </w:r>
      <w:hyperlink r:id="rId8">
        <w:r w:rsidRPr="049DD704">
          <w:rPr>
            <w:rStyle w:val="Hyperlink"/>
            <w:rFonts w:ascii="Arial" w:hAnsi="Arial"/>
            <w:sz w:val="22"/>
            <w:szCs w:val="22"/>
          </w:rPr>
          <w:t>WorldSalaries.com</w:t>
        </w:r>
      </w:hyperlink>
      <w:r w:rsidRPr="049DD704">
        <w:rPr>
          <w:rFonts w:ascii="Arial" w:hAnsi="Arial" w:cs="Arial"/>
          <w:sz w:val="22"/>
          <w:szCs w:val="22"/>
        </w:rPr>
        <w:t xml:space="preserve"> (accessed 8-07-2024) to identify average annual salaries for private sector and government workers in Mexico and the United States. </w:t>
      </w:r>
      <w:r w:rsidRPr="049DD704" w:rsidR="45FCF072">
        <w:rPr>
          <w:rFonts w:ascii="Arial" w:hAnsi="Arial" w:cs="Arial"/>
          <w:sz w:val="22"/>
          <w:szCs w:val="22"/>
        </w:rPr>
        <w:t xml:space="preserve">We used a currency exchange rate of 1 Mexican Peso = 0.05445 U.S. Dollars (from </w:t>
      </w:r>
      <w:hyperlink r:id="rId9">
        <w:r w:rsidRPr="049DD704" w:rsidR="45FCF072">
          <w:rPr>
            <w:rStyle w:val="Hyperlink"/>
            <w:rFonts w:ascii="Arial" w:hAnsi="Arial" w:cs="Arial"/>
            <w:sz w:val="22"/>
            <w:szCs w:val="22"/>
          </w:rPr>
          <w:t>Exchange-Rates.org</w:t>
        </w:r>
      </w:hyperlink>
      <w:r w:rsidRPr="049DD704" w:rsidR="45FCF072">
        <w:rPr>
          <w:rFonts w:ascii="Arial" w:hAnsi="Arial" w:cs="Arial"/>
          <w:sz w:val="22"/>
          <w:szCs w:val="22"/>
        </w:rPr>
        <w:t>, last updated 7-24-2024)</w:t>
      </w:r>
      <w:r w:rsidRPr="049DD704">
        <w:rPr>
          <w:rFonts w:ascii="Arial" w:hAnsi="Arial" w:cs="Arial"/>
          <w:sz w:val="22"/>
          <w:szCs w:val="22"/>
        </w:rPr>
        <w:t xml:space="preserve">, to convert to the </w:t>
      </w:r>
      <w:r w:rsidRPr="049DD704" w:rsidR="3245E258">
        <w:rPr>
          <w:rFonts w:ascii="Arial" w:hAnsi="Arial" w:cs="Arial"/>
          <w:sz w:val="22"/>
          <w:szCs w:val="22"/>
        </w:rPr>
        <w:t>Mexican</w:t>
      </w:r>
      <w:r w:rsidRPr="049DD704">
        <w:rPr>
          <w:rFonts w:ascii="Arial" w:hAnsi="Arial" w:cs="Arial"/>
          <w:sz w:val="22"/>
          <w:szCs w:val="22"/>
        </w:rPr>
        <w:t xml:space="preserve"> </w:t>
      </w:r>
      <w:r w:rsidRPr="049DD704" w:rsidR="452E9293">
        <w:rPr>
          <w:rFonts w:ascii="Arial" w:hAnsi="Arial" w:cs="Arial"/>
          <w:sz w:val="22"/>
          <w:szCs w:val="22"/>
        </w:rPr>
        <w:t>wages</w:t>
      </w:r>
      <w:r w:rsidRPr="049DD704">
        <w:rPr>
          <w:rFonts w:ascii="Arial" w:hAnsi="Arial" w:cs="Arial"/>
          <w:sz w:val="22"/>
          <w:szCs w:val="22"/>
        </w:rPr>
        <w:t xml:space="preserve"> into U.S. dollars for direct comparisons.</w:t>
      </w:r>
    </w:p>
    <w:p w:rsidR="049DD704" w:rsidP="049DD704" w14:paraId="58363385" w14:textId="4749FA2D">
      <w:pPr>
        <w:tabs>
          <w:tab w:val="left" w:pos="2340"/>
        </w:tabs>
        <w:contextualSpacing/>
        <w:rPr>
          <w:rFonts w:ascii="Arial" w:hAnsi="Arial" w:cs="Arial"/>
          <w:sz w:val="22"/>
          <w:szCs w:val="22"/>
        </w:rPr>
      </w:pPr>
    </w:p>
    <w:p w:rsidR="65A1090A" w:rsidP="049DD704" w14:paraId="2E686ECE" w14:textId="4588B8DE">
      <w:pPr>
        <w:tabs>
          <w:tab w:val="left" w:pos="2340"/>
        </w:tabs>
        <w:contextualSpacing/>
        <w:rPr>
          <w:rFonts w:ascii="Arial" w:hAnsi="Arial" w:cs="Arial"/>
          <w:sz w:val="22"/>
          <w:szCs w:val="22"/>
        </w:rPr>
      </w:pPr>
      <w:r w:rsidRPr="049DD704">
        <w:rPr>
          <w:rFonts w:ascii="Arial" w:hAnsi="Arial" w:cs="Arial"/>
          <w:sz w:val="22"/>
          <w:szCs w:val="22"/>
        </w:rPr>
        <w:t xml:space="preserve">Based on this approach, we estimate that current average salaries for government and private sector workers in </w:t>
      </w:r>
      <w:r w:rsidRPr="049DD704" w:rsidR="16B11E75">
        <w:rPr>
          <w:rFonts w:ascii="Arial" w:hAnsi="Arial" w:cs="Arial"/>
          <w:sz w:val="22"/>
          <w:szCs w:val="22"/>
        </w:rPr>
        <w:t>Mexico</w:t>
      </w:r>
      <w:r w:rsidRPr="049DD704">
        <w:rPr>
          <w:rFonts w:ascii="Arial" w:hAnsi="Arial" w:cs="Arial"/>
          <w:sz w:val="22"/>
          <w:szCs w:val="22"/>
        </w:rPr>
        <w:t xml:space="preserve"> are approximately </w:t>
      </w:r>
      <w:r w:rsidRPr="049DD704" w:rsidR="0809A4C1">
        <w:rPr>
          <w:rFonts w:ascii="Arial" w:hAnsi="Arial" w:cs="Arial"/>
          <w:sz w:val="22"/>
          <w:szCs w:val="22"/>
        </w:rPr>
        <w:t>23</w:t>
      </w:r>
      <w:r w:rsidRPr="049DD704">
        <w:rPr>
          <w:rFonts w:ascii="Arial" w:hAnsi="Arial" w:cs="Arial"/>
          <w:sz w:val="22"/>
          <w:szCs w:val="22"/>
        </w:rPr>
        <w:t>% of those for equivalent positions in the U.S.</w:t>
      </w:r>
    </w:p>
    <w:p w:rsidR="049DD704" w:rsidP="049DD704" w14:paraId="35296F04" w14:textId="48E8E68D">
      <w:pPr>
        <w:tabs>
          <w:tab w:val="left" w:pos="2340"/>
        </w:tabs>
        <w:contextualSpacing/>
        <w:rPr>
          <w:rFonts w:ascii="Arial" w:hAnsi="Arial" w:cs="Arial"/>
          <w:sz w:val="22"/>
          <w:szCs w:val="22"/>
        </w:rPr>
      </w:pPr>
    </w:p>
    <w:p w:rsidR="65A1090A" w:rsidP="049DD704" w14:paraId="765147A8" w14:textId="71367D7B">
      <w:pPr>
        <w:tabs>
          <w:tab w:val="left" w:pos="2340"/>
        </w:tabs>
        <w:contextualSpacing/>
        <w:rPr>
          <w:rFonts w:ascii="Arial" w:hAnsi="Arial" w:cs="Arial"/>
          <w:sz w:val="22"/>
          <w:szCs w:val="22"/>
        </w:rPr>
      </w:pPr>
      <w:r w:rsidRPr="049DD704">
        <w:rPr>
          <w:rFonts w:ascii="Arial" w:hAnsi="Arial" w:cs="Arial"/>
          <w:sz w:val="22"/>
          <w:szCs w:val="22"/>
        </w:rPr>
        <w:t xml:space="preserve">We calculated the </w:t>
      </w:r>
      <w:r w:rsidRPr="049DD704" w:rsidR="4095618D">
        <w:rPr>
          <w:rFonts w:ascii="Arial" w:hAnsi="Arial" w:cs="Arial"/>
          <w:sz w:val="22"/>
          <w:szCs w:val="22"/>
        </w:rPr>
        <w:t>Mexican</w:t>
      </w:r>
      <w:r w:rsidRPr="049DD704">
        <w:rPr>
          <w:rFonts w:ascii="Arial" w:hAnsi="Arial" w:cs="Arial"/>
          <w:sz w:val="22"/>
          <w:szCs w:val="22"/>
        </w:rPr>
        <w:t xml:space="preserve"> entity burden hours (including benefits) by applying the above percentages to the Bureau of Labor Statistics hourly rates for U.S. workers (including benefits), as follows: </w:t>
      </w:r>
    </w:p>
    <w:p w:rsidR="049DD704" w:rsidP="049DD704" w14:paraId="1DED21E2" w14:textId="011CD957">
      <w:pPr>
        <w:tabs>
          <w:tab w:val="left" w:pos="2340"/>
        </w:tabs>
        <w:contextualSpacing/>
        <w:rPr>
          <w:rFonts w:ascii="Arial" w:hAnsi="Arial" w:cs="Arial"/>
          <w:sz w:val="22"/>
          <w:szCs w:val="22"/>
        </w:rPr>
      </w:pPr>
    </w:p>
    <w:p w:rsidR="7958FA59" w:rsidP="049DD704" w14:paraId="218B12E3" w14:textId="2D30E883">
      <w:pPr>
        <w:pStyle w:val="ListParagraph"/>
        <w:numPr>
          <w:ilvl w:val="0"/>
          <w:numId w:val="1"/>
        </w:numPr>
        <w:tabs>
          <w:tab w:val="left" w:pos="2340"/>
        </w:tabs>
        <w:rPr>
          <w:rFonts w:ascii="Arial" w:hAnsi="Arial" w:cs="Arial"/>
          <w:sz w:val="22"/>
          <w:szCs w:val="22"/>
        </w:rPr>
      </w:pPr>
      <w:r w:rsidRPr="049DD704">
        <w:rPr>
          <w:rFonts w:ascii="Arial" w:hAnsi="Arial" w:cs="Arial"/>
          <w:sz w:val="22"/>
          <w:szCs w:val="22"/>
        </w:rPr>
        <w:t>Mexico</w:t>
      </w:r>
      <w:r w:rsidRPr="049DD704" w:rsidR="65A1090A">
        <w:rPr>
          <w:rFonts w:ascii="Arial" w:hAnsi="Arial" w:cs="Arial"/>
          <w:sz w:val="22"/>
          <w:szCs w:val="22"/>
        </w:rPr>
        <w:t xml:space="preserve"> – Private sector: </w:t>
      </w:r>
      <w:r w:rsidR="00E87F4B">
        <w:rPr>
          <w:rFonts w:ascii="Arial" w:hAnsi="Arial" w:cs="Arial"/>
          <w:sz w:val="22"/>
          <w:szCs w:val="22"/>
        </w:rPr>
        <w:t xml:space="preserve"> </w:t>
      </w:r>
      <w:r w:rsidRPr="049DD704" w:rsidR="65A1090A">
        <w:rPr>
          <w:rFonts w:ascii="Arial" w:hAnsi="Arial" w:cs="Arial"/>
          <w:sz w:val="22"/>
          <w:szCs w:val="22"/>
        </w:rPr>
        <w:t xml:space="preserve">$43.78 x </w:t>
      </w:r>
      <w:r w:rsidRPr="049DD704" w:rsidR="6B9DA90B">
        <w:rPr>
          <w:rFonts w:ascii="Arial" w:hAnsi="Arial" w:cs="Arial"/>
          <w:sz w:val="22"/>
          <w:szCs w:val="22"/>
        </w:rPr>
        <w:t>0.23 = $10.07</w:t>
      </w:r>
    </w:p>
    <w:p w:rsidR="58D92B4C" w:rsidP="049DD704" w14:paraId="16E59A13" w14:textId="4854A229">
      <w:pPr>
        <w:pStyle w:val="ListParagraph"/>
        <w:numPr>
          <w:ilvl w:val="0"/>
          <w:numId w:val="1"/>
        </w:numPr>
        <w:tabs>
          <w:tab w:val="left" w:pos="2340"/>
        </w:tabs>
        <w:rPr>
          <w:rFonts w:ascii="Arial" w:hAnsi="Arial" w:cs="Arial"/>
          <w:sz w:val="22"/>
          <w:szCs w:val="22"/>
        </w:rPr>
      </w:pPr>
      <w:r w:rsidRPr="049DD704">
        <w:rPr>
          <w:rFonts w:ascii="Arial" w:hAnsi="Arial" w:cs="Arial"/>
          <w:sz w:val="22"/>
          <w:szCs w:val="22"/>
        </w:rPr>
        <w:t>Mexico</w:t>
      </w:r>
      <w:r w:rsidRPr="049DD704" w:rsidR="65A1090A">
        <w:rPr>
          <w:rFonts w:ascii="Arial" w:hAnsi="Arial" w:cs="Arial"/>
          <w:sz w:val="22"/>
          <w:szCs w:val="22"/>
        </w:rPr>
        <w:t xml:space="preserve"> – Government: </w:t>
      </w:r>
      <w:r w:rsidR="00E87F4B">
        <w:rPr>
          <w:rFonts w:ascii="Arial" w:hAnsi="Arial" w:cs="Arial"/>
          <w:sz w:val="22"/>
          <w:szCs w:val="22"/>
        </w:rPr>
        <w:t xml:space="preserve"> </w:t>
      </w:r>
      <w:r w:rsidRPr="049DD704" w:rsidR="65A1090A">
        <w:rPr>
          <w:rFonts w:ascii="Arial" w:hAnsi="Arial" w:cs="Arial"/>
          <w:sz w:val="22"/>
          <w:szCs w:val="22"/>
        </w:rPr>
        <w:t>$61.27 x 0.</w:t>
      </w:r>
      <w:r w:rsidRPr="049DD704" w:rsidR="7C916971">
        <w:rPr>
          <w:rFonts w:ascii="Arial" w:hAnsi="Arial" w:cs="Arial"/>
          <w:sz w:val="22"/>
          <w:szCs w:val="22"/>
        </w:rPr>
        <w:t>23</w:t>
      </w:r>
      <w:r w:rsidRPr="049DD704" w:rsidR="65A1090A">
        <w:rPr>
          <w:rFonts w:ascii="Arial" w:hAnsi="Arial" w:cs="Arial"/>
          <w:sz w:val="22"/>
          <w:szCs w:val="22"/>
        </w:rPr>
        <w:t xml:space="preserve"> = $</w:t>
      </w:r>
      <w:r w:rsidRPr="049DD704" w:rsidR="4AD4395C">
        <w:rPr>
          <w:rFonts w:ascii="Arial" w:hAnsi="Arial" w:cs="Arial"/>
          <w:sz w:val="22"/>
          <w:szCs w:val="22"/>
        </w:rPr>
        <w:t>14.09</w:t>
      </w:r>
    </w:p>
    <w:p w:rsidR="049DD704" w:rsidP="009C1664" w14:paraId="673193D9" w14:textId="336E7DDC">
      <w:pPr>
        <w:tabs>
          <w:tab w:val="left" w:pos="2340"/>
        </w:tabs>
        <w:contextualSpacing/>
        <w:rPr>
          <w:rFonts w:ascii="Arial" w:hAnsi="Arial" w:cs="Arial"/>
          <w:sz w:val="22"/>
          <w:szCs w:val="22"/>
        </w:rPr>
      </w:pPr>
    </w:p>
    <w:p w:rsidR="06E83941" w:rsidP="049DD704" w14:paraId="0E057613" w14:textId="3F66D5F0">
      <w:pPr>
        <w:tabs>
          <w:tab w:val="left" w:pos="2340"/>
        </w:tabs>
        <w:contextualSpacing/>
        <w:rPr>
          <w:rFonts w:ascii="Arial" w:hAnsi="Arial" w:cs="Arial"/>
          <w:sz w:val="22"/>
          <w:szCs w:val="22"/>
        </w:rPr>
      </w:pPr>
      <w:r w:rsidRPr="049DD704">
        <w:rPr>
          <w:rFonts w:ascii="Arial" w:hAnsi="Arial" w:cs="Arial"/>
          <w:sz w:val="22"/>
          <w:szCs w:val="22"/>
        </w:rPr>
        <w:t>We will use the Mexican private sector worker hourly rate of $10.07 for academic, NGO, and private sector respondents</w:t>
      </w:r>
      <w:r w:rsidR="00542410">
        <w:rPr>
          <w:rFonts w:ascii="Arial" w:hAnsi="Arial" w:cs="Arial"/>
          <w:sz w:val="22"/>
          <w:szCs w:val="22"/>
        </w:rPr>
        <w:t>,</w:t>
      </w:r>
      <w:r w:rsidRPr="049DD704">
        <w:rPr>
          <w:rFonts w:ascii="Arial" w:hAnsi="Arial" w:cs="Arial"/>
          <w:sz w:val="22"/>
          <w:szCs w:val="22"/>
        </w:rPr>
        <w:t xml:space="preserve"> and the Mexican government worker hourly rate of $14.09 for State/local/Tribal and Federal respondents.</w:t>
      </w:r>
    </w:p>
    <w:p w:rsidR="049DD704" w:rsidP="049DD704" w14:paraId="52281EAA" w14:textId="793BD9AC">
      <w:pPr>
        <w:tabs>
          <w:tab w:val="left" w:pos="2340"/>
        </w:tabs>
        <w:contextualSpacing/>
        <w:rPr>
          <w:rFonts w:ascii="Arial" w:hAnsi="Arial" w:cs="Arial"/>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
      <w:tblGrid>
        <w:gridCol w:w="2456"/>
        <w:gridCol w:w="1112"/>
        <w:gridCol w:w="936"/>
        <w:gridCol w:w="936"/>
        <w:gridCol w:w="973"/>
        <w:gridCol w:w="917"/>
        <w:gridCol w:w="855"/>
        <w:gridCol w:w="1170"/>
      </w:tblGrid>
      <w:tr w14:paraId="3A33BB79" w14:textId="77777777" w:rsidTr="00381833">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Ex>
        <w:trPr>
          <w:trHeight w:val="230"/>
        </w:trPr>
        <w:tc>
          <w:tcPr>
            <w:tcW w:w="2456" w:type="dxa"/>
            <w:vMerge w:val="restart"/>
            <w:tcMar>
              <w:top w:w="15" w:type="dxa"/>
              <w:left w:w="15" w:type="dxa"/>
              <w:right w:w="15" w:type="dxa"/>
            </w:tcMar>
            <w:vAlign w:val="bottom"/>
          </w:tcPr>
          <w:p w:rsidR="049DD704" w:rsidP="009C1664" w14:paraId="5CBD87E5" w14:textId="5A0116B0">
            <w:pPr>
              <w:jc w:val="center"/>
            </w:pPr>
            <w:r w:rsidRPr="049DD704">
              <w:rPr>
                <w:rFonts w:ascii="Arial" w:eastAsia="Arial" w:hAnsi="Arial" w:cs="Arial"/>
                <w:b/>
                <w:bCs/>
                <w:color w:val="000000" w:themeColor="text1"/>
                <w:sz w:val="16"/>
                <w:szCs w:val="16"/>
              </w:rPr>
              <w:t>Requirement</w:t>
            </w:r>
          </w:p>
        </w:tc>
        <w:tc>
          <w:tcPr>
            <w:tcW w:w="1112" w:type="dxa"/>
            <w:vMerge w:val="restart"/>
            <w:tcMar>
              <w:top w:w="15" w:type="dxa"/>
              <w:left w:w="15" w:type="dxa"/>
              <w:right w:w="15" w:type="dxa"/>
            </w:tcMar>
            <w:vAlign w:val="bottom"/>
          </w:tcPr>
          <w:p w:rsidR="049DD704" w:rsidP="009C1664" w14:paraId="7F43C48A" w14:textId="6C9E46A8">
            <w:pPr>
              <w:jc w:val="center"/>
            </w:pPr>
            <w:r w:rsidRPr="049DD704">
              <w:rPr>
                <w:rFonts w:ascii="Arial" w:eastAsia="Arial" w:hAnsi="Arial" w:cs="Arial"/>
                <w:b/>
                <w:bCs/>
                <w:color w:val="000000" w:themeColor="text1"/>
                <w:sz w:val="16"/>
                <w:szCs w:val="16"/>
              </w:rPr>
              <w:t>Average Number of Annual Respondents</w:t>
            </w:r>
          </w:p>
        </w:tc>
        <w:tc>
          <w:tcPr>
            <w:tcW w:w="936" w:type="dxa"/>
            <w:vMerge w:val="restart"/>
            <w:tcMar>
              <w:top w:w="15" w:type="dxa"/>
              <w:left w:w="15" w:type="dxa"/>
              <w:right w:w="15" w:type="dxa"/>
            </w:tcMar>
            <w:vAlign w:val="bottom"/>
          </w:tcPr>
          <w:p w:rsidR="049DD704" w:rsidP="009C1664" w14:paraId="4CFA343C" w14:textId="455F7159">
            <w:pPr>
              <w:jc w:val="center"/>
            </w:pPr>
            <w:r w:rsidRPr="049DD704">
              <w:rPr>
                <w:rFonts w:ascii="Arial" w:eastAsia="Arial" w:hAnsi="Arial" w:cs="Arial"/>
                <w:b/>
                <w:bCs/>
                <w:color w:val="000000" w:themeColor="text1"/>
                <w:sz w:val="16"/>
                <w:szCs w:val="16"/>
              </w:rPr>
              <w:t>Average Number of Responses Each</w:t>
            </w:r>
          </w:p>
        </w:tc>
        <w:tc>
          <w:tcPr>
            <w:tcW w:w="936" w:type="dxa"/>
            <w:vMerge w:val="restart"/>
            <w:tcMar>
              <w:top w:w="15" w:type="dxa"/>
              <w:left w:w="15" w:type="dxa"/>
              <w:right w:w="15" w:type="dxa"/>
            </w:tcMar>
            <w:vAlign w:val="bottom"/>
          </w:tcPr>
          <w:p w:rsidR="049DD704" w:rsidP="009C1664" w14:paraId="5388B093" w14:textId="40A2A0A4">
            <w:pPr>
              <w:jc w:val="center"/>
            </w:pPr>
            <w:r w:rsidRPr="049DD704">
              <w:rPr>
                <w:rFonts w:ascii="Arial" w:eastAsia="Arial" w:hAnsi="Arial" w:cs="Arial"/>
                <w:b/>
                <w:bCs/>
                <w:color w:val="000000" w:themeColor="text1"/>
                <w:sz w:val="16"/>
                <w:szCs w:val="16"/>
              </w:rPr>
              <w:t>Average Number of Annual Responses</w:t>
            </w:r>
          </w:p>
        </w:tc>
        <w:tc>
          <w:tcPr>
            <w:tcW w:w="973" w:type="dxa"/>
            <w:vMerge w:val="restart"/>
            <w:tcMar>
              <w:top w:w="15" w:type="dxa"/>
              <w:left w:w="15" w:type="dxa"/>
              <w:right w:w="15" w:type="dxa"/>
            </w:tcMar>
            <w:vAlign w:val="bottom"/>
          </w:tcPr>
          <w:p w:rsidR="049DD704" w:rsidP="009C1664" w14:paraId="51128899" w14:textId="534C8EBE">
            <w:pPr>
              <w:jc w:val="center"/>
            </w:pPr>
            <w:r w:rsidRPr="049DD704">
              <w:rPr>
                <w:rFonts w:ascii="Arial" w:eastAsia="Arial" w:hAnsi="Arial" w:cs="Arial"/>
                <w:b/>
                <w:bCs/>
                <w:color w:val="000000" w:themeColor="text1"/>
                <w:sz w:val="16"/>
                <w:szCs w:val="16"/>
              </w:rPr>
              <w:t>Average Completion Time per Response (min)</w:t>
            </w:r>
          </w:p>
        </w:tc>
        <w:tc>
          <w:tcPr>
            <w:tcW w:w="917" w:type="dxa"/>
            <w:vMerge w:val="restart"/>
            <w:tcMar>
              <w:top w:w="15" w:type="dxa"/>
              <w:left w:w="15" w:type="dxa"/>
              <w:right w:w="15" w:type="dxa"/>
            </w:tcMar>
            <w:vAlign w:val="bottom"/>
          </w:tcPr>
          <w:p w:rsidR="049DD704" w:rsidP="009C1664" w14:paraId="7A138C6B" w14:textId="74B1F815">
            <w:pPr>
              <w:jc w:val="center"/>
            </w:pPr>
            <w:r w:rsidRPr="049DD704">
              <w:rPr>
                <w:rFonts w:ascii="Arial" w:eastAsia="Arial" w:hAnsi="Arial" w:cs="Arial"/>
                <w:b/>
                <w:bCs/>
                <w:color w:val="000000" w:themeColor="text1"/>
                <w:sz w:val="16"/>
                <w:szCs w:val="16"/>
              </w:rPr>
              <w:t>Estimated Annual  Burden Hours</w:t>
            </w:r>
            <w:r w:rsidR="00A37639">
              <w:rPr>
                <w:rFonts w:ascii="Arial" w:eastAsia="Arial" w:hAnsi="Arial" w:cs="Arial"/>
                <w:b/>
                <w:bCs/>
                <w:color w:val="000000" w:themeColor="text1"/>
                <w:sz w:val="16"/>
                <w:szCs w:val="16"/>
              </w:rPr>
              <w:t>*</w:t>
            </w:r>
          </w:p>
        </w:tc>
        <w:tc>
          <w:tcPr>
            <w:tcW w:w="855" w:type="dxa"/>
            <w:vMerge w:val="restart"/>
            <w:tcMar>
              <w:top w:w="15" w:type="dxa"/>
              <w:left w:w="15" w:type="dxa"/>
              <w:right w:w="15" w:type="dxa"/>
            </w:tcMar>
            <w:vAlign w:val="bottom"/>
          </w:tcPr>
          <w:p w:rsidR="049DD704" w:rsidP="009C1664" w14:paraId="1A0FB897" w14:textId="528C7A65">
            <w:pPr>
              <w:jc w:val="center"/>
            </w:pPr>
            <w:r w:rsidRPr="049DD704">
              <w:rPr>
                <w:rFonts w:ascii="Arial" w:eastAsia="Arial" w:hAnsi="Arial" w:cs="Arial"/>
                <w:b/>
                <w:bCs/>
                <w:color w:val="000000" w:themeColor="text1"/>
                <w:sz w:val="16"/>
                <w:szCs w:val="16"/>
              </w:rPr>
              <w:t>Hourly Rate (US Dollars)</w:t>
            </w:r>
          </w:p>
        </w:tc>
        <w:tc>
          <w:tcPr>
            <w:tcW w:w="1170" w:type="dxa"/>
            <w:vMerge w:val="restart"/>
            <w:tcMar>
              <w:top w:w="15" w:type="dxa"/>
              <w:left w:w="15" w:type="dxa"/>
              <w:right w:w="15" w:type="dxa"/>
            </w:tcMar>
            <w:vAlign w:val="bottom"/>
          </w:tcPr>
          <w:p w:rsidR="049DD704" w:rsidP="009C1664" w14:paraId="534736C2" w14:textId="1A484F8F">
            <w:pPr>
              <w:jc w:val="center"/>
            </w:pPr>
            <w:r w:rsidRPr="049DD704">
              <w:rPr>
                <w:rFonts w:ascii="Arial" w:eastAsia="Arial" w:hAnsi="Arial" w:cs="Arial"/>
                <w:b/>
                <w:bCs/>
                <w:color w:val="000000" w:themeColor="text1"/>
                <w:sz w:val="16"/>
                <w:szCs w:val="16"/>
              </w:rPr>
              <w:t>Value of Annual Burden Hours (US Dollars)</w:t>
            </w:r>
          </w:p>
        </w:tc>
      </w:tr>
      <w:tr w14:paraId="1FB3E67F" w14:textId="77777777" w:rsidTr="00381833">
        <w:tblPrEx>
          <w:tblW w:w="9355" w:type="dxa"/>
          <w:tblLayout w:type="fixed"/>
          <w:tblLook w:val="06A0"/>
        </w:tblPrEx>
        <w:trPr>
          <w:trHeight w:val="230"/>
        </w:trPr>
        <w:tc>
          <w:tcPr>
            <w:tcW w:w="2456" w:type="dxa"/>
            <w:vMerge/>
            <w:vAlign w:val="center"/>
          </w:tcPr>
          <w:p w:rsidR="003C021B" w14:paraId="62EA620D" w14:textId="77777777"/>
        </w:tc>
        <w:tc>
          <w:tcPr>
            <w:tcW w:w="1112" w:type="dxa"/>
            <w:vMerge/>
            <w:vAlign w:val="center"/>
          </w:tcPr>
          <w:p w:rsidR="003C021B" w14:paraId="194B8E00" w14:textId="77777777"/>
        </w:tc>
        <w:tc>
          <w:tcPr>
            <w:tcW w:w="936" w:type="dxa"/>
            <w:vMerge/>
            <w:vAlign w:val="center"/>
          </w:tcPr>
          <w:p w:rsidR="003C021B" w14:paraId="36157C14" w14:textId="77777777"/>
        </w:tc>
        <w:tc>
          <w:tcPr>
            <w:tcW w:w="936" w:type="dxa"/>
            <w:vMerge/>
            <w:vAlign w:val="center"/>
          </w:tcPr>
          <w:p w:rsidR="003C021B" w14:paraId="6A86723A" w14:textId="77777777"/>
        </w:tc>
        <w:tc>
          <w:tcPr>
            <w:tcW w:w="973" w:type="dxa"/>
            <w:vMerge/>
            <w:vAlign w:val="center"/>
          </w:tcPr>
          <w:p w:rsidR="003C021B" w14:paraId="2345F800" w14:textId="77777777"/>
        </w:tc>
        <w:tc>
          <w:tcPr>
            <w:tcW w:w="917" w:type="dxa"/>
            <w:vMerge/>
            <w:vAlign w:val="center"/>
          </w:tcPr>
          <w:p w:rsidR="003C021B" w14:paraId="514B9A73" w14:textId="77777777"/>
        </w:tc>
        <w:tc>
          <w:tcPr>
            <w:tcW w:w="855" w:type="dxa"/>
            <w:vMerge/>
            <w:vAlign w:val="center"/>
          </w:tcPr>
          <w:p w:rsidR="003C021B" w14:paraId="536A5533" w14:textId="77777777"/>
        </w:tc>
        <w:tc>
          <w:tcPr>
            <w:tcW w:w="1170" w:type="dxa"/>
            <w:vMerge/>
            <w:vAlign w:val="center"/>
          </w:tcPr>
          <w:p w:rsidR="003C021B" w14:paraId="1C71EF1B" w14:textId="77777777"/>
        </w:tc>
      </w:tr>
      <w:tr w14:paraId="0492FF43" w14:textId="77777777" w:rsidTr="00381833">
        <w:tblPrEx>
          <w:tblW w:w="9355" w:type="dxa"/>
          <w:tblLayout w:type="fixed"/>
          <w:tblLook w:val="06A0"/>
        </w:tblPrEx>
        <w:trPr>
          <w:trHeight w:val="230"/>
        </w:trPr>
        <w:tc>
          <w:tcPr>
            <w:tcW w:w="2456" w:type="dxa"/>
            <w:vMerge/>
            <w:vAlign w:val="center"/>
          </w:tcPr>
          <w:p w:rsidR="003C021B" w14:paraId="2EE40C20" w14:textId="77777777"/>
        </w:tc>
        <w:tc>
          <w:tcPr>
            <w:tcW w:w="1112" w:type="dxa"/>
            <w:vMerge/>
            <w:vAlign w:val="center"/>
          </w:tcPr>
          <w:p w:rsidR="003C021B" w14:paraId="7DBDE9CB" w14:textId="77777777"/>
        </w:tc>
        <w:tc>
          <w:tcPr>
            <w:tcW w:w="936" w:type="dxa"/>
            <w:vMerge/>
            <w:vAlign w:val="center"/>
          </w:tcPr>
          <w:p w:rsidR="003C021B" w14:paraId="688F2AD6" w14:textId="77777777"/>
        </w:tc>
        <w:tc>
          <w:tcPr>
            <w:tcW w:w="936" w:type="dxa"/>
            <w:vMerge/>
            <w:vAlign w:val="center"/>
          </w:tcPr>
          <w:p w:rsidR="003C021B" w14:paraId="6148856C" w14:textId="77777777"/>
        </w:tc>
        <w:tc>
          <w:tcPr>
            <w:tcW w:w="973" w:type="dxa"/>
            <w:vMerge/>
            <w:vAlign w:val="center"/>
          </w:tcPr>
          <w:p w:rsidR="003C021B" w14:paraId="4D9893B6" w14:textId="77777777"/>
        </w:tc>
        <w:tc>
          <w:tcPr>
            <w:tcW w:w="917" w:type="dxa"/>
            <w:vMerge/>
            <w:vAlign w:val="center"/>
          </w:tcPr>
          <w:p w:rsidR="003C021B" w14:paraId="35AE1B21" w14:textId="77777777"/>
        </w:tc>
        <w:tc>
          <w:tcPr>
            <w:tcW w:w="855" w:type="dxa"/>
            <w:vMerge/>
            <w:vAlign w:val="center"/>
          </w:tcPr>
          <w:p w:rsidR="003C021B" w14:paraId="6661D240" w14:textId="77777777"/>
        </w:tc>
        <w:tc>
          <w:tcPr>
            <w:tcW w:w="1170" w:type="dxa"/>
            <w:vMerge/>
            <w:vAlign w:val="center"/>
          </w:tcPr>
          <w:p w:rsidR="003C021B" w14:paraId="41282DD9" w14:textId="77777777"/>
        </w:tc>
      </w:tr>
      <w:tr w14:paraId="08729227" w14:textId="77777777" w:rsidTr="00381833">
        <w:tblPrEx>
          <w:tblW w:w="9355" w:type="dxa"/>
          <w:tblLayout w:type="fixed"/>
          <w:tblLook w:val="06A0"/>
        </w:tblPrEx>
        <w:trPr>
          <w:trHeight w:val="230"/>
        </w:trPr>
        <w:tc>
          <w:tcPr>
            <w:tcW w:w="2456" w:type="dxa"/>
            <w:vMerge/>
            <w:vAlign w:val="center"/>
          </w:tcPr>
          <w:p w:rsidR="003C021B" w14:paraId="1E5F129B" w14:textId="77777777"/>
        </w:tc>
        <w:tc>
          <w:tcPr>
            <w:tcW w:w="1112" w:type="dxa"/>
            <w:vMerge/>
            <w:vAlign w:val="center"/>
          </w:tcPr>
          <w:p w:rsidR="003C021B" w14:paraId="0CB85663" w14:textId="77777777"/>
        </w:tc>
        <w:tc>
          <w:tcPr>
            <w:tcW w:w="936" w:type="dxa"/>
            <w:vMerge/>
            <w:vAlign w:val="center"/>
          </w:tcPr>
          <w:p w:rsidR="003C021B" w14:paraId="4C822733" w14:textId="77777777"/>
        </w:tc>
        <w:tc>
          <w:tcPr>
            <w:tcW w:w="936" w:type="dxa"/>
            <w:vMerge/>
            <w:vAlign w:val="center"/>
          </w:tcPr>
          <w:p w:rsidR="003C021B" w14:paraId="01AFDFEB" w14:textId="77777777"/>
        </w:tc>
        <w:tc>
          <w:tcPr>
            <w:tcW w:w="973" w:type="dxa"/>
            <w:vMerge/>
            <w:vAlign w:val="center"/>
          </w:tcPr>
          <w:p w:rsidR="003C021B" w14:paraId="454ADBE5" w14:textId="77777777"/>
        </w:tc>
        <w:tc>
          <w:tcPr>
            <w:tcW w:w="917" w:type="dxa"/>
            <w:vMerge/>
            <w:vAlign w:val="center"/>
          </w:tcPr>
          <w:p w:rsidR="003C021B" w14:paraId="049D0726" w14:textId="77777777"/>
        </w:tc>
        <w:tc>
          <w:tcPr>
            <w:tcW w:w="855" w:type="dxa"/>
            <w:vMerge/>
            <w:vAlign w:val="center"/>
          </w:tcPr>
          <w:p w:rsidR="003C021B" w14:paraId="2F2D29B0" w14:textId="77777777"/>
        </w:tc>
        <w:tc>
          <w:tcPr>
            <w:tcW w:w="1170" w:type="dxa"/>
            <w:vMerge/>
            <w:vAlign w:val="center"/>
          </w:tcPr>
          <w:p w:rsidR="003C021B" w14:paraId="054DE81C" w14:textId="77777777"/>
        </w:tc>
      </w:tr>
      <w:tr w14:paraId="749DAAF1" w14:textId="77777777" w:rsidTr="00381833">
        <w:tblPrEx>
          <w:tblW w:w="9355" w:type="dxa"/>
          <w:tblLayout w:type="fixed"/>
          <w:tblLook w:val="06A0"/>
        </w:tblPrEx>
        <w:trPr>
          <w:trHeight w:val="20"/>
        </w:trPr>
        <w:tc>
          <w:tcPr>
            <w:tcW w:w="9355" w:type="dxa"/>
            <w:gridSpan w:val="8"/>
            <w:tcMar>
              <w:top w:w="15" w:type="dxa"/>
              <w:left w:w="15" w:type="dxa"/>
              <w:right w:w="15" w:type="dxa"/>
            </w:tcMar>
            <w:vAlign w:val="center"/>
          </w:tcPr>
          <w:p w:rsidR="049DD704" w:rsidP="049DD704" w14:paraId="40187639" w14:textId="7C818FDE">
            <w:r w:rsidRPr="049DD704">
              <w:rPr>
                <w:rFonts w:ascii="Arial" w:eastAsia="Arial" w:hAnsi="Arial" w:cs="Arial"/>
                <w:b/>
                <w:bCs/>
                <w:i/>
                <w:iCs/>
                <w:color w:val="000000" w:themeColor="text1"/>
                <w:sz w:val="16"/>
                <w:szCs w:val="16"/>
              </w:rPr>
              <w:t>Pollinator Conservation Social Network Analysis Survey</w:t>
            </w:r>
          </w:p>
        </w:tc>
      </w:tr>
      <w:tr w14:paraId="23F57805" w14:textId="77777777" w:rsidTr="00381833">
        <w:tblPrEx>
          <w:tblW w:w="9355" w:type="dxa"/>
          <w:tblLayout w:type="fixed"/>
          <w:tblLook w:val="06A0"/>
        </w:tblPrEx>
        <w:trPr>
          <w:trHeight w:val="20"/>
        </w:trPr>
        <w:tc>
          <w:tcPr>
            <w:tcW w:w="2456" w:type="dxa"/>
            <w:shd w:val="clear" w:color="auto" w:fill="D9D9D9" w:themeFill="background1" w:themeFillShade="D9"/>
            <w:tcMar>
              <w:top w:w="15" w:type="dxa"/>
              <w:left w:w="15" w:type="dxa"/>
              <w:right w:w="15" w:type="dxa"/>
            </w:tcMar>
            <w:vAlign w:val="center"/>
          </w:tcPr>
          <w:p w:rsidR="049DD704" w:rsidP="049DD704" w14:paraId="053A5F19" w14:textId="55AAE496">
            <w:r w:rsidRPr="049DD704">
              <w:rPr>
                <w:rFonts w:ascii="Arial" w:eastAsia="Arial" w:hAnsi="Arial" w:cs="Arial"/>
                <w:b/>
                <w:bCs/>
                <w:i/>
                <w:iCs/>
                <w:color w:val="000000" w:themeColor="text1"/>
                <w:sz w:val="16"/>
                <w:szCs w:val="16"/>
              </w:rPr>
              <w:t>United States Respondents</w:t>
            </w:r>
          </w:p>
        </w:tc>
        <w:tc>
          <w:tcPr>
            <w:tcW w:w="1112" w:type="dxa"/>
            <w:shd w:val="clear" w:color="auto" w:fill="D9D9D9" w:themeFill="background1" w:themeFillShade="D9"/>
            <w:tcMar>
              <w:top w:w="15" w:type="dxa"/>
              <w:left w:w="15" w:type="dxa"/>
              <w:right w:w="15" w:type="dxa"/>
            </w:tcMar>
            <w:vAlign w:val="bottom"/>
          </w:tcPr>
          <w:p w:rsidR="049DD704" w:rsidP="049DD704" w14:paraId="5657BDA1" w14:textId="46600511">
            <w:r w:rsidRPr="049DD704">
              <w:rPr>
                <w:rFonts w:ascii="Arial" w:eastAsia="Arial" w:hAnsi="Arial" w:cs="Arial"/>
                <w:color w:val="000000" w:themeColor="text1"/>
                <w:sz w:val="16"/>
                <w:szCs w:val="16"/>
              </w:rPr>
              <w:t xml:space="preserve"> </w:t>
            </w:r>
          </w:p>
        </w:tc>
        <w:tc>
          <w:tcPr>
            <w:tcW w:w="936" w:type="dxa"/>
            <w:shd w:val="clear" w:color="auto" w:fill="D9D9D9" w:themeFill="background1" w:themeFillShade="D9"/>
            <w:tcMar>
              <w:top w:w="15" w:type="dxa"/>
              <w:left w:w="15" w:type="dxa"/>
              <w:right w:w="15" w:type="dxa"/>
            </w:tcMar>
            <w:vAlign w:val="bottom"/>
          </w:tcPr>
          <w:p w:rsidR="049DD704" w:rsidP="049DD704" w14:paraId="4C94911F" w14:textId="0E494685">
            <w:r w:rsidRPr="049DD704">
              <w:rPr>
                <w:rFonts w:ascii="Arial" w:eastAsia="Arial" w:hAnsi="Arial" w:cs="Arial"/>
                <w:color w:val="000000" w:themeColor="text1"/>
                <w:sz w:val="16"/>
                <w:szCs w:val="16"/>
              </w:rPr>
              <w:t xml:space="preserve"> </w:t>
            </w:r>
          </w:p>
        </w:tc>
        <w:tc>
          <w:tcPr>
            <w:tcW w:w="936" w:type="dxa"/>
            <w:shd w:val="clear" w:color="auto" w:fill="D9D9D9" w:themeFill="background1" w:themeFillShade="D9"/>
            <w:tcMar>
              <w:top w:w="15" w:type="dxa"/>
              <w:left w:w="15" w:type="dxa"/>
              <w:right w:w="15" w:type="dxa"/>
            </w:tcMar>
            <w:vAlign w:val="bottom"/>
          </w:tcPr>
          <w:p w:rsidR="049DD704" w:rsidP="049DD704" w14:paraId="14BA1242" w14:textId="5011FAFF">
            <w:r w:rsidRPr="049DD704">
              <w:rPr>
                <w:rFonts w:ascii="Arial" w:eastAsia="Arial" w:hAnsi="Arial" w:cs="Arial"/>
                <w:color w:val="000000" w:themeColor="text1"/>
                <w:sz w:val="16"/>
                <w:szCs w:val="16"/>
              </w:rPr>
              <w:t xml:space="preserve"> </w:t>
            </w:r>
          </w:p>
        </w:tc>
        <w:tc>
          <w:tcPr>
            <w:tcW w:w="973" w:type="dxa"/>
            <w:shd w:val="clear" w:color="auto" w:fill="D9D9D9" w:themeFill="background1" w:themeFillShade="D9"/>
            <w:tcMar>
              <w:top w:w="15" w:type="dxa"/>
              <w:left w:w="15" w:type="dxa"/>
              <w:right w:w="15" w:type="dxa"/>
            </w:tcMar>
            <w:vAlign w:val="bottom"/>
          </w:tcPr>
          <w:p w:rsidR="049DD704" w:rsidP="049DD704" w14:paraId="08C6E9C6" w14:textId="1374DC97">
            <w:r w:rsidRPr="049DD704">
              <w:rPr>
                <w:rFonts w:ascii="Arial" w:eastAsia="Arial" w:hAnsi="Arial" w:cs="Arial"/>
                <w:color w:val="000000" w:themeColor="text1"/>
                <w:sz w:val="16"/>
                <w:szCs w:val="16"/>
              </w:rPr>
              <w:t xml:space="preserve"> </w:t>
            </w:r>
          </w:p>
        </w:tc>
        <w:tc>
          <w:tcPr>
            <w:tcW w:w="917" w:type="dxa"/>
            <w:shd w:val="clear" w:color="auto" w:fill="D9D9D9" w:themeFill="background1" w:themeFillShade="D9"/>
            <w:tcMar>
              <w:top w:w="15" w:type="dxa"/>
              <w:left w:w="15" w:type="dxa"/>
              <w:right w:w="15" w:type="dxa"/>
            </w:tcMar>
            <w:vAlign w:val="bottom"/>
          </w:tcPr>
          <w:p w:rsidR="049DD704" w:rsidP="049DD704" w14:paraId="0364C98B" w14:textId="6EDCC5D4">
            <w:r w:rsidRPr="049DD704">
              <w:rPr>
                <w:rFonts w:ascii="Arial" w:eastAsia="Arial" w:hAnsi="Arial" w:cs="Arial"/>
                <w:color w:val="000000" w:themeColor="text1"/>
                <w:sz w:val="16"/>
                <w:szCs w:val="16"/>
              </w:rPr>
              <w:t xml:space="preserve"> </w:t>
            </w:r>
          </w:p>
        </w:tc>
        <w:tc>
          <w:tcPr>
            <w:tcW w:w="855" w:type="dxa"/>
            <w:shd w:val="clear" w:color="auto" w:fill="D9D9D9" w:themeFill="background1" w:themeFillShade="D9"/>
            <w:tcMar>
              <w:top w:w="15" w:type="dxa"/>
              <w:left w:w="15" w:type="dxa"/>
              <w:right w:w="15" w:type="dxa"/>
            </w:tcMar>
            <w:vAlign w:val="bottom"/>
          </w:tcPr>
          <w:p w:rsidR="049DD704" w:rsidP="049DD704" w14:paraId="1949F2EF" w14:textId="0D861A68">
            <w:r w:rsidRPr="049DD704">
              <w:rPr>
                <w:rFonts w:ascii="Arial" w:eastAsia="Arial" w:hAnsi="Arial" w:cs="Arial"/>
                <w:color w:val="000000" w:themeColor="text1"/>
                <w:sz w:val="16"/>
                <w:szCs w:val="16"/>
              </w:rPr>
              <w:t xml:space="preserve"> </w:t>
            </w:r>
          </w:p>
        </w:tc>
        <w:tc>
          <w:tcPr>
            <w:tcW w:w="1170" w:type="dxa"/>
            <w:shd w:val="clear" w:color="auto" w:fill="D9D9D9" w:themeFill="background1" w:themeFillShade="D9"/>
            <w:tcMar>
              <w:top w:w="15" w:type="dxa"/>
              <w:left w:w="15" w:type="dxa"/>
              <w:right w:w="15" w:type="dxa"/>
            </w:tcMar>
            <w:vAlign w:val="bottom"/>
          </w:tcPr>
          <w:p w:rsidR="049DD704" w:rsidP="049DD704" w14:paraId="48FB3E91" w14:textId="117BCB95">
            <w:r w:rsidRPr="049DD704">
              <w:rPr>
                <w:rFonts w:ascii="Arial" w:eastAsia="Arial" w:hAnsi="Arial" w:cs="Arial"/>
                <w:color w:val="000000" w:themeColor="text1"/>
                <w:sz w:val="16"/>
                <w:szCs w:val="16"/>
              </w:rPr>
              <w:t xml:space="preserve"> </w:t>
            </w:r>
          </w:p>
        </w:tc>
      </w:tr>
      <w:tr w14:paraId="50A64F05" w14:textId="77777777" w:rsidTr="00381833">
        <w:tblPrEx>
          <w:tblW w:w="9355" w:type="dxa"/>
          <w:tblLayout w:type="fixed"/>
          <w:tblLook w:val="06A0"/>
        </w:tblPrEx>
        <w:trPr>
          <w:trHeight w:val="20"/>
        </w:trPr>
        <w:tc>
          <w:tcPr>
            <w:tcW w:w="2456" w:type="dxa"/>
            <w:tcMar>
              <w:top w:w="15" w:type="dxa"/>
              <w:left w:w="15" w:type="dxa"/>
              <w:right w:w="15" w:type="dxa"/>
            </w:tcMar>
            <w:vAlign w:val="center"/>
          </w:tcPr>
          <w:p w:rsidR="049DD704" w:rsidP="049DD704" w14:paraId="2494F28A" w14:textId="0F135949">
            <w:r w:rsidRPr="049DD704">
              <w:rPr>
                <w:rFonts w:ascii="Arial" w:eastAsia="Arial" w:hAnsi="Arial" w:cs="Arial"/>
                <w:color w:val="000000" w:themeColor="text1"/>
                <w:sz w:val="16"/>
                <w:szCs w:val="16"/>
              </w:rPr>
              <w:t xml:space="preserve">Private Sector </w:t>
            </w:r>
          </w:p>
        </w:tc>
        <w:tc>
          <w:tcPr>
            <w:tcW w:w="1112" w:type="dxa"/>
            <w:tcMar>
              <w:top w:w="15" w:type="dxa"/>
              <w:left w:w="15" w:type="dxa"/>
              <w:right w:w="15" w:type="dxa"/>
            </w:tcMar>
            <w:vAlign w:val="center"/>
          </w:tcPr>
          <w:p w:rsidR="049DD704" w:rsidP="009C1664" w14:paraId="073DF28F" w14:textId="15555C60">
            <w:pPr>
              <w:jc w:val="center"/>
            </w:pPr>
            <w:r w:rsidRPr="049DD704">
              <w:rPr>
                <w:rFonts w:ascii="Arial" w:eastAsia="Arial" w:hAnsi="Arial" w:cs="Arial"/>
                <w:color w:val="000000" w:themeColor="text1"/>
                <w:sz w:val="16"/>
                <w:szCs w:val="16"/>
              </w:rPr>
              <w:t>142</w:t>
            </w:r>
          </w:p>
        </w:tc>
        <w:tc>
          <w:tcPr>
            <w:tcW w:w="936" w:type="dxa"/>
            <w:tcMar>
              <w:top w:w="15" w:type="dxa"/>
              <w:left w:w="15" w:type="dxa"/>
              <w:right w:w="15" w:type="dxa"/>
            </w:tcMar>
            <w:vAlign w:val="center"/>
          </w:tcPr>
          <w:p w:rsidR="049DD704" w:rsidP="009C1664" w14:paraId="38BCCE61" w14:textId="7D0F167A">
            <w:pPr>
              <w:jc w:val="center"/>
            </w:pPr>
            <w:r w:rsidRPr="049DD704">
              <w:rPr>
                <w:rFonts w:ascii="Arial" w:eastAsia="Arial" w:hAnsi="Arial" w:cs="Arial"/>
                <w:color w:val="000000" w:themeColor="text1"/>
                <w:sz w:val="16"/>
                <w:szCs w:val="16"/>
              </w:rPr>
              <w:t>1</w:t>
            </w:r>
          </w:p>
        </w:tc>
        <w:tc>
          <w:tcPr>
            <w:tcW w:w="936" w:type="dxa"/>
            <w:tcMar>
              <w:top w:w="15" w:type="dxa"/>
              <w:left w:w="15" w:type="dxa"/>
              <w:right w:w="15" w:type="dxa"/>
            </w:tcMar>
            <w:vAlign w:val="center"/>
          </w:tcPr>
          <w:p w:rsidR="049DD704" w:rsidP="009C1664" w14:paraId="7A7B3EAE" w14:textId="38C3C2AE">
            <w:pPr>
              <w:jc w:val="center"/>
            </w:pPr>
            <w:r w:rsidRPr="049DD704">
              <w:rPr>
                <w:rFonts w:ascii="Arial" w:eastAsia="Arial" w:hAnsi="Arial" w:cs="Arial"/>
                <w:color w:val="000000" w:themeColor="text1"/>
                <w:sz w:val="16"/>
                <w:szCs w:val="16"/>
              </w:rPr>
              <w:t>142</w:t>
            </w:r>
          </w:p>
        </w:tc>
        <w:tc>
          <w:tcPr>
            <w:tcW w:w="973" w:type="dxa"/>
            <w:tcMar>
              <w:top w:w="15" w:type="dxa"/>
              <w:left w:w="15" w:type="dxa"/>
              <w:right w:w="15" w:type="dxa"/>
            </w:tcMar>
            <w:vAlign w:val="center"/>
          </w:tcPr>
          <w:p w:rsidR="049DD704" w:rsidP="009C1664" w14:paraId="783287B0" w14:textId="5E6FDBE4">
            <w:pPr>
              <w:jc w:val="center"/>
            </w:pPr>
            <w:r w:rsidRPr="049DD704">
              <w:rPr>
                <w:rFonts w:ascii="Arial" w:eastAsia="Arial" w:hAnsi="Arial" w:cs="Arial"/>
                <w:color w:val="000000" w:themeColor="text1"/>
                <w:sz w:val="16"/>
                <w:szCs w:val="16"/>
              </w:rPr>
              <w:t>20</w:t>
            </w:r>
          </w:p>
        </w:tc>
        <w:tc>
          <w:tcPr>
            <w:tcW w:w="917" w:type="dxa"/>
            <w:tcMar>
              <w:top w:w="15" w:type="dxa"/>
              <w:left w:w="15" w:type="dxa"/>
              <w:right w:w="15" w:type="dxa"/>
            </w:tcMar>
            <w:vAlign w:val="center"/>
          </w:tcPr>
          <w:p w:rsidR="049DD704" w:rsidP="009C1664" w14:paraId="47EF5DEB" w14:textId="3096392E">
            <w:pPr>
              <w:jc w:val="center"/>
            </w:pPr>
            <w:r w:rsidRPr="049DD704">
              <w:rPr>
                <w:rFonts w:ascii="Arial" w:eastAsia="Arial" w:hAnsi="Arial" w:cs="Arial"/>
                <w:color w:val="000000" w:themeColor="text1"/>
                <w:sz w:val="16"/>
                <w:szCs w:val="16"/>
              </w:rPr>
              <w:t>47</w:t>
            </w:r>
          </w:p>
        </w:tc>
        <w:tc>
          <w:tcPr>
            <w:tcW w:w="855" w:type="dxa"/>
            <w:tcMar>
              <w:top w:w="15" w:type="dxa"/>
              <w:left w:w="15" w:type="dxa"/>
              <w:right w:w="15" w:type="dxa"/>
            </w:tcMar>
            <w:vAlign w:val="center"/>
          </w:tcPr>
          <w:p w:rsidR="049DD704" w:rsidP="00381833" w14:paraId="2257D4C4" w14:textId="705EDB1D">
            <w:pPr>
              <w:ind w:right="43"/>
              <w:jc w:val="right"/>
            </w:pPr>
            <w:r w:rsidRPr="049DD704">
              <w:rPr>
                <w:rFonts w:ascii="Arial" w:eastAsia="Arial" w:hAnsi="Arial" w:cs="Arial"/>
                <w:color w:val="000000" w:themeColor="text1"/>
                <w:sz w:val="16"/>
                <w:szCs w:val="16"/>
              </w:rPr>
              <w:t xml:space="preserve"> $ 43.78 </w:t>
            </w:r>
          </w:p>
        </w:tc>
        <w:tc>
          <w:tcPr>
            <w:tcW w:w="1170" w:type="dxa"/>
            <w:tcMar>
              <w:top w:w="15" w:type="dxa"/>
              <w:left w:w="15" w:type="dxa"/>
              <w:right w:w="15" w:type="dxa"/>
            </w:tcMar>
            <w:vAlign w:val="center"/>
          </w:tcPr>
          <w:p w:rsidR="049DD704" w:rsidP="00381833" w14:paraId="7027CEBA" w14:textId="3A715721">
            <w:pPr>
              <w:ind w:right="43"/>
              <w:jc w:val="right"/>
            </w:pPr>
            <w:r w:rsidRPr="049DD704">
              <w:rPr>
                <w:rFonts w:ascii="Arial" w:eastAsia="Arial" w:hAnsi="Arial" w:cs="Arial"/>
                <w:color w:val="000000" w:themeColor="text1"/>
                <w:sz w:val="16"/>
                <w:szCs w:val="16"/>
              </w:rPr>
              <w:t xml:space="preserve"> $ 2,</w:t>
            </w:r>
            <w:r w:rsidR="00C82CD7">
              <w:rPr>
                <w:rFonts w:ascii="Arial" w:eastAsia="Arial" w:hAnsi="Arial" w:cs="Arial"/>
                <w:color w:val="000000" w:themeColor="text1"/>
                <w:sz w:val="16"/>
                <w:szCs w:val="16"/>
              </w:rPr>
              <w:t>057.66</w:t>
            </w:r>
            <w:r w:rsidRPr="049DD704">
              <w:rPr>
                <w:rFonts w:ascii="Arial" w:eastAsia="Arial" w:hAnsi="Arial" w:cs="Arial"/>
                <w:color w:val="000000" w:themeColor="text1"/>
                <w:sz w:val="16"/>
                <w:szCs w:val="16"/>
              </w:rPr>
              <w:t xml:space="preserve"> </w:t>
            </w:r>
          </w:p>
        </w:tc>
      </w:tr>
      <w:tr w14:paraId="245963AE" w14:textId="77777777" w:rsidTr="00381833">
        <w:tblPrEx>
          <w:tblW w:w="9355" w:type="dxa"/>
          <w:tblLayout w:type="fixed"/>
          <w:tblLook w:val="06A0"/>
        </w:tblPrEx>
        <w:trPr>
          <w:trHeight w:val="20"/>
        </w:trPr>
        <w:tc>
          <w:tcPr>
            <w:tcW w:w="2456" w:type="dxa"/>
            <w:tcMar>
              <w:top w:w="15" w:type="dxa"/>
              <w:left w:w="15" w:type="dxa"/>
              <w:right w:w="15" w:type="dxa"/>
            </w:tcMar>
            <w:vAlign w:val="center"/>
          </w:tcPr>
          <w:p w:rsidR="049DD704" w:rsidP="049DD704" w14:paraId="038B5636" w14:textId="1A5A3D98">
            <w:r w:rsidRPr="049DD704">
              <w:rPr>
                <w:rFonts w:ascii="Arial" w:eastAsia="Arial" w:hAnsi="Arial" w:cs="Arial"/>
                <w:color w:val="000000" w:themeColor="text1"/>
                <w:sz w:val="16"/>
                <w:szCs w:val="16"/>
              </w:rPr>
              <w:t xml:space="preserve">Government </w:t>
            </w:r>
            <w:r w:rsidR="008653A2">
              <w:rPr>
                <w:rFonts w:ascii="Arial" w:eastAsia="Arial" w:hAnsi="Arial" w:cs="Arial"/>
                <w:color w:val="000000" w:themeColor="text1"/>
                <w:sz w:val="16"/>
                <w:szCs w:val="16"/>
              </w:rPr>
              <w:t>–</w:t>
            </w:r>
            <w:r w:rsidRPr="049DD704">
              <w:rPr>
                <w:rFonts w:ascii="Arial" w:eastAsia="Arial" w:hAnsi="Arial" w:cs="Arial"/>
                <w:color w:val="000000" w:themeColor="text1"/>
                <w:sz w:val="16"/>
                <w:szCs w:val="16"/>
              </w:rPr>
              <w:t xml:space="preserve"> State/Local</w:t>
            </w:r>
            <w:r w:rsidR="008653A2">
              <w:rPr>
                <w:rFonts w:ascii="Arial" w:eastAsia="Arial" w:hAnsi="Arial" w:cs="Arial"/>
                <w:color w:val="000000" w:themeColor="text1"/>
                <w:sz w:val="16"/>
                <w:szCs w:val="16"/>
              </w:rPr>
              <w:t>/</w:t>
            </w:r>
            <w:r w:rsidRPr="049DD704">
              <w:rPr>
                <w:rFonts w:ascii="Arial" w:eastAsia="Arial" w:hAnsi="Arial" w:cs="Arial"/>
                <w:color w:val="000000" w:themeColor="text1"/>
                <w:sz w:val="16"/>
                <w:szCs w:val="16"/>
              </w:rPr>
              <w:t>Tribal</w:t>
            </w:r>
          </w:p>
        </w:tc>
        <w:tc>
          <w:tcPr>
            <w:tcW w:w="1112" w:type="dxa"/>
            <w:tcMar>
              <w:top w:w="15" w:type="dxa"/>
              <w:left w:w="15" w:type="dxa"/>
              <w:right w:w="15" w:type="dxa"/>
            </w:tcMar>
            <w:vAlign w:val="center"/>
          </w:tcPr>
          <w:p w:rsidR="049DD704" w:rsidP="009C1664" w14:paraId="17A4479D" w14:textId="78B3F86C">
            <w:pPr>
              <w:jc w:val="center"/>
            </w:pPr>
            <w:r w:rsidRPr="049DD704">
              <w:rPr>
                <w:rFonts w:ascii="Arial" w:eastAsia="Arial" w:hAnsi="Arial" w:cs="Arial"/>
                <w:color w:val="000000" w:themeColor="text1"/>
                <w:sz w:val="16"/>
                <w:szCs w:val="16"/>
              </w:rPr>
              <w:t>85</w:t>
            </w:r>
          </w:p>
        </w:tc>
        <w:tc>
          <w:tcPr>
            <w:tcW w:w="936" w:type="dxa"/>
            <w:tcMar>
              <w:top w:w="15" w:type="dxa"/>
              <w:left w:w="15" w:type="dxa"/>
              <w:right w:w="15" w:type="dxa"/>
            </w:tcMar>
            <w:vAlign w:val="center"/>
          </w:tcPr>
          <w:p w:rsidR="049DD704" w:rsidP="009C1664" w14:paraId="37291CEB" w14:textId="640284DA">
            <w:pPr>
              <w:jc w:val="center"/>
            </w:pPr>
            <w:r w:rsidRPr="049DD704">
              <w:rPr>
                <w:rFonts w:ascii="Arial" w:eastAsia="Arial" w:hAnsi="Arial" w:cs="Arial"/>
                <w:color w:val="000000" w:themeColor="text1"/>
                <w:sz w:val="16"/>
                <w:szCs w:val="16"/>
              </w:rPr>
              <w:t>1</w:t>
            </w:r>
          </w:p>
        </w:tc>
        <w:tc>
          <w:tcPr>
            <w:tcW w:w="936" w:type="dxa"/>
            <w:tcMar>
              <w:top w:w="15" w:type="dxa"/>
              <w:left w:w="15" w:type="dxa"/>
              <w:right w:w="15" w:type="dxa"/>
            </w:tcMar>
            <w:vAlign w:val="center"/>
          </w:tcPr>
          <w:p w:rsidR="049DD704" w:rsidP="009C1664" w14:paraId="72393CEF" w14:textId="09D76178">
            <w:pPr>
              <w:jc w:val="center"/>
            </w:pPr>
            <w:r w:rsidRPr="049DD704">
              <w:rPr>
                <w:rFonts w:ascii="Arial" w:eastAsia="Arial" w:hAnsi="Arial" w:cs="Arial"/>
                <w:color w:val="000000" w:themeColor="text1"/>
                <w:sz w:val="16"/>
                <w:szCs w:val="16"/>
              </w:rPr>
              <w:t>85</w:t>
            </w:r>
          </w:p>
        </w:tc>
        <w:tc>
          <w:tcPr>
            <w:tcW w:w="973" w:type="dxa"/>
            <w:tcMar>
              <w:top w:w="15" w:type="dxa"/>
              <w:left w:w="15" w:type="dxa"/>
              <w:right w:w="15" w:type="dxa"/>
            </w:tcMar>
            <w:vAlign w:val="center"/>
          </w:tcPr>
          <w:p w:rsidR="049DD704" w:rsidP="009C1664" w14:paraId="7FB229E5" w14:textId="5421E24B">
            <w:pPr>
              <w:jc w:val="center"/>
            </w:pPr>
            <w:r w:rsidRPr="049DD704">
              <w:rPr>
                <w:rFonts w:ascii="Arial" w:eastAsia="Arial" w:hAnsi="Arial" w:cs="Arial"/>
                <w:color w:val="000000" w:themeColor="text1"/>
                <w:sz w:val="16"/>
                <w:szCs w:val="16"/>
              </w:rPr>
              <w:t>20</w:t>
            </w:r>
          </w:p>
        </w:tc>
        <w:tc>
          <w:tcPr>
            <w:tcW w:w="917" w:type="dxa"/>
            <w:tcMar>
              <w:top w:w="15" w:type="dxa"/>
              <w:left w:w="15" w:type="dxa"/>
              <w:right w:w="15" w:type="dxa"/>
            </w:tcMar>
            <w:vAlign w:val="center"/>
          </w:tcPr>
          <w:p w:rsidR="049DD704" w:rsidP="009C1664" w14:paraId="5B9BB952" w14:textId="0E1C749A">
            <w:pPr>
              <w:jc w:val="center"/>
            </w:pPr>
            <w:r w:rsidRPr="049DD704">
              <w:rPr>
                <w:rFonts w:ascii="Arial" w:eastAsia="Arial" w:hAnsi="Arial" w:cs="Arial"/>
                <w:color w:val="000000" w:themeColor="text1"/>
                <w:sz w:val="16"/>
                <w:szCs w:val="16"/>
              </w:rPr>
              <w:t>28</w:t>
            </w:r>
          </w:p>
        </w:tc>
        <w:tc>
          <w:tcPr>
            <w:tcW w:w="855" w:type="dxa"/>
            <w:tcMar>
              <w:top w:w="15" w:type="dxa"/>
              <w:left w:w="15" w:type="dxa"/>
              <w:right w:w="15" w:type="dxa"/>
            </w:tcMar>
            <w:vAlign w:val="center"/>
          </w:tcPr>
          <w:p w:rsidR="049DD704" w:rsidP="00381833" w14:paraId="13C051ED" w14:textId="0FE6AEFA">
            <w:pPr>
              <w:ind w:right="43"/>
              <w:jc w:val="right"/>
            </w:pPr>
            <w:r w:rsidRPr="049DD704">
              <w:rPr>
                <w:rFonts w:ascii="Arial" w:eastAsia="Arial" w:hAnsi="Arial" w:cs="Arial"/>
                <w:color w:val="000000" w:themeColor="text1"/>
                <w:sz w:val="16"/>
                <w:szCs w:val="16"/>
              </w:rPr>
              <w:t xml:space="preserve"> 61.27 </w:t>
            </w:r>
          </w:p>
        </w:tc>
        <w:tc>
          <w:tcPr>
            <w:tcW w:w="1170" w:type="dxa"/>
            <w:tcMar>
              <w:top w:w="15" w:type="dxa"/>
              <w:left w:w="15" w:type="dxa"/>
              <w:right w:w="15" w:type="dxa"/>
            </w:tcMar>
            <w:vAlign w:val="center"/>
          </w:tcPr>
          <w:p w:rsidR="049DD704" w:rsidP="00381833" w14:paraId="5B1E71ED" w14:textId="657C16CF">
            <w:pPr>
              <w:ind w:right="43"/>
              <w:jc w:val="right"/>
            </w:pPr>
            <w:r w:rsidRPr="049DD704">
              <w:rPr>
                <w:rFonts w:ascii="Arial" w:eastAsia="Arial" w:hAnsi="Arial" w:cs="Arial"/>
                <w:color w:val="000000" w:themeColor="text1"/>
                <w:sz w:val="16"/>
                <w:szCs w:val="16"/>
              </w:rPr>
              <w:t xml:space="preserve"> 1,7</w:t>
            </w:r>
            <w:r w:rsidR="00C82CD7">
              <w:rPr>
                <w:rFonts w:ascii="Arial" w:eastAsia="Arial" w:hAnsi="Arial" w:cs="Arial"/>
                <w:color w:val="000000" w:themeColor="text1"/>
                <w:sz w:val="16"/>
                <w:szCs w:val="16"/>
              </w:rPr>
              <w:t>1</w:t>
            </w:r>
            <w:r w:rsidRPr="049DD704">
              <w:rPr>
                <w:rFonts w:ascii="Arial" w:eastAsia="Arial" w:hAnsi="Arial" w:cs="Arial"/>
                <w:color w:val="000000" w:themeColor="text1"/>
                <w:sz w:val="16"/>
                <w:szCs w:val="16"/>
              </w:rPr>
              <w:t>5.</w:t>
            </w:r>
            <w:r w:rsidR="00C82CD7">
              <w:rPr>
                <w:rFonts w:ascii="Arial" w:eastAsia="Arial" w:hAnsi="Arial" w:cs="Arial"/>
                <w:color w:val="000000" w:themeColor="text1"/>
                <w:sz w:val="16"/>
                <w:szCs w:val="16"/>
              </w:rPr>
              <w:t>57</w:t>
            </w:r>
            <w:r w:rsidRPr="049DD704">
              <w:rPr>
                <w:rFonts w:ascii="Arial" w:eastAsia="Arial" w:hAnsi="Arial" w:cs="Arial"/>
                <w:color w:val="000000" w:themeColor="text1"/>
                <w:sz w:val="16"/>
                <w:szCs w:val="16"/>
              </w:rPr>
              <w:t xml:space="preserve"> </w:t>
            </w:r>
          </w:p>
        </w:tc>
      </w:tr>
      <w:tr w14:paraId="52AF114C" w14:textId="77777777" w:rsidTr="00381833">
        <w:tblPrEx>
          <w:tblW w:w="9355" w:type="dxa"/>
          <w:tblLayout w:type="fixed"/>
          <w:tblLook w:val="06A0"/>
        </w:tblPrEx>
        <w:trPr>
          <w:trHeight w:val="20"/>
        </w:trPr>
        <w:tc>
          <w:tcPr>
            <w:tcW w:w="2456" w:type="dxa"/>
            <w:tcMar>
              <w:top w:w="15" w:type="dxa"/>
              <w:left w:w="15" w:type="dxa"/>
              <w:right w:w="15" w:type="dxa"/>
            </w:tcMar>
            <w:vAlign w:val="center"/>
          </w:tcPr>
          <w:p w:rsidR="049DD704" w:rsidP="049DD704" w14:paraId="2174768D" w14:textId="6A872A0C">
            <w:r w:rsidRPr="049DD704">
              <w:rPr>
                <w:rFonts w:ascii="Arial" w:eastAsia="Arial" w:hAnsi="Arial" w:cs="Arial"/>
                <w:color w:val="000000" w:themeColor="text1"/>
                <w:sz w:val="16"/>
                <w:szCs w:val="16"/>
              </w:rPr>
              <w:t xml:space="preserve">Government </w:t>
            </w:r>
            <w:r w:rsidR="008653A2">
              <w:rPr>
                <w:rFonts w:ascii="Arial" w:eastAsia="Arial" w:hAnsi="Arial" w:cs="Arial"/>
                <w:color w:val="000000" w:themeColor="text1"/>
                <w:sz w:val="16"/>
                <w:szCs w:val="16"/>
              </w:rPr>
              <w:t>–</w:t>
            </w:r>
            <w:r w:rsidRPr="049DD704">
              <w:rPr>
                <w:rFonts w:ascii="Arial" w:eastAsia="Arial" w:hAnsi="Arial" w:cs="Arial"/>
                <w:color w:val="000000" w:themeColor="text1"/>
                <w:sz w:val="16"/>
                <w:szCs w:val="16"/>
              </w:rPr>
              <w:t xml:space="preserve"> Federal</w:t>
            </w:r>
            <w:r w:rsidR="008653A2">
              <w:rPr>
                <w:rFonts w:ascii="Arial" w:eastAsia="Arial" w:hAnsi="Arial" w:cs="Arial"/>
                <w:color w:val="000000" w:themeColor="text1"/>
                <w:sz w:val="16"/>
                <w:szCs w:val="16"/>
              </w:rPr>
              <w:t>*</w:t>
            </w:r>
            <w:r w:rsidR="00A37639">
              <w:rPr>
                <w:rFonts w:ascii="Arial" w:eastAsia="Arial" w:hAnsi="Arial" w:cs="Arial"/>
                <w:color w:val="000000" w:themeColor="text1"/>
                <w:sz w:val="16"/>
                <w:szCs w:val="16"/>
              </w:rPr>
              <w:t>*</w:t>
            </w:r>
          </w:p>
        </w:tc>
        <w:tc>
          <w:tcPr>
            <w:tcW w:w="1112" w:type="dxa"/>
            <w:tcMar>
              <w:top w:w="15" w:type="dxa"/>
              <w:left w:w="15" w:type="dxa"/>
              <w:right w:w="15" w:type="dxa"/>
            </w:tcMar>
            <w:vAlign w:val="center"/>
          </w:tcPr>
          <w:p w:rsidR="049DD704" w:rsidP="009C1664" w14:paraId="396A4798" w14:textId="62D0A354">
            <w:pPr>
              <w:jc w:val="center"/>
              <w:rPr>
                <w:rFonts w:ascii="Arial" w:eastAsia="Arial" w:hAnsi="Arial" w:cs="Arial"/>
                <w:color w:val="000000" w:themeColor="text1"/>
                <w:sz w:val="16"/>
                <w:szCs w:val="16"/>
              </w:rPr>
            </w:pPr>
            <w:r w:rsidRPr="049DD704">
              <w:rPr>
                <w:rFonts w:ascii="Arial" w:eastAsia="Arial" w:hAnsi="Arial" w:cs="Arial"/>
                <w:color w:val="000000" w:themeColor="text1"/>
                <w:sz w:val="16"/>
                <w:szCs w:val="16"/>
              </w:rPr>
              <w:t>N/A</w:t>
            </w:r>
          </w:p>
        </w:tc>
        <w:tc>
          <w:tcPr>
            <w:tcW w:w="936" w:type="dxa"/>
            <w:tcMar>
              <w:top w:w="15" w:type="dxa"/>
              <w:left w:w="15" w:type="dxa"/>
              <w:right w:w="15" w:type="dxa"/>
            </w:tcMar>
            <w:vAlign w:val="center"/>
          </w:tcPr>
          <w:p w:rsidR="049DD704" w:rsidP="009C1664" w14:paraId="78D8108F" w14:textId="44127808">
            <w:pPr>
              <w:jc w:val="center"/>
            </w:pPr>
            <w:r w:rsidRPr="049DD704">
              <w:rPr>
                <w:rFonts w:ascii="Arial" w:eastAsia="Arial" w:hAnsi="Arial" w:cs="Arial"/>
                <w:color w:val="000000" w:themeColor="text1"/>
                <w:sz w:val="16"/>
                <w:szCs w:val="16"/>
              </w:rPr>
              <w:t>N/A</w:t>
            </w:r>
          </w:p>
        </w:tc>
        <w:tc>
          <w:tcPr>
            <w:tcW w:w="936" w:type="dxa"/>
            <w:tcMar>
              <w:top w:w="15" w:type="dxa"/>
              <w:left w:w="15" w:type="dxa"/>
              <w:right w:w="15" w:type="dxa"/>
            </w:tcMar>
            <w:vAlign w:val="center"/>
          </w:tcPr>
          <w:p w:rsidR="049DD704" w:rsidP="009C1664" w14:paraId="3697D71C" w14:textId="1B5E25CF">
            <w:pPr>
              <w:jc w:val="center"/>
              <w:rPr>
                <w:rFonts w:ascii="Arial" w:eastAsia="Arial" w:hAnsi="Arial" w:cs="Arial"/>
                <w:color w:val="000000" w:themeColor="text1"/>
                <w:sz w:val="16"/>
                <w:szCs w:val="16"/>
              </w:rPr>
            </w:pPr>
            <w:r w:rsidRPr="049DD704">
              <w:rPr>
                <w:rFonts w:ascii="Arial" w:eastAsia="Arial" w:hAnsi="Arial" w:cs="Arial"/>
                <w:color w:val="000000" w:themeColor="text1"/>
                <w:sz w:val="16"/>
                <w:szCs w:val="16"/>
              </w:rPr>
              <w:t>N/A</w:t>
            </w:r>
          </w:p>
        </w:tc>
        <w:tc>
          <w:tcPr>
            <w:tcW w:w="973" w:type="dxa"/>
            <w:tcMar>
              <w:top w:w="15" w:type="dxa"/>
              <w:left w:w="15" w:type="dxa"/>
              <w:right w:w="15" w:type="dxa"/>
            </w:tcMar>
            <w:vAlign w:val="center"/>
          </w:tcPr>
          <w:p w:rsidR="049DD704" w:rsidP="009C1664" w14:paraId="1EB14C2F" w14:textId="1F23B703">
            <w:pPr>
              <w:jc w:val="center"/>
            </w:pPr>
            <w:r w:rsidRPr="049DD704">
              <w:rPr>
                <w:rFonts w:ascii="Arial" w:eastAsia="Arial" w:hAnsi="Arial" w:cs="Arial"/>
                <w:color w:val="000000" w:themeColor="text1"/>
                <w:sz w:val="16"/>
                <w:szCs w:val="16"/>
              </w:rPr>
              <w:t>N/A</w:t>
            </w:r>
          </w:p>
        </w:tc>
        <w:tc>
          <w:tcPr>
            <w:tcW w:w="917" w:type="dxa"/>
            <w:tcMar>
              <w:top w:w="15" w:type="dxa"/>
              <w:left w:w="15" w:type="dxa"/>
              <w:right w:w="15" w:type="dxa"/>
            </w:tcMar>
            <w:vAlign w:val="center"/>
          </w:tcPr>
          <w:p w:rsidR="049DD704" w:rsidP="009C1664" w14:paraId="4F646615" w14:textId="6E84C822">
            <w:pPr>
              <w:jc w:val="center"/>
            </w:pPr>
            <w:r w:rsidRPr="049DD704">
              <w:rPr>
                <w:rFonts w:ascii="Arial" w:eastAsia="Arial" w:hAnsi="Arial" w:cs="Arial"/>
                <w:color w:val="000000" w:themeColor="text1"/>
                <w:sz w:val="16"/>
                <w:szCs w:val="16"/>
              </w:rPr>
              <w:t>N/A</w:t>
            </w:r>
          </w:p>
        </w:tc>
        <w:tc>
          <w:tcPr>
            <w:tcW w:w="855" w:type="dxa"/>
            <w:tcMar>
              <w:top w:w="15" w:type="dxa"/>
              <w:left w:w="15" w:type="dxa"/>
              <w:right w:w="15" w:type="dxa"/>
            </w:tcMar>
            <w:vAlign w:val="center"/>
          </w:tcPr>
          <w:p w:rsidR="049DD704" w:rsidP="00381833" w14:paraId="7DFE9858" w14:textId="0F7B8C8E">
            <w:pPr>
              <w:ind w:right="43"/>
              <w:jc w:val="center"/>
            </w:pPr>
            <w:r w:rsidRPr="049DD704">
              <w:rPr>
                <w:rFonts w:ascii="Arial" w:eastAsia="Arial" w:hAnsi="Arial" w:cs="Arial"/>
                <w:color w:val="000000" w:themeColor="text1"/>
                <w:sz w:val="16"/>
                <w:szCs w:val="16"/>
              </w:rPr>
              <w:t>N/A</w:t>
            </w:r>
          </w:p>
        </w:tc>
        <w:tc>
          <w:tcPr>
            <w:tcW w:w="1170" w:type="dxa"/>
            <w:tcMar>
              <w:top w:w="15" w:type="dxa"/>
              <w:left w:w="15" w:type="dxa"/>
              <w:right w:w="15" w:type="dxa"/>
            </w:tcMar>
            <w:vAlign w:val="center"/>
          </w:tcPr>
          <w:p w:rsidR="049DD704" w:rsidP="00381833" w14:paraId="3A599445" w14:textId="5373B914">
            <w:pPr>
              <w:ind w:right="43"/>
              <w:jc w:val="center"/>
            </w:pPr>
            <w:r w:rsidRPr="049DD704">
              <w:rPr>
                <w:rFonts w:ascii="Arial" w:eastAsia="Arial" w:hAnsi="Arial" w:cs="Arial"/>
                <w:color w:val="000000" w:themeColor="text1"/>
                <w:sz w:val="16"/>
                <w:szCs w:val="16"/>
              </w:rPr>
              <w:t>N/A</w:t>
            </w:r>
          </w:p>
        </w:tc>
      </w:tr>
      <w:tr w14:paraId="4258C269" w14:textId="77777777" w:rsidTr="00381833">
        <w:tblPrEx>
          <w:tblW w:w="9355" w:type="dxa"/>
          <w:tblLayout w:type="fixed"/>
          <w:tblLook w:val="06A0"/>
        </w:tblPrEx>
        <w:trPr>
          <w:trHeight w:val="20"/>
        </w:trPr>
        <w:tc>
          <w:tcPr>
            <w:tcW w:w="2456" w:type="dxa"/>
            <w:shd w:val="clear" w:color="auto" w:fill="D9D9D9" w:themeFill="background1" w:themeFillShade="D9"/>
            <w:tcMar>
              <w:top w:w="15" w:type="dxa"/>
              <w:left w:w="15" w:type="dxa"/>
              <w:right w:w="15" w:type="dxa"/>
            </w:tcMar>
            <w:vAlign w:val="center"/>
          </w:tcPr>
          <w:p w:rsidR="049DD704" w:rsidP="049DD704" w14:paraId="6B67398A" w14:textId="42963D6F">
            <w:r w:rsidRPr="049DD704">
              <w:rPr>
                <w:rFonts w:ascii="Arial" w:eastAsia="Arial" w:hAnsi="Arial" w:cs="Arial"/>
                <w:b/>
                <w:bCs/>
                <w:i/>
                <w:iCs/>
                <w:color w:val="000000" w:themeColor="text1"/>
                <w:sz w:val="16"/>
                <w:szCs w:val="16"/>
              </w:rPr>
              <w:t>Canadian Respondents</w:t>
            </w:r>
          </w:p>
        </w:tc>
        <w:tc>
          <w:tcPr>
            <w:tcW w:w="1112" w:type="dxa"/>
            <w:shd w:val="clear" w:color="auto" w:fill="D9D9D9" w:themeFill="background1" w:themeFillShade="D9"/>
            <w:tcMar>
              <w:top w:w="15" w:type="dxa"/>
              <w:left w:w="15" w:type="dxa"/>
              <w:right w:w="15" w:type="dxa"/>
            </w:tcMar>
          </w:tcPr>
          <w:p w:rsidR="049DD704" w:rsidP="049DD704" w14:paraId="77D5783F" w14:textId="488234FF">
            <w:pPr>
              <w:rPr>
                <w:rFonts w:ascii="Arial" w:eastAsia="Arial" w:hAnsi="Arial" w:cs="Arial"/>
                <w:color w:val="000000" w:themeColor="text1"/>
                <w:sz w:val="16"/>
                <w:szCs w:val="16"/>
                <w:u w:val="single"/>
              </w:rPr>
            </w:pPr>
          </w:p>
        </w:tc>
        <w:tc>
          <w:tcPr>
            <w:tcW w:w="936" w:type="dxa"/>
            <w:shd w:val="clear" w:color="auto" w:fill="D9D9D9" w:themeFill="background1" w:themeFillShade="D9"/>
            <w:tcMar>
              <w:top w:w="15" w:type="dxa"/>
              <w:left w:w="15" w:type="dxa"/>
              <w:right w:w="15" w:type="dxa"/>
            </w:tcMar>
          </w:tcPr>
          <w:p w:rsidR="049DD704" w:rsidP="049DD704" w14:paraId="3953AE46" w14:textId="6506DD00">
            <w:r w:rsidRPr="049DD704">
              <w:rPr>
                <w:rFonts w:ascii="Arial" w:eastAsia="Arial" w:hAnsi="Arial" w:cs="Arial"/>
                <w:color w:val="000000" w:themeColor="text1"/>
                <w:sz w:val="16"/>
                <w:szCs w:val="16"/>
              </w:rPr>
              <w:t xml:space="preserve"> </w:t>
            </w:r>
          </w:p>
        </w:tc>
        <w:tc>
          <w:tcPr>
            <w:tcW w:w="936" w:type="dxa"/>
            <w:shd w:val="clear" w:color="auto" w:fill="D9D9D9" w:themeFill="background1" w:themeFillShade="D9"/>
            <w:tcMar>
              <w:top w:w="15" w:type="dxa"/>
              <w:left w:w="15" w:type="dxa"/>
              <w:right w:w="15" w:type="dxa"/>
            </w:tcMar>
          </w:tcPr>
          <w:p w:rsidR="049DD704" w:rsidP="049DD704" w14:paraId="3B236AA4" w14:textId="7AB33354">
            <w:pPr>
              <w:rPr>
                <w:rFonts w:ascii="Arial" w:eastAsia="Arial" w:hAnsi="Arial" w:cs="Arial"/>
                <w:color w:val="000000" w:themeColor="text1"/>
                <w:sz w:val="16"/>
                <w:szCs w:val="16"/>
                <w:u w:val="single"/>
              </w:rPr>
            </w:pPr>
          </w:p>
        </w:tc>
        <w:tc>
          <w:tcPr>
            <w:tcW w:w="973" w:type="dxa"/>
            <w:shd w:val="clear" w:color="auto" w:fill="D9D9D9" w:themeFill="background1" w:themeFillShade="D9"/>
            <w:tcMar>
              <w:top w:w="15" w:type="dxa"/>
              <w:left w:w="15" w:type="dxa"/>
              <w:right w:w="15" w:type="dxa"/>
            </w:tcMar>
          </w:tcPr>
          <w:p w:rsidR="049DD704" w:rsidP="049DD704" w14:paraId="2188EF8B" w14:textId="79991691">
            <w:r w:rsidRPr="049DD704">
              <w:rPr>
                <w:rFonts w:ascii="Arial" w:eastAsia="Arial" w:hAnsi="Arial" w:cs="Arial"/>
                <w:color w:val="000000" w:themeColor="text1"/>
                <w:sz w:val="16"/>
                <w:szCs w:val="16"/>
              </w:rPr>
              <w:t xml:space="preserve"> </w:t>
            </w:r>
          </w:p>
        </w:tc>
        <w:tc>
          <w:tcPr>
            <w:tcW w:w="917" w:type="dxa"/>
            <w:shd w:val="clear" w:color="auto" w:fill="D9D9D9" w:themeFill="background1" w:themeFillShade="D9"/>
            <w:tcMar>
              <w:top w:w="15" w:type="dxa"/>
              <w:left w:w="15" w:type="dxa"/>
              <w:right w:w="15" w:type="dxa"/>
            </w:tcMar>
          </w:tcPr>
          <w:p w:rsidR="049DD704" w:rsidP="049DD704" w14:paraId="2CA83868" w14:textId="7B4D8DAA">
            <w:r w:rsidRPr="049DD704">
              <w:rPr>
                <w:rFonts w:ascii="Arial" w:eastAsia="Arial" w:hAnsi="Arial" w:cs="Arial"/>
                <w:color w:val="000000" w:themeColor="text1"/>
                <w:sz w:val="16"/>
                <w:szCs w:val="16"/>
              </w:rPr>
              <w:t xml:space="preserve"> </w:t>
            </w:r>
          </w:p>
        </w:tc>
        <w:tc>
          <w:tcPr>
            <w:tcW w:w="855" w:type="dxa"/>
            <w:shd w:val="clear" w:color="auto" w:fill="D9D9D9" w:themeFill="background1" w:themeFillShade="D9"/>
            <w:tcMar>
              <w:top w:w="15" w:type="dxa"/>
              <w:left w:w="15" w:type="dxa"/>
              <w:right w:w="15" w:type="dxa"/>
            </w:tcMar>
          </w:tcPr>
          <w:p w:rsidR="049DD704" w:rsidP="049DD704" w14:paraId="4F664EF7" w14:textId="64CE596C">
            <w:r w:rsidRPr="049DD704">
              <w:rPr>
                <w:rFonts w:ascii="Arial" w:eastAsia="Arial" w:hAnsi="Arial" w:cs="Arial"/>
                <w:color w:val="000000" w:themeColor="text1"/>
                <w:sz w:val="16"/>
                <w:szCs w:val="16"/>
              </w:rPr>
              <w:t xml:space="preserve"> </w:t>
            </w:r>
          </w:p>
        </w:tc>
        <w:tc>
          <w:tcPr>
            <w:tcW w:w="1170" w:type="dxa"/>
            <w:shd w:val="clear" w:color="auto" w:fill="D9D9D9" w:themeFill="background1" w:themeFillShade="D9"/>
            <w:tcMar>
              <w:top w:w="15" w:type="dxa"/>
              <w:left w:w="15" w:type="dxa"/>
              <w:right w:w="15" w:type="dxa"/>
            </w:tcMar>
          </w:tcPr>
          <w:p w:rsidR="049DD704" w:rsidP="049DD704" w14:paraId="0C9ED795" w14:textId="656C1C99">
            <w:r w:rsidRPr="049DD704">
              <w:rPr>
                <w:rFonts w:ascii="Arial" w:eastAsia="Arial" w:hAnsi="Arial" w:cs="Arial"/>
                <w:color w:val="000000" w:themeColor="text1"/>
                <w:sz w:val="16"/>
                <w:szCs w:val="16"/>
              </w:rPr>
              <w:t xml:space="preserve"> </w:t>
            </w:r>
          </w:p>
        </w:tc>
      </w:tr>
      <w:tr w14:paraId="7B7C7CD7" w14:textId="77777777" w:rsidTr="00381833">
        <w:tblPrEx>
          <w:tblW w:w="9355" w:type="dxa"/>
          <w:tblLayout w:type="fixed"/>
          <w:tblLook w:val="06A0"/>
        </w:tblPrEx>
        <w:trPr>
          <w:trHeight w:val="20"/>
        </w:trPr>
        <w:tc>
          <w:tcPr>
            <w:tcW w:w="2456" w:type="dxa"/>
            <w:tcMar>
              <w:top w:w="15" w:type="dxa"/>
              <w:left w:w="15" w:type="dxa"/>
              <w:right w:w="15" w:type="dxa"/>
            </w:tcMar>
            <w:vAlign w:val="center"/>
          </w:tcPr>
          <w:p w:rsidR="00C82CD7" w:rsidP="00C82CD7" w14:paraId="6FFB9A4C" w14:textId="20D78A30">
            <w:r w:rsidRPr="049DD704">
              <w:rPr>
                <w:rFonts w:ascii="Arial" w:eastAsia="Arial" w:hAnsi="Arial" w:cs="Arial"/>
                <w:color w:val="000000" w:themeColor="text1"/>
                <w:sz w:val="16"/>
                <w:szCs w:val="16"/>
              </w:rPr>
              <w:t xml:space="preserve">Private Sector </w:t>
            </w:r>
          </w:p>
        </w:tc>
        <w:tc>
          <w:tcPr>
            <w:tcW w:w="1112" w:type="dxa"/>
            <w:tcMar>
              <w:top w:w="15" w:type="dxa"/>
              <w:left w:w="15" w:type="dxa"/>
              <w:right w:w="15" w:type="dxa"/>
            </w:tcMar>
            <w:vAlign w:val="center"/>
          </w:tcPr>
          <w:p w:rsidR="00C82CD7" w:rsidP="00C82CD7" w14:paraId="721C462C" w14:textId="6C9318EE">
            <w:pPr>
              <w:jc w:val="center"/>
            </w:pPr>
            <w:r w:rsidRPr="049DD704">
              <w:rPr>
                <w:rFonts w:ascii="Arial" w:eastAsia="Arial" w:hAnsi="Arial" w:cs="Arial"/>
                <w:color w:val="000000" w:themeColor="text1"/>
                <w:sz w:val="18"/>
                <w:szCs w:val="18"/>
              </w:rPr>
              <w:t>9</w:t>
            </w:r>
          </w:p>
        </w:tc>
        <w:tc>
          <w:tcPr>
            <w:tcW w:w="936" w:type="dxa"/>
            <w:tcMar>
              <w:top w:w="15" w:type="dxa"/>
              <w:left w:w="15" w:type="dxa"/>
              <w:right w:w="15" w:type="dxa"/>
            </w:tcMar>
            <w:vAlign w:val="center"/>
          </w:tcPr>
          <w:p w:rsidR="00C82CD7" w:rsidP="00C82CD7" w14:paraId="52E1FD7D" w14:textId="1B0CFC52">
            <w:pPr>
              <w:jc w:val="center"/>
            </w:pPr>
            <w:r w:rsidRPr="049DD704">
              <w:rPr>
                <w:rFonts w:ascii="Arial" w:eastAsia="Arial" w:hAnsi="Arial" w:cs="Arial"/>
                <w:color w:val="000000" w:themeColor="text1"/>
                <w:sz w:val="16"/>
                <w:szCs w:val="16"/>
              </w:rPr>
              <w:t>1</w:t>
            </w:r>
          </w:p>
        </w:tc>
        <w:tc>
          <w:tcPr>
            <w:tcW w:w="936" w:type="dxa"/>
            <w:tcMar>
              <w:top w:w="15" w:type="dxa"/>
              <w:left w:w="15" w:type="dxa"/>
              <w:right w:w="15" w:type="dxa"/>
            </w:tcMar>
            <w:vAlign w:val="center"/>
          </w:tcPr>
          <w:p w:rsidR="00C82CD7" w:rsidP="00C82CD7" w14:paraId="74543F69" w14:textId="180BC421">
            <w:pPr>
              <w:jc w:val="center"/>
            </w:pPr>
            <w:r w:rsidRPr="049DD704">
              <w:rPr>
                <w:rFonts w:ascii="Arial" w:eastAsia="Arial" w:hAnsi="Arial" w:cs="Arial"/>
                <w:color w:val="000000" w:themeColor="text1"/>
                <w:sz w:val="16"/>
                <w:szCs w:val="16"/>
              </w:rPr>
              <w:t>9</w:t>
            </w:r>
          </w:p>
        </w:tc>
        <w:tc>
          <w:tcPr>
            <w:tcW w:w="973" w:type="dxa"/>
            <w:tcMar>
              <w:top w:w="15" w:type="dxa"/>
              <w:left w:w="15" w:type="dxa"/>
              <w:right w:w="15" w:type="dxa"/>
            </w:tcMar>
            <w:vAlign w:val="center"/>
          </w:tcPr>
          <w:p w:rsidR="00C82CD7" w:rsidP="00C82CD7" w14:paraId="685DE368" w14:textId="2E018DF3">
            <w:pPr>
              <w:jc w:val="center"/>
            </w:pPr>
            <w:r w:rsidRPr="049DD704">
              <w:rPr>
                <w:rFonts w:ascii="Arial" w:eastAsia="Arial" w:hAnsi="Arial" w:cs="Arial"/>
                <w:color w:val="000000" w:themeColor="text1"/>
                <w:sz w:val="16"/>
                <w:szCs w:val="16"/>
              </w:rPr>
              <w:t>20</w:t>
            </w:r>
          </w:p>
        </w:tc>
        <w:tc>
          <w:tcPr>
            <w:tcW w:w="917" w:type="dxa"/>
            <w:tcMar>
              <w:top w:w="15" w:type="dxa"/>
              <w:left w:w="15" w:type="dxa"/>
              <w:right w:w="15" w:type="dxa"/>
            </w:tcMar>
            <w:vAlign w:val="center"/>
          </w:tcPr>
          <w:p w:rsidR="00C82CD7" w:rsidP="00C82CD7" w14:paraId="2434381C" w14:textId="714D37C7">
            <w:pPr>
              <w:jc w:val="center"/>
            </w:pPr>
            <w:r w:rsidRPr="049DD704">
              <w:rPr>
                <w:rFonts w:ascii="Arial" w:eastAsia="Arial" w:hAnsi="Arial" w:cs="Arial"/>
                <w:color w:val="000000" w:themeColor="text1"/>
                <w:sz w:val="16"/>
                <w:szCs w:val="16"/>
              </w:rPr>
              <w:t>3</w:t>
            </w:r>
          </w:p>
        </w:tc>
        <w:tc>
          <w:tcPr>
            <w:tcW w:w="855" w:type="dxa"/>
            <w:tcMar>
              <w:top w:w="15" w:type="dxa"/>
              <w:left w:w="15" w:type="dxa"/>
              <w:right w:w="15" w:type="dxa"/>
            </w:tcMar>
            <w:vAlign w:val="center"/>
          </w:tcPr>
          <w:p w:rsidR="00C82CD7" w:rsidP="00C82CD7" w14:paraId="6627724E" w14:textId="3A063DF3">
            <w:pPr>
              <w:ind w:right="43"/>
              <w:jc w:val="right"/>
            </w:pPr>
            <w:r w:rsidRPr="049DD704">
              <w:rPr>
                <w:rFonts w:ascii="Arial" w:eastAsia="Arial" w:hAnsi="Arial" w:cs="Arial"/>
                <w:color w:val="000000" w:themeColor="text1"/>
                <w:sz w:val="16"/>
                <w:szCs w:val="16"/>
              </w:rPr>
              <w:t xml:space="preserve"> $ 39.40</w:t>
            </w:r>
          </w:p>
        </w:tc>
        <w:tc>
          <w:tcPr>
            <w:tcW w:w="1170" w:type="dxa"/>
            <w:tcMar>
              <w:top w:w="15" w:type="dxa"/>
              <w:left w:w="15" w:type="dxa"/>
              <w:right w:w="15" w:type="dxa"/>
            </w:tcMar>
            <w:vAlign w:val="center"/>
          </w:tcPr>
          <w:p w:rsidR="00C82CD7" w:rsidP="00C82CD7" w14:paraId="1BBAA4ED" w14:textId="57A4CDE5">
            <w:pPr>
              <w:ind w:right="43"/>
              <w:jc w:val="right"/>
            </w:pPr>
            <w:r>
              <w:rPr>
                <w:rFonts w:ascii="Arial" w:hAnsi="Arial" w:cs="Arial"/>
                <w:color w:val="000000"/>
                <w:sz w:val="16"/>
                <w:szCs w:val="16"/>
              </w:rPr>
              <w:t xml:space="preserve">$118.20 </w:t>
            </w:r>
          </w:p>
        </w:tc>
      </w:tr>
      <w:tr w14:paraId="0B47AD65" w14:textId="77777777" w:rsidTr="00381833">
        <w:tblPrEx>
          <w:tblW w:w="9355" w:type="dxa"/>
          <w:tblLayout w:type="fixed"/>
          <w:tblLook w:val="06A0"/>
        </w:tblPrEx>
        <w:trPr>
          <w:trHeight w:val="20"/>
        </w:trPr>
        <w:tc>
          <w:tcPr>
            <w:tcW w:w="2456" w:type="dxa"/>
            <w:tcMar>
              <w:top w:w="15" w:type="dxa"/>
              <w:left w:w="15" w:type="dxa"/>
              <w:right w:w="15" w:type="dxa"/>
            </w:tcMar>
            <w:vAlign w:val="center"/>
          </w:tcPr>
          <w:p w:rsidR="00C82CD7" w:rsidP="00C82CD7" w14:paraId="079A36C2" w14:textId="0545A76F">
            <w:r w:rsidRPr="049DD704">
              <w:rPr>
                <w:rFonts w:ascii="Arial" w:eastAsia="Arial" w:hAnsi="Arial" w:cs="Arial"/>
                <w:color w:val="000000" w:themeColor="text1"/>
                <w:sz w:val="16"/>
                <w:szCs w:val="16"/>
              </w:rPr>
              <w:t xml:space="preserve">Government </w:t>
            </w:r>
            <w:r>
              <w:rPr>
                <w:rFonts w:ascii="Arial" w:eastAsia="Arial" w:hAnsi="Arial" w:cs="Arial"/>
                <w:color w:val="000000" w:themeColor="text1"/>
                <w:sz w:val="16"/>
                <w:szCs w:val="16"/>
              </w:rPr>
              <w:t>–</w:t>
            </w:r>
            <w:r w:rsidRPr="049DD704">
              <w:rPr>
                <w:rFonts w:ascii="Arial" w:eastAsia="Arial" w:hAnsi="Arial" w:cs="Arial"/>
                <w:color w:val="000000" w:themeColor="text1"/>
                <w:sz w:val="16"/>
                <w:szCs w:val="16"/>
              </w:rPr>
              <w:t xml:space="preserve"> </w:t>
            </w:r>
            <w:r w:rsidRPr="049DD704">
              <w:rPr>
                <w:rFonts w:ascii="Arial" w:eastAsia="Arial" w:hAnsi="Arial" w:cs="Arial"/>
                <w:color w:val="000000" w:themeColor="text1"/>
                <w:sz w:val="16"/>
                <w:szCs w:val="16"/>
              </w:rPr>
              <w:t>State/Local</w:t>
            </w:r>
            <w:r>
              <w:rPr>
                <w:rFonts w:ascii="Arial" w:eastAsia="Arial" w:hAnsi="Arial" w:cs="Arial"/>
                <w:color w:val="000000" w:themeColor="text1"/>
                <w:sz w:val="16"/>
                <w:szCs w:val="16"/>
              </w:rPr>
              <w:t>/</w:t>
            </w:r>
            <w:r w:rsidRPr="049DD704">
              <w:rPr>
                <w:rFonts w:ascii="Arial" w:eastAsia="Arial" w:hAnsi="Arial" w:cs="Arial"/>
                <w:color w:val="000000" w:themeColor="text1"/>
                <w:sz w:val="16"/>
                <w:szCs w:val="16"/>
              </w:rPr>
              <w:t>Tribal</w:t>
            </w:r>
          </w:p>
        </w:tc>
        <w:tc>
          <w:tcPr>
            <w:tcW w:w="1112" w:type="dxa"/>
            <w:tcMar>
              <w:top w:w="15" w:type="dxa"/>
              <w:left w:w="15" w:type="dxa"/>
              <w:right w:w="15" w:type="dxa"/>
            </w:tcMar>
            <w:vAlign w:val="center"/>
          </w:tcPr>
          <w:p w:rsidR="00C82CD7" w:rsidP="00C82CD7" w14:paraId="617D0240" w14:textId="79E64163">
            <w:pPr>
              <w:jc w:val="center"/>
            </w:pPr>
            <w:r w:rsidRPr="049DD704">
              <w:rPr>
                <w:rFonts w:ascii="Arial" w:eastAsia="Arial" w:hAnsi="Arial" w:cs="Arial"/>
                <w:color w:val="000000" w:themeColor="text1"/>
                <w:sz w:val="18"/>
                <w:szCs w:val="18"/>
              </w:rPr>
              <w:t>5</w:t>
            </w:r>
          </w:p>
        </w:tc>
        <w:tc>
          <w:tcPr>
            <w:tcW w:w="936" w:type="dxa"/>
            <w:tcMar>
              <w:top w:w="15" w:type="dxa"/>
              <w:left w:w="15" w:type="dxa"/>
              <w:right w:w="15" w:type="dxa"/>
            </w:tcMar>
            <w:vAlign w:val="center"/>
          </w:tcPr>
          <w:p w:rsidR="00C82CD7" w:rsidP="00C82CD7" w14:paraId="518A42C8" w14:textId="18EA754B">
            <w:pPr>
              <w:jc w:val="center"/>
            </w:pPr>
            <w:r w:rsidRPr="049DD704">
              <w:rPr>
                <w:rFonts w:ascii="Arial" w:eastAsia="Arial" w:hAnsi="Arial" w:cs="Arial"/>
                <w:color w:val="000000" w:themeColor="text1"/>
                <w:sz w:val="16"/>
                <w:szCs w:val="16"/>
              </w:rPr>
              <w:t>1</w:t>
            </w:r>
          </w:p>
        </w:tc>
        <w:tc>
          <w:tcPr>
            <w:tcW w:w="936" w:type="dxa"/>
            <w:tcMar>
              <w:top w:w="15" w:type="dxa"/>
              <w:left w:w="15" w:type="dxa"/>
              <w:right w:w="15" w:type="dxa"/>
            </w:tcMar>
            <w:vAlign w:val="center"/>
          </w:tcPr>
          <w:p w:rsidR="00C82CD7" w:rsidP="00C82CD7" w14:paraId="7A672C57" w14:textId="1F377A81">
            <w:pPr>
              <w:jc w:val="center"/>
            </w:pPr>
            <w:r w:rsidRPr="049DD704">
              <w:rPr>
                <w:rFonts w:ascii="Arial" w:eastAsia="Arial" w:hAnsi="Arial" w:cs="Arial"/>
                <w:color w:val="000000" w:themeColor="text1"/>
                <w:sz w:val="16"/>
                <w:szCs w:val="16"/>
              </w:rPr>
              <w:t>5</w:t>
            </w:r>
          </w:p>
        </w:tc>
        <w:tc>
          <w:tcPr>
            <w:tcW w:w="973" w:type="dxa"/>
            <w:tcMar>
              <w:top w:w="15" w:type="dxa"/>
              <w:left w:w="15" w:type="dxa"/>
              <w:right w:w="15" w:type="dxa"/>
            </w:tcMar>
            <w:vAlign w:val="center"/>
          </w:tcPr>
          <w:p w:rsidR="00C82CD7" w:rsidP="00C82CD7" w14:paraId="7EA7D1C0" w14:textId="6DBA0FE9">
            <w:pPr>
              <w:jc w:val="center"/>
            </w:pPr>
            <w:r w:rsidRPr="049DD704">
              <w:rPr>
                <w:rFonts w:ascii="Arial" w:eastAsia="Arial" w:hAnsi="Arial" w:cs="Arial"/>
                <w:color w:val="000000" w:themeColor="text1"/>
                <w:sz w:val="16"/>
                <w:szCs w:val="16"/>
              </w:rPr>
              <w:t>20</w:t>
            </w:r>
          </w:p>
        </w:tc>
        <w:tc>
          <w:tcPr>
            <w:tcW w:w="917" w:type="dxa"/>
            <w:tcMar>
              <w:top w:w="15" w:type="dxa"/>
              <w:left w:w="15" w:type="dxa"/>
              <w:right w:w="15" w:type="dxa"/>
            </w:tcMar>
            <w:vAlign w:val="center"/>
          </w:tcPr>
          <w:p w:rsidR="00C82CD7" w:rsidP="00C82CD7" w14:paraId="5DF3A9B1" w14:textId="524C72F5">
            <w:pPr>
              <w:jc w:val="center"/>
            </w:pPr>
            <w:r>
              <w:rPr>
                <w:rFonts w:ascii="Arial" w:eastAsia="Arial" w:hAnsi="Arial" w:cs="Arial"/>
                <w:color w:val="000000" w:themeColor="text1"/>
                <w:sz w:val="16"/>
                <w:szCs w:val="16"/>
              </w:rPr>
              <w:t>2</w:t>
            </w:r>
          </w:p>
        </w:tc>
        <w:tc>
          <w:tcPr>
            <w:tcW w:w="855" w:type="dxa"/>
            <w:tcMar>
              <w:top w:w="15" w:type="dxa"/>
              <w:left w:w="15" w:type="dxa"/>
              <w:right w:w="15" w:type="dxa"/>
            </w:tcMar>
            <w:vAlign w:val="center"/>
          </w:tcPr>
          <w:p w:rsidR="00C82CD7" w:rsidP="00C82CD7" w14:paraId="313C9133" w14:textId="1C83658D">
            <w:pPr>
              <w:ind w:right="43"/>
              <w:jc w:val="right"/>
            </w:pPr>
            <w:r w:rsidRPr="049DD704">
              <w:rPr>
                <w:rFonts w:ascii="Arial" w:eastAsia="Arial" w:hAnsi="Arial" w:cs="Arial"/>
                <w:color w:val="000000" w:themeColor="text1"/>
                <w:sz w:val="16"/>
                <w:szCs w:val="16"/>
              </w:rPr>
              <w:t xml:space="preserve"> 55.14</w:t>
            </w:r>
          </w:p>
        </w:tc>
        <w:tc>
          <w:tcPr>
            <w:tcW w:w="1170" w:type="dxa"/>
            <w:tcMar>
              <w:top w:w="15" w:type="dxa"/>
              <w:left w:w="15" w:type="dxa"/>
              <w:right w:w="15" w:type="dxa"/>
            </w:tcMar>
            <w:vAlign w:val="center"/>
          </w:tcPr>
          <w:p w:rsidR="00C82CD7" w:rsidP="00C82CD7" w14:paraId="42965F88" w14:textId="6B61AC4A">
            <w:pPr>
              <w:ind w:right="43"/>
              <w:jc w:val="right"/>
            </w:pPr>
            <w:r>
              <w:rPr>
                <w:rFonts w:ascii="Arial" w:hAnsi="Arial" w:cs="Arial"/>
                <w:color w:val="000000"/>
                <w:sz w:val="16"/>
                <w:szCs w:val="16"/>
              </w:rPr>
              <w:t>110.28</w:t>
            </w:r>
          </w:p>
        </w:tc>
      </w:tr>
      <w:tr w14:paraId="0949FFF3" w14:textId="77777777" w:rsidTr="00381833">
        <w:tblPrEx>
          <w:tblW w:w="9355" w:type="dxa"/>
          <w:tblLayout w:type="fixed"/>
          <w:tblLook w:val="06A0"/>
        </w:tblPrEx>
        <w:trPr>
          <w:trHeight w:val="20"/>
        </w:trPr>
        <w:tc>
          <w:tcPr>
            <w:tcW w:w="2456" w:type="dxa"/>
            <w:tcMar>
              <w:top w:w="15" w:type="dxa"/>
              <w:left w:w="15" w:type="dxa"/>
              <w:right w:w="15" w:type="dxa"/>
            </w:tcMar>
            <w:vAlign w:val="center"/>
          </w:tcPr>
          <w:p w:rsidR="00C82CD7" w:rsidP="00C82CD7" w14:paraId="45C41199" w14:textId="4AD4FF42">
            <w:r w:rsidRPr="049DD704">
              <w:rPr>
                <w:rFonts w:ascii="Arial" w:eastAsia="Arial" w:hAnsi="Arial" w:cs="Arial"/>
                <w:color w:val="000000" w:themeColor="text1"/>
                <w:sz w:val="16"/>
                <w:szCs w:val="16"/>
              </w:rPr>
              <w:t xml:space="preserve">Government </w:t>
            </w:r>
            <w:r>
              <w:rPr>
                <w:rFonts w:ascii="Arial" w:eastAsia="Arial" w:hAnsi="Arial" w:cs="Arial"/>
                <w:color w:val="000000" w:themeColor="text1"/>
                <w:sz w:val="16"/>
                <w:szCs w:val="16"/>
              </w:rPr>
              <w:t>–</w:t>
            </w:r>
            <w:r w:rsidRPr="049DD704">
              <w:rPr>
                <w:rFonts w:ascii="Arial" w:eastAsia="Arial" w:hAnsi="Arial" w:cs="Arial"/>
                <w:color w:val="000000" w:themeColor="text1"/>
                <w:sz w:val="16"/>
                <w:szCs w:val="16"/>
              </w:rPr>
              <w:t xml:space="preserve"> Federal</w:t>
            </w:r>
          </w:p>
        </w:tc>
        <w:tc>
          <w:tcPr>
            <w:tcW w:w="1112" w:type="dxa"/>
            <w:tcMar>
              <w:top w:w="15" w:type="dxa"/>
              <w:left w:w="15" w:type="dxa"/>
              <w:right w:w="15" w:type="dxa"/>
            </w:tcMar>
            <w:vAlign w:val="center"/>
          </w:tcPr>
          <w:p w:rsidR="00C82CD7" w:rsidP="00C82CD7" w14:paraId="0328773C" w14:textId="18F6A811">
            <w:pPr>
              <w:jc w:val="center"/>
            </w:pPr>
            <w:r w:rsidRPr="049DD704">
              <w:rPr>
                <w:rFonts w:ascii="Arial" w:eastAsia="Arial" w:hAnsi="Arial" w:cs="Arial"/>
                <w:color w:val="000000" w:themeColor="text1"/>
                <w:sz w:val="18"/>
                <w:szCs w:val="18"/>
              </w:rPr>
              <w:t>5</w:t>
            </w:r>
          </w:p>
        </w:tc>
        <w:tc>
          <w:tcPr>
            <w:tcW w:w="936" w:type="dxa"/>
            <w:tcMar>
              <w:top w:w="15" w:type="dxa"/>
              <w:left w:w="15" w:type="dxa"/>
              <w:right w:w="15" w:type="dxa"/>
            </w:tcMar>
            <w:vAlign w:val="center"/>
          </w:tcPr>
          <w:p w:rsidR="00C82CD7" w:rsidP="00C82CD7" w14:paraId="0946DACF" w14:textId="767E4B1D">
            <w:pPr>
              <w:jc w:val="center"/>
            </w:pPr>
            <w:r w:rsidRPr="049DD704">
              <w:rPr>
                <w:rFonts w:ascii="Arial" w:eastAsia="Arial" w:hAnsi="Arial" w:cs="Arial"/>
                <w:color w:val="000000" w:themeColor="text1"/>
                <w:sz w:val="16"/>
                <w:szCs w:val="16"/>
              </w:rPr>
              <w:t>1</w:t>
            </w:r>
          </w:p>
        </w:tc>
        <w:tc>
          <w:tcPr>
            <w:tcW w:w="936" w:type="dxa"/>
            <w:tcMar>
              <w:top w:w="15" w:type="dxa"/>
              <w:left w:w="15" w:type="dxa"/>
              <w:right w:w="15" w:type="dxa"/>
            </w:tcMar>
            <w:vAlign w:val="center"/>
          </w:tcPr>
          <w:p w:rsidR="00C82CD7" w:rsidP="00C82CD7" w14:paraId="16C57C3D" w14:textId="1D2CA70C">
            <w:pPr>
              <w:jc w:val="center"/>
            </w:pPr>
            <w:r w:rsidRPr="049DD704">
              <w:rPr>
                <w:rFonts w:ascii="Arial" w:eastAsia="Arial" w:hAnsi="Arial" w:cs="Arial"/>
                <w:color w:val="000000" w:themeColor="text1"/>
                <w:sz w:val="16"/>
                <w:szCs w:val="16"/>
              </w:rPr>
              <w:t>5</w:t>
            </w:r>
          </w:p>
        </w:tc>
        <w:tc>
          <w:tcPr>
            <w:tcW w:w="973" w:type="dxa"/>
            <w:tcMar>
              <w:top w:w="15" w:type="dxa"/>
              <w:left w:w="15" w:type="dxa"/>
              <w:right w:w="15" w:type="dxa"/>
            </w:tcMar>
            <w:vAlign w:val="center"/>
          </w:tcPr>
          <w:p w:rsidR="00C82CD7" w:rsidP="00C82CD7" w14:paraId="5DC59BD0" w14:textId="1E195C95">
            <w:pPr>
              <w:jc w:val="center"/>
            </w:pPr>
            <w:r w:rsidRPr="049DD704">
              <w:rPr>
                <w:rFonts w:ascii="Arial" w:eastAsia="Arial" w:hAnsi="Arial" w:cs="Arial"/>
                <w:color w:val="000000" w:themeColor="text1"/>
                <w:sz w:val="16"/>
                <w:szCs w:val="16"/>
              </w:rPr>
              <w:t>20</w:t>
            </w:r>
          </w:p>
        </w:tc>
        <w:tc>
          <w:tcPr>
            <w:tcW w:w="917" w:type="dxa"/>
            <w:tcMar>
              <w:top w:w="15" w:type="dxa"/>
              <w:left w:w="15" w:type="dxa"/>
              <w:right w:w="15" w:type="dxa"/>
            </w:tcMar>
            <w:vAlign w:val="center"/>
          </w:tcPr>
          <w:p w:rsidR="00C82CD7" w:rsidP="00C82CD7" w14:paraId="36CBC452" w14:textId="72A72EAF">
            <w:pPr>
              <w:jc w:val="center"/>
            </w:pPr>
            <w:r>
              <w:rPr>
                <w:rFonts w:ascii="Arial" w:eastAsia="Arial" w:hAnsi="Arial" w:cs="Arial"/>
                <w:color w:val="000000" w:themeColor="text1"/>
                <w:sz w:val="16"/>
                <w:szCs w:val="16"/>
              </w:rPr>
              <w:t>2</w:t>
            </w:r>
          </w:p>
        </w:tc>
        <w:tc>
          <w:tcPr>
            <w:tcW w:w="855" w:type="dxa"/>
            <w:tcMar>
              <w:top w:w="15" w:type="dxa"/>
              <w:left w:w="15" w:type="dxa"/>
              <w:right w:w="15" w:type="dxa"/>
            </w:tcMar>
            <w:vAlign w:val="center"/>
          </w:tcPr>
          <w:p w:rsidR="00C82CD7" w:rsidP="00C82CD7" w14:paraId="57D76CAD" w14:textId="77DB96A1">
            <w:pPr>
              <w:ind w:right="43"/>
              <w:jc w:val="right"/>
            </w:pPr>
            <w:r w:rsidRPr="049DD704">
              <w:rPr>
                <w:rFonts w:ascii="Arial" w:eastAsia="Arial" w:hAnsi="Arial" w:cs="Arial"/>
                <w:color w:val="000000" w:themeColor="text1"/>
                <w:sz w:val="16"/>
                <w:szCs w:val="16"/>
              </w:rPr>
              <w:t xml:space="preserve"> 55.14</w:t>
            </w:r>
          </w:p>
        </w:tc>
        <w:tc>
          <w:tcPr>
            <w:tcW w:w="1170" w:type="dxa"/>
            <w:tcMar>
              <w:top w:w="15" w:type="dxa"/>
              <w:left w:w="15" w:type="dxa"/>
              <w:right w:w="15" w:type="dxa"/>
            </w:tcMar>
            <w:vAlign w:val="center"/>
          </w:tcPr>
          <w:p w:rsidR="00C82CD7" w:rsidP="00C82CD7" w14:paraId="637BE9CE" w14:textId="44A77305">
            <w:pPr>
              <w:ind w:right="43"/>
              <w:jc w:val="right"/>
            </w:pPr>
            <w:r>
              <w:rPr>
                <w:rFonts w:ascii="Arial" w:hAnsi="Arial" w:cs="Arial"/>
                <w:color w:val="000000"/>
                <w:sz w:val="16"/>
                <w:szCs w:val="16"/>
              </w:rPr>
              <w:t>110.28</w:t>
            </w:r>
          </w:p>
        </w:tc>
      </w:tr>
      <w:tr w14:paraId="5BB551B3" w14:textId="77777777" w:rsidTr="00381833">
        <w:tblPrEx>
          <w:tblW w:w="9355" w:type="dxa"/>
          <w:tblLayout w:type="fixed"/>
          <w:tblLook w:val="06A0"/>
        </w:tblPrEx>
        <w:trPr>
          <w:trHeight w:val="20"/>
        </w:trPr>
        <w:tc>
          <w:tcPr>
            <w:tcW w:w="2456" w:type="dxa"/>
            <w:shd w:val="clear" w:color="auto" w:fill="D9D9D9" w:themeFill="background1" w:themeFillShade="D9"/>
            <w:tcMar>
              <w:top w:w="15" w:type="dxa"/>
              <w:left w:w="15" w:type="dxa"/>
              <w:right w:w="15" w:type="dxa"/>
            </w:tcMar>
            <w:vAlign w:val="center"/>
          </w:tcPr>
          <w:p w:rsidR="049DD704" w:rsidP="049DD704" w14:paraId="0F13095C" w14:textId="4FE26DBA">
            <w:r w:rsidRPr="049DD704">
              <w:rPr>
                <w:rFonts w:ascii="Arial" w:eastAsia="Arial" w:hAnsi="Arial" w:cs="Arial"/>
                <w:b/>
                <w:bCs/>
                <w:i/>
                <w:iCs/>
                <w:color w:val="000000" w:themeColor="text1"/>
                <w:sz w:val="16"/>
                <w:szCs w:val="16"/>
              </w:rPr>
              <w:t xml:space="preserve">Mexican Respondents </w:t>
            </w:r>
          </w:p>
        </w:tc>
        <w:tc>
          <w:tcPr>
            <w:tcW w:w="1112" w:type="dxa"/>
            <w:shd w:val="clear" w:color="auto" w:fill="D9D9D9" w:themeFill="background1" w:themeFillShade="D9"/>
            <w:tcMar>
              <w:top w:w="15" w:type="dxa"/>
              <w:left w:w="15" w:type="dxa"/>
              <w:right w:w="15" w:type="dxa"/>
            </w:tcMar>
          </w:tcPr>
          <w:p w:rsidR="049DD704" w:rsidP="049DD704" w14:paraId="16DB5D4F" w14:textId="31A805B7">
            <w:pPr>
              <w:rPr>
                <w:rFonts w:ascii="Arial" w:eastAsia="Arial" w:hAnsi="Arial" w:cs="Arial"/>
                <w:color w:val="000000" w:themeColor="text1"/>
                <w:sz w:val="16"/>
                <w:szCs w:val="16"/>
                <w:u w:val="single"/>
              </w:rPr>
            </w:pPr>
          </w:p>
        </w:tc>
        <w:tc>
          <w:tcPr>
            <w:tcW w:w="936" w:type="dxa"/>
            <w:shd w:val="clear" w:color="auto" w:fill="D9D9D9" w:themeFill="background1" w:themeFillShade="D9"/>
            <w:tcMar>
              <w:top w:w="15" w:type="dxa"/>
              <w:left w:w="15" w:type="dxa"/>
              <w:right w:w="15" w:type="dxa"/>
            </w:tcMar>
          </w:tcPr>
          <w:p w:rsidR="049DD704" w:rsidP="049DD704" w14:paraId="4697AB39" w14:textId="01C3D2C3">
            <w:r w:rsidRPr="049DD704">
              <w:rPr>
                <w:rFonts w:ascii="Arial" w:eastAsia="Arial" w:hAnsi="Arial" w:cs="Arial"/>
                <w:color w:val="000000" w:themeColor="text1"/>
                <w:sz w:val="16"/>
                <w:szCs w:val="16"/>
              </w:rPr>
              <w:t xml:space="preserve"> </w:t>
            </w:r>
          </w:p>
        </w:tc>
        <w:tc>
          <w:tcPr>
            <w:tcW w:w="936" w:type="dxa"/>
            <w:shd w:val="clear" w:color="auto" w:fill="D9D9D9" w:themeFill="background1" w:themeFillShade="D9"/>
            <w:tcMar>
              <w:top w:w="15" w:type="dxa"/>
              <w:left w:w="15" w:type="dxa"/>
              <w:right w:w="15" w:type="dxa"/>
            </w:tcMar>
          </w:tcPr>
          <w:p w:rsidR="049DD704" w:rsidP="049DD704" w14:paraId="6D6DAE32" w14:textId="2C5F3C50">
            <w:r w:rsidRPr="049DD704">
              <w:rPr>
                <w:rFonts w:ascii="Arial" w:eastAsia="Arial" w:hAnsi="Arial" w:cs="Arial"/>
                <w:color w:val="000000" w:themeColor="text1"/>
                <w:sz w:val="16"/>
                <w:szCs w:val="16"/>
              </w:rPr>
              <w:t xml:space="preserve"> </w:t>
            </w:r>
          </w:p>
        </w:tc>
        <w:tc>
          <w:tcPr>
            <w:tcW w:w="973" w:type="dxa"/>
            <w:shd w:val="clear" w:color="auto" w:fill="D9D9D9" w:themeFill="background1" w:themeFillShade="D9"/>
            <w:tcMar>
              <w:top w:w="15" w:type="dxa"/>
              <w:left w:w="15" w:type="dxa"/>
              <w:right w:w="15" w:type="dxa"/>
            </w:tcMar>
          </w:tcPr>
          <w:p w:rsidR="049DD704" w:rsidP="049DD704" w14:paraId="206E4691" w14:textId="3C93A090">
            <w:r w:rsidRPr="049DD704">
              <w:rPr>
                <w:rFonts w:ascii="Arial" w:eastAsia="Arial" w:hAnsi="Arial" w:cs="Arial"/>
                <w:color w:val="000000" w:themeColor="text1"/>
                <w:sz w:val="16"/>
                <w:szCs w:val="16"/>
              </w:rPr>
              <w:t xml:space="preserve"> </w:t>
            </w:r>
          </w:p>
        </w:tc>
        <w:tc>
          <w:tcPr>
            <w:tcW w:w="917" w:type="dxa"/>
            <w:shd w:val="clear" w:color="auto" w:fill="D9D9D9" w:themeFill="background1" w:themeFillShade="D9"/>
            <w:tcMar>
              <w:top w:w="15" w:type="dxa"/>
              <w:left w:w="15" w:type="dxa"/>
              <w:right w:w="15" w:type="dxa"/>
            </w:tcMar>
          </w:tcPr>
          <w:p w:rsidR="049DD704" w:rsidP="049DD704" w14:paraId="73D9998F" w14:textId="59A7827F">
            <w:r w:rsidRPr="049DD704">
              <w:rPr>
                <w:rFonts w:ascii="Arial" w:eastAsia="Arial" w:hAnsi="Arial" w:cs="Arial"/>
                <w:color w:val="000000" w:themeColor="text1"/>
                <w:sz w:val="16"/>
                <w:szCs w:val="16"/>
              </w:rPr>
              <w:t xml:space="preserve"> </w:t>
            </w:r>
          </w:p>
        </w:tc>
        <w:tc>
          <w:tcPr>
            <w:tcW w:w="855" w:type="dxa"/>
            <w:shd w:val="clear" w:color="auto" w:fill="D9D9D9" w:themeFill="background1" w:themeFillShade="D9"/>
            <w:tcMar>
              <w:top w:w="15" w:type="dxa"/>
              <w:left w:w="15" w:type="dxa"/>
              <w:right w:w="15" w:type="dxa"/>
            </w:tcMar>
          </w:tcPr>
          <w:p w:rsidR="049DD704" w:rsidP="049DD704" w14:paraId="6E7BA513" w14:textId="2FD50CFD">
            <w:r w:rsidRPr="049DD704">
              <w:rPr>
                <w:rFonts w:ascii="Arial" w:eastAsia="Arial" w:hAnsi="Arial" w:cs="Arial"/>
                <w:color w:val="000000" w:themeColor="text1"/>
                <w:sz w:val="16"/>
                <w:szCs w:val="16"/>
              </w:rPr>
              <w:t xml:space="preserve"> </w:t>
            </w:r>
          </w:p>
        </w:tc>
        <w:tc>
          <w:tcPr>
            <w:tcW w:w="1170" w:type="dxa"/>
            <w:shd w:val="clear" w:color="auto" w:fill="D9D9D9" w:themeFill="background1" w:themeFillShade="D9"/>
            <w:tcMar>
              <w:top w:w="15" w:type="dxa"/>
              <w:left w:w="15" w:type="dxa"/>
              <w:right w:w="15" w:type="dxa"/>
            </w:tcMar>
          </w:tcPr>
          <w:p w:rsidR="049DD704" w:rsidP="049DD704" w14:paraId="305C2664" w14:textId="2B05D57D">
            <w:r w:rsidRPr="049DD704">
              <w:rPr>
                <w:rFonts w:ascii="Arial" w:eastAsia="Arial" w:hAnsi="Arial" w:cs="Arial"/>
                <w:color w:val="000000" w:themeColor="text1"/>
                <w:sz w:val="16"/>
                <w:szCs w:val="16"/>
              </w:rPr>
              <w:t xml:space="preserve"> </w:t>
            </w:r>
          </w:p>
        </w:tc>
      </w:tr>
      <w:tr w14:paraId="45D7732E" w14:textId="77777777" w:rsidTr="00381833">
        <w:tblPrEx>
          <w:tblW w:w="9355" w:type="dxa"/>
          <w:tblLayout w:type="fixed"/>
          <w:tblLook w:val="06A0"/>
        </w:tblPrEx>
        <w:trPr>
          <w:trHeight w:val="20"/>
        </w:trPr>
        <w:tc>
          <w:tcPr>
            <w:tcW w:w="2456" w:type="dxa"/>
            <w:tcMar>
              <w:top w:w="15" w:type="dxa"/>
              <w:left w:w="15" w:type="dxa"/>
              <w:right w:w="15" w:type="dxa"/>
            </w:tcMar>
            <w:vAlign w:val="center"/>
          </w:tcPr>
          <w:p w:rsidR="00C82CD7" w:rsidP="00C82CD7" w14:paraId="04F975C7" w14:textId="0BE00654">
            <w:r w:rsidRPr="049DD704">
              <w:rPr>
                <w:rFonts w:ascii="Arial" w:eastAsia="Arial" w:hAnsi="Arial" w:cs="Arial"/>
                <w:color w:val="000000" w:themeColor="text1"/>
                <w:sz w:val="16"/>
                <w:szCs w:val="16"/>
              </w:rPr>
              <w:t xml:space="preserve">Private Sector </w:t>
            </w:r>
          </w:p>
        </w:tc>
        <w:tc>
          <w:tcPr>
            <w:tcW w:w="1112" w:type="dxa"/>
            <w:tcMar>
              <w:top w:w="15" w:type="dxa"/>
              <w:left w:w="15" w:type="dxa"/>
              <w:right w:w="15" w:type="dxa"/>
            </w:tcMar>
            <w:vAlign w:val="center"/>
          </w:tcPr>
          <w:p w:rsidR="00C82CD7" w:rsidP="00C82CD7" w14:paraId="4BBC80E5" w14:textId="7C0636F3">
            <w:pPr>
              <w:jc w:val="center"/>
            </w:pPr>
            <w:r w:rsidRPr="049DD704">
              <w:rPr>
                <w:rFonts w:ascii="Arial" w:eastAsia="Arial" w:hAnsi="Arial" w:cs="Arial"/>
                <w:color w:val="000000" w:themeColor="text1"/>
                <w:sz w:val="18"/>
                <w:szCs w:val="18"/>
              </w:rPr>
              <w:t>9</w:t>
            </w:r>
          </w:p>
        </w:tc>
        <w:tc>
          <w:tcPr>
            <w:tcW w:w="936" w:type="dxa"/>
            <w:tcMar>
              <w:top w:w="15" w:type="dxa"/>
              <w:left w:w="15" w:type="dxa"/>
              <w:right w:w="15" w:type="dxa"/>
            </w:tcMar>
            <w:vAlign w:val="center"/>
          </w:tcPr>
          <w:p w:rsidR="00C82CD7" w:rsidP="00C82CD7" w14:paraId="6526583A" w14:textId="3416506C">
            <w:pPr>
              <w:jc w:val="center"/>
            </w:pPr>
            <w:r w:rsidRPr="049DD704">
              <w:rPr>
                <w:rFonts w:ascii="Arial" w:eastAsia="Arial" w:hAnsi="Arial" w:cs="Arial"/>
                <w:color w:val="000000" w:themeColor="text1"/>
                <w:sz w:val="16"/>
                <w:szCs w:val="16"/>
              </w:rPr>
              <w:t>1</w:t>
            </w:r>
          </w:p>
        </w:tc>
        <w:tc>
          <w:tcPr>
            <w:tcW w:w="936" w:type="dxa"/>
            <w:tcMar>
              <w:top w:w="15" w:type="dxa"/>
              <w:left w:w="15" w:type="dxa"/>
              <w:right w:w="15" w:type="dxa"/>
            </w:tcMar>
            <w:vAlign w:val="center"/>
          </w:tcPr>
          <w:p w:rsidR="00C82CD7" w:rsidP="00C82CD7" w14:paraId="2CA3B52A" w14:textId="544536F2">
            <w:pPr>
              <w:jc w:val="center"/>
            </w:pPr>
            <w:r w:rsidRPr="049DD704">
              <w:rPr>
                <w:rFonts w:ascii="Arial" w:eastAsia="Arial" w:hAnsi="Arial" w:cs="Arial"/>
                <w:color w:val="000000" w:themeColor="text1"/>
                <w:sz w:val="16"/>
                <w:szCs w:val="16"/>
              </w:rPr>
              <w:t>9</w:t>
            </w:r>
          </w:p>
        </w:tc>
        <w:tc>
          <w:tcPr>
            <w:tcW w:w="973" w:type="dxa"/>
            <w:tcMar>
              <w:top w:w="15" w:type="dxa"/>
              <w:left w:w="15" w:type="dxa"/>
              <w:right w:w="15" w:type="dxa"/>
            </w:tcMar>
            <w:vAlign w:val="center"/>
          </w:tcPr>
          <w:p w:rsidR="00C82CD7" w:rsidP="00C82CD7" w14:paraId="0579B460" w14:textId="5382BE2E">
            <w:pPr>
              <w:jc w:val="center"/>
            </w:pPr>
            <w:r w:rsidRPr="049DD704">
              <w:rPr>
                <w:rFonts w:ascii="Arial" w:eastAsia="Arial" w:hAnsi="Arial" w:cs="Arial"/>
                <w:color w:val="000000" w:themeColor="text1"/>
                <w:sz w:val="16"/>
                <w:szCs w:val="16"/>
              </w:rPr>
              <w:t>20</w:t>
            </w:r>
          </w:p>
        </w:tc>
        <w:tc>
          <w:tcPr>
            <w:tcW w:w="917" w:type="dxa"/>
            <w:tcMar>
              <w:top w:w="15" w:type="dxa"/>
              <w:left w:w="15" w:type="dxa"/>
              <w:right w:w="15" w:type="dxa"/>
            </w:tcMar>
            <w:vAlign w:val="center"/>
          </w:tcPr>
          <w:p w:rsidR="00C82CD7" w:rsidP="00C82CD7" w14:paraId="02B1C7B0" w14:textId="0BB27E27">
            <w:pPr>
              <w:jc w:val="center"/>
            </w:pPr>
            <w:r>
              <w:rPr>
                <w:rFonts w:ascii="Arial" w:eastAsia="Arial" w:hAnsi="Arial" w:cs="Arial"/>
                <w:color w:val="000000" w:themeColor="text1"/>
                <w:sz w:val="16"/>
                <w:szCs w:val="16"/>
              </w:rPr>
              <w:t>3</w:t>
            </w:r>
          </w:p>
        </w:tc>
        <w:tc>
          <w:tcPr>
            <w:tcW w:w="855" w:type="dxa"/>
            <w:tcMar>
              <w:top w:w="15" w:type="dxa"/>
              <w:left w:w="15" w:type="dxa"/>
              <w:right w:w="15" w:type="dxa"/>
            </w:tcMar>
            <w:vAlign w:val="center"/>
          </w:tcPr>
          <w:p w:rsidR="00C82CD7" w:rsidP="00C82CD7" w14:paraId="4C591D94" w14:textId="4FC0E08A">
            <w:pPr>
              <w:ind w:right="43"/>
              <w:jc w:val="right"/>
            </w:pPr>
            <w:r w:rsidRPr="049DD704">
              <w:rPr>
                <w:rFonts w:ascii="Arial" w:eastAsia="Arial" w:hAnsi="Arial" w:cs="Arial"/>
                <w:color w:val="000000" w:themeColor="text1"/>
                <w:sz w:val="16"/>
                <w:szCs w:val="16"/>
              </w:rPr>
              <w:t xml:space="preserve"> $ 10.07 </w:t>
            </w:r>
          </w:p>
        </w:tc>
        <w:tc>
          <w:tcPr>
            <w:tcW w:w="1170" w:type="dxa"/>
            <w:tcMar>
              <w:top w:w="15" w:type="dxa"/>
              <w:left w:w="15" w:type="dxa"/>
              <w:right w:w="15" w:type="dxa"/>
            </w:tcMar>
            <w:vAlign w:val="center"/>
          </w:tcPr>
          <w:p w:rsidR="00C82CD7" w:rsidP="00C82CD7" w14:paraId="148CEB6C" w14:textId="76E3AE59">
            <w:pPr>
              <w:ind w:right="43"/>
              <w:jc w:val="right"/>
            </w:pPr>
            <w:r>
              <w:rPr>
                <w:rFonts w:ascii="Arial" w:hAnsi="Arial" w:cs="Arial"/>
                <w:color w:val="000000"/>
                <w:sz w:val="16"/>
                <w:szCs w:val="16"/>
              </w:rPr>
              <w:t xml:space="preserve">$30.21 </w:t>
            </w:r>
          </w:p>
        </w:tc>
      </w:tr>
      <w:tr w14:paraId="49D9BAAF" w14:textId="77777777" w:rsidTr="00381833">
        <w:tblPrEx>
          <w:tblW w:w="9355" w:type="dxa"/>
          <w:tblLayout w:type="fixed"/>
          <w:tblLook w:val="06A0"/>
        </w:tblPrEx>
        <w:trPr>
          <w:trHeight w:val="20"/>
        </w:trPr>
        <w:tc>
          <w:tcPr>
            <w:tcW w:w="2456" w:type="dxa"/>
            <w:tcMar>
              <w:top w:w="15" w:type="dxa"/>
              <w:left w:w="15" w:type="dxa"/>
              <w:right w:w="15" w:type="dxa"/>
            </w:tcMar>
            <w:vAlign w:val="center"/>
          </w:tcPr>
          <w:p w:rsidR="00C82CD7" w:rsidP="00C82CD7" w14:paraId="13CD8B44" w14:textId="678E2E1D">
            <w:r w:rsidRPr="049DD704">
              <w:rPr>
                <w:rFonts w:ascii="Arial" w:eastAsia="Arial" w:hAnsi="Arial" w:cs="Arial"/>
                <w:color w:val="000000" w:themeColor="text1"/>
                <w:sz w:val="16"/>
                <w:szCs w:val="16"/>
              </w:rPr>
              <w:t xml:space="preserve">Government </w:t>
            </w:r>
            <w:r>
              <w:rPr>
                <w:rFonts w:ascii="Arial" w:eastAsia="Arial" w:hAnsi="Arial" w:cs="Arial"/>
                <w:color w:val="000000" w:themeColor="text1"/>
                <w:sz w:val="16"/>
                <w:szCs w:val="16"/>
              </w:rPr>
              <w:t>–</w:t>
            </w:r>
            <w:r w:rsidRPr="049DD704">
              <w:rPr>
                <w:rFonts w:ascii="Arial" w:eastAsia="Arial" w:hAnsi="Arial" w:cs="Arial"/>
                <w:color w:val="000000" w:themeColor="text1"/>
                <w:sz w:val="16"/>
                <w:szCs w:val="16"/>
              </w:rPr>
              <w:t xml:space="preserve"> State/Local</w:t>
            </w:r>
            <w:r>
              <w:rPr>
                <w:rFonts w:ascii="Arial" w:eastAsia="Arial" w:hAnsi="Arial" w:cs="Arial"/>
                <w:color w:val="000000" w:themeColor="text1"/>
                <w:sz w:val="16"/>
                <w:szCs w:val="16"/>
              </w:rPr>
              <w:t>/</w:t>
            </w:r>
            <w:r w:rsidRPr="049DD704">
              <w:rPr>
                <w:rFonts w:ascii="Arial" w:eastAsia="Arial" w:hAnsi="Arial" w:cs="Arial"/>
                <w:color w:val="000000" w:themeColor="text1"/>
                <w:sz w:val="16"/>
                <w:szCs w:val="16"/>
              </w:rPr>
              <w:t>Tribal</w:t>
            </w:r>
          </w:p>
        </w:tc>
        <w:tc>
          <w:tcPr>
            <w:tcW w:w="1112" w:type="dxa"/>
            <w:tcMar>
              <w:top w:w="15" w:type="dxa"/>
              <w:left w:w="15" w:type="dxa"/>
              <w:right w:w="15" w:type="dxa"/>
            </w:tcMar>
            <w:vAlign w:val="center"/>
          </w:tcPr>
          <w:p w:rsidR="00C82CD7" w:rsidP="00C82CD7" w14:paraId="51770F2D" w14:textId="2E10AF2F">
            <w:pPr>
              <w:jc w:val="center"/>
            </w:pPr>
            <w:r w:rsidRPr="049DD704">
              <w:rPr>
                <w:rFonts w:ascii="Arial" w:eastAsia="Arial" w:hAnsi="Arial" w:cs="Arial"/>
                <w:color w:val="000000" w:themeColor="text1"/>
                <w:sz w:val="18"/>
                <w:szCs w:val="18"/>
              </w:rPr>
              <w:t>5</w:t>
            </w:r>
          </w:p>
        </w:tc>
        <w:tc>
          <w:tcPr>
            <w:tcW w:w="936" w:type="dxa"/>
            <w:tcMar>
              <w:top w:w="15" w:type="dxa"/>
              <w:left w:w="15" w:type="dxa"/>
              <w:right w:w="15" w:type="dxa"/>
            </w:tcMar>
            <w:vAlign w:val="center"/>
          </w:tcPr>
          <w:p w:rsidR="00C82CD7" w:rsidP="00C82CD7" w14:paraId="7B664CB4" w14:textId="7EAB4E7B">
            <w:pPr>
              <w:jc w:val="center"/>
            </w:pPr>
            <w:r w:rsidRPr="049DD704">
              <w:rPr>
                <w:rFonts w:ascii="Arial" w:eastAsia="Arial" w:hAnsi="Arial" w:cs="Arial"/>
                <w:color w:val="000000" w:themeColor="text1"/>
                <w:sz w:val="16"/>
                <w:szCs w:val="16"/>
              </w:rPr>
              <w:t>1</w:t>
            </w:r>
          </w:p>
        </w:tc>
        <w:tc>
          <w:tcPr>
            <w:tcW w:w="936" w:type="dxa"/>
            <w:tcMar>
              <w:top w:w="15" w:type="dxa"/>
              <w:left w:w="15" w:type="dxa"/>
              <w:right w:w="15" w:type="dxa"/>
            </w:tcMar>
            <w:vAlign w:val="center"/>
          </w:tcPr>
          <w:p w:rsidR="00C82CD7" w:rsidP="00C82CD7" w14:paraId="74F891B7" w14:textId="355D2266">
            <w:pPr>
              <w:jc w:val="center"/>
            </w:pPr>
            <w:r w:rsidRPr="049DD704">
              <w:rPr>
                <w:rFonts w:ascii="Arial" w:eastAsia="Arial" w:hAnsi="Arial" w:cs="Arial"/>
                <w:color w:val="000000" w:themeColor="text1"/>
                <w:sz w:val="16"/>
                <w:szCs w:val="16"/>
              </w:rPr>
              <w:t>5</w:t>
            </w:r>
          </w:p>
        </w:tc>
        <w:tc>
          <w:tcPr>
            <w:tcW w:w="973" w:type="dxa"/>
            <w:tcMar>
              <w:top w:w="15" w:type="dxa"/>
              <w:left w:w="15" w:type="dxa"/>
              <w:right w:w="15" w:type="dxa"/>
            </w:tcMar>
            <w:vAlign w:val="center"/>
          </w:tcPr>
          <w:p w:rsidR="00C82CD7" w:rsidP="00C82CD7" w14:paraId="1EF05BB0" w14:textId="4261FC1F">
            <w:pPr>
              <w:jc w:val="center"/>
            </w:pPr>
            <w:r w:rsidRPr="049DD704">
              <w:rPr>
                <w:rFonts w:ascii="Arial" w:eastAsia="Arial" w:hAnsi="Arial" w:cs="Arial"/>
                <w:color w:val="000000" w:themeColor="text1"/>
                <w:sz w:val="16"/>
                <w:szCs w:val="16"/>
              </w:rPr>
              <w:t>20</w:t>
            </w:r>
          </w:p>
        </w:tc>
        <w:tc>
          <w:tcPr>
            <w:tcW w:w="917" w:type="dxa"/>
            <w:tcMar>
              <w:top w:w="15" w:type="dxa"/>
              <w:left w:w="15" w:type="dxa"/>
              <w:right w:w="15" w:type="dxa"/>
            </w:tcMar>
            <w:vAlign w:val="center"/>
          </w:tcPr>
          <w:p w:rsidR="00C82CD7" w:rsidP="00C82CD7" w14:paraId="69C6973E" w14:textId="2CC5750D">
            <w:pPr>
              <w:jc w:val="center"/>
            </w:pPr>
            <w:r>
              <w:rPr>
                <w:rFonts w:ascii="Arial" w:eastAsia="Arial" w:hAnsi="Arial" w:cs="Arial"/>
                <w:color w:val="000000" w:themeColor="text1"/>
                <w:sz w:val="16"/>
                <w:szCs w:val="16"/>
              </w:rPr>
              <w:t>2</w:t>
            </w:r>
          </w:p>
        </w:tc>
        <w:tc>
          <w:tcPr>
            <w:tcW w:w="855" w:type="dxa"/>
            <w:tcMar>
              <w:top w:w="15" w:type="dxa"/>
              <w:left w:w="15" w:type="dxa"/>
              <w:right w:w="15" w:type="dxa"/>
            </w:tcMar>
            <w:vAlign w:val="center"/>
          </w:tcPr>
          <w:p w:rsidR="00C82CD7" w:rsidP="00C82CD7" w14:paraId="67CA2E0C" w14:textId="620581B6">
            <w:pPr>
              <w:ind w:right="43"/>
              <w:jc w:val="right"/>
            </w:pPr>
            <w:r w:rsidRPr="049DD704">
              <w:rPr>
                <w:rFonts w:ascii="Arial" w:eastAsia="Arial" w:hAnsi="Arial" w:cs="Arial"/>
                <w:color w:val="000000" w:themeColor="text1"/>
                <w:sz w:val="16"/>
                <w:szCs w:val="16"/>
              </w:rPr>
              <w:t xml:space="preserve"> 14.09 </w:t>
            </w:r>
          </w:p>
        </w:tc>
        <w:tc>
          <w:tcPr>
            <w:tcW w:w="1170" w:type="dxa"/>
            <w:tcMar>
              <w:top w:w="15" w:type="dxa"/>
              <w:left w:w="15" w:type="dxa"/>
              <w:right w:w="15" w:type="dxa"/>
            </w:tcMar>
            <w:vAlign w:val="center"/>
          </w:tcPr>
          <w:p w:rsidR="00C82CD7" w:rsidP="00C82CD7" w14:paraId="5C625BEC" w14:textId="1CD30AFD">
            <w:pPr>
              <w:ind w:right="43"/>
              <w:jc w:val="right"/>
            </w:pPr>
            <w:r>
              <w:rPr>
                <w:rFonts w:ascii="Arial" w:hAnsi="Arial" w:cs="Arial"/>
                <w:color w:val="000000"/>
                <w:sz w:val="16"/>
                <w:szCs w:val="16"/>
              </w:rPr>
              <w:t>28.18</w:t>
            </w:r>
          </w:p>
        </w:tc>
      </w:tr>
      <w:tr w14:paraId="60623ED9" w14:textId="77777777" w:rsidTr="00381833">
        <w:tblPrEx>
          <w:tblW w:w="9355" w:type="dxa"/>
          <w:tblLayout w:type="fixed"/>
          <w:tblLook w:val="06A0"/>
        </w:tblPrEx>
        <w:trPr>
          <w:trHeight w:val="20"/>
        </w:trPr>
        <w:tc>
          <w:tcPr>
            <w:tcW w:w="2456" w:type="dxa"/>
            <w:tcMar>
              <w:top w:w="15" w:type="dxa"/>
              <w:left w:w="15" w:type="dxa"/>
              <w:right w:w="15" w:type="dxa"/>
            </w:tcMar>
            <w:vAlign w:val="center"/>
          </w:tcPr>
          <w:p w:rsidR="00C82CD7" w:rsidP="00C82CD7" w14:paraId="6F65D968" w14:textId="0B4C441A">
            <w:r w:rsidRPr="049DD704">
              <w:rPr>
                <w:rFonts w:ascii="Arial" w:eastAsia="Arial" w:hAnsi="Arial" w:cs="Arial"/>
                <w:color w:val="000000" w:themeColor="text1"/>
                <w:sz w:val="16"/>
                <w:szCs w:val="16"/>
              </w:rPr>
              <w:t xml:space="preserve">Government </w:t>
            </w:r>
            <w:r>
              <w:rPr>
                <w:rFonts w:ascii="Arial" w:eastAsia="Arial" w:hAnsi="Arial" w:cs="Arial"/>
                <w:color w:val="000000" w:themeColor="text1"/>
                <w:sz w:val="16"/>
                <w:szCs w:val="16"/>
              </w:rPr>
              <w:t>–</w:t>
            </w:r>
            <w:r w:rsidRPr="049DD704">
              <w:rPr>
                <w:rFonts w:ascii="Arial" w:eastAsia="Arial" w:hAnsi="Arial" w:cs="Arial"/>
                <w:color w:val="000000" w:themeColor="text1"/>
                <w:sz w:val="16"/>
                <w:szCs w:val="16"/>
              </w:rPr>
              <w:t xml:space="preserve"> Federal</w:t>
            </w:r>
          </w:p>
        </w:tc>
        <w:tc>
          <w:tcPr>
            <w:tcW w:w="1112" w:type="dxa"/>
            <w:tcMar>
              <w:top w:w="15" w:type="dxa"/>
              <w:left w:w="15" w:type="dxa"/>
              <w:right w:w="15" w:type="dxa"/>
            </w:tcMar>
            <w:vAlign w:val="center"/>
          </w:tcPr>
          <w:p w:rsidR="00C82CD7" w:rsidP="00C82CD7" w14:paraId="30CF3837" w14:textId="1C33E781">
            <w:pPr>
              <w:jc w:val="center"/>
            </w:pPr>
            <w:r w:rsidRPr="049DD704">
              <w:rPr>
                <w:rFonts w:ascii="Arial" w:eastAsia="Arial" w:hAnsi="Arial" w:cs="Arial"/>
                <w:color w:val="000000" w:themeColor="text1"/>
                <w:sz w:val="18"/>
                <w:szCs w:val="18"/>
              </w:rPr>
              <w:t>5</w:t>
            </w:r>
          </w:p>
        </w:tc>
        <w:tc>
          <w:tcPr>
            <w:tcW w:w="936" w:type="dxa"/>
            <w:tcMar>
              <w:top w:w="15" w:type="dxa"/>
              <w:left w:w="15" w:type="dxa"/>
              <w:right w:w="15" w:type="dxa"/>
            </w:tcMar>
            <w:vAlign w:val="center"/>
          </w:tcPr>
          <w:p w:rsidR="00C82CD7" w:rsidP="00C82CD7" w14:paraId="17B51DC0" w14:textId="5E86E4AE">
            <w:pPr>
              <w:jc w:val="center"/>
            </w:pPr>
            <w:r w:rsidRPr="049DD704">
              <w:rPr>
                <w:rFonts w:ascii="Arial" w:eastAsia="Arial" w:hAnsi="Arial" w:cs="Arial"/>
                <w:color w:val="000000" w:themeColor="text1"/>
                <w:sz w:val="16"/>
                <w:szCs w:val="16"/>
              </w:rPr>
              <w:t>1</w:t>
            </w:r>
          </w:p>
        </w:tc>
        <w:tc>
          <w:tcPr>
            <w:tcW w:w="936" w:type="dxa"/>
            <w:tcMar>
              <w:top w:w="15" w:type="dxa"/>
              <w:left w:w="15" w:type="dxa"/>
              <w:right w:w="15" w:type="dxa"/>
            </w:tcMar>
            <w:vAlign w:val="center"/>
          </w:tcPr>
          <w:p w:rsidR="00C82CD7" w:rsidP="00C82CD7" w14:paraId="4EE9E9CB" w14:textId="35404EE6">
            <w:pPr>
              <w:jc w:val="center"/>
            </w:pPr>
            <w:r w:rsidRPr="049DD704">
              <w:rPr>
                <w:rFonts w:ascii="Arial" w:eastAsia="Arial" w:hAnsi="Arial" w:cs="Arial"/>
                <w:color w:val="000000" w:themeColor="text1"/>
                <w:sz w:val="16"/>
                <w:szCs w:val="16"/>
              </w:rPr>
              <w:t>5</w:t>
            </w:r>
          </w:p>
        </w:tc>
        <w:tc>
          <w:tcPr>
            <w:tcW w:w="973" w:type="dxa"/>
            <w:tcMar>
              <w:top w:w="15" w:type="dxa"/>
              <w:left w:w="15" w:type="dxa"/>
              <w:right w:w="15" w:type="dxa"/>
            </w:tcMar>
            <w:vAlign w:val="center"/>
          </w:tcPr>
          <w:p w:rsidR="00C82CD7" w:rsidP="00C82CD7" w14:paraId="20F9D0E1" w14:textId="1A584C18">
            <w:pPr>
              <w:jc w:val="center"/>
            </w:pPr>
            <w:r w:rsidRPr="049DD704">
              <w:rPr>
                <w:rFonts w:ascii="Arial" w:eastAsia="Arial" w:hAnsi="Arial" w:cs="Arial"/>
                <w:color w:val="000000" w:themeColor="text1"/>
                <w:sz w:val="16"/>
                <w:szCs w:val="16"/>
              </w:rPr>
              <w:t>20</w:t>
            </w:r>
          </w:p>
        </w:tc>
        <w:tc>
          <w:tcPr>
            <w:tcW w:w="917" w:type="dxa"/>
            <w:tcMar>
              <w:top w:w="15" w:type="dxa"/>
              <w:left w:w="15" w:type="dxa"/>
              <w:right w:w="15" w:type="dxa"/>
            </w:tcMar>
            <w:vAlign w:val="center"/>
          </w:tcPr>
          <w:p w:rsidR="00C82CD7" w:rsidP="00C82CD7" w14:paraId="5B6CDCFF" w14:textId="5806E395">
            <w:pPr>
              <w:jc w:val="center"/>
            </w:pPr>
            <w:r>
              <w:rPr>
                <w:rFonts w:ascii="Arial" w:eastAsia="Arial" w:hAnsi="Arial" w:cs="Arial"/>
                <w:color w:val="000000" w:themeColor="text1"/>
                <w:sz w:val="16"/>
                <w:szCs w:val="16"/>
              </w:rPr>
              <w:t>2</w:t>
            </w:r>
          </w:p>
        </w:tc>
        <w:tc>
          <w:tcPr>
            <w:tcW w:w="855" w:type="dxa"/>
            <w:tcMar>
              <w:top w:w="15" w:type="dxa"/>
              <w:left w:w="15" w:type="dxa"/>
              <w:right w:w="15" w:type="dxa"/>
            </w:tcMar>
            <w:vAlign w:val="center"/>
          </w:tcPr>
          <w:p w:rsidR="00C82CD7" w:rsidP="00C82CD7" w14:paraId="334996EF" w14:textId="52AC4299">
            <w:pPr>
              <w:ind w:right="43"/>
              <w:jc w:val="right"/>
            </w:pPr>
            <w:r w:rsidRPr="049DD704">
              <w:rPr>
                <w:rFonts w:ascii="Arial" w:eastAsia="Arial" w:hAnsi="Arial" w:cs="Arial"/>
                <w:color w:val="000000" w:themeColor="text1"/>
                <w:sz w:val="16"/>
                <w:szCs w:val="16"/>
              </w:rPr>
              <w:t xml:space="preserve"> 14.09 </w:t>
            </w:r>
          </w:p>
        </w:tc>
        <w:tc>
          <w:tcPr>
            <w:tcW w:w="1170" w:type="dxa"/>
            <w:tcMar>
              <w:top w:w="15" w:type="dxa"/>
              <w:left w:w="15" w:type="dxa"/>
              <w:right w:w="15" w:type="dxa"/>
            </w:tcMar>
            <w:vAlign w:val="center"/>
          </w:tcPr>
          <w:p w:rsidR="00C82CD7" w:rsidP="00C82CD7" w14:paraId="2769C9EB" w14:textId="65E46A81">
            <w:pPr>
              <w:ind w:right="43"/>
              <w:jc w:val="right"/>
            </w:pPr>
            <w:r>
              <w:rPr>
                <w:rFonts w:ascii="Arial" w:hAnsi="Arial" w:cs="Arial"/>
                <w:color w:val="000000"/>
                <w:sz w:val="16"/>
                <w:szCs w:val="16"/>
              </w:rPr>
              <w:t>28.18</w:t>
            </w:r>
          </w:p>
        </w:tc>
      </w:tr>
      <w:tr w14:paraId="7DA4FDA8" w14:textId="77777777" w:rsidTr="00C82CD7">
        <w:tblPrEx>
          <w:tblW w:w="9355" w:type="dxa"/>
          <w:tblLayout w:type="fixed"/>
          <w:tblLook w:val="06A0"/>
        </w:tblPrEx>
        <w:trPr>
          <w:trHeight w:val="20"/>
        </w:trPr>
        <w:tc>
          <w:tcPr>
            <w:tcW w:w="2456" w:type="dxa"/>
            <w:shd w:val="clear" w:color="auto" w:fill="D9D9D9" w:themeFill="background1" w:themeFillShade="D9"/>
            <w:tcMar>
              <w:top w:w="15" w:type="dxa"/>
              <w:left w:w="15" w:type="dxa"/>
              <w:right w:w="15" w:type="dxa"/>
            </w:tcMar>
            <w:vAlign w:val="center"/>
          </w:tcPr>
          <w:p w:rsidR="00C82CD7" w:rsidP="00C82CD7" w14:paraId="3BD51A68" w14:textId="35FC795D">
            <w:r w:rsidRPr="049DD704">
              <w:rPr>
                <w:rFonts w:ascii="Arial" w:eastAsia="Arial" w:hAnsi="Arial" w:cs="Arial"/>
                <w:b/>
                <w:bCs/>
                <w:i/>
                <w:iCs/>
                <w:color w:val="000000" w:themeColor="text1"/>
                <w:sz w:val="16"/>
                <w:szCs w:val="16"/>
              </w:rPr>
              <w:t>TOTALS:</w:t>
            </w:r>
          </w:p>
        </w:tc>
        <w:tc>
          <w:tcPr>
            <w:tcW w:w="1112" w:type="dxa"/>
            <w:shd w:val="clear" w:color="auto" w:fill="D9D9D9" w:themeFill="background1" w:themeFillShade="D9"/>
            <w:tcMar>
              <w:top w:w="15" w:type="dxa"/>
              <w:left w:w="15" w:type="dxa"/>
              <w:right w:w="15" w:type="dxa"/>
            </w:tcMar>
            <w:vAlign w:val="center"/>
          </w:tcPr>
          <w:p w:rsidR="00C82CD7" w:rsidP="00C82CD7" w14:paraId="78C3E421" w14:textId="3295B48E">
            <w:pPr>
              <w:jc w:val="center"/>
            </w:pPr>
            <w:r w:rsidRPr="049DD704">
              <w:rPr>
                <w:rFonts w:ascii="Arial" w:eastAsia="Arial" w:hAnsi="Arial" w:cs="Arial"/>
                <w:b/>
                <w:bCs/>
                <w:i/>
                <w:iCs/>
                <w:color w:val="000000" w:themeColor="text1"/>
                <w:sz w:val="16"/>
                <w:szCs w:val="16"/>
              </w:rPr>
              <w:t>265*</w:t>
            </w:r>
          </w:p>
        </w:tc>
        <w:tc>
          <w:tcPr>
            <w:tcW w:w="936" w:type="dxa"/>
            <w:shd w:val="clear" w:color="auto" w:fill="D9D9D9" w:themeFill="background1" w:themeFillShade="D9"/>
            <w:tcMar>
              <w:top w:w="15" w:type="dxa"/>
              <w:left w:w="15" w:type="dxa"/>
              <w:right w:w="15" w:type="dxa"/>
            </w:tcMar>
            <w:vAlign w:val="center"/>
          </w:tcPr>
          <w:p w:rsidR="00C82CD7" w:rsidP="00C82CD7" w14:paraId="17177833" w14:textId="08CB103D">
            <w:pPr>
              <w:jc w:val="center"/>
            </w:pPr>
          </w:p>
        </w:tc>
        <w:tc>
          <w:tcPr>
            <w:tcW w:w="936" w:type="dxa"/>
            <w:shd w:val="clear" w:color="auto" w:fill="D9D9D9" w:themeFill="background1" w:themeFillShade="D9"/>
            <w:tcMar>
              <w:top w:w="15" w:type="dxa"/>
              <w:left w:w="15" w:type="dxa"/>
              <w:right w:w="15" w:type="dxa"/>
            </w:tcMar>
            <w:vAlign w:val="center"/>
          </w:tcPr>
          <w:p w:rsidR="00C82CD7" w:rsidP="00C82CD7" w14:paraId="3066653D" w14:textId="77687838">
            <w:pPr>
              <w:jc w:val="center"/>
            </w:pPr>
            <w:r w:rsidRPr="049DD704">
              <w:rPr>
                <w:rFonts w:ascii="Arial" w:eastAsia="Arial" w:hAnsi="Arial" w:cs="Arial"/>
                <w:b/>
                <w:bCs/>
                <w:i/>
                <w:iCs/>
                <w:color w:val="000000" w:themeColor="text1"/>
                <w:sz w:val="16"/>
                <w:szCs w:val="16"/>
              </w:rPr>
              <w:t>265</w:t>
            </w:r>
          </w:p>
        </w:tc>
        <w:tc>
          <w:tcPr>
            <w:tcW w:w="973" w:type="dxa"/>
            <w:shd w:val="clear" w:color="auto" w:fill="D9D9D9" w:themeFill="background1" w:themeFillShade="D9"/>
            <w:tcMar>
              <w:top w:w="15" w:type="dxa"/>
              <w:left w:w="15" w:type="dxa"/>
              <w:right w:w="15" w:type="dxa"/>
            </w:tcMar>
            <w:vAlign w:val="center"/>
          </w:tcPr>
          <w:p w:rsidR="00C82CD7" w:rsidP="00C82CD7" w14:paraId="152B7BEF" w14:textId="713AA0D1">
            <w:pPr>
              <w:jc w:val="center"/>
            </w:pPr>
          </w:p>
        </w:tc>
        <w:tc>
          <w:tcPr>
            <w:tcW w:w="917" w:type="dxa"/>
            <w:shd w:val="clear" w:color="auto" w:fill="D9D9D9" w:themeFill="background1" w:themeFillShade="D9"/>
            <w:tcMar>
              <w:top w:w="15" w:type="dxa"/>
              <w:left w:w="15" w:type="dxa"/>
              <w:right w:w="15" w:type="dxa"/>
            </w:tcMar>
            <w:vAlign w:val="center"/>
          </w:tcPr>
          <w:p w:rsidR="00C82CD7" w:rsidP="00C82CD7" w14:paraId="47020673" w14:textId="41E29608">
            <w:pPr>
              <w:jc w:val="center"/>
            </w:pPr>
            <w:r w:rsidRPr="049DD704">
              <w:rPr>
                <w:rFonts w:ascii="Arial" w:eastAsia="Arial" w:hAnsi="Arial" w:cs="Arial"/>
                <w:b/>
                <w:bCs/>
                <w:i/>
                <w:iCs/>
                <w:color w:val="000000" w:themeColor="text1"/>
                <w:sz w:val="16"/>
                <w:szCs w:val="16"/>
              </w:rPr>
              <w:t>8</w:t>
            </w:r>
            <w:r>
              <w:rPr>
                <w:rFonts w:ascii="Arial" w:eastAsia="Arial" w:hAnsi="Arial" w:cs="Arial"/>
                <w:b/>
                <w:bCs/>
                <w:i/>
                <w:iCs/>
                <w:color w:val="000000" w:themeColor="text1"/>
                <w:sz w:val="16"/>
                <w:szCs w:val="16"/>
              </w:rPr>
              <w:t>9</w:t>
            </w:r>
          </w:p>
        </w:tc>
        <w:tc>
          <w:tcPr>
            <w:tcW w:w="855" w:type="dxa"/>
            <w:shd w:val="clear" w:color="auto" w:fill="D9D9D9" w:themeFill="background1" w:themeFillShade="D9"/>
            <w:tcMar>
              <w:top w:w="15" w:type="dxa"/>
              <w:left w:w="15" w:type="dxa"/>
              <w:right w:w="15" w:type="dxa"/>
            </w:tcMar>
            <w:vAlign w:val="center"/>
          </w:tcPr>
          <w:p w:rsidR="00C82CD7" w:rsidP="00C82CD7" w14:paraId="6D97431A" w14:textId="2469CDFB">
            <w:pPr>
              <w:ind w:right="43"/>
              <w:jc w:val="right"/>
            </w:pPr>
            <w:r w:rsidRPr="049DD704">
              <w:rPr>
                <w:rFonts w:ascii="Arial" w:eastAsia="Arial" w:hAnsi="Arial" w:cs="Arial"/>
                <w:color w:val="000000" w:themeColor="text1"/>
                <w:sz w:val="16"/>
                <w:szCs w:val="16"/>
              </w:rPr>
              <w:t xml:space="preserve"> </w:t>
            </w:r>
          </w:p>
        </w:tc>
        <w:tc>
          <w:tcPr>
            <w:tcW w:w="1170" w:type="dxa"/>
            <w:shd w:val="clear" w:color="auto" w:fill="D9D9D9" w:themeFill="background1" w:themeFillShade="D9"/>
            <w:tcMar>
              <w:top w:w="15" w:type="dxa"/>
              <w:left w:w="15" w:type="dxa"/>
              <w:right w:w="15" w:type="dxa"/>
            </w:tcMar>
            <w:vAlign w:val="center"/>
          </w:tcPr>
          <w:p w:rsidR="00C82CD7" w:rsidP="00C82CD7" w14:paraId="0BE94A81" w14:textId="7A5620BC">
            <w:pPr>
              <w:ind w:right="43"/>
              <w:jc w:val="right"/>
            </w:pPr>
            <w:r>
              <w:rPr>
                <w:rFonts w:ascii="Arial" w:hAnsi="Arial" w:cs="Arial"/>
                <w:b/>
                <w:bCs/>
                <w:color w:val="000000"/>
                <w:sz w:val="16"/>
                <w:szCs w:val="16"/>
              </w:rPr>
              <w:t xml:space="preserve">$4,198.55 </w:t>
            </w:r>
          </w:p>
        </w:tc>
      </w:tr>
    </w:tbl>
    <w:p w:rsidR="049DD704" w:rsidRPr="00A37639" w:rsidP="049DD704" w14:paraId="66B6AC89" w14:textId="117705F9">
      <w:pPr>
        <w:tabs>
          <w:tab w:val="left" w:pos="2340"/>
        </w:tabs>
        <w:contextualSpacing/>
        <w:rPr>
          <w:rFonts w:ascii="Arial" w:hAnsi="Arial" w:cs="Arial"/>
          <w:sz w:val="18"/>
          <w:szCs w:val="18"/>
        </w:rPr>
      </w:pPr>
      <w:r w:rsidRPr="00A37639">
        <w:rPr>
          <w:rFonts w:ascii="Arial" w:hAnsi="Arial" w:cs="Arial"/>
          <w:sz w:val="18"/>
          <w:szCs w:val="18"/>
        </w:rPr>
        <w:t>*Rounded</w:t>
      </w:r>
    </w:p>
    <w:p w:rsidR="00CD420F" w:rsidRPr="00A37639" w:rsidP="00CD420F" w14:paraId="04F882F1" w14:textId="5E650844">
      <w:pPr>
        <w:tabs>
          <w:tab w:val="left" w:pos="360"/>
          <w:tab w:val="left" w:pos="720"/>
        </w:tabs>
        <w:rPr>
          <w:rFonts w:ascii="Arial" w:hAnsi="Arial" w:cs="Arial"/>
          <w:sz w:val="18"/>
          <w:szCs w:val="18"/>
        </w:rPr>
      </w:pPr>
      <w:r w:rsidRPr="00A37639">
        <w:rPr>
          <w:rFonts w:ascii="Arial" w:hAnsi="Arial" w:cs="Arial"/>
          <w:sz w:val="18"/>
          <w:szCs w:val="18"/>
        </w:rPr>
        <w:t>*</w:t>
      </w:r>
      <w:r w:rsidRPr="00A37639">
        <w:rPr>
          <w:rFonts w:ascii="Arial" w:hAnsi="Arial" w:cs="Arial"/>
          <w:sz w:val="18"/>
          <w:szCs w:val="18"/>
        </w:rPr>
        <w:t xml:space="preserve">*Note: </w:t>
      </w:r>
      <w:r w:rsidRPr="00A37639" w:rsidR="00E9595F">
        <w:rPr>
          <w:rFonts w:ascii="Arial" w:hAnsi="Arial" w:cs="Arial"/>
          <w:sz w:val="18"/>
          <w:szCs w:val="18"/>
        </w:rPr>
        <w:t xml:space="preserve"> </w:t>
      </w:r>
      <w:r w:rsidRPr="00A37639">
        <w:rPr>
          <w:rFonts w:ascii="Arial" w:hAnsi="Arial" w:cs="Arial"/>
          <w:sz w:val="18"/>
          <w:szCs w:val="18"/>
        </w:rPr>
        <w:t xml:space="preserve">We estimate that approximately 100 </w:t>
      </w:r>
      <w:r w:rsidRPr="00A37639" w:rsidR="00317DBA">
        <w:rPr>
          <w:rFonts w:ascii="Arial" w:hAnsi="Arial" w:cs="Arial"/>
          <w:sz w:val="18"/>
          <w:szCs w:val="18"/>
        </w:rPr>
        <w:t>U.S.</w:t>
      </w:r>
      <w:r w:rsidRPr="00A37639">
        <w:rPr>
          <w:rFonts w:ascii="Arial" w:hAnsi="Arial" w:cs="Arial"/>
          <w:sz w:val="18"/>
          <w:szCs w:val="18"/>
        </w:rPr>
        <w:t xml:space="preserve"> Federal employees will respond to the survey (for a total estimate of 365 respondents); however, because </w:t>
      </w:r>
      <w:r w:rsidRPr="00A37639" w:rsidR="00317DBA">
        <w:rPr>
          <w:rFonts w:ascii="Arial" w:hAnsi="Arial" w:cs="Arial"/>
          <w:sz w:val="18"/>
          <w:szCs w:val="18"/>
        </w:rPr>
        <w:t>U.S.</w:t>
      </w:r>
      <w:r w:rsidRPr="00A37639">
        <w:rPr>
          <w:rFonts w:ascii="Arial" w:hAnsi="Arial" w:cs="Arial"/>
          <w:sz w:val="18"/>
          <w:szCs w:val="18"/>
        </w:rPr>
        <w:t xml:space="preserve"> Federal employees are exempt from Paperwork Reduction Act, they are removed from the burden calculations.</w:t>
      </w:r>
    </w:p>
    <w:p w:rsidR="00D279F3" w:rsidRPr="00317DBA" w:rsidP="00D279F3" w14:paraId="3F326660" w14:textId="46088738">
      <w:pPr>
        <w:tabs>
          <w:tab w:val="center" w:pos="720"/>
          <w:tab w:val="center" w:pos="2070"/>
          <w:tab w:val="center" w:pos="3420"/>
          <w:tab w:val="center" w:pos="4410"/>
          <w:tab w:val="center" w:pos="5580"/>
          <w:tab w:val="center" w:pos="6660"/>
          <w:tab w:val="decimal" w:pos="7650"/>
          <w:tab w:val="decimal" w:pos="9180"/>
        </w:tabs>
        <w:rPr>
          <w:rFonts w:ascii="Arial" w:hAnsi="Arial" w:cs="Arial"/>
          <w:sz w:val="22"/>
          <w:szCs w:val="22"/>
        </w:rPr>
      </w:pPr>
    </w:p>
    <w:bookmarkEnd w:id="0"/>
    <w:p w:rsidR="00295103" w:rsidRPr="00317DBA" w:rsidP="00F464E2" w14:paraId="2D4246A2" w14:textId="77777777">
      <w:pPr>
        <w:pStyle w:val="Heading1"/>
        <w:tabs>
          <w:tab w:val="clear" w:pos="360"/>
          <w:tab w:val="left" w:pos="450"/>
        </w:tabs>
      </w:pPr>
      <w:r w:rsidRPr="00317DBA">
        <w:t>13.</w:t>
      </w:r>
      <w:r w:rsidRPr="00317DBA">
        <w:tab/>
        <w:t xml:space="preserve">Provide an estimate of the total annual </w:t>
      </w:r>
      <w:r w:rsidRPr="00317DBA" w:rsidR="00DE1FFE">
        <w:t>non-hour</w:t>
      </w:r>
      <w:r w:rsidRPr="00317DBA">
        <w:t xml:space="preserve"> cost burden to respondents or recordkeepers resulting from the collection of information.  (Do not include the cost of any hour burden </w:t>
      </w:r>
      <w:r w:rsidRPr="00317DBA" w:rsidR="004A6DFA">
        <w:t xml:space="preserve">already reflected </w:t>
      </w:r>
      <w:r w:rsidRPr="00317DBA" w:rsidR="00F73931">
        <w:t>in item 12</w:t>
      </w:r>
      <w:r w:rsidRPr="00317DBA" w:rsidR="004A6DFA">
        <w:t>.)</w:t>
      </w:r>
    </w:p>
    <w:p w:rsidR="00295103" w:rsidRPr="00317DBA" w:rsidP="006319A2" w14:paraId="629C7EBB" w14:textId="77777777">
      <w:pPr>
        <w:tabs>
          <w:tab w:val="left" w:pos="360"/>
          <w:tab w:val="left" w:pos="720"/>
        </w:tabs>
        <w:ind w:left="720" w:hanging="720"/>
        <w:rPr>
          <w:rFonts w:ascii="Arial" w:hAnsi="Arial" w:cs="Arial"/>
          <w:b/>
          <w:sz w:val="22"/>
          <w:szCs w:val="22"/>
        </w:rPr>
      </w:pPr>
      <w:r w:rsidRPr="00317DBA">
        <w:rPr>
          <w:rFonts w:ascii="Arial" w:hAnsi="Arial" w:cs="Arial"/>
          <w:b/>
          <w:sz w:val="22"/>
          <w:szCs w:val="22"/>
        </w:rPr>
        <w:tab/>
        <w:t>*</w:t>
      </w:r>
      <w:r w:rsidRPr="00317DBA">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317DBA">
        <w:rPr>
          <w:rFonts w:ascii="Arial" w:hAnsi="Arial" w:cs="Arial"/>
          <w:b/>
          <w:sz w:val="22"/>
          <w:szCs w:val="22"/>
        </w:rPr>
        <w:t>take into account</w:t>
      </w:r>
      <w:r w:rsidRPr="00317DBA">
        <w:rPr>
          <w:rFonts w:ascii="Arial" w:hAnsi="Arial" w:cs="Arial"/>
          <w:b/>
          <w:sz w:val="22"/>
          <w:szCs w:val="22"/>
        </w:rPr>
        <w:t xml:space="preserve"> costs associated with generating, maintaining, and disclosing or providing the information </w:t>
      </w:r>
      <w:r w:rsidRPr="00317DBA" w:rsidR="000257C8">
        <w:rPr>
          <w:rFonts w:ascii="Arial" w:hAnsi="Arial" w:cs="Arial"/>
          <w:b/>
          <w:sz w:val="22"/>
          <w:szCs w:val="22"/>
        </w:rPr>
        <w:t>(</w:t>
      </w:r>
      <w:r w:rsidRPr="00317DBA">
        <w:rPr>
          <w:rFonts w:ascii="Arial" w:hAnsi="Arial" w:cs="Arial"/>
          <w:b/>
          <w:sz w:val="22"/>
          <w:szCs w:val="22"/>
        </w:rPr>
        <w:t>including filing fees paid</w:t>
      </w:r>
      <w:r w:rsidRPr="00317DBA" w:rsidR="000257C8">
        <w:rPr>
          <w:rFonts w:ascii="Arial" w:hAnsi="Arial" w:cs="Arial"/>
          <w:b/>
          <w:sz w:val="22"/>
          <w:szCs w:val="22"/>
        </w:rPr>
        <w:t xml:space="preserve"> for form processing)</w:t>
      </w:r>
      <w:r w:rsidRPr="00317DBA">
        <w:rPr>
          <w:rFonts w:ascii="Arial" w:hAnsi="Arial" w:cs="Arial"/>
          <w:b/>
          <w:sz w:val="22"/>
          <w:szCs w:val="22"/>
        </w:rPr>
        <w:t xml:space="preserve">.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317DBA">
        <w:rPr>
          <w:rFonts w:ascii="Arial" w:hAnsi="Arial" w:cs="Arial"/>
          <w:b/>
          <w:sz w:val="22"/>
          <w:szCs w:val="22"/>
        </w:rPr>
        <w:t>drilling</w:t>
      </w:r>
      <w:r w:rsidRPr="00317DBA">
        <w:rPr>
          <w:rFonts w:ascii="Arial" w:hAnsi="Arial" w:cs="Arial"/>
          <w:b/>
          <w:sz w:val="22"/>
          <w:szCs w:val="22"/>
        </w:rPr>
        <w:t xml:space="preserve"> and testing equipment; and record storage facilities.</w:t>
      </w:r>
    </w:p>
    <w:p w:rsidR="00295103" w:rsidRPr="00317DBA" w:rsidP="006319A2" w14:paraId="28B6A985" w14:textId="77777777">
      <w:pPr>
        <w:tabs>
          <w:tab w:val="left" w:pos="360"/>
          <w:tab w:val="left" w:pos="720"/>
        </w:tabs>
        <w:ind w:left="720" w:hanging="720"/>
        <w:rPr>
          <w:rFonts w:ascii="Arial" w:hAnsi="Arial" w:cs="Arial"/>
          <w:b/>
          <w:sz w:val="22"/>
          <w:szCs w:val="22"/>
        </w:rPr>
      </w:pPr>
      <w:r w:rsidRPr="00317DBA">
        <w:rPr>
          <w:rFonts w:ascii="Arial" w:hAnsi="Arial" w:cs="Arial"/>
          <w:b/>
          <w:sz w:val="22"/>
          <w:szCs w:val="22"/>
        </w:rPr>
        <w:tab/>
        <w:t>*</w:t>
      </w:r>
      <w:r w:rsidRPr="00317DBA">
        <w:rPr>
          <w:rFonts w:ascii="Arial" w:hAnsi="Arial" w:cs="Arial"/>
          <w:b/>
          <w:sz w:val="22"/>
          <w:szCs w:val="22"/>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317DBA">
        <w:rPr>
          <w:rFonts w:ascii="Arial" w:hAnsi="Arial" w:cs="Arial"/>
          <w:b/>
          <w:sz w:val="22"/>
          <w:szCs w:val="22"/>
        </w:rPr>
        <w:t>process</w:t>
      </w:r>
      <w:r w:rsidRPr="00317DBA">
        <w:rPr>
          <w:rFonts w:ascii="Arial" w:hAnsi="Arial" w:cs="Arial"/>
          <w:b/>
          <w:sz w:val="22"/>
          <w:szCs w:val="22"/>
        </w:rPr>
        <w:t xml:space="preserve"> and use existing economic or regulatory impact analysis associated with the rulemaking containing the information collection, as appropriate.</w:t>
      </w:r>
    </w:p>
    <w:p w:rsidR="00295103" w:rsidRPr="00317DBA" w:rsidP="006319A2" w14:paraId="02922824" w14:textId="77777777">
      <w:pPr>
        <w:tabs>
          <w:tab w:val="left" w:pos="360"/>
          <w:tab w:val="left" w:pos="720"/>
        </w:tabs>
        <w:ind w:left="720" w:hanging="720"/>
        <w:rPr>
          <w:rFonts w:ascii="Arial" w:hAnsi="Arial" w:cs="Arial"/>
          <w:sz w:val="22"/>
          <w:szCs w:val="22"/>
        </w:rPr>
      </w:pPr>
      <w:r w:rsidRPr="00317DBA">
        <w:rPr>
          <w:rFonts w:ascii="Arial" w:hAnsi="Arial" w:cs="Arial"/>
          <w:b/>
          <w:sz w:val="22"/>
          <w:szCs w:val="22"/>
        </w:rPr>
        <w:tab/>
        <w:t>*</w:t>
      </w:r>
      <w:r w:rsidRPr="00317DBA">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95103" w:rsidRPr="00317DBA" w:rsidP="006319A2" w14:paraId="3C1A91DE" w14:textId="77777777">
      <w:pPr>
        <w:tabs>
          <w:tab w:val="left" w:pos="450"/>
          <w:tab w:val="left" w:pos="720"/>
        </w:tabs>
        <w:rPr>
          <w:rFonts w:ascii="Arial" w:hAnsi="Arial" w:cs="Arial"/>
          <w:sz w:val="22"/>
          <w:szCs w:val="22"/>
        </w:rPr>
      </w:pPr>
    </w:p>
    <w:p w:rsidR="003649C4" w:rsidRPr="00317DBA" w:rsidP="003649C4" w14:paraId="269B1AC0" w14:textId="77777777">
      <w:pPr>
        <w:tabs>
          <w:tab w:val="left" w:pos="360"/>
          <w:tab w:val="left" w:pos="720"/>
          <w:tab w:val="left" w:pos="1440"/>
        </w:tabs>
        <w:rPr>
          <w:rFonts w:ascii="Arial" w:hAnsi="Arial" w:cs="Arial"/>
          <w:sz w:val="22"/>
          <w:szCs w:val="22"/>
        </w:rPr>
      </w:pPr>
      <w:r w:rsidRPr="00317DBA">
        <w:rPr>
          <w:rFonts w:ascii="Arial" w:hAnsi="Arial" w:cs="Arial"/>
          <w:color w:val="000000" w:themeColor="text1"/>
          <w:sz w:val="22"/>
          <w:szCs w:val="22"/>
        </w:rPr>
        <w:t>There is no annual non-hour cost burden associated with this collection.</w:t>
      </w:r>
    </w:p>
    <w:p w:rsidR="00251281" w:rsidRPr="00317DBA" w:rsidP="006319A2" w14:paraId="514E76CC" w14:textId="77777777">
      <w:pPr>
        <w:tabs>
          <w:tab w:val="left" w:pos="450"/>
          <w:tab w:val="left" w:pos="720"/>
        </w:tabs>
        <w:rPr>
          <w:rFonts w:ascii="Arial" w:hAnsi="Arial" w:cs="Arial"/>
          <w:sz w:val="22"/>
          <w:szCs w:val="22"/>
        </w:rPr>
      </w:pPr>
    </w:p>
    <w:p w:rsidR="0060758B" w:rsidRPr="00317DBA" w:rsidP="00F464E2" w14:paraId="4A305EEE" w14:textId="77777777">
      <w:pPr>
        <w:pStyle w:val="Heading1"/>
        <w:tabs>
          <w:tab w:val="clear" w:pos="360"/>
          <w:tab w:val="left" w:pos="450"/>
        </w:tabs>
      </w:pPr>
      <w:r w:rsidRPr="00317DBA">
        <w:t>14.</w:t>
      </w:r>
      <w:r w:rsidRPr="00317DBA">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60758B" w:rsidRPr="00317DBA" w:rsidP="006319A2" w14:paraId="3CB69CBD" w14:textId="77777777">
      <w:pPr>
        <w:tabs>
          <w:tab w:val="left" w:pos="450"/>
          <w:tab w:val="left" w:pos="720"/>
        </w:tabs>
        <w:rPr>
          <w:rFonts w:ascii="Arial" w:hAnsi="Arial" w:cs="Arial"/>
          <w:sz w:val="22"/>
          <w:szCs w:val="22"/>
        </w:rPr>
      </w:pPr>
    </w:p>
    <w:p w:rsidR="004C4001" w:rsidRPr="00317DBA" w:rsidP="004C4001" w14:paraId="7EEDFAE1" w14:textId="7CF5A6B2">
      <w:pPr>
        <w:tabs>
          <w:tab w:val="left" w:pos="360"/>
          <w:tab w:val="left" w:pos="720"/>
          <w:tab w:val="left" w:pos="1440"/>
        </w:tabs>
        <w:rPr>
          <w:rFonts w:ascii="Arial" w:hAnsi="Arial" w:cs="Arial"/>
          <w:color w:val="000000" w:themeColor="text1"/>
          <w:sz w:val="22"/>
          <w:szCs w:val="22"/>
        </w:rPr>
      </w:pPr>
      <w:r w:rsidRPr="00317DBA">
        <w:rPr>
          <w:rFonts w:ascii="Arial" w:hAnsi="Arial" w:cs="Arial"/>
          <w:color w:val="000000" w:themeColor="text1"/>
          <w:sz w:val="22"/>
          <w:szCs w:val="22"/>
        </w:rPr>
        <w:t xml:space="preserve">The estimated annual cost to the Federal Government associated with this collection of information is </w:t>
      </w:r>
      <w:r w:rsidRPr="00317DBA">
        <w:rPr>
          <w:rFonts w:ascii="Arial" w:hAnsi="Arial" w:cs="Arial"/>
          <w:b/>
          <w:color w:val="000000" w:themeColor="text1"/>
          <w:sz w:val="22"/>
          <w:szCs w:val="22"/>
        </w:rPr>
        <w:t>$20</w:t>
      </w:r>
      <w:r w:rsidRPr="00317DBA" w:rsidR="00817465">
        <w:rPr>
          <w:rFonts w:ascii="Arial" w:hAnsi="Arial" w:cs="Arial"/>
          <w:b/>
          <w:color w:val="000000" w:themeColor="text1"/>
          <w:sz w:val="22"/>
          <w:szCs w:val="22"/>
        </w:rPr>
        <w:t>3</w:t>
      </w:r>
      <w:r w:rsidRPr="00317DBA">
        <w:rPr>
          <w:rFonts w:ascii="Arial" w:hAnsi="Arial" w:cs="Arial"/>
          <w:b/>
          <w:color w:val="000000" w:themeColor="text1"/>
          <w:sz w:val="22"/>
          <w:szCs w:val="22"/>
        </w:rPr>
        <w:t>,</w:t>
      </w:r>
      <w:r w:rsidRPr="00317DBA" w:rsidR="00817465">
        <w:rPr>
          <w:rFonts w:ascii="Arial" w:hAnsi="Arial" w:cs="Arial"/>
          <w:b/>
          <w:color w:val="000000" w:themeColor="text1"/>
          <w:sz w:val="22"/>
          <w:szCs w:val="22"/>
        </w:rPr>
        <w:t>617</w:t>
      </w:r>
      <w:r w:rsidRPr="00317DBA">
        <w:rPr>
          <w:rFonts w:ascii="Arial" w:hAnsi="Arial" w:cs="Arial"/>
          <w:color w:val="000000" w:themeColor="text1"/>
          <w:sz w:val="22"/>
          <w:szCs w:val="22"/>
        </w:rPr>
        <w:t xml:space="preserve"> (rounded), which includes $</w:t>
      </w:r>
      <w:r w:rsidRPr="00317DBA" w:rsidR="00817465">
        <w:rPr>
          <w:rFonts w:ascii="Arial" w:hAnsi="Arial" w:cs="Arial"/>
          <w:b/>
          <w:bCs/>
          <w:color w:val="000000" w:themeColor="text1"/>
          <w:sz w:val="22"/>
          <w:szCs w:val="22"/>
        </w:rPr>
        <w:t>3,617</w:t>
      </w:r>
      <w:r w:rsidRPr="00317DBA">
        <w:rPr>
          <w:rFonts w:ascii="Arial" w:hAnsi="Arial" w:cs="Arial"/>
          <w:b/>
          <w:bCs/>
          <w:color w:val="000000" w:themeColor="text1"/>
          <w:sz w:val="22"/>
          <w:szCs w:val="22"/>
        </w:rPr>
        <w:t xml:space="preserve"> </w:t>
      </w:r>
      <w:r w:rsidRPr="00317DBA">
        <w:rPr>
          <w:rFonts w:ascii="Arial" w:hAnsi="Arial" w:cs="Arial"/>
          <w:color w:val="000000" w:themeColor="text1"/>
          <w:sz w:val="22"/>
          <w:szCs w:val="22"/>
        </w:rPr>
        <w:t xml:space="preserve">(rounded) in Service salary costs to inform the survey development and report development and review.  It also includes </w:t>
      </w:r>
      <w:r w:rsidRPr="00317DBA">
        <w:rPr>
          <w:rFonts w:ascii="Arial" w:hAnsi="Arial" w:cs="Arial"/>
          <w:b/>
          <w:color w:val="000000" w:themeColor="text1"/>
          <w:sz w:val="22"/>
          <w:szCs w:val="22"/>
        </w:rPr>
        <w:t>$</w:t>
      </w:r>
      <w:r w:rsidRPr="00317DBA">
        <w:rPr>
          <w:rFonts w:ascii="Arial" w:hAnsi="Arial" w:cs="Arial"/>
          <w:b/>
          <w:bCs/>
          <w:color w:val="000000" w:themeColor="text1"/>
          <w:sz w:val="22"/>
          <w:szCs w:val="22"/>
        </w:rPr>
        <w:t>200,000</w:t>
      </w:r>
      <w:r w:rsidRPr="00317DBA">
        <w:rPr>
          <w:rFonts w:ascii="Arial" w:hAnsi="Arial" w:cs="Arial"/>
          <w:color w:val="000000" w:themeColor="text1"/>
          <w:sz w:val="22"/>
          <w:szCs w:val="22"/>
        </w:rPr>
        <w:t xml:space="preserve"> (rounded) for the Researchers’ contract for the survey work.  Project coordination, administration, and review will be done by a project team consisting of staff from </w:t>
      </w:r>
      <w:r w:rsidR="004A63CA">
        <w:rPr>
          <w:rFonts w:ascii="Arial" w:hAnsi="Arial" w:cs="Arial"/>
          <w:color w:val="000000" w:themeColor="text1"/>
          <w:sz w:val="22"/>
          <w:szCs w:val="22"/>
        </w:rPr>
        <w:t xml:space="preserve">the Service’s </w:t>
      </w:r>
      <w:r w:rsidRPr="00317DBA">
        <w:rPr>
          <w:rFonts w:ascii="Arial" w:hAnsi="Arial" w:cs="Arial"/>
          <w:color w:val="000000" w:themeColor="text1"/>
          <w:sz w:val="22"/>
          <w:szCs w:val="22"/>
        </w:rPr>
        <w:t>Region</w:t>
      </w:r>
      <w:r w:rsidR="004A63CA">
        <w:rPr>
          <w:rFonts w:ascii="Arial" w:hAnsi="Arial" w:cs="Arial"/>
          <w:color w:val="000000" w:themeColor="text1"/>
          <w:sz w:val="22"/>
          <w:szCs w:val="22"/>
        </w:rPr>
        <w:t>’s</w:t>
      </w:r>
      <w:r w:rsidRPr="00317DBA">
        <w:rPr>
          <w:rFonts w:ascii="Arial" w:hAnsi="Arial" w:cs="Arial"/>
          <w:color w:val="000000" w:themeColor="text1"/>
          <w:sz w:val="22"/>
          <w:szCs w:val="22"/>
        </w:rPr>
        <w:t xml:space="preserve"> </w:t>
      </w:r>
      <w:r w:rsidRPr="00317DBA" w:rsidR="005903FE">
        <w:rPr>
          <w:rFonts w:ascii="Arial" w:hAnsi="Arial" w:cs="Arial"/>
          <w:color w:val="000000" w:themeColor="text1"/>
          <w:sz w:val="22"/>
          <w:szCs w:val="22"/>
        </w:rPr>
        <w:t>3</w:t>
      </w:r>
      <w:r w:rsidRPr="00317DBA">
        <w:rPr>
          <w:rFonts w:ascii="Arial" w:hAnsi="Arial" w:cs="Arial"/>
          <w:color w:val="000000" w:themeColor="text1"/>
          <w:sz w:val="22"/>
          <w:szCs w:val="22"/>
        </w:rPr>
        <w:t xml:space="preserve"> and </w:t>
      </w:r>
      <w:r w:rsidRPr="00317DBA" w:rsidR="005903FE">
        <w:rPr>
          <w:rFonts w:ascii="Arial" w:hAnsi="Arial" w:cs="Arial"/>
          <w:color w:val="000000" w:themeColor="text1"/>
          <w:sz w:val="22"/>
          <w:szCs w:val="22"/>
        </w:rPr>
        <w:t>4</w:t>
      </w:r>
      <w:r w:rsidRPr="00317DBA">
        <w:rPr>
          <w:rFonts w:ascii="Arial" w:hAnsi="Arial" w:cs="Arial"/>
          <w:color w:val="000000" w:themeColor="text1"/>
          <w:sz w:val="22"/>
          <w:szCs w:val="22"/>
        </w:rPr>
        <w:t>.</w:t>
      </w:r>
    </w:p>
    <w:p w:rsidR="004C4001" w:rsidRPr="00317DBA" w:rsidP="004C4001" w14:paraId="4A1ADBBE" w14:textId="77777777">
      <w:pPr>
        <w:tabs>
          <w:tab w:val="left" w:pos="360"/>
          <w:tab w:val="left" w:pos="720"/>
          <w:tab w:val="left" w:pos="1440"/>
        </w:tabs>
        <w:rPr>
          <w:rFonts w:ascii="Arial" w:hAnsi="Arial" w:cs="Arial"/>
          <w:color w:val="000000" w:themeColor="text1"/>
          <w:sz w:val="22"/>
          <w:szCs w:val="22"/>
        </w:rPr>
      </w:pPr>
    </w:p>
    <w:p w:rsidR="00A9492C" w:rsidRPr="00317DBA" w:rsidP="004C4001" w14:paraId="5D112310" w14:textId="16EE82EA">
      <w:pPr>
        <w:tabs>
          <w:tab w:val="left" w:pos="360"/>
          <w:tab w:val="left" w:pos="720"/>
          <w:tab w:val="left" w:pos="1440"/>
        </w:tabs>
        <w:rPr>
          <w:rFonts w:ascii="Arial" w:hAnsi="Arial" w:cs="Arial"/>
          <w:color w:val="000000" w:themeColor="text1"/>
          <w:sz w:val="22"/>
          <w:szCs w:val="22"/>
        </w:rPr>
      </w:pPr>
      <w:r w:rsidRPr="35EB59F3">
        <w:rPr>
          <w:rFonts w:ascii="Arial" w:hAnsi="Arial" w:cs="Arial"/>
          <w:sz w:val="22"/>
          <w:szCs w:val="22"/>
        </w:rPr>
        <w:t xml:space="preserve">To determine average hourly rates, we used Office of Personnel Management Salary Table </w:t>
      </w:r>
      <w:hyperlink r:id="rId10">
        <w:r w:rsidRPr="35EB59F3">
          <w:rPr>
            <w:rStyle w:val="Hyperlink"/>
            <w:rFonts w:ascii="Arial" w:hAnsi="Arial" w:cs="Arial"/>
            <w:sz w:val="22"/>
            <w:szCs w:val="22"/>
          </w:rPr>
          <w:t>2024-RUS</w:t>
        </w:r>
      </w:hyperlink>
      <w:r w:rsidRPr="35EB59F3">
        <w:rPr>
          <w:rFonts w:ascii="Arial" w:hAnsi="Arial" w:cs="Arial"/>
          <w:sz w:val="22"/>
          <w:szCs w:val="22"/>
        </w:rPr>
        <w:t xml:space="preserve"> as an average nationwide rate.  To account for benefits, we multiplied the hourly rate by 1.</w:t>
      </w:r>
      <w:r w:rsidRPr="35EB59F3" w:rsidR="004C4001">
        <w:rPr>
          <w:rFonts w:ascii="Arial" w:hAnsi="Arial" w:cs="Arial"/>
          <w:sz w:val="22"/>
          <w:szCs w:val="22"/>
        </w:rPr>
        <w:t>6</w:t>
      </w:r>
      <w:r w:rsidRPr="35EB59F3">
        <w:rPr>
          <w:rFonts w:ascii="Arial" w:hAnsi="Arial" w:cs="Arial"/>
          <w:sz w:val="22"/>
          <w:szCs w:val="22"/>
        </w:rPr>
        <w:t xml:space="preserve">1 in accordance with BLS </w:t>
      </w:r>
      <w:hyperlink r:id="rId7">
        <w:r w:rsidRPr="35EB59F3" w:rsidR="004C4001">
          <w:rPr>
            <w:rStyle w:val="Hyperlink"/>
            <w:rFonts w:ascii="Arial" w:hAnsi="Arial" w:cs="Arial"/>
            <w:sz w:val="22"/>
            <w:szCs w:val="22"/>
          </w:rPr>
          <w:t>News Release</w:t>
        </w:r>
      </w:hyperlink>
      <w:r w:rsidRPr="35EB59F3" w:rsidR="004C4001">
        <w:rPr>
          <w:rFonts w:ascii="Arial" w:hAnsi="Arial" w:cs="Arial"/>
          <w:sz w:val="22"/>
          <w:szCs w:val="22"/>
        </w:rPr>
        <w:t xml:space="preserve"> USDL-24-1172</w:t>
      </w:r>
      <w:r w:rsidR="00542410">
        <w:rPr>
          <w:rFonts w:ascii="Arial" w:hAnsi="Arial" w:cs="Arial"/>
          <w:sz w:val="22"/>
          <w:szCs w:val="22"/>
        </w:rPr>
        <w:t>.</w:t>
      </w:r>
    </w:p>
    <w:p w:rsidR="00CB0308" w:rsidRPr="00317DBA" w:rsidP="00A9492C" w14:paraId="77AF1338" w14:textId="77777777">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Arial" w:hAnsi="Arial"/>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5"/>
        <w:gridCol w:w="1755"/>
        <w:gridCol w:w="1177"/>
        <w:gridCol w:w="1170"/>
        <w:gridCol w:w="1620"/>
        <w:gridCol w:w="1170"/>
        <w:gridCol w:w="1253"/>
      </w:tblGrid>
      <w:tr w14:paraId="7D743566" w14:textId="77777777" w:rsidTr="35EB59F3">
        <w:tblPrEx>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rPr>
        <w:tc>
          <w:tcPr>
            <w:tcW w:w="9540" w:type="dxa"/>
            <w:gridSpan w:val="7"/>
            <w:shd w:val="clear" w:color="auto" w:fill="auto"/>
            <w:noWrap/>
            <w:vAlign w:val="bottom"/>
            <w:hideMark/>
          </w:tcPr>
          <w:p w:rsidR="00A9492C" w:rsidRPr="00E9595F" w14:paraId="0ABC862D" w14:textId="77777777">
            <w:pPr>
              <w:widowControl/>
              <w:autoSpaceDE/>
              <w:autoSpaceDN/>
              <w:adjustRightInd/>
              <w:rPr>
                <w:rFonts w:ascii="Arial" w:hAnsi="Arial" w:cs="Arial"/>
                <w:b/>
                <w:bCs/>
                <w:color w:val="000000"/>
              </w:rPr>
            </w:pPr>
            <w:r w:rsidRPr="00E9595F">
              <w:rPr>
                <w:rFonts w:ascii="Arial" w:hAnsi="Arial" w:cs="Arial"/>
                <w:b/>
                <w:bCs/>
                <w:color w:val="000000"/>
              </w:rPr>
              <w:t>Table 14.1. Fish and Wildlife Salary/Benefits</w:t>
            </w:r>
          </w:p>
        </w:tc>
      </w:tr>
      <w:tr w14:paraId="19FAF07C" w14:textId="77777777" w:rsidTr="35EB59F3">
        <w:tblPrEx>
          <w:tblW w:w="9540" w:type="dxa"/>
          <w:tblLook w:val="04A0"/>
        </w:tblPrEx>
        <w:trPr>
          <w:trHeight w:val="20"/>
        </w:trPr>
        <w:tc>
          <w:tcPr>
            <w:tcW w:w="1395" w:type="dxa"/>
            <w:shd w:val="clear" w:color="auto" w:fill="auto"/>
            <w:vAlign w:val="bottom"/>
            <w:hideMark/>
          </w:tcPr>
          <w:p w:rsidR="00A9492C" w:rsidRPr="00E9595F" w:rsidP="00E9595F" w14:paraId="6E318E13" w14:textId="77777777">
            <w:pPr>
              <w:widowControl/>
              <w:autoSpaceDE/>
              <w:autoSpaceDN/>
              <w:adjustRightInd/>
              <w:jc w:val="center"/>
              <w:rPr>
                <w:rFonts w:ascii="Arial" w:hAnsi="Arial" w:cs="Arial"/>
                <w:b/>
                <w:bCs/>
                <w:color w:val="000000"/>
                <w:sz w:val="18"/>
                <w:szCs w:val="18"/>
              </w:rPr>
            </w:pPr>
            <w:r w:rsidRPr="00E9595F">
              <w:rPr>
                <w:rFonts w:ascii="Arial" w:eastAsia="Arial" w:hAnsi="Arial" w:cs="Arial"/>
                <w:b/>
                <w:bCs/>
                <w:color w:val="000000"/>
                <w:sz w:val="18"/>
                <w:szCs w:val="18"/>
              </w:rPr>
              <w:t>Action</w:t>
            </w:r>
          </w:p>
        </w:tc>
        <w:tc>
          <w:tcPr>
            <w:tcW w:w="1755" w:type="dxa"/>
            <w:shd w:val="clear" w:color="auto" w:fill="auto"/>
            <w:vAlign w:val="bottom"/>
            <w:hideMark/>
          </w:tcPr>
          <w:p w:rsidR="00A9492C" w:rsidRPr="00E9595F" w:rsidP="00E9595F" w14:paraId="7E247133" w14:textId="77777777">
            <w:pPr>
              <w:widowControl/>
              <w:autoSpaceDE/>
              <w:autoSpaceDN/>
              <w:adjustRightInd/>
              <w:jc w:val="center"/>
              <w:rPr>
                <w:rFonts w:ascii="Arial" w:hAnsi="Arial" w:cs="Arial"/>
                <w:b/>
                <w:bCs/>
                <w:color w:val="000000"/>
                <w:sz w:val="18"/>
                <w:szCs w:val="18"/>
              </w:rPr>
            </w:pPr>
            <w:r w:rsidRPr="00E9595F">
              <w:rPr>
                <w:rFonts w:ascii="Arial" w:eastAsia="Arial" w:hAnsi="Arial" w:cs="Arial"/>
                <w:b/>
                <w:bCs/>
                <w:color w:val="000000"/>
                <w:sz w:val="18"/>
                <w:szCs w:val="18"/>
              </w:rPr>
              <w:t>Position</w:t>
            </w:r>
          </w:p>
        </w:tc>
        <w:tc>
          <w:tcPr>
            <w:tcW w:w="1177" w:type="dxa"/>
            <w:shd w:val="clear" w:color="auto" w:fill="auto"/>
            <w:vAlign w:val="bottom"/>
            <w:hideMark/>
          </w:tcPr>
          <w:p w:rsidR="00A9492C" w:rsidRPr="00E9595F" w:rsidP="00E9595F" w14:paraId="5717ACEF" w14:textId="77777777">
            <w:pPr>
              <w:widowControl/>
              <w:autoSpaceDE/>
              <w:autoSpaceDN/>
              <w:adjustRightInd/>
              <w:jc w:val="center"/>
              <w:rPr>
                <w:rFonts w:ascii="Arial" w:hAnsi="Arial" w:cs="Arial"/>
                <w:b/>
                <w:bCs/>
                <w:color w:val="000000"/>
                <w:sz w:val="18"/>
                <w:szCs w:val="18"/>
              </w:rPr>
            </w:pPr>
            <w:r w:rsidRPr="00E9595F">
              <w:rPr>
                <w:rFonts w:ascii="Arial" w:hAnsi="Arial" w:cs="Arial"/>
                <w:b/>
                <w:bCs/>
                <w:color w:val="000000"/>
                <w:sz w:val="18"/>
                <w:szCs w:val="18"/>
              </w:rPr>
              <w:t>Grade/Step</w:t>
            </w:r>
          </w:p>
        </w:tc>
        <w:tc>
          <w:tcPr>
            <w:tcW w:w="1170" w:type="dxa"/>
            <w:shd w:val="clear" w:color="auto" w:fill="auto"/>
            <w:vAlign w:val="bottom"/>
            <w:hideMark/>
          </w:tcPr>
          <w:p w:rsidR="00A9492C" w:rsidRPr="00E9595F" w:rsidP="00E9595F" w14:paraId="42522CF5" w14:textId="77777777">
            <w:pPr>
              <w:widowControl/>
              <w:autoSpaceDE/>
              <w:autoSpaceDN/>
              <w:adjustRightInd/>
              <w:jc w:val="center"/>
              <w:rPr>
                <w:rFonts w:ascii="Arial" w:hAnsi="Arial" w:cs="Arial"/>
                <w:b/>
                <w:bCs/>
                <w:color w:val="000000"/>
                <w:sz w:val="18"/>
                <w:szCs w:val="18"/>
              </w:rPr>
            </w:pPr>
            <w:r w:rsidRPr="00E9595F">
              <w:rPr>
                <w:rFonts w:ascii="Arial" w:eastAsia="Arial" w:hAnsi="Arial" w:cs="Arial"/>
                <w:b/>
                <w:bCs/>
                <w:color w:val="000000"/>
                <w:sz w:val="18"/>
                <w:szCs w:val="18"/>
              </w:rPr>
              <w:t>Hourly Rate</w:t>
            </w:r>
          </w:p>
        </w:tc>
        <w:tc>
          <w:tcPr>
            <w:tcW w:w="1620" w:type="dxa"/>
            <w:shd w:val="clear" w:color="auto" w:fill="auto"/>
            <w:vAlign w:val="bottom"/>
            <w:hideMark/>
          </w:tcPr>
          <w:p w:rsidR="00A9492C" w:rsidRPr="00E9595F" w:rsidP="00E9595F" w14:paraId="65938E90" w14:textId="77777777">
            <w:pPr>
              <w:widowControl/>
              <w:autoSpaceDE/>
              <w:autoSpaceDN/>
              <w:adjustRightInd/>
              <w:jc w:val="center"/>
              <w:rPr>
                <w:rFonts w:ascii="Arial" w:hAnsi="Arial" w:cs="Arial"/>
                <w:b/>
                <w:bCs/>
                <w:color w:val="000000"/>
                <w:sz w:val="18"/>
                <w:szCs w:val="18"/>
              </w:rPr>
            </w:pPr>
            <w:r w:rsidRPr="00E9595F">
              <w:rPr>
                <w:rFonts w:ascii="Arial" w:eastAsia="Arial" w:hAnsi="Arial" w:cs="Arial"/>
                <w:b/>
                <w:bCs/>
                <w:color w:val="000000"/>
                <w:sz w:val="18"/>
                <w:szCs w:val="18"/>
              </w:rPr>
              <w:t>Fully Burdened Hourly Rate (Incl. Benefits)</w:t>
            </w:r>
          </w:p>
        </w:tc>
        <w:tc>
          <w:tcPr>
            <w:tcW w:w="1170" w:type="dxa"/>
            <w:shd w:val="clear" w:color="auto" w:fill="auto"/>
            <w:vAlign w:val="bottom"/>
            <w:hideMark/>
          </w:tcPr>
          <w:p w:rsidR="00A9492C" w:rsidRPr="00E9595F" w:rsidP="00E9595F" w14:paraId="68D1292A" w14:textId="77777777">
            <w:pPr>
              <w:widowControl/>
              <w:autoSpaceDE/>
              <w:autoSpaceDN/>
              <w:adjustRightInd/>
              <w:jc w:val="center"/>
              <w:rPr>
                <w:rFonts w:ascii="Arial" w:hAnsi="Arial" w:cs="Arial"/>
                <w:b/>
                <w:bCs/>
                <w:color w:val="000000"/>
                <w:sz w:val="18"/>
                <w:szCs w:val="18"/>
              </w:rPr>
            </w:pPr>
            <w:r w:rsidRPr="00E9595F">
              <w:rPr>
                <w:rFonts w:ascii="Arial" w:eastAsia="Arial" w:hAnsi="Arial" w:cs="Arial"/>
                <w:b/>
                <w:bCs/>
                <w:color w:val="000000"/>
                <w:sz w:val="18"/>
                <w:szCs w:val="18"/>
              </w:rPr>
              <w:t>Total Annual Hours</w:t>
            </w:r>
          </w:p>
        </w:tc>
        <w:tc>
          <w:tcPr>
            <w:tcW w:w="1253" w:type="dxa"/>
            <w:shd w:val="clear" w:color="auto" w:fill="auto"/>
            <w:vAlign w:val="bottom"/>
            <w:hideMark/>
          </w:tcPr>
          <w:p w:rsidR="00A9492C" w:rsidRPr="00E9595F" w:rsidP="00E9595F" w14:paraId="3B251DF4" w14:textId="77777777">
            <w:pPr>
              <w:widowControl/>
              <w:autoSpaceDE/>
              <w:autoSpaceDN/>
              <w:adjustRightInd/>
              <w:jc w:val="center"/>
              <w:rPr>
                <w:rFonts w:ascii="Arial" w:hAnsi="Arial" w:cs="Arial"/>
                <w:b/>
                <w:bCs/>
                <w:color w:val="000000"/>
                <w:sz w:val="18"/>
                <w:szCs w:val="18"/>
              </w:rPr>
            </w:pPr>
            <w:r w:rsidRPr="00E9595F">
              <w:rPr>
                <w:rFonts w:ascii="Arial" w:eastAsia="Arial" w:hAnsi="Arial" w:cs="Arial"/>
                <w:b/>
                <w:bCs/>
                <w:color w:val="000000"/>
                <w:sz w:val="18"/>
                <w:szCs w:val="18"/>
              </w:rPr>
              <w:t>Total Annual Cost</w:t>
            </w:r>
          </w:p>
        </w:tc>
      </w:tr>
      <w:tr w14:paraId="1B1998A7" w14:textId="77777777" w:rsidTr="35EB59F3">
        <w:tblPrEx>
          <w:tblW w:w="9540" w:type="dxa"/>
          <w:tblLook w:val="04A0"/>
        </w:tblPrEx>
        <w:trPr>
          <w:trHeight w:val="20"/>
        </w:trPr>
        <w:tc>
          <w:tcPr>
            <w:tcW w:w="1395" w:type="dxa"/>
            <w:vMerge w:val="restart"/>
            <w:shd w:val="clear" w:color="auto" w:fill="auto"/>
            <w:vAlign w:val="center"/>
            <w:hideMark/>
          </w:tcPr>
          <w:p w:rsidR="00A9492C" w:rsidRPr="00E9595F" w14:paraId="4AE88C87" w14:textId="48F792C7">
            <w:pPr>
              <w:widowControl/>
              <w:autoSpaceDE/>
              <w:autoSpaceDN/>
              <w:adjustRightInd/>
              <w:rPr>
                <w:rFonts w:ascii="Arial" w:hAnsi="Arial" w:cs="Arial"/>
                <w:color w:val="000000"/>
              </w:rPr>
            </w:pPr>
            <w:r w:rsidRPr="00E9595F">
              <w:rPr>
                <w:rFonts w:ascii="Arial" w:eastAsia="Arial" w:hAnsi="Arial" w:cs="Arial"/>
                <w:color w:val="000000"/>
              </w:rPr>
              <w:t>Survey</w:t>
            </w:r>
            <w:r w:rsidRPr="00E9595F" w:rsidR="00447446">
              <w:rPr>
                <w:rFonts w:ascii="Arial" w:eastAsia="Arial" w:hAnsi="Arial" w:cs="Arial"/>
                <w:color w:val="000000"/>
              </w:rPr>
              <w:t xml:space="preserve"> </w:t>
            </w:r>
            <w:r w:rsidRPr="00E9595F">
              <w:rPr>
                <w:rFonts w:ascii="Arial" w:eastAsia="Arial" w:hAnsi="Arial" w:cs="Arial"/>
                <w:color w:val="000000"/>
              </w:rPr>
              <w:t>Development</w:t>
            </w:r>
          </w:p>
        </w:tc>
        <w:tc>
          <w:tcPr>
            <w:tcW w:w="1755" w:type="dxa"/>
            <w:shd w:val="clear" w:color="auto" w:fill="auto"/>
            <w:vAlign w:val="center"/>
            <w:hideMark/>
          </w:tcPr>
          <w:p w:rsidR="00A9492C" w:rsidRPr="00E9595F" w14:paraId="5663FBD2" w14:textId="77777777">
            <w:pPr>
              <w:widowControl/>
              <w:autoSpaceDE/>
              <w:autoSpaceDN/>
              <w:adjustRightInd/>
              <w:rPr>
                <w:rFonts w:ascii="Arial" w:hAnsi="Arial" w:cs="Arial"/>
                <w:color w:val="000000"/>
              </w:rPr>
            </w:pPr>
            <w:r w:rsidRPr="00E9595F">
              <w:rPr>
                <w:rFonts w:ascii="Arial" w:hAnsi="Arial" w:cs="Arial"/>
                <w:color w:val="000000"/>
              </w:rPr>
              <w:t>Social Scientist</w:t>
            </w:r>
          </w:p>
        </w:tc>
        <w:tc>
          <w:tcPr>
            <w:tcW w:w="1177" w:type="dxa"/>
            <w:shd w:val="clear" w:color="auto" w:fill="auto"/>
            <w:vAlign w:val="center"/>
            <w:hideMark/>
          </w:tcPr>
          <w:p w:rsidR="00A9492C" w:rsidRPr="00E9595F" w14:paraId="54C08CE4" w14:textId="24F27DA1">
            <w:pPr>
              <w:widowControl/>
              <w:autoSpaceDE/>
              <w:autoSpaceDN/>
              <w:adjustRightInd/>
              <w:jc w:val="center"/>
              <w:rPr>
                <w:rFonts w:ascii="Arial" w:hAnsi="Arial" w:cs="Arial"/>
                <w:color w:val="000000"/>
              </w:rPr>
            </w:pPr>
            <w:r w:rsidRPr="00E9595F">
              <w:rPr>
                <w:rFonts w:ascii="Arial" w:hAnsi="Arial" w:cs="Arial"/>
                <w:color w:val="000000" w:themeColor="text1"/>
              </w:rPr>
              <w:t>GS-13/0</w:t>
            </w:r>
            <w:r w:rsidR="004C4001">
              <w:rPr>
                <w:rFonts w:ascii="Arial" w:hAnsi="Arial" w:cs="Arial"/>
                <w:color w:val="000000" w:themeColor="text1"/>
              </w:rPr>
              <w:t>5</w:t>
            </w:r>
          </w:p>
        </w:tc>
        <w:tc>
          <w:tcPr>
            <w:tcW w:w="1170" w:type="dxa"/>
            <w:shd w:val="clear" w:color="auto" w:fill="auto"/>
            <w:vAlign w:val="center"/>
            <w:hideMark/>
          </w:tcPr>
          <w:p w:rsidR="00A9492C" w:rsidRPr="00E9595F" w:rsidP="004C4001" w14:paraId="79E9EC5A" w14:textId="64AFF2E3">
            <w:pPr>
              <w:widowControl/>
              <w:autoSpaceDE/>
              <w:autoSpaceDN/>
              <w:adjustRightInd/>
              <w:jc w:val="right"/>
              <w:rPr>
                <w:rFonts w:ascii="Arial" w:hAnsi="Arial" w:cs="Arial"/>
                <w:color w:val="000000"/>
              </w:rPr>
            </w:pPr>
            <w:r w:rsidRPr="00E9595F">
              <w:rPr>
                <w:rFonts w:ascii="Arial" w:hAnsi="Arial" w:cs="Arial"/>
                <w:color w:val="000000"/>
              </w:rPr>
              <w:t>$</w:t>
            </w:r>
            <w:r w:rsidR="004C4001">
              <w:rPr>
                <w:rFonts w:ascii="Arial" w:hAnsi="Arial" w:cs="Arial"/>
                <w:color w:val="000000"/>
              </w:rPr>
              <w:t xml:space="preserve">  </w:t>
            </w:r>
            <w:r w:rsidRPr="00D00158" w:rsidR="00D00158">
              <w:rPr>
                <w:rFonts w:ascii="Arial" w:hAnsi="Arial" w:cs="Arial"/>
                <w:color w:val="000000"/>
              </w:rPr>
              <w:t>56.16</w:t>
            </w:r>
          </w:p>
        </w:tc>
        <w:tc>
          <w:tcPr>
            <w:tcW w:w="1620" w:type="dxa"/>
            <w:shd w:val="clear" w:color="auto" w:fill="auto"/>
            <w:vAlign w:val="center"/>
          </w:tcPr>
          <w:p w:rsidR="00A9492C" w:rsidRPr="00E9595F" w:rsidP="004C4001" w14:paraId="1E1D3D9F" w14:textId="77DBC910">
            <w:pPr>
              <w:widowControl/>
              <w:autoSpaceDE/>
              <w:autoSpaceDN/>
              <w:adjustRightInd/>
              <w:jc w:val="right"/>
              <w:rPr>
                <w:rFonts w:ascii="Arial" w:hAnsi="Arial" w:cs="Arial"/>
                <w:color w:val="000000"/>
              </w:rPr>
            </w:pPr>
            <w:r>
              <w:rPr>
                <w:rFonts w:ascii="Arial" w:hAnsi="Arial" w:cs="Arial"/>
                <w:color w:val="000000"/>
              </w:rPr>
              <w:t>$  90.42</w:t>
            </w:r>
          </w:p>
        </w:tc>
        <w:tc>
          <w:tcPr>
            <w:tcW w:w="1170" w:type="dxa"/>
            <w:shd w:val="clear" w:color="auto" w:fill="auto"/>
            <w:vAlign w:val="center"/>
            <w:hideMark/>
          </w:tcPr>
          <w:p w:rsidR="00A9492C" w:rsidRPr="00E9595F" w14:paraId="62D1B93A" w14:textId="77777777">
            <w:pPr>
              <w:widowControl/>
              <w:autoSpaceDE/>
              <w:autoSpaceDN/>
              <w:adjustRightInd/>
              <w:jc w:val="center"/>
              <w:rPr>
                <w:rFonts w:ascii="Arial" w:hAnsi="Arial" w:cs="Arial"/>
                <w:color w:val="000000"/>
              </w:rPr>
            </w:pPr>
            <w:r w:rsidRPr="00E9595F">
              <w:rPr>
                <w:rFonts w:ascii="Arial" w:hAnsi="Arial" w:cs="Arial"/>
                <w:color w:val="000000"/>
              </w:rPr>
              <w:t>10</w:t>
            </w:r>
          </w:p>
        </w:tc>
        <w:tc>
          <w:tcPr>
            <w:tcW w:w="1253" w:type="dxa"/>
            <w:shd w:val="clear" w:color="auto" w:fill="auto"/>
            <w:vAlign w:val="center"/>
          </w:tcPr>
          <w:p w:rsidR="00A9492C" w:rsidRPr="00E9595F" w:rsidP="004C4001" w14:paraId="22BBD651" w14:textId="6D4B2CEC">
            <w:pPr>
              <w:widowControl/>
              <w:autoSpaceDE/>
              <w:autoSpaceDN/>
              <w:adjustRightInd/>
              <w:jc w:val="right"/>
              <w:rPr>
                <w:rFonts w:ascii="Arial" w:hAnsi="Arial" w:cs="Arial"/>
                <w:color w:val="000000"/>
              </w:rPr>
            </w:pPr>
            <w:r>
              <w:rPr>
                <w:rFonts w:ascii="Arial" w:hAnsi="Arial" w:cs="Arial"/>
                <w:color w:val="000000"/>
              </w:rPr>
              <w:t>$  904.20</w:t>
            </w:r>
          </w:p>
        </w:tc>
      </w:tr>
      <w:tr w14:paraId="0E383399" w14:textId="77777777" w:rsidTr="35EB59F3">
        <w:tblPrEx>
          <w:tblW w:w="9540" w:type="dxa"/>
          <w:tblLook w:val="04A0"/>
        </w:tblPrEx>
        <w:trPr>
          <w:trHeight w:val="20"/>
        </w:trPr>
        <w:tc>
          <w:tcPr>
            <w:tcW w:w="1395" w:type="dxa"/>
            <w:vMerge/>
            <w:vAlign w:val="center"/>
            <w:hideMark/>
          </w:tcPr>
          <w:p w:rsidR="00A9492C" w:rsidRPr="00E9595F" w14:paraId="4001ED20" w14:textId="77777777">
            <w:pPr>
              <w:widowControl/>
              <w:autoSpaceDE/>
              <w:autoSpaceDN/>
              <w:adjustRightInd/>
              <w:rPr>
                <w:rFonts w:ascii="Arial" w:hAnsi="Arial" w:cs="Arial"/>
                <w:color w:val="000000"/>
              </w:rPr>
            </w:pPr>
          </w:p>
        </w:tc>
        <w:tc>
          <w:tcPr>
            <w:tcW w:w="1755" w:type="dxa"/>
            <w:shd w:val="clear" w:color="auto" w:fill="auto"/>
            <w:vAlign w:val="center"/>
            <w:hideMark/>
          </w:tcPr>
          <w:p w:rsidR="00A9492C" w:rsidRPr="00E9595F" w14:paraId="24F2AFC8" w14:textId="77777777">
            <w:pPr>
              <w:widowControl/>
              <w:autoSpaceDE/>
              <w:autoSpaceDN/>
              <w:adjustRightInd/>
              <w:rPr>
                <w:rFonts w:ascii="Arial" w:hAnsi="Arial" w:cs="Arial"/>
                <w:color w:val="000000"/>
              </w:rPr>
            </w:pPr>
            <w:r w:rsidRPr="00E9595F">
              <w:rPr>
                <w:rFonts w:ascii="Arial" w:hAnsi="Arial" w:cs="Arial"/>
                <w:color w:val="000000"/>
              </w:rPr>
              <w:t>Social Scientist</w:t>
            </w:r>
          </w:p>
        </w:tc>
        <w:tc>
          <w:tcPr>
            <w:tcW w:w="1177" w:type="dxa"/>
            <w:shd w:val="clear" w:color="auto" w:fill="auto"/>
            <w:vAlign w:val="center"/>
            <w:hideMark/>
          </w:tcPr>
          <w:p w:rsidR="00A9492C" w:rsidRPr="00E9595F" w14:paraId="0D4E4641" w14:textId="3B1E7B11">
            <w:pPr>
              <w:widowControl/>
              <w:autoSpaceDE/>
              <w:autoSpaceDN/>
              <w:adjustRightInd/>
              <w:jc w:val="center"/>
              <w:rPr>
                <w:rFonts w:ascii="Arial" w:hAnsi="Arial" w:cs="Arial"/>
                <w:color w:val="000000"/>
              </w:rPr>
            </w:pPr>
            <w:r w:rsidRPr="00E9595F">
              <w:rPr>
                <w:rFonts w:ascii="Arial" w:hAnsi="Arial" w:cs="Arial"/>
                <w:color w:val="000000" w:themeColor="text1"/>
              </w:rPr>
              <w:t>GS-13/0</w:t>
            </w:r>
            <w:r w:rsidR="004C4001">
              <w:rPr>
                <w:rFonts w:ascii="Arial" w:hAnsi="Arial" w:cs="Arial"/>
                <w:color w:val="000000" w:themeColor="text1"/>
              </w:rPr>
              <w:t>5</w:t>
            </w:r>
          </w:p>
        </w:tc>
        <w:tc>
          <w:tcPr>
            <w:tcW w:w="1170" w:type="dxa"/>
            <w:shd w:val="clear" w:color="auto" w:fill="auto"/>
            <w:vAlign w:val="center"/>
            <w:hideMark/>
          </w:tcPr>
          <w:p w:rsidR="00A9492C" w:rsidRPr="00E9595F" w:rsidP="004C4001" w14:paraId="0EE9E0BE" w14:textId="16100DBC">
            <w:pPr>
              <w:widowControl/>
              <w:autoSpaceDE/>
              <w:autoSpaceDN/>
              <w:adjustRightInd/>
              <w:jc w:val="right"/>
              <w:rPr>
                <w:rFonts w:ascii="Arial" w:hAnsi="Arial" w:cs="Arial"/>
                <w:color w:val="000000"/>
              </w:rPr>
            </w:pPr>
            <w:r w:rsidRPr="00D00158">
              <w:rPr>
                <w:rFonts w:ascii="Arial" w:hAnsi="Arial" w:cs="Arial"/>
                <w:color w:val="000000"/>
              </w:rPr>
              <w:t>56.16</w:t>
            </w:r>
          </w:p>
        </w:tc>
        <w:tc>
          <w:tcPr>
            <w:tcW w:w="1620" w:type="dxa"/>
            <w:shd w:val="clear" w:color="auto" w:fill="auto"/>
            <w:vAlign w:val="center"/>
          </w:tcPr>
          <w:p w:rsidR="00A9492C" w:rsidRPr="00E9595F" w:rsidP="004C4001" w14:paraId="3D5F842F" w14:textId="0C6F24D8">
            <w:pPr>
              <w:widowControl/>
              <w:autoSpaceDE/>
              <w:autoSpaceDN/>
              <w:adjustRightInd/>
              <w:jc w:val="right"/>
              <w:rPr>
                <w:rFonts w:ascii="Arial" w:hAnsi="Arial" w:cs="Arial"/>
                <w:color w:val="000000"/>
              </w:rPr>
            </w:pPr>
            <w:r>
              <w:rPr>
                <w:rFonts w:ascii="Arial" w:hAnsi="Arial" w:cs="Arial"/>
                <w:color w:val="000000"/>
              </w:rPr>
              <w:t>90.42</w:t>
            </w:r>
          </w:p>
        </w:tc>
        <w:tc>
          <w:tcPr>
            <w:tcW w:w="1170" w:type="dxa"/>
            <w:shd w:val="clear" w:color="auto" w:fill="auto"/>
            <w:vAlign w:val="center"/>
            <w:hideMark/>
          </w:tcPr>
          <w:p w:rsidR="00A9492C" w:rsidRPr="00E9595F" w14:paraId="145ECA88" w14:textId="77777777">
            <w:pPr>
              <w:widowControl/>
              <w:autoSpaceDE/>
              <w:autoSpaceDN/>
              <w:adjustRightInd/>
              <w:jc w:val="center"/>
              <w:rPr>
                <w:rFonts w:ascii="Arial" w:hAnsi="Arial" w:cs="Arial"/>
                <w:color w:val="000000"/>
              </w:rPr>
            </w:pPr>
            <w:r w:rsidRPr="00E9595F">
              <w:rPr>
                <w:rFonts w:ascii="Arial" w:hAnsi="Arial" w:cs="Arial"/>
                <w:color w:val="000000"/>
              </w:rPr>
              <w:t>10</w:t>
            </w:r>
          </w:p>
        </w:tc>
        <w:tc>
          <w:tcPr>
            <w:tcW w:w="1253" w:type="dxa"/>
            <w:shd w:val="clear" w:color="auto" w:fill="auto"/>
            <w:vAlign w:val="center"/>
          </w:tcPr>
          <w:p w:rsidR="00A9492C" w:rsidRPr="00E9595F" w:rsidP="004C4001" w14:paraId="138C7383" w14:textId="55341FFB">
            <w:pPr>
              <w:widowControl/>
              <w:autoSpaceDE/>
              <w:autoSpaceDN/>
              <w:adjustRightInd/>
              <w:jc w:val="right"/>
              <w:rPr>
                <w:rFonts w:ascii="Arial" w:hAnsi="Arial" w:cs="Arial"/>
                <w:color w:val="000000"/>
              </w:rPr>
            </w:pPr>
            <w:r>
              <w:rPr>
                <w:rFonts w:ascii="Arial" w:hAnsi="Arial" w:cs="Arial"/>
                <w:color w:val="000000"/>
              </w:rPr>
              <w:t>904.20</w:t>
            </w:r>
          </w:p>
        </w:tc>
      </w:tr>
      <w:tr w14:paraId="7A715E50" w14:textId="77777777" w:rsidTr="35EB59F3">
        <w:tblPrEx>
          <w:tblW w:w="9540" w:type="dxa"/>
          <w:tblLook w:val="04A0"/>
        </w:tblPrEx>
        <w:trPr>
          <w:trHeight w:val="20"/>
        </w:trPr>
        <w:tc>
          <w:tcPr>
            <w:tcW w:w="1395" w:type="dxa"/>
            <w:vMerge w:val="restart"/>
            <w:shd w:val="clear" w:color="auto" w:fill="auto"/>
            <w:vAlign w:val="center"/>
            <w:hideMark/>
          </w:tcPr>
          <w:p w:rsidR="00D00158" w:rsidRPr="00E9595F" w:rsidP="00D00158" w14:paraId="1D20213E" w14:textId="5D15780E">
            <w:pPr>
              <w:widowControl/>
              <w:autoSpaceDE/>
              <w:autoSpaceDN/>
              <w:adjustRightInd/>
              <w:rPr>
                <w:rFonts w:ascii="Arial" w:hAnsi="Arial" w:cs="Arial"/>
                <w:color w:val="000000"/>
              </w:rPr>
            </w:pPr>
            <w:r w:rsidRPr="00E9595F">
              <w:rPr>
                <w:rFonts w:ascii="Arial" w:eastAsia="Arial" w:hAnsi="Arial" w:cs="Arial"/>
                <w:color w:val="000000"/>
              </w:rPr>
              <w:t>Report Development &amp; Review</w:t>
            </w:r>
          </w:p>
        </w:tc>
        <w:tc>
          <w:tcPr>
            <w:tcW w:w="1755" w:type="dxa"/>
            <w:shd w:val="clear" w:color="auto" w:fill="auto"/>
            <w:vAlign w:val="center"/>
            <w:hideMark/>
          </w:tcPr>
          <w:p w:rsidR="00D00158" w:rsidRPr="00E9595F" w:rsidP="00D00158" w14:paraId="74A804E3" w14:textId="77777777">
            <w:pPr>
              <w:widowControl/>
              <w:autoSpaceDE/>
              <w:autoSpaceDN/>
              <w:adjustRightInd/>
              <w:rPr>
                <w:rFonts w:ascii="Arial" w:hAnsi="Arial" w:cs="Arial"/>
                <w:color w:val="000000"/>
              </w:rPr>
            </w:pPr>
            <w:r w:rsidRPr="00E9595F">
              <w:rPr>
                <w:rFonts w:ascii="Arial" w:hAnsi="Arial" w:cs="Arial"/>
                <w:color w:val="000000"/>
              </w:rPr>
              <w:t>Social Scientist</w:t>
            </w:r>
          </w:p>
        </w:tc>
        <w:tc>
          <w:tcPr>
            <w:tcW w:w="1177" w:type="dxa"/>
            <w:shd w:val="clear" w:color="auto" w:fill="auto"/>
            <w:vAlign w:val="center"/>
            <w:hideMark/>
          </w:tcPr>
          <w:p w:rsidR="00D00158" w:rsidRPr="00E9595F" w:rsidP="00D00158" w14:paraId="6CD06F99" w14:textId="67F1BE5C">
            <w:pPr>
              <w:widowControl/>
              <w:autoSpaceDE/>
              <w:autoSpaceDN/>
              <w:adjustRightInd/>
              <w:jc w:val="center"/>
              <w:rPr>
                <w:rFonts w:ascii="Arial" w:hAnsi="Arial" w:cs="Arial"/>
                <w:color w:val="000000"/>
              </w:rPr>
            </w:pPr>
            <w:r w:rsidRPr="00E9595F">
              <w:rPr>
                <w:rFonts w:ascii="Arial" w:hAnsi="Arial" w:cs="Arial"/>
                <w:color w:val="000000" w:themeColor="text1"/>
              </w:rPr>
              <w:t>GS-13/0</w:t>
            </w:r>
            <w:r>
              <w:rPr>
                <w:rFonts w:ascii="Arial" w:hAnsi="Arial" w:cs="Arial"/>
                <w:color w:val="000000" w:themeColor="text1"/>
              </w:rPr>
              <w:t>5</w:t>
            </w:r>
          </w:p>
        </w:tc>
        <w:tc>
          <w:tcPr>
            <w:tcW w:w="1170" w:type="dxa"/>
            <w:shd w:val="clear" w:color="auto" w:fill="auto"/>
            <w:vAlign w:val="center"/>
            <w:hideMark/>
          </w:tcPr>
          <w:p w:rsidR="00D00158" w:rsidRPr="00E9595F" w:rsidP="00D00158" w14:paraId="13563998" w14:textId="1B742C2E">
            <w:pPr>
              <w:widowControl/>
              <w:autoSpaceDE/>
              <w:autoSpaceDN/>
              <w:adjustRightInd/>
              <w:jc w:val="right"/>
              <w:rPr>
                <w:rFonts w:ascii="Arial" w:hAnsi="Arial" w:cs="Arial"/>
                <w:color w:val="000000"/>
              </w:rPr>
            </w:pPr>
            <w:r w:rsidRPr="00D00158">
              <w:rPr>
                <w:rFonts w:ascii="Arial" w:hAnsi="Arial" w:cs="Arial"/>
                <w:color w:val="000000"/>
              </w:rPr>
              <w:t>56.16</w:t>
            </w:r>
          </w:p>
        </w:tc>
        <w:tc>
          <w:tcPr>
            <w:tcW w:w="1620" w:type="dxa"/>
            <w:shd w:val="clear" w:color="auto" w:fill="auto"/>
            <w:vAlign w:val="center"/>
          </w:tcPr>
          <w:p w:rsidR="00D00158" w:rsidRPr="00E9595F" w:rsidP="00D00158" w14:paraId="6DEC3D2E" w14:textId="1EE53169">
            <w:pPr>
              <w:widowControl/>
              <w:autoSpaceDE/>
              <w:autoSpaceDN/>
              <w:adjustRightInd/>
              <w:jc w:val="right"/>
              <w:rPr>
                <w:rFonts w:ascii="Arial" w:hAnsi="Arial" w:cs="Arial"/>
                <w:color w:val="000000"/>
              </w:rPr>
            </w:pPr>
            <w:r>
              <w:rPr>
                <w:rFonts w:ascii="Arial" w:hAnsi="Arial" w:cs="Arial"/>
                <w:color w:val="000000"/>
              </w:rPr>
              <w:t>90.42</w:t>
            </w:r>
          </w:p>
        </w:tc>
        <w:tc>
          <w:tcPr>
            <w:tcW w:w="1170" w:type="dxa"/>
            <w:shd w:val="clear" w:color="auto" w:fill="auto"/>
            <w:vAlign w:val="center"/>
            <w:hideMark/>
          </w:tcPr>
          <w:p w:rsidR="00D00158" w:rsidRPr="00E9595F" w:rsidP="00D00158" w14:paraId="1AF3FA0F" w14:textId="77777777">
            <w:pPr>
              <w:widowControl/>
              <w:autoSpaceDE/>
              <w:autoSpaceDN/>
              <w:adjustRightInd/>
              <w:jc w:val="center"/>
              <w:rPr>
                <w:rFonts w:ascii="Arial" w:hAnsi="Arial" w:cs="Arial"/>
                <w:color w:val="000000"/>
              </w:rPr>
            </w:pPr>
            <w:r w:rsidRPr="00E9595F">
              <w:rPr>
                <w:rFonts w:ascii="Arial" w:hAnsi="Arial" w:cs="Arial"/>
                <w:color w:val="000000" w:themeColor="text1"/>
              </w:rPr>
              <w:t>10</w:t>
            </w:r>
          </w:p>
        </w:tc>
        <w:tc>
          <w:tcPr>
            <w:tcW w:w="1253" w:type="dxa"/>
            <w:shd w:val="clear" w:color="auto" w:fill="auto"/>
            <w:vAlign w:val="center"/>
          </w:tcPr>
          <w:p w:rsidR="00D00158" w:rsidRPr="00E9595F" w:rsidP="00D00158" w14:paraId="1CCCDE1A" w14:textId="4BBBC38A">
            <w:pPr>
              <w:widowControl/>
              <w:autoSpaceDE/>
              <w:autoSpaceDN/>
              <w:adjustRightInd/>
              <w:jc w:val="right"/>
              <w:rPr>
                <w:rFonts w:ascii="Arial" w:hAnsi="Arial" w:cs="Arial"/>
                <w:color w:val="000000"/>
              </w:rPr>
            </w:pPr>
            <w:r>
              <w:rPr>
                <w:rFonts w:ascii="Arial" w:hAnsi="Arial" w:cs="Arial"/>
                <w:color w:val="000000"/>
              </w:rPr>
              <w:t>904.20</w:t>
            </w:r>
          </w:p>
        </w:tc>
      </w:tr>
      <w:tr w14:paraId="4B87544A" w14:textId="77777777" w:rsidTr="35EB59F3">
        <w:tblPrEx>
          <w:tblW w:w="9540" w:type="dxa"/>
          <w:tblLook w:val="04A0"/>
        </w:tblPrEx>
        <w:trPr>
          <w:trHeight w:val="20"/>
        </w:trPr>
        <w:tc>
          <w:tcPr>
            <w:tcW w:w="1395" w:type="dxa"/>
            <w:vMerge/>
            <w:vAlign w:val="center"/>
            <w:hideMark/>
          </w:tcPr>
          <w:p w:rsidR="00D00158" w:rsidRPr="00E9595F" w:rsidP="00D00158" w14:paraId="6A3C1F37" w14:textId="77777777">
            <w:pPr>
              <w:widowControl/>
              <w:autoSpaceDE/>
              <w:autoSpaceDN/>
              <w:adjustRightInd/>
              <w:rPr>
                <w:rFonts w:ascii="Arial" w:hAnsi="Arial" w:cs="Arial"/>
                <w:color w:val="000000"/>
              </w:rPr>
            </w:pPr>
          </w:p>
        </w:tc>
        <w:tc>
          <w:tcPr>
            <w:tcW w:w="1755" w:type="dxa"/>
            <w:shd w:val="clear" w:color="auto" w:fill="auto"/>
            <w:vAlign w:val="center"/>
            <w:hideMark/>
          </w:tcPr>
          <w:p w:rsidR="00D00158" w:rsidRPr="00E9595F" w:rsidP="00D00158" w14:paraId="1F868070" w14:textId="77777777">
            <w:pPr>
              <w:widowControl/>
              <w:autoSpaceDE/>
              <w:autoSpaceDN/>
              <w:adjustRightInd/>
              <w:rPr>
                <w:rFonts w:ascii="Arial" w:hAnsi="Arial" w:cs="Arial"/>
                <w:color w:val="000000"/>
              </w:rPr>
            </w:pPr>
            <w:r w:rsidRPr="00E9595F">
              <w:rPr>
                <w:rFonts w:ascii="Arial" w:hAnsi="Arial" w:cs="Arial"/>
                <w:color w:val="000000"/>
              </w:rPr>
              <w:t>Social Scientist</w:t>
            </w:r>
          </w:p>
        </w:tc>
        <w:tc>
          <w:tcPr>
            <w:tcW w:w="1177" w:type="dxa"/>
            <w:shd w:val="clear" w:color="auto" w:fill="auto"/>
            <w:vAlign w:val="center"/>
            <w:hideMark/>
          </w:tcPr>
          <w:p w:rsidR="00D00158" w:rsidRPr="00E9595F" w:rsidP="00D00158" w14:paraId="05F9FB0B" w14:textId="40D09817">
            <w:pPr>
              <w:widowControl/>
              <w:autoSpaceDE/>
              <w:autoSpaceDN/>
              <w:adjustRightInd/>
              <w:jc w:val="center"/>
              <w:rPr>
                <w:rFonts w:ascii="Arial" w:hAnsi="Arial" w:cs="Arial"/>
                <w:color w:val="000000"/>
              </w:rPr>
            </w:pPr>
            <w:r w:rsidRPr="35EB59F3">
              <w:rPr>
                <w:rFonts w:ascii="Arial" w:hAnsi="Arial" w:cs="Arial"/>
                <w:color w:val="000000" w:themeColor="text1"/>
              </w:rPr>
              <w:t>GS-13/05</w:t>
            </w:r>
          </w:p>
        </w:tc>
        <w:tc>
          <w:tcPr>
            <w:tcW w:w="1170" w:type="dxa"/>
            <w:shd w:val="clear" w:color="auto" w:fill="auto"/>
            <w:vAlign w:val="center"/>
            <w:hideMark/>
          </w:tcPr>
          <w:p w:rsidR="00D00158" w:rsidRPr="00E9595F" w:rsidP="00D00158" w14:paraId="62208ADE" w14:textId="4980C2F1">
            <w:pPr>
              <w:widowControl/>
              <w:autoSpaceDE/>
              <w:autoSpaceDN/>
              <w:adjustRightInd/>
              <w:jc w:val="right"/>
              <w:rPr>
                <w:rFonts w:ascii="Arial" w:hAnsi="Arial" w:cs="Arial"/>
                <w:color w:val="000000"/>
              </w:rPr>
            </w:pPr>
            <w:r w:rsidRPr="00D00158">
              <w:rPr>
                <w:rFonts w:ascii="Arial" w:hAnsi="Arial" w:cs="Arial"/>
                <w:color w:val="000000"/>
              </w:rPr>
              <w:t>56.16</w:t>
            </w:r>
          </w:p>
        </w:tc>
        <w:tc>
          <w:tcPr>
            <w:tcW w:w="1620" w:type="dxa"/>
            <w:shd w:val="clear" w:color="auto" w:fill="auto"/>
            <w:vAlign w:val="center"/>
          </w:tcPr>
          <w:p w:rsidR="00D00158" w:rsidRPr="00E9595F" w:rsidP="00D00158" w14:paraId="157C577E" w14:textId="59A552CC">
            <w:pPr>
              <w:widowControl/>
              <w:autoSpaceDE/>
              <w:autoSpaceDN/>
              <w:adjustRightInd/>
              <w:jc w:val="right"/>
              <w:rPr>
                <w:rFonts w:ascii="Arial" w:hAnsi="Arial" w:cs="Arial"/>
                <w:color w:val="000000"/>
              </w:rPr>
            </w:pPr>
            <w:r>
              <w:rPr>
                <w:rFonts w:ascii="Arial" w:hAnsi="Arial" w:cs="Arial"/>
                <w:color w:val="000000"/>
              </w:rPr>
              <w:t>90.42</w:t>
            </w:r>
          </w:p>
        </w:tc>
        <w:tc>
          <w:tcPr>
            <w:tcW w:w="1170" w:type="dxa"/>
            <w:shd w:val="clear" w:color="auto" w:fill="auto"/>
            <w:vAlign w:val="center"/>
            <w:hideMark/>
          </w:tcPr>
          <w:p w:rsidR="00D00158" w:rsidRPr="00E9595F" w:rsidP="00D00158" w14:paraId="5E354561" w14:textId="77777777">
            <w:pPr>
              <w:widowControl/>
              <w:autoSpaceDE/>
              <w:autoSpaceDN/>
              <w:adjustRightInd/>
              <w:jc w:val="center"/>
              <w:rPr>
                <w:rFonts w:ascii="Arial" w:hAnsi="Arial" w:cs="Arial"/>
                <w:color w:val="000000"/>
              </w:rPr>
            </w:pPr>
            <w:r w:rsidRPr="00E9595F">
              <w:rPr>
                <w:rFonts w:ascii="Arial" w:hAnsi="Arial" w:cs="Arial"/>
                <w:color w:val="000000" w:themeColor="text1"/>
              </w:rPr>
              <w:t>10</w:t>
            </w:r>
          </w:p>
        </w:tc>
        <w:tc>
          <w:tcPr>
            <w:tcW w:w="1253" w:type="dxa"/>
            <w:shd w:val="clear" w:color="auto" w:fill="auto"/>
            <w:vAlign w:val="center"/>
          </w:tcPr>
          <w:p w:rsidR="00D00158" w:rsidRPr="00E9595F" w:rsidP="00D00158" w14:paraId="3CB37474" w14:textId="7D49596C">
            <w:pPr>
              <w:widowControl/>
              <w:autoSpaceDE/>
              <w:autoSpaceDN/>
              <w:adjustRightInd/>
              <w:jc w:val="right"/>
              <w:rPr>
                <w:rFonts w:ascii="Arial" w:hAnsi="Arial" w:cs="Arial"/>
                <w:color w:val="000000"/>
              </w:rPr>
            </w:pPr>
            <w:r>
              <w:rPr>
                <w:rFonts w:ascii="Arial" w:hAnsi="Arial" w:cs="Arial"/>
                <w:color w:val="000000"/>
              </w:rPr>
              <w:t>904.20</w:t>
            </w:r>
          </w:p>
        </w:tc>
      </w:tr>
      <w:tr w14:paraId="702E53DE" w14:textId="77777777" w:rsidTr="35EB59F3">
        <w:tblPrEx>
          <w:tblW w:w="9540" w:type="dxa"/>
          <w:tblLook w:val="04A0"/>
        </w:tblPrEx>
        <w:trPr>
          <w:trHeight w:val="20"/>
        </w:trPr>
        <w:tc>
          <w:tcPr>
            <w:tcW w:w="8287" w:type="dxa"/>
            <w:gridSpan w:val="6"/>
            <w:shd w:val="clear" w:color="auto" w:fill="auto"/>
            <w:vAlign w:val="center"/>
            <w:hideMark/>
          </w:tcPr>
          <w:p w:rsidR="00A9492C" w:rsidRPr="00E9595F" w14:paraId="21B98608" w14:textId="77777777">
            <w:pPr>
              <w:widowControl/>
              <w:autoSpaceDE/>
              <w:autoSpaceDN/>
              <w:adjustRightInd/>
              <w:jc w:val="right"/>
              <w:rPr>
                <w:rFonts w:ascii="Arial" w:hAnsi="Arial" w:cs="Arial"/>
                <w:b/>
                <w:bCs/>
                <w:color w:val="000000"/>
              </w:rPr>
            </w:pPr>
            <w:r w:rsidRPr="00E9595F">
              <w:rPr>
                <w:rFonts w:ascii="Arial" w:eastAsia="Arial" w:hAnsi="Arial" w:cs="Arial"/>
                <w:b/>
                <w:bCs/>
                <w:color w:val="000000"/>
              </w:rPr>
              <w:t>Total:</w:t>
            </w:r>
          </w:p>
        </w:tc>
        <w:tc>
          <w:tcPr>
            <w:tcW w:w="1253" w:type="dxa"/>
            <w:shd w:val="clear" w:color="auto" w:fill="auto"/>
            <w:vAlign w:val="center"/>
          </w:tcPr>
          <w:p w:rsidR="00A9492C" w:rsidRPr="00E9595F" w:rsidP="004C4001" w14:paraId="6557B101" w14:textId="65612674">
            <w:pPr>
              <w:widowControl/>
              <w:autoSpaceDE/>
              <w:autoSpaceDN/>
              <w:adjustRightInd/>
              <w:jc w:val="right"/>
              <w:rPr>
                <w:rFonts w:ascii="Arial" w:hAnsi="Arial" w:cs="Arial"/>
                <w:b/>
                <w:bCs/>
                <w:color w:val="000000"/>
              </w:rPr>
            </w:pPr>
            <w:r>
              <w:rPr>
                <w:rFonts w:ascii="Arial" w:hAnsi="Arial" w:cs="Arial"/>
                <w:b/>
                <w:bCs/>
                <w:color w:val="000000"/>
              </w:rPr>
              <w:t>$  3,616.80</w:t>
            </w:r>
          </w:p>
        </w:tc>
      </w:tr>
    </w:tbl>
    <w:p w:rsidR="00A9492C" w:rsidP="00A9492C" w14:paraId="6ACC1F88" w14:textId="77777777">
      <w:pPr>
        <w:tabs>
          <w:tab w:val="left" w:pos="360"/>
          <w:tab w:val="left" w:pos="720"/>
          <w:tab w:val="left" w:pos="1440"/>
        </w:tabs>
        <w:rPr>
          <w:rFonts w:ascii="Arial" w:hAnsi="Arial" w:cs="Arial"/>
          <w:bCs/>
          <w:sz w:val="22"/>
          <w:szCs w:val="22"/>
          <w:highlight w:val="yellow"/>
        </w:rPr>
      </w:pPr>
    </w:p>
    <w:tbl>
      <w:tblPr>
        <w:tblW w:w="7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5"/>
        <w:gridCol w:w="2345"/>
        <w:gridCol w:w="2070"/>
      </w:tblGrid>
      <w:tr w14:paraId="1BF15750" w14:textId="77777777" w:rsidTr="002F1723">
        <w:tblPrEx>
          <w:tblW w:w="7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0"/>
        </w:trPr>
        <w:tc>
          <w:tcPr>
            <w:tcW w:w="5040" w:type="dxa"/>
            <w:gridSpan w:val="2"/>
            <w:shd w:val="clear" w:color="auto" w:fill="auto"/>
            <w:noWrap/>
            <w:vAlign w:val="bottom"/>
            <w:hideMark/>
          </w:tcPr>
          <w:p w:rsidR="00E9595F" w:rsidRPr="00E9595F" w14:paraId="33E28BE2" w14:textId="77777777">
            <w:pPr>
              <w:widowControl/>
              <w:autoSpaceDE/>
              <w:autoSpaceDN/>
              <w:adjustRightInd/>
              <w:rPr>
                <w:rFonts w:ascii="Arial" w:hAnsi="Arial" w:cs="Arial"/>
                <w:b/>
                <w:bCs/>
                <w:color w:val="000000"/>
              </w:rPr>
            </w:pPr>
            <w:r w:rsidRPr="00E9595F">
              <w:rPr>
                <w:rFonts w:ascii="Arial" w:hAnsi="Arial" w:cs="Arial"/>
                <w:b/>
                <w:bCs/>
                <w:color w:val="000000"/>
              </w:rPr>
              <w:t>Table 14.2. Other Costs</w:t>
            </w:r>
          </w:p>
        </w:tc>
        <w:tc>
          <w:tcPr>
            <w:tcW w:w="2070" w:type="dxa"/>
            <w:shd w:val="clear" w:color="auto" w:fill="auto"/>
            <w:noWrap/>
            <w:vAlign w:val="bottom"/>
            <w:hideMark/>
          </w:tcPr>
          <w:p w:rsidR="00E9595F" w:rsidRPr="00E9595F" w14:paraId="151D3119" w14:textId="77777777">
            <w:pPr>
              <w:widowControl/>
              <w:autoSpaceDE/>
              <w:autoSpaceDN/>
              <w:adjustRightInd/>
              <w:rPr>
                <w:rFonts w:ascii="Arial" w:hAnsi="Arial" w:cs="Arial"/>
                <w:b/>
                <w:bCs/>
                <w:color w:val="000000"/>
              </w:rPr>
            </w:pPr>
          </w:p>
        </w:tc>
      </w:tr>
      <w:tr w14:paraId="57666B6A" w14:textId="77777777" w:rsidTr="00120387">
        <w:tblPrEx>
          <w:tblW w:w="7110" w:type="dxa"/>
          <w:tblLayout w:type="fixed"/>
          <w:tblLook w:val="04A0"/>
        </w:tblPrEx>
        <w:trPr>
          <w:trHeight w:val="230"/>
        </w:trPr>
        <w:tc>
          <w:tcPr>
            <w:tcW w:w="2695" w:type="dxa"/>
            <w:vMerge w:val="restart"/>
            <w:shd w:val="clear" w:color="auto" w:fill="auto"/>
            <w:vAlign w:val="bottom"/>
            <w:hideMark/>
          </w:tcPr>
          <w:p w:rsidR="00E9595F" w:rsidRPr="00E9595F" w14:paraId="14AF59A1" w14:textId="77777777">
            <w:pPr>
              <w:widowControl/>
              <w:autoSpaceDE/>
              <w:autoSpaceDN/>
              <w:adjustRightInd/>
              <w:jc w:val="center"/>
              <w:rPr>
                <w:rFonts w:ascii="Arial" w:hAnsi="Arial" w:cs="Arial"/>
                <w:b/>
                <w:bCs/>
                <w:color w:val="000000"/>
              </w:rPr>
            </w:pPr>
            <w:r w:rsidRPr="00E9595F">
              <w:rPr>
                <w:rFonts w:ascii="Arial" w:eastAsia="Arial" w:hAnsi="Arial" w:cs="Arial"/>
                <w:b/>
                <w:bCs/>
                <w:color w:val="000000"/>
              </w:rPr>
              <w:t>Action</w:t>
            </w:r>
          </w:p>
        </w:tc>
        <w:tc>
          <w:tcPr>
            <w:tcW w:w="2345" w:type="dxa"/>
            <w:vMerge w:val="restart"/>
            <w:shd w:val="clear" w:color="auto" w:fill="auto"/>
            <w:vAlign w:val="bottom"/>
            <w:hideMark/>
          </w:tcPr>
          <w:p w:rsidR="00E9595F" w:rsidRPr="00E9595F" w14:paraId="260E267E" w14:textId="77777777">
            <w:pPr>
              <w:widowControl/>
              <w:autoSpaceDE/>
              <w:autoSpaceDN/>
              <w:adjustRightInd/>
              <w:jc w:val="center"/>
              <w:rPr>
                <w:rFonts w:ascii="Arial" w:hAnsi="Arial" w:cs="Arial"/>
                <w:b/>
                <w:bCs/>
                <w:color w:val="000000"/>
              </w:rPr>
            </w:pPr>
            <w:r w:rsidRPr="00E9595F">
              <w:rPr>
                <w:rFonts w:ascii="Arial" w:eastAsia="Arial" w:hAnsi="Arial" w:cs="Arial"/>
                <w:b/>
                <w:bCs/>
                <w:color w:val="000000"/>
              </w:rPr>
              <w:t>Costs Per</w:t>
            </w:r>
          </w:p>
        </w:tc>
        <w:tc>
          <w:tcPr>
            <w:tcW w:w="2070" w:type="dxa"/>
            <w:vMerge w:val="restart"/>
            <w:shd w:val="clear" w:color="auto" w:fill="auto"/>
            <w:vAlign w:val="bottom"/>
            <w:hideMark/>
          </w:tcPr>
          <w:p w:rsidR="00E9595F" w:rsidRPr="00E9595F" w14:paraId="07E781AC" w14:textId="77777777">
            <w:pPr>
              <w:widowControl/>
              <w:autoSpaceDE/>
              <w:autoSpaceDN/>
              <w:adjustRightInd/>
              <w:jc w:val="center"/>
              <w:rPr>
                <w:rFonts w:ascii="Arial" w:hAnsi="Arial" w:cs="Arial"/>
                <w:b/>
                <w:bCs/>
                <w:color w:val="000000"/>
              </w:rPr>
            </w:pPr>
            <w:r w:rsidRPr="00E9595F">
              <w:rPr>
                <w:rFonts w:ascii="Arial" w:hAnsi="Arial" w:cs="Arial"/>
                <w:b/>
                <w:bCs/>
                <w:color w:val="000000"/>
              </w:rPr>
              <w:t>Total Annual Cost</w:t>
            </w:r>
          </w:p>
        </w:tc>
      </w:tr>
      <w:tr w14:paraId="35387835" w14:textId="77777777" w:rsidTr="00120387">
        <w:tblPrEx>
          <w:tblW w:w="7110" w:type="dxa"/>
          <w:tblLayout w:type="fixed"/>
          <w:tblLook w:val="04A0"/>
        </w:tblPrEx>
        <w:trPr>
          <w:trHeight w:val="230"/>
        </w:trPr>
        <w:tc>
          <w:tcPr>
            <w:tcW w:w="2695" w:type="dxa"/>
            <w:vMerge/>
            <w:vAlign w:val="center"/>
            <w:hideMark/>
          </w:tcPr>
          <w:p w:rsidR="00E9595F" w:rsidRPr="00E9595F" w14:paraId="0F33A9BD" w14:textId="77777777">
            <w:pPr>
              <w:widowControl/>
              <w:autoSpaceDE/>
              <w:autoSpaceDN/>
              <w:adjustRightInd/>
              <w:rPr>
                <w:rFonts w:ascii="Arial" w:hAnsi="Arial" w:cs="Arial"/>
                <w:b/>
                <w:bCs/>
                <w:color w:val="000000"/>
              </w:rPr>
            </w:pPr>
          </w:p>
        </w:tc>
        <w:tc>
          <w:tcPr>
            <w:tcW w:w="2345" w:type="dxa"/>
            <w:vMerge/>
            <w:vAlign w:val="center"/>
            <w:hideMark/>
          </w:tcPr>
          <w:p w:rsidR="00E9595F" w:rsidRPr="00E9595F" w14:paraId="4C035E2C" w14:textId="77777777">
            <w:pPr>
              <w:widowControl/>
              <w:autoSpaceDE/>
              <w:autoSpaceDN/>
              <w:adjustRightInd/>
              <w:rPr>
                <w:rFonts w:ascii="Arial" w:hAnsi="Arial" w:cs="Arial"/>
                <w:b/>
                <w:bCs/>
                <w:color w:val="000000"/>
              </w:rPr>
            </w:pPr>
          </w:p>
        </w:tc>
        <w:tc>
          <w:tcPr>
            <w:tcW w:w="2070" w:type="dxa"/>
            <w:vMerge/>
            <w:vAlign w:val="center"/>
            <w:hideMark/>
          </w:tcPr>
          <w:p w:rsidR="00E9595F" w:rsidRPr="00E9595F" w14:paraId="3840A5C3" w14:textId="77777777">
            <w:pPr>
              <w:widowControl/>
              <w:autoSpaceDE/>
              <w:autoSpaceDN/>
              <w:adjustRightInd/>
              <w:rPr>
                <w:rFonts w:ascii="Arial" w:hAnsi="Arial" w:cs="Arial"/>
                <w:b/>
                <w:bCs/>
                <w:color w:val="000000"/>
              </w:rPr>
            </w:pPr>
          </w:p>
        </w:tc>
      </w:tr>
      <w:tr w14:paraId="23FA626A" w14:textId="77777777" w:rsidTr="00120387">
        <w:tblPrEx>
          <w:tblW w:w="7110" w:type="dxa"/>
          <w:tblLayout w:type="fixed"/>
          <w:tblLook w:val="04A0"/>
        </w:tblPrEx>
        <w:trPr>
          <w:trHeight w:val="20"/>
        </w:trPr>
        <w:tc>
          <w:tcPr>
            <w:tcW w:w="2695" w:type="dxa"/>
            <w:shd w:val="clear" w:color="auto" w:fill="auto"/>
            <w:vAlign w:val="center"/>
            <w:hideMark/>
          </w:tcPr>
          <w:p w:rsidR="00E9595F" w:rsidRPr="00E9595F" w14:paraId="5268506F" w14:textId="77777777">
            <w:pPr>
              <w:widowControl/>
              <w:autoSpaceDE/>
              <w:autoSpaceDN/>
              <w:adjustRightInd/>
              <w:rPr>
                <w:rFonts w:ascii="Arial" w:hAnsi="Arial" w:cs="Arial"/>
                <w:color w:val="000000"/>
              </w:rPr>
            </w:pPr>
            <w:r w:rsidRPr="00E9595F">
              <w:rPr>
                <w:rFonts w:ascii="Arial" w:eastAsia="Arial" w:hAnsi="Arial" w:cs="Arial"/>
                <w:color w:val="000000"/>
              </w:rPr>
              <w:t>Researcher contract</w:t>
            </w:r>
          </w:p>
        </w:tc>
        <w:tc>
          <w:tcPr>
            <w:tcW w:w="2345" w:type="dxa"/>
            <w:shd w:val="clear" w:color="auto" w:fill="auto"/>
            <w:vAlign w:val="center"/>
            <w:hideMark/>
          </w:tcPr>
          <w:p w:rsidR="00E9595F" w:rsidRPr="00E9595F" w:rsidP="00B01325" w14:paraId="06E2A199" w14:textId="77777777">
            <w:pPr>
              <w:widowControl/>
              <w:autoSpaceDE/>
              <w:autoSpaceDN/>
              <w:adjustRightInd/>
              <w:jc w:val="right"/>
              <w:rPr>
                <w:rFonts w:ascii="Arial" w:hAnsi="Arial" w:cs="Arial"/>
                <w:color w:val="000000"/>
              </w:rPr>
            </w:pPr>
            <w:r w:rsidRPr="00E9595F">
              <w:rPr>
                <w:rFonts w:ascii="Arial" w:hAnsi="Arial" w:cs="Arial"/>
                <w:color w:val="000000"/>
              </w:rPr>
              <w:t>$200,000.00</w:t>
            </w:r>
          </w:p>
        </w:tc>
        <w:tc>
          <w:tcPr>
            <w:tcW w:w="2070" w:type="dxa"/>
            <w:shd w:val="clear" w:color="auto" w:fill="auto"/>
            <w:vAlign w:val="center"/>
            <w:hideMark/>
          </w:tcPr>
          <w:p w:rsidR="00E9595F" w:rsidRPr="00E9595F" w:rsidP="00B01325" w14:paraId="3F5E13F1" w14:textId="77777777">
            <w:pPr>
              <w:widowControl/>
              <w:autoSpaceDE/>
              <w:autoSpaceDN/>
              <w:adjustRightInd/>
              <w:jc w:val="right"/>
              <w:rPr>
                <w:rFonts w:ascii="Arial" w:hAnsi="Arial" w:cs="Arial"/>
                <w:color w:val="000000"/>
              </w:rPr>
            </w:pPr>
            <w:r w:rsidRPr="00E9595F">
              <w:rPr>
                <w:rFonts w:ascii="Arial" w:hAnsi="Arial" w:cs="Arial"/>
                <w:color w:val="000000"/>
              </w:rPr>
              <w:t>$200,000.00</w:t>
            </w:r>
          </w:p>
        </w:tc>
      </w:tr>
      <w:tr w14:paraId="7E49D2EE" w14:textId="77777777" w:rsidTr="002F1723">
        <w:tblPrEx>
          <w:tblW w:w="7110" w:type="dxa"/>
          <w:tblLayout w:type="fixed"/>
          <w:tblLook w:val="04A0"/>
        </w:tblPrEx>
        <w:trPr>
          <w:trHeight w:val="20"/>
        </w:trPr>
        <w:tc>
          <w:tcPr>
            <w:tcW w:w="5040" w:type="dxa"/>
            <w:gridSpan w:val="2"/>
            <w:shd w:val="clear" w:color="auto" w:fill="auto"/>
            <w:vAlign w:val="center"/>
            <w:hideMark/>
          </w:tcPr>
          <w:p w:rsidR="00E9595F" w:rsidRPr="00E9595F" w:rsidP="00B01325" w14:paraId="579E3E85" w14:textId="77777777">
            <w:pPr>
              <w:widowControl/>
              <w:autoSpaceDE/>
              <w:autoSpaceDN/>
              <w:adjustRightInd/>
              <w:jc w:val="right"/>
              <w:rPr>
                <w:rFonts w:ascii="Arial" w:hAnsi="Arial" w:cs="Arial"/>
                <w:b/>
                <w:bCs/>
                <w:color w:val="000000"/>
              </w:rPr>
            </w:pPr>
            <w:r w:rsidRPr="00E9595F">
              <w:rPr>
                <w:rFonts w:ascii="Arial" w:eastAsia="Arial" w:hAnsi="Arial" w:cs="Arial"/>
                <w:b/>
                <w:bCs/>
                <w:color w:val="000000"/>
              </w:rPr>
              <w:t>Total:</w:t>
            </w:r>
          </w:p>
        </w:tc>
        <w:tc>
          <w:tcPr>
            <w:tcW w:w="2070" w:type="dxa"/>
            <w:shd w:val="clear" w:color="auto" w:fill="auto"/>
            <w:vAlign w:val="center"/>
            <w:hideMark/>
          </w:tcPr>
          <w:p w:rsidR="00E9595F" w:rsidRPr="00E9595F" w:rsidP="00B01325" w14:paraId="6CD14F21" w14:textId="77777777">
            <w:pPr>
              <w:widowControl/>
              <w:autoSpaceDE/>
              <w:autoSpaceDN/>
              <w:adjustRightInd/>
              <w:jc w:val="right"/>
              <w:rPr>
                <w:rFonts w:ascii="Arial" w:hAnsi="Arial" w:cs="Arial"/>
                <w:b/>
                <w:bCs/>
                <w:color w:val="000000"/>
              </w:rPr>
            </w:pPr>
            <w:r w:rsidRPr="00E9595F">
              <w:rPr>
                <w:rFonts w:ascii="Arial" w:hAnsi="Arial" w:cs="Arial"/>
                <w:b/>
                <w:bCs/>
                <w:color w:val="000000"/>
              </w:rPr>
              <w:t>$200,000.00</w:t>
            </w:r>
          </w:p>
        </w:tc>
      </w:tr>
    </w:tbl>
    <w:p w:rsidR="00CD65E3" w:rsidP="003649C4" w14:paraId="70C0BFA5" w14:textId="77777777">
      <w:pPr>
        <w:tabs>
          <w:tab w:val="left" w:pos="360"/>
          <w:tab w:val="left" w:pos="720"/>
          <w:tab w:val="left" w:pos="1440"/>
        </w:tabs>
        <w:rPr>
          <w:rFonts w:ascii="Arial" w:hAnsi="Arial" w:cs="Arial"/>
          <w:bCs/>
          <w:sz w:val="22"/>
          <w:szCs w:val="22"/>
          <w:highlight w:val="yellow"/>
        </w:rPr>
      </w:pPr>
    </w:p>
    <w:p w:rsidR="00295103" w:rsidRPr="00CF1D73" w:rsidP="00F464E2" w14:paraId="5F4D0267" w14:textId="7610E203">
      <w:pPr>
        <w:pStyle w:val="Heading1"/>
        <w:tabs>
          <w:tab w:val="clear" w:pos="360"/>
          <w:tab w:val="left" w:pos="450"/>
        </w:tabs>
      </w:pPr>
      <w:r w:rsidRPr="00CF1D73">
        <w:t>15.</w:t>
      </w:r>
      <w:r w:rsidRPr="00CF1D73">
        <w:tab/>
        <w:t xml:space="preserve">Explain the reasons for any program changes or adjustments </w:t>
      </w:r>
      <w:r w:rsidRPr="00CF1D73" w:rsidR="00F73931">
        <w:t>in hour or cost burden</w:t>
      </w:r>
      <w:r w:rsidRPr="00CF1D73" w:rsidR="0060758B">
        <w:t>.</w:t>
      </w:r>
    </w:p>
    <w:p w:rsidR="00295103" w:rsidRPr="00CF1D73" w:rsidP="006319A2" w14:paraId="28620CD9" w14:textId="77777777">
      <w:pPr>
        <w:tabs>
          <w:tab w:val="left" w:pos="450"/>
          <w:tab w:val="left" w:pos="720"/>
        </w:tabs>
        <w:rPr>
          <w:rFonts w:ascii="Arial" w:hAnsi="Arial" w:cs="Arial"/>
          <w:sz w:val="22"/>
          <w:szCs w:val="22"/>
        </w:rPr>
      </w:pPr>
    </w:p>
    <w:p w:rsidR="00251281" w:rsidRPr="00CF1D73" w:rsidP="006319A2" w14:paraId="5493BC18" w14:textId="0D31396E">
      <w:pPr>
        <w:tabs>
          <w:tab w:val="left" w:pos="450"/>
          <w:tab w:val="left" w:pos="720"/>
        </w:tabs>
        <w:rPr>
          <w:rFonts w:ascii="Arial" w:hAnsi="Arial" w:cs="Arial"/>
          <w:sz w:val="22"/>
          <w:szCs w:val="22"/>
        </w:rPr>
      </w:pPr>
      <w:r w:rsidRPr="00CF1D73">
        <w:rPr>
          <w:rFonts w:ascii="Arial" w:hAnsi="Arial" w:cs="Arial"/>
          <w:sz w:val="22"/>
          <w:szCs w:val="22"/>
        </w:rPr>
        <w:t>This is a request for a new OMB control number.</w:t>
      </w:r>
    </w:p>
    <w:p w:rsidR="00251281" w:rsidRPr="00CF1D73" w:rsidP="006319A2" w14:paraId="42A3C7B3" w14:textId="77777777">
      <w:pPr>
        <w:tabs>
          <w:tab w:val="left" w:pos="450"/>
          <w:tab w:val="left" w:pos="720"/>
        </w:tabs>
        <w:rPr>
          <w:rFonts w:ascii="Arial" w:hAnsi="Arial" w:cs="Arial"/>
          <w:sz w:val="22"/>
          <w:szCs w:val="22"/>
        </w:rPr>
      </w:pPr>
    </w:p>
    <w:p w:rsidR="00251281" w:rsidP="00916E41" w14:paraId="13B50D77" w14:textId="4CB84E11">
      <w:pPr>
        <w:pStyle w:val="Heading1"/>
        <w:tabs>
          <w:tab w:val="clear" w:pos="360"/>
          <w:tab w:val="left" w:pos="450"/>
        </w:tabs>
      </w:pPr>
      <w:r w:rsidRPr="00CF1D73">
        <w:t>16.</w:t>
      </w:r>
      <w:r w:rsidRPr="00CF1D73">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16E41" w:rsidRPr="00916E41" w:rsidP="00916E41" w14:paraId="5597BC63" w14:textId="77777777"/>
    <w:p w:rsidR="00916E41" w:rsidP="006319A2" w14:paraId="1790E4F7" w14:textId="3C7D5550">
      <w:pPr>
        <w:tabs>
          <w:tab w:val="left" w:pos="450"/>
          <w:tab w:val="left" w:pos="720"/>
        </w:tabs>
        <w:rPr>
          <w:rFonts w:ascii="Arial" w:hAnsi="Arial" w:cs="Arial"/>
          <w:sz w:val="22"/>
          <w:szCs w:val="22"/>
        </w:rPr>
      </w:pPr>
      <w:r w:rsidRPr="00916E41">
        <w:rPr>
          <w:rFonts w:ascii="Arial" w:hAnsi="Arial" w:cs="Arial"/>
          <w:sz w:val="22"/>
          <w:szCs w:val="22"/>
        </w:rPr>
        <w:t>Results will be analyzed using standard social network analysis techniques by university researchers.</w:t>
      </w:r>
      <w:r>
        <w:rPr>
          <w:rFonts w:ascii="Arial" w:hAnsi="Arial" w:cs="Arial"/>
          <w:sz w:val="22"/>
          <w:szCs w:val="22"/>
        </w:rPr>
        <w:t xml:space="preserve"> </w:t>
      </w:r>
      <w:r w:rsidRPr="00916E41">
        <w:rPr>
          <w:rFonts w:ascii="Arial" w:hAnsi="Arial" w:cs="Arial"/>
          <w:sz w:val="22"/>
          <w:szCs w:val="22"/>
        </w:rPr>
        <w:t xml:space="preserve"> The survey will be initiated (i.e., collection of information will begin) at the completion of the OMB approval process, </w:t>
      </w:r>
      <w:r w:rsidRPr="000E431C">
        <w:rPr>
          <w:rFonts w:ascii="Arial" w:hAnsi="Arial" w:cs="Arial"/>
          <w:sz w:val="22"/>
          <w:szCs w:val="22"/>
        </w:rPr>
        <w:t xml:space="preserve">likely late </w:t>
      </w:r>
      <w:r w:rsidRPr="000E431C" w:rsidR="000E431C">
        <w:rPr>
          <w:rFonts w:ascii="Arial" w:hAnsi="Arial" w:cs="Arial"/>
          <w:sz w:val="22"/>
          <w:szCs w:val="22"/>
        </w:rPr>
        <w:t>October 2024</w:t>
      </w:r>
      <w:r w:rsidRPr="00916E41">
        <w:rPr>
          <w:rFonts w:ascii="Arial" w:hAnsi="Arial" w:cs="Arial"/>
          <w:sz w:val="22"/>
          <w:szCs w:val="22"/>
        </w:rPr>
        <w:t>.</w:t>
      </w:r>
      <w:r>
        <w:rPr>
          <w:rFonts w:ascii="Arial" w:hAnsi="Arial" w:cs="Arial"/>
          <w:sz w:val="22"/>
          <w:szCs w:val="22"/>
        </w:rPr>
        <w:t xml:space="preserve"> </w:t>
      </w:r>
      <w:r w:rsidRPr="00916E41">
        <w:rPr>
          <w:rFonts w:ascii="Arial" w:hAnsi="Arial" w:cs="Arial"/>
          <w:sz w:val="22"/>
          <w:szCs w:val="22"/>
        </w:rPr>
        <w:t xml:space="preserve"> Results will be collected for several months, likely concluding in Ma</w:t>
      </w:r>
      <w:r w:rsidR="00261428">
        <w:rPr>
          <w:rFonts w:ascii="Arial" w:hAnsi="Arial" w:cs="Arial"/>
          <w:sz w:val="22"/>
          <w:szCs w:val="22"/>
        </w:rPr>
        <w:t>rch</w:t>
      </w:r>
      <w:r w:rsidR="008E3DD1">
        <w:rPr>
          <w:rFonts w:ascii="Arial" w:hAnsi="Arial" w:cs="Arial"/>
          <w:sz w:val="22"/>
          <w:szCs w:val="22"/>
        </w:rPr>
        <w:t xml:space="preserve"> 202</w:t>
      </w:r>
      <w:r w:rsidR="003F75DE">
        <w:rPr>
          <w:rFonts w:ascii="Arial" w:hAnsi="Arial" w:cs="Arial"/>
          <w:sz w:val="22"/>
          <w:szCs w:val="22"/>
        </w:rPr>
        <w:t>5</w:t>
      </w:r>
      <w:r w:rsidRPr="00916E41">
        <w:rPr>
          <w:rFonts w:ascii="Arial" w:hAnsi="Arial" w:cs="Arial"/>
          <w:sz w:val="22"/>
          <w:szCs w:val="22"/>
        </w:rPr>
        <w:t xml:space="preserve">, after which the data analysis will begin. </w:t>
      </w:r>
      <w:r>
        <w:rPr>
          <w:rFonts w:ascii="Arial" w:hAnsi="Arial" w:cs="Arial"/>
          <w:sz w:val="22"/>
          <w:szCs w:val="22"/>
        </w:rPr>
        <w:t xml:space="preserve"> </w:t>
      </w:r>
      <w:r w:rsidRPr="00916E41">
        <w:rPr>
          <w:rFonts w:ascii="Arial" w:hAnsi="Arial" w:cs="Arial"/>
          <w:sz w:val="22"/>
          <w:szCs w:val="22"/>
        </w:rPr>
        <w:t xml:space="preserve">Survey components including background, methods, and results will be published in a summary report by the end of the project period, </w:t>
      </w:r>
      <w:r w:rsidR="00B42EB9">
        <w:rPr>
          <w:rFonts w:ascii="Arial" w:hAnsi="Arial" w:cs="Arial"/>
          <w:sz w:val="22"/>
          <w:szCs w:val="22"/>
        </w:rPr>
        <w:t xml:space="preserve">September </w:t>
      </w:r>
      <w:r w:rsidRPr="00916E41">
        <w:rPr>
          <w:rFonts w:ascii="Arial" w:hAnsi="Arial" w:cs="Arial"/>
          <w:sz w:val="22"/>
          <w:szCs w:val="22"/>
        </w:rPr>
        <w:t>202</w:t>
      </w:r>
      <w:r w:rsidR="00B42EB9">
        <w:rPr>
          <w:rFonts w:ascii="Arial" w:hAnsi="Arial" w:cs="Arial"/>
          <w:sz w:val="22"/>
          <w:szCs w:val="22"/>
        </w:rPr>
        <w:t>6</w:t>
      </w:r>
      <w:r w:rsidRPr="00916E41">
        <w:rPr>
          <w:rFonts w:ascii="Arial" w:hAnsi="Arial" w:cs="Arial"/>
          <w:sz w:val="22"/>
          <w:szCs w:val="22"/>
        </w:rPr>
        <w:t xml:space="preserve">. </w:t>
      </w:r>
      <w:r>
        <w:rPr>
          <w:rFonts w:ascii="Arial" w:hAnsi="Arial" w:cs="Arial"/>
          <w:sz w:val="22"/>
          <w:szCs w:val="22"/>
        </w:rPr>
        <w:t xml:space="preserve"> </w:t>
      </w:r>
      <w:r w:rsidRPr="00916E41">
        <w:rPr>
          <w:rFonts w:ascii="Arial" w:hAnsi="Arial" w:cs="Arial"/>
          <w:sz w:val="22"/>
          <w:szCs w:val="22"/>
        </w:rPr>
        <w:t xml:space="preserve">Results will also likely be published in </w:t>
      </w:r>
      <w:r w:rsidRPr="00916E41">
        <w:rPr>
          <w:rFonts w:ascii="Arial" w:hAnsi="Arial" w:cs="Arial"/>
          <w:sz w:val="22"/>
          <w:szCs w:val="22"/>
        </w:rPr>
        <w:t xml:space="preserve">peer-reviewed journals in the years following the conclusion of the project. </w:t>
      </w:r>
      <w:r>
        <w:rPr>
          <w:rFonts w:ascii="Arial" w:hAnsi="Arial" w:cs="Arial"/>
          <w:sz w:val="22"/>
          <w:szCs w:val="22"/>
        </w:rPr>
        <w:t xml:space="preserve"> </w:t>
      </w:r>
      <w:r w:rsidRPr="00916E41">
        <w:rPr>
          <w:rFonts w:ascii="Arial" w:hAnsi="Arial" w:cs="Arial"/>
          <w:sz w:val="22"/>
          <w:szCs w:val="22"/>
        </w:rPr>
        <w:t>Publication dates will be dependent upon journal acceptance and schedule.</w:t>
      </w:r>
    </w:p>
    <w:p w:rsidR="00916E41" w:rsidRPr="00CF1D73" w:rsidP="006319A2" w14:paraId="78C7F51F" w14:textId="77777777">
      <w:pPr>
        <w:tabs>
          <w:tab w:val="left" w:pos="450"/>
          <w:tab w:val="left" w:pos="720"/>
        </w:tabs>
        <w:rPr>
          <w:rFonts w:ascii="Arial" w:hAnsi="Arial" w:cs="Arial"/>
          <w:sz w:val="22"/>
          <w:szCs w:val="22"/>
        </w:rPr>
      </w:pPr>
    </w:p>
    <w:p w:rsidR="00295103" w:rsidRPr="00CF1D73" w:rsidP="00F464E2" w14:paraId="23D245FB" w14:textId="00BB8C9F">
      <w:pPr>
        <w:pStyle w:val="Heading1"/>
        <w:tabs>
          <w:tab w:val="clear" w:pos="360"/>
          <w:tab w:val="left" w:pos="450"/>
        </w:tabs>
      </w:pPr>
      <w:r w:rsidRPr="00CF1D73">
        <w:t>17.</w:t>
      </w:r>
      <w:r w:rsidRPr="00CF1D73">
        <w:tab/>
        <w:t>If seeking approval to not display the expiration date for OMB approval of the information collection, explain the reasons that display would be inappropriate.</w:t>
      </w:r>
    </w:p>
    <w:p w:rsidR="00295103" w:rsidRPr="00CF1D73" w:rsidP="006319A2" w14:paraId="54D3670E" w14:textId="77777777">
      <w:pPr>
        <w:tabs>
          <w:tab w:val="left" w:pos="450"/>
          <w:tab w:val="left" w:pos="720"/>
        </w:tabs>
        <w:rPr>
          <w:rFonts w:ascii="Arial" w:hAnsi="Arial" w:cs="Arial"/>
          <w:sz w:val="22"/>
          <w:szCs w:val="22"/>
        </w:rPr>
      </w:pPr>
    </w:p>
    <w:p w:rsidR="003649C4" w:rsidRPr="00CF1D73" w:rsidP="003649C4" w14:paraId="6E8F5B93" w14:textId="539D7F37">
      <w:pPr>
        <w:tabs>
          <w:tab w:val="left" w:pos="360"/>
          <w:tab w:val="left" w:pos="720"/>
          <w:tab w:val="left" w:pos="1440"/>
        </w:tabs>
        <w:rPr>
          <w:rFonts w:ascii="Arial" w:hAnsi="Arial" w:cs="Arial"/>
          <w:sz w:val="22"/>
          <w:szCs w:val="22"/>
        </w:rPr>
      </w:pPr>
      <w:r w:rsidRPr="00CF1D73">
        <w:rPr>
          <w:rFonts w:ascii="Arial" w:hAnsi="Arial" w:cs="Arial"/>
          <w:color w:val="000000" w:themeColor="text1"/>
          <w:sz w:val="22"/>
          <w:szCs w:val="22"/>
        </w:rPr>
        <w:t>We will display the expiration date on the survey instrument and instructions.</w:t>
      </w:r>
    </w:p>
    <w:p w:rsidR="00251281" w:rsidRPr="00CF1D73" w:rsidP="006319A2" w14:paraId="2CCAC7B2" w14:textId="77777777">
      <w:pPr>
        <w:tabs>
          <w:tab w:val="left" w:pos="450"/>
          <w:tab w:val="left" w:pos="720"/>
        </w:tabs>
        <w:rPr>
          <w:rFonts w:ascii="Arial" w:hAnsi="Arial" w:cs="Arial"/>
          <w:sz w:val="22"/>
          <w:szCs w:val="22"/>
        </w:rPr>
      </w:pPr>
    </w:p>
    <w:p w:rsidR="00295103" w:rsidRPr="00CF1D73" w:rsidP="00F464E2" w14:paraId="7A5BBA7F" w14:textId="360E693C">
      <w:pPr>
        <w:pStyle w:val="Heading1"/>
        <w:tabs>
          <w:tab w:val="clear" w:pos="360"/>
          <w:tab w:val="left" w:pos="450"/>
        </w:tabs>
      </w:pPr>
      <w:r w:rsidRPr="00CF1D73">
        <w:t>18.</w:t>
      </w:r>
      <w:r w:rsidRPr="00CF1D73">
        <w:tab/>
        <w:t xml:space="preserve">Explain each exception to the </w:t>
      </w:r>
      <w:r w:rsidRPr="00CF1D73" w:rsidR="005D39A7">
        <w:t xml:space="preserve">topics of the </w:t>
      </w:r>
      <w:r w:rsidRPr="00CF1D73">
        <w:t>certification statement identified in "Certification for Paperwork Reduction Act Submissions</w:t>
      </w:r>
      <w:r w:rsidRPr="00CF1D73" w:rsidR="005D39A7">
        <w:t>.</w:t>
      </w:r>
      <w:r w:rsidRPr="00CF1D73">
        <w:t>"</w:t>
      </w:r>
    </w:p>
    <w:p w:rsidR="00295103" w:rsidRPr="00CF1D73" w:rsidP="006319A2" w14:paraId="2C0E9B3D" w14:textId="77777777">
      <w:pPr>
        <w:tabs>
          <w:tab w:val="left" w:pos="450"/>
          <w:tab w:val="left" w:pos="720"/>
        </w:tabs>
        <w:rPr>
          <w:rFonts w:ascii="Arial" w:hAnsi="Arial" w:cs="Arial"/>
          <w:sz w:val="22"/>
          <w:szCs w:val="22"/>
        </w:rPr>
      </w:pPr>
    </w:p>
    <w:p w:rsidR="00251281" w:rsidRPr="00CF1D73" w:rsidP="003649C4" w14:paraId="47664BCD" w14:textId="6466AF47">
      <w:pPr>
        <w:tabs>
          <w:tab w:val="left" w:pos="360"/>
          <w:tab w:val="left" w:pos="720"/>
          <w:tab w:val="left" w:pos="1440"/>
        </w:tabs>
        <w:rPr>
          <w:rFonts w:ascii="Arial" w:hAnsi="Arial" w:cs="Arial"/>
          <w:sz w:val="22"/>
          <w:szCs w:val="22"/>
        </w:rPr>
      </w:pPr>
      <w:r w:rsidRPr="00CF1D73">
        <w:rPr>
          <w:rFonts w:ascii="Arial" w:hAnsi="Arial" w:cs="Arial"/>
          <w:color w:val="000000" w:themeColor="text1"/>
          <w:sz w:val="22"/>
          <w:szCs w:val="22"/>
        </w:rPr>
        <w:t xml:space="preserve">There are no exceptions to the certification statement. </w:t>
      </w:r>
    </w:p>
    <w:sectPr w:rsidSect="00894A15">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720" w:left="1440" w:header="1440" w:footer="119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0204" w14:paraId="3DCB4AB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0214" w:rsidRPr="00B50214" w:rsidP="00B50214" w14:paraId="3035C018" w14:textId="77777777">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6B7923">
      <w:rPr>
        <w:rFonts w:ascii="Arial" w:hAnsi="Arial" w:cs="Arial"/>
        <w:noProof/>
        <w:sz w:val="22"/>
        <w:szCs w:val="22"/>
      </w:rPr>
      <w:t>4</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0204" w14:paraId="6085A28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0204" w14:paraId="1A0D261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0204" w14:paraId="4051DF4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0204" w14:paraId="25AB9B4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D1C68"/>
    <w:multiLevelType w:val="hybridMultilevel"/>
    <w:tmpl w:val="5CA0F48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8F64608"/>
    <w:multiLevelType w:val="multilevel"/>
    <w:tmpl w:val="DA8E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902BBE"/>
    <w:multiLevelType w:val="hybridMultilevel"/>
    <w:tmpl w:val="54FCD68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4E817A8"/>
    <w:multiLevelType w:val="hybridMultilevel"/>
    <w:tmpl w:val="DEEC7F4E"/>
    <w:lvl w:ilvl="0">
      <w:start w:val="1"/>
      <w:numFmt w:val="bullet"/>
      <w:lvlText w:val=""/>
      <w:lvlJc w:val="left"/>
      <w:pPr>
        <w:ind w:left="720" w:hanging="360"/>
      </w:pPr>
      <w:rPr>
        <w:rFonts w:ascii="Symbol" w:hAnsi="Symbol" w:hint="default"/>
      </w:rPr>
    </w:lvl>
    <w:lvl w:ilvl="1">
      <w:start w:val="0"/>
      <w:numFmt w:val="bullet"/>
      <w:lvlText w:val="•"/>
      <w:lvlJc w:val="left"/>
      <w:pPr>
        <w:ind w:left="1530" w:hanging="450"/>
      </w:pPr>
      <w:rPr>
        <w:rFonts w:ascii="Arial" w:hAnsi="Arial" w:eastAsiaTheme="minorHAnsi"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D6817DC"/>
    <w:multiLevelType w:val="hybridMultilevel"/>
    <w:tmpl w:val="EED0689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D51851E"/>
    <w:multiLevelType w:val="hybridMultilevel"/>
    <w:tmpl w:val="7C4869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44BB008F"/>
    <w:multiLevelType w:val="hybridMultilevel"/>
    <w:tmpl w:val="56A09D5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1232376"/>
    <w:multiLevelType w:val="hybridMultilevel"/>
    <w:tmpl w:val="7DD864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CCF67E5"/>
    <w:multiLevelType w:val="hybridMultilevel"/>
    <w:tmpl w:val="26C827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9905700">
    <w:abstractNumId w:val="6"/>
  </w:num>
  <w:num w:numId="2" w16cid:durableId="413011982">
    <w:abstractNumId w:val="5"/>
  </w:num>
  <w:num w:numId="3" w16cid:durableId="1805006300">
    <w:abstractNumId w:val="9"/>
  </w:num>
  <w:num w:numId="4" w16cid:durableId="1354182995">
    <w:abstractNumId w:val="4"/>
  </w:num>
  <w:num w:numId="5" w16cid:durableId="1722555159">
    <w:abstractNumId w:val="8"/>
  </w:num>
  <w:num w:numId="6" w16cid:durableId="953826485">
    <w:abstractNumId w:val="3"/>
  </w:num>
  <w:num w:numId="7" w16cid:durableId="713043588">
    <w:abstractNumId w:val="1"/>
  </w:num>
  <w:num w:numId="8" w16cid:durableId="1761677640">
    <w:abstractNumId w:val="0"/>
  </w:num>
  <w:num w:numId="9" w16cid:durableId="589437130">
    <w:abstractNumId w:val="7"/>
  </w:num>
  <w:num w:numId="10" w16cid:durableId="1391810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469B"/>
    <w:rsid w:val="00011C71"/>
    <w:rsid w:val="000158E6"/>
    <w:rsid w:val="000246B4"/>
    <w:rsid w:val="000257C8"/>
    <w:rsid w:val="00026233"/>
    <w:rsid w:val="00033C95"/>
    <w:rsid w:val="00040BD4"/>
    <w:rsid w:val="000418C9"/>
    <w:rsid w:val="000418F1"/>
    <w:rsid w:val="00042E5F"/>
    <w:rsid w:val="00046247"/>
    <w:rsid w:val="00073D5A"/>
    <w:rsid w:val="00075690"/>
    <w:rsid w:val="00076837"/>
    <w:rsid w:val="000773BD"/>
    <w:rsid w:val="000A1E25"/>
    <w:rsid w:val="000A240A"/>
    <w:rsid w:val="000A3F9D"/>
    <w:rsid w:val="000B4810"/>
    <w:rsid w:val="000B5E36"/>
    <w:rsid w:val="000C065A"/>
    <w:rsid w:val="000C5D29"/>
    <w:rsid w:val="000D0F9C"/>
    <w:rsid w:val="000D3B13"/>
    <w:rsid w:val="000D5E92"/>
    <w:rsid w:val="000D75C4"/>
    <w:rsid w:val="000E107C"/>
    <w:rsid w:val="000E3AB5"/>
    <w:rsid w:val="000E3BC1"/>
    <w:rsid w:val="000E431C"/>
    <w:rsid w:val="000F04D9"/>
    <w:rsid w:val="000F1C17"/>
    <w:rsid w:val="000F3AF1"/>
    <w:rsid w:val="000F5C2C"/>
    <w:rsid w:val="000F6920"/>
    <w:rsid w:val="001054D9"/>
    <w:rsid w:val="00105731"/>
    <w:rsid w:val="00106661"/>
    <w:rsid w:val="0010798D"/>
    <w:rsid w:val="00110FDB"/>
    <w:rsid w:val="0011134C"/>
    <w:rsid w:val="00115FA7"/>
    <w:rsid w:val="00120387"/>
    <w:rsid w:val="00127F14"/>
    <w:rsid w:val="001357FE"/>
    <w:rsid w:val="001416BD"/>
    <w:rsid w:val="00146526"/>
    <w:rsid w:val="0015037A"/>
    <w:rsid w:val="0015130F"/>
    <w:rsid w:val="0015729E"/>
    <w:rsid w:val="00162B02"/>
    <w:rsid w:val="0016574C"/>
    <w:rsid w:val="00181BB2"/>
    <w:rsid w:val="00181BD8"/>
    <w:rsid w:val="001831A2"/>
    <w:rsid w:val="001840AA"/>
    <w:rsid w:val="001876C2"/>
    <w:rsid w:val="001A6C0A"/>
    <w:rsid w:val="001C0C37"/>
    <w:rsid w:val="001C73AB"/>
    <w:rsid w:val="001D3AF6"/>
    <w:rsid w:val="001D6429"/>
    <w:rsid w:val="001E1E56"/>
    <w:rsid w:val="001E5D53"/>
    <w:rsid w:val="001E66BE"/>
    <w:rsid w:val="001E6BAA"/>
    <w:rsid w:val="00201031"/>
    <w:rsid w:val="0020422C"/>
    <w:rsid w:val="0020554F"/>
    <w:rsid w:val="00211FBA"/>
    <w:rsid w:val="0021258C"/>
    <w:rsid w:val="0021643C"/>
    <w:rsid w:val="00220126"/>
    <w:rsid w:val="00220402"/>
    <w:rsid w:val="0022289F"/>
    <w:rsid w:val="00222A57"/>
    <w:rsid w:val="00223B4E"/>
    <w:rsid w:val="00236C9E"/>
    <w:rsid w:val="00236EB7"/>
    <w:rsid w:val="00240007"/>
    <w:rsid w:val="002414EF"/>
    <w:rsid w:val="00244498"/>
    <w:rsid w:val="00246A07"/>
    <w:rsid w:val="00251281"/>
    <w:rsid w:val="00256197"/>
    <w:rsid w:val="00261428"/>
    <w:rsid w:val="00280EE3"/>
    <w:rsid w:val="00281FDB"/>
    <w:rsid w:val="002832BF"/>
    <w:rsid w:val="002834FB"/>
    <w:rsid w:val="00285266"/>
    <w:rsid w:val="00286354"/>
    <w:rsid w:val="00295103"/>
    <w:rsid w:val="002C325E"/>
    <w:rsid w:val="002E3BBE"/>
    <w:rsid w:val="002E7D4B"/>
    <w:rsid w:val="002F0B54"/>
    <w:rsid w:val="002F1723"/>
    <w:rsid w:val="002F3FA8"/>
    <w:rsid w:val="002F56F0"/>
    <w:rsid w:val="002F572F"/>
    <w:rsid w:val="00302AB3"/>
    <w:rsid w:val="00311206"/>
    <w:rsid w:val="00317DBA"/>
    <w:rsid w:val="00322E55"/>
    <w:rsid w:val="00335617"/>
    <w:rsid w:val="0033787C"/>
    <w:rsid w:val="00344E54"/>
    <w:rsid w:val="00345E03"/>
    <w:rsid w:val="00347269"/>
    <w:rsid w:val="00352210"/>
    <w:rsid w:val="00353308"/>
    <w:rsid w:val="003649C4"/>
    <w:rsid w:val="00365048"/>
    <w:rsid w:val="00370826"/>
    <w:rsid w:val="00381833"/>
    <w:rsid w:val="00387C1F"/>
    <w:rsid w:val="00390184"/>
    <w:rsid w:val="00394AAD"/>
    <w:rsid w:val="003A60D9"/>
    <w:rsid w:val="003B737F"/>
    <w:rsid w:val="003C021B"/>
    <w:rsid w:val="003C19D5"/>
    <w:rsid w:val="003C3292"/>
    <w:rsid w:val="003D524B"/>
    <w:rsid w:val="003D602B"/>
    <w:rsid w:val="003E1F5A"/>
    <w:rsid w:val="003E4B76"/>
    <w:rsid w:val="003F28EA"/>
    <w:rsid w:val="003F579E"/>
    <w:rsid w:val="003F75DE"/>
    <w:rsid w:val="004050E0"/>
    <w:rsid w:val="0040528E"/>
    <w:rsid w:val="00407CC5"/>
    <w:rsid w:val="0042250F"/>
    <w:rsid w:val="00426382"/>
    <w:rsid w:val="00433510"/>
    <w:rsid w:val="0043541E"/>
    <w:rsid w:val="004368C3"/>
    <w:rsid w:val="00436E05"/>
    <w:rsid w:val="004436DE"/>
    <w:rsid w:val="00447446"/>
    <w:rsid w:val="0045249A"/>
    <w:rsid w:val="00455568"/>
    <w:rsid w:val="004628A3"/>
    <w:rsid w:val="0048034B"/>
    <w:rsid w:val="004816F1"/>
    <w:rsid w:val="00493E5A"/>
    <w:rsid w:val="00495C27"/>
    <w:rsid w:val="00496F91"/>
    <w:rsid w:val="004976CB"/>
    <w:rsid w:val="004A63CA"/>
    <w:rsid w:val="004A6DFA"/>
    <w:rsid w:val="004B17E8"/>
    <w:rsid w:val="004B70FF"/>
    <w:rsid w:val="004C4001"/>
    <w:rsid w:val="004D37E7"/>
    <w:rsid w:val="004D57D5"/>
    <w:rsid w:val="004E020E"/>
    <w:rsid w:val="004F0C41"/>
    <w:rsid w:val="004F292E"/>
    <w:rsid w:val="004F6045"/>
    <w:rsid w:val="004F6954"/>
    <w:rsid w:val="00504A59"/>
    <w:rsid w:val="005149A7"/>
    <w:rsid w:val="00521227"/>
    <w:rsid w:val="00525467"/>
    <w:rsid w:val="0053130F"/>
    <w:rsid w:val="00540D2F"/>
    <w:rsid w:val="00542410"/>
    <w:rsid w:val="005458E4"/>
    <w:rsid w:val="00557311"/>
    <w:rsid w:val="00574729"/>
    <w:rsid w:val="005812F4"/>
    <w:rsid w:val="005903FE"/>
    <w:rsid w:val="005912A2"/>
    <w:rsid w:val="005922E9"/>
    <w:rsid w:val="005A1210"/>
    <w:rsid w:val="005A16F5"/>
    <w:rsid w:val="005B0888"/>
    <w:rsid w:val="005B58F0"/>
    <w:rsid w:val="005C7362"/>
    <w:rsid w:val="005D32DA"/>
    <w:rsid w:val="005D39A7"/>
    <w:rsid w:val="005D7B71"/>
    <w:rsid w:val="005E0031"/>
    <w:rsid w:val="005E7B39"/>
    <w:rsid w:val="005E7CF2"/>
    <w:rsid w:val="005F2838"/>
    <w:rsid w:val="005F75AA"/>
    <w:rsid w:val="00607136"/>
    <w:rsid w:val="0060758B"/>
    <w:rsid w:val="00607F46"/>
    <w:rsid w:val="0061039F"/>
    <w:rsid w:val="00614F98"/>
    <w:rsid w:val="0061617D"/>
    <w:rsid w:val="00616B2F"/>
    <w:rsid w:val="00620E11"/>
    <w:rsid w:val="0063010F"/>
    <w:rsid w:val="006319A2"/>
    <w:rsid w:val="00650CCF"/>
    <w:rsid w:val="00651DB0"/>
    <w:rsid w:val="0066456C"/>
    <w:rsid w:val="0068250F"/>
    <w:rsid w:val="006849A1"/>
    <w:rsid w:val="0068562A"/>
    <w:rsid w:val="00685715"/>
    <w:rsid w:val="00697CB9"/>
    <w:rsid w:val="006A5155"/>
    <w:rsid w:val="006A5225"/>
    <w:rsid w:val="006A52CD"/>
    <w:rsid w:val="006A6F15"/>
    <w:rsid w:val="006B6BDA"/>
    <w:rsid w:val="006B7923"/>
    <w:rsid w:val="006D21CB"/>
    <w:rsid w:val="006E00D6"/>
    <w:rsid w:val="006E339F"/>
    <w:rsid w:val="006F0204"/>
    <w:rsid w:val="00701C0C"/>
    <w:rsid w:val="00715D4C"/>
    <w:rsid w:val="00716CD4"/>
    <w:rsid w:val="0071ED97"/>
    <w:rsid w:val="00721D98"/>
    <w:rsid w:val="007233DC"/>
    <w:rsid w:val="00724A4F"/>
    <w:rsid w:val="00727596"/>
    <w:rsid w:val="00733942"/>
    <w:rsid w:val="00735CAA"/>
    <w:rsid w:val="007460D9"/>
    <w:rsid w:val="00746FD3"/>
    <w:rsid w:val="00751DF5"/>
    <w:rsid w:val="0075436B"/>
    <w:rsid w:val="0075627F"/>
    <w:rsid w:val="0076495D"/>
    <w:rsid w:val="0077018D"/>
    <w:rsid w:val="007851E9"/>
    <w:rsid w:val="00787504"/>
    <w:rsid w:val="007923A0"/>
    <w:rsid w:val="007A559C"/>
    <w:rsid w:val="007A5CAC"/>
    <w:rsid w:val="007B74A9"/>
    <w:rsid w:val="007C0FC6"/>
    <w:rsid w:val="007D2104"/>
    <w:rsid w:val="007E21B5"/>
    <w:rsid w:val="007E4350"/>
    <w:rsid w:val="007F25FA"/>
    <w:rsid w:val="008064A0"/>
    <w:rsid w:val="00807094"/>
    <w:rsid w:val="00807E80"/>
    <w:rsid w:val="0081259F"/>
    <w:rsid w:val="00813E97"/>
    <w:rsid w:val="00817465"/>
    <w:rsid w:val="0082211D"/>
    <w:rsid w:val="0083557F"/>
    <w:rsid w:val="00852D2E"/>
    <w:rsid w:val="00865188"/>
    <w:rsid w:val="008653A2"/>
    <w:rsid w:val="008700F6"/>
    <w:rsid w:val="008842A5"/>
    <w:rsid w:val="00892C60"/>
    <w:rsid w:val="00894A15"/>
    <w:rsid w:val="008A2305"/>
    <w:rsid w:val="008A2D8E"/>
    <w:rsid w:val="008C0326"/>
    <w:rsid w:val="008C1F3B"/>
    <w:rsid w:val="008C5579"/>
    <w:rsid w:val="008C6AD7"/>
    <w:rsid w:val="008C746A"/>
    <w:rsid w:val="008D151F"/>
    <w:rsid w:val="008E3DD1"/>
    <w:rsid w:val="008E58AC"/>
    <w:rsid w:val="008F0155"/>
    <w:rsid w:val="008F70FC"/>
    <w:rsid w:val="00910DCF"/>
    <w:rsid w:val="00916E41"/>
    <w:rsid w:val="00926C25"/>
    <w:rsid w:val="009305AE"/>
    <w:rsid w:val="00930792"/>
    <w:rsid w:val="00936A03"/>
    <w:rsid w:val="00944C21"/>
    <w:rsid w:val="00944DAC"/>
    <w:rsid w:val="00946B59"/>
    <w:rsid w:val="009520BD"/>
    <w:rsid w:val="009557C4"/>
    <w:rsid w:val="009627E9"/>
    <w:rsid w:val="009655B4"/>
    <w:rsid w:val="009831BE"/>
    <w:rsid w:val="009A1FB6"/>
    <w:rsid w:val="009A370C"/>
    <w:rsid w:val="009A4BE8"/>
    <w:rsid w:val="009B0ED6"/>
    <w:rsid w:val="009B32D1"/>
    <w:rsid w:val="009B359F"/>
    <w:rsid w:val="009C1664"/>
    <w:rsid w:val="009C343C"/>
    <w:rsid w:val="009C6971"/>
    <w:rsid w:val="009E018B"/>
    <w:rsid w:val="009E3260"/>
    <w:rsid w:val="009F0FAE"/>
    <w:rsid w:val="009F2D69"/>
    <w:rsid w:val="00A04A49"/>
    <w:rsid w:val="00A16886"/>
    <w:rsid w:val="00A17CC7"/>
    <w:rsid w:val="00A207B5"/>
    <w:rsid w:val="00A21C3F"/>
    <w:rsid w:val="00A25A33"/>
    <w:rsid w:val="00A3246F"/>
    <w:rsid w:val="00A34660"/>
    <w:rsid w:val="00A35640"/>
    <w:rsid w:val="00A37639"/>
    <w:rsid w:val="00A41129"/>
    <w:rsid w:val="00A43599"/>
    <w:rsid w:val="00A43CA2"/>
    <w:rsid w:val="00A65F31"/>
    <w:rsid w:val="00A67E00"/>
    <w:rsid w:val="00A73317"/>
    <w:rsid w:val="00A74872"/>
    <w:rsid w:val="00A76703"/>
    <w:rsid w:val="00A768D7"/>
    <w:rsid w:val="00A80532"/>
    <w:rsid w:val="00A84E4C"/>
    <w:rsid w:val="00A858B6"/>
    <w:rsid w:val="00A90421"/>
    <w:rsid w:val="00A9492C"/>
    <w:rsid w:val="00AA0E02"/>
    <w:rsid w:val="00AA737C"/>
    <w:rsid w:val="00AB4122"/>
    <w:rsid w:val="00AC4F54"/>
    <w:rsid w:val="00AD5387"/>
    <w:rsid w:val="00AE3E91"/>
    <w:rsid w:val="00B01325"/>
    <w:rsid w:val="00B027CD"/>
    <w:rsid w:val="00B04C1C"/>
    <w:rsid w:val="00B0683F"/>
    <w:rsid w:val="00B11B14"/>
    <w:rsid w:val="00B11B48"/>
    <w:rsid w:val="00B169C5"/>
    <w:rsid w:val="00B26B51"/>
    <w:rsid w:val="00B319EB"/>
    <w:rsid w:val="00B31E9E"/>
    <w:rsid w:val="00B320EB"/>
    <w:rsid w:val="00B32CBE"/>
    <w:rsid w:val="00B33CD6"/>
    <w:rsid w:val="00B42928"/>
    <w:rsid w:val="00B42EB9"/>
    <w:rsid w:val="00B50214"/>
    <w:rsid w:val="00B51F1E"/>
    <w:rsid w:val="00B5580E"/>
    <w:rsid w:val="00B625FA"/>
    <w:rsid w:val="00B646B4"/>
    <w:rsid w:val="00B82510"/>
    <w:rsid w:val="00B85662"/>
    <w:rsid w:val="00B96B00"/>
    <w:rsid w:val="00BA1D34"/>
    <w:rsid w:val="00BA57FB"/>
    <w:rsid w:val="00BA73CC"/>
    <w:rsid w:val="00BB21DC"/>
    <w:rsid w:val="00BC0A6B"/>
    <w:rsid w:val="00BC174D"/>
    <w:rsid w:val="00BC7F99"/>
    <w:rsid w:val="00BD180F"/>
    <w:rsid w:val="00BD3F0C"/>
    <w:rsid w:val="00BE35A1"/>
    <w:rsid w:val="00BE78A5"/>
    <w:rsid w:val="00BF77FB"/>
    <w:rsid w:val="00C23A71"/>
    <w:rsid w:val="00C23E54"/>
    <w:rsid w:val="00C41311"/>
    <w:rsid w:val="00C53BE4"/>
    <w:rsid w:val="00C60E1D"/>
    <w:rsid w:val="00C61DFC"/>
    <w:rsid w:val="00C656A2"/>
    <w:rsid w:val="00C65E86"/>
    <w:rsid w:val="00C740BA"/>
    <w:rsid w:val="00C82CD7"/>
    <w:rsid w:val="00C83CCA"/>
    <w:rsid w:val="00C90DB4"/>
    <w:rsid w:val="00C93754"/>
    <w:rsid w:val="00CB0308"/>
    <w:rsid w:val="00CB1961"/>
    <w:rsid w:val="00CB2B16"/>
    <w:rsid w:val="00CC0C0B"/>
    <w:rsid w:val="00CD392B"/>
    <w:rsid w:val="00CD3FB7"/>
    <w:rsid w:val="00CD420F"/>
    <w:rsid w:val="00CD42E1"/>
    <w:rsid w:val="00CD65E3"/>
    <w:rsid w:val="00CE6341"/>
    <w:rsid w:val="00CF1D73"/>
    <w:rsid w:val="00CF1EDE"/>
    <w:rsid w:val="00D00158"/>
    <w:rsid w:val="00D008F4"/>
    <w:rsid w:val="00D0601B"/>
    <w:rsid w:val="00D23052"/>
    <w:rsid w:val="00D279F3"/>
    <w:rsid w:val="00D305F9"/>
    <w:rsid w:val="00D33F90"/>
    <w:rsid w:val="00D37448"/>
    <w:rsid w:val="00D4047F"/>
    <w:rsid w:val="00D44031"/>
    <w:rsid w:val="00D45648"/>
    <w:rsid w:val="00D475F4"/>
    <w:rsid w:val="00D530A7"/>
    <w:rsid w:val="00D700DC"/>
    <w:rsid w:val="00D77451"/>
    <w:rsid w:val="00D77A6D"/>
    <w:rsid w:val="00D80143"/>
    <w:rsid w:val="00D86223"/>
    <w:rsid w:val="00D91443"/>
    <w:rsid w:val="00D93CAC"/>
    <w:rsid w:val="00DA6B24"/>
    <w:rsid w:val="00DC14D6"/>
    <w:rsid w:val="00DC553F"/>
    <w:rsid w:val="00DE0187"/>
    <w:rsid w:val="00DE1FFE"/>
    <w:rsid w:val="00DE7630"/>
    <w:rsid w:val="00DF0CE5"/>
    <w:rsid w:val="00DF1A6B"/>
    <w:rsid w:val="00E11A76"/>
    <w:rsid w:val="00E30C8F"/>
    <w:rsid w:val="00E332B5"/>
    <w:rsid w:val="00E35C66"/>
    <w:rsid w:val="00E36CC3"/>
    <w:rsid w:val="00E47638"/>
    <w:rsid w:val="00E52681"/>
    <w:rsid w:val="00E6013B"/>
    <w:rsid w:val="00E60EFE"/>
    <w:rsid w:val="00E6469D"/>
    <w:rsid w:val="00E70208"/>
    <w:rsid w:val="00E71923"/>
    <w:rsid w:val="00E71DD7"/>
    <w:rsid w:val="00E80DE0"/>
    <w:rsid w:val="00E81051"/>
    <w:rsid w:val="00E85299"/>
    <w:rsid w:val="00E8612E"/>
    <w:rsid w:val="00E87F4B"/>
    <w:rsid w:val="00E93EFF"/>
    <w:rsid w:val="00E9595F"/>
    <w:rsid w:val="00E9784D"/>
    <w:rsid w:val="00EA0454"/>
    <w:rsid w:val="00EB16BF"/>
    <w:rsid w:val="00EC2572"/>
    <w:rsid w:val="00ED4ED8"/>
    <w:rsid w:val="00ED4F01"/>
    <w:rsid w:val="00ED745A"/>
    <w:rsid w:val="00EE2950"/>
    <w:rsid w:val="00EE50AB"/>
    <w:rsid w:val="00EF1E52"/>
    <w:rsid w:val="00EF578E"/>
    <w:rsid w:val="00F11D6F"/>
    <w:rsid w:val="00F239F8"/>
    <w:rsid w:val="00F27F68"/>
    <w:rsid w:val="00F373CA"/>
    <w:rsid w:val="00F45705"/>
    <w:rsid w:val="00F464E2"/>
    <w:rsid w:val="00F5076E"/>
    <w:rsid w:val="00F52128"/>
    <w:rsid w:val="00F53076"/>
    <w:rsid w:val="00F53D51"/>
    <w:rsid w:val="00F65FD2"/>
    <w:rsid w:val="00F73931"/>
    <w:rsid w:val="00F77249"/>
    <w:rsid w:val="00F77925"/>
    <w:rsid w:val="00F86769"/>
    <w:rsid w:val="00F93D72"/>
    <w:rsid w:val="00FB487E"/>
    <w:rsid w:val="00FC4DA1"/>
    <w:rsid w:val="00FC68EC"/>
    <w:rsid w:val="00FC768B"/>
    <w:rsid w:val="00FD274A"/>
    <w:rsid w:val="00FE024B"/>
    <w:rsid w:val="00FE1733"/>
    <w:rsid w:val="00FF753F"/>
    <w:rsid w:val="0186FBAD"/>
    <w:rsid w:val="02391507"/>
    <w:rsid w:val="0305D4C2"/>
    <w:rsid w:val="0321C4F5"/>
    <w:rsid w:val="049DD704"/>
    <w:rsid w:val="05682FD2"/>
    <w:rsid w:val="06026B0B"/>
    <w:rsid w:val="0643B47C"/>
    <w:rsid w:val="06E83941"/>
    <w:rsid w:val="076DC4D2"/>
    <w:rsid w:val="0809A4C1"/>
    <w:rsid w:val="09164FAC"/>
    <w:rsid w:val="09716A15"/>
    <w:rsid w:val="09B5D384"/>
    <w:rsid w:val="0BC9A975"/>
    <w:rsid w:val="0C8E1BCF"/>
    <w:rsid w:val="0E17EC0F"/>
    <w:rsid w:val="10FF58FB"/>
    <w:rsid w:val="11BF0E63"/>
    <w:rsid w:val="12B704D4"/>
    <w:rsid w:val="13B10DF8"/>
    <w:rsid w:val="1423192F"/>
    <w:rsid w:val="149F611B"/>
    <w:rsid w:val="15A5068C"/>
    <w:rsid w:val="16B11E75"/>
    <w:rsid w:val="18163912"/>
    <w:rsid w:val="19FA5BE9"/>
    <w:rsid w:val="1B26AABE"/>
    <w:rsid w:val="1C481835"/>
    <w:rsid w:val="1FA87825"/>
    <w:rsid w:val="205C7EF3"/>
    <w:rsid w:val="2242B206"/>
    <w:rsid w:val="22C953EB"/>
    <w:rsid w:val="237A94D3"/>
    <w:rsid w:val="25CEAD28"/>
    <w:rsid w:val="28020A60"/>
    <w:rsid w:val="28A3A84E"/>
    <w:rsid w:val="2A7C74EA"/>
    <w:rsid w:val="2AC8A462"/>
    <w:rsid w:val="2B3C42AE"/>
    <w:rsid w:val="2D2849C0"/>
    <w:rsid w:val="2E7FFE7C"/>
    <w:rsid w:val="2EF09C1D"/>
    <w:rsid w:val="30E214BB"/>
    <w:rsid w:val="3245E258"/>
    <w:rsid w:val="32C235EA"/>
    <w:rsid w:val="35339A91"/>
    <w:rsid w:val="355D78CE"/>
    <w:rsid w:val="35EAD777"/>
    <w:rsid w:val="35EB59F3"/>
    <w:rsid w:val="36AE53CF"/>
    <w:rsid w:val="38780D1E"/>
    <w:rsid w:val="38B1B3F5"/>
    <w:rsid w:val="392DE401"/>
    <w:rsid w:val="3A5E22C6"/>
    <w:rsid w:val="3A79E923"/>
    <w:rsid w:val="3CE31DB1"/>
    <w:rsid w:val="3E8E9E1B"/>
    <w:rsid w:val="3F1FDF21"/>
    <w:rsid w:val="3FCB9D5B"/>
    <w:rsid w:val="4024384E"/>
    <w:rsid w:val="4095618D"/>
    <w:rsid w:val="41771274"/>
    <w:rsid w:val="41A9B5F1"/>
    <w:rsid w:val="4261554B"/>
    <w:rsid w:val="4277B840"/>
    <w:rsid w:val="433E4B33"/>
    <w:rsid w:val="443F5813"/>
    <w:rsid w:val="452E9293"/>
    <w:rsid w:val="45FCF072"/>
    <w:rsid w:val="46500D77"/>
    <w:rsid w:val="465EB9BC"/>
    <w:rsid w:val="471173AC"/>
    <w:rsid w:val="48818922"/>
    <w:rsid w:val="4AD4395C"/>
    <w:rsid w:val="4C352EA4"/>
    <w:rsid w:val="4C738916"/>
    <w:rsid w:val="4D08E1B1"/>
    <w:rsid w:val="4D3822FD"/>
    <w:rsid w:val="4DA10618"/>
    <w:rsid w:val="4F489BE5"/>
    <w:rsid w:val="4F60497F"/>
    <w:rsid w:val="506A39EF"/>
    <w:rsid w:val="509DEB74"/>
    <w:rsid w:val="50BA1B7E"/>
    <w:rsid w:val="5156A9E3"/>
    <w:rsid w:val="51D97333"/>
    <w:rsid w:val="5204797D"/>
    <w:rsid w:val="52C6A444"/>
    <w:rsid w:val="53312278"/>
    <w:rsid w:val="5413566F"/>
    <w:rsid w:val="54869D3E"/>
    <w:rsid w:val="558F460D"/>
    <w:rsid w:val="56AB4061"/>
    <w:rsid w:val="577AD20A"/>
    <w:rsid w:val="579BD0D1"/>
    <w:rsid w:val="585B6804"/>
    <w:rsid w:val="58D92B4C"/>
    <w:rsid w:val="59D89704"/>
    <w:rsid w:val="5A8F87F5"/>
    <w:rsid w:val="5ACD5A6B"/>
    <w:rsid w:val="5AE11815"/>
    <w:rsid w:val="5BE76C92"/>
    <w:rsid w:val="5DD688D4"/>
    <w:rsid w:val="5E843E25"/>
    <w:rsid w:val="5F5A26F5"/>
    <w:rsid w:val="5FC20A2B"/>
    <w:rsid w:val="608DF833"/>
    <w:rsid w:val="61077E02"/>
    <w:rsid w:val="616A3319"/>
    <w:rsid w:val="61B8E3FA"/>
    <w:rsid w:val="635B57D0"/>
    <w:rsid w:val="63629C0D"/>
    <w:rsid w:val="646BA295"/>
    <w:rsid w:val="649EABDB"/>
    <w:rsid w:val="65A1090A"/>
    <w:rsid w:val="65E6F98C"/>
    <w:rsid w:val="65F515C8"/>
    <w:rsid w:val="66C43F58"/>
    <w:rsid w:val="68BE4755"/>
    <w:rsid w:val="68D608DA"/>
    <w:rsid w:val="6B3F135A"/>
    <w:rsid w:val="6B9DA90B"/>
    <w:rsid w:val="6BD64BC4"/>
    <w:rsid w:val="6F45DC66"/>
    <w:rsid w:val="70A665E7"/>
    <w:rsid w:val="719347D6"/>
    <w:rsid w:val="71D9B13B"/>
    <w:rsid w:val="728EC818"/>
    <w:rsid w:val="7443E3B4"/>
    <w:rsid w:val="747AFD2E"/>
    <w:rsid w:val="74A0DEEF"/>
    <w:rsid w:val="76089556"/>
    <w:rsid w:val="768092A2"/>
    <w:rsid w:val="76895AB0"/>
    <w:rsid w:val="77EE6F97"/>
    <w:rsid w:val="783EAE6B"/>
    <w:rsid w:val="7940C4EE"/>
    <w:rsid w:val="7958FA59"/>
    <w:rsid w:val="79936D8C"/>
    <w:rsid w:val="7C916971"/>
    <w:rsid w:val="7D0EE73C"/>
    <w:rsid w:val="7DD9F946"/>
    <w:rsid w:val="7DE4CB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86E2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7451"/>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rsid w:val="00280EE3"/>
    <w:pPr>
      <w:tabs>
        <w:tab w:val="left" w:pos="360"/>
        <w:tab w:val="left" w:pos="720"/>
      </w:tabs>
      <w:outlineLvl w:val="0"/>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paragraph" w:styleId="Title">
    <w:name w:val="Title"/>
    <w:basedOn w:val="Normal"/>
    <w:next w:val="Normal"/>
    <w:link w:val="TitleChar"/>
    <w:uiPriority w:val="10"/>
    <w:qFormat/>
    <w:rsid w:val="00280EE3"/>
    <w:pPr>
      <w:tabs>
        <w:tab w:val="left" w:pos="720"/>
      </w:tabs>
      <w:jc w:val="center"/>
    </w:pPr>
    <w:rPr>
      <w:rFonts w:ascii="Arial" w:hAnsi="Arial" w:cs="Arial"/>
      <w:caps/>
      <w:sz w:val="26"/>
      <w:szCs w:val="26"/>
      <w:lang w:val="en-CA"/>
    </w:rPr>
  </w:style>
  <w:style w:type="character" w:customStyle="1" w:styleId="TitleChar">
    <w:name w:val="Title Char"/>
    <w:basedOn w:val="DefaultParagraphFont"/>
    <w:link w:val="Title"/>
    <w:uiPriority w:val="10"/>
    <w:rsid w:val="00280EE3"/>
    <w:rPr>
      <w:rFonts w:ascii="Arial" w:hAnsi="Arial" w:cs="Arial"/>
      <w:caps/>
      <w:sz w:val="26"/>
      <w:szCs w:val="26"/>
      <w:lang w:val="en-CA"/>
    </w:rPr>
  </w:style>
  <w:style w:type="paragraph" w:styleId="Subtitle">
    <w:name w:val="Subtitle"/>
    <w:basedOn w:val="Normal"/>
    <w:next w:val="Normal"/>
    <w:link w:val="SubtitleChar"/>
    <w:uiPriority w:val="11"/>
    <w:qFormat/>
    <w:rsid w:val="00280EE3"/>
    <w:pPr>
      <w:tabs>
        <w:tab w:val="left" w:pos="720"/>
      </w:tabs>
      <w:jc w:val="center"/>
    </w:pPr>
    <w:rPr>
      <w:rFonts w:ascii="Arial" w:hAnsi="Arial" w:cs="Arial"/>
      <w:b/>
      <w:bCs/>
      <w:sz w:val="26"/>
      <w:szCs w:val="26"/>
    </w:rPr>
  </w:style>
  <w:style w:type="character" w:customStyle="1" w:styleId="SubtitleChar">
    <w:name w:val="Subtitle Char"/>
    <w:basedOn w:val="DefaultParagraphFont"/>
    <w:link w:val="Subtitle"/>
    <w:uiPriority w:val="11"/>
    <w:rsid w:val="00280EE3"/>
    <w:rPr>
      <w:rFonts w:ascii="Arial" w:hAnsi="Arial" w:cs="Arial"/>
      <w:b/>
      <w:bCs/>
      <w:sz w:val="26"/>
      <w:szCs w:val="26"/>
    </w:rPr>
  </w:style>
  <w:style w:type="character" w:customStyle="1" w:styleId="Heading1Char">
    <w:name w:val="Heading 1 Char"/>
    <w:basedOn w:val="DefaultParagraphFont"/>
    <w:link w:val="Heading1"/>
    <w:uiPriority w:val="9"/>
    <w:rsid w:val="00280EE3"/>
    <w:rPr>
      <w:rFonts w:ascii="Arial" w:hAnsi="Arial" w:cs="Arial"/>
      <w:b/>
      <w:sz w:val="22"/>
      <w:szCs w:val="22"/>
    </w:rPr>
  </w:style>
  <w:style w:type="character" w:styleId="Hyperlink">
    <w:name w:val="Hyperlink"/>
    <w:basedOn w:val="DefaultParagraphFont"/>
    <w:uiPriority w:val="99"/>
    <w:rsid w:val="0021643C"/>
    <w:rPr>
      <w:rFonts w:cs="Times New Roman"/>
      <w:color w:val="0000FF"/>
      <w:u w:val="single"/>
    </w:rPr>
  </w:style>
  <w:style w:type="paragraph" w:styleId="ListParagraph">
    <w:name w:val="List Paragraph"/>
    <w:basedOn w:val="Normal"/>
    <w:uiPriority w:val="34"/>
    <w:qFormat/>
    <w:rsid w:val="00807094"/>
    <w:pPr>
      <w:ind w:left="720"/>
      <w:contextualSpacing/>
    </w:pPr>
  </w:style>
  <w:style w:type="character" w:styleId="UnresolvedMention">
    <w:name w:val="Unresolved Mention"/>
    <w:basedOn w:val="DefaultParagraphFont"/>
    <w:uiPriority w:val="99"/>
    <w:semiHidden/>
    <w:unhideWhenUsed/>
    <w:rsid w:val="00807094"/>
    <w:rPr>
      <w:color w:val="605E5C"/>
      <w:shd w:val="clear" w:color="auto" w:fill="E1DFDD"/>
    </w:rPr>
  </w:style>
  <w:style w:type="paragraph" w:styleId="BodyTextIndent2">
    <w:name w:val="Body Text Indent 2"/>
    <w:basedOn w:val="Normal"/>
    <w:link w:val="BodyTextIndent2Char"/>
    <w:rsid w:val="00495C27"/>
    <w:pPr>
      <w:widowControl/>
      <w:autoSpaceDE/>
      <w:autoSpaceDN/>
      <w:adjustRightInd/>
      <w:ind w:left="720" w:hanging="720"/>
    </w:pPr>
    <w:rPr>
      <w:rFonts w:cs="Arial"/>
      <w:sz w:val="22"/>
      <w:szCs w:val="22"/>
    </w:rPr>
  </w:style>
  <w:style w:type="character" w:customStyle="1" w:styleId="BodyTextIndent2Char">
    <w:name w:val="Body Text Indent 2 Char"/>
    <w:basedOn w:val="DefaultParagraphFont"/>
    <w:link w:val="BodyTextIndent2"/>
    <w:rsid w:val="00495C27"/>
    <w:rPr>
      <w:rFonts w:ascii="Times New Roman" w:hAnsi="Times New Roman" w:cs="Arial"/>
      <w:sz w:val="22"/>
      <w:szCs w:val="22"/>
    </w:rPr>
  </w:style>
  <w:style w:type="paragraph" w:styleId="CommentSubject">
    <w:name w:val="annotation subject"/>
    <w:basedOn w:val="CommentText"/>
    <w:next w:val="CommentText"/>
    <w:link w:val="CommentSubjectChar"/>
    <w:uiPriority w:val="99"/>
    <w:semiHidden/>
    <w:unhideWhenUsed/>
    <w:rsid w:val="00495C27"/>
    <w:rPr>
      <w:b/>
      <w:bCs/>
    </w:rPr>
  </w:style>
  <w:style w:type="character" w:customStyle="1" w:styleId="CommentSubjectChar">
    <w:name w:val="Comment Subject Char"/>
    <w:basedOn w:val="CommentTextChar"/>
    <w:link w:val="CommentSubject"/>
    <w:uiPriority w:val="99"/>
    <w:semiHidden/>
    <w:rsid w:val="00495C27"/>
    <w:rPr>
      <w:rFonts w:ascii="Times New Roman" w:hAnsi="Times New Roman"/>
      <w:b/>
      <w:bCs/>
    </w:rPr>
  </w:style>
  <w:style w:type="character" w:styleId="FollowedHyperlink">
    <w:name w:val="FollowedHyperlink"/>
    <w:basedOn w:val="DefaultParagraphFont"/>
    <w:uiPriority w:val="99"/>
    <w:semiHidden/>
    <w:unhideWhenUsed/>
    <w:rsid w:val="00F53076"/>
    <w:rPr>
      <w:color w:val="800080" w:themeColor="followedHyperlink"/>
      <w:u w:val="single"/>
    </w:rPr>
  </w:style>
  <w:style w:type="character" w:customStyle="1" w:styleId="normaltextrun">
    <w:name w:val="normaltextrun"/>
    <w:basedOn w:val="DefaultParagraphFont"/>
    <w:rsid w:val="002F3FA8"/>
  </w:style>
  <w:style w:type="character" w:customStyle="1" w:styleId="eop">
    <w:name w:val="eop"/>
    <w:basedOn w:val="DefaultParagraphFont"/>
    <w:rsid w:val="002F3FA8"/>
  </w:style>
  <w:style w:type="paragraph" w:customStyle="1" w:styleId="paragraph">
    <w:name w:val="paragraph"/>
    <w:basedOn w:val="Normal"/>
    <w:rsid w:val="00E332B5"/>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pdf/2024/RUS_h.pdf"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govinfo.gov/content/pkg/FR-2024-05-22/pdf/2024-11161.pdf" TargetMode="External" /><Relationship Id="rId5" Type="http://schemas.openxmlformats.org/officeDocument/2006/relationships/hyperlink" Target="https://www.regulations.gov/document/FWS-R3-OSA-2024-0064-0001" TargetMode="External" /><Relationship Id="rId6" Type="http://schemas.openxmlformats.org/officeDocument/2006/relationships/hyperlink" Target="https://www.gpo.gov/fdsys/pkg/FR-2008-06-04/pdf/E8-12402.pdf" TargetMode="External" /><Relationship Id="rId7" Type="http://schemas.openxmlformats.org/officeDocument/2006/relationships/hyperlink" Target="https://www.bls.gov/news.release/pdf/ecec.pdf" TargetMode="External" /><Relationship Id="rId8" Type="http://schemas.openxmlformats.org/officeDocument/2006/relationships/hyperlink" Target="https://worldsalaries.com/" TargetMode="External" /><Relationship Id="rId9" Type="http://schemas.openxmlformats.org/officeDocument/2006/relationships/hyperlink" Target="https://www.exchange-rates.org/conver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3562</Words>
  <Characters>21468</Characters>
  <Application>Microsoft Office Word</Application>
  <DocSecurity>0</DocSecurity>
  <Lines>178</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dcterms:created xsi:type="dcterms:W3CDTF">2024-08-05T13:15:00Z</dcterms:created>
  <dcterms:modified xsi:type="dcterms:W3CDTF">2024-08-07T17:14:00Z</dcterms:modified>
</cp:coreProperties>
</file>