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5EE2" w:rsidRPr="00D72794" w:rsidP="00D72794" w14:paraId="12C31301" w14:textId="77777777">
      <w:pPr>
        <w:pStyle w:val="Heading1"/>
        <w:jc w:val="center"/>
        <w:rPr>
          <w:b w:val="0"/>
          <w:bCs w:val="0"/>
          <w:szCs w:val="24"/>
          <w:u w:val="single"/>
        </w:rPr>
      </w:pPr>
      <w:r w:rsidRPr="00D72794">
        <w:rPr>
          <w:b w:val="0"/>
          <w:bCs w:val="0"/>
          <w:szCs w:val="24"/>
          <w:u w:val="single"/>
        </w:rPr>
        <w:t>Supporting Statement</w:t>
      </w:r>
    </w:p>
    <w:p w:rsidR="005F73FA" w:rsidP="00D72794" w14:paraId="12C31302" w14:textId="77777777">
      <w:pPr>
        <w:jc w:val="center"/>
        <w:rPr>
          <w:u w:val="single"/>
        </w:rPr>
      </w:pPr>
      <w:r w:rsidRPr="00D72794">
        <w:rPr>
          <w:u w:val="single"/>
        </w:rPr>
        <w:t>OMB Control Number 1506-0049</w:t>
      </w:r>
    </w:p>
    <w:p w:rsidR="003E4188" w:rsidRPr="00D72794" w:rsidP="00D72794" w14:paraId="0CC62D09" w14:textId="77777777">
      <w:pPr>
        <w:jc w:val="center"/>
        <w:rPr>
          <w:u w:val="single"/>
        </w:rPr>
      </w:pPr>
    </w:p>
    <w:p w:rsidR="003E4188" w:rsidP="003E4188" w14:paraId="7A40816B" w14:textId="77777777">
      <w:pPr>
        <w:autoSpaceDE w:val="0"/>
        <w:autoSpaceDN w:val="0"/>
        <w:adjustRightInd w:val="0"/>
        <w:jc w:val="center"/>
        <w:rPr>
          <w:bCs/>
          <w:u w:val="single"/>
        </w:rPr>
      </w:pPr>
      <w:r w:rsidRPr="00D72794">
        <w:rPr>
          <w:bCs/>
          <w:u w:val="single"/>
        </w:rPr>
        <w:t xml:space="preserve">Requirement for Information Sharing Between Government </w:t>
      </w:r>
    </w:p>
    <w:p w:rsidR="005F73FA" w:rsidRPr="00D72794" w:rsidP="00DE4457" w14:paraId="12C31303" w14:textId="7B6F5C9A">
      <w:pPr>
        <w:autoSpaceDE w:val="0"/>
        <w:autoSpaceDN w:val="0"/>
        <w:adjustRightInd w:val="0"/>
        <w:jc w:val="center"/>
        <w:rPr>
          <w:bCs/>
          <w:u w:val="single"/>
        </w:rPr>
      </w:pPr>
      <w:r w:rsidRPr="00D72794">
        <w:rPr>
          <w:bCs/>
          <w:u w:val="single"/>
        </w:rPr>
        <w:t>Agencies and Financial Institutions</w:t>
      </w:r>
      <w:r w:rsidR="00827F01">
        <w:rPr>
          <w:bCs/>
          <w:u w:val="single"/>
        </w:rPr>
        <w:t xml:space="preserve"> (“314(a)”)</w:t>
      </w:r>
    </w:p>
    <w:p w:rsidR="00AA5B24" w:rsidP="00D72794" w14:paraId="12C31304" w14:textId="77777777"/>
    <w:p w:rsidR="00A75687" w:rsidP="00D72794" w14:paraId="12C31305" w14:textId="77777777">
      <w:r w:rsidRPr="00D72794">
        <w:t xml:space="preserve">1. </w:t>
      </w:r>
      <w:r w:rsidRPr="00D72794">
        <w:rPr>
          <w:u w:val="single"/>
        </w:rPr>
        <w:t xml:space="preserve">Circumstances </w:t>
      </w:r>
      <w:r w:rsidRPr="00D72794" w:rsidR="00A42FAC">
        <w:rPr>
          <w:u w:val="single"/>
        </w:rPr>
        <w:t>n</w:t>
      </w:r>
      <w:r w:rsidRPr="00D72794">
        <w:rPr>
          <w:u w:val="single"/>
        </w:rPr>
        <w:t xml:space="preserve">ecessitating </w:t>
      </w:r>
      <w:r w:rsidRPr="00D72794" w:rsidR="00A42FAC">
        <w:rPr>
          <w:u w:val="single"/>
        </w:rPr>
        <w:t>c</w:t>
      </w:r>
      <w:r w:rsidRPr="00D72794">
        <w:rPr>
          <w:u w:val="single"/>
        </w:rPr>
        <w:t xml:space="preserve">ollection of </w:t>
      </w:r>
      <w:r w:rsidRPr="00D72794" w:rsidR="00A42FAC">
        <w:rPr>
          <w:u w:val="single"/>
        </w:rPr>
        <w:t>i</w:t>
      </w:r>
      <w:r w:rsidRPr="00D72794">
        <w:rPr>
          <w:u w:val="single"/>
        </w:rPr>
        <w:t>nformation.</w:t>
      </w:r>
      <w:r w:rsidRPr="00D72794">
        <w:t xml:space="preserve"> </w:t>
      </w:r>
    </w:p>
    <w:p w:rsidR="00BF5099" w:rsidRPr="00D72794" w:rsidP="00D72794" w14:paraId="12C31306" w14:textId="77777777"/>
    <w:p w:rsidR="00361508" w:rsidP="00D72794" w14:paraId="69E5CA5A" w14:textId="5D3C499E">
      <w:pPr>
        <w:ind w:firstLine="720"/>
      </w:pPr>
      <w:r>
        <w:t xml:space="preserve">Collecting information under this control number is necessary to implement provisions of the Bank Secrecy Act (BSA) and support law enforcement efforts through information sharing. </w:t>
      </w:r>
    </w:p>
    <w:p w:rsidR="00361508" w:rsidP="00D72794" w14:paraId="01C92498" w14:textId="77777777">
      <w:pPr>
        <w:ind w:firstLine="720"/>
      </w:pPr>
    </w:p>
    <w:p w:rsidR="00A42FAC" w:rsidRPr="00D72794" w:rsidP="00D72794" w14:paraId="12C31307" w14:textId="6C3993E5">
      <w:pPr>
        <w:ind w:firstLine="720"/>
      </w:pPr>
      <w:r w:rsidRPr="00D72794">
        <w:t>The legislative framework generally referred to as the BSA consists of the Currency and Foreign Transactions Reporting Act of 1970,</w:t>
      </w:r>
      <w:r>
        <w:rPr>
          <w:rStyle w:val="FootnoteReference"/>
        </w:rPr>
        <w:footnoteReference w:id="2"/>
      </w:r>
      <w:r w:rsidRPr="00D72794">
        <w:t xml:space="preserve"> as amended by the Uniting and Strengthening America by Providing Appropriate Tools Required to Intercept and Obstruct Terrorism Act of 2001 (USA PATRIOT Act),</w:t>
      </w:r>
      <w:r>
        <w:rPr>
          <w:rStyle w:val="FootnoteReference"/>
        </w:rPr>
        <w:footnoteReference w:id="3"/>
      </w:r>
      <w:r w:rsidRPr="00D72794">
        <w:t xml:space="preserve"> and other legislation, including the Anti-Money Laundering Act of 2020 (AML Act).</w:t>
      </w:r>
      <w:r>
        <w:rPr>
          <w:rFonts w:eastAsia="Calibri"/>
          <w:vertAlign w:val="superscript"/>
        </w:rPr>
        <w:footnoteReference w:id="4"/>
      </w:r>
      <w:r w:rsidRPr="00D72794">
        <w:rPr>
          <w:rFonts w:eastAsia="Calibri"/>
        </w:rPr>
        <w:t xml:space="preserve">  </w:t>
      </w:r>
      <w:r w:rsidRPr="00D72794">
        <w:t>The BSA is codified at 12 U.S.C. 1829b</w:t>
      </w:r>
      <w:r w:rsidR="001F49C4">
        <w:t xml:space="preserve"> and</w:t>
      </w:r>
      <w:r w:rsidRPr="00D72794">
        <w:t xml:space="preserve"> 1951–1960, 31 U.S.C. 5311–5314 and 5316–5336,</w:t>
      </w:r>
      <w:r w:rsidR="00CE6ABB">
        <w:t xml:space="preserve"> </w:t>
      </w:r>
      <w:r w:rsidR="00DF2632">
        <w:t>including</w:t>
      </w:r>
      <w:r w:rsidRPr="00D72794">
        <w:t xml:space="preserve"> notes thereto, with implementing regulations at 31 CFR </w:t>
      </w:r>
      <w:r w:rsidR="00DF2632">
        <w:t>c</w:t>
      </w:r>
      <w:r w:rsidRPr="00D72794">
        <w:t xml:space="preserve">hapter X.  </w:t>
      </w:r>
    </w:p>
    <w:p w:rsidR="00A42FAC" w:rsidRPr="00D72794" w:rsidP="00D72794" w14:paraId="12C31308" w14:textId="77777777">
      <w:pPr>
        <w:ind w:firstLine="720"/>
      </w:pPr>
    </w:p>
    <w:p w:rsidR="00A42FAC" w:rsidRPr="00D72794" w:rsidP="0085006C" w14:paraId="12C31309" w14:textId="03868750">
      <w:pPr>
        <w:ind w:firstLine="720"/>
        <w:rPr>
          <w:rFonts w:eastAsia="MS Mincho"/>
        </w:rPr>
      </w:pPr>
      <w:r w:rsidRPr="00D72794">
        <w:t>The BSA authorizes the Secretary of the Treasury (the Secretary)</w:t>
      </w:r>
      <w:r w:rsidR="00DF2632">
        <w:t xml:space="preserve"> to</w:t>
      </w:r>
      <w:r w:rsidRPr="00D72794">
        <w:t xml:space="preserve">, </w:t>
      </w:r>
      <w:r w:rsidRPr="00D72794">
        <w:rPr>
          <w:i/>
        </w:rPr>
        <w:t>inter alia</w:t>
      </w:r>
      <w:r w:rsidRPr="00D72794">
        <w:t xml:space="preserve">, require financial institutions to keep records and file reports that are determined to have a high degree of usefulness in criminal, tax, and regulatory matters, </w:t>
      </w:r>
      <w:r w:rsidR="00DF2632">
        <w:t xml:space="preserve">risk assessments or proceedings, </w:t>
      </w:r>
      <w:r w:rsidRPr="00D72794">
        <w:t>or in intelligence or counter-intelligence activities</w:t>
      </w:r>
      <w:r w:rsidR="000509B3">
        <w:t>, including analysis,</w:t>
      </w:r>
      <w:r w:rsidRPr="00D72794">
        <w:t xml:space="preserve"> to protect against terrorism, and to implement </w:t>
      </w:r>
      <w:r w:rsidRPr="009446F6" w:rsidR="004C484D">
        <w:t>anti-money laundering/countering the financing of terrorism (AML/CFT)</w:t>
      </w:r>
      <w:r w:rsidRPr="00D72794">
        <w:t xml:space="preserve"> programs and compliance procedures.</w:t>
      </w:r>
      <w:r>
        <w:rPr>
          <w:vertAlign w:val="superscript"/>
        </w:rPr>
        <w:footnoteReference w:id="5"/>
      </w:r>
      <w:r w:rsidRPr="00D72794">
        <w:t xml:space="preserve">  The Secretary </w:t>
      </w:r>
      <w:r w:rsidR="00FB1421">
        <w:t>has</w:t>
      </w:r>
      <w:r w:rsidR="002F6F04">
        <w:t xml:space="preserve"> </w:t>
      </w:r>
      <w:r w:rsidRPr="00D72794">
        <w:t>delegated to the Director of FinCEN</w:t>
      </w:r>
      <w:r w:rsidR="002F6F04">
        <w:t xml:space="preserve"> the authority to administer the BSA</w:t>
      </w:r>
      <w:r w:rsidRPr="00D72794">
        <w:t>.</w:t>
      </w:r>
      <w:r>
        <w:rPr>
          <w:vertAlign w:val="superscript"/>
        </w:rPr>
        <w:footnoteReference w:id="6"/>
      </w:r>
      <w:r w:rsidRPr="00D72794">
        <w:t xml:space="preserve"> </w:t>
      </w:r>
    </w:p>
    <w:p w:rsidR="00151DA2" w:rsidRPr="00D72794" w:rsidP="0085006C" w14:paraId="12C3130A" w14:textId="77777777">
      <w:pPr>
        <w:autoSpaceDE w:val="0"/>
        <w:autoSpaceDN w:val="0"/>
        <w:adjustRightInd w:val="0"/>
        <w:ind w:firstLine="720"/>
      </w:pPr>
    </w:p>
    <w:p w:rsidR="00A11162" w:rsidP="003029CC" w14:paraId="7F3FCF4F" w14:textId="3DEAC347">
      <w:pPr>
        <w:ind w:firstLine="720"/>
        <w:rPr>
          <w:b/>
        </w:rPr>
      </w:pPr>
      <w:r>
        <w:t xml:space="preserve">The USA PATRIOT Act charged the Department of the Treasury (Treasury) with developing regulations to facilitate information sharing among government entities and financial institutions for the purpose of combatting terrorism and money laundering.  In 2002, FinCEN published a final rule implementing the authority contained in </w:t>
      </w:r>
      <w:r w:rsidR="00695922">
        <w:t>S</w:t>
      </w:r>
      <w:r>
        <w:t xml:space="preserve">ection 314(a) of the USA PATRIOT Act (the </w:t>
      </w:r>
      <w:r w:rsidR="001D2D07">
        <w:t>“</w:t>
      </w:r>
      <w:r>
        <w:t>Section 314(a) Rule</w:t>
      </w:r>
      <w:r w:rsidR="001D2D07">
        <w:t>”</w:t>
      </w:r>
      <w:r>
        <w:t>).</w:t>
      </w:r>
      <w:r>
        <w:rPr>
          <w:rStyle w:val="FootnoteReference"/>
        </w:rPr>
        <w:footnoteReference w:id="7"/>
      </w:r>
      <w:r>
        <w:t xml:space="preserve">  The rule required financial institutions, upon FinCEN’s request (</w:t>
      </w:r>
      <w:r w:rsidR="00FE23FC">
        <w:t>a “</w:t>
      </w:r>
      <w:r>
        <w:t>Section 314(a) Request</w:t>
      </w:r>
      <w:r w:rsidR="00FE23FC">
        <w:t>”</w:t>
      </w:r>
      <w:r>
        <w:t xml:space="preserve">), to search their records to determine whether they have maintained an account or conducted a transaction with a </w:t>
      </w:r>
      <w:r w:rsidRPr="00773690">
        <w:rPr>
          <w:bCs/>
        </w:rPr>
        <w:t>specified individual, entity, or organization</w:t>
      </w:r>
      <w:r>
        <w:t xml:space="preserve"> that a Federal law enforcement agency </w:t>
      </w:r>
      <w:r>
        <w:t>has certified is suspected, based on credible evidence, of engaging in terrorist activity or money laundering.  The rule was expanded in 2010 to enable certain agencies other than Federal law enforcement agencies to initiate Section 314(a) Requests.  As amended, the rule enables certain foreign law enforcement agencies, state and local law enforcement agencies, and FinCEN itself, on its own behalf and on behalf of appropriate components of Treasury, to initiate Section 314(a) Requests.</w:t>
      </w:r>
      <w:r>
        <w:rPr>
          <w:rStyle w:val="FootnoteReference"/>
        </w:rPr>
        <w:footnoteReference w:id="8"/>
      </w:r>
      <w:r w:rsidRPr="00F941F3">
        <w:t xml:space="preserve">  </w:t>
      </w:r>
      <w:r w:rsidRPr="00382A1A">
        <w:t>Before</w:t>
      </w:r>
      <w:r>
        <w:t xml:space="preserve"> </w:t>
      </w:r>
      <w:r w:rsidRPr="00382A1A">
        <w:t>processing a request, FinCEN requires</w:t>
      </w:r>
      <w:r>
        <w:t xml:space="preserve"> </w:t>
      </w:r>
      <w:r w:rsidRPr="00382A1A">
        <w:t>the requesting agency to certify that, in</w:t>
      </w:r>
      <w:r>
        <w:t xml:space="preserve"> </w:t>
      </w:r>
      <w:r w:rsidRPr="00382A1A">
        <w:t>the case of money laundering, the</w:t>
      </w:r>
      <w:r>
        <w:t xml:space="preserve"> </w:t>
      </w:r>
      <w:r w:rsidRPr="00382A1A">
        <w:t>matter is significant, and that the</w:t>
      </w:r>
      <w:r>
        <w:t xml:space="preserve"> </w:t>
      </w:r>
      <w:r w:rsidRPr="00382A1A">
        <w:t>requesting agency has been unable to</w:t>
      </w:r>
      <w:r>
        <w:t xml:space="preserve"> </w:t>
      </w:r>
      <w:r w:rsidRPr="00382A1A">
        <w:t>locate the information sought through</w:t>
      </w:r>
      <w:r>
        <w:t xml:space="preserve"> </w:t>
      </w:r>
      <w:r w:rsidRPr="00382A1A">
        <w:t>traditional methods of investigation and</w:t>
      </w:r>
      <w:r>
        <w:t xml:space="preserve"> </w:t>
      </w:r>
      <w:r w:rsidRPr="00382A1A">
        <w:t>analysis.</w:t>
      </w:r>
      <w:r>
        <w:t xml:space="preserve">  The regulations implementing the rules are found at 31 CFR 1010.520.  </w:t>
      </w:r>
    </w:p>
    <w:p w:rsidR="0085006C" w:rsidP="00D72794" w14:paraId="12C31310" w14:textId="77777777"/>
    <w:p w:rsidR="003E5EE2" w:rsidRPr="00D72794" w:rsidP="00D72794" w14:paraId="12C31311" w14:textId="77777777">
      <w:r w:rsidRPr="00D72794">
        <w:t xml:space="preserve">2. </w:t>
      </w:r>
      <w:r w:rsidRPr="00D72794">
        <w:rPr>
          <w:u w:val="single"/>
        </w:rPr>
        <w:t xml:space="preserve">Method of </w:t>
      </w:r>
      <w:r w:rsidRPr="00D72794" w:rsidR="00A42FAC">
        <w:rPr>
          <w:u w:val="single"/>
        </w:rPr>
        <w:t>c</w:t>
      </w:r>
      <w:r w:rsidRPr="00D72794">
        <w:rPr>
          <w:u w:val="single"/>
        </w:rPr>
        <w:t xml:space="preserve">ollection and </w:t>
      </w:r>
      <w:r w:rsidRPr="00D72794" w:rsidR="00A42FAC">
        <w:rPr>
          <w:u w:val="single"/>
        </w:rPr>
        <w:t>u</w:t>
      </w:r>
      <w:r w:rsidRPr="00D72794">
        <w:rPr>
          <w:u w:val="single"/>
        </w:rPr>
        <w:t xml:space="preserve">se of </w:t>
      </w:r>
      <w:r w:rsidRPr="00D72794" w:rsidR="00A42FAC">
        <w:rPr>
          <w:u w:val="single"/>
        </w:rPr>
        <w:t>d</w:t>
      </w:r>
      <w:r w:rsidRPr="00D72794" w:rsidR="00C17B7E">
        <w:rPr>
          <w:u w:val="single"/>
        </w:rPr>
        <w:t>ata</w:t>
      </w:r>
      <w:r w:rsidRPr="00D72794">
        <w:rPr>
          <w:u w:val="single"/>
        </w:rPr>
        <w:t>.</w:t>
      </w:r>
      <w:r w:rsidRPr="00D72794">
        <w:t xml:space="preserve"> </w:t>
      </w:r>
    </w:p>
    <w:p w:rsidR="0038181F" w:rsidRPr="00D72794" w:rsidP="00D72794" w14:paraId="12C31312" w14:textId="77777777">
      <w:pPr>
        <w:pStyle w:val="Default"/>
      </w:pPr>
    </w:p>
    <w:p w:rsidR="0007644B" w:rsidP="001F32A6" w14:paraId="72E13E31" w14:textId="10BF0AD9">
      <w:pPr>
        <w:pStyle w:val="Default"/>
        <w:ind w:firstLine="720"/>
      </w:pPr>
      <w:r w:rsidRPr="00E506F4">
        <w:t xml:space="preserve">FinCEN </w:t>
      </w:r>
      <w:r>
        <w:t xml:space="preserve">posts </w:t>
      </w:r>
      <w:r w:rsidR="00EE5FCA">
        <w:t xml:space="preserve">Section </w:t>
      </w:r>
      <w:r w:rsidR="00B54342">
        <w:t>314(a) R</w:t>
      </w:r>
      <w:r>
        <w:t xml:space="preserve">equests on </w:t>
      </w:r>
      <w:r w:rsidR="002816A0">
        <w:t>it</w:t>
      </w:r>
      <w:r w:rsidR="00B54342">
        <w:t xml:space="preserve">s </w:t>
      </w:r>
      <w:r>
        <w:t xml:space="preserve">secure </w:t>
      </w:r>
      <w:r w:rsidR="00022345">
        <w:t>portal</w:t>
      </w:r>
      <w:r>
        <w:t xml:space="preserve"> and </w:t>
      </w:r>
      <w:r w:rsidR="002816A0">
        <w:t>notifies</w:t>
      </w:r>
      <w:r w:rsidRPr="00E506F4">
        <w:t xml:space="preserve"> designated contacts within</w:t>
      </w:r>
      <w:r>
        <w:t xml:space="preserve"> </w:t>
      </w:r>
      <w:r w:rsidRPr="00E506F4">
        <w:t>financial institutions</w:t>
      </w:r>
      <w:r>
        <w:t xml:space="preserve"> </w:t>
      </w:r>
      <w:r w:rsidR="002816A0">
        <w:t xml:space="preserve">nationwide </w:t>
      </w:r>
      <w:r>
        <w:t>every two</w:t>
      </w:r>
      <w:r w:rsidRPr="00E506F4">
        <w:t xml:space="preserve"> week</w:t>
      </w:r>
      <w:r>
        <w:t xml:space="preserve">s. </w:t>
      </w:r>
      <w:r w:rsidRPr="00E506F4">
        <w:t xml:space="preserve"> </w:t>
      </w:r>
      <w:r w:rsidR="002816A0">
        <w:t xml:space="preserve">FinCEN posts </w:t>
      </w:r>
      <w:r w:rsidR="00EE5FCA">
        <w:t xml:space="preserve">Section </w:t>
      </w:r>
      <w:r w:rsidR="002816A0">
        <w:t xml:space="preserve">314(a) Requests in response to </w:t>
      </w:r>
      <w:r w:rsidR="00C33B97">
        <w:t xml:space="preserve">requests </w:t>
      </w:r>
      <w:r w:rsidR="002816A0">
        <w:t xml:space="preserve">from </w:t>
      </w:r>
      <w:r w:rsidR="00015188">
        <w:t>law enforcement</w:t>
      </w:r>
      <w:r w:rsidR="00B00B8F">
        <w:t xml:space="preserve"> </w:t>
      </w:r>
      <w:r w:rsidR="002816A0">
        <w:t>agencies</w:t>
      </w:r>
      <w:r w:rsidR="00015188">
        <w:t xml:space="preserve"> </w:t>
      </w:r>
      <w:r w:rsidRPr="00015188" w:rsidR="00015188">
        <w:t>investigating terrorist activity or money laundering</w:t>
      </w:r>
      <w:r w:rsidR="002816A0">
        <w:t>.</w:t>
      </w:r>
      <w:r>
        <w:t xml:space="preserve">  Any</w:t>
      </w:r>
      <w:r w:rsidRPr="00402A8E">
        <w:rPr>
          <w:bCs/>
        </w:rPr>
        <w:t xml:space="preserve"> law enforcement agency with access to </w:t>
      </w:r>
      <w:r>
        <w:rPr>
          <w:bCs/>
        </w:rPr>
        <w:t xml:space="preserve">FinCEN’s electronic </w:t>
      </w:r>
      <w:r w:rsidRPr="00402A8E">
        <w:rPr>
          <w:bCs/>
        </w:rPr>
        <w:t xml:space="preserve">BSA Portal </w:t>
      </w:r>
      <w:r>
        <w:rPr>
          <w:bCs/>
        </w:rPr>
        <w:t>system can</w:t>
      </w:r>
      <w:r w:rsidRPr="00402A8E">
        <w:rPr>
          <w:bCs/>
        </w:rPr>
        <w:t xml:space="preserve"> submit a request</w:t>
      </w:r>
      <w:r w:rsidR="00A73AA6">
        <w:rPr>
          <w:bCs/>
        </w:rPr>
        <w:t xml:space="preserve"> to FinCEN</w:t>
      </w:r>
      <w:r w:rsidRPr="00402A8E">
        <w:rPr>
          <w:bCs/>
        </w:rPr>
        <w:t xml:space="preserve"> through </w:t>
      </w:r>
      <w:r>
        <w:rPr>
          <w:bCs/>
        </w:rPr>
        <w:t>its</w:t>
      </w:r>
      <w:r w:rsidRPr="00402A8E">
        <w:rPr>
          <w:bCs/>
        </w:rPr>
        <w:t xml:space="preserve"> BSA Portal account.</w:t>
      </w:r>
      <w:r w:rsidR="002816A0">
        <w:t xml:space="preserve">  </w:t>
      </w:r>
    </w:p>
    <w:p w:rsidR="0007644B" w:rsidP="001F32A6" w14:paraId="054CE07D" w14:textId="77777777">
      <w:pPr>
        <w:pStyle w:val="Default"/>
        <w:ind w:firstLine="720"/>
      </w:pPr>
    </w:p>
    <w:p w:rsidR="001F32A6" w:rsidP="001F32A6" w14:paraId="12C31313" w14:textId="357E1672">
      <w:pPr>
        <w:pStyle w:val="Default"/>
        <w:ind w:firstLine="720"/>
      </w:pPr>
      <w:r>
        <w:t xml:space="preserve">A </w:t>
      </w:r>
      <w:r w:rsidR="00EE5FCA">
        <w:t xml:space="preserve">Section </w:t>
      </w:r>
      <w:r>
        <w:t xml:space="preserve">314(a) </w:t>
      </w:r>
      <w:r w:rsidR="00B94946">
        <w:t>R</w:t>
      </w:r>
      <w:r w:rsidRPr="00E506F4">
        <w:t>equest contain</w:t>
      </w:r>
      <w:r>
        <w:t>s</w:t>
      </w:r>
      <w:r w:rsidRPr="00E506F4">
        <w:t xml:space="preserve"> subject and business names, addresses, and as much identifying data as possible to assist</w:t>
      </w:r>
      <w:r>
        <w:t xml:space="preserve"> </w:t>
      </w:r>
      <w:r w:rsidRPr="00E506F4">
        <w:t xml:space="preserve">financial </w:t>
      </w:r>
      <w:r>
        <w:t xml:space="preserve">institutions </w:t>
      </w:r>
      <w:r w:rsidRPr="00E506F4">
        <w:t xml:space="preserve">in searching their records. </w:t>
      </w:r>
      <w:r>
        <w:t xml:space="preserve"> F</w:t>
      </w:r>
      <w:r w:rsidRPr="00E506F4">
        <w:t>inancial institutions must query their records for data matches, including accounts maintained by the named subject during the preceding 12 months and transactions co</w:t>
      </w:r>
      <w:r>
        <w:t>nducted within the last six</w:t>
      </w:r>
      <w:r w:rsidRPr="00E506F4">
        <w:t xml:space="preserve"> months. </w:t>
      </w:r>
      <w:r>
        <w:t xml:space="preserve"> Financial institutions have two</w:t>
      </w:r>
      <w:r w:rsidRPr="00E506F4">
        <w:t xml:space="preserve"> weeks from the posting date of the request to respond with any positive matches. </w:t>
      </w:r>
      <w:r>
        <w:t xml:space="preserve"> </w:t>
      </w:r>
      <w:r w:rsidRPr="00AC329F" w:rsidR="00C76B73">
        <w:t>If the search does not</w:t>
      </w:r>
      <w:r w:rsidR="00C76B73">
        <w:t xml:space="preserve"> result in </w:t>
      </w:r>
      <w:r w:rsidRPr="00AC329F" w:rsidR="00C76B73">
        <w:t xml:space="preserve">any </w:t>
      </w:r>
      <w:r w:rsidR="0001194C">
        <w:t xml:space="preserve">positive </w:t>
      </w:r>
      <w:r w:rsidRPr="00AC329F" w:rsidR="00C76B73">
        <w:t>match</w:t>
      </w:r>
      <w:r w:rsidR="0001194C">
        <w:t>es</w:t>
      </w:r>
      <w:r w:rsidR="00C76B73">
        <w:t xml:space="preserve"> to </w:t>
      </w:r>
      <w:r w:rsidRPr="00AC329F" w:rsidR="00C76B73">
        <w:t xml:space="preserve">accounts or transactions, the financial institution is instructed not to reply to the </w:t>
      </w:r>
      <w:r w:rsidR="00EE5FCA">
        <w:t xml:space="preserve">Section </w:t>
      </w:r>
      <w:r w:rsidRPr="00AC329F" w:rsidR="00C76B73">
        <w:t xml:space="preserve">314(a) </w:t>
      </w:r>
      <w:r w:rsidR="00F963E1">
        <w:t>R</w:t>
      </w:r>
      <w:r w:rsidRPr="00AC329F" w:rsidR="00C76B73">
        <w:t>equest.</w:t>
      </w:r>
      <w:r w:rsidR="00C76B73">
        <w:t xml:space="preserve"> </w:t>
      </w:r>
    </w:p>
    <w:p w:rsidR="008C245D" w:rsidP="001F32A6" w14:paraId="71F88C4F" w14:textId="77777777">
      <w:pPr>
        <w:pStyle w:val="Default"/>
        <w:ind w:firstLine="720"/>
      </w:pPr>
    </w:p>
    <w:p w:rsidR="00D72794" w:rsidP="00B835C5" w14:paraId="12C31316" w14:textId="4A26CCCC">
      <w:pPr>
        <w:ind w:firstLine="720"/>
        <w:rPr>
          <w:bCs/>
        </w:rPr>
      </w:pPr>
      <w:r>
        <w:rPr>
          <w:bCs/>
        </w:rPr>
        <w:t xml:space="preserve">Responses to </w:t>
      </w:r>
      <w:r w:rsidRPr="008C245D" w:rsidR="008C245D">
        <w:rPr>
          <w:bCs/>
        </w:rPr>
        <w:t xml:space="preserve">Section 314(a) </w:t>
      </w:r>
      <w:r>
        <w:rPr>
          <w:bCs/>
        </w:rPr>
        <w:t>R</w:t>
      </w:r>
      <w:r w:rsidR="00EE5FCA">
        <w:rPr>
          <w:bCs/>
        </w:rPr>
        <w:t>equest</w:t>
      </w:r>
      <w:r w:rsidR="006125CA">
        <w:rPr>
          <w:bCs/>
        </w:rPr>
        <w:t>s</w:t>
      </w:r>
      <w:r w:rsidR="00EE5FCA">
        <w:rPr>
          <w:bCs/>
        </w:rPr>
        <w:t xml:space="preserve"> </w:t>
      </w:r>
      <w:r w:rsidRPr="008C245D" w:rsidR="008C245D">
        <w:rPr>
          <w:bCs/>
        </w:rPr>
        <w:t>provide</w:t>
      </w:r>
      <w:r w:rsidR="00A73AA6">
        <w:rPr>
          <w:bCs/>
        </w:rPr>
        <w:t xml:space="preserve"> </w:t>
      </w:r>
      <w:r w:rsidRPr="008C245D" w:rsidR="008C245D">
        <w:rPr>
          <w:bCs/>
        </w:rPr>
        <w:t xml:space="preserve">lead information only and </w:t>
      </w:r>
      <w:r>
        <w:rPr>
          <w:bCs/>
        </w:rPr>
        <w:t>are</w:t>
      </w:r>
      <w:r w:rsidRPr="008C245D">
        <w:rPr>
          <w:bCs/>
        </w:rPr>
        <w:t xml:space="preserve"> </w:t>
      </w:r>
      <w:r w:rsidRPr="008C245D" w:rsidR="008C245D">
        <w:rPr>
          <w:bCs/>
        </w:rPr>
        <w:t xml:space="preserve">not a substitute for a subpoena or other legal process. </w:t>
      </w:r>
      <w:r w:rsidR="00845850">
        <w:rPr>
          <w:bCs/>
        </w:rPr>
        <w:t xml:space="preserve"> </w:t>
      </w:r>
      <w:r w:rsidRPr="008C245D" w:rsidR="008C245D">
        <w:rPr>
          <w:bCs/>
        </w:rPr>
        <w:t xml:space="preserve">To obtain documents from a financial institution that has reported a positive subject match, a law enforcement agency must meet the legal standards that apply to the </w:t>
      </w:r>
      <w:r w:rsidRPr="008C245D" w:rsidR="008C245D">
        <w:rPr>
          <w:bCs/>
        </w:rPr>
        <w:t>particular investigative</w:t>
      </w:r>
      <w:r w:rsidRPr="008C245D" w:rsidR="008C245D">
        <w:rPr>
          <w:bCs/>
        </w:rPr>
        <w:t xml:space="preserve"> tool that it chooses to use to obtain the documents.</w:t>
      </w:r>
    </w:p>
    <w:p w:rsidR="00B835C5" w:rsidP="00D72794" w14:paraId="07C40C0D" w14:textId="77777777"/>
    <w:p w:rsidR="003E5EE2" w:rsidRPr="00D72794" w:rsidP="00DF38A3" w14:paraId="12C31317" w14:textId="77777777">
      <w:r w:rsidRPr="00D72794">
        <w:t xml:space="preserve">3. </w:t>
      </w:r>
      <w:r w:rsidRPr="00D72794">
        <w:rPr>
          <w:u w:val="single"/>
        </w:rPr>
        <w:t xml:space="preserve">Use of </w:t>
      </w:r>
      <w:r w:rsidRPr="00D72794" w:rsidR="00A42FAC">
        <w:rPr>
          <w:u w:val="single"/>
        </w:rPr>
        <w:t>i</w:t>
      </w:r>
      <w:r w:rsidRPr="00D72794">
        <w:rPr>
          <w:u w:val="single"/>
        </w:rPr>
        <w:t xml:space="preserve">mproved </w:t>
      </w:r>
      <w:r w:rsidRPr="00D72794" w:rsidR="00A42FAC">
        <w:rPr>
          <w:u w:val="single"/>
        </w:rPr>
        <w:t>i</w:t>
      </w:r>
      <w:r w:rsidRPr="00D72794">
        <w:rPr>
          <w:u w:val="single"/>
        </w:rPr>
        <w:t xml:space="preserve">nformation </w:t>
      </w:r>
      <w:r w:rsidRPr="00D72794" w:rsidR="00A42FAC">
        <w:rPr>
          <w:u w:val="single"/>
        </w:rPr>
        <w:t>t</w:t>
      </w:r>
      <w:r w:rsidRPr="00D72794">
        <w:rPr>
          <w:u w:val="single"/>
        </w:rPr>
        <w:t xml:space="preserve">echnology to </w:t>
      </w:r>
      <w:r w:rsidRPr="00D72794" w:rsidR="00A42FAC">
        <w:rPr>
          <w:u w:val="single"/>
        </w:rPr>
        <w:t>r</w:t>
      </w:r>
      <w:r w:rsidRPr="00D72794">
        <w:rPr>
          <w:u w:val="single"/>
        </w:rPr>
        <w:t xml:space="preserve">educe </w:t>
      </w:r>
      <w:r w:rsidRPr="00D72794" w:rsidR="00A42FAC">
        <w:rPr>
          <w:u w:val="single"/>
        </w:rPr>
        <w:t>b</w:t>
      </w:r>
      <w:r w:rsidRPr="00D72794">
        <w:rPr>
          <w:u w:val="single"/>
        </w:rPr>
        <w:t>urden.</w:t>
      </w:r>
      <w:r w:rsidRPr="00D72794">
        <w:t xml:space="preserve"> </w:t>
      </w:r>
    </w:p>
    <w:p w:rsidR="00D72794" w:rsidP="00D72794" w14:paraId="12C31318" w14:textId="77777777"/>
    <w:p w:rsidR="00DF38A3" w:rsidP="00844646" w14:paraId="12C3131A" w14:textId="1BED23B0">
      <w:pPr>
        <w:pStyle w:val="Default"/>
        <w:ind w:firstLine="720"/>
      </w:pPr>
      <w:r>
        <w:t xml:space="preserve">FinCEN posts </w:t>
      </w:r>
      <w:r w:rsidR="00EE5FCA">
        <w:t xml:space="preserve">Section </w:t>
      </w:r>
      <w:r w:rsidR="001F2BBB">
        <w:t>314(a)</w:t>
      </w:r>
      <w:r w:rsidR="00824301">
        <w:t xml:space="preserve"> Request</w:t>
      </w:r>
      <w:r w:rsidR="001F2BBB">
        <w:t xml:space="preserve"> files </w:t>
      </w:r>
      <w:r>
        <w:t>to its</w:t>
      </w:r>
      <w:r w:rsidR="00C14072">
        <w:t xml:space="preserve"> secure portal</w:t>
      </w:r>
      <w:r w:rsidR="006279D0">
        <w:t xml:space="preserve">. </w:t>
      </w:r>
      <w:r w:rsidR="001F2BBB">
        <w:t xml:space="preserve"> </w:t>
      </w:r>
      <w:r w:rsidRPr="00E506F4">
        <w:t xml:space="preserve">The files are available for download in .csv, .txt, and .doc.  </w:t>
      </w:r>
      <w:r w:rsidRPr="00E506F4">
        <w:t xml:space="preserve">Providing downloads in </w:t>
      </w:r>
      <w:r>
        <w:t>multiple</w:t>
      </w:r>
      <w:r w:rsidRPr="00E506F4">
        <w:t xml:space="preserve"> formats reduces burden on</w:t>
      </w:r>
      <w:r>
        <w:t xml:space="preserve"> </w:t>
      </w:r>
      <w:r w:rsidRPr="00E506F4">
        <w:t>financial institutions by allowing them to automate the search of their records in a format that is compatible with their software and systems.</w:t>
      </w:r>
      <w:r>
        <w:t xml:space="preserve">  Financial institutions file</w:t>
      </w:r>
      <w:r w:rsidR="00845850">
        <w:t xml:space="preserve"> responses to </w:t>
      </w:r>
      <w:r w:rsidR="00EE5FCA">
        <w:t xml:space="preserve">Section </w:t>
      </w:r>
      <w:r w:rsidR="00845850">
        <w:t>314(a) Requests</w:t>
      </w:r>
      <w:r w:rsidRPr="00E506F4">
        <w:t xml:space="preserve"> through FinCEN’s secure </w:t>
      </w:r>
      <w:r w:rsidR="00BF6B3A">
        <w:t>portal</w:t>
      </w:r>
      <w:r w:rsidRPr="00E506F4">
        <w:t xml:space="preserve"> by checking the box next to each subject for which there is a </w:t>
      </w:r>
      <w:r w:rsidR="00F566BD">
        <w:t xml:space="preserve">positive </w:t>
      </w:r>
      <w:r w:rsidRPr="00E506F4">
        <w:t>match and clicking the “</w:t>
      </w:r>
      <w:r>
        <w:t>s</w:t>
      </w:r>
      <w:r w:rsidRPr="00E506F4">
        <w:t xml:space="preserve">ubmit” button to transmit the responses to FinCEN.    </w:t>
      </w:r>
    </w:p>
    <w:p w:rsidR="00B86816" w:rsidP="00B86816" w14:paraId="5AE0DDE9" w14:textId="77777777">
      <w:pPr>
        <w:pStyle w:val="BodyText"/>
        <w:tabs>
          <w:tab w:val="left" w:pos="397"/>
        </w:tabs>
        <w:spacing w:before="0"/>
        <w:rPr>
          <w:sz w:val="24"/>
          <w:szCs w:val="24"/>
        </w:rPr>
      </w:pPr>
    </w:p>
    <w:p w:rsidR="00540B35" w:rsidRPr="00844646" w:rsidP="00844646" w14:paraId="508B6362" w14:textId="48DCD4EA">
      <w:pPr>
        <w:pStyle w:val="BodyText"/>
        <w:tabs>
          <w:tab w:val="left" w:pos="397"/>
        </w:tabs>
        <w:spacing w:before="0"/>
        <w:rPr>
          <w:sz w:val="24"/>
          <w:szCs w:val="24"/>
          <w:u w:val="single"/>
        </w:rPr>
      </w:pPr>
      <w:r w:rsidRPr="00844646">
        <w:rPr>
          <w:sz w:val="24"/>
          <w:szCs w:val="24"/>
        </w:rPr>
        <w:t xml:space="preserve">4. </w:t>
      </w:r>
      <w:r w:rsidRPr="00844646">
        <w:rPr>
          <w:sz w:val="24"/>
          <w:szCs w:val="24"/>
          <w:u w:val="single"/>
        </w:rPr>
        <w:t xml:space="preserve">Efforts to </w:t>
      </w:r>
      <w:r w:rsidRPr="00844646" w:rsidR="00A42FAC">
        <w:rPr>
          <w:sz w:val="24"/>
          <w:szCs w:val="24"/>
          <w:u w:val="single"/>
        </w:rPr>
        <w:t>i</w:t>
      </w:r>
      <w:r w:rsidRPr="00844646">
        <w:rPr>
          <w:sz w:val="24"/>
          <w:szCs w:val="24"/>
          <w:u w:val="single"/>
        </w:rPr>
        <w:t xml:space="preserve">dentify </w:t>
      </w:r>
      <w:r w:rsidRPr="00844646" w:rsidR="00A42FAC">
        <w:rPr>
          <w:sz w:val="24"/>
          <w:szCs w:val="24"/>
          <w:u w:val="single"/>
        </w:rPr>
        <w:t>d</w:t>
      </w:r>
      <w:r w:rsidRPr="00844646">
        <w:rPr>
          <w:sz w:val="24"/>
          <w:szCs w:val="24"/>
          <w:u w:val="single"/>
        </w:rPr>
        <w:t>uplication</w:t>
      </w:r>
      <w:r w:rsidRPr="00844646" w:rsidR="00284CFB">
        <w:rPr>
          <w:sz w:val="24"/>
          <w:szCs w:val="24"/>
          <w:u w:val="single"/>
        </w:rPr>
        <w:t>.</w:t>
      </w:r>
      <w:r w:rsidRPr="00844646">
        <w:rPr>
          <w:sz w:val="24"/>
          <w:szCs w:val="24"/>
          <w:u w:val="single"/>
        </w:rPr>
        <w:t xml:space="preserve"> </w:t>
      </w:r>
    </w:p>
    <w:p w:rsidR="00B86816" w:rsidRPr="00844646" w:rsidP="00844646" w14:paraId="18051E17" w14:textId="77777777">
      <w:pPr>
        <w:pStyle w:val="BodyText"/>
        <w:tabs>
          <w:tab w:val="left" w:pos="397"/>
        </w:tabs>
        <w:spacing w:before="0"/>
        <w:rPr>
          <w:sz w:val="24"/>
          <w:szCs w:val="24"/>
          <w:u w:val="single"/>
        </w:rPr>
      </w:pPr>
    </w:p>
    <w:p w:rsidR="00C17B7E" w:rsidRPr="00D72794" w:rsidP="00B86816" w14:paraId="12C3131D" w14:textId="46E1EBA8">
      <w:pPr>
        <w:ind w:firstLine="720"/>
      </w:pPr>
      <w:r w:rsidRPr="00B86816">
        <w:t>FinCEN has</w:t>
      </w:r>
      <w:r w:rsidRPr="00A87019">
        <w:t xml:space="preserve"> reviewed government and commercial databases to identify duplication.  FinCEN has determined there are no government or commercially available sources of information that could </w:t>
      </w:r>
      <w:r w:rsidRPr="00A87019">
        <w:t xml:space="preserve">be used or modified by FinCEN in duplicating the information provided by financial institutions </w:t>
      </w:r>
      <w:r w:rsidR="00540B35">
        <w:t xml:space="preserve">in response to </w:t>
      </w:r>
      <w:r w:rsidR="00EE5FCA">
        <w:t xml:space="preserve">Section </w:t>
      </w:r>
      <w:r w:rsidR="00540B35">
        <w:t xml:space="preserve">314(a) </w:t>
      </w:r>
      <w:r w:rsidR="00F963E1">
        <w:t>R</w:t>
      </w:r>
      <w:r w:rsidR="00540B35">
        <w:t>equests</w:t>
      </w:r>
      <w:r w:rsidRPr="00A87019">
        <w:t>.  There are also no Federal rules that directly or fully duplicate or overlap with the information that may be collected and provided by financial institutions</w:t>
      </w:r>
      <w:r w:rsidR="003D6F51">
        <w:t xml:space="preserve"> in response to </w:t>
      </w:r>
      <w:r w:rsidR="00EE5FCA">
        <w:t xml:space="preserve">Section </w:t>
      </w:r>
      <w:r w:rsidR="003D6F51">
        <w:t xml:space="preserve">314(a) </w:t>
      </w:r>
      <w:r w:rsidR="00F963E1">
        <w:t>R</w:t>
      </w:r>
      <w:r w:rsidR="003D6F51">
        <w:t>equests</w:t>
      </w:r>
      <w:r w:rsidRPr="00A87019">
        <w:t>, or that require the reporting of the same information.  Therefore, there is no information already available to the Federal government that could be used or modified by FinCEN to fully satisfy the statutory and regulatory requirements identified in Section 1 above or that fully serve the uses identified in Section 2 above.</w:t>
      </w:r>
    </w:p>
    <w:p w:rsidR="00D72794" w:rsidP="00D72794" w14:paraId="12C3131E" w14:textId="77777777"/>
    <w:p w:rsidR="003E5EE2" w:rsidRPr="00D72794" w:rsidP="00D72794" w14:paraId="12C3131F" w14:textId="77777777">
      <w:r w:rsidRPr="00D72794">
        <w:t xml:space="preserve">5. </w:t>
      </w:r>
      <w:r w:rsidRPr="00D72794">
        <w:rPr>
          <w:u w:val="single"/>
        </w:rPr>
        <w:t xml:space="preserve">Methods to </w:t>
      </w:r>
      <w:r w:rsidRPr="00D72794" w:rsidR="00A42FAC">
        <w:rPr>
          <w:u w:val="single"/>
        </w:rPr>
        <w:t>m</w:t>
      </w:r>
      <w:r w:rsidRPr="00D72794">
        <w:rPr>
          <w:u w:val="single"/>
        </w:rPr>
        <w:t>inimize</w:t>
      </w:r>
      <w:r w:rsidRPr="00D72794" w:rsidR="00B751D2">
        <w:rPr>
          <w:u w:val="single"/>
        </w:rPr>
        <w:t xml:space="preserve"> </w:t>
      </w:r>
      <w:r w:rsidRPr="00D72794" w:rsidR="00A42FAC">
        <w:rPr>
          <w:u w:val="single"/>
        </w:rPr>
        <w:t>b</w:t>
      </w:r>
      <w:r w:rsidRPr="00D72794" w:rsidR="00B751D2">
        <w:rPr>
          <w:u w:val="single"/>
        </w:rPr>
        <w:t xml:space="preserve">urden on </w:t>
      </w:r>
      <w:r w:rsidRPr="00D72794" w:rsidR="00A42FAC">
        <w:rPr>
          <w:u w:val="single"/>
        </w:rPr>
        <w:t>s</w:t>
      </w:r>
      <w:r w:rsidRPr="00D72794" w:rsidR="00B751D2">
        <w:rPr>
          <w:u w:val="single"/>
        </w:rPr>
        <w:t xml:space="preserve">mall </w:t>
      </w:r>
      <w:r w:rsidRPr="00D72794" w:rsidR="00A42FAC">
        <w:rPr>
          <w:u w:val="single"/>
        </w:rPr>
        <w:t>b</w:t>
      </w:r>
      <w:r w:rsidRPr="00D72794" w:rsidR="00B751D2">
        <w:rPr>
          <w:u w:val="single"/>
        </w:rPr>
        <w:t xml:space="preserve">usinesses or </w:t>
      </w:r>
      <w:r w:rsidRPr="00D72794" w:rsidR="00A42FAC">
        <w:rPr>
          <w:u w:val="single"/>
        </w:rPr>
        <w:t>o</w:t>
      </w:r>
      <w:r w:rsidRPr="00D72794">
        <w:rPr>
          <w:u w:val="single"/>
        </w:rPr>
        <w:t xml:space="preserve">ther </w:t>
      </w:r>
      <w:r w:rsidRPr="00D72794" w:rsidR="00A42FAC">
        <w:rPr>
          <w:u w:val="single"/>
        </w:rPr>
        <w:t>s</w:t>
      </w:r>
      <w:r w:rsidRPr="00D72794">
        <w:rPr>
          <w:u w:val="single"/>
        </w:rPr>
        <w:t xml:space="preserve">mall </w:t>
      </w:r>
      <w:r w:rsidRPr="00D72794" w:rsidR="00A42FAC">
        <w:rPr>
          <w:u w:val="single"/>
        </w:rPr>
        <w:t>e</w:t>
      </w:r>
      <w:r w:rsidRPr="00D72794">
        <w:rPr>
          <w:u w:val="single"/>
        </w:rPr>
        <w:t>ntities</w:t>
      </w:r>
      <w:r w:rsidRPr="00D72794" w:rsidR="00284CFB">
        <w:rPr>
          <w:u w:val="single"/>
        </w:rPr>
        <w:t>.</w:t>
      </w:r>
      <w:r w:rsidRPr="00D72794" w:rsidR="00751308">
        <w:rPr>
          <w:u w:val="single"/>
        </w:rPr>
        <w:t xml:space="preserve"> </w:t>
      </w:r>
      <w:r w:rsidRPr="00D72794">
        <w:t xml:space="preserve"> </w:t>
      </w:r>
    </w:p>
    <w:p w:rsidR="00D72794" w:rsidP="00D72794" w14:paraId="12C31320" w14:textId="77777777">
      <w:pPr>
        <w:ind w:firstLine="720"/>
      </w:pPr>
    </w:p>
    <w:p w:rsidR="003E5EE2" w:rsidRPr="00D72794" w:rsidP="00C22F62" w14:paraId="12C31321" w14:textId="0E79E117">
      <w:pPr>
        <w:pStyle w:val="Default"/>
        <w:ind w:firstLine="720"/>
      </w:pPr>
      <w:r>
        <w:t>The reporting requirement</w:t>
      </w:r>
      <w:r w:rsidR="000F0EB0">
        <w:t>s</w:t>
      </w:r>
      <w:r>
        <w:t xml:space="preserve"> in this regulation </w:t>
      </w:r>
      <w:r w:rsidR="009169A8">
        <w:t xml:space="preserve">are </w:t>
      </w:r>
      <w:r>
        <w:t xml:space="preserve">not </w:t>
      </w:r>
      <w:r w:rsidR="009169A8">
        <w:t>expected to impos</w:t>
      </w:r>
      <w:r w:rsidR="00CC4099">
        <w:t>e</w:t>
      </w:r>
      <w:r w:rsidR="009169A8">
        <w:t xml:space="preserve"> material adverse impacts on </w:t>
      </w:r>
      <w:r w:rsidR="00667410">
        <w:t>small businesses</w:t>
      </w:r>
      <w:r w:rsidR="009169A8">
        <w:t xml:space="preserve">.  </w:t>
      </w:r>
      <w:r w:rsidR="001223EF">
        <w:t>FinCEN instructs financial institutions to only respond to</w:t>
      </w:r>
      <w:r w:rsidR="00C22F62">
        <w:t xml:space="preserve"> </w:t>
      </w:r>
      <w:r w:rsidR="00EE5FCA">
        <w:t xml:space="preserve">Section </w:t>
      </w:r>
      <w:r w:rsidR="00C22F62">
        <w:t>314(a) Request</w:t>
      </w:r>
      <w:r w:rsidR="001223EF">
        <w:t>s</w:t>
      </w:r>
      <w:r w:rsidR="00C22F62">
        <w:t xml:space="preserve"> </w:t>
      </w:r>
      <w:r w:rsidR="001223EF">
        <w:t>with</w:t>
      </w:r>
      <w:r w:rsidRPr="00AC329F" w:rsidR="00C22F62">
        <w:t xml:space="preserve"> </w:t>
      </w:r>
      <w:r w:rsidR="00C22F62">
        <w:t xml:space="preserve">positive </w:t>
      </w:r>
      <w:r w:rsidR="001223EF">
        <w:t>findings</w:t>
      </w:r>
      <w:r w:rsidRPr="00AC329F" w:rsidR="00C22F62">
        <w:t>.</w:t>
      </w:r>
      <w:r w:rsidR="00C22F62">
        <w:t xml:space="preserve">  Further, a</w:t>
      </w:r>
      <w:r w:rsidRPr="00E506F4" w:rsidR="00C22F62">
        <w:t xml:space="preserve">ll </w:t>
      </w:r>
      <w:r w:rsidR="00C22F62">
        <w:t xml:space="preserve">responses to </w:t>
      </w:r>
      <w:r w:rsidR="00EE5FCA">
        <w:t xml:space="preserve">Section </w:t>
      </w:r>
      <w:r w:rsidR="00C22F62">
        <w:t>314(a) Requests</w:t>
      </w:r>
      <w:r w:rsidRPr="00E506F4" w:rsidR="00C22F62">
        <w:t xml:space="preserve"> can be submitted through FinCEN’s secure </w:t>
      </w:r>
      <w:r w:rsidR="00C22F62">
        <w:t>portal</w:t>
      </w:r>
      <w:r w:rsidRPr="00E506F4" w:rsidR="00C22F62">
        <w:t xml:space="preserve"> by checking the box next to each subject for which there is a </w:t>
      </w:r>
      <w:r w:rsidR="00C22F62">
        <w:t xml:space="preserve">positive </w:t>
      </w:r>
      <w:r w:rsidRPr="00E506F4" w:rsidR="00C22F62">
        <w:t>match</w:t>
      </w:r>
      <w:r w:rsidR="00040887">
        <w:t xml:space="preserve">. </w:t>
      </w:r>
      <w:r w:rsidR="000F0EB0">
        <w:rPr>
          <w:w w:val="102"/>
        </w:rPr>
        <w:t xml:space="preserve"> FinCEN has </w:t>
      </w:r>
      <w:r w:rsidR="001223EF">
        <w:rPr>
          <w:w w:val="102"/>
        </w:rPr>
        <w:t>also</w:t>
      </w:r>
      <w:r w:rsidR="000F0EB0">
        <w:rPr>
          <w:w w:val="102"/>
        </w:rPr>
        <w:t xml:space="preserve"> taken additional steps to reduce burden</w:t>
      </w:r>
      <w:r w:rsidR="001223EF">
        <w:rPr>
          <w:w w:val="102"/>
        </w:rPr>
        <w:t xml:space="preserve"> as described above</w:t>
      </w:r>
      <w:r w:rsidR="000F0EB0">
        <w:rPr>
          <w:w w:val="102"/>
        </w:rPr>
        <w:t>.</w:t>
      </w:r>
      <w:r w:rsidRPr="00D72794">
        <w:t xml:space="preserve"> </w:t>
      </w:r>
    </w:p>
    <w:p w:rsidR="00D72794" w:rsidP="00D72794" w14:paraId="12C31322" w14:textId="77777777"/>
    <w:p w:rsidR="003E5EE2" w:rsidRPr="00A73AA6" w:rsidP="00D72794" w14:paraId="12C31323" w14:textId="77777777">
      <w:pPr>
        <w:rPr>
          <w:color w:val="000000" w:themeColor="text1"/>
        </w:rPr>
      </w:pPr>
      <w:r w:rsidRPr="00D72794">
        <w:t xml:space="preserve">6. </w:t>
      </w:r>
      <w:r w:rsidRPr="00D72794">
        <w:rPr>
          <w:u w:val="single"/>
        </w:rPr>
        <w:t xml:space="preserve">Consequences to the Federal </w:t>
      </w:r>
      <w:r w:rsidRPr="00D72794" w:rsidR="00A42FAC">
        <w:rPr>
          <w:u w:val="single"/>
        </w:rPr>
        <w:t>g</w:t>
      </w:r>
      <w:r w:rsidRPr="00D72794">
        <w:rPr>
          <w:u w:val="single"/>
        </w:rPr>
        <w:t xml:space="preserve">overnment of </w:t>
      </w:r>
      <w:r w:rsidRPr="00D72794" w:rsidR="00A42FAC">
        <w:rPr>
          <w:u w:val="single"/>
        </w:rPr>
        <w:t>n</w:t>
      </w:r>
      <w:r w:rsidRPr="00D72794" w:rsidR="00C17B7E">
        <w:rPr>
          <w:u w:val="single"/>
        </w:rPr>
        <w:t xml:space="preserve">ot </w:t>
      </w:r>
      <w:r w:rsidRPr="00D72794" w:rsidR="00A42FAC">
        <w:rPr>
          <w:u w:val="single"/>
        </w:rPr>
        <w:t>c</w:t>
      </w:r>
      <w:r w:rsidRPr="00D72794">
        <w:rPr>
          <w:u w:val="single"/>
        </w:rPr>
        <w:t xml:space="preserve">ollecting the </w:t>
      </w:r>
      <w:r w:rsidRPr="00D72794" w:rsidR="00A42FAC">
        <w:rPr>
          <w:u w:val="single"/>
        </w:rPr>
        <w:t>i</w:t>
      </w:r>
      <w:r w:rsidRPr="00D72794">
        <w:rPr>
          <w:u w:val="single"/>
        </w:rPr>
        <w:t>nformation.</w:t>
      </w:r>
      <w:r w:rsidRPr="00D72794">
        <w:t xml:space="preserve"> </w:t>
      </w:r>
    </w:p>
    <w:p w:rsidR="00D72794" w:rsidP="00D72794" w14:paraId="12C31324" w14:textId="77777777">
      <w:pPr>
        <w:ind w:firstLine="720"/>
      </w:pPr>
    </w:p>
    <w:p w:rsidR="00355DE0" w:rsidRPr="00D72794" w:rsidP="00355DE0" w14:paraId="12C31325" w14:textId="77777777">
      <w:pPr>
        <w:ind w:firstLine="720"/>
      </w:pPr>
      <w:r>
        <w:t>A</w:t>
      </w:r>
      <w:r w:rsidRPr="000A263A">
        <w:t xml:space="preserve"> failure to collect this information could hamper FinCEN and law enforcement efforts to detect and deter illegal activity while it is still ongoing and discernible. </w:t>
      </w:r>
      <w:r>
        <w:t xml:space="preserve"> </w:t>
      </w:r>
      <w:r w:rsidRPr="000A263A">
        <w:t xml:space="preserve">The timely reporting of this information provides law enforcement with important investigative leads </w:t>
      </w:r>
      <w:r w:rsidRPr="000A263A">
        <w:t>in order to</w:t>
      </w:r>
      <w:r w:rsidRPr="000A263A">
        <w:t xml:space="preserve"> take appropriat</w:t>
      </w:r>
      <w:r w:rsidRPr="00213B35">
        <w:t>e action, including tracing criminal proceeds, gathering additional evidence, seizing funds, and stopping the movem</w:t>
      </w:r>
      <w:r w:rsidRPr="00951FEF">
        <w:t>ent of funds</w:t>
      </w:r>
      <w:r w:rsidR="00B335CF">
        <w:t>,</w:t>
      </w:r>
      <w:r w:rsidRPr="00951FEF">
        <w:t xml:space="preserve"> before criminal elements can </w:t>
      </w:r>
      <w:r w:rsidR="002C6269">
        <w:t>alter</w:t>
      </w:r>
      <w:r w:rsidRPr="00951FEF">
        <w:t xml:space="preserve"> their schemes.</w:t>
      </w:r>
    </w:p>
    <w:p w:rsidR="00D72794" w:rsidP="00D72794" w14:paraId="12C31326" w14:textId="77777777"/>
    <w:p w:rsidR="003E5EE2" w:rsidRPr="00D72794" w:rsidP="00D72794" w14:paraId="12C31327" w14:textId="77777777">
      <w:pPr>
        <w:rPr>
          <w:u w:val="single"/>
        </w:rPr>
      </w:pPr>
      <w:r w:rsidRPr="00D72794">
        <w:t xml:space="preserve">7. </w:t>
      </w:r>
      <w:r w:rsidRPr="00C8052D">
        <w:rPr>
          <w:u w:val="single"/>
        </w:rPr>
        <w:t xml:space="preserve">Special </w:t>
      </w:r>
      <w:r w:rsidRPr="00C8052D" w:rsidR="00A42FAC">
        <w:rPr>
          <w:u w:val="single"/>
        </w:rPr>
        <w:t>c</w:t>
      </w:r>
      <w:r w:rsidRPr="00C8052D">
        <w:rPr>
          <w:u w:val="single"/>
        </w:rPr>
        <w:t xml:space="preserve">ircumstances </w:t>
      </w:r>
      <w:r w:rsidRPr="00C8052D" w:rsidR="00A42FAC">
        <w:rPr>
          <w:u w:val="single"/>
        </w:rPr>
        <w:t>r</w:t>
      </w:r>
      <w:r w:rsidRPr="00C8052D">
        <w:rPr>
          <w:u w:val="single"/>
        </w:rPr>
        <w:t xml:space="preserve">equiring </w:t>
      </w:r>
      <w:r w:rsidRPr="00C8052D" w:rsidR="00A42FAC">
        <w:rPr>
          <w:u w:val="single"/>
        </w:rPr>
        <w:t>d</w:t>
      </w:r>
      <w:r w:rsidRPr="00C8052D">
        <w:rPr>
          <w:u w:val="single"/>
        </w:rPr>
        <w:t xml:space="preserve">ata </w:t>
      </w:r>
      <w:r w:rsidRPr="00C8052D" w:rsidR="00A42FAC">
        <w:rPr>
          <w:u w:val="single"/>
        </w:rPr>
        <w:t>c</w:t>
      </w:r>
      <w:r w:rsidRPr="00C8052D">
        <w:rPr>
          <w:u w:val="single"/>
        </w:rPr>
        <w:t xml:space="preserve">ollection </w:t>
      </w:r>
      <w:r w:rsidRPr="00C8052D" w:rsidR="00A42FAC">
        <w:rPr>
          <w:u w:val="single"/>
        </w:rPr>
        <w:t>i</w:t>
      </w:r>
      <w:r w:rsidRPr="00C8052D">
        <w:rPr>
          <w:u w:val="single"/>
        </w:rPr>
        <w:t xml:space="preserve">nconsistent with </w:t>
      </w:r>
      <w:r w:rsidRPr="00C8052D" w:rsidR="00A42FAC">
        <w:rPr>
          <w:u w:val="single"/>
        </w:rPr>
        <w:t>g</w:t>
      </w:r>
      <w:r w:rsidRPr="00C8052D">
        <w:rPr>
          <w:u w:val="single"/>
        </w:rPr>
        <w:t>uidelines</w:t>
      </w:r>
      <w:r w:rsidRPr="00D72794" w:rsidR="00B751D2">
        <w:rPr>
          <w:u w:val="single"/>
        </w:rPr>
        <w:t xml:space="preserve"> in 5 CFR 1320.5(d)(2)</w:t>
      </w:r>
      <w:r w:rsidRPr="00D72794">
        <w:rPr>
          <w:u w:val="single"/>
        </w:rPr>
        <w:t>.</w:t>
      </w:r>
    </w:p>
    <w:p w:rsidR="00D72794" w:rsidP="00D72794" w14:paraId="12C31328" w14:textId="77777777">
      <w:pPr>
        <w:pStyle w:val="BodyText"/>
        <w:spacing w:before="0"/>
        <w:rPr>
          <w:sz w:val="24"/>
          <w:szCs w:val="24"/>
        </w:rPr>
      </w:pPr>
    </w:p>
    <w:p w:rsidR="00355DE0" w:rsidP="00355DE0" w14:paraId="12C31329" w14:textId="3AEF6471">
      <w:pPr>
        <w:pStyle w:val="CommentText"/>
        <w:ind w:firstLine="720"/>
        <w:rPr>
          <w:w w:val="101"/>
        </w:rPr>
      </w:pPr>
      <w:r>
        <w:rPr>
          <w:iCs/>
          <w:sz w:val="24"/>
          <w:szCs w:val="24"/>
        </w:rPr>
        <w:t>FinCEN</w:t>
      </w:r>
      <w:r w:rsidRPr="00AE687A">
        <w:rPr>
          <w:iCs/>
          <w:sz w:val="24"/>
          <w:szCs w:val="24"/>
        </w:rPr>
        <w:t xml:space="preserve"> </w:t>
      </w:r>
      <w:r w:rsidR="00636715">
        <w:rPr>
          <w:iCs/>
          <w:sz w:val="24"/>
          <w:szCs w:val="24"/>
        </w:rPr>
        <w:t xml:space="preserve">generally </w:t>
      </w:r>
      <w:r w:rsidRPr="00AE687A">
        <w:rPr>
          <w:iCs/>
          <w:sz w:val="24"/>
          <w:szCs w:val="24"/>
        </w:rPr>
        <w:t>require</w:t>
      </w:r>
      <w:r>
        <w:rPr>
          <w:iCs/>
          <w:sz w:val="24"/>
          <w:szCs w:val="24"/>
        </w:rPr>
        <w:t>s</w:t>
      </w:r>
      <w:r w:rsidRPr="00AE687A">
        <w:rPr>
          <w:iCs/>
          <w:sz w:val="24"/>
          <w:szCs w:val="24"/>
        </w:rPr>
        <w:t xml:space="preserve"> </w:t>
      </w:r>
      <w:r>
        <w:rPr>
          <w:iCs/>
          <w:sz w:val="24"/>
          <w:szCs w:val="24"/>
        </w:rPr>
        <w:t xml:space="preserve">financial institutions to </w:t>
      </w:r>
      <w:r w:rsidRPr="00AE687A">
        <w:rPr>
          <w:iCs/>
          <w:sz w:val="24"/>
          <w:szCs w:val="24"/>
        </w:rPr>
        <w:t>report</w:t>
      </w:r>
      <w:r>
        <w:rPr>
          <w:iCs/>
          <w:sz w:val="24"/>
          <w:szCs w:val="24"/>
        </w:rPr>
        <w:t xml:space="preserve"> </w:t>
      </w:r>
      <w:r w:rsidR="00EE5FCA">
        <w:rPr>
          <w:iCs/>
          <w:sz w:val="24"/>
          <w:szCs w:val="24"/>
        </w:rPr>
        <w:t xml:space="preserve">Section </w:t>
      </w:r>
      <w:r>
        <w:rPr>
          <w:iCs/>
          <w:sz w:val="24"/>
          <w:szCs w:val="24"/>
        </w:rPr>
        <w:t xml:space="preserve">314(a) </w:t>
      </w:r>
      <w:r w:rsidRPr="00493AD6">
        <w:rPr>
          <w:iCs/>
          <w:sz w:val="24"/>
          <w:szCs w:val="24"/>
        </w:rPr>
        <w:t xml:space="preserve">responses </w:t>
      </w:r>
      <w:r w:rsidRPr="00493AD6">
        <w:rPr>
          <w:sz w:val="24"/>
          <w:szCs w:val="24"/>
        </w:rPr>
        <w:t xml:space="preserve">two weeks from the </w:t>
      </w:r>
      <w:r>
        <w:rPr>
          <w:sz w:val="24"/>
          <w:szCs w:val="24"/>
        </w:rPr>
        <w:t>posting date of the request</w:t>
      </w:r>
      <w:r>
        <w:rPr>
          <w:iCs/>
          <w:sz w:val="24"/>
          <w:szCs w:val="24"/>
        </w:rPr>
        <w:t>,</w:t>
      </w:r>
      <w:r w:rsidRPr="00AE687A">
        <w:rPr>
          <w:iCs/>
          <w:sz w:val="24"/>
          <w:szCs w:val="24"/>
        </w:rPr>
        <w:t xml:space="preserve"> to enable law enforcement to take appropriate investigative action and for FinCEN and other </w:t>
      </w:r>
      <w:r>
        <w:rPr>
          <w:iCs/>
          <w:sz w:val="24"/>
          <w:szCs w:val="24"/>
        </w:rPr>
        <w:t xml:space="preserve">government </w:t>
      </w:r>
      <w:r w:rsidRPr="00AE687A">
        <w:rPr>
          <w:iCs/>
          <w:sz w:val="24"/>
          <w:szCs w:val="24"/>
        </w:rPr>
        <w:t>agencies to analyze the data in a timely manner to support appropriate follow-on actions.</w:t>
      </w:r>
      <w:r w:rsidR="00AA53CA">
        <w:rPr>
          <w:iCs/>
          <w:sz w:val="24"/>
          <w:szCs w:val="24"/>
        </w:rPr>
        <w:t xml:space="preserve">  The need to enable law enforcement to take prompt and appropriate investigative action also accounts for the </w:t>
      </w:r>
      <w:r w:rsidR="00986FDB">
        <w:rPr>
          <w:iCs/>
          <w:sz w:val="24"/>
          <w:szCs w:val="24"/>
        </w:rPr>
        <w:t xml:space="preserve">reason </w:t>
      </w:r>
      <w:r w:rsidR="00AA53CA">
        <w:rPr>
          <w:iCs/>
          <w:sz w:val="24"/>
          <w:szCs w:val="24"/>
        </w:rPr>
        <w:t xml:space="preserve">some financial institutions may be required to report </w:t>
      </w:r>
      <w:r w:rsidR="00637746">
        <w:rPr>
          <w:iCs/>
          <w:sz w:val="24"/>
          <w:szCs w:val="24"/>
        </w:rPr>
        <w:t>information</w:t>
      </w:r>
      <w:r w:rsidR="00AA53CA">
        <w:rPr>
          <w:iCs/>
          <w:sz w:val="24"/>
          <w:szCs w:val="24"/>
        </w:rPr>
        <w:t xml:space="preserve"> more often than quarterly.</w:t>
      </w:r>
    </w:p>
    <w:p w:rsidR="00355DE0" w:rsidP="00D72794" w14:paraId="12C3132A" w14:textId="77777777">
      <w:pPr>
        <w:pStyle w:val="BodyText"/>
        <w:spacing w:before="0"/>
        <w:rPr>
          <w:sz w:val="24"/>
          <w:szCs w:val="24"/>
        </w:rPr>
      </w:pPr>
    </w:p>
    <w:p w:rsidR="003E5EE2" w:rsidRPr="00D72794" w:rsidP="00D72794" w14:paraId="12C3132B" w14:textId="77777777">
      <w:pPr>
        <w:pStyle w:val="BodyText"/>
        <w:spacing w:before="0"/>
        <w:rPr>
          <w:sz w:val="24"/>
          <w:szCs w:val="24"/>
        </w:rPr>
      </w:pPr>
      <w:r w:rsidRPr="00D72794">
        <w:rPr>
          <w:sz w:val="24"/>
          <w:szCs w:val="24"/>
        </w:rPr>
        <w:t xml:space="preserve">8. </w:t>
      </w:r>
      <w:r w:rsidRPr="00D72794">
        <w:rPr>
          <w:sz w:val="24"/>
          <w:szCs w:val="24"/>
          <w:u w:val="single"/>
        </w:rPr>
        <w:t xml:space="preserve">Consultation with </w:t>
      </w:r>
      <w:r w:rsidRPr="00D72794" w:rsidR="00A42FAC">
        <w:rPr>
          <w:sz w:val="24"/>
          <w:szCs w:val="24"/>
          <w:u w:val="single"/>
        </w:rPr>
        <w:t>i</w:t>
      </w:r>
      <w:r w:rsidRPr="00D72794">
        <w:rPr>
          <w:sz w:val="24"/>
          <w:szCs w:val="24"/>
          <w:u w:val="single"/>
        </w:rPr>
        <w:t xml:space="preserve">ndividuals </w:t>
      </w:r>
      <w:r w:rsidRPr="00D72794" w:rsidR="00A42FAC">
        <w:rPr>
          <w:sz w:val="24"/>
          <w:szCs w:val="24"/>
          <w:u w:val="single"/>
        </w:rPr>
        <w:t>o</w:t>
      </w:r>
      <w:r w:rsidRPr="00D72794">
        <w:rPr>
          <w:sz w:val="24"/>
          <w:szCs w:val="24"/>
          <w:u w:val="single"/>
        </w:rPr>
        <w:t xml:space="preserve">utside of the </w:t>
      </w:r>
      <w:r w:rsidRPr="00D72794" w:rsidR="00A42FAC">
        <w:rPr>
          <w:sz w:val="24"/>
          <w:szCs w:val="24"/>
          <w:u w:val="single"/>
        </w:rPr>
        <w:t>a</w:t>
      </w:r>
      <w:r w:rsidRPr="00D72794">
        <w:rPr>
          <w:sz w:val="24"/>
          <w:szCs w:val="24"/>
          <w:u w:val="single"/>
        </w:rPr>
        <w:t xml:space="preserve">gency on </w:t>
      </w:r>
      <w:r w:rsidRPr="00D72794" w:rsidR="00A42FAC">
        <w:rPr>
          <w:sz w:val="24"/>
          <w:szCs w:val="24"/>
          <w:u w:val="single"/>
        </w:rPr>
        <w:t>a</w:t>
      </w:r>
      <w:r w:rsidRPr="00D72794">
        <w:rPr>
          <w:sz w:val="24"/>
          <w:szCs w:val="24"/>
          <w:u w:val="single"/>
        </w:rPr>
        <w:t xml:space="preserve">vailability of </w:t>
      </w:r>
      <w:r w:rsidRPr="00D72794" w:rsidR="00A42FAC">
        <w:rPr>
          <w:sz w:val="24"/>
          <w:szCs w:val="24"/>
          <w:u w:val="single"/>
        </w:rPr>
        <w:t>d</w:t>
      </w:r>
      <w:r w:rsidRPr="00D72794">
        <w:rPr>
          <w:sz w:val="24"/>
          <w:szCs w:val="24"/>
          <w:u w:val="single"/>
        </w:rPr>
        <w:t>ata</w:t>
      </w:r>
      <w:r w:rsidRPr="00D72794" w:rsidR="00A42FAC">
        <w:rPr>
          <w:sz w:val="24"/>
          <w:szCs w:val="24"/>
          <w:u w:val="single"/>
        </w:rPr>
        <w:t>, f</w:t>
      </w:r>
      <w:r w:rsidRPr="00D72794">
        <w:rPr>
          <w:sz w:val="24"/>
          <w:szCs w:val="24"/>
          <w:u w:val="single"/>
        </w:rPr>
        <w:t xml:space="preserve">requency of </w:t>
      </w:r>
      <w:r w:rsidRPr="00D72794" w:rsidR="00A42FAC">
        <w:rPr>
          <w:sz w:val="24"/>
          <w:szCs w:val="24"/>
          <w:u w:val="single"/>
        </w:rPr>
        <w:t>c</w:t>
      </w:r>
      <w:r w:rsidRPr="00D72794">
        <w:rPr>
          <w:sz w:val="24"/>
          <w:szCs w:val="24"/>
          <w:u w:val="single"/>
        </w:rPr>
        <w:t xml:space="preserve">ollection, </w:t>
      </w:r>
      <w:r w:rsidRPr="00D72794" w:rsidR="00A42FAC">
        <w:rPr>
          <w:sz w:val="24"/>
          <w:szCs w:val="24"/>
          <w:u w:val="single"/>
        </w:rPr>
        <w:t>c</w:t>
      </w:r>
      <w:r w:rsidRPr="00D72794">
        <w:rPr>
          <w:sz w:val="24"/>
          <w:szCs w:val="24"/>
          <w:u w:val="single"/>
        </w:rPr>
        <w:t xml:space="preserve">larity of </w:t>
      </w:r>
      <w:r w:rsidRPr="00D72794" w:rsidR="00A42FAC">
        <w:rPr>
          <w:sz w:val="24"/>
          <w:szCs w:val="24"/>
          <w:u w:val="single"/>
        </w:rPr>
        <w:t>i</w:t>
      </w:r>
      <w:r w:rsidRPr="00D72794">
        <w:rPr>
          <w:sz w:val="24"/>
          <w:szCs w:val="24"/>
          <w:u w:val="single"/>
        </w:rPr>
        <w:t xml:space="preserve">nstructions and </w:t>
      </w:r>
      <w:r w:rsidRPr="00D72794" w:rsidR="00A42FAC">
        <w:rPr>
          <w:sz w:val="24"/>
          <w:szCs w:val="24"/>
          <w:u w:val="single"/>
        </w:rPr>
        <w:t>f</w:t>
      </w:r>
      <w:r w:rsidRPr="00D72794">
        <w:rPr>
          <w:sz w:val="24"/>
          <w:szCs w:val="24"/>
          <w:u w:val="single"/>
        </w:rPr>
        <w:t xml:space="preserve">orms, and </w:t>
      </w:r>
      <w:r w:rsidRPr="00D72794" w:rsidR="00A42FAC">
        <w:rPr>
          <w:sz w:val="24"/>
          <w:szCs w:val="24"/>
          <w:u w:val="single"/>
        </w:rPr>
        <w:t>d</w:t>
      </w:r>
      <w:r w:rsidRPr="00D72794">
        <w:rPr>
          <w:sz w:val="24"/>
          <w:szCs w:val="24"/>
          <w:u w:val="single"/>
        </w:rPr>
        <w:t xml:space="preserve">ata </w:t>
      </w:r>
      <w:r w:rsidRPr="00D72794" w:rsidR="00A42FAC">
        <w:rPr>
          <w:sz w:val="24"/>
          <w:szCs w:val="24"/>
          <w:u w:val="single"/>
        </w:rPr>
        <w:t>e</w:t>
      </w:r>
      <w:r w:rsidRPr="00D72794">
        <w:rPr>
          <w:sz w:val="24"/>
          <w:szCs w:val="24"/>
          <w:u w:val="single"/>
        </w:rPr>
        <w:t>lements.</w:t>
      </w:r>
      <w:r w:rsidRPr="00D72794">
        <w:rPr>
          <w:sz w:val="24"/>
          <w:szCs w:val="24"/>
        </w:rPr>
        <w:t xml:space="preserve"> </w:t>
      </w:r>
    </w:p>
    <w:p w:rsidR="003E5EE2" w:rsidRPr="00D72794" w:rsidP="00D72794" w14:paraId="12C3132C" w14:textId="77777777"/>
    <w:p w:rsidR="003C5CA3" w:rsidP="00A73AA6" w14:paraId="1084F93A" w14:textId="3F9ADD33">
      <w:pPr>
        <w:widowControl w:val="0"/>
        <w:autoSpaceDE w:val="0"/>
        <w:autoSpaceDN w:val="0"/>
        <w:adjustRightInd w:val="0"/>
        <w:ind w:right="220" w:firstLine="720"/>
      </w:pPr>
      <w:r>
        <w:t xml:space="preserve">On September 30, 2025, FinCEN published in the Federal Register a </w:t>
      </w:r>
      <w:r w:rsidRPr="00D72794" w:rsidR="00715CB9">
        <w:t xml:space="preserve">60-day notice </w:t>
      </w:r>
      <w:r>
        <w:t xml:space="preserve">and request for comments </w:t>
      </w:r>
      <w:r w:rsidR="00B25264">
        <w:t>on</w:t>
      </w:r>
      <w:r>
        <w:t xml:space="preserve"> its intention to renew, without change, information collection requirements relating to </w:t>
      </w:r>
      <w:r w:rsidR="00887AF6">
        <w:t>information sharing between government agencies and financial institutions</w:t>
      </w:r>
      <w:r w:rsidRPr="00D72794" w:rsidR="00715CB9">
        <w:t>.</w:t>
      </w:r>
      <w:r>
        <w:rPr>
          <w:rStyle w:val="FootnoteReference"/>
        </w:rPr>
        <w:footnoteReference w:id="9"/>
      </w:r>
      <w:r w:rsidRPr="00D72794" w:rsidR="00060A40">
        <w:t xml:space="preserve">  </w:t>
      </w:r>
      <w:r w:rsidR="00D73D54">
        <w:t xml:space="preserve">The 60-day comment period closed on December 1, 2025.  In response to the notice, FinCEN received </w:t>
      </w:r>
      <w:r w:rsidR="0074476B">
        <w:t>23</w:t>
      </w:r>
      <w:r w:rsidR="00D73D54">
        <w:t xml:space="preserve"> comments</w:t>
      </w:r>
      <w:r w:rsidR="0029273A">
        <w:t xml:space="preserve">, eight of which did not refer to the </w:t>
      </w:r>
      <w:r w:rsidR="00EE5FCA">
        <w:t xml:space="preserve">Section </w:t>
      </w:r>
      <w:r w:rsidR="0029273A">
        <w:t>314(a) program</w:t>
      </w:r>
      <w:r w:rsidR="003C68ED">
        <w:t>.</w:t>
      </w:r>
      <w:r>
        <w:rPr>
          <w:rStyle w:val="FootnoteReference"/>
        </w:rPr>
        <w:footnoteReference w:id="10"/>
      </w:r>
      <w:r w:rsidR="0029273A">
        <w:t xml:space="preserve"> </w:t>
      </w:r>
    </w:p>
    <w:p w:rsidR="00540F59" w:rsidP="003C68ED" w14:paraId="39F96D9F" w14:textId="77777777">
      <w:pPr>
        <w:widowControl w:val="0"/>
        <w:autoSpaceDE w:val="0"/>
        <w:autoSpaceDN w:val="0"/>
        <w:adjustRightInd w:val="0"/>
        <w:ind w:right="220" w:firstLine="720"/>
        <w:jc w:val="both"/>
      </w:pPr>
    </w:p>
    <w:p w:rsidR="00540F59" w:rsidP="00DE4457" w14:paraId="74700931" w14:textId="5B2EEA3B">
      <w:pPr>
        <w:widowControl w:val="0"/>
        <w:autoSpaceDE w:val="0"/>
        <w:autoSpaceDN w:val="0"/>
        <w:adjustRightInd w:val="0"/>
        <w:ind w:right="220" w:firstLine="720"/>
      </w:pPr>
      <w:r>
        <w:t xml:space="preserve">Almost </w:t>
      </w:r>
      <w:r w:rsidR="00BB2463">
        <w:t>all</w:t>
      </w:r>
      <w:r>
        <w:t xml:space="preserve"> </w:t>
      </w:r>
      <w:r>
        <w:t>the</w:t>
      </w:r>
      <w:r w:rsidRPr="00540F59">
        <w:t xml:space="preserve"> relevant comments noted support for information sharing</w:t>
      </w:r>
      <w:r w:rsidR="00737A17">
        <w:t xml:space="preserve"> under the </w:t>
      </w:r>
      <w:r w:rsidR="00EE5FCA">
        <w:t xml:space="preserve">Section </w:t>
      </w:r>
      <w:r w:rsidR="00737A17">
        <w:t>314(a) program.</w:t>
      </w:r>
      <w:r w:rsidRPr="00540F59">
        <w:t xml:space="preserve"> </w:t>
      </w:r>
      <w:r w:rsidR="00BB2463">
        <w:t xml:space="preserve"> However, commenters had </w:t>
      </w:r>
      <w:r w:rsidR="00173A0F">
        <w:t xml:space="preserve">a variety </w:t>
      </w:r>
      <w:r w:rsidR="00B55FA6">
        <w:t xml:space="preserve">of </w:t>
      </w:r>
      <w:r w:rsidR="00BB2463">
        <w:t xml:space="preserve">recommendations for ways FinCEN </w:t>
      </w:r>
      <w:r w:rsidR="0045299F">
        <w:t xml:space="preserve">can </w:t>
      </w:r>
      <w:r w:rsidR="00CA07DC">
        <w:t xml:space="preserve">improve the </w:t>
      </w:r>
      <w:r w:rsidR="00EE5FCA">
        <w:t xml:space="preserve">Section </w:t>
      </w:r>
      <w:r w:rsidR="00CA07DC">
        <w:t xml:space="preserve">314(a) program and reduce burden on financial institutions. </w:t>
      </w:r>
    </w:p>
    <w:p w:rsidR="003C5CA3" w:rsidP="003C68ED" w14:paraId="0B5771E3" w14:textId="77777777">
      <w:pPr>
        <w:widowControl w:val="0"/>
        <w:autoSpaceDE w:val="0"/>
        <w:autoSpaceDN w:val="0"/>
        <w:adjustRightInd w:val="0"/>
        <w:ind w:right="220" w:firstLine="720"/>
        <w:jc w:val="both"/>
      </w:pPr>
    </w:p>
    <w:p w:rsidR="0015155C" w:rsidP="00DE4457" w14:paraId="38C68CD0" w14:textId="776B0998">
      <w:pPr>
        <w:widowControl w:val="0"/>
        <w:autoSpaceDE w:val="0"/>
        <w:autoSpaceDN w:val="0"/>
        <w:adjustRightInd w:val="0"/>
        <w:ind w:right="220" w:firstLine="720"/>
      </w:pPr>
      <w:r w:rsidRPr="004809CF">
        <w:t xml:space="preserve">Seven individuals, including several from financial institutions, submitted comments with recommendations to improve the </w:t>
      </w:r>
      <w:r w:rsidR="00EE5FCA">
        <w:t xml:space="preserve">Section </w:t>
      </w:r>
      <w:r w:rsidRPr="004809CF">
        <w:t xml:space="preserve">314(a) program. </w:t>
      </w:r>
      <w:r w:rsidR="00795C79">
        <w:t xml:space="preserve"> </w:t>
      </w:r>
      <w:r w:rsidR="002718AA">
        <w:t xml:space="preserve">One commenter </w:t>
      </w:r>
      <w:r w:rsidR="00E83177">
        <w:t xml:space="preserve">stated </w:t>
      </w:r>
      <w:r w:rsidR="002718AA">
        <w:t>that</w:t>
      </w:r>
      <w:r w:rsidR="00644E90">
        <w:t xml:space="preserve"> the </w:t>
      </w:r>
      <w:r w:rsidR="00EE5FCA">
        <w:t xml:space="preserve">Section </w:t>
      </w:r>
      <w:r w:rsidR="00644E90">
        <w:t xml:space="preserve">314(a) process is </w:t>
      </w:r>
      <w:r w:rsidR="00E83177">
        <w:t>manageable</w:t>
      </w:r>
      <w:r w:rsidR="00644E90">
        <w:t xml:space="preserve"> for </w:t>
      </w:r>
      <w:r w:rsidR="006660DC">
        <w:t xml:space="preserve">a </w:t>
      </w:r>
      <w:r w:rsidR="00191F22">
        <w:t xml:space="preserve">small community bank and that </w:t>
      </w:r>
      <w:r w:rsidR="00E83177">
        <w:t xml:space="preserve">the two-week review and response period is generally sufficient, </w:t>
      </w:r>
      <w:r w:rsidRPr="00E83177" w:rsidR="00E83177">
        <w:t>though extensions would be helpful when needed</w:t>
      </w:r>
      <w:r w:rsidR="006660DC">
        <w:t xml:space="preserve">.  </w:t>
      </w:r>
      <w:r w:rsidR="00E83177">
        <w:t>Another</w:t>
      </w:r>
      <w:r w:rsidR="00923713">
        <w:t xml:space="preserve"> urged FinCE</w:t>
      </w:r>
      <w:r w:rsidR="00C73E60">
        <w:t xml:space="preserve">N to send </w:t>
      </w:r>
      <w:r w:rsidR="00EE5FCA">
        <w:t xml:space="preserve">Section </w:t>
      </w:r>
      <w:r w:rsidR="00C73E60">
        <w:t xml:space="preserve">314(a) </w:t>
      </w:r>
      <w:r w:rsidR="00B25264">
        <w:t>R</w:t>
      </w:r>
      <w:r w:rsidR="00C73E60">
        <w:t>equests to financial institutions no more than once per month.</w:t>
      </w:r>
      <w:r w:rsidR="001E156A">
        <w:t xml:space="preserve">  One </w:t>
      </w:r>
      <w:r w:rsidR="00FC5E56">
        <w:t xml:space="preserve">commenter </w:t>
      </w:r>
      <w:r w:rsidR="001E156A">
        <w:t xml:space="preserve">suggested reducing </w:t>
      </w:r>
      <w:r w:rsidR="00415BE9">
        <w:t xml:space="preserve">burden </w:t>
      </w:r>
      <w:r w:rsidR="001E156A">
        <w:t xml:space="preserve">on financial institutions by sending </w:t>
      </w:r>
      <w:r w:rsidR="00EE5FCA">
        <w:t xml:space="preserve">Section </w:t>
      </w:r>
      <w:r w:rsidR="00FC5E56">
        <w:t xml:space="preserve">314(a) </w:t>
      </w:r>
      <w:r w:rsidR="00D06E7C">
        <w:t xml:space="preserve">Requests </w:t>
      </w:r>
      <w:r w:rsidR="00FC5E56">
        <w:t>to key vendors</w:t>
      </w:r>
      <w:r w:rsidR="001E156A">
        <w:t xml:space="preserve"> to avoid manual uploads</w:t>
      </w:r>
      <w:r w:rsidR="007B7AE8">
        <w:t xml:space="preserve">. </w:t>
      </w:r>
      <w:r w:rsidR="00935F6C">
        <w:t xml:space="preserve"> </w:t>
      </w:r>
      <w:r w:rsidR="001E156A">
        <w:t xml:space="preserve">Another </w:t>
      </w:r>
      <w:r w:rsidR="00413FA1">
        <w:t>stated</w:t>
      </w:r>
      <w:r w:rsidR="00A15742">
        <w:t xml:space="preserve"> </w:t>
      </w:r>
      <w:r w:rsidR="008A7BDD">
        <w:t xml:space="preserve">that </w:t>
      </w:r>
      <w:r w:rsidR="00A15742">
        <w:t xml:space="preserve">the </w:t>
      </w:r>
      <w:r w:rsidR="00EE5FCA">
        <w:t xml:space="preserve">Section </w:t>
      </w:r>
      <w:r w:rsidR="00A15742">
        <w:t xml:space="preserve">314(a) process </w:t>
      </w:r>
      <w:r w:rsidR="00BC5516">
        <w:t>imposes</w:t>
      </w:r>
      <w:r w:rsidR="00A15742">
        <w:t xml:space="preserve"> minimal </w:t>
      </w:r>
      <w:r w:rsidR="007E28B8">
        <w:t xml:space="preserve">cost </w:t>
      </w:r>
      <w:r w:rsidR="00A15742">
        <w:t xml:space="preserve">and effort </w:t>
      </w:r>
      <w:r w:rsidR="00BC5516">
        <w:t xml:space="preserve">on </w:t>
      </w:r>
      <w:r w:rsidR="006F488C">
        <w:t>their</w:t>
      </w:r>
      <w:r w:rsidR="00A15742">
        <w:t xml:space="preserve"> financial institution</w:t>
      </w:r>
      <w:r w:rsidR="00DF6360">
        <w:t>,</w:t>
      </w:r>
      <w:r w:rsidR="00FE2251">
        <w:t xml:space="preserve"> while</w:t>
      </w:r>
      <w:r w:rsidR="00DF6360">
        <w:t xml:space="preserve"> </w:t>
      </w:r>
      <w:r w:rsidR="001E156A">
        <w:t>a commenter from</w:t>
      </w:r>
      <w:r w:rsidR="00DF6360">
        <w:t xml:space="preserve"> a small credit union noted that </w:t>
      </w:r>
      <w:r w:rsidR="00687209">
        <w:t xml:space="preserve">software </w:t>
      </w:r>
      <w:r w:rsidR="001E156A">
        <w:t xml:space="preserve">needed </w:t>
      </w:r>
      <w:r w:rsidR="00687209">
        <w:t xml:space="preserve">to </w:t>
      </w:r>
      <w:r w:rsidR="00C51579">
        <w:t xml:space="preserve">compare </w:t>
      </w:r>
      <w:r w:rsidR="00EE5FCA">
        <w:t xml:space="preserve">Section </w:t>
      </w:r>
      <w:r w:rsidRPr="00D06E7C" w:rsidR="00C51579">
        <w:t xml:space="preserve">314(a) </w:t>
      </w:r>
      <w:r w:rsidRPr="00D06E7C" w:rsidR="00D06E7C">
        <w:t>Requests</w:t>
      </w:r>
      <w:r w:rsidR="00C51579">
        <w:t xml:space="preserve"> to the credit union’s database is costly</w:t>
      </w:r>
      <w:r w:rsidR="001E156A">
        <w:t xml:space="preserve"> and does not </w:t>
      </w:r>
      <w:r w:rsidR="001E156A">
        <w:t>totally eliminate</w:t>
      </w:r>
      <w:r w:rsidR="001E156A">
        <w:t xml:space="preserve"> the need for manual review</w:t>
      </w:r>
      <w:r w:rsidR="00147750">
        <w:t xml:space="preserve">. </w:t>
      </w:r>
      <w:r w:rsidR="00053C4B">
        <w:t xml:space="preserve"> </w:t>
      </w:r>
      <w:r w:rsidR="001E156A">
        <w:t>Another</w:t>
      </w:r>
      <w:r w:rsidR="00053C4B">
        <w:t xml:space="preserve"> commenter </w:t>
      </w:r>
      <w:r w:rsidR="001E156A">
        <w:t xml:space="preserve">said </w:t>
      </w:r>
      <w:r w:rsidR="00F10356">
        <w:t>that</w:t>
      </w:r>
      <w:r w:rsidR="00142432">
        <w:t>,</w:t>
      </w:r>
      <w:r w:rsidR="00F10356">
        <w:t xml:space="preserve"> </w:t>
      </w:r>
      <w:r w:rsidR="001E156A">
        <w:t>although responding to</w:t>
      </w:r>
      <w:r w:rsidRPr="00737E00" w:rsidR="00BD0772">
        <w:t xml:space="preserve"> </w:t>
      </w:r>
      <w:r w:rsidR="00EE5FCA">
        <w:t xml:space="preserve">Section </w:t>
      </w:r>
      <w:r w:rsidRPr="00737E00" w:rsidR="00BD0772">
        <w:t>314</w:t>
      </w:r>
      <w:r w:rsidR="00F10356">
        <w:t>(</w:t>
      </w:r>
      <w:r w:rsidRPr="00737E00" w:rsidR="00BD0772">
        <w:t>a</w:t>
      </w:r>
      <w:r w:rsidR="00F10356">
        <w:t>)</w:t>
      </w:r>
      <w:r w:rsidRPr="00737E00" w:rsidR="00BD0772">
        <w:t xml:space="preserve"> </w:t>
      </w:r>
      <w:r w:rsidR="001E156A">
        <w:t>Requests itself</w:t>
      </w:r>
      <w:r w:rsidRPr="00737E00" w:rsidR="001E156A">
        <w:t xml:space="preserve"> </w:t>
      </w:r>
      <w:r w:rsidRPr="00737E00" w:rsidR="00BD0772">
        <w:t xml:space="preserve">is not burdensome, </w:t>
      </w:r>
      <w:r w:rsidRPr="001E156A" w:rsidR="001E156A">
        <w:t>insufficient identifying information in some Requests makes it difficult to assess potential matches</w:t>
      </w:r>
      <w:r w:rsidR="00281C23">
        <w:t xml:space="preserve">.  </w:t>
      </w:r>
      <w:r w:rsidR="00FE5D65">
        <w:t>Further, the commenter stated that additional</w:t>
      </w:r>
      <w:r w:rsidRPr="001E156A" w:rsidR="001E156A">
        <w:t xml:space="preserve"> subject details and better law-enforcement contact information would help</w:t>
      </w:r>
      <w:r w:rsidR="009613E9">
        <w:t xml:space="preserve">. </w:t>
      </w:r>
    </w:p>
    <w:p w:rsidR="00A242C5" w:rsidP="00935F6C" w14:paraId="15477FE2" w14:textId="77777777">
      <w:pPr>
        <w:widowControl w:val="0"/>
        <w:autoSpaceDE w:val="0"/>
        <w:autoSpaceDN w:val="0"/>
        <w:adjustRightInd w:val="0"/>
        <w:ind w:right="220" w:firstLine="720"/>
        <w:jc w:val="both"/>
      </w:pPr>
    </w:p>
    <w:p w:rsidR="00606C0F" w:rsidP="00935F6C" w14:paraId="4C465909" w14:textId="15BAE991">
      <w:pPr>
        <w:widowControl w:val="0"/>
        <w:autoSpaceDE w:val="0"/>
        <w:autoSpaceDN w:val="0"/>
        <w:adjustRightInd w:val="0"/>
        <w:ind w:right="220" w:firstLine="720"/>
        <w:jc w:val="both"/>
      </w:pPr>
      <w:r>
        <w:t>Two individual</w:t>
      </w:r>
      <w:r w:rsidR="001D46B2">
        <w:t>s</w:t>
      </w:r>
      <w:r>
        <w:t xml:space="preserve"> </w:t>
      </w:r>
      <w:r w:rsidR="001D46B2">
        <w:t>expressed opposition</w:t>
      </w:r>
      <w:r>
        <w:t xml:space="preserve"> to the </w:t>
      </w:r>
      <w:r w:rsidR="00EE5FCA">
        <w:t xml:space="preserve">Section </w:t>
      </w:r>
      <w:r>
        <w:t xml:space="preserve">314(a) program.  One </w:t>
      </w:r>
      <w:r w:rsidR="001D46B2">
        <w:t xml:space="preserve">stated </w:t>
      </w:r>
      <w:r w:rsidR="0051218C">
        <w:t xml:space="preserve">that </w:t>
      </w:r>
      <w:r w:rsidR="00EE5FCA">
        <w:t xml:space="preserve">Section </w:t>
      </w:r>
      <w:r w:rsidR="0051218C">
        <w:t>314(a) information should require a warrant and a justified cause</w:t>
      </w:r>
      <w:r w:rsidR="001D46B2">
        <w:t>,</w:t>
      </w:r>
      <w:r w:rsidR="00D168AC">
        <w:t xml:space="preserve"> </w:t>
      </w:r>
      <w:r w:rsidR="001D46B2">
        <w:t>while the other stated</w:t>
      </w:r>
      <w:r w:rsidR="0051218C">
        <w:t xml:space="preserve"> that complying with the</w:t>
      </w:r>
      <w:r w:rsidR="00695922">
        <w:t xml:space="preserve"> Section</w:t>
      </w:r>
      <w:r w:rsidR="0051218C">
        <w:t xml:space="preserve"> 314(a) program is a </w:t>
      </w:r>
      <w:r w:rsidR="001D46B2">
        <w:t xml:space="preserve">significant </w:t>
      </w:r>
      <w:r w:rsidR="00BB359B">
        <w:t xml:space="preserve">burden </w:t>
      </w:r>
      <w:r w:rsidR="001D46B2">
        <w:t xml:space="preserve">that </w:t>
      </w:r>
      <w:r w:rsidR="00BB359B">
        <w:t>should not fall on banks.</w:t>
      </w:r>
    </w:p>
    <w:p w:rsidR="006759BB" w:rsidP="00935F6C" w14:paraId="474B7059" w14:textId="77777777">
      <w:pPr>
        <w:widowControl w:val="0"/>
        <w:autoSpaceDE w:val="0"/>
        <w:autoSpaceDN w:val="0"/>
        <w:adjustRightInd w:val="0"/>
        <w:ind w:right="220" w:firstLine="720"/>
        <w:jc w:val="both"/>
      </w:pPr>
    </w:p>
    <w:p w:rsidR="00DC7F00" w:rsidP="003029CC" w14:paraId="3ADB4E24" w14:textId="7690F260">
      <w:pPr>
        <w:ind w:firstLine="720"/>
      </w:pPr>
      <w:r>
        <w:t xml:space="preserve">Additionally, </w:t>
      </w:r>
      <w:r w:rsidR="00EE7B48">
        <w:t>FinCEN received eight comments from</w:t>
      </w:r>
      <w:r w:rsidR="0022284E">
        <w:t xml:space="preserve"> entities, including</w:t>
      </w:r>
      <w:r w:rsidR="00EE7B48">
        <w:t xml:space="preserve"> financial institutions</w:t>
      </w:r>
      <w:r w:rsidR="007532CB">
        <w:t xml:space="preserve">, </w:t>
      </w:r>
      <w:r w:rsidR="00EE7B48">
        <w:t>advocacy groups</w:t>
      </w:r>
      <w:r w:rsidR="007057A3">
        <w:t>, and a technology company</w:t>
      </w:r>
      <w:r w:rsidR="00EE7B48">
        <w:t xml:space="preserve">.  </w:t>
      </w:r>
      <w:r w:rsidR="00C223E9">
        <w:t>S</w:t>
      </w:r>
      <w:r w:rsidR="0026202B">
        <w:t>ix of these commenters request</w:t>
      </w:r>
      <w:r w:rsidR="00C223E9">
        <w:t>ed</w:t>
      </w:r>
      <w:r w:rsidR="0026202B">
        <w:t xml:space="preserve"> </w:t>
      </w:r>
      <w:r w:rsidR="00C223E9">
        <w:t>that</w:t>
      </w:r>
      <w:r w:rsidR="0026202B">
        <w:t xml:space="preserve"> FinCEN </w:t>
      </w:r>
      <w:r w:rsidR="00ED22E2">
        <w:t xml:space="preserve">reduce </w:t>
      </w:r>
      <w:r w:rsidR="00D34471">
        <w:t xml:space="preserve">the probability </w:t>
      </w:r>
      <w:r w:rsidR="007F6DDB">
        <w:t xml:space="preserve">of </w:t>
      </w:r>
      <w:r w:rsidR="00D34471">
        <w:t>records search</w:t>
      </w:r>
      <w:r w:rsidR="001E1249">
        <w:t>es</w:t>
      </w:r>
      <w:r w:rsidR="00D34471">
        <w:t xml:space="preserve"> yield</w:t>
      </w:r>
      <w:r w:rsidR="001E1249">
        <w:t>ing</w:t>
      </w:r>
      <w:r w:rsidR="00D34471">
        <w:t xml:space="preserve"> </w:t>
      </w:r>
      <w:r w:rsidR="00ED22E2">
        <w:t>false positives by</w:t>
      </w:r>
      <w:r w:rsidR="00D34471">
        <w:t xml:space="preserve"> requiring the</w:t>
      </w:r>
      <w:r w:rsidR="00ED22E2">
        <w:t xml:space="preserve"> </w:t>
      </w:r>
      <w:r w:rsidR="00202830">
        <w:t>inclu</w:t>
      </w:r>
      <w:r w:rsidR="00D34471">
        <w:t>sion of</w:t>
      </w:r>
      <w:r w:rsidR="00202830">
        <w:t xml:space="preserve"> as ma</w:t>
      </w:r>
      <w:r w:rsidR="00527B6C">
        <w:t>n</w:t>
      </w:r>
      <w:r w:rsidR="00202830">
        <w:t>y identifiers</w:t>
      </w:r>
      <w:r w:rsidR="00527B6C">
        <w:t xml:space="preserve"> as possible </w:t>
      </w:r>
      <w:r w:rsidR="00ED22E2">
        <w:t>in</w:t>
      </w:r>
      <w:r w:rsidR="00527B6C">
        <w:t xml:space="preserve"> </w:t>
      </w:r>
      <w:r w:rsidR="00695922">
        <w:t xml:space="preserve">Section </w:t>
      </w:r>
      <w:r w:rsidR="00527B6C">
        <w:t xml:space="preserve">314(a) </w:t>
      </w:r>
      <w:r w:rsidR="00651EBA">
        <w:t>R</w:t>
      </w:r>
      <w:r w:rsidR="00527B6C">
        <w:t>eques</w:t>
      </w:r>
      <w:r w:rsidR="0022284E">
        <w:t>t</w:t>
      </w:r>
      <w:r w:rsidR="00ED22E2">
        <w:t>s</w:t>
      </w:r>
      <w:r w:rsidR="00527B6C">
        <w:t xml:space="preserve">.  </w:t>
      </w:r>
      <w:r w:rsidR="00D34471">
        <w:t>Identifying and excluding f</w:t>
      </w:r>
      <w:r w:rsidR="000A5365">
        <w:t>alse positives</w:t>
      </w:r>
      <w:r w:rsidR="00D34471">
        <w:t xml:space="preserve"> from responses</w:t>
      </w:r>
      <w:r w:rsidR="000A5365">
        <w:t>, commenters stated, divert</w:t>
      </w:r>
      <w:r w:rsidR="00D34471">
        <w:t>s</w:t>
      </w:r>
      <w:r w:rsidR="00527B6C">
        <w:t xml:space="preserve"> resources that could be focused on higher-</w:t>
      </w:r>
      <w:r w:rsidR="007A6A92">
        <w:t xml:space="preserve">risk </w:t>
      </w:r>
      <w:r w:rsidR="00527B6C">
        <w:t>activities</w:t>
      </w:r>
      <w:r w:rsidR="004D39DB">
        <w:t>.</w:t>
      </w:r>
      <w:r w:rsidR="00EB2060">
        <w:t xml:space="preserve">  </w:t>
      </w:r>
      <w:r w:rsidR="000A5365">
        <w:t xml:space="preserve">One </w:t>
      </w:r>
      <w:r w:rsidR="00EB2060">
        <w:t xml:space="preserve">commenter recommended that </w:t>
      </w:r>
      <w:r w:rsidR="004D39DB">
        <w:t xml:space="preserve">FinCEN consider requiring </w:t>
      </w:r>
      <w:r w:rsidR="00EB2060">
        <w:t>law enforcement agencies</w:t>
      </w:r>
      <w:r w:rsidR="004D39DB">
        <w:t xml:space="preserve"> to provide the same </w:t>
      </w:r>
      <w:r w:rsidR="00A24DB7">
        <w:t>identifying</w:t>
      </w:r>
      <w:r w:rsidR="00E27A27">
        <w:t xml:space="preserve"> information</w:t>
      </w:r>
      <w:r w:rsidR="004D39DB">
        <w:t xml:space="preserve"> for </w:t>
      </w:r>
      <w:r w:rsidR="003C2FF8">
        <w:t xml:space="preserve">the subjects of </w:t>
      </w:r>
      <w:r w:rsidR="00695922">
        <w:t xml:space="preserve">Section </w:t>
      </w:r>
      <w:r w:rsidR="003C2FF8">
        <w:t xml:space="preserve">314(a) </w:t>
      </w:r>
      <w:r w:rsidR="000A5365">
        <w:t>R</w:t>
      </w:r>
      <w:r w:rsidR="003C2FF8">
        <w:t>equests</w:t>
      </w:r>
      <w:r w:rsidR="00A24DB7">
        <w:t xml:space="preserve"> that financial institutions are required to collect as part </w:t>
      </w:r>
      <w:r w:rsidR="003C2FF8">
        <w:t>their</w:t>
      </w:r>
      <w:r w:rsidR="00A24DB7">
        <w:t xml:space="preserve"> </w:t>
      </w:r>
      <w:r w:rsidR="000A5365">
        <w:t>customer identification programs</w:t>
      </w:r>
      <w:r w:rsidR="004D39DB">
        <w:t>.</w:t>
      </w:r>
      <w:r w:rsidR="00A16CB4">
        <w:t xml:space="preserve">  Another commenter noted that high rates of false positives add to burden and suggested that FinCEN’s estimate does not appear to reflect the frequent occurrence of false positives</w:t>
      </w:r>
      <w:r w:rsidR="00505930">
        <w:t xml:space="preserve"> but did not provide sufficient qualitative or quantitative information for FinCEN to assess whether such</w:t>
      </w:r>
      <w:r w:rsidR="004702C7">
        <w:t xml:space="preserve"> self-reported</w:t>
      </w:r>
      <w:r w:rsidR="00505930">
        <w:t xml:space="preserve"> rates are higher than the </w:t>
      </w:r>
      <w:r w:rsidR="004702C7">
        <w:t xml:space="preserve">original </w:t>
      </w:r>
      <w:r w:rsidR="00505930">
        <w:t>parameter values used in FinCEN’s burden modeling</w:t>
      </w:r>
      <w:r w:rsidR="00A16CB4">
        <w:t>.</w:t>
      </w:r>
    </w:p>
    <w:p w:rsidR="00DC7F00" w:rsidP="00DC7F00" w14:paraId="5FAE827B" w14:textId="77777777">
      <w:pPr>
        <w:widowControl w:val="0"/>
        <w:autoSpaceDE w:val="0"/>
        <w:autoSpaceDN w:val="0"/>
        <w:adjustRightInd w:val="0"/>
        <w:ind w:right="220" w:firstLine="720"/>
        <w:jc w:val="both"/>
      </w:pPr>
    </w:p>
    <w:p w:rsidR="00FC5765" w:rsidP="00A73AA6" w14:paraId="795B287E" w14:textId="685118CE">
      <w:pPr>
        <w:widowControl w:val="0"/>
        <w:autoSpaceDE w:val="0"/>
        <w:autoSpaceDN w:val="0"/>
        <w:adjustRightInd w:val="0"/>
        <w:ind w:right="220" w:firstLine="720"/>
      </w:pPr>
      <w:r>
        <w:t>Three entit</w:t>
      </w:r>
      <w:r w:rsidR="00CC2D54">
        <w:t xml:space="preserve">ies commented </w:t>
      </w:r>
      <w:r>
        <w:t xml:space="preserve">on FinCEN’s burden estimate for the </w:t>
      </w:r>
      <w:r w:rsidR="00695922">
        <w:t xml:space="preserve">Section </w:t>
      </w:r>
      <w:r>
        <w:t>314(</w:t>
      </w:r>
      <w:r w:rsidR="00FC45A7">
        <w:t>a)</w:t>
      </w:r>
      <w:r w:rsidR="00DE5A45">
        <w:t xml:space="preserve"> program</w:t>
      </w:r>
      <w:r w:rsidR="00FC45A7">
        <w:t xml:space="preserve">. </w:t>
      </w:r>
      <w:r w:rsidR="0001218A">
        <w:t>Two</w:t>
      </w:r>
      <w:r w:rsidRPr="00D364C9" w:rsidR="0001218A">
        <w:t xml:space="preserve"> </w:t>
      </w:r>
      <w:r w:rsidRPr="00D364C9" w:rsidR="00DC7F00">
        <w:t>commenter</w:t>
      </w:r>
      <w:r w:rsidR="008D4C97">
        <w:t>s</w:t>
      </w:r>
      <w:r w:rsidR="0001218A">
        <w:t xml:space="preserve"> </w:t>
      </w:r>
      <w:r w:rsidR="00C25150">
        <w:t>argued that</w:t>
      </w:r>
      <w:r w:rsidRPr="00506FC3" w:rsidR="00DC7F00">
        <w:t xml:space="preserve"> </w:t>
      </w:r>
      <w:r w:rsidR="0001218A">
        <w:t>FinCEN’s</w:t>
      </w:r>
      <w:r w:rsidRPr="00506FC3" w:rsidR="0001218A">
        <w:t xml:space="preserve"> </w:t>
      </w:r>
      <w:r w:rsidRPr="00506FC3" w:rsidR="00DC7F00">
        <w:t xml:space="preserve">estimates do not </w:t>
      </w:r>
      <w:r w:rsidR="0001218A">
        <w:t>accurately reflect</w:t>
      </w:r>
      <w:r w:rsidRPr="00506FC3" w:rsidR="00DC7F00">
        <w:t xml:space="preserve"> </w:t>
      </w:r>
      <w:r w:rsidR="008D4C97">
        <w:t xml:space="preserve">the </w:t>
      </w:r>
      <w:r w:rsidRPr="00506FC3" w:rsidR="00DC7F00">
        <w:t xml:space="preserve">disproportionate impact </w:t>
      </w:r>
      <w:r w:rsidR="008D4C97">
        <w:t xml:space="preserve">of Section 314(a) Requests </w:t>
      </w:r>
      <w:r w:rsidRPr="00506FC3" w:rsidR="00DC7F00">
        <w:t xml:space="preserve">on smaller or mid-sized credit unions </w:t>
      </w:r>
      <w:r w:rsidR="0001218A">
        <w:t xml:space="preserve">and community banks, and </w:t>
      </w:r>
      <w:r w:rsidRPr="00506FC3" w:rsidR="00DC7F00">
        <w:t xml:space="preserve">that FinCEN </w:t>
      </w:r>
      <w:r w:rsidR="0001218A">
        <w:t>should</w:t>
      </w:r>
      <w:r w:rsidRPr="002B1DC4" w:rsidR="00FC45A7">
        <w:t xml:space="preserve"> adopt a </w:t>
      </w:r>
      <w:r w:rsidR="0001218A">
        <w:t xml:space="preserve">tiered or scaled </w:t>
      </w:r>
      <w:r w:rsidRPr="002B1DC4" w:rsidR="00FC45A7">
        <w:t xml:space="preserve">assessment </w:t>
      </w:r>
      <w:r w:rsidR="0001218A">
        <w:t xml:space="preserve">model </w:t>
      </w:r>
      <w:r w:rsidRPr="002B1DC4" w:rsidR="00FC45A7">
        <w:t xml:space="preserve">that accounts for differences in institution size, technology infrastructure, and operational capacity. </w:t>
      </w:r>
      <w:r w:rsidR="00C10C68">
        <w:t xml:space="preserve"> One commenter stated that its member community banks report that the time to process a </w:t>
      </w:r>
      <w:r w:rsidR="00F9779E">
        <w:t xml:space="preserve">Section </w:t>
      </w:r>
      <w:r w:rsidR="00DC108C">
        <w:t>314(a) Request can range from several minutes to multiple hours.</w:t>
      </w:r>
      <w:r w:rsidR="00C10C68">
        <w:t xml:space="preserve"> </w:t>
      </w:r>
      <w:r w:rsidRPr="002B1DC4" w:rsidR="00FC45A7">
        <w:t xml:space="preserve"> </w:t>
      </w:r>
      <w:r w:rsidR="00371737">
        <w:t xml:space="preserve">Another commenter noted that </w:t>
      </w:r>
      <w:r w:rsidR="00867FAB">
        <w:t xml:space="preserve">at its credit union </w:t>
      </w:r>
      <w:r w:rsidR="00F91C6E">
        <w:t>staff</w:t>
      </w:r>
      <w:r w:rsidR="00867FAB">
        <w:t xml:space="preserve"> may </w:t>
      </w:r>
      <w:r w:rsidR="00C17B77">
        <w:t xml:space="preserve">take one to two days to review a </w:t>
      </w:r>
      <w:r w:rsidR="00695922">
        <w:t xml:space="preserve">Section </w:t>
      </w:r>
      <w:r w:rsidR="00C17B77">
        <w:t xml:space="preserve">314(a) </w:t>
      </w:r>
      <w:r w:rsidR="006F1918">
        <w:t>R</w:t>
      </w:r>
      <w:r w:rsidR="00C17B77">
        <w:t xml:space="preserve">equest. </w:t>
      </w:r>
      <w:r w:rsidR="00CC2D54">
        <w:t xml:space="preserve"> </w:t>
      </w:r>
    </w:p>
    <w:p w:rsidR="00362068" w:rsidP="007F7715" w14:paraId="74FD2DAF" w14:textId="77777777">
      <w:pPr>
        <w:widowControl w:val="0"/>
        <w:autoSpaceDE w:val="0"/>
        <w:autoSpaceDN w:val="0"/>
        <w:adjustRightInd w:val="0"/>
        <w:ind w:right="220"/>
        <w:jc w:val="both"/>
      </w:pPr>
    </w:p>
    <w:p w:rsidR="00362068" w:rsidP="00A73AA6" w14:paraId="20524B87" w14:textId="113F07E4">
      <w:pPr>
        <w:widowControl w:val="0"/>
        <w:autoSpaceDE w:val="0"/>
        <w:autoSpaceDN w:val="0"/>
        <w:adjustRightInd w:val="0"/>
        <w:ind w:right="220" w:firstLine="720"/>
      </w:pPr>
      <w:r>
        <w:t>Two</w:t>
      </w:r>
      <w:r>
        <w:t xml:space="preserve"> </w:t>
      </w:r>
      <w:r w:rsidR="003E0867">
        <w:t xml:space="preserve">entity </w:t>
      </w:r>
      <w:r>
        <w:t xml:space="preserve">commenters recommended </w:t>
      </w:r>
      <w:r w:rsidR="00651C57">
        <w:t xml:space="preserve">that </w:t>
      </w:r>
      <w:r w:rsidR="00573136">
        <w:t>FinCEN establish or clarify retention limits for institution-held da</w:t>
      </w:r>
      <w:r w:rsidR="0013743D">
        <w:t xml:space="preserve">ta under the </w:t>
      </w:r>
      <w:r w:rsidR="00695922">
        <w:t xml:space="preserve">Section </w:t>
      </w:r>
      <w:r w:rsidR="0013743D">
        <w:t xml:space="preserve">314(a) </w:t>
      </w:r>
      <w:r w:rsidR="00907ED0">
        <w:t>program</w:t>
      </w:r>
      <w:r w:rsidR="0013743D">
        <w:t xml:space="preserve">. </w:t>
      </w:r>
      <w:r w:rsidR="00DC1B95">
        <w:t xml:space="preserve"> One </w:t>
      </w:r>
      <w:r w:rsidR="00651C57">
        <w:t xml:space="preserve">of the </w:t>
      </w:r>
      <w:r w:rsidR="00DC1B95">
        <w:t>commenter</w:t>
      </w:r>
      <w:r w:rsidR="00651C57">
        <w:t>s</w:t>
      </w:r>
      <w:r w:rsidR="00DC1B95">
        <w:t xml:space="preserve"> </w:t>
      </w:r>
      <w:r w:rsidR="000F23F2">
        <w:t xml:space="preserve">stated </w:t>
      </w:r>
      <w:r w:rsidR="00DC1B95">
        <w:t>that k</w:t>
      </w:r>
      <w:r w:rsidR="00FA04CD">
        <w:t>ee</w:t>
      </w:r>
      <w:r w:rsidR="000F3B90">
        <w:t>pi</w:t>
      </w:r>
      <w:r w:rsidR="00FA04CD">
        <w:t xml:space="preserve">ng </w:t>
      </w:r>
      <w:r w:rsidR="00FA04CD">
        <w:t xml:space="preserve">only what is necessary for a defined purpose and timeframe would </w:t>
      </w:r>
      <w:r w:rsidR="006A155C">
        <w:t xml:space="preserve">reduce storage costs, limit exposure to data breaches, and align with sound privacy principles. </w:t>
      </w:r>
      <w:r w:rsidR="00651C57">
        <w:t xml:space="preserve"> The same commenter </w:t>
      </w:r>
      <w:r w:rsidRPr="00477D6F" w:rsidR="00F759AF">
        <w:t xml:space="preserve">recommended </w:t>
      </w:r>
      <w:r w:rsidR="000F23F2">
        <w:t>stronger</w:t>
      </w:r>
      <w:r w:rsidRPr="00477D6F" w:rsidR="00F759AF">
        <w:t xml:space="preserve"> encryption standards, access controls, and audit mechanisms to ensure data shared through this program cannot be misused or accessed by unauthorized parties. </w:t>
      </w:r>
      <w:r w:rsidR="00F759AF">
        <w:t xml:space="preserve"> </w:t>
      </w:r>
      <w:r w:rsidRPr="00477D6F" w:rsidR="00F759AF">
        <w:t>The commenter also encouraged FinCEN to provide updated technical standards and training materials addressing secure data handling expectations for participating institutions.</w:t>
      </w:r>
    </w:p>
    <w:p w:rsidR="00FD020D" w:rsidP="007F7715" w14:paraId="743E0C0C" w14:textId="77777777">
      <w:pPr>
        <w:widowControl w:val="0"/>
        <w:autoSpaceDE w:val="0"/>
        <w:autoSpaceDN w:val="0"/>
        <w:adjustRightInd w:val="0"/>
        <w:ind w:right="220"/>
        <w:jc w:val="both"/>
      </w:pPr>
    </w:p>
    <w:p w:rsidR="00CB4473" w:rsidP="00B969D6" w14:paraId="031F387D" w14:textId="7CEBDAED">
      <w:pPr>
        <w:ind w:firstLine="720"/>
      </w:pPr>
      <w:r>
        <w:t xml:space="preserve">One </w:t>
      </w:r>
      <w:r w:rsidR="003E0867">
        <w:t xml:space="preserve">entity </w:t>
      </w:r>
      <w:r>
        <w:t>commenter recommended that FinCEN clarify</w:t>
      </w:r>
      <w:r w:rsidRPr="00FF0505">
        <w:t xml:space="preserve"> expectations </w:t>
      </w:r>
      <w:r>
        <w:t>for financial institutions to</w:t>
      </w:r>
      <w:r w:rsidRPr="00FF0505">
        <w:t xml:space="preserve"> document “no match”</w:t>
      </w:r>
      <w:r>
        <w:t xml:space="preserve"> </w:t>
      </w:r>
      <w:r w:rsidRPr="00FF0505">
        <w:t>determinations or borderline cases</w:t>
      </w:r>
      <w:r w:rsidR="000F23F2">
        <w:t xml:space="preserve">, which </w:t>
      </w:r>
      <w:r w:rsidRPr="00FF0505">
        <w:t xml:space="preserve">would improve both </w:t>
      </w:r>
      <w:r>
        <w:t xml:space="preserve">the </w:t>
      </w:r>
      <w:r w:rsidRPr="00FF0505">
        <w:t>quality and consistency of reporting.</w:t>
      </w:r>
      <w:r w:rsidR="00B969D6">
        <w:t xml:space="preserve">  Another </w:t>
      </w:r>
      <w:r w:rsidRPr="0063360F" w:rsidR="0063360F">
        <w:t xml:space="preserve">noted that </w:t>
      </w:r>
      <w:r w:rsidRPr="00506FC3" w:rsidR="0063360F">
        <w:t xml:space="preserve">the current </w:t>
      </w:r>
      <w:r w:rsidR="00695922">
        <w:t xml:space="preserve">Section </w:t>
      </w:r>
      <w:r w:rsidRPr="00506FC3" w:rsidR="0063360F">
        <w:t xml:space="preserve">314(a) process has not undergone material change since its adoption over 23 years </w:t>
      </w:r>
      <w:r w:rsidRPr="00506FC3" w:rsidR="00EC769D">
        <w:t>ago</w:t>
      </w:r>
      <w:r w:rsidR="00EC769D">
        <w:t xml:space="preserve"> and</w:t>
      </w:r>
      <w:r w:rsidR="000F23F2">
        <w:t xml:space="preserve"> stated</w:t>
      </w:r>
      <w:r w:rsidRPr="00506FC3" w:rsidR="0063360F">
        <w:t xml:space="preserve"> </w:t>
      </w:r>
      <w:r w:rsidR="000F23F2">
        <w:t>that updated technology plus more and faster</w:t>
      </w:r>
      <w:r w:rsidRPr="00506FC3" w:rsidR="0063360F">
        <w:t xml:space="preserve"> </w:t>
      </w:r>
      <w:r w:rsidR="000F23F2">
        <w:t>communication</w:t>
      </w:r>
      <w:r w:rsidRPr="00506FC3" w:rsidR="0063360F">
        <w:t xml:space="preserve"> between law enforcement and financial institutions would </w:t>
      </w:r>
      <w:r w:rsidR="000F23F2">
        <w:t>foster</w:t>
      </w:r>
      <w:r w:rsidRPr="00506FC3" w:rsidR="0063360F">
        <w:t xml:space="preserve"> a more proactive approach</w:t>
      </w:r>
      <w:r w:rsidR="000F23F2">
        <w:t xml:space="preserve"> to fighting</w:t>
      </w:r>
      <w:r w:rsidRPr="00506FC3" w:rsidR="0063360F">
        <w:t xml:space="preserve"> financial crime.</w:t>
      </w:r>
    </w:p>
    <w:p w:rsidR="003C68ED" w:rsidP="003C68ED" w14:paraId="766F14F7" w14:textId="77777777">
      <w:pPr>
        <w:widowControl w:val="0"/>
        <w:autoSpaceDE w:val="0"/>
        <w:autoSpaceDN w:val="0"/>
        <w:adjustRightInd w:val="0"/>
        <w:ind w:right="220" w:firstLine="720"/>
        <w:jc w:val="both"/>
      </w:pPr>
    </w:p>
    <w:p w:rsidR="00D72794" w:rsidP="004616D5" w14:paraId="12C31335" w14:textId="2302E039">
      <w:pPr>
        <w:widowControl w:val="0"/>
        <w:autoSpaceDE w:val="0"/>
        <w:autoSpaceDN w:val="0"/>
        <w:adjustRightInd w:val="0"/>
        <w:ind w:right="220" w:firstLine="720"/>
        <w:jc w:val="both"/>
      </w:pPr>
      <w:r w:rsidRPr="00891052">
        <w:t>FinCEN appreciates all comments submitted</w:t>
      </w:r>
      <w:r w:rsidR="00D57677">
        <w:t xml:space="preserve"> regarding the Section 314(a) program</w:t>
      </w:r>
      <w:r w:rsidR="00765069">
        <w:t>, including the implementing processes,</w:t>
      </w:r>
      <w:r w:rsidR="00D57677">
        <w:t xml:space="preserve"> </w:t>
      </w:r>
      <w:r w:rsidR="00916335">
        <w:t>and</w:t>
      </w:r>
      <w:r w:rsidR="00C64526">
        <w:t xml:space="preserve"> </w:t>
      </w:r>
      <w:r w:rsidR="00765069">
        <w:t xml:space="preserve">it </w:t>
      </w:r>
      <w:r w:rsidR="00916335">
        <w:t>will</w:t>
      </w:r>
      <w:r w:rsidR="00784F14">
        <w:t xml:space="preserve"> </w:t>
      </w:r>
      <w:r w:rsidR="00765069">
        <w:t xml:space="preserve">continue to </w:t>
      </w:r>
      <w:r w:rsidR="00916335">
        <w:t xml:space="preserve">consider them </w:t>
      </w:r>
      <w:r w:rsidR="00784F14">
        <w:t>for</w:t>
      </w:r>
      <w:r w:rsidR="00765069">
        <w:t xml:space="preserve"> </w:t>
      </w:r>
      <w:r w:rsidR="00784F14">
        <w:t>future action</w:t>
      </w:r>
      <w:r w:rsidR="00916335">
        <w:t>.</w:t>
      </w:r>
      <w:r w:rsidR="00784F14">
        <w:t xml:space="preserve"> </w:t>
      </w:r>
      <w:r w:rsidR="001D2D07">
        <w:t xml:space="preserve"> </w:t>
      </w:r>
      <w:r w:rsidR="00784F14">
        <w:t xml:space="preserve">FinCEN also carefully analyzed the comments that </w:t>
      </w:r>
      <w:r w:rsidR="00B35C5A">
        <w:t xml:space="preserve">specifically </w:t>
      </w:r>
      <w:r w:rsidR="00C64526">
        <w:t>addressed cost and burden hours</w:t>
      </w:r>
      <w:r w:rsidR="00B35C5A">
        <w:t xml:space="preserve"> associated with the program and</w:t>
      </w:r>
      <w:r w:rsidR="00784F14">
        <w:t xml:space="preserve"> d</w:t>
      </w:r>
      <w:r w:rsidR="00765069">
        <w:t>etermined that the comments do not warrant revisions to the analysis</w:t>
      </w:r>
      <w:r w:rsidR="00B35C5A">
        <w:t xml:space="preserve"> at this time</w:t>
      </w:r>
      <w:r w:rsidR="00765069">
        <w:t>.</w:t>
      </w:r>
      <w:r w:rsidR="00B35C5A">
        <w:t xml:space="preserve"> </w:t>
      </w:r>
      <w:r w:rsidR="001D2D07">
        <w:t xml:space="preserve"> </w:t>
      </w:r>
      <w:r w:rsidR="00B35C5A">
        <w:t xml:space="preserve">In particular, </w:t>
      </w:r>
      <w:r w:rsidR="00B35C5A">
        <w:t>with regard to</w:t>
      </w:r>
      <w:r w:rsidR="00B35C5A">
        <w:t xml:space="preserve"> </w:t>
      </w:r>
      <w:r w:rsidR="003E0EEE">
        <w:t xml:space="preserve">comments that addressed FinCEN’s </w:t>
      </w:r>
      <w:r w:rsidR="00B35C5A">
        <w:t>methodology for estimating</w:t>
      </w:r>
      <w:r w:rsidR="003E0EEE">
        <w:t xml:space="preserve"> burden,</w:t>
      </w:r>
      <w:r w:rsidR="00B35C5A">
        <w:t xml:space="preserve"> </w:t>
      </w:r>
      <w:r w:rsidR="00765069">
        <w:t>FinCEN</w:t>
      </w:r>
      <w:r w:rsidR="003E0EEE">
        <w:t xml:space="preserve"> notes that the methodology</w:t>
      </w:r>
      <w:r w:rsidR="00850C09">
        <w:t xml:space="preserve"> utilized in the 60-day notice</w:t>
      </w:r>
      <w:r w:rsidR="003E0EEE">
        <w:t xml:space="preserve"> </w:t>
      </w:r>
      <w:r w:rsidRPr="00C2515F" w:rsidR="00C2515F">
        <w:t xml:space="preserve">assigned weighted average estimates on a per-subject basis, not </w:t>
      </w:r>
      <w:r w:rsidR="002945C8">
        <w:t xml:space="preserve">on a </w:t>
      </w:r>
      <w:r w:rsidRPr="00C2515F" w:rsidR="00C2515F">
        <w:t>per Section 314(a) Request</w:t>
      </w:r>
      <w:r w:rsidR="002945C8">
        <w:t xml:space="preserve"> basis,</w:t>
      </w:r>
      <w:r w:rsidR="000916A5">
        <w:t xml:space="preserve"> as some commenters suggested.</w:t>
      </w:r>
      <w:r w:rsidR="008C03A4">
        <w:t xml:space="preserve"> </w:t>
      </w:r>
      <w:r w:rsidR="001D2D07">
        <w:t xml:space="preserve"> </w:t>
      </w:r>
      <w:r w:rsidR="008C03A4">
        <w:t>Indeed,</w:t>
      </w:r>
      <w:r w:rsidRPr="00C2515F" w:rsidR="00C2515F">
        <w:t xml:space="preserve"> </w:t>
      </w:r>
      <w:r w:rsidR="008C03A4">
        <w:t>i</w:t>
      </w:r>
      <w:r w:rsidR="000916A5">
        <w:t>n the 60-day notice, FinCEN acknowledged that a 314(a) Request,</w:t>
      </w:r>
      <w:r w:rsidRPr="00C2515F" w:rsidR="00C2515F">
        <w:t xml:space="preserve"> on average, </w:t>
      </w:r>
      <w:r w:rsidR="000916A5">
        <w:t xml:space="preserve">contains </w:t>
      </w:r>
      <w:r w:rsidRPr="00C2515F" w:rsidR="00C2515F">
        <w:t>approximately five</w:t>
      </w:r>
      <w:r w:rsidR="000916A5">
        <w:t xml:space="preserve"> </w:t>
      </w:r>
      <w:r w:rsidRPr="00C2515F" w:rsidR="00C2515F">
        <w:t>subjects.  As such, commenters’ burden estimates per Section 314(a) Request were all considered broadly consistent with the results of FinCEN’s methodology.</w:t>
      </w:r>
      <w:r w:rsidR="001D2D07">
        <w:t xml:space="preserve"> </w:t>
      </w:r>
      <w:r w:rsidRPr="00C2515F" w:rsidR="00C2515F">
        <w:t xml:space="preserve"> In addition, FinCEN’s burden estimate considers the average burden per respondent across multiple financial institution types of various sizes.  FinCEN recognizes that for smaller institutions with more manual processes, </w:t>
      </w:r>
      <w:r w:rsidR="002945C8">
        <w:t xml:space="preserve">like commenters who made recommendations on FinCEN’s burden methodology, </w:t>
      </w:r>
      <w:r w:rsidRPr="00C2515F" w:rsidR="00C2515F">
        <w:t>the burden per subject may be more than the average burden estimate per respondent.</w:t>
      </w:r>
      <w:r w:rsidR="00805EFB">
        <w:t xml:space="preserve"> </w:t>
      </w:r>
      <w:r w:rsidR="00C96600">
        <w:t xml:space="preserve"> F</w:t>
      </w:r>
      <w:r w:rsidR="00A16CB4">
        <w:t xml:space="preserve">urther, FinCEN’s burden estimate considers the </w:t>
      </w:r>
      <w:r w:rsidR="003B2DD6">
        <w:t xml:space="preserve">weighted average burden to conduct a search for </w:t>
      </w:r>
      <w:r w:rsidR="001D2D07">
        <w:t xml:space="preserve">a </w:t>
      </w:r>
      <w:r w:rsidR="003B2DD6">
        <w:t xml:space="preserve">subject when a match is more ambiguous due to a smaller number of subject identifiers.  </w:t>
      </w:r>
      <w:r w:rsidR="00C96600">
        <w:t xml:space="preserve"> </w:t>
      </w:r>
    </w:p>
    <w:p w:rsidR="00D72794" w:rsidP="00D72794" w14:paraId="12C31336" w14:textId="77777777"/>
    <w:p w:rsidR="003E5EE2" w:rsidRPr="00D72794" w:rsidP="00D72794" w14:paraId="12C31337" w14:textId="77777777">
      <w:pPr>
        <w:rPr>
          <w:u w:val="single"/>
        </w:rPr>
      </w:pPr>
      <w:r w:rsidRPr="00D72794">
        <w:t xml:space="preserve">9. </w:t>
      </w:r>
      <w:r w:rsidRPr="00D72794" w:rsidR="00B751D2">
        <w:rPr>
          <w:u w:val="single"/>
        </w:rPr>
        <w:t xml:space="preserve">Explanation of </w:t>
      </w:r>
      <w:r w:rsidRPr="00D72794" w:rsidR="006474CE">
        <w:rPr>
          <w:u w:val="single"/>
        </w:rPr>
        <w:t>d</w:t>
      </w:r>
      <w:r w:rsidRPr="00D72794" w:rsidR="00B751D2">
        <w:rPr>
          <w:u w:val="single"/>
        </w:rPr>
        <w:t xml:space="preserve">ecision to </w:t>
      </w:r>
      <w:r w:rsidRPr="00D72794" w:rsidR="006474CE">
        <w:rPr>
          <w:u w:val="single"/>
        </w:rPr>
        <w:t>p</w:t>
      </w:r>
      <w:r w:rsidRPr="00D72794" w:rsidR="00B751D2">
        <w:rPr>
          <w:u w:val="single"/>
        </w:rPr>
        <w:t xml:space="preserve">rovide </w:t>
      </w:r>
      <w:r w:rsidRPr="00D72794" w:rsidR="006474CE">
        <w:rPr>
          <w:u w:val="single"/>
        </w:rPr>
        <w:t>a</w:t>
      </w:r>
      <w:r w:rsidRPr="00D72794" w:rsidR="00B751D2">
        <w:rPr>
          <w:u w:val="single"/>
        </w:rPr>
        <w:t xml:space="preserve">ny </w:t>
      </w:r>
      <w:r w:rsidRPr="00D72794" w:rsidR="006474CE">
        <w:rPr>
          <w:u w:val="single"/>
        </w:rPr>
        <w:t>p</w:t>
      </w:r>
      <w:r w:rsidRPr="00D72794" w:rsidR="00B751D2">
        <w:rPr>
          <w:u w:val="single"/>
        </w:rPr>
        <w:t>ayments or</w:t>
      </w:r>
      <w:r w:rsidRPr="00D72794">
        <w:rPr>
          <w:u w:val="single"/>
        </w:rPr>
        <w:t xml:space="preserve"> </w:t>
      </w:r>
      <w:r w:rsidRPr="00D72794" w:rsidR="006474CE">
        <w:rPr>
          <w:u w:val="single"/>
        </w:rPr>
        <w:t>g</w:t>
      </w:r>
      <w:r w:rsidRPr="00D72794">
        <w:rPr>
          <w:u w:val="single"/>
        </w:rPr>
        <w:t>ifts</w:t>
      </w:r>
      <w:r w:rsidRPr="00D72794" w:rsidR="00B751D2">
        <w:rPr>
          <w:u w:val="single"/>
        </w:rPr>
        <w:t xml:space="preserve"> to </w:t>
      </w:r>
      <w:r w:rsidRPr="00D72794" w:rsidR="006474CE">
        <w:rPr>
          <w:u w:val="single"/>
        </w:rPr>
        <w:t>r</w:t>
      </w:r>
      <w:r w:rsidRPr="00D72794" w:rsidR="00B751D2">
        <w:rPr>
          <w:u w:val="single"/>
        </w:rPr>
        <w:t>espondents</w:t>
      </w:r>
      <w:r w:rsidRPr="00D72794" w:rsidR="00284CFB">
        <w:rPr>
          <w:u w:val="single"/>
        </w:rPr>
        <w:t>.</w:t>
      </w:r>
      <w:r w:rsidRPr="00D72794">
        <w:rPr>
          <w:u w:val="single"/>
        </w:rPr>
        <w:t xml:space="preserve"> </w:t>
      </w:r>
    </w:p>
    <w:p w:rsidR="00D72794" w:rsidP="00D72794" w14:paraId="12C31338" w14:textId="77777777">
      <w:pPr>
        <w:ind w:firstLine="720"/>
      </w:pPr>
    </w:p>
    <w:p w:rsidR="003E5EE2" w:rsidRPr="00D72794" w:rsidP="00D72794" w14:paraId="12C31339" w14:textId="77777777">
      <w:pPr>
        <w:ind w:firstLine="720"/>
      </w:pPr>
      <w:r w:rsidRPr="00D72794">
        <w:t xml:space="preserve">No payments or gifts were made to respondents. </w:t>
      </w:r>
    </w:p>
    <w:p w:rsidR="00D72794" w:rsidP="00D72794" w14:paraId="12C3133A" w14:textId="77777777">
      <w:pPr>
        <w:pStyle w:val="BodyText"/>
        <w:spacing w:before="0"/>
        <w:rPr>
          <w:sz w:val="24"/>
          <w:szCs w:val="24"/>
        </w:rPr>
      </w:pPr>
    </w:p>
    <w:p w:rsidR="003E5EE2" w:rsidRPr="00D72794" w:rsidP="00D72794" w14:paraId="12C3133B" w14:textId="77777777">
      <w:pPr>
        <w:pStyle w:val="BodyText"/>
        <w:spacing w:before="0"/>
        <w:rPr>
          <w:sz w:val="24"/>
          <w:szCs w:val="24"/>
        </w:rPr>
      </w:pPr>
      <w:r w:rsidRPr="00D72794">
        <w:rPr>
          <w:sz w:val="24"/>
          <w:szCs w:val="24"/>
        </w:rPr>
        <w:t xml:space="preserve">10. </w:t>
      </w:r>
      <w:r w:rsidRPr="00D72794">
        <w:rPr>
          <w:sz w:val="24"/>
          <w:szCs w:val="24"/>
          <w:u w:val="single"/>
        </w:rPr>
        <w:t xml:space="preserve">Assurance of </w:t>
      </w:r>
      <w:r w:rsidRPr="00D72794" w:rsidR="006474CE">
        <w:rPr>
          <w:sz w:val="24"/>
          <w:szCs w:val="24"/>
          <w:u w:val="single"/>
        </w:rPr>
        <w:t>c</w:t>
      </w:r>
      <w:r w:rsidRPr="00D72794">
        <w:rPr>
          <w:sz w:val="24"/>
          <w:szCs w:val="24"/>
          <w:u w:val="single"/>
        </w:rPr>
        <w:t xml:space="preserve">onfidentiality of </w:t>
      </w:r>
      <w:r w:rsidRPr="00D72794" w:rsidR="006474CE">
        <w:rPr>
          <w:sz w:val="24"/>
          <w:szCs w:val="24"/>
          <w:u w:val="single"/>
        </w:rPr>
        <w:t>r</w:t>
      </w:r>
      <w:r w:rsidRPr="00D72794">
        <w:rPr>
          <w:sz w:val="24"/>
          <w:szCs w:val="24"/>
          <w:u w:val="single"/>
        </w:rPr>
        <w:t>esponses.</w:t>
      </w:r>
      <w:r w:rsidRPr="00D72794">
        <w:rPr>
          <w:sz w:val="24"/>
          <w:szCs w:val="24"/>
        </w:rPr>
        <w:t xml:space="preserve"> </w:t>
      </w:r>
    </w:p>
    <w:p w:rsidR="00D72794" w:rsidP="00D72794" w14:paraId="12C3133C" w14:textId="77777777">
      <w:pPr>
        <w:pStyle w:val="BodyText"/>
        <w:spacing w:before="0"/>
        <w:ind w:firstLine="720"/>
        <w:rPr>
          <w:sz w:val="24"/>
          <w:szCs w:val="24"/>
        </w:rPr>
      </w:pPr>
    </w:p>
    <w:p w:rsidR="00AA5B24" w:rsidRPr="002575CF" w:rsidP="00AA5B24" w14:paraId="12C3133D" w14:textId="578A2F61">
      <w:pPr>
        <w:tabs>
          <w:tab w:val="left" w:pos="0"/>
        </w:tabs>
        <w:rPr>
          <w:vertAlign w:val="superscript"/>
        </w:rPr>
      </w:pPr>
      <w:r>
        <w:tab/>
      </w:r>
      <w:r w:rsidRPr="00A87019" w:rsidR="001118C4">
        <w:t>The information collected will be made available to Treasury, its designee, and other authorized agencies.  Such information will be used for purposes consistent with the purposes set forth in 31 U.S.C. 5311, including but not limited to furthering a criminal, tax, or regulatory investigation, risk assessment, or proceeding, or use in intelligence or counterintelligence activities, including analysis, to protect against terrorism.</w:t>
      </w:r>
    </w:p>
    <w:p w:rsidR="00D72794" w:rsidRPr="00D72794" w:rsidP="00AA5B24" w14:paraId="12C3133E" w14:textId="77777777"/>
    <w:p w:rsidR="003E5EE2" w:rsidRPr="00D72794" w:rsidP="00D72794" w14:paraId="12C3133F" w14:textId="77777777">
      <w:r w:rsidRPr="00D72794">
        <w:t xml:space="preserve">11. </w:t>
      </w:r>
      <w:r w:rsidRPr="00D72794">
        <w:rPr>
          <w:u w:val="single"/>
        </w:rPr>
        <w:t xml:space="preserve">Justification of </w:t>
      </w:r>
      <w:r w:rsidRPr="00D72794" w:rsidR="006474CE">
        <w:rPr>
          <w:u w:val="single"/>
        </w:rPr>
        <w:t>s</w:t>
      </w:r>
      <w:r w:rsidRPr="00D72794">
        <w:rPr>
          <w:u w:val="single"/>
        </w:rPr>
        <w:t xml:space="preserve">ensitive </w:t>
      </w:r>
      <w:r w:rsidRPr="00D72794" w:rsidR="006474CE">
        <w:rPr>
          <w:u w:val="single"/>
        </w:rPr>
        <w:t>q</w:t>
      </w:r>
      <w:r w:rsidRPr="00D72794">
        <w:rPr>
          <w:u w:val="single"/>
        </w:rPr>
        <w:t>uestions.</w:t>
      </w:r>
      <w:r w:rsidRPr="00D72794">
        <w:t xml:space="preserve"> </w:t>
      </w:r>
    </w:p>
    <w:p w:rsidR="00D72794" w:rsidP="00D72794" w14:paraId="12C31340" w14:textId="77777777">
      <w:pPr>
        <w:ind w:firstLine="720"/>
      </w:pPr>
    </w:p>
    <w:p w:rsidR="00F24A26" w:rsidRPr="00D72794" w:rsidP="00942FC2" w14:paraId="12C31341" w14:textId="4962E445">
      <w:pPr>
        <w:ind w:firstLine="720"/>
      </w:pPr>
      <w:r w:rsidRPr="009B0659">
        <w:t xml:space="preserve">There are no questions of a sensitive nature in the collection of information, such as sexual behavior and attitudes, religious beliefs, and other matters that are commonly considered private.  Any </w:t>
      </w:r>
      <w:r w:rsidRPr="009B0659">
        <w:t xml:space="preserve">personally identifiable information collected under the BSA is strictly controlled as outlined in </w:t>
      </w:r>
      <w:r>
        <w:t xml:space="preserve">the relevant </w:t>
      </w:r>
      <w:r w:rsidRPr="009B0659">
        <w:t>FinCEN Privacy Act Systems of Records Notice for BSA reports</w:t>
      </w:r>
      <w:r w:rsidRPr="009B0659">
        <w:rPr>
          <w:color w:val="1F497D"/>
        </w:rPr>
        <w:t>.</w:t>
      </w:r>
      <w:r>
        <w:rPr>
          <w:rStyle w:val="FootnoteReference"/>
          <w:rFonts w:eastAsiaTheme="majorEastAsia"/>
        </w:rPr>
        <w:footnoteReference w:id="11"/>
      </w:r>
    </w:p>
    <w:p w:rsidR="00F87219" w:rsidRPr="00D72794" w:rsidP="00D72794" w14:paraId="12C31342" w14:textId="77777777">
      <w:pPr>
        <w:ind w:firstLine="720"/>
      </w:pPr>
    </w:p>
    <w:p w:rsidR="003E5EE2" w:rsidRPr="00D72794" w:rsidP="00D72794" w14:paraId="12C31343" w14:textId="77777777">
      <w:r w:rsidRPr="00D72794">
        <w:t>12</w:t>
      </w:r>
      <w:r w:rsidRPr="00D72794" w:rsidR="006474CE">
        <w:t xml:space="preserve">. </w:t>
      </w:r>
      <w:r w:rsidRPr="00D72794" w:rsidR="006474CE">
        <w:rPr>
          <w:u w:val="single"/>
        </w:rPr>
        <w:t>Estimated annual hourly burden.</w:t>
      </w:r>
    </w:p>
    <w:p w:rsidR="0038181F" w:rsidRPr="00D72794" w:rsidP="00D72794" w14:paraId="12C31344" w14:textId="77777777">
      <w:pPr>
        <w:ind w:firstLine="720"/>
      </w:pPr>
    </w:p>
    <w:p w:rsidR="00C65EBB" w:rsidRPr="00D72794" w:rsidP="00D72794" w14:paraId="12C31345" w14:textId="61F7D808">
      <w:pPr>
        <w:rPr>
          <w:u w:val="single"/>
        </w:rPr>
      </w:pPr>
      <w:r w:rsidRPr="00D72794">
        <w:rPr>
          <w:u w:val="single"/>
        </w:rPr>
        <w:t>Frequency</w:t>
      </w:r>
      <w:r w:rsidRPr="00913BD6">
        <w:t>:</w:t>
      </w:r>
      <w:r w:rsidRPr="00ED75F7">
        <w:t xml:space="preserve"> </w:t>
      </w:r>
      <w:r w:rsidR="00C47725">
        <w:t xml:space="preserve"> </w:t>
      </w:r>
      <w:r w:rsidRPr="00D72794">
        <w:t xml:space="preserve">As required. </w:t>
      </w:r>
      <w:r w:rsidR="00C47725">
        <w:t xml:space="preserve"> </w:t>
      </w:r>
      <w:r w:rsidRPr="00D72794">
        <w:t xml:space="preserve">Generally, </w:t>
      </w:r>
      <w:r w:rsidR="00F9779E">
        <w:t xml:space="preserve">Section </w:t>
      </w:r>
      <w:r w:rsidRPr="00D72794">
        <w:t xml:space="preserve">314(a) </w:t>
      </w:r>
      <w:r w:rsidR="00D50BF6">
        <w:t>R</w:t>
      </w:r>
      <w:r w:rsidRPr="00D72794">
        <w:t>equests are sent to financial institutions b</w:t>
      </w:r>
      <w:r w:rsidRPr="00D72794" w:rsidR="00CC3284">
        <w:t>i-weekly</w:t>
      </w:r>
      <w:r w:rsidRPr="00D72794">
        <w:t>.</w:t>
      </w:r>
    </w:p>
    <w:p w:rsidR="00D72794" w:rsidP="00D72794" w14:paraId="12C31346" w14:textId="77777777">
      <w:pPr>
        <w:rPr>
          <w:u w:val="single"/>
        </w:rPr>
      </w:pPr>
    </w:p>
    <w:p w:rsidR="002924A7" w:rsidRPr="00D72794" w:rsidP="00D72794" w14:paraId="12C31347" w14:textId="46240BFD">
      <w:r w:rsidRPr="00D72794">
        <w:rPr>
          <w:u w:val="single"/>
        </w:rPr>
        <w:t>Estimat</w:t>
      </w:r>
      <w:r w:rsidRPr="00D72794" w:rsidR="00655420">
        <w:rPr>
          <w:u w:val="single"/>
        </w:rPr>
        <w:t xml:space="preserve">ed Number of </w:t>
      </w:r>
      <w:r w:rsidR="004D2C7D">
        <w:rPr>
          <w:u w:val="single"/>
        </w:rPr>
        <w:t xml:space="preserve">Potential </w:t>
      </w:r>
      <w:r w:rsidRPr="00D72794" w:rsidR="00655420">
        <w:rPr>
          <w:u w:val="single"/>
        </w:rPr>
        <w:t>Respondents</w:t>
      </w:r>
      <w:r w:rsidRPr="00913BD6" w:rsidR="00655420">
        <w:t>:</w:t>
      </w:r>
      <w:r w:rsidRPr="00D72794" w:rsidR="00655420">
        <w:t xml:space="preserve"> </w:t>
      </w:r>
      <w:r w:rsidR="00C47725">
        <w:t xml:space="preserve"> </w:t>
      </w:r>
      <w:r w:rsidR="004D2C7D">
        <w:t>575,873</w:t>
      </w:r>
      <w:r w:rsidR="00D86C0D">
        <w:t xml:space="preserve"> financial institutions</w:t>
      </w:r>
      <w:r w:rsidR="009D08E6">
        <w:t>.</w:t>
      </w:r>
      <w:r>
        <w:rPr>
          <w:rStyle w:val="FootnoteReference"/>
        </w:rPr>
        <w:footnoteReference w:id="12"/>
      </w:r>
    </w:p>
    <w:p w:rsidR="002924A7" w:rsidRPr="00D72794" w:rsidP="00D72794" w14:paraId="12C313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0"/>
        <w:rPr>
          <w:b/>
          <w:color w:val="000000"/>
          <w:u w:val="single"/>
        </w:rPr>
      </w:pPr>
    </w:p>
    <w:p w:rsidR="004816FA" w:rsidP="00D72794" w14:paraId="12310DF7" w14:textId="42D203D8">
      <w:pPr>
        <w:rPr>
          <w:u w:val="single"/>
        </w:rPr>
      </w:pPr>
      <w:r>
        <w:rPr>
          <w:u w:val="single"/>
        </w:rPr>
        <w:t>Estimated Number of Expected Respondents</w:t>
      </w:r>
      <w:r w:rsidRPr="00913BD6">
        <w:t xml:space="preserve">:  </w:t>
      </w:r>
      <w:r w:rsidRPr="00913BD6" w:rsidR="002F3960">
        <w:t>12,726 financial institutions.</w:t>
      </w:r>
      <w:r>
        <w:rPr>
          <w:rStyle w:val="FootnoteReference"/>
        </w:rPr>
        <w:footnoteReference w:id="13"/>
      </w:r>
    </w:p>
    <w:p w:rsidR="00AE0D13" w:rsidP="00D72794" w14:paraId="6B9F8B11" w14:textId="77777777">
      <w:pPr>
        <w:rPr>
          <w:u w:val="single"/>
        </w:rPr>
      </w:pPr>
    </w:p>
    <w:p w:rsidR="00C65EBB" w:rsidRPr="00D72794" w:rsidP="00D72794" w14:paraId="12C31349" w14:textId="16C5441F">
      <w:pPr>
        <w:rPr>
          <w:u w:val="single"/>
        </w:rPr>
      </w:pPr>
      <w:r w:rsidRPr="00D72794">
        <w:rPr>
          <w:u w:val="single"/>
        </w:rPr>
        <w:t xml:space="preserve">Estimated </w:t>
      </w:r>
      <w:r w:rsidR="0062388E">
        <w:rPr>
          <w:u w:val="single"/>
        </w:rPr>
        <w:t xml:space="preserve">Total </w:t>
      </w:r>
      <w:r w:rsidRPr="00D72794">
        <w:rPr>
          <w:u w:val="single"/>
        </w:rPr>
        <w:t>Annual Responses</w:t>
      </w:r>
      <w:r w:rsidRPr="00D72794">
        <w:t xml:space="preserve">: </w:t>
      </w:r>
      <w:r w:rsidR="009133EC">
        <w:t xml:space="preserve"> </w:t>
      </w:r>
      <w:r w:rsidRPr="00C350F2" w:rsidR="003B7896">
        <w:t>7,381,080</w:t>
      </w:r>
      <w:r w:rsidR="003B7896">
        <w:rPr>
          <w:color w:val="000000"/>
          <w:lang w:eastAsia="zh-CN"/>
        </w:rPr>
        <w:t xml:space="preserve"> </w:t>
      </w:r>
      <w:r w:rsidRPr="00C350F2" w:rsidR="003B7896">
        <w:t>responses, per year, on average.</w:t>
      </w:r>
      <w:r>
        <w:rPr>
          <w:rStyle w:val="FootnoteReference"/>
        </w:rPr>
        <w:footnoteReference w:id="14"/>
      </w:r>
    </w:p>
    <w:p w:rsidR="00C65EBB" w:rsidRPr="00D72794" w:rsidP="00D72794" w14:paraId="12C313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0"/>
        <w:rPr>
          <w:color w:val="000000"/>
          <w:u w:val="single"/>
        </w:rPr>
      </w:pPr>
    </w:p>
    <w:p w:rsidR="002924A7" w:rsidRPr="00D72794" w:rsidP="00D72794" w14:paraId="12C3134B" w14:textId="0B2F09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0"/>
        <w:rPr>
          <w:color w:val="000000"/>
        </w:rPr>
      </w:pPr>
      <w:r w:rsidRPr="00D72794">
        <w:rPr>
          <w:color w:val="000000"/>
          <w:u w:val="single"/>
        </w:rPr>
        <w:t>Estimated</w:t>
      </w:r>
      <w:r w:rsidRPr="00D72794" w:rsidR="00F653CF">
        <w:rPr>
          <w:color w:val="000000"/>
          <w:u w:val="single"/>
        </w:rPr>
        <w:t xml:space="preserve"> Burden Hours</w:t>
      </w:r>
      <w:r w:rsidRPr="00D72794">
        <w:rPr>
          <w:color w:val="000000"/>
          <w:u w:val="single"/>
        </w:rPr>
        <w:t xml:space="preserve"> Per Respondent</w:t>
      </w:r>
      <w:r w:rsidRPr="00913BD6">
        <w:rPr>
          <w:color w:val="000000"/>
        </w:rPr>
        <w:t>:</w:t>
      </w:r>
      <w:r w:rsidRPr="00ED75F7">
        <w:rPr>
          <w:color w:val="000000"/>
        </w:rPr>
        <w:t xml:space="preserve"> </w:t>
      </w:r>
      <w:r w:rsidR="00ED75F7">
        <w:rPr>
          <w:color w:val="000000"/>
        </w:rPr>
        <w:t xml:space="preserve"> </w:t>
      </w:r>
      <w:r w:rsidR="004816FA">
        <w:rPr>
          <w:color w:val="000000"/>
        </w:rPr>
        <w:t>Approximately 44 hours annually, on average</w:t>
      </w:r>
      <w:r w:rsidRPr="00D72794">
        <w:rPr>
          <w:color w:val="000000"/>
        </w:rPr>
        <w:t>.</w:t>
      </w:r>
      <w:r>
        <w:rPr>
          <w:rStyle w:val="FootnoteReference"/>
          <w:color w:val="000000"/>
        </w:rPr>
        <w:footnoteReference w:id="15"/>
      </w:r>
    </w:p>
    <w:p w:rsidR="002924A7" w:rsidRPr="00D72794" w:rsidP="00D72794" w14:paraId="12C313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0"/>
        <w:rPr>
          <w:color w:val="000000"/>
          <w:u w:val="single"/>
        </w:rPr>
      </w:pPr>
    </w:p>
    <w:p w:rsidR="002924A7" w:rsidRPr="00D72794" w:rsidP="00D72794" w14:paraId="12C3134D" w14:textId="268A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0"/>
        <w:rPr>
          <w:color w:val="000000"/>
        </w:rPr>
      </w:pPr>
      <w:r w:rsidRPr="00D72794">
        <w:rPr>
          <w:color w:val="000000"/>
          <w:u w:val="single"/>
        </w:rPr>
        <w:t>Estimated Total Annual Burden Hours</w:t>
      </w:r>
      <w:r w:rsidRPr="00913BD6">
        <w:rPr>
          <w:color w:val="000000"/>
        </w:rPr>
        <w:t>:</w:t>
      </w:r>
      <w:r w:rsidRPr="00D72794">
        <w:rPr>
          <w:color w:val="000000"/>
        </w:rPr>
        <w:t xml:space="preserve">  </w:t>
      </w:r>
      <w:r w:rsidR="004816FA">
        <w:t>555,702 hours per year, on average</w:t>
      </w:r>
      <w:r w:rsidRPr="00D72794">
        <w:t>.</w:t>
      </w:r>
      <w:r>
        <w:rPr>
          <w:rStyle w:val="FootnoteReference"/>
          <w:color w:val="000000"/>
        </w:rPr>
        <w:footnoteReference w:id="16"/>
      </w:r>
      <w:r w:rsidRPr="00D72794" w:rsidR="003E5EE2">
        <w:t xml:space="preserve"> </w:t>
      </w:r>
    </w:p>
    <w:p w:rsidR="0053365F" w:rsidRPr="00D72794" w:rsidP="00D72794" w14:paraId="12C31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0"/>
      </w:pPr>
    </w:p>
    <w:p w:rsidR="006474CE" w:rsidRPr="00D72794" w:rsidP="00D72794" w14:paraId="12C313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0"/>
        <w:rPr>
          <w:u w:val="single"/>
        </w:rPr>
      </w:pPr>
      <w:r w:rsidRPr="00D72794">
        <w:t xml:space="preserve">13. </w:t>
      </w:r>
      <w:r w:rsidRPr="00D72794">
        <w:rPr>
          <w:u w:val="single"/>
        </w:rPr>
        <w:t>Estimated annual cost burden.</w:t>
      </w:r>
    </w:p>
    <w:p w:rsidR="006474CE" w:rsidRPr="00D72794" w:rsidP="00D72794" w14:paraId="12C313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0"/>
        <w:rPr>
          <w:u w:val="single"/>
        </w:rPr>
      </w:pPr>
    </w:p>
    <w:p w:rsidR="00091396" w:rsidRPr="00D72794" w:rsidP="00D72794" w14:paraId="12C31351" w14:textId="2D988D8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sidRPr="00D72794">
        <w:rPr>
          <w:u w:val="single"/>
        </w:rPr>
        <w:t>Estimated Total Annual Cost</w:t>
      </w:r>
      <w:r w:rsidRPr="00913BD6">
        <w:t>:</w:t>
      </w:r>
      <w:r w:rsidRPr="00C47725">
        <w:t xml:space="preserve">  </w:t>
      </w:r>
      <w:r w:rsidR="000149AE">
        <w:t>$67,461,247.</w:t>
      </w:r>
      <w:r>
        <w:rPr>
          <w:rStyle w:val="FootnoteReference"/>
        </w:rPr>
        <w:footnoteReference w:id="17"/>
      </w:r>
    </w:p>
    <w:p w:rsidR="00E506F4" w:rsidRPr="00D72794" w:rsidP="00D72794" w14:paraId="12C313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0"/>
        <w:rPr>
          <w:color w:val="000000"/>
        </w:rPr>
      </w:pPr>
    </w:p>
    <w:p w:rsidR="001154CC" w:rsidRPr="00D72794" w:rsidP="00D72794" w14:paraId="12C31353" w14:textId="1AD0E9A9">
      <w:pPr>
        <w:rPr>
          <w:u w:val="single"/>
        </w:rPr>
      </w:pPr>
      <w:r w:rsidRPr="00D72794">
        <w:t xml:space="preserve">14. </w:t>
      </w:r>
      <w:r w:rsidRPr="00D72794">
        <w:rPr>
          <w:u w:val="single"/>
        </w:rPr>
        <w:t xml:space="preserve">Estimated </w:t>
      </w:r>
      <w:r w:rsidRPr="00D72794" w:rsidR="00E02365">
        <w:rPr>
          <w:u w:val="single"/>
        </w:rPr>
        <w:t>a</w:t>
      </w:r>
      <w:r w:rsidRPr="00D72794">
        <w:rPr>
          <w:u w:val="single"/>
        </w:rPr>
        <w:t>nnual</w:t>
      </w:r>
      <w:r w:rsidRPr="00D72794" w:rsidR="00E02365">
        <w:rPr>
          <w:u w:val="single"/>
        </w:rPr>
        <w:t>ized</w:t>
      </w:r>
      <w:r w:rsidRPr="00D72794">
        <w:rPr>
          <w:u w:val="single"/>
        </w:rPr>
        <w:t xml:space="preserve"> </w:t>
      </w:r>
      <w:r w:rsidRPr="00D72794" w:rsidR="00E02365">
        <w:rPr>
          <w:u w:val="single"/>
        </w:rPr>
        <w:t>c</w:t>
      </w:r>
      <w:r w:rsidRPr="00D72794">
        <w:rPr>
          <w:u w:val="single"/>
        </w:rPr>
        <w:t xml:space="preserve">ost to the </w:t>
      </w:r>
      <w:r w:rsidRPr="00D72794" w:rsidR="00E02365">
        <w:rPr>
          <w:u w:val="single"/>
        </w:rPr>
        <w:t>g</w:t>
      </w:r>
      <w:r w:rsidRPr="00D72794">
        <w:rPr>
          <w:u w:val="single"/>
        </w:rPr>
        <w:t>overnment.</w:t>
      </w:r>
    </w:p>
    <w:p w:rsidR="00D72794" w:rsidP="00D72794" w14:paraId="12C31354" w14:textId="77777777"/>
    <w:p w:rsidR="006F1C9D" w:rsidRPr="00C15D80" w:rsidP="006F1C9D" w14:paraId="12C31355" w14:textId="491E61BB">
      <w:pPr>
        <w:ind w:firstLine="720"/>
        <w:rPr>
          <w:rStyle w:val="FootnoteReference"/>
        </w:rPr>
      </w:pPr>
      <w:r>
        <w:t>C</w:t>
      </w:r>
      <w:r>
        <w:t>ost</w:t>
      </w:r>
      <w:r>
        <w:t>s</w:t>
      </w:r>
      <w:r>
        <w:t xml:space="preserve"> to the Federal government</w:t>
      </w:r>
      <w:r>
        <w:t xml:space="preserve"> of administering the </w:t>
      </w:r>
      <w:r w:rsidR="00F9779E">
        <w:t xml:space="preserve">Section </w:t>
      </w:r>
      <w:r>
        <w:t xml:space="preserve">314(a) </w:t>
      </w:r>
      <w:r w:rsidR="00D50BF6">
        <w:t xml:space="preserve">program </w:t>
      </w:r>
      <w:r>
        <w:t>include annual labor costs of approximately $1.1 million.</w:t>
      </w:r>
      <w:r>
        <w:t xml:space="preserve">  </w:t>
      </w:r>
    </w:p>
    <w:p w:rsidR="005750F7" w:rsidRPr="00D72794" w:rsidP="00812E55" w14:paraId="12C31356" w14:textId="77777777"/>
    <w:p w:rsidR="003E5EE2" w:rsidRPr="00D72794" w:rsidP="00D72794" w14:paraId="12C31357" w14:textId="77777777">
      <w:r w:rsidRPr="00D72794">
        <w:t xml:space="preserve">15. </w:t>
      </w:r>
      <w:r w:rsidRPr="00D72794">
        <w:rPr>
          <w:u w:val="single"/>
        </w:rPr>
        <w:t xml:space="preserve">Reason for </w:t>
      </w:r>
      <w:r w:rsidRPr="00D72794" w:rsidR="00146631">
        <w:rPr>
          <w:u w:val="single"/>
        </w:rPr>
        <w:t>c</w:t>
      </w:r>
      <w:r w:rsidRPr="00D72794">
        <w:rPr>
          <w:u w:val="single"/>
        </w:rPr>
        <w:t xml:space="preserve">hange in </w:t>
      </w:r>
      <w:r w:rsidRPr="00D72794" w:rsidR="00146631">
        <w:rPr>
          <w:u w:val="single"/>
        </w:rPr>
        <w:t>b</w:t>
      </w:r>
      <w:r w:rsidRPr="00D72794">
        <w:rPr>
          <w:u w:val="single"/>
        </w:rPr>
        <w:t>urden.</w:t>
      </w:r>
      <w:r w:rsidRPr="00D72794">
        <w:t xml:space="preserve"> </w:t>
      </w:r>
    </w:p>
    <w:p w:rsidR="005750F7" w:rsidP="00D72794" w14:paraId="12C31358" w14:textId="77777777">
      <w:pPr>
        <w:ind w:firstLine="720"/>
        <w:rPr>
          <w:iCs/>
        </w:rPr>
      </w:pPr>
    </w:p>
    <w:p w:rsidR="003E5EE2" w:rsidRPr="00D72794" w:rsidP="00D72794" w14:paraId="12C31359" w14:textId="24DF5248">
      <w:pPr>
        <w:ind w:firstLine="720"/>
        <w:rPr>
          <w:iCs/>
        </w:rPr>
      </w:pPr>
      <w:r>
        <w:rPr>
          <w:iCs/>
        </w:rPr>
        <w:t xml:space="preserve">The total burden hours </w:t>
      </w:r>
      <w:r w:rsidR="001F5B84">
        <w:rPr>
          <w:iCs/>
        </w:rPr>
        <w:t>de</w:t>
      </w:r>
      <w:r>
        <w:rPr>
          <w:iCs/>
        </w:rPr>
        <w:t>creased by 2,3</w:t>
      </w:r>
      <w:r w:rsidR="000D2399">
        <w:rPr>
          <w:iCs/>
        </w:rPr>
        <w:t>61,498</w:t>
      </w:r>
      <w:r>
        <w:rPr>
          <w:iCs/>
        </w:rPr>
        <w:t xml:space="preserve"> hours from </w:t>
      </w:r>
      <w:r w:rsidR="009C68AF">
        <w:rPr>
          <w:iCs/>
        </w:rPr>
        <w:t>2,917,200</w:t>
      </w:r>
      <w:r>
        <w:rPr>
          <w:iCs/>
        </w:rPr>
        <w:t xml:space="preserve"> hours in 20</w:t>
      </w:r>
      <w:r w:rsidR="001F5B84">
        <w:rPr>
          <w:iCs/>
        </w:rPr>
        <w:t>22</w:t>
      </w:r>
      <w:r>
        <w:rPr>
          <w:iCs/>
        </w:rPr>
        <w:t xml:space="preserve"> to </w:t>
      </w:r>
      <w:r w:rsidR="001F5B84">
        <w:rPr>
          <w:iCs/>
        </w:rPr>
        <w:t>555,702</w:t>
      </w:r>
      <w:r>
        <w:rPr>
          <w:iCs/>
        </w:rPr>
        <w:t xml:space="preserve"> hours in 202</w:t>
      </w:r>
      <w:r w:rsidR="001F5B84">
        <w:rPr>
          <w:iCs/>
        </w:rPr>
        <w:t>5</w:t>
      </w:r>
      <w:r>
        <w:rPr>
          <w:iCs/>
        </w:rPr>
        <w:t xml:space="preserve">. </w:t>
      </w:r>
      <w:r w:rsidR="00287C92">
        <w:rPr>
          <w:iCs/>
        </w:rPr>
        <w:t xml:space="preserve"> </w:t>
      </w:r>
      <w:r>
        <w:rPr>
          <w:iCs/>
        </w:rPr>
        <w:t xml:space="preserve">The primary reason for the </w:t>
      </w:r>
      <w:r w:rsidR="00287C92">
        <w:rPr>
          <w:iCs/>
        </w:rPr>
        <w:t>de</w:t>
      </w:r>
      <w:r>
        <w:rPr>
          <w:iCs/>
        </w:rPr>
        <w:t xml:space="preserve">crease in burden is the </w:t>
      </w:r>
      <w:r w:rsidR="006A3953">
        <w:rPr>
          <w:iCs/>
        </w:rPr>
        <w:t>de</w:t>
      </w:r>
      <w:r>
        <w:rPr>
          <w:iCs/>
        </w:rPr>
        <w:t xml:space="preserve">crease in the burden estimate per subject from </w:t>
      </w:r>
      <w:r w:rsidR="006A3953">
        <w:rPr>
          <w:iCs/>
        </w:rPr>
        <w:t>32</w:t>
      </w:r>
      <w:r>
        <w:rPr>
          <w:iCs/>
        </w:rPr>
        <w:t xml:space="preserve"> minutes in 20</w:t>
      </w:r>
      <w:r w:rsidR="006A3953">
        <w:rPr>
          <w:iCs/>
        </w:rPr>
        <w:t>22</w:t>
      </w:r>
      <w:r>
        <w:rPr>
          <w:iCs/>
        </w:rPr>
        <w:t xml:space="preserve"> to</w:t>
      </w:r>
      <w:r w:rsidR="00747676">
        <w:rPr>
          <w:iCs/>
        </w:rPr>
        <w:t xml:space="preserve"> </w:t>
      </w:r>
      <w:r w:rsidR="00485469">
        <w:rPr>
          <w:iCs/>
        </w:rPr>
        <w:t>four minutes</w:t>
      </w:r>
      <w:r>
        <w:rPr>
          <w:iCs/>
        </w:rPr>
        <w:t xml:space="preserve"> in 202</w:t>
      </w:r>
      <w:r w:rsidR="006A3953">
        <w:rPr>
          <w:iCs/>
        </w:rPr>
        <w:t>5</w:t>
      </w:r>
      <w:r>
        <w:rPr>
          <w:iCs/>
        </w:rPr>
        <w:t>.</w:t>
      </w:r>
      <w:r>
        <w:rPr>
          <w:rStyle w:val="FootnoteReference"/>
          <w:iCs/>
        </w:rPr>
        <w:footnoteReference w:id="18"/>
      </w:r>
      <w:r>
        <w:rPr>
          <w:iCs/>
        </w:rPr>
        <w:t xml:space="preserve">  The number of respondents also </w:t>
      </w:r>
      <w:r w:rsidR="00C743E4">
        <w:rPr>
          <w:iCs/>
        </w:rPr>
        <w:t>de</w:t>
      </w:r>
      <w:r>
        <w:rPr>
          <w:iCs/>
        </w:rPr>
        <w:t>creased slightly from 14,</w:t>
      </w:r>
      <w:r w:rsidR="00C743E4">
        <w:rPr>
          <w:iCs/>
        </w:rPr>
        <w:t>960</w:t>
      </w:r>
      <w:r>
        <w:rPr>
          <w:iCs/>
        </w:rPr>
        <w:t xml:space="preserve"> financial institutions in 20</w:t>
      </w:r>
      <w:r w:rsidR="00C743E4">
        <w:rPr>
          <w:iCs/>
        </w:rPr>
        <w:t>22</w:t>
      </w:r>
      <w:r>
        <w:rPr>
          <w:iCs/>
        </w:rPr>
        <w:t xml:space="preserve"> to 1</w:t>
      </w:r>
      <w:r w:rsidR="00F70B01">
        <w:rPr>
          <w:iCs/>
        </w:rPr>
        <w:t>2,726</w:t>
      </w:r>
      <w:r>
        <w:rPr>
          <w:iCs/>
        </w:rPr>
        <w:t xml:space="preserve"> financial institutions in 202</w:t>
      </w:r>
      <w:r w:rsidR="00F70B01">
        <w:rPr>
          <w:iCs/>
        </w:rPr>
        <w:t>5</w:t>
      </w:r>
      <w:r w:rsidR="007A40C5">
        <w:rPr>
          <w:iCs/>
        </w:rPr>
        <w:t>.</w:t>
      </w:r>
      <w:r>
        <w:rPr>
          <w:iCs/>
        </w:rPr>
        <w:t xml:space="preserve"> </w:t>
      </w:r>
    </w:p>
    <w:p w:rsidR="0068041B" w:rsidRPr="00D72794" w:rsidP="00D72794" w14:paraId="12C3135A" w14:textId="77777777"/>
    <w:p w:rsidR="003E5EE2" w:rsidP="00D72794" w14:paraId="12C3135B" w14:textId="77777777">
      <w:r w:rsidRPr="00D72794">
        <w:t xml:space="preserve">16. </w:t>
      </w:r>
      <w:r w:rsidRPr="00D72794">
        <w:rPr>
          <w:u w:val="single"/>
        </w:rPr>
        <w:t xml:space="preserve">Plans for </w:t>
      </w:r>
      <w:r w:rsidRPr="00D72794" w:rsidR="00146631">
        <w:rPr>
          <w:u w:val="single"/>
        </w:rPr>
        <w:t>t</w:t>
      </w:r>
      <w:r w:rsidRPr="00D72794">
        <w:rPr>
          <w:u w:val="single"/>
        </w:rPr>
        <w:t xml:space="preserve">abulation, </w:t>
      </w:r>
      <w:r w:rsidRPr="00D72794" w:rsidR="00146631">
        <w:rPr>
          <w:u w:val="single"/>
        </w:rPr>
        <w:t>s</w:t>
      </w:r>
      <w:r w:rsidRPr="00D72794">
        <w:rPr>
          <w:u w:val="single"/>
        </w:rPr>
        <w:t xml:space="preserve">tatistical </w:t>
      </w:r>
      <w:r w:rsidRPr="00D72794" w:rsidR="00146631">
        <w:rPr>
          <w:u w:val="single"/>
        </w:rPr>
        <w:t>a</w:t>
      </w:r>
      <w:r w:rsidRPr="00D72794">
        <w:rPr>
          <w:u w:val="single"/>
        </w:rPr>
        <w:t xml:space="preserve">nalysis, and </w:t>
      </w:r>
      <w:r w:rsidRPr="00D72794" w:rsidR="00146631">
        <w:rPr>
          <w:u w:val="single"/>
        </w:rPr>
        <w:t>p</w:t>
      </w:r>
      <w:r w:rsidRPr="00D72794">
        <w:rPr>
          <w:u w:val="single"/>
        </w:rPr>
        <w:t>ublication.</w:t>
      </w:r>
      <w:r w:rsidRPr="00D72794">
        <w:t xml:space="preserve"> </w:t>
      </w:r>
    </w:p>
    <w:p w:rsidR="005750F7" w:rsidRPr="00D72794" w:rsidP="00D72794" w14:paraId="12C3135C" w14:textId="77777777"/>
    <w:p w:rsidR="0059763D" w:rsidP="00D72794" w14:paraId="12C3135D" w14:textId="15EB2089">
      <w:pPr>
        <w:ind w:firstLine="720"/>
      </w:pPr>
      <w:r w:rsidRPr="00D72794">
        <w:t xml:space="preserve">This collection of information will not be </w:t>
      </w:r>
      <w:r w:rsidR="003572C0">
        <w:t>tabulated or comp</w:t>
      </w:r>
      <w:r w:rsidR="00247C05">
        <w:t>il</w:t>
      </w:r>
      <w:r w:rsidR="003572C0">
        <w:t>ed for publication</w:t>
      </w:r>
      <w:r w:rsidRPr="00D72794">
        <w:t>.</w:t>
      </w:r>
    </w:p>
    <w:p w:rsidR="005750F7" w:rsidRPr="00D72794" w:rsidP="00D72794" w14:paraId="12C3135E" w14:textId="77777777">
      <w:pPr>
        <w:ind w:firstLine="720"/>
      </w:pPr>
    </w:p>
    <w:p w:rsidR="003E5EE2" w:rsidRPr="00D72794" w:rsidP="00D72794" w14:paraId="12C3135F" w14:textId="77777777">
      <w:r w:rsidRPr="00D72794">
        <w:t xml:space="preserve">17. </w:t>
      </w:r>
      <w:r w:rsidRPr="00D72794">
        <w:rPr>
          <w:u w:val="single"/>
        </w:rPr>
        <w:t xml:space="preserve">Request not to </w:t>
      </w:r>
      <w:r w:rsidRPr="00D72794" w:rsidR="00884E70">
        <w:rPr>
          <w:u w:val="single"/>
        </w:rPr>
        <w:t>d</w:t>
      </w:r>
      <w:r w:rsidRPr="00D72794">
        <w:rPr>
          <w:u w:val="single"/>
        </w:rPr>
        <w:t xml:space="preserve">isplay </w:t>
      </w:r>
      <w:r w:rsidRPr="00D72794" w:rsidR="00884E70">
        <w:rPr>
          <w:u w:val="single"/>
        </w:rPr>
        <w:t>the e</w:t>
      </w:r>
      <w:r w:rsidRPr="00D72794">
        <w:rPr>
          <w:u w:val="single"/>
        </w:rPr>
        <w:t xml:space="preserve">xpiration </w:t>
      </w:r>
      <w:r w:rsidRPr="00D72794" w:rsidR="00884E70">
        <w:rPr>
          <w:u w:val="single"/>
        </w:rPr>
        <w:t>d</w:t>
      </w:r>
      <w:r w:rsidRPr="00D72794">
        <w:rPr>
          <w:u w:val="single"/>
        </w:rPr>
        <w:t xml:space="preserve">ate of </w:t>
      </w:r>
      <w:r w:rsidRPr="00D72794" w:rsidR="00884E70">
        <w:rPr>
          <w:u w:val="single"/>
        </w:rPr>
        <w:t xml:space="preserve">the </w:t>
      </w:r>
      <w:r w:rsidRPr="00D72794">
        <w:rPr>
          <w:u w:val="single"/>
        </w:rPr>
        <w:t xml:space="preserve">OMB </w:t>
      </w:r>
      <w:r w:rsidRPr="00D72794" w:rsidR="00884E70">
        <w:rPr>
          <w:u w:val="single"/>
        </w:rPr>
        <w:t>c</w:t>
      </w:r>
      <w:r w:rsidRPr="00D72794">
        <w:rPr>
          <w:u w:val="single"/>
        </w:rPr>
        <w:t xml:space="preserve">ontrol </w:t>
      </w:r>
      <w:r w:rsidRPr="00D72794" w:rsidR="00884E70">
        <w:rPr>
          <w:u w:val="single"/>
        </w:rPr>
        <w:t>n</w:t>
      </w:r>
      <w:r w:rsidRPr="00D72794">
        <w:rPr>
          <w:u w:val="single"/>
        </w:rPr>
        <w:t>umber.</w:t>
      </w:r>
      <w:r w:rsidRPr="00D72794">
        <w:t xml:space="preserve"> </w:t>
      </w:r>
    </w:p>
    <w:p w:rsidR="005750F7" w:rsidP="00D72794" w14:paraId="12C31360" w14:textId="77777777">
      <w:pPr>
        <w:ind w:firstLine="720"/>
      </w:pPr>
    </w:p>
    <w:p w:rsidR="004F453B" w:rsidRPr="00C930C8" w:rsidP="004F453B" w14:paraId="3D6C8C49" w14:textId="0C8B7142">
      <w:pPr>
        <w:ind w:firstLine="720"/>
      </w:pPr>
      <w:r w:rsidRPr="00D72794">
        <w:t>FinCEN requests that it not be required to display the expiration date so that the regulations will not have to be amended for the new expiration date every three years</w:t>
      </w:r>
      <w:r w:rsidR="008B158B">
        <w:t>, or earlier, as applicable</w:t>
      </w:r>
      <w:r w:rsidRPr="00D72794">
        <w:t>.</w:t>
      </w:r>
      <w:r>
        <w:t xml:space="preserve">  </w:t>
      </w:r>
      <w:r w:rsidRPr="6BEC65BA">
        <w:t>This request will not affect the normal three-year PRA renewal process</w:t>
      </w:r>
      <w:r>
        <w:t xml:space="preserve">, or </w:t>
      </w:r>
      <w:r w:rsidRPr="00E02E1A">
        <w:t>earlier, as applicable</w:t>
      </w:r>
      <w:r w:rsidRPr="6BEC65BA">
        <w:t>.</w:t>
      </w:r>
    </w:p>
    <w:p w:rsidR="003E5EE2" w:rsidRPr="00D72794" w:rsidP="00D72794" w14:paraId="12C31362" w14:textId="77777777"/>
    <w:p w:rsidR="00A75687" w:rsidP="00D72794" w14:paraId="12C31363" w14:textId="77777777">
      <w:r w:rsidRPr="00D72794">
        <w:t xml:space="preserve">18. </w:t>
      </w:r>
      <w:r w:rsidRPr="00D72794">
        <w:rPr>
          <w:u w:val="single"/>
        </w:rPr>
        <w:t>Exceptions</w:t>
      </w:r>
      <w:r w:rsidRPr="00D72794" w:rsidR="00884E70">
        <w:rPr>
          <w:u w:val="single"/>
        </w:rPr>
        <w:t xml:space="preserve"> to the certification statement.</w:t>
      </w:r>
      <w:r w:rsidRPr="00D72794">
        <w:t xml:space="preserve"> </w:t>
      </w:r>
    </w:p>
    <w:p w:rsidR="005750F7" w:rsidRPr="00D72794" w:rsidP="00D72794" w14:paraId="12C31364" w14:textId="77777777"/>
    <w:p w:rsidR="003E5EE2" w:rsidRPr="00E506F4" w:rsidP="00D72794" w14:paraId="12C31365" w14:textId="78421808">
      <w:pPr>
        <w:ind w:firstLine="720"/>
      </w:pPr>
      <w:r w:rsidRPr="00D72794">
        <w:t>There are no exceptions to the certificat</w:t>
      </w:r>
      <w:r w:rsidRPr="00E506F4">
        <w:t>ion statement.</w:t>
      </w:r>
    </w:p>
    <w:sectPr w:rsidSect="00A73AA6">
      <w:headerReference w:type="even" r:id="rId9"/>
      <w:headerReference w:type="default" r:id="rId10"/>
      <w:footerReference w:type="even" r:id="rId11"/>
      <w:footerReference w:type="default" r:id="rId12"/>
      <w:headerReference w:type="first" r:id="rId13"/>
      <w:footerReference w:type="first" r:id="rId14"/>
      <w:pgSz w:w="12240" w:h="15840"/>
      <w:pgMar w:top="1440" w:right="54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52D" w14:paraId="12C313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6F4" w:rsidP="005750F7" w14:paraId="12C3136D" w14:textId="77777777">
    <w:pPr>
      <w:pStyle w:val="Footer"/>
      <w:jc w:val="center"/>
    </w:pPr>
    <w:r>
      <w:fldChar w:fldCharType="begin"/>
    </w:r>
    <w:r>
      <w:instrText xml:space="preserve"> PAGE   \* MERGEFORMAT </w:instrText>
    </w:r>
    <w:r>
      <w:fldChar w:fldCharType="separate"/>
    </w:r>
    <w:r w:rsidR="000F3046">
      <w:rPr>
        <w:noProof/>
      </w:rPr>
      <w:t>2</w:t>
    </w:r>
    <w:r>
      <w:rPr>
        <w:noProof/>
      </w:rPr>
      <w:fldChar w:fldCharType="end"/>
    </w:r>
  </w:p>
  <w:p w:rsidR="00E506F4" w14:paraId="12C3136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52D" w14:paraId="12C313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6C7F" w:rsidP="00A147EE" w14:paraId="202F917A" w14:textId="77777777">
      <w:r>
        <w:separator/>
      </w:r>
    </w:p>
  </w:footnote>
  <w:footnote w:type="continuationSeparator" w:id="1">
    <w:p w:rsidR="00AD6C7F" w:rsidP="00A147EE" w14:paraId="2655AF42" w14:textId="77777777">
      <w:r>
        <w:continuationSeparator/>
      </w:r>
    </w:p>
  </w:footnote>
  <w:footnote w:id="2">
    <w:p w:rsidR="00066BCB" w:rsidRPr="004E2837" w14:paraId="524DB9BF" w14:textId="54927D15">
      <w:pPr>
        <w:pStyle w:val="FootnoteText"/>
      </w:pPr>
      <w:r w:rsidRPr="004E2837">
        <w:rPr>
          <w:rStyle w:val="FootnoteReference"/>
        </w:rPr>
        <w:footnoteRef/>
      </w:r>
      <w:r w:rsidRPr="004E2837">
        <w:t xml:space="preserve"> </w:t>
      </w:r>
      <w:r w:rsidRPr="004E2837" w:rsidR="00AB507F">
        <w:t>Title II of Pub. L. 91–508, 84 Stat. 1118 (Oct. 26, 1970).</w:t>
      </w:r>
    </w:p>
  </w:footnote>
  <w:footnote w:id="3">
    <w:p w:rsidR="0098301B" w:rsidRPr="004E2837" w14:paraId="5E09773E" w14:textId="387774D1">
      <w:pPr>
        <w:pStyle w:val="FootnoteText"/>
      </w:pPr>
      <w:r w:rsidRPr="004E2837">
        <w:rPr>
          <w:rStyle w:val="FootnoteReference"/>
        </w:rPr>
        <w:footnoteRef/>
      </w:r>
      <w:r w:rsidRPr="004E2837">
        <w:t xml:space="preserve"> </w:t>
      </w:r>
      <w:r w:rsidRPr="004E2837" w:rsidR="00A10066">
        <w:t>USA PATRIOT Act, Pub. L. 107–56</w:t>
      </w:r>
      <w:bookmarkStart w:id="0" w:name="_Hlk173880181"/>
      <w:bookmarkStart w:id="1" w:name="_Hlk173882507"/>
      <w:r w:rsidRPr="004E2837" w:rsidR="00A10066">
        <w:t>, 115 Stat. 272 (Oct. 26, 2001)</w:t>
      </w:r>
      <w:bookmarkEnd w:id="0"/>
      <w:r w:rsidRPr="004E2837" w:rsidR="00A10066">
        <w:t>.</w:t>
      </w:r>
      <w:bookmarkEnd w:id="1"/>
    </w:p>
  </w:footnote>
  <w:footnote w:id="4">
    <w:p w:rsidR="00A42FAC" w:rsidRPr="004E2837" w:rsidP="00A42FAC" w14:paraId="12C31371" w14:textId="77777777">
      <w:pPr>
        <w:pStyle w:val="FootnoteText"/>
      </w:pPr>
      <w:r w:rsidRPr="004E2837">
        <w:rPr>
          <w:rStyle w:val="FootnoteReference"/>
        </w:rPr>
        <w:footnoteRef/>
      </w:r>
      <w:r w:rsidRPr="004E2837">
        <w:rPr>
          <w:vertAlign w:val="superscript"/>
        </w:rPr>
        <w:t xml:space="preserve"> </w:t>
      </w:r>
      <w:r w:rsidRPr="004E2837">
        <w:t>The AML Act was enacted as Division F, §§ 6001-6511, of the William M. (Mac) Thornberry National</w:t>
      </w:r>
    </w:p>
    <w:p w:rsidR="00A42FAC" w:rsidRPr="004E2837" w:rsidP="00A42FAC" w14:paraId="12C31372" w14:textId="77777777">
      <w:pPr>
        <w:pStyle w:val="FootnoteText"/>
      </w:pPr>
      <w:r w:rsidRPr="004E2837">
        <w:t>Defense Authorization Act for Fiscal Year 2021, Pub. L. 116-283, 134 Stat 3388 (2021).</w:t>
      </w:r>
    </w:p>
  </w:footnote>
  <w:footnote w:id="5">
    <w:p w:rsidR="00A42FAC" w:rsidRPr="004E2837" w:rsidP="00A42FAC" w14:paraId="12C31373" w14:textId="0421EC7E">
      <w:pPr>
        <w:pStyle w:val="FootnoteText"/>
      </w:pPr>
      <w:r w:rsidRPr="004E2837">
        <w:rPr>
          <w:rStyle w:val="FootnoteReference"/>
        </w:rPr>
        <w:footnoteRef/>
      </w:r>
      <w:r w:rsidRPr="004E2837">
        <w:rPr>
          <w:vertAlign w:val="superscript"/>
        </w:rPr>
        <w:t xml:space="preserve"> </w:t>
      </w:r>
      <w:r w:rsidRPr="004E2837" w:rsidR="00B259EF">
        <w:rPr>
          <w:i/>
          <w:iCs/>
        </w:rPr>
        <w:t>See</w:t>
      </w:r>
      <w:r w:rsidRPr="004E2837" w:rsidR="00B259EF">
        <w:t xml:space="preserve"> 31 U.S.C. 5311(1)-(2).  Reporting requirements are authorized under other provisions in the BSA.  </w:t>
      </w:r>
      <w:r w:rsidRPr="004E2837" w:rsidR="00B259EF">
        <w:rPr>
          <w:i/>
          <w:iCs/>
        </w:rPr>
        <w:t xml:space="preserve">See </w:t>
      </w:r>
      <w:r w:rsidRPr="004E2837" w:rsidR="00B259EF">
        <w:t>31 U.S.C. 5313 (Currency Transaction Reports, or CTRs); 31 U.S.C. 5314 (Report of Foreign Bank and Financial Accounts, or FBARs); 31 U.S.C. 5318(a)(2) (authorizing the Secretary to impose reporting requirements for the purpose of ensuring compliance with the BSA or guarding against money laundering, the financing of terrorism, or other forms of illicit finance); 31 U.S.C. 5318(g) (Suspicious Activity Reports, or SARs); 31 U.S.C. 5330 (Registration of Money Services Businesses, or RMSBs); 31 U.S.C. 5331 (Report of Cash Payments Over $10,000 Received in a Trade or Business, or Form 8300s).</w:t>
      </w:r>
    </w:p>
  </w:footnote>
  <w:footnote w:id="6">
    <w:p w:rsidR="00A42FAC" w:rsidRPr="004E2837" w:rsidP="00FD07EB" w14:paraId="12C31374" w14:textId="247A42F1">
      <w:pPr>
        <w:autoSpaceDE w:val="0"/>
        <w:autoSpaceDN w:val="0"/>
        <w:adjustRightInd w:val="0"/>
        <w:rPr>
          <w:sz w:val="20"/>
          <w:szCs w:val="20"/>
        </w:rPr>
      </w:pPr>
      <w:r w:rsidRPr="004E2837">
        <w:rPr>
          <w:rStyle w:val="FootnoteReference"/>
          <w:sz w:val="20"/>
          <w:szCs w:val="20"/>
        </w:rPr>
        <w:footnoteRef/>
      </w:r>
      <w:r w:rsidRPr="004E2837">
        <w:rPr>
          <w:sz w:val="20"/>
          <w:szCs w:val="20"/>
        </w:rPr>
        <w:t xml:space="preserve"> Treasury Order 180-01</w:t>
      </w:r>
      <w:r w:rsidRPr="004E2837" w:rsidR="00554548">
        <w:rPr>
          <w:sz w:val="20"/>
          <w:szCs w:val="20"/>
        </w:rPr>
        <w:t xml:space="preserve"> </w:t>
      </w:r>
      <w:r w:rsidRPr="004E2837" w:rsidR="00FD07EB">
        <w:rPr>
          <w:sz w:val="20"/>
          <w:szCs w:val="20"/>
        </w:rPr>
        <w:t>(</w:t>
      </w:r>
      <w:r w:rsidRPr="004E2837" w:rsidR="00FD07EB">
        <w:rPr>
          <w:i/>
          <w:iCs/>
          <w:sz w:val="20"/>
          <w:szCs w:val="20"/>
        </w:rPr>
        <w:t>reaffirmed</w:t>
      </w:r>
      <w:r w:rsidRPr="004E2837" w:rsidR="00FD07EB">
        <w:rPr>
          <w:sz w:val="20"/>
          <w:szCs w:val="20"/>
        </w:rPr>
        <w:t xml:space="preserve"> Jan. 14, 2020); </w:t>
      </w:r>
      <w:r w:rsidRPr="004E2837" w:rsidR="00FD07EB">
        <w:rPr>
          <w:i/>
          <w:iCs/>
          <w:color w:val="000000"/>
          <w:sz w:val="20"/>
          <w:szCs w:val="20"/>
        </w:rPr>
        <w:t xml:space="preserve">see also </w:t>
      </w:r>
      <w:r w:rsidRPr="004E2837" w:rsidR="00FD07EB">
        <w:rPr>
          <w:color w:val="000000"/>
          <w:sz w:val="20"/>
          <w:szCs w:val="20"/>
        </w:rPr>
        <w:t>31 U.S.C. 310(b)(2)(I) (providing that the Director of FinCEN shall “[a]</w:t>
      </w:r>
      <w:r w:rsidRPr="004E2837" w:rsidR="00FD07EB">
        <w:rPr>
          <w:color w:val="000000"/>
          <w:sz w:val="20"/>
          <w:szCs w:val="20"/>
        </w:rPr>
        <w:t>dminister</w:t>
      </w:r>
      <w:r w:rsidRPr="004E2837" w:rsidR="00FD07EB">
        <w:rPr>
          <w:color w:val="000000"/>
          <w:sz w:val="20"/>
          <w:szCs w:val="20"/>
        </w:rPr>
        <w:t xml:space="preserve"> the requirements of subchapter II of chapter 53 of this title, chapter 2 of title I of Public Law 91–508, and section 21 of the Federal Deposit Insurance Act, to the extent delegated such authority by the Secretary.”)</w:t>
      </w:r>
      <w:r w:rsidRPr="004E2837" w:rsidR="00FD07EB">
        <w:rPr>
          <w:sz w:val="20"/>
          <w:szCs w:val="20"/>
        </w:rPr>
        <w:t>.</w:t>
      </w:r>
      <w:r w:rsidRPr="004E2837">
        <w:rPr>
          <w:sz w:val="20"/>
          <w:szCs w:val="20"/>
        </w:rPr>
        <w:t xml:space="preserve"> </w:t>
      </w:r>
    </w:p>
  </w:footnote>
  <w:footnote w:id="7">
    <w:p w:rsidR="00AA2598" w:rsidRPr="004E2837" w:rsidP="00AA2598" w14:paraId="13E05FBE" w14:textId="79727CDA">
      <w:pPr>
        <w:pStyle w:val="FootnoteText"/>
      </w:pPr>
      <w:r w:rsidRPr="004E2837">
        <w:rPr>
          <w:rStyle w:val="FootnoteReference"/>
        </w:rPr>
        <w:footnoteRef/>
      </w:r>
      <w:r w:rsidRPr="004E2837">
        <w:t xml:space="preserve"> FinCEN, </w:t>
      </w:r>
      <w:r w:rsidRPr="004E2837">
        <w:rPr>
          <w:i/>
          <w:iCs/>
        </w:rPr>
        <w:t>Final Rule — Special Information Sharing Procedures to Deter Money Laundering and Terrorist Activity</w:t>
      </w:r>
      <w:r w:rsidRPr="004E2837">
        <w:t>, 67 FR 60579 (Sept. 26, 2002).</w:t>
      </w:r>
    </w:p>
  </w:footnote>
  <w:footnote w:id="8">
    <w:p w:rsidR="00AA2598" w:rsidRPr="00B50428" w:rsidP="00AA2598" w14:paraId="21C5C742" w14:textId="680C0BD7">
      <w:pPr>
        <w:pStyle w:val="FootnoteText"/>
      </w:pPr>
      <w:r>
        <w:rPr>
          <w:rStyle w:val="FootnoteReference"/>
        </w:rPr>
        <w:footnoteRef/>
      </w:r>
      <w:r>
        <w:t xml:space="preserve"> FinCEN, </w:t>
      </w:r>
      <w:r w:rsidRPr="00B50428">
        <w:rPr>
          <w:i/>
          <w:iCs/>
        </w:rPr>
        <w:t xml:space="preserve">Final Rule—Expansion of Special Information Sharing Procedures </w:t>
      </w:r>
      <w:r w:rsidRPr="00B50428">
        <w:rPr>
          <w:i/>
          <w:iCs/>
        </w:rPr>
        <w:t>To</w:t>
      </w:r>
      <w:r w:rsidRPr="00B50428">
        <w:rPr>
          <w:i/>
          <w:iCs/>
        </w:rPr>
        <w:t xml:space="preserve"> Deter Money Laundering and Terrorist Activity</w:t>
      </w:r>
      <w:r>
        <w:t>, 75 FR 6560 (Feb. 10, 2010).</w:t>
      </w:r>
    </w:p>
  </w:footnote>
  <w:footnote w:id="9">
    <w:p w:rsidR="003E6AD6" w:rsidRPr="00715CB9" w14:paraId="12C31379" w14:textId="375D7A8E">
      <w:pPr>
        <w:pStyle w:val="FootnoteText"/>
      </w:pPr>
      <w:r>
        <w:rPr>
          <w:rStyle w:val="FootnoteReference"/>
        </w:rPr>
        <w:footnoteRef/>
      </w:r>
      <w:r>
        <w:t xml:space="preserve"> </w:t>
      </w:r>
      <w:r w:rsidRPr="00C848B5">
        <w:t>Fin</w:t>
      </w:r>
      <w:r w:rsidR="000E3F70">
        <w:t>CEN</w:t>
      </w:r>
      <w:r w:rsidRPr="00C848B5">
        <w:t xml:space="preserve">, </w:t>
      </w:r>
      <w:r w:rsidRPr="00C848B5">
        <w:rPr>
          <w:i/>
        </w:rPr>
        <w:t>Agency Information Collection Activities; Proposed Renewal; Comment Request; Renewal Without Change o</w:t>
      </w:r>
      <w:r>
        <w:rPr>
          <w:i/>
        </w:rPr>
        <w:t>n Information Sharing Between Government Agencies and Financial Institutions</w:t>
      </w:r>
      <w:r>
        <w:t xml:space="preserve">, </w:t>
      </w:r>
      <w:hyperlink r:id="rId1" w:history="1">
        <w:r w:rsidR="00437A0A">
          <w:rPr>
            <w:rStyle w:val="Hyperlink"/>
          </w:rPr>
          <w:t>90 FR 47125</w:t>
        </w:r>
      </w:hyperlink>
      <w:r>
        <w:t xml:space="preserve"> (</w:t>
      </w:r>
      <w:r w:rsidR="008B483E">
        <w:t>Sep</w:t>
      </w:r>
      <w:r w:rsidR="00437A0A">
        <w:t>t.</w:t>
      </w:r>
      <w:r w:rsidR="008B483E">
        <w:t xml:space="preserve"> 30</w:t>
      </w:r>
      <w:r>
        <w:t>, 202</w:t>
      </w:r>
      <w:r w:rsidR="008B483E">
        <w:t>5</w:t>
      </w:r>
      <w:r>
        <w:t xml:space="preserve">), </w:t>
      </w:r>
      <w:r w:rsidR="00DB0060">
        <w:t xml:space="preserve">(the </w:t>
      </w:r>
      <w:r w:rsidR="00F77DF1">
        <w:t xml:space="preserve">2025 </w:t>
      </w:r>
      <w:r w:rsidR="00EE5FCA">
        <w:t>Section</w:t>
      </w:r>
      <w:r w:rsidR="00591EAA">
        <w:t xml:space="preserve"> </w:t>
      </w:r>
      <w:r w:rsidR="00F77DF1">
        <w:t xml:space="preserve">314(a) </w:t>
      </w:r>
      <w:r w:rsidR="00AE0D13">
        <w:t>PRA Renewal)</w:t>
      </w:r>
      <w:r w:rsidR="00437A0A">
        <w:t>.</w:t>
      </w:r>
    </w:p>
  </w:footnote>
  <w:footnote w:id="10">
    <w:p w:rsidR="003D62C8" w14:paraId="33E91026" w14:textId="26B2F504">
      <w:pPr>
        <w:pStyle w:val="FootnoteText"/>
      </w:pPr>
      <w:r>
        <w:rPr>
          <w:rStyle w:val="FootnoteReference"/>
        </w:rPr>
        <w:footnoteRef/>
      </w:r>
      <w:r>
        <w:t xml:space="preserve"> </w:t>
      </w:r>
      <w:r w:rsidRPr="00191B38">
        <w:rPr>
          <w:i/>
          <w:iCs/>
        </w:rPr>
        <w:t>See</w:t>
      </w:r>
      <w:r>
        <w:t xml:space="preserve"> </w:t>
      </w:r>
      <w:hyperlink r:id="rId2" w:history="1">
        <w:r w:rsidRPr="00BB355A" w:rsidR="007532CB">
          <w:rPr>
            <w:rStyle w:val="Hyperlink"/>
          </w:rPr>
          <w:t>https://www.regulations.gov/document/FINCEN-2025-0039-0001/comment</w:t>
        </w:r>
      </w:hyperlink>
      <w:r w:rsidR="007532CB">
        <w:t>.</w:t>
      </w:r>
    </w:p>
    <w:p w:rsidR="007532CB" w14:paraId="4491CB7F" w14:textId="77777777">
      <w:pPr>
        <w:pStyle w:val="FootnoteText"/>
      </w:pPr>
    </w:p>
  </w:footnote>
  <w:footnote w:id="11">
    <w:p w:rsidR="00AC0F9F" w:rsidRPr="00006569" w:rsidP="00AC0F9F" w14:paraId="4CF37920" w14:textId="77777777">
      <w:pPr>
        <w:pStyle w:val="FootnoteText"/>
      </w:pPr>
      <w:r w:rsidRPr="009B0659">
        <w:rPr>
          <w:rStyle w:val="FootnoteReference"/>
          <w:rFonts w:eastAsiaTheme="majorEastAsia"/>
        </w:rPr>
        <w:footnoteRef/>
      </w:r>
      <w:r w:rsidRPr="009B0659">
        <w:t xml:space="preserve"> FinCEN, </w:t>
      </w:r>
      <w:hyperlink r:id="rId3" w:history="1">
        <w:r w:rsidRPr="00F929ED">
          <w:rPr>
            <w:rStyle w:val="Hyperlink"/>
            <w:i/>
            <w:iCs/>
          </w:rPr>
          <w:t>Privacy Act of 1974, as Amended; System of Records Notice (FinCEN .003 - Bank Secrecy Act Reports System)</w:t>
        </w:r>
      </w:hyperlink>
      <w:r w:rsidRPr="00F929ED">
        <w:t>, 79 FR 20969 (Apr. 14, 2014)</w:t>
      </w:r>
      <w:r>
        <w:t>.</w:t>
      </w:r>
    </w:p>
  </w:footnote>
  <w:footnote w:id="12">
    <w:p w:rsidR="00AE0D13" w14:paraId="30876557" w14:textId="320534B3">
      <w:pPr>
        <w:pStyle w:val="FootnoteText"/>
      </w:pPr>
      <w:r>
        <w:rPr>
          <w:rStyle w:val="FootnoteReference"/>
        </w:rPr>
        <w:footnoteRef/>
      </w:r>
      <w:r>
        <w:t xml:space="preserve"> </w:t>
      </w:r>
      <w:r w:rsidRPr="00AE0D13">
        <w:rPr>
          <w:i/>
          <w:iCs/>
        </w:rPr>
        <w:t>See</w:t>
      </w:r>
      <w:r>
        <w:t xml:space="preserve"> the 2025 </w:t>
      </w:r>
      <w:r w:rsidR="00F9779E">
        <w:t xml:space="preserve">Section </w:t>
      </w:r>
      <w:r>
        <w:t>314(a) PRA Renewal</w:t>
      </w:r>
      <w:r w:rsidR="001B2C4E">
        <w:t>, 90 FR 47126.</w:t>
      </w:r>
    </w:p>
  </w:footnote>
  <w:footnote w:id="13">
    <w:p w:rsidR="002F3960" w14:paraId="0DEA559B" w14:textId="11D7BD6D">
      <w:pPr>
        <w:pStyle w:val="FootnoteText"/>
      </w:pPr>
      <w:r>
        <w:rPr>
          <w:rStyle w:val="FootnoteReference"/>
        </w:rPr>
        <w:footnoteRef/>
      </w:r>
      <w:r>
        <w:t xml:space="preserve"> </w:t>
      </w:r>
      <w:r w:rsidRPr="00AE0D13">
        <w:rPr>
          <w:i/>
          <w:iCs/>
        </w:rPr>
        <w:t>See</w:t>
      </w:r>
      <w:r>
        <w:t xml:space="preserve"> the 2025 </w:t>
      </w:r>
      <w:r w:rsidR="00F9779E">
        <w:t xml:space="preserve">Section </w:t>
      </w:r>
      <w:r>
        <w:t>314(a) PRA Renewal</w:t>
      </w:r>
      <w:r w:rsidR="001B2C4E">
        <w:t>, 90 FR 47127.</w:t>
      </w:r>
    </w:p>
  </w:footnote>
  <w:footnote w:id="14">
    <w:p w:rsidR="003B7896" w:rsidRPr="00A27D03" w:rsidP="003B7896" w14:paraId="35F41879" w14:textId="7F695361">
      <w:pPr>
        <w:pStyle w:val="FootnoteText"/>
      </w:pPr>
      <w:r>
        <w:rPr>
          <w:rStyle w:val="FootnoteReference"/>
        </w:rPr>
        <w:footnoteRef/>
      </w:r>
      <w:r>
        <w:t xml:space="preserve"> This estimate is based on the three-year average number of transmitted Section 314(a) Requests (116) multiplied by the three-year average number of subjects per Section 314(a) Request (5) multiplied by the three-year average number of total </w:t>
      </w:r>
      <w:r w:rsidR="001466EF">
        <w:t xml:space="preserve">respondent </w:t>
      </w:r>
      <w:r w:rsidR="00D50BF6">
        <w:t xml:space="preserve">financial institutions </w:t>
      </w:r>
      <w:r>
        <w:t xml:space="preserve">per year (12,726).  For purposes of estimating the PRA burden of Section 314(a) Requests and their responses, FinCEN conceptually defines a response to correspond to each subject for which a </w:t>
      </w:r>
      <w:r w:rsidR="001466EF">
        <w:t xml:space="preserve">respondent </w:t>
      </w:r>
      <w:r w:rsidR="00D50BF6">
        <w:t xml:space="preserve">financial institution </w:t>
      </w:r>
      <w:r>
        <w:t xml:space="preserve">conducts a records search regardless of whether the search yields a positive or negative result.  In practice, the incremental fixed burdens associated with a financial institution establishing (pursuant to FinCEN pre-notification) and maintaining a secure communication link with FinCEN via a Section 314(a) </w:t>
      </w:r>
      <w:r w:rsidR="00D50BF6">
        <w:t xml:space="preserve">point of contact </w:t>
      </w:r>
      <w:r>
        <w:t xml:space="preserve">for the receipt of Section 314(a) Requests are expected to accrue per respondent, not per response.  However, for simplicity and tractability, a distributed version of these costs is assigned on a per-response basis in the subsequent analysis.  </w:t>
      </w:r>
      <w:r w:rsidRPr="003B7896">
        <w:rPr>
          <w:i/>
          <w:iCs/>
        </w:rPr>
        <w:t>See</w:t>
      </w:r>
      <w:r>
        <w:t xml:space="preserve"> the 2025 </w:t>
      </w:r>
      <w:r w:rsidR="00F9779E">
        <w:t xml:space="preserve">Section </w:t>
      </w:r>
      <w:r>
        <w:t>314(a) PRA Renewal</w:t>
      </w:r>
      <w:r w:rsidR="00311CC9">
        <w:t>, 90 FR 47128</w:t>
      </w:r>
      <w:r w:rsidR="001B2C4E">
        <w:t>.</w:t>
      </w:r>
    </w:p>
  </w:footnote>
  <w:footnote w:id="15">
    <w:p w:rsidR="002924A7" w:rsidRPr="00E506F4" w:rsidP="002924A7" w14:paraId="12C3137F" w14:textId="423A1E90">
      <w:pPr>
        <w:pStyle w:val="FootnoteText"/>
      </w:pPr>
      <w:r w:rsidRPr="00E506F4">
        <w:rPr>
          <w:rStyle w:val="FootnoteReference"/>
        </w:rPr>
        <w:footnoteRef/>
      </w:r>
      <w:r w:rsidRPr="00E506F4">
        <w:t xml:space="preserve"> </w:t>
      </w:r>
      <w:r w:rsidRPr="00C350F2" w:rsidR="00593B7F">
        <w:t xml:space="preserve">The estimated burden per respondent includes the time associated with responding to </w:t>
      </w:r>
      <w:r w:rsidR="00593B7F">
        <w:t xml:space="preserve">Section </w:t>
      </w:r>
      <w:r w:rsidRPr="00C350F2" w:rsidR="00593B7F">
        <w:t xml:space="preserve">314(a) </w:t>
      </w:r>
      <w:r w:rsidR="00593B7F">
        <w:t>R</w:t>
      </w:r>
      <w:r w:rsidRPr="00C350F2" w:rsidR="00593B7F">
        <w:t xml:space="preserve">equests (approximately 39 hours per respondent, on average) and recordkeeping associated with the operation and maintenance of the </w:t>
      </w:r>
      <w:r w:rsidR="001466EF">
        <w:t>r</w:t>
      </w:r>
      <w:r w:rsidRPr="00C350F2" w:rsidR="001466EF">
        <w:t xml:space="preserve">espondent </w:t>
      </w:r>
      <w:r w:rsidR="001466EF">
        <w:t>financial institution</w:t>
      </w:r>
      <w:r w:rsidRPr="00C350F2" w:rsidR="001466EF">
        <w:t xml:space="preserve">’s </w:t>
      </w:r>
      <w:r w:rsidR="00F9779E">
        <w:t xml:space="preserve">Section </w:t>
      </w:r>
      <w:r w:rsidRPr="00C350F2" w:rsidR="00593B7F">
        <w:t>314(a) program (5 hours per respondent, on average)</w:t>
      </w:r>
      <w:r w:rsidR="005A1577">
        <w:t xml:space="preserve">.  </w:t>
      </w:r>
      <w:r w:rsidRPr="005A1577" w:rsidR="009A0611">
        <w:rPr>
          <w:i/>
          <w:iCs/>
        </w:rPr>
        <w:t>See</w:t>
      </w:r>
      <w:r w:rsidR="009A0611">
        <w:t xml:space="preserve"> the 2025 </w:t>
      </w:r>
      <w:r w:rsidR="00F9779E">
        <w:t xml:space="preserve">Section </w:t>
      </w:r>
      <w:r w:rsidR="009A0611">
        <w:t>314(a) PRA Renewal</w:t>
      </w:r>
      <w:r w:rsidR="003A49EF">
        <w:t>, 90 FR 47130</w:t>
      </w:r>
      <w:r w:rsidR="009A0611">
        <w:t>.</w:t>
      </w:r>
    </w:p>
  </w:footnote>
  <w:footnote w:id="16">
    <w:p w:rsidR="002924A7" w:rsidRPr="00E506F4" w:rsidP="00774E5E" w14:paraId="12C31380" w14:textId="30F60177">
      <w:pPr>
        <w:pStyle w:val="FootnoteText"/>
      </w:pPr>
      <w:r w:rsidRPr="00E506F4">
        <w:rPr>
          <w:rStyle w:val="FootnoteReference"/>
        </w:rPr>
        <w:footnoteRef/>
      </w:r>
      <w:r w:rsidR="00BD6B4C">
        <w:t xml:space="preserve"> The</w:t>
      </w:r>
      <w:r w:rsidR="00557BCB">
        <w:t xml:space="preserve"> revised</w:t>
      </w:r>
      <w:r w:rsidR="00BD6B4C">
        <w:t xml:space="preserve"> total annual </w:t>
      </w:r>
      <w:r w:rsidRPr="00CC3C01" w:rsidR="00BD6B4C">
        <w:t>burden computation is as follows:</w:t>
      </w:r>
      <w:r w:rsidR="00BD6B4C">
        <w:t xml:space="preserve"> approximately</w:t>
      </w:r>
      <w:r w:rsidR="00DF7C1E">
        <w:t xml:space="preserve"> 44</w:t>
      </w:r>
      <w:r w:rsidRPr="00CC3C01" w:rsidR="00BD6B4C">
        <w:t xml:space="preserve"> hours per year per respondent </w:t>
      </w:r>
      <w:r w:rsidR="00BD6B4C">
        <w:t>multiplied by</w:t>
      </w:r>
      <w:r w:rsidRPr="00CC3C01" w:rsidR="00BD6B4C">
        <w:t xml:space="preserve"> </w:t>
      </w:r>
      <w:r w:rsidR="00DF7C1E">
        <w:t>12,726</w:t>
      </w:r>
      <w:r w:rsidRPr="00CC3C01" w:rsidR="00BD6B4C">
        <w:t xml:space="preserve"> respondents </w:t>
      </w:r>
      <w:r w:rsidR="00BD6B4C">
        <w:t xml:space="preserve">equals </w:t>
      </w:r>
      <w:r w:rsidR="00BC3C2B">
        <w:t>approximately 555,702</w:t>
      </w:r>
      <w:r w:rsidR="00BD6B4C">
        <w:t xml:space="preserve"> </w:t>
      </w:r>
      <w:r w:rsidRPr="00CC3C01" w:rsidR="00BD6B4C">
        <w:t>hours.</w:t>
      </w:r>
      <w:r w:rsidRPr="00E506F4">
        <w:t xml:space="preserve"> </w:t>
      </w:r>
      <w:r w:rsidR="001D2D07">
        <w:t xml:space="preserve"> </w:t>
      </w:r>
      <w:r w:rsidRPr="005A1577" w:rsidR="00BC3C2B">
        <w:rPr>
          <w:i/>
          <w:iCs/>
        </w:rPr>
        <w:t>See</w:t>
      </w:r>
      <w:r w:rsidR="00BC3C2B">
        <w:t xml:space="preserve"> the 2025 </w:t>
      </w:r>
      <w:r w:rsidR="00F9779E">
        <w:t xml:space="preserve">Section </w:t>
      </w:r>
      <w:r w:rsidR="00BC3C2B">
        <w:t>314(a) PRA Renewal</w:t>
      </w:r>
      <w:r w:rsidR="000565E8">
        <w:t>, 90 FR 47130.</w:t>
      </w:r>
    </w:p>
  </w:footnote>
  <w:footnote w:id="17">
    <w:p w:rsidR="000149AE" w14:paraId="68A3AABA" w14:textId="7CA49971">
      <w:pPr>
        <w:pStyle w:val="FootnoteText"/>
      </w:pPr>
      <w:r>
        <w:rPr>
          <w:rStyle w:val="FootnoteReference"/>
        </w:rPr>
        <w:footnoteRef/>
      </w:r>
      <w:r>
        <w:t xml:space="preserve"> </w:t>
      </w:r>
      <w:r w:rsidRPr="005A1577" w:rsidR="005C223D">
        <w:rPr>
          <w:i/>
          <w:iCs/>
        </w:rPr>
        <w:t>See</w:t>
      </w:r>
      <w:r w:rsidR="005C223D">
        <w:t xml:space="preserve"> 2025 </w:t>
      </w:r>
      <w:r w:rsidR="00F9779E">
        <w:t xml:space="preserve">Section </w:t>
      </w:r>
      <w:r w:rsidR="005C223D">
        <w:t>314(a) PRA Renewal</w:t>
      </w:r>
      <w:r w:rsidR="00311CC9">
        <w:t>, 90 FR 47131.</w:t>
      </w:r>
    </w:p>
  </w:footnote>
  <w:footnote w:id="18">
    <w:p w:rsidR="002C4A0D" w:rsidP="002C4A0D" w14:paraId="58C757E9" w14:textId="53C6F141">
      <w:pPr>
        <w:pStyle w:val="FootnoteText"/>
      </w:pPr>
      <w:r>
        <w:rPr>
          <w:rStyle w:val="FootnoteReference"/>
        </w:rPr>
        <w:footnoteRef/>
      </w:r>
      <w:r>
        <w:t xml:space="preserve"> In the 2022 Section 314(a) PRA Renewal, FinCEN estimated </w:t>
      </w:r>
      <w:r w:rsidR="00646D7C">
        <w:t xml:space="preserve">that </w:t>
      </w:r>
      <w:r w:rsidR="00933AF9">
        <w:t xml:space="preserve">researching </w:t>
      </w:r>
      <w:r w:rsidR="00D62D0D">
        <w:t xml:space="preserve">and reporting, as necessary, </w:t>
      </w:r>
      <w:r>
        <w:t>e</w:t>
      </w:r>
      <w:r w:rsidRPr="00CC3C01">
        <w:t xml:space="preserve">ach subject </w:t>
      </w:r>
      <w:r w:rsidR="00D62D0D">
        <w:t>of a Section 314(a) Request</w:t>
      </w:r>
      <w:r w:rsidRPr="00CC3C01" w:rsidR="00D62D0D">
        <w:t xml:space="preserve"> </w:t>
      </w:r>
      <w:r w:rsidRPr="00CC3C01">
        <w:t>require</w:t>
      </w:r>
      <w:r w:rsidR="00C569C2">
        <w:t xml:space="preserve">d an </w:t>
      </w:r>
      <w:r w:rsidR="006D3B05">
        <w:t>average</w:t>
      </w:r>
      <w:r w:rsidR="00C569C2">
        <w:t xml:space="preserve"> of</w:t>
      </w:r>
      <w:r w:rsidRPr="00CC3C01">
        <w:t xml:space="preserve"> </w:t>
      </w:r>
      <w:r>
        <w:t>four</w:t>
      </w:r>
      <w:r w:rsidRPr="00CC3C01">
        <w:t xml:space="preserve"> minutes</w:t>
      </w:r>
      <w:r w:rsidR="004442F3">
        <w:t>,</w:t>
      </w:r>
      <w:r w:rsidRPr="00CC3C01">
        <w:t xml:space="preserve"> resulting in </w:t>
      </w:r>
      <w:r>
        <w:t xml:space="preserve">approximately 24 </w:t>
      </w:r>
      <w:r w:rsidR="00F62A18">
        <w:t xml:space="preserve">annual </w:t>
      </w:r>
      <w:r w:rsidR="00BF33A2">
        <w:t xml:space="preserve">burden </w:t>
      </w:r>
      <w:r>
        <w:t xml:space="preserve">hours per respondent </w:t>
      </w:r>
      <w:r w:rsidRPr="00CC3C01">
        <w:t>(</w:t>
      </w:r>
      <w:r>
        <w:t xml:space="preserve">365 searches/responses multiplied by </w:t>
      </w:r>
      <w:r w:rsidR="00BA538E">
        <w:t>four</w:t>
      </w:r>
      <w:r>
        <w:t xml:space="preserve"> minutes</w:t>
      </w:r>
      <w:r w:rsidR="004442F3">
        <w:t xml:space="preserve">, </w:t>
      </w:r>
      <w:r>
        <w:t>divided by 60)</w:t>
      </w:r>
      <w:r w:rsidRPr="00CC3C01">
        <w:t xml:space="preserve">. </w:t>
      </w:r>
      <w:r>
        <w:t xml:space="preserve"> </w:t>
      </w:r>
      <w:r w:rsidRPr="001A02C8">
        <w:rPr>
          <w:i/>
          <w:iCs/>
        </w:rPr>
        <w:t>See</w:t>
      </w:r>
      <w:r>
        <w:t xml:space="preserve"> FinCEN, </w:t>
      </w:r>
      <w:r w:rsidRPr="001A02C8">
        <w:rPr>
          <w:i/>
          <w:iCs/>
        </w:rPr>
        <w:t>Agency Information Collection Activities: Proposed Renewal; Comment Request; Renewal Without Change on Information Sharing Between Government Agencies and Financial Institutions</w:t>
      </w:r>
      <w:r>
        <w:t xml:space="preserve">, </w:t>
      </w:r>
      <w:hyperlink r:id="rId4" w:history="1">
        <w:r>
          <w:rPr>
            <w:rStyle w:val="Hyperlink"/>
          </w:rPr>
          <w:t>87 FR 41186</w:t>
        </w:r>
      </w:hyperlink>
      <w:r w:rsidR="00BF33A2">
        <w:t xml:space="preserve">, </w:t>
      </w:r>
      <w:r w:rsidR="001A51B2">
        <w:t>41187</w:t>
      </w:r>
      <w:r>
        <w:t xml:space="preserve"> (Jul. 11, 2022).  Based on comments received, FinCEN revised its estimate in the 2022 supporting statement to an average of 32 minutes </w:t>
      </w:r>
      <w:r w:rsidR="005B7657">
        <w:t>per subject</w:t>
      </w:r>
      <w:r w:rsidR="00951FCE">
        <w:t xml:space="preserve">, </w:t>
      </w:r>
      <w:r w:rsidR="00275970">
        <w:t>increasing the estimated</w:t>
      </w:r>
      <w:r>
        <w:t xml:space="preserve"> annual burden </w:t>
      </w:r>
      <w:r w:rsidR="00275970">
        <w:t>to</w:t>
      </w:r>
      <w:r>
        <w:t xml:space="preserve"> 195 hours </w:t>
      </w:r>
      <w:r w:rsidR="00746E82">
        <w:t>per respondent</w:t>
      </w:r>
      <w:r>
        <w:t xml:space="preserve">.  </w:t>
      </w:r>
      <w:r w:rsidRPr="001A02C8">
        <w:rPr>
          <w:i/>
          <w:iCs/>
        </w:rPr>
        <w:t xml:space="preserve">See </w:t>
      </w:r>
      <w:hyperlink r:id="rId5" w:history="1">
        <w:r w:rsidRPr="00047CB4">
          <w:rPr>
            <w:rStyle w:val="Hyperlink"/>
          </w:rPr>
          <w:t>https://www.reginfo.gov/public/do/PRAViewICR?ref_nbr=202209-1506-001</w:t>
        </w:r>
      </w:hyperlink>
      <w:r>
        <w:t xml:space="preserve">.  </w:t>
      </w:r>
      <w:r w:rsidRPr="00746E82" w:rsidR="00746E82">
        <w:t xml:space="preserve">For the 2025 Section 314(a) PRA </w:t>
      </w:r>
      <w:r w:rsidR="00753A4B">
        <w:t>R</w:t>
      </w:r>
      <w:r w:rsidRPr="00746E82" w:rsidR="00746E82">
        <w:t>enewal, FinCEN revisited this issue and determined that the original four-minute estimate more accurately reflects the average burden.</w:t>
      </w:r>
      <w:r w:rsidR="00CC44F1">
        <w:t xml:space="preserve">  </w:t>
      </w:r>
      <w:r w:rsidRPr="00CC44F1" w:rsidR="00CC44F1">
        <w:t xml:space="preserve">This conclusion is based on FinCEN’s understanding that most financial institutions use well-established, often automated, processes to conduct </w:t>
      </w:r>
      <w:r w:rsidR="00753A4B">
        <w:t xml:space="preserve">searches in response to </w:t>
      </w:r>
      <w:r w:rsidRPr="00CC44F1" w:rsidR="00CC44F1">
        <w:t>Section 314(a)</w:t>
      </w:r>
      <w:r w:rsidR="00753A4B">
        <w:t xml:space="preserve"> Requests</w:t>
      </w:r>
      <w:r w:rsidRPr="00CC44F1" w:rsidR="00CC44F1">
        <w:t xml:space="preserve">, and that most searches result in either no matches or clear positive matches that can be quickly reported through FinCEN’s secure portal. </w:t>
      </w:r>
      <w:r w:rsidR="00E40260">
        <w:t xml:space="preserve"> </w:t>
      </w:r>
      <w:r w:rsidRPr="00CC44F1" w:rsidR="00CC44F1">
        <w:t>As a result, most subjects require far less than four minutes to address, keeping the average burden per subject relatively low despite occasional more time-intensive reviews.</w:t>
      </w:r>
      <w:r w:rsidR="00B73539">
        <w:t xml:space="preserve"> </w:t>
      </w:r>
      <w:r w:rsidR="00191FF5">
        <w:t xml:space="preserve"> </w:t>
      </w:r>
      <w:r w:rsidR="0030031A">
        <w:t xml:space="preserve"> </w:t>
      </w:r>
      <w:r w:rsidR="004442F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52D" w14:paraId="12C313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0F7" w14:paraId="12C3136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52D" w14:paraId="12C313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53540"/>
    <w:multiLevelType w:val="hybridMultilevel"/>
    <w:tmpl w:val="1C16F56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
    <w:nsid w:val="0A3B1932"/>
    <w:multiLevelType w:val="hybridMultilevel"/>
    <w:tmpl w:val="75D60B4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
    <w:nsid w:val="133F7D7D"/>
    <w:multiLevelType w:val="hybridMultilevel"/>
    <w:tmpl w:val="16D8A83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
    <w:nsid w:val="19590EED"/>
    <w:multiLevelType w:val="hybridMultilevel"/>
    <w:tmpl w:val="8540883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
    <w:nsid w:val="1E6670AC"/>
    <w:multiLevelType w:val="hybridMultilevel"/>
    <w:tmpl w:val="79FC176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5">
    <w:nsid w:val="1F09646C"/>
    <w:multiLevelType w:val="hybridMultilevel"/>
    <w:tmpl w:val="A6F6D4B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6">
    <w:nsid w:val="223C029C"/>
    <w:multiLevelType w:val="hybridMultilevel"/>
    <w:tmpl w:val="9DA8BFE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7">
    <w:nsid w:val="25AA2623"/>
    <w:multiLevelType w:val="hybridMultilevel"/>
    <w:tmpl w:val="B240B51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8">
    <w:nsid w:val="355A01F4"/>
    <w:multiLevelType w:val="hybridMultilevel"/>
    <w:tmpl w:val="1B6EB00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9">
    <w:nsid w:val="4A2359CF"/>
    <w:multiLevelType w:val="hybridMultilevel"/>
    <w:tmpl w:val="2B00077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0">
    <w:nsid w:val="79C959FB"/>
    <w:multiLevelType w:val="hybridMultilevel"/>
    <w:tmpl w:val="588E9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C785279"/>
    <w:multiLevelType w:val="hybridMultilevel"/>
    <w:tmpl w:val="5474813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num w:numId="1" w16cid:durableId="1610120119">
    <w:abstractNumId w:val="10"/>
  </w:num>
  <w:num w:numId="2" w16cid:durableId="919632236">
    <w:abstractNumId w:val="11"/>
  </w:num>
  <w:num w:numId="3" w16cid:durableId="99229428">
    <w:abstractNumId w:val="2"/>
  </w:num>
  <w:num w:numId="4" w16cid:durableId="314338949">
    <w:abstractNumId w:val="6"/>
  </w:num>
  <w:num w:numId="5" w16cid:durableId="970331457">
    <w:abstractNumId w:val="0"/>
  </w:num>
  <w:num w:numId="6" w16cid:durableId="1260261438">
    <w:abstractNumId w:val="8"/>
  </w:num>
  <w:num w:numId="7" w16cid:durableId="1636715397">
    <w:abstractNumId w:val="7"/>
  </w:num>
  <w:num w:numId="8" w16cid:durableId="302348101">
    <w:abstractNumId w:val="3"/>
  </w:num>
  <w:num w:numId="9" w16cid:durableId="1945651084">
    <w:abstractNumId w:val="4"/>
  </w:num>
  <w:num w:numId="10" w16cid:durableId="932975679">
    <w:abstractNumId w:val="9"/>
  </w:num>
  <w:num w:numId="11" w16cid:durableId="206188417">
    <w:abstractNumId w:val="1"/>
  </w:num>
  <w:num w:numId="12" w16cid:durableId="1303466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20"/>
    <w:rsid w:val="00002114"/>
    <w:rsid w:val="00002B59"/>
    <w:rsid w:val="000036DD"/>
    <w:rsid w:val="0000611E"/>
    <w:rsid w:val="00006569"/>
    <w:rsid w:val="00010BC6"/>
    <w:rsid w:val="0001194C"/>
    <w:rsid w:val="0001218A"/>
    <w:rsid w:val="00013265"/>
    <w:rsid w:val="0001362F"/>
    <w:rsid w:val="00013CC9"/>
    <w:rsid w:val="000149AE"/>
    <w:rsid w:val="00014A39"/>
    <w:rsid w:val="00015188"/>
    <w:rsid w:val="00015BC0"/>
    <w:rsid w:val="00020627"/>
    <w:rsid w:val="000221CC"/>
    <w:rsid w:val="00022345"/>
    <w:rsid w:val="0002268E"/>
    <w:rsid w:val="0002269C"/>
    <w:rsid w:val="00023874"/>
    <w:rsid w:val="00024048"/>
    <w:rsid w:val="00026906"/>
    <w:rsid w:val="00031645"/>
    <w:rsid w:val="0003627D"/>
    <w:rsid w:val="00040887"/>
    <w:rsid w:val="00040EE1"/>
    <w:rsid w:val="00041775"/>
    <w:rsid w:val="000434FD"/>
    <w:rsid w:val="00044147"/>
    <w:rsid w:val="00045E2D"/>
    <w:rsid w:val="00047CB4"/>
    <w:rsid w:val="000509B3"/>
    <w:rsid w:val="00051EBE"/>
    <w:rsid w:val="00053C4B"/>
    <w:rsid w:val="000565E8"/>
    <w:rsid w:val="00060A40"/>
    <w:rsid w:val="00064670"/>
    <w:rsid w:val="00064755"/>
    <w:rsid w:val="00065DD1"/>
    <w:rsid w:val="00066BCB"/>
    <w:rsid w:val="00067C5F"/>
    <w:rsid w:val="0007013A"/>
    <w:rsid w:val="00070A08"/>
    <w:rsid w:val="0007114A"/>
    <w:rsid w:val="0007284B"/>
    <w:rsid w:val="0007644B"/>
    <w:rsid w:val="000765BA"/>
    <w:rsid w:val="00084AFB"/>
    <w:rsid w:val="000911F6"/>
    <w:rsid w:val="00091396"/>
    <w:rsid w:val="000916A5"/>
    <w:rsid w:val="00091E88"/>
    <w:rsid w:val="000A0E60"/>
    <w:rsid w:val="000A263A"/>
    <w:rsid w:val="000A311A"/>
    <w:rsid w:val="000A5365"/>
    <w:rsid w:val="000B33DD"/>
    <w:rsid w:val="000B4E5D"/>
    <w:rsid w:val="000C2806"/>
    <w:rsid w:val="000C2C09"/>
    <w:rsid w:val="000D1B90"/>
    <w:rsid w:val="000D2399"/>
    <w:rsid w:val="000D3193"/>
    <w:rsid w:val="000D57D7"/>
    <w:rsid w:val="000E3F70"/>
    <w:rsid w:val="000E4B66"/>
    <w:rsid w:val="000E67EE"/>
    <w:rsid w:val="000E6DA4"/>
    <w:rsid w:val="000F0264"/>
    <w:rsid w:val="000F0EB0"/>
    <w:rsid w:val="000F23F2"/>
    <w:rsid w:val="000F2C00"/>
    <w:rsid w:val="000F3046"/>
    <w:rsid w:val="000F3B90"/>
    <w:rsid w:val="000F763F"/>
    <w:rsid w:val="000F7BF0"/>
    <w:rsid w:val="0010131E"/>
    <w:rsid w:val="00102407"/>
    <w:rsid w:val="00105DF0"/>
    <w:rsid w:val="001118C4"/>
    <w:rsid w:val="00111F1D"/>
    <w:rsid w:val="00113045"/>
    <w:rsid w:val="00114D60"/>
    <w:rsid w:val="001154CC"/>
    <w:rsid w:val="00115C2B"/>
    <w:rsid w:val="00116290"/>
    <w:rsid w:val="00116F55"/>
    <w:rsid w:val="001223EF"/>
    <w:rsid w:val="00122A31"/>
    <w:rsid w:val="0012308C"/>
    <w:rsid w:val="0012376D"/>
    <w:rsid w:val="00123D4C"/>
    <w:rsid w:val="00123DA9"/>
    <w:rsid w:val="00130A37"/>
    <w:rsid w:val="00130AEB"/>
    <w:rsid w:val="0013105F"/>
    <w:rsid w:val="0013462E"/>
    <w:rsid w:val="00135865"/>
    <w:rsid w:val="0013630A"/>
    <w:rsid w:val="0013743D"/>
    <w:rsid w:val="00142432"/>
    <w:rsid w:val="00144B44"/>
    <w:rsid w:val="00146631"/>
    <w:rsid w:val="001466EF"/>
    <w:rsid w:val="001467A1"/>
    <w:rsid w:val="00147750"/>
    <w:rsid w:val="0015155C"/>
    <w:rsid w:val="001517FC"/>
    <w:rsid w:val="00151D31"/>
    <w:rsid w:val="00151DA2"/>
    <w:rsid w:val="00152CCA"/>
    <w:rsid w:val="00153498"/>
    <w:rsid w:val="00164505"/>
    <w:rsid w:val="00172D73"/>
    <w:rsid w:val="0017345C"/>
    <w:rsid w:val="00173A0F"/>
    <w:rsid w:val="00177604"/>
    <w:rsid w:val="001836A5"/>
    <w:rsid w:val="00184D84"/>
    <w:rsid w:val="001852B1"/>
    <w:rsid w:val="00186C2A"/>
    <w:rsid w:val="0018712D"/>
    <w:rsid w:val="00190A9D"/>
    <w:rsid w:val="00191B38"/>
    <w:rsid w:val="00191F22"/>
    <w:rsid w:val="00191FF5"/>
    <w:rsid w:val="001941E2"/>
    <w:rsid w:val="0019529B"/>
    <w:rsid w:val="00195D26"/>
    <w:rsid w:val="001964DC"/>
    <w:rsid w:val="001A02C8"/>
    <w:rsid w:val="001A27AF"/>
    <w:rsid w:val="001A2E12"/>
    <w:rsid w:val="001A4B91"/>
    <w:rsid w:val="001A51B2"/>
    <w:rsid w:val="001B077D"/>
    <w:rsid w:val="001B2C4E"/>
    <w:rsid w:val="001B34E7"/>
    <w:rsid w:val="001B6DDA"/>
    <w:rsid w:val="001C033E"/>
    <w:rsid w:val="001C147F"/>
    <w:rsid w:val="001C61F4"/>
    <w:rsid w:val="001D1787"/>
    <w:rsid w:val="001D1D6C"/>
    <w:rsid w:val="001D2D07"/>
    <w:rsid w:val="001D3A4D"/>
    <w:rsid w:val="001D46B2"/>
    <w:rsid w:val="001D69BD"/>
    <w:rsid w:val="001D71DC"/>
    <w:rsid w:val="001D730B"/>
    <w:rsid w:val="001E1249"/>
    <w:rsid w:val="001E156A"/>
    <w:rsid w:val="001E39EC"/>
    <w:rsid w:val="001E5E73"/>
    <w:rsid w:val="001F0C98"/>
    <w:rsid w:val="001F2A6E"/>
    <w:rsid w:val="001F2BBB"/>
    <w:rsid w:val="001F32A6"/>
    <w:rsid w:val="001F49C4"/>
    <w:rsid w:val="001F5B84"/>
    <w:rsid w:val="00202830"/>
    <w:rsid w:val="00202E8F"/>
    <w:rsid w:val="00206365"/>
    <w:rsid w:val="00210D60"/>
    <w:rsid w:val="002121F5"/>
    <w:rsid w:val="00212D03"/>
    <w:rsid w:val="00213B35"/>
    <w:rsid w:val="00215DC7"/>
    <w:rsid w:val="0021746B"/>
    <w:rsid w:val="002200C7"/>
    <w:rsid w:val="002217A1"/>
    <w:rsid w:val="0022284E"/>
    <w:rsid w:val="002340CC"/>
    <w:rsid w:val="0023604F"/>
    <w:rsid w:val="00237790"/>
    <w:rsid w:val="00237E18"/>
    <w:rsid w:val="0024004F"/>
    <w:rsid w:val="002405DA"/>
    <w:rsid w:val="00245E67"/>
    <w:rsid w:val="00247C05"/>
    <w:rsid w:val="0025551F"/>
    <w:rsid w:val="002575CF"/>
    <w:rsid w:val="0025798E"/>
    <w:rsid w:val="002612C4"/>
    <w:rsid w:val="00261521"/>
    <w:rsid w:val="0026202B"/>
    <w:rsid w:val="0026413F"/>
    <w:rsid w:val="002667F5"/>
    <w:rsid w:val="002676E7"/>
    <w:rsid w:val="0026772C"/>
    <w:rsid w:val="00267DC9"/>
    <w:rsid w:val="00270813"/>
    <w:rsid w:val="00271102"/>
    <w:rsid w:val="002718AA"/>
    <w:rsid w:val="002731EB"/>
    <w:rsid w:val="00275970"/>
    <w:rsid w:val="00277132"/>
    <w:rsid w:val="002771AB"/>
    <w:rsid w:val="002816A0"/>
    <w:rsid w:val="00281C23"/>
    <w:rsid w:val="00284CFB"/>
    <w:rsid w:val="00287C92"/>
    <w:rsid w:val="002924A7"/>
    <w:rsid w:val="0029273A"/>
    <w:rsid w:val="002945C8"/>
    <w:rsid w:val="00294F70"/>
    <w:rsid w:val="002A1F7F"/>
    <w:rsid w:val="002A4B91"/>
    <w:rsid w:val="002A76B7"/>
    <w:rsid w:val="002B1DC4"/>
    <w:rsid w:val="002B57FF"/>
    <w:rsid w:val="002B62E7"/>
    <w:rsid w:val="002B7CAB"/>
    <w:rsid w:val="002C272B"/>
    <w:rsid w:val="002C4A0D"/>
    <w:rsid w:val="002C6269"/>
    <w:rsid w:val="002D3004"/>
    <w:rsid w:val="002D46A1"/>
    <w:rsid w:val="002E18CB"/>
    <w:rsid w:val="002E3B19"/>
    <w:rsid w:val="002E4450"/>
    <w:rsid w:val="002E5FBB"/>
    <w:rsid w:val="002E6A86"/>
    <w:rsid w:val="002F01B6"/>
    <w:rsid w:val="002F2FFE"/>
    <w:rsid w:val="002F3960"/>
    <w:rsid w:val="002F6F04"/>
    <w:rsid w:val="00300160"/>
    <w:rsid w:val="0030031A"/>
    <w:rsid w:val="003009BE"/>
    <w:rsid w:val="003029CC"/>
    <w:rsid w:val="0030572A"/>
    <w:rsid w:val="003063B2"/>
    <w:rsid w:val="0030643F"/>
    <w:rsid w:val="00311CC9"/>
    <w:rsid w:val="003134F4"/>
    <w:rsid w:val="00317086"/>
    <w:rsid w:val="00317E2E"/>
    <w:rsid w:val="0032647A"/>
    <w:rsid w:val="00327EDB"/>
    <w:rsid w:val="00332F7C"/>
    <w:rsid w:val="0034019F"/>
    <w:rsid w:val="00345A1B"/>
    <w:rsid w:val="00351F49"/>
    <w:rsid w:val="00355DE0"/>
    <w:rsid w:val="003572C0"/>
    <w:rsid w:val="00361508"/>
    <w:rsid w:val="00362068"/>
    <w:rsid w:val="00362EFF"/>
    <w:rsid w:val="00363654"/>
    <w:rsid w:val="00371737"/>
    <w:rsid w:val="003742E9"/>
    <w:rsid w:val="00374F3C"/>
    <w:rsid w:val="00380936"/>
    <w:rsid w:val="0038181F"/>
    <w:rsid w:val="00382A1A"/>
    <w:rsid w:val="003836FC"/>
    <w:rsid w:val="0038563C"/>
    <w:rsid w:val="00386E2C"/>
    <w:rsid w:val="00390BC8"/>
    <w:rsid w:val="003916E1"/>
    <w:rsid w:val="00391C3B"/>
    <w:rsid w:val="00392735"/>
    <w:rsid w:val="00393369"/>
    <w:rsid w:val="0039511C"/>
    <w:rsid w:val="0039567B"/>
    <w:rsid w:val="003A0568"/>
    <w:rsid w:val="003A1356"/>
    <w:rsid w:val="003A3D5C"/>
    <w:rsid w:val="003A49EF"/>
    <w:rsid w:val="003A70F5"/>
    <w:rsid w:val="003B2DD6"/>
    <w:rsid w:val="003B7896"/>
    <w:rsid w:val="003C073F"/>
    <w:rsid w:val="003C2FF8"/>
    <w:rsid w:val="003C47CC"/>
    <w:rsid w:val="003C581F"/>
    <w:rsid w:val="003C5BFC"/>
    <w:rsid w:val="003C5CA3"/>
    <w:rsid w:val="003C68ED"/>
    <w:rsid w:val="003C760A"/>
    <w:rsid w:val="003D0674"/>
    <w:rsid w:val="003D1DDA"/>
    <w:rsid w:val="003D1FC0"/>
    <w:rsid w:val="003D20FD"/>
    <w:rsid w:val="003D3E89"/>
    <w:rsid w:val="003D4AD7"/>
    <w:rsid w:val="003D623A"/>
    <w:rsid w:val="003D62C8"/>
    <w:rsid w:val="003D6F51"/>
    <w:rsid w:val="003D772C"/>
    <w:rsid w:val="003E0867"/>
    <w:rsid w:val="003E0EEE"/>
    <w:rsid w:val="003E2FF5"/>
    <w:rsid w:val="003E3B5A"/>
    <w:rsid w:val="003E4188"/>
    <w:rsid w:val="003E5EE2"/>
    <w:rsid w:val="003E6AD6"/>
    <w:rsid w:val="003F616C"/>
    <w:rsid w:val="00400F25"/>
    <w:rsid w:val="00402A8E"/>
    <w:rsid w:val="00403280"/>
    <w:rsid w:val="004037C5"/>
    <w:rsid w:val="00404BEE"/>
    <w:rsid w:val="0040716D"/>
    <w:rsid w:val="00407E96"/>
    <w:rsid w:val="00410864"/>
    <w:rsid w:val="00413B05"/>
    <w:rsid w:val="00413FA1"/>
    <w:rsid w:val="00414577"/>
    <w:rsid w:val="00415BE9"/>
    <w:rsid w:val="00422C30"/>
    <w:rsid w:val="0043174F"/>
    <w:rsid w:val="00435229"/>
    <w:rsid w:val="00436AC1"/>
    <w:rsid w:val="00437A0A"/>
    <w:rsid w:val="0044150F"/>
    <w:rsid w:val="004442F3"/>
    <w:rsid w:val="0044430E"/>
    <w:rsid w:val="004448DF"/>
    <w:rsid w:val="00445676"/>
    <w:rsid w:val="00445A0A"/>
    <w:rsid w:val="0044793E"/>
    <w:rsid w:val="00451B8B"/>
    <w:rsid w:val="0045299F"/>
    <w:rsid w:val="004616D5"/>
    <w:rsid w:val="00463982"/>
    <w:rsid w:val="0046797C"/>
    <w:rsid w:val="004702C7"/>
    <w:rsid w:val="0047173C"/>
    <w:rsid w:val="00473B02"/>
    <w:rsid w:val="00477D6F"/>
    <w:rsid w:val="004809CF"/>
    <w:rsid w:val="004816FA"/>
    <w:rsid w:val="004820F7"/>
    <w:rsid w:val="004833A8"/>
    <w:rsid w:val="00485469"/>
    <w:rsid w:val="004855C0"/>
    <w:rsid w:val="00493AD6"/>
    <w:rsid w:val="00497257"/>
    <w:rsid w:val="004A2E14"/>
    <w:rsid w:val="004A6F72"/>
    <w:rsid w:val="004B0728"/>
    <w:rsid w:val="004B07EE"/>
    <w:rsid w:val="004B1328"/>
    <w:rsid w:val="004B315E"/>
    <w:rsid w:val="004B57FE"/>
    <w:rsid w:val="004B5CF2"/>
    <w:rsid w:val="004B7339"/>
    <w:rsid w:val="004B7823"/>
    <w:rsid w:val="004C0805"/>
    <w:rsid w:val="004C484D"/>
    <w:rsid w:val="004C6C88"/>
    <w:rsid w:val="004D1F23"/>
    <w:rsid w:val="004D2C7D"/>
    <w:rsid w:val="004D39DB"/>
    <w:rsid w:val="004D442E"/>
    <w:rsid w:val="004D67A4"/>
    <w:rsid w:val="004E2837"/>
    <w:rsid w:val="004E331A"/>
    <w:rsid w:val="004F3B0A"/>
    <w:rsid w:val="004F453B"/>
    <w:rsid w:val="004F5758"/>
    <w:rsid w:val="00502ACB"/>
    <w:rsid w:val="005039C2"/>
    <w:rsid w:val="00505891"/>
    <w:rsid w:val="00505930"/>
    <w:rsid w:val="00506EBE"/>
    <w:rsid w:val="00506FC3"/>
    <w:rsid w:val="00510AD3"/>
    <w:rsid w:val="0051218C"/>
    <w:rsid w:val="00514352"/>
    <w:rsid w:val="0051457D"/>
    <w:rsid w:val="00522AA5"/>
    <w:rsid w:val="0052382C"/>
    <w:rsid w:val="00523E77"/>
    <w:rsid w:val="00527B6C"/>
    <w:rsid w:val="00531938"/>
    <w:rsid w:val="0053365F"/>
    <w:rsid w:val="00534858"/>
    <w:rsid w:val="005359F4"/>
    <w:rsid w:val="00540B35"/>
    <w:rsid w:val="00540E33"/>
    <w:rsid w:val="00540F59"/>
    <w:rsid w:val="005413EE"/>
    <w:rsid w:val="0055057C"/>
    <w:rsid w:val="00551E02"/>
    <w:rsid w:val="005543B7"/>
    <w:rsid w:val="00554548"/>
    <w:rsid w:val="0055798A"/>
    <w:rsid w:val="00557BCB"/>
    <w:rsid w:val="00561F87"/>
    <w:rsid w:val="0056293B"/>
    <w:rsid w:val="00564492"/>
    <w:rsid w:val="00566D5A"/>
    <w:rsid w:val="00571B79"/>
    <w:rsid w:val="00573136"/>
    <w:rsid w:val="005750F7"/>
    <w:rsid w:val="00586D2A"/>
    <w:rsid w:val="00590197"/>
    <w:rsid w:val="00591EAA"/>
    <w:rsid w:val="00593B7F"/>
    <w:rsid w:val="00595FCE"/>
    <w:rsid w:val="0059722B"/>
    <w:rsid w:val="00597384"/>
    <w:rsid w:val="0059759B"/>
    <w:rsid w:val="0059763D"/>
    <w:rsid w:val="005A0763"/>
    <w:rsid w:val="005A108A"/>
    <w:rsid w:val="005A1304"/>
    <w:rsid w:val="005A1577"/>
    <w:rsid w:val="005A2989"/>
    <w:rsid w:val="005A794B"/>
    <w:rsid w:val="005B5F59"/>
    <w:rsid w:val="005B66D7"/>
    <w:rsid w:val="005B7657"/>
    <w:rsid w:val="005B7BFB"/>
    <w:rsid w:val="005C223D"/>
    <w:rsid w:val="005C40D3"/>
    <w:rsid w:val="005C7D2C"/>
    <w:rsid w:val="005D0DB1"/>
    <w:rsid w:val="005E129F"/>
    <w:rsid w:val="005E2EB1"/>
    <w:rsid w:val="005E6B9D"/>
    <w:rsid w:val="005E7012"/>
    <w:rsid w:val="005F1CAA"/>
    <w:rsid w:val="005F253B"/>
    <w:rsid w:val="005F2A8C"/>
    <w:rsid w:val="005F2E1B"/>
    <w:rsid w:val="005F3069"/>
    <w:rsid w:val="005F73FA"/>
    <w:rsid w:val="006014FC"/>
    <w:rsid w:val="00602AC5"/>
    <w:rsid w:val="00603141"/>
    <w:rsid w:val="00606C0F"/>
    <w:rsid w:val="006078B9"/>
    <w:rsid w:val="006125CA"/>
    <w:rsid w:val="006145B4"/>
    <w:rsid w:val="006220E8"/>
    <w:rsid w:val="0062296C"/>
    <w:rsid w:val="0062388E"/>
    <w:rsid w:val="00625944"/>
    <w:rsid w:val="006259DC"/>
    <w:rsid w:val="00626DA9"/>
    <w:rsid w:val="006279D0"/>
    <w:rsid w:val="00631F71"/>
    <w:rsid w:val="0063360F"/>
    <w:rsid w:val="00635669"/>
    <w:rsid w:val="00636715"/>
    <w:rsid w:val="00637746"/>
    <w:rsid w:val="00641AD0"/>
    <w:rsid w:val="00643895"/>
    <w:rsid w:val="00644E90"/>
    <w:rsid w:val="00646D7C"/>
    <w:rsid w:val="006474CE"/>
    <w:rsid w:val="00650EB0"/>
    <w:rsid w:val="00651C57"/>
    <w:rsid w:val="00651EBA"/>
    <w:rsid w:val="00652A47"/>
    <w:rsid w:val="00655420"/>
    <w:rsid w:val="0065581A"/>
    <w:rsid w:val="006560AA"/>
    <w:rsid w:val="00661BB2"/>
    <w:rsid w:val="00663E0F"/>
    <w:rsid w:val="006653B3"/>
    <w:rsid w:val="006660DC"/>
    <w:rsid w:val="00666F3D"/>
    <w:rsid w:val="0066701C"/>
    <w:rsid w:val="00667410"/>
    <w:rsid w:val="00671CD6"/>
    <w:rsid w:val="0067433D"/>
    <w:rsid w:val="006759BB"/>
    <w:rsid w:val="00677A48"/>
    <w:rsid w:val="0068041B"/>
    <w:rsid w:val="006828EC"/>
    <w:rsid w:val="00685E20"/>
    <w:rsid w:val="00687209"/>
    <w:rsid w:val="006872A7"/>
    <w:rsid w:val="0069025B"/>
    <w:rsid w:val="006910F2"/>
    <w:rsid w:val="00693C23"/>
    <w:rsid w:val="006956C1"/>
    <w:rsid w:val="00695922"/>
    <w:rsid w:val="006A155C"/>
    <w:rsid w:val="006A3953"/>
    <w:rsid w:val="006B1BB6"/>
    <w:rsid w:val="006B28C3"/>
    <w:rsid w:val="006B2D41"/>
    <w:rsid w:val="006B3C8E"/>
    <w:rsid w:val="006C2E15"/>
    <w:rsid w:val="006C4F4C"/>
    <w:rsid w:val="006C67C4"/>
    <w:rsid w:val="006C6E4E"/>
    <w:rsid w:val="006D35E6"/>
    <w:rsid w:val="006D3B05"/>
    <w:rsid w:val="006D5E3B"/>
    <w:rsid w:val="006E1070"/>
    <w:rsid w:val="006E6D19"/>
    <w:rsid w:val="006E7470"/>
    <w:rsid w:val="006F1918"/>
    <w:rsid w:val="006F197E"/>
    <w:rsid w:val="006F1C9D"/>
    <w:rsid w:val="006F488C"/>
    <w:rsid w:val="007057A3"/>
    <w:rsid w:val="007107BD"/>
    <w:rsid w:val="00715AEC"/>
    <w:rsid w:val="00715CB9"/>
    <w:rsid w:val="00715E0E"/>
    <w:rsid w:val="00717548"/>
    <w:rsid w:val="0072433C"/>
    <w:rsid w:val="00727EDF"/>
    <w:rsid w:val="00731FCE"/>
    <w:rsid w:val="00733796"/>
    <w:rsid w:val="00736A6C"/>
    <w:rsid w:val="00737A17"/>
    <w:rsid w:val="00737E00"/>
    <w:rsid w:val="00742FE1"/>
    <w:rsid w:val="0074476B"/>
    <w:rsid w:val="00744DA1"/>
    <w:rsid w:val="00744FF1"/>
    <w:rsid w:val="007467DD"/>
    <w:rsid w:val="00746E82"/>
    <w:rsid w:val="00747316"/>
    <w:rsid w:val="00747676"/>
    <w:rsid w:val="00751308"/>
    <w:rsid w:val="007514D3"/>
    <w:rsid w:val="007532CB"/>
    <w:rsid w:val="00753A4B"/>
    <w:rsid w:val="00753E48"/>
    <w:rsid w:val="0075669B"/>
    <w:rsid w:val="007623BE"/>
    <w:rsid w:val="007633CA"/>
    <w:rsid w:val="00763834"/>
    <w:rsid w:val="00763F0F"/>
    <w:rsid w:val="00765069"/>
    <w:rsid w:val="00765638"/>
    <w:rsid w:val="00770743"/>
    <w:rsid w:val="0077354F"/>
    <w:rsid w:val="00773690"/>
    <w:rsid w:val="00774E5E"/>
    <w:rsid w:val="00777191"/>
    <w:rsid w:val="00780123"/>
    <w:rsid w:val="0078363E"/>
    <w:rsid w:val="00784F14"/>
    <w:rsid w:val="00785850"/>
    <w:rsid w:val="00790F33"/>
    <w:rsid w:val="00792101"/>
    <w:rsid w:val="0079373A"/>
    <w:rsid w:val="007938BE"/>
    <w:rsid w:val="00795C79"/>
    <w:rsid w:val="007962EA"/>
    <w:rsid w:val="00796644"/>
    <w:rsid w:val="00797498"/>
    <w:rsid w:val="007A3872"/>
    <w:rsid w:val="007A40C5"/>
    <w:rsid w:val="007A60E7"/>
    <w:rsid w:val="007A6A92"/>
    <w:rsid w:val="007A72C8"/>
    <w:rsid w:val="007B11AA"/>
    <w:rsid w:val="007B5848"/>
    <w:rsid w:val="007B7AE8"/>
    <w:rsid w:val="007C2606"/>
    <w:rsid w:val="007C27D5"/>
    <w:rsid w:val="007C436D"/>
    <w:rsid w:val="007C5411"/>
    <w:rsid w:val="007C5D6B"/>
    <w:rsid w:val="007C70EA"/>
    <w:rsid w:val="007D0BB5"/>
    <w:rsid w:val="007D0C4D"/>
    <w:rsid w:val="007D0F5C"/>
    <w:rsid w:val="007D134E"/>
    <w:rsid w:val="007D1998"/>
    <w:rsid w:val="007D1CE0"/>
    <w:rsid w:val="007D2EC3"/>
    <w:rsid w:val="007D3B9B"/>
    <w:rsid w:val="007D4F5A"/>
    <w:rsid w:val="007E0A47"/>
    <w:rsid w:val="007E15E7"/>
    <w:rsid w:val="007E28B8"/>
    <w:rsid w:val="007E36D6"/>
    <w:rsid w:val="007E5EE2"/>
    <w:rsid w:val="007E7026"/>
    <w:rsid w:val="007E7F49"/>
    <w:rsid w:val="007F0A69"/>
    <w:rsid w:val="007F1E26"/>
    <w:rsid w:val="007F2A66"/>
    <w:rsid w:val="007F5AE1"/>
    <w:rsid w:val="007F6DDB"/>
    <w:rsid w:val="007F7715"/>
    <w:rsid w:val="00802633"/>
    <w:rsid w:val="00805EFB"/>
    <w:rsid w:val="00810BBC"/>
    <w:rsid w:val="008116DF"/>
    <w:rsid w:val="00812E55"/>
    <w:rsid w:val="0081447B"/>
    <w:rsid w:val="00815F0F"/>
    <w:rsid w:val="00816CA0"/>
    <w:rsid w:val="008211FE"/>
    <w:rsid w:val="00822458"/>
    <w:rsid w:val="00824301"/>
    <w:rsid w:val="00825DB1"/>
    <w:rsid w:val="00827F01"/>
    <w:rsid w:val="0083201D"/>
    <w:rsid w:val="00835288"/>
    <w:rsid w:val="008371CE"/>
    <w:rsid w:val="00844646"/>
    <w:rsid w:val="00845850"/>
    <w:rsid w:val="0084672F"/>
    <w:rsid w:val="0085006C"/>
    <w:rsid w:val="00850C09"/>
    <w:rsid w:val="0085170E"/>
    <w:rsid w:val="0085218B"/>
    <w:rsid w:val="00853612"/>
    <w:rsid w:val="0085460B"/>
    <w:rsid w:val="008546A4"/>
    <w:rsid w:val="008615B2"/>
    <w:rsid w:val="008649C7"/>
    <w:rsid w:val="00867FAB"/>
    <w:rsid w:val="00870047"/>
    <w:rsid w:val="008700B2"/>
    <w:rsid w:val="0087057E"/>
    <w:rsid w:val="00880ABA"/>
    <w:rsid w:val="00884DC9"/>
    <w:rsid w:val="00884E70"/>
    <w:rsid w:val="008874F5"/>
    <w:rsid w:val="00887AF6"/>
    <w:rsid w:val="00891052"/>
    <w:rsid w:val="00891096"/>
    <w:rsid w:val="00891265"/>
    <w:rsid w:val="00891EE6"/>
    <w:rsid w:val="0089329A"/>
    <w:rsid w:val="00897BC0"/>
    <w:rsid w:val="008A42B2"/>
    <w:rsid w:val="008A7BDD"/>
    <w:rsid w:val="008B1480"/>
    <w:rsid w:val="008B158B"/>
    <w:rsid w:val="008B483E"/>
    <w:rsid w:val="008B5B0C"/>
    <w:rsid w:val="008C0233"/>
    <w:rsid w:val="008C03A4"/>
    <w:rsid w:val="008C1FFD"/>
    <w:rsid w:val="008C21B6"/>
    <w:rsid w:val="008C245D"/>
    <w:rsid w:val="008C44D2"/>
    <w:rsid w:val="008C4D68"/>
    <w:rsid w:val="008D35EC"/>
    <w:rsid w:val="008D3DDB"/>
    <w:rsid w:val="008D4676"/>
    <w:rsid w:val="008D4C97"/>
    <w:rsid w:val="008D4FCC"/>
    <w:rsid w:val="008E1A71"/>
    <w:rsid w:val="008E5E69"/>
    <w:rsid w:val="008E60E8"/>
    <w:rsid w:val="008E63D0"/>
    <w:rsid w:val="008E6A69"/>
    <w:rsid w:val="008F1966"/>
    <w:rsid w:val="008F497D"/>
    <w:rsid w:val="0090187B"/>
    <w:rsid w:val="00902EB4"/>
    <w:rsid w:val="0090516D"/>
    <w:rsid w:val="00905467"/>
    <w:rsid w:val="00907ED0"/>
    <w:rsid w:val="00911D4A"/>
    <w:rsid w:val="0091281F"/>
    <w:rsid w:val="00913051"/>
    <w:rsid w:val="009133EC"/>
    <w:rsid w:val="00913449"/>
    <w:rsid w:val="00913939"/>
    <w:rsid w:val="00913BD6"/>
    <w:rsid w:val="00914630"/>
    <w:rsid w:val="00916335"/>
    <w:rsid w:val="00916479"/>
    <w:rsid w:val="009169A8"/>
    <w:rsid w:val="00917ACB"/>
    <w:rsid w:val="00921D1D"/>
    <w:rsid w:val="00923713"/>
    <w:rsid w:val="00925406"/>
    <w:rsid w:val="009258CE"/>
    <w:rsid w:val="00927E49"/>
    <w:rsid w:val="00933AF9"/>
    <w:rsid w:val="00935F6C"/>
    <w:rsid w:val="009374B4"/>
    <w:rsid w:val="00942FC2"/>
    <w:rsid w:val="00943E17"/>
    <w:rsid w:val="009446F6"/>
    <w:rsid w:val="00944E66"/>
    <w:rsid w:val="009471BB"/>
    <w:rsid w:val="00951FCE"/>
    <w:rsid w:val="00951FEF"/>
    <w:rsid w:val="0095528B"/>
    <w:rsid w:val="00960217"/>
    <w:rsid w:val="009613E9"/>
    <w:rsid w:val="00965479"/>
    <w:rsid w:val="009674DA"/>
    <w:rsid w:val="00971237"/>
    <w:rsid w:val="00972AA1"/>
    <w:rsid w:val="00973AEA"/>
    <w:rsid w:val="0098301B"/>
    <w:rsid w:val="00986FDB"/>
    <w:rsid w:val="0099015E"/>
    <w:rsid w:val="009914C9"/>
    <w:rsid w:val="0099221A"/>
    <w:rsid w:val="0099297D"/>
    <w:rsid w:val="00993105"/>
    <w:rsid w:val="009978C7"/>
    <w:rsid w:val="009A0611"/>
    <w:rsid w:val="009A22B1"/>
    <w:rsid w:val="009A3E0D"/>
    <w:rsid w:val="009A687D"/>
    <w:rsid w:val="009B0659"/>
    <w:rsid w:val="009B0BE8"/>
    <w:rsid w:val="009B0C12"/>
    <w:rsid w:val="009B3BB2"/>
    <w:rsid w:val="009B596E"/>
    <w:rsid w:val="009B62B0"/>
    <w:rsid w:val="009C1DC6"/>
    <w:rsid w:val="009C68AF"/>
    <w:rsid w:val="009D01B1"/>
    <w:rsid w:val="009D08E6"/>
    <w:rsid w:val="009D0AC8"/>
    <w:rsid w:val="009E7C26"/>
    <w:rsid w:val="009F24BA"/>
    <w:rsid w:val="009F5AAD"/>
    <w:rsid w:val="009F678C"/>
    <w:rsid w:val="009F6A85"/>
    <w:rsid w:val="00A0137D"/>
    <w:rsid w:val="00A02D2A"/>
    <w:rsid w:val="00A02DA0"/>
    <w:rsid w:val="00A04BC4"/>
    <w:rsid w:val="00A05AD4"/>
    <w:rsid w:val="00A06D04"/>
    <w:rsid w:val="00A10066"/>
    <w:rsid w:val="00A11162"/>
    <w:rsid w:val="00A11FC8"/>
    <w:rsid w:val="00A147EE"/>
    <w:rsid w:val="00A15742"/>
    <w:rsid w:val="00A15FD7"/>
    <w:rsid w:val="00A16CB4"/>
    <w:rsid w:val="00A22096"/>
    <w:rsid w:val="00A242C5"/>
    <w:rsid w:val="00A24DB7"/>
    <w:rsid w:val="00A2640F"/>
    <w:rsid w:val="00A27D03"/>
    <w:rsid w:val="00A32712"/>
    <w:rsid w:val="00A33E58"/>
    <w:rsid w:val="00A40117"/>
    <w:rsid w:val="00A42FAC"/>
    <w:rsid w:val="00A43F3C"/>
    <w:rsid w:val="00A508FF"/>
    <w:rsid w:val="00A57E9E"/>
    <w:rsid w:val="00A61FF6"/>
    <w:rsid w:val="00A62F43"/>
    <w:rsid w:val="00A66260"/>
    <w:rsid w:val="00A70A77"/>
    <w:rsid w:val="00A719A0"/>
    <w:rsid w:val="00A73AA6"/>
    <w:rsid w:val="00A7437C"/>
    <w:rsid w:val="00A75687"/>
    <w:rsid w:val="00A77BE7"/>
    <w:rsid w:val="00A80743"/>
    <w:rsid w:val="00A80C13"/>
    <w:rsid w:val="00A834E9"/>
    <w:rsid w:val="00A83807"/>
    <w:rsid w:val="00A850C0"/>
    <w:rsid w:val="00A85B73"/>
    <w:rsid w:val="00A867CD"/>
    <w:rsid w:val="00A87019"/>
    <w:rsid w:val="00A87F03"/>
    <w:rsid w:val="00A94F30"/>
    <w:rsid w:val="00AA2598"/>
    <w:rsid w:val="00AA53CA"/>
    <w:rsid w:val="00AA5B24"/>
    <w:rsid w:val="00AA71EF"/>
    <w:rsid w:val="00AB507F"/>
    <w:rsid w:val="00AC0F9F"/>
    <w:rsid w:val="00AC329F"/>
    <w:rsid w:val="00AC7177"/>
    <w:rsid w:val="00AC76E6"/>
    <w:rsid w:val="00AC772F"/>
    <w:rsid w:val="00AC78FF"/>
    <w:rsid w:val="00AD6280"/>
    <w:rsid w:val="00AD6C7F"/>
    <w:rsid w:val="00AD764B"/>
    <w:rsid w:val="00AE0D13"/>
    <w:rsid w:val="00AE0DAB"/>
    <w:rsid w:val="00AE1D3A"/>
    <w:rsid w:val="00AE3A44"/>
    <w:rsid w:val="00AE687A"/>
    <w:rsid w:val="00B00B8F"/>
    <w:rsid w:val="00B041B3"/>
    <w:rsid w:val="00B127D0"/>
    <w:rsid w:val="00B13632"/>
    <w:rsid w:val="00B16BF4"/>
    <w:rsid w:val="00B20121"/>
    <w:rsid w:val="00B2042E"/>
    <w:rsid w:val="00B2160E"/>
    <w:rsid w:val="00B25264"/>
    <w:rsid w:val="00B259EF"/>
    <w:rsid w:val="00B335CF"/>
    <w:rsid w:val="00B342FC"/>
    <w:rsid w:val="00B34E45"/>
    <w:rsid w:val="00B35C5A"/>
    <w:rsid w:val="00B3602D"/>
    <w:rsid w:val="00B4021C"/>
    <w:rsid w:val="00B44303"/>
    <w:rsid w:val="00B45B45"/>
    <w:rsid w:val="00B46D29"/>
    <w:rsid w:val="00B50428"/>
    <w:rsid w:val="00B530D0"/>
    <w:rsid w:val="00B54342"/>
    <w:rsid w:val="00B55BE9"/>
    <w:rsid w:val="00B55FA6"/>
    <w:rsid w:val="00B56DA9"/>
    <w:rsid w:val="00B605D6"/>
    <w:rsid w:val="00B6672F"/>
    <w:rsid w:val="00B67815"/>
    <w:rsid w:val="00B7024D"/>
    <w:rsid w:val="00B70720"/>
    <w:rsid w:val="00B71442"/>
    <w:rsid w:val="00B72306"/>
    <w:rsid w:val="00B73539"/>
    <w:rsid w:val="00B739B4"/>
    <w:rsid w:val="00B751D2"/>
    <w:rsid w:val="00B825CA"/>
    <w:rsid w:val="00B835C5"/>
    <w:rsid w:val="00B867F1"/>
    <w:rsid w:val="00B86816"/>
    <w:rsid w:val="00B902E3"/>
    <w:rsid w:val="00B94946"/>
    <w:rsid w:val="00B9576F"/>
    <w:rsid w:val="00B95E23"/>
    <w:rsid w:val="00B964E4"/>
    <w:rsid w:val="00B969D6"/>
    <w:rsid w:val="00B9735E"/>
    <w:rsid w:val="00BA00BA"/>
    <w:rsid w:val="00BA3387"/>
    <w:rsid w:val="00BA538E"/>
    <w:rsid w:val="00BB0C83"/>
    <w:rsid w:val="00BB2463"/>
    <w:rsid w:val="00BB355A"/>
    <w:rsid w:val="00BB359B"/>
    <w:rsid w:val="00BB4CCB"/>
    <w:rsid w:val="00BB6450"/>
    <w:rsid w:val="00BB78C1"/>
    <w:rsid w:val="00BC0319"/>
    <w:rsid w:val="00BC2208"/>
    <w:rsid w:val="00BC26F4"/>
    <w:rsid w:val="00BC3824"/>
    <w:rsid w:val="00BC3C2B"/>
    <w:rsid w:val="00BC4591"/>
    <w:rsid w:val="00BC5516"/>
    <w:rsid w:val="00BD0772"/>
    <w:rsid w:val="00BD0B13"/>
    <w:rsid w:val="00BD33FB"/>
    <w:rsid w:val="00BD34F1"/>
    <w:rsid w:val="00BD6B4C"/>
    <w:rsid w:val="00BF268C"/>
    <w:rsid w:val="00BF33A2"/>
    <w:rsid w:val="00BF38EA"/>
    <w:rsid w:val="00BF5099"/>
    <w:rsid w:val="00BF5A76"/>
    <w:rsid w:val="00BF6AC5"/>
    <w:rsid w:val="00BF6B3A"/>
    <w:rsid w:val="00BF6E94"/>
    <w:rsid w:val="00C02592"/>
    <w:rsid w:val="00C03F24"/>
    <w:rsid w:val="00C0466D"/>
    <w:rsid w:val="00C0485E"/>
    <w:rsid w:val="00C05439"/>
    <w:rsid w:val="00C10634"/>
    <w:rsid w:val="00C10C68"/>
    <w:rsid w:val="00C126A8"/>
    <w:rsid w:val="00C12814"/>
    <w:rsid w:val="00C14072"/>
    <w:rsid w:val="00C15D80"/>
    <w:rsid w:val="00C17B77"/>
    <w:rsid w:val="00C17B7E"/>
    <w:rsid w:val="00C223E9"/>
    <w:rsid w:val="00C22F62"/>
    <w:rsid w:val="00C25150"/>
    <w:rsid w:val="00C2515F"/>
    <w:rsid w:val="00C27536"/>
    <w:rsid w:val="00C30A66"/>
    <w:rsid w:val="00C31B41"/>
    <w:rsid w:val="00C3224D"/>
    <w:rsid w:val="00C322E8"/>
    <w:rsid w:val="00C324C6"/>
    <w:rsid w:val="00C33B97"/>
    <w:rsid w:val="00C350F2"/>
    <w:rsid w:val="00C36885"/>
    <w:rsid w:val="00C37E15"/>
    <w:rsid w:val="00C402D5"/>
    <w:rsid w:val="00C44D6E"/>
    <w:rsid w:val="00C4538D"/>
    <w:rsid w:val="00C47725"/>
    <w:rsid w:val="00C47DB3"/>
    <w:rsid w:val="00C51579"/>
    <w:rsid w:val="00C519AA"/>
    <w:rsid w:val="00C569C2"/>
    <w:rsid w:val="00C578F8"/>
    <w:rsid w:val="00C6352F"/>
    <w:rsid w:val="00C64526"/>
    <w:rsid w:val="00C65EBB"/>
    <w:rsid w:val="00C6642B"/>
    <w:rsid w:val="00C73E60"/>
    <w:rsid w:val="00C73EB8"/>
    <w:rsid w:val="00C743E4"/>
    <w:rsid w:val="00C76B73"/>
    <w:rsid w:val="00C8052D"/>
    <w:rsid w:val="00C829AA"/>
    <w:rsid w:val="00C83F53"/>
    <w:rsid w:val="00C848B5"/>
    <w:rsid w:val="00C87076"/>
    <w:rsid w:val="00C92221"/>
    <w:rsid w:val="00C92763"/>
    <w:rsid w:val="00C930C8"/>
    <w:rsid w:val="00C931A6"/>
    <w:rsid w:val="00C96600"/>
    <w:rsid w:val="00CA07DC"/>
    <w:rsid w:val="00CA16FD"/>
    <w:rsid w:val="00CA2947"/>
    <w:rsid w:val="00CA69BB"/>
    <w:rsid w:val="00CA70A4"/>
    <w:rsid w:val="00CB29DE"/>
    <w:rsid w:val="00CB4473"/>
    <w:rsid w:val="00CB7EFF"/>
    <w:rsid w:val="00CC10B4"/>
    <w:rsid w:val="00CC2D21"/>
    <w:rsid w:val="00CC2D54"/>
    <w:rsid w:val="00CC3284"/>
    <w:rsid w:val="00CC3C01"/>
    <w:rsid w:val="00CC4099"/>
    <w:rsid w:val="00CC44F1"/>
    <w:rsid w:val="00CC51A2"/>
    <w:rsid w:val="00CC6F64"/>
    <w:rsid w:val="00CC733D"/>
    <w:rsid w:val="00CD5F97"/>
    <w:rsid w:val="00CE1185"/>
    <w:rsid w:val="00CE3397"/>
    <w:rsid w:val="00CE6ABB"/>
    <w:rsid w:val="00CE7094"/>
    <w:rsid w:val="00CE78A7"/>
    <w:rsid w:val="00CF34FE"/>
    <w:rsid w:val="00CF3CF6"/>
    <w:rsid w:val="00D033EC"/>
    <w:rsid w:val="00D06E7C"/>
    <w:rsid w:val="00D07D8C"/>
    <w:rsid w:val="00D128CC"/>
    <w:rsid w:val="00D14AE8"/>
    <w:rsid w:val="00D168AC"/>
    <w:rsid w:val="00D22668"/>
    <w:rsid w:val="00D241D7"/>
    <w:rsid w:val="00D27242"/>
    <w:rsid w:val="00D34471"/>
    <w:rsid w:val="00D35408"/>
    <w:rsid w:val="00D364C9"/>
    <w:rsid w:val="00D404C3"/>
    <w:rsid w:val="00D50BF6"/>
    <w:rsid w:val="00D55176"/>
    <w:rsid w:val="00D57677"/>
    <w:rsid w:val="00D60302"/>
    <w:rsid w:val="00D617D4"/>
    <w:rsid w:val="00D62568"/>
    <w:rsid w:val="00D62D0D"/>
    <w:rsid w:val="00D72794"/>
    <w:rsid w:val="00D73229"/>
    <w:rsid w:val="00D73D54"/>
    <w:rsid w:val="00D74341"/>
    <w:rsid w:val="00D771F4"/>
    <w:rsid w:val="00D843CC"/>
    <w:rsid w:val="00D86C0D"/>
    <w:rsid w:val="00D86D9F"/>
    <w:rsid w:val="00DA14FA"/>
    <w:rsid w:val="00DA4594"/>
    <w:rsid w:val="00DA5383"/>
    <w:rsid w:val="00DB0060"/>
    <w:rsid w:val="00DC108C"/>
    <w:rsid w:val="00DC1B95"/>
    <w:rsid w:val="00DC749D"/>
    <w:rsid w:val="00DC7F00"/>
    <w:rsid w:val="00DD73D0"/>
    <w:rsid w:val="00DE42A4"/>
    <w:rsid w:val="00DE4457"/>
    <w:rsid w:val="00DE5544"/>
    <w:rsid w:val="00DE5A45"/>
    <w:rsid w:val="00DE794E"/>
    <w:rsid w:val="00DF0084"/>
    <w:rsid w:val="00DF2632"/>
    <w:rsid w:val="00DF38A3"/>
    <w:rsid w:val="00DF6360"/>
    <w:rsid w:val="00DF7C1E"/>
    <w:rsid w:val="00E02365"/>
    <w:rsid w:val="00E02E1A"/>
    <w:rsid w:val="00E03B67"/>
    <w:rsid w:val="00E049E0"/>
    <w:rsid w:val="00E1065A"/>
    <w:rsid w:val="00E1171D"/>
    <w:rsid w:val="00E20A82"/>
    <w:rsid w:val="00E2150E"/>
    <w:rsid w:val="00E23E8D"/>
    <w:rsid w:val="00E27A27"/>
    <w:rsid w:val="00E3402A"/>
    <w:rsid w:val="00E37372"/>
    <w:rsid w:val="00E37B6F"/>
    <w:rsid w:val="00E400F4"/>
    <w:rsid w:val="00E40260"/>
    <w:rsid w:val="00E44674"/>
    <w:rsid w:val="00E47EB2"/>
    <w:rsid w:val="00E506F4"/>
    <w:rsid w:val="00E52DAE"/>
    <w:rsid w:val="00E5309F"/>
    <w:rsid w:val="00E538AB"/>
    <w:rsid w:val="00E567C7"/>
    <w:rsid w:val="00E600B5"/>
    <w:rsid w:val="00E62C97"/>
    <w:rsid w:val="00E63B69"/>
    <w:rsid w:val="00E6496A"/>
    <w:rsid w:val="00E70AEA"/>
    <w:rsid w:val="00E714F8"/>
    <w:rsid w:val="00E71762"/>
    <w:rsid w:val="00E72AB1"/>
    <w:rsid w:val="00E802C4"/>
    <w:rsid w:val="00E80BD8"/>
    <w:rsid w:val="00E83177"/>
    <w:rsid w:val="00E84BA4"/>
    <w:rsid w:val="00E85184"/>
    <w:rsid w:val="00E91494"/>
    <w:rsid w:val="00E96FD7"/>
    <w:rsid w:val="00EA1166"/>
    <w:rsid w:val="00EA753F"/>
    <w:rsid w:val="00EA7AFD"/>
    <w:rsid w:val="00EB03FC"/>
    <w:rsid w:val="00EB0F51"/>
    <w:rsid w:val="00EB2060"/>
    <w:rsid w:val="00EB421A"/>
    <w:rsid w:val="00EC07A5"/>
    <w:rsid w:val="00EC174D"/>
    <w:rsid w:val="00EC1DB4"/>
    <w:rsid w:val="00EC4D56"/>
    <w:rsid w:val="00EC769D"/>
    <w:rsid w:val="00ED13D6"/>
    <w:rsid w:val="00ED21BB"/>
    <w:rsid w:val="00ED22E2"/>
    <w:rsid w:val="00ED75F7"/>
    <w:rsid w:val="00ED7A68"/>
    <w:rsid w:val="00EE324E"/>
    <w:rsid w:val="00EE3569"/>
    <w:rsid w:val="00EE5FCA"/>
    <w:rsid w:val="00EE7B48"/>
    <w:rsid w:val="00EF2FE1"/>
    <w:rsid w:val="00EF4B6B"/>
    <w:rsid w:val="00EF624C"/>
    <w:rsid w:val="00F02CBA"/>
    <w:rsid w:val="00F10356"/>
    <w:rsid w:val="00F1145D"/>
    <w:rsid w:val="00F153B4"/>
    <w:rsid w:val="00F15C61"/>
    <w:rsid w:val="00F166FE"/>
    <w:rsid w:val="00F2065F"/>
    <w:rsid w:val="00F24A26"/>
    <w:rsid w:val="00F30E26"/>
    <w:rsid w:val="00F316E3"/>
    <w:rsid w:val="00F3304D"/>
    <w:rsid w:val="00F40E2B"/>
    <w:rsid w:val="00F4287B"/>
    <w:rsid w:val="00F44768"/>
    <w:rsid w:val="00F5018F"/>
    <w:rsid w:val="00F566BD"/>
    <w:rsid w:val="00F57B30"/>
    <w:rsid w:val="00F61468"/>
    <w:rsid w:val="00F62A18"/>
    <w:rsid w:val="00F653CF"/>
    <w:rsid w:val="00F6645C"/>
    <w:rsid w:val="00F70B01"/>
    <w:rsid w:val="00F72184"/>
    <w:rsid w:val="00F759AF"/>
    <w:rsid w:val="00F75B7A"/>
    <w:rsid w:val="00F779DB"/>
    <w:rsid w:val="00F77DF1"/>
    <w:rsid w:val="00F800DD"/>
    <w:rsid w:val="00F8087A"/>
    <w:rsid w:val="00F83C28"/>
    <w:rsid w:val="00F8506B"/>
    <w:rsid w:val="00F864C3"/>
    <w:rsid w:val="00F87219"/>
    <w:rsid w:val="00F91C6E"/>
    <w:rsid w:val="00F929ED"/>
    <w:rsid w:val="00F9394A"/>
    <w:rsid w:val="00F941F3"/>
    <w:rsid w:val="00F95317"/>
    <w:rsid w:val="00F963E1"/>
    <w:rsid w:val="00F9779E"/>
    <w:rsid w:val="00FA04CD"/>
    <w:rsid w:val="00FB1421"/>
    <w:rsid w:val="00FB1F1B"/>
    <w:rsid w:val="00FB224A"/>
    <w:rsid w:val="00FB3D77"/>
    <w:rsid w:val="00FB65A1"/>
    <w:rsid w:val="00FC027B"/>
    <w:rsid w:val="00FC45A7"/>
    <w:rsid w:val="00FC5765"/>
    <w:rsid w:val="00FC5E56"/>
    <w:rsid w:val="00FC77A8"/>
    <w:rsid w:val="00FD009E"/>
    <w:rsid w:val="00FD0182"/>
    <w:rsid w:val="00FD020D"/>
    <w:rsid w:val="00FD07EB"/>
    <w:rsid w:val="00FD1418"/>
    <w:rsid w:val="00FD2CEE"/>
    <w:rsid w:val="00FD2DD8"/>
    <w:rsid w:val="00FD5ED8"/>
    <w:rsid w:val="00FE2251"/>
    <w:rsid w:val="00FE23FC"/>
    <w:rsid w:val="00FE5D65"/>
    <w:rsid w:val="00FE6C82"/>
    <w:rsid w:val="00FF0505"/>
    <w:rsid w:val="00FF19B0"/>
    <w:rsid w:val="00FF4149"/>
    <w:rsid w:val="00FF6634"/>
    <w:rsid w:val="6BEC65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C31301"/>
  <w15:chartTrackingRefBased/>
  <w15:docId w15:val="{75BE7ABF-E108-4FAB-B817-08CBB6E8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CD6"/>
    <w:rPr>
      <w:sz w:val="24"/>
      <w:szCs w:val="24"/>
    </w:rPr>
  </w:style>
  <w:style w:type="paragraph" w:styleId="Heading1">
    <w:name w:val="heading 1"/>
    <w:basedOn w:val="Normal"/>
    <w:next w:val="Normal"/>
    <w:qFormat/>
    <w:rsid w:val="00671CD6"/>
    <w:pPr>
      <w:keepNext/>
      <w:autoSpaceDE w:val="0"/>
      <w:autoSpaceDN w:val="0"/>
      <w:adjustRightInd w:val="0"/>
      <w:outlineLvl w:val="0"/>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71CD6"/>
    <w:pPr>
      <w:autoSpaceDE w:val="0"/>
      <w:autoSpaceDN w:val="0"/>
      <w:adjustRightInd w:val="0"/>
      <w:spacing w:before="283"/>
    </w:pPr>
    <w:rPr>
      <w:sz w:val="22"/>
      <w:szCs w:val="22"/>
    </w:rPr>
  </w:style>
  <w:style w:type="paragraph" w:styleId="BalloonText">
    <w:name w:val="Balloon Text"/>
    <w:basedOn w:val="Normal"/>
    <w:link w:val="BalloonTextChar"/>
    <w:uiPriority w:val="99"/>
    <w:semiHidden/>
    <w:unhideWhenUsed/>
    <w:rsid w:val="0034019F"/>
    <w:rPr>
      <w:rFonts w:ascii="Tahoma" w:hAnsi="Tahoma"/>
      <w:sz w:val="16"/>
      <w:szCs w:val="16"/>
      <w:lang w:val="x-none" w:eastAsia="x-none"/>
    </w:rPr>
  </w:style>
  <w:style w:type="character" w:customStyle="1" w:styleId="BalloonTextChar">
    <w:name w:val="Balloon Text Char"/>
    <w:link w:val="BalloonText"/>
    <w:uiPriority w:val="99"/>
    <w:semiHidden/>
    <w:rsid w:val="0034019F"/>
    <w:rPr>
      <w:rFonts w:ascii="Tahoma" w:hAnsi="Tahoma" w:cs="Tahoma"/>
      <w:sz w:val="16"/>
      <w:szCs w:val="16"/>
    </w:rPr>
  </w:style>
  <w:style w:type="character" w:styleId="CommentReference">
    <w:name w:val="annotation reference"/>
    <w:uiPriority w:val="99"/>
    <w:semiHidden/>
    <w:unhideWhenUsed/>
    <w:rsid w:val="0034019F"/>
    <w:rPr>
      <w:sz w:val="16"/>
      <w:szCs w:val="16"/>
    </w:rPr>
  </w:style>
  <w:style w:type="paragraph" w:styleId="CommentText">
    <w:name w:val="annotation text"/>
    <w:basedOn w:val="Normal"/>
    <w:link w:val="CommentTextChar"/>
    <w:uiPriority w:val="99"/>
    <w:unhideWhenUsed/>
    <w:rsid w:val="0034019F"/>
    <w:rPr>
      <w:sz w:val="20"/>
      <w:szCs w:val="20"/>
    </w:rPr>
  </w:style>
  <w:style w:type="character" w:customStyle="1" w:styleId="CommentTextChar">
    <w:name w:val="Comment Text Char"/>
    <w:basedOn w:val="DefaultParagraphFont"/>
    <w:link w:val="CommentText"/>
    <w:uiPriority w:val="99"/>
    <w:rsid w:val="0034019F"/>
  </w:style>
  <w:style w:type="paragraph" w:styleId="CommentSubject">
    <w:name w:val="annotation subject"/>
    <w:basedOn w:val="CommentText"/>
    <w:next w:val="CommentText"/>
    <w:link w:val="CommentSubjectChar"/>
    <w:uiPriority w:val="99"/>
    <w:semiHidden/>
    <w:unhideWhenUsed/>
    <w:rsid w:val="0034019F"/>
    <w:rPr>
      <w:b/>
      <w:bCs/>
      <w:lang w:val="x-none" w:eastAsia="x-none"/>
    </w:rPr>
  </w:style>
  <w:style w:type="character" w:customStyle="1" w:styleId="CommentSubjectChar">
    <w:name w:val="Comment Subject Char"/>
    <w:link w:val="CommentSubject"/>
    <w:uiPriority w:val="99"/>
    <w:semiHidden/>
    <w:rsid w:val="0034019F"/>
    <w:rPr>
      <w:b/>
      <w:bCs/>
    </w:rPr>
  </w:style>
  <w:style w:type="paragraph" w:styleId="BodyTextIndent">
    <w:name w:val="Body Text Indent"/>
    <w:basedOn w:val="Normal"/>
    <w:link w:val="BodyTextIndentChar"/>
    <w:uiPriority w:val="99"/>
    <w:semiHidden/>
    <w:unhideWhenUsed/>
    <w:rsid w:val="00CC3284"/>
    <w:pPr>
      <w:spacing w:after="120"/>
      <w:ind w:left="360"/>
    </w:pPr>
    <w:rPr>
      <w:lang w:val="x-none" w:eastAsia="x-none"/>
    </w:rPr>
  </w:style>
  <w:style w:type="character" w:customStyle="1" w:styleId="BodyTextIndentChar">
    <w:name w:val="Body Text Indent Char"/>
    <w:link w:val="BodyTextIndent"/>
    <w:uiPriority w:val="99"/>
    <w:semiHidden/>
    <w:rsid w:val="00CC3284"/>
    <w:rPr>
      <w:sz w:val="24"/>
      <w:szCs w:val="24"/>
    </w:rPr>
  </w:style>
  <w:style w:type="character" w:styleId="Hyperlink">
    <w:name w:val="Hyperlink"/>
    <w:rsid w:val="00A147EE"/>
    <w:rPr>
      <w:color w:val="0000FF"/>
      <w:u w:val="single"/>
    </w:rPr>
  </w:style>
  <w:style w:type="paragraph" w:styleId="FootnoteText">
    <w:name w:val="footnote text"/>
    <w:aliases w:val="C,Footnote Text Char Char Char,Footnote Text Char Char Char Char Char,Footnote Text Char1,Footnote Text Char1 Char,Footnote Text Char1 Char Char,Footnote Text Char1 Char Char Char,Footnote Text Char1 Char Char Char Char Char,Style 15,fn,ft"/>
    <w:basedOn w:val="Normal"/>
    <w:link w:val="FootnoteTextChar"/>
    <w:uiPriority w:val="99"/>
    <w:qFormat/>
    <w:rsid w:val="00A147EE"/>
    <w:rPr>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uiPriority w:val="99"/>
    <w:rsid w:val="00A147EE"/>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qFormat/>
    <w:rsid w:val="00A147EE"/>
    <w:rPr>
      <w:vertAlign w:val="superscript"/>
    </w:rPr>
  </w:style>
  <w:style w:type="paragraph" w:styleId="ListParagraph">
    <w:name w:val="List Paragraph"/>
    <w:basedOn w:val="Normal"/>
    <w:uiPriority w:val="34"/>
    <w:qFormat/>
    <w:rsid w:val="00045E2D"/>
    <w:pPr>
      <w:ind w:left="720"/>
    </w:pPr>
    <w:rPr>
      <w:rFonts w:ascii="Calibri" w:eastAsia="Calibri" w:hAnsi="Calibri"/>
      <w:sz w:val="22"/>
      <w:szCs w:val="22"/>
    </w:rPr>
  </w:style>
  <w:style w:type="paragraph" w:customStyle="1" w:styleId="Default">
    <w:name w:val="Default"/>
    <w:rsid w:val="005F2A8C"/>
    <w:pPr>
      <w:autoSpaceDE w:val="0"/>
      <w:autoSpaceDN w:val="0"/>
      <w:adjustRightInd w:val="0"/>
    </w:pPr>
    <w:rPr>
      <w:color w:val="000000"/>
      <w:sz w:val="24"/>
      <w:szCs w:val="24"/>
    </w:rPr>
  </w:style>
  <w:style w:type="paragraph" w:styleId="Header">
    <w:name w:val="header"/>
    <w:basedOn w:val="Normal"/>
    <w:link w:val="HeaderChar"/>
    <w:uiPriority w:val="99"/>
    <w:unhideWhenUsed/>
    <w:rsid w:val="00E506F4"/>
    <w:pPr>
      <w:tabs>
        <w:tab w:val="center" w:pos="4680"/>
        <w:tab w:val="right" w:pos="9360"/>
      </w:tabs>
    </w:pPr>
  </w:style>
  <w:style w:type="character" w:customStyle="1" w:styleId="HeaderChar">
    <w:name w:val="Header Char"/>
    <w:link w:val="Header"/>
    <w:uiPriority w:val="99"/>
    <w:rsid w:val="00E506F4"/>
    <w:rPr>
      <w:sz w:val="24"/>
      <w:szCs w:val="24"/>
    </w:rPr>
  </w:style>
  <w:style w:type="paragraph" w:styleId="Footer">
    <w:name w:val="footer"/>
    <w:basedOn w:val="Normal"/>
    <w:link w:val="FooterChar"/>
    <w:uiPriority w:val="99"/>
    <w:unhideWhenUsed/>
    <w:rsid w:val="00E506F4"/>
    <w:pPr>
      <w:tabs>
        <w:tab w:val="center" w:pos="4680"/>
        <w:tab w:val="right" w:pos="9360"/>
      </w:tabs>
    </w:pPr>
  </w:style>
  <w:style w:type="character" w:customStyle="1" w:styleId="FooterChar">
    <w:name w:val="Footer Char"/>
    <w:link w:val="Footer"/>
    <w:uiPriority w:val="99"/>
    <w:rsid w:val="00E506F4"/>
    <w:rPr>
      <w:sz w:val="24"/>
      <w:szCs w:val="24"/>
    </w:rPr>
  </w:style>
  <w:style w:type="character" w:styleId="FollowedHyperlink">
    <w:name w:val="FollowedHyperlink"/>
    <w:uiPriority w:val="99"/>
    <w:semiHidden/>
    <w:unhideWhenUsed/>
    <w:rsid w:val="00EA1166"/>
    <w:rPr>
      <w:color w:val="954F72"/>
      <w:u w:val="single"/>
    </w:rPr>
  </w:style>
  <w:style w:type="paragraph" w:styleId="HTMLPreformatted">
    <w:name w:val="HTML Preformatted"/>
    <w:basedOn w:val="Normal"/>
    <w:link w:val="HTMLPreformattedChar"/>
    <w:unhideWhenUsed/>
    <w:rsid w:val="00AA5B24"/>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link w:val="HTMLPreformatted"/>
    <w:rsid w:val="00AA5B24"/>
    <w:rPr>
      <w:rFonts w:ascii="Consolas" w:hAnsi="Consolas" w:cs="Consolas"/>
    </w:rPr>
  </w:style>
  <w:style w:type="paragraph" w:customStyle="1" w:styleId="psection-2">
    <w:name w:val="psection-2"/>
    <w:basedOn w:val="Normal"/>
    <w:rsid w:val="00355DE0"/>
    <w:pPr>
      <w:spacing w:before="100" w:beforeAutospacing="1" w:after="100" w:afterAutospacing="1"/>
    </w:pPr>
  </w:style>
  <w:style w:type="character" w:customStyle="1" w:styleId="enumxml">
    <w:name w:val="enumxml"/>
    <w:rsid w:val="00355DE0"/>
  </w:style>
  <w:style w:type="paragraph" w:customStyle="1" w:styleId="psection-3">
    <w:name w:val="psection-3"/>
    <w:basedOn w:val="Normal"/>
    <w:rsid w:val="00355DE0"/>
    <w:pPr>
      <w:spacing w:before="100" w:beforeAutospacing="1" w:after="100" w:afterAutospacing="1"/>
    </w:pPr>
  </w:style>
  <w:style w:type="paragraph" w:customStyle="1" w:styleId="psection-1">
    <w:name w:val="psection-1"/>
    <w:basedOn w:val="Normal"/>
    <w:rsid w:val="00355DE0"/>
    <w:pPr>
      <w:spacing w:before="100" w:beforeAutospacing="1" w:after="100" w:afterAutospacing="1"/>
    </w:pPr>
  </w:style>
  <w:style w:type="paragraph" w:styleId="Revision">
    <w:name w:val="Revision"/>
    <w:hidden/>
    <w:uiPriority w:val="99"/>
    <w:semiHidden/>
    <w:rsid w:val="006B3C8E"/>
    <w:rPr>
      <w:sz w:val="24"/>
      <w:szCs w:val="24"/>
    </w:rPr>
  </w:style>
  <w:style w:type="character" w:styleId="UnresolvedMention">
    <w:name w:val="Unresolved Mention"/>
    <w:basedOn w:val="DefaultParagraphFont"/>
    <w:uiPriority w:val="99"/>
    <w:semiHidden/>
    <w:unhideWhenUsed/>
    <w:rsid w:val="005A1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5/09/30/2025-18928/agency-information-collection-activities-proposed-renewal-comment-request-renewal-without-change-on" TargetMode="External" /><Relationship Id="rId2" Type="http://schemas.openxmlformats.org/officeDocument/2006/relationships/hyperlink" Target="https://www.regulations.gov/document/FINCEN-2025-0039-0001/comment" TargetMode="External" /><Relationship Id="rId3" Type="http://schemas.openxmlformats.org/officeDocument/2006/relationships/hyperlink" Target="https://www.federalregister.gov/documents/2014/04/14/2014-08254/privacy-act-of-1974-as-amended-system-of-records-notice" TargetMode="External" /><Relationship Id="rId4" Type="http://schemas.openxmlformats.org/officeDocument/2006/relationships/hyperlink" Target="https://www.federalregister.gov/documents/2022/07/11/2022-14638/agency-information-collection-activities-proposed-renewal-comment-request-renewal-without-change-on" TargetMode="External" /><Relationship Id="rId5" Type="http://schemas.openxmlformats.org/officeDocument/2006/relationships/hyperlink" Target="https://www.reginfo.gov/public/do/PRAViewICR?ref_nbr=202209-1506-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ocID xmlns="97799977-bd8d-4c2c-be17-53de5e175de9">35f5150d-616d-4e7c-962c-75ffbfeeb181</DocID>
    <CaseID xmlns="97799977-bd8d-4c2c-be17-53de5e175de9">202512-TFI-13712</CaseID>
    <Category xmlns="97799977-bd8d-4c2c-be17-53de5e175de9">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6E932D25637A47BCF5ADA99E37EC61" ma:contentTypeVersion="4" ma:contentTypeDescription="Create a new document." ma:contentTypeScope="" ma:versionID="99dc770cd1936adfe6b283cd966f7f99">
  <xsd:schema xmlns:xsd="http://www.w3.org/2001/XMLSchema" xmlns:xs="http://www.w3.org/2001/XMLSchema" xmlns:p="http://schemas.microsoft.com/office/2006/metadata/properties" xmlns:ns2="97799977-bd8d-4c2c-be17-53de5e175de9" xmlns:ns3="91882c98-ad7c-457b-bb99-16138be0c2aa" targetNamespace="http://schemas.microsoft.com/office/2006/metadata/properties" ma:root="true" ma:fieldsID="bb87e42044cac04bd7f082c430bb41ee" ns2:_="" ns3:_="">
    <xsd:import namespace="97799977-bd8d-4c2c-be17-53de5e175de9"/>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99977-bd8d-4c2c-be17-53de5e175de9"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ADA6B-133B-4805-A54A-59C611DAE2AD}">
  <ds:schemaRefs>
    <ds:schemaRef ds:uri="http://schemas.microsoft.com/office/2006/metadata/properties"/>
    <ds:schemaRef ds:uri="http://schemas.microsoft.com/office/infopath/2007/PartnerControls"/>
    <ds:schemaRef ds:uri="97799977-bd8d-4c2c-be17-53de5e175de9"/>
  </ds:schemaRefs>
</ds:datastoreItem>
</file>

<file path=customXml/itemProps2.xml><?xml version="1.0" encoding="utf-8"?>
<ds:datastoreItem xmlns:ds="http://schemas.openxmlformats.org/officeDocument/2006/customXml" ds:itemID="{636ABC52-D881-484E-B007-3E6BD613D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99977-bd8d-4c2c-be17-53de5e175de9"/>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7EC17-65B9-44B1-BEA9-AC1CF6A6D8A8}">
  <ds:schemaRefs>
    <ds:schemaRef ds:uri="http://schemas.microsoft.com/sharepoint/v3/contenttype/forms"/>
  </ds:schemaRefs>
</ds:datastoreItem>
</file>

<file path=customXml/itemProps4.xml><?xml version="1.0" encoding="utf-8"?>
<ds:datastoreItem xmlns:ds="http://schemas.openxmlformats.org/officeDocument/2006/customXml" ds:itemID="{6D38BC13-A741-41E7-B20C-96C9488E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2575</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Information Technology</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StephR</dc:creator>
  <cp:lastModifiedBy>Clark, Spencer</cp:lastModifiedBy>
  <cp:revision>2</cp:revision>
  <cp:lastPrinted>2016-05-10T08:34:00Z</cp:lastPrinted>
  <dcterms:created xsi:type="dcterms:W3CDTF">2025-12-22T20:14:00Z</dcterms:created>
  <dcterms:modified xsi:type="dcterms:W3CDTF">2025-12-22T20:14:00Z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0x010100106E932D25637A47BCF5ADA99E37EC61</vt:lpwstr>
  </property>
</Properties>
</file>