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011B6" w14:paraId="088D3BE2" w14:textId="77777777">
      <w:pPr>
        <w:pStyle w:val="Title"/>
        <w:rPr>
          <w:rFonts w:ascii="Times New Roman" w:hAnsi="Times New Roman"/>
          <w:sz w:val="24"/>
          <w:szCs w:val="24"/>
        </w:rPr>
      </w:pPr>
    </w:p>
    <w:p w:rsidR="00386054" w:rsidRPr="00EF7FF5" w14:paraId="088D3BE3" w14:textId="77777777">
      <w:pPr>
        <w:pStyle w:val="Title"/>
        <w:rPr>
          <w:rFonts w:ascii="Times New Roman" w:hAnsi="Times New Roman"/>
          <w:sz w:val="24"/>
          <w:szCs w:val="24"/>
        </w:rPr>
      </w:pPr>
      <w:r w:rsidRPr="00E023B7">
        <w:rPr>
          <w:rFonts w:ascii="Times New Roman" w:hAnsi="Times New Roman"/>
          <w:sz w:val="24"/>
          <w:szCs w:val="24"/>
        </w:rPr>
        <w:tab/>
      </w:r>
      <w:r w:rsidRPr="00EF7FF5">
        <w:rPr>
          <w:rFonts w:ascii="Times New Roman" w:hAnsi="Times New Roman"/>
          <w:sz w:val="24"/>
          <w:szCs w:val="24"/>
        </w:rPr>
        <w:t>SUPPORTING STATEMENT</w:t>
      </w:r>
    </w:p>
    <w:p w:rsidR="00386054" w:rsidRPr="00EF7FF5" w14:paraId="088D3BE4" w14:textId="77777777">
      <w:pPr>
        <w:pStyle w:val="Title"/>
        <w:rPr>
          <w:rFonts w:ascii="Times New Roman" w:hAnsi="Times New Roman"/>
          <w:sz w:val="24"/>
          <w:szCs w:val="24"/>
        </w:rPr>
      </w:pPr>
      <w:r w:rsidRPr="00E023B7">
        <w:rPr>
          <w:rFonts w:ascii="Times New Roman" w:hAnsi="Times New Roman"/>
          <w:sz w:val="24"/>
          <w:szCs w:val="24"/>
        </w:rPr>
        <w:tab/>
      </w:r>
      <w:r w:rsidRPr="00EF7FF5">
        <w:rPr>
          <w:rFonts w:ascii="Times New Roman" w:hAnsi="Times New Roman"/>
          <w:sz w:val="24"/>
          <w:szCs w:val="24"/>
        </w:rPr>
        <w:t>FOR PAPERWORK REDUCTION ACT SUBMISSION</w:t>
      </w:r>
    </w:p>
    <w:p w:rsidR="00386054" w:rsidRPr="00EF7FF5" w14:paraId="088D3BE5" w14:textId="77777777">
      <w:pPr>
        <w:tabs>
          <w:tab w:val="left" w:pos="0"/>
        </w:tabs>
        <w:suppressAutoHyphens/>
        <w:rPr>
          <w:rFonts w:ascii="Times New Roman" w:hAnsi="Times New Roman"/>
          <w:b/>
          <w:szCs w:val="24"/>
        </w:rPr>
      </w:pPr>
    </w:p>
    <w:p w:rsidR="00386054" w:rsidRPr="00EF7FF5" w14:paraId="088D3BE7" w14:textId="77777777">
      <w:pPr>
        <w:tabs>
          <w:tab w:val="left" w:pos="0"/>
        </w:tabs>
        <w:suppressAutoHyphens/>
        <w:rPr>
          <w:rFonts w:ascii="Times New Roman" w:hAnsi="Times New Roman"/>
          <w:szCs w:val="24"/>
        </w:rPr>
      </w:pPr>
      <w:r w:rsidRPr="00EF7FF5">
        <w:rPr>
          <w:rFonts w:ascii="Times New Roman" w:hAnsi="Times New Roman"/>
          <w:b/>
          <w:szCs w:val="24"/>
        </w:rPr>
        <w:t xml:space="preserve">A. Justification </w:t>
      </w:r>
    </w:p>
    <w:p w:rsidR="00386054" w:rsidRPr="00EF7FF5" w14:paraId="088D3BE8" w14:textId="77777777">
      <w:pPr>
        <w:tabs>
          <w:tab w:val="left" w:pos="0"/>
        </w:tabs>
        <w:suppressAutoHyphens/>
        <w:rPr>
          <w:rFonts w:ascii="Times New Roman" w:hAnsi="Times New Roman"/>
          <w:szCs w:val="24"/>
        </w:rPr>
      </w:pPr>
    </w:p>
    <w:p w:rsidR="000B2665" w:rsidRPr="00490D87" w:rsidP="00490D87" w14:paraId="24236275" w14:textId="38D073EA">
      <w:pPr>
        <w:pStyle w:val="ListParagraph"/>
        <w:suppressAutoHyphens/>
        <w:ind w:left="0"/>
        <w:contextualSpacing w:val="0"/>
        <w:rPr>
          <w:rFonts w:ascii="Times New Roman" w:hAnsi="Times New Roman"/>
          <w:szCs w:val="24"/>
        </w:rPr>
      </w:pPr>
      <w:r>
        <w:rPr>
          <w:rFonts w:ascii="Times New Roman" w:hAnsi="Times New Roman"/>
          <w:szCs w:val="24"/>
        </w:rPr>
        <w:t xml:space="preserve">1.  </w:t>
      </w:r>
      <w:r w:rsidRPr="00490D87">
        <w:rPr>
          <w:rStyle w:val="Heading2Char"/>
          <w:rFonts w:ascii="Times New Roman" w:hAnsi="Times New Roman"/>
          <w:b w:val="0"/>
          <w:bCs w:val="0"/>
          <w:sz w:val="24"/>
          <w:szCs w:val="24"/>
        </w:rPr>
        <w:t>Explain the circumstances</w:t>
      </w:r>
      <w:r w:rsidRPr="00490D87">
        <w:rPr>
          <w:rFonts w:ascii="Times New Roman" w:hAnsi="Times New Roman"/>
          <w:szCs w:val="24"/>
        </w:rPr>
        <w:t xml:space="preserve"> that make the collection of information necessary.  What is the purpose for this information collection? Identify any legal or administrative requirements that necessitate the collection.  Include a citation that authorizes the collection of information. Specify the review type of the collection (new, revision, extension, reinstatement with change, reinstatement without change). If revised, briefly specify the changes.  If a rulemaking is involved, list the sections with a brief description of the information collection requirement, and/or changes to sections, if applicable.</w:t>
      </w:r>
    </w:p>
    <w:p w:rsidR="00386054" w14:paraId="088D3BEA" w14:textId="77777777">
      <w:pPr>
        <w:tabs>
          <w:tab w:val="left" w:pos="0"/>
        </w:tabs>
        <w:suppressAutoHyphens/>
        <w:rPr>
          <w:rFonts w:ascii="Times New Roman" w:hAnsi="Times New Roman"/>
          <w:szCs w:val="24"/>
        </w:rPr>
      </w:pPr>
    </w:p>
    <w:p w:rsidR="00102B59" w:rsidRPr="00390CC3" w:rsidP="00390CC3" w14:paraId="088D3BED" w14:textId="59D9194F">
      <w:pPr>
        <w:ind w:left="720"/>
        <w:rPr>
          <w:rFonts w:ascii="Times New Roman" w:hAnsi="Times New Roman"/>
          <w:color w:val="1F497D"/>
        </w:rPr>
      </w:pPr>
      <w:r w:rsidRPr="002A1DEB">
        <w:rPr>
          <w:rFonts w:ascii="Times New Roman" w:hAnsi="Times New Roman"/>
          <w:b/>
          <w:szCs w:val="24"/>
        </w:rPr>
        <w:t xml:space="preserve">This collection of information is necessary in order for the Secretary of Education to award grants under </w:t>
      </w:r>
      <w:r w:rsidR="007A49C9">
        <w:rPr>
          <w:rFonts w:ascii="Times New Roman" w:hAnsi="Times New Roman"/>
          <w:b/>
          <w:szCs w:val="24"/>
        </w:rPr>
        <w:t>Section 312</w:t>
      </w:r>
      <w:r w:rsidRPr="002A1DEB">
        <w:rPr>
          <w:rFonts w:ascii="Times New Roman" w:hAnsi="Times New Roman"/>
          <w:b/>
          <w:szCs w:val="24"/>
        </w:rPr>
        <w:t xml:space="preserve"> of the Higher Education Act of 1965, as amended (HEA).</w:t>
      </w:r>
      <w:r w:rsidR="00D26E18">
        <w:rPr>
          <w:rFonts w:ascii="Times New Roman" w:hAnsi="Times New Roman"/>
          <w:b/>
          <w:szCs w:val="24"/>
        </w:rPr>
        <w:t xml:space="preserve">  Applicable statutes and regulations are available at</w:t>
      </w:r>
      <w:r w:rsidR="00080670">
        <w:t xml:space="preserve"> </w:t>
      </w:r>
      <w:hyperlink r:id="rId10" w:history="1">
        <w:r w:rsidRPr="000876DF" w:rsidR="00080670">
          <w:rPr>
            <w:rStyle w:val="Hyperlink"/>
            <w:rFonts w:ascii="Times New Roman" w:hAnsi="Times New Roman"/>
            <w:b/>
            <w:bCs/>
          </w:rPr>
          <w:t>https://www.ed.gov/grants-and-programs/grants-higher-education/eligibility-designations-higher-education-programs</w:t>
        </w:r>
      </w:hyperlink>
      <w:r w:rsidRPr="00D26E18" w:rsidR="00D26E18">
        <w:rPr>
          <w:rFonts w:ascii="Times New Roman" w:hAnsi="Times New Roman"/>
          <w:b/>
          <w:color w:val="1F497D"/>
        </w:rPr>
        <w:t>.</w:t>
      </w:r>
      <w:r w:rsidR="00390CC3">
        <w:rPr>
          <w:rFonts w:ascii="Times New Roman" w:hAnsi="Times New Roman"/>
          <w:color w:val="1F497D"/>
        </w:rPr>
        <w:t xml:space="preserve">  </w:t>
      </w:r>
    </w:p>
    <w:p w:rsidR="004405E6" w:rsidP="00102B59" w14:paraId="79C32593" w14:textId="1221905E">
      <w:pPr>
        <w:ind w:left="720"/>
        <w:rPr>
          <w:rFonts w:ascii="Times New Roman" w:hAnsi="Times New Roman"/>
          <w:b/>
          <w:szCs w:val="24"/>
        </w:rPr>
      </w:pPr>
    </w:p>
    <w:p w:rsidR="004405E6" w:rsidP="00102B59" w14:paraId="5BC43B3E" w14:textId="1F3EB464">
      <w:pPr>
        <w:ind w:left="720"/>
        <w:rPr>
          <w:rFonts w:ascii="Times New Roman" w:hAnsi="Times New Roman"/>
          <w:b/>
          <w:szCs w:val="24"/>
        </w:rPr>
      </w:pPr>
      <w:r>
        <w:rPr>
          <w:rFonts w:ascii="Times New Roman" w:hAnsi="Times New Roman"/>
          <w:b/>
          <w:szCs w:val="24"/>
        </w:rPr>
        <w:t xml:space="preserve">Tribally-Controlled Colleges and Universities (TCCU) and Historically Black Colleges and Universities (HBCU) are exempt from the non-Federal Cost-share match requirement for the Federal Work-Study Program, Federal Supplemental Educational Opportunity Grants Program, </w:t>
      </w:r>
      <w:r w:rsidR="00FD3020">
        <w:rPr>
          <w:rFonts w:ascii="Times New Roman" w:hAnsi="Times New Roman"/>
          <w:b/>
          <w:szCs w:val="24"/>
        </w:rPr>
        <w:t xml:space="preserve">and </w:t>
      </w:r>
      <w:r>
        <w:rPr>
          <w:rFonts w:ascii="Times New Roman" w:hAnsi="Times New Roman"/>
          <w:b/>
          <w:szCs w:val="24"/>
        </w:rPr>
        <w:t xml:space="preserve">TRIO Student Support Services Program.  </w:t>
      </w:r>
      <w:r w:rsidR="00E115FC">
        <w:rPr>
          <w:rFonts w:ascii="Times New Roman" w:hAnsi="Times New Roman"/>
          <w:b/>
          <w:szCs w:val="24"/>
        </w:rPr>
        <w:t xml:space="preserve">TCCUs and HBCUs </w:t>
      </w:r>
      <w:r>
        <w:rPr>
          <w:rFonts w:ascii="Times New Roman" w:hAnsi="Times New Roman"/>
          <w:b/>
          <w:szCs w:val="24"/>
        </w:rPr>
        <w:t>do not need to apply for eligibility designation.</w:t>
      </w:r>
    </w:p>
    <w:p w:rsidR="00F52E4F" w:rsidP="00102B59" w14:paraId="088D3BEE" w14:textId="77777777">
      <w:pPr>
        <w:ind w:left="720"/>
        <w:rPr>
          <w:rFonts w:ascii="Times New Roman" w:hAnsi="Times New Roman"/>
          <w:b/>
          <w:szCs w:val="24"/>
        </w:rPr>
      </w:pPr>
    </w:p>
    <w:p w:rsidR="00390CC3" w:rsidP="00390CC3" w14:paraId="4E0F797E" w14:textId="761209B1">
      <w:pPr>
        <w:ind w:left="720"/>
        <w:rPr>
          <w:rFonts w:ascii="Times New Roman" w:hAnsi="Times New Roman"/>
          <w:b/>
          <w:szCs w:val="24"/>
        </w:rPr>
      </w:pPr>
      <w:r>
        <w:rPr>
          <w:rFonts w:ascii="Times New Roman" w:hAnsi="Times New Roman"/>
          <w:b/>
          <w:szCs w:val="24"/>
        </w:rPr>
        <w:t xml:space="preserve">Institutions of Higher Education currently receiving funds </w:t>
      </w:r>
      <w:r w:rsidR="000A2EC8">
        <w:rPr>
          <w:rFonts w:ascii="Times New Roman" w:hAnsi="Times New Roman"/>
          <w:b/>
          <w:szCs w:val="24"/>
        </w:rPr>
        <w:t>for grant programs under Section 312</w:t>
      </w:r>
      <w:r w:rsidRPr="002A1DEB" w:rsidR="000A2EC8">
        <w:rPr>
          <w:rFonts w:ascii="Times New Roman" w:hAnsi="Times New Roman"/>
          <w:b/>
          <w:szCs w:val="24"/>
        </w:rPr>
        <w:t xml:space="preserve"> of the Higher Education Act of 1965</w:t>
      </w:r>
      <w:r w:rsidR="000A2EC8">
        <w:rPr>
          <w:rFonts w:ascii="Times New Roman" w:hAnsi="Times New Roman"/>
          <w:b/>
          <w:szCs w:val="24"/>
        </w:rPr>
        <w:t xml:space="preserve"> </w:t>
      </w:r>
      <w:r>
        <w:rPr>
          <w:rFonts w:ascii="Times New Roman" w:hAnsi="Times New Roman"/>
          <w:b/>
          <w:szCs w:val="24"/>
        </w:rPr>
        <w:t>do not need to apply for the eligibility designation unless they intend to apply for a new grant award.</w:t>
      </w:r>
    </w:p>
    <w:p w:rsidR="00390CC3" w:rsidP="00390CC3" w14:paraId="42B4C1D9" w14:textId="77777777">
      <w:pPr>
        <w:ind w:left="720"/>
        <w:rPr>
          <w:rFonts w:ascii="Times New Roman" w:hAnsi="Times New Roman"/>
          <w:b/>
          <w:szCs w:val="24"/>
        </w:rPr>
      </w:pPr>
    </w:p>
    <w:p w:rsidR="00F52E4F" w:rsidRPr="002A1DEB" w:rsidP="00102B59" w14:paraId="088D3BEF" w14:textId="77777777">
      <w:pPr>
        <w:ind w:left="720"/>
        <w:rPr>
          <w:rFonts w:ascii="Times New Roman" w:hAnsi="Times New Roman"/>
          <w:b/>
          <w:szCs w:val="24"/>
        </w:rPr>
      </w:pPr>
      <w:r>
        <w:rPr>
          <w:rFonts w:ascii="Times New Roman" w:hAnsi="Times New Roman"/>
          <w:b/>
          <w:szCs w:val="24"/>
        </w:rPr>
        <w:t>The review type of this collection is an extension.</w:t>
      </w:r>
    </w:p>
    <w:p w:rsidR="00102B59" w:rsidP="00102B59" w14:paraId="088D3BF0" w14:textId="77777777">
      <w:pPr>
        <w:ind w:left="720"/>
        <w:rPr>
          <w:rFonts w:ascii="Arial" w:hAnsi="Arial"/>
        </w:rPr>
      </w:pPr>
    </w:p>
    <w:p w:rsidR="00386054" w14:paraId="088D3BF1" w14:textId="77777777">
      <w:pPr>
        <w:tabs>
          <w:tab w:val="left" w:pos="-720"/>
        </w:tabs>
        <w:suppressAutoHyphens/>
        <w:rPr>
          <w:rFonts w:ascii="Times New Roman" w:hAnsi="Times New Roman"/>
          <w:szCs w:val="24"/>
        </w:rPr>
      </w:pPr>
      <w:r w:rsidRPr="00EF7FF5">
        <w:rPr>
          <w:rFonts w:ascii="Times New Roman" w:hAnsi="Times New Roman"/>
          <w:szCs w:val="24"/>
        </w:rPr>
        <w:t>2.  Indicate how, by whom, and for what purpose the information is to be used.  Except for a new collection, indicate the actual use the agency has made of the information received from the current collection.</w:t>
      </w:r>
      <w:r w:rsidR="00050CBE">
        <w:rPr>
          <w:rFonts w:ascii="Times New Roman" w:hAnsi="Times New Roman"/>
          <w:szCs w:val="24"/>
        </w:rPr>
        <w:t xml:space="preserve"> </w:t>
      </w:r>
    </w:p>
    <w:p w:rsidR="00314A02" w14:paraId="088D3BF2" w14:textId="77777777">
      <w:pPr>
        <w:tabs>
          <w:tab w:val="left" w:pos="-720"/>
        </w:tabs>
        <w:suppressAutoHyphens/>
        <w:rPr>
          <w:rFonts w:ascii="Times New Roman" w:hAnsi="Times New Roman"/>
          <w:szCs w:val="24"/>
        </w:rPr>
      </w:pPr>
    </w:p>
    <w:p w:rsidR="00314A02" w:rsidRPr="00314A02" w:rsidP="00314A02" w14:paraId="088D3BF3" w14:textId="5C4F1851">
      <w:pPr>
        <w:autoSpaceDE w:val="0"/>
        <w:autoSpaceDN w:val="0"/>
        <w:adjustRightInd w:val="0"/>
        <w:ind w:left="720"/>
        <w:rPr>
          <w:rFonts w:ascii="Times New Roman" w:hAnsi="Times New Roman"/>
          <w:b/>
          <w:szCs w:val="24"/>
        </w:rPr>
      </w:pPr>
      <w:r w:rsidRPr="00314A02">
        <w:rPr>
          <w:rFonts w:ascii="Times New Roman" w:hAnsi="Times New Roman"/>
          <w:b/>
          <w:szCs w:val="24"/>
        </w:rPr>
        <w:t xml:space="preserve">This collection of information is gathered electronically by the Department </w:t>
      </w:r>
      <w:r w:rsidR="00DF6BA4">
        <w:rPr>
          <w:rFonts w:ascii="Times New Roman" w:hAnsi="Times New Roman"/>
          <w:b/>
          <w:szCs w:val="24"/>
        </w:rPr>
        <w:t xml:space="preserve">of Education (Department) </w:t>
      </w:r>
      <w:r w:rsidRPr="00314A02">
        <w:rPr>
          <w:rFonts w:ascii="Times New Roman" w:hAnsi="Times New Roman"/>
          <w:b/>
          <w:szCs w:val="24"/>
        </w:rPr>
        <w:t xml:space="preserve">for the purpose of determining an institution’s eligibility to participate in the </w:t>
      </w:r>
      <w:r w:rsidR="007D1D20">
        <w:rPr>
          <w:rFonts w:ascii="Times New Roman" w:hAnsi="Times New Roman"/>
          <w:b/>
          <w:szCs w:val="24"/>
        </w:rPr>
        <w:t xml:space="preserve">grant </w:t>
      </w:r>
      <w:r w:rsidRPr="00314A02">
        <w:rPr>
          <w:rFonts w:ascii="Times New Roman" w:hAnsi="Times New Roman"/>
          <w:b/>
          <w:szCs w:val="24"/>
        </w:rPr>
        <w:t>programs</w:t>
      </w:r>
      <w:r w:rsidR="007D1D20">
        <w:rPr>
          <w:rFonts w:ascii="Times New Roman" w:hAnsi="Times New Roman"/>
          <w:b/>
          <w:szCs w:val="24"/>
        </w:rPr>
        <w:t xml:space="preserve"> under Section 312</w:t>
      </w:r>
      <w:r w:rsidRPr="002A1DEB" w:rsidR="007D1D20">
        <w:rPr>
          <w:rFonts w:ascii="Times New Roman" w:hAnsi="Times New Roman"/>
          <w:b/>
          <w:szCs w:val="24"/>
        </w:rPr>
        <w:t xml:space="preserve"> of the Higher Education Act of 1965</w:t>
      </w:r>
      <w:r w:rsidRPr="00314A02">
        <w:rPr>
          <w:rFonts w:ascii="Times New Roman" w:hAnsi="Times New Roman"/>
          <w:b/>
          <w:szCs w:val="24"/>
        </w:rPr>
        <w:t xml:space="preserve"> based on </w:t>
      </w:r>
      <w:r w:rsidR="00F602D8">
        <w:rPr>
          <w:rFonts w:ascii="Times New Roman" w:hAnsi="Times New Roman"/>
          <w:b/>
          <w:szCs w:val="24"/>
        </w:rPr>
        <w:t>the institution’s</w:t>
      </w:r>
      <w:r w:rsidRPr="00314A02">
        <w:rPr>
          <w:rFonts w:ascii="Times New Roman" w:hAnsi="Times New Roman"/>
          <w:b/>
          <w:szCs w:val="24"/>
        </w:rPr>
        <w:t xml:space="preserve"> </w:t>
      </w:r>
      <w:r w:rsidR="00390CC3">
        <w:rPr>
          <w:rFonts w:ascii="Times New Roman" w:hAnsi="Times New Roman"/>
          <w:b/>
          <w:szCs w:val="24"/>
        </w:rPr>
        <w:t xml:space="preserve">high </w:t>
      </w:r>
      <w:r w:rsidRPr="00314A02">
        <w:rPr>
          <w:rFonts w:ascii="Times New Roman" w:hAnsi="Times New Roman"/>
          <w:b/>
          <w:szCs w:val="24"/>
        </w:rPr>
        <w:t>enrollment of needy students and low average educational and general (E&amp;G) expenditures per full-time equivalent student.</w:t>
      </w:r>
      <w:r w:rsidR="00DC2CED">
        <w:rPr>
          <w:rFonts w:ascii="Times New Roman" w:hAnsi="Times New Roman"/>
          <w:b/>
          <w:szCs w:val="24"/>
        </w:rPr>
        <w:t xml:space="preserve"> </w:t>
      </w:r>
      <w:r w:rsidR="00992EF5">
        <w:rPr>
          <w:rFonts w:ascii="Times New Roman" w:hAnsi="Times New Roman"/>
          <w:b/>
          <w:szCs w:val="24"/>
        </w:rPr>
        <w:t xml:space="preserve"> </w:t>
      </w:r>
      <w:r w:rsidR="00DC2CED">
        <w:rPr>
          <w:rFonts w:ascii="Times New Roman" w:hAnsi="Times New Roman"/>
          <w:b/>
          <w:szCs w:val="24"/>
        </w:rPr>
        <w:t xml:space="preserve">In lieu of the E&amp;G expenditures, the Department now utilizes the </w:t>
      </w:r>
      <w:r w:rsidR="00702BB9">
        <w:rPr>
          <w:rFonts w:ascii="Times New Roman" w:hAnsi="Times New Roman"/>
          <w:b/>
          <w:szCs w:val="24"/>
        </w:rPr>
        <w:t>c</w:t>
      </w:r>
      <w:r w:rsidR="00DC2CED">
        <w:rPr>
          <w:rFonts w:ascii="Times New Roman" w:hAnsi="Times New Roman"/>
          <w:b/>
          <w:szCs w:val="24"/>
        </w:rPr>
        <w:t xml:space="preserve">ore </w:t>
      </w:r>
      <w:r w:rsidR="00702BB9">
        <w:rPr>
          <w:rFonts w:ascii="Times New Roman" w:hAnsi="Times New Roman"/>
          <w:b/>
          <w:szCs w:val="24"/>
        </w:rPr>
        <w:t>e</w:t>
      </w:r>
      <w:r w:rsidR="00DC2CED">
        <w:rPr>
          <w:rFonts w:ascii="Times New Roman" w:hAnsi="Times New Roman"/>
          <w:b/>
          <w:szCs w:val="24"/>
        </w:rPr>
        <w:t>xpenses per full-time equivalent student</w:t>
      </w:r>
      <w:r w:rsidR="00702BB9">
        <w:rPr>
          <w:rFonts w:ascii="Times New Roman" w:hAnsi="Times New Roman"/>
          <w:b/>
          <w:szCs w:val="24"/>
        </w:rPr>
        <w:t>.</w:t>
      </w:r>
      <w:r w:rsidRPr="00314A02">
        <w:rPr>
          <w:rFonts w:ascii="Times New Roman" w:hAnsi="Times New Roman"/>
          <w:b/>
          <w:szCs w:val="24"/>
        </w:rPr>
        <w:t xml:space="preserve"> </w:t>
      </w:r>
      <w:r w:rsidR="00992EF5">
        <w:rPr>
          <w:rFonts w:ascii="Times New Roman" w:hAnsi="Times New Roman"/>
          <w:b/>
          <w:szCs w:val="24"/>
        </w:rPr>
        <w:t xml:space="preserve"> </w:t>
      </w:r>
      <w:r w:rsidRPr="00314A02">
        <w:rPr>
          <w:rFonts w:ascii="Times New Roman" w:hAnsi="Times New Roman"/>
          <w:b/>
          <w:szCs w:val="24"/>
        </w:rPr>
        <w:t xml:space="preserve">This collection also allows an institution to request a </w:t>
      </w:r>
      <w:r w:rsidRPr="00314A02">
        <w:rPr>
          <w:rFonts w:ascii="Times New Roman" w:hAnsi="Times New Roman"/>
          <w:b/>
          <w:szCs w:val="24"/>
        </w:rPr>
        <w:t>waiver of certain non-Federal cost-share requirements under</w:t>
      </w:r>
      <w:r w:rsidR="00702BB9">
        <w:rPr>
          <w:rFonts w:ascii="Times New Roman" w:hAnsi="Times New Roman"/>
          <w:b/>
          <w:szCs w:val="24"/>
        </w:rPr>
        <w:t xml:space="preserve"> the</w:t>
      </w:r>
      <w:r w:rsidRPr="00314A02">
        <w:rPr>
          <w:rFonts w:ascii="Times New Roman" w:hAnsi="Times New Roman"/>
          <w:b/>
          <w:szCs w:val="24"/>
        </w:rPr>
        <w:t xml:space="preserve"> Federal Work-Study Program, </w:t>
      </w:r>
      <w:r w:rsidR="008B7AC1">
        <w:rPr>
          <w:rFonts w:ascii="Times New Roman" w:hAnsi="Times New Roman"/>
          <w:b/>
          <w:szCs w:val="24"/>
        </w:rPr>
        <w:t xml:space="preserve">Federal Supplemental Educational Opportunity Grant, </w:t>
      </w:r>
      <w:r w:rsidR="007D1D20">
        <w:rPr>
          <w:rFonts w:ascii="Times New Roman" w:hAnsi="Times New Roman"/>
          <w:b/>
          <w:szCs w:val="24"/>
        </w:rPr>
        <w:t xml:space="preserve">and </w:t>
      </w:r>
      <w:r w:rsidRPr="00314A02">
        <w:rPr>
          <w:rFonts w:ascii="Times New Roman" w:hAnsi="Times New Roman"/>
          <w:b/>
          <w:szCs w:val="24"/>
        </w:rPr>
        <w:t>Student Support Services Program.</w:t>
      </w:r>
    </w:p>
    <w:p w:rsidR="00314A02" w:rsidRPr="00EF7FF5" w14:paraId="088D3BF4" w14:textId="77777777">
      <w:pPr>
        <w:tabs>
          <w:tab w:val="left" w:pos="-720"/>
        </w:tabs>
        <w:suppressAutoHyphens/>
        <w:rPr>
          <w:rFonts w:ascii="Times New Roman" w:hAnsi="Times New Roman"/>
          <w:szCs w:val="24"/>
        </w:rPr>
      </w:pPr>
    </w:p>
    <w:p w:rsidR="006345D8" w:rsidRPr="00490D87" w:rsidP="00490D87" w14:paraId="2E95836B" w14:textId="02FE9EAE">
      <w:pPr>
        <w:tabs>
          <w:tab w:val="left" w:pos="-720"/>
        </w:tabs>
        <w:suppressAutoHyphens/>
        <w:rPr>
          <w:rFonts w:ascii="Times New Roman" w:hAnsi="Times New Roman"/>
          <w:bCs/>
          <w:szCs w:val="24"/>
        </w:rPr>
      </w:pPr>
      <w:r w:rsidRPr="00490D87">
        <w:rPr>
          <w:rFonts w:ascii="Times New Roman" w:hAnsi="Times New Roman"/>
          <w:bCs/>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Please identify systems or websites used to electronically collect this information. Also describe any consideration given to using technology to reduce burden. If there is an increase or decrease in burden related to using technology (e.g. using an electronic form, system or website from paper), please explain in number 12.</w:t>
      </w:r>
    </w:p>
    <w:p w:rsidR="00386054" w:rsidRPr="00EF7FF5" w14:paraId="088D3BF6" w14:textId="77777777">
      <w:pPr>
        <w:tabs>
          <w:tab w:val="left" w:pos="-720"/>
        </w:tabs>
        <w:suppressAutoHyphens/>
        <w:rPr>
          <w:rFonts w:ascii="Times New Roman" w:hAnsi="Times New Roman"/>
          <w:szCs w:val="24"/>
        </w:rPr>
      </w:pPr>
    </w:p>
    <w:p w:rsidR="002A1DEB" w:rsidP="002A1DEB" w14:paraId="088D3BF7" w14:textId="5843607A">
      <w:pPr>
        <w:autoSpaceDE w:val="0"/>
        <w:autoSpaceDN w:val="0"/>
        <w:adjustRightInd w:val="0"/>
        <w:ind w:left="720"/>
        <w:rPr>
          <w:rFonts w:ascii="Times New Roman" w:hAnsi="Times New Roman"/>
          <w:b/>
          <w:szCs w:val="24"/>
        </w:rPr>
      </w:pPr>
      <w:r w:rsidRPr="002A1DEB">
        <w:rPr>
          <w:rFonts w:ascii="Times New Roman" w:hAnsi="Times New Roman"/>
          <w:b/>
          <w:szCs w:val="24"/>
        </w:rPr>
        <w:t xml:space="preserve">The Office of Postsecondary Education is committed to the reduction of paperwork and has been collecting this information electronically since 2000. </w:t>
      </w:r>
      <w:r w:rsidR="00992EF5">
        <w:rPr>
          <w:rFonts w:ascii="Times New Roman" w:hAnsi="Times New Roman"/>
          <w:b/>
          <w:szCs w:val="24"/>
        </w:rPr>
        <w:t xml:space="preserve"> </w:t>
      </w:r>
      <w:r w:rsidRPr="002A1DEB">
        <w:rPr>
          <w:rFonts w:ascii="Times New Roman" w:hAnsi="Times New Roman"/>
          <w:b/>
          <w:szCs w:val="24"/>
        </w:rPr>
        <w:t>Electronic submission has reduced the burden for both the applicants and Department staff.</w:t>
      </w:r>
    </w:p>
    <w:p w:rsidR="008B7AC1" w:rsidP="002A1DEB" w14:paraId="3FC577A6" w14:textId="2D5C7982">
      <w:pPr>
        <w:autoSpaceDE w:val="0"/>
        <w:autoSpaceDN w:val="0"/>
        <w:adjustRightInd w:val="0"/>
        <w:ind w:left="720"/>
        <w:rPr>
          <w:rFonts w:ascii="Times New Roman" w:hAnsi="Times New Roman"/>
          <w:b/>
          <w:szCs w:val="24"/>
        </w:rPr>
      </w:pPr>
    </w:p>
    <w:p w:rsidR="008B7AC1" w:rsidRPr="002A1DEB" w:rsidP="002A1DEB" w14:paraId="148AD6BB" w14:textId="180A9DA2">
      <w:pPr>
        <w:autoSpaceDE w:val="0"/>
        <w:autoSpaceDN w:val="0"/>
        <w:adjustRightInd w:val="0"/>
        <w:ind w:left="720"/>
        <w:rPr>
          <w:rFonts w:ascii="Times New Roman" w:hAnsi="Times New Roman"/>
          <w:b/>
          <w:szCs w:val="24"/>
        </w:rPr>
      </w:pPr>
      <w:r w:rsidRPr="00390CC3">
        <w:rPr>
          <w:rFonts w:ascii="Times New Roman" w:hAnsi="Times New Roman"/>
          <w:b/>
          <w:szCs w:val="24"/>
        </w:rPr>
        <w:t>The collection is paired with a computational exercise that results in the simultaneous publication of an Eligibility Matrix, a listing of postsecondary institutions potentially eligible to apply for grants in the Institutional Service grant programs.  Criteria derived from applicable legislation and regulations are applied to enrollment and financial data from Department sources to det</w:t>
      </w:r>
      <w:r>
        <w:rPr>
          <w:rFonts w:ascii="Times New Roman" w:hAnsi="Times New Roman"/>
          <w:b/>
          <w:szCs w:val="24"/>
        </w:rPr>
        <w:t xml:space="preserve">ermine the eligibility of each </w:t>
      </w:r>
      <w:r w:rsidRPr="00390CC3">
        <w:rPr>
          <w:rFonts w:ascii="Times New Roman" w:hAnsi="Times New Roman"/>
          <w:b/>
          <w:szCs w:val="24"/>
        </w:rPr>
        <w:t>institution for each program.  Only those institutions that either do not meet the financial criteria or do not appear in the eligibility matrix need to go through the application process.</w:t>
      </w:r>
      <w:r>
        <w:rPr>
          <w:rFonts w:ascii="Times New Roman" w:hAnsi="Times New Roman"/>
          <w:b/>
          <w:szCs w:val="24"/>
        </w:rPr>
        <w:t xml:space="preserve">  This has reduced the number of applicants that have to go through the application process substantially: from 1,166 in 2014 to</w:t>
      </w:r>
      <w:r w:rsidR="00E9453A">
        <w:rPr>
          <w:rFonts w:ascii="Times New Roman" w:hAnsi="Times New Roman"/>
          <w:b/>
          <w:szCs w:val="24"/>
        </w:rPr>
        <w:t xml:space="preserve"> </w:t>
      </w:r>
      <w:r w:rsidR="00C4463F">
        <w:rPr>
          <w:rFonts w:ascii="Times New Roman" w:hAnsi="Times New Roman"/>
          <w:b/>
          <w:szCs w:val="24"/>
        </w:rPr>
        <w:t xml:space="preserve">around </w:t>
      </w:r>
      <w:r w:rsidR="00F24C90">
        <w:rPr>
          <w:rFonts w:ascii="Times New Roman" w:hAnsi="Times New Roman"/>
          <w:b/>
          <w:szCs w:val="24"/>
        </w:rPr>
        <w:t xml:space="preserve">695 </w:t>
      </w:r>
      <w:r w:rsidR="00E9453A">
        <w:rPr>
          <w:rFonts w:ascii="Times New Roman" w:hAnsi="Times New Roman"/>
          <w:b/>
          <w:szCs w:val="24"/>
        </w:rPr>
        <w:t xml:space="preserve">in </w:t>
      </w:r>
      <w:r w:rsidR="00F24C90">
        <w:rPr>
          <w:rFonts w:ascii="Times New Roman" w:hAnsi="Times New Roman"/>
          <w:b/>
          <w:szCs w:val="24"/>
        </w:rPr>
        <w:t>2025</w:t>
      </w:r>
      <w:r>
        <w:rPr>
          <w:rFonts w:ascii="Times New Roman" w:hAnsi="Times New Roman"/>
          <w:b/>
          <w:szCs w:val="24"/>
        </w:rPr>
        <w:t>.</w:t>
      </w:r>
    </w:p>
    <w:p w:rsidR="002A1DEB" w:rsidRPr="002A1DEB" w:rsidP="002A1DEB" w14:paraId="088D3BF8" w14:textId="77777777">
      <w:pPr>
        <w:autoSpaceDE w:val="0"/>
        <w:autoSpaceDN w:val="0"/>
        <w:adjustRightInd w:val="0"/>
        <w:ind w:left="720"/>
        <w:rPr>
          <w:rFonts w:ascii="Times New Roman" w:hAnsi="Times New Roman"/>
          <w:b/>
          <w:szCs w:val="24"/>
        </w:rPr>
      </w:pPr>
    </w:p>
    <w:p w:rsidR="00386054" w:rsidRPr="00EF7FF5" w14:paraId="088D3BF9" w14:textId="77777777">
      <w:pPr>
        <w:tabs>
          <w:tab w:val="left" w:pos="-720"/>
        </w:tabs>
        <w:suppressAutoHyphens/>
        <w:rPr>
          <w:rFonts w:ascii="Times New Roman" w:hAnsi="Times New Roman"/>
          <w:szCs w:val="24"/>
        </w:rPr>
      </w:pPr>
      <w:r w:rsidRPr="00EF7FF5">
        <w:rPr>
          <w:rFonts w:ascii="Times New Roman" w:hAnsi="Times New Roman"/>
          <w:szCs w:val="24"/>
        </w:rPr>
        <w:t>4.  Describe efforts to identify duplication.  Show specifically why any similar information already available cannot be used or modified for use for the purposes described in Item 2 above.</w:t>
      </w:r>
    </w:p>
    <w:p w:rsidR="00314A02" w14:paraId="088D3BFA" w14:textId="77777777">
      <w:pPr>
        <w:tabs>
          <w:tab w:val="left" w:pos="-720"/>
        </w:tabs>
        <w:suppressAutoHyphens/>
        <w:rPr>
          <w:rFonts w:ascii="Arial" w:hAnsi="Arial"/>
        </w:rPr>
      </w:pPr>
    </w:p>
    <w:p w:rsidR="002A1DEB" w:rsidRPr="002A1DEB" w:rsidP="00832348" w14:paraId="088D3BFB" w14:textId="735F288F">
      <w:pPr>
        <w:autoSpaceDE w:val="0"/>
        <w:autoSpaceDN w:val="0"/>
        <w:adjustRightInd w:val="0"/>
        <w:ind w:left="720"/>
        <w:rPr>
          <w:rFonts w:ascii="Times New Roman" w:hAnsi="Times New Roman"/>
          <w:b/>
          <w:szCs w:val="24"/>
        </w:rPr>
      </w:pPr>
      <w:r w:rsidRPr="002A1DEB">
        <w:rPr>
          <w:rFonts w:ascii="Times New Roman" w:hAnsi="Times New Roman"/>
          <w:b/>
          <w:szCs w:val="24"/>
        </w:rPr>
        <w:t>Since the information submitted in this application is unique to each respondent and to the authorization legislation, no duplication exists.</w:t>
      </w:r>
      <w:r w:rsidR="008B7AC1">
        <w:rPr>
          <w:rFonts w:ascii="Times New Roman" w:hAnsi="Times New Roman"/>
          <w:b/>
          <w:szCs w:val="24"/>
        </w:rPr>
        <w:t xml:space="preserve">  Branch campuses that meet the criteria outlined in 34 CFR § 607.2(b) may apply for the designation of eligibility.</w:t>
      </w:r>
    </w:p>
    <w:p w:rsidR="002A1DEB" w:rsidRPr="002A1DEB" w14:paraId="088D3BFC" w14:textId="77777777">
      <w:pPr>
        <w:tabs>
          <w:tab w:val="left" w:pos="-720"/>
        </w:tabs>
        <w:suppressAutoHyphens/>
        <w:rPr>
          <w:rFonts w:ascii="Times New Roman" w:hAnsi="Times New Roman"/>
          <w:b/>
          <w:szCs w:val="24"/>
        </w:rPr>
      </w:pPr>
    </w:p>
    <w:p w:rsidR="00386054" w:rsidRPr="00EF7FF5" w:rsidP="00BD1325" w14:paraId="088D3BFD" w14:textId="77777777">
      <w:pPr>
        <w:rPr>
          <w:rFonts w:ascii="Times New Roman" w:hAnsi="Times New Roman"/>
          <w:szCs w:val="24"/>
        </w:rPr>
      </w:pPr>
      <w:r w:rsidRPr="00EF7FF5">
        <w:rPr>
          <w:rFonts w:ascii="Times New Roman" w:hAnsi="Times New Roman"/>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386054" w:rsidRPr="00EF7FF5" w14:paraId="088D3BFE" w14:textId="77777777">
      <w:pPr>
        <w:tabs>
          <w:tab w:val="left" w:pos="-720"/>
        </w:tabs>
        <w:suppressAutoHyphens/>
        <w:rPr>
          <w:rFonts w:ascii="Times New Roman" w:hAnsi="Times New Roman"/>
          <w:szCs w:val="24"/>
        </w:rPr>
      </w:pPr>
    </w:p>
    <w:p w:rsidR="00386054" w:rsidRPr="002A1DEB" w:rsidP="00832348" w14:paraId="088D3BFF" w14:textId="77777777">
      <w:pPr>
        <w:suppressAutoHyphens/>
        <w:autoSpaceDE w:val="0"/>
        <w:autoSpaceDN w:val="0"/>
        <w:adjustRightInd w:val="0"/>
        <w:ind w:left="720"/>
        <w:rPr>
          <w:rFonts w:ascii="Times New Roman" w:hAnsi="Times New Roman"/>
          <w:b/>
          <w:szCs w:val="24"/>
        </w:rPr>
      </w:pPr>
      <w:r w:rsidRPr="002A1DEB">
        <w:rPr>
          <w:rFonts w:ascii="Times New Roman" w:hAnsi="Times New Roman"/>
          <w:b/>
          <w:szCs w:val="24"/>
        </w:rPr>
        <w:t>This collection of information does not involve small businesses or other small entities.</w:t>
      </w:r>
    </w:p>
    <w:p w:rsidR="00386054" w:rsidRPr="00EF7FF5" w:rsidP="00832348" w14:paraId="088D3C00" w14:textId="77777777">
      <w:pPr>
        <w:pStyle w:val="EndnoteText"/>
        <w:ind w:left="720"/>
        <w:rPr>
          <w:rFonts w:ascii="Times New Roman" w:hAnsi="Times New Roman"/>
          <w:szCs w:val="24"/>
        </w:rPr>
      </w:pPr>
    </w:p>
    <w:p w:rsidR="00386054" w:rsidRPr="00EF7FF5" w14:paraId="088D3C01" w14:textId="77777777">
      <w:pPr>
        <w:tabs>
          <w:tab w:val="left" w:pos="-720"/>
        </w:tabs>
        <w:suppressAutoHyphens/>
        <w:rPr>
          <w:rFonts w:ascii="Times New Roman" w:hAnsi="Times New Roman"/>
          <w:szCs w:val="24"/>
        </w:rPr>
      </w:pPr>
      <w:r w:rsidRPr="00EF7FF5">
        <w:rPr>
          <w:rFonts w:ascii="Times New Roman" w:hAnsi="Times New Roman"/>
          <w:szCs w:val="24"/>
        </w:rPr>
        <w:t>6.  Describe the consequences to Federal program or policy activities if the collection is not conducted or is conducted less frequently, as well as any technical or legal obstacles to reducing burden.</w:t>
      </w:r>
    </w:p>
    <w:p w:rsidR="00386054" w:rsidRPr="00EF7FF5" w14:paraId="088D3C02" w14:textId="77777777">
      <w:pPr>
        <w:tabs>
          <w:tab w:val="left" w:pos="-720"/>
        </w:tabs>
        <w:suppressAutoHyphens/>
        <w:rPr>
          <w:rFonts w:ascii="Times New Roman" w:hAnsi="Times New Roman"/>
          <w:szCs w:val="24"/>
        </w:rPr>
      </w:pPr>
    </w:p>
    <w:p w:rsidR="00314A02" w:rsidRPr="002A1DEB" w:rsidP="00832348" w14:paraId="088D3C03" w14:textId="77777777">
      <w:pPr>
        <w:autoSpaceDE w:val="0"/>
        <w:autoSpaceDN w:val="0"/>
        <w:adjustRightInd w:val="0"/>
        <w:ind w:left="720"/>
        <w:rPr>
          <w:rFonts w:ascii="Times New Roman" w:hAnsi="Times New Roman"/>
          <w:b/>
          <w:szCs w:val="24"/>
        </w:rPr>
      </w:pPr>
      <w:r w:rsidRPr="002A1DEB">
        <w:rPr>
          <w:rFonts w:ascii="Times New Roman" w:hAnsi="Times New Roman"/>
          <w:b/>
          <w:szCs w:val="24"/>
        </w:rPr>
        <w:t>Since the data collected from each institution reports annual statistics unique to the applicant and these figures change annually, collection on a less frequent basis would</w:t>
      </w:r>
      <w:r>
        <w:rPr>
          <w:rFonts w:ascii="Arial" w:hAnsi="Arial"/>
        </w:rPr>
        <w:t xml:space="preserve"> </w:t>
      </w:r>
      <w:r w:rsidRPr="002A1DEB">
        <w:rPr>
          <w:rFonts w:ascii="Times New Roman" w:hAnsi="Times New Roman"/>
          <w:b/>
          <w:szCs w:val="24"/>
        </w:rPr>
        <w:t xml:space="preserve">not be beneficial to the applicants or in compliance with the regulations. </w:t>
      </w:r>
    </w:p>
    <w:p w:rsidR="00386054" w:rsidRPr="00EF7FF5" w14:paraId="088D3C04" w14:textId="77777777">
      <w:pPr>
        <w:tabs>
          <w:tab w:val="left" w:pos="-720"/>
        </w:tabs>
        <w:suppressAutoHyphens/>
        <w:rPr>
          <w:rFonts w:ascii="Times New Roman" w:hAnsi="Times New Roman"/>
          <w:szCs w:val="24"/>
        </w:rPr>
      </w:pPr>
    </w:p>
    <w:p w:rsidR="00386054" w:rsidRPr="00EF7FF5" w14:paraId="088D3C05" w14:textId="77777777">
      <w:pPr>
        <w:tabs>
          <w:tab w:val="left" w:pos="-720"/>
        </w:tabs>
        <w:suppressAutoHyphens/>
        <w:rPr>
          <w:rFonts w:ascii="Times New Roman" w:hAnsi="Times New Roman"/>
          <w:szCs w:val="24"/>
        </w:rPr>
      </w:pPr>
      <w:r w:rsidRPr="00EF7FF5">
        <w:rPr>
          <w:rFonts w:ascii="Times New Roman" w:hAnsi="Times New Roman"/>
          <w:szCs w:val="24"/>
        </w:rPr>
        <w:t>7. Explain any special circumstances that would cause an information collection to be conducted in a manner:</w:t>
      </w:r>
    </w:p>
    <w:p w:rsidR="00386054" w:rsidRPr="00EF7FF5" w14:paraId="088D3C06" w14:textId="77777777">
      <w:pPr>
        <w:tabs>
          <w:tab w:val="left" w:pos="-720"/>
        </w:tabs>
        <w:suppressAutoHyphens/>
        <w:rPr>
          <w:rFonts w:ascii="Times New Roman" w:hAnsi="Times New Roman"/>
          <w:b/>
          <w:szCs w:val="24"/>
        </w:rPr>
      </w:pPr>
    </w:p>
    <w:p w:rsidR="00386054" w:rsidRPr="00EF7FF5" w:rsidP="003C29C2" w14:paraId="088D3C07" w14:textId="77777777">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report information to the agency more often than quarterly;</w:t>
      </w:r>
    </w:p>
    <w:p w:rsidR="00386054" w:rsidRPr="00EF7FF5" w14:paraId="088D3C08" w14:textId="77777777">
      <w:pPr>
        <w:numPr>
          <w:ilvl w:val="12"/>
          <w:numId w:val="0"/>
        </w:numPr>
        <w:tabs>
          <w:tab w:val="left" w:pos="-720"/>
        </w:tabs>
        <w:suppressAutoHyphens/>
        <w:ind w:left="340"/>
        <w:rPr>
          <w:rFonts w:ascii="Times New Roman" w:hAnsi="Times New Roman"/>
          <w:szCs w:val="24"/>
        </w:rPr>
      </w:pPr>
    </w:p>
    <w:p w:rsidR="00386054" w:rsidRPr="00EF7FF5" w:rsidP="003C29C2" w14:paraId="088D3C09" w14:textId="77777777">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prepare a written response to a collection of information in fewer than 30 days after receipt of it;</w:t>
      </w:r>
    </w:p>
    <w:p w:rsidR="00386054" w:rsidRPr="00EF7FF5" w14:paraId="088D3C0A" w14:textId="77777777">
      <w:pPr>
        <w:numPr>
          <w:ilvl w:val="12"/>
          <w:numId w:val="0"/>
        </w:numPr>
        <w:tabs>
          <w:tab w:val="left" w:pos="-720"/>
        </w:tabs>
        <w:suppressAutoHyphens/>
        <w:rPr>
          <w:rFonts w:ascii="Times New Roman" w:hAnsi="Times New Roman"/>
          <w:szCs w:val="24"/>
        </w:rPr>
      </w:pPr>
    </w:p>
    <w:p w:rsidR="00386054" w:rsidRPr="00EF7FF5" w:rsidP="003C29C2" w14:paraId="088D3C0B" w14:textId="77777777">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submit more than an original and two copies of any document;</w:t>
      </w:r>
    </w:p>
    <w:p w:rsidR="00386054" w:rsidRPr="00EF7FF5" w14:paraId="088D3C0C" w14:textId="77777777">
      <w:pPr>
        <w:numPr>
          <w:ilvl w:val="12"/>
          <w:numId w:val="0"/>
        </w:numPr>
        <w:tabs>
          <w:tab w:val="left" w:pos="-720"/>
        </w:tabs>
        <w:suppressAutoHyphens/>
        <w:rPr>
          <w:rFonts w:ascii="Times New Roman" w:hAnsi="Times New Roman"/>
          <w:szCs w:val="24"/>
        </w:rPr>
      </w:pPr>
    </w:p>
    <w:p w:rsidR="00386054" w:rsidRPr="00EF7FF5" w:rsidP="003C29C2" w14:paraId="088D3C0D" w14:textId="77777777">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retain records, other than health, medical, government contract, grant-in-aid, or tax records for more than three years;</w:t>
      </w:r>
    </w:p>
    <w:p w:rsidR="00386054" w:rsidRPr="00EF7FF5" w14:paraId="088D3C0E" w14:textId="77777777">
      <w:pPr>
        <w:numPr>
          <w:ilvl w:val="12"/>
          <w:numId w:val="0"/>
        </w:numPr>
        <w:tabs>
          <w:tab w:val="left" w:pos="-720"/>
        </w:tabs>
        <w:suppressAutoHyphens/>
        <w:rPr>
          <w:rFonts w:ascii="Times New Roman" w:hAnsi="Times New Roman"/>
          <w:szCs w:val="24"/>
        </w:rPr>
      </w:pPr>
    </w:p>
    <w:p w:rsidR="00386054" w:rsidRPr="00EF7FF5" w:rsidP="003C29C2" w14:paraId="088D3C0F" w14:textId="77777777">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in connection with a statistical survey, that is not designed to produce valid and reliable results than can be generalized to the universe of study;</w:t>
      </w:r>
    </w:p>
    <w:p w:rsidR="00386054" w:rsidRPr="00EF7FF5" w14:paraId="088D3C10" w14:textId="77777777">
      <w:pPr>
        <w:numPr>
          <w:ilvl w:val="12"/>
          <w:numId w:val="0"/>
        </w:numPr>
        <w:tabs>
          <w:tab w:val="left" w:pos="-720"/>
        </w:tabs>
        <w:suppressAutoHyphens/>
        <w:rPr>
          <w:rFonts w:ascii="Times New Roman" w:hAnsi="Times New Roman"/>
          <w:szCs w:val="24"/>
        </w:rPr>
      </w:pPr>
    </w:p>
    <w:p w:rsidR="00386054" w:rsidRPr="00EF7FF5" w:rsidP="003C29C2" w14:paraId="088D3C11" w14:textId="77777777">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the use of a statistical data classification that has not been reviewed and approved by OMB;</w:t>
      </w:r>
    </w:p>
    <w:p w:rsidR="00386054" w:rsidRPr="00EF7FF5" w14:paraId="088D3C12" w14:textId="77777777">
      <w:pPr>
        <w:numPr>
          <w:ilvl w:val="12"/>
          <w:numId w:val="0"/>
        </w:numPr>
        <w:tabs>
          <w:tab w:val="left" w:pos="-720"/>
        </w:tabs>
        <w:suppressAutoHyphens/>
        <w:rPr>
          <w:rFonts w:ascii="Times New Roman" w:hAnsi="Times New Roman"/>
          <w:szCs w:val="24"/>
        </w:rPr>
      </w:pPr>
    </w:p>
    <w:p w:rsidR="00386054" w:rsidRPr="00EF7FF5" w:rsidP="003C29C2" w14:paraId="088D3C13" w14:textId="77777777">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EF7FF5" w14:paraId="088D3C14" w14:textId="77777777">
      <w:pPr>
        <w:numPr>
          <w:ilvl w:val="12"/>
          <w:numId w:val="0"/>
        </w:numPr>
        <w:tabs>
          <w:tab w:val="left" w:pos="-720"/>
        </w:tabs>
        <w:suppressAutoHyphens/>
        <w:rPr>
          <w:rFonts w:ascii="Times New Roman" w:hAnsi="Times New Roman"/>
          <w:szCs w:val="24"/>
        </w:rPr>
      </w:pPr>
    </w:p>
    <w:p w:rsidR="00386054" w:rsidRPr="00EF7FF5" w:rsidP="003C29C2" w14:paraId="088D3C15" w14:textId="77777777">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submit proprietary trade secrets, or other confidential information unless the agency can demonstrate that it has instituted procedures to protect the information</w:t>
      </w:r>
      <w:r w:rsidRPr="00E023B7">
        <w:rPr>
          <w:rFonts w:ascii="Times New Roman" w:hAnsi="Times New Roman"/>
          <w:szCs w:val="24"/>
        </w:rPr>
        <w:t>’</w:t>
      </w:r>
      <w:r w:rsidRPr="00EF7FF5">
        <w:rPr>
          <w:rFonts w:ascii="Times New Roman" w:hAnsi="Times New Roman"/>
          <w:szCs w:val="24"/>
        </w:rPr>
        <w:t>s confidentiality to the extent permitted by law.</w:t>
      </w:r>
    </w:p>
    <w:p w:rsidR="00386054" w:rsidRPr="002A1DEB" w14:paraId="088D3C16" w14:textId="77777777">
      <w:pPr>
        <w:tabs>
          <w:tab w:val="left" w:pos="-720"/>
        </w:tabs>
        <w:suppressAutoHyphens/>
        <w:rPr>
          <w:rFonts w:ascii="Times New Roman" w:hAnsi="Times New Roman"/>
          <w:b/>
          <w:szCs w:val="24"/>
        </w:rPr>
      </w:pPr>
    </w:p>
    <w:p w:rsidR="00314A02" w:rsidRPr="002A1DEB" w:rsidP="00832348" w14:paraId="088D3C17" w14:textId="77777777">
      <w:pPr>
        <w:autoSpaceDE w:val="0"/>
        <w:autoSpaceDN w:val="0"/>
        <w:adjustRightInd w:val="0"/>
        <w:ind w:left="720"/>
        <w:rPr>
          <w:rFonts w:ascii="Times New Roman" w:hAnsi="Times New Roman"/>
          <w:b/>
          <w:szCs w:val="24"/>
        </w:rPr>
      </w:pPr>
      <w:r w:rsidRPr="002A1DEB">
        <w:rPr>
          <w:rFonts w:ascii="Times New Roman" w:hAnsi="Times New Roman"/>
          <w:b/>
          <w:szCs w:val="24"/>
        </w:rPr>
        <w:t>There are no special circumstances as outlined in #7 of the instructions.</w:t>
      </w:r>
    </w:p>
    <w:p w:rsidR="00386054" w:rsidRPr="002A1DEB" w14:paraId="088D3C18" w14:textId="77777777">
      <w:pPr>
        <w:tabs>
          <w:tab w:val="left" w:pos="-720"/>
        </w:tabs>
        <w:suppressAutoHyphens/>
        <w:rPr>
          <w:rFonts w:ascii="Times New Roman" w:hAnsi="Times New Roman"/>
          <w:b/>
          <w:szCs w:val="24"/>
        </w:rPr>
      </w:pPr>
    </w:p>
    <w:p w:rsidR="004B5BA7" w:rsidRPr="00490D87" w:rsidP="00490D87" w14:paraId="25869C1F" w14:textId="71DDC224">
      <w:pPr>
        <w:tabs>
          <w:tab w:val="left" w:pos="-720"/>
          <w:tab w:val="left" w:pos="375"/>
        </w:tabs>
        <w:suppressAutoHyphens/>
        <w:rPr>
          <w:rFonts w:ascii="Times New Roman" w:hAnsi="Times New Roman"/>
          <w:bCs/>
          <w:szCs w:val="24"/>
        </w:rPr>
      </w:pPr>
      <w:r w:rsidRPr="00490D87">
        <w:rPr>
          <w:rFonts w:ascii="Times New Roman" w:hAnsi="Times New Roman"/>
          <w:bCs/>
          <w:szCs w:val="24"/>
        </w:rPr>
        <w:t>8. As applicable, state that the Department has published the 60 and 30 Federal Register notices as required by 5 CFR 1320.8(d), soliciting comments on the information collection prior to submission to OMB.</w:t>
      </w:r>
    </w:p>
    <w:p w:rsidR="004B5BA7" w:rsidRPr="00490D87" w:rsidP="004B5BA7" w14:paraId="38202435" w14:textId="77777777">
      <w:pPr>
        <w:pStyle w:val="ListParagraph"/>
        <w:tabs>
          <w:tab w:val="left" w:pos="-720"/>
          <w:tab w:val="left" w:pos="375"/>
        </w:tabs>
        <w:suppressAutoHyphens/>
        <w:contextualSpacing w:val="0"/>
        <w:rPr>
          <w:rFonts w:ascii="Times New Roman" w:hAnsi="Times New Roman"/>
          <w:bCs/>
          <w:szCs w:val="24"/>
        </w:rPr>
      </w:pPr>
    </w:p>
    <w:p w:rsidR="004B5BA7" w:rsidRPr="00490D87" w:rsidP="00490D87" w14:paraId="4419E204" w14:textId="77777777">
      <w:pPr>
        <w:pStyle w:val="ListParagraph"/>
        <w:tabs>
          <w:tab w:val="left" w:pos="-720"/>
          <w:tab w:val="left" w:pos="375"/>
        </w:tabs>
        <w:suppressAutoHyphens/>
        <w:ind w:left="0"/>
        <w:contextualSpacing w:val="0"/>
        <w:rPr>
          <w:rFonts w:ascii="Times New Roman" w:hAnsi="Times New Roman"/>
          <w:bCs/>
          <w:szCs w:val="24"/>
        </w:rPr>
      </w:pPr>
      <w:r w:rsidRPr="00490D87">
        <w:rPr>
          <w:rFonts w:ascii="Times New Roman" w:hAnsi="Times New Roman"/>
          <w:bCs/>
          <w:szCs w:val="24"/>
        </w:rPr>
        <w:t xml:space="preserve">Include a citation for the 60 day comment period (e.g. Vol. 84 FR ##### and the date of publication).  Summarize public comments received in response to the 60 day notice and describe actions taken by the agency in response to these comments.  Specifically address comments received on cost and hour burden.  If only non-substantive comments are provided, </w:t>
      </w:r>
      <w:r w:rsidRPr="00490D87">
        <w:rPr>
          <w:rFonts w:ascii="Times New Roman" w:hAnsi="Times New Roman"/>
          <w:bCs/>
          <w:szCs w:val="24"/>
        </w:rPr>
        <w:t>please provide a statement to that effect and that it did not relate or warrant any changes to this information collection request. In your comments, please also indicate the number of public comments received.</w:t>
      </w:r>
    </w:p>
    <w:p w:rsidR="004B5BA7" w:rsidRPr="00490D87" w:rsidP="00490D87" w14:paraId="30008859" w14:textId="77777777">
      <w:pPr>
        <w:pStyle w:val="ListParagraph"/>
        <w:tabs>
          <w:tab w:val="left" w:pos="-720"/>
          <w:tab w:val="left" w:pos="375"/>
        </w:tabs>
        <w:suppressAutoHyphens/>
        <w:ind w:left="0"/>
        <w:contextualSpacing w:val="0"/>
        <w:rPr>
          <w:rFonts w:ascii="Times New Roman" w:hAnsi="Times New Roman"/>
          <w:bCs/>
          <w:szCs w:val="24"/>
        </w:rPr>
      </w:pPr>
    </w:p>
    <w:p w:rsidR="004B5BA7" w:rsidRPr="00490D87" w:rsidP="00490D87" w14:paraId="1F7B9075" w14:textId="77777777">
      <w:pPr>
        <w:pStyle w:val="ListParagraph"/>
        <w:tabs>
          <w:tab w:val="left" w:pos="-720"/>
          <w:tab w:val="left" w:pos="375"/>
        </w:tabs>
        <w:suppressAutoHyphens/>
        <w:ind w:left="0"/>
        <w:contextualSpacing w:val="0"/>
        <w:rPr>
          <w:rStyle w:val="a"/>
          <w:rFonts w:ascii="Times New Roman" w:hAnsi="Times New Roman"/>
          <w:bCs/>
          <w:szCs w:val="24"/>
        </w:rPr>
      </w:pPr>
      <w:r w:rsidRPr="00490D87">
        <w:rPr>
          <w:rFonts w:ascii="Times New Roman" w:hAnsi="Times New Roman"/>
          <w:bCs/>
          <w:szCs w:val="24"/>
        </w:rPr>
        <w:t xml:space="preserve">For the 30 day notice, indicate that a notice will be published.  </w:t>
      </w:r>
      <w:r w:rsidRPr="00490D87">
        <w:rPr>
          <w:rStyle w:val="a"/>
          <w:rFonts w:ascii="Times New Roman" w:hAnsi="Times New Roman"/>
          <w:bCs/>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4B5BA7" w:rsidRPr="00490D87" w:rsidP="004B5BA7" w14:paraId="62618EFA" w14:textId="77777777">
      <w:pPr>
        <w:tabs>
          <w:tab w:val="left" w:pos="-720"/>
        </w:tabs>
        <w:suppressAutoHyphens/>
        <w:rPr>
          <w:rStyle w:val="a"/>
          <w:rFonts w:ascii="Times New Roman" w:hAnsi="Times New Roman"/>
          <w:bCs/>
          <w:szCs w:val="24"/>
        </w:rPr>
      </w:pPr>
    </w:p>
    <w:p w:rsidR="004B5BA7" w:rsidRPr="00490D87" w:rsidP="00490D87" w14:paraId="53B6E8AE" w14:textId="77777777">
      <w:pPr>
        <w:tabs>
          <w:tab w:val="left" w:pos="-720"/>
        </w:tabs>
        <w:suppressAutoHyphens/>
        <w:rPr>
          <w:rStyle w:val="a"/>
          <w:rFonts w:ascii="Times New Roman" w:hAnsi="Times New Roman"/>
          <w:bCs/>
          <w:szCs w:val="24"/>
        </w:rPr>
      </w:pPr>
      <w:r w:rsidRPr="00490D87">
        <w:rPr>
          <w:rStyle w:val="a"/>
          <w:rFonts w:ascii="Times New Roman" w:hAnsi="Times New Roman"/>
          <w:bCs/>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386054" w:rsidRPr="00EF7FF5" w14:paraId="088D3C1E" w14:textId="77777777">
      <w:pPr>
        <w:tabs>
          <w:tab w:val="left" w:pos="-720"/>
        </w:tabs>
        <w:suppressAutoHyphens/>
        <w:rPr>
          <w:rFonts w:ascii="Times New Roman" w:hAnsi="Times New Roman"/>
          <w:szCs w:val="24"/>
        </w:rPr>
      </w:pPr>
    </w:p>
    <w:p w:rsidR="00314A02" w:rsidRPr="002A1DEB" w:rsidP="00B179DC" w14:paraId="088D3C1F" w14:textId="69698DC4">
      <w:pPr>
        <w:tabs>
          <w:tab w:val="left" w:pos="-720"/>
          <w:tab w:val="left" w:pos="1044"/>
        </w:tabs>
        <w:suppressAutoHyphens/>
        <w:ind w:left="720"/>
        <w:rPr>
          <w:rFonts w:ascii="Times New Roman" w:hAnsi="Times New Roman"/>
          <w:b/>
          <w:szCs w:val="24"/>
        </w:rPr>
      </w:pPr>
      <w:r w:rsidRPr="00B179DC">
        <w:rPr>
          <w:rFonts w:ascii="Times New Roman" w:hAnsi="Times New Roman"/>
          <w:b/>
        </w:rPr>
        <w:t xml:space="preserve">A </w:t>
      </w:r>
      <w:r w:rsidR="00C87785">
        <w:rPr>
          <w:rFonts w:ascii="Times New Roman" w:hAnsi="Times New Roman"/>
          <w:b/>
        </w:rPr>
        <w:t>3</w:t>
      </w:r>
      <w:r w:rsidRPr="00B179DC">
        <w:rPr>
          <w:rFonts w:ascii="Times New Roman" w:hAnsi="Times New Roman"/>
          <w:b/>
        </w:rPr>
        <w:t xml:space="preserve">0-day </w:t>
      </w:r>
      <w:r w:rsidRPr="00C87785">
        <w:rPr>
          <w:rFonts w:ascii="Times New Roman" w:hAnsi="Times New Roman"/>
          <w:b/>
          <w:u w:val="single"/>
        </w:rPr>
        <w:t>Federal Register</w:t>
      </w:r>
      <w:r w:rsidRPr="00B179DC">
        <w:rPr>
          <w:rFonts w:ascii="Times New Roman" w:hAnsi="Times New Roman"/>
          <w:b/>
        </w:rPr>
        <w:t xml:space="preserve"> notice will be published to solicit public comments.</w:t>
      </w:r>
      <w:r>
        <w:rPr>
          <w:rFonts w:ascii="Times New Roman" w:hAnsi="Times New Roman"/>
        </w:rPr>
        <w:t xml:space="preserve">  </w:t>
      </w:r>
      <w:r w:rsidR="00171ED9">
        <w:rPr>
          <w:rFonts w:ascii="Times New Roman" w:hAnsi="Times New Roman"/>
          <w:b/>
          <w:szCs w:val="24"/>
        </w:rPr>
        <w:t>S</w:t>
      </w:r>
      <w:r w:rsidRPr="002A1DEB">
        <w:rPr>
          <w:rFonts w:ascii="Times New Roman" w:hAnsi="Times New Roman"/>
          <w:b/>
          <w:szCs w:val="24"/>
        </w:rPr>
        <w:t>taff</w:t>
      </w:r>
      <w:r w:rsidR="00171ED9">
        <w:rPr>
          <w:rFonts w:ascii="Times New Roman" w:hAnsi="Times New Roman"/>
          <w:b/>
          <w:szCs w:val="24"/>
        </w:rPr>
        <w:t xml:space="preserve"> for programs under</w:t>
      </w:r>
      <w:r w:rsidR="00262A94">
        <w:rPr>
          <w:rFonts w:ascii="Times New Roman" w:hAnsi="Times New Roman"/>
          <w:b/>
          <w:szCs w:val="24"/>
        </w:rPr>
        <w:t xml:space="preserve"> Section 312</w:t>
      </w:r>
      <w:r w:rsidRPr="002A1DEB">
        <w:rPr>
          <w:rFonts w:ascii="Times New Roman" w:hAnsi="Times New Roman"/>
          <w:b/>
          <w:szCs w:val="24"/>
        </w:rPr>
        <w:t xml:space="preserve"> will respond to any questions or comments resulting from the publication of the information collection in the </w:t>
      </w:r>
      <w:r w:rsidRPr="00C87785">
        <w:rPr>
          <w:rFonts w:ascii="Times New Roman" w:hAnsi="Times New Roman"/>
          <w:b/>
          <w:szCs w:val="24"/>
          <w:u w:val="single"/>
        </w:rPr>
        <w:t>Federal Register</w:t>
      </w:r>
      <w:r w:rsidRPr="002A1DEB">
        <w:rPr>
          <w:rFonts w:ascii="Times New Roman" w:hAnsi="Times New Roman"/>
          <w:b/>
          <w:szCs w:val="24"/>
        </w:rPr>
        <w:t xml:space="preserve"> as required by 5 CFR 1320.8(d).  Institutional Service (IS) staff has met with national organizations, potential grantees and current grantees to discuss and address their concerns with this specific collection.</w:t>
      </w:r>
    </w:p>
    <w:p w:rsidR="00386054" w:rsidRPr="00EF7FF5" w14:paraId="088D3C22" w14:textId="77777777">
      <w:pPr>
        <w:tabs>
          <w:tab w:val="left" w:pos="-720"/>
        </w:tabs>
        <w:suppressAutoHyphens/>
        <w:rPr>
          <w:rFonts w:ascii="Times New Roman" w:hAnsi="Times New Roman"/>
          <w:szCs w:val="24"/>
        </w:rPr>
      </w:pPr>
    </w:p>
    <w:p w:rsidR="00386054" w:rsidRPr="00EF7FF5" w14:paraId="088D3C23" w14:textId="77777777">
      <w:pPr>
        <w:tabs>
          <w:tab w:val="left" w:pos="-720"/>
        </w:tabs>
        <w:suppressAutoHyphens/>
        <w:rPr>
          <w:rFonts w:ascii="Times New Roman" w:hAnsi="Times New Roman"/>
          <w:szCs w:val="24"/>
        </w:rPr>
      </w:pPr>
      <w:r w:rsidRPr="00EF7FF5">
        <w:rPr>
          <w:rFonts w:ascii="Times New Roman" w:hAnsi="Times New Roman"/>
          <w:szCs w:val="24"/>
        </w:rPr>
        <w:t xml:space="preserve">9. </w:t>
      </w:r>
      <w:r w:rsidRPr="00EF7FF5">
        <w:rPr>
          <w:rStyle w:val="a"/>
          <w:rFonts w:ascii="Times New Roman" w:hAnsi="Times New Roman"/>
          <w:szCs w:val="24"/>
        </w:rPr>
        <w:t>Explain any decision to provide any payment or gift to respondents, other than remuneration of contractors or grantees</w:t>
      </w:r>
      <w:r w:rsidR="003E285A">
        <w:rPr>
          <w:rStyle w:val="a"/>
          <w:rFonts w:ascii="Times New Roman" w:hAnsi="Times New Roman"/>
          <w:szCs w:val="24"/>
        </w:rPr>
        <w:t xml:space="preserve"> with meaningful justification</w:t>
      </w:r>
      <w:r w:rsidRPr="00EF7FF5">
        <w:rPr>
          <w:rStyle w:val="a"/>
          <w:rFonts w:ascii="Times New Roman" w:hAnsi="Times New Roman"/>
          <w:szCs w:val="24"/>
        </w:rPr>
        <w:t>.</w:t>
      </w:r>
    </w:p>
    <w:p w:rsidR="00386054" w:rsidRPr="00EF7FF5" w14:paraId="088D3C24" w14:textId="77777777">
      <w:pPr>
        <w:tabs>
          <w:tab w:val="left" w:pos="-720"/>
        </w:tabs>
        <w:suppressAutoHyphens/>
        <w:rPr>
          <w:rFonts w:ascii="Times New Roman" w:hAnsi="Times New Roman"/>
          <w:szCs w:val="24"/>
        </w:rPr>
      </w:pPr>
    </w:p>
    <w:p w:rsidR="00314A02" w:rsidRPr="00314A02" w:rsidP="00314A02" w14:paraId="088D3C25" w14:textId="77777777">
      <w:pPr>
        <w:autoSpaceDE w:val="0"/>
        <w:autoSpaceDN w:val="0"/>
        <w:adjustRightInd w:val="0"/>
        <w:ind w:firstLine="720"/>
        <w:rPr>
          <w:rFonts w:ascii="Times New Roman" w:hAnsi="Times New Roman"/>
          <w:b/>
          <w:szCs w:val="24"/>
        </w:rPr>
      </w:pPr>
      <w:r w:rsidRPr="002A1DEB">
        <w:rPr>
          <w:rFonts w:ascii="Times New Roman" w:hAnsi="Times New Roman"/>
          <w:b/>
          <w:szCs w:val="24"/>
        </w:rPr>
        <w:t>The Department will not provide payments or gifts to respondents.</w:t>
      </w:r>
    </w:p>
    <w:p w:rsidR="00386054" w:rsidRPr="00EF7FF5" w14:paraId="088D3C26" w14:textId="77777777">
      <w:pPr>
        <w:tabs>
          <w:tab w:val="left" w:pos="-720"/>
        </w:tabs>
        <w:suppressAutoHyphens/>
        <w:rPr>
          <w:rFonts w:ascii="Times New Roman" w:hAnsi="Times New Roman"/>
          <w:szCs w:val="24"/>
        </w:rPr>
      </w:pPr>
    </w:p>
    <w:p w:rsidR="002A620A" w:rsidRPr="00490D87" w:rsidP="00490D87" w14:paraId="7058F122" w14:textId="6652DD89">
      <w:pPr>
        <w:tabs>
          <w:tab w:val="left" w:pos="-720"/>
        </w:tabs>
        <w:suppressAutoHyphens/>
        <w:rPr>
          <w:rFonts w:ascii="Times New Roman" w:hAnsi="Times New Roman"/>
          <w:bCs/>
          <w:szCs w:val="24"/>
        </w:rPr>
      </w:pPr>
      <w:r w:rsidRPr="00490D87">
        <w:rPr>
          <w:rFonts w:ascii="Times New Roman" w:hAnsi="Times New Roman"/>
          <w:bCs/>
          <w:szCs w:val="24"/>
        </w:rPr>
        <w:t>10. 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Pr>
          <w:rStyle w:val="FootnoteReference"/>
          <w:rFonts w:ascii="Times New Roman" w:hAnsi="Times New Roman"/>
          <w:bCs/>
          <w:szCs w:val="24"/>
        </w:rPr>
        <w:footnoteReference w:id="2"/>
      </w:r>
      <w:r w:rsidRPr="00490D87">
        <w:rPr>
          <w:rFonts w:ascii="Times New Roman" w:hAnsi="Times New Roman"/>
          <w:bCs/>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confidentiality of the data. If no PII will be collected, state that no assurance of confidentiality is provided to respondents. If the Paperwork Burden Statement is not included physically on a form, you may include it here. Please ensure that your response per respondent matches the estimate provided in number 12.</w:t>
      </w:r>
    </w:p>
    <w:p w:rsidR="00314A02" w:rsidRPr="00EF7FF5" w14:paraId="088D3C28" w14:textId="77777777">
      <w:pPr>
        <w:tabs>
          <w:tab w:val="left" w:pos="-720"/>
        </w:tabs>
        <w:suppressAutoHyphens/>
        <w:rPr>
          <w:rFonts w:ascii="Times New Roman" w:hAnsi="Times New Roman"/>
          <w:szCs w:val="24"/>
        </w:rPr>
      </w:pPr>
    </w:p>
    <w:p w:rsidR="00314A02" w:rsidRPr="002A1DEB" w:rsidP="00832348" w14:paraId="088D3C29" w14:textId="77777777">
      <w:pPr>
        <w:autoSpaceDE w:val="0"/>
        <w:autoSpaceDN w:val="0"/>
        <w:adjustRightInd w:val="0"/>
        <w:ind w:left="720"/>
        <w:rPr>
          <w:rFonts w:ascii="Times New Roman" w:hAnsi="Times New Roman"/>
          <w:b/>
          <w:szCs w:val="24"/>
        </w:rPr>
      </w:pPr>
      <w:r w:rsidRPr="002A1DEB">
        <w:rPr>
          <w:rFonts w:ascii="Times New Roman" w:hAnsi="Times New Roman"/>
          <w:b/>
          <w:szCs w:val="24"/>
        </w:rPr>
        <w:t>No assurances of confidentiality are provided to the respondents.</w:t>
      </w:r>
    </w:p>
    <w:p w:rsidR="00386054" w:rsidRPr="00EF7FF5" w14:paraId="088D3C2A" w14:textId="77777777">
      <w:pPr>
        <w:tabs>
          <w:tab w:val="left" w:pos="-720"/>
        </w:tabs>
        <w:suppressAutoHyphens/>
        <w:rPr>
          <w:rFonts w:ascii="Times New Roman" w:hAnsi="Times New Roman"/>
          <w:szCs w:val="24"/>
        </w:rPr>
      </w:pPr>
    </w:p>
    <w:p w:rsidR="00386054" w14:paraId="088D3C2B" w14:textId="77777777">
      <w:pPr>
        <w:tabs>
          <w:tab w:val="left" w:pos="-720"/>
        </w:tabs>
        <w:suppressAutoHyphens/>
        <w:rPr>
          <w:rFonts w:ascii="Times New Roman" w:hAnsi="Times New Roman"/>
          <w:szCs w:val="24"/>
        </w:rPr>
      </w:pPr>
      <w:r w:rsidRPr="00EF7FF5">
        <w:rPr>
          <w:rFonts w:ascii="Times New Roman" w:hAnsi="Times New Roman"/>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14A02" w14:paraId="088D3C2C" w14:textId="77777777">
      <w:pPr>
        <w:tabs>
          <w:tab w:val="left" w:pos="-720"/>
        </w:tabs>
        <w:suppressAutoHyphens/>
        <w:rPr>
          <w:rFonts w:ascii="Times New Roman" w:hAnsi="Times New Roman"/>
          <w:szCs w:val="24"/>
        </w:rPr>
      </w:pPr>
    </w:p>
    <w:p w:rsidR="00314A02" w:rsidRPr="002A1DEB" w:rsidP="00832348" w14:paraId="088D3C2D" w14:textId="77777777">
      <w:pPr>
        <w:autoSpaceDE w:val="0"/>
        <w:autoSpaceDN w:val="0"/>
        <w:adjustRightInd w:val="0"/>
        <w:ind w:left="720"/>
        <w:rPr>
          <w:rFonts w:ascii="Times New Roman" w:hAnsi="Times New Roman"/>
          <w:b/>
          <w:szCs w:val="24"/>
        </w:rPr>
      </w:pPr>
      <w:r w:rsidRPr="002A1DEB">
        <w:rPr>
          <w:rFonts w:ascii="Times New Roman" w:hAnsi="Times New Roman"/>
          <w:b/>
          <w:szCs w:val="24"/>
        </w:rPr>
        <w:t>Questions of a sensitive nature are not included in this information collection.</w:t>
      </w:r>
    </w:p>
    <w:p w:rsidR="00314A02" w:rsidRPr="00EF7FF5" w14:paraId="088D3C2E" w14:textId="77777777">
      <w:pPr>
        <w:tabs>
          <w:tab w:val="left" w:pos="-720"/>
        </w:tabs>
        <w:suppressAutoHyphens/>
        <w:rPr>
          <w:rFonts w:ascii="Times New Roman" w:hAnsi="Times New Roman"/>
          <w:szCs w:val="24"/>
        </w:rPr>
      </w:pPr>
    </w:p>
    <w:p w:rsidR="00A761CC" w:rsidRPr="00490D87" w:rsidP="00490D87" w14:paraId="7B4FB800" w14:textId="5753667E">
      <w:pPr>
        <w:tabs>
          <w:tab w:val="left" w:pos="-720"/>
        </w:tabs>
        <w:suppressAutoHyphens/>
        <w:rPr>
          <w:rStyle w:val="a"/>
          <w:rFonts w:ascii="Times New Roman" w:hAnsi="Times New Roman"/>
          <w:bCs/>
          <w:szCs w:val="24"/>
        </w:rPr>
      </w:pPr>
      <w:r w:rsidRPr="00490D87">
        <w:rPr>
          <w:rStyle w:val="a"/>
          <w:rFonts w:ascii="Times New Roman" w:hAnsi="Times New Roman"/>
          <w:bCs/>
          <w:szCs w:val="24"/>
        </w:rPr>
        <w:t>12.  Provide estimates of the hour burden for this current information collection request.  The statement should:</w:t>
      </w:r>
    </w:p>
    <w:p w:rsidR="00A761CC" w:rsidRPr="00490D87" w:rsidP="00A761CC" w14:paraId="3C52D19C" w14:textId="77777777">
      <w:pPr>
        <w:tabs>
          <w:tab w:val="left" w:pos="-720"/>
        </w:tabs>
        <w:suppressAutoHyphens/>
        <w:rPr>
          <w:rStyle w:val="a"/>
          <w:rFonts w:ascii="Times New Roman" w:hAnsi="Times New Roman"/>
          <w:bCs/>
          <w:szCs w:val="24"/>
        </w:rPr>
      </w:pPr>
    </w:p>
    <w:p w:rsidR="00A761CC" w:rsidRPr="00490D87" w:rsidP="00A761CC" w14:paraId="50402004" w14:textId="77777777">
      <w:pPr>
        <w:numPr>
          <w:ilvl w:val="0"/>
          <w:numId w:val="7"/>
        </w:numPr>
        <w:tabs>
          <w:tab w:val="left" w:pos="-720"/>
          <w:tab w:val="clear" w:pos="1060"/>
          <w:tab w:val="num" w:pos="1170"/>
          <w:tab w:val="left" w:pos="1247"/>
        </w:tabs>
        <w:suppressAutoHyphens/>
        <w:ind w:left="1170"/>
        <w:rPr>
          <w:rStyle w:val="a"/>
          <w:rFonts w:ascii="Times New Roman" w:hAnsi="Times New Roman"/>
          <w:bCs/>
          <w:szCs w:val="24"/>
        </w:rPr>
      </w:pPr>
      <w:r w:rsidRPr="00490D87">
        <w:rPr>
          <w:rStyle w:val="a"/>
          <w:rFonts w:ascii="Times New Roman" w:hAnsi="Times New Roman"/>
          <w:bCs/>
          <w:szCs w:val="24"/>
        </w:rPr>
        <w:t>Provide an explanation of how the burden was estimated, including identification of burden type: recordkeeping, reporting or third party disclosure.  Address changes in burden due to the use of technology (if applicable). Generally, estimates should not include burden hours for customary and usual business practices.</w:t>
      </w:r>
    </w:p>
    <w:p w:rsidR="00A761CC" w:rsidRPr="00490D87" w:rsidP="00A761CC" w14:paraId="47192B32" w14:textId="77777777">
      <w:pPr>
        <w:numPr>
          <w:ilvl w:val="0"/>
          <w:numId w:val="7"/>
        </w:numPr>
        <w:tabs>
          <w:tab w:val="left" w:pos="-720"/>
          <w:tab w:val="clear" w:pos="1060"/>
          <w:tab w:val="num" w:pos="1170"/>
          <w:tab w:val="left" w:pos="1247"/>
        </w:tabs>
        <w:suppressAutoHyphens/>
        <w:ind w:left="1170"/>
        <w:rPr>
          <w:rStyle w:val="a"/>
          <w:rFonts w:ascii="Times New Roman" w:hAnsi="Times New Roman"/>
          <w:bCs/>
          <w:szCs w:val="24"/>
        </w:rPr>
      </w:pPr>
      <w:r w:rsidRPr="00490D87">
        <w:rPr>
          <w:rStyle w:val="a"/>
          <w:rFonts w:ascii="Times New Roman" w:hAnsi="Times New Roman"/>
          <w:bCs/>
          <w:szCs w:val="24"/>
        </w:rPr>
        <w:t>Please do not include increases in burden and respondents numerically in this table. Explain these changes in number 15.</w:t>
      </w:r>
    </w:p>
    <w:p w:rsidR="00A761CC" w:rsidRPr="00A761CC" w:rsidP="00A761CC" w14:paraId="2B9AECAA" w14:textId="77777777">
      <w:pPr>
        <w:numPr>
          <w:ilvl w:val="0"/>
          <w:numId w:val="7"/>
        </w:numPr>
        <w:tabs>
          <w:tab w:val="left" w:pos="-720"/>
          <w:tab w:val="clear" w:pos="1060"/>
          <w:tab w:val="num" w:pos="1170"/>
          <w:tab w:val="left" w:pos="1247"/>
        </w:tabs>
        <w:suppressAutoHyphens/>
        <w:ind w:left="1170"/>
        <w:rPr>
          <w:rStyle w:val="a"/>
          <w:rFonts w:ascii="Times New Roman" w:hAnsi="Times New Roman"/>
          <w:bCs/>
          <w:szCs w:val="24"/>
        </w:rPr>
      </w:pPr>
      <w:r w:rsidRPr="00490D87">
        <w:rPr>
          <w:rStyle w:val="a"/>
          <w:rFonts w:ascii="Times New Roman" w:hAnsi="Times New Roman"/>
          <w:bCs/>
          <w:szCs w:val="24"/>
        </w:rPr>
        <w:t xml:space="preserve">Indicate the number of respondents by affected public type (federal government, individuals or households, private sector – businesses or other for-profit, private sector – not-for-profit institutions, farms, state, local or tribal governments), frequency of response, annual hour burden. Unless directed to do so, agencies should not conduct special surveys to obtain information on which to base hour burden estimates.  Consultation with a sample (fewer than 10) of potential respondents is desirable. </w:t>
      </w:r>
    </w:p>
    <w:p w:rsidR="00A761CC" w:rsidRPr="00490D87" w:rsidP="00A761CC" w14:paraId="717604E1" w14:textId="77777777">
      <w:pPr>
        <w:numPr>
          <w:ilvl w:val="0"/>
          <w:numId w:val="7"/>
        </w:numPr>
        <w:tabs>
          <w:tab w:val="left" w:pos="-720"/>
          <w:tab w:val="clear" w:pos="1060"/>
          <w:tab w:val="num" w:pos="1170"/>
          <w:tab w:val="left" w:pos="1247"/>
        </w:tabs>
        <w:suppressAutoHyphens/>
        <w:ind w:left="1170"/>
        <w:rPr>
          <w:rStyle w:val="a"/>
          <w:rFonts w:ascii="Times New Roman" w:hAnsi="Times New Roman"/>
          <w:bCs/>
          <w:szCs w:val="24"/>
        </w:rPr>
      </w:pPr>
      <w:r w:rsidRPr="00490D87">
        <w:rPr>
          <w:rStyle w:val="a"/>
          <w:rFonts w:ascii="Times New Roman" w:hAnsi="Times New Roman"/>
          <w:bCs/>
          <w:szCs w:val="24"/>
        </w:rPr>
        <w:t>If this request for approval covers more than one form, provide separate hour burden estimates for each form and aggregate the hour burden in the table below.</w:t>
      </w:r>
    </w:p>
    <w:p w:rsidR="00A761CC" w:rsidRPr="00A761CC" w:rsidP="00A761CC" w14:paraId="57A624BF" w14:textId="77777777">
      <w:pPr>
        <w:numPr>
          <w:ilvl w:val="0"/>
          <w:numId w:val="7"/>
        </w:numPr>
        <w:tabs>
          <w:tab w:val="left" w:pos="-720"/>
          <w:tab w:val="clear" w:pos="1060"/>
          <w:tab w:val="num" w:pos="1170"/>
          <w:tab w:val="left" w:pos="1247"/>
        </w:tabs>
        <w:suppressAutoHyphens/>
        <w:ind w:left="1166"/>
        <w:rPr>
          <w:rStyle w:val="a"/>
          <w:rFonts w:ascii="Times New Roman" w:hAnsi="Times New Roman"/>
          <w:bCs/>
          <w:szCs w:val="24"/>
        </w:rPr>
      </w:pPr>
      <w:r w:rsidRPr="00490D87">
        <w:rPr>
          <w:rStyle w:val="a"/>
          <w:rFonts w:ascii="Times New Roman" w:hAnsi="Times New Roman"/>
          <w:bCs/>
          <w:szCs w:val="24"/>
        </w:rPr>
        <w:t xml:space="preserve">Provide estimates of annualized cost to respondents of the hour burdens for collections of information, identifying and using appropriate wage rate categories. </w:t>
      </w:r>
      <w:hyperlink r:id="rId11" w:history="1">
        <w:r w:rsidRPr="00490D87">
          <w:rPr>
            <w:rStyle w:val="Hyperlink"/>
            <w:rFonts w:ascii="Times New Roman" w:hAnsi="Times New Roman"/>
            <w:bCs/>
            <w:szCs w:val="24"/>
          </w:rPr>
          <w:t>Use this site</w:t>
        </w:r>
      </w:hyperlink>
      <w:r w:rsidRPr="00490D87">
        <w:rPr>
          <w:rStyle w:val="a"/>
          <w:rFonts w:ascii="Times New Roman" w:hAnsi="Times New Roman"/>
          <w:bCs/>
          <w:szCs w:val="24"/>
        </w:rPr>
        <w:t xml:space="preserve"> to research the appropriate wage rate. The cost of contracting out or paying outside parties for information collection activities should not be included here.  Instead, this cost should be included in Item 14. If there is no cost to respondents, indicate by entering 0 in the chart below and/or provide a statement.</w:t>
      </w:r>
    </w:p>
    <w:p w:rsidR="00A761CC" w:rsidRPr="00490D87" w:rsidP="00A761CC" w14:paraId="1BDC9AB7" w14:textId="77777777">
      <w:pPr>
        <w:tabs>
          <w:tab w:val="left" w:pos="-720"/>
          <w:tab w:val="left" w:pos="1247"/>
        </w:tabs>
        <w:suppressAutoHyphens/>
        <w:rPr>
          <w:rStyle w:val="a"/>
          <w:rFonts w:ascii="Times New Roman" w:hAnsi="Times New Roman"/>
          <w:bCs/>
          <w:szCs w:val="24"/>
        </w:rPr>
      </w:pPr>
    </w:p>
    <w:p w:rsidR="00A761CC" w:rsidRPr="00490D87" w:rsidP="00A761CC" w14:paraId="79282476" w14:textId="77777777">
      <w:pPr>
        <w:pStyle w:val="ListParagraph"/>
        <w:tabs>
          <w:tab w:val="left" w:pos="-720"/>
        </w:tabs>
        <w:suppressAutoHyphens/>
        <w:contextualSpacing w:val="0"/>
        <w:rPr>
          <w:rFonts w:ascii="Times New Roman" w:hAnsi="Times New Roman"/>
          <w:bCs/>
          <w:szCs w:val="24"/>
        </w:rPr>
      </w:pPr>
      <w:r w:rsidRPr="00490D87">
        <w:rPr>
          <w:rFonts w:ascii="Times New Roman" w:hAnsi="Times New Roman"/>
          <w:bCs/>
          <w:szCs w:val="24"/>
        </w:rPr>
        <w:t>Provide a descriptive narrative here in addition to completing the table below with burden hour estimates.</w:t>
      </w:r>
    </w:p>
    <w:p w:rsidR="00A761CC" w:rsidP="00A761CC" w14:paraId="140BB5BC" w14:textId="77777777">
      <w:pPr>
        <w:pStyle w:val="ListParagraph"/>
        <w:tabs>
          <w:tab w:val="left" w:pos="-720"/>
        </w:tabs>
        <w:suppressAutoHyphens/>
        <w:rPr>
          <w:rStyle w:val="a"/>
          <w:rFonts w:ascii="Times New Roman" w:hAnsi="Times New Roman"/>
          <w:szCs w:val="24"/>
        </w:rPr>
      </w:pPr>
    </w:p>
    <w:p w:rsidR="00A761CC" w:rsidRPr="00920F63" w:rsidP="00A761CC" w14:paraId="2047B24F" w14:textId="77777777">
      <w:pPr>
        <w:pStyle w:val="Caption"/>
        <w:jc w:val="center"/>
        <w:rPr>
          <w:rFonts w:ascii="Times New Roman" w:hAnsi="Times New Roman"/>
          <w:color w:val="000000" w:themeColor="text1"/>
          <w:szCs w:val="24"/>
        </w:rPr>
      </w:pPr>
      <w:r w:rsidRPr="00920F63">
        <w:rPr>
          <w:rFonts w:ascii="Times New Roman" w:hAnsi="Times New Roman"/>
          <w:color w:val="000000" w:themeColor="text1"/>
          <w:szCs w:val="24"/>
        </w:rPr>
        <w:t xml:space="preserve">Estimated </w:t>
      </w:r>
      <w:r>
        <w:rPr>
          <w:rFonts w:ascii="Times New Roman" w:hAnsi="Times New Roman"/>
          <w:color w:val="000000" w:themeColor="text1"/>
          <w:szCs w:val="24"/>
        </w:rPr>
        <w:t>Annual Burden and Respondent Costs Table</w:t>
      </w:r>
    </w:p>
    <w:tbl>
      <w:tblPr>
        <w:tblStyle w:val="GridTableLight"/>
        <w:tblpPr w:leftFromText="180" w:rightFromText="180" w:vertAnchor="text" w:horzAnchor="margin" w:tblpXSpec="center" w:tblpY="174"/>
        <w:tblW w:w="11335" w:type="dxa"/>
        <w:tblLayout w:type="fixed"/>
        <w:tblLook w:val="0020"/>
      </w:tblPr>
      <w:tblGrid>
        <w:gridCol w:w="1345"/>
        <w:gridCol w:w="1170"/>
        <w:gridCol w:w="1170"/>
        <w:gridCol w:w="1080"/>
        <w:gridCol w:w="1080"/>
        <w:gridCol w:w="1170"/>
        <w:gridCol w:w="1170"/>
        <w:gridCol w:w="1260"/>
        <w:gridCol w:w="1890"/>
      </w:tblGrid>
      <w:tr w14:paraId="75A032D7" w14:textId="77777777" w:rsidTr="007825C8">
        <w:tblPrEx>
          <w:tblW w:w="11335" w:type="dxa"/>
          <w:tblLayout w:type="fixed"/>
          <w:tblLook w:val="0020"/>
        </w:tblPrEx>
        <w:trPr>
          <w:tblHeader/>
        </w:trPr>
        <w:tc>
          <w:tcPr>
            <w:tcW w:w="1345" w:type="dxa"/>
            <w:vAlign w:val="center"/>
          </w:tcPr>
          <w:p w:rsidR="00A761CC" w:rsidRPr="007F6104" w:rsidP="00A51A3C" w14:paraId="79903F56"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170" w:type="dxa"/>
            <w:vAlign w:val="center"/>
          </w:tcPr>
          <w:p w:rsidR="00A761CC" w:rsidRPr="007F6104" w:rsidP="00A51A3C" w14:paraId="2DDAC0C0" w14:textId="77777777">
            <w:pPr>
              <w:jc w:val="center"/>
              <w:rPr>
                <w:rFonts w:ascii="Times New Roman" w:hAnsi="Times New Roman"/>
                <w:sz w:val="20"/>
              </w:rPr>
            </w:pPr>
            <w:r>
              <w:rPr>
                <w:rFonts w:ascii="Times New Roman" w:hAnsi="Times New Roman"/>
                <w:sz w:val="20"/>
              </w:rPr>
              <w:t xml:space="preserve">Sample Size </w:t>
            </w:r>
            <w:r w:rsidRPr="00581C11">
              <w:rPr>
                <w:rFonts w:ascii="Times New Roman" w:hAnsi="Times New Roman"/>
                <w:sz w:val="20"/>
                <w:shd w:val="clear" w:color="auto" w:fill="D9D9D9" w:themeFill="background1" w:themeFillShade="D9"/>
              </w:rPr>
              <w:t>(if applicable)</w:t>
            </w:r>
          </w:p>
        </w:tc>
        <w:tc>
          <w:tcPr>
            <w:tcW w:w="1170" w:type="dxa"/>
            <w:vAlign w:val="center"/>
          </w:tcPr>
          <w:p w:rsidR="00A761CC" w:rsidRPr="007F6104" w:rsidP="00A51A3C" w14:paraId="3C215EFD" w14:textId="77777777">
            <w:pPr>
              <w:shd w:val="clear" w:color="auto" w:fill="F2F2F2" w:themeFill="background1" w:themeFillShade="F2"/>
              <w:jc w:val="center"/>
              <w:rPr>
                <w:rFonts w:ascii="Times New Roman" w:hAnsi="Times New Roman"/>
                <w:sz w:val="20"/>
              </w:rPr>
            </w:pPr>
            <w:r w:rsidRPr="00581C11">
              <w:rPr>
                <w:rFonts w:ascii="Times New Roman" w:hAnsi="Times New Roman"/>
                <w:sz w:val="20"/>
                <w:shd w:val="clear" w:color="auto" w:fill="F2F2F2" w:themeFill="background1" w:themeFillShade="F2"/>
              </w:rPr>
              <w:t xml:space="preserve">Respondent Response Rate </w:t>
            </w:r>
            <w:r w:rsidRPr="00581C11">
              <w:rPr>
                <w:rFonts w:ascii="Times New Roman" w:hAnsi="Times New Roman"/>
                <w:sz w:val="20"/>
                <w:shd w:val="clear" w:color="auto" w:fill="D9D9D9" w:themeFill="background1" w:themeFillShade="D9"/>
              </w:rPr>
              <w:t>(if applicable)</w:t>
            </w:r>
          </w:p>
        </w:tc>
        <w:tc>
          <w:tcPr>
            <w:tcW w:w="1080" w:type="dxa"/>
            <w:vAlign w:val="center"/>
          </w:tcPr>
          <w:p w:rsidR="00A761CC" w:rsidRPr="007F6104" w:rsidP="00A51A3C" w14:paraId="6745F68F"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vAlign w:val="center"/>
          </w:tcPr>
          <w:p w:rsidR="00A761CC" w:rsidRPr="007F6104" w:rsidP="00A51A3C" w14:paraId="0210C650" w14:textId="77777777">
            <w:pPr>
              <w:jc w:val="center"/>
              <w:rPr>
                <w:rFonts w:ascii="Times New Roman" w:hAnsi="Times New Roman"/>
                <w:sz w:val="20"/>
              </w:rPr>
            </w:pPr>
            <w:r w:rsidRPr="007F6104">
              <w:rPr>
                <w:rFonts w:ascii="Times New Roman" w:hAnsi="Times New Roman"/>
                <w:sz w:val="20"/>
              </w:rPr>
              <w:t>Number of Responses</w:t>
            </w:r>
          </w:p>
        </w:tc>
        <w:tc>
          <w:tcPr>
            <w:tcW w:w="1170" w:type="dxa"/>
            <w:vAlign w:val="center"/>
          </w:tcPr>
          <w:p w:rsidR="00A761CC" w:rsidRPr="007F6104" w:rsidP="00A51A3C" w14:paraId="58948FED" w14:textId="77777777">
            <w:pPr>
              <w:jc w:val="center"/>
              <w:rPr>
                <w:rFonts w:ascii="Times New Roman" w:hAnsi="Times New Roman"/>
                <w:sz w:val="20"/>
              </w:rPr>
            </w:pPr>
            <w:r w:rsidRPr="007F6104">
              <w:rPr>
                <w:rFonts w:ascii="Times New Roman" w:hAnsi="Times New Roman"/>
                <w:sz w:val="20"/>
              </w:rPr>
              <w:t>Average Burden Hours per Response</w:t>
            </w:r>
          </w:p>
        </w:tc>
        <w:tc>
          <w:tcPr>
            <w:tcW w:w="1170" w:type="dxa"/>
            <w:vAlign w:val="center"/>
          </w:tcPr>
          <w:p w:rsidR="00A761CC" w:rsidRPr="007F6104" w:rsidP="00A51A3C" w14:paraId="56625F06" w14:textId="77777777">
            <w:pPr>
              <w:jc w:val="center"/>
              <w:rPr>
                <w:rFonts w:ascii="Times New Roman" w:hAnsi="Times New Roman"/>
                <w:sz w:val="20"/>
              </w:rPr>
            </w:pPr>
            <w:r w:rsidRPr="007F6104">
              <w:rPr>
                <w:rFonts w:ascii="Times New Roman" w:hAnsi="Times New Roman"/>
                <w:sz w:val="20"/>
              </w:rPr>
              <w:t xml:space="preserve">Total </w:t>
            </w:r>
            <w:r>
              <w:rPr>
                <w:rFonts w:ascii="Times New Roman" w:hAnsi="Times New Roman"/>
                <w:sz w:val="20"/>
              </w:rPr>
              <w:t xml:space="preserve">Annual </w:t>
            </w:r>
            <w:r w:rsidRPr="007F6104">
              <w:rPr>
                <w:rFonts w:ascii="Times New Roman" w:hAnsi="Times New Roman"/>
                <w:sz w:val="20"/>
              </w:rPr>
              <w:t>Burden Hours</w:t>
            </w:r>
          </w:p>
        </w:tc>
        <w:tc>
          <w:tcPr>
            <w:tcW w:w="1260" w:type="dxa"/>
            <w:vAlign w:val="center"/>
          </w:tcPr>
          <w:p w:rsidR="00A761CC" w:rsidRPr="007F6104" w:rsidP="00A51A3C" w14:paraId="16E4578D"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890" w:type="dxa"/>
            <w:vAlign w:val="center"/>
          </w:tcPr>
          <w:p w:rsidR="00A761CC" w:rsidRPr="007F6104" w:rsidP="00A51A3C" w14:paraId="50FF850D"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14:paraId="793C5108" w14:textId="77777777" w:rsidTr="007825C8">
        <w:tblPrEx>
          <w:tblW w:w="11335" w:type="dxa"/>
          <w:tblLayout w:type="fixed"/>
          <w:tblLook w:val="0020"/>
        </w:tblPrEx>
        <w:tc>
          <w:tcPr>
            <w:tcW w:w="1345" w:type="dxa"/>
          </w:tcPr>
          <w:p w:rsidR="00E37D69" w:rsidRPr="00442E07" w:rsidP="00A51A3C" w14:paraId="1DCB4A42" w14:textId="3411EF1F">
            <w:pPr>
              <w:rPr>
                <w:rFonts w:ascii="Times New Roman" w:hAnsi="Times New Roman"/>
                <w:szCs w:val="24"/>
              </w:rPr>
            </w:pPr>
            <w:r>
              <w:rPr>
                <w:rFonts w:ascii="Times New Roman" w:hAnsi="Times New Roman"/>
                <w:szCs w:val="24"/>
              </w:rPr>
              <w:t>Public</w:t>
            </w:r>
          </w:p>
        </w:tc>
        <w:tc>
          <w:tcPr>
            <w:tcW w:w="1170" w:type="dxa"/>
          </w:tcPr>
          <w:p w:rsidR="00E37D69" w:rsidRPr="00442E07" w:rsidP="00A51A3C" w14:paraId="1AEC8C09" w14:textId="5CB14736">
            <w:pPr>
              <w:rPr>
                <w:rFonts w:ascii="Times New Roman" w:hAnsi="Times New Roman"/>
                <w:szCs w:val="24"/>
              </w:rPr>
            </w:pPr>
            <w:r>
              <w:rPr>
                <w:rFonts w:ascii="Times New Roman" w:hAnsi="Times New Roman"/>
                <w:szCs w:val="24"/>
              </w:rPr>
              <w:t>N/A</w:t>
            </w:r>
          </w:p>
        </w:tc>
        <w:tc>
          <w:tcPr>
            <w:tcW w:w="1170" w:type="dxa"/>
          </w:tcPr>
          <w:p w:rsidR="00E37D69" w:rsidRPr="00442E07" w:rsidP="00A51A3C" w14:paraId="7FC508BC" w14:textId="72F38C0B">
            <w:pPr>
              <w:rPr>
                <w:rFonts w:ascii="Times New Roman" w:hAnsi="Times New Roman"/>
                <w:szCs w:val="24"/>
              </w:rPr>
            </w:pPr>
            <w:r>
              <w:rPr>
                <w:rFonts w:ascii="Times New Roman" w:hAnsi="Times New Roman"/>
                <w:szCs w:val="24"/>
              </w:rPr>
              <w:t>N/A</w:t>
            </w:r>
          </w:p>
        </w:tc>
        <w:tc>
          <w:tcPr>
            <w:tcW w:w="1080" w:type="dxa"/>
          </w:tcPr>
          <w:p w:rsidR="00E37D69" w:rsidRPr="00442E07" w:rsidP="00A51A3C" w14:paraId="44ED21D6" w14:textId="4322B4FB">
            <w:pPr>
              <w:rPr>
                <w:rFonts w:ascii="Times New Roman" w:hAnsi="Times New Roman"/>
                <w:szCs w:val="24"/>
              </w:rPr>
            </w:pPr>
            <w:r>
              <w:rPr>
                <w:rFonts w:ascii="Times New Roman" w:hAnsi="Times New Roman"/>
                <w:szCs w:val="24"/>
              </w:rPr>
              <w:t>490</w:t>
            </w:r>
          </w:p>
        </w:tc>
        <w:tc>
          <w:tcPr>
            <w:tcW w:w="1080" w:type="dxa"/>
          </w:tcPr>
          <w:p w:rsidR="00E37D69" w:rsidRPr="00442E07" w:rsidP="00A51A3C" w14:paraId="5837ED3A" w14:textId="2956139C">
            <w:pPr>
              <w:rPr>
                <w:rFonts w:ascii="Times New Roman" w:hAnsi="Times New Roman"/>
                <w:szCs w:val="24"/>
              </w:rPr>
            </w:pPr>
            <w:r>
              <w:rPr>
                <w:rFonts w:ascii="Times New Roman" w:hAnsi="Times New Roman"/>
                <w:szCs w:val="24"/>
              </w:rPr>
              <w:t>490</w:t>
            </w:r>
          </w:p>
        </w:tc>
        <w:tc>
          <w:tcPr>
            <w:tcW w:w="1170" w:type="dxa"/>
          </w:tcPr>
          <w:p w:rsidR="00E37D69" w:rsidRPr="00442E07" w:rsidP="00A51A3C" w14:paraId="7494A5C8" w14:textId="3C712A69">
            <w:pPr>
              <w:rPr>
                <w:rFonts w:ascii="Times New Roman" w:hAnsi="Times New Roman"/>
                <w:szCs w:val="24"/>
              </w:rPr>
            </w:pPr>
            <w:r>
              <w:rPr>
                <w:rFonts w:ascii="Times New Roman" w:hAnsi="Times New Roman"/>
                <w:szCs w:val="24"/>
              </w:rPr>
              <w:t>7</w:t>
            </w:r>
          </w:p>
        </w:tc>
        <w:tc>
          <w:tcPr>
            <w:tcW w:w="1170" w:type="dxa"/>
          </w:tcPr>
          <w:p w:rsidR="00E37D69" w:rsidRPr="00442E07" w:rsidP="00A51A3C" w14:paraId="05A8D016" w14:textId="15940781">
            <w:pPr>
              <w:rPr>
                <w:rFonts w:ascii="Times New Roman" w:hAnsi="Times New Roman"/>
                <w:szCs w:val="24"/>
              </w:rPr>
            </w:pPr>
            <w:r>
              <w:rPr>
                <w:rFonts w:ascii="Times New Roman" w:hAnsi="Times New Roman"/>
                <w:szCs w:val="24"/>
              </w:rPr>
              <w:t>3,430</w:t>
            </w:r>
          </w:p>
        </w:tc>
        <w:tc>
          <w:tcPr>
            <w:tcW w:w="1260" w:type="dxa"/>
            <w:vMerge w:val="restart"/>
            <w:vAlign w:val="center"/>
          </w:tcPr>
          <w:p w:rsidR="00E37D69" w:rsidRPr="00442E07" w:rsidP="00490D87" w14:paraId="38439B28" w14:textId="120EF885">
            <w:pPr>
              <w:jc w:val="center"/>
              <w:rPr>
                <w:rFonts w:ascii="Times New Roman" w:hAnsi="Times New Roman"/>
                <w:szCs w:val="24"/>
              </w:rPr>
            </w:pPr>
            <w:r>
              <w:rPr>
                <w:rFonts w:ascii="Times New Roman" w:hAnsi="Times New Roman"/>
                <w:szCs w:val="24"/>
              </w:rPr>
              <w:t>$</w:t>
            </w:r>
            <w:r w:rsidR="00901484">
              <w:rPr>
                <w:rFonts w:ascii="Times New Roman" w:hAnsi="Times New Roman"/>
                <w:szCs w:val="24"/>
              </w:rPr>
              <w:t>59.83</w:t>
            </w:r>
            <w:r>
              <w:rPr>
                <w:rFonts w:ascii="Times New Roman" w:hAnsi="Times New Roman"/>
                <w:szCs w:val="24"/>
              </w:rPr>
              <w:t>/</w:t>
            </w:r>
            <w:r w:rsidR="00FF5CE2">
              <w:rPr>
                <w:rFonts w:ascii="Times New Roman" w:hAnsi="Times New Roman"/>
                <w:szCs w:val="24"/>
              </w:rPr>
              <w:t xml:space="preserve"> </w:t>
            </w:r>
            <w:r>
              <w:rPr>
                <w:rFonts w:ascii="Times New Roman" w:hAnsi="Times New Roman"/>
                <w:szCs w:val="24"/>
              </w:rPr>
              <w:t>hour</w:t>
            </w:r>
          </w:p>
        </w:tc>
        <w:tc>
          <w:tcPr>
            <w:tcW w:w="1890" w:type="dxa"/>
          </w:tcPr>
          <w:p w:rsidR="00E37D69" w:rsidRPr="00442E07" w:rsidP="00FF5CE2" w14:paraId="14A42C18" w14:textId="3F76432E">
            <w:pPr>
              <w:jc w:val="right"/>
              <w:rPr>
                <w:rFonts w:ascii="Times New Roman" w:hAnsi="Times New Roman"/>
                <w:szCs w:val="24"/>
              </w:rPr>
            </w:pPr>
            <w:r>
              <w:rPr>
                <w:rFonts w:ascii="Times New Roman" w:hAnsi="Times New Roman"/>
                <w:szCs w:val="24"/>
              </w:rPr>
              <w:t>$</w:t>
            </w:r>
            <w:r w:rsidR="00A02DA3">
              <w:rPr>
                <w:rFonts w:ascii="Times New Roman" w:hAnsi="Times New Roman"/>
                <w:szCs w:val="24"/>
              </w:rPr>
              <w:t>205,216.9</w:t>
            </w:r>
            <w:r w:rsidR="00AA6D11">
              <w:rPr>
                <w:rFonts w:ascii="Times New Roman" w:hAnsi="Times New Roman"/>
                <w:szCs w:val="24"/>
              </w:rPr>
              <w:t>0</w:t>
            </w:r>
          </w:p>
        </w:tc>
      </w:tr>
      <w:tr w14:paraId="3AB06094" w14:textId="77777777" w:rsidTr="007825C8">
        <w:tblPrEx>
          <w:tblW w:w="11335" w:type="dxa"/>
          <w:tblLayout w:type="fixed"/>
          <w:tblLook w:val="0020"/>
        </w:tblPrEx>
        <w:tc>
          <w:tcPr>
            <w:tcW w:w="1345" w:type="dxa"/>
          </w:tcPr>
          <w:p w:rsidR="00E37D69" w:rsidRPr="00442E07" w:rsidP="00A51A3C" w14:paraId="19FDA894" w14:textId="001AEDB8">
            <w:pPr>
              <w:rPr>
                <w:rFonts w:ascii="Times New Roman" w:hAnsi="Times New Roman"/>
                <w:szCs w:val="24"/>
              </w:rPr>
            </w:pPr>
            <w:r>
              <w:rPr>
                <w:rFonts w:ascii="Times New Roman" w:hAnsi="Times New Roman"/>
                <w:szCs w:val="24"/>
              </w:rPr>
              <w:t>Private</w:t>
            </w:r>
          </w:p>
        </w:tc>
        <w:tc>
          <w:tcPr>
            <w:tcW w:w="1170" w:type="dxa"/>
          </w:tcPr>
          <w:p w:rsidR="00E37D69" w:rsidRPr="00442E07" w:rsidP="00A51A3C" w14:paraId="3338F53B" w14:textId="1A573C8F">
            <w:pPr>
              <w:rPr>
                <w:rFonts w:ascii="Times New Roman" w:hAnsi="Times New Roman"/>
                <w:szCs w:val="24"/>
              </w:rPr>
            </w:pPr>
            <w:r>
              <w:rPr>
                <w:rFonts w:ascii="Times New Roman" w:hAnsi="Times New Roman"/>
                <w:szCs w:val="24"/>
              </w:rPr>
              <w:t>N/A</w:t>
            </w:r>
          </w:p>
        </w:tc>
        <w:tc>
          <w:tcPr>
            <w:tcW w:w="1170" w:type="dxa"/>
          </w:tcPr>
          <w:p w:rsidR="00E37D69" w:rsidRPr="00442E07" w:rsidP="00A51A3C" w14:paraId="2B24AC81" w14:textId="19B7DA00">
            <w:pPr>
              <w:rPr>
                <w:rFonts w:ascii="Times New Roman" w:hAnsi="Times New Roman"/>
                <w:szCs w:val="24"/>
              </w:rPr>
            </w:pPr>
            <w:r>
              <w:rPr>
                <w:rFonts w:ascii="Times New Roman" w:hAnsi="Times New Roman"/>
                <w:szCs w:val="24"/>
              </w:rPr>
              <w:t>N/A</w:t>
            </w:r>
          </w:p>
        </w:tc>
        <w:tc>
          <w:tcPr>
            <w:tcW w:w="1080" w:type="dxa"/>
          </w:tcPr>
          <w:p w:rsidR="00E37D69" w:rsidRPr="00442E07" w:rsidP="00A51A3C" w14:paraId="38FAA30F" w14:textId="56880427">
            <w:pPr>
              <w:rPr>
                <w:rFonts w:ascii="Times New Roman" w:hAnsi="Times New Roman"/>
                <w:szCs w:val="24"/>
              </w:rPr>
            </w:pPr>
            <w:r>
              <w:rPr>
                <w:rFonts w:ascii="Times New Roman" w:hAnsi="Times New Roman"/>
                <w:szCs w:val="24"/>
              </w:rPr>
              <w:t>210</w:t>
            </w:r>
          </w:p>
        </w:tc>
        <w:tc>
          <w:tcPr>
            <w:tcW w:w="1080" w:type="dxa"/>
          </w:tcPr>
          <w:p w:rsidR="00E37D69" w:rsidRPr="00442E07" w:rsidP="00A51A3C" w14:paraId="024E5A42" w14:textId="7FAEEBB8">
            <w:pPr>
              <w:rPr>
                <w:rFonts w:ascii="Times New Roman" w:hAnsi="Times New Roman"/>
                <w:szCs w:val="24"/>
              </w:rPr>
            </w:pPr>
            <w:r>
              <w:rPr>
                <w:rFonts w:ascii="Times New Roman" w:hAnsi="Times New Roman"/>
                <w:szCs w:val="24"/>
              </w:rPr>
              <w:t>210</w:t>
            </w:r>
          </w:p>
        </w:tc>
        <w:tc>
          <w:tcPr>
            <w:tcW w:w="1170" w:type="dxa"/>
          </w:tcPr>
          <w:p w:rsidR="00E37D69" w:rsidRPr="00442E07" w:rsidP="00A51A3C" w14:paraId="12E9475B" w14:textId="7CFDBA20">
            <w:pPr>
              <w:rPr>
                <w:rFonts w:ascii="Times New Roman" w:hAnsi="Times New Roman"/>
                <w:szCs w:val="24"/>
              </w:rPr>
            </w:pPr>
            <w:r>
              <w:rPr>
                <w:rFonts w:ascii="Times New Roman" w:hAnsi="Times New Roman"/>
                <w:szCs w:val="24"/>
              </w:rPr>
              <w:t>7</w:t>
            </w:r>
          </w:p>
        </w:tc>
        <w:tc>
          <w:tcPr>
            <w:tcW w:w="1170" w:type="dxa"/>
          </w:tcPr>
          <w:p w:rsidR="00E37D69" w:rsidRPr="00442E07" w:rsidP="00A51A3C" w14:paraId="1A633C70" w14:textId="77EC2755">
            <w:pPr>
              <w:pStyle w:val="EndnoteText"/>
              <w:tabs>
                <w:tab w:val="clear" w:pos="-720"/>
              </w:tabs>
              <w:suppressAutoHyphens w:val="0"/>
              <w:rPr>
                <w:rFonts w:ascii="Times New Roman" w:hAnsi="Times New Roman"/>
                <w:szCs w:val="24"/>
              </w:rPr>
            </w:pPr>
            <w:r>
              <w:rPr>
                <w:rFonts w:ascii="Times New Roman" w:hAnsi="Times New Roman"/>
                <w:szCs w:val="24"/>
              </w:rPr>
              <w:t>1,470</w:t>
            </w:r>
          </w:p>
        </w:tc>
        <w:tc>
          <w:tcPr>
            <w:tcW w:w="1260" w:type="dxa"/>
            <w:vMerge/>
          </w:tcPr>
          <w:p w:rsidR="00E37D69" w:rsidRPr="00442E07" w:rsidP="00A51A3C" w14:paraId="6C125F04" w14:textId="77777777">
            <w:pPr>
              <w:rPr>
                <w:rFonts w:ascii="Times New Roman" w:hAnsi="Times New Roman"/>
                <w:szCs w:val="24"/>
              </w:rPr>
            </w:pPr>
          </w:p>
        </w:tc>
        <w:tc>
          <w:tcPr>
            <w:tcW w:w="1890" w:type="dxa"/>
          </w:tcPr>
          <w:p w:rsidR="00E37D69" w:rsidRPr="00442E07" w:rsidP="00FF5CE2" w14:paraId="17D3FD7D" w14:textId="26918EC1">
            <w:pPr>
              <w:jc w:val="right"/>
              <w:rPr>
                <w:rFonts w:ascii="Times New Roman" w:hAnsi="Times New Roman"/>
                <w:szCs w:val="24"/>
              </w:rPr>
            </w:pPr>
            <w:r>
              <w:rPr>
                <w:rFonts w:ascii="Times New Roman" w:hAnsi="Times New Roman"/>
                <w:szCs w:val="24"/>
              </w:rPr>
              <w:t>$</w:t>
            </w:r>
            <w:r w:rsidR="00383B62">
              <w:rPr>
                <w:rFonts w:ascii="Times New Roman" w:hAnsi="Times New Roman"/>
                <w:szCs w:val="24"/>
              </w:rPr>
              <w:t>87,950.10</w:t>
            </w:r>
          </w:p>
        </w:tc>
      </w:tr>
      <w:tr w14:paraId="0B27F0DF" w14:textId="77777777" w:rsidTr="007825C8">
        <w:tblPrEx>
          <w:tblW w:w="11335" w:type="dxa"/>
          <w:tblLayout w:type="fixed"/>
          <w:tblLook w:val="0020"/>
        </w:tblPrEx>
        <w:tc>
          <w:tcPr>
            <w:tcW w:w="1345" w:type="dxa"/>
          </w:tcPr>
          <w:p w:rsidR="00A761CC" w:rsidRPr="00442E07" w:rsidP="00A51A3C" w14:paraId="1B75E223" w14:textId="77777777">
            <w:pPr>
              <w:rPr>
                <w:rFonts w:ascii="Times New Roman" w:hAnsi="Times New Roman"/>
                <w:szCs w:val="24"/>
              </w:rPr>
            </w:pPr>
            <w:r>
              <w:rPr>
                <w:rFonts w:ascii="Times New Roman" w:hAnsi="Times New Roman"/>
                <w:szCs w:val="24"/>
              </w:rPr>
              <w:t>Annualized Totals</w:t>
            </w:r>
          </w:p>
        </w:tc>
        <w:tc>
          <w:tcPr>
            <w:tcW w:w="1170" w:type="dxa"/>
          </w:tcPr>
          <w:p w:rsidR="00A761CC" w:rsidRPr="00442E07" w:rsidP="00A51A3C" w14:paraId="1471206D" w14:textId="77777777">
            <w:pPr>
              <w:rPr>
                <w:rFonts w:ascii="Times New Roman" w:hAnsi="Times New Roman"/>
                <w:szCs w:val="24"/>
              </w:rPr>
            </w:pPr>
            <w:r>
              <w:rPr>
                <w:rFonts w:ascii="Times New Roman" w:hAnsi="Times New Roman"/>
                <w:szCs w:val="24"/>
              </w:rPr>
              <w:t>x</w:t>
            </w:r>
          </w:p>
        </w:tc>
        <w:tc>
          <w:tcPr>
            <w:tcW w:w="1170" w:type="dxa"/>
          </w:tcPr>
          <w:p w:rsidR="00A761CC" w:rsidRPr="00442E07" w:rsidP="00A51A3C" w14:paraId="52F5A28E" w14:textId="77777777">
            <w:pPr>
              <w:rPr>
                <w:rFonts w:ascii="Times New Roman" w:hAnsi="Times New Roman"/>
                <w:szCs w:val="24"/>
              </w:rPr>
            </w:pPr>
            <w:r>
              <w:rPr>
                <w:rFonts w:ascii="Times New Roman" w:hAnsi="Times New Roman"/>
                <w:szCs w:val="24"/>
              </w:rPr>
              <w:t>x</w:t>
            </w:r>
          </w:p>
        </w:tc>
        <w:tc>
          <w:tcPr>
            <w:tcW w:w="1080" w:type="dxa"/>
          </w:tcPr>
          <w:p w:rsidR="00A761CC" w:rsidRPr="00442E07" w:rsidP="00A51A3C" w14:paraId="3469FAD4" w14:textId="4601859A">
            <w:pPr>
              <w:rPr>
                <w:rFonts w:ascii="Times New Roman" w:hAnsi="Times New Roman"/>
                <w:szCs w:val="24"/>
              </w:rPr>
            </w:pPr>
            <w:r>
              <w:rPr>
                <w:rFonts w:ascii="Times New Roman" w:hAnsi="Times New Roman"/>
                <w:szCs w:val="24"/>
              </w:rPr>
              <w:t>700</w:t>
            </w:r>
          </w:p>
        </w:tc>
        <w:tc>
          <w:tcPr>
            <w:tcW w:w="1080" w:type="dxa"/>
          </w:tcPr>
          <w:p w:rsidR="00A761CC" w:rsidRPr="00442E07" w:rsidP="00A51A3C" w14:paraId="60C8574D" w14:textId="77FF556B">
            <w:pPr>
              <w:rPr>
                <w:rFonts w:ascii="Times New Roman" w:hAnsi="Times New Roman"/>
                <w:szCs w:val="24"/>
              </w:rPr>
            </w:pPr>
            <w:r>
              <w:rPr>
                <w:rFonts w:ascii="Times New Roman" w:hAnsi="Times New Roman"/>
                <w:szCs w:val="24"/>
              </w:rPr>
              <w:t>700</w:t>
            </w:r>
          </w:p>
        </w:tc>
        <w:tc>
          <w:tcPr>
            <w:tcW w:w="1170" w:type="dxa"/>
          </w:tcPr>
          <w:p w:rsidR="00A761CC" w:rsidRPr="00442E07" w:rsidP="00A51A3C" w14:paraId="00CA1F56" w14:textId="06CC3143">
            <w:pPr>
              <w:rPr>
                <w:rFonts w:ascii="Times New Roman" w:hAnsi="Times New Roman"/>
                <w:szCs w:val="24"/>
              </w:rPr>
            </w:pPr>
            <w:r>
              <w:rPr>
                <w:rFonts w:ascii="Times New Roman" w:hAnsi="Times New Roman"/>
                <w:szCs w:val="24"/>
              </w:rPr>
              <w:t>7</w:t>
            </w:r>
          </w:p>
        </w:tc>
        <w:tc>
          <w:tcPr>
            <w:tcW w:w="1170" w:type="dxa"/>
          </w:tcPr>
          <w:p w:rsidR="00A761CC" w:rsidRPr="00442E07" w:rsidP="00A51A3C" w14:paraId="6520CB1B" w14:textId="45E1104B">
            <w:pPr>
              <w:rPr>
                <w:rFonts w:ascii="Times New Roman" w:hAnsi="Times New Roman"/>
                <w:szCs w:val="24"/>
              </w:rPr>
            </w:pPr>
            <w:r>
              <w:rPr>
                <w:rFonts w:ascii="Times New Roman" w:hAnsi="Times New Roman"/>
                <w:szCs w:val="24"/>
              </w:rPr>
              <w:t>4,900</w:t>
            </w:r>
          </w:p>
        </w:tc>
        <w:tc>
          <w:tcPr>
            <w:tcW w:w="1260" w:type="dxa"/>
          </w:tcPr>
          <w:p w:rsidR="00A761CC" w:rsidRPr="00442E07" w:rsidP="00FF5CE2" w14:paraId="361CB2BC" w14:textId="5520E943">
            <w:pPr>
              <w:jc w:val="center"/>
              <w:rPr>
                <w:rFonts w:ascii="Times New Roman" w:hAnsi="Times New Roman"/>
                <w:szCs w:val="24"/>
              </w:rPr>
            </w:pPr>
            <w:r>
              <w:rPr>
                <w:rFonts w:ascii="Times New Roman" w:hAnsi="Times New Roman"/>
                <w:szCs w:val="24"/>
              </w:rPr>
              <w:t>$59.83/</w:t>
            </w:r>
            <w:r w:rsidR="00FF5CE2">
              <w:rPr>
                <w:rFonts w:ascii="Times New Roman" w:hAnsi="Times New Roman"/>
                <w:szCs w:val="24"/>
              </w:rPr>
              <w:t xml:space="preserve"> </w:t>
            </w:r>
            <w:r>
              <w:rPr>
                <w:rFonts w:ascii="Times New Roman" w:hAnsi="Times New Roman"/>
                <w:szCs w:val="24"/>
              </w:rPr>
              <w:t>hour</w:t>
            </w:r>
          </w:p>
        </w:tc>
        <w:tc>
          <w:tcPr>
            <w:tcW w:w="1890" w:type="dxa"/>
          </w:tcPr>
          <w:p w:rsidR="00A761CC" w:rsidRPr="00442E07" w:rsidP="00FF5CE2" w14:paraId="0601B922" w14:textId="52C43B2D">
            <w:pPr>
              <w:jc w:val="right"/>
              <w:rPr>
                <w:rFonts w:ascii="Times New Roman" w:hAnsi="Times New Roman"/>
                <w:szCs w:val="24"/>
              </w:rPr>
            </w:pPr>
            <w:r>
              <w:rPr>
                <w:rFonts w:ascii="Times New Roman" w:hAnsi="Times New Roman"/>
                <w:szCs w:val="24"/>
              </w:rPr>
              <w:t>$</w:t>
            </w:r>
            <w:r w:rsidR="00AA6D11">
              <w:rPr>
                <w:rFonts w:ascii="Times New Roman" w:hAnsi="Times New Roman"/>
                <w:szCs w:val="24"/>
              </w:rPr>
              <w:t>293,167</w:t>
            </w:r>
            <w:r w:rsidR="00FF5CE2">
              <w:rPr>
                <w:rFonts w:ascii="Times New Roman" w:hAnsi="Times New Roman"/>
                <w:szCs w:val="24"/>
              </w:rPr>
              <w:t>.00</w:t>
            </w:r>
          </w:p>
        </w:tc>
      </w:tr>
    </w:tbl>
    <w:p w:rsidR="00A761CC" w:rsidRPr="00AF5D1A" w:rsidP="00A761CC" w14:paraId="1650523D"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Please ensure the annual total burden, respondents and response match those entered in IC Data Parts 1 and 2, and the response per respondent matches the Paperwork Burden Statement that must be included on all forms.</w:t>
      </w:r>
    </w:p>
    <w:p w:rsidR="00314A02" w:rsidP="00314A02" w14:paraId="088D3C37" w14:textId="77777777">
      <w:pPr>
        <w:tabs>
          <w:tab w:val="left" w:pos="-720"/>
          <w:tab w:val="left" w:pos="1247"/>
        </w:tabs>
        <w:suppressAutoHyphens/>
        <w:rPr>
          <w:rStyle w:val="a"/>
          <w:rFonts w:ascii="Times New Roman" w:hAnsi="Times New Roman"/>
          <w:szCs w:val="24"/>
        </w:rPr>
      </w:pPr>
    </w:p>
    <w:p w:rsidR="00314A02" w:rsidRPr="002A1DEB" w:rsidP="00832348" w14:paraId="088D3C38" w14:textId="77777777">
      <w:pPr>
        <w:autoSpaceDE w:val="0"/>
        <w:autoSpaceDN w:val="0"/>
        <w:adjustRightInd w:val="0"/>
        <w:ind w:left="720"/>
        <w:rPr>
          <w:rFonts w:ascii="Times New Roman" w:hAnsi="Times New Roman"/>
          <w:b/>
          <w:szCs w:val="24"/>
        </w:rPr>
      </w:pPr>
      <w:r w:rsidRPr="002A1DEB">
        <w:rPr>
          <w:rFonts w:ascii="Times New Roman" w:hAnsi="Times New Roman"/>
          <w:b/>
          <w:szCs w:val="24"/>
        </w:rPr>
        <w:t>The Department estimates the following average time for the</w:t>
      </w:r>
      <w:r w:rsidR="002A1DEB">
        <w:rPr>
          <w:rFonts w:ascii="Times New Roman" w:hAnsi="Times New Roman"/>
          <w:b/>
          <w:szCs w:val="24"/>
        </w:rPr>
        <w:t xml:space="preserve"> </w:t>
      </w:r>
      <w:r w:rsidRPr="002A1DEB">
        <w:rPr>
          <w:rFonts w:ascii="Times New Roman" w:hAnsi="Times New Roman"/>
          <w:b/>
          <w:szCs w:val="24"/>
        </w:rPr>
        <w:t>completion of the application.</w:t>
      </w:r>
    </w:p>
    <w:p w:rsidR="00314A02" w:rsidRPr="002A1DEB" w:rsidP="00314A02" w14:paraId="088D3C39" w14:textId="77777777">
      <w:pPr>
        <w:pStyle w:val="ListParagraph"/>
        <w:ind w:left="1080"/>
        <w:rPr>
          <w:rFonts w:ascii="Times New Roman" w:hAnsi="Times New Roman"/>
          <w:b/>
          <w:szCs w:val="24"/>
        </w:rPr>
      </w:pPr>
    </w:p>
    <w:p w:rsidR="00314A02" w:rsidRPr="002A1DEB" w:rsidP="00314A02" w14:paraId="088D3C3A" w14:textId="3FF19F33">
      <w:pPr>
        <w:pStyle w:val="ListParagraph"/>
        <w:ind w:firstLine="360"/>
        <w:rPr>
          <w:rFonts w:ascii="Times New Roman" w:hAnsi="Times New Roman"/>
          <w:b/>
          <w:szCs w:val="24"/>
        </w:rPr>
      </w:pPr>
      <w:r w:rsidRPr="002A1DEB">
        <w:rPr>
          <w:rFonts w:ascii="Times New Roman" w:hAnsi="Times New Roman"/>
          <w:b/>
          <w:szCs w:val="24"/>
        </w:rPr>
        <w:tab/>
      </w:r>
      <w:r w:rsidR="002A1DEB">
        <w:rPr>
          <w:rFonts w:ascii="Times New Roman" w:hAnsi="Times New Roman"/>
          <w:b/>
          <w:szCs w:val="24"/>
        </w:rPr>
        <w:tab/>
      </w:r>
      <w:r w:rsidRPr="002A1DEB">
        <w:rPr>
          <w:rFonts w:ascii="Times New Roman" w:hAnsi="Times New Roman"/>
          <w:b/>
          <w:szCs w:val="24"/>
        </w:rPr>
        <w:t xml:space="preserve">Public </w:t>
      </w:r>
      <w:r w:rsidRPr="002A1DEB">
        <w:rPr>
          <w:rFonts w:ascii="Times New Roman" w:hAnsi="Times New Roman"/>
          <w:b/>
          <w:szCs w:val="24"/>
        </w:rPr>
        <w:tab/>
      </w:r>
      <w:r w:rsidRPr="002A1DEB">
        <w:rPr>
          <w:rFonts w:ascii="Times New Roman" w:hAnsi="Times New Roman"/>
          <w:b/>
          <w:szCs w:val="24"/>
        </w:rPr>
        <w:tab/>
      </w:r>
      <w:r w:rsidRPr="002A1DEB">
        <w:rPr>
          <w:rFonts w:ascii="Times New Roman" w:hAnsi="Times New Roman"/>
          <w:b/>
          <w:szCs w:val="24"/>
        </w:rPr>
        <w:tab/>
      </w:r>
      <w:r w:rsidRPr="002A1DEB">
        <w:rPr>
          <w:rFonts w:ascii="Times New Roman" w:hAnsi="Times New Roman"/>
          <w:b/>
          <w:szCs w:val="24"/>
        </w:rPr>
        <w:tab/>
        <w:t>=</w:t>
      </w:r>
      <w:r w:rsidRPr="002A1DEB">
        <w:rPr>
          <w:rFonts w:ascii="Times New Roman" w:hAnsi="Times New Roman"/>
          <w:b/>
          <w:szCs w:val="24"/>
        </w:rPr>
        <w:tab/>
        <w:t xml:space="preserve">   </w:t>
      </w:r>
      <w:r w:rsidR="00D54BEE">
        <w:rPr>
          <w:rFonts w:ascii="Times New Roman" w:hAnsi="Times New Roman"/>
          <w:b/>
          <w:szCs w:val="24"/>
        </w:rPr>
        <w:t xml:space="preserve"> </w:t>
      </w:r>
      <w:r w:rsidR="0073095C">
        <w:rPr>
          <w:rFonts w:ascii="Times New Roman" w:hAnsi="Times New Roman"/>
          <w:b/>
          <w:szCs w:val="24"/>
        </w:rPr>
        <w:t>490</w:t>
      </w:r>
    </w:p>
    <w:p w:rsidR="00314A02" w:rsidRPr="002A1DEB" w:rsidP="00314A02" w14:paraId="088D3C3B" w14:textId="6E0C5EFF">
      <w:pPr>
        <w:pStyle w:val="ListParagraph"/>
        <w:ind w:firstLine="360"/>
        <w:rPr>
          <w:rFonts w:ascii="Times New Roman" w:hAnsi="Times New Roman"/>
          <w:b/>
          <w:szCs w:val="24"/>
        </w:rPr>
      </w:pPr>
      <w:r w:rsidRPr="002A1DEB">
        <w:rPr>
          <w:rFonts w:ascii="Times New Roman" w:hAnsi="Times New Roman"/>
          <w:b/>
          <w:szCs w:val="24"/>
        </w:rPr>
        <w:tab/>
      </w:r>
      <w:r w:rsidR="002A1DEB">
        <w:rPr>
          <w:rFonts w:ascii="Times New Roman" w:hAnsi="Times New Roman"/>
          <w:b/>
          <w:szCs w:val="24"/>
        </w:rPr>
        <w:tab/>
      </w:r>
      <w:r w:rsidRPr="002A1DEB">
        <w:rPr>
          <w:rFonts w:ascii="Times New Roman" w:hAnsi="Times New Roman"/>
          <w:b/>
          <w:szCs w:val="24"/>
        </w:rPr>
        <w:t>Private</w:t>
      </w:r>
      <w:r w:rsidRPr="002A1DEB">
        <w:rPr>
          <w:rFonts w:ascii="Times New Roman" w:hAnsi="Times New Roman"/>
          <w:b/>
          <w:szCs w:val="24"/>
        </w:rPr>
        <w:tab/>
      </w:r>
      <w:r w:rsidRPr="002A1DEB">
        <w:rPr>
          <w:rFonts w:ascii="Times New Roman" w:hAnsi="Times New Roman"/>
          <w:b/>
          <w:szCs w:val="24"/>
        </w:rPr>
        <w:tab/>
      </w:r>
      <w:r w:rsidRPr="002A1DEB">
        <w:rPr>
          <w:rFonts w:ascii="Times New Roman" w:hAnsi="Times New Roman"/>
          <w:b/>
          <w:szCs w:val="24"/>
        </w:rPr>
        <w:tab/>
        <w:t>=</w:t>
      </w:r>
      <w:r w:rsidRPr="002A1DEB">
        <w:rPr>
          <w:rFonts w:ascii="Times New Roman" w:hAnsi="Times New Roman"/>
          <w:b/>
          <w:szCs w:val="24"/>
        </w:rPr>
        <w:tab/>
      </w:r>
      <w:r w:rsidRPr="00F52E4F">
        <w:rPr>
          <w:rFonts w:ascii="Times New Roman" w:hAnsi="Times New Roman"/>
          <w:b/>
          <w:szCs w:val="24"/>
          <w:u w:val="single"/>
        </w:rPr>
        <w:t xml:space="preserve"> +</w:t>
      </w:r>
      <w:r w:rsidR="00295212">
        <w:rPr>
          <w:rFonts w:ascii="Times New Roman" w:hAnsi="Times New Roman"/>
          <w:b/>
          <w:szCs w:val="24"/>
          <w:u w:val="single"/>
        </w:rPr>
        <w:t xml:space="preserve"> </w:t>
      </w:r>
      <w:r w:rsidR="0073095C">
        <w:rPr>
          <w:rFonts w:ascii="Times New Roman" w:hAnsi="Times New Roman"/>
          <w:b/>
          <w:szCs w:val="24"/>
          <w:u w:val="single"/>
        </w:rPr>
        <w:t>210</w:t>
      </w:r>
    </w:p>
    <w:p w:rsidR="00314A02" w:rsidRPr="002A1DEB" w:rsidP="002A1DEB" w14:paraId="088D3C3C" w14:textId="64DA4F91">
      <w:pPr>
        <w:pStyle w:val="ListParagraph"/>
        <w:ind w:left="1440" w:firstLine="720"/>
        <w:rPr>
          <w:rFonts w:ascii="Times New Roman" w:hAnsi="Times New Roman"/>
          <w:b/>
          <w:szCs w:val="24"/>
        </w:rPr>
      </w:pPr>
      <w:r>
        <w:rPr>
          <w:rFonts w:ascii="Times New Roman" w:hAnsi="Times New Roman"/>
          <w:b/>
          <w:szCs w:val="24"/>
        </w:rPr>
        <w:t>Number of Respondents</w:t>
      </w:r>
      <w:r>
        <w:rPr>
          <w:rFonts w:ascii="Times New Roman" w:hAnsi="Times New Roman"/>
          <w:b/>
          <w:szCs w:val="24"/>
        </w:rPr>
        <w:tab/>
      </w:r>
      <w:r w:rsidRPr="002A1DEB">
        <w:rPr>
          <w:rFonts w:ascii="Times New Roman" w:hAnsi="Times New Roman"/>
          <w:b/>
          <w:szCs w:val="24"/>
        </w:rPr>
        <w:t>=</w:t>
      </w:r>
      <w:r w:rsidRPr="002A1DEB">
        <w:rPr>
          <w:rFonts w:ascii="Times New Roman" w:hAnsi="Times New Roman"/>
          <w:b/>
          <w:szCs w:val="24"/>
        </w:rPr>
        <w:tab/>
      </w:r>
      <w:r w:rsidR="00295212">
        <w:rPr>
          <w:rFonts w:ascii="Times New Roman" w:hAnsi="Times New Roman"/>
          <w:b/>
          <w:szCs w:val="24"/>
        </w:rPr>
        <w:t xml:space="preserve">  </w:t>
      </w:r>
      <w:r w:rsidR="00D54BEE">
        <w:rPr>
          <w:rFonts w:ascii="Times New Roman" w:hAnsi="Times New Roman"/>
          <w:b/>
          <w:szCs w:val="24"/>
        </w:rPr>
        <w:t xml:space="preserve">  </w:t>
      </w:r>
      <w:r w:rsidR="0073095C">
        <w:rPr>
          <w:rFonts w:ascii="Times New Roman" w:hAnsi="Times New Roman"/>
          <w:b/>
          <w:szCs w:val="24"/>
        </w:rPr>
        <w:t>700</w:t>
      </w:r>
    </w:p>
    <w:p w:rsidR="00314A02" w:rsidRPr="002A1DEB" w:rsidP="00314A02" w14:paraId="088D3C3D" w14:textId="77777777">
      <w:pPr>
        <w:pStyle w:val="ListParagraph"/>
        <w:ind w:firstLine="360"/>
        <w:rPr>
          <w:rFonts w:ascii="Times New Roman" w:hAnsi="Times New Roman"/>
          <w:b/>
          <w:szCs w:val="24"/>
        </w:rPr>
      </w:pPr>
    </w:p>
    <w:p w:rsidR="00314A02" w:rsidRPr="002A1DEB" w:rsidP="002A1DEB" w14:paraId="088D3C3E" w14:textId="77777777">
      <w:pPr>
        <w:pStyle w:val="ListParagraph"/>
        <w:ind w:firstLine="720"/>
        <w:rPr>
          <w:rFonts w:ascii="Times New Roman" w:hAnsi="Times New Roman"/>
          <w:b/>
          <w:szCs w:val="24"/>
        </w:rPr>
      </w:pPr>
      <w:r w:rsidRPr="002A1DEB">
        <w:rPr>
          <w:rFonts w:ascii="Times New Roman" w:hAnsi="Times New Roman"/>
          <w:b/>
          <w:szCs w:val="24"/>
        </w:rPr>
        <w:t>Frequency of Response</w:t>
      </w:r>
      <w:r w:rsidRPr="002A1DEB">
        <w:rPr>
          <w:rFonts w:ascii="Times New Roman" w:hAnsi="Times New Roman"/>
          <w:b/>
          <w:szCs w:val="24"/>
        </w:rPr>
        <w:tab/>
      </w:r>
      <w:r w:rsidRPr="002A1DEB">
        <w:rPr>
          <w:rFonts w:ascii="Times New Roman" w:hAnsi="Times New Roman"/>
          <w:b/>
          <w:szCs w:val="24"/>
        </w:rPr>
        <w:tab/>
        <w:t>=</w:t>
      </w:r>
      <w:r w:rsidRPr="002A1DEB">
        <w:rPr>
          <w:rFonts w:ascii="Times New Roman" w:hAnsi="Times New Roman"/>
          <w:b/>
          <w:szCs w:val="24"/>
        </w:rPr>
        <w:tab/>
        <w:t>once annually</w:t>
      </w:r>
    </w:p>
    <w:p w:rsidR="00314A02" w:rsidRPr="002A1DEB" w:rsidP="002A1DEB" w14:paraId="088D3C3F" w14:textId="77777777">
      <w:pPr>
        <w:pStyle w:val="ListParagraph"/>
        <w:ind w:firstLine="720"/>
        <w:rPr>
          <w:rFonts w:ascii="Times New Roman" w:hAnsi="Times New Roman"/>
          <w:b/>
          <w:szCs w:val="24"/>
        </w:rPr>
      </w:pPr>
      <w:r w:rsidRPr="002A1DEB">
        <w:rPr>
          <w:rFonts w:ascii="Times New Roman" w:hAnsi="Times New Roman"/>
          <w:b/>
          <w:szCs w:val="24"/>
        </w:rPr>
        <w:t>Burden per Response</w:t>
      </w:r>
      <w:r w:rsidRPr="002A1DEB">
        <w:rPr>
          <w:rFonts w:ascii="Times New Roman" w:hAnsi="Times New Roman"/>
          <w:b/>
          <w:szCs w:val="24"/>
        </w:rPr>
        <w:tab/>
      </w:r>
      <w:r w:rsidR="002A1DEB">
        <w:rPr>
          <w:rFonts w:ascii="Times New Roman" w:hAnsi="Times New Roman"/>
          <w:b/>
          <w:szCs w:val="24"/>
        </w:rPr>
        <w:tab/>
      </w:r>
      <w:r w:rsidRPr="002A1DEB">
        <w:rPr>
          <w:rFonts w:ascii="Times New Roman" w:hAnsi="Times New Roman"/>
          <w:b/>
          <w:szCs w:val="24"/>
        </w:rPr>
        <w:t>=</w:t>
      </w:r>
      <w:r w:rsidRPr="002A1DEB">
        <w:rPr>
          <w:rFonts w:ascii="Times New Roman" w:hAnsi="Times New Roman"/>
          <w:b/>
          <w:szCs w:val="24"/>
        </w:rPr>
        <w:tab/>
        <w:t>7 hours</w:t>
      </w:r>
    </w:p>
    <w:p w:rsidR="00314A02" w:rsidRPr="002A1DEB" w:rsidP="00314A02" w14:paraId="088D3C40" w14:textId="77777777">
      <w:pPr>
        <w:pStyle w:val="ListParagraph"/>
        <w:ind w:firstLine="360"/>
        <w:rPr>
          <w:rFonts w:ascii="Times New Roman" w:hAnsi="Times New Roman"/>
          <w:b/>
          <w:szCs w:val="24"/>
        </w:rPr>
      </w:pPr>
      <w:r w:rsidRPr="002A1DEB">
        <w:rPr>
          <w:rFonts w:ascii="Times New Roman" w:hAnsi="Times New Roman"/>
          <w:b/>
          <w:szCs w:val="24"/>
        </w:rPr>
        <w:tab/>
      </w:r>
    </w:p>
    <w:p w:rsidR="00314A02" w:rsidRPr="002A1DEB" w:rsidP="00314A02" w14:paraId="088D3C41" w14:textId="382881EB">
      <w:pPr>
        <w:pStyle w:val="ListParagraph"/>
        <w:ind w:firstLine="360"/>
        <w:rPr>
          <w:rFonts w:ascii="Times New Roman" w:hAnsi="Times New Roman"/>
          <w:b/>
          <w:szCs w:val="24"/>
        </w:rPr>
      </w:pPr>
      <w:r w:rsidRPr="002A1DEB">
        <w:rPr>
          <w:rFonts w:ascii="Times New Roman" w:hAnsi="Times New Roman"/>
          <w:b/>
          <w:szCs w:val="24"/>
        </w:rPr>
        <w:tab/>
      </w:r>
      <w:r w:rsidR="002A1DEB">
        <w:rPr>
          <w:rFonts w:ascii="Times New Roman" w:hAnsi="Times New Roman"/>
          <w:b/>
          <w:szCs w:val="24"/>
        </w:rPr>
        <w:tab/>
      </w:r>
      <w:r w:rsidRPr="002A1DEB">
        <w:rPr>
          <w:rFonts w:ascii="Times New Roman" w:hAnsi="Times New Roman"/>
          <w:b/>
          <w:szCs w:val="24"/>
        </w:rPr>
        <w:t>Public</w:t>
      </w:r>
      <w:r w:rsidRPr="002A1DEB">
        <w:rPr>
          <w:rFonts w:ascii="Times New Roman" w:hAnsi="Times New Roman"/>
          <w:b/>
          <w:szCs w:val="24"/>
        </w:rPr>
        <w:tab/>
      </w:r>
      <w:r w:rsidRPr="002A1DEB">
        <w:rPr>
          <w:rFonts w:ascii="Times New Roman" w:hAnsi="Times New Roman"/>
          <w:b/>
          <w:szCs w:val="24"/>
        </w:rPr>
        <w:tab/>
      </w:r>
      <w:r w:rsidRPr="002A1DEB">
        <w:rPr>
          <w:rFonts w:ascii="Times New Roman" w:hAnsi="Times New Roman"/>
          <w:b/>
          <w:szCs w:val="24"/>
        </w:rPr>
        <w:tab/>
      </w:r>
      <w:r w:rsidRPr="002A1DEB">
        <w:rPr>
          <w:rFonts w:ascii="Times New Roman" w:hAnsi="Times New Roman"/>
          <w:b/>
          <w:szCs w:val="24"/>
        </w:rPr>
        <w:tab/>
      </w:r>
      <w:r w:rsidR="00E9453A">
        <w:rPr>
          <w:rFonts w:ascii="Times New Roman" w:hAnsi="Times New Roman"/>
          <w:b/>
          <w:szCs w:val="24"/>
        </w:rPr>
        <w:t>=</w:t>
      </w:r>
      <w:r w:rsidR="00E9453A">
        <w:rPr>
          <w:rFonts w:ascii="Times New Roman" w:hAnsi="Times New Roman"/>
          <w:b/>
          <w:szCs w:val="24"/>
        </w:rPr>
        <w:tab/>
      </w:r>
      <w:r w:rsidR="008543C5">
        <w:rPr>
          <w:rFonts w:ascii="Times New Roman" w:hAnsi="Times New Roman"/>
          <w:b/>
          <w:szCs w:val="24"/>
        </w:rPr>
        <w:t xml:space="preserve">   </w:t>
      </w:r>
      <w:r w:rsidR="0073095C">
        <w:rPr>
          <w:rFonts w:ascii="Times New Roman" w:hAnsi="Times New Roman"/>
          <w:b/>
          <w:szCs w:val="24"/>
        </w:rPr>
        <w:t>3,430</w:t>
      </w:r>
    </w:p>
    <w:p w:rsidR="00314A02" w:rsidRPr="002A1DEB" w:rsidP="00314A02" w14:paraId="088D3C42" w14:textId="53CB00C1">
      <w:pPr>
        <w:pStyle w:val="ListParagraph"/>
        <w:ind w:firstLine="360"/>
        <w:rPr>
          <w:rFonts w:ascii="Times New Roman" w:hAnsi="Times New Roman"/>
          <w:b/>
          <w:szCs w:val="24"/>
        </w:rPr>
      </w:pPr>
      <w:r w:rsidRPr="002A1DEB">
        <w:rPr>
          <w:rFonts w:ascii="Times New Roman" w:hAnsi="Times New Roman"/>
          <w:b/>
          <w:szCs w:val="24"/>
        </w:rPr>
        <w:tab/>
      </w:r>
      <w:r w:rsidR="002A1DEB">
        <w:rPr>
          <w:rFonts w:ascii="Times New Roman" w:hAnsi="Times New Roman"/>
          <w:b/>
          <w:szCs w:val="24"/>
        </w:rPr>
        <w:tab/>
      </w:r>
      <w:r w:rsidRPr="002A1DEB">
        <w:rPr>
          <w:rFonts w:ascii="Times New Roman" w:hAnsi="Times New Roman"/>
          <w:b/>
          <w:szCs w:val="24"/>
        </w:rPr>
        <w:t>Private</w:t>
      </w:r>
      <w:r w:rsidRPr="002A1DEB">
        <w:rPr>
          <w:rFonts w:ascii="Times New Roman" w:hAnsi="Times New Roman"/>
          <w:b/>
          <w:szCs w:val="24"/>
        </w:rPr>
        <w:tab/>
      </w:r>
      <w:r w:rsidRPr="002A1DEB">
        <w:rPr>
          <w:rFonts w:ascii="Times New Roman" w:hAnsi="Times New Roman"/>
          <w:b/>
          <w:szCs w:val="24"/>
        </w:rPr>
        <w:tab/>
      </w:r>
      <w:r w:rsidRPr="002A1DEB">
        <w:rPr>
          <w:rFonts w:ascii="Times New Roman" w:hAnsi="Times New Roman"/>
          <w:b/>
          <w:szCs w:val="24"/>
        </w:rPr>
        <w:tab/>
        <w:t xml:space="preserve">=       </w:t>
      </w:r>
      <w:r w:rsidRPr="00F52E4F">
        <w:rPr>
          <w:rFonts w:ascii="Times New Roman" w:hAnsi="Times New Roman"/>
          <w:b/>
          <w:szCs w:val="24"/>
          <w:u w:val="single"/>
        </w:rPr>
        <w:t>+</w:t>
      </w:r>
      <w:r w:rsidR="00295212">
        <w:rPr>
          <w:rFonts w:ascii="Times New Roman" w:hAnsi="Times New Roman"/>
          <w:b/>
          <w:szCs w:val="24"/>
          <w:u w:val="single"/>
        </w:rPr>
        <w:tab/>
        <w:t xml:space="preserve">   </w:t>
      </w:r>
      <w:r w:rsidR="0073095C">
        <w:rPr>
          <w:rFonts w:ascii="Times New Roman" w:hAnsi="Times New Roman"/>
          <w:b/>
          <w:szCs w:val="24"/>
          <w:u w:val="single"/>
        </w:rPr>
        <w:t>1,4</w:t>
      </w:r>
      <w:r w:rsidR="00FC5B98">
        <w:rPr>
          <w:rFonts w:ascii="Times New Roman" w:hAnsi="Times New Roman"/>
          <w:b/>
          <w:szCs w:val="24"/>
          <w:u w:val="single"/>
        </w:rPr>
        <w:t>70</w:t>
      </w:r>
    </w:p>
    <w:p w:rsidR="00314A02" w:rsidRPr="002A1DEB" w:rsidP="002A1DEB" w14:paraId="088D3C43" w14:textId="1B500068">
      <w:pPr>
        <w:pStyle w:val="ListParagraph"/>
        <w:ind w:firstLine="720"/>
        <w:rPr>
          <w:rFonts w:ascii="Times New Roman" w:hAnsi="Times New Roman"/>
          <w:b/>
          <w:szCs w:val="24"/>
        </w:rPr>
      </w:pPr>
      <w:r w:rsidRPr="002A1DEB">
        <w:rPr>
          <w:rFonts w:ascii="Times New Roman" w:hAnsi="Times New Roman"/>
          <w:b/>
          <w:szCs w:val="24"/>
        </w:rPr>
        <w:t>Annual Hour Burden</w:t>
      </w:r>
      <w:r w:rsidRPr="002A1DEB">
        <w:rPr>
          <w:rFonts w:ascii="Times New Roman" w:hAnsi="Times New Roman"/>
          <w:b/>
          <w:szCs w:val="24"/>
        </w:rPr>
        <w:tab/>
      </w:r>
      <w:r w:rsidRPr="002A1DEB">
        <w:rPr>
          <w:rFonts w:ascii="Times New Roman" w:hAnsi="Times New Roman"/>
          <w:b/>
          <w:szCs w:val="24"/>
        </w:rPr>
        <w:tab/>
        <w:t>=</w:t>
      </w:r>
      <w:r w:rsidRPr="002A1DEB">
        <w:rPr>
          <w:rFonts w:ascii="Times New Roman" w:hAnsi="Times New Roman"/>
          <w:b/>
          <w:szCs w:val="24"/>
        </w:rPr>
        <w:tab/>
      </w:r>
      <w:r w:rsidR="00D54BEE">
        <w:rPr>
          <w:rFonts w:ascii="Times New Roman" w:hAnsi="Times New Roman"/>
          <w:b/>
          <w:szCs w:val="24"/>
        </w:rPr>
        <w:t xml:space="preserve">   </w:t>
      </w:r>
      <w:r w:rsidR="00FC5B98">
        <w:rPr>
          <w:rFonts w:ascii="Times New Roman" w:hAnsi="Times New Roman"/>
          <w:b/>
          <w:szCs w:val="24"/>
        </w:rPr>
        <w:t>4,900</w:t>
      </w:r>
    </w:p>
    <w:p w:rsidR="00314A02" w:rsidRPr="002A1DEB" w:rsidP="00314A02" w14:paraId="088D3C44" w14:textId="77777777">
      <w:pPr>
        <w:pStyle w:val="ListParagraph"/>
        <w:ind w:firstLine="360"/>
        <w:rPr>
          <w:rFonts w:ascii="Times New Roman" w:hAnsi="Times New Roman"/>
          <w:b/>
          <w:szCs w:val="24"/>
        </w:rPr>
      </w:pPr>
    </w:p>
    <w:p w:rsidR="00314A02" w:rsidRPr="002A1DEB" w:rsidP="00314A02" w14:paraId="088D3C45" w14:textId="19AE4A4F">
      <w:pPr>
        <w:pStyle w:val="ListParagraph"/>
        <w:ind w:firstLine="360"/>
        <w:rPr>
          <w:rFonts w:ascii="Times New Roman" w:hAnsi="Times New Roman"/>
          <w:b/>
          <w:szCs w:val="24"/>
        </w:rPr>
      </w:pPr>
      <w:r w:rsidRPr="002A1DEB">
        <w:rPr>
          <w:rFonts w:ascii="Times New Roman" w:hAnsi="Times New Roman"/>
          <w:b/>
          <w:szCs w:val="24"/>
        </w:rPr>
        <w:tab/>
      </w:r>
      <w:r w:rsidR="002A1DEB">
        <w:rPr>
          <w:rFonts w:ascii="Times New Roman" w:hAnsi="Times New Roman"/>
          <w:b/>
          <w:szCs w:val="24"/>
        </w:rPr>
        <w:tab/>
      </w:r>
      <w:r w:rsidRPr="002A1DEB">
        <w:rPr>
          <w:rFonts w:ascii="Times New Roman" w:hAnsi="Times New Roman"/>
          <w:b/>
          <w:szCs w:val="24"/>
        </w:rPr>
        <w:t>Public</w:t>
      </w:r>
      <w:r w:rsidRPr="002A1DEB">
        <w:rPr>
          <w:rFonts w:ascii="Times New Roman" w:hAnsi="Times New Roman"/>
          <w:b/>
          <w:szCs w:val="24"/>
        </w:rPr>
        <w:tab/>
      </w:r>
      <w:r w:rsidRPr="002A1DEB">
        <w:rPr>
          <w:rFonts w:ascii="Times New Roman" w:hAnsi="Times New Roman"/>
          <w:b/>
          <w:szCs w:val="24"/>
        </w:rPr>
        <w:tab/>
      </w:r>
      <w:r w:rsidRPr="002A1DEB">
        <w:rPr>
          <w:rFonts w:ascii="Times New Roman" w:hAnsi="Times New Roman"/>
          <w:b/>
          <w:szCs w:val="24"/>
        </w:rPr>
        <w:tab/>
      </w:r>
      <w:r w:rsidRPr="002A1DEB">
        <w:rPr>
          <w:rFonts w:ascii="Times New Roman" w:hAnsi="Times New Roman"/>
          <w:b/>
          <w:szCs w:val="24"/>
        </w:rPr>
        <w:tab/>
        <w:t>=</w:t>
      </w:r>
      <w:r w:rsidRPr="002A1DEB">
        <w:rPr>
          <w:rFonts w:ascii="Times New Roman" w:hAnsi="Times New Roman"/>
          <w:b/>
          <w:szCs w:val="24"/>
        </w:rPr>
        <w:tab/>
        <w:t>$</w:t>
      </w:r>
      <w:r w:rsidR="00295212">
        <w:rPr>
          <w:rFonts w:ascii="Times New Roman" w:hAnsi="Times New Roman"/>
          <w:b/>
          <w:szCs w:val="24"/>
        </w:rPr>
        <w:t xml:space="preserve">  </w:t>
      </w:r>
      <w:r w:rsidR="00FC5B98">
        <w:rPr>
          <w:rFonts w:ascii="Times New Roman" w:hAnsi="Times New Roman"/>
          <w:b/>
          <w:szCs w:val="24"/>
        </w:rPr>
        <w:t>205,216.90</w:t>
      </w:r>
    </w:p>
    <w:p w:rsidR="00314A02" w:rsidRPr="002A1DEB" w:rsidP="00314A02" w14:paraId="088D3C46" w14:textId="6DA5EFAA">
      <w:pPr>
        <w:pStyle w:val="ListParagraph"/>
        <w:ind w:firstLine="360"/>
        <w:rPr>
          <w:rFonts w:ascii="Times New Roman" w:hAnsi="Times New Roman"/>
          <w:b/>
          <w:szCs w:val="24"/>
        </w:rPr>
      </w:pPr>
      <w:r w:rsidRPr="002A1DEB">
        <w:rPr>
          <w:rFonts w:ascii="Times New Roman" w:hAnsi="Times New Roman"/>
          <w:b/>
          <w:szCs w:val="24"/>
        </w:rPr>
        <w:tab/>
      </w:r>
      <w:r w:rsidR="002A1DEB">
        <w:rPr>
          <w:rFonts w:ascii="Times New Roman" w:hAnsi="Times New Roman"/>
          <w:b/>
          <w:szCs w:val="24"/>
        </w:rPr>
        <w:tab/>
      </w:r>
      <w:r w:rsidRPr="002A1DEB">
        <w:rPr>
          <w:rFonts w:ascii="Times New Roman" w:hAnsi="Times New Roman"/>
          <w:b/>
          <w:szCs w:val="24"/>
        </w:rPr>
        <w:t>Private</w:t>
      </w:r>
      <w:r w:rsidRPr="002A1DEB">
        <w:rPr>
          <w:rFonts w:ascii="Times New Roman" w:hAnsi="Times New Roman"/>
          <w:b/>
          <w:szCs w:val="24"/>
        </w:rPr>
        <w:tab/>
      </w:r>
      <w:r w:rsidRPr="002A1DEB">
        <w:rPr>
          <w:rFonts w:ascii="Times New Roman" w:hAnsi="Times New Roman"/>
          <w:b/>
          <w:szCs w:val="24"/>
        </w:rPr>
        <w:tab/>
      </w:r>
      <w:r w:rsidRPr="002A1DEB">
        <w:rPr>
          <w:rFonts w:ascii="Times New Roman" w:hAnsi="Times New Roman"/>
          <w:b/>
          <w:szCs w:val="24"/>
        </w:rPr>
        <w:tab/>
      </w:r>
      <w:r w:rsidRPr="00F52E4F">
        <w:rPr>
          <w:rFonts w:ascii="Times New Roman" w:hAnsi="Times New Roman"/>
          <w:b/>
          <w:szCs w:val="24"/>
          <w:u w:val="single"/>
        </w:rPr>
        <w:t>=       +$</w:t>
      </w:r>
      <w:r w:rsidR="00295212">
        <w:rPr>
          <w:rFonts w:ascii="Times New Roman" w:hAnsi="Times New Roman"/>
          <w:b/>
          <w:szCs w:val="24"/>
          <w:u w:val="single"/>
        </w:rPr>
        <w:t xml:space="preserve"> </w:t>
      </w:r>
      <w:r w:rsidR="00E9453A">
        <w:rPr>
          <w:rFonts w:ascii="Times New Roman" w:hAnsi="Times New Roman"/>
          <w:b/>
          <w:szCs w:val="24"/>
          <w:u w:val="single"/>
        </w:rPr>
        <w:t xml:space="preserve"> </w:t>
      </w:r>
      <w:r w:rsidR="00BE4CC9">
        <w:rPr>
          <w:rFonts w:ascii="Times New Roman" w:hAnsi="Times New Roman"/>
          <w:b/>
          <w:szCs w:val="24"/>
          <w:u w:val="single"/>
        </w:rPr>
        <w:t xml:space="preserve">  </w:t>
      </w:r>
      <w:r w:rsidR="00FC5B98">
        <w:rPr>
          <w:rFonts w:ascii="Times New Roman" w:hAnsi="Times New Roman"/>
          <w:b/>
          <w:szCs w:val="24"/>
          <w:u w:val="single"/>
        </w:rPr>
        <w:t>87,</w:t>
      </w:r>
      <w:r w:rsidR="00BE4CC9">
        <w:rPr>
          <w:rFonts w:ascii="Times New Roman" w:hAnsi="Times New Roman"/>
          <w:b/>
          <w:szCs w:val="24"/>
          <w:u w:val="single"/>
        </w:rPr>
        <w:t>950.10</w:t>
      </w:r>
    </w:p>
    <w:p w:rsidR="00314A02" w:rsidRPr="002A1DEB" w:rsidP="002A1DEB" w14:paraId="088D3C47" w14:textId="36F04660">
      <w:pPr>
        <w:pStyle w:val="ListParagraph"/>
        <w:ind w:firstLine="720"/>
        <w:rPr>
          <w:rFonts w:ascii="Times New Roman" w:hAnsi="Times New Roman"/>
          <w:b/>
          <w:szCs w:val="24"/>
        </w:rPr>
      </w:pPr>
      <w:r w:rsidRPr="002A1DEB">
        <w:rPr>
          <w:rFonts w:ascii="Times New Roman" w:hAnsi="Times New Roman"/>
          <w:b/>
          <w:szCs w:val="24"/>
        </w:rPr>
        <w:t>Annual Cost to Respondents</w:t>
      </w:r>
      <w:r w:rsidRPr="002A1DEB">
        <w:rPr>
          <w:rFonts w:ascii="Times New Roman" w:hAnsi="Times New Roman"/>
          <w:b/>
          <w:szCs w:val="24"/>
        </w:rPr>
        <w:tab/>
        <w:t>=</w:t>
      </w:r>
      <w:r w:rsidRPr="002A1DEB">
        <w:rPr>
          <w:rFonts w:ascii="Times New Roman" w:hAnsi="Times New Roman"/>
          <w:b/>
          <w:szCs w:val="24"/>
        </w:rPr>
        <w:tab/>
        <w:t>$</w:t>
      </w:r>
      <w:r w:rsidR="00295212">
        <w:rPr>
          <w:rFonts w:ascii="Times New Roman" w:hAnsi="Times New Roman"/>
          <w:b/>
          <w:szCs w:val="24"/>
        </w:rPr>
        <w:t xml:space="preserve">  </w:t>
      </w:r>
      <w:r w:rsidR="00BE4CC9">
        <w:rPr>
          <w:rFonts w:ascii="Times New Roman" w:hAnsi="Times New Roman"/>
          <w:b/>
          <w:szCs w:val="24"/>
        </w:rPr>
        <w:t>293,167</w:t>
      </w:r>
      <w:r w:rsidR="00D54BEE">
        <w:rPr>
          <w:rFonts w:ascii="Times New Roman" w:hAnsi="Times New Roman"/>
          <w:b/>
          <w:szCs w:val="24"/>
        </w:rPr>
        <w:t>.00</w:t>
      </w:r>
    </w:p>
    <w:p w:rsidR="00314A02" w:rsidRPr="002A1DEB" w:rsidP="00314A02" w14:paraId="088D3C48" w14:textId="77777777">
      <w:pPr>
        <w:pStyle w:val="ListParagraph"/>
        <w:ind w:firstLine="360"/>
        <w:rPr>
          <w:rFonts w:ascii="Times New Roman" w:hAnsi="Times New Roman"/>
          <w:b/>
          <w:szCs w:val="24"/>
        </w:rPr>
      </w:pPr>
    </w:p>
    <w:p w:rsidR="00314A02" w:rsidRPr="002A1DEB" w:rsidP="00832348" w14:paraId="088D3C49" w14:textId="3C5183A7">
      <w:pPr>
        <w:pStyle w:val="ListParagraph"/>
        <w:rPr>
          <w:rFonts w:ascii="Times New Roman" w:hAnsi="Times New Roman"/>
          <w:b/>
          <w:szCs w:val="24"/>
        </w:rPr>
      </w:pPr>
      <w:r w:rsidRPr="002A1DEB">
        <w:rPr>
          <w:rFonts w:ascii="Times New Roman" w:hAnsi="Times New Roman"/>
          <w:b/>
          <w:szCs w:val="24"/>
        </w:rPr>
        <w:t>*Estimate based on total burden hours (</w:t>
      </w:r>
      <w:r w:rsidR="00834863">
        <w:rPr>
          <w:rFonts w:ascii="Times New Roman" w:hAnsi="Times New Roman"/>
          <w:b/>
          <w:szCs w:val="24"/>
        </w:rPr>
        <w:t>4,900</w:t>
      </w:r>
      <w:r w:rsidRPr="002A1DEB">
        <w:rPr>
          <w:rFonts w:ascii="Times New Roman" w:hAnsi="Times New Roman"/>
          <w:b/>
          <w:szCs w:val="24"/>
        </w:rPr>
        <w:t>) x $</w:t>
      </w:r>
      <w:r w:rsidR="00834863">
        <w:rPr>
          <w:rFonts w:ascii="Times New Roman" w:hAnsi="Times New Roman"/>
          <w:b/>
          <w:szCs w:val="24"/>
        </w:rPr>
        <w:t>59.83</w:t>
      </w:r>
      <w:r w:rsidRPr="002A1DEB" w:rsidR="00834863">
        <w:rPr>
          <w:rFonts w:ascii="Times New Roman" w:hAnsi="Times New Roman"/>
          <w:b/>
          <w:szCs w:val="24"/>
        </w:rPr>
        <w:t xml:space="preserve"> </w:t>
      </w:r>
      <w:r w:rsidRPr="002A1DEB">
        <w:rPr>
          <w:rFonts w:ascii="Times New Roman" w:hAnsi="Times New Roman"/>
          <w:b/>
          <w:szCs w:val="24"/>
        </w:rPr>
        <w:t xml:space="preserve">estimated hourly wage </w:t>
      </w:r>
      <w:r w:rsidR="0027162F">
        <w:rPr>
          <w:rFonts w:ascii="Times New Roman" w:hAnsi="Times New Roman"/>
          <w:b/>
          <w:szCs w:val="24"/>
        </w:rPr>
        <w:t xml:space="preserve">for </w:t>
      </w:r>
      <w:r w:rsidRPr="002A1DEB">
        <w:rPr>
          <w:rFonts w:ascii="Times New Roman" w:hAnsi="Times New Roman"/>
          <w:b/>
          <w:szCs w:val="24"/>
        </w:rPr>
        <w:t>professional(s) completing and submitting the collection of information.</w:t>
      </w:r>
    </w:p>
    <w:p w:rsidR="00C56046" w:rsidRPr="00EF7FF5" w:rsidP="00314A02" w14:paraId="6193BA45" w14:textId="77777777">
      <w:pPr>
        <w:tabs>
          <w:tab w:val="left" w:pos="-720"/>
          <w:tab w:val="left" w:pos="1247"/>
        </w:tabs>
        <w:suppressAutoHyphens/>
        <w:rPr>
          <w:rFonts w:ascii="Times New Roman" w:hAnsi="Times New Roman"/>
          <w:szCs w:val="24"/>
        </w:rPr>
      </w:pPr>
    </w:p>
    <w:p w:rsidR="00386054" w:rsidRPr="00EF7FF5" w14:paraId="088D3C4C" w14:textId="77777777">
      <w:pPr>
        <w:tabs>
          <w:tab w:val="left" w:pos="-720"/>
        </w:tabs>
        <w:suppressAutoHyphens/>
        <w:rPr>
          <w:rFonts w:ascii="Times New Roman" w:hAnsi="Times New Roman"/>
          <w:szCs w:val="24"/>
        </w:rPr>
      </w:pPr>
      <w:r w:rsidRPr="00EF7FF5">
        <w:rPr>
          <w:rFonts w:ascii="Times New Roman" w:hAnsi="Times New Roman"/>
          <w:szCs w:val="24"/>
        </w:rPr>
        <w:t xml:space="preserve">13.  </w:t>
      </w:r>
      <w:r w:rsidRPr="00EF7FF5">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rsidR="00386054" w:rsidRPr="00EF7FF5" w14:paraId="088D3C4E" w14:textId="77777777">
      <w:pPr>
        <w:tabs>
          <w:tab w:val="left" w:pos="-720"/>
        </w:tabs>
        <w:suppressAutoHyphens/>
        <w:rPr>
          <w:rFonts w:ascii="Times New Roman" w:hAnsi="Times New Roman"/>
          <w:szCs w:val="24"/>
        </w:rPr>
      </w:pPr>
    </w:p>
    <w:p w:rsidR="00386054" w:rsidRPr="00EF7FF5" w:rsidP="003C29C2" w14:paraId="088D3C4F" w14:textId="77777777">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EF7FF5" w14:paraId="088D3C50" w14:textId="77777777">
      <w:pPr>
        <w:numPr>
          <w:ilvl w:val="12"/>
          <w:numId w:val="0"/>
        </w:numPr>
        <w:tabs>
          <w:tab w:val="left" w:pos="-720"/>
        </w:tabs>
        <w:suppressAutoHyphens/>
        <w:ind w:left="340"/>
        <w:rPr>
          <w:rFonts w:ascii="Times New Roman" w:hAnsi="Times New Roman"/>
          <w:szCs w:val="24"/>
        </w:rPr>
      </w:pPr>
    </w:p>
    <w:p w:rsidR="00386054" w:rsidRPr="00EF7FF5" w:rsidP="003C29C2" w14:paraId="088D3C51" w14:textId="77777777">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EF7FF5" w:rsidP="003C29C2" w14:paraId="088D3C53" w14:textId="77777777">
      <w:pPr>
        <w:tabs>
          <w:tab w:val="left" w:pos="-720"/>
          <w:tab w:val="left" w:pos="1247"/>
        </w:tabs>
        <w:suppressAutoHyphens/>
        <w:ind w:left="340"/>
        <w:rPr>
          <w:rFonts w:ascii="Times New Roman" w:hAnsi="Times New Roman"/>
          <w:szCs w:val="24"/>
        </w:rPr>
      </w:pPr>
    </w:p>
    <w:p w:rsidR="00386054" w:rsidRPr="00EF7FF5" w:rsidP="003C29C2" w14:paraId="088D3C54" w14:textId="77777777">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Pr="00EF7FF5" w:rsidR="002473CE">
        <w:rPr>
          <w:rFonts w:ascii="Times New Roman" w:hAnsi="Times New Roman"/>
          <w:szCs w:val="24"/>
        </w:rPr>
        <w:t>government</w:t>
      </w:r>
      <w:r w:rsidRPr="00EF7FF5">
        <w:rPr>
          <w:rFonts w:ascii="Times New Roman" w:hAnsi="Times New Roman"/>
          <w:szCs w:val="24"/>
        </w:rPr>
        <w:t xml:space="preserve"> or (4) as part of customary and usual business or private practices.</w:t>
      </w:r>
      <w:r w:rsidR="001743A5">
        <w:rPr>
          <w:rFonts w:ascii="Times New Roman" w:hAnsi="Times New Roman"/>
          <w:szCs w:val="24"/>
        </w:rPr>
        <w:t xml:space="preserve"> Also, these estimates should not include the hourly costs (i.e., the monetization of the hours) captured above in Item 12</w:t>
      </w:r>
    </w:p>
    <w:p w:rsidR="00386054" w:rsidRPr="00EF7FF5" w14:paraId="088D3C55" w14:textId="77777777">
      <w:pPr>
        <w:tabs>
          <w:tab w:val="left" w:pos="-720"/>
        </w:tabs>
        <w:suppressAutoHyphens/>
        <w:rPr>
          <w:rFonts w:ascii="Times New Roman" w:hAnsi="Times New Roman"/>
          <w:szCs w:val="24"/>
        </w:rPr>
      </w:pPr>
    </w:p>
    <w:p w:rsidR="00386054" w:rsidRPr="00EF7FF5" w14:paraId="088D3C56" w14:textId="77777777">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Annualized Capital/Startup Cost</w:t>
      </w:r>
      <w:r w:rsidRPr="00E023B7">
        <w:rPr>
          <w:rFonts w:ascii="Times New Roman" w:hAnsi="Times New Roman"/>
          <w:szCs w:val="24"/>
        </w:rPr>
        <w:tab/>
      </w:r>
      <w:r w:rsidRPr="00EF7FF5">
        <w:rPr>
          <w:rFonts w:ascii="Times New Roman" w:hAnsi="Times New Roman"/>
          <w:szCs w:val="24"/>
        </w:rPr>
        <w:t xml:space="preserve">: </w:t>
      </w:r>
      <w:bookmarkStart w:id="0" w:name="Startup"/>
      <w:r w:rsidRPr="00EF7FF5" w:rsidR="007E77FA">
        <w:rPr>
          <w:rFonts w:ascii="Times New Roman" w:hAnsi="Times New Roman"/>
          <w:szCs w:val="24"/>
        </w:rPr>
        <w:fldChar w:fldCharType="begin">
          <w:ffData>
            <w:name w:val="Startup"/>
            <w:enabled/>
            <w:calcOnExit w:val="0"/>
            <w:helpText w:type="text" w:val="Enter total annualized capital/startup cost"/>
            <w:statusText w:type="text" w:val="Enter total annualized capital/startup cost"/>
            <w:textInput/>
          </w:ffData>
        </w:fldChar>
      </w:r>
      <w:r w:rsidRPr="00EF7FF5">
        <w:rPr>
          <w:rFonts w:ascii="Times New Roman" w:hAnsi="Times New Roman"/>
          <w:szCs w:val="24"/>
        </w:rPr>
        <w:instrText xml:space="preserve"> FORMTEXT </w:instrText>
      </w:r>
      <w:r w:rsidRPr="00EF7FF5" w:rsidR="007E77FA">
        <w:rPr>
          <w:rFonts w:ascii="Times New Roman" w:hAnsi="Times New Roman"/>
          <w:szCs w:val="24"/>
        </w:rPr>
        <w:fldChar w:fldCharType="separate"/>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F7FF5" w:rsidR="007E77FA">
        <w:rPr>
          <w:rFonts w:ascii="Times New Roman" w:hAnsi="Times New Roman"/>
          <w:szCs w:val="24"/>
        </w:rPr>
        <w:fldChar w:fldCharType="end"/>
      </w:r>
      <w:bookmarkEnd w:id="0"/>
    </w:p>
    <w:p w:rsidR="00386054" w:rsidRPr="00EF7FF5" w14:paraId="088D3C57" w14:textId="77777777">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 Costs (O&amp;M)</w:t>
      </w:r>
      <w:r w:rsidRPr="00E023B7">
        <w:rPr>
          <w:rFonts w:ascii="Times New Roman" w:hAnsi="Times New Roman"/>
          <w:szCs w:val="24"/>
        </w:rPr>
        <w:tab/>
      </w:r>
      <w:r w:rsidRPr="00E023B7">
        <w:rPr>
          <w:rFonts w:ascii="Times New Roman" w:hAnsi="Times New Roman"/>
          <w:szCs w:val="24"/>
        </w:rPr>
        <w:tab/>
      </w:r>
      <w:r w:rsidRPr="00EF7FF5">
        <w:rPr>
          <w:rFonts w:ascii="Times New Roman" w:hAnsi="Times New Roman"/>
          <w:szCs w:val="24"/>
        </w:rPr>
        <w:t xml:space="preserve">: </w:t>
      </w:r>
      <w:bookmarkStart w:id="1" w:name="OM"/>
      <w:r w:rsidRPr="00EF7FF5" w:rsidR="007E77FA">
        <w:rPr>
          <w:rFonts w:ascii="Times New Roman" w:hAnsi="Times New Roman"/>
          <w:szCs w:val="24"/>
        </w:rPr>
        <w:fldChar w:fldCharType="begin">
          <w:ffData>
            <w:name w:val="OM"/>
            <w:enabled/>
            <w:calcOnExit w:val="0"/>
            <w:helpText w:type="text" w:val="Enter total annualized Costs (O&amp;M)"/>
            <w:statusText w:type="text" w:val="Enter total annualized Costs (O&amp;M)"/>
            <w:textInput/>
          </w:ffData>
        </w:fldChar>
      </w:r>
      <w:r w:rsidRPr="00EF7FF5">
        <w:rPr>
          <w:rFonts w:ascii="Times New Roman" w:hAnsi="Times New Roman"/>
          <w:szCs w:val="24"/>
        </w:rPr>
        <w:instrText xml:space="preserve"> FORMTEXT </w:instrText>
      </w:r>
      <w:r w:rsidRPr="00EF7FF5" w:rsidR="007E77FA">
        <w:rPr>
          <w:rFonts w:ascii="Times New Roman" w:hAnsi="Times New Roman"/>
          <w:szCs w:val="24"/>
        </w:rPr>
        <w:fldChar w:fldCharType="separate"/>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F7FF5" w:rsidR="007E77FA">
        <w:rPr>
          <w:rFonts w:ascii="Times New Roman" w:hAnsi="Times New Roman"/>
          <w:szCs w:val="24"/>
        </w:rPr>
        <w:fldChar w:fldCharType="end"/>
      </w:r>
      <w:bookmarkEnd w:id="1"/>
    </w:p>
    <w:p w:rsidR="00386054" w:rsidRPr="00EF7FF5" w14:paraId="088D3C58" w14:textId="77777777">
      <w:pPr>
        <w:tabs>
          <w:tab w:val="left" w:pos="-720"/>
        </w:tabs>
        <w:suppressAutoHyphens/>
        <w:rPr>
          <w:rFonts w:ascii="Times New Roman" w:hAnsi="Times New Roman"/>
          <w:szCs w:val="24"/>
        </w:rPr>
      </w:pP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F7FF5">
        <w:rPr>
          <w:rFonts w:ascii="Times New Roman" w:hAnsi="Times New Roman"/>
          <w:szCs w:val="24"/>
        </w:rPr>
        <w:t xml:space="preserve"> ____________________</w:t>
      </w:r>
    </w:p>
    <w:p w:rsidR="00386054" w:rsidRPr="00EF7FF5" w14:paraId="088D3C59" w14:textId="77777777">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Annualized Costs Requested</w:t>
      </w:r>
      <w:r w:rsidRPr="00E023B7">
        <w:rPr>
          <w:rFonts w:ascii="Times New Roman" w:hAnsi="Times New Roman"/>
          <w:szCs w:val="24"/>
        </w:rPr>
        <w:tab/>
      </w:r>
      <w:r w:rsidRPr="00EF7FF5">
        <w:rPr>
          <w:rFonts w:ascii="Times New Roman" w:hAnsi="Times New Roman"/>
          <w:szCs w:val="24"/>
        </w:rPr>
        <w:t xml:space="preserve">: </w:t>
      </w:r>
      <w:bookmarkStart w:id="2" w:name="Total_Cost"/>
      <w:r w:rsidRPr="00EF7FF5" w:rsidR="007E77FA">
        <w:rPr>
          <w:rFonts w:ascii="Times New Roman" w:hAnsi="Times New Roman"/>
          <w:szCs w:val="24"/>
        </w:rPr>
        <w:fldChar w:fldCharType="begin">
          <w:ffData>
            <w:name w:val="Total_Cost"/>
            <w:enabled/>
            <w:calcOnExit w:val="0"/>
            <w:helpText w:type="text" w:val="Enter total annualized costs requested"/>
            <w:statusText w:type="text" w:val="Enter total annualized costs requested"/>
            <w:textInput/>
          </w:ffData>
        </w:fldChar>
      </w:r>
      <w:r w:rsidRPr="00EF7FF5">
        <w:rPr>
          <w:rFonts w:ascii="Times New Roman" w:hAnsi="Times New Roman"/>
          <w:szCs w:val="24"/>
        </w:rPr>
        <w:instrText xml:space="preserve"> FORMTEXT </w:instrText>
      </w:r>
      <w:r w:rsidRPr="00EF7FF5" w:rsidR="007E77FA">
        <w:rPr>
          <w:rFonts w:ascii="Times New Roman" w:hAnsi="Times New Roman"/>
          <w:szCs w:val="24"/>
        </w:rPr>
        <w:fldChar w:fldCharType="separate"/>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F7FF5" w:rsidR="007E77FA">
        <w:rPr>
          <w:rFonts w:ascii="Times New Roman" w:hAnsi="Times New Roman"/>
          <w:szCs w:val="24"/>
        </w:rPr>
        <w:fldChar w:fldCharType="end"/>
      </w:r>
      <w:bookmarkEnd w:id="2"/>
    </w:p>
    <w:p w:rsidR="00386054" w14:paraId="088D3C5A" w14:textId="77777777">
      <w:pPr>
        <w:tabs>
          <w:tab w:val="left" w:pos="-720"/>
        </w:tabs>
        <w:suppressAutoHyphens/>
        <w:rPr>
          <w:rFonts w:ascii="Times New Roman" w:hAnsi="Times New Roman"/>
          <w:szCs w:val="24"/>
        </w:rPr>
      </w:pPr>
    </w:p>
    <w:p w:rsidR="00B84F17" w:rsidP="00832348" w14:paraId="088D3C5B" w14:textId="2074513A">
      <w:pPr>
        <w:tabs>
          <w:tab w:val="left" w:pos="-720"/>
        </w:tabs>
        <w:suppressAutoHyphens/>
        <w:ind w:left="720"/>
        <w:rPr>
          <w:rFonts w:ascii="Times New Roman" w:hAnsi="Times New Roman"/>
          <w:b/>
          <w:szCs w:val="24"/>
        </w:rPr>
      </w:pPr>
      <w:r w:rsidRPr="002A1DEB">
        <w:rPr>
          <w:rFonts w:ascii="Times New Roman" w:hAnsi="Times New Roman"/>
          <w:b/>
          <w:szCs w:val="24"/>
        </w:rPr>
        <w:t>No other costs are incurred.</w:t>
      </w:r>
    </w:p>
    <w:p w:rsidR="002A1DEB" w:rsidRPr="002A1DEB" w14:paraId="088D3C5C" w14:textId="77777777">
      <w:pPr>
        <w:tabs>
          <w:tab w:val="left" w:pos="-720"/>
        </w:tabs>
        <w:suppressAutoHyphens/>
        <w:rPr>
          <w:rFonts w:ascii="Times New Roman" w:hAnsi="Times New Roman"/>
          <w:b/>
          <w:szCs w:val="24"/>
        </w:rPr>
      </w:pPr>
    </w:p>
    <w:p w:rsidR="00386054" w:rsidRPr="00EF7FF5" w14:paraId="088D3C5D" w14:textId="77777777">
      <w:pPr>
        <w:tabs>
          <w:tab w:val="left" w:pos="-720"/>
        </w:tabs>
        <w:suppressAutoHyphens/>
        <w:rPr>
          <w:rFonts w:ascii="Times New Roman" w:hAnsi="Times New Roman"/>
          <w:szCs w:val="24"/>
        </w:rPr>
      </w:pPr>
      <w:r w:rsidRPr="00EF7FF5">
        <w:rPr>
          <w:rFonts w:ascii="Times New Roman" w:hAnsi="Times New Roman"/>
          <w:szCs w:val="24"/>
        </w:rPr>
        <w:t xml:space="preserve">14. </w:t>
      </w:r>
      <w:r w:rsidRPr="00EF7FF5">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386054" w:rsidRPr="00EF7FF5" w14:paraId="088D3C5E" w14:textId="77777777">
      <w:pPr>
        <w:tabs>
          <w:tab w:val="left" w:pos="-720"/>
        </w:tabs>
        <w:suppressAutoHyphens/>
        <w:rPr>
          <w:rFonts w:ascii="Times New Roman" w:hAnsi="Times New Roman"/>
          <w:szCs w:val="24"/>
        </w:rPr>
      </w:pPr>
    </w:p>
    <w:p w:rsidR="00B84F17" w:rsidRPr="00B84F17" w:rsidP="00832348" w14:paraId="088D3C5F" w14:textId="77777777">
      <w:pPr>
        <w:autoSpaceDE w:val="0"/>
        <w:autoSpaceDN w:val="0"/>
        <w:adjustRightInd w:val="0"/>
        <w:ind w:left="720"/>
        <w:rPr>
          <w:rFonts w:ascii="Times New Roman" w:hAnsi="Times New Roman"/>
          <w:b/>
          <w:szCs w:val="24"/>
        </w:rPr>
      </w:pPr>
      <w:r w:rsidRPr="00B84F17">
        <w:rPr>
          <w:rFonts w:ascii="Times New Roman" w:hAnsi="Times New Roman"/>
          <w:b/>
          <w:szCs w:val="24"/>
        </w:rPr>
        <w:t>Develop, review and approve information collection package:</w:t>
      </w:r>
    </w:p>
    <w:p w:rsidR="00B84F17" w:rsidRPr="00B84F17" w:rsidP="00832348" w14:paraId="088D3C60" w14:textId="77777777">
      <w:pPr>
        <w:autoSpaceDE w:val="0"/>
        <w:autoSpaceDN w:val="0"/>
        <w:adjustRightInd w:val="0"/>
        <w:ind w:left="720"/>
        <w:rPr>
          <w:rFonts w:ascii="Times New Roman" w:hAnsi="Times New Roman"/>
          <w:b/>
          <w:szCs w:val="24"/>
        </w:rPr>
      </w:pPr>
    </w:p>
    <w:p w:rsidR="00B84F17" w:rsidRPr="00B84F17" w:rsidP="00832348" w14:paraId="088D3C61" w14:textId="55AC0A3E">
      <w:pPr>
        <w:autoSpaceDE w:val="0"/>
        <w:autoSpaceDN w:val="0"/>
        <w:adjustRightInd w:val="0"/>
        <w:ind w:left="720"/>
        <w:rPr>
          <w:rFonts w:ascii="Times New Roman" w:hAnsi="Times New Roman"/>
          <w:b/>
          <w:szCs w:val="24"/>
        </w:rPr>
      </w:pPr>
      <w:r w:rsidRPr="00B84F17">
        <w:rPr>
          <w:rFonts w:ascii="Times New Roman" w:hAnsi="Times New Roman"/>
          <w:b/>
          <w:szCs w:val="24"/>
        </w:rPr>
        <w:tab/>
      </w:r>
      <w:r w:rsidRPr="00B84F17">
        <w:rPr>
          <w:rFonts w:ascii="Times New Roman" w:hAnsi="Times New Roman"/>
          <w:b/>
          <w:szCs w:val="24"/>
        </w:rPr>
        <w:tab/>
      </w:r>
      <w:r w:rsidRPr="00B84F17">
        <w:rPr>
          <w:rFonts w:ascii="Times New Roman" w:hAnsi="Times New Roman"/>
          <w:b/>
          <w:szCs w:val="24"/>
        </w:rPr>
        <w:tab/>
      </w:r>
      <w:r w:rsidR="008D6D3D">
        <w:rPr>
          <w:rFonts w:ascii="Times New Roman" w:hAnsi="Times New Roman"/>
          <w:b/>
          <w:szCs w:val="24"/>
        </w:rPr>
        <w:t>40</w:t>
      </w:r>
      <w:r w:rsidRPr="00B84F17">
        <w:rPr>
          <w:rFonts w:ascii="Times New Roman" w:hAnsi="Times New Roman"/>
          <w:b/>
          <w:szCs w:val="24"/>
        </w:rPr>
        <w:t xml:space="preserve"> hrs. x $</w:t>
      </w:r>
      <w:r w:rsidR="009E539E">
        <w:rPr>
          <w:rFonts w:ascii="Times New Roman" w:hAnsi="Times New Roman"/>
          <w:b/>
          <w:szCs w:val="24"/>
        </w:rPr>
        <w:t>55</w:t>
      </w:r>
      <w:r w:rsidRPr="00B84F17">
        <w:rPr>
          <w:rFonts w:ascii="Times New Roman" w:hAnsi="Times New Roman"/>
          <w:b/>
          <w:szCs w:val="24"/>
        </w:rPr>
        <w:t xml:space="preserve"> per hr.</w:t>
      </w:r>
      <w:r w:rsidRPr="00B84F17">
        <w:rPr>
          <w:rFonts w:ascii="Times New Roman" w:hAnsi="Times New Roman"/>
          <w:b/>
          <w:szCs w:val="24"/>
        </w:rPr>
        <w:tab/>
      </w:r>
      <w:r w:rsidRPr="00B84F17">
        <w:rPr>
          <w:rFonts w:ascii="Times New Roman" w:hAnsi="Times New Roman"/>
          <w:b/>
          <w:szCs w:val="24"/>
        </w:rPr>
        <w:tab/>
        <w:t>$</w:t>
      </w:r>
      <w:r w:rsidR="009E539E">
        <w:rPr>
          <w:rFonts w:ascii="Times New Roman" w:hAnsi="Times New Roman"/>
          <w:b/>
          <w:szCs w:val="24"/>
        </w:rPr>
        <w:t>2</w:t>
      </w:r>
      <w:r w:rsidR="00BA444F">
        <w:rPr>
          <w:rFonts w:ascii="Times New Roman" w:hAnsi="Times New Roman"/>
          <w:b/>
          <w:szCs w:val="24"/>
        </w:rPr>
        <w:t>,200</w:t>
      </w:r>
    </w:p>
    <w:p w:rsidR="00B84F17" w:rsidRPr="00B84F17" w:rsidP="00832348" w14:paraId="088D3C62" w14:textId="77777777">
      <w:pPr>
        <w:autoSpaceDE w:val="0"/>
        <w:autoSpaceDN w:val="0"/>
        <w:adjustRightInd w:val="0"/>
        <w:ind w:left="720"/>
        <w:rPr>
          <w:rFonts w:ascii="Times New Roman" w:hAnsi="Times New Roman"/>
          <w:b/>
          <w:szCs w:val="24"/>
        </w:rPr>
      </w:pPr>
    </w:p>
    <w:p w:rsidR="00B84F17" w:rsidRPr="00B84F17" w:rsidP="00832348" w14:paraId="088D3C63" w14:textId="0789DA73">
      <w:pPr>
        <w:autoSpaceDE w:val="0"/>
        <w:autoSpaceDN w:val="0"/>
        <w:adjustRightInd w:val="0"/>
        <w:ind w:left="720"/>
        <w:rPr>
          <w:rFonts w:ascii="Times New Roman" w:hAnsi="Times New Roman"/>
          <w:b/>
          <w:szCs w:val="24"/>
        </w:rPr>
      </w:pPr>
      <w:r w:rsidRPr="00B84F17">
        <w:rPr>
          <w:rFonts w:ascii="Times New Roman" w:hAnsi="Times New Roman"/>
          <w:b/>
          <w:szCs w:val="24"/>
        </w:rPr>
        <w:t xml:space="preserve">Screen application, review and analyze data, prepare eligibility letters for </w:t>
      </w:r>
      <w:r w:rsidRPr="00B84F17" w:rsidR="006F7AB1">
        <w:rPr>
          <w:rFonts w:ascii="Times New Roman" w:hAnsi="Times New Roman"/>
          <w:b/>
          <w:szCs w:val="24"/>
        </w:rPr>
        <w:t>applicants</w:t>
      </w:r>
      <w:r w:rsidRPr="00B84F17">
        <w:rPr>
          <w:rFonts w:ascii="Times New Roman" w:hAnsi="Times New Roman"/>
          <w:b/>
          <w:szCs w:val="24"/>
        </w:rPr>
        <w:t xml:space="preserve"> to print online</w:t>
      </w:r>
      <w:r w:rsidR="009E5977">
        <w:rPr>
          <w:rFonts w:ascii="Times New Roman" w:hAnsi="Times New Roman"/>
          <w:b/>
          <w:szCs w:val="24"/>
        </w:rPr>
        <w:t>:</w:t>
      </w:r>
    </w:p>
    <w:p w:rsidR="00B84F17" w:rsidRPr="00B84F17" w:rsidP="00832348" w14:paraId="088D3C64" w14:textId="77777777">
      <w:pPr>
        <w:autoSpaceDE w:val="0"/>
        <w:autoSpaceDN w:val="0"/>
        <w:adjustRightInd w:val="0"/>
        <w:ind w:left="720"/>
        <w:rPr>
          <w:rFonts w:ascii="Times New Roman" w:hAnsi="Times New Roman"/>
          <w:b/>
          <w:szCs w:val="24"/>
        </w:rPr>
      </w:pPr>
    </w:p>
    <w:p w:rsidR="00B84F17" w:rsidRPr="002A1DEB" w:rsidP="00832348" w14:paraId="088D3C65" w14:textId="0DEA6243">
      <w:pPr>
        <w:autoSpaceDE w:val="0"/>
        <w:autoSpaceDN w:val="0"/>
        <w:adjustRightInd w:val="0"/>
        <w:ind w:left="720"/>
        <w:rPr>
          <w:rFonts w:ascii="Times New Roman" w:hAnsi="Times New Roman"/>
          <w:b/>
          <w:szCs w:val="24"/>
        </w:rPr>
      </w:pPr>
      <w:r w:rsidRPr="00B84F17">
        <w:rPr>
          <w:rFonts w:ascii="Times New Roman" w:hAnsi="Times New Roman"/>
          <w:b/>
          <w:szCs w:val="24"/>
        </w:rPr>
        <w:tab/>
      </w:r>
      <w:r w:rsidRPr="00B84F17">
        <w:rPr>
          <w:rFonts w:ascii="Times New Roman" w:hAnsi="Times New Roman"/>
          <w:b/>
          <w:szCs w:val="24"/>
        </w:rPr>
        <w:tab/>
      </w:r>
      <w:r w:rsidRPr="00B84F17">
        <w:rPr>
          <w:rFonts w:ascii="Times New Roman" w:hAnsi="Times New Roman"/>
          <w:b/>
          <w:szCs w:val="24"/>
        </w:rPr>
        <w:tab/>
      </w:r>
      <w:r w:rsidR="00AA01C4">
        <w:rPr>
          <w:rFonts w:ascii="Times New Roman" w:hAnsi="Times New Roman"/>
          <w:b/>
          <w:szCs w:val="24"/>
        </w:rPr>
        <w:t>32</w:t>
      </w:r>
      <w:r w:rsidR="00FC0518">
        <w:rPr>
          <w:rFonts w:ascii="Times New Roman" w:hAnsi="Times New Roman"/>
          <w:b/>
          <w:szCs w:val="24"/>
        </w:rPr>
        <w:t>0</w:t>
      </w:r>
      <w:r w:rsidRPr="00B84F17" w:rsidR="00FC0518">
        <w:rPr>
          <w:rFonts w:ascii="Times New Roman" w:hAnsi="Times New Roman"/>
          <w:b/>
          <w:szCs w:val="24"/>
        </w:rPr>
        <w:t xml:space="preserve"> </w:t>
      </w:r>
      <w:r w:rsidRPr="00B84F17">
        <w:rPr>
          <w:rFonts w:ascii="Times New Roman" w:hAnsi="Times New Roman"/>
          <w:b/>
          <w:szCs w:val="24"/>
        </w:rPr>
        <w:t>hrs. x $</w:t>
      </w:r>
      <w:r w:rsidR="00BA444F">
        <w:rPr>
          <w:rFonts w:ascii="Times New Roman" w:hAnsi="Times New Roman"/>
          <w:b/>
          <w:szCs w:val="24"/>
        </w:rPr>
        <w:t>55</w:t>
      </w:r>
      <w:r w:rsidRPr="00B84F17">
        <w:rPr>
          <w:rFonts w:ascii="Times New Roman" w:hAnsi="Times New Roman"/>
          <w:b/>
          <w:szCs w:val="24"/>
        </w:rPr>
        <w:t xml:space="preserve"> per hr. </w:t>
      </w:r>
      <w:r w:rsidRPr="00B84F17">
        <w:rPr>
          <w:rFonts w:ascii="Times New Roman" w:hAnsi="Times New Roman"/>
          <w:b/>
          <w:szCs w:val="24"/>
        </w:rPr>
        <w:tab/>
        <w:t>$</w:t>
      </w:r>
      <w:r w:rsidR="00EE2FD6">
        <w:rPr>
          <w:rFonts w:ascii="Times New Roman" w:hAnsi="Times New Roman"/>
          <w:b/>
          <w:szCs w:val="24"/>
        </w:rPr>
        <w:t>17,600</w:t>
      </w:r>
    </w:p>
    <w:p w:rsidR="00B84F17" w:rsidRPr="00B84F17" w:rsidP="00832348" w14:paraId="088D3C66" w14:textId="77777777">
      <w:pPr>
        <w:autoSpaceDE w:val="0"/>
        <w:autoSpaceDN w:val="0"/>
        <w:adjustRightInd w:val="0"/>
        <w:ind w:left="720"/>
        <w:rPr>
          <w:rFonts w:ascii="Times New Roman" w:hAnsi="Times New Roman"/>
          <w:b/>
          <w:szCs w:val="24"/>
        </w:rPr>
      </w:pPr>
    </w:p>
    <w:p w:rsidR="00B84F17" w:rsidRPr="00B84F17" w:rsidP="00832348" w14:paraId="088D3C67" w14:textId="57BDC181">
      <w:pPr>
        <w:tabs>
          <w:tab w:val="left" w:pos="5760"/>
        </w:tabs>
        <w:autoSpaceDE w:val="0"/>
        <w:autoSpaceDN w:val="0"/>
        <w:adjustRightInd w:val="0"/>
        <w:ind w:left="720"/>
        <w:rPr>
          <w:rFonts w:ascii="Times New Roman" w:hAnsi="Times New Roman"/>
          <w:b/>
          <w:szCs w:val="24"/>
        </w:rPr>
      </w:pPr>
      <w:r>
        <w:rPr>
          <w:rFonts w:ascii="Times New Roman" w:hAnsi="Times New Roman"/>
          <w:b/>
          <w:szCs w:val="24"/>
        </w:rPr>
        <w:t>Overhead/miscellaneous costs</w:t>
      </w:r>
      <w:r w:rsidR="009E5977">
        <w:rPr>
          <w:rFonts w:ascii="Times New Roman" w:hAnsi="Times New Roman"/>
          <w:b/>
          <w:szCs w:val="24"/>
        </w:rPr>
        <w:t>:</w:t>
      </w:r>
      <w:r w:rsidR="00832348">
        <w:rPr>
          <w:rFonts w:ascii="Times New Roman" w:hAnsi="Times New Roman"/>
          <w:b/>
          <w:szCs w:val="24"/>
        </w:rPr>
        <w:tab/>
      </w:r>
      <w:r w:rsidRPr="00B84F17">
        <w:rPr>
          <w:rFonts w:ascii="Times New Roman" w:hAnsi="Times New Roman"/>
          <w:b/>
          <w:szCs w:val="24"/>
        </w:rPr>
        <w:t>$</w:t>
      </w:r>
      <w:r w:rsidR="006A56F4">
        <w:rPr>
          <w:rFonts w:ascii="Times New Roman" w:hAnsi="Times New Roman"/>
          <w:b/>
          <w:szCs w:val="24"/>
        </w:rPr>
        <w:t>1</w:t>
      </w:r>
      <w:r w:rsidR="00BA444F">
        <w:rPr>
          <w:rFonts w:ascii="Times New Roman" w:hAnsi="Times New Roman"/>
          <w:b/>
          <w:szCs w:val="24"/>
        </w:rPr>
        <w:t>5</w:t>
      </w:r>
      <w:r w:rsidRPr="00B84F17">
        <w:rPr>
          <w:rFonts w:ascii="Times New Roman" w:hAnsi="Times New Roman"/>
          <w:b/>
          <w:szCs w:val="24"/>
        </w:rPr>
        <w:t>,000</w:t>
      </w:r>
    </w:p>
    <w:p w:rsidR="00B84F17" w:rsidRPr="00B84F17" w:rsidP="00832348" w14:paraId="088D3C68" w14:textId="77777777">
      <w:pPr>
        <w:autoSpaceDE w:val="0"/>
        <w:autoSpaceDN w:val="0"/>
        <w:adjustRightInd w:val="0"/>
        <w:ind w:left="720"/>
        <w:rPr>
          <w:rFonts w:ascii="Arial" w:hAnsi="Arial"/>
          <w:szCs w:val="24"/>
        </w:rPr>
      </w:pPr>
    </w:p>
    <w:p w:rsidR="00B84F17" w:rsidP="00832348" w14:paraId="088D3C69" w14:textId="50C4D0D6">
      <w:pPr>
        <w:autoSpaceDE w:val="0"/>
        <w:autoSpaceDN w:val="0"/>
        <w:adjustRightInd w:val="0"/>
        <w:ind w:left="720"/>
        <w:rPr>
          <w:rFonts w:ascii="Times New Roman" w:hAnsi="Times New Roman"/>
          <w:b/>
          <w:szCs w:val="24"/>
        </w:rPr>
      </w:pPr>
      <w:r w:rsidRPr="00B84F17">
        <w:rPr>
          <w:rFonts w:ascii="Times New Roman" w:hAnsi="Times New Roman"/>
          <w:b/>
          <w:szCs w:val="24"/>
        </w:rPr>
        <w:t>Total cost to Federal government</w:t>
      </w:r>
      <w:r w:rsidR="009E5977">
        <w:rPr>
          <w:rFonts w:ascii="Times New Roman" w:hAnsi="Times New Roman"/>
          <w:b/>
          <w:szCs w:val="24"/>
        </w:rPr>
        <w:t>:</w:t>
      </w:r>
      <w:r w:rsidRPr="00B84F17">
        <w:rPr>
          <w:rFonts w:ascii="Times New Roman" w:hAnsi="Times New Roman"/>
          <w:b/>
          <w:szCs w:val="24"/>
        </w:rPr>
        <w:tab/>
      </w:r>
      <w:r w:rsidRPr="00B84F17">
        <w:rPr>
          <w:rFonts w:ascii="Times New Roman" w:hAnsi="Times New Roman"/>
          <w:b/>
          <w:szCs w:val="24"/>
        </w:rPr>
        <w:tab/>
      </w:r>
      <w:r w:rsidRPr="00B84F17">
        <w:rPr>
          <w:rFonts w:ascii="Times New Roman" w:hAnsi="Times New Roman"/>
          <w:b/>
          <w:szCs w:val="24"/>
        </w:rPr>
        <w:tab/>
        <w:t>$</w:t>
      </w:r>
      <w:r w:rsidR="00C03667">
        <w:rPr>
          <w:rFonts w:ascii="Times New Roman" w:hAnsi="Times New Roman"/>
          <w:b/>
          <w:szCs w:val="24"/>
        </w:rPr>
        <w:t>3</w:t>
      </w:r>
      <w:r w:rsidR="00C03667">
        <w:rPr>
          <w:rFonts w:ascii="Times New Roman" w:hAnsi="Times New Roman"/>
          <w:b/>
          <w:szCs w:val="24"/>
        </w:rPr>
        <w:t>4</w:t>
      </w:r>
      <w:r w:rsidR="00EE2FD6">
        <w:rPr>
          <w:rFonts w:ascii="Times New Roman" w:hAnsi="Times New Roman"/>
          <w:b/>
          <w:szCs w:val="24"/>
        </w:rPr>
        <w:t>,</w:t>
      </w:r>
      <w:r w:rsidR="003F2E77">
        <w:rPr>
          <w:rFonts w:ascii="Times New Roman" w:hAnsi="Times New Roman"/>
          <w:b/>
          <w:szCs w:val="24"/>
        </w:rPr>
        <w:t>8</w:t>
      </w:r>
      <w:r w:rsidR="003F2E77">
        <w:rPr>
          <w:rFonts w:ascii="Times New Roman" w:hAnsi="Times New Roman"/>
          <w:b/>
          <w:szCs w:val="24"/>
        </w:rPr>
        <w:t>00</w:t>
      </w:r>
    </w:p>
    <w:p w:rsidR="008B7AC1" w:rsidP="00B84F17" w14:paraId="30986999" w14:textId="6E910424">
      <w:pPr>
        <w:autoSpaceDE w:val="0"/>
        <w:autoSpaceDN w:val="0"/>
        <w:adjustRightInd w:val="0"/>
        <w:ind w:left="1080"/>
        <w:rPr>
          <w:rFonts w:ascii="Times New Roman" w:hAnsi="Times New Roman"/>
          <w:b/>
          <w:szCs w:val="24"/>
        </w:rPr>
      </w:pPr>
    </w:p>
    <w:p w:rsidR="00386054" w:rsidRPr="00EF7FF5" w14:paraId="088D3C6B" w14:textId="77777777">
      <w:pPr>
        <w:tabs>
          <w:tab w:val="left" w:pos="-720"/>
        </w:tabs>
        <w:suppressAutoHyphens/>
        <w:rPr>
          <w:rFonts w:ascii="Times New Roman" w:hAnsi="Times New Roman"/>
          <w:szCs w:val="24"/>
        </w:rPr>
      </w:pPr>
      <w:r w:rsidRPr="00EF7FF5">
        <w:rPr>
          <w:rFonts w:ascii="Times New Roman" w:hAnsi="Times New Roman"/>
          <w:szCs w:val="24"/>
        </w:rPr>
        <w:t>15. Explain the reasons for any program changes or adjustments. Generally, adjustments in burden result from re-estimating burden and/or from economic phenomenon outside of an agency</w:t>
      </w:r>
      <w:r w:rsidRPr="00E023B7">
        <w:rPr>
          <w:rFonts w:ascii="Times New Roman" w:hAnsi="Times New Roman"/>
          <w:szCs w:val="24"/>
        </w:rPr>
        <w:t>’</w:t>
      </w:r>
      <w:r w:rsidRPr="00EF7FF5">
        <w:rPr>
          <w:rFonts w:ascii="Times New Roman" w:hAnsi="Times New Roman"/>
          <w:szCs w:val="24"/>
        </w:rPr>
        <w:t xml:space="preserve">s control (e.g., correcting a burden estimate or an organic increase in the size of the reporting universe). Program changes result from a deliberate action that materially changes a collection of information and generally are result of new statute or an agency action (e.g., </w:t>
      </w:r>
      <w:r w:rsidRPr="00EF7FF5">
        <w:rPr>
          <w:rFonts w:ascii="Times New Roman" w:hAnsi="Times New Roman"/>
          <w:szCs w:val="24"/>
        </w:rPr>
        <w:t>changing a form, revising regulations, redefining the respondent universe, etc.). Burden changes should be disaggregated by type of change (i.e., adjustment, program change due to new statute, and/or program change due to agency discretion)</w:t>
      </w:r>
      <w:r>
        <w:rPr>
          <w:rFonts w:ascii="Times New Roman" w:hAnsi="Times New Roman"/>
          <w:szCs w:val="24"/>
        </w:rPr>
        <w:t>, type of collection (new, revision, extension, reinstatement with change, reinstatement without change)</w:t>
      </w:r>
      <w:r w:rsidRPr="00EF7FF5">
        <w:rPr>
          <w:rFonts w:ascii="Times New Roman" w:hAnsi="Times New Roman"/>
          <w:szCs w:val="24"/>
        </w:rPr>
        <w:t xml:space="preserve"> and include </w:t>
      </w:r>
      <w:r w:rsidR="002473CE">
        <w:rPr>
          <w:rFonts w:ascii="Times New Roman" w:hAnsi="Times New Roman"/>
          <w:szCs w:val="24"/>
        </w:rPr>
        <w:t xml:space="preserve">totals for </w:t>
      </w:r>
      <w:r w:rsidRPr="00EF7FF5">
        <w:rPr>
          <w:rFonts w:ascii="Times New Roman" w:hAnsi="Times New Roman"/>
          <w:szCs w:val="24"/>
        </w:rPr>
        <w:t>changes in burden hours</w:t>
      </w:r>
      <w:r w:rsidR="002473CE">
        <w:rPr>
          <w:rFonts w:ascii="Times New Roman" w:hAnsi="Times New Roman"/>
          <w:szCs w:val="24"/>
        </w:rPr>
        <w:t>, responses</w:t>
      </w:r>
      <w:r w:rsidRPr="00EF7FF5">
        <w:rPr>
          <w:rFonts w:ascii="Times New Roman" w:hAnsi="Times New Roman"/>
          <w:szCs w:val="24"/>
        </w:rPr>
        <w:t xml:space="preserve"> and cost</w:t>
      </w:r>
      <w:r w:rsidR="002473CE">
        <w:rPr>
          <w:rFonts w:ascii="Times New Roman" w:hAnsi="Times New Roman"/>
          <w:szCs w:val="24"/>
        </w:rPr>
        <w:t>s</w:t>
      </w:r>
      <w:r w:rsidRPr="00EF7FF5">
        <w:rPr>
          <w:rFonts w:ascii="Times New Roman" w:hAnsi="Times New Roman"/>
          <w:szCs w:val="24"/>
        </w:rPr>
        <w:t xml:space="preserve"> </w:t>
      </w:r>
      <w:r w:rsidR="002473CE">
        <w:rPr>
          <w:rFonts w:ascii="Times New Roman" w:hAnsi="Times New Roman"/>
          <w:szCs w:val="24"/>
        </w:rPr>
        <w:t>(if applicable)</w:t>
      </w:r>
      <w:r w:rsidRPr="00EF7FF5">
        <w:rPr>
          <w:rFonts w:ascii="Times New Roman" w:hAnsi="Times New Roman"/>
          <w:szCs w:val="24"/>
        </w:rPr>
        <w:t>.</w:t>
      </w:r>
    </w:p>
    <w:p w:rsidR="00386054" w14:paraId="088D3C6C" w14:textId="6C54147C">
      <w:pPr>
        <w:tabs>
          <w:tab w:val="left" w:pos="-720"/>
        </w:tabs>
        <w:suppressAutoHyphens/>
        <w:rPr>
          <w:rFonts w:ascii="Times New Roman" w:hAnsi="Times New Roman"/>
          <w:szCs w:val="24"/>
        </w:rPr>
      </w:pPr>
    </w:p>
    <w:p w:rsidR="00FC24B8" w:rsidRPr="00490D87" w:rsidP="00490D87" w14:paraId="2DB50B00" w14:textId="77777777">
      <w:pPr>
        <w:pStyle w:val="ListParagraph"/>
        <w:tabs>
          <w:tab w:val="left" w:pos="-720"/>
        </w:tabs>
        <w:suppressAutoHyphens/>
        <w:ind w:left="0"/>
        <w:contextualSpacing w:val="0"/>
        <w:rPr>
          <w:rFonts w:ascii="Times New Roman" w:hAnsi="Times New Roman"/>
          <w:bCs/>
          <w:szCs w:val="24"/>
        </w:rPr>
      </w:pPr>
      <w:r w:rsidRPr="00490D87">
        <w:rPr>
          <w:rFonts w:ascii="Times New Roman" w:hAnsi="Times New Roman"/>
          <w:bCs/>
          <w:szCs w:val="24"/>
        </w:rPr>
        <w:t>Provide a descriptive narrative for the reasons of any change in addition to completing the table with the burden hour change(s) here.</w:t>
      </w:r>
    </w:p>
    <w:p w:rsidR="00FC24B8" w:rsidRPr="00490D87" w:rsidP="00FC24B8" w14:paraId="1573DBB0" w14:textId="77777777">
      <w:pPr>
        <w:tabs>
          <w:tab w:val="left" w:pos="-720"/>
        </w:tabs>
        <w:suppressAutoHyphens/>
        <w:rPr>
          <w:rFonts w:ascii="Times New Roman" w:hAnsi="Times New Roman"/>
          <w:bCs/>
          <w:szCs w:val="24"/>
        </w:rPr>
      </w:pPr>
    </w:p>
    <w:tbl>
      <w:tblPr>
        <w:tblStyle w:val="TableGrid"/>
        <w:tblW w:w="9445" w:type="dxa"/>
        <w:tblLook w:val="04A0"/>
      </w:tblPr>
      <w:tblGrid>
        <w:gridCol w:w="1885"/>
        <w:gridCol w:w="1800"/>
        <w:gridCol w:w="2610"/>
        <w:gridCol w:w="3150"/>
      </w:tblGrid>
      <w:tr w14:paraId="0529867F" w14:textId="77777777" w:rsidTr="00FF5CE2">
        <w:tblPrEx>
          <w:tblW w:w="9445" w:type="dxa"/>
          <w:tblLook w:val="04A0"/>
        </w:tblPrEx>
        <w:tc>
          <w:tcPr>
            <w:tcW w:w="1885" w:type="dxa"/>
            <w:shd w:val="clear" w:color="auto" w:fill="D9D9D9" w:themeFill="background1" w:themeFillShade="D9"/>
          </w:tcPr>
          <w:p w:rsidR="00FC24B8" w:rsidP="00A51A3C" w14:paraId="18BFBCDE" w14:textId="77777777">
            <w:pPr>
              <w:tabs>
                <w:tab w:val="left" w:pos="-720"/>
              </w:tabs>
              <w:suppressAutoHyphens/>
              <w:rPr>
                <w:rFonts w:ascii="Times New Roman" w:hAnsi="Times New Roman"/>
                <w:b/>
                <w:szCs w:val="24"/>
              </w:rPr>
            </w:pPr>
          </w:p>
        </w:tc>
        <w:tc>
          <w:tcPr>
            <w:tcW w:w="1800" w:type="dxa"/>
          </w:tcPr>
          <w:p w:rsidR="00FC24B8" w:rsidP="00A51A3C" w14:paraId="0EBD4088"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610" w:type="dxa"/>
          </w:tcPr>
          <w:p w:rsidR="00FC24B8" w:rsidP="00A51A3C" w14:paraId="0D615782"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3150" w:type="dxa"/>
          </w:tcPr>
          <w:p w:rsidR="00FC24B8" w:rsidP="00A51A3C" w14:paraId="6A66CF3F"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14:paraId="62428640" w14:textId="77777777" w:rsidTr="00FF5CE2">
        <w:tblPrEx>
          <w:tblW w:w="9445" w:type="dxa"/>
          <w:tblLook w:val="04A0"/>
        </w:tblPrEx>
        <w:tc>
          <w:tcPr>
            <w:tcW w:w="1885" w:type="dxa"/>
          </w:tcPr>
          <w:p w:rsidR="00FC24B8" w:rsidP="00A51A3C" w14:paraId="25196B1D"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1800" w:type="dxa"/>
          </w:tcPr>
          <w:p w:rsidR="00FC24B8" w:rsidP="00A51A3C" w14:paraId="5B2EFB1F" w14:textId="77777777">
            <w:pPr>
              <w:tabs>
                <w:tab w:val="left" w:pos="-720"/>
              </w:tabs>
              <w:suppressAutoHyphens/>
              <w:rPr>
                <w:rFonts w:ascii="Times New Roman" w:hAnsi="Times New Roman"/>
                <w:b/>
                <w:szCs w:val="24"/>
              </w:rPr>
            </w:pPr>
          </w:p>
        </w:tc>
        <w:tc>
          <w:tcPr>
            <w:tcW w:w="2610" w:type="dxa"/>
          </w:tcPr>
          <w:p w:rsidR="00FC24B8" w:rsidP="00A51A3C" w14:paraId="3464A7F5" w14:textId="77777777">
            <w:pPr>
              <w:tabs>
                <w:tab w:val="left" w:pos="-720"/>
              </w:tabs>
              <w:suppressAutoHyphens/>
              <w:rPr>
                <w:rFonts w:ascii="Times New Roman" w:hAnsi="Times New Roman"/>
                <w:b/>
                <w:szCs w:val="24"/>
              </w:rPr>
            </w:pPr>
          </w:p>
        </w:tc>
        <w:tc>
          <w:tcPr>
            <w:tcW w:w="3150" w:type="dxa"/>
          </w:tcPr>
          <w:p w:rsidR="00FC24B8" w:rsidRPr="009E1FA6" w:rsidP="00FF5CE2" w14:paraId="148C37BA" w14:textId="298C90DD">
            <w:pPr>
              <w:tabs>
                <w:tab w:val="left" w:pos="-720"/>
              </w:tabs>
              <w:suppressAutoHyphens/>
              <w:jc w:val="center"/>
              <w:rPr>
                <w:rFonts w:ascii="Times New Roman" w:hAnsi="Times New Roman"/>
                <w:bCs/>
                <w:szCs w:val="24"/>
              </w:rPr>
            </w:pPr>
            <w:r w:rsidRPr="009E1FA6">
              <w:rPr>
                <w:rFonts w:ascii="Times New Roman" w:hAnsi="Times New Roman"/>
                <w:bCs/>
                <w:szCs w:val="24"/>
              </w:rPr>
              <w:t>3,500</w:t>
            </w:r>
          </w:p>
        </w:tc>
      </w:tr>
      <w:tr w14:paraId="63E717D8" w14:textId="77777777" w:rsidTr="00FF5CE2">
        <w:tblPrEx>
          <w:tblW w:w="9445" w:type="dxa"/>
          <w:tblLook w:val="04A0"/>
        </w:tblPrEx>
        <w:tc>
          <w:tcPr>
            <w:tcW w:w="1885" w:type="dxa"/>
          </w:tcPr>
          <w:p w:rsidR="00FC24B8" w:rsidP="00A51A3C" w14:paraId="2D25417C"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1800" w:type="dxa"/>
          </w:tcPr>
          <w:p w:rsidR="00FC24B8" w:rsidP="00A51A3C" w14:paraId="094DEBAC" w14:textId="77777777">
            <w:pPr>
              <w:tabs>
                <w:tab w:val="left" w:pos="-720"/>
              </w:tabs>
              <w:suppressAutoHyphens/>
              <w:rPr>
                <w:rFonts w:ascii="Times New Roman" w:hAnsi="Times New Roman"/>
                <w:b/>
                <w:szCs w:val="24"/>
              </w:rPr>
            </w:pPr>
          </w:p>
        </w:tc>
        <w:tc>
          <w:tcPr>
            <w:tcW w:w="2610" w:type="dxa"/>
          </w:tcPr>
          <w:p w:rsidR="00FC24B8" w:rsidP="00A51A3C" w14:paraId="0D56CCC0" w14:textId="77777777">
            <w:pPr>
              <w:tabs>
                <w:tab w:val="left" w:pos="-720"/>
              </w:tabs>
              <w:suppressAutoHyphens/>
              <w:rPr>
                <w:rFonts w:ascii="Times New Roman" w:hAnsi="Times New Roman"/>
                <w:b/>
                <w:szCs w:val="24"/>
              </w:rPr>
            </w:pPr>
          </w:p>
        </w:tc>
        <w:tc>
          <w:tcPr>
            <w:tcW w:w="3150" w:type="dxa"/>
          </w:tcPr>
          <w:p w:rsidR="00FC24B8" w:rsidRPr="009E1FA6" w:rsidP="00FF5CE2" w14:paraId="55F99C1E" w14:textId="66F00718">
            <w:pPr>
              <w:tabs>
                <w:tab w:val="left" w:pos="-720"/>
              </w:tabs>
              <w:suppressAutoHyphens/>
              <w:jc w:val="center"/>
              <w:rPr>
                <w:rFonts w:ascii="Times New Roman" w:hAnsi="Times New Roman"/>
                <w:bCs/>
                <w:szCs w:val="24"/>
              </w:rPr>
            </w:pPr>
            <w:r w:rsidRPr="009E1FA6">
              <w:rPr>
                <w:rFonts w:ascii="Times New Roman" w:hAnsi="Times New Roman"/>
                <w:bCs/>
                <w:szCs w:val="24"/>
              </w:rPr>
              <w:t>500</w:t>
            </w:r>
          </w:p>
        </w:tc>
      </w:tr>
      <w:tr w14:paraId="5508C91E" w14:textId="77777777" w:rsidTr="00FF5CE2">
        <w:tblPrEx>
          <w:tblW w:w="9445" w:type="dxa"/>
          <w:tblLook w:val="04A0"/>
        </w:tblPrEx>
        <w:tc>
          <w:tcPr>
            <w:tcW w:w="1885" w:type="dxa"/>
          </w:tcPr>
          <w:p w:rsidR="00FC24B8" w:rsidP="00A51A3C" w14:paraId="338A975B"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1800" w:type="dxa"/>
          </w:tcPr>
          <w:p w:rsidR="00FC24B8" w:rsidP="00A51A3C" w14:paraId="66DD4863" w14:textId="77777777">
            <w:pPr>
              <w:tabs>
                <w:tab w:val="left" w:pos="-720"/>
              </w:tabs>
              <w:suppressAutoHyphens/>
              <w:rPr>
                <w:rFonts w:ascii="Times New Roman" w:hAnsi="Times New Roman"/>
                <w:b/>
                <w:szCs w:val="24"/>
              </w:rPr>
            </w:pPr>
          </w:p>
        </w:tc>
        <w:tc>
          <w:tcPr>
            <w:tcW w:w="2610" w:type="dxa"/>
          </w:tcPr>
          <w:p w:rsidR="00FC24B8" w:rsidP="00A51A3C" w14:paraId="522EDEFF" w14:textId="77777777">
            <w:pPr>
              <w:tabs>
                <w:tab w:val="left" w:pos="-720"/>
              </w:tabs>
              <w:suppressAutoHyphens/>
              <w:rPr>
                <w:rFonts w:ascii="Times New Roman" w:hAnsi="Times New Roman"/>
                <w:b/>
                <w:szCs w:val="24"/>
              </w:rPr>
            </w:pPr>
          </w:p>
        </w:tc>
        <w:tc>
          <w:tcPr>
            <w:tcW w:w="3150" w:type="dxa"/>
          </w:tcPr>
          <w:p w:rsidR="00FC24B8" w:rsidP="00FF5CE2" w14:paraId="6B2DBF17" w14:textId="214D1324">
            <w:pPr>
              <w:tabs>
                <w:tab w:val="left" w:pos="-720"/>
              </w:tabs>
              <w:suppressAutoHyphens/>
              <w:jc w:val="center"/>
              <w:rPr>
                <w:rFonts w:ascii="Times New Roman" w:hAnsi="Times New Roman"/>
                <w:b/>
                <w:szCs w:val="24"/>
              </w:rPr>
            </w:pPr>
          </w:p>
        </w:tc>
      </w:tr>
    </w:tbl>
    <w:p w:rsidR="008342C7" w:rsidP="0076088C" w14:paraId="2D5DDB60" w14:textId="77777777">
      <w:pPr>
        <w:autoSpaceDE w:val="0"/>
        <w:autoSpaceDN w:val="0"/>
        <w:adjustRightInd w:val="0"/>
        <w:ind w:left="1080"/>
        <w:rPr>
          <w:rFonts w:ascii="Times New Roman" w:hAnsi="Times New Roman"/>
          <w:szCs w:val="24"/>
        </w:rPr>
      </w:pPr>
    </w:p>
    <w:p w:rsidR="003D51CC" w:rsidRPr="009E1FA6" w:rsidP="009E1FA6" w14:paraId="16309E5E" w14:textId="658C0B48">
      <w:pPr>
        <w:tabs>
          <w:tab w:val="left" w:pos="-720"/>
          <w:tab w:val="left" w:pos="1247"/>
        </w:tabs>
        <w:suppressAutoHyphens/>
        <w:ind w:left="720"/>
        <w:rPr>
          <w:rFonts w:ascii="Times New Roman" w:hAnsi="Times New Roman"/>
          <w:b/>
          <w:bCs/>
          <w:szCs w:val="24"/>
        </w:rPr>
      </w:pPr>
      <w:r w:rsidRPr="009E1FA6">
        <w:rPr>
          <w:rFonts w:ascii="Times New Roman" w:hAnsi="Times New Roman"/>
          <w:b/>
          <w:bCs/>
          <w:szCs w:val="24"/>
        </w:rPr>
        <w:t>This request for approval covers information collections (application forms).  Estimated burden hours for this collection of information are 4,900 hours. We estimate approximately 700 respondents.  Applications are submitted only once annually</w:t>
      </w:r>
      <w:r w:rsidRPr="009E1FA6" w:rsidR="00305AEA">
        <w:rPr>
          <w:rFonts w:ascii="Times New Roman" w:hAnsi="Times New Roman"/>
          <w:b/>
          <w:bCs/>
          <w:szCs w:val="24"/>
        </w:rPr>
        <w:t xml:space="preserve">.  The number of respondents and corresponding burden hours have been increased to </w:t>
      </w:r>
      <w:r w:rsidRPr="009E1FA6" w:rsidR="000402AF">
        <w:rPr>
          <w:rFonts w:ascii="Times New Roman" w:hAnsi="Times New Roman"/>
          <w:b/>
          <w:bCs/>
          <w:szCs w:val="24"/>
        </w:rPr>
        <w:t>more accurately reflect the number of applications expected for this program.</w:t>
      </w:r>
      <w:r w:rsidRPr="009E1FA6">
        <w:rPr>
          <w:rFonts w:ascii="Times New Roman" w:hAnsi="Times New Roman"/>
          <w:b/>
          <w:bCs/>
          <w:szCs w:val="24"/>
        </w:rPr>
        <w:t xml:space="preserve">  </w:t>
      </w:r>
      <w:r w:rsidRPr="009E1FA6">
        <w:rPr>
          <w:rFonts w:ascii="Times New Roman" w:hAnsi="Times New Roman"/>
          <w:b/>
          <w:bCs/>
          <w:szCs w:val="24"/>
        </w:rPr>
        <w:t>In order to</w:t>
      </w:r>
      <w:r w:rsidRPr="009E1FA6">
        <w:rPr>
          <w:rFonts w:ascii="Times New Roman" w:hAnsi="Times New Roman"/>
          <w:b/>
          <w:bCs/>
          <w:szCs w:val="24"/>
        </w:rPr>
        <w:t xml:space="preserve"> reach this current 4,900 total burden estimate, we reviewed data from the Fiscal Year 2025 eligibility designation application. </w:t>
      </w:r>
      <w:r w:rsidRPr="009E1FA6" w:rsidR="001F2387">
        <w:rPr>
          <w:rFonts w:ascii="Times New Roman" w:hAnsi="Times New Roman"/>
          <w:b/>
          <w:bCs/>
          <w:szCs w:val="24"/>
        </w:rPr>
        <w:t xml:space="preserve"> </w:t>
      </w:r>
    </w:p>
    <w:p w:rsidR="003D51CC" w:rsidRPr="009E1FA6" w:rsidP="009E1FA6" w14:paraId="70313E6D" w14:textId="77777777">
      <w:pPr>
        <w:tabs>
          <w:tab w:val="left" w:pos="-720"/>
          <w:tab w:val="left" w:pos="1247"/>
        </w:tabs>
        <w:suppressAutoHyphens/>
        <w:ind w:left="720"/>
        <w:rPr>
          <w:rFonts w:ascii="Times New Roman" w:hAnsi="Times New Roman"/>
          <w:b/>
          <w:bCs/>
          <w:szCs w:val="24"/>
        </w:rPr>
      </w:pPr>
    </w:p>
    <w:p w:rsidR="00EF102E" w:rsidRPr="009E1FA6" w:rsidP="009E1FA6" w14:paraId="4ADB6C17" w14:textId="4050A0AF">
      <w:pPr>
        <w:tabs>
          <w:tab w:val="left" w:pos="-720"/>
          <w:tab w:val="left" w:pos="1247"/>
        </w:tabs>
        <w:suppressAutoHyphens/>
        <w:ind w:left="720"/>
        <w:rPr>
          <w:rFonts w:ascii="Times New Roman" w:hAnsi="Times New Roman"/>
          <w:b/>
          <w:bCs/>
          <w:szCs w:val="24"/>
        </w:rPr>
      </w:pPr>
      <w:r w:rsidRPr="009E1FA6">
        <w:rPr>
          <w:rFonts w:ascii="Times New Roman" w:hAnsi="Times New Roman"/>
          <w:b/>
          <w:bCs/>
          <w:szCs w:val="24"/>
        </w:rPr>
        <w:t>The estimated respondent hourly wage has been updated based on wage data from the Bureau of Labor Statistics.  The mean hourly wage for Education Administrators, Postsecondary was $59.83 as reported in May 2024 by the </w:t>
      </w:r>
      <w:hyperlink r:id="rId12" w:tgtFrame="_blank" w:tooltip="https://www.bls.gov/oes/current/oes119039.htm" w:history="1">
        <w:r w:rsidRPr="009E1FA6">
          <w:rPr>
            <w:rStyle w:val="Hyperlink"/>
            <w:rFonts w:ascii="Times New Roman" w:hAnsi="Times New Roman"/>
            <w:b/>
            <w:bCs/>
            <w:szCs w:val="24"/>
          </w:rPr>
          <w:t>U.S. Department of Labor, Bureau of Labor and Statistics</w:t>
        </w:r>
      </w:hyperlink>
      <w:r w:rsidRPr="009E1FA6">
        <w:rPr>
          <w:rFonts w:ascii="Times New Roman" w:hAnsi="Times New Roman"/>
          <w:b/>
          <w:bCs/>
          <w:szCs w:val="24"/>
        </w:rPr>
        <w:t>, at the link provided.  This is the most appropriate labor category for the likely respondents to the applications.  The total annual burden hours at this rate represents $293,167.00.</w:t>
      </w:r>
    </w:p>
    <w:p w:rsidR="00EF102E" w:rsidRPr="009E1FA6" w:rsidP="009E1FA6" w14:paraId="5ECE971B" w14:textId="77777777">
      <w:pPr>
        <w:tabs>
          <w:tab w:val="left" w:pos="-720"/>
          <w:tab w:val="left" w:pos="1247"/>
        </w:tabs>
        <w:suppressAutoHyphens/>
        <w:ind w:left="720"/>
        <w:rPr>
          <w:rFonts w:ascii="Times New Roman" w:hAnsi="Times New Roman"/>
          <w:b/>
          <w:bCs/>
          <w:szCs w:val="24"/>
        </w:rPr>
      </w:pPr>
      <w:r w:rsidRPr="009E1FA6">
        <w:rPr>
          <w:rFonts w:ascii="Times New Roman" w:hAnsi="Times New Roman"/>
          <w:b/>
          <w:bCs/>
          <w:szCs w:val="24"/>
        </w:rPr>
        <w:t> </w:t>
      </w:r>
    </w:p>
    <w:p w:rsidR="00EF102E" w:rsidRPr="009E1FA6" w:rsidP="009E1FA6" w14:paraId="3687BE1A" w14:textId="07B44302">
      <w:pPr>
        <w:tabs>
          <w:tab w:val="left" w:pos="-720"/>
          <w:tab w:val="left" w:pos="1247"/>
        </w:tabs>
        <w:suppressAutoHyphens/>
        <w:ind w:left="720"/>
        <w:rPr>
          <w:rFonts w:ascii="Times New Roman" w:hAnsi="Times New Roman"/>
          <w:b/>
          <w:bCs/>
          <w:szCs w:val="24"/>
        </w:rPr>
      </w:pPr>
      <w:r w:rsidRPr="009E1FA6">
        <w:rPr>
          <w:rFonts w:ascii="Times New Roman" w:hAnsi="Times New Roman"/>
          <w:b/>
          <w:bCs/>
          <w:szCs w:val="24"/>
        </w:rPr>
        <w:t xml:space="preserve">The data in the table are estimates of the time it takes for respondents to complete official forms, collect relevant application data, develop narrative responses to exemption waiver requests, and submit completed applications through the HEP IS Data Portal system that </w:t>
      </w:r>
      <w:r w:rsidRPr="009E1FA6" w:rsidR="00CD6567">
        <w:rPr>
          <w:rFonts w:ascii="Times New Roman" w:hAnsi="Times New Roman"/>
          <w:b/>
          <w:bCs/>
          <w:szCs w:val="24"/>
        </w:rPr>
        <w:t>responds</w:t>
      </w:r>
      <w:r w:rsidRPr="009E1FA6">
        <w:rPr>
          <w:rFonts w:ascii="Times New Roman" w:hAnsi="Times New Roman"/>
          <w:b/>
          <w:bCs/>
          <w:szCs w:val="24"/>
        </w:rPr>
        <w:t xml:space="preserve"> to individual </w:t>
      </w:r>
      <w:r w:rsidRPr="009E1FA6" w:rsidR="00CD6567">
        <w:rPr>
          <w:rFonts w:ascii="Times New Roman" w:hAnsi="Times New Roman"/>
          <w:b/>
          <w:bCs/>
          <w:szCs w:val="24"/>
        </w:rPr>
        <w:t>waiver requests</w:t>
      </w:r>
      <w:r w:rsidRPr="009E1FA6">
        <w:rPr>
          <w:rFonts w:ascii="Times New Roman" w:hAnsi="Times New Roman"/>
          <w:b/>
          <w:bCs/>
          <w:szCs w:val="24"/>
        </w:rPr>
        <w:t>.</w:t>
      </w:r>
    </w:p>
    <w:p w:rsidR="00EF102E" w:rsidRPr="00EF7FF5" w:rsidP="0076088C" w14:paraId="27A01241" w14:textId="77777777">
      <w:pPr>
        <w:autoSpaceDE w:val="0"/>
        <w:autoSpaceDN w:val="0"/>
        <w:adjustRightInd w:val="0"/>
        <w:ind w:left="1080"/>
        <w:rPr>
          <w:rFonts w:ascii="Times New Roman" w:hAnsi="Times New Roman"/>
          <w:szCs w:val="24"/>
        </w:rPr>
      </w:pPr>
    </w:p>
    <w:p w:rsidR="00386054" w:rsidRPr="00EF7FF5" w14:paraId="088D3C6F" w14:textId="77777777">
      <w:pPr>
        <w:tabs>
          <w:tab w:val="left" w:pos="-720"/>
        </w:tabs>
        <w:suppressAutoHyphens/>
        <w:rPr>
          <w:rFonts w:ascii="Times New Roman" w:hAnsi="Times New Roman"/>
          <w:szCs w:val="24"/>
        </w:rPr>
      </w:pPr>
      <w:r w:rsidRPr="00EF7FF5">
        <w:rPr>
          <w:rFonts w:ascii="Times New Roman" w:hAnsi="Times New Roman"/>
          <w:szCs w:val="24"/>
        </w:rPr>
        <w:t xml:space="preserve">16. </w:t>
      </w:r>
      <w:r w:rsidRPr="00EF7FF5">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86054" w:rsidP="00832348" w14:paraId="088D3C70" w14:textId="77777777">
      <w:pPr>
        <w:tabs>
          <w:tab w:val="left" w:pos="-720"/>
        </w:tabs>
        <w:suppressAutoHyphens/>
        <w:ind w:left="720"/>
        <w:rPr>
          <w:rFonts w:ascii="Times New Roman" w:hAnsi="Times New Roman"/>
          <w:szCs w:val="24"/>
        </w:rPr>
      </w:pPr>
    </w:p>
    <w:p w:rsidR="008E7E92" w:rsidP="63493787" w14:paraId="088D3C71" w14:textId="08026AA1">
      <w:pPr>
        <w:autoSpaceDE w:val="0"/>
        <w:autoSpaceDN w:val="0"/>
        <w:adjustRightInd w:val="0"/>
        <w:ind w:left="720"/>
        <w:rPr>
          <w:rFonts w:ascii="Times New Roman" w:hAnsi="Times New Roman"/>
          <w:b/>
          <w:bCs/>
        </w:rPr>
      </w:pPr>
      <w:r w:rsidRPr="63493787">
        <w:rPr>
          <w:rFonts w:ascii="Times New Roman" w:hAnsi="Times New Roman"/>
          <w:b/>
          <w:bCs/>
        </w:rPr>
        <w:t xml:space="preserve">The Eligibility Matrix is updated with the status of institutions that have applied for eligibility and have been </w:t>
      </w:r>
      <w:r w:rsidRPr="63493787" w:rsidR="00962D76">
        <w:rPr>
          <w:rFonts w:ascii="Times New Roman" w:hAnsi="Times New Roman"/>
          <w:b/>
          <w:bCs/>
        </w:rPr>
        <w:t>approved</w:t>
      </w:r>
      <w:r w:rsidRPr="63493787">
        <w:rPr>
          <w:rFonts w:ascii="Times New Roman" w:hAnsi="Times New Roman"/>
          <w:b/>
          <w:bCs/>
        </w:rPr>
        <w:t>.</w:t>
      </w:r>
      <w:r w:rsidRPr="63493787">
        <w:rPr>
          <w:rFonts w:ascii="Times New Roman" w:hAnsi="Times New Roman"/>
          <w:b/>
          <w:bCs/>
        </w:rPr>
        <w:t xml:space="preserve">  Data collection is expected to open around </w:t>
      </w:r>
      <w:r w:rsidRPr="63493787" w:rsidR="000647DA">
        <w:rPr>
          <w:rFonts w:ascii="Times New Roman" w:hAnsi="Times New Roman"/>
          <w:b/>
          <w:bCs/>
        </w:rPr>
        <w:t xml:space="preserve">January 20, </w:t>
      </w:r>
      <w:r w:rsidRPr="63493787" w:rsidR="00333629">
        <w:rPr>
          <w:rFonts w:ascii="Times New Roman" w:hAnsi="Times New Roman"/>
          <w:b/>
          <w:bCs/>
        </w:rPr>
        <w:t>2026,</w:t>
      </w:r>
      <w:r w:rsidRPr="63493787" w:rsidR="000647DA">
        <w:rPr>
          <w:rFonts w:ascii="Times New Roman" w:hAnsi="Times New Roman"/>
          <w:b/>
          <w:bCs/>
        </w:rPr>
        <w:t xml:space="preserve"> </w:t>
      </w:r>
      <w:r w:rsidRPr="63493787">
        <w:rPr>
          <w:rFonts w:ascii="Times New Roman" w:hAnsi="Times New Roman"/>
          <w:b/>
          <w:bCs/>
        </w:rPr>
        <w:t xml:space="preserve">and conclude around </w:t>
      </w:r>
      <w:r w:rsidRPr="63493787" w:rsidR="008F1C17">
        <w:rPr>
          <w:rFonts w:ascii="Times New Roman" w:hAnsi="Times New Roman"/>
          <w:b/>
          <w:bCs/>
        </w:rPr>
        <w:t>February 27, 2026</w:t>
      </w:r>
      <w:r w:rsidRPr="63493787">
        <w:rPr>
          <w:rFonts w:ascii="Times New Roman" w:hAnsi="Times New Roman"/>
          <w:b/>
          <w:bCs/>
        </w:rPr>
        <w:t>; the Eligibility Matrix</w:t>
      </w:r>
      <w:r w:rsidRPr="63493787" w:rsidR="00E9453A">
        <w:rPr>
          <w:rFonts w:ascii="Times New Roman" w:hAnsi="Times New Roman"/>
          <w:b/>
          <w:bCs/>
        </w:rPr>
        <w:t xml:space="preserve"> data system</w:t>
      </w:r>
      <w:r w:rsidRPr="63493787">
        <w:rPr>
          <w:rFonts w:ascii="Times New Roman" w:hAnsi="Times New Roman"/>
          <w:b/>
          <w:bCs/>
        </w:rPr>
        <w:t xml:space="preserve"> will publish on </w:t>
      </w:r>
      <w:r w:rsidRPr="63493787" w:rsidR="008F1C17">
        <w:rPr>
          <w:rFonts w:ascii="Times New Roman" w:hAnsi="Times New Roman"/>
          <w:b/>
          <w:bCs/>
        </w:rPr>
        <w:t>January 20, 2026</w:t>
      </w:r>
      <w:r w:rsidRPr="63493787">
        <w:rPr>
          <w:rFonts w:ascii="Times New Roman" w:hAnsi="Times New Roman"/>
          <w:b/>
          <w:bCs/>
        </w:rPr>
        <w:t xml:space="preserve">.  The process for determining </w:t>
      </w:r>
      <w:r w:rsidRPr="63493787">
        <w:rPr>
          <w:rFonts w:ascii="Times New Roman" w:hAnsi="Times New Roman"/>
          <w:b/>
          <w:bCs/>
        </w:rPr>
        <w:t>eli</w:t>
      </w:r>
      <w:r w:rsidRPr="63493787" w:rsidR="003368C0">
        <w:rPr>
          <w:rFonts w:ascii="Times New Roman" w:hAnsi="Times New Roman"/>
          <w:b/>
          <w:bCs/>
        </w:rPr>
        <w:t xml:space="preserve">gibility status will begin on </w:t>
      </w:r>
      <w:r w:rsidRPr="63493787" w:rsidR="00682067">
        <w:rPr>
          <w:rFonts w:ascii="Times New Roman" w:hAnsi="Times New Roman"/>
          <w:b/>
          <w:bCs/>
        </w:rPr>
        <w:t>January</w:t>
      </w:r>
      <w:r w:rsidRPr="63493787" w:rsidR="3AE0A6B4">
        <w:rPr>
          <w:rFonts w:ascii="Times New Roman" w:hAnsi="Times New Roman"/>
          <w:b/>
          <w:bCs/>
        </w:rPr>
        <w:t xml:space="preserve"> 21,</w:t>
      </w:r>
      <w:r w:rsidRPr="63493787" w:rsidR="00682067">
        <w:rPr>
          <w:rFonts w:ascii="Times New Roman" w:hAnsi="Times New Roman"/>
          <w:b/>
          <w:bCs/>
        </w:rPr>
        <w:t xml:space="preserve"> </w:t>
      </w:r>
      <w:r w:rsidRPr="63493787" w:rsidR="00333629">
        <w:rPr>
          <w:rFonts w:ascii="Times New Roman" w:hAnsi="Times New Roman"/>
          <w:b/>
          <w:bCs/>
        </w:rPr>
        <w:t>2026,</w:t>
      </w:r>
      <w:r w:rsidRPr="63493787" w:rsidR="008F1C17">
        <w:rPr>
          <w:rFonts w:ascii="Times New Roman" w:hAnsi="Times New Roman"/>
          <w:b/>
          <w:bCs/>
        </w:rPr>
        <w:t xml:space="preserve"> </w:t>
      </w:r>
      <w:r w:rsidRPr="63493787">
        <w:rPr>
          <w:rFonts w:ascii="Times New Roman" w:hAnsi="Times New Roman"/>
          <w:b/>
          <w:bCs/>
        </w:rPr>
        <w:t>and should concl</w:t>
      </w:r>
      <w:r w:rsidRPr="63493787" w:rsidR="00E02CE4">
        <w:rPr>
          <w:rFonts w:ascii="Times New Roman" w:hAnsi="Times New Roman"/>
          <w:b/>
          <w:bCs/>
        </w:rPr>
        <w:t xml:space="preserve">ude around </w:t>
      </w:r>
      <w:r w:rsidRPr="63493787" w:rsidR="00516DC6">
        <w:rPr>
          <w:rFonts w:ascii="Times New Roman" w:hAnsi="Times New Roman"/>
          <w:b/>
          <w:bCs/>
        </w:rPr>
        <w:t>March</w:t>
      </w:r>
      <w:r w:rsidRPr="63493787" w:rsidR="0049528F">
        <w:rPr>
          <w:rFonts w:ascii="Times New Roman" w:hAnsi="Times New Roman"/>
          <w:b/>
          <w:bCs/>
        </w:rPr>
        <w:t xml:space="preserve"> 31, 2026</w:t>
      </w:r>
      <w:r w:rsidRPr="63493787" w:rsidR="00E02CE4">
        <w:rPr>
          <w:rFonts w:ascii="Times New Roman" w:hAnsi="Times New Roman"/>
          <w:b/>
          <w:bCs/>
        </w:rPr>
        <w:t>.  Notification of eligibility will follow; the E</w:t>
      </w:r>
      <w:r w:rsidRPr="63493787" w:rsidR="000E5403">
        <w:rPr>
          <w:rFonts w:ascii="Times New Roman" w:hAnsi="Times New Roman"/>
          <w:b/>
          <w:bCs/>
        </w:rPr>
        <w:t xml:space="preserve">ligibility </w:t>
      </w:r>
      <w:r w:rsidRPr="63493787" w:rsidR="00E02CE4">
        <w:rPr>
          <w:rFonts w:ascii="Times New Roman" w:hAnsi="Times New Roman"/>
          <w:b/>
          <w:bCs/>
        </w:rPr>
        <w:t>M</w:t>
      </w:r>
      <w:r w:rsidRPr="63493787" w:rsidR="000E5403">
        <w:rPr>
          <w:rFonts w:ascii="Times New Roman" w:hAnsi="Times New Roman"/>
          <w:b/>
          <w:bCs/>
        </w:rPr>
        <w:t>atrix</w:t>
      </w:r>
      <w:r w:rsidRPr="63493787" w:rsidR="00E02CE4">
        <w:rPr>
          <w:rFonts w:ascii="Times New Roman" w:hAnsi="Times New Roman"/>
          <w:b/>
          <w:bCs/>
        </w:rPr>
        <w:t xml:space="preserve"> wil</w:t>
      </w:r>
      <w:r w:rsidRPr="63493787" w:rsidR="003368C0">
        <w:rPr>
          <w:rFonts w:ascii="Times New Roman" w:hAnsi="Times New Roman"/>
          <w:b/>
          <w:bCs/>
        </w:rPr>
        <w:t xml:space="preserve">l be updated in early </w:t>
      </w:r>
      <w:r w:rsidRPr="63493787" w:rsidR="0049528F">
        <w:rPr>
          <w:rFonts w:ascii="Times New Roman" w:hAnsi="Times New Roman"/>
          <w:b/>
          <w:bCs/>
        </w:rPr>
        <w:t xml:space="preserve">April 2026 </w:t>
      </w:r>
      <w:r w:rsidRPr="63493787" w:rsidR="00E02CE4">
        <w:rPr>
          <w:rFonts w:ascii="Times New Roman" w:hAnsi="Times New Roman"/>
          <w:b/>
          <w:bCs/>
        </w:rPr>
        <w:t>and the updated version will publish as soon as it has been reviewed.</w:t>
      </w:r>
    </w:p>
    <w:p w:rsidR="008E7E92" w:rsidRPr="002A1DEB" w14:paraId="088D3C72" w14:textId="77777777">
      <w:pPr>
        <w:tabs>
          <w:tab w:val="left" w:pos="-720"/>
        </w:tabs>
        <w:suppressAutoHyphens/>
        <w:rPr>
          <w:rFonts w:ascii="Times New Roman" w:hAnsi="Times New Roman"/>
          <w:b/>
          <w:szCs w:val="24"/>
        </w:rPr>
      </w:pPr>
    </w:p>
    <w:p w:rsidR="00386054" w:rsidRPr="00EF7FF5" w14:paraId="088D3C73" w14:textId="77777777">
      <w:pPr>
        <w:tabs>
          <w:tab w:val="left" w:pos="-720"/>
        </w:tabs>
        <w:suppressAutoHyphens/>
        <w:rPr>
          <w:rFonts w:ascii="Times New Roman" w:hAnsi="Times New Roman"/>
          <w:szCs w:val="24"/>
        </w:rPr>
      </w:pPr>
      <w:r w:rsidRPr="00EF7FF5">
        <w:rPr>
          <w:rFonts w:ascii="Times New Roman" w:hAnsi="Times New Roman"/>
          <w:szCs w:val="24"/>
        </w:rPr>
        <w:t xml:space="preserve">17. </w:t>
      </w:r>
      <w:r w:rsidRPr="00EF7FF5">
        <w:rPr>
          <w:rStyle w:val="a"/>
          <w:rFonts w:ascii="Times New Roman" w:hAnsi="Times New Roman"/>
          <w:szCs w:val="24"/>
        </w:rPr>
        <w:t>If seeking approval to not display the expiration date for OMB approval of the information collection, explain the reasons that display would be inappropriate.</w:t>
      </w:r>
    </w:p>
    <w:p w:rsidR="00386054" w:rsidRPr="00EF7FF5" w14:paraId="088D3C74" w14:textId="77777777">
      <w:pPr>
        <w:tabs>
          <w:tab w:val="left" w:pos="-720"/>
        </w:tabs>
        <w:suppressAutoHyphens/>
        <w:rPr>
          <w:rFonts w:ascii="Times New Roman" w:hAnsi="Times New Roman"/>
          <w:szCs w:val="24"/>
        </w:rPr>
      </w:pPr>
    </w:p>
    <w:p w:rsidR="008E7E92" w:rsidRPr="002A1DEB" w:rsidP="00832348" w14:paraId="088D3C75" w14:textId="77777777">
      <w:pPr>
        <w:autoSpaceDE w:val="0"/>
        <w:autoSpaceDN w:val="0"/>
        <w:adjustRightInd w:val="0"/>
        <w:ind w:left="720"/>
        <w:rPr>
          <w:rFonts w:ascii="Times New Roman" w:hAnsi="Times New Roman"/>
          <w:b/>
          <w:szCs w:val="24"/>
        </w:rPr>
      </w:pPr>
      <w:r w:rsidRPr="002A1DEB">
        <w:rPr>
          <w:rFonts w:ascii="Times New Roman" w:hAnsi="Times New Roman"/>
          <w:b/>
          <w:szCs w:val="24"/>
        </w:rPr>
        <w:t>There is no request to omit OMB expiration date.</w:t>
      </w:r>
    </w:p>
    <w:p w:rsidR="00386054" w:rsidRPr="002A1DEB" w14:paraId="088D3C76" w14:textId="77777777">
      <w:pPr>
        <w:tabs>
          <w:tab w:val="left" w:pos="-720"/>
        </w:tabs>
        <w:suppressAutoHyphens/>
        <w:rPr>
          <w:rFonts w:ascii="Times New Roman" w:hAnsi="Times New Roman"/>
          <w:b/>
          <w:szCs w:val="24"/>
        </w:rPr>
      </w:pPr>
    </w:p>
    <w:p w:rsidR="00386054" w14:paraId="088D3C77" w14:textId="77777777">
      <w:pPr>
        <w:tabs>
          <w:tab w:val="left" w:pos="-720"/>
        </w:tabs>
        <w:suppressAutoHyphens/>
        <w:rPr>
          <w:rStyle w:val="a"/>
          <w:rFonts w:ascii="Times New Roman" w:hAnsi="Times New Roman"/>
          <w:szCs w:val="24"/>
        </w:rPr>
      </w:pPr>
      <w:r w:rsidRPr="00EF7FF5">
        <w:rPr>
          <w:rFonts w:ascii="Times New Roman" w:hAnsi="Times New Roman"/>
          <w:szCs w:val="24"/>
        </w:rPr>
        <w:t xml:space="preserve">18. </w:t>
      </w:r>
      <w:r w:rsidRPr="00EF7FF5">
        <w:rPr>
          <w:rStyle w:val="a"/>
          <w:rFonts w:ascii="Times New Roman" w:hAnsi="Times New Roman"/>
          <w:szCs w:val="24"/>
        </w:rPr>
        <w:t>Explain each exception to the certification statement identified in the Certification of Paperwork Reduction Act.</w:t>
      </w:r>
    </w:p>
    <w:p w:rsidR="008E7E92" w14:paraId="088D3C78" w14:textId="77777777">
      <w:pPr>
        <w:tabs>
          <w:tab w:val="left" w:pos="-720"/>
        </w:tabs>
        <w:suppressAutoHyphens/>
        <w:rPr>
          <w:rStyle w:val="a"/>
          <w:rFonts w:ascii="Times New Roman" w:hAnsi="Times New Roman"/>
          <w:szCs w:val="24"/>
        </w:rPr>
      </w:pPr>
    </w:p>
    <w:p w:rsidR="008E7E92" w:rsidP="00832348" w14:paraId="088D3C79" w14:textId="2062328F">
      <w:pPr>
        <w:autoSpaceDE w:val="0"/>
        <w:autoSpaceDN w:val="0"/>
        <w:adjustRightInd w:val="0"/>
        <w:ind w:left="720"/>
        <w:rPr>
          <w:rFonts w:ascii="Times New Roman" w:hAnsi="Times New Roman"/>
          <w:b/>
          <w:szCs w:val="24"/>
        </w:rPr>
      </w:pPr>
      <w:r w:rsidRPr="002A1DEB">
        <w:rPr>
          <w:rFonts w:ascii="Times New Roman" w:hAnsi="Times New Roman"/>
          <w:b/>
          <w:szCs w:val="24"/>
        </w:rPr>
        <w:t xml:space="preserve">There are no exceptions to the statement identified in </w:t>
      </w:r>
      <w:r w:rsidR="003A10EA">
        <w:rPr>
          <w:rFonts w:ascii="Times New Roman" w:hAnsi="Times New Roman"/>
          <w:b/>
          <w:szCs w:val="24"/>
        </w:rPr>
        <w:t>the</w:t>
      </w:r>
      <w:r w:rsidRPr="002A1DEB">
        <w:rPr>
          <w:rFonts w:ascii="Times New Roman" w:hAnsi="Times New Roman"/>
          <w:b/>
          <w:szCs w:val="24"/>
        </w:rPr>
        <w:t xml:space="preserve"> “Certification for Paperwork Reduction Act Submission</w:t>
      </w:r>
      <w:r w:rsidR="006F2772">
        <w:rPr>
          <w:rFonts w:ascii="Times New Roman" w:hAnsi="Times New Roman"/>
          <w:b/>
          <w:szCs w:val="24"/>
        </w:rPr>
        <w:t>s</w:t>
      </w:r>
      <w:r w:rsidR="003A10EA">
        <w:rPr>
          <w:rFonts w:ascii="Times New Roman" w:hAnsi="Times New Roman"/>
          <w:b/>
          <w:szCs w:val="24"/>
        </w:rPr>
        <w:t>.</w:t>
      </w:r>
      <w:r w:rsidRPr="002A1DEB">
        <w:rPr>
          <w:rFonts w:ascii="Times New Roman" w:hAnsi="Times New Roman"/>
          <w:b/>
          <w:szCs w:val="24"/>
        </w:rPr>
        <w:t>”</w:t>
      </w:r>
    </w:p>
    <w:p w:rsidR="00686D68" w:rsidRPr="002A1DEB" w:rsidP="00832348" w14:paraId="662CA069" w14:textId="77777777">
      <w:pPr>
        <w:autoSpaceDE w:val="0"/>
        <w:autoSpaceDN w:val="0"/>
        <w:adjustRightInd w:val="0"/>
        <w:ind w:left="720"/>
        <w:rPr>
          <w:rFonts w:ascii="Times New Roman" w:hAnsi="Times New Roman"/>
          <w:b/>
          <w:szCs w:val="24"/>
        </w:rPr>
      </w:pPr>
    </w:p>
    <w:p w:rsidR="008E7E92" w:rsidRPr="002A1DEB" w14:paraId="088D3C7A" w14:textId="77777777">
      <w:pPr>
        <w:tabs>
          <w:tab w:val="left" w:pos="-720"/>
        </w:tabs>
        <w:suppressAutoHyphens/>
        <w:rPr>
          <w:rFonts w:ascii="Times New Roman" w:hAnsi="Times New Roman"/>
          <w:b/>
          <w:szCs w:val="24"/>
        </w:rPr>
      </w:pPr>
    </w:p>
    <w:sectPr w:rsidSect="00E07290">
      <w:headerReference w:type="default" r:id="rId13"/>
      <w:footerReference w:type="default" r:id="rId14"/>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674995" w14:paraId="07DFA229" w14:textId="77777777">
      <w:pPr>
        <w:spacing w:line="20" w:lineRule="exact"/>
      </w:pPr>
    </w:p>
  </w:endnote>
  <w:endnote w:type="continuationSeparator" w:id="1">
    <w:p w:rsidR="00674995" w14:paraId="660B22F9" w14:textId="77777777">
      <w:r>
        <w:t xml:space="preserve"> </w:t>
      </w:r>
    </w:p>
  </w:endnote>
  <w:endnote w:type="continuationNotice" w:id="2">
    <w:p w:rsidR="00674995" w14:paraId="258750B6"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6054" w14:paraId="088D3C83" w14:textId="77777777">
    <w:pPr>
      <w:spacing w:before="140" w:line="100" w:lineRule="exact"/>
      <w:rPr>
        <w:sz w:val="10"/>
      </w:rPr>
    </w:pPr>
  </w:p>
  <w:p w:rsidR="00386054" w14:paraId="088D3C84" w14:textId="77777777">
    <w:pPr>
      <w:tabs>
        <w:tab w:val="left" w:pos="0"/>
      </w:tabs>
      <w:suppressAutoHyphens/>
    </w:pPr>
  </w:p>
  <w:p w:rsidR="00386054" w14:paraId="088D3C85" w14:textId="77777777">
    <w:pPr>
      <w:tabs>
        <w:tab w:val="left" w:pos="0"/>
      </w:tabs>
      <w:suppressAutoHyphens/>
    </w:pPr>
    <w:r>
      <w:rPr>
        <w:noProof/>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386054" w14:textId="77777777">
                          <w:pPr>
                            <w:tabs>
                              <w:tab w:val="center" w:pos="4650"/>
                            </w:tabs>
                            <w:suppressAutoHyphens/>
                            <w:jc w:val="both"/>
                          </w:pPr>
                          <w:r>
                            <w:tab/>
                          </w:r>
                          <w:r w:rsidR="007B0B7F">
                            <w:fldChar w:fldCharType="begin"/>
                          </w:r>
                          <w:r w:rsidR="007B0B7F">
                            <w:instrText>page \* arabic</w:instrText>
                          </w:r>
                          <w:r w:rsidR="007B0B7F">
                            <w:fldChar w:fldCharType="separate"/>
                          </w:r>
                          <w:r w:rsidR="003368C0">
                            <w:rPr>
                              <w:noProof/>
                            </w:rPr>
                            <w:t>8</w:t>
                          </w:r>
                          <w:r w:rsidR="007B0B7F">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386054" w14:paraId="088D3C8A" w14:textId="77777777">
                    <w:pPr>
                      <w:tabs>
                        <w:tab w:val="center" w:pos="4650"/>
                      </w:tabs>
                      <w:suppressAutoHyphens/>
                      <w:jc w:val="both"/>
                    </w:pPr>
                    <w:r>
                      <w:tab/>
                    </w:r>
                    <w:r w:rsidR="007B0B7F">
                      <w:fldChar w:fldCharType="begin"/>
                    </w:r>
                    <w:r w:rsidR="007B0B7F">
                      <w:instrText>page \* arabic</w:instrText>
                    </w:r>
                    <w:r w:rsidR="007B0B7F">
                      <w:fldChar w:fldCharType="separate"/>
                    </w:r>
                    <w:r w:rsidR="003368C0">
                      <w:rPr>
                        <w:noProof/>
                      </w:rPr>
                      <w:t>8</w:t>
                    </w:r>
                    <w:r w:rsidR="007B0B7F">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74995" w14:paraId="293F33C7" w14:textId="77777777">
      <w:r>
        <w:separator/>
      </w:r>
    </w:p>
  </w:footnote>
  <w:footnote w:type="continuationSeparator" w:id="1">
    <w:p w:rsidR="00674995" w14:paraId="6438B55D" w14:textId="77777777">
      <w:r>
        <w:continuationSeparator/>
      </w:r>
    </w:p>
  </w:footnote>
  <w:footnote w:id="2">
    <w:p w:rsidR="002A620A" w:rsidP="002A620A" w14:paraId="1F278B55"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6054" w14:paraId="088D3C81" w14:textId="198CB991">
    <w:pPr>
      <w:pStyle w:val="Header"/>
      <w:rPr>
        <w:rFonts w:ascii="Times New Roman" w:hAnsi="Times New Roman"/>
        <w:sz w:val="20"/>
      </w:rPr>
    </w:pPr>
    <w:r>
      <w:rPr>
        <w:rFonts w:ascii="Times New Roman" w:hAnsi="Times New Roman"/>
        <w:sz w:val="20"/>
      </w:rPr>
      <w:t xml:space="preserve">Tracking and OMB Number: </w:t>
    </w:r>
    <w:r w:rsidR="009D7336">
      <w:rPr>
        <w:rFonts w:ascii="Times New Roman" w:hAnsi="Times New Roman"/>
        <w:sz w:val="20"/>
      </w:rPr>
      <w:t>1840-0103</w:t>
    </w:r>
    <w:r>
      <w:rPr>
        <w:rFonts w:ascii="Times New Roman" w:hAnsi="Times New Roman"/>
        <w:sz w:val="20"/>
      </w:rPr>
      <w:t xml:space="preserve">                                       </w:t>
    </w:r>
    <w:r w:rsidR="003C74FC">
      <w:rPr>
        <w:rFonts w:ascii="Times New Roman" w:hAnsi="Times New Roman"/>
        <w:sz w:val="20"/>
      </w:rPr>
      <w:tab/>
    </w:r>
    <w:r>
      <w:rPr>
        <w:rFonts w:ascii="Times New Roman" w:hAnsi="Times New Roman"/>
        <w:sz w:val="20"/>
      </w:rPr>
      <w:t xml:space="preserve">Revised: </w:t>
    </w:r>
    <w:r w:rsidR="00F34A96">
      <w:rPr>
        <w:rFonts w:ascii="Times New Roman" w:hAnsi="Times New Roman"/>
        <w:sz w:val="20"/>
      </w:rPr>
      <w:t>11/21</w:t>
    </w:r>
    <w:r w:rsidR="000A2EC8">
      <w:rPr>
        <w:rFonts w:ascii="Times New Roman" w:hAnsi="Times New Roman"/>
        <w:sz w:val="20"/>
      </w:rPr>
      <w:t>/25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rPr>
        <w:rFonts w:cs="Times New Roman"/>
      </w:rPr>
    </w:lvl>
  </w:abstractNum>
  <w:abstractNum w:abstractNumId="1">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start w:val="1"/>
      <w:numFmt w:val="decimal"/>
      <w:lvlText w:val="%1."/>
      <w:lvlJc w:val="left"/>
      <w:pPr>
        <w:tabs>
          <w:tab w:val="num" w:pos="1060"/>
        </w:tabs>
        <w:ind w:left="1060" w:hanging="360"/>
      </w:pPr>
      <w:rPr>
        <w:rFonts w:cs="Times New Roman"/>
      </w:rPr>
    </w:lvl>
    <w:lvl w:ilvl="1" w:tentative="1">
      <w:start w:val="1"/>
      <w:numFmt w:val="lowerLetter"/>
      <w:lvlText w:val="%2."/>
      <w:lvlJc w:val="left"/>
      <w:pPr>
        <w:tabs>
          <w:tab w:val="num" w:pos="1780"/>
        </w:tabs>
        <w:ind w:left="1780" w:hanging="360"/>
      </w:pPr>
      <w:rPr>
        <w:rFonts w:cs="Times New Roman"/>
      </w:rPr>
    </w:lvl>
    <w:lvl w:ilvl="2" w:tentative="1">
      <w:start w:val="1"/>
      <w:numFmt w:val="lowerRoman"/>
      <w:lvlText w:val="%3."/>
      <w:lvlJc w:val="right"/>
      <w:pPr>
        <w:tabs>
          <w:tab w:val="num" w:pos="2500"/>
        </w:tabs>
        <w:ind w:left="2500" w:hanging="180"/>
      </w:pPr>
      <w:rPr>
        <w:rFonts w:cs="Times New Roman"/>
      </w:rPr>
    </w:lvl>
    <w:lvl w:ilvl="3" w:tentative="1">
      <w:start w:val="1"/>
      <w:numFmt w:val="decimal"/>
      <w:lvlText w:val="%4."/>
      <w:lvlJc w:val="left"/>
      <w:pPr>
        <w:tabs>
          <w:tab w:val="num" w:pos="3220"/>
        </w:tabs>
        <w:ind w:left="3220" w:hanging="360"/>
      </w:pPr>
      <w:rPr>
        <w:rFonts w:cs="Times New Roman"/>
      </w:rPr>
    </w:lvl>
    <w:lvl w:ilvl="4" w:tentative="1">
      <w:start w:val="1"/>
      <w:numFmt w:val="lowerLetter"/>
      <w:lvlText w:val="%5."/>
      <w:lvlJc w:val="left"/>
      <w:pPr>
        <w:tabs>
          <w:tab w:val="num" w:pos="3940"/>
        </w:tabs>
        <w:ind w:left="3940" w:hanging="360"/>
      </w:pPr>
      <w:rPr>
        <w:rFonts w:cs="Times New Roman"/>
      </w:rPr>
    </w:lvl>
    <w:lvl w:ilvl="5" w:tentative="1">
      <w:start w:val="1"/>
      <w:numFmt w:val="lowerRoman"/>
      <w:lvlText w:val="%6."/>
      <w:lvlJc w:val="right"/>
      <w:pPr>
        <w:tabs>
          <w:tab w:val="num" w:pos="4660"/>
        </w:tabs>
        <w:ind w:left="4660" w:hanging="180"/>
      </w:pPr>
      <w:rPr>
        <w:rFonts w:cs="Times New Roman"/>
      </w:rPr>
    </w:lvl>
    <w:lvl w:ilvl="6" w:tentative="1">
      <w:start w:val="1"/>
      <w:numFmt w:val="decimal"/>
      <w:lvlText w:val="%7."/>
      <w:lvlJc w:val="left"/>
      <w:pPr>
        <w:tabs>
          <w:tab w:val="num" w:pos="5380"/>
        </w:tabs>
        <w:ind w:left="5380" w:hanging="360"/>
      </w:pPr>
      <w:rPr>
        <w:rFonts w:cs="Times New Roman"/>
      </w:rPr>
    </w:lvl>
    <w:lvl w:ilvl="7" w:tentative="1">
      <w:start w:val="1"/>
      <w:numFmt w:val="lowerLetter"/>
      <w:lvlText w:val="%8."/>
      <w:lvlJc w:val="left"/>
      <w:pPr>
        <w:tabs>
          <w:tab w:val="num" w:pos="6100"/>
        </w:tabs>
        <w:ind w:left="6100" w:hanging="360"/>
      </w:pPr>
      <w:rPr>
        <w:rFonts w:cs="Times New Roman"/>
      </w:rPr>
    </w:lvl>
    <w:lvl w:ilvl="8" w:tentative="1">
      <w:start w:val="1"/>
      <w:numFmt w:val="lowerRoman"/>
      <w:lvlText w:val="%9."/>
      <w:lvlJc w:val="right"/>
      <w:pPr>
        <w:tabs>
          <w:tab w:val="num" w:pos="6820"/>
        </w:tabs>
        <w:ind w:left="6820" w:hanging="180"/>
      </w:pPr>
      <w:rPr>
        <w:rFonts w:cs="Times New Roman"/>
      </w:rPr>
    </w:lvl>
  </w:abstractNum>
  <w:abstractNum w:abstractNumId="3">
    <w:nsid w:val="0D98232F"/>
    <w:multiLevelType w:val="hybridMultilevel"/>
    <w:tmpl w:val="021C2C94"/>
    <w:lvl w:ilvl="0">
      <w:start w:val="4"/>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5">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6">
    <w:nsid w:val="49E63732"/>
    <w:multiLevelType w:val="hybridMultilevel"/>
    <w:tmpl w:val="5CB28D2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4B414E97"/>
    <w:multiLevelType w:val="hybridMultilevel"/>
    <w:tmpl w:val="8028DD4E"/>
    <w:lvl w:ilvl="0">
      <w:start w:val="1"/>
      <w:numFmt w:val="bullet"/>
      <w:lvlText w:val=""/>
      <w:lvlJc w:val="left"/>
      <w:pPr>
        <w:tabs>
          <w:tab w:val="num" w:pos="1060"/>
        </w:tabs>
        <w:ind w:left="1060" w:hanging="360"/>
      </w:pPr>
      <w:rPr>
        <w:rFonts w:ascii="Wingdings" w:hAnsi="Wingdings" w:hint="default"/>
      </w:rPr>
    </w:lvl>
    <w:lvl w:ilvl="1" w:tentative="1">
      <w:start w:val="1"/>
      <w:numFmt w:val="bullet"/>
      <w:lvlText w:val="o"/>
      <w:lvlJc w:val="left"/>
      <w:pPr>
        <w:tabs>
          <w:tab w:val="num" w:pos="1780"/>
        </w:tabs>
        <w:ind w:left="1780" w:hanging="360"/>
      </w:pPr>
      <w:rPr>
        <w:rFonts w:ascii="Courier New" w:hAnsi="Courier New" w:hint="default"/>
      </w:rPr>
    </w:lvl>
    <w:lvl w:ilvl="2" w:tentative="1">
      <w:start w:val="1"/>
      <w:numFmt w:val="bullet"/>
      <w:lvlText w:val=""/>
      <w:lvlJc w:val="left"/>
      <w:pPr>
        <w:tabs>
          <w:tab w:val="num" w:pos="2500"/>
        </w:tabs>
        <w:ind w:left="2500" w:hanging="360"/>
      </w:pPr>
      <w:rPr>
        <w:rFonts w:ascii="Wingdings" w:hAnsi="Wingdings" w:hint="default"/>
      </w:rPr>
    </w:lvl>
    <w:lvl w:ilvl="3" w:tentative="1">
      <w:start w:val="1"/>
      <w:numFmt w:val="bullet"/>
      <w:lvlText w:val=""/>
      <w:lvlJc w:val="left"/>
      <w:pPr>
        <w:tabs>
          <w:tab w:val="num" w:pos="3220"/>
        </w:tabs>
        <w:ind w:left="3220" w:hanging="360"/>
      </w:pPr>
      <w:rPr>
        <w:rFonts w:ascii="Symbol" w:hAnsi="Symbol" w:hint="default"/>
      </w:rPr>
    </w:lvl>
    <w:lvl w:ilvl="4" w:tentative="1">
      <w:start w:val="1"/>
      <w:numFmt w:val="bullet"/>
      <w:lvlText w:val="o"/>
      <w:lvlJc w:val="left"/>
      <w:pPr>
        <w:tabs>
          <w:tab w:val="num" w:pos="3940"/>
        </w:tabs>
        <w:ind w:left="3940" w:hanging="360"/>
      </w:pPr>
      <w:rPr>
        <w:rFonts w:ascii="Courier New" w:hAnsi="Courier New" w:hint="default"/>
      </w:rPr>
    </w:lvl>
    <w:lvl w:ilvl="5" w:tentative="1">
      <w:start w:val="1"/>
      <w:numFmt w:val="bullet"/>
      <w:lvlText w:val=""/>
      <w:lvlJc w:val="left"/>
      <w:pPr>
        <w:tabs>
          <w:tab w:val="num" w:pos="4660"/>
        </w:tabs>
        <w:ind w:left="4660" w:hanging="360"/>
      </w:pPr>
      <w:rPr>
        <w:rFonts w:ascii="Wingdings" w:hAnsi="Wingdings" w:hint="default"/>
      </w:rPr>
    </w:lvl>
    <w:lvl w:ilvl="6" w:tentative="1">
      <w:start w:val="1"/>
      <w:numFmt w:val="bullet"/>
      <w:lvlText w:val=""/>
      <w:lvlJc w:val="left"/>
      <w:pPr>
        <w:tabs>
          <w:tab w:val="num" w:pos="5380"/>
        </w:tabs>
        <w:ind w:left="5380" w:hanging="360"/>
      </w:pPr>
      <w:rPr>
        <w:rFonts w:ascii="Symbol" w:hAnsi="Symbol" w:hint="default"/>
      </w:rPr>
    </w:lvl>
    <w:lvl w:ilvl="7" w:tentative="1">
      <w:start w:val="1"/>
      <w:numFmt w:val="bullet"/>
      <w:lvlText w:val="o"/>
      <w:lvlJc w:val="left"/>
      <w:pPr>
        <w:tabs>
          <w:tab w:val="num" w:pos="6100"/>
        </w:tabs>
        <w:ind w:left="6100" w:hanging="360"/>
      </w:pPr>
      <w:rPr>
        <w:rFonts w:ascii="Courier New" w:hAnsi="Courier New" w:hint="default"/>
      </w:rPr>
    </w:lvl>
    <w:lvl w:ilvl="8" w:tentative="1">
      <w:start w:val="1"/>
      <w:numFmt w:val="bullet"/>
      <w:lvlText w:val=""/>
      <w:lvlJc w:val="left"/>
      <w:pPr>
        <w:tabs>
          <w:tab w:val="num" w:pos="6820"/>
        </w:tabs>
        <w:ind w:left="6820" w:hanging="360"/>
      </w:pPr>
      <w:rPr>
        <w:rFonts w:ascii="Wingdings" w:hAnsi="Wingdings" w:hint="default"/>
      </w:rPr>
    </w:lvl>
  </w:abstractNum>
  <w:abstractNum w:abstractNumId="8">
    <w:nsid w:val="54120B64"/>
    <w:multiLevelType w:val="hybridMultilevel"/>
    <w:tmpl w:val="4588CF14"/>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9">
    <w:nsid w:val="5DD61F39"/>
    <w:multiLevelType w:val="hybridMultilevel"/>
    <w:tmpl w:val="021C2C94"/>
    <w:lvl w:ilvl="0">
      <w:start w:val="4"/>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0">
    <w:nsid w:val="5EDF5BFB"/>
    <w:multiLevelType w:val="hybridMultilevel"/>
    <w:tmpl w:val="021C2C94"/>
    <w:lvl w:ilvl="0">
      <w:start w:val="4"/>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1">
    <w:nsid w:val="657455E4"/>
    <w:multiLevelType w:val="hybridMultilevel"/>
    <w:tmpl w:val="021C2C94"/>
    <w:lvl w:ilvl="0">
      <w:start w:val="4"/>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2">
    <w:nsid w:val="691D3ED3"/>
    <w:multiLevelType w:val="hybridMultilevel"/>
    <w:tmpl w:val="021C2C94"/>
    <w:lvl w:ilvl="0">
      <w:start w:val="4"/>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3">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4">
    <w:nsid w:val="70AB156C"/>
    <w:multiLevelType w:val="hybridMultilevel"/>
    <w:tmpl w:val="DD42EB1E"/>
    <w:lvl w:ilvl="0">
      <w:start w:val="1"/>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8535730"/>
    <w:multiLevelType w:val="hybridMultilevel"/>
    <w:tmpl w:val="0DEC91FC"/>
    <w:lvl w:ilvl="0">
      <w:start w:val="1"/>
      <w:numFmt w:val="lowerLetter"/>
      <w:lvlText w:val="%1."/>
      <w:lvlJc w:val="left"/>
      <w:pPr>
        <w:tabs>
          <w:tab w:val="num" w:pos="1080"/>
        </w:tabs>
        <w:ind w:left="1080" w:hanging="360"/>
      </w:pPr>
      <w:rPr>
        <w:rFonts w:cs="Times New Roman" w:hint="default"/>
        <w:b w:val="0"/>
        <w:i w:val="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num w:numId="1" w16cid:durableId="46296075">
    <w:abstractNumId w:val="0"/>
    <w:lvlOverride w:ilvl="0">
      <w:lvl w:ilvl="0">
        <w:start w:val="0"/>
        <w:numFmt w:val="bullet"/>
        <w:lvlText w:val="?"/>
        <w:legacy w:legacy="1" w:legacySpace="0" w:legacyIndent="1247"/>
        <w:lvlJc w:val="left"/>
        <w:pPr>
          <w:ind w:left="1587" w:hanging="1247"/>
        </w:pPr>
        <w:rPr>
          <w:rFonts w:ascii="Arial MT" w:hAnsi="Arial MT" w:hint="default"/>
        </w:rPr>
      </w:lvl>
    </w:lvlOverride>
  </w:num>
  <w:num w:numId="2" w16cid:durableId="449207286">
    <w:abstractNumId w:val="5"/>
  </w:num>
  <w:num w:numId="3" w16cid:durableId="2055617528">
    <w:abstractNumId w:val="4"/>
  </w:num>
  <w:num w:numId="4" w16cid:durableId="1259366268">
    <w:abstractNumId w:val="13"/>
  </w:num>
  <w:num w:numId="5" w16cid:durableId="1860311276">
    <w:abstractNumId w:val="1"/>
  </w:num>
  <w:num w:numId="6" w16cid:durableId="1485047706">
    <w:abstractNumId w:val="2"/>
  </w:num>
  <w:num w:numId="7" w16cid:durableId="1115756938">
    <w:abstractNumId w:val="7"/>
  </w:num>
  <w:num w:numId="8" w16cid:durableId="1192576491">
    <w:abstractNumId w:val="6"/>
  </w:num>
  <w:num w:numId="9" w16cid:durableId="360784375">
    <w:abstractNumId w:val="8"/>
  </w:num>
  <w:num w:numId="10" w16cid:durableId="1557666744">
    <w:abstractNumId w:val="16"/>
  </w:num>
  <w:num w:numId="11" w16cid:durableId="895967553">
    <w:abstractNumId w:val="10"/>
  </w:num>
  <w:num w:numId="12" w16cid:durableId="1525556988">
    <w:abstractNumId w:val="3"/>
  </w:num>
  <w:num w:numId="13" w16cid:durableId="1441608415">
    <w:abstractNumId w:val="12"/>
  </w:num>
  <w:num w:numId="14" w16cid:durableId="137502729">
    <w:abstractNumId w:val="11"/>
  </w:num>
  <w:num w:numId="15" w16cid:durableId="1513565342">
    <w:abstractNumId w:val="9"/>
  </w:num>
  <w:num w:numId="16" w16cid:durableId="1471941844">
    <w:abstractNumId w:val="14"/>
  </w:num>
  <w:num w:numId="17" w16cid:durableId="103778237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3"/>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0"/>
    <w:footnote w:id="1"/>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9C2"/>
    <w:rsid w:val="000402AF"/>
    <w:rsid w:val="00041411"/>
    <w:rsid w:val="00050CBE"/>
    <w:rsid w:val="00063482"/>
    <w:rsid w:val="000647DA"/>
    <w:rsid w:val="000725BF"/>
    <w:rsid w:val="00080670"/>
    <w:rsid w:val="000876DF"/>
    <w:rsid w:val="000909E0"/>
    <w:rsid w:val="000A135B"/>
    <w:rsid w:val="000A2EC8"/>
    <w:rsid w:val="000B14D8"/>
    <w:rsid w:val="000B2665"/>
    <w:rsid w:val="000E5403"/>
    <w:rsid w:val="000E592D"/>
    <w:rsid w:val="000F175B"/>
    <w:rsid w:val="000F3EC1"/>
    <w:rsid w:val="00102B59"/>
    <w:rsid w:val="0012467F"/>
    <w:rsid w:val="0014500F"/>
    <w:rsid w:val="00153F20"/>
    <w:rsid w:val="00154F31"/>
    <w:rsid w:val="00171ED9"/>
    <w:rsid w:val="001743A5"/>
    <w:rsid w:val="0018279C"/>
    <w:rsid w:val="001D0B2A"/>
    <w:rsid w:val="001D1C2F"/>
    <w:rsid w:val="001F2387"/>
    <w:rsid w:val="002473CE"/>
    <w:rsid w:val="00262A94"/>
    <w:rsid w:val="0026453A"/>
    <w:rsid w:val="0027162F"/>
    <w:rsid w:val="00295212"/>
    <w:rsid w:val="002A1DEB"/>
    <w:rsid w:val="002A620A"/>
    <w:rsid w:val="002B0412"/>
    <w:rsid w:val="002B0A95"/>
    <w:rsid w:val="00305AEA"/>
    <w:rsid w:val="00314A02"/>
    <w:rsid w:val="00321D21"/>
    <w:rsid w:val="00327746"/>
    <w:rsid w:val="00331E4E"/>
    <w:rsid w:val="00333629"/>
    <w:rsid w:val="00334C7E"/>
    <w:rsid w:val="003368C0"/>
    <w:rsid w:val="00370A90"/>
    <w:rsid w:val="00377240"/>
    <w:rsid w:val="00383B62"/>
    <w:rsid w:val="00386054"/>
    <w:rsid w:val="00390CC3"/>
    <w:rsid w:val="003A10EA"/>
    <w:rsid w:val="003C29C2"/>
    <w:rsid w:val="003C74FC"/>
    <w:rsid w:val="003C7F70"/>
    <w:rsid w:val="003D51CC"/>
    <w:rsid w:val="003E285A"/>
    <w:rsid w:val="003F2E77"/>
    <w:rsid w:val="00412181"/>
    <w:rsid w:val="00421AD3"/>
    <w:rsid w:val="00430D09"/>
    <w:rsid w:val="004405E6"/>
    <w:rsid w:val="00442E07"/>
    <w:rsid w:val="0044549E"/>
    <w:rsid w:val="00486789"/>
    <w:rsid w:val="00490D87"/>
    <w:rsid w:val="0049315F"/>
    <w:rsid w:val="0049528F"/>
    <w:rsid w:val="004A2DBB"/>
    <w:rsid w:val="004B5BA7"/>
    <w:rsid w:val="004E23D9"/>
    <w:rsid w:val="004F692A"/>
    <w:rsid w:val="00512598"/>
    <w:rsid w:val="00516DC6"/>
    <w:rsid w:val="00517740"/>
    <w:rsid w:val="0052217D"/>
    <w:rsid w:val="00563CCF"/>
    <w:rsid w:val="00566C16"/>
    <w:rsid w:val="00581856"/>
    <w:rsid w:val="00581C11"/>
    <w:rsid w:val="005905EE"/>
    <w:rsid w:val="005A1566"/>
    <w:rsid w:val="005A1DFC"/>
    <w:rsid w:val="005A4185"/>
    <w:rsid w:val="005D2E7B"/>
    <w:rsid w:val="00611A2F"/>
    <w:rsid w:val="0061612B"/>
    <w:rsid w:val="00632C40"/>
    <w:rsid w:val="006345D8"/>
    <w:rsid w:val="0063484C"/>
    <w:rsid w:val="00654305"/>
    <w:rsid w:val="0066317E"/>
    <w:rsid w:val="00665A2F"/>
    <w:rsid w:val="006737C0"/>
    <w:rsid w:val="00674995"/>
    <w:rsid w:val="00677BC2"/>
    <w:rsid w:val="0068021E"/>
    <w:rsid w:val="00682067"/>
    <w:rsid w:val="00686D68"/>
    <w:rsid w:val="00697F2F"/>
    <w:rsid w:val="006A3B5C"/>
    <w:rsid w:val="006A56F4"/>
    <w:rsid w:val="006C01D0"/>
    <w:rsid w:val="006D59A5"/>
    <w:rsid w:val="006F2772"/>
    <w:rsid w:val="006F7AB1"/>
    <w:rsid w:val="00702BB9"/>
    <w:rsid w:val="00703585"/>
    <w:rsid w:val="00704AC2"/>
    <w:rsid w:val="007209FE"/>
    <w:rsid w:val="0073095C"/>
    <w:rsid w:val="0076088C"/>
    <w:rsid w:val="007661D9"/>
    <w:rsid w:val="007825C8"/>
    <w:rsid w:val="007A49C9"/>
    <w:rsid w:val="007B0B7F"/>
    <w:rsid w:val="007B14E8"/>
    <w:rsid w:val="007C12B5"/>
    <w:rsid w:val="007D1D20"/>
    <w:rsid w:val="007D764C"/>
    <w:rsid w:val="007E28B8"/>
    <w:rsid w:val="007E77FA"/>
    <w:rsid w:val="007F6104"/>
    <w:rsid w:val="008011B6"/>
    <w:rsid w:val="00832348"/>
    <w:rsid w:val="008342C7"/>
    <w:rsid w:val="00834863"/>
    <w:rsid w:val="008359D4"/>
    <w:rsid w:val="008543C5"/>
    <w:rsid w:val="0087319E"/>
    <w:rsid w:val="008804FA"/>
    <w:rsid w:val="00890DDE"/>
    <w:rsid w:val="008B3CB3"/>
    <w:rsid w:val="008B7AC1"/>
    <w:rsid w:val="008D6D3D"/>
    <w:rsid w:val="008E7E92"/>
    <w:rsid w:val="008F1C17"/>
    <w:rsid w:val="008F3062"/>
    <w:rsid w:val="00901484"/>
    <w:rsid w:val="00911CC4"/>
    <w:rsid w:val="00917C4C"/>
    <w:rsid w:val="00920F63"/>
    <w:rsid w:val="00921CB1"/>
    <w:rsid w:val="00934241"/>
    <w:rsid w:val="00951F58"/>
    <w:rsid w:val="009544A3"/>
    <w:rsid w:val="00962D76"/>
    <w:rsid w:val="0097664F"/>
    <w:rsid w:val="00992EF5"/>
    <w:rsid w:val="009949A8"/>
    <w:rsid w:val="009D7336"/>
    <w:rsid w:val="009E1FA6"/>
    <w:rsid w:val="009E539E"/>
    <w:rsid w:val="009E5977"/>
    <w:rsid w:val="00A01331"/>
    <w:rsid w:val="00A02DA3"/>
    <w:rsid w:val="00A41F2C"/>
    <w:rsid w:val="00A51A3C"/>
    <w:rsid w:val="00A56A29"/>
    <w:rsid w:val="00A73CE8"/>
    <w:rsid w:val="00A761CC"/>
    <w:rsid w:val="00A87940"/>
    <w:rsid w:val="00A94CCB"/>
    <w:rsid w:val="00A97668"/>
    <w:rsid w:val="00AA01C4"/>
    <w:rsid w:val="00AA6D11"/>
    <w:rsid w:val="00AB0D7D"/>
    <w:rsid w:val="00AB1995"/>
    <w:rsid w:val="00AC3F28"/>
    <w:rsid w:val="00AF0F15"/>
    <w:rsid w:val="00AF5D1A"/>
    <w:rsid w:val="00AF7660"/>
    <w:rsid w:val="00B179DC"/>
    <w:rsid w:val="00B23EC0"/>
    <w:rsid w:val="00B501CB"/>
    <w:rsid w:val="00B84F17"/>
    <w:rsid w:val="00B92C2B"/>
    <w:rsid w:val="00BA444F"/>
    <w:rsid w:val="00BC244F"/>
    <w:rsid w:val="00BD1325"/>
    <w:rsid w:val="00BE10BB"/>
    <w:rsid w:val="00BE4CC9"/>
    <w:rsid w:val="00C03667"/>
    <w:rsid w:val="00C352B5"/>
    <w:rsid w:val="00C4463F"/>
    <w:rsid w:val="00C52AAD"/>
    <w:rsid w:val="00C56046"/>
    <w:rsid w:val="00C641E9"/>
    <w:rsid w:val="00C6787D"/>
    <w:rsid w:val="00C723C2"/>
    <w:rsid w:val="00C7674A"/>
    <w:rsid w:val="00C87785"/>
    <w:rsid w:val="00CA6660"/>
    <w:rsid w:val="00CB7157"/>
    <w:rsid w:val="00CD6567"/>
    <w:rsid w:val="00CE72AF"/>
    <w:rsid w:val="00D00250"/>
    <w:rsid w:val="00D115BF"/>
    <w:rsid w:val="00D26220"/>
    <w:rsid w:val="00D269C3"/>
    <w:rsid w:val="00D26E18"/>
    <w:rsid w:val="00D3189C"/>
    <w:rsid w:val="00D36DCE"/>
    <w:rsid w:val="00D54BEE"/>
    <w:rsid w:val="00DB7029"/>
    <w:rsid w:val="00DC2CED"/>
    <w:rsid w:val="00DE707D"/>
    <w:rsid w:val="00DF6BA4"/>
    <w:rsid w:val="00E023B7"/>
    <w:rsid w:val="00E02CE4"/>
    <w:rsid w:val="00E07290"/>
    <w:rsid w:val="00E115FC"/>
    <w:rsid w:val="00E2505A"/>
    <w:rsid w:val="00E37D69"/>
    <w:rsid w:val="00E510D8"/>
    <w:rsid w:val="00E6496A"/>
    <w:rsid w:val="00E675A4"/>
    <w:rsid w:val="00E71DE7"/>
    <w:rsid w:val="00E810B6"/>
    <w:rsid w:val="00E8133A"/>
    <w:rsid w:val="00E853EF"/>
    <w:rsid w:val="00E9453A"/>
    <w:rsid w:val="00E95830"/>
    <w:rsid w:val="00EA3C1F"/>
    <w:rsid w:val="00EC2CC4"/>
    <w:rsid w:val="00EC6BED"/>
    <w:rsid w:val="00EE2FD6"/>
    <w:rsid w:val="00EF102E"/>
    <w:rsid w:val="00EF5D02"/>
    <w:rsid w:val="00EF7FF5"/>
    <w:rsid w:val="00F24C90"/>
    <w:rsid w:val="00F313DF"/>
    <w:rsid w:val="00F316A0"/>
    <w:rsid w:val="00F34A96"/>
    <w:rsid w:val="00F52E4F"/>
    <w:rsid w:val="00F5423E"/>
    <w:rsid w:val="00F602D8"/>
    <w:rsid w:val="00F707EC"/>
    <w:rsid w:val="00F71879"/>
    <w:rsid w:val="00FA344F"/>
    <w:rsid w:val="00FB7B5B"/>
    <w:rsid w:val="00FC0518"/>
    <w:rsid w:val="00FC24B8"/>
    <w:rsid w:val="00FC5B98"/>
    <w:rsid w:val="00FD3020"/>
    <w:rsid w:val="00FE1BAE"/>
    <w:rsid w:val="00FF5CE2"/>
    <w:rsid w:val="3AE0A6B4"/>
    <w:rsid w:val="6349378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088D3BE2"/>
  <w15:docId w15:val="{92D96D7D-2434-4AAA-9241-FA34403D5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7290"/>
    <w:rPr>
      <w:rFonts w:ascii="Courier" w:hAnsi="Courier"/>
      <w:sz w:val="24"/>
      <w:szCs w:val="20"/>
    </w:rPr>
  </w:style>
  <w:style w:type="paragraph" w:styleId="Heading1">
    <w:name w:val="heading 1"/>
    <w:basedOn w:val="Normal"/>
    <w:next w:val="Normal"/>
    <w:link w:val="Heading1Char"/>
    <w:qFormat/>
    <w:locked/>
    <w:rsid w:val="000B266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Heading1"/>
    <w:next w:val="Normal"/>
    <w:link w:val="Heading2Char"/>
    <w:qFormat/>
    <w:locked/>
    <w:rsid w:val="000B2665"/>
    <w:pPr>
      <w:keepNext w:val="0"/>
      <w:keepLines w:val="0"/>
      <w:spacing w:before="0"/>
      <w:jc w:val="center"/>
      <w:outlineLvl w:val="1"/>
    </w:pPr>
    <w:rPr>
      <w:rFonts w:ascii="Times New Roman" w:eastAsia="Times New Roman" w:hAnsi="Times New Roman" w:cs="Times New Roman"/>
      <w:b/>
      <w:bCs/>
      <w:color w:val="auto"/>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E07290"/>
    <w:pPr>
      <w:tabs>
        <w:tab w:val="left" w:pos="-720"/>
      </w:tabs>
      <w:suppressAutoHyphens/>
    </w:pPr>
  </w:style>
  <w:style w:type="character" w:customStyle="1" w:styleId="EndnoteTextChar">
    <w:name w:val="Endnote Text Char"/>
    <w:basedOn w:val="DefaultParagraphFont"/>
    <w:link w:val="EndnoteText"/>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rsid w:val="00E07290"/>
    <w:pPr>
      <w:tabs>
        <w:tab w:val="left" w:pos="-720"/>
      </w:tabs>
      <w:suppressAutoHyphens/>
    </w:pPr>
  </w:style>
  <w:style w:type="character" w:customStyle="1" w:styleId="FootnoteTextChar">
    <w:name w:val="Footnote Text Char"/>
    <w:basedOn w:val="DefaultParagraphFont"/>
    <w:link w:val="FootnoteText"/>
    <w:uiPriority w:val="99"/>
    <w:locked/>
    <w:rsid w:val="00A41F2C"/>
    <w:rPr>
      <w:rFonts w:ascii="Courier" w:hAnsi="Courier" w:cs="Times New Roman"/>
      <w:sz w:val="20"/>
      <w:szCs w:val="20"/>
    </w:rPr>
  </w:style>
  <w:style w:type="character" w:styleId="FootnoteReference">
    <w:name w:val="footnote reference"/>
    <w:basedOn w:val="DefaultParagraphFont"/>
    <w:uiPriority w:val="99"/>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35"/>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5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14A02"/>
    <w:pPr>
      <w:ind w:left="720"/>
      <w:contextualSpacing/>
    </w:pPr>
  </w:style>
  <w:style w:type="paragraph" w:styleId="PlainText">
    <w:name w:val="Plain Text"/>
    <w:basedOn w:val="Normal"/>
    <w:link w:val="PlainTextChar"/>
    <w:uiPriority w:val="99"/>
    <w:unhideWhenUsed/>
    <w:rsid w:val="0076088C"/>
    <w:rPr>
      <w:rFonts w:ascii="Calibri" w:hAnsi="Calibri" w:eastAsiaTheme="minorHAnsi" w:cstheme="minorBidi"/>
      <w:sz w:val="22"/>
      <w:szCs w:val="21"/>
    </w:rPr>
  </w:style>
  <w:style w:type="character" w:customStyle="1" w:styleId="PlainTextChar">
    <w:name w:val="Plain Text Char"/>
    <w:basedOn w:val="DefaultParagraphFont"/>
    <w:link w:val="PlainText"/>
    <w:uiPriority w:val="99"/>
    <w:rsid w:val="0076088C"/>
    <w:rPr>
      <w:rFonts w:ascii="Calibri" w:hAnsi="Calibri" w:eastAsiaTheme="minorHAnsi" w:cstheme="minorBidi"/>
      <w:szCs w:val="21"/>
    </w:rPr>
  </w:style>
  <w:style w:type="character" w:styleId="Hyperlink">
    <w:name w:val="Hyperlink"/>
    <w:basedOn w:val="DefaultParagraphFont"/>
    <w:uiPriority w:val="99"/>
    <w:unhideWhenUsed/>
    <w:rsid w:val="00D26E18"/>
    <w:rPr>
      <w:color w:val="0000FF"/>
      <w:u w:val="single"/>
    </w:rPr>
  </w:style>
  <w:style w:type="character" w:styleId="FollowedHyperlink">
    <w:name w:val="FollowedHyperlink"/>
    <w:basedOn w:val="DefaultParagraphFont"/>
    <w:uiPriority w:val="99"/>
    <w:semiHidden/>
    <w:unhideWhenUsed/>
    <w:rsid w:val="007E28B8"/>
    <w:rPr>
      <w:color w:val="800080" w:themeColor="followedHyperlink"/>
      <w:u w:val="single"/>
    </w:rPr>
  </w:style>
  <w:style w:type="paragraph" w:styleId="Revision">
    <w:name w:val="Revision"/>
    <w:hidden/>
    <w:uiPriority w:val="99"/>
    <w:semiHidden/>
    <w:rsid w:val="00063482"/>
    <w:rPr>
      <w:rFonts w:ascii="Courier" w:hAnsi="Courier"/>
      <w:sz w:val="24"/>
      <w:szCs w:val="20"/>
    </w:rPr>
  </w:style>
  <w:style w:type="character" w:customStyle="1" w:styleId="Heading2Char">
    <w:name w:val="Heading 2 Char"/>
    <w:basedOn w:val="DefaultParagraphFont"/>
    <w:link w:val="Heading2"/>
    <w:rsid w:val="000B2665"/>
    <w:rPr>
      <w:b/>
      <w:bCs/>
      <w:sz w:val="28"/>
      <w:szCs w:val="28"/>
    </w:rPr>
  </w:style>
  <w:style w:type="character" w:customStyle="1" w:styleId="Heading1Char">
    <w:name w:val="Heading 1 Char"/>
    <w:basedOn w:val="DefaultParagraphFont"/>
    <w:link w:val="Heading1"/>
    <w:rsid w:val="000B2665"/>
    <w:rPr>
      <w:rFonts w:asciiTheme="majorHAnsi" w:eastAsiaTheme="majorEastAsia" w:hAnsiTheme="majorHAnsi" w:cstheme="majorBidi"/>
      <w:color w:val="365F91" w:themeColor="accent1" w:themeShade="BF"/>
      <w:sz w:val="32"/>
      <w:szCs w:val="32"/>
    </w:rPr>
  </w:style>
  <w:style w:type="table" w:styleId="GridTableLight">
    <w:name w:val="Grid Table Light"/>
    <w:basedOn w:val="TableNormal"/>
    <w:uiPriority w:val="40"/>
    <w:rsid w:val="00A761CC"/>
    <w:rPr>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0806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ed.gov/grants-and-programs/grants-higher-education/eligibility-designations-higher-education-programs" TargetMode="External" /><Relationship Id="rId11" Type="http://schemas.openxmlformats.org/officeDocument/2006/relationships/hyperlink" Target="https://www.bls.gov/oes/current/oes_nat.html" TargetMode="External" /><Relationship Id="rId12" Type="http://schemas.openxmlformats.org/officeDocument/2006/relationships/hyperlink" Target="https://www.bls.gov/oes/current/oes119039.htm"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B130B4F7830B04D86872F673F2456B1" ma:contentTypeVersion="0" ma:contentTypeDescription="Create a new document." ma:contentTypeScope="" ma:versionID="a9d87fd94508fc646cdaa931c1b8d883">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C019EB-F662-449C-A497-5794C87682B4}">
  <ds:schemaRefs>
    <ds:schemaRef ds:uri="http://schemas.microsoft.com/sharepoint/v3/contenttype/forms"/>
  </ds:schemaRefs>
</ds:datastoreItem>
</file>

<file path=customXml/itemProps2.xml><?xml version="1.0" encoding="utf-8"?>
<ds:datastoreItem xmlns:ds="http://schemas.openxmlformats.org/officeDocument/2006/customXml" ds:itemID="{954D58B4-27CF-41C4-AB67-A3CE4297F0F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0AE450F-3484-403C-A4E6-3F6AA79104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522491A-DE44-4148-893F-C6287821A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3254</Words>
  <Characters>18548</Characters>
  <Application>Microsoft Office Word</Application>
  <DocSecurity>0</DocSecurity>
  <Lines>154</Lines>
  <Paragraphs>43</Paragraphs>
  <ScaleCrop>false</ScaleCrop>
  <Company>CSC-SSD</Company>
  <LinksUpToDate>false</LinksUpToDate>
  <CharactersWithSpaces>21759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Kennedy, Lauren</cp:lastModifiedBy>
  <cp:revision>4</cp:revision>
  <cp:lastPrinted>2019-09-18T19:20:00Z</cp:lastPrinted>
  <dcterms:created xsi:type="dcterms:W3CDTF">2025-11-21T19:34:00Z</dcterms:created>
  <dcterms:modified xsi:type="dcterms:W3CDTF">2025-11-21T19:39:00Z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0x010100DB130B4F7830B04D86872F673F2456B1</vt:lpwstr>
  </property>
</Properties>
</file>