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304F6F" w:rsidP="4FC2511F" w14:paraId="58CE2522" w14:textId="36FF3549">
      <w:pPr>
        <w:pStyle w:val="Header"/>
        <w:rPr>
          <w:rFonts w:ascii="Times New Roman" w:hAnsi="Times New Roman"/>
        </w:rPr>
      </w:pPr>
      <w:r w:rsidRPr="00304F6F">
        <w:rPr>
          <w:rFonts w:ascii="Times New Roman" w:hAnsi="Times New Roman"/>
        </w:rPr>
        <w:t xml:space="preserve">Tracking and OMB Number: </w:t>
      </w:r>
      <w:r w:rsidRPr="00304F6F" w:rsidR="00F935DE">
        <w:rPr>
          <w:rFonts w:ascii="Times New Roman" w:hAnsi="Times New Roman"/>
        </w:rPr>
        <w:t>1840-0788</w:t>
      </w:r>
    </w:p>
    <w:p w:rsidR="00EA1767" w:rsidRPr="00304F6F" w:rsidP="369011DB" w14:paraId="58CE2523" w14:textId="7F9D0BCF">
      <w:pPr>
        <w:pStyle w:val="Header"/>
        <w:rPr>
          <w:rFonts w:ascii="Times New Roman" w:hAnsi="Times New Roman"/>
        </w:rPr>
      </w:pPr>
      <w:r w:rsidRPr="00304F6F">
        <w:rPr>
          <w:rFonts w:ascii="Times New Roman" w:hAnsi="Times New Roman"/>
        </w:rPr>
        <w:t xml:space="preserve">Revised: </w:t>
      </w:r>
      <w:r w:rsidRPr="00304F6F" w:rsidR="001F0ACC">
        <w:rPr>
          <w:rFonts w:ascii="Times New Roman" w:hAnsi="Times New Roman"/>
        </w:rPr>
        <w:t>12/</w:t>
      </w:r>
      <w:r w:rsidR="00FD6630">
        <w:rPr>
          <w:rFonts w:ascii="Times New Roman" w:hAnsi="Times New Roman"/>
        </w:rPr>
        <w:t>9</w:t>
      </w:r>
      <w:r w:rsidRPr="00304F6F" w:rsidR="001F0ACC">
        <w:rPr>
          <w:rFonts w:ascii="Times New Roman" w:hAnsi="Times New Roman"/>
        </w:rPr>
        <w:t>/2025</w:t>
      </w:r>
    </w:p>
    <w:p w:rsidR="00043C32" w:rsidRPr="00304F6F" w:rsidP="00AD381B" w14:paraId="58CE2524" w14:textId="77777777">
      <w:pPr>
        <w:pStyle w:val="Heading1"/>
        <w:rPr>
          <w:sz w:val="24"/>
          <w:szCs w:val="24"/>
        </w:rPr>
      </w:pPr>
      <w:r w:rsidRPr="00304F6F">
        <w:rPr>
          <w:sz w:val="24"/>
          <w:szCs w:val="24"/>
        </w:rPr>
        <w:t>SUPPORTING STATEMENT</w:t>
      </w:r>
    </w:p>
    <w:p w:rsidR="00043C32" w:rsidRPr="00304F6F" w:rsidP="00AD381B" w14:paraId="58CE2525" w14:textId="77777777">
      <w:pPr>
        <w:pStyle w:val="Heading1"/>
        <w:rPr>
          <w:sz w:val="24"/>
          <w:szCs w:val="24"/>
        </w:rPr>
      </w:pPr>
      <w:r w:rsidRPr="00304F6F">
        <w:rPr>
          <w:sz w:val="24"/>
          <w:szCs w:val="24"/>
        </w:rPr>
        <w:t>FOR PAPERWORK REDUCTION ACT SUBMISSION</w:t>
      </w:r>
    </w:p>
    <w:p w:rsidR="00043C32" w:rsidRPr="00304F6F" w:rsidP="00AD381B" w14:paraId="58CE2526" w14:textId="77777777">
      <w:pPr>
        <w:tabs>
          <w:tab w:val="left" w:pos="0"/>
        </w:tabs>
        <w:suppressAutoHyphens/>
        <w:rPr>
          <w:rFonts w:ascii="Times New Roman" w:hAnsi="Times New Roman"/>
          <w:szCs w:val="24"/>
        </w:rPr>
      </w:pPr>
    </w:p>
    <w:p w:rsidR="00EA1767" w:rsidRPr="00304F6F" w:rsidP="00AD381B" w14:paraId="58CE2527" w14:textId="590006EF">
      <w:pPr>
        <w:pStyle w:val="ListParagraph"/>
        <w:numPr>
          <w:ilvl w:val="0"/>
          <w:numId w:val="4"/>
        </w:numPr>
        <w:suppressAutoHyphens/>
        <w:spacing w:line="240" w:lineRule="exact"/>
        <w:contextualSpacing w:val="0"/>
        <w:rPr>
          <w:rFonts w:ascii="Times New Roman" w:hAnsi="Times New Roman"/>
          <w:b/>
          <w:szCs w:val="24"/>
        </w:rPr>
      </w:pPr>
      <w:r w:rsidRPr="00304F6F">
        <w:rPr>
          <w:rStyle w:val="Heading2Char"/>
          <w:rFonts w:ascii="Times New Roman" w:hAnsi="Times New Roman"/>
          <w:color w:val="auto"/>
          <w:sz w:val="24"/>
          <w:szCs w:val="24"/>
        </w:rPr>
        <w:t>Explain the circumstances</w:t>
      </w:r>
      <w:r w:rsidRPr="00304F6F">
        <w:rPr>
          <w:rFonts w:ascii="Times New Roman" w:hAnsi="Times New Roman"/>
          <w:b/>
          <w:szCs w:val="24"/>
        </w:rPr>
        <w:t xml:space="preserve"> that make the collection of information necessary.  </w:t>
      </w:r>
      <w:r w:rsidRPr="00304F6F" w:rsidR="007C0A4C">
        <w:rPr>
          <w:rFonts w:ascii="Times New Roman" w:hAnsi="Times New Roman"/>
          <w:b/>
          <w:szCs w:val="24"/>
        </w:rPr>
        <w:t>What is the purpose for this information collection</w:t>
      </w:r>
      <w:r w:rsidRPr="00304F6F" w:rsidR="006A38F7">
        <w:rPr>
          <w:rFonts w:ascii="Times New Roman" w:hAnsi="Times New Roman"/>
          <w:b/>
          <w:szCs w:val="24"/>
        </w:rPr>
        <w:t>?</w:t>
      </w:r>
      <w:r w:rsidRPr="00304F6F" w:rsidR="007C0A4C">
        <w:rPr>
          <w:rFonts w:ascii="Times New Roman" w:hAnsi="Times New Roman"/>
          <w:b/>
          <w:szCs w:val="24"/>
        </w:rPr>
        <w:t xml:space="preserve"> </w:t>
      </w:r>
      <w:r w:rsidRPr="00304F6F">
        <w:rPr>
          <w:rFonts w:ascii="Times New Roman" w:hAnsi="Times New Roman"/>
          <w:b/>
          <w:szCs w:val="24"/>
        </w:rPr>
        <w:t xml:space="preserve">Identify any legal or administrative requirements that necessitate the collection.  </w:t>
      </w:r>
      <w:r w:rsidRPr="00304F6F" w:rsidR="006A38F7">
        <w:rPr>
          <w:rFonts w:ascii="Times New Roman" w:hAnsi="Times New Roman"/>
          <w:b/>
          <w:szCs w:val="24"/>
        </w:rPr>
        <w:t xml:space="preserve">Include a citation that </w:t>
      </w:r>
      <w:r w:rsidRPr="00304F6F">
        <w:rPr>
          <w:rFonts w:ascii="Times New Roman" w:hAnsi="Times New Roman"/>
          <w:b/>
          <w:szCs w:val="24"/>
        </w:rPr>
        <w:t>authoriz</w:t>
      </w:r>
      <w:r w:rsidRPr="00304F6F" w:rsidR="006A38F7">
        <w:rPr>
          <w:rFonts w:ascii="Times New Roman" w:hAnsi="Times New Roman"/>
          <w:b/>
          <w:szCs w:val="24"/>
        </w:rPr>
        <w:t>es</w:t>
      </w:r>
      <w:r w:rsidRPr="00304F6F">
        <w:rPr>
          <w:rFonts w:ascii="Times New Roman" w:hAnsi="Times New Roman"/>
          <w:b/>
          <w:szCs w:val="24"/>
        </w:rPr>
        <w:t xml:space="preserve"> the collection of information</w:t>
      </w:r>
      <w:r w:rsidRPr="00304F6F" w:rsidR="006A38F7">
        <w:rPr>
          <w:rFonts w:ascii="Times New Roman" w:hAnsi="Times New Roman"/>
          <w:b/>
          <w:szCs w:val="24"/>
        </w:rPr>
        <w:t>.</w:t>
      </w:r>
      <w:r w:rsidRPr="00304F6F">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304F6F" w:rsidR="006A38F7">
        <w:rPr>
          <w:rFonts w:ascii="Times New Roman" w:hAnsi="Times New Roman"/>
          <w:b/>
          <w:szCs w:val="24"/>
        </w:rPr>
        <w:t xml:space="preserve">list </w:t>
      </w:r>
      <w:r w:rsidRPr="00304F6F">
        <w:rPr>
          <w:rFonts w:ascii="Times New Roman" w:hAnsi="Times New Roman"/>
          <w:b/>
          <w:szCs w:val="24"/>
        </w:rPr>
        <w:t xml:space="preserve">the sections </w:t>
      </w:r>
      <w:r w:rsidRPr="00304F6F" w:rsidR="006A38F7">
        <w:rPr>
          <w:rFonts w:ascii="Times New Roman" w:hAnsi="Times New Roman"/>
          <w:b/>
          <w:szCs w:val="24"/>
        </w:rPr>
        <w:t>with a brief description of the information collection requirement, and/</w:t>
      </w:r>
      <w:r w:rsidRPr="00304F6F">
        <w:rPr>
          <w:rFonts w:ascii="Times New Roman" w:hAnsi="Times New Roman"/>
          <w:b/>
          <w:szCs w:val="24"/>
        </w:rPr>
        <w:t>or change</w:t>
      </w:r>
      <w:r w:rsidRPr="00304F6F" w:rsidR="006A38F7">
        <w:rPr>
          <w:rFonts w:ascii="Times New Roman" w:hAnsi="Times New Roman"/>
          <w:b/>
          <w:szCs w:val="24"/>
        </w:rPr>
        <w:t>s to</w:t>
      </w:r>
      <w:r w:rsidRPr="00304F6F">
        <w:rPr>
          <w:rFonts w:ascii="Times New Roman" w:hAnsi="Times New Roman"/>
          <w:b/>
          <w:szCs w:val="24"/>
        </w:rPr>
        <w:t xml:space="preserve"> sections, if applicable.</w:t>
      </w:r>
    </w:p>
    <w:p w:rsidR="00EB006D" w:rsidRPr="00304F6F" w:rsidP="00EB006D" w14:paraId="7116DA9C" w14:textId="450D0303">
      <w:pPr>
        <w:pStyle w:val="ListParagraph"/>
        <w:suppressAutoHyphens/>
        <w:spacing w:line="240" w:lineRule="exact"/>
        <w:contextualSpacing w:val="0"/>
        <w:rPr>
          <w:rFonts w:ascii="Times New Roman" w:hAnsi="Times New Roman"/>
          <w:b/>
          <w:szCs w:val="24"/>
        </w:rPr>
      </w:pPr>
    </w:p>
    <w:p w:rsidR="00F85D3D" w:rsidRPr="00304F6F" w:rsidP="49095FFF" w14:paraId="11977108" w14:textId="43D2F390">
      <w:pPr>
        <w:ind w:left="720"/>
        <w:contextualSpacing/>
        <w:rPr>
          <w:rFonts w:ascii="Times New Roman" w:hAnsi="Times New Roman"/>
        </w:rPr>
      </w:pPr>
      <w:r w:rsidRPr="00304F6F">
        <w:rPr>
          <w:rFonts w:ascii="Times New Roman" w:hAnsi="Times New Roman"/>
        </w:rPr>
        <w:t>The Office of Postsecondary Education (OPE), in the Department of Education (the Department) is seeking an</w:t>
      </w:r>
      <w:r w:rsidRPr="00304F6F" w:rsidR="00260F1A">
        <w:rPr>
          <w:rFonts w:ascii="Times New Roman" w:hAnsi="Times New Roman"/>
        </w:rPr>
        <w:t xml:space="preserve"> </w:t>
      </w:r>
      <w:r w:rsidRPr="00304F6F" w:rsidR="00C13EB8">
        <w:rPr>
          <w:rFonts w:ascii="Times New Roman" w:hAnsi="Times New Roman"/>
        </w:rPr>
        <w:t>e</w:t>
      </w:r>
      <w:r w:rsidRPr="00304F6F">
        <w:rPr>
          <w:rFonts w:ascii="Times New Roman" w:hAnsi="Times New Roman"/>
        </w:rPr>
        <w:t xml:space="preserve">xtension to the Office of Management and Budget (OMB) control number for the ‘The Recognition Process for Accrediting Agencies, State Approval </w:t>
      </w:r>
      <w:r w:rsidRPr="00304F6F">
        <w:rPr>
          <w:rFonts w:ascii="Times New Roman" w:hAnsi="Times New Roman"/>
        </w:rPr>
        <w:t>Agencies;</w:t>
      </w:r>
      <w:r w:rsidRPr="00304F6F">
        <w:rPr>
          <w:rFonts w:ascii="Times New Roman" w:hAnsi="Times New Roman"/>
        </w:rPr>
        <w:t xml:space="preserve"> Evaluation of Foreign Medical, and Foreign Veterinary Accrediting Agencies’.</w:t>
      </w:r>
      <w:r w:rsidRPr="00304F6F" w:rsidR="00706581">
        <w:rPr>
          <w:rFonts w:ascii="Times New Roman" w:hAnsi="Times New Roman"/>
        </w:rPr>
        <w:t xml:space="preserve"> The syste</w:t>
      </w:r>
      <w:r w:rsidRPr="00304F6F" w:rsidR="003E4591">
        <w:rPr>
          <w:rFonts w:ascii="Times New Roman" w:hAnsi="Times New Roman"/>
        </w:rPr>
        <w:t>m</w:t>
      </w:r>
      <w:r w:rsidRPr="00304F6F" w:rsidR="00706581">
        <w:rPr>
          <w:rFonts w:ascii="Times New Roman" w:hAnsi="Times New Roman"/>
        </w:rPr>
        <w:t xml:space="preserve"> used to collect the data </w:t>
      </w:r>
      <w:r w:rsidRPr="00304F6F" w:rsidR="000D7D7E">
        <w:rPr>
          <w:rFonts w:ascii="Times New Roman" w:hAnsi="Times New Roman"/>
        </w:rPr>
        <w:t>is known as e-Recognition.</w:t>
      </w:r>
    </w:p>
    <w:p w:rsidR="00C5661E" w:rsidRPr="00304F6F" w:rsidP="005E6776" w14:paraId="13A81A67" w14:textId="62C4A83A">
      <w:pPr>
        <w:spacing w:after="200"/>
        <w:ind w:left="720"/>
        <w:rPr>
          <w:rFonts w:ascii="Times New Roman" w:eastAsia="Calibri" w:hAnsi="Times New Roman"/>
          <w:szCs w:val="24"/>
        </w:rPr>
      </w:pPr>
      <w:r w:rsidRPr="00304F6F">
        <w:rPr>
          <w:rFonts w:ascii="Times New Roman" w:eastAsia="Calibri" w:hAnsi="Times New Roman"/>
          <w:szCs w:val="24"/>
        </w:rPr>
        <w:t>The United States (U.S.) Secretary of Education (</w:t>
      </w:r>
      <w:r w:rsidRPr="00304F6F" w:rsidR="00F85D3D">
        <w:rPr>
          <w:rFonts w:ascii="Times New Roman" w:eastAsia="Calibri" w:hAnsi="Times New Roman"/>
          <w:szCs w:val="24"/>
        </w:rPr>
        <w:t xml:space="preserve">the </w:t>
      </w:r>
      <w:r w:rsidRPr="00304F6F">
        <w:rPr>
          <w:rFonts w:ascii="Times New Roman" w:eastAsia="Calibri" w:hAnsi="Times New Roman"/>
          <w:szCs w:val="24"/>
        </w:rPr>
        <w:t xml:space="preserve">Secretary) is required by law to publish a list of nationally recognized accrediting agencies that have been determined to be reliable authorities regarding the quality of education or training offered by the institutions or programs they accredit. In determining whether a specific agency should be recognized, the Secretary evaluates the submission for compliance with the Criteria for Recognition contained in regulations.  The collection of information is necessary for the Secretary to evaluate compliance with each of the criteria and to monitor the continued compliance with the criteria during any period of recognition granted. </w:t>
      </w:r>
    </w:p>
    <w:p w:rsidR="00C5661E" w:rsidRPr="00304F6F" w:rsidP="005E6776" w14:paraId="33099A97" w14:textId="3A804C9B">
      <w:pPr>
        <w:spacing w:after="200"/>
        <w:ind w:left="720"/>
        <w:rPr>
          <w:rFonts w:ascii="Times New Roman" w:eastAsia="Calibri" w:hAnsi="Times New Roman"/>
          <w:szCs w:val="24"/>
        </w:rPr>
      </w:pPr>
      <w:r w:rsidRPr="00304F6F">
        <w:rPr>
          <w:rFonts w:ascii="Times New Roman" w:eastAsia="Calibri" w:hAnsi="Times New Roman"/>
          <w:szCs w:val="24"/>
        </w:rPr>
        <w:t xml:space="preserve">The authority for collecting this information is contained in the Higher Education Act of 1965, as amended § 496 (HEA), and implementing regulations at 34 CFR § 602. The data is required in order for recognized accrediting agencies to demonstrate compliance with 34 CFR § 602. The Secretary will use these criteria in determining whether an accrediting agency </w:t>
      </w:r>
      <w:bookmarkStart w:id="0" w:name="_Hlk115359679"/>
      <w:r w:rsidRPr="00304F6F">
        <w:rPr>
          <w:rFonts w:ascii="Times New Roman" w:eastAsia="Calibri" w:hAnsi="Times New Roman"/>
          <w:szCs w:val="24"/>
        </w:rPr>
        <w:t>is a reliable authority as to the quality of education or training provided by institutions of higher education they accredit.</w:t>
      </w:r>
      <w:bookmarkEnd w:id="0"/>
      <w:r w:rsidRPr="00304F6F">
        <w:rPr>
          <w:rFonts w:ascii="Times New Roman" w:eastAsia="Calibri" w:hAnsi="Times New Roman"/>
          <w:szCs w:val="24"/>
        </w:rPr>
        <w:t xml:space="preserve">  The data is required </w:t>
      </w:r>
      <w:r w:rsidRPr="00304F6F" w:rsidR="00AD7424">
        <w:rPr>
          <w:rFonts w:ascii="Times New Roman" w:eastAsia="Calibri" w:hAnsi="Times New Roman"/>
          <w:szCs w:val="24"/>
        </w:rPr>
        <w:t>by</w:t>
      </w:r>
      <w:r w:rsidRPr="00304F6F">
        <w:rPr>
          <w:rFonts w:ascii="Times New Roman" w:eastAsia="Calibri" w:hAnsi="Times New Roman"/>
          <w:szCs w:val="24"/>
        </w:rPr>
        <w:t xml:space="preserve"> State Agencies for the approval of Vocational Education to demonstrate compliance with 34 CFR § 603. The Secretary will use these criterial to determine whether a State Agency for the Approval of Vocational Education is a reliable authority as to the quality of education or training provided by the vocational institutions of higher education they accredit. The data is also required in order for State approval Agencies for Nurse Education to demonstrate compliance with the criteria and procedures for recognition of State Agencies for Approval of Nurse </w:t>
      </w:r>
      <w:r w:rsidRPr="00304F6F" w:rsidR="00460336">
        <w:rPr>
          <w:rFonts w:ascii="Times New Roman" w:eastAsia="Calibri" w:hAnsi="Times New Roman"/>
          <w:szCs w:val="24"/>
        </w:rPr>
        <w:t>Education. The</w:t>
      </w:r>
      <w:r w:rsidRPr="00304F6F">
        <w:rPr>
          <w:rFonts w:ascii="Times New Roman" w:eastAsia="Calibri" w:hAnsi="Times New Roman"/>
          <w:szCs w:val="24"/>
        </w:rPr>
        <w:t xml:space="preserve"> Secretary will use these criteria in determining whether a State agency is a reliable authority as to the quality of training offered by schools of nursing.  </w:t>
      </w:r>
    </w:p>
    <w:p w:rsidR="00C5661E" w:rsidRPr="00304F6F" w:rsidP="005E6776" w14:paraId="127C5D0A" w14:textId="190C8DE5">
      <w:pPr>
        <w:spacing w:after="200"/>
        <w:ind w:left="720"/>
        <w:rPr>
          <w:rFonts w:ascii="Times New Roman" w:eastAsia="Calibri" w:hAnsi="Times New Roman"/>
          <w:szCs w:val="24"/>
        </w:rPr>
      </w:pPr>
      <w:r w:rsidRPr="00304F6F">
        <w:rPr>
          <w:rFonts w:ascii="Times New Roman" w:eastAsia="Calibri" w:hAnsi="Times New Roman"/>
          <w:szCs w:val="24"/>
        </w:rPr>
        <w:t xml:space="preserve">In addition, and in accordance with 34 CFR </w:t>
      </w:r>
      <w:bookmarkStart w:id="1" w:name="_Hlk115414328"/>
      <w:r w:rsidRPr="00304F6F">
        <w:rPr>
          <w:rFonts w:ascii="Times New Roman" w:eastAsia="Calibri" w:hAnsi="Times New Roman"/>
          <w:szCs w:val="24"/>
        </w:rPr>
        <w:t>§</w:t>
      </w:r>
      <w:bookmarkEnd w:id="1"/>
      <w:r w:rsidRPr="00304F6F">
        <w:rPr>
          <w:rFonts w:ascii="Times New Roman" w:eastAsia="Calibri" w:hAnsi="Times New Roman"/>
          <w:szCs w:val="24"/>
        </w:rPr>
        <w:t>600.55, the Secretary is required to collect information, review and determine whether the accreditation standards used by foreign countries to accredit medical education programs are comparable to the standards used to accredit medical education programs in the U.S</w:t>
      </w:r>
      <w:r w:rsidRPr="00304F6F" w:rsidR="00AD7424">
        <w:rPr>
          <w:rFonts w:ascii="Times New Roman" w:eastAsia="Calibri" w:hAnsi="Times New Roman"/>
          <w:szCs w:val="24"/>
        </w:rPr>
        <w:t>.</w:t>
      </w:r>
    </w:p>
    <w:p w:rsidR="00C5661E" w:rsidRPr="00304F6F" w:rsidP="2F67BDF8" w14:paraId="4809F55D" w14:textId="390B802B">
      <w:pPr>
        <w:spacing w:after="200"/>
        <w:ind w:left="720"/>
        <w:rPr>
          <w:rFonts w:ascii="Times New Roman" w:eastAsia="Calibri" w:hAnsi="Times New Roman"/>
        </w:rPr>
      </w:pPr>
      <w:r w:rsidRPr="00304F6F">
        <w:rPr>
          <w:rFonts w:ascii="Times New Roman" w:eastAsia="Calibri" w:hAnsi="Times New Roman"/>
        </w:rPr>
        <w:t>The Secretary also issued regulations under the HEA related to institutional eligibility as related to Foreign Institutional Federal Student Aid Programs</w:t>
      </w:r>
      <w:r w:rsidRPr="00304F6F" w:rsidR="00A74A7C">
        <w:rPr>
          <w:rFonts w:ascii="Times New Roman" w:eastAsia="Calibri" w:hAnsi="Times New Roman"/>
        </w:rPr>
        <w:t>,</w:t>
      </w:r>
      <w:r w:rsidRPr="00304F6F">
        <w:rPr>
          <w:rFonts w:ascii="Times New Roman" w:eastAsia="Calibri" w:hAnsi="Times New Roman"/>
        </w:rPr>
        <w:t xml:space="preserve"> effective 7/1/11.  The collection and review of information relating to the foreign veterinary medical programs as outlined in 34 CFR § 600.56 (a)(4) became effective July 1, 2015.</w:t>
      </w:r>
    </w:p>
    <w:p w:rsidR="00AD381B" w:rsidRPr="00304F6F" w:rsidP="00AD381B" w14:paraId="58CE2529" w14:textId="77777777">
      <w:pPr>
        <w:pStyle w:val="ListParagraph"/>
        <w:suppressAutoHyphens/>
        <w:spacing w:line="240" w:lineRule="exact"/>
        <w:contextualSpacing w:val="0"/>
        <w:rPr>
          <w:rFonts w:ascii="Times New Roman" w:hAnsi="Times New Roman"/>
          <w:szCs w:val="24"/>
        </w:rPr>
      </w:pPr>
    </w:p>
    <w:p w:rsidR="00AD381B" w:rsidRPr="00304F6F" w:rsidP="00AD381B" w14:paraId="58CE252A" w14:textId="5C350DFB">
      <w:pPr>
        <w:pStyle w:val="ListParagraph"/>
        <w:numPr>
          <w:ilvl w:val="0"/>
          <w:numId w:val="4"/>
        </w:numPr>
        <w:suppressAutoHyphens/>
        <w:spacing w:line="240" w:lineRule="exact"/>
        <w:contextualSpacing w:val="0"/>
        <w:rPr>
          <w:rFonts w:ascii="Times New Roman" w:hAnsi="Times New Roman"/>
          <w:szCs w:val="24"/>
        </w:rPr>
      </w:pPr>
      <w:r w:rsidRPr="00304F6F">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EB006D" w:rsidRPr="00304F6F" w:rsidP="00EB006D" w14:paraId="7A662FF2" w14:textId="3D4A47FB">
      <w:pPr>
        <w:pStyle w:val="ListParagraph"/>
        <w:suppressAutoHyphens/>
        <w:spacing w:line="240" w:lineRule="exact"/>
        <w:contextualSpacing w:val="0"/>
        <w:rPr>
          <w:rFonts w:ascii="Times New Roman" w:hAnsi="Times New Roman"/>
          <w:b/>
          <w:szCs w:val="24"/>
        </w:rPr>
      </w:pPr>
    </w:p>
    <w:p w:rsidR="00605EF9" w:rsidRPr="00304F6F" w:rsidP="00B762B1" w14:paraId="7A14AB39" w14:textId="77777777">
      <w:pPr>
        <w:spacing w:after="200"/>
        <w:ind w:left="720"/>
        <w:rPr>
          <w:rFonts w:ascii="Times New Roman" w:eastAsia="Calibri" w:hAnsi="Times New Roman"/>
          <w:szCs w:val="24"/>
        </w:rPr>
      </w:pPr>
      <w:r w:rsidRPr="00304F6F">
        <w:rPr>
          <w:rFonts w:ascii="Times New Roman" w:eastAsia="Calibri" w:hAnsi="Times New Roman"/>
          <w:szCs w:val="24"/>
        </w:rPr>
        <w:t xml:space="preserve">This data is required from  accrediting agencies to demonstrate compliance with criteria in 34 CFR § 602; State agencies for the approval of vocational education to demonstrate compliance with the criteria in 34 CFR  §603; State agencies for the approval of nurse education to demonstrate compliance with the criteria published in the 1969 Federal Register; foreign medical accrediting entities/countries in accordance with  34 CFR § 600.55; and foreign veterinary accrediting organizations in accordance with 34 CFR  §600.56. </w:t>
      </w:r>
    </w:p>
    <w:p w:rsidR="00605EF9" w:rsidRPr="00304F6F" w:rsidP="00B762B1" w14:paraId="5711D4B7" w14:textId="77777777">
      <w:pPr>
        <w:spacing w:after="200"/>
        <w:ind w:left="720"/>
        <w:rPr>
          <w:rFonts w:ascii="Times New Roman" w:eastAsia="Calibri" w:hAnsi="Times New Roman"/>
          <w:szCs w:val="24"/>
        </w:rPr>
      </w:pPr>
      <w:r w:rsidRPr="00304F6F">
        <w:rPr>
          <w:rFonts w:ascii="Times New Roman" w:eastAsia="Calibri" w:hAnsi="Times New Roman"/>
          <w:szCs w:val="24"/>
        </w:rPr>
        <w:t xml:space="preserve">For the purpose of determining eligibility for federal assistance, pursuant to the 42 USC § 296, State approval agencies for nurse education must demonstrate compliance with the criteria published in the January 15, 1969 Federal Register.  Recognition of State agencies for the approval of nurse education is a required element enabling nurse education programs the ability to participate in non-HEA Federal programs. In addition, the recognition process (Subpart C of 34 CFR §602) is also applicable to State approval agencies for nurse education.   </w:t>
      </w:r>
    </w:p>
    <w:p w:rsidR="00605EF9" w:rsidRPr="00304F6F" w:rsidP="00B762B1" w14:paraId="621A62F8" w14:textId="77777777">
      <w:pPr>
        <w:spacing w:after="200"/>
        <w:ind w:left="720"/>
        <w:rPr>
          <w:rFonts w:ascii="Times New Roman" w:eastAsia="Calibri" w:hAnsi="Times New Roman"/>
          <w:szCs w:val="24"/>
        </w:rPr>
      </w:pPr>
      <w:r w:rsidRPr="00304F6F">
        <w:rPr>
          <w:rFonts w:ascii="Times New Roman" w:eastAsia="Calibri" w:hAnsi="Times New Roman"/>
          <w:szCs w:val="24"/>
        </w:rPr>
        <w:t xml:space="preserve">Compliance by foreign medical schools with 34 CFR §600.55 is a required element enabling United States students attending foreign medical schools to establish eligibility to participate in the William D. Ford Federal Direct Student Loan Program.  </w:t>
      </w:r>
    </w:p>
    <w:p w:rsidR="00605EF9" w:rsidRPr="00304F6F" w:rsidP="00B762B1" w14:paraId="2953B2EA" w14:textId="77777777">
      <w:pPr>
        <w:spacing w:after="200"/>
        <w:ind w:left="720"/>
        <w:rPr>
          <w:rFonts w:ascii="Times New Roman" w:eastAsia="Calibri" w:hAnsi="Times New Roman"/>
          <w:szCs w:val="24"/>
        </w:rPr>
      </w:pPr>
      <w:r w:rsidRPr="00304F6F">
        <w:rPr>
          <w:rFonts w:ascii="Times New Roman" w:eastAsia="Calibri" w:hAnsi="Times New Roman"/>
          <w:szCs w:val="24"/>
        </w:rPr>
        <w:t xml:space="preserve">In order for students enrolled in foreign veterinary medical programs to be eligible to participate in the William D. Ford Federal Direct Student Loan Program, the foreign veterinary medical program must be accrediting by an organization which has satisfied the requirements in 34 CFR §600.56. </w:t>
      </w:r>
    </w:p>
    <w:p w:rsidR="00AD381B" w:rsidRPr="00304F6F" w:rsidP="00AD381B" w14:paraId="58CE252B" w14:textId="77777777">
      <w:pPr>
        <w:suppressAutoHyphens/>
        <w:spacing w:line="240" w:lineRule="exact"/>
        <w:rPr>
          <w:rFonts w:ascii="Times New Roman" w:hAnsi="Times New Roman"/>
          <w:szCs w:val="24"/>
        </w:rPr>
      </w:pPr>
    </w:p>
    <w:p w:rsidR="00043C32" w:rsidRPr="00304F6F" w:rsidP="00AD381B" w14:paraId="58CE252C" w14:textId="77777777">
      <w:pPr>
        <w:suppressAutoHyphens/>
        <w:spacing w:line="240" w:lineRule="exact"/>
        <w:rPr>
          <w:rFonts w:ascii="Times New Roman" w:hAnsi="Times New Roman"/>
          <w:szCs w:val="24"/>
        </w:rPr>
      </w:pPr>
    </w:p>
    <w:p w:rsidR="00043C32" w:rsidRPr="00304F6F" w:rsidP="00AD381B" w14:paraId="58CE252D" w14:textId="70B4F5A5">
      <w:pPr>
        <w:pStyle w:val="ListParagraph"/>
        <w:numPr>
          <w:ilvl w:val="0"/>
          <w:numId w:val="4"/>
        </w:numPr>
        <w:tabs>
          <w:tab w:val="left" w:pos="-720"/>
        </w:tabs>
        <w:suppressAutoHyphens/>
        <w:contextualSpacing w:val="0"/>
        <w:rPr>
          <w:rFonts w:ascii="Times New Roman" w:hAnsi="Times New Roman"/>
          <w:b/>
          <w:szCs w:val="24"/>
        </w:rPr>
      </w:pPr>
      <w:r w:rsidRPr="00304F6F">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304F6F" w:rsidR="006A38F7">
        <w:rPr>
          <w:rFonts w:ascii="Times New Roman" w:hAnsi="Times New Roman"/>
          <w:b/>
          <w:szCs w:val="24"/>
        </w:rPr>
        <w:t xml:space="preserve">Please identify systems or websites used to electronically collect this information. </w:t>
      </w:r>
      <w:r w:rsidRPr="00304F6F">
        <w:rPr>
          <w:rFonts w:ascii="Times New Roman" w:hAnsi="Times New Roman"/>
          <w:b/>
          <w:szCs w:val="24"/>
        </w:rPr>
        <w:t>Also describe any consideration given to using technology to reduce burden.</w:t>
      </w:r>
      <w:r w:rsidRPr="00304F6F"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1A17FA" w:rsidRPr="00304F6F" w:rsidP="001A17FA" w14:paraId="6940BF30" w14:textId="49D1BDC3">
      <w:pPr>
        <w:pStyle w:val="ListParagraph"/>
        <w:tabs>
          <w:tab w:val="left" w:pos="-720"/>
        </w:tabs>
        <w:suppressAutoHyphens/>
        <w:contextualSpacing w:val="0"/>
        <w:rPr>
          <w:rFonts w:ascii="Times New Roman" w:hAnsi="Times New Roman"/>
          <w:b/>
          <w:szCs w:val="24"/>
        </w:rPr>
      </w:pPr>
    </w:p>
    <w:p w:rsidR="00AD381B" w:rsidRPr="00304F6F" w:rsidP="2F67BDF8" w14:paraId="58CE252E" w14:textId="409BF684">
      <w:pPr>
        <w:spacing w:after="200"/>
        <w:ind w:left="720"/>
        <w:rPr>
          <w:rFonts w:ascii="Times New Roman" w:eastAsia="Calibri" w:hAnsi="Times New Roman"/>
        </w:rPr>
      </w:pPr>
      <w:r w:rsidRPr="00304F6F">
        <w:rPr>
          <w:rFonts w:ascii="Times New Roman" w:eastAsia="Calibri" w:hAnsi="Times New Roman"/>
        </w:rPr>
        <w:t xml:space="preserve">The Department </w:t>
      </w:r>
      <w:r w:rsidRPr="00304F6F" w:rsidR="7F7FABB2">
        <w:rPr>
          <w:rFonts w:ascii="Times New Roman" w:eastAsia="Calibri" w:hAnsi="Times New Roman"/>
        </w:rPr>
        <w:t xml:space="preserve">utilizes </w:t>
      </w:r>
      <w:r w:rsidRPr="00304F6F">
        <w:rPr>
          <w:rFonts w:ascii="Times New Roman" w:eastAsia="Calibri" w:hAnsi="Times New Roman"/>
        </w:rPr>
        <w:t xml:space="preserve"> a web-based, electronic information collection system that allows accrediting agencies, state agencies, and countries to submit applications and compliance reports for review of comparability or recognition. </w:t>
      </w:r>
    </w:p>
    <w:p w:rsidR="00AD381B" w:rsidRPr="00304F6F" w:rsidP="00AD381B" w14:paraId="58CE252F" w14:textId="77777777">
      <w:pPr>
        <w:pStyle w:val="ListParagraph"/>
        <w:tabs>
          <w:tab w:val="left" w:pos="-720"/>
        </w:tabs>
        <w:suppressAutoHyphens/>
        <w:contextualSpacing w:val="0"/>
        <w:rPr>
          <w:rFonts w:ascii="Times New Roman" w:hAnsi="Times New Roman"/>
          <w:szCs w:val="24"/>
        </w:rPr>
      </w:pPr>
    </w:p>
    <w:p w:rsidR="00246FE9" w:rsidRPr="00304F6F" w:rsidP="007F79B5" w14:paraId="58CE2531" w14:textId="1656848D">
      <w:pPr>
        <w:pStyle w:val="ListParagraph"/>
        <w:numPr>
          <w:ilvl w:val="0"/>
          <w:numId w:val="4"/>
        </w:numPr>
        <w:tabs>
          <w:tab w:val="left" w:pos="-720"/>
        </w:tabs>
        <w:suppressAutoHyphens/>
        <w:contextualSpacing w:val="0"/>
        <w:rPr>
          <w:rFonts w:ascii="Times New Roman" w:hAnsi="Times New Roman"/>
          <w:b/>
          <w:szCs w:val="24"/>
        </w:rPr>
      </w:pPr>
      <w:r w:rsidRPr="00304F6F">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304F6F" w:rsidR="00A23F26">
        <w:rPr>
          <w:rFonts w:ascii="Times New Roman" w:hAnsi="Times New Roman"/>
          <w:b/>
          <w:szCs w:val="24"/>
        </w:rPr>
        <w:t xml:space="preserve"> </w:t>
      </w:r>
    </w:p>
    <w:p w:rsidR="00B20D50" w:rsidRPr="00304F6F" w:rsidP="001A17FA" w14:paraId="1AFD4CE5" w14:textId="027BADB5">
      <w:pPr>
        <w:ind w:left="720"/>
        <w:rPr>
          <w:rFonts w:ascii="Times New Roman" w:eastAsia="Calibri" w:hAnsi="Times New Roman"/>
          <w:szCs w:val="24"/>
        </w:rPr>
      </w:pPr>
    </w:p>
    <w:p w:rsidR="00B20D50" w:rsidRPr="00304F6F" w:rsidP="001A17FA" w14:paraId="5DC3BB4A" w14:textId="7427B025">
      <w:pPr>
        <w:ind w:left="720"/>
        <w:rPr>
          <w:rFonts w:ascii="Times New Roman" w:eastAsia="Calibri" w:hAnsi="Times New Roman"/>
          <w:szCs w:val="24"/>
        </w:rPr>
      </w:pPr>
      <w:r w:rsidRPr="00304F6F">
        <w:rPr>
          <w:rFonts w:ascii="Times New Roman" w:eastAsia="Calibri" w:hAnsi="Times New Roman"/>
          <w:szCs w:val="24"/>
        </w:rPr>
        <w:t>The information collected is not obtained through any other means within the Federal government. The information is collected only through the country</w:t>
      </w:r>
      <w:r w:rsidRPr="00304F6F" w:rsidR="00A54C5E">
        <w:rPr>
          <w:rFonts w:ascii="Times New Roman" w:eastAsia="Calibri" w:hAnsi="Times New Roman"/>
          <w:szCs w:val="24"/>
        </w:rPr>
        <w:t xml:space="preserve"> </w:t>
      </w:r>
      <w:r w:rsidRPr="00304F6F">
        <w:rPr>
          <w:rFonts w:ascii="Times New Roman" w:eastAsia="Calibri" w:hAnsi="Times New Roman"/>
          <w:szCs w:val="24"/>
        </w:rPr>
        <w:t>accrediting agency recognition process the Department administers</w:t>
      </w:r>
    </w:p>
    <w:p w:rsidR="00043C32" w:rsidRPr="00304F6F" w:rsidP="00AD381B" w14:paraId="58CE2532" w14:textId="77777777">
      <w:pPr>
        <w:pStyle w:val="ListParagraph"/>
        <w:numPr>
          <w:ilvl w:val="0"/>
          <w:numId w:val="4"/>
        </w:numPr>
        <w:spacing w:before="240"/>
        <w:contextualSpacing w:val="0"/>
        <w:rPr>
          <w:rFonts w:ascii="Times New Roman" w:hAnsi="Times New Roman"/>
          <w:b/>
          <w:szCs w:val="24"/>
        </w:rPr>
      </w:pPr>
      <w:r w:rsidRPr="00304F6F">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304F6F" w:rsidP="00AD381B" w14:paraId="58CE2533" w14:textId="721D651A">
      <w:pPr>
        <w:pStyle w:val="ListParagraph"/>
        <w:contextualSpacing w:val="0"/>
        <w:rPr>
          <w:rFonts w:ascii="Times New Roman" w:hAnsi="Times New Roman"/>
          <w:szCs w:val="24"/>
        </w:rPr>
      </w:pPr>
    </w:p>
    <w:p w:rsidR="00D36C2D" w:rsidRPr="00304F6F" w:rsidP="00D36C2D" w14:paraId="4B379EA6" w14:textId="7D5F4F57">
      <w:pPr>
        <w:spacing w:after="200" w:line="276" w:lineRule="auto"/>
        <w:rPr>
          <w:rFonts w:ascii="Times New Roman" w:eastAsia="Calibri" w:hAnsi="Times New Roman"/>
          <w:szCs w:val="24"/>
        </w:rPr>
      </w:pPr>
      <w:r w:rsidRPr="00304F6F">
        <w:rPr>
          <w:rFonts w:ascii="Calibri" w:eastAsia="Calibri" w:hAnsi="Calibri"/>
          <w:sz w:val="22"/>
          <w:szCs w:val="22"/>
        </w:rPr>
        <w:t xml:space="preserve">               </w:t>
      </w:r>
      <w:r w:rsidRPr="00304F6F">
        <w:rPr>
          <w:rFonts w:ascii="Times New Roman" w:eastAsia="Calibri" w:hAnsi="Times New Roman"/>
          <w:szCs w:val="24"/>
        </w:rPr>
        <w:t>Collection of this information does not involve small businesses or other small entities.</w:t>
      </w:r>
    </w:p>
    <w:p w:rsidR="00AD381B" w:rsidRPr="00304F6F" w:rsidP="00AD381B" w14:paraId="58CE2534" w14:textId="77777777">
      <w:pPr>
        <w:pStyle w:val="ListParagraph"/>
        <w:contextualSpacing w:val="0"/>
        <w:rPr>
          <w:rFonts w:ascii="Times New Roman" w:hAnsi="Times New Roman"/>
          <w:szCs w:val="24"/>
        </w:rPr>
      </w:pPr>
    </w:p>
    <w:p w:rsidR="00043C32" w:rsidRPr="00304F6F" w:rsidP="00AD381B" w14:paraId="58CE2535" w14:textId="6F2921F0">
      <w:pPr>
        <w:pStyle w:val="ListParagraph"/>
        <w:numPr>
          <w:ilvl w:val="0"/>
          <w:numId w:val="4"/>
        </w:numPr>
        <w:tabs>
          <w:tab w:val="left" w:pos="-720"/>
        </w:tabs>
        <w:suppressAutoHyphens/>
        <w:contextualSpacing w:val="0"/>
        <w:rPr>
          <w:rFonts w:ascii="Times New Roman" w:hAnsi="Times New Roman"/>
          <w:b/>
          <w:szCs w:val="24"/>
        </w:rPr>
      </w:pPr>
      <w:r w:rsidRPr="00304F6F">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52F88" w:rsidRPr="00304F6F" w:rsidP="00D52F88" w14:paraId="1807EE66" w14:textId="681F0C01">
      <w:pPr>
        <w:pStyle w:val="ListParagraph"/>
        <w:tabs>
          <w:tab w:val="left" w:pos="-720"/>
        </w:tabs>
        <w:suppressAutoHyphens/>
        <w:contextualSpacing w:val="0"/>
        <w:rPr>
          <w:rFonts w:ascii="Times New Roman" w:hAnsi="Times New Roman"/>
          <w:b/>
          <w:szCs w:val="24"/>
        </w:rPr>
      </w:pPr>
    </w:p>
    <w:p w:rsidR="008E1103" w:rsidRPr="00304F6F" w:rsidP="2F67BDF8" w14:paraId="4E6F5F10" w14:textId="6C8C6C3B">
      <w:pPr>
        <w:spacing w:after="200"/>
        <w:ind w:left="720"/>
        <w:rPr>
          <w:rFonts w:ascii="Times New Roman" w:eastAsia="Calibri" w:hAnsi="Times New Roman"/>
        </w:rPr>
      </w:pPr>
      <w:r w:rsidRPr="00304F6F">
        <w:rPr>
          <w:rFonts w:ascii="Times New Roman" w:eastAsia="Calibri" w:hAnsi="Times New Roman"/>
        </w:rPr>
        <w:t xml:space="preserve">Consequences for not collecting the information or collecting the information less frequently would jeopardize the accreditation process. The Secretary would not be able to review recommendations and the information needed to determine compliance with 34 CFR  § 602, 603, 600.55 and 600.56, and the nurse education criteria.  Additional consequences would be students’ inability to receive Title IV Federal Student Aid; the inability to ensure that the accrediting organization is a reliable authority regarding the quality of education offered at the institutions they accredit; and the inability to determine whether a country has medical education standards comparable to those used to accredit medical education programs in the U.S.  The collection requirements and necessity to review accrediting agencies every five years are statutory. State agencies are reviewed every four years which is also a statutory requirement. Medical education programs in foreign countries are reviewed every six years in accordance with the National Committee on Foreign Medical Education and Accreditation guidelines.  Foreign veterinary accrediting agencies are review every six years in accordance with Department guidelines.    </w:t>
      </w:r>
    </w:p>
    <w:p w:rsidR="00D52F88" w:rsidRPr="00304F6F" w:rsidP="00D52F88" w14:paraId="0A1C7B3B" w14:textId="77777777">
      <w:pPr>
        <w:pStyle w:val="ListParagraph"/>
        <w:tabs>
          <w:tab w:val="left" w:pos="-720"/>
        </w:tabs>
        <w:suppressAutoHyphens/>
        <w:contextualSpacing w:val="0"/>
        <w:rPr>
          <w:rFonts w:ascii="Times New Roman" w:hAnsi="Times New Roman"/>
          <w:b/>
          <w:szCs w:val="24"/>
        </w:rPr>
      </w:pPr>
    </w:p>
    <w:p w:rsidR="00043C32" w:rsidRPr="00304F6F" w:rsidP="00AD381B" w14:paraId="58CE2536" w14:textId="77777777">
      <w:pPr>
        <w:pStyle w:val="ListParagraph"/>
        <w:numPr>
          <w:ilvl w:val="0"/>
          <w:numId w:val="4"/>
        </w:numPr>
        <w:tabs>
          <w:tab w:val="left" w:pos="-720"/>
        </w:tabs>
        <w:suppressAutoHyphens/>
        <w:rPr>
          <w:rFonts w:ascii="Times New Roman" w:hAnsi="Times New Roman"/>
          <w:b/>
          <w:szCs w:val="24"/>
        </w:rPr>
      </w:pPr>
      <w:r w:rsidRPr="00304F6F">
        <w:rPr>
          <w:rFonts w:ascii="Times New Roman" w:hAnsi="Times New Roman"/>
          <w:b/>
          <w:szCs w:val="24"/>
        </w:rPr>
        <w:t>Explain any special circumstances that would cause an information collection to be conducted in a manner:</w:t>
      </w:r>
    </w:p>
    <w:p w:rsidR="00043C32" w:rsidRPr="00304F6F" w:rsidP="00AD381B" w14:paraId="58CE2537" w14:textId="77777777">
      <w:pPr>
        <w:tabs>
          <w:tab w:val="left" w:pos="-720"/>
        </w:tabs>
        <w:suppressAutoHyphens/>
        <w:rPr>
          <w:rFonts w:ascii="Times New Roman" w:hAnsi="Times New Roman"/>
          <w:b/>
          <w:szCs w:val="24"/>
        </w:rPr>
      </w:pPr>
    </w:p>
    <w:p w:rsidR="00043C32" w:rsidRPr="00304F6F" w:rsidP="00AD381B" w14:paraId="58CE2538"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requiring respondents to report information to the agency more often than quarterly;</w:t>
      </w:r>
    </w:p>
    <w:p w:rsidR="00043C32" w:rsidRPr="00304F6F"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304F6F" w:rsidP="00AD381B" w14:paraId="58CE253A"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requiring respondents to prepare a written response to a collection of information in fewer than 30 days after receipt of it;</w:t>
      </w:r>
    </w:p>
    <w:p w:rsidR="00043C32" w:rsidRPr="00304F6F" w:rsidP="00AD381B" w14:paraId="58CE253B" w14:textId="77777777">
      <w:pPr>
        <w:numPr>
          <w:ilvl w:val="12"/>
          <w:numId w:val="0"/>
        </w:numPr>
        <w:tabs>
          <w:tab w:val="left" w:pos="-720"/>
        </w:tabs>
        <w:suppressAutoHyphens/>
        <w:rPr>
          <w:rFonts w:ascii="Times New Roman" w:hAnsi="Times New Roman"/>
          <w:b/>
          <w:szCs w:val="24"/>
        </w:rPr>
      </w:pPr>
    </w:p>
    <w:p w:rsidR="00043C32" w:rsidRPr="00304F6F" w:rsidP="00AD381B" w14:paraId="58CE253C"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requiring respondents to submit more than an original and two copies of any document;</w:t>
      </w:r>
    </w:p>
    <w:p w:rsidR="00043C32" w:rsidRPr="00304F6F" w:rsidP="00AD381B" w14:paraId="58CE253D" w14:textId="77777777">
      <w:pPr>
        <w:numPr>
          <w:ilvl w:val="12"/>
          <w:numId w:val="0"/>
        </w:numPr>
        <w:tabs>
          <w:tab w:val="left" w:pos="-720"/>
        </w:tabs>
        <w:suppressAutoHyphens/>
        <w:rPr>
          <w:rFonts w:ascii="Times New Roman" w:hAnsi="Times New Roman"/>
          <w:b/>
          <w:szCs w:val="24"/>
        </w:rPr>
      </w:pPr>
    </w:p>
    <w:p w:rsidR="00043C32" w:rsidRPr="00304F6F" w:rsidP="00AD381B" w14:paraId="58CE253E"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requiring respondents to retain records, other than health, medical, government contract, grant-in-aid, or tax records for more than three years;</w:t>
      </w:r>
    </w:p>
    <w:p w:rsidR="00043C32" w:rsidRPr="00304F6F" w:rsidP="00AD381B" w14:paraId="58CE253F" w14:textId="77777777">
      <w:pPr>
        <w:numPr>
          <w:ilvl w:val="12"/>
          <w:numId w:val="0"/>
        </w:numPr>
        <w:tabs>
          <w:tab w:val="left" w:pos="-720"/>
        </w:tabs>
        <w:suppressAutoHyphens/>
        <w:rPr>
          <w:rFonts w:ascii="Times New Roman" w:hAnsi="Times New Roman"/>
          <w:b/>
          <w:szCs w:val="24"/>
        </w:rPr>
      </w:pPr>
    </w:p>
    <w:p w:rsidR="00043C32" w:rsidRPr="00304F6F" w:rsidP="00AD381B" w14:paraId="58CE2540"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in connection with a statistical survey, that is not designed to produce valid and reliable results than can be generalized to the universe of study;</w:t>
      </w:r>
    </w:p>
    <w:p w:rsidR="00043C32" w:rsidRPr="00304F6F" w:rsidP="00AD381B" w14:paraId="58CE2541" w14:textId="77777777">
      <w:pPr>
        <w:numPr>
          <w:ilvl w:val="12"/>
          <w:numId w:val="0"/>
        </w:numPr>
        <w:tabs>
          <w:tab w:val="left" w:pos="-720"/>
        </w:tabs>
        <w:suppressAutoHyphens/>
        <w:rPr>
          <w:rFonts w:ascii="Times New Roman" w:hAnsi="Times New Roman"/>
          <w:b/>
          <w:szCs w:val="24"/>
        </w:rPr>
      </w:pPr>
    </w:p>
    <w:p w:rsidR="00043C32" w:rsidRPr="00304F6F" w:rsidP="00AD381B" w14:paraId="58CE2542"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requiring the use of a statistical data classification that has not been reviewed and approved by OMB;</w:t>
      </w:r>
    </w:p>
    <w:p w:rsidR="00043C32" w:rsidRPr="00304F6F" w:rsidP="00AD381B" w14:paraId="58CE2543" w14:textId="77777777">
      <w:pPr>
        <w:numPr>
          <w:ilvl w:val="12"/>
          <w:numId w:val="0"/>
        </w:numPr>
        <w:tabs>
          <w:tab w:val="left" w:pos="-720"/>
        </w:tabs>
        <w:suppressAutoHyphens/>
        <w:rPr>
          <w:rFonts w:ascii="Times New Roman" w:hAnsi="Times New Roman"/>
          <w:b/>
          <w:szCs w:val="24"/>
        </w:rPr>
      </w:pPr>
    </w:p>
    <w:p w:rsidR="00043C32" w:rsidRPr="00304F6F" w:rsidP="00AD381B" w14:paraId="58CE2544"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304F6F" w:rsidP="00AD381B" w14:paraId="58CE2545" w14:textId="77777777">
      <w:pPr>
        <w:numPr>
          <w:ilvl w:val="12"/>
          <w:numId w:val="0"/>
        </w:numPr>
        <w:tabs>
          <w:tab w:val="left" w:pos="-720"/>
        </w:tabs>
        <w:suppressAutoHyphens/>
        <w:rPr>
          <w:rFonts w:ascii="Times New Roman" w:hAnsi="Times New Roman"/>
          <w:b/>
          <w:szCs w:val="24"/>
        </w:rPr>
      </w:pPr>
    </w:p>
    <w:p w:rsidR="00043C32" w:rsidRPr="00304F6F" w:rsidP="00AD381B" w14:paraId="58CE2546" w14:textId="77777777">
      <w:pPr>
        <w:numPr>
          <w:ilvl w:val="0"/>
          <w:numId w:val="3"/>
        </w:numPr>
        <w:tabs>
          <w:tab w:val="left" w:pos="-720"/>
          <w:tab w:val="clear" w:pos="1440"/>
        </w:tabs>
        <w:suppressAutoHyphens/>
        <w:rPr>
          <w:rFonts w:ascii="Times New Roman" w:hAnsi="Times New Roman"/>
          <w:b/>
          <w:szCs w:val="24"/>
        </w:rPr>
      </w:pPr>
      <w:r w:rsidRPr="00304F6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304F6F" w:rsidP="00AD381B" w14:paraId="58CE2547" w14:textId="26B63788">
      <w:pPr>
        <w:pStyle w:val="ListParagraph"/>
        <w:rPr>
          <w:rFonts w:ascii="Times New Roman" w:hAnsi="Times New Roman"/>
          <w:b/>
          <w:szCs w:val="24"/>
        </w:rPr>
      </w:pPr>
    </w:p>
    <w:p w:rsidR="003639F9" w:rsidRPr="00304F6F" w:rsidP="003639F9" w14:paraId="3F4132A1" w14:textId="0A3F23D9">
      <w:pPr>
        <w:ind w:left="720"/>
        <w:rPr>
          <w:rFonts w:ascii="Times New Roman" w:eastAsia="Calibri" w:hAnsi="Times New Roman"/>
          <w:szCs w:val="24"/>
        </w:rPr>
      </w:pPr>
      <w:r w:rsidRPr="00304F6F">
        <w:rPr>
          <w:rFonts w:ascii="Times New Roman" w:eastAsia="Calibri" w:hAnsi="Times New Roman"/>
          <w:szCs w:val="24"/>
        </w:rPr>
        <w:t>There are no special circumstances that would cause an information collection to be conducted in a manner consistent with any of the examples listed above.</w:t>
      </w:r>
    </w:p>
    <w:p w:rsidR="00AD381B" w:rsidRPr="00304F6F" w:rsidP="003639F9" w14:paraId="58CE2548" w14:textId="434029B9">
      <w:pPr>
        <w:pStyle w:val="ListParagraph"/>
        <w:rPr>
          <w:rFonts w:ascii="Times New Roman" w:hAnsi="Times New Roman"/>
          <w:szCs w:val="24"/>
        </w:rPr>
      </w:pPr>
    </w:p>
    <w:p w:rsidR="00D75313" w:rsidRPr="00304F6F"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304F6F">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304F6F"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RPr="00304F6F" w:rsidP="00D75313" w14:paraId="58CE254B" w14:textId="58B146B8">
      <w:pPr>
        <w:pStyle w:val="ListParagraph"/>
        <w:tabs>
          <w:tab w:val="left" w:pos="-720"/>
          <w:tab w:val="left" w:pos="375"/>
        </w:tabs>
        <w:suppressAutoHyphens/>
        <w:contextualSpacing w:val="0"/>
        <w:rPr>
          <w:rFonts w:ascii="Times New Roman" w:hAnsi="Times New Roman"/>
          <w:b/>
          <w:szCs w:val="24"/>
        </w:rPr>
      </w:pPr>
      <w:r w:rsidRPr="00304F6F">
        <w:rPr>
          <w:rFonts w:ascii="Times New Roman" w:hAnsi="Times New Roman"/>
          <w:b/>
          <w:szCs w:val="24"/>
        </w:rPr>
        <w:t xml:space="preserve">Include a citation for the 60 day comment period (e.g. Vol. 84 FR ##### and the date of publication).  Summarize public comments received in response to the </w:t>
      </w:r>
      <w:r w:rsidRPr="00304F6F" w:rsidR="00623EB1">
        <w:rPr>
          <w:rFonts w:ascii="Times New Roman" w:hAnsi="Times New Roman"/>
          <w:b/>
          <w:szCs w:val="24"/>
        </w:rPr>
        <w:t>60-day</w:t>
      </w:r>
      <w:r w:rsidRPr="00304F6F">
        <w:rPr>
          <w:rFonts w:ascii="Times New Roman" w:hAnsi="Times New Roman"/>
          <w:b/>
          <w:szCs w:val="24"/>
        </w:rPr>
        <w:t xml:space="preserve"> notice and describe actions taken by the agency in response to these comments.  Specifically address comments received on cost and hour burden.</w:t>
      </w:r>
      <w:r w:rsidRPr="00304F6F" w:rsidR="007C0A4C">
        <w:rPr>
          <w:rFonts w:ascii="Times New Roman" w:hAnsi="Times New Roman"/>
          <w:b/>
          <w:szCs w:val="24"/>
        </w:rPr>
        <w:t xml:space="preserve">  If only non-substantive comments are provided, please provide a statement to that effect and that it did not relate or warrant any change</w:t>
      </w:r>
      <w:r w:rsidRPr="00304F6F">
        <w:rPr>
          <w:rFonts w:ascii="Times New Roman" w:hAnsi="Times New Roman"/>
          <w:b/>
          <w:szCs w:val="24"/>
        </w:rPr>
        <w:t>s to this information collection request</w:t>
      </w:r>
      <w:r w:rsidRPr="00304F6F" w:rsidR="007C0A4C">
        <w:rPr>
          <w:rFonts w:ascii="Times New Roman" w:hAnsi="Times New Roman"/>
          <w:b/>
          <w:szCs w:val="24"/>
        </w:rPr>
        <w:t xml:space="preserve">. </w:t>
      </w:r>
      <w:r w:rsidRPr="00304F6F">
        <w:rPr>
          <w:rFonts w:ascii="Times New Roman" w:hAnsi="Times New Roman"/>
          <w:b/>
          <w:szCs w:val="24"/>
        </w:rPr>
        <w:t>In your comments, please also indicate the number of public comments received.</w:t>
      </w:r>
    </w:p>
    <w:p w:rsidR="00D75313" w:rsidRPr="00304F6F" w:rsidP="00D52F88" w14:paraId="58CE254C" w14:textId="77777777">
      <w:pPr>
        <w:tabs>
          <w:tab w:val="left" w:pos="-720"/>
          <w:tab w:val="left" w:pos="375"/>
        </w:tabs>
        <w:suppressAutoHyphens/>
        <w:rPr>
          <w:rFonts w:ascii="Times New Roman" w:hAnsi="Times New Roman"/>
          <w:b/>
          <w:szCs w:val="24"/>
        </w:rPr>
      </w:pPr>
    </w:p>
    <w:p w:rsidR="00D75313" w:rsidRPr="00304F6F" w:rsidP="00D75313" w14:paraId="58CE254D" w14:textId="38B9065B">
      <w:pPr>
        <w:pStyle w:val="ListParagraph"/>
        <w:tabs>
          <w:tab w:val="left" w:pos="-720"/>
          <w:tab w:val="left" w:pos="375"/>
        </w:tabs>
        <w:suppressAutoHyphens/>
        <w:contextualSpacing w:val="0"/>
        <w:rPr>
          <w:rFonts w:ascii="Times New Roman" w:hAnsi="Times New Roman"/>
          <w:b/>
          <w:szCs w:val="24"/>
        </w:rPr>
      </w:pPr>
      <w:r w:rsidRPr="00304F6F">
        <w:rPr>
          <w:rFonts w:ascii="Times New Roman" w:hAnsi="Times New Roman"/>
          <w:b/>
          <w:szCs w:val="24"/>
        </w:rPr>
        <w:t xml:space="preserve">For the </w:t>
      </w:r>
      <w:r w:rsidRPr="00304F6F" w:rsidR="00623EB1">
        <w:rPr>
          <w:rFonts w:ascii="Times New Roman" w:hAnsi="Times New Roman"/>
          <w:b/>
          <w:szCs w:val="24"/>
        </w:rPr>
        <w:t>30-day</w:t>
      </w:r>
      <w:r w:rsidRPr="00304F6F">
        <w:rPr>
          <w:rFonts w:ascii="Times New Roman" w:hAnsi="Times New Roman"/>
          <w:b/>
          <w:szCs w:val="24"/>
        </w:rPr>
        <w:t xml:space="preserve"> notice, indicate that a notice will be published.</w:t>
      </w:r>
    </w:p>
    <w:p w:rsidR="00043C32" w:rsidRPr="00304F6F" w:rsidP="00AD381B" w14:paraId="58CE254E" w14:textId="77777777">
      <w:pPr>
        <w:tabs>
          <w:tab w:val="left" w:pos="-720"/>
        </w:tabs>
        <w:suppressAutoHyphens/>
        <w:ind w:left="720"/>
        <w:rPr>
          <w:rStyle w:val="a"/>
          <w:rFonts w:ascii="Times New Roman" w:hAnsi="Times New Roman"/>
          <w:b/>
          <w:szCs w:val="24"/>
        </w:rPr>
      </w:pPr>
      <w:r w:rsidRPr="00304F6F">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304F6F">
        <w:rPr>
          <w:rStyle w:val="a"/>
          <w:rFonts w:ascii="Times New Roman" w:hAnsi="Times New Roman"/>
          <w:b/>
          <w:szCs w:val="24"/>
        </w:rPr>
        <w:t>keeping, disclosure, or reporting format (if any), and on the data elements to be recorded, disclosed, or reported.</w:t>
      </w:r>
    </w:p>
    <w:p w:rsidR="00043C32" w:rsidRPr="00304F6F" w:rsidP="00AD381B" w14:paraId="58CE254F" w14:textId="77777777">
      <w:pPr>
        <w:tabs>
          <w:tab w:val="left" w:pos="-720"/>
        </w:tabs>
        <w:suppressAutoHyphens/>
        <w:rPr>
          <w:rStyle w:val="a"/>
          <w:rFonts w:ascii="Times New Roman" w:hAnsi="Times New Roman"/>
          <w:b/>
          <w:szCs w:val="24"/>
        </w:rPr>
      </w:pPr>
    </w:p>
    <w:p w:rsidR="00043C32" w:rsidRPr="00304F6F" w:rsidP="00AD381B" w14:paraId="58CE2550" w14:textId="4D326CFA">
      <w:pPr>
        <w:tabs>
          <w:tab w:val="left" w:pos="-720"/>
        </w:tabs>
        <w:suppressAutoHyphens/>
        <w:ind w:left="720"/>
        <w:rPr>
          <w:rStyle w:val="a"/>
          <w:rFonts w:ascii="Times New Roman" w:hAnsi="Times New Roman"/>
          <w:b/>
          <w:szCs w:val="24"/>
        </w:rPr>
      </w:pPr>
      <w:r w:rsidRPr="00304F6F">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52F88" w:rsidRPr="00304F6F" w:rsidP="00AD381B" w14:paraId="228B9760" w14:textId="77777777">
      <w:pPr>
        <w:tabs>
          <w:tab w:val="left" w:pos="-720"/>
        </w:tabs>
        <w:suppressAutoHyphens/>
        <w:ind w:left="720"/>
        <w:rPr>
          <w:rStyle w:val="a"/>
          <w:rFonts w:ascii="Times New Roman" w:hAnsi="Times New Roman"/>
          <w:b/>
          <w:szCs w:val="24"/>
        </w:rPr>
      </w:pPr>
    </w:p>
    <w:p w:rsidR="003C2E39" w:rsidRPr="00304F6F" w:rsidP="003C2E39" w14:paraId="0661221B" w14:textId="2F9E4203">
      <w:pPr>
        <w:tabs>
          <w:tab w:val="left" w:pos="-720"/>
        </w:tabs>
        <w:suppressAutoHyphens/>
        <w:spacing w:after="960"/>
        <w:ind w:left="720"/>
        <w:contextualSpacing/>
        <w:rPr>
          <w:rFonts w:ascii="Times New Roman" w:hAnsi="Times New Roman"/>
          <w:szCs w:val="24"/>
        </w:rPr>
      </w:pPr>
      <w:r w:rsidRPr="00304F6F">
        <w:rPr>
          <w:rFonts w:ascii="Times New Roman" w:hAnsi="Times New Roman"/>
        </w:rPr>
        <w:t xml:space="preserve">ED (the Department) published the applicable 60-day notice in the Federal Register inviting public comment on the data collection and the burden assessment.  </w:t>
      </w:r>
    </w:p>
    <w:p w:rsidR="003C2E39" w:rsidRPr="00304F6F" w:rsidP="003C2E39" w14:paraId="034692CC" w14:textId="77777777">
      <w:pPr>
        <w:tabs>
          <w:tab w:val="left" w:pos="-720"/>
        </w:tabs>
        <w:suppressAutoHyphens/>
        <w:ind w:left="720"/>
        <w:rPr>
          <w:rFonts w:ascii="Times New Roman" w:hAnsi="Times New Roman"/>
          <w:iCs/>
          <w:szCs w:val="24"/>
        </w:rPr>
      </w:pPr>
    </w:p>
    <w:p w:rsidR="003C2E39" w:rsidRPr="00304F6F" w:rsidP="003C2E39" w14:paraId="457A5C79" w14:textId="5A612DE3">
      <w:pPr>
        <w:tabs>
          <w:tab w:val="left" w:pos="-720"/>
        </w:tabs>
        <w:suppressAutoHyphens/>
        <w:ind w:left="720"/>
        <w:rPr>
          <w:rFonts w:ascii="Times New Roman" w:hAnsi="Times New Roman"/>
          <w:szCs w:val="24"/>
        </w:rPr>
      </w:pPr>
      <w:r w:rsidRPr="00304F6F">
        <w:rPr>
          <w:rFonts w:ascii="Times New Roman" w:hAnsi="Times New Roman"/>
          <w:iCs/>
          <w:szCs w:val="24"/>
        </w:rPr>
        <w:t xml:space="preserve">The Department will publish the applicable 30-day notice in the Federal Register for  additional public comments, </w:t>
      </w:r>
      <w:r w:rsidRPr="00304F6F">
        <w:rPr>
          <w:rFonts w:ascii="Times New Roman" w:hAnsi="Times New Roman"/>
          <w:szCs w:val="24"/>
        </w:rPr>
        <w:t xml:space="preserve">with public comments considered in finalizing the information collection. </w:t>
      </w:r>
    </w:p>
    <w:p w:rsidR="00ED0581" w:rsidRPr="00304F6F" w:rsidP="003C2E39" w14:paraId="5D2A3A86" w14:textId="77777777">
      <w:pPr>
        <w:tabs>
          <w:tab w:val="left" w:pos="-720"/>
        </w:tabs>
        <w:suppressAutoHyphens/>
        <w:ind w:left="720"/>
        <w:rPr>
          <w:rFonts w:ascii="Times New Roman" w:hAnsi="Times New Roman"/>
          <w:iCs/>
          <w:szCs w:val="24"/>
        </w:rPr>
      </w:pPr>
    </w:p>
    <w:p w:rsidR="00043C32" w:rsidRPr="00304F6F" w:rsidP="00AD381B" w14:paraId="58CE2553" w14:textId="6803AF5E">
      <w:pPr>
        <w:pStyle w:val="ListParagraph"/>
        <w:numPr>
          <w:ilvl w:val="0"/>
          <w:numId w:val="5"/>
        </w:numPr>
        <w:tabs>
          <w:tab w:val="left" w:pos="-720"/>
        </w:tabs>
        <w:suppressAutoHyphens/>
        <w:contextualSpacing w:val="0"/>
        <w:rPr>
          <w:rStyle w:val="a"/>
          <w:rFonts w:ascii="Times New Roman" w:hAnsi="Times New Roman"/>
          <w:b/>
          <w:szCs w:val="24"/>
        </w:rPr>
      </w:pPr>
      <w:r w:rsidRPr="00304F6F">
        <w:rPr>
          <w:rStyle w:val="a"/>
          <w:rFonts w:ascii="Times New Roman" w:hAnsi="Times New Roman"/>
          <w:b/>
          <w:szCs w:val="24"/>
        </w:rPr>
        <w:t>Explain any decision to provide any payment or gift to respondents, other than remuneration of contractors or grantees with meaningful justification.</w:t>
      </w:r>
    </w:p>
    <w:p w:rsidR="00D52F88" w:rsidRPr="00304F6F" w:rsidP="00D52F88" w14:paraId="706BA873" w14:textId="6D2A34EB">
      <w:pPr>
        <w:pStyle w:val="ListParagraph"/>
        <w:tabs>
          <w:tab w:val="left" w:pos="-720"/>
        </w:tabs>
        <w:suppressAutoHyphens/>
        <w:contextualSpacing w:val="0"/>
        <w:rPr>
          <w:rStyle w:val="a"/>
          <w:rFonts w:ascii="Times New Roman" w:hAnsi="Times New Roman"/>
          <w:b/>
          <w:szCs w:val="24"/>
        </w:rPr>
      </w:pPr>
    </w:p>
    <w:p w:rsidR="00920F63" w:rsidRPr="00304F6F" w:rsidP="00DB1E11" w14:paraId="58CE2555" w14:textId="5BBEF7F9">
      <w:pPr>
        <w:spacing w:after="200" w:line="276" w:lineRule="auto"/>
        <w:ind w:left="720"/>
        <w:rPr>
          <w:rFonts w:ascii="Times New Roman" w:eastAsia="Calibri" w:hAnsi="Times New Roman"/>
          <w:szCs w:val="24"/>
        </w:rPr>
      </w:pPr>
      <w:r w:rsidRPr="00304F6F">
        <w:rPr>
          <w:rFonts w:ascii="Times New Roman" w:eastAsia="Calibri" w:hAnsi="Times New Roman"/>
          <w:szCs w:val="24"/>
        </w:rPr>
        <w:t>The Department does not provide any payment or gift to an accrediting agency that applies for recognition.</w:t>
      </w:r>
    </w:p>
    <w:p w:rsidR="00043C32" w:rsidRPr="00304F6F" w:rsidP="00AD381B" w14:paraId="58CE2556" w14:textId="4260000D">
      <w:pPr>
        <w:pStyle w:val="ListParagraph"/>
        <w:numPr>
          <w:ilvl w:val="0"/>
          <w:numId w:val="5"/>
        </w:numPr>
        <w:tabs>
          <w:tab w:val="left" w:pos="-720"/>
        </w:tabs>
        <w:suppressAutoHyphens/>
        <w:ind w:hanging="547"/>
        <w:contextualSpacing w:val="0"/>
        <w:rPr>
          <w:rFonts w:ascii="Times New Roman" w:hAnsi="Times New Roman"/>
          <w:b/>
          <w:szCs w:val="24"/>
        </w:rPr>
      </w:pPr>
      <w:r w:rsidRPr="00304F6F">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304F6F">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304F6F" w:rsidR="00920F63">
        <w:rPr>
          <w:rFonts w:ascii="Times New Roman" w:hAnsi="Times New Roman"/>
          <w:b/>
          <w:szCs w:val="24"/>
        </w:rPr>
        <w:t>ity</w:t>
      </w:r>
      <w:r w:rsidRPr="00304F6F">
        <w:rPr>
          <w:rFonts w:ascii="Times New Roman" w:hAnsi="Times New Roman"/>
          <w:b/>
          <w:szCs w:val="24"/>
        </w:rPr>
        <w:t xml:space="preserve"> of the data.</w:t>
      </w:r>
      <w:r w:rsidRPr="00304F6F" w:rsidR="009767AF">
        <w:rPr>
          <w:rFonts w:ascii="Times New Roman" w:hAnsi="Times New Roman"/>
          <w:b/>
          <w:szCs w:val="24"/>
        </w:rPr>
        <w:t xml:space="preserve"> If no PII will be collected, state that no assurance of confidentiality is provided to respondents.</w:t>
      </w:r>
      <w:r w:rsidRPr="00304F6F"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4017E" w:rsidRPr="00304F6F" w:rsidP="0074017E" w14:paraId="77EEBED9" w14:textId="1D1C79A7">
      <w:pPr>
        <w:pStyle w:val="ListParagraph"/>
        <w:tabs>
          <w:tab w:val="left" w:pos="-720"/>
        </w:tabs>
        <w:suppressAutoHyphens/>
        <w:contextualSpacing w:val="0"/>
        <w:rPr>
          <w:rFonts w:ascii="Times New Roman" w:hAnsi="Times New Roman"/>
          <w:b/>
          <w:szCs w:val="24"/>
        </w:rPr>
      </w:pPr>
    </w:p>
    <w:p w:rsidR="00920F63" w:rsidRPr="00304F6F" w:rsidP="00AE5EED" w14:paraId="58CE2557" w14:textId="737F40CC">
      <w:pPr>
        <w:spacing w:after="200" w:line="276" w:lineRule="auto"/>
        <w:ind w:left="720"/>
        <w:rPr>
          <w:rFonts w:ascii="Times New Roman" w:eastAsia="Calibri" w:hAnsi="Times New Roman"/>
          <w:szCs w:val="24"/>
        </w:rPr>
      </w:pPr>
      <w:r w:rsidRPr="00304F6F">
        <w:rPr>
          <w:rFonts w:ascii="Times New Roman" w:eastAsia="Calibri" w:hAnsi="Times New Roman"/>
          <w:szCs w:val="24"/>
        </w:rPr>
        <w:t xml:space="preserve">No assurances of confidentiality are given to the countries/accrediting agencies other than those provided under the Freedom of Information Act. </w:t>
      </w:r>
    </w:p>
    <w:p w:rsidR="00920F63" w:rsidRPr="00304F6F" w:rsidP="00E25EBC" w14:paraId="58CE2558" w14:textId="77777777">
      <w:pPr>
        <w:tabs>
          <w:tab w:val="left" w:pos="-720"/>
        </w:tabs>
        <w:suppressAutoHyphens/>
        <w:rPr>
          <w:rFonts w:ascii="Times New Roman" w:hAnsi="Times New Roman"/>
          <w:szCs w:val="24"/>
        </w:rPr>
      </w:pPr>
    </w:p>
    <w:p w:rsidR="00043C32" w:rsidRPr="00304F6F" w:rsidP="00AD381B" w14:paraId="58CE2559" w14:textId="43AC9EBF">
      <w:pPr>
        <w:pStyle w:val="ListParagraph"/>
        <w:numPr>
          <w:ilvl w:val="0"/>
          <w:numId w:val="5"/>
        </w:numPr>
        <w:tabs>
          <w:tab w:val="left" w:pos="-720"/>
        </w:tabs>
        <w:suppressAutoHyphens/>
        <w:ind w:hanging="540"/>
        <w:contextualSpacing w:val="0"/>
        <w:rPr>
          <w:rFonts w:ascii="Times New Roman" w:hAnsi="Times New Roman"/>
          <w:b/>
          <w:szCs w:val="24"/>
        </w:rPr>
      </w:pPr>
      <w:r w:rsidRPr="00304F6F">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017E" w:rsidRPr="00304F6F" w:rsidP="0074017E" w14:paraId="5052D050" w14:textId="140E7F7B">
      <w:pPr>
        <w:pStyle w:val="ListParagraph"/>
        <w:tabs>
          <w:tab w:val="left" w:pos="-720"/>
        </w:tabs>
        <w:suppressAutoHyphens/>
        <w:contextualSpacing w:val="0"/>
        <w:rPr>
          <w:rFonts w:ascii="Times New Roman" w:hAnsi="Times New Roman"/>
          <w:b/>
          <w:szCs w:val="24"/>
        </w:rPr>
      </w:pPr>
    </w:p>
    <w:p w:rsidR="00920F63" w:rsidRPr="00304F6F" w:rsidP="00F06018" w14:paraId="58CE255B" w14:textId="082FBEC4">
      <w:pPr>
        <w:spacing w:after="200" w:line="276" w:lineRule="auto"/>
        <w:rPr>
          <w:rFonts w:ascii="Times New Roman" w:eastAsia="Calibri" w:hAnsi="Times New Roman"/>
          <w:szCs w:val="24"/>
        </w:rPr>
      </w:pPr>
      <w:r w:rsidRPr="00304F6F">
        <w:rPr>
          <w:rFonts w:ascii="Times New Roman" w:eastAsia="Calibri" w:hAnsi="Times New Roman"/>
          <w:szCs w:val="24"/>
        </w:rPr>
        <w:t xml:space="preserve">              There are no questions of a sensitive or private nature in the information collected.</w:t>
      </w:r>
    </w:p>
    <w:p w:rsidR="00043C32" w:rsidRPr="00304F6F"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304F6F">
        <w:rPr>
          <w:rStyle w:val="a"/>
          <w:rFonts w:ascii="Times New Roman" w:hAnsi="Times New Roman"/>
          <w:b/>
          <w:szCs w:val="24"/>
        </w:rPr>
        <w:t xml:space="preserve">Provide estimates of the hour burden </w:t>
      </w:r>
      <w:r w:rsidRPr="00304F6F" w:rsidR="00F5782B">
        <w:rPr>
          <w:rStyle w:val="a"/>
          <w:rFonts w:ascii="Times New Roman" w:hAnsi="Times New Roman"/>
          <w:b/>
          <w:szCs w:val="24"/>
        </w:rPr>
        <w:t xml:space="preserve">for </w:t>
      </w:r>
      <w:r w:rsidRPr="00304F6F">
        <w:rPr>
          <w:rStyle w:val="a"/>
          <w:rFonts w:ascii="Times New Roman" w:hAnsi="Times New Roman"/>
          <w:b/>
          <w:szCs w:val="24"/>
        </w:rPr>
        <w:t>th</w:t>
      </w:r>
      <w:r w:rsidRPr="00304F6F" w:rsidR="00F5782B">
        <w:rPr>
          <w:rStyle w:val="a"/>
          <w:rFonts w:ascii="Times New Roman" w:hAnsi="Times New Roman"/>
          <w:b/>
          <w:szCs w:val="24"/>
        </w:rPr>
        <w:t>is</w:t>
      </w:r>
      <w:r w:rsidRPr="00304F6F">
        <w:rPr>
          <w:rStyle w:val="a"/>
          <w:rFonts w:ascii="Times New Roman" w:hAnsi="Times New Roman"/>
          <w:b/>
          <w:szCs w:val="24"/>
        </w:rPr>
        <w:t xml:space="preserve"> </w:t>
      </w:r>
      <w:r w:rsidRPr="00304F6F" w:rsidR="00F31BEC">
        <w:rPr>
          <w:rStyle w:val="a"/>
          <w:rFonts w:ascii="Times New Roman" w:hAnsi="Times New Roman"/>
          <w:b/>
          <w:szCs w:val="24"/>
        </w:rPr>
        <w:t>current information collection request</w:t>
      </w:r>
      <w:r w:rsidRPr="00304F6F">
        <w:rPr>
          <w:rStyle w:val="a"/>
          <w:rFonts w:ascii="Times New Roman" w:hAnsi="Times New Roman"/>
          <w:b/>
          <w:szCs w:val="24"/>
        </w:rPr>
        <w:t>.  The statement should:</w:t>
      </w:r>
    </w:p>
    <w:p w:rsidR="00043C32" w:rsidRPr="00304F6F" w:rsidP="00AD381B" w14:paraId="58CE255D" w14:textId="77777777">
      <w:pPr>
        <w:tabs>
          <w:tab w:val="left" w:pos="-720"/>
        </w:tabs>
        <w:suppressAutoHyphens/>
        <w:rPr>
          <w:rStyle w:val="a"/>
          <w:rFonts w:ascii="Times New Roman" w:hAnsi="Times New Roman"/>
          <w:b/>
          <w:szCs w:val="24"/>
        </w:rPr>
      </w:pPr>
    </w:p>
    <w:p w:rsidR="00C224FD" w:rsidRPr="00304F6F"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304F6F">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304F6F" w:rsidP="00C224FD" w14:paraId="58CE255F" w14:textId="77777777">
      <w:pPr>
        <w:numPr>
          <w:ilvl w:val="0"/>
          <w:numId w:val="2"/>
        </w:numPr>
        <w:tabs>
          <w:tab w:val="left" w:pos="-720"/>
          <w:tab w:val="left" w:pos="1247"/>
        </w:tabs>
        <w:suppressAutoHyphens/>
        <w:rPr>
          <w:rStyle w:val="a"/>
          <w:rFonts w:ascii="Times New Roman" w:hAnsi="Times New Roman"/>
          <w:b/>
          <w:szCs w:val="24"/>
        </w:rPr>
      </w:pPr>
      <w:r w:rsidRPr="00304F6F">
        <w:rPr>
          <w:rStyle w:val="a"/>
          <w:rFonts w:ascii="Times New Roman" w:hAnsi="Times New Roman"/>
          <w:b/>
          <w:szCs w:val="24"/>
        </w:rPr>
        <w:t>Please do not include increases in burden and respondents numerically in this table. Explain these changes in number 15.</w:t>
      </w:r>
    </w:p>
    <w:p w:rsidR="00043C32" w:rsidRPr="00304F6F"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304F6F">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304F6F" w:rsidR="00C224FD">
        <w:rPr>
          <w:rStyle w:val="a"/>
          <w:rFonts w:ascii="Times New Roman" w:hAnsi="Times New Roman"/>
          <w:b/>
          <w:szCs w:val="24"/>
        </w:rPr>
        <w:t>.</w:t>
      </w:r>
      <w:r w:rsidRPr="00304F6F">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304F6F"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304F6F">
        <w:rPr>
          <w:rStyle w:val="a"/>
          <w:rFonts w:ascii="Times New Roman" w:hAnsi="Times New Roman"/>
          <w:b/>
          <w:szCs w:val="24"/>
        </w:rPr>
        <w:t xml:space="preserve">If this request for approval covers more than one form, provide separate hour burden estimates for each form and aggregate the hour burden in the </w:t>
      </w:r>
      <w:r w:rsidRPr="00304F6F" w:rsidR="00C224FD">
        <w:rPr>
          <w:rStyle w:val="a"/>
          <w:rFonts w:ascii="Times New Roman" w:hAnsi="Times New Roman"/>
          <w:b/>
          <w:szCs w:val="24"/>
        </w:rPr>
        <w:t>table below.</w:t>
      </w:r>
    </w:p>
    <w:p w:rsidR="00043C32" w:rsidRPr="00304F6F"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304F6F">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304F6F" w:rsidR="00C92035">
          <w:rPr>
            <w:rStyle w:val="Hyperlink"/>
            <w:rFonts w:ascii="Times New Roman" w:hAnsi="Times New Roman"/>
            <w:b/>
            <w:color w:val="auto"/>
            <w:szCs w:val="24"/>
          </w:rPr>
          <w:t>U</w:t>
        </w:r>
        <w:r w:rsidRPr="00304F6F" w:rsidR="00960C86">
          <w:rPr>
            <w:rStyle w:val="Hyperlink"/>
            <w:rFonts w:ascii="Times New Roman" w:hAnsi="Times New Roman"/>
            <w:b/>
            <w:color w:val="auto"/>
            <w:szCs w:val="24"/>
          </w:rPr>
          <w:t>se this site</w:t>
        </w:r>
      </w:hyperlink>
      <w:r w:rsidRPr="00304F6F" w:rsidR="00960C86">
        <w:rPr>
          <w:rStyle w:val="a"/>
          <w:rFonts w:ascii="Times New Roman" w:hAnsi="Times New Roman"/>
          <w:b/>
          <w:szCs w:val="24"/>
        </w:rPr>
        <w:t xml:space="preserve"> to research the appropriate wage rate. </w:t>
      </w:r>
      <w:r w:rsidRPr="00304F6F">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304F6F" w:rsidR="00D75313">
        <w:rPr>
          <w:rStyle w:val="a"/>
          <w:rFonts w:ascii="Times New Roman" w:hAnsi="Times New Roman"/>
          <w:b/>
          <w:szCs w:val="24"/>
        </w:rPr>
        <w:t xml:space="preserve"> If there is no cost to respondents, indicate by entering 0 in the chart below and/or provide a statement.</w:t>
      </w:r>
    </w:p>
    <w:p w:rsidR="00756FD3" w:rsidRPr="00304F6F" w:rsidP="00756FD3" w14:paraId="58CE2563" w14:textId="77777777">
      <w:pPr>
        <w:tabs>
          <w:tab w:val="left" w:pos="-720"/>
          <w:tab w:val="left" w:pos="1247"/>
        </w:tabs>
        <w:suppressAutoHyphens/>
        <w:rPr>
          <w:rStyle w:val="a"/>
          <w:rFonts w:ascii="Times New Roman" w:hAnsi="Times New Roman"/>
          <w:b/>
          <w:szCs w:val="24"/>
        </w:rPr>
      </w:pPr>
    </w:p>
    <w:p w:rsidR="004C6A03" w:rsidRPr="00304F6F" w:rsidP="0003008B" w14:paraId="132A092C" w14:textId="30008F04">
      <w:pPr>
        <w:pStyle w:val="ListParagraph"/>
        <w:tabs>
          <w:tab w:val="left" w:pos="-720"/>
        </w:tabs>
        <w:suppressAutoHyphens/>
        <w:contextualSpacing w:val="0"/>
        <w:rPr>
          <w:rFonts w:ascii="Times New Roman" w:hAnsi="Times New Roman"/>
          <w:b/>
          <w:sz w:val="26"/>
          <w:szCs w:val="26"/>
        </w:rPr>
      </w:pPr>
      <w:r w:rsidRPr="00304F6F">
        <w:rPr>
          <w:rFonts w:ascii="Times New Roman" w:hAnsi="Times New Roman"/>
          <w:b/>
          <w:sz w:val="26"/>
          <w:szCs w:val="26"/>
        </w:rPr>
        <w:t xml:space="preserve">Provide a descriptive narrative here in addition to completing the table </w:t>
      </w:r>
      <w:r w:rsidRPr="00304F6F" w:rsidR="00952DF9">
        <w:rPr>
          <w:rFonts w:ascii="Times New Roman" w:hAnsi="Times New Roman"/>
          <w:b/>
          <w:sz w:val="26"/>
          <w:szCs w:val="26"/>
        </w:rPr>
        <w:t xml:space="preserve">below </w:t>
      </w:r>
      <w:r w:rsidRPr="00304F6F">
        <w:rPr>
          <w:rFonts w:ascii="Times New Roman" w:hAnsi="Times New Roman"/>
          <w:b/>
          <w:sz w:val="26"/>
          <w:szCs w:val="26"/>
        </w:rPr>
        <w:t xml:space="preserve">with burden hour </w:t>
      </w:r>
      <w:r w:rsidRPr="00304F6F" w:rsidR="00952DF9">
        <w:rPr>
          <w:rFonts w:ascii="Times New Roman" w:hAnsi="Times New Roman"/>
          <w:b/>
          <w:sz w:val="26"/>
          <w:szCs w:val="26"/>
        </w:rPr>
        <w:t>estimates.</w:t>
      </w:r>
    </w:p>
    <w:p w:rsidR="0003008B" w:rsidRPr="00304F6F" w:rsidP="0003008B" w14:paraId="207B6A1E" w14:textId="77777777">
      <w:pPr>
        <w:pStyle w:val="ListParagraph"/>
        <w:tabs>
          <w:tab w:val="left" w:pos="-720"/>
        </w:tabs>
        <w:suppressAutoHyphens/>
        <w:contextualSpacing w:val="0"/>
        <w:rPr>
          <w:rFonts w:ascii="Times New Roman" w:hAnsi="Times New Roman"/>
          <w:b/>
          <w:sz w:val="26"/>
          <w:szCs w:val="26"/>
        </w:rPr>
      </w:pPr>
    </w:p>
    <w:p w:rsidR="009E79F4" w:rsidRPr="00304F6F" w:rsidP="2F67BDF8" w14:paraId="21822A67" w14:textId="6E8A4369">
      <w:pPr>
        <w:spacing w:after="200"/>
        <w:ind w:left="720"/>
        <w:rPr>
          <w:rFonts w:ascii="Times New Roman" w:eastAsia="Calibri" w:hAnsi="Times New Roman"/>
        </w:rPr>
      </w:pPr>
      <w:r w:rsidRPr="00304F6F">
        <w:rPr>
          <w:rFonts w:ascii="Times New Roman" w:eastAsia="Calibri" w:hAnsi="Times New Roman"/>
        </w:rPr>
        <w:t xml:space="preserve">The number of accrediting organizations (not-for-profit associations) that respond to the information collection is </w:t>
      </w:r>
      <w:r w:rsidRPr="00304F6F" w:rsidR="026EF51B">
        <w:rPr>
          <w:rFonts w:ascii="Times New Roman" w:eastAsia="Calibri" w:hAnsi="Times New Roman"/>
        </w:rPr>
        <w:t>61</w:t>
      </w:r>
      <w:r w:rsidRPr="00304F6F">
        <w:rPr>
          <w:rFonts w:ascii="Times New Roman" w:eastAsia="Calibri" w:hAnsi="Times New Roman"/>
        </w:rPr>
        <w:t xml:space="preserve">.  This provision applies to all </w:t>
      </w:r>
      <w:r w:rsidRPr="00304F6F" w:rsidR="026EF51B">
        <w:rPr>
          <w:rFonts w:ascii="Times New Roman" w:eastAsia="Calibri" w:hAnsi="Times New Roman"/>
        </w:rPr>
        <w:t>61</w:t>
      </w:r>
      <w:r w:rsidRPr="00304F6F">
        <w:rPr>
          <w:rFonts w:ascii="Times New Roman" w:eastAsia="Calibri" w:hAnsi="Times New Roman"/>
        </w:rPr>
        <w:t xml:space="preserve"> agencies in this group </w:t>
      </w:r>
      <w:r w:rsidRPr="00304F6F" w:rsidR="005A2DAB">
        <w:rPr>
          <w:rFonts w:ascii="Times New Roman" w:eastAsia="Calibri" w:hAnsi="Times New Roman"/>
        </w:rPr>
        <w:t>(</w:t>
      </w:r>
      <w:r w:rsidRPr="00304F6F" w:rsidR="045205E5">
        <w:rPr>
          <w:rFonts w:ascii="Times New Roman" w:eastAsia="Calibri" w:hAnsi="Times New Roman"/>
        </w:rPr>
        <w:t xml:space="preserve">12 </w:t>
      </w:r>
      <w:r w:rsidRPr="00304F6F">
        <w:rPr>
          <w:rFonts w:ascii="Times New Roman" w:eastAsia="Calibri" w:hAnsi="Times New Roman"/>
        </w:rPr>
        <w:t>are institutional accrediting agencies that are recognized for Title IV purposes</w:t>
      </w:r>
      <w:r w:rsidRPr="00304F6F" w:rsidR="005A2DAB">
        <w:rPr>
          <w:rFonts w:ascii="Times New Roman" w:eastAsia="Calibri" w:hAnsi="Times New Roman"/>
        </w:rPr>
        <w:t>)</w:t>
      </w:r>
      <w:r w:rsidRPr="00304F6F">
        <w:rPr>
          <w:rFonts w:ascii="Times New Roman" w:eastAsia="Calibri" w:hAnsi="Times New Roman"/>
        </w:rPr>
        <w:t xml:space="preserve">. </w:t>
      </w:r>
      <w:r w:rsidRPr="00304F6F" w:rsidR="007A0558">
        <w:rPr>
          <w:rFonts w:ascii="Times New Roman" w:eastAsia="Calibri" w:hAnsi="Times New Roman"/>
        </w:rPr>
        <w:t>F</w:t>
      </w:r>
      <w:r w:rsidRPr="00304F6F">
        <w:rPr>
          <w:rFonts w:ascii="Times New Roman" w:eastAsia="Calibri" w:hAnsi="Times New Roman"/>
        </w:rPr>
        <w:t>our State agencies appro</w:t>
      </w:r>
      <w:r w:rsidRPr="00304F6F" w:rsidR="0019399D">
        <w:rPr>
          <w:rFonts w:ascii="Times New Roman" w:eastAsia="Calibri" w:hAnsi="Times New Roman"/>
        </w:rPr>
        <w:t>v</w:t>
      </w:r>
      <w:r w:rsidRPr="00304F6F" w:rsidR="00A80875">
        <w:rPr>
          <w:rFonts w:ascii="Times New Roman" w:eastAsia="Calibri" w:hAnsi="Times New Roman"/>
        </w:rPr>
        <w:t>e</w:t>
      </w:r>
      <w:r w:rsidRPr="00304F6F">
        <w:rPr>
          <w:rFonts w:ascii="Times New Roman" w:eastAsia="Calibri" w:hAnsi="Times New Roman"/>
        </w:rPr>
        <w:t xml:space="preserve"> vocation education </w:t>
      </w:r>
      <w:r w:rsidRPr="00304F6F" w:rsidR="00A80875">
        <w:rPr>
          <w:rFonts w:ascii="Times New Roman" w:eastAsia="Calibri" w:hAnsi="Times New Roman"/>
        </w:rPr>
        <w:t xml:space="preserve">and </w:t>
      </w:r>
      <w:r w:rsidRPr="00304F6F">
        <w:rPr>
          <w:rFonts w:ascii="Times New Roman" w:eastAsia="Calibri" w:hAnsi="Times New Roman"/>
        </w:rPr>
        <w:t xml:space="preserve">are included in the count of </w:t>
      </w:r>
      <w:r w:rsidRPr="00304F6F" w:rsidR="005FF937">
        <w:rPr>
          <w:rFonts w:ascii="Times New Roman" w:eastAsia="Calibri" w:hAnsi="Times New Roman"/>
        </w:rPr>
        <w:t>12</w:t>
      </w:r>
      <w:r w:rsidRPr="00304F6F">
        <w:rPr>
          <w:rFonts w:ascii="Times New Roman" w:eastAsia="Calibri" w:hAnsi="Times New Roman"/>
        </w:rPr>
        <w:t xml:space="preserve"> institutional accrediting agencies for Title IV purposes. The other </w:t>
      </w:r>
      <w:r w:rsidRPr="00304F6F" w:rsidR="598E3DEE">
        <w:rPr>
          <w:rFonts w:ascii="Times New Roman" w:eastAsia="Calibri" w:hAnsi="Times New Roman"/>
        </w:rPr>
        <w:t>49</w:t>
      </w:r>
      <w:r w:rsidRPr="00304F6F">
        <w:rPr>
          <w:rFonts w:ascii="Times New Roman" w:eastAsia="Calibri" w:hAnsi="Times New Roman"/>
        </w:rPr>
        <w:t xml:space="preserve"> agencies (including </w:t>
      </w:r>
      <w:r w:rsidRPr="00304F6F" w:rsidR="5767B76A">
        <w:rPr>
          <w:rFonts w:ascii="Times New Roman" w:eastAsia="Calibri" w:hAnsi="Times New Roman"/>
        </w:rPr>
        <w:t>four</w:t>
      </w:r>
      <w:r w:rsidRPr="00304F6F">
        <w:rPr>
          <w:rFonts w:ascii="Times New Roman" w:eastAsia="Calibri" w:hAnsi="Times New Roman"/>
        </w:rPr>
        <w:t xml:space="preserve"> State agencies for the approval of nurse education) are recognized for </w:t>
      </w:r>
      <w:r w:rsidRPr="00304F6F" w:rsidR="00E6667D">
        <w:rPr>
          <w:rFonts w:ascii="Times New Roman" w:eastAsia="Calibri" w:hAnsi="Times New Roman"/>
        </w:rPr>
        <w:t>non-HEA</w:t>
      </w:r>
      <w:r w:rsidRPr="00304F6F">
        <w:rPr>
          <w:rFonts w:ascii="Times New Roman" w:eastAsia="Calibri" w:hAnsi="Times New Roman"/>
        </w:rPr>
        <w:t xml:space="preserve"> purposes.</w:t>
      </w:r>
      <w:r w:rsidRPr="00304F6F" w:rsidR="00C365B3">
        <w:rPr>
          <w:rFonts w:ascii="Times New Roman" w:eastAsia="Calibri" w:hAnsi="Times New Roman"/>
        </w:rPr>
        <w:t xml:space="preserve"> Reporting </w:t>
      </w:r>
      <w:r w:rsidRPr="00304F6F" w:rsidR="0093541C">
        <w:rPr>
          <w:rFonts w:ascii="Times New Roman" w:eastAsia="Calibri" w:hAnsi="Times New Roman"/>
        </w:rPr>
        <w:t xml:space="preserve">for these </w:t>
      </w:r>
      <w:r w:rsidRPr="00304F6F" w:rsidR="00E6667D">
        <w:rPr>
          <w:rFonts w:ascii="Times New Roman" w:eastAsia="Calibri" w:hAnsi="Times New Roman"/>
        </w:rPr>
        <w:t>categories</w:t>
      </w:r>
      <w:r w:rsidRPr="00304F6F" w:rsidR="008F75F4">
        <w:rPr>
          <w:rFonts w:ascii="Times New Roman" w:eastAsia="Calibri" w:hAnsi="Times New Roman"/>
        </w:rPr>
        <w:t xml:space="preserve"> of agencies is required by 34 CFR</w:t>
      </w:r>
      <w:r w:rsidRPr="00304F6F" w:rsidR="0024438C">
        <w:rPr>
          <w:rFonts w:ascii="Times New Roman" w:eastAsia="Calibri" w:hAnsi="Times New Roman"/>
        </w:rPr>
        <w:t xml:space="preserve"> </w:t>
      </w:r>
      <w:r w:rsidRPr="00304F6F" w:rsidR="00FF27D7">
        <w:rPr>
          <w:rFonts w:ascii="Times New Roman" w:eastAsia="Calibri" w:hAnsi="Times New Roman"/>
        </w:rPr>
        <w:t>§</w:t>
      </w:r>
      <w:r w:rsidRPr="00304F6F" w:rsidR="0024438C">
        <w:rPr>
          <w:rFonts w:ascii="Times New Roman" w:eastAsia="Calibri" w:hAnsi="Times New Roman"/>
        </w:rPr>
        <w:t xml:space="preserve"> </w:t>
      </w:r>
      <w:r w:rsidRPr="00304F6F" w:rsidR="00FF27D7">
        <w:rPr>
          <w:rFonts w:ascii="Times New Roman" w:eastAsia="Calibri" w:hAnsi="Times New Roman"/>
        </w:rPr>
        <w:t>§ 602</w:t>
      </w:r>
      <w:r w:rsidRPr="00304F6F" w:rsidR="0024438C">
        <w:rPr>
          <w:rFonts w:ascii="Times New Roman" w:eastAsia="Calibri" w:hAnsi="Times New Roman"/>
        </w:rPr>
        <w:t xml:space="preserve"> and 603, and the 1969 nurse criteria. </w:t>
      </w:r>
    </w:p>
    <w:p w:rsidR="00B7267D" w:rsidRPr="00304F6F" w:rsidP="00B7267D" w14:paraId="0E6C8487" w14:textId="01D25D9B">
      <w:pPr>
        <w:ind w:left="720"/>
        <w:rPr>
          <w:rFonts w:ascii="Times New Roman" w:eastAsia="Calibri" w:hAnsi="Times New Roman"/>
          <w:szCs w:val="24"/>
        </w:rPr>
      </w:pPr>
      <w:bookmarkStart w:id="2" w:name="_Hlk117143753"/>
      <w:r w:rsidRPr="00304F6F">
        <w:rPr>
          <w:rFonts w:ascii="Times New Roman" w:eastAsia="Calibri" w:hAnsi="Times New Roman"/>
          <w:szCs w:val="24"/>
          <w:u w:val="single"/>
        </w:rPr>
        <w:t>There are</w:t>
      </w:r>
      <w:r w:rsidRPr="00304F6F">
        <w:rPr>
          <w:rFonts w:ascii="Times New Roman" w:eastAsia="Calibri" w:hAnsi="Times New Roman"/>
          <w:szCs w:val="24"/>
        </w:rPr>
        <w:t>:</w:t>
      </w:r>
    </w:p>
    <w:p w:rsidR="00B7267D" w:rsidRPr="00304F6F" w:rsidP="7CB27803" w14:paraId="66364453" w14:textId="6FB23A00">
      <w:pPr>
        <w:pStyle w:val="ListParagraph"/>
        <w:numPr>
          <w:ilvl w:val="0"/>
          <w:numId w:val="10"/>
        </w:numPr>
        <w:rPr>
          <w:rFonts w:ascii="Times New Roman" w:eastAsia="Calibri" w:hAnsi="Times New Roman"/>
        </w:rPr>
      </w:pPr>
      <w:r w:rsidRPr="00304F6F">
        <w:rPr>
          <w:rFonts w:ascii="Times New Roman" w:eastAsia="Calibri" w:hAnsi="Times New Roman"/>
        </w:rPr>
        <w:t>6</w:t>
      </w:r>
      <w:r w:rsidRPr="00304F6F" w:rsidR="544FBC3C">
        <w:rPr>
          <w:rFonts w:ascii="Times New Roman" w:eastAsia="Calibri" w:hAnsi="Times New Roman"/>
        </w:rPr>
        <w:t>1</w:t>
      </w:r>
      <w:r w:rsidRPr="00304F6F" w:rsidR="7CB27803">
        <w:rPr>
          <w:rFonts w:ascii="Times New Roman" w:eastAsia="Calibri" w:hAnsi="Times New Roman"/>
        </w:rPr>
        <w:t xml:space="preserve"> accrediting agencies (respondents)</w:t>
      </w:r>
      <w:r w:rsidRPr="00304F6F" w:rsidR="00C108FB">
        <w:rPr>
          <w:rFonts w:ascii="Times New Roman" w:eastAsia="Calibri" w:hAnsi="Times New Roman"/>
        </w:rPr>
        <w:t xml:space="preserve"> </w:t>
      </w:r>
      <w:r w:rsidRPr="00304F6F" w:rsidR="001F168C">
        <w:rPr>
          <w:rFonts w:ascii="Times New Roman" w:eastAsia="Calibri" w:hAnsi="Times New Roman"/>
        </w:rPr>
        <w:t xml:space="preserve"> </w:t>
      </w:r>
    </w:p>
    <w:p w:rsidR="00B7267D" w:rsidRPr="00304F6F" w:rsidP="4FC2511F" w14:paraId="6FF7CC76" w14:textId="3F7DCF09">
      <w:pPr>
        <w:pStyle w:val="ListParagraph"/>
        <w:numPr>
          <w:ilvl w:val="0"/>
          <w:numId w:val="10"/>
        </w:numPr>
        <w:rPr>
          <w:rFonts w:ascii="Times New Roman" w:eastAsia="Calibri" w:hAnsi="Times New Roman"/>
        </w:rPr>
      </w:pPr>
      <w:r w:rsidRPr="00304F6F">
        <w:rPr>
          <w:rFonts w:ascii="Times New Roman" w:eastAsia="Calibri" w:hAnsi="Times New Roman"/>
        </w:rPr>
        <w:t>Average burden hours</w:t>
      </w:r>
      <w:r w:rsidRPr="00304F6F" w:rsidR="0083264B">
        <w:rPr>
          <w:rFonts w:ascii="Times New Roman" w:eastAsia="Calibri" w:hAnsi="Times New Roman"/>
        </w:rPr>
        <w:t xml:space="preserve"> of </w:t>
      </w:r>
      <w:r w:rsidRPr="00304F6F">
        <w:rPr>
          <w:rFonts w:ascii="Times New Roman" w:eastAsia="Calibri" w:hAnsi="Times New Roman"/>
        </w:rPr>
        <w:t xml:space="preserve">1,460 (determined by averaging the number of hours to </w:t>
      </w:r>
      <w:r w:rsidRPr="00304F6F">
        <w:rPr>
          <w:rFonts w:ascii="Times New Roman" w:eastAsia="Calibri" w:hAnsi="Times New Roman"/>
        </w:rPr>
        <w:t>submit an application</w:t>
      </w:r>
      <w:r w:rsidRPr="00304F6F">
        <w:rPr>
          <w:rFonts w:ascii="Times New Roman" w:eastAsia="Calibri" w:hAnsi="Times New Roman"/>
        </w:rPr>
        <w:t xml:space="preserve"> for recognition reported from a sample of accrediting agencies</w:t>
      </w:r>
      <w:r w:rsidRPr="00304F6F" w:rsidR="00170070">
        <w:rPr>
          <w:rFonts w:ascii="Times New Roman" w:eastAsia="Calibri" w:hAnsi="Times New Roman"/>
        </w:rPr>
        <w:t>).</w:t>
      </w:r>
    </w:p>
    <w:p w:rsidR="00170070" w:rsidRPr="00304F6F" w:rsidP="7CB27803" w14:paraId="5D433AF7" w14:textId="7CD3B70B">
      <w:pPr>
        <w:pStyle w:val="ListParagraph"/>
        <w:numPr>
          <w:ilvl w:val="0"/>
          <w:numId w:val="10"/>
        </w:numPr>
        <w:rPr>
          <w:rFonts w:ascii="Times New Roman" w:eastAsia="Calibri" w:hAnsi="Times New Roman"/>
        </w:rPr>
      </w:pPr>
      <w:r w:rsidRPr="00304F6F">
        <w:rPr>
          <w:rFonts w:ascii="Times New Roman" w:eastAsia="Calibri" w:hAnsi="Times New Roman"/>
        </w:rPr>
        <w:t xml:space="preserve">Average burden hours are divided by (5) since accrediting agencies are only required to submit a petition for recognition once every (5) years. All </w:t>
      </w:r>
      <w:r w:rsidRPr="00304F6F" w:rsidR="026EF51B">
        <w:rPr>
          <w:rFonts w:ascii="Times New Roman" w:eastAsia="Calibri" w:hAnsi="Times New Roman"/>
        </w:rPr>
        <w:t>6</w:t>
      </w:r>
      <w:r w:rsidRPr="00304F6F" w:rsidR="18D1044B">
        <w:rPr>
          <w:rFonts w:ascii="Times New Roman" w:eastAsia="Calibri" w:hAnsi="Times New Roman"/>
        </w:rPr>
        <w:t>1</w:t>
      </w:r>
      <w:r w:rsidRPr="00304F6F">
        <w:rPr>
          <w:rFonts w:ascii="Times New Roman" w:eastAsia="Calibri" w:hAnsi="Times New Roman"/>
        </w:rPr>
        <w:t xml:space="preserve"> a</w:t>
      </w:r>
      <w:r w:rsidRPr="00304F6F" w:rsidR="00207AC4">
        <w:rPr>
          <w:rFonts w:ascii="Times New Roman" w:eastAsia="Calibri" w:hAnsi="Times New Roman"/>
        </w:rPr>
        <w:t xml:space="preserve">ccrediting agencies </w:t>
      </w:r>
      <w:r w:rsidRPr="00304F6F">
        <w:rPr>
          <w:rFonts w:ascii="Times New Roman" w:eastAsia="Calibri" w:hAnsi="Times New Roman"/>
        </w:rPr>
        <w:t xml:space="preserve">do not submit applications at the same time because their recognition expires at different times depending </w:t>
      </w:r>
      <w:r w:rsidRPr="00304F6F" w:rsidR="002901FD">
        <w:rPr>
          <w:rFonts w:ascii="Times New Roman" w:eastAsia="Calibri" w:hAnsi="Times New Roman"/>
        </w:rPr>
        <w:t xml:space="preserve">on </w:t>
      </w:r>
      <w:r w:rsidRPr="00304F6F">
        <w:rPr>
          <w:rFonts w:ascii="Times New Roman" w:eastAsia="Calibri" w:hAnsi="Times New Roman"/>
        </w:rPr>
        <w:t xml:space="preserve">when they were first recognized.  </w:t>
      </w:r>
    </w:p>
    <w:p w:rsidR="00B7267D" w:rsidRPr="00304F6F" w:rsidP="00BB6F3A" w14:paraId="47CCFD96" w14:textId="77777777">
      <w:pPr>
        <w:rPr>
          <w:rFonts w:ascii="Times New Roman" w:eastAsia="Calibri" w:hAnsi="Times New Roman"/>
          <w:b/>
          <w:szCs w:val="24"/>
        </w:rPr>
      </w:pPr>
      <w:r w:rsidRPr="00304F6F">
        <w:rPr>
          <w:rFonts w:ascii="Times New Roman" w:eastAsia="Calibri" w:hAnsi="Times New Roman"/>
          <w:b/>
          <w:szCs w:val="24"/>
        </w:rPr>
        <w:t xml:space="preserve">               </w:t>
      </w:r>
    </w:p>
    <w:bookmarkEnd w:id="2"/>
    <w:p w:rsidR="009E79F4" w:rsidRPr="00FD6630" w:rsidP="00A10FB1" w14:paraId="19A1875D" w14:textId="11195872">
      <w:pPr>
        <w:rPr>
          <w:rFonts w:ascii="Times New Roman" w:eastAsia="Calibri" w:hAnsi="Times New Roman"/>
          <w:szCs w:val="24"/>
        </w:rPr>
      </w:pPr>
      <w:r w:rsidRPr="00304F6F">
        <w:rPr>
          <w:rFonts w:ascii="Times New Roman" w:eastAsia="Calibri" w:hAnsi="Times New Roman"/>
          <w:b/>
          <w:bCs/>
        </w:rPr>
        <w:t xml:space="preserve">      </w:t>
      </w:r>
      <w:r w:rsidRPr="00FD6630">
        <w:rPr>
          <w:rFonts w:ascii="Times New Roman" w:eastAsia="Calibri" w:hAnsi="Times New Roman"/>
        </w:rPr>
        <w:t xml:space="preserve">   </w:t>
      </w:r>
      <w:r w:rsidRPr="00FD6630" w:rsidR="00EE6617">
        <w:rPr>
          <w:rFonts w:ascii="Times New Roman" w:eastAsia="Calibri" w:hAnsi="Times New Roman"/>
        </w:rPr>
        <w:t xml:space="preserve">61*1460 = </w:t>
      </w:r>
      <w:r w:rsidRPr="00FD6630" w:rsidR="00A4390D">
        <w:rPr>
          <w:rFonts w:ascii="Times New Roman" w:eastAsia="Calibri" w:hAnsi="Times New Roman"/>
        </w:rPr>
        <w:t>89,060</w:t>
      </w:r>
      <w:r w:rsidRPr="00FD6630" w:rsidR="00304F6F">
        <w:rPr>
          <w:rFonts w:ascii="Times New Roman" w:eastAsia="Calibri" w:hAnsi="Times New Roman"/>
        </w:rPr>
        <w:t xml:space="preserve"> burden</w:t>
      </w:r>
      <w:r w:rsidRPr="00FD6630" w:rsidR="00FD6630">
        <w:rPr>
          <w:rFonts w:ascii="Times New Roman" w:eastAsia="Calibri" w:hAnsi="Times New Roman"/>
        </w:rPr>
        <w:t xml:space="preserve"> hours</w:t>
      </w:r>
    </w:p>
    <w:p w:rsidR="00E17389" w:rsidRPr="00304F6F" w:rsidP="00E17389" w14:paraId="4AB16BDC" w14:textId="77777777">
      <w:pPr>
        <w:rPr>
          <w:rFonts w:ascii="Times New Roman" w:eastAsia="Calibri" w:hAnsi="Times New Roman"/>
          <w:b/>
          <w:szCs w:val="24"/>
        </w:rPr>
      </w:pPr>
    </w:p>
    <w:p w:rsidR="00BD7589" w:rsidRPr="00304F6F" w:rsidP="00AA385A" w14:paraId="27676FFD" w14:textId="4F071BC8">
      <w:pPr>
        <w:spacing w:after="200"/>
        <w:ind w:left="720"/>
        <w:rPr>
          <w:rFonts w:ascii="Times New Roman" w:eastAsia="Calibri" w:hAnsi="Times New Roman"/>
          <w:szCs w:val="24"/>
        </w:rPr>
      </w:pPr>
      <w:r w:rsidRPr="00304F6F">
        <w:rPr>
          <w:rFonts w:ascii="Times New Roman" w:eastAsia="Calibri" w:hAnsi="Times New Roman"/>
          <w:szCs w:val="24"/>
        </w:rPr>
        <w:t xml:space="preserve">Burden for requiring </w:t>
      </w:r>
      <w:r w:rsidRPr="00304F6F" w:rsidR="00421B60">
        <w:rPr>
          <w:rFonts w:ascii="Times New Roman" w:eastAsia="Calibri" w:hAnsi="Times New Roman"/>
          <w:szCs w:val="24"/>
        </w:rPr>
        <w:t>foreign countries</w:t>
      </w:r>
      <w:r w:rsidRPr="00304F6F">
        <w:rPr>
          <w:rFonts w:ascii="Times New Roman" w:eastAsia="Calibri" w:hAnsi="Times New Roman"/>
          <w:szCs w:val="24"/>
        </w:rPr>
        <w:t xml:space="preserve"> to report to the Department on their compliance with CFR §600.56 and submitting documentation as required by </w:t>
      </w:r>
      <w:r w:rsidRPr="00304F6F" w:rsidR="00746FA3">
        <w:rPr>
          <w:rFonts w:ascii="Times New Roman" w:eastAsia="Calibri" w:hAnsi="Times New Roman"/>
          <w:szCs w:val="24"/>
        </w:rPr>
        <w:t>the National Committee on Foreign Medical</w:t>
      </w:r>
      <w:r w:rsidRPr="00304F6F" w:rsidR="00254E23">
        <w:rPr>
          <w:rFonts w:ascii="Times New Roman" w:eastAsia="Calibri" w:hAnsi="Times New Roman"/>
          <w:szCs w:val="24"/>
        </w:rPr>
        <w:t xml:space="preserve"> Education </w:t>
      </w:r>
      <w:r w:rsidRPr="00304F6F" w:rsidR="00523A00">
        <w:rPr>
          <w:rFonts w:ascii="Times New Roman" w:eastAsia="Calibri" w:hAnsi="Times New Roman"/>
          <w:szCs w:val="24"/>
        </w:rPr>
        <w:t xml:space="preserve">and Accreditation Guidelines </w:t>
      </w:r>
      <w:r w:rsidRPr="00304F6F">
        <w:rPr>
          <w:rFonts w:ascii="Times New Roman" w:eastAsia="Calibri" w:hAnsi="Times New Roman"/>
          <w:szCs w:val="24"/>
        </w:rPr>
        <w:t>are as follows:</w:t>
      </w:r>
    </w:p>
    <w:p w:rsidR="00BD7589" w:rsidRPr="00304F6F" w:rsidP="00AA385A" w14:paraId="464016AD" w14:textId="77777777">
      <w:pPr>
        <w:spacing w:after="200"/>
        <w:ind w:left="720"/>
        <w:rPr>
          <w:rFonts w:ascii="Times New Roman" w:eastAsia="Calibri" w:hAnsi="Times New Roman"/>
          <w:szCs w:val="24"/>
        </w:rPr>
      </w:pPr>
      <w:r w:rsidRPr="00304F6F">
        <w:rPr>
          <w:rFonts w:ascii="Times New Roman" w:eastAsia="Calibri" w:hAnsi="Times New Roman"/>
          <w:szCs w:val="24"/>
        </w:rPr>
        <w:t>Burden for requiring agencies to report to the Department on their comparability with the CFR §600.55</w:t>
      </w:r>
    </w:p>
    <w:p w:rsidR="00920FDF" w:rsidRPr="00304F6F" w:rsidP="00B53886" w14:paraId="49796C24" w14:textId="49E5E9A7">
      <w:pPr>
        <w:spacing w:line="276" w:lineRule="auto"/>
        <w:ind w:firstLine="720"/>
        <w:rPr>
          <w:rFonts w:ascii="Times New Roman" w:eastAsia="Calibri" w:hAnsi="Times New Roman"/>
          <w:bCs/>
          <w:szCs w:val="24"/>
        </w:rPr>
      </w:pPr>
      <w:bookmarkStart w:id="3" w:name="_Hlk117144320"/>
      <w:r w:rsidRPr="00304F6F">
        <w:rPr>
          <w:rFonts w:ascii="Times New Roman" w:eastAsia="Calibri" w:hAnsi="Times New Roman"/>
          <w:bCs/>
          <w:szCs w:val="24"/>
          <w:u w:val="single"/>
        </w:rPr>
        <w:t>There are:</w:t>
      </w:r>
    </w:p>
    <w:p w:rsidR="00920FDF" w:rsidRPr="00304F6F" w:rsidP="2F67BDF8" w14:paraId="5236700D" w14:textId="70E4B5BC">
      <w:pPr>
        <w:numPr>
          <w:ilvl w:val="0"/>
          <w:numId w:val="10"/>
        </w:numPr>
        <w:rPr>
          <w:rFonts w:ascii="Times New Roman" w:eastAsia="Calibri" w:hAnsi="Times New Roman"/>
        </w:rPr>
      </w:pPr>
      <w:r w:rsidRPr="00304F6F">
        <w:rPr>
          <w:rFonts w:ascii="Times New Roman" w:eastAsia="Calibri" w:hAnsi="Times New Roman"/>
        </w:rPr>
        <w:t>1</w:t>
      </w:r>
      <w:r w:rsidRPr="00304F6F" w:rsidR="54F15970">
        <w:rPr>
          <w:rFonts w:ascii="Times New Roman" w:eastAsia="Calibri" w:hAnsi="Times New Roman"/>
        </w:rPr>
        <w:t>5</w:t>
      </w:r>
      <w:r w:rsidRPr="00304F6F">
        <w:rPr>
          <w:rFonts w:ascii="Times New Roman" w:eastAsia="Calibri" w:hAnsi="Times New Roman"/>
        </w:rPr>
        <w:t xml:space="preserve"> foreign accrediting agencies (respondents)</w:t>
      </w:r>
    </w:p>
    <w:p w:rsidR="00920FDF" w:rsidRPr="00304F6F" w:rsidP="00AA385A" w14:paraId="0D758DCC" w14:textId="64852109">
      <w:pPr>
        <w:numPr>
          <w:ilvl w:val="0"/>
          <w:numId w:val="10"/>
        </w:numPr>
        <w:rPr>
          <w:rFonts w:ascii="Times New Roman" w:eastAsia="Calibri" w:hAnsi="Times New Roman"/>
          <w:bCs/>
          <w:szCs w:val="24"/>
        </w:rPr>
      </w:pPr>
      <w:r w:rsidRPr="00304F6F">
        <w:rPr>
          <w:rFonts w:ascii="Times New Roman" w:eastAsia="Calibri" w:hAnsi="Times New Roman"/>
          <w:bCs/>
          <w:szCs w:val="24"/>
        </w:rPr>
        <w:t>Average burden hours</w:t>
      </w:r>
      <w:r w:rsidRPr="00304F6F" w:rsidR="007F33AD">
        <w:rPr>
          <w:rFonts w:ascii="Times New Roman" w:eastAsia="Calibri" w:hAnsi="Times New Roman"/>
          <w:bCs/>
          <w:szCs w:val="24"/>
        </w:rPr>
        <w:t xml:space="preserve"> </w:t>
      </w:r>
      <w:r w:rsidRPr="00304F6F" w:rsidR="006B3B9E">
        <w:rPr>
          <w:rFonts w:ascii="Times New Roman" w:eastAsia="Calibri" w:hAnsi="Times New Roman"/>
          <w:bCs/>
          <w:szCs w:val="24"/>
        </w:rPr>
        <w:t>1</w:t>
      </w:r>
      <w:r w:rsidRPr="00304F6F" w:rsidR="00293537">
        <w:rPr>
          <w:rFonts w:ascii="Times New Roman" w:eastAsia="Calibri" w:hAnsi="Times New Roman"/>
          <w:bCs/>
          <w:szCs w:val="24"/>
        </w:rPr>
        <w:t>386</w:t>
      </w:r>
      <w:r w:rsidRPr="00304F6F" w:rsidR="006B3B9E">
        <w:rPr>
          <w:rFonts w:ascii="Times New Roman" w:eastAsia="Calibri" w:hAnsi="Times New Roman"/>
          <w:bCs/>
          <w:szCs w:val="24"/>
        </w:rPr>
        <w:t xml:space="preserve"> is </w:t>
      </w:r>
      <w:r w:rsidRPr="00304F6F">
        <w:rPr>
          <w:rFonts w:ascii="Times New Roman" w:eastAsia="Calibri" w:hAnsi="Times New Roman"/>
          <w:bCs/>
          <w:szCs w:val="24"/>
        </w:rPr>
        <w:t xml:space="preserve">determined by averaging the number of hours to </w:t>
      </w:r>
      <w:r w:rsidRPr="00304F6F">
        <w:rPr>
          <w:rFonts w:ascii="Times New Roman" w:eastAsia="Calibri" w:hAnsi="Times New Roman"/>
          <w:bCs/>
          <w:szCs w:val="24"/>
        </w:rPr>
        <w:t>submit an application</w:t>
      </w:r>
      <w:r w:rsidRPr="00304F6F">
        <w:rPr>
          <w:rFonts w:ascii="Times New Roman" w:eastAsia="Calibri" w:hAnsi="Times New Roman"/>
          <w:bCs/>
          <w:szCs w:val="24"/>
        </w:rPr>
        <w:t xml:space="preserve"> reported from a sample of foreign</w:t>
      </w:r>
      <w:r w:rsidRPr="00304F6F" w:rsidR="00DE1F51">
        <w:rPr>
          <w:rFonts w:ascii="Times New Roman" w:eastAsia="Calibri" w:hAnsi="Times New Roman"/>
          <w:bCs/>
          <w:szCs w:val="24"/>
        </w:rPr>
        <w:t xml:space="preserve"> </w:t>
      </w:r>
      <w:r w:rsidRPr="00304F6F">
        <w:rPr>
          <w:rFonts w:ascii="Times New Roman" w:eastAsia="Calibri" w:hAnsi="Times New Roman"/>
          <w:bCs/>
          <w:szCs w:val="24"/>
        </w:rPr>
        <w:t>accrediting agencies).</w:t>
      </w:r>
    </w:p>
    <w:p w:rsidR="00FD6630" w:rsidP="7CB27803" w14:paraId="2A1ECD0E" w14:textId="77777777">
      <w:pPr>
        <w:numPr>
          <w:ilvl w:val="0"/>
          <w:numId w:val="10"/>
        </w:numPr>
        <w:rPr>
          <w:rFonts w:ascii="Times New Roman" w:eastAsia="Calibri" w:hAnsi="Times New Roman"/>
        </w:rPr>
      </w:pPr>
      <w:r w:rsidRPr="00304F6F">
        <w:rPr>
          <w:rFonts w:ascii="Times New Roman" w:eastAsia="Calibri" w:hAnsi="Times New Roman"/>
        </w:rPr>
        <w:t>The average burden hours are divided by (6) since foreign accrediting agencies are only required to submit a petition for recognition once every (6) years. All 1</w:t>
      </w:r>
      <w:r w:rsidRPr="00304F6F" w:rsidR="00D752B2">
        <w:rPr>
          <w:rFonts w:ascii="Times New Roman" w:eastAsia="Calibri" w:hAnsi="Times New Roman"/>
        </w:rPr>
        <w:t>5</w:t>
      </w:r>
      <w:r w:rsidRPr="00304F6F">
        <w:rPr>
          <w:rFonts w:ascii="Times New Roman" w:eastAsia="Calibri" w:hAnsi="Times New Roman"/>
        </w:rPr>
        <w:t xml:space="preserve"> foreign </w:t>
      </w:r>
      <w:r w:rsidRPr="00304F6F" w:rsidR="006E4FDF">
        <w:rPr>
          <w:rFonts w:ascii="Times New Roman" w:eastAsia="Calibri" w:hAnsi="Times New Roman"/>
        </w:rPr>
        <w:t>accrediting</w:t>
      </w:r>
      <w:r w:rsidRPr="00304F6F">
        <w:rPr>
          <w:rFonts w:ascii="Times New Roman" w:eastAsia="Calibri" w:hAnsi="Times New Roman"/>
        </w:rPr>
        <w:t xml:space="preserve"> agencies do not submit applications at the same time because their recognition expires at different times </w:t>
      </w:r>
      <w:r w:rsidRPr="00304F6F">
        <w:rPr>
          <w:rFonts w:ascii="Times New Roman" w:eastAsia="Calibri" w:hAnsi="Times New Roman"/>
        </w:rPr>
        <w:t>depending</w:t>
      </w:r>
      <w:r w:rsidRPr="00304F6F">
        <w:rPr>
          <w:rFonts w:ascii="Times New Roman" w:eastAsia="Calibri" w:hAnsi="Times New Roman"/>
        </w:rPr>
        <w:t xml:space="preserve"> when they were first recognized. </w:t>
      </w:r>
      <w:r w:rsidRPr="00304F6F" w:rsidR="002B307E">
        <w:rPr>
          <w:rFonts w:ascii="Times New Roman" w:eastAsia="Calibri" w:hAnsi="Times New Roman"/>
        </w:rPr>
        <w:t>The time allotted for translation</w:t>
      </w:r>
      <w:r w:rsidRPr="00304F6F" w:rsidR="00342E2A">
        <w:rPr>
          <w:rFonts w:ascii="Times New Roman" w:eastAsia="Calibri" w:hAnsi="Times New Roman"/>
        </w:rPr>
        <w:t xml:space="preserve"> for non-English speaking countries</w:t>
      </w:r>
      <w:r w:rsidRPr="00304F6F" w:rsidR="002B307E">
        <w:rPr>
          <w:rFonts w:ascii="Times New Roman" w:eastAsia="Calibri" w:hAnsi="Times New Roman"/>
        </w:rPr>
        <w:t xml:space="preserve"> was determined in a previous collection </w:t>
      </w:r>
      <w:r w:rsidRPr="00304F6F" w:rsidR="00052845">
        <w:rPr>
          <w:rFonts w:ascii="Times New Roman" w:eastAsia="Calibri" w:hAnsi="Times New Roman"/>
        </w:rPr>
        <w:t>and is included in the burden.</w:t>
      </w:r>
      <w:r w:rsidRPr="00304F6F" w:rsidR="002B307E">
        <w:rPr>
          <w:rFonts w:ascii="Times New Roman" w:eastAsia="Calibri" w:hAnsi="Times New Roman"/>
        </w:rPr>
        <w:t xml:space="preserve">   </w:t>
      </w:r>
      <w:r w:rsidRPr="00304F6F">
        <w:rPr>
          <w:rFonts w:ascii="Times New Roman" w:eastAsia="Calibri" w:hAnsi="Times New Roman"/>
        </w:rPr>
        <w:t xml:space="preserve"> </w:t>
      </w:r>
    </w:p>
    <w:p w:rsidR="00920FDF" w:rsidRPr="00304F6F" w:rsidP="00FD6630" w14:paraId="71CD943D" w14:textId="1462B74D">
      <w:pPr>
        <w:ind w:left="1440"/>
        <w:rPr>
          <w:rFonts w:ascii="Times New Roman" w:eastAsia="Calibri" w:hAnsi="Times New Roman"/>
        </w:rPr>
      </w:pPr>
      <w:r w:rsidRPr="00304F6F">
        <w:rPr>
          <w:rFonts w:ascii="Times New Roman" w:eastAsia="Calibri" w:hAnsi="Times New Roman"/>
        </w:rPr>
        <w:t xml:space="preserve"> </w:t>
      </w:r>
    </w:p>
    <w:bookmarkEnd w:id="3"/>
    <w:p w:rsidR="00EB036B" w:rsidP="00FD6630" w14:paraId="230E9058" w14:textId="77777777">
      <w:pPr>
        <w:spacing w:line="276" w:lineRule="auto"/>
        <w:ind w:left="1440" w:hanging="900"/>
        <w:rPr>
          <w:rFonts w:ascii="Times New Roman" w:eastAsia="Calibri" w:hAnsi="Times New Roman"/>
          <w:bCs/>
          <w:szCs w:val="24"/>
        </w:rPr>
      </w:pPr>
      <w:r w:rsidRPr="00FD6630">
        <w:rPr>
          <w:rFonts w:ascii="Times New Roman" w:eastAsia="Calibri" w:hAnsi="Times New Roman"/>
          <w:bCs/>
          <w:szCs w:val="24"/>
        </w:rPr>
        <w:t xml:space="preserve"> 15*1386</w:t>
      </w:r>
      <w:r w:rsidRPr="00FD6630" w:rsidR="007137DA">
        <w:rPr>
          <w:rFonts w:ascii="Times New Roman" w:eastAsia="Calibri" w:hAnsi="Times New Roman"/>
          <w:bCs/>
          <w:szCs w:val="24"/>
        </w:rPr>
        <w:t>=20,790</w:t>
      </w:r>
      <w:r w:rsidRPr="00FD6630" w:rsidR="00AC4A0F">
        <w:rPr>
          <w:rFonts w:ascii="Times New Roman" w:eastAsia="Calibri" w:hAnsi="Times New Roman"/>
          <w:bCs/>
          <w:szCs w:val="24"/>
        </w:rPr>
        <w:t xml:space="preserve">  </w:t>
      </w:r>
      <w:r w:rsidRPr="00FD6630" w:rsidR="00FD6630">
        <w:rPr>
          <w:rFonts w:ascii="Times New Roman" w:eastAsia="Calibri" w:hAnsi="Times New Roman"/>
          <w:bCs/>
          <w:szCs w:val="24"/>
        </w:rPr>
        <w:t>burden hours</w:t>
      </w:r>
      <w:r w:rsidRPr="00FD6630" w:rsidR="00AC4A0F">
        <w:rPr>
          <w:rFonts w:ascii="Times New Roman" w:eastAsia="Calibri" w:hAnsi="Times New Roman"/>
          <w:bCs/>
          <w:szCs w:val="24"/>
        </w:rPr>
        <w:t xml:space="preserve">   </w:t>
      </w:r>
    </w:p>
    <w:p w:rsidR="00920FDF" w:rsidRPr="00FD6630" w:rsidP="00FD6630" w14:paraId="27A4FC11" w14:textId="56E9FD01">
      <w:pPr>
        <w:spacing w:line="276" w:lineRule="auto"/>
        <w:ind w:left="1440" w:hanging="900"/>
        <w:rPr>
          <w:rFonts w:ascii="Times New Roman" w:eastAsia="Calibri" w:hAnsi="Times New Roman"/>
          <w:bCs/>
          <w:szCs w:val="24"/>
        </w:rPr>
      </w:pPr>
      <w:r w:rsidRPr="00FD6630">
        <w:rPr>
          <w:rFonts w:ascii="Times New Roman" w:eastAsia="Calibri" w:hAnsi="Times New Roman"/>
          <w:bCs/>
          <w:szCs w:val="24"/>
        </w:rPr>
        <w:t xml:space="preserve">     </w:t>
      </w:r>
      <w:r w:rsidRPr="00FD6630" w:rsidR="00BD7589">
        <w:rPr>
          <w:rFonts w:ascii="Times New Roman" w:eastAsia="Calibri" w:hAnsi="Times New Roman"/>
          <w:bCs/>
          <w:szCs w:val="24"/>
        </w:rPr>
        <w:tab/>
      </w:r>
      <w:r w:rsidRPr="00FD6630" w:rsidR="00BD7589">
        <w:rPr>
          <w:rFonts w:ascii="Times New Roman" w:eastAsia="Calibri" w:hAnsi="Times New Roman"/>
          <w:bCs/>
          <w:szCs w:val="24"/>
        </w:rPr>
        <w:tab/>
      </w:r>
    </w:p>
    <w:p w:rsidR="00BD7589" w:rsidRPr="00304F6F" w:rsidP="00BD7589" w14:paraId="04275D27" w14:textId="77777777">
      <w:pPr>
        <w:spacing w:line="276" w:lineRule="auto"/>
        <w:ind w:left="1440" w:firstLine="720"/>
        <w:rPr>
          <w:rFonts w:ascii="Times New Roman" w:eastAsia="Calibri" w:hAnsi="Times New Roman"/>
          <w:b/>
          <w:szCs w:val="24"/>
        </w:rPr>
      </w:pPr>
    </w:p>
    <w:p w:rsidR="00BD7589" w:rsidRPr="00304F6F" w:rsidP="00AA385A" w14:paraId="752D4A13" w14:textId="1A74DE66">
      <w:pPr>
        <w:spacing w:after="200"/>
        <w:ind w:left="720"/>
        <w:rPr>
          <w:rFonts w:ascii="Times New Roman" w:eastAsia="Calibri" w:hAnsi="Times New Roman"/>
          <w:szCs w:val="24"/>
        </w:rPr>
      </w:pPr>
      <w:bookmarkStart w:id="4" w:name="_Hlk116458474"/>
      <w:r w:rsidRPr="00304F6F">
        <w:rPr>
          <w:rFonts w:ascii="Times New Roman" w:eastAsia="Calibri" w:hAnsi="Times New Roman"/>
          <w:szCs w:val="24"/>
        </w:rPr>
        <w:t>Burden for requiring foreign veterinary programs to report to the Department on their compliance with CFR §600.56</w:t>
      </w:r>
      <w:r w:rsidRPr="00304F6F" w:rsidR="00FE4048">
        <w:rPr>
          <w:rFonts w:ascii="Times New Roman" w:eastAsia="Calibri" w:hAnsi="Times New Roman"/>
          <w:szCs w:val="24"/>
        </w:rPr>
        <w:t xml:space="preserve"> and </w:t>
      </w:r>
      <w:r w:rsidRPr="00304F6F" w:rsidR="00BE7611">
        <w:rPr>
          <w:rFonts w:ascii="Times New Roman" w:eastAsia="Calibri" w:hAnsi="Times New Roman"/>
          <w:szCs w:val="24"/>
        </w:rPr>
        <w:t xml:space="preserve">submitting documentation as required </w:t>
      </w:r>
      <w:r w:rsidRPr="00304F6F" w:rsidR="000E50B4">
        <w:rPr>
          <w:rFonts w:ascii="Times New Roman" w:eastAsia="Calibri" w:hAnsi="Times New Roman"/>
          <w:szCs w:val="24"/>
        </w:rPr>
        <w:t>by the</w:t>
      </w:r>
      <w:r w:rsidRPr="00304F6F" w:rsidR="00BE7611">
        <w:rPr>
          <w:rFonts w:ascii="Times New Roman" w:eastAsia="Calibri" w:hAnsi="Times New Roman"/>
          <w:szCs w:val="24"/>
        </w:rPr>
        <w:t xml:space="preserve"> foreign veterinary criteria</w:t>
      </w:r>
      <w:r w:rsidRPr="00304F6F">
        <w:rPr>
          <w:rFonts w:ascii="Times New Roman" w:eastAsia="Calibri" w:hAnsi="Times New Roman"/>
          <w:szCs w:val="24"/>
        </w:rPr>
        <w:t xml:space="preserve"> are as follows:</w:t>
      </w:r>
    </w:p>
    <w:p w:rsidR="00920FDF" w:rsidRPr="00304F6F" w:rsidP="2F67BDF8" w14:paraId="18F4CE1B" w14:textId="0AAA8961">
      <w:pPr>
        <w:numPr>
          <w:ilvl w:val="0"/>
          <w:numId w:val="10"/>
        </w:numPr>
        <w:spacing w:after="120"/>
        <w:rPr>
          <w:rFonts w:ascii="Times New Roman" w:eastAsia="Calibri" w:hAnsi="Times New Roman"/>
        </w:rPr>
      </w:pPr>
      <w:r w:rsidRPr="00304F6F">
        <w:rPr>
          <w:rFonts w:ascii="Times New Roman" w:eastAsia="Calibri" w:hAnsi="Times New Roman"/>
        </w:rPr>
        <w:t xml:space="preserve">5 </w:t>
      </w:r>
      <w:r w:rsidRPr="00304F6F" w:rsidR="2F67BDF8">
        <w:rPr>
          <w:rFonts w:ascii="Times New Roman" w:eastAsia="Calibri" w:hAnsi="Times New Roman"/>
        </w:rPr>
        <w:t>foreign veterinary accrediting agencies (respondents)</w:t>
      </w:r>
    </w:p>
    <w:p w:rsidR="005541B8" w:rsidRPr="00304F6F" w:rsidP="00AA385A" w14:paraId="41B460B7" w14:textId="397BAC92">
      <w:pPr>
        <w:numPr>
          <w:ilvl w:val="0"/>
          <w:numId w:val="10"/>
        </w:numPr>
        <w:spacing w:after="120"/>
        <w:rPr>
          <w:rFonts w:ascii="Times New Roman" w:eastAsia="Calibri" w:hAnsi="Times New Roman"/>
          <w:bCs/>
          <w:szCs w:val="24"/>
        </w:rPr>
      </w:pPr>
      <w:r w:rsidRPr="00304F6F">
        <w:rPr>
          <w:rFonts w:ascii="Times New Roman" w:eastAsia="Calibri" w:hAnsi="Times New Roman"/>
          <w:bCs/>
          <w:szCs w:val="24"/>
        </w:rPr>
        <w:t>Average burden hours</w:t>
      </w:r>
      <w:r w:rsidRPr="00304F6F" w:rsidR="00B135DA">
        <w:rPr>
          <w:rFonts w:ascii="Times New Roman" w:eastAsia="Calibri" w:hAnsi="Times New Roman"/>
          <w:bCs/>
          <w:szCs w:val="24"/>
        </w:rPr>
        <w:t xml:space="preserve"> 25</w:t>
      </w:r>
      <w:r w:rsidRPr="00304F6F">
        <w:rPr>
          <w:rFonts w:ascii="Times New Roman" w:eastAsia="Calibri" w:hAnsi="Times New Roman"/>
          <w:bCs/>
          <w:szCs w:val="24"/>
        </w:rPr>
        <w:t xml:space="preserve"> (determined by </w:t>
      </w:r>
      <w:r w:rsidRPr="00304F6F" w:rsidR="002B307E">
        <w:rPr>
          <w:rFonts w:ascii="Times New Roman" w:eastAsia="Calibri" w:hAnsi="Times New Roman"/>
          <w:bCs/>
          <w:szCs w:val="24"/>
        </w:rPr>
        <w:t>Department staff based on the foreign veterinary criteria being a small sub-set of the foreign medical criteria)</w:t>
      </w:r>
      <w:r w:rsidRPr="00304F6F">
        <w:rPr>
          <w:rFonts w:ascii="Times New Roman" w:eastAsia="Calibri" w:hAnsi="Times New Roman"/>
          <w:bCs/>
          <w:szCs w:val="24"/>
        </w:rPr>
        <w:t>.</w:t>
      </w:r>
    </w:p>
    <w:p w:rsidR="00920FDF" w:rsidRPr="00304F6F" w:rsidP="7CB27803" w14:paraId="3FEF2532" w14:textId="1FF405D8">
      <w:pPr>
        <w:numPr>
          <w:ilvl w:val="0"/>
          <w:numId w:val="10"/>
        </w:numPr>
        <w:spacing w:after="120"/>
        <w:rPr>
          <w:rFonts w:ascii="Times New Roman" w:eastAsia="Calibri" w:hAnsi="Times New Roman"/>
        </w:rPr>
      </w:pPr>
      <w:r w:rsidRPr="00304F6F">
        <w:rPr>
          <w:rFonts w:ascii="Times New Roman" w:eastAsia="Calibri" w:hAnsi="Times New Roman"/>
        </w:rPr>
        <w:t>The average burden hours are divided by (6) since foreign</w:t>
      </w:r>
      <w:r w:rsidRPr="00304F6F" w:rsidR="000E66BF">
        <w:rPr>
          <w:rFonts w:ascii="Times New Roman" w:eastAsia="Calibri" w:hAnsi="Times New Roman"/>
        </w:rPr>
        <w:t xml:space="preserve"> veterinary</w:t>
      </w:r>
      <w:r w:rsidRPr="00304F6F">
        <w:rPr>
          <w:rFonts w:ascii="Times New Roman" w:eastAsia="Calibri" w:hAnsi="Times New Roman"/>
        </w:rPr>
        <w:t xml:space="preserve"> accrediting agencies are only required to submit a petition for recognition once every (6) years. All </w:t>
      </w:r>
      <w:r w:rsidRPr="00304F6F" w:rsidR="002B307E">
        <w:rPr>
          <w:rFonts w:ascii="Times New Roman" w:eastAsia="Calibri" w:hAnsi="Times New Roman"/>
        </w:rPr>
        <w:t>(</w:t>
      </w:r>
      <w:r w:rsidRPr="00304F6F" w:rsidR="00D752B2">
        <w:rPr>
          <w:rFonts w:ascii="Times New Roman" w:eastAsia="Calibri" w:hAnsi="Times New Roman"/>
        </w:rPr>
        <w:t>5</w:t>
      </w:r>
      <w:r w:rsidRPr="00304F6F" w:rsidR="004E0A04">
        <w:rPr>
          <w:rFonts w:ascii="Times New Roman" w:eastAsia="Calibri" w:hAnsi="Times New Roman"/>
        </w:rPr>
        <w:t>) foreign</w:t>
      </w:r>
      <w:r w:rsidRPr="00304F6F">
        <w:rPr>
          <w:rFonts w:ascii="Times New Roman" w:eastAsia="Calibri" w:hAnsi="Times New Roman"/>
        </w:rPr>
        <w:t xml:space="preserve"> </w:t>
      </w:r>
      <w:r w:rsidRPr="00304F6F" w:rsidR="004E0A04">
        <w:rPr>
          <w:rFonts w:ascii="Times New Roman" w:eastAsia="Calibri" w:hAnsi="Times New Roman"/>
        </w:rPr>
        <w:t>accrediting</w:t>
      </w:r>
      <w:r w:rsidRPr="00304F6F">
        <w:rPr>
          <w:rFonts w:ascii="Times New Roman" w:eastAsia="Calibri" w:hAnsi="Times New Roman"/>
        </w:rPr>
        <w:t xml:space="preserve"> agencies do not submit applications at the same time because their recognition expires at different times </w:t>
      </w:r>
      <w:r w:rsidRPr="00304F6F" w:rsidR="007379FE">
        <w:rPr>
          <w:rFonts w:ascii="Times New Roman" w:eastAsia="Calibri" w:hAnsi="Times New Roman"/>
        </w:rPr>
        <w:t>depending on</w:t>
      </w:r>
      <w:r w:rsidRPr="00304F6F">
        <w:rPr>
          <w:rFonts w:ascii="Times New Roman" w:eastAsia="Calibri" w:hAnsi="Times New Roman"/>
        </w:rPr>
        <w:t xml:space="preserve"> when they were first recognized. </w:t>
      </w:r>
      <w:r w:rsidRPr="00304F6F" w:rsidR="000E66BF">
        <w:rPr>
          <w:rFonts w:ascii="Times New Roman" w:eastAsia="Calibri" w:hAnsi="Times New Roman"/>
        </w:rPr>
        <w:t>Time for translation was not calculated since all publications for these agencies are in English.</w:t>
      </w:r>
      <w:r w:rsidRPr="00304F6F">
        <w:rPr>
          <w:rFonts w:ascii="Times New Roman" w:eastAsia="Calibri" w:hAnsi="Times New Roman"/>
        </w:rPr>
        <w:t xml:space="preserve">   </w:t>
      </w:r>
    </w:p>
    <w:bookmarkEnd w:id="4"/>
    <w:p w:rsidR="000E66BF" w:rsidRPr="00304F6F" w:rsidP="004E2D9F" w14:paraId="09B399CC" w14:textId="77777777">
      <w:pPr>
        <w:spacing w:line="276" w:lineRule="auto"/>
        <w:rPr>
          <w:rFonts w:ascii="Times New Roman" w:eastAsia="Calibri" w:hAnsi="Times New Roman"/>
          <w:b/>
          <w:szCs w:val="24"/>
        </w:rPr>
      </w:pPr>
      <w:r w:rsidRPr="00304F6F">
        <w:rPr>
          <w:rFonts w:ascii="Times New Roman" w:eastAsia="Calibri" w:hAnsi="Times New Roman"/>
          <w:b/>
          <w:szCs w:val="24"/>
        </w:rPr>
        <w:t xml:space="preserve">           </w:t>
      </w:r>
    </w:p>
    <w:p w:rsidR="000E66BF" w:rsidRPr="00304F6F" w:rsidP="00A10FB1" w14:paraId="7B1A9FF6" w14:textId="05F2966A">
      <w:pPr>
        <w:spacing w:line="276" w:lineRule="auto"/>
        <w:rPr>
          <w:rFonts w:ascii="Times New Roman" w:eastAsia="Calibri" w:hAnsi="Times New Roman"/>
          <w:bCs/>
          <w:szCs w:val="24"/>
        </w:rPr>
      </w:pPr>
      <w:r w:rsidRPr="00304F6F">
        <w:rPr>
          <w:rFonts w:ascii="Times New Roman" w:eastAsia="Calibri" w:hAnsi="Times New Roman"/>
        </w:rPr>
        <w:t xml:space="preserve">      </w:t>
      </w:r>
      <w:r w:rsidRPr="00304F6F" w:rsidR="007137DA">
        <w:rPr>
          <w:rFonts w:ascii="Times New Roman" w:eastAsia="Calibri" w:hAnsi="Times New Roman"/>
        </w:rPr>
        <w:t>5*25=125</w:t>
      </w:r>
      <w:r w:rsidR="00FD6630">
        <w:rPr>
          <w:rFonts w:ascii="Times New Roman" w:eastAsia="Calibri" w:hAnsi="Times New Roman"/>
        </w:rPr>
        <w:t xml:space="preserve"> burden hours</w:t>
      </w:r>
    </w:p>
    <w:p w:rsidR="00BD7589" w:rsidRPr="00304F6F" w:rsidP="001C7531" w14:paraId="713C80EA" w14:textId="58982425">
      <w:pPr>
        <w:spacing w:line="276" w:lineRule="auto"/>
        <w:rPr>
          <w:rFonts w:ascii="Times New Roman" w:eastAsia="Calibri" w:hAnsi="Times New Roman"/>
          <w:bCs/>
          <w:szCs w:val="24"/>
        </w:rPr>
      </w:pPr>
      <w:r w:rsidRPr="00304F6F">
        <w:rPr>
          <w:rFonts w:ascii="Times New Roman" w:eastAsia="Calibri" w:hAnsi="Times New Roman"/>
          <w:bCs/>
          <w:szCs w:val="24"/>
        </w:rPr>
        <w:t xml:space="preserve">        </w:t>
      </w:r>
    </w:p>
    <w:p w:rsidR="00E17389" w:rsidRPr="00304F6F" w:rsidP="00E17389" w14:paraId="5D0EC293" w14:textId="77777777">
      <w:pPr>
        <w:ind w:firstLine="720"/>
        <w:rPr>
          <w:rFonts w:ascii="Times New Roman" w:eastAsia="Calibri" w:hAnsi="Times New Roman"/>
          <w:b/>
          <w:szCs w:val="24"/>
        </w:rPr>
      </w:pPr>
    </w:p>
    <w:p w:rsidR="00247233" w:rsidRPr="00304F6F" w:rsidP="00AA385A" w14:paraId="06F958D1" w14:textId="1374C4CD">
      <w:pPr>
        <w:spacing w:after="200"/>
        <w:rPr>
          <w:rFonts w:ascii="Times New Roman" w:eastAsia="Calibri" w:hAnsi="Times New Roman"/>
          <w:bCs/>
          <w:szCs w:val="24"/>
        </w:rPr>
      </w:pPr>
      <w:r w:rsidRPr="00304F6F">
        <w:rPr>
          <w:rFonts w:ascii="Times New Roman" w:eastAsia="Calibri" w:hAnsi="Times New Roman"/>
          <w:b/>
          <w:szCs w:val="24"/>
        </w:rPr>
        <w:t xml:space="preserve">      </w:t>
      </w:r>
      <w:r w:rsidRPr="00304F6F">
        <w:rPr>
          <w:rFonts w:ascii="Times New Roman" w:eastAsia="Calibri" w:hAnsi="Times New Roman"/>
          <w:bCs/>
          <w:szCs w:val="24"/>
        </w:rPr>
        <w:t>Summary for the current and proposed burden:</w:t>
      </w:r>
    </w:p>
    <w:p w:rsidR="00247233" w:rsidRPr="00304F6F" w:rsidP="00AA385A" w14:paraId="26D0F469" w14:textId="114CD7BB">
      <w:pPr>
        <w:pStyle w:val="ListParagraph"/>
        <w:numPr>
          <w:ilvl w:val="0"/>
          <w:numId w:val="9"/>
        </w:numPr>
        <w:rPr>
          <w:rFonts w:ascii="Times New Roman" w:eastAsia="Calibri" w:hAnsi="Times New Roman"/>
          <w:szCs w:val="24"/>
        </w:rPr>
      </w:pPr>
      <w:r w:rsidRPr="00304F6F">
        <w:rPr>
          <w:rFonts w:ascii="Times New Roman" w:eastAsia="Calibri" w:hAnsi="Times New Roman"/>
          <w:szCs w:val="24"/>
        </w:rPr>
        <w:t xml:space="preserve">Current approved burden:  </w:t>
      </w:r>
      <w:r w:rsidRPr="00304F6F" w:rsidR="00AA7DC4">
        <w:rPr>
          <w:rFonts w:ascii="Times New Roman" w:eastAsia="Calibri" w:hAnsi="Times New Roman"/>
          <w:szCs w:val="24"/>
        </w:rPr>
        <w:t>18,351</w:t>
      </w:r>
      <w:r w:rsidRPr="00304F6F">
        <w:rPr>
          <w:rFonts w:ascii="Times New Roman" w:eastAsia="Calibri" w:hAnsi="Times New Roman"/>
          <w:szCs w:val="24"/>
        </w:rPr>
        <w:t xml:space="preserve"> hours</w:t>
      </w:r>
    </w:p>
    <w:p w:rsidR="00247233" w:rsidRPr="00304F6F" w:rsidP="00AA385A" w14:paraId="393D399C" w14:textId="4DFF11EC">
      <w:pPr>
        <w:pStyle w:val="ListParagraph"/>
        <w:numPr>
          <w:ilvl w:val="0"/>
          <w:numId w:val="7"/>
        </w:numPr>
        <w:rPr>
          <w:rFonts w:ascii="Times New Roman" w:eastAsia="Calibri" w:hAnsi="Times New Roman"/>
          <w:szCs w:val="24"/>
        </w:rPr>
      </w:pPr>
      <w:r w:rsidRPr="00304F6F">
        <w:rPr>
          <w:rFonts w:ascii="Times New Roman" w:eastAsia="Calibri" w:hAnsi="Times New Roman"/>
          <w:szCs w:val="24"/>
        </w:rPr>
        <w:t>Proposed</w:t>
      </w:r>
      <w:r w:rsidRPr="00304F6F" w:rsidR="007E02E6">
        <w:rPr>
          <w:rFonts w:ascii="Times New Roman" w:eastAsia="Calibri" w:hAnsi="Times New Roman"/>
          <w:szCs w:val="24"/>
        </w:rPr>
        <w:t xml:space="preserve"> yearly</w:t>
      </w:r>
      <w:r w:rsidRPr="00304F6F">
        <w:rPr>
          <w:rFonts w:ascii="Times New Roman" w:eastAsia="Calibri" w:hAnsi="Times New Roman"/>
          <w:szCs w:val="24"/>
        </w:rPr>
        <w:t xml:space="preserve"> burden hours for this collection:</w:t>
      </w:r>
      <w:r w:rsidR="00FD6630">
        <w:rPr>
          <w:rFonts w:ascii="Times New Roman" w:eastAsia="Calibri" w:hAnsi="Times New Roman"/>
          <w:szCs w:val="24"/>
        </w:rPr>
        <w:t xml:space="preserve"> 21,728 </w:t>
      </w:r>
      <w:r w:rsidRPr="00304F6F">
        <w:rPr>
          <w:rFonts w:ascii="Times New Roman" w:eastAsia="Calibri" w:hAnsi="Times New Roman"/>
          <w:szCs w:val="24"/>
        </w:rPr>
        <w:t>hours</w:t>
      </w:r>
    </w:p>
    <w:p w:rsidR="00247233" w:rsidRPr="00304F6F" w:rsidP="00AA385A" w14:paraId="7CD7EADD" w14:textId="4A26DDD8">
      <w:pPr>
        <w:pStyle w:val="ListParagraph"/>
        <w:numPr>
          <w:ilvl w:val="0"/>
          <w:numId w:val="7"/>
        </w:numPr>
        <w:rPr>
          <w:rFonts w:ascii="Times New Roman" w:eastAsia="Calibri" w:hAnsi="Times New Roman"/>
          <w:szCs w:val="24"/>
        </w:rPr>
      </w:pPr>
      <w:r w:rsidRPr="00304F6F">
        <w:rPr>
          <w:rFonts w:ascii="Times New Roman" w:eastAsia="Calibri" w:hAnsi="Times New Roman"/>
          <w:szCs w:val="24"/>
        </w:rPr>
        <w:t>Burden increase:</w:t>
      </w:r>
      <w:r w:rsidRPr="00304F6F" w:rsidR="00B135DA">
        <w:rPr>
          <w:rFonts w:ascii="Times New Roman" w:eastAsia="Calibri" w:hAnsi="Times New Roman"/>
          <w:szCs w:val="24"/>
        </w:rPr>
        <w:t xml:space="preserve"> </w:t>
      </w:r>
      <w:r w:rsidR="00B43290">
        <w:rPr>
          <w:rFonts w:ascii="Times New Roman" w:eastAsia="Calibri" w:hAnsi="Times New Roman"/>
          <w:szCs w:val="24"/>
        </w:rPr>
        <w:t>3377</w:t>
      </w:r>
      <w:r w:rsidRPr="00304F6F">
        <w:rPr>
          <w:rFonts w:ascii="Times New Roman" w:eastAsia="Calibri" w:hAnsi="Times New Roman"/>
          <w:szCs w:val="24"/>
        </w:rPr>
        <w:t xml:space="preserve"> hours</w:t>
      </w:r>
    </w:p>
    <w:p w:rsidR="00247233" w:rsidRPr="00304F6F" w:rsidP="00AA385A" w14:paraId="53E2AC82" w14:textId="4022FED5">
      <w:pPr>
        <w:pStyle w:val="ListParagraph"/>
        <w:numPr>
          <w:ilvl w:val="0"/>
          <w:numId w:val="7"/>
        </w:numPr>
        <w:rPr>
          <w:rFonts w:ascii="Times New Roman" w:eastAsia="Calibri" w:hAnsi="Times New Roman"/>
          <w:szCs w:val="24"/>
        </w:rPr>
      </w:pPr>
      <w:r w:rsidRPr="00304F6F">
        <w:rPr>
          <w:rFonts w:ascii="Times New Roman" w:eastAsia="Calibri" w:hAnsi="Times New Roman"/>
          <w:szCs w:val="24"/>
        </w:rPr>
        <w:t xml:space="preserve">Current approved responses: </w:t>
      </w:r>
      <w:r w:rsidRPr="00304F6F" w:rsidR="000E66BF">
        <w:rPr>
          <w:rFonts w:ascii="Times New Roman" w:eastAsia="Calibri" w:hAnsi="Times New Roman"/>
          <w:szCs w:val="24"/>
        </w:rPr>
        <w:t>53</w:t>
      </w:r>
      <w:r w:rsidR="00B43290">
        <w:rPr>
          <w:rFonts w:ascii="Times New Roman" w:eastAsia="Calibri" w:hAnsi="Times New Roman"/>
          <w:szCs w:val="24"/>
        </w:rPr>
        <w:t xml:space="preserve"> total</w:t>
      </w:r>
      <w:r w:rsidRPr="00304F6F">
        <w:rPr>
          <w:rFonts w:ascii="Times New Roman" w:eastAsia="Calibri" w:hAnsi="Times New Roman"/>
          <w:szCs w:val="24"/>
        </w:rPr>
        <w:t xml:space="preserve"> responses</w:t>
      </w:r>
    </w:p>
    <w:p w:rsidR="00967FF0" w:rsidRPr="00304F6F" w:rsidP="00AA385A" w14:paraId="41306293" w14:textId="3A1A72D1">
      <w:pPr>
        <w:pStyle w:val="ListParagraph"/>
        <w:numPr>
          <w:ilvl w:val="0"/>
          <w:numId w:val="7"/>
        </w:numPr>
        <w:rPr>
          <w:rFonts w:ascii="Times New Roman" w:eastAsia="Calibri" w:hAnsi="Times New Roman"/>
          <w:szCs w:val="24"/>
        </w:rPr>
      </w:pPr>
      <w:r w:rsidRPr="00304F6F">
        <w:rPr>
          <w:rFonts w:ascii="Times New Roman" w:eastAsia="Calibri" w:hAnsi="Times New Roman"/>
          <w:szCs w:val="24"/>
        </w:rPr>
        <w:t>Proposed responses for this collection:</w:t>
      </w:r>
      <w:r w:rsidR="00B43290">
        <w:rPr>
          <w:rFonts w:ascii="Times New Roman" w:eastAsia="Calibri" w:hAnsi="Times New Roman"/>
          <w:szCs w:val="24"/>
        </w:rPr>
        <w:t xml:space="preserve"> 81 total </w:t>
      </w:r>
      <w:r w:rsidR="00B43290">
        <w:rPr>
          <w:rFonts w:ascii="Times New Roman" w:eastAsia="Calibri" w:hAnsi="Times New Roman"/>
          <w:szCs w:val="24"/>
        </w:rPr>
        <w:t>repon</w:t>
      </w:r>
      <w:r w:rsidR="002742B3">
        <w:rPr>
          <w:rFonts w:ascii="Times New Roman" w:eastAsia="Calibri" w:hAnsi="Times New Roman"/>
          <w:szCs w:val="24"/>
        </w:rPr>
        <w:t>s</w:t>
      </w:r>
      <w:r w:rsidR="00B43290">
        <w:rPr>
          <w:rFonts w:ascii="Times New Roman" w:eastAsia="Calibri" w:hAnsi="Times New Roman"/>
          <w:szCs w:val="24"/>
        </w:rPr>
        <w:t>es</w:t>
      </w:r>
      <w:r w:rsidR="002742B3">
        <w:rPr>
          <w:rFonts w:ascii="Times New Roman" w:eastAsia="Calibri" w:hAnsi="Times New Roman"/>
          <w:szCs w:val="24"/>
        </w:rPr>
        <w:t>/</w:t>
      </w:r>
      <w:r w:rsidRPr="00304F6F">
        <w:rPr>
          <w:rFonts w:ascii="Times New Roman" w:eastAsia="Calibri" w:hAnsi="Times New Roman"/>
          <w:szCs w:val="24"/>
        </w:rPr>
        <w:t xml:space="preserve"> </w:t>
      </w:r>
      <w:r w:rsidRPr="00304F6F" w:rsidR="009E1C59">
        <w:rPr>
          <w:rFonts w:ascii="Times New Roman" w:eastAsia="Calibri" w:hAnsi="Times New Roman"/>
          <w:szCs w:val="24"/>
        </w:rPr>
        <w:t>16</w:t>
      </w:r>
      <w:r w:rsidRPr="00304F6F">
        <w:rPr>
          <w:rFonts w:ascii="Times New Roman" w:eastAsia="Calibri" w:hAnsi="Times New Roman"/>
          <w:szCs w:val="24"/>
        </w:rPr>
        <w:t xml:space="preserve"> </w:t>
      </w:r>
      <w:r w:rsidR="002742B3">
        <w:rPr>
          <w:rFonts w:ascii="Times New Roman" w:eastAsia="Calibri" w:hAnsi="Times New Roman"/>
          <w:szCs w:val="24"/>
        </w:rPr>
        <w:t xml:space="preserve"> yearly </w:t>
      </w:r>
      <w:r w:rsidRPr="00304F6F">
        <w:rPr>
          <w:rFonts w:ascii="Times New Roman" w:eastAsia="Calibri" w:hAnsi="Times New Roman"/>
          <w:szCs w:val="24"/>
        </w:rPr>
        <w:t>responses</w:t>
      </w:r>
      <w:r w:rsidRPr="00304F6F" w:rsidR="00BE7EA5">
        <w:rPr>
          <w:rFonts w:ascii="Times New Roman" w:eastAsia="Calibri" w:hAnsi="Times New Roman"/>
          <w:szCs w:val="24"/>
        </w:rPr>
        <w:t xml:space="preserve"> (based on the</w:t>
      </w:r>
      <w:r w:rsidRPr="00304F6F" w:rsidR="006834C2">
        <w:rPr>
          <w:rFonts w:ascii="Times New Roman" w:eastAsia="Calibri" w:hAnsi="Times New Roman"/>
          <w:szCs w:val="24"/>
        </w:rPr>
        <w:t xml:space="preserve"> </w:t>
      </w:r>
      <w:r w:rsidRPr="00304F6F" w:rsidR="002A3268">
        <w:rPr>
          <w:rFonts w:ascii="Times New Roman" w:eastAsia="Calibri" w:hAnsi="Times New Roman"/>
          <w:szCs w:val="24"/>
        </w:rPr>
        <w:t xml:space="preserve">average </w:t>
      </w:r>
      <w:r w:rsidRPr="00304F6F" w:rsidR="009E6A19">
        <w:rPr>
          <w:rFonts w:ascii="Times New Roman" w:eastAsia="Calibri" w:hAnsi="Times New Roman"/>
          <w:szCs w:val="24"/>
        </w:rPr>
        <w:t xml:space="preserve">number of </w:t>
      </w:r>
      <w:r w:rsidRPr="00304F6F">
        <w:rPr>
          <w:rFonts w:ascii="Times New Roman" w:eastAsia="Calibri" w:hAnsi="Times New Roman"/>
          <w:szCs w:val="24"/>
        </w:rPr>
        <w:t xml:space="preserve">agencies that </w:t>
      </w:r>
      <w:r w:rsidRPr="00304F6F" w:rsidR="00E418DF">
        <w:rPr>
          <w:rFonts w:ascii="Times New Roman" w:eastAsia="Calibri" w:hAnsi="Times New Roman"/>
          <w:szCs w:val="24"/>
        </w:rPr>
        <w:t xml:space="preserve">will </w:t>
      </w:r>
      <w:r w:rsidRPr="00304F6F">
        <w:rPr>
          <w:rFonts w:ascii="Times New Roman" w:eastAsia="Calibri" w:hAnsi="Times New Roman"/>
          <w:szCs w:val="24"/>
        </w:rPr>
        <w:t xml:space="preserve">submit </w:t>
      </w:r>
      <w:r w:rsidRPr="00304F6F" w:rsidR="00E418DF">
        <w:rPr>
          <w:rFonts w:ascii="Times New Roman" w:eastAsia="Calibri" w:hAnsi="Times New Roman"/>
          <w:szCs w:val="24"/>
        </w:rPr>
        <w:t xml:space="preserve">their </w:t>
      </w:r>
      <w:r w:rsidRPr="00304F6F">
        <w:rPr>
          <w:rFonts w:ascii="Times New Roman" w:eastAsia="Calibri" w:hAnsi="Times New Roman"/>
          <w:szCs w:val="24"/>
        </w:rPr>
        <w:t xml:space="preserve">applications </w:t>
      </w:r>
      <w:r w:rsidRPr="00304F6F" w:rsidR="00E418DF">
        <w:rPr>
          <w:rFonts w:ascii="Times New Roman" w:eastAsia="Calibri" w:hAnsi="Times New Roman"/>
          <w:szCs w:val="24"/>
        </w:rPr>
        <w:t xml:space="preserve">annually </w:t>
      </w:r>
      <w:r w:rsidRPr="00304F6F">
        <w:rPr>
          <w:rFonts w:ascii="Times New Roman" w:eastAsia="Calibri" w:hAnsi="Times New Roman"/>
          <w:szCs w:val="24"/>
        </w:rPr>
        <w:t>into the e-recognition system</w:t>
      </w:r>
      <w:r w:rsidR="002742B3">
        <w:rPr>
          <w:rFonts w:ascii="Times New Roman" w:eastAsia="Calibri" w:hAnsi="Times New Roman"/>
          <w:szCs w:val="24"/>
        </w:rPr>
        <w:t>)</w:t>
      </w:r>
      <w:r w:rsidRPr="00304F6F">
        <w:rPr>
          <w:rFonts w:ascii="Times New Roman" w:eastAsia="Calibri" w:hAnsi="Times New Roman"/>
          <w:szCs w:val="24"/>
        </w:rPr>
        <w:t>.</w:t>
      </w:r>
    </w:p>
    <w:p w:rsidR="00247233" w:rsidRPr="00304F6F" w:rsidP="00AA385A" w14:paraId="4CE87BC6" w14:textId="6B919113">
      <w:pPr>
        <w:pStyle w:val="ListParagraph"/>
        <w:numPr>
          <w:ilvl w:val="0"/>
          <w:numId w:val="7"/>
        </w:numPr>
        <w:rPr>
          <w:rFonts w:ascii="Times New Roman" w:eastAsia="Calibri" w:hAnsi="Times New Roman"/>
          <w:szCs w:val="24"/>
        </w:rPr>
      </w:pPr>
      <w:r w:rsidRPr="00304F6F">
        <w:rPr>
          <w:rFonts w:ascii="Times New Roman" w:eastAsia="Calibri" w:hAnsi="Times New Roman"/>
          <w:szCs w:val="24"/>
        </w:rPr>
        <w:t xml:space="preserve">Proposed overall </w:t>
      </w:r>
      <w:r w:rsidRPr="00304F6F" w:rsidR="00BF3FDD">
        <w:rPr>
          <w:rFonts w:ascii="Times New Roman" w:eastAsia="Calibri" w:hAnsi="Times New Roman"/>
          <w:szCs w:val="24"/>
        </w:rPr>
        <w:t xml:space="preserve">decrease </w:t>
      </w:r>
      <w:r w:rsidRPr="00304F6F">
        <w:rPr>
          <w:rFonts w:ascii="Times New Roman" w:eastAsia="Calibri" w:hAnsi="Times New Roman"/>
          <w:szCs w:val="24"/>
        </w:rPr>
        <w:t xml:space="preserve">in responses: </w:t>
      </w:r>
      <w:r w:rsidRPr="00304F6F" w:rsidR="00E50F44">
        <w:rPr>
          <w:rFonts w:ascii="Times New Roman" w:eastAsia="Calibri" w:hAnsi="Times New Roman"/>
          <w:szCs w:val="24"/>
        </w:rPr>
        <w:t xml:space="preserve">.8 </w:t>
      </w:r>
      <w:r w:rsidRPr="00304F6F">
        <w:rPr>
          <w:rFonts w:ascii="Times New Roman" w:eastAsia="Calibri" w:hAnsi="Times New Roman"/>
          <w:szCs w:val="24"/>
        </w:rPr>
        <w:t>response</w:t>
      </w:r>
    </w:p>
    <w:p w:rsidR="00E17389" w:rsidRPr="00304F6F" w:rsidP="00E17389" w14:paraId="61BF553E" w14:textId="5CF7C8B9">
      <w:pPr>
        <w:rPr>
          <w:rFonts w:ascii="Times New Roman" w:eastAsia="Calibri" w:hAnsi="Times New Roman"/>
          <w:b/>
          <w:szCs w:val="24"/>
        </w:rPr>
      </w:pPr>
    </w:p>
    <w:p w:rsidR="004C6A03" w:rsidRPr="00304F6F" w:rsidP="00304F6F" w14:paraId="28EA73B5" w14:textId="5851A80F">
      <w:pPr>
        <w:pStyle w:val="ListParagraph"/>
        <w:rPr>
          <w:rFonts w:ascii="Times New Roman" w:hAnsi="Times New Roman"/>
        </w:rPr>
      </w:pPr>
      <w:r w:rsidRPr="00304F6F">
        <w:rPr>
          <w:rFonts w:ascii="Times New Roman" w:hAnsi="Times New Roman"/>
        </w:rPr>
        <w:t xml:space="preserve">For this collection, the Department is using wage information form the Bureau of Labor Statistics, Education </w:t>
      </w:r>
      <w:r w:rsidRPr="00304F6F" w:rsidR="2A91C820">
        <w:rPr>
          <w:rFonts w:ascii="Times New Roman" w:hAnsi="Times New Roman"/>
        </w:rPr>
        <w:t xml:space="preserve">Administrators, Other category (11-9039).  The average hourly earnings </w:t>
      </w:r>
      <w:r w:rsidRPr="00304F6F" w:rsidR="2A91C820">
        <w:rPr>
          <w:rFonts w:ascii="Times New Roman" w:hAnsi="Times New Roman"/>
        </w:rPr>
        <w:t>is</w:t>
      </w:r>
      <w:r w:rsidRPr="00304F6F" w:rsidR="2A91C820">
        <w:rPr>
          <w:rFonts w:ascii="Times New Roman" w:hAnsi="Times New Roman"/>
        </w:rPr>
        <w:t xml:space="preserve"> $47</w:t>
      </w:r>
      <w:r w:rsidRPr="00304F6F" w:rsidR="04E46A3C">
        <w:rPr>
          <w:rFonts w:ascii="Times New Roman" w:hAnsi="Times New Roman"/>
        </w:rPr>
        <w:t>.82 per hour</w:t>
      </w:r>
      <w:r w:rsidRPr="00304F6F" w:rsidR="154D2E7E">
        <w:rPr>
          <w:rFonts w:ascii="Times New Roman" w:hAnsi="Times New Roman"/>
        </w:rPr>
        <w:t xml:space="preserve"> (as of May 2024).</w:t>
      </w:r>
    </w:p>
    <w:p w:rsidR="00304F6F" w:rsidRPr="00304F6F" w:rsidP="00304F6F" w14:paraId="288E2D1D" w14:textId="77777777">
      <w:pPr>
        <w:pStyle w:val="ListParagraph"/>
        <w:rPr>
          <w:rFonts w:ascii="Times New Roman" w:hAnsi="Times New Roman"/>
        </w:rPr>
      </w:pPr>
    </w:p>
    <w:p w:rsidR="00304F6F" w:rsidRPr="00FD6630" w:rsidP="00304F6F" w14:paraId="5DD1E85E" w14:textId="2172DBFC">
      <w:pPr>
        <w:pStyle w:val="ListParagraph"/>
        <w:rPr>
          <w:rFonts w:ascii="Times New Roman" w:hAnsi="Times New Roman"/>
          <w:szCs w:val="24"/>
        </w:rPr>
      </w:pPr>
      <w:r w:rsidRPr="00FD6630">
        <w:rPr>
          <w:rFonts w:ascii="Times New Roman" w:hAnsi="Times New Roman"/>
          <w:szCs w:val="24"/>
        </w:rPr>
        <w:t xml:space="preserve">Average burden </w:t>
      </w:r>
      <w:r w:rsidRPr="00FD6630" w:rsidR="00FD6630">
        <w:rPr>
          <w:rFonts w:ascii="Times New Roman" w:hAnsi="Times New Roman"/>
          <w:szCs w:val="24"/>
        </w:rPr>
        <w:t xml:space="preserve"> hours </w:t>
      </w:r>
      <w:r w:rsidRPr="00FD6630">
        <w:rPr>
          <w:rFonts w:ascii="Times New Roman" w:hAnsi="Times New Roman"/>
          <w:szCs w:val="24"/>
        </w:rPr>
        <w:t>= (89,060+</w:t>
      </w:r>
      <w:r w:rsidRPr="00FD6630">
        <w:rPr>
          <w:rFonts w:ascii="Times New Roman" w:eastAsia="Calibri" w:hAnsi="Times New Roman"/>
          <w:szCs w:val="24"/>
        </w:rPr>
        <w:t>20,790 +125)/81 = 1358</w:t>
      </w:r>
    </w:p>
    <w:p w:rsidR="00304F6F" w:rsidRPr="00FD6630" w:rsidP="00D75053" w14:paraId="24B4512C" w14:textId="2AD21394">
      <w:pPr>
        <w:spacing w:line="276" w:lineRule="auto"/>
        <w:ind w:left="720"/>
        <w:rPr>
          <w:rFonts w:ascii="Times New Roman" w:hAnsi="Times New Roman"/>
          <w:szCs w:val="24"/>
        </w:rPr>
      </w:pPr>
      <w:r w:rsidRPr="00FD6630">
        <w:rPr>
          <w:rFonts w:ascii="Times New Roman" w:hAnsi="Times New Roman"/>
          <w:szCs w:val="24"/>
        </w:rPr>
        <w:t>Total burden hours =  16* 1358</w:t>
      </w:r>
    </w:p>
    <w:p w:rsidR="00304F6F" w:rsidRPr="00FD6630" w:rsidP="00D75053" w14:paraId="08F75A80" w14:textId="19F5249A">
      <w:pPr>
        <w:spacing w:line="276" w:lineRule="auto"/>
        <w:ind w:left="720"/>
        <w:rPr>
          <w:rFonts w:ascii="Times New Roman" w:hAnsi="Times New Roman"/>
          <w:szCs w:val="24"/>
        </w:rPr>
      </w:pPr>
      <w:r w:rsidRPr="00FD6630">
        <w:rPr>
          <w:rFonts w:ascii="Times New Roman" w:hAnsi="Times New Roman"/>
          <w:szCs w:val="24"/>
        </w:rPr>
        <w:t xml:space="preserve">Total annual cost = </w:t>
      </w:r>
      <w:r w:rsidRPr="00FD6630" w:rsidR="00B3389D">
        <w:rPr>
          <w:rFonts w:ascii="Times New Roman" w:hAnsi="Times New Roman"/>
          <w:szCs w:val="24"/>
        </w:rPr>
        <w:t>21, 728* 47.28</w:t>
      </w:r>
    </w:p>
    <w:p w:rsidR="006F4F9B" w:rsidRPr="00FD6630" w:rsidP="00D75053" w14:paraId="6D989E89" w14:textId="6107E4AC">
      <w:pPr>
        <w:spacing w:line="276" w:lineRule="auto"/>
        <w:ind w:left="720"/>
        <w:rPr>
          <w:rFonts w:ascii="Times New Roman" w:hAnsi="Times New Roman"/>
          <w:szCs w:val="24"/>
        </w:rPr>
      </w:pPr>
      <w:r w:rsidRPr="00FD6630">
        <w:rPr>
          <w:rFonts w:ascii="Times New Roman" w:hAnsi="Times New Roman"/>
          <w:szCs w:val="24"/>
        </w:rPr>
        <w:t xml:space="preserve">Cost per response = </w:t>
      </w:r>
      <w:r w:rsidRPr="00FD6630" w:rsidR="005E2FB4">
        <w:rPr>
          <w:rFonts w:ascii="Times New Roman" w:hAnsi="Times New Roman"/>
          <w:szCs w:val="24"/>
        </w:rPr>
        <w:t>47.28*1358</w:t>
      </w:r>
    </w:p>
    <w:p w:rsidR="00304F6F" w:rsidRPr="00304F6F" w:rsidP="00D75053" w14:paraId="3243CEC5" w14:textId="77777777">
      <w:pPr>
        <w:spacing w:line="276" w:lineRule="auto"/>
        <w:ind w:left="720"/>
        <w:rPr>
          <w:rFonts w:asciiTheme="minorHAnsi" w:hAnsiTheme="minorHAnsi" w:cstheme="minorHAnsi"/>
          <w:sz w:val="22"/>
          <w:szCs w:val="22"/>
        </w:rPr>
      </w:pPr>
    </w:p>
    <w:p w:rsidR="00304F6F" w:rsidRPr="00304F6F" w:rsidP="00D75053" w14:paraId="77DA3765" w14:textId="77777777">
      <w:pPr>
        <w:spacing w:line="276" w:lineRule="auto"/>
        <w:ind w:left="720"/>
        <w:rPr>
          <w:rFonts w:asciiTheme="minorHAnsi" w:hAnsiTheme="minorHAnsi" w:cstheme="minorHAnsi"/>
          <w:sz w:val="22"/>
          <w:szCs w:val="22"/>
        </w:rPr>
      </w:pPr>
    </w:p>
    <w:p w:rsidR="00304F6F" w:rsidRPr="00304F6F" w:rsidP="00D75053" w14:paraId="5F4CACF9" w14:textId="77777777">
      <w:pPr>
        <w:spacing w:line="276" w:lineRule="auto"/>
        <w:ind w:left="720"/>
        <w:rPr>
          <w:rFonts w:asciiTheme="minorHAnsi" w:hAnsiTheme="minorHAnsi" w:cstheme="minorHAnsi"/>
          <w:sz w:val="22"/>
          <w:szCs w:val="22"/>
        </w:rPr>
      </w:pPr>
    </w:p>
    <w:p w:rsidR="00304F6F" w:rsidP="00D75053" w14:paraId="30E7A158" w14:textId="77777777">
      <w:pPr>
        <w:spacing w:line="276" w:lineRule="auto"/>
        <w:ind w:left="720"/>
        <w:rPr>
          <w:rFonts w:asciiTheme="minorHAnsi" w:hAnsiTheme="minorHAnsi" w:cstheme="minorHAnsi"/>
          <w:sz w:val="22"/>
          <w:szCs w:val="22"/>
        </w:rPr>
      </w:pPr>
    </w:p>
    <w:p w:rsidR="006F4F9B" w:rsidP="00D75053" w14:paraId="54C02FE1" w14:textId="77777777">
      <w:pPr>
        <w:spacing w:line="276" w:lineRule="auto"/>
        <w:ind w:left="720"/>
        <w:rPr>
          <w:rFonts w:asciiTheme="minorHAnsi" w:hAnsiTheme="minorHAnsi" w:cstheme="minorHAnsi"/>
          <w:sz w:val="22"/>
          <w:szCs w:val="22"/>
        </w:rPr>
      </w:pPr>
    </w:p>
    <w:p w:rsidR="006F4F9B" w:rsidP="00D75053" w14:paraId="620660A0" w14:textId="77777777">
      <w:pPr>
        <w:spacing w:line="276" w:lineRule="auto"/>
        <w:ind w:left="720"/>
        <w:rPr>
          <w:rFonts w:asciiTheme="minorHAnsi" w:hAnsiTheme="minorHAnsi" w:cstheme="minorHAnsi"/>
          <w:sz w:val="22"/>
          <w:szCs w:val="22"/>
        </w:rPr>
      </w:pPr>
    </w:p>
    <w:p w:rsidR="006F4F9B" w:rsidP="00D75053" w14:paraId="40351DCF" w14:textId="77777777">
      <w:pPr>
        <w:spacing w:line="276" w:lineRule="auto"/>
        <w:ind w:left="720"/>
        <w:rPr>
          <w:rFonts w:asciiTheme="minorHAnsi" w:hAnsiTheme="minorHAnsi" w:cstheme="minorHAnsi"/>
          <w:sz w:val="22"/>
          <w:szCs w:val="22"/>
        </w:rPr>
      </w:pPr>
    </w:p>
    <w:p w:rsidR="006F4F9B" w:rsidP="00D75053" w14:paraId="402F5990" w14:textId="77777777">
      <w:pPr>
        <w:spacing w:line="276" w:lineRule="auto"/>
        <w:ind w:left="720"/>
        <w:rPr>
          <w:rFonts w:asciiTheme="minorHAnsi" w:hAnsiTheme="minorHAnsi" w:cstheme="minorHAnsi"/>
          <w:sz w:val="22"/>
          <w:szCs w:val="22"/>
        </w:rPr>
      </w:pPr>
    </w:p>
    <w:p w:rsidR="006F4F9B" w:rsidP="00D75053" w14:paraId="54F57364" w14:textId="77777777">
      <w:pPr>
        <w:spacing w:line="276" w:lineRule="auto"/>
        <w:ind w:left="720"/>
        <w:rPr>
          <w:rFonts w:asciiTheme="minorHAnsi" w:hAnsiTheme="minorHAnsi" w:cstheme="minorHAnsi"/>
          <w:sz w:val="22"/>
          <w:szCs w:val="22"/>
        </w:rPr>
      </w:pPr>
    </w:p>
    <w:p w:rsidR="006F4F9B" w:rsidP="00D75053" w14:paraId="4C89D831" w14:textId="77777777">
      <w:pPr>
        <w:spacing w:line="276" w:lineRule="auto"/>
        <w:ind w:left="720"/>
        <w:rPr>
          <w:rFonts w:asciiTheme="minorHAnsi" w:hAnsiTheme="minorHAnsi" w:cstheme="minorHAnsi"/>
          <w:sz w:val="22"/>
          <w:szCs w:val="22"/>
        </w:rPr>
      </w:pPr>
    </w:p>
    <w:p w:rsidR="006F4F9B" w:rsidP="00D75053" w14:paraId="74B612C8" w14:textId="77777777">
      <w:pPr>
        <w:spacing w:line="276" w:lineRule="auto"/>
        <w:ind w:left="720"/>
        <w:rPr>
          <w:rFonts w:asciiTheme="minorHAnsi" w:hAnsiTheme="minorHAnsi" w:cstheme="minorHAnsi"/>
          <w:sz w:val="22"/>
          <w:szCs w:val="22"/>
        </w:rPr>
      </w:pPr>
    </w:p>
    <w:p w:rsidR="006F4F9B" w:rsidP="00D75053" w14:paraId="574AFE7F" w14:textId="77777777">
      <w:pPr>
        <w:spacing w:line="276" w:lineRule="auto"/>
        <w:ind w:left="720"/>
        <w:rPr>
          <w:rFonts w:asciiTheme="minorHAnsi" w:hAnsiTheme="minorHAnsi" w:cstheme="minorHAnsi"/>
          <w:sz w:val="22"/>
          <w:szCs w:val="22"/>
        </w:rPr>
      </w:pPr>
    </w:p>
    <w:p w:rsidR="006F4F9B" w:rsidP="00D75053" w14:paraId="19D99BE7" w14:textId="77777777">
      <w:pPr>
        <w:spacing w:line="276" w:lineRule="auto"/>
        <w:ind w:left="720"/>
        <w:rPr>
          <w:rFonts w:asciiTheme="minorHAnsi" w:hAnsiTheme="minorHAnsi" w:cstheme="minorHAnsi"/>
          <w:sz w:val="22"/>
          <w:szCs w:val="22"/>
        </w:rPr>
      </w:pPr>
    </w:p>
    <w:p w:rsidR="006F4F9B" w:rsidP="00D75053" w14:paraId="1973D62D" w14:textId="77777777">
      <w:pPr>
        <w:spacing w:line="276" w:lineRule="auto"/>
        <w:ind w:left="720"/>
        <w:rPr>
          <w:rFonts w:asciiTheme="minorHAnsi" w:hAnsiTheme="minorHAnsi" w:cstheme="minorHAnsi"/>
          <w:sz w:val="22"/>
          <w:szCs w:val="22"/>
        </w:rPr>
      </w:pPr>
    </w:p>
    <w:p w:rsidR="006F4F9B" w:rsidP="00D75053" w14:paraId="01C7E2BD" w14:textId="77777777">
      <w:pPr>
        <w:spacing w:line="276" w:lineRule="auto"/>
        <w:ind w:left="720"/>
        <w:rPr>
          <w:rFonts w:asciiTheme="minorHAnsi" w:hAnsiTheme="minorHAnsi" w:cstheme="minorHAnsi"/>
          <w:sz w:val="22"/>
          <w:szCs w:val="22"/>
        </w:rPr>
      </w:pPr>
    </w:p>
    <w:p w:rsidR="006F4F9B" w:rsidP="00D75053" w14:paraId="252EF5D3" w14:textId="77777777">
      <w:pPr>
        <w:spacing w:line="276" w:lineRule="auto"/>
        <w:ind w:left="720"/>
        <w:rPr>
          <w:rFonts w:asciiTheme="minorHAnsi" w:hAnsiTheme="minorHAnsi" w:cstheme="minorHAnsi"/>
          <w:sz w:val="22"/>
          <w:szCs w:val="22"/>
        </w:rPr>
      </w:pPr>
    </w:p>
    <w:p w:rsidR="006F4F9B" w:rsidP="00D75053" w14:paraId="36AC63F0" w14:textId="77777777">
      <w:pPr>
        <w:spacing w:line="276" w:lineRule="auto"/>
        <w:ind w:left="720"/>
        <w:rPr>
          <w:rFonts w:asciiTheme="minorHAnsi" w:hAnsiTheme="minorHAnsi" w:cstheme="minorHAnsi"/>
          <w:sz w:val="22"/>
          <w:szCs w:val="22"/>
        </w:rPr>
      </w:pPr>
    </w:p>
    <w:p w:rsidR="006F4F9B" w:rsidRPr="00304F6F" w:rsidP="00D75053" w14:paraId="46D0EDCA" w14:textId="77777777">
      <w:pPr>
        <w:spacing w:line="276" w:lineRule="auto"/>
        <w:ind w:left="720"/>
        <w:rPr>
          <w:rFonts w:asciiTheme="minorHAnsi" w:hAnsiTheme="minorHAnsi" w:cstheme="minorHAnsi"/>
          <w:sz w:val="22"/>
          <w:szCs w:val="22"/>
        </w:rPr>
      </w:pPr>
    </w:p>
    <w:p w:rsidR="001E3902" w:rsidRPr="00304F6F" w:rsidP="00D75053" w14:paraId="090DE104" w14:textId="77777777">
      <w:pPr>
        <w:spacing w:line="276" w:lineRule="auto"/>
        <w:ind w:left="720"/>
        <w:rPr>
          <w:rFonts w:asciiTheme="minorHAnsi" w:hAnsiTheme="minorHAnsi" w:cstheme="minorHAnsi"/>
          <w:sz w:val="22"/>
          <w:szCs w:val="22"/>
        </w:rPr>
      </w:pPr>
    </w:p>
    <w:p w:rsidR="00ED7195" w:rsidRPr="00304F6F" w:rsidP="00756FD3" w14:paraId="58CE2566" w14:textId="667AB58A">
      <w:pPr>
        <w:pStyle w:val="Caption"/>
        <w:jc w:val="center"/>
        <w:rPr>
          <w:rFonts w:ascii="Times New Roman" w:hAnsi="Times New Roman"/>
          <w:color w:val="auto"/>
          <w:sz w:val="24"/>
          <w:szCs w:val="24"/>
        </w:rPr>
      </w:pPr>
      <w:r w:rsidRPr="00304F6F">
        <w:rPr>
          <w:rFonts w:ascii="Times New Roman" w:hAnsi="Times New Roman"/>
          <w:color w:val="auto"/>
          <w:sz w:val="24"/>
          <w:szCs w:val="24"/>
        </w:rPr>
        <w:t>E</w:t>
      </w:r>
      <w:r w:rsidRPr="00304F6F" w:rsidR="00AC4A0F">
        <w:rPr>
          <w:rFonts w:ascii="Times New Roman" w:hAnsi="Times New Roman"/>
          <w:color w:val="auto"/>
          <w:sz w:val="24"/>
          <w:szCs w:val="24"/>
        </w:rPr>
        <w:t xml:space="preserve">stimated </w:t>
      </w:r>
      <w:r w:rsidRPr="00304F6F" w:rsidR="00F31BEC">
        <w:rPr>
          <w:rFonts w:ascii="Times New Roman" w:hAnsi="Times New Roman"/>
          <w:color w:val="auto"/>
          <w:sz w:val="24"/>
          <w:szCs w:val="24"/>
        </w:rPr>
        <w:t xml:space="preserve">Annual </w:t>
      </w:r>
      <w:r w:rsidRPr="00304F6F" w:rsidR="007F6104">
        <w:rPr>
          <w:rFonts w:ascii="Times New Roman" w:hAnsi="Times New Roman"/>
          <w:color w:val="auto"/>
          <w:sz w:val="24"/>
          <w:szCs w:val="24"/>
        </w:rPr>
        <w:t>Burden and Respondent Costs</w:t>
      </w:r>
      <w:r w:rsidRPr="00304F6F" w:rsidR="00F5782B">
        <w:rPr>
          <w:rFonts w:ascii="Times New Roman" w:hAnsi="Times New Roman"/>
          <w:color w:val="auto"/>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705"/>
        <w:gridCol w:w="905"/>
        <w:gridCol w:w="1255"/>
        <w:gridCol w:w="1275"/>
        <w:gridCol w:w="1080"/>
        <w:gridCol w:w="1335"/>
        <w:gridCol w:w="1170"/>
        <w:gridCol w:w="1260"/>
        <w:gridCol w:w="1350"/>
      </w:tblGrid>
      <w:tr w14:paraId="58CE257E" w14:textId="77777777" w:rsidTr="00D3355D">
        <w:tblPrEx>
          <w:tblW w:w="11335" w:type="dxa"/>
          <w:tblLayout w:type="fixed"/>
          <w:tblLook w:val="0020"/>
        </w:tblPrEx>
        <w:trPr>
          <w:trHeight w:val="1790"/>
          <w:tblHeader/>
        </w:trPr>
        <w:tc>
          <w:tcPr>
            <w:tcW w:w="1705" w:type="dxa"/>
          </w:tcPr>
          <w:p w:rsidR="00C86713" w:rsidRPr="00304F6F" w:rsidP="00FE1BAE" w14:paraId="58CE2567" w14:textId="77777777">
            <w:pPr>
              <w:jc w:val="center"/>
              <w:rPr>
                <w:rFonts w:ascii="Times New Roman" w:hAnsi="Times New Roman"/>
                <w:sz w:val="20"/>
              </w:rPr>
            </w:pPr>
          </w:p>
          <w:p w:rsidR="00C86713" w:rsidRPr="00304F6F" w:rsidP="00FE1BAE" w14:paraId="58CE2568" w14:textId="77777777">
            <w:pPr>
              <w:jc w:val="center"/>
              <w:rPr>
                <w:rFonts w:ascii="Times New Roman" w:hAnsi="Times New Roman"/>
                <w:sz w:val="20"/>
              </w:rPr>
            </w:pPr>
          </w:p>
          <w:p w:rsidR="00C86713" w:rsidRPr="00304F6F" w:rsidP="00FE1BAE" w14:paraId="58CE2569" w14:textId="77777777">
            <w:pPr>
              <w:jc w:val="center"/>
              <w:rPr>
                <w:rFonts w:ascii="Times New Roman" w:hAnsi="Times New Roman"/>
                <w:sz w:val="20"/>
              </w:rPr>
            </w:pPr>
            <w:r w:rsidRPr="00304F6F">
              <w:rPr>
                <w:rFonts w:ascii="Times New Roman" w:hAnsi="Times New Roman"/>
                <w:sz w:val="20"/>
              </w:rPr>
              <w:t>Information Activity or IC (with type of respondent)</w:t>
            </w:r>
          </w:p>
        </w:tc>
        <w:tc>
          <w:tcPr>
            <w:tcW w:w="905" w:type="dxa"/>
            <w:vAlign w:val="center"/>
          </w:tcPr>
          <w:p w:rsidR="00C86713" w:rsidRPr="00304F6F" w:rsidP="00FE1BAE" w14:paraId="58CE256A" w14:textId="77777777">
            <w:pPr>
              <w:jc w:val="center"/>
              <w:rPr>
                <w:rFonts w:ascii="Times New Roman" w:hAnsi="Times New Roman"/>
                <w:sz w:val="20"/>
              </w:rPr>
            </w:pPr>
          </w:p>
          <w:p w:rsidR="00C86713" w:rsidRPr="00304F6F" w:rsidP="00FE1BAE" w14:paraId="58CE256B" w14:textId="77777777">
            <w:pPr>
              <w:jc w:val="center"/>
              <w:rPr>
                <w:rFonts w:ascii="Times New Roman" w:hAnsi="Times New Roman"/>
                <w:sz w:val="20"/>
              </w:rPr>
            </w:pPr>
          </w:p>
          <w:p w:rsidR="00C86713" w:rsidRPr="00304F6F" w:rsidP="00FE1BAE" w14:paraId="58CE256C" w14:textId="77777777">
            <w:pPr>
              <w:jc w:val="center"/>
              <w:rPr>
                <w:rFonts w:ascii="Times New Roman" w:hAnsi="Times New Roman"/>
                <w:sz w:val="20"/>
              </w:rPr>
            </w:pPr>
            <w:r w:rsidRPr="00304F6F">
              <w:rPr>
                <w:rFonts w:ascii="Times New Roman" w:hAnsi="Times New Roman"/>
                <w:sz w:val="20"/>
              </w:rPr>
              <w:t xml:space="preserve">Sample Size </w:t>
            </w:r>
            <w:r w:rsidRPr="00304F6F">
              <w:rPr>
                <w:rFonts w:ascii="Times New Roman" w:hAnsi="Times New Roman"/>
                <w:sz w:val="20"/>
                <w:shd w:val="clear" w:color="auto" w:fill="D9D9D9" w:themeFill="background1" w:themeFillShade="D9"/>
              </w:rPr>
              <w:t>(if applicable)</w:t>
            </w:r>
          </w:p>
        </w:tc>
        <w:tc>
          <w:tcPr>
            <w:tcW w:w="1255" w:type="dxa"/>
            <w:vAlign w:val="center"/>
          </w:tcPr>
          <w:p w:rsidR="00C86713" w:rsidRPr="00304F6F" w:rsidP="00FE1BAE" w14:paraId="58CE256D" w14:textId="77777777">
            <w:pPr>
              <w:jc w:val="center"/>
              <w:rPr>
                <w:rFonts w:ascii="Times New Roman" w:hAnsi="Times New Roman"/>
                <w:sz w:val="20"/>
              </w:rPr>
            </w:pPr>
          </w:p>
          <w:p w:rsidR="00C86713" w:rsidRPr="00304F6F" w:rsidP="00581C11" w14:paraId="58CE256E" w14:textId="77777777">
            <w:pPr>
              <w:shd w:val="clear" w:color="auto" w:fill="F2F2F2" w:themeFill="background1" w:themeFillShade="F2"/>
              <w:jc w:val="center"/>
              <w:rPr>
                <w:rFonts w:ascii="Times New Roman" w:hAnsi="Times New Roman"/>
                <w:sz w:val="20"/>
              </w:rPr>
            </w:pPr>
          </w:p>
          <w:p w:rsidR="00C86713" w:rsidRPr="00304F6F" w:rsidP="00581C11" w14:paraId="58CE256F" w14:textId="77777777">
            <w:pPr>
              <w:shd w:val="clear" w:color="auto" w:fill="F2F2F2" w:themeFill="background1" w:themeFillShade="F2"/>
              <w:jc w:val="center"/>
              <w:rPr>
                <w:rFonts w:ascii="Times New Roman" w:hAnsi="Times New Roman"/>
                <w:sz w:val="20"/>
              </w:rPr>
            </w:pPr>
            <w:r w:rsidRPr="00304F6F">
              <w:rPr>
                <w:rFonts w:ascii="Times New Roman" w:hAnsi="Times New Roman"/>
                <w:sz w:val="20"/>
                <w:shd w:val="clear" w:color="auto" w:fill="F2F2F2" w:themeFill="background1" w:themeFillShade="F2"/>
              </w:rPr>
              <w:t xml:space="preserve">Respondent Response Rate </w:t>
            </w:r>
            <w:r w:rsidRPr="00304F6F">
              <w:rPr>
                <w:rFonts w:ascii="Times New Roman" w:hAnsi="Times New Roman"/>
                <w:sz w:val="20"/>
                <w:shd w:val="clear" w:color="auto" w:fill="D9D9D9" w:themeFill="background1" w:themeFillShade="D9"/>
              </w:rPr>
              <w:t>(if applicable)</w:t>
            </w:r>
          </w:p>
        </w:tc>
        <w:tc>
          <w:tcPr>
            <w:tcW w:w="1275" w:type="dxa"/>
            <w:vAlign w:val="center"/>
          </w:tcPr>
          <w:p w:rsidR="00C86713" w:rsidRPr="00304F6F" w:rsidP="00FE1BAE" w14:paraId="58CE2570" w14:textId="77777777">
            <w:pPr>
              <w:jc w:val="center"/>
              <w:rPr>
                <w:rFonts w:ascii="Times New Roman" w:hAnsi="Times New Roman"/>
                <w:sz w:val="20"/>
              </w:rPr>
            </w:pPr>
            <w:r w:rsidRPr="00304F6F">
              <w:rPr>
                <w:rFonts w:ascii="Times New Roman" w:hAnsi="Times New Roman"/>
                <w:sz w:val="20"/>
              </w:rPr>
              <w:t>Number of Respondents</w:t>
            </w:r>
          </w:p>
        </w:tc>
        <w:tc>
          <w:tcPr>
            <w:tcW w:w="1080" w:type="dxa"/>
            <w:vAlign w:val="center"/>
          </w:tcPr>
          <w:p w:rsidR="00C86713" w:rsidRPr="00304F6F" w:rsidP="00FE1BAE" w14:paraId="58CE2571" w14:textId="77777777">
            <w:pPr>
              <w:jc w:val="center"/>
              <w:rPr>
                <w:rFonts w:ascii="Times New Roman" w:hAnsi="Times New Roman"/>
                <w:sz w:val="20"/>
              </w:rPr>
            </w:pPr>
          </w:p>
          <w:p w:rsidR="00C86713" w:rsidRPr="00304F6F" w:rsidP="00FE1BAE" w14:paraId="58CE2572" w14:textId="77777777">
            <w:pPr>
              <w:jc w:val="center"/>
              <w:rPr>
                <w:rFonts w:ascii="Times New Roman" w:hAnsi="Times New Roman"/>
                <w:sz w:val="20"/>
              </w:rPr>
            </w:pPr>
          </w:p>
          <w:p w:rsidR="00C86713" w:rsidRPr="00304F6F" w:rsidP="00FE1BAE" w14:paraId="58CE2573" w14:textId="77777777">
            <w:pPr>
              <w:jc w:val="center"/>
              <w:rPr>
                <w:rFonts w:ascii="Times New Roman" w:hAnsi="Times New Roman"/>
                <w:sz w:val="20"/>
              </w:rPr>
            </w:pPr>
            <w:r w:rsidRPr="00304F6F">
              <w:rPr>
                <w:rFonts w:ascii="Times New Roman" w:hAnsi="Times New Roman"/>
                <w:sz w:val="20"/>
              </w:rPr>
              <w:t>Number of Responses</w:t>
            </w:r>
          </w:p>
        </w:tc>
        <w:tc>
          <w:tcPr>
            <w:tcW w:w="1335" w:type="dxa"/>
            <w:vAlign w:val="center"/>
          </w:tcPr>
          <w:p w:rsidR="00C86713" w:rsidRPr="00304F6F" w:rsidP="00FE1BAE" w14:paraId="58CE2574" w14:textId="77777777">
            <w:pPr>
              <w:jc w:val="center"/>
              <w:rPr>
                <w:rFonts w:ascii="Times New Roman" w:hAnsi="Times New Roman"/>
                <w:sz w:val="20"/>
              </w:rPr>
            </w:pPr>
          </w:p>
          <w:p w:rsidR="00C86713" w:rsidRPr="00304F6F" w:rsidP="00FE1BAE" w14:paraId="58CE2575" w14:textId="77777777">
            <w:pPr>
              <w:jc w:val="center"/>
              <w:rPr>
                <w:rFonts w:ascii="Times New Roman" w:hAnsi="Times New Roman"/>
                <w:sz w:val="20"/>
              </w:rPr>
            </w:pPr>
            <w:r w:rsidRPr="00304F6F">
              <w:rPr>
                <w:rFonts w:ascii="Times New Roman" w:hAnsi="Times New Roman"/>
                <w:sz w:val="20"/>
              </w:rPr>
              <w:t>Average Burden Hours per Response</w:t>
            </w:r>
          </w:p>
        </w:tc>
        <w:tc>
          <w:tcPr>
            <w:tcW w:w="1170" w:type="dxa"/>
            <w:vAlign w:val="center"/>
          </w:tcPr>
          <w:p w:rsidR="00F31BEC" w:rsidRPr="00304F6F" w:rsidP="00FE1BAE" w14:paraId="58CE2576" w14:textId="77777777">
            <w:pPr>
              <w:jc w:val="center"/>
              <w:rPr>
                <w:rFonts w:ascii="Times New Roman" w:hAnsi="Times New Roman"/>
                <w:sz w:val="20"/>
              </w:rPr>
            </w:pPr>
          </w:p>
          <w:p w:rsidR="00C86713" w:rsidRPr="00304F6F" w:rsidP="00F31BEC" w14:paraId="58CE2577" w14:textId="77777777">
            <w:pPr>
              <w:rPr>
                <w:rFonts w:ascii="Times New Roman" w:hAnsi="Times New Roman"/>
                <w:sz w:val="20"/>
              </w:rPr>
            </w:pPr>
            <w:r w:rsidRPr="00304F6F">
              <w:rPr>
                <w:rFonts w:ascii="Times New Roman" w:hAnsi="Times New Roman"/>
                <w:sz w:val="20"/>
              </w:rPr>
              <w:t xml:space="preserve">Total </w:t>
            </w:r>
            <w:r w:rsidRPr="00304F6F" w:rsidR="00F31BEC">
              <w:rPr>
                <w:rFonts w:ascii="Times New Roman" w:hAnsi="Times New Roman"/>
                <w:sz w:val="20"/>
              </w:rPr>
              <w:t xml:space="preserve">Annual </w:t>
            </w:r>
            <w:r w:rsidRPr="00304F6F">
              <w:rPr>
                <w:rFonts w:ascii="Times New Roman" w:hAnsi="Times New Roman"/>
                <w:sz w:val="20"/>
              </w:rPr>
              <w:t>Burden Hours</w:t>
            </w:r>
          </w:p>
        </w:tc>
        <w:tc>
          <w:tcPr>
            <w:tcW w:w="1260" w:type="dxa"/>
            <w:vAlign w:val="center"/>
          </w:tcPr>
          <w:p w:rsidR="00C86713" w:rsidRPr="00304F6F" w:rsidP="00FE1BAE" w14:paraId="58CE2578" w14:textId="77777777">
            <w:pPr>
              <w:jc w:val="center"/>
              <w:rPr>
                <w:rFonts w:ascii="Times New Roman" w:hAnsi="Times New Roman"/>
                <w:sz w:val="20"/>
              </w:rPr>
            </w:pPr>
          </w:p>
          <w:p w:rsidR="00C86713" w:rsidRPr="00304F6F" w:rsidP="00FE1BAE" w14:paraId="58CE2579" w14:textId="77777777">
            <w:pPr>
              <w:jc w:val="center"/>
              <w:rPr>
                <w:rFonts w:ascii="Times New Roman" w:hAnsi="Times New Roman"/>
                <w:sz w:val="20"/>
              </w:rPr>
            </w:pPr>
          </w:p>
          <w:p w:rsidR="00C86713" w:rsidRPr="00304F6F" w:rsidP="00FE1BAE" w14:paraId="58CE257A" w14:textId="77777777">
            <w:pPr>
              <w:jc w:val="center"/>
              <w:rPr>
                <w:rFonts w:ascii="Times New Roman" w:hAnsi="Times New Roman"/>
                <w:sz w:val="20"/>
              </w:rPr>
            </w:pPr>
            <w:r w:rsidRPr="00304F6F">
              <w:rPr>
                <w:rFonts w:ascii="Times New Roman" w:hAnsi="Times New Roman"/>
                <w:sz w:val="20"/>
              </w:rPr>
              <w:t>Estimated Respondent Average Hourly Wage</w:t>
            </w:r>
          </w:p>
        </w:tc>
        <w:tc>
          <w:tcPr>
            <w:tcW w:w="1350" w:type="dxa"/>
            <w:vAlign w:val="center"/>
          </w:tcPr>
          <w:p w:rsidR="00C86713" w:rsidRPr="00304F6F" w:rsidP="00FE1BAE" w14:paraId="58CE257B" w14:textId="77777777">
            <w:pPr>
              <w:jc w:val="center"/>
              <w:rPr>
                <w:rFonts w:ascii="Times New Roman" w:hAnsi="Times New Roman"/>
                <w:sz w:val="20"/>
              </w:rPr>
            </w:pPr>
          </w:p>
          <w:p w:rsidR="00C86713" w:rsidRPr="00304F6F" w:rsidP="00FE1BAE" w14:paraId="58CE257C" w14:textId="77777777">
            <w:pPr>
              <w:jc w:val="center"/>
              <w:rPr>
                <w:rFonts w:ascii="Times New Roman" w:hAnsi="Times New Roman"/>
                <w:sz w:val="20"/>
              </w:rPr>
            </w:pPr>
          </w:p>
          <w:p w:rsidR="00C86713" w:rsidRPr="00304F6F" w:rsidP="00FE1BAE" w14:paraId="58CE257D" w14:textId="77777777">
            <w:pPr>
              <w:jc w:val="center"/>
              <w:rPr>
                <w:rFonts w:ascii="Times New Roman" w:hAnsi="Times New Roman"/>
                <w:sz w:val="20"/>
              </w:rPr>
            </w:pPr>
            <w:r w:rsidRPr="00304F6F">
              <w:rPr>
                <w:rFonts w:ascii="Times New Roman" w:hAnsi="Times New Roman"/>
                <w:sz w:val="20"/>
              </w:rPr>
              <w:t>Total Annual Costs (hourly wage x total burden hours)</w:t>
            </w:r>
          </w:p>
        </w:tc>
      </w:tr>
      <w:tr w14:paraId="58CE2592" w14:textId="77777777" w:rsidTr="000C1164">
        <w:tblPrEx>
          <w:tblW w:w="11335" w:type="dxa"/>
          <w:tblLayout w:type="fixed"/>
          <w:tblLook w:val="0020"/>
        </w:tblPrEx>
        <w:trPr>
          <w:trHeight w:val="713"/>
        </w:trPr>
        <w:tc>
          <w:tcPr>
            <w:tcW w:w="1705" w:type="dxa"/>
          </w:tcPr>
          <w:p w:rsidR="00C86713" w:rsidRPr="00304F6F" w:rsidP="00FE1BAE" w14:paraId="58CE2589" w14:textId="5C52ACE2">
            <w:pPr>
              <w:rPr>
                <w:rFonts w:ascii="Times New Roman" w:hAnsi="Times New Roman"/>
                <w:szCs w:val="24"/>
              </w:rPr>
            </w:pPr>
            <w:r w:rsidRPr="00304F6F">
              <w:rPr>
                <w:rFonts w:ascii="Times New Roman" w:hAnsi="Times New Roman"/>
                <w:szCs w:val="24"/>
              </w:rPr>
              <w:t>Accrediting Agencies</w:t>
            </w:r>
          </w:p>
        </w:tc>
        <w:tc>
          <w:tcPr>
            <w:tcW w:w="905" w:type="dxa"/>
          </w:tcPr>
          <w:p w:rsidR="00C86713" w:rsidRPr="00304F6F" w:rsidP="00FE1BAE" w14:paraId="58CE258A" w14:textId="77777777">
            <w:pPr>
              <w:rPr>
                <w:rFonts w:ascii="Times New Roman" w:hAnsi="Times New Roman"/>
                <w:szCs w:val="24"/>
              </w:rPr>
            </w:pPr>
          </w:p>
        </w:tc>
        <w:tc>
          <w:tcPr>
            <w:tcW w:w="1255" w:type="dxa"/>
          </w:tcPr>
          <w:p w:rsidR="00C86713" w:rsidRPr="00304F6F" w:rsidP="00FE1BAE" w14:paraId="58CE258B" w14:textId="77777777">
            <w:pPr>
              <w:rPr>
                <w:rFonts w:ascii="Times New Roman" w:hAnsi="Times New Roman"/>
                <w:szCs w:val="24"/>
              </w:rPr>
            </w:pPr>
          </w:p>
        </w:tc>
        <w:tc>
          <w:tcPr>
            <w:tcW w:w="1275" w:type="dxa"/>
          </w:tcPr>
          <w:p w:rsidR="00C86713" w:rsidRPr="00304F6F" w:rsidP="00AA7DC4" w14:paraId="3FAAADAE" w14:textId="77777777">
            <w:pPr>
              <w:jc w:val="center"/>
              <w:rPr>
                <w:rFonts w:ascii="Times New Roman" w:hAnsi="Times New Roman"/>
                <w:szCs w:val="24"/>
              </w:rPr>
            </w:pPr>
            <w:r w:rsidRPr="00304F6F">
              <w:rPr>
                <w:rFonts w:ascii="Times New Roman" w:hAnsi="Times New Roman"/>
                <w:szCs w:val="24"/>
              </w:rPr>
              <w:t>81</w:t>
            </w:r>
            <w:r w:rsidRPr="00304F6F" w:rsidR="00134D66">
              <w:rPr>
                <w:rFonts w:ascii="Times New Roman" w:hAnsi="Times New Roman"/>
                <w:szCs w:val="24"/>
              </w:rPr>
              <w:t xml:space="preserve"> (total)</w:t>
            </w:r>
          </w:p>
          <w:p w:rsidR="00134D66" w:rsidRPr="00304F6F" w:rsidP="00AA7DC4" w14:paraId="58CE258C" w14:textId="137807F0">
            <w:pPr>
              <w:jc w:val="center"/>
              <w:rPr>
                <w:rFonts w:ascii="Times New Roman" w:hAnsi="Times New Roman"/>
                <w:szCs w:val="24"/>
              </w:rPr>
            </w:pPr>
            <w:r w:rsidRPr="00304F6F">
              <w:rPr>
                <w:rFonts w:ascii="Times New Roman" w:hAnsi="Times New Roman"/>
                <w:szCs w:val="24"/>
              </w:rPr>
              <w:t>16 (average yearly)</w:t>
            </w:r>
          </w:p>
        </w:tc>
        <w:tc>
          <w:tcPr>
            <w:tcW w:w="1080" w:type="dxa"/>
          </w:tcPr>
          <w:p w:rsidR="00C86713" w:rsidRPr="00304F6F" w:rsidP="00AA7DC4" w14:paraId="58CE258D" w14:textId="200D70C1">
            <w:pPr>
              <w:jc w:val="center"/>
              <w:rPr>
                <w:rFonts w:ascii="Times New Roman" w:hAnsi="Times New Roman"/>
                <w:szCs w:val="24"/>
              </w:rPr>
            </w:pPr>
            <w:r w:rsidRPr="00304F6F">
              <w:rPr>
                <w:rFonts w:ascii="Times New Roman" w:hAnsi="Times New Roman"/>
                <w:szCs w:val="24"/>
              </w:rPr>
              <w:t>1</w:t>
            </w:r>
          </w:p>
        </w:tc>
        <w:tc>
          <w:tcPr>
            <w:tcW w:w="1335" w:type="dxa"/>
          </w:tcPr>
          <w:p w:rsidR="00C86713" w:rsidRPr="00304F6F" w:rsidP="00FE1BAE" w14:paraId="58CE258E" w14:textId="1CC6CF5C">
            <w:pPr>
              <w:jc w:val="center"/>
              <w:rPr>
                <w:rFonts w:ascii="Times New Roman" w:hAnsi="Times New Roman"/>
                <w:szCs w:val="24"/>
              </w:rPr>
            </w:pPr>
            <w:r w:rsidRPr="00304F6F">
              <w:rPr>
                <w:rFonts w:ascii="Times New Roman" w:hAnsi="Times New Roman"/>
                <w:szCs w:val="24"/>
              </w:rPr>
              <w:t>1358</w:t>
            </w:r>
          </w:p>
        </w:tc>
        <w:tc>
          <w:tcPr>
            <w:tcW w:w="1170" w:type="dxa"/>
          </w:tcPr>
          <w:p w:rsidR="00C86713" w:rsidRPr="00304F6F" w:rsidP="00FE1BAE" w14:paraId="58CE258F" w14:textId="11F21A8E">
            <w:pPr>
              <w:pStyle w:val="EndnoteText"/>
              <w:tabs>
                <w:tab w:val="clear" w:pos="-720"/>
              </w:tabs>
              <w:suppressAutoHyphens w:val="0"/>
              <w:rPr>
                <w:rFonts w:ascii="Times New Roman" w:hAnsi="Times New Roman"/>
                <w:szCs w:val="24"/>
              </w:rPr>
            </w:pPr>
            <w:r w:rsidRPr="00304F6F">
              <w:rPr>
                <w:rFonts w:ascii="Times New Roman" w:hAnsi="Times New Roman"/>
                <w:szCs w:val="24"/>
              </w:rPr>
              <w:t>21,728</w:t>
            </w:r>
          </w:p>
        </w:tc>
        <w:tc>
          <w:tcPr>
            <w:tcW w:w="1260" w:type="dxa"/>
          </w:tcPr>
          <w:p w:rsidR="00C86713" w:rsidRPr="00304F6F" w:rsidP="00FE1BAE" w14:paraId="58CE2590" w14:textId="5EA5CCF9">
            <w:pPr>
              <w:rPr>
                <w:rFonts w:ascii="Times New Roman" w:hAnsi="Times New Roman"/>
                <w:szCs w:val="24"/>
              </w:rPr>
            </w:pPr>
            <w:r w:rsidRPr="00304F6F">
              <w:rPr>
                <w:rFonts w:ascii="Times New Roman" w:hAnsi="Times New Roman"/>
                <w:szCs w:val="24"/>
              </w:rPr>
              <w:t>$47.28</w:t>
            </w:r>
          </w:p>
        </w:tc>
        <w:tc>
          <w:tcPr>
            <w:tcW w:w="1350" w:type="dxa"/>
          </w:tcPr>
          <w:p w:rsidR="00C86713" w:rsidRPr="00304F6F" w:rsidP="00FE1BAE" w14:paraId="58CE2591" w14:textId="02DCAF91">
            <w:pPr>
              <w:rPr>
                <w:rFonts w:ascii="Times New Roman" w:hAnsi="Times New Roman"/>
                <w:szCs w:val="24"/>
              </w:rPr>
            </w:pPr>
            <w:r w:rsidRPr="00304F6F">
              <w:rPr>
                <w:rFonts w:ascii="Times New Roman" w:hAnsi="Times New Roman"/>
                <w:szCs w:val="24"/>
              </w:rPr>
              <w:t>$</w:t>
            </w:r>
            <w:r w:rsidRPr="00304F6F" w:rsidR="00314EE0">
              <w:rPr>
                <w:rFonts w:ascii="Times New Roman" w:hAnsi="Times New Roman"/>
                <w:szCs w:val="24"/>
              </w:rPr>
              <w:t>1</w:t>
            </w:r>
            <w:r w:rsidRPr="00304F6F" w:rsidR="00304F6F">
              <w:rPr>
                <w:rFonts w:ascii="Times New Roman" w:hAnsi="Times New Roman"/>
                <w:szCs w:val="24"/>
              </w:rPr>
              <w:t>,</w:t>
            </w:r>
            <w:r w:rsidRPr="00304F6F" w:rsidR="00314EE0">
              <w:rPr>
                <w:rFonts w:ascii="Times New Roman" w:hAnsi="Times New Roman"/>
                <w:szCs w:val="24"/>
              </w:rPr>
              <w:t>027</w:t>
            </w:r>
            <w:r w:rsidRPr="00304F6F" w:rsidR="00304F6F">
              <w:rPr>
                <w:rFonts w:ascii="Times New Roman" w:hAnsi="Times New Roman"/>
                <w:szCs w:val="24"/>
              </w:rPr>
              <w:t>,300</w:t>
            </w:r>
          </w:p>
        </w:tc>
      </w:tr>
      <w:tr w14:paraId="58CE25B0" w14:textId="77777777" w:rsidTr="00E6242E">
        <w:tblPrEx>
          <w:tblW w:w="11335" w:type="dxa"/>
          <w:tblLayout w:type="fixed"/>
          <w:tblLook w:val="0020"/>
        </w:tblPrEx>
        <w:tc>
          <w:tcPr>
            <w:tcW w:w="1705" w:type="dxa"/>
          </w:tcPr>
          <w:p w:rsidR="009767AF" w:rsidRPr="00304F6F" w:rsidP="00FE1BAE" w14:paraId="58CE25A7" w14:textId="77777777">
            <w:pPr>
              <w:rPr>
                <w:rFonts w:ascii="Times New Roman" w:hAnsi="Times New Roman"/>
                <w:szCs w:val="24"/>
              </w:rPr>
            </w:pPr>
            <w:r w:rsidRPr="00304F6F">
              <w:rPr>
                <w:rFonts w:ascii="Times New Roman" w:hAnsi="Times New Roman"/>
                <w:szCs w:val="24"/>
              </w:rPr>
              <w:t>Annualized Totals</w:t>
            </w:r>
          </w:p>
        </w:tc>
        <w:tc>
          <w:tcPr>
            <w:tcW w:w="905" w:type="dxa"/>
          </w:tcPr>
          <w:p w:rsidR="009767AF" w:rsidRPr="00304F6F" w:rsidP="00FE1BAE" w14:paraId="58CE25A8" w14:textId="77777777">
            <w:pPr>
              <w:rPr>
                <w:rFonts w:ascii="Times New Roman" w:hAnsi="Times New Roman"/>
                <w:szCs w:val="24"/>
              </w:rPr>
            </w:pPr>
          </w:p>
        </w:tc>
        <w:tc>
          <w:tcPr>
            <w:tcW w:w="1255" w:type="dxa"/>
          </w:tcPr>
          <w:p w:rsidR="009767AF" w:rsidRPr="00304F6F" w:rsidP="00FE1BAE" w14:paraId="58CE25A9" w14:textId="77777777">
            <w:pPr>
              <w:rPr>
                <w:rFonts w:ascii="Times New Roman" w:hAnsi="Times New Roman"/>
                <w:szCs w:val="24"/>
              </w:rPr>
            </w:pPr>
          </w:p>
        </w:tc>
        <w:tc>
          <w:tcPr>
            <w:tcW w:w="1275" w:type="dxa"/>
          </w:tcPr>
          <w:p w:rsidR="009767AF" w:rsidP="00827387" w14:paraId="26139C8C" w14:textId="77777777">
            <w:pPr>
              <w:jc w:val="center"/>
              <w:rPr>
                <w:rFonts w:ascii="Times New Roman" w:hAnsi="Times New Roman"/>
                <w:b/>
                <w:bCs/>
                <w:szCs w:val="24"/>
              </w:rPr>
            </w:pPr>
            <w:r w:rsidRPr="00304F6F">
              <w:rPr>
                <w:rFonts w:ascii="Times New Roman" w:hAnsi="Times New Roman"/>
                <w:b/>
                <w:bCs/>
                <w:szCs w:val="24"/>
              </w:rPr>
              <w:t>81</w:t>
            </w:r>
          </w:p>
          <w:p w:rsidR="00B642AA" w:rsidRPr="00304F6F" w:rsidP="00827387" w14:paraId="58CE25AA" w14:textId="4D378BC8">
            <w:pPr>
              <w:jc w:val="center"/>
              <w:rPr>
                <w:rFonts w:ascii="Times New Roman" w:hAnsi="Times New Roman"/>
                <w:b/>
                <w:bCs/>
                <w:szCs w:val="24"/>
              </w:rPr>
            </w:pPr>
            <w:r>
              <w:rPr>
                <w:rFonts w:ascii="Times New Roman" w:hAnsi="Times New Roman"/>
                <w:b/>
                <w:bCs/>
                <w:szCs w:val="24"/>
              </w:rPr>
              <w:t>16 (yearly)</w:t>
            </w:r>
          </w:p>
        </w:tc>
        <w:tc>
          <w:tcPr>
            <w:tcW w:w="1080" w:type="dxa"/>
          </w:tcPr>
          <w:p w:rsidR="009767AF" w:rsidRPr="00304F6F" w:rsidP="00827387" w14:paraId="58CE25AB" w14:textId="51F00DC9">
            <w:pPr>
              <w:jc w:val="center"/>
              <w:rPr>
                <w:rFonts w:ascii="Times New Roman" w:hAnsi="Times New Roman"/>
                <w:b/>
                <w:bCs/>
                <w:szCs w:val="24"/>
              </w:rPr>
            </w:pPr>
            <w:r w:rsidRPr="00304F6F">
              <w:rPr>
                <w:rFonts w:ascii="Times New Roman" w:hAnsi="Times New Roman"/>
                <w:b/>
                <w:bCs/>
                <w:szCs w:val="24"/>
              </w:rPr>
              <w:t>1</w:t>
            </w:r>
          </w:p>
        </w:tc>
        <w:tc>
          <w:tcPr>
            <w:tcW w:w="1335" w:type="dxa"/>
          </w:tcPr>
          <w:p w:rsidR="009767AF" w:rsidRPr="00304F6F" w:rsidP="00215367" w14:paraId="58CE25AC" w14:textId="62E56078">
            <w:pPr>
              <w:jc w:val="center"/>
              <w:rPr>
                <w:rFonts w:ascii="Times New Roman" w:hAnsi="Times New Roman"/>
                <w:b/>
                <w:bCs/>
                <w:szCs w:val="24"/>
              </w:rPr>
            </w:pPr>
            <w:r w:rsidRPr="00304F6F">
              <w:rPr>
                <w:rFonts w:ascii="Times New Roman" w:hAnsi="Times New Roman"/>
                <w:b/>
                <w:bCs/>
                <w:szCs w:val="24"/>
              </w:rPr>
              <w:t>1358</w:t>
            </w:r>
          </w:p>
        </w:tc>
        <w:tc>
          <w:tcPr>
            <w:tcW w:w="1170" w:type="dxa"/>
          </w:tcPr>
          <w:p w:rsidR="009767AF" w:rsidRPr="00304F6F" w:rsidP="00FE1BAE" w14:paraId="58CE25AD" w14:textId="6E87F90B">
            <w:pPr>
              <w:rPr>
                <w:rFonts w:ascii="Times New Roman" w:hAnsi="Times New Roman"/>
                <w:b/>
                <w:bCs/>
                <w:szCs w:val="24"/>
              </w:rPr>
            </w:pPr>
            <w:r>
              <w:rPr>
                <w:rFonts w:ascii="Times New Roman" w:hAnsi="Times New Roman"/>
                <w:b/>
                <w:bCs/>
                <w:szCs w:val="24"/>
              </w:rPr>
              <w:t>21,728</w:t>
            </w:r>
          </w:p>
        </w:tc>
        <w:tc>
          <w:tcPr>
            <w:tcW w:w="1260" w:type="dxa"/>
          </w:tcPr>
          <w:p w:rsidR="009767AF" w:rsidRPr="00304F6F" w:rsidP="005E6776" w14:paraId="58CE25AE" w14:textId="5E8A314B">
            <w:pPr>
              <w:jc w:val="center"/>
              <w:rPr>
                <w:rFonts w:ascii="Times New Roman" w:hAnsi="Times New Roman"/>
                <w:szCs w:val="24"/>
              </w:rPr>
            </w:pPr>
          </w:p>
        </w:tc>
        <w:tc>
          <w:tcPr>
            <w:tcW w:w="1350" w:type="dxa"/>
          </w:tcPr>
          <w:p w:rsidR="009767AF" w:rsidRPr="00304F6F" w:rsidP="00210302" w14:paraId="58CE25AF" w14:textId="2C082863">
            <w:pPr>
              <w:rPr>
                <w:rFonts w:ascii="Times New Roman" w:hAnsi="Times New Roman"/>
                <w:szCs w:val="24"/>
              </w:rPr>
            </w:pPr>
            <w:r w:rsidRPr="00304F6F">
              <w:rPr>
                <w:rFonts w:ascii="Times New Roman" w:hAnsi="Times New Roman"/>
                <w:szCs w:val="24"/>
              </w:rPr>
              <w:t>$</w:t>
            </w:r>
            <w:r w:rsidR="00157B57">
              <w:rPr>
                <w:rFonts w:ascii="Times New Roman" w:hAnsi="Times New Roman"/>
                <w:szCs w:val="24"/>
              </w:rPr>
              <w:t>1,027,300</w:t>
            </w:r>
          </w:p>
        </w:tc>
      </w:tr>
    </w:tbl>
    <w:p w:rsidR="001A6AE0" w:rsidRPr="00304F6F"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304F6F"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304F6F">
        <w:rPr>
          <w:rStyle w:val="a"/>
          <w:rFonts w:ascii="Times New Roman" w:hAnsi="Times New Roman"/>
          <w:b/>
          <w:bCs/>
          <w:i/>
          <w:iCs/>
          <w:sz w:val="22"/>
          <w:szCs w:val="22"/>
        </w:rPr>
        <w:t>Please ensure the annual total burden, respondents and response match those entered in IC Data Parts 1 and 2</w:t>
      </w:r>
      <w:r w:rsidRPr="00304F6F" w:rsidR="00916EE4">
        <w:rPr>
          <w:rStyle w:val="a"/>
          <w:rFonts w:ascii="Times New Roman" w:hAnsi="Times New Roman"/>
          <w:b/>
          <w:bCs/>
          <w:i/>
          <w:iCs/>
          <w:sz w:val="22"/>
          <w:szCs w:val="22"/>
        </w:rPr>
        <w:t>, and</w:t>
      </w:r>
      <w:r w:rsidRPr="00304F6F">
        <w:rPr>
          <w:rStyle w:val="a"/>
          <w:rFonts w:ascii="Times New Roman" w:hAnsi="Times New Roman"/>
          <w:b/>
          <w:bCs/>
          <w:i/>
          <w:iCs/>
          <w:sz w:val="22"/>
          <w:szCs w:val="22"/>
        </w:rPr>
        <w:t xml:space="preserve"> the response per respondent matches the Paperwork Burden Statement that must be included on all forms.</w:t>
      </w:r>
    </w:p>
    <w:p w:rsidR="00920F63" w:rsidRPr="00304F6F" w:rsidP="00920F63" w14:paraId="58CE25B3" w14:textId="77777777">
      <w:pPr>
        <w:pStyle w:val="ListParagraph"/>
        <w:tabs>
          <w:tab w:val="left" w:pos="-720"/>
        </w:tabs>
        <w:suppressAutoHyphens/>
        <w:rPr>
          <w:rStyle w:val="a"/>
          <w:rFonts w:ascii="Times New Roman" w:hAnsi="Times New Roman"/>
          <w:szCs w:val="24"/>
        </w:rPr>
      </w:pPr>
    </w:p>
    <w:p w:rsidR="00043C32" w:rsidRPr="00304F6F"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304F6F">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304F6F" w:rsidP="00AD381B" w14:paraId="58CE25B5" w14:textId="77777777">
      <w:pPr>
        <w:tabs>
          <w:tab w:val="left" w:pos="-720"/>
        </w:tabs>
        <w:suppressAutoHyphens/>
        <w:rPr>
          <w:rFonts w:ascii="Times New Roman" w:hAnsi="Times New Roman"/>
          <w:b/>
          <w:szCs w:val="24"/>
        </w:rPr>
      </w:pPr>
    </w:p>
    <w:p w:rsidR="00043C32" w:rsidRPr="00304F6F"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304F6F">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304F6F" w:rsidP="00AD381B" w14:paraId="58CE25B7" w14:textId="77777777">
      <w:pPr>
        <w:numPr>
          <w:ilvl w:val="12"/>
          <w:numId w:val="0"/>
        </w:numPr>
        <w:tabs>
          <w:tab w:val="left" w:pos="-720"/>
        </w:tabs>
        <w:suppressAutoHyphens/>
        <w:ind w:left="340"/>
        <w:rPr>
          <w:rFonts w:ascii="Times New Roman" w:hAnsi="Times New Roman"/>
          <w:szCs w:val="24"/>
        </w:rPr>
      </w:pPr>
    </w:p>
    <w:p w:rsidR="00043C32" w:rsidRPr="00304F6F"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304F6F">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w:t>
      </w:r>
      <w:r w:rsidRPr="00304F6F">
        <w:rPr>
          <w:rFonts w:ascii="Times New Roman" w:hAnsi="Times New Roman"/>
          <w:b/>
          <w:szCs w:val="24"/>
        </w:rPr>
        <w:t>sample of respondents (fewer than 10), utilize the 60-day pre-OMB submission public comment process and use existing economic or regulatory impact analysis associated with the rulemaking containing the information collection, as appropriate.</w:t>
      </w:r>
    </w:p>
    <w:p w:rsidR="00043C32" w:rsidRPr="00304F6F" w:rsidP="00AD381B" w14:paraId="58CE25B9" w14:textId="77777777">
      <w:pPr>
        <w:tabs>
          <w:tab w:val="left" w:pos="-720"/>
          <w:tab w:val="left" w:pos="1247"/>
        </w:tabs>
        <w:suppressAutoHyphens/>
        <w:ind w:left="340"/>
        <w:rPr>
          <w:rFonts w:ascii="Times New Roman" w:hAnsi="Times New Roman"/>
          <w:b/>
          <w:szCs w:val="24"/>
        </w:rPr>
      </w:pPr>
    </w:p>
    <w:p w:rsidR="00043C32" w:rsidRPr="00304F6F"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304F6F">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304F6F" w:rsidR="009243F3">
        <w:rPr>
          <w:rFonts w:ascii="Times New Roman" w:hAnsi="Times New Roman"/>
          <w:b/>
          <w:szCs w:val="24"/>
        </w:rPr>
        <w:t>.</w:t>
      </w:r>
    </w:p>
    <w:p w:rsidR="00043C32" w:rsidRPr="00304F6F" w:rsidP="00AD381B" w14:paraId="58CE25BB" w14:textId="77777777">
      <w:pPr>
        <w:tabs>
          <w:tab w:val="left" w:pos="-720"/>
        </w:tabs>
        <w:suppressAutoHyphens/>
        <w:rPr>
          <w:rFonts w:ascii="Times New Roman" w:hAnsi="Times New Roman"/>
          <w:b/>
          <w:szCs w:val="24"/>
        </w:rPr>
      </w:pPr>
    </w:p>
    <w:p w:rsidR="00043C32" w:rsidRPr="00304F6F" w:rsidP="00AD381B" w14:paraId="58CE25BC" w14:textId="77777777">
      <w:pPr>
        <w:tabs>
          <w:tab w:val="left" w:pos="-720"/>
        </w:tabs>
        <w:suppressAutoHyphens/>
        <w:rPr>
          <w:rFonts w:ascii="Times New Roman" w:hAnsi="Times New Roman"/>
          <w:b/>
          <w:szCs w:val="24"/>
        </w:rPr>
      </w:pPr>
      <w:r w:rsidRPr="00304F6F">
        <w:rPr>
          <w:rFonts w:ascii="Times New Roman" w:hAnsi="Times New Roman"/>
          <w:b/>
          <w:szCs w:val="24"/>
        </w:rPr>
        <w:tab/>
        <w:t>Total Annualized Capital/Startup Cost</w:t>
      </w:r>
      <w:r w:rsidRPr="00304F6F">
        <w:rPr>
          <w:rFonts w:ascii="Times New Roman" w:hAnsi="Times New Roman"/>
          <w:b/>
          <w:szCs w:val="24"/>
        </w:rPr>
        <w:tab/>
        <w:t>:</w:t>
      </w:r>
    </w:p>
    <w:p w:rsidR="00043C32" w:rsidRPr="00304F6F" w:rsidP="00AD381B" w14:paraId="58CE25BD" w14:textId="42E27B83">
      <w:pPr>
        <w:tabs>
          <w:tab w:val="left" w:pos="-720"/>
        </w:tabs>
        <w:suppressAutoHyphens/>
        <w:rPr>
          <w:rFonts w:ascii="Times New Roman" w:hAnsi="Times New Roman"/>
          <w:b/>
          <w:szCs w:val="24"/>
        </w:rPr>
      </w:pPr>
      <w:r w:rsidRPr="00304F6F">
        <w:rPr>
          <w:rFonts w:ascii="Times New Roman" w:hAnsi="Times New Roman"/>
          <w:b/>
          <w:szCs w:val="24"/>
        </w:rPr>
        <w:tab/>
        <w:t>Total Annual Costs (O&amp;M)</w:t>
      </w:r>
      <w:r w:rsidRPr="00304F6F">
        <w:rPr>
          <w:rFonts w:ascii="Times New Roman" w:hAnsi="Times New Roman"/>
          <w:b/>
          <w:szCs w:val="24"/>
        </w:rPr>
        <w:tab/>
      </w:r>
      <w:r w:rsidRPr="00304F6F">
        <w:rPr>
          <w:rFonts w:ascii="Times New Roman" w:hAnsi="Times New Roman"/>
          <w:b/>
          <w:szCs w:val="24"/>
        </w:rPr>
        <w:tab/>
      </w:r>
      <w:r w:rsidRPr="00304F6F" w:rsidR="009243F3">
        <w:rPr>
          <w:rFonts w:ascii="Times New Roman" w:hAnsi="Times New Roman"/>
          <w:b/>
          <w:szCs w:val="24"/>
        </w:rPr>
        <w:tab/>
      </w:r>
      <w:r w:rsidRPr="00304F6F">
        <w:rPr>
          <w:rFonts w:ascii="Times New Roman" w:hAnsi="Times New Roman"/>
          <w:b/>
          <w:szCs w:val="24"/>
        </w:rPr>
        <w:t>:________</w:t>
      </w:r>
      <w:r w:rsidRPr="00304F6F" w:rsidR="00E17389">
        <w:rPr>
          <w:rFonts w:ascii="Times New Roman" w:hAnsi="Times New Roman"/>
          <w:b/>
          <w:szCs w:val="24"/>
        </w:rPr>
        <w:t>0</w:t>
      </w:r>
      <w:r w:rsidRPr="00304F6F">
        <w:rPr>
          <w:rFonts w:ascii="Times New Roman" w:hAnsi="Times New Roman"/>
          <w:b/>
          <w:szCs w:val="24"/>
        </w:rPr>
        <w:t>____________</w:t>
      </w:r>
    </w:p>
    <w:p w:rsidR="00043C32" w:rsidRPr="00304F6F" w:rsidP="00AD381B" w14:paraId="58CE25BE" w14:textId="77777777">
      <w:pPr>
        <w:tabs>
          <w:tab w:val="left" w:pos="-720"/>
        </w:tabs>
        <w:suppressAutoHyphens/>
        <w:rPr>
          <w:rFonts w:ascii="Times New Roman" w:hAnsi="Times New Roman"/>
          <w:b/>
          <w:szCs w:val="24"/>
        </w:rPr>
      </w:pPr>
      <w:r w:rsidRPr="00304F6F">
        <w:rPr>
          <w:rFonts w:ascii="Times New Roman" w:hAnsi="Times New Roman"/>
          <w:b/>
          <w:szCs w:val="24"/>
        </w:rPr>
        <w:tab/>
        <w:t>Total Annualized Costs Requested</w:t>
      </w:r>
      <w:r w:rsidRPr="00304F6F">
        <w:rPr>
          <w:rFonts w:ascii="Times New Roman" w:hAnsi="Times New Roman"/>
          <w:b/>
          <w:szCs w:val="24"/>
        </w:rPr>
        <w:tab/>
      </w:r>
      <w:r w:rsidRPr="00304F6F" w:rsidR="009243F3">
        <w:rPr>
          <w:rFonts w:ascii="Times New Roman" w:hAnsi="Times New Roman"/>
          <w:b/>
          <w:szCs w:val="24"/>
        </w:rPr>
        <w:tab/>
      </w:r>
      <w:r w:rsidRPr="00304F6F">
        <w:rPr>
          <w:rFonts w:ascii="Times New Roman" w:hAnsi="Times New Roman"/>
          <w:b/>
          <w:szCs w:val="24"/>
        </w:rPr>
        <w:t>:</w:t>
      </w:r>
    </w:p>
    <w:p w:rsidR="00043C32" w:rsidRPr="00304F6F" w:rsidP="00AD381B" w14:paraId="58CE25BF" w14:textId="77777777">
      <w:pPr>
        <w:tabs>
          <w:tab w:val="left" w:pos="-720"/>
        </w:tabs>
        <w:suppressAutoHyphens/>
        <w:rPr>
          <w:rFonts w:ascii="Times New Roman" w:hAnsi="Times New Roman"/>
          <w:szCs w:val="24"/>
        </w:rPr>
      </w:pPr>
    </w:p>
    <w:p w:rsidR="00043C32" w:rsidRPr="00304F6F" w:rsidP="00AD381B" w14:paraId="58CE25C0" w14:textId="4471BF48">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304F6F">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17389" w:rsidRPr="00304F6F" w:rsidP="00E17389" w14:paraId="5AC40678" w14:textId="2D391737">
      <w:pPr>
        <w:pStyle w:val="ListParagraph"/>
        <w:tabs>
          <w:tab w:val="left" w:pos="-720"/>
        </w:tabs>
        <w:suppressAutoHyphens/>
        <w:ind w:left="900"/>
        <w:contextualSpacing w:val="0"/>
        <w:rPr>
          <w:rStyle w:val="a"/>
          <w:rFonts w:ascii="Times New Roman" w:hAnsi="Times New Roman"/>
          <w:b/>
          <w:szCs w:val="24"/>
        </w:rPr>
      </w:pPr>
    </w:p>
    <w:tbl>
      <w:tblPr>
        <w:tblStyle w:val="TableGrid1"/>
        <w:tblW w:w="0" w:type="auto"/>
        <w:tblInd w:w="1008" w:type="dxa"/>
        <w:tblLook w:val="04A0"/>
      </w:tblPr>
      <w:tblGrid>
        <w:gridCol w:w="3780"/>
        <w:gridCol w:w="3420"/>
      </w:tblGrid>
      <w:tr w14:paraId="3E7F3B65" w14:textId="77777777" w:rsidTr="2F67BDF8">
        <w:tblPrEx>
          <w:tblW w:w="0" w:type="auto"/>
          <w:tblInd w:w="1008" w:type="dxa"/>
          <w:tblLook w:val="04A0"/>
        </w:tblPrEx>
        <w:tc>
          <w:tcPr>
            <w:tcW w:w="7200" w:type="dxa"/>
            <w:gridSpan w:val="2"/>
          </w:tcPr>
          <w:p w:rsidR="000E3C48" w:rsidRPr="00304F6F" w:rsidP="00BD60FA" w14:paraId="5944C67B" w14:textId="77777777">
            <w:pPr>
              <w:tabs>
                <w:tab w:val="left" w:pos="-720"/>
              </w:tabs>
              <w:suppressAutoHyphens/>
              <w:spacing w:after="960"/>
              <w:contextualSpacing/>
              <w:rPr>
                <w:rFonts w:ascii="Times New Roman" w:hAnsi="Times New Roman"/>
                <w:szCs w:val="24"/>
              </w:rPr>
            </w:pPr>
            <w:r w:rsidRPr="00304F6F">
              <w:rPr>
                <w:rFonts w:ascii="Times New Roman" w:hAnsi="Times New Roman"/>
                <w:szCs w:val="24"/>
              </w:rPr>
              <w:t>Annualized Federal Burden</w:t>
            </w:r>
          </w:p>
        </w:tc>
      </w:tr>
      <w:tr w14:paraId="00145967" w14:textId="77777777" w:rsidTr="2F67BDF8">
        <w:tblPrEx>
          <w:tblW w:w="0" w:type="auto"/>
          <w:tblInd w:w="1008" w:type="dxa"/>
          <w:tblLook w:val="04A0"/>
        </w:tblPrEx>
        <w:tc>
          <w:tcPr>
            <w:tcW w:w="3780" w:type="dxa"/>
            <w:shd w:val="clear" w:color="auto" w:fill="auto"/>
          </w:tcPr>
          <w:p w:rsidR="000E3C48" w:rsidRPr="00304F6F" w:rsidP="00BD60FA" w14:paraId="32165BF2" w14:textId="13E34E1C">
            <w:pPr>
              <w:tabs>
                <w:tab w:val="left" w:pos="-720"/>
              </w:tabs>
              <w:suppressAutoHyphens/>
              <w:spacing w:after="960"/>
              <w:contextualSpacing/>
              <w:rPr>
                <w:rFonts w:ascii="Times New Roman" w:hAnsi="Times New Roman"/>
                <w:szCs w:val="24"/>
              </w:rPr>
            </w:pPr>
            <w:r w:rsidRPr="00304F6F">
              <w:rPr>
                <w:rFonts w:ascii="Times New Roman" w:hAnsi="Times New Roman"/>
                <w:szCs w:val="24"/>
              </w:rPr>
              <w:t xml:space="preserve">System Contract Cost </w:t>
            </w:r>
          </w:p>
        </w:tc>
        <w:tc>
          <w:tcPr>
            <w:tcW w:w="3420" w:type="dxa"/>
            <w:shd w:val="clear" w:color="auto" w:fill="auto"/>
          </w:tcPr>
          <w:p w:rsidR="000E3C48" w:rsidRPr="00304F6F" w:rsidP="2F67BDF8" w14:paraId="1ED22CFB" w14:textId="3DA42383">
            <w:pPr>
              <w:suppressAutoHyphens/>
              <w:spacing w:after="960"/>
              <w:contextualSpacing/>
              <w:jc w:val="right"/>
              <w:rPr>
                <w:rFonts w:ascii="Times New Roman" w:hAnsi="Times New Roman"/>
              </w:rPr>
            </w:pPr>
            <w:r w:rsidRPr="00304F6F">
              <w:rPr>
                <w:rFonts w:ascii="Times New Roman" w:hAnsi="Times New Roman"/>
              </w:rPr>
              <w:t xml:space="preserve"> $</w:t>
            </w:r>
            <w:r w:rsidR="0028383F">
              <w:rPr>
                <w:rFonts w:ascii="Times New Roman" w:hAnsi="Times New Roman"/>
              </w:rPr>
              <w:t>450,000</w:t>
            </w:r>
          </w:p>
        </w:tc>
      </w:tr>
    </w:tbl>
    <w:p w:rsidR="00534B4A" w:rsidRPr="00304F6F"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RPr="00304F6F"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04F6F">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304F6F" w:rsidP="00800D30" w14:paraId="58CE25C4" w14:textId="77777777">
      <w:pPr>
        <w:pStyle w:val="ListParagraph"/>
        <w:tabs>
          <w:tab w:val="left" w:pos="-720"/>
        </w:tabs>
        <w:suppressAutoHyphens/>
        <w:contextualSpacing w:val="0"/>
        <w:rPr>
          <w:rFonts w:ascii="Times New Roman" w:hAnsi="Times New Roman"/>
          <w:b/>
          <w:szCs w:val="24"/>
        </w:rPr>
      </w:pPr>
    </w:p>
    <w:p w:rsidR="00800D30" w:rsidRPr="00304F6F" w:rsidP="00800D30" w14:paraId="58CE25C5" w14:textId="4EF096A4">
      <w:pPr>
        <w:pStyle w:val="ListParagraph"/>
        <w:tabs>
          <w:tab w:val="left" w:pos="-720"/>
        </w:tabs>
        <w:suppressAutoHyphens/>
        <w:contextualSpacing w:val="0"/>
        <w:rPr>
          <w:rFonts w:ascii="Times New Roman" w:hAnsi="Times New Roman"/>
          <w:b/>
          <w:sz w:val="26"/>
          <w:szCs w:val="26"/>
        </w:rPr>
      </w:pPr>
      <w:r w:rsidRPr="00304F6F">
        <w:rPr>
          <w:rFonts w:ascii="Times New Roman" w:hAnsi="Times New Roman"/>
          <w:b/>
          <w:sz w:val="26"/>
          <w:szCs w:val="26"/>
        </w:rPr>
        <w:t>Provide a descriptive narrative for the reasons of any change in addition to completing the table with the burden hour change(s)</w:t>
      </w:r>
      <w:r w:rsidRPr="00304F6F" w:rsidR="002A3221">
        <w:rPr>
          <w:rFonts w:ascii="Times New Roman" w:hAnsi="Times New Roman"/>
          <w:b/>
          <w:sz w:val="26"/>
          <w:szCs w:val="26"/>
        </w:rPr>
        <w:t xml:space="preserve"> here</w:t>
      </w:r>
      <w:r w:rsidRPr="00304F6F" w:rsidR="00946126">
        <w:rPr>
          <w:rFonts w:ascii="Times New Roman" w:hAnsi="Times New Roman"/>
          <w:b/>
          <w:sz w:val="26"/>
          <w:szCs w:val="26"/>
        </w:rPr>
        <w:t>.</w:t>
      </w:r>
    </w:p>
    <w:p w:rsidR="00076FB5" w:rsidRPr="00304F6F" w:rsidP="00800D30" w14:paraId="7ECFF3A8" w14:textId="0AC36B52">
      <w:pPr>
        <w:pStyle w:val="ListParagraph"/>
        <w:tabs>
          <w:tab w:val="left" w:pos="-720"/>
        </w:tabs>
        <w:suppressAutoHyphens/>
        <w:contextualSpacing w:val="0"/>
        <w:rPr>
          <w:rFonts w:ascii="Times New Roman" w:hAnsi="Times New Roman"/>
          <w:b/>
          <w:sz w:val="26"/>
          <w:szCs w:val="26"/>
        </w:rPr>
      </w:pPr>
    </w:p>
    <w:p w:rsidR="00F805AF" w:rsidRPr="00304F6F" w:rsidP="2F67BDF8" w14:paraId="10DEABD9" w14:textId="61770CE6">
      <w:pPr>
        <w:pStyle w:val="ListParagraph"/>
        <w:suppressAutoHyphens/>
        <w:rPr>
          <w:rFonts w:ascii="Times New Roman" w:hAnsi="Times New Roman"/>
        </w:rPr>
      </w:pPr>
      <w:r w:rsidRPr="00304F6F">
        <w:rPr>
          <w:rFonts w:ascii="Times New Roman" w:hAnsi="Times New Roman"/>
        </w:rPr>
        <w:t xml:space="preserve">As noted previously, the data collection and burden for this collection </w:t>
      </w:r>
      <w:r w:rsidRPr="00304F6F" w:rsidR="003B1C66">
        <w:rPr>
          <w:rFonts w:ascii="Times New Roman" w:hAnsi="Times New Roman"/>
        </w:rPr>
        <w:t>is</w:t>
      </w:r>
      <w:r w:rsidRPr="00304F6F">
        <w:rPr>
          <w:rFonts w:ascii="Times New Roman" w:hAnsi="Times New Roman"/>
        </w:rPr>
        <w:t xml:space="preserve"> related to requirements of 34 CFR §602, 34 CFR §603, 34 CFR §600.55, and 34 CFR §600.56. For the overall collection</w:t>
      </w:r>
      <w:r w:rsidRPr="00304F6F" w:rsidR="00F81956">
        <w:rPr>
          <w:rFonts w:ascii="Times New Roman" w:hAnsi="Times New Roman"/>
        </w:rPr>
        <w:t>,</w:t>
      </w:r>
      <w:r w:rsidRPr="00304F6F">
        <w:rPr>
          <w:rFonts w:ascii="Times New Roman" w:hAnsi="Times New Roman"/>
        </w:rPr>
        <w:t xml:space="preserve"> burden hours have</w:t>
      </w:r>
      <w:r w:rsidRPr="00304F6F" w:rsidR="00B135DA">
        <w:rPr>
          <w:rFonts w:ascii="Times New Roman" w:hAnsi="Times New Roman"/>
        </w:rPr>
        <w:t xml:space="preserve"> slightly</w:t>
      </w:r>
      <w:r w:rsidRPr="00304F6F">
        <w:rPr>
          <w:rFonts w:ascii="Times New Roman" w:hAnsi="Times New Roman"/>
        </w:rPr>
        <w:t xml:space="preserve"> increased. </w:t>
      </w:r>
      <w:r w:rsidRPr="00304F6F" w:rsidR="00473695">
        <w:rPr>
          <w:rFonts w:ascii="Times New Roman" w:hAnsi="Times New Roman"/>
        </w:rPr>
        <w:t xml:space="preserve">The approved burden hours </w:t>
      </w:r>
      <w:r w:rsidRPr="00304F6F" w:rsidR="00473695">
        <w:rPr>
          <w:rFonts w:ascii="Times New Roman" w:hAnsi="Times New Roman"/>
        </w:rPr>
        <w:t xml:space="preserve">for the expiring </w:t>
      </w:r>
      <w:r w:rsidRPr="00304F6F" w:rsidR="006463BB">
        <w:rPr>
          <w:rFonts w:ascii="Times New Roman" w:hAnsi="Times New Roman"/>
        </w:rPr>
        <w:t xml:space="preserve">collection </w:t>
      </w:r>
      <w:r w:rsidRPr="00304F6F" w:rsidR="007379FE">
        <w:rPr>
          <w:rFonts w:ascii="Times New Roman" w:hAnsi="Times New Roman"/>
        </w:rPr>
        <w:t>were</w:t>
      </w:r>
      <w:r w:rsidRPr="00304F6F" w:rsidR="006463BB">
        <w:rPr>
          <w:rFonts w:ascii="Times New Roman" w:hAnsi="Times New Roman"/>
        </w:rPr>
        <w:t xml:space="preserve"> </w:t>
      </w:r>
      <w:r w:rsidRPr="00304F6F" w:rsidR="00B135DA">
        <w:rPr>
          <w:rFonts w:ascii="Times New Roman" w:hAnsi="Times New Roman"/>
        </w:rPr>
        <w:t>18,351</w:t>
      </w:r>
      <w:r w:rsidRPr="00304F6F" w:rsidR="004C13AB">
        <w:rPr>
          <w:rFonts w:ascii="Times New Roman" w:hAnsi="Times New Roman"/>
        </w:rPr>
        <w:t>.</w:t>
      </w:r>
      <w:r w:rsidRPr="00304F6F">
        <w:rPr>
          <w:rFonts w:ascii="Times New Roman" w:hAnsi="Times New Roman"/>
        </w:rPr>
        <w:t xml:space="preserve"> The</w:t>
      </w:r>
      <w:r w:rsidRPr="00304F6F" w:rsidR="00F81956">
        <w:rPr>
          <w:rFonts w:ascii="Times New Roman" w:hAnsi="Times New Roman"/>
        </w:rPr>
        <w:t xml:space="preserve"> annual </w:t>
      </w:r>
      <w:r w:rsidRPr="00304F6F">
        <w:rPr>
          <w:rFonts w:ascii="Times New Roman" w:hAnsi="Times New Roman"/>
        </w:rPr>
        <w:t xml:space="preserve">burden hours for this collection are now determined to be </w:t>
      </w:r>
      <w:r w:rsidRPr="00304F6F" w:rsidR="00AA7409">
        <w:rPr>
          <w:rFonts w:ascii="Times New Roman" w:hAnsi="Times New Roman"/>
        </w:rPr>
        <w:t>18,</w:t>
      </w:r>
      <w:r w:rsidRPr="00304F6F" w:rsidR="005E0624">
        <w:rPr>
          <w:rFonts w:ascii="Times New Roman" w:hAnsi="Times New Roman"/>
        </w:rPr>
        <w:t>405</w:t>
      </w:r>
      <w:r w:rsidRPr="00304F6F">
        <w:rPr>
          <w:rFonts w:ascii="Times New Roman" w:hAnsi="Times New Roman"/>
        </w:rPr>
        <w:t>.</w:t>
      </w:r>
      <w:r w:rsidRPr="00304F6F" w:rsidR="004F7D1B">
        <w:rPr>
          <w:rFonts w:ascii="Times New Roman" w:hAnsi="Times New Roman"/>
        </w:rPr>
        <w:t xml:space="preserve"> </w:t>
      </w:r>
    </w:p>
    <w:p w:rsidR="00E85E84" w:rsidRPr="00304F6F" w:rsidP="00076FB5" w14:paraId="7C1816BB" w14:textId="77777777">
      <w:pPr>
        <w:pStyle w:val="ListParagraph"/>
        <w:tabs>
          <w:tab w:val="left" w:pos="-720"/>
        </w:tabs>
        <w:suppressAutoHyphens/>
        <w:rPr>
          <w:rFonts w:ascii="Times New Roman" w:hAnsi="Times New Roman"/>
          <w:bCs/>
          <w:sz w:val="26"/>
          <w:szCs w:val="26"/>
        </w:rPr>
      </w:pPr>
    </w:p>
    <w:p w:rsidR="00FC3D4F" w:rsidRPr="00304F6F" w:rsidP="2F67BDF8" w14:paraId="1ADC198F" w14:textId="09269B74">
      <w:pPr>
        <w:pStyle w:val="ListParagraph"/>
        <w:suppressAutoHyphens/>
        <w:rPr>
          <w:rFonts w:ascii="Times New Roman" w:hAnsi="Times New Roman"/>
          <w:b/>
          <w:bCs/>
        </w:rPr>
      </w:pPr>
      <w:r w:rsidRPr="00304F6F">
        <w:rPr>
          <w:rFonts w:ascii="Times New Roman" w:hAnsi="Times New Roman"/>
        </w:rPr>
        <w:t>This collection</w:t>
      </w:r>
      <w:r w:rsidRPr="00304F6F" w:rsidR="00D20A45">
        <w:rPr>
          <w:rFonts w:ascii="Times New Roman" w:hAnsi="Times New Roman"/>
        </w:rPr>
        <w:t xml:space="preserve"> </w:t>
      </w:r>
      <w:r w:rsidRPr="00304F6F" w:rsidR="009512EE">
        <w:rPr>
          <w:rFonts w:ascii="Times New Roman" w:hAnsi="Times New Roman"/>
        </w:rPr>
        <w:t>consider</w:t>
      </w:r>
      <w:r w:rsidRPr="00304F6F">
        <w:rPr>
          <w:rFonts w:ascii="Times New Roman" w:hAnsi="Times New Roman"/>
        </w:rPr>
        <w:t>s</w:t>
      </w:r>
      <w:r w:rsidRPr="00304F6F" w:rsidR="00A625AD">
        <w:rPr>
          <w:rFonts w:ascii="Times New Roman" w:hAnsi="Times New Roman"/>
        </w:rPr>
        <w:t xml:space="preserve"> the</w:t>
      </w:r>
      <w:r w:rsidRPr="00304F6F" w:rsidR="00781891">
        <w:rPr>
          <w:rFonts w:ascii="Times New Roman" w:hAnsi="Times New Roman"/>
        </w:rPr>
        <w:t xml:space="preserve"> continuous</w:t>
      </w:r>
      <w:r w:rsidRPr="00304F6F" w:rsidR="00E7266F">
        <w:rPr>
          <w:rFonts w:ascii="Times New Roman" w:hAnsi="Times New Roman"/>
        </w:rPr>
        <w:t xml:space="preserve"> burden</w:t>
      </w:r>
      <w:r w:rsidRPr="00304F6F" w:rsidR="00781891">
        <w:rPr>
          <w:rFonts w:ascii="Times New Roman" w:hAnsi="Times New Roman"/>
        </w:rPr>
        <w:t xml:space="preserve"> which </w:t>
      </w:r>
      <w:r w:rsidRPr="00304F6F" w:rsidR="002F18C3">
        <w:rPr>
          <w:rFonts w:ascii="Times New Roman" w:hAnsi="Times New Roman"/>
        </w:rPr>
        <w:t xml:space="preserve">would be </w:t>
      </w:r>
      <w:r w:rsidRPr="00304F6F" w:rsidR="009512EE">
        <w:rPr>
          <w:rFonts w:ascii="Times New Roman" w:hAnsi="Times New Roman"/>
        </w:rPr>
        <w:t>the amount of</w:t>
      </w:r>
      <w:r w:rsidRPr="00304F6F" w:rsidR="008F3CEB">
        <w:rPr>
          <w:rFonts w:ascii="Times New Roman" w:hAnsi="Times New Roman"/>
        </w:rPr>
        <w:t xml:space="preserve"> time it takes accrediting agencies</w:t>
      </w:r>
      <w:r w:rsidRPr="00304F6F" w:rsidR="00A2091D">
        <w:rPr>
          <w:rFonts w:ascii="Times New Roman" w:hAnsi="Times New Roman"/>
        </w:rPr>
        <w:t>,</w:t>
      </w:r>
      <w:r w:rsidRPr="00304F6F" w:rsidR="001129E6">
        <w:rPr>
          <w:rFonts w:ascii="Times New Roman" w:hAnsi="Times New Roman"/>
        </w:rPr>
        <w:t xml:space="preserve"> and</w:t>
      </w:r>
      <w:r w:rsidRPr="00304F6F" w:rsidR="00A2091D">
        <w:rPr>
          <w:rFonts w:ascii="Times New Roman" w:hAnsi="Times New Roman"/>
        </w:rPr>
        <w:t xml:space="preserve"> state agencies</w:t>
      </w:r>
      <w:r w:rsidRPr="00304F6F" w:rsidR="006E6581">
        <w:rPr>
          <w:rFonts w:ascii="Times New Roman" w:hAnsi="Times New Roman"/>
        </w:rPr>
        <w:t xml:space="preserve"> to renew their recognition as a nationally recognized accrediting agency</w:t>
      </w:r>
      <w:r w:rsidRPr="00304F6F" w:rsidR="00A2091D">
        <w:rPr>
          <w:rFonts w:ascii="Times New Roman" w:hAnsi="Times New Roman"/>
        </w:rPr>
        <w:t>,</w:t>
      </w:r>
      <w:r w:rsidRPr="00304F6F" w:rsidR="00D31981">
        <w:rPr>
          <w:rFonts w:ascii="Times New Roman" w:hAnsi="Times New Roman"/>
        </w:rPr>
        <w:t xml:space="preserve"> and</w:t>
      </w:r>
      <w:r w:rsidRPr="00304F6F" w:rsidR="00A2091D">
        <w:rPr>
          <w:rFonts w:ascii="Times New Roman" w:hAnsi="Times New Roman"/>
        </w:rPr>
        <w:t xml:space="preserve"> </w:t>
      </w:r>
      <w:r w:rsidRPr="00304F6F" w:rsidR="00A73DEE">
        <w:rPr>
          <w:rFonts w:ascii="Times New Roman" w:hAnsi="Times New Roman"/>
        </w:rPr>
        <w:t xml:space="preserve">foreign </w:t>
      </w:r>
      <w:r w:rsidRPr="00304F6F" w:rsidR="00A359B7">
        <w:rPr>
          <w:rFonts w:ascii="Times New Roman" w:hAnsi="Times New Roman"/>
        </w:rPr>
        <w:t>countries</w:t>
      </w:r>
      <w:r w:rsidRPr="00304F6F" w:rsidR="006E6581">
        <w:rPr>
          <w:rFonts w:ascii="Times New Roman" w:hAnsi="Times New Roman"/>
        </w:rPr>
        <w:t xml:space="preserve"> </w:t>
      </w:r>
      <w:r w:rsidRPr="00304F6F" w:rsidR="008F3CEB">
        <w:rPr>
          <w:rFonts w:ascii="Times New Roman" w:hAnsi="Times New Roman"/>
        </w:rPr>
        <w:t xml:space="preserve">to collect </w:t>
      </w:r>
      <w:r w:rsidRPr="00304F6F" w:rsidR="005C701E">
        <w:rPr>
          <w:rFonts w:ascii="Times New Roman" w:hAnsi="Times New Roman"/>
        </w:rPr>
        <w:t>all</w:t>
      </w:r>
      <w:r w:rsidRPr="00304F6F" w:rsidR="00693DA0">
        <w:rPr>
          <w:rFonts w:ascii="Times New Roman" w:hAnsi="Times New Roman"/>
        </w:rPr>
        <w:t xml:space="preserve"> information and </w:t>
      </w:r>
      <w:r w:rsidRPr="00304F6F" w:rsidR="005C701E">
        <w:rPr>
          <w:rFonts w:ascii="Times New Roman" w:hAnsi="Times New Roman"/>
        </w:rPr>
        <w:t>documentation</w:t>
      </w:r>
      <w:r w:rsidRPr="00304F6F" w:rsidR="000E5111">
        <w:rPr>
          <w:rFonts w:ascii="Times New Roman" w:hAnsi="Times New Roman"/>
        </w:rPr>
        <w:t xml:space="preserve">, </w:t>
      </w:r>
      <w:r w:rsidRPr="00304F6F" w:rsidR="005C701E">
        <w:rPr>
          <w:rFonts w:ascii="Times New Roman" w:hAnsi="Times New Roman"/>
        </w:rPr>
        <w:t>write a narrative response</w:t>
      </w:r>
      <w:r w:rsidRPr="00304F6F" w:rsidR="00B653BB">
        <w:rPr>
          <w:rFonts w:ascii="Times New Roman" w:hAnsi="Times New Roman"/>
        </w:rPr>
        <w:t xml:space="preserve"> to </w:t>
      </w:r>
      <w:r w:rsidRPr="00304F6F" w:rsidR="00D917D0">
        <w:rPr>
          <w:rFonts w:ascii="Times New Roman" w:hAnsi="Times New Roman"/>
        </w:rPr>
        <w:t>all</w:t>
      </w:r>
      <w:r w:rsidRPr="00304F6F" w:rsidR="00B653BB">
        <w:rPr>
          <w:rFonts w:ascii="Times New Roman" w:hAnsi="Times New Roman"/>
        </w:rPr>
        <w:t xml:space="preserve"> the criteria required to </w:t>
      </w:r>
      <w:r w:rsidRPr="00304F6F" w:rsidR="00B653BB">
        <w:rPr>
          <w:rFonts w:ascii="Times New Roman" w:hAnsi="Times New Roman"/>
        </w:rPr>
        <w:t xml:space="preserve">submit </w:t>
      </w:r>
      <w:r w:rsidRPr="00304F6F" w:rsidR="00ED4F62">
        <w:rPr>
          <w:rFonts w:ascii="Times New Roman" w:hAnsi="Times New Roman"/>
        </w:rPr>
        <w:t>an application</w:t>
      </w:r>
      <w:r w:rsidRPr="00304F6F" w:rsidR="001129E6">
        <w:rPr>
          <w:rFonts w:ascii="Times New Roman" w:hAnsi="Times New Roman"/>
        </w:rPr>
        <w:t xml:space="preserve"> to renew their status with the Department</w:t>
      </w:r>
      <w:r w:rsidRPr="00304F6F" w:rsidR="00D354B7">
        <w:rPr>
          <w:rFonts w:ascii="Times New Roman" w:hAnsi="Times New Roman"/>
        </w:rPr>
        <w:t>.</w:t>
      </w:r>
      <w:r w:rsidRPr="00304F6F" w:rsidR="0082236D">
        <w:rPr>
          <w:rFonts w:ascii="Times New Roman" w:hAnsi="Times New Roman"/>
        </w:rPr>
        <w:t xml:space="preserve"> </w:t>
      </w:r>
      <w:r w:rsidRPr="00304F6F" w:rsidR="2F67BDF8">
        <w:rPr>
          <w:rFonts w:ascii="Times New Roman" w:hAnsi="Times New Roman"/>
        </w:rPr>
        <w:t>However,</w:t>
      </w:r>
      <w:r w:rsidRPr="00304F6F" w:rsidR="00FB7350">
        <w:rPr>
          <w:rFonts w:ascii="Times New Roman" w:hAnsi="Times New Roman"/>
        </w:rPr>
        <w:t xml:space="preserve"> there are actually</w:t>
      </w:r>
      <w:r w:rsidRPr="00304F6F" w:rsidR="00C2336F">
        <w:rPr>
          <w:rFonts w:ascii="Times New Roman" w:hAnsi="Times New Roman"/>
        </w:rPr>
        <w:t xml:space="preserve"> </w:t>
      </w:r>
      <w:r w:rsidRPr="00304F6F" w:rsidR="00D3309A">
        <w:rPr>
          <w:rFonts w:ascii="Times New Roman" w:hAnsi="Times New Roman"/>
        </w:rPr>
        <w:t xml:space="preserve">81 </w:t>
      </w:r>
      <w:r w:rsidRPr="00304F6F" w:rsidR="00106774">
        <w:rPr>
          <w:rFonts w:ascii="Times New Roman" w:hAnsi="Times New Roman"/>
        </w:rPr>
        <w:t>accrediting agenc</w:t>
      </w:r>
      <w:r w:rsidRPr="00304F6F" w:rsidR="004060B1">
        <w:rPr>
          <w:rFonts w:ascii="Times New Roman" w:hAnsi="Times New Roman"/>
        </w:rPr>
        <w:t xml:space="preserve">ies </w:t>
      </w:r>
      <w:r w:rsidRPr="00304F6F" w:rsidR="00003305">
        <w:rPr>
          <w:rFonts w:ascii="Times New Roman" w:hAnsi="Times New Roman"/>
        </w:rPr>
        <w:t>that are required to renew their recognition and submit information and documentation to demonstrate compliance with</w:t>
      </w:r>
      <w:r w:rsidRPr="00304F6F" w:rsidR="00FB7350">
        <w:rPr>
          <w:rFonts w:ascii="Times New Roman" w:hAnsi="Times New Roman"/>
        </w:rPr>
        <w:t xml:space="preserve"> all</w:t>
      </w:r>
      <w:r w:rsidRPr="00304F6F" w:rsidR="00003305">
        <w:rPr>
          <w:rFonts w:ascii="Times New Roman" w:hAnsi="Times New Roman"/>
        </w:rPr>
        <w:t xml:space="preserve"> applicab</w:t>
      </w:r>
      <w:r w:rsidRPr="00304F6F" w:rsidR="002E2C45">
        <w:rPr>
          <w:rFonts w:ascii="Times New Roman" w:hAnsi="Times New Roman"/>
        </w:rPr>
        <w:t>l</w:t>
      </w:r>
      <w:r w:rsidRPr="00304F6F" w:rsidR="00003305">
        <w:rPr>
          <w:rFonts w:ascii="Times New Roman" w:hAnsi="Times New Roman"/>
        </w:rPr>
        <w:t xml:space="preserve">e regulations. </w:t>
      </w:r>
      <w:r w:rsidRPr="00304F6F" w:rsidR="00076FB5">
        <w:rPr>
          <w:rFonts w:ascii="Times New Roman" w:hAnsi="Times New Roman"/>
        </w:rPr>
        <w:t>All of these factors combined have contributed to the increase in burden hours for each group of accrediting agencies</w:t>
      </w:r>
      <w:r w:rsidRPr="00304F6F" w:rsidR="004060B1">
        <w:rPr>
          <w:rFonts w:ascii="Times New Roman" w:hAnsi="Times New Roman"/>
        </w:rPr>
        <w:t xml:space="preserve"> and o</w:t>
      </w:r>
      <w:r w:rsidRPr="00304F6F" w:rsidR="00076FB5">
        <w:rPr>
          <w:rFonts w:ascii="Times New Roman" w:hAnsi="Times New Roman"/>
        </w:rPr>
        <w:t>rganizations</w:t>
      </w:r>
      <w:r w:rsidRPr="00304F6F" w:rsidR="00FB7350">
        <w:rPr>
          <w:rFonts w:ascii="Times New Roman" w:hAnsi="Times New Roman"/>
        </w:rPr>
        <w:t xml:space="preserve"> required to submit information to the Department. </w:t>
      </w:r>
      <w:r w:rsidRPr="00304F6F" w:rsidR="00076FB5">
        <w:rPr>
          <w:rFonts w:ascii="Times New Roman" w:hAnsi="Times New Roman"/>
          <w:b/>
          <w:bCs/>
        </w:rPr>
        <w:t xml:space="preserve"> </w:t>
      </w:r>
    </w:p>
    <w:p w:rsidR="00FC3D4F" w:rsidRPr="00304F6F" w:rsidP="00080EEB" w14:paraId="4631A84D" w14:textId="77777777">
      <w:pPr>
        <w:pStyle w:val="ListParagraph"/>
        <w:tabs>
          <w:tab w:val="left" w:pos="-720"/>
        </w:tabs>
        <w:suppressAutoHyphens/>
        <w:rPr>
          <w:rFonts w:ascii="Times New Roman" w:hAnsi="Times New Roman"/>
          <w:b/>
          <w:szCs w:val="24"/>
        </w:rPr>
      </w:pPr>
    </w:p>
    <w:p w:rsidR="00076FB5" w:rsidRPr="00304F6F" w:rsidP="2F67BDF8" w14:paraId="27B8A934" w14:textId="7594304E">
      <w:pPr>
        <w:pStyle w:val="ListParagraph"/>
        <w:suppressAutoHyphens/>
        <w:rPr>
          <w:rFonts w:ascii="Times New Roman" w:hAnsi="Times New Roman"/>
        </w:rPr>
      </w:pPr>
      <w:r w:rsidRPr="00304F6F">
        <w:rPr>
          <w:rFonts w:ascii="Times New Roman" w:hAnsi="Times New Roman"/>
        </w:rPr>
        <w:t xml:space="preserve">The Department surveyed a sample of </w:t>
      </w:r>
      <w:r w:rsidRPr="00304F6F" w:rsidR="006E03AF">
        <w:rPr>
          <w:rFonts w:ascii="Times New Roman" w:hAnsi="Times New Roman"/>
        </w:rPr>
        <w:t>accrediting</w:t>
      </w:r>
      <w:r w:rsidRPr="00304F6F">
        <w:rPr>
          <w:rFonts w:ascii="Times New Roman" w:hAnsi="Times New Roman"/>
        </w:rPr>
        <w:t xml:space="preserve"> agencies</w:t>
      </w:r>
      <w:r w:rsidRPr="00304F6F" w:rsidR="008826BF">
        <w:rPr>
          <w:rFonts w:ascii="Times New Roman" w:hAnsi="Times New Roman"/>
        </w:rPr>
        <w:t xml:space="preserve">, </w:t>
      </w:r>
      <w:r w:rsidRPr="00304F6F">
        <w:rPr>
          <w:rFonts w:ascii="Times New Roman" w:hAnsi="Times New Roman"/>
        </w:rPr>
        <w:t xml:space="preserve"> asking how much time </w:t>
      </w:r>
      <w:r w:rsidRPr="00304F6F" w:rsidR="006E03AF">
        <w:rPr>
          <w:rFonts w:ascii="Times New Roman" w:hAnsi="Times New Roman"/>
        </w:rPr>
        <w:t>it took</w:t>
      </w:r>
      <w:r w:rsidRPr="00304F6F">
        <w:rPr>
          <w:rFonts w:ascii="Times New Roman" w:hAnsi="Times New Roman"/>
        </w:rPr>
        <w:t xml:space="preserve"> to submit their applications.  Based on their response</w:t>
      </w:r>
      <w:r w:rsidRPr="00304F6F" w:rsidR="00E418DF">
        <w:rPr>
          <w:rFonts w:ascii="Times New Roman" w:hAnsi="Times New Roman"/>
        </w:rPr>
        <w:t>s</w:t>
      </w:r>
      <w:r w:rsidRPr="00304F6F">
        <w:rPr>
          <w:rFonts w:ascii="Times New Roman" w:hAnsi="Times New Roman"/>
        </w:rPr>
        <w:t xml:space="preserve"> it was determined that the average amount of time it took </w:t>
      </w:r>
      <w:r w:rsidRPr="00304F6F" w:rsidR="00DE7F0D">
        <w:rPr>
          <w:rFonts w:ascii="Times New Roman" w:hAnsi="Times New Roman"/>
        </w:rPr>
        <w:t xml:space="preserve">an </w:t>
      </w:r>
      <w:r w:rsidRPr="00304F6F" w:rsidR="006E03AF">
        <w:rPr>
          <w:rFonts w:ascii="Times New Roman" w:hAnsi="Times New Roman"/>
        </w:rPr>
        <w:t>accrediting</w:t>
      </w:r>
      <w:r w:rsidRPr="00304F6F" w:rsidR="00DE7F0D">
        <w:rPr>
          <w:rFonts w:ascii="Times New Roman" w:hAnsi="Times New Roman"/>
        </w:rPr>
        <w:t xml:space="preserve"> agency </w:t>
      </w:r>
      <w:r w:rsidRPr="00304F6F">
        <w:rPr>
          <w:rFonts w:ascii="Times New Roman" w:hAnsi="Times New Roman"/>
        </w:rPr>
        <w:t>to submit their application was 1,460 hours</w:t>
      </w:r>
      <w:r w:rsidRPr="00304F6F" w:rsidR="00DF5F54">
        <w:rPr>
          <w:rFonts w:ascii="Times New Roman" w:hAnsi="Times New Roman"/>
        </w:rPr>
        <w:t xml:space="preserve"> per response</w:t>
      </w:r>
      <w:r w:rsidRPr="00304F6F">
        <w:rPr>
          <w:rFonts w:ascii="Times New Roman" w:hAnsi="Times New Roman"/>
        </w:rPr>
        <w:t xml:space="preserve">. </w:t>
      </w:r>
      <w:r w:rsidRPr="00304F6F" w:rsidR="005E0624">
        <w:rPr>
          <w:rFonts w:ascii="Times New Roman" w:hAnsi="Times New Roman"/>
        </w:rPr>
        <w:t>T</w:t>
      </w:r>
      <w:r w:rsidRPr="00304F6F" w:rsidR="00DE7F0D">
        <w:rPr>
          <w:rFonts w:ascii="Times New Roman" w:hAnsi="Times New Roman"/>
        </w:rPr>
        <w:t>he Department believes this is accurate</w:t>
      </w:r>
      <w:r w:rsidRPr="00304F6F" w:rsidR="00E418DF">
        <w:rPr>
          <w:rFonts w:ascii="Times New Roman" w:hAnsi="Times New Roman"/>
        </w:rPr>
        <w:t xml:space="preserve"> count of burden hours</w:t>
      </w:r>
      <w:r w:rsidRPr="00304F6F" w:rsidR="00DE7F0D">
        <w:rPr>
          <w:rFonts w:ascii="Times New Roman" w:hAnsi="Times New Roman"/>
        </w:rPr>
        <w:t xml:space="preserve">.   </w:t>
      </w:r>
    </w:p>
    <w:p w:rsidR="00076FB5" w:rsidRPr="00304F6F" w:rsidP="00076FB5" w14:paraId="10CF3AF0" w14:textId="77777777">
      <w:pPr>
        <w:pStyle w:val="ListParagraph"/>
        <w:tabs>
          <w:tab w:val="left" w:pos="-720"/>
        </w:tabs>
        <w:suppressAutoHyphens/>
        <w:rPr>
          <w:rFonts w:ascii="Times New Roman" w:hAnsi="Times New Roman"/>
          <w:b/>
          <w:szCs w:val="24"/>
        </w:rPr>
      </w:pPr>
    </w:p>
    <w:p w:rsidR="00076FB5" w:rsidRPr="00304F6F" w:rsidP="00800D30" w14:paraId="05F8E2DD" w14:textId="77777777">
      <w:pPr>
        <w:pStyle w:val="ListParagraph"/>
        <w:tabs>
          <w:tab w:val="left" w:pos="-720"/>
        </w:tabs>
        <w:suppressAutoHyphens/>
        <w:contextualSpacing w:val="0"/>
        <w:rPr>
          <w:rFonts w:ascii="Times New Roman" w:hAnsi="Times New Roman"/>
          <w:b/>
          <w:sz w:val="26"/>
          <w:szCs w:val="26"/>
        </w:rPr>
      </w:pPr>
    </w:p>
    <w:p w:rsidR="00534B4A" w:rsidRPr="00304F6F"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RPr="00304F6F" w:rsidP="00534B4A" w14:paraId="58CE25C7" w14:textId="77777777">
            <w:pPr>
              <w:tabs>
                <w:tab w:val="left" w:pos="-720"/>
              </w:tabs>
              <w:suppressAutoHyphens/>
              <w:rPr>
                <w:rFonts w:ascii="Times New Roman" w:hAnsi="Times New Roman"/>
                <w:b/>
                <w:szCs w:val="24"/>
              </w:rPr>
            </w:pPr>
          </w:p>
        </w:tc>
        <w:tc>
          <w:tcPr>
            <w:tcW w:w="2048" w:type="dxa"/>
          </w:tcPr>
          <w:p w:rsidR="0052073E" w:rsidRPr="00304F6F" w:rsidP="00534B4A" w14:paraId="58CE25C8" w14:textId="77777777">
            <w:pPr>
              <w:tabs>
                <w:tab w:val="left" w:pos="-720"/>
              </w:tabs>
              <w:suppressAutoHyphens/>
              <w:rPr>
                <w:rFonts w:ascii="Times New Roman" w:hAnsi="Times New Roman"/>
                <w:b/>
                <w:szCs w:val="24"/>
              </w:rPr>
            </w:pPr>
            <w:r w:rsidRPr="00304F6F">
              <w:rPr>
                <w:rFonts w:ascii="Times New Roman" w:hAnsi="Times New Roman"/>
                <w:b/>
                <w:szCs w:val="24"/>
              </w:rPr>
              <w:t>Program Change Due to New Statute</w:t>
            </w:r>
          </w:p>
        </w:tc>
        <w:tc>
          <w:tcPr>
            <w:tcW w:w="2829" w:type="dxa"/>
          </w:tcPr>
          <w:p w:rsidR="0052073E" w:rsidRPr="00304F6F" w:rsidP="00534B4A" w14:paraId="58CE25C9" w14:textId="77777777">
            <w:pPr>
              <w:tabs>
                <w:tab w:val="left" w:pos="-720"/>
              </w:tabs>
              <w:suppressAutoHyphens/>
              <w:rPr>
                <w:rFonts w:ascii="Times New Roman" w:hAnsi="Times New Roman"/>
                <w:b/>
                <w:szCs w:val="24"/>
              </w:rPr>
            </w:pPr>
            <w:r w:rsidRPr="00304F6F">
              <w:rPr>
                <w:rFonts w:ascii="Times New Roman" w:hAnsi="Times New Roman"/>
                <w:b/>
                <w:szCs w:val="24"/>
              </w:rPr>
              <w:t>Program Change Due to Agency Discretion</w:t>
            </w:r>
          </w:p>
        </w:tc>
        <w:tc>
          <w:tcPr>
            <w:tcW w:w="2520" w:type="dxa"/>
          </w:tcPr>
          <w:p w:rsidR="0052073E" w:rsidRPr="00304F6F" w:rsidP="00534B4A" w14:paraId="58CE25CA" w14:textId="77777777">
            <w:pPr>
              <w:tabs>
                <w:tab w:val="left" w:pos="-720"/>
              </w:tabs>
              <w:suppressAutoHyphens/>
              <w:rPr>
                <w:rFonts w:ascii="Times New Roman" w:hAnsi="Times New Roman"/>
                <w:b/>
                <w:szCs w:val="24"/>
              </w:rPr>
            </w:pPr>
            <w:r w:rsidRPr="00304F6F">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RPr="00304F6F" w:rsidP="00534B4A" w14:paraId="58CE25CC" w14:textId="77777777">
            <w:pPr>
              <w:tabs>
                <w:tab w:val="left" w:pos="-720"/>
              </w:tabs>
              <w:suppressAutoHyphens/>
              <w:rPr>
                <w:rFonts w:ascii="Times New Roman" w:hAnsi="Times New Roman"/>
                <w:b/>
                <w:szCs w:val="24"/>
              </w:rPr>
            </w:pPr>
            <w:r w:rsidRPr="00304F6F">
              <w:rPr>
                <w:rFonts w:ascii="Times New Roman" w:hAnsi="Times New Roman"/>
                <w:b/>
                <w:szCs w:val="24"/>
              </w:rPr>
              <w:t>Total Burden</w:t>
            </w:r>
          </w:p>
        </w:tc>
        <w:tc>
          <w:tcPr>
            <w:tcW w:w="2048" w:type="dxa"/>
          </w:tcPr>
          <w:p w:rsidR="0052073E" w:rsidRPr="00304F6F" w:rsidP="00534B4A" w14:paraId="58CE25CD" w14:textId="77777777">
            <w:pPr>
              <w:tabs>
                <w:tab w:val="left" w:pos="-720"/>
              </w:tabs>
              <w:suppressAutoHyphens/>
              <w:rPr>
                <w:rFonts w:ascii="Times New Roman" w:hAnsi="Times New Roman"/>
                <w:b/>
                <w:szCs w:val="24"/>
              </w:rPr>
            </w:pPr>
          </w:p>
        </w:tc>
        <w:tc>
          <w:tcPr>
            <w:tcW w:w="2829" w:type="dxa"/>
          </w:tcPr>
          <w:p w:rsidR="0052073E" w:rsidRPr="00304F6F" w:rsidP="00534B4A" w14:paraId="58CE25CE" w14:textId="77777777">
            <w:pPr>
              <w:tabs>
                <w:tab w:val="left" w:pos="-720"/>
              </w:tabs>
              <w:suppressAutoHyphens/>
              <w:rPr>
                <w:rFonts w:ascii="Times New Roman" w:hAnsi="Times New Roman"/>
                <w:b/>
                <w:szCs w:val="24"/>
              </w:rPr>
            </w:pPr>
          </w:p>
        </w:tc>
        <w:tc>
          <w:tcPr>
            <w:tcW w:w="2520" w:type="dxa"/>
          </w:tcPr>
          <w:p w:rsidR="0052073E" w:rsidRPr="00304F6F" w:rsidP="004060B1" w14:paraId="58CE25CF" w14:textId="0494139C">
            <w:pPr>
              <w:tabs>
                <w:tab w:val="left" w:pos="-720"/>
              </w:tabs>
              <w:suppressAutoHyphens/>
              <w:jc w:val="right"/>
              <w:rPr>
                <w:rFonts w:ascii="Times New Roman" w:hAnsi="Times New Roman"/>
                <w:b/>
                <w:szCs w:val="24"/>
              </w:rPr>
            </w:pPr>
            <w:r>
              <w:rPr>
                <w:rFonts w:ascii="Times New Roman" w:hAnsi="Times New Roman"/>
                <w:b/>
                <w:szCs w:val="24"/>
              </w:rPr>
              <w:t>+3,377</w:t>
            </w:r>
          </w:p>
        </w:tc>
      </w:tr>
      <w:tr w14:paraId="58CE25D5" w14:textId="77777777" w:rsidTr="0052073E">
        <w:tblPrEx>
          <w:tblW w:w="9445" w:type="dxa"/>
          <w:tblLook w:val="04A0"/>
        </w:tblPrEx>
        <w:tc>
          <w:tcPr>
            <w:tcW w:w="2048" w:type="dxa"/>
          </w:tcPr>
          <w:p w:rsidR="0052073E" w:rsidRPr="00304F6F" w:rsidP="00534B4A" w14:paraId="58CE25D1" w14:textId="77777777">
            <w:pPr>
              <w:tabs>
                <w:tab w:val="left" w:pos="-720"/>
              </w:tabs>
              <w:suppressAutoHyphens/>
              <w:rPr>
                <w:rFonts w:ascii="Times New Roman" w:hAnsi="Times New Roman"/>
                <w:b/>
                <w:szCs w:val="24"/>
              </w:rPr>
            </w:pPr>
            <w:r w:rsidRPr="00304F6F">
              <w:rPr>
                <w:rFonts w:ascii="Times New Roman" w:hAnsi="Times New Roman"/>
                <w:b/>
                <w:szCs w:val="24"/>
              </w:rPr>
              <w:t>Total Responses</w:t>
            </w:r>
          </w:p>
        </w:tc>
        <w:tc>
          <w:tcPr>
            <w:tcW w:w="2048" w:type="dxa"/>
          </w:tcPr>
          <w:p w:rsidR="0052073E" w:rsidRPr="00304F6F" w:rsidP="00534B4A" w14:paraId="58CE25D2" w14:textId="77777777">
            <w:pPr>
              <w:tabs>
                <w:tab w:val="left" w:pos="-720"/>
              </w:tabs>
              <w:suppressAutoHyphens/>
              <w:rPr>
                <w:rFonts w:ascii="Times New Roman" w:hAnsi="Times New Roman"/>
                <w:b/>
                <w:szCs w:val="24"/>
              </w:rPr>
            </w:pPr>
          </w:p>
        </w:tc>
        <w:tc>
          <w:tcPr>
            <w:tcW w:w="2829" w:type="dxa"/>
          </w:tcPr>
          <w:p w:rsidR="0052073E" w:rsidRPr="00304F6F" w:rsidP="00534B4A" w14:paraId="58CE25D3" w14:textId="77777777">
            <w:pPr>
              <w:tabs>
                <w:tab w:val="left" w:pos="-720"/>
              </w:tabs>
              <w:suppressAutoHyphens/>
              <w:rPr>
                <w:rFonts w:ascii="Times New Roman" w:hAnsi="Times New Roman"/>
                <w:b/>
                <w:szCs w:val="24"/>
              </w:rPr>
            </w:pPr>
          </w:p>
        </w:tc>
        <w:tc>
          <w:tcPr>
            <w:tcW w:w="2520" w:type="dxa"/>
          </w:tcPr>
          <w:p w:rsidR="0052073E" w:rsidRPr="00304F6F" w:rsidP="004060B1" w14:paraId="58CE25D4" w14:textId="13483049">
            <w:pPr>
              <w:tabs>
                <w:tab w:val="left" w:pos="-720"/>
              </w:tabs>
              <w:suppressAutoHyphens/>
              <w:jc w:val="right"/>
              <w:rPr>
                <w:rFonts w:ascii="Times New Roman" w:hAnsi="Times New Roman"/>
                <w:b/>
                <w:szCs w:val="24"/>
              </w:rPr>
            </w:pPr>
            <w:r w:rsidRPr="00304F6F">
              <w:rPr>
                <w:rFonts w:ascii="Times New Roman" w:hAnsi="Times New Roman"/>
                <w:b/>
                <w:szCs w:val="24"/>
              </w:rPr>
              <w:t>-.8</w:t>
            </w:r>
          </w:p>
        </w:tc>
      </w:tr>
      <w:tr w14:paraId="58CE25DA" w14:textId="77777777" w:rsidTr="0052073E">
        <w:tblPrEx>
          <w:tblW w:w="9445" w:type="dxa"/>
          <w:tblLook w:val="04A0"/>
        </w:tblPrEx>
        <w:tc>
          <w:tcPr>
            <w:tcW w:w="2048" w:type="dxa"/>
          </w:tcPr>
          <w:p w:rsidR="0052073E" w:rsidRPr="00304F6F" w:rsidP="00534B4A" w14:paraId="58CE25D6" w14:textId="77777777">
            <w:pPr>
              <w:tabs>
                <w:tab w:val="left" w:pos="-720"/>
              </w:tabs>
              <w:suppressAutoHyphens/>
              <w:rPr>
                <w:rFonts w:ascii="Times New Roman" w:hAnsi="Times New Roman"/>
                <w:b/>
                <w:szCs w:val="24"/>
              </w:rPr>
            </w:pPr>
            <w:r w:rsidRPr="00304F6F">
              <w:rPr>
                <w:rFonts w:ascii="Times New Roman" w:hAnsi="Times New Roman"/>
                <w:b/>
                <w:szCs w:val="24"/>
              </w:rPr>
              <w:t>Total Costs (if applicable)</w:t>
            </w:r>
          </w:p>
        </w:tc>
        <w:tc>
          <w:tcPr>
            <w:tcW w:w="2048" w:type="dxa"/>
          </w:tcPr>
          <w:p w:rsidR="0052073E" w:rsidRPr="00304F6F" w:rsidP="00534B4A" w14:paraId="58CE25D7" w14:textId="77777777">
            <w:pPr>
              <w:tabs>
                <w:tab w:val="left" w:pos="-720"/>
              </w:tabs>
              <w:suppressAutoHyphens/>
              <w:rPr>
                <w:rFonts w:ascii="Times New Roman" w:hAnsi="Times New Roman"/>
                <w:b/>
                <w:szCs w:val="24"/>
              </w:rPr>
            </w:pPr>
          </w:p>
        </w:tc>
        <w:tc>
          <w:tcPr>
            <w:tcW w:w="2829" w:type="dxa"/>
          </w:tcPr>
          <w:p w:rsidR="0052073E" w:rsidRPr="00304F6F" w:rsidP="00534B4A" w14:paraId="58CE25D8" w14:textId="77777777">
            <w:pPr>
              <w:tabs>
                <w:tab w:val="left" w:pos="-720"/>
              </w:tabs>
              <w:suppressAutoHyphens/>
              <w:rPr>
                <w:rFonts w:ascii="Times New Roman" w:hAnsi="Times New Roman"/>
                <w:b/>
                <w:szCs w:val="24"/>
              </w:rPr>
            </w:pPr>
          </w:p>
        </w:tc>
        <w:tc>
          <w:tcPr>
            <w:tcW w:w="2520" w:type="dxa"/>
          </w:tcPr>
          <w:p w:rsidR="0052073E" w:rsidRPr="00304F6F" w:rsidP="00534B4A" w14:paraId="58CE25D9" w14:textId="76953224">
            <w:pPr>
              <w:tabs>
                <w:tab w:val="left" w:pos="-720"/>
              </w:tabs>
              <w:suppressAutoHyphens/>
              <w:rPr>
                <w:rFonts w:ascii="Times New Roman" w:hAnsi="Times New Roman"/>
                <w:b/>
                <w:szCs w:val="24"/>
              </w:rPr>
            </w:pPr>
          </w:p>
        </w:tc>
      </w:tr>
    </w:tbl>
    <w:p w:rsidR="00F27AAF" w:rsidRPr="00304F6F" w:rsidP="00534B4A" w14:paraId="58CE25DB" w14:textId="77777777">
      <w:pPr>
        <w:tabs>
          <w:tab w:val="left" w:pos="-720"/>
        </w:tabs>
        <w:suppressAutoHyphens/>
        <w:rPr>
          <w:rFonts w:ascii="Times New Roman" w:hAnsi="Times New Roman"/>
          <w:b/>
          <w:szCs w:val="24"/>
        </w:rPr>
      </w:pPr>
    </w:p>
    <w:p w:rsidR="00534B4A" w:rsidRPr="00304F6F" w:rsidP="00534B4A" w14:paraId="58CE25DC" w14:textId="77777777">
      <w:pPr>
        <w:tabs>
          <w:tab w:val="left" w:pos="-720"/>
        </w:tabs>
        <w:suppressAutoHyphens/>
        <w:rPr>
          <w:rFonts w:ascii="Times New Roman" w:hAnsi="Times New Roman"/>
          <w:szCs w:val="24"/>
        </w:rPr>
      </w:pPr>
    </w:p>
    <w:p w:rsidR="00043C32" w:rsidRPr="00304F6F" w:rsidP="00AD381B" w14:paraId="58CE25DD" w14:textId="2FB7C3C9">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304F6F">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7BC8" w:rsidRPr="00304F6F" w:rsidP="00FC7BC8" w14:paraId="37DECB97" w14:textId="793523F6">
      <w:pPr>
        <w:pStyle w:val="ListParagraph"/>
        <w:tabs>
          <w:tab w:val="left" w:pos="-720"/>
        </w:tabs>
        <w:suppressAutoHyphens/>
        <w:ind w:left="806"/>
        <w:contextualSpacing w:val="0"/>
        <w:rPr>
          <w:rStyle w:val="a"/>
          <w:rFonts w:ascii="Times New Roman" w:hAnsi="Times New Roman"/>
          <w:b/>
          <w:szCs w:val="24"/>
        </w:rPr>
      </w:pPr>
    </w:p>
    <w:p w:rsidR="00FC7BC8" w:rsidRPr="00304F6F" w:rsidP="00FA4589" w14:paraId="06B198D8" w14:textId="5AC5278B">
      <w:pPr>
        <w:pStyle w:val="ListParagraph"/>
        <w:rPr>
          <w:rStyle w:val="a"/>
          <w:rFonts w:ascii="Times New Roman" w:hAnsi="Times New Roman"/>
          <w:bCs/>
          <w:szCs w:val="24"/>
        </w:rPr>
      </w:pPr>
      <w:r w:rsidRPr="00304F6F">
        <w:rPr>
          <w:rFonts w:ascii="Times New Roman" w:hAnsi="Times New Roman"/>
          <w:bCs/>
          <w:szCs w:val="24"/>
        </w:rPr>
        <w:t xml:space="preserve">There are no complexed analytical techniques involved. </w:t>
      </w:r>
      <w:r w:rsidRPr="00304F6F" w:rsidR="00FA4589">
        <w:rPr>
          <w:rFonts w:ascii="Times New Roman" w:hAnsi="Times New Roman"/>
          <w:bCs/>
          <w:szCs w:val="24"/>
        </w:rPr>
        <w:t xml:space="preserve"> </w:t>
      </w:r>
      <w:r w:rsidRPr="00304F6F">
        <w:rPr>
          <w:rFonts w:ascii="Times New Roman" w:hAnsi="Times New Roman"/>
          <w:bCs/>
          <w:szCs w:val="24"/>
        </w:rPr>
        <w:t>Department staff does prepare an analysis of an</w:t>
      </w:r>
      <w:r w:rsidRPr="00304F6F" w:rsidR="008E6F66">
        <w:rPr>
          <w:rFonts w:ascii="Times New Roman" w:hAnsi="Times New Roman"/>
          <w:bCs/>
          <w:szCs w:val="24"/>
        </w:rPr>
        <w:t xml:space="preserve"> accrediting</w:t>
      </w:r>
      <w:r w:rsidRPr="00304F6F">
        <w:rPr>
          <w:rFonts w:ascii="Times New Roman" w:hAnsi="Times New Roman"/>
          <w:bCs/>
          <w:szCs w:val="24"/>
        </w:rPr>
        <w:t xml:space="preserve"> agency’s compliance with the criteria for recognition based, in part, on the information that the agency submits in its application. The analysis is presented to the National Advisory Committee on Institutional Quality and Integrity when that body meets to review the agency’s application and is available to the public electronically via the web.</w:t>
      </w:r>
      <w:r w:rsidRPr="00304F6F" w:rsidR="008E7231">
        <w:rPr>
          <w:rFonts w:ascii="Times New Roman" w:hAnsi="Times New Roman"/>
          <w:bCs/>
          <w:szCs w:val="24"/>
        </w:rPr>
        <w:t xml:space="preserve"> </w:t>
      </w:r>
      <w:r w:rsidRPr="00304F6F" w:rsidR="005C7F7C">
        <w:rPr>
          <w:rFonts w:ascii="Times New Roman" w:hAnsi="Times New Roman"/>
          <w:bCs/>
          <w:szCs w:val="24"/>
        </w:rPr>
        <w:t xml:space="preserve">The staff analysis for foreign countries being review for the comparability </w:t>
      </w:r>
      <w:r w:rsidRPr="00304F6F" w:rsidR="00143B62">
        <w:rPr>
          <w:rFonts w:ascii="Times New Roman" w:hAnsi="Times New Roman"/>
          <w:bCs/>
          <w:szCs w:val="24"/>
        </w:rPr>
        <w:t>of their medical education</w:t>
      </w:r>
      <w:r w:rsidRPr="00304F6F" w:rsidR="000D663F">
        <w:rPr>
          <w:rFonts w:ascii="Times New Roman" w:hAnsi="Times New Roman"/>
          <w:bCs/>
          <w:szCs w:val="24"/>
        </w:rPr>
        <w:t xml:space="preserve"> standards </w:t>
      </w:r>
      <w:r w:rsidRPr="00304F6F" w:rsidR="0013461C">
        <w:rPr>
          <w:rFonts w:ascii="Times New Roman" w:hAnsi="Times New Roman"/>
          <w:bCs/>
          <w:szCs w:val="24"/>
        </w:rPr>
        <w:t xml:space="preserve">is also </w:t>
      </w:r>
      <w:r w:rsidRPr="00304F6F" w:rsidR="00143B62">
        <w:rPr>
          <w:rFonts w:ascii="Times New Roman" w:hAnsi="Times New Roman"/>
          <w:bCs/>
          <w:szCs w:val="24"/>
        </w:rPr>
        <w:t>presented to the National Committee on Foreign Medical Education and Accreditation</w:t>
      </w:r>
      <w:r w:rsidRPr="00304F6F" w:rsidR="0013461C">
        <w:rPr>
          <w:rFonts w:ascii="Times New Roman" w:hAnsi="Times New Roman"/>
          <w:bCs/>
          <w:szCs w:val="24"/>
        </w:rPr>
        <w:t>,</w:t>
      </w:r>
      <w:r w:rsidRPr="00304F6F" w:rsidR="003A288E">
        <w:rPr>
          <w:rFonts w:ascii="Times New Roman" w:hAnsi="Times New Roman"/>
          <w:bCs/>
          <w:szCs w:val="24"/>
        </w:rPr>
        <w:t xml:space="preserve"> </w:t>
      </w:r>
      <w:r w:rsidRPr="00304F6F" w:rsidR="0013461C">
        <w:rPr>
          <w:rFonts w:ascii="Times New Roman" w:hAnsi="Times New Roman"/>
          <w:bCs/>
          <w:szCs w:val="24"/>
        </w:rPr>
        <w:t>and is available to the public electronically via the web.</w:t>
      </w:r>
      <w:r w:rsidRPr="00304F6F" w:rsidR="00F96562">
        <w:rPr>
          <w:rFonts w:ascii="Times New Roman" w:hAnsi="Times New Roman"/>
          <w:bCs/>
          <w:szCs w:val="24"/>
        </w:rPr>
        <w:t xml:space="preserve"> The analysis </w:t>
      </w:r>
      <w:r w:rsidRPr="00304F6F" w:rsidR="003B3975">
        <w:rPr>
          <w:rFonts w:ascii="Times New Roman" w:hAnsi="Times New Roman"/>
          <w:bCs/>
          <w:szCs w:val="24"/>
        </w:rPr>
        <w:t>prepared by</w:t>
      </w:r>
      <w:r w:rsidRPr="00304F6F" w:rsidR="001B10EF">
        <w:rPr>
          <w:rFonts w:ascii="Times New Roman" w:hAnsi="Times New Roman"/>
          <w:bCs/>
          <w:szCs w:val="24"/>
        </w:rPr>
        <w:t xml:space="preserve"> the </w:t>
      </w:r>
      <w:r w:rsidRPr="00304F6F" w:rsidR="003B3975">
        <w:rPr>
          <w:rFonts w:ascii="Times New Roman" w:hAnsi="Times New Roman"/>
          <w:bCs/>
          <w:szCs w:val="24"/>
        </w:rPr>
        <w:t xml:space="preserve">Department for foreign veterinary accrediting agencies is not </w:t>
      </w:r>
      <w:r w:rsidRPr="00304F6F" w:rsidR="00BD2CE4">
        <w:rPr>
          <w:rFonts w:ascii="Times New Roman" w:hAnsi="Times New Roman"/>
          <w:bCs/>
          <w:szCs w:val="24"/>
        </w:rPr>
        <w:t xml:space="preserve">made available to the public. </w:t>
      </w:r>
      <w:r w:rsidRPr="00304F6F" w:rsidR="00096A23">
        <w:rPr>
          <w:rFonts w:ascii="Times New Roman" w:hAnsi="Times New Roman"/>
          <w:bCs/>
          <w:szCs w:val="24"/>
        </w:rPr>
        <w:t xml:space="preserve"> </w:t>
      </w:r>
    </w:p>
    <w:p w:rsidR="00534B4A" w:rsidRPr="00304F6F" w:rsidP="00534B4A" w14:paraId="58CE25DE" w14:textId="77777777">
      <w:pPr>
        <w:tabs>
          <w:tab w:val="left" w:pos="-720"/>
        </w:tabs>
        <w:suppressAutoHyphens/>
        <w:rPr>
          <w:rFonts w:ascii="Times New Roman" w:hAnsi="Times New Roman"/>
          <w:szCs w:val="24"/>
        </w:rPr>
      </w:pPr>
    </w:p>
    <w:p w:rsidR="00534B4A" w:rsidRPr="00304F6F" w:rsidP="00534B4A" w14:paraId="58CE25DF" w14:textId="77777777">
      <w:pPr>
        <w:tabs>
          <w:tab w:val="left" w:pos="-720"/>
        </w:tabs>
        <w:suppressAutoHyphens/>
        <w:rPr>
          <w:rFonts w:ascii="Times New Roman" w:hAnsi="Times New Roman"/>
          <w:szCs w:val="24"/>
        </w:rPr>
      </w:pPr>
    </w:p>
    <w:p w:rsidR="00043C32" w:rsidRPr="00304F6F" w:rsidP="00AD381B" w14:paraId="58CE25E0" w14:textId="2FD10CD6">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304F6F">
        <w:rPr>
          <w:rStyle w:val="a"/>
          <w:rFonts w:ascii="Times New Roman" w:hAnsi="Times New Roman"/>
          <w:b/>
          <w:szCs w:val="24"/>
        </w:rPr>
        <w:t>If seeking approval to not display the expiration date for OMB approval of the information collection, explain the reasons that display would be inappropriate.</w:t>
      </w:r>
    </w:p>
    <w:p w:rsidR="00FC7BC8" w:rsidRPr="00304F6F" w:rsidP="00FC7BC8" w14:paraId="01E63D52" w14:textId="02639D16">
      <w:pPr>
        <w:tabs>
          <w:tab w:val="left" w:pos="-720"/>
        </w:tabs>
        <w:suppressAutoHyphens/>
        <w:ind w:left="907"/>
        <w:rPr>
          <w:rStyle w:val="a"/>
          <w:rFonts w:ascii="Times New Roman" w:hAnsi="Times New Roman"/>
          <w:b/>
          <w:szCs w:val="24"/>
        </w:rPr>
      </w:pPr>
    </w:p>
    <w:p w:rsidR="00FC7BC8" w:rsidRPr="00304F6F" w:rsidP="00FC7BC8" w14:paraId="192AD375" w14:textId="6CAF08C5">
      <w:pPr>
        <w:ind w:left="720"/>
        <w:rPr>
          <w:rFonts w:ascii="Times New Roman" w:eastAsia="Calibri" w:hAnsi="Times New Roman"/>
          <w:szCs w:val="24"/>
        </w:rPr>
      </w:pPr>
      <w:r w:rsidRPr="00304F6F">
        <w:rPr>
          <w:rFonts w:ascii="Times New Roman" w:eastAsia="Calibri" w:hAnsi="Times New Roman"/>
          <w:szCs w:val="24"/>
        </w:rPr>
        <w:t xml:space="preserve">The </w:t>
      </w:r>
      <w:r w:rsidRPr="00304F6F" w:rsidR="001B10EF">
        <w:rPr>
          <w:rFonts w:ascii="Times New Roman" w:eastAsia="Calibri" w:hAnsi="Times New Roman"/>
          <w:szCs w:val="24"/>
        </w:rPr>
        <w:t>D</w:t>
      </w:r>
      <w:r w:rsidRPr="00304F6F">
        <w:rPr>
          <w:rFonts w:ascii="Times New Roman" w:eastAsia="Calibri" w:hAnsi="Times New Roman"/>
          <w:szCs w:val="24"/>
        </w:rPr>
        <w:t>epartment seeks approval to not display the expiration date for OMB approval of the information collection because the Department does not use a form to collect the information.  The Office of Postsecondary Education</w:t>
      </w:r>
      <w:r w:rsidRPr="00304F6F" w:rsidR="009C596F">
        <w:rPr>
          <w:rFonts w:ascii="Times New Roman" w:eastAsia="Calibri" w:hAnsi="Times New Roman"/>
          <w:szCs w:val="24"/>
        </w:rPr>
        <w:t xml:space="preserve">, </w:t>
      </w:r>
      <w:r w:rsidRPr="00304F6F">
        <w:rPr>
          <w:rFonts w:ascii="Times New Roman" w:eastAsia="Calibri" w:hAnsi="Times New Roman"/>
          <w:szCs w:val="24"/>
        </w:rPr>
        <w:t xml:space="preserve">Accreditation </w:t>
      </w:r>
      <w:r w:rsidRPr="00304F6F" w:rsidR="009C596F">
        <w:rPr>
          <w:rFonts w:ascii="Times New Roman" w:eastAsia="Calibri" w:hAnsi="Times New Roman"/>
          <w:szCs w:val="24"/>
        </w:rPr>
        <w:t>D</w:t>
      </w:r>
      <w:r w:rsidRPr="00304F6F">
        <w:rPr>
          <w:rFonts w:ascii="Times New Roman" w:eastAsia="Calibri" w:hAnsi="Times New Roman"/>
          <w:szCs w:val="24"/>
        </w:rPr>
        <w:t>ivision currently displays and will continue to display on the website the OMB Control Number for this collection used by accrediting agencies to submit recognition petitions.</w:t>
      </w:r>
    </w:p>
    <w:p w:rsidR="00534B4A" w:rsidRPr="00304F6F" w:rsidP="00FC7BC8" w14:paraId="58CE25E1" w14:textId="77777777">
      <w:pPr>
        <w:tabs>
          <w:tab w:val="left" w:pos="-720"/>
        </w:tabs>
        <w:suppressAutoHyphens/>
        <w:rPr>
          <w:rFonts w:ascii="Times New Roman" w:hAnsi="Times New Roman"/>
          <w:b/>
          <w:szCs w:val="24"/>
        </w:rPr>
      </w:pPr>
    </w:p>
    <w:p w:rsidR="00534B4A" w:rsidRPr="00304F6F" w:rsidP="00534B4A" w14:paraId="58CE25E2" w14:textId="77777777">
      <w:pPr>
        <w:tabs>
          <w:tab w:val="left" w:pos="-720"/>
        </w:tabs>
        <w:suppressAutoHyphens/>
        <w:ind w:left="360"/>
        <w:rPr>
          <w:rFonts w:ascii="Times New Roman" w:hAnsi="Times New Roman"/>
          <w:szCs w:val="24"/>
        </w:rPr>
      </w:pPr>
    </w:p>
    <w:p w:rsidR="001C73C0" w:rsidRPr="00304F6F" w:rsidP="00AD381B" w14:paraId="58CE25E3" w14:textId="26E143E6">
      <w:pPr>
        <w:pStyle w:val="ListParagraph"/>
        <w:numPr>
          <w:ilvl w:val="0"/>
          <w:numId w:val="5"/>
        </w:numPr>
        <w:tabs>
          <w:tab w:val="left" w:pos="-720"/>
        </w:tabs>
        <w:suppressAutoHyphens/>
        <w:ind w:left="900" w:hanging="540"/>
        <w:rPr>
          <w:rStyle w:val="a"/>
          <w:rFonts w:ascii="Times New Roman" w:hAnsi="Times New Roman"/>
          <w:b/>
          <w:szCs w:val="24"/>
        </w:rPr>
      </w:pPr>
      <w:r w:rsidRPr="00304F6F">
        <w:rPr>
          <w:rStyle w:val="a"/>
          <w:rFonts w:ascii="Times New Roman" w:hAnsi="Times New Roman"/>
          <w:b/>
          <w:szCs w:val="24"/>
        </w:rPr>
        <w:t>Explain each exception to the certification statement identified in the Certification of Paperwork Reduction Act.</w:t>
      </w:r>
    </w:p>
    <w:p w:rsidR="00FC7BC8" w:rsidRPr="00304F6F" w:rsidP="00FC7BC8" w14:paraId="2AF6893A" w14:textId="4EFB322A">
      <w:pPr>
        <w:pStyle w:val="ListParagraph"/>
        <w:tabs>
          <w:tab w:val="left" w:pos="-720"/>
        </w:tabs>
        <w:suppressAutoHyphens/>
        <w:ind w:left="900"/>
        <w:rPr>
          <w:rStyle w:val="a"/>
          <w:rFonts w:ascii="Times New Roman" w:hAnsi="Times New Roman"/>
          <w:b/>
          <w:szCs w:val="24"/>
        </w:rPr>
      </w:pPr>
    </w:p>
    <w:p w:rsidR="00FC7BC8" w:rsidRPr="00304F6F" w:rsidP="00FE6E39" w14:paraId="15C042A9" w14:textId="75E3232A">
      <w:pPr>
        <w:pStyle w:val="ListParagraph"/>
        <w:tabs>
          <w:tab w:val="left" w:pos="-720"/>
        </w:tabs>
        <w:suppressAutoHyphens/>
        <w:ind w:left="900"/>
        <w:rPr>
          <w:rFonts w:ascii="Times New Roman" w:hAnsi="Times New Roman"/>
          <w:b/>
          <w:szCs w:val="24"/>
        </w:rPr>
      </w:pPr>
      <w:r w:rsidRPr="00304F6F">
        <w:rPr>
          <w:rFonts w:ascii="Times New Roman" w:hAnsi="Times New Roman"/>
          <w:bCs/>
          <w:szCs w:val="24"/>
        </w:rPr>
        <w:t>No exception is requested</w:t>
      </w:r>
      <w:r w:rsidRPr="00304F6F">
        <w:rPr>
          <w:rFonts w:ascii="Times New Roman" w:hAnsi="Times New Roman"/>
          <w:b/>
          <w:szCs w:val="24"/>
        </w:rPr>
        <w:t>.</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8CE25E8" w14:textId="77777777">
    <w:pPr>
      <w:spacing w:before="140" w:line="100" w:lineRule="exact"/>
      <w:rPr>
        <w:sz w:val="10"/>
      </w:rPr>
    </w:pPr>
  </w:p>
  <w:p w:rsidR="00386054" w14:paraId="58CE25E9" w14:textId="77777777">
    <w:pPr>
      <w:tabs>
        <w:tab w:val="left" w:pos="0"/>
      </w:tabs>
      <w:suppressAutoHyphens/>
    </w:pPr>
  </w:p>
  <w:p w:rsidR="00386054"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2C16" w:rsidP="00043C32" w14:paraId="0B061871" w14:textId="77777777">
      <w:r>
        <w:separator/>
      </w:r>
    </w:p>
  </w:footnote>
  <w:footnote w:type="continuationSeparator" w:id="1">
    <w:p w:rsidR="00CF2C16" w:rsidP="00043C32" w14:paraId="6BB0D05B"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43766BA"/>
    <w:multiLevelType w:val="hybridMultilevel"/>
    <w:tmpl w:val="860CF4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30D1D82"/>
    <w:multiLevelType w:val="hybridMultilevel"/>
    <w:tmpl w:val="97423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581D97"/>
    <w:multiLevelType w:val="hybridMultilevel"/>
    <w:tmpl w:val="A5E4C5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C41BDD"/>
    <w:multiLevelType w:val="hybridMultilevel"/>
    <w:tmpl w:val="4B22BF7C"/>
    <w:lvl w:ilvl="0">
      <w:start w:val="1"/>
      <w:numFmt w:val="bullet"/>
      <w:lvlText w:val=""/>
      <w:lvlJc w:val="left"/>
      <w:pPr>
        <w:ind w:left="1139" w:hanging="360"/>
      </w:pPr>
      <w:rPr>
        <w:rFonts w:ascii="Symbol" w:hAnsi="Symbol" w:hint="default"/>
      </w:rPr>
    </w:lvl>
    <w:lvl w:ilvl="1" w:tentative="1">
      <w:start w:val="1"/>
      <w:numFmt w:val="bullet"/>
      <w:lvlText w:val="o"/>
      <w:lvlJc w:val="left"/>
      <w:pPr>
        <w:ind w:left="1859" w:hanging="360"/>
      </w:pPr>
      <w:rPr>
        <w:rFonts w:ascii="Courier New" w:hAnsi="Courier New" w:cs="Courier New" w:hint="default"/>
      </w:rPr>
    </w:lvl>
    <w:lvl w:ilvl="2" w:tentative="1">
      <w:start w:val="1"/>
      <w:numFmt w:val="bullet"/>
      <w:lvlText w:val=""/>
      <w:lvlJc w:val="left"/>
      <w:pPr>
        <w:ind w:left="2579" w:hanging="360"/>
      </w:pPr>
      <w:rPr>
        <w:rFonts w:ascii="Wingdings" w:hAnsi="Wingdings" w:hint="default"/>
      </w:rPr>
    </w:lvl>
    <w:lvl w:ilvl="3" w:tentative="1">
      <w:start w:val="1"/>
      <w:numFmt w:val="bullet"/>
      <w:lvlText w:val=""/>
      <w:lvlJc w:val="left"/>
      <w:pPr>
        <w:ind w:left="3299" w:hanging="360"/>
      </w:pPr>
      <w:rPr>
        <w:rFonts w:ascii="Symbol" w:hAnsi="Symbol" w:hint="default"/>
      </w:rPr>
    </w:lvl>
    <w:lvl w:ilvl="4" w:tentative="1">
      <w:start w:val="1"/>
      <w:numFmt w:val="bullet"/>
      <w:lvlText w:val="o"/>
      <w:lvlJc w:val="left"/>
      <w:pPr>
        <w:ind w:left="4019" w:hanging="360"/>
      </w:pPr>
      <w:rPr>
        <w:rFonts w:ascii="Courier New" w:hAnsi="Courier New" w:cs="Courier New" w:hint="default"/>
      </w:rPr>
    </w:lvl>
    <w:lvl w:ilvl="5" w:tentative="1">
      <w:start w:val="1"/>
      <w:numFmt w:val="bullet"/>
      <w:lvlText w:val=""/>
      <w:lvlJc w:val="left"/>
      <w:pPr>
        <w:ind w:left="4739" w:hanging="360"/>
      </w:pPr>
      <w:rPr>
        <w:rFonts w:ascii="Wingdings" w:hAnsi="Wingdings" w:hint="default"/>
      </w:rPr>
    </w:lvl>
    <w:lvl w:ilvl="6" w:tentative="1">
      <w:start w:val="1"/>
      <w:numFmt w:val="bullet"/>
      <w:lvlText w:val=""/>
      <w:lvlJc w:val="left"/>
      <w:pPr>
        <w:ind w:left="5459" w:hanging="360"/>
      </w:pPr>
      <w:rPr>
        <w:rFonts w:ascii="Symbol" w:hAnsi="Symbol" w:hint="default"/>
      </w:rPr>
    </w:lvl>
    <w:lvl w:ilvl="7" w:tentative="1">
      <w:start w:val="1"/>
      <w:numFmt w:val="bullet"/>
      <w:lvlText w:val="o"/>
      <w:lvlJc w:val="left"/>
      <w:pPr>
        <w:ind w:left="6179" w:hanging="360"/>
      </w:pPr>
      <w:rPr>
        <w:rFonts w:ascii="Courier New" w:hAnsi="Courier New" w:cs="Courier New" w:hint="default"/>
      </w:rPr>
    </w:lvl>
    <w:lvl w:ilvl="8" w:tentative="1">
      <w:start w:val="1"/>
      <w:numFmt w:val="bullet"/>
      <w:lvlText w:val=""/>
      <w:lvlJc w:val="left"/>
      <w:pPr>
        <w:ind w:left="6899" w:hanging="360"/>
      </w:pPr>
      <w:rPr>
        <w:rFonts w:ascii="Wingdings" w:hAnsi="Wingdings" w:hint="default"/>
      </w:r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297C20"/>
    <w:multiLevelType w:val="hybridMultilevel"/>
    <w:tmpl w:val="33523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4871122">
    <w:abstractNumId w:val="0"/>
  </w:num>
  <w:num w:numId="2" w16cid:durableId="819078984">
    <w:abstractNumId w:val="6"/>
  </w:num>
  <w:num w:numId="3" w16cid:durableId="1790971751">
    <w:abstractNumId w:val="5"/>
  </w:num>
  <w:num w:numId="4" w16cid:durableId="1968775233">
    <w:abstractNumId w:val="7"/>
  </w:num>
  <w:num w:numId="5" w16cid:durableId="1264193385">
    <w:abstractNumId w:val="8"/>
  </w:num>
  <w:num w:numId="6" w16cid:durableId="948585077">
    <w:abstractNumId w:val="3"/>
  </w:num>
  <w:num w:numId="7" w16cid:durableId="39137779">
    <w:abstractNumId w:val="2"/>
  </w:num>
  <w:num w:numId="8" w16cid:durableId="1902059689">
    <w:abstractNumId w:val="4"/>
  </w:num>
  <w:num w:numId="9" w16cid:durableId="1178423502">
    <w:abstractNumId w:val="9"/>
  </w:num>
  <w:num w:numId="10" w16cid:durableId="85361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305"/>
    <w:rsid w:val="00010D85"/>
    <w:rsid w:val="000177CA"/>
    <w:rsid w:val="00025333"/>
    <w:rsid w:val="000269E0"/>
    <w:rsid w:val="00027DF1"/>
    <w:rsid w:val="0003008B"/>
    <w:rsid w:val="00035ED5"/>
    <w:rsid w:val="00042C71"/>
    <w:rsid w:val="00043C32"/>
    <w:rsid w:val="000446F5"/>
    <w:rsid w:val="00052845"/>
    <w:rsid w:val="00053045"/>
    <w:rsid w:val="0005648B"/>
    <w:rsid w:val="00056CFB"/>
    <w:rsid w:val="00061A07"/>
    <w:rsid w:val="00067870"/>
    <w:rsid w:val="00070D91"/>
    <w:rsid w:val="0007429B"/>
    <w:rsid w:val="00076FB5"/>
    <w:rsid w:val="00077C59"/>
    <w:rsid w:val="00080626"/>
    <w:rsid w:val="00080EEB"/>
    <w:rsid w:val="00083CD3"/>
    <w:rsid w:val="0008605A"/>
    <w:rsid w:val="00091B46"/>
    <w:rsid w:val="00093017"/>
    <w:rsid w:val="000932D2"/>
    <w:rsid w:val="00096675"/>
    <w:rsid w:val="00096A23"/>
    <w:rsid w:val="000A56A4"/>
    <w:rsid w:val="000B18C6"/>
    <w:rsid w:val="000B1E24"/>
    <w:rsid w:val="000C06FB"/>
    <w:rsid w:val="000C1164"/>
    <w:rsid w:val="000C40E7"/>
    <w:rsid w:val="000C4F65"/>
    <w:rsid w:val="000C4FCA"/>
    <w:rsid w:val="000C52BC"/>
    <w:rsid w:val="000D086B"/>
    <w:rsid w:val="000D56C5"/>
    <w:rsid w:val="000D663F"/>
    <w:rsid w:val="000D7D7E"/>
    <w:rsid w:val="000E3C48"/>
    <w:rsid w:val="000E50B4"/>
    <w:rsid w:val="000E5111"/>
    <w:rsid w:val="000E5B9E"/>
    <w:rsid w:val="000E66BF"/>
    <w:rsid w:val="000E7718"/>
    <w:rsid w:val="00102C1F"/>
    <w:rsid w:val="00104C65"/>
    <w:rsid w:val="00104EA6"/>
    <w:rsid w:val="00106774"/>
    <w:rsid w:val="00112766"/>
    <w:rsid w:val="001129E6"/>
    <w:rsid w:val="001201A0"/>
    <w:rsid w:val="00132B61"/>
    <w:rsid w:val="0013461C"/>
    <w:rsid w:val="00134D66"/>
    <w:rsid w:val="00143B62"/>
    <w:rsid w:val="00144FFC"/>
    <w:rsid w:val="0015763C"/>
    <w:rsid w:val="0015774F"/>
    <w:rsid w:val="00157B57"/>
    <w:rsid w:val="00163BAA"/>
    <w:rsid w:val="00170070"/>
    <w:rsid w:val="00173F5B"/>
    <w:rsid w:val="00174787"/>
    <w:rsid w:val="001824A9"/>
    <w:rsid w:val="001824F3"/>
    <w:rsid w:val="0018612B"/>
    <w:rsid w:val="00187247"/>
    <w:rsid w:val="00187575"/>
    <w:rsid w:val="0019399D"/>
    <w:rsid w:val="0019652A"/>
    <w:rsid w:val="001970F8"/>
    <w:rsid w:val="001A17FA"/>
    <w:rsid w:val="001A6AE0"/>
    <w:rsid w:val="001B0E36"/>
    <w:rsid w:val="001B10EF"/>
    <w:rsid w:val="001B360B"/>
    <w:rsid w:val="001B380A"/>
    <w:rsid w:val="001B5E86"/>
    <w:rsid w:val="001C6DC7"/>
    <w:rsid w:val="001C73C0"/>
    <w:rsid w:val="001C7531"/>
    <w:rsid w:val="001C7B76"/>
    <w:rsid w:val="001D4C43"/>
    <w:rsid w:val="001E3902"/>
    <w:rsid w:val="001E471C"/>
    <w:rsid w:val="001E79BD"/>
    <w:rsid w:val="001F0ACC"/>
    <w:rsid w:val="001F168C"/>
    <w:rsid w:val="00204594"/>
    <w:rsid w:val="00207AC4"/>
    <w:rsid w:val="00207F0F"/>
    <w:rsid w:val="00210302"/>
    <w:rsid w:val="00210572"/>
    <w:rsid w:val="00214BCE"/>
    <w:rsid w:val="00215367"/>
    <w:rsid w:val="002225CC"/>
    <w:rsid w:val="00224A3B"/>
    <w:rsid w:val="00240A39"/>
    <w:rsid w:val="0024438C"/>
    <w:rsid w:val="00246FE9"/>
    <w:rsid w:val="00247233"/>
    <w:rsid w:val="00250100"/>
    <w:rsid w:val="002509BB"/>
    <w:rsid w:val="00254E23"/>
    <w:rsid w:val="00260F1A"/>
    <w:rsid w:val="00261F7F"/>
    <w:rsid w:val="00262A69"/>
    <w:rsid w:val="00262B7F"/>
    <w:rsid w:val="00270AF7"/>
    <w:rsid w:val="002742B3"/>
    <w:rsid w:val="0027748E"/>
    <w:rsid w:val="00277659"/>
    <w:rsid w:val="0028383F"/>
    <w:rsid w:val="00285824"/>
    <w:rsid w:val="002901FD"/>
    <w:rsid w:val="00293537"/>
    <w:rsid w:val="00296E0C"/>
    <w:rsid w:val="002A00C5"/>
    <w:rsid w:val="002A0839"/>
    <w:rsid w:val="002A3221"/>
    <w:rsid w:val="002A3268"/>
    <w:rsid w:val="002A34E6"/>
    <w:rsid w:val="002B1276"/>
    <w:rsid w:val="002B1CE3"/>
    <w:rsid w:val="002B307E"/>
    <w:rsid w:val="002C3520"/>
    <w:rsid w:val="002E14E0"/>
    <w:rsid w:val="002E2C45"/>
    <w:rsid w:val="002E35DC"/>
    <w:rsid w:val="002E55FE"/>
    <w:rsid w:val="002F18C3"/>
    <w:rsid w:val="002F18D1"/>
    <w:rsid w:val="002F4C4C"/>
    <w:rsid w:val="002F55E5"/>
    <w:rsid w:val="00304F6F"/>
    <w:rsid w:val="00305657"/>
    <w:rsid w:val="00314EE0"/>
    <w:rsid w:val="00315A7F"/>
    <w:rsid w:val="00317587"/>
    <w:rsid w:val="0032078A"/>
    <w:rsid w:val="0032539E"/>
    <w:rsid w:val="00326DBE"/>
    <w:rsid w:val="0033487F"/>
    <w:rsid w:val="00342E2A"/>
    <w:rsid w:val="00343CCF"/>
    <w:rsid w:val="00360E46"/>
    <w:rsid w:val="003619BB"/>
    <w:rsid w:val="003639F9"/>
    <w:rsid w:val="003649B9"/>
    <w:rsid w:val="00365258"/>
    <w:rsid w:val="00367B97"/>
    <w:rsid w:val="00374221"/>
    <w:rsid w:val="003804F5"/>
    <w:rsid w:val="0038573B"/>
    <w:rsid w:val="00386054"/>
    <w:rsid w:val="003860E4"/>
    <w:rsid w:val="003A288E"/>
    <w:rsid w:val="003A3D1D"/>
    <w:rsid w:val="003A4250"/>
    <w:rsid w:val="003A472A"/>
    <w:rsid w:val="003B1545"/>
    <w:rsid w:val="003B1C66"/>
    <w:rsid w:val="003B3975"/>
    <w:rsid w:val="003C2E39"/>
    <w:rsid w:val="003C5525"/>
    <w:rsid w:val="003C5791"/>
    <w:rsid w:val="003C5EC4"/>
    <w:rsid w:val="003C7F6E"/>
    <w:rsid w:val="003E445F"/>
    <w:rsid w:val="003E4591"/>
    <w:rsid w:val="003E78A9"/>
    <w:rsid w:val="003F0DE7"/>
    <w:rsid w:val="003F55B0"/>
    <w:rsid w:val="00401ED9"/>
    <w:rsid w:val="0040458F"/>
    <w:rsid w:val="00405B0E"/>
    <w:rsid w:val="004060B1"/>
    <w:rsid w:val="00406349"/>
    <w:rsid w:val="00406519"/>
    <w:rsid w:val="00412915"/>
    <w:rsid w:val="00421B60"/>
    <w:rsid w:val="0042268F"/>
    <w:rsid w:val="00425F38"/>
    <w:rsid w:val="00432ABD"/>
    <w:rsid w:val="0044033D"/>
    <w:rsid w:val="00442E07"/>
    <w:rsid w:val="00460336"/>
    <w:rsid w:val="004653D9"/>
    <w:rsid w:val="00473695"/>
    <w:rsid w:val="00483C47"/>
    <w:rsid w:val="00492786"/>
    <w:rsid w:val="004975B5"/>
    <w:rsid w:val="004A3FC9"/>
    <w:rsid w:val="004B3A92"/>
    <w:rsid w:val="004C13AB"/>
    <w:rsid w:val="004C2154"/>
    <w:rsid w:val="004C4B3E"/>
    <w:rsid w:val="004C6A03"/>
    <w:rsid w:val="004C739D"/>
    <w:rsid w:val="004C7AAD"/>
    <w:rsid w:val="004D1BEF"/>
    <w:rsid w:val="004D3619"/>
    <w:rsid w:val="004D4517"/>
    <w:rsid w:val="004E0A04"/>
    <w:rsid w:val="004E2D9F"/>
    <w:rsid w:val="004E538B"/>
    <w:rsid w:val="004F44E8"/>
    <w:rsid w:val="004F4BD3"/>
    <w:rsid w:val="004F56F4"/>
    <w:rsid w:val="004F7D1B"/>
    <w:rsid w:val="00510BC0"/>
    <w:rsid w:val="0052073E"/>
    <w:rsid w:val="00521AD4"/>
    <w:rsid w:val="00523A00"/>
    <w:rsid w:val="005322AE"/>
    <w:rsid w:val="00534B4A"/>
    <w:rsid w:val="00535204"/>
    <w:rsid w:val="00544FEE"/>
    <w:rsid w:val="005456CD"/>
    <w:rsid w:val="005463E3"/>
    <w:rsid w:val="00551162"/>
    <w:rsid w:val="0055357E"/>
    <w:rsid w:val="005541B8"/>
    <w:rsid w:val="00556F63"/>
    <w:rsid w:val="0056133F"/>
    <w:rsid w:val="005642B5"/>
    <w:rsid w:val="005647DF"/>
    <w:rsid w:val="005649BD"/>
    <w:rsid w:val="00570299"/>
    <w:rsid w:val="0057715D"/>
    <w:rsid w:val="00577F90"/>
    <w:rsid w:val="00581743"/>
    <w:rsid w:val="00581C11"/>
    <w:rsid w:val="00583B7A"/>
    <w:rsid w:val="00587FB7"/>
    <w:rsid w:val="00590ACE"/>
    <w:rsid w:val="00592B01"/>
    <w:rsid w:val="00592D29"/>
    <w:rsid w:val="005946CE"/>
    <w:rsid w:val="005A2DAB"/>
    <w:rsid w:val="005A37DA"/>
    <w:rsid w:val="005A409A"/>
    <w:rsid w:val="005B2F86"/>
    <w:rsid w:val="005B5CC8"/>
    <w:rsid w:val="005C1B54"/>
    <w:rsid w:val="005C4112"/>
    <w:rsid w:val="005C5715"/>
    <w:rsid w:val="005C701E"/>
    <w:rsid w:val="005C7F7C"/>
    <w:rsid w:val="005D3279"/>
    <w:rsid w:val="005E0624"/>
    <w:rsid w:val="005E20F6"/>
    <w:rsid w:val="005E2FB4"/>
    <w:rsid w:val="005E6776"/>
    <w:rsid w:val="005E6E6B"/>
    <w:rsid w:val="005F1FC5"/>
    <w:rsid w:val="005F5D21"/>
    <w:rsid w:val="005FF937"/>
    <w:rsid w:val="006057A6"/>
    <w:rsid w:val="00605EF9"/>
    <w:rsid w:val="00612A9E"/>
    <w:rsid w:val="00620CA8"/>
    <w:rsid w:val="00623EB1"/>
    <w:rsid w:val="006245FE"/>
    <w:rsid w:val="00627081"/>
    <w:rsid w:val="00634456"/>
    <w:rsid w:val="0063614A"/>
    <w:rsid w:val="00636F9B"/>
    <w:rsid w:val="006436DF"/>
    <w:rsid w:val="0064433D"/>
    <w:rsid w:val="006454C6"/>
    <w:rsid w:val="006463BB"/>
    <w:rsid w:val="00654BC8"/>
    <w:rsid w:val="00655622"/>
    <w:rsid w:val="00655D06"/>
    <w:rsid w:val="006601DC"/>
    <w:rsid w:val="00664697"/>
    <w:rsid w:val="006654C9"/>
    <w:rsid w:val="00666349"/>
    <w:rsid w:val="0067561B"/>
    <w:rsid w:val="00677E3A"/>
    <w:rsid w:val="00682EDD"/>
    <w:rsid w:val="006834C2"/>
    <w:rsid w:val="0068567A"/>
    <w:rsid w:val="00693DA0"/>
    <w:rsid w:val="00694C1B"/>
    <w:rsid w:val="006A292A"/>
    <w:rsid w:val="006A2943"/>
    <w:rsid w:val="006A38F7"/>
    <w:rsid w:val="006A4EBB"/>
    <w:rsid w:val="006B3B9E"/>
    <w:rsid w:val="006B4172"/>
    <w:rsid w:val="006B6D2C"/>
    <w:rsid w:val="006C1CAA"/>
    <w:rsid w:val="006D35DE"/>
    <w:rsid w:val="006E03AF"/>
    <w:rsid w:val="006E4FDF"/>
    <w:rsid w:val="006E6581"/>
    <w:rsid w:val="006F4F9B"/>
    <w:rsid w:val="00703652"/>
    <w:rsid w:val="00706581"/>
    <w:rsid w:val="00707A16"/>
    <w:rsid w:val="007137DA"/>
    <w:rsid w:val="007148E4"/>
    <w:rsid w:val="00715BA4"/>
    <w:rsid w:val="00726A3C"/>
    <w:rsid w:val="00727885"/>
    <w:rsid w:val="00734401"/>
    <w:rsid w:val="00734650"/>
    <w:rsid w:val="007379FE"/>
    <w:rsid w:val="0074017E"/>
    <w:rsid w:val="007418F1"/>
    <w:rsid w:val="00746FA3"/>
    <w:rsid w:val="00752D5D"/>
    <w:rsid w:val="00755D99"/>
    <w:rsid w:val="00756FD3"/>
    <w:rsid w:val="00760CCB"/>
    <w:rsid w:val="00762D41"/>
    <w:rsid w:val="00764D3A"/>
    <w:rsid w:val="00765392"/>
    <w:rsid w:val="00767EEE"/>
    <w:rsid w:val="007733CB"/>
    <w:rsid w:val="00777E25"/>
    <w:rsid w:val="00780637"/>
    <w:rsid w:val="00781891"/>
    <w:rsid w:val="00786E8E"/>
    <w:rsid w:val="00790E3E"/>
    <w:rsid w:val="00790EC8"/>
    <w:rsid w:val="007A0558"/>
    <w:rsid w:val="007A1DCE"/>
    <w:rsid w:val="007A5209"/>
    <w:rsid w:val="007A654E"/>
    <w:rsid w:val="007A6AA8"/>
    <w:rsid w:val="007C0616"/>
    <w:rsid w:val="007C0A4C"/>
    <w:rsid w:val="007C1EF8"/>
    <w:rsid w:val="007C7E7D"/>
    <w:rsid w:val="007D378C"/>
    <w:rsid w:val="007E02E6"/>
    <w:rsid w:val="007E2FB7"/>
    <w:rsid w:val="007E49C6"/>
    <w:rsid w:val="007E5AB5"/>
    <w:rsid w:val="007F33AD"/>
    <w:rsid w:val="007F3B76"/>
    <w:rsid w:val="007F6104"/>
    <w:rsid w:val="007F79B5"/>
    <w:rsid w:val="00800D30"/>
    <w:rsid w:val="0080386D"/>
    <w:rsid w:val="00804A44"/>
    <w:rsid w:val="00807D1A"/>
    <w:rsid w:val="00807F82"/>
    <w:rsid w:val="00813CAB"/>
    <w:rsid w:val="0082236D"/>
    <w:rsid w:val="00827387"/>
    <w:rsid w:val="0083264B"/>
    <w:rsid w:val="00846913"/>
    <w:rsid w:val="00850460"/>
    <w:rsid w:val="00851BAC"/>
    <w:rsid w:val="00852B33"/>
    <w:rsid w:val="00855483"/>
    <w:rsid w:val="00857CE2"/>
    <w:rsid w:val="00860BA2"/>
    <w:rsid w:val="008659E8"/>
    <w:rsid w:val="00874EFE"/>
    <w:rsid w:val="00882126"/>
    <w:rsid w:val="008826BF"/>
    <w:rsid w:val="008826E4"/>
    <w:rsid w:val="0088615A"/>
    <w:rsid w:val="008933F1"/>
    <w:rsid w:val="008A2B62"/>
    <w:rsid w:val="008A4FAB"/>
    <w:rsid w:val="008B12BC"/>
    <w:rsid w:val="008B3F2B"/>
    <w:rsid w:val="008B5B73"/>
    <w:rsid w:val="008C23EF"/>
    <w:rsid w:val="008D0601"/>
    <w:rsid w:val="008D1F11"/>
    <w:rsid w:val="008D4CA7"/>
    <w:rsid w:val="008E0C41"/>
    <w:rsid w:val="008E1103"/>
    <w:rsid w:val="008E1CE3"/>
    <w:rsid w:val="008E5639"/>
    <w:rsid w:val="008E5919"/>
    <w:rsid w:val="008E6F66"/>
    <w:rsid w:val="008E7231"/>
    <w:rsid w:val="008E7255"/>
    <w:rsid w:val="008F3CEB"/>
    <w:rsid w:val="008F75F4"/>
    <w:rsid w:val="009050C6"/>
    <w:rsid w:val="00905951"/>
    <w:rsid w:val="00912D2C"/>
    <w:rsid w:val="009136B1"/>
    <w:rsid w:val="00916EE4"/>
    <w:rsid w:val="00917500"/>
    <w:rsid w:val="00920F63"/>
    <w:rsid w:val="00920FDF"/>
    <w:rsid w:val="009243F3"/>
    <w:rsid w:val="0092574B"/>
    <w:rsid w:val="009267BF"/>
    <w:rsid w:val="00930D72"/>
    <w:rsid w:val="00931B80"/>
    <w:rsid w:val="0093366B"/>
    <w:rsid w:val="00934185"/>
    <w:rsid w:val="0093541C"/>
    <w:rsid w:val="00946126"/>
    <w:rsid w:val="009512EE"/>
    <w:rsid w:val="00952DF9"/>
    <w:rsid w:val="0095421D"/>
    <w:rsid w:val="00960C86"/>
    <w:rsid w:val="00964044"/>
    <w:rsid w:val="00967FF0"/>
    <w:rsid w:val="0097294F"/>
    <w:rsid w:val="00973459"/>
    <w:rsid w:val="0097413F"/>
    <w:rsid w:val="009767AF"/>
    <w:rsid w:val="00980FA5"/>
    <w:rsid w:val="00981F58"/>
    <w:rsid w:val="00983949"/>
    <w:rsid w:val="00986B41"/>
    <w:rsid w:val="00986D0A"/>
    <w:rsid w:val="009924DA"/>
    <w:rsid w:val="009A546F"/>
    <w:rsid w:val="009A55DB"/>
    <w:rsid w:val="009C25A8"/>
    <w:rsid w:val="009C4609"/>
    <w:rsid w:val="009C596F"/>
    <w:rsid w:val="009D51A8"/>
    <w:rsid w:val="009D67AB"/>
    <w:rsid w:val="009D7AD0"/>
    <w:rsid w:val="009E1C59"/>
    <w:rsid w:val="009E3E86"/>
    <w:rsid w:val="009E6260"/>
    <w:rsid w:val="009E6A19"/>
    <w:rsid w:val="009E7269"/>
    <w:rsid w:val="009E79F4"/>
    <w:rsid w:val="009F2DB1"/>
    <w:rsid w:val="009F369D"/>
    <w:rsid w:val="00A02FAC"/>
    <w:rsid w:val="00A03B21"/>
    <w:rsid w:val="00A10FB1"/>
    <w:rsid w:val="00A118A2"/>
    <w:rsid w:val="00A150F7"/>
    <w:rsid w:val="00A15490"/>
    <w:rsid w:val="00A16356"/>
    <w:rsid w:val="00A17D03"/>
    <w:rsid w:val="00A2091D"/>
    <w:rsid w:val="00A21072"/>
    <w:rsid w:val="00A232F1"/>
    <w:rsid w:val="00A23F26"/>
    <w:rsid w:val="00A30BF1"/>
    <w:rsid w:val="00A319DE"/>
    <w:rsid w:val="00A359B7"/>
    <w:rsid w:val="00A369C5"/>
    <w:rsid w:val="00A4001C"/>
    <w:rsid w:val="00A40AAB"/>
    <w:rsid w:val="00A43853"/>
    <w:rsid w:val="00A4390D"/>
    <w:rsid w:val="00A46D01"/>
    <w:rsid w:val="00A51701"/>
    <w:rsid w:val="00A5324F"/>
    <w:rsid w:val="00A54C5E"/>
    <w:rsid w:val="00A6099E"/>
    <w:rsid w:val="00A625AD"/>
    <w:rsid w:val="00A657F2"/>
    <w:rsid w:val="00A65ECD"/>
    <w:rsid w:val="00A70816"/>
    <w:rsid w:val="00A73DEE"/>
    <w:rsid w:val="00A74A7C"/>
    <w:rsid w:val="00A7636D"/>
    <w:rsid w:val="00A76756"/>
    <w:rsid w:val="00A76B4E"/>
    <w:rsid w:val="00A80439"/>
    <w:rsid w:val="00A80446"/>
    <w:rsid w:val="00A80875"/>
    <w:rsid w:val="00A9138E"/>
    <w:rsid w:val="00AA385A"/>
    <w:rsid w:val="00AA47AA"/>
    <w:rsid w:val="00AA7409"/>
    <w:rsid w:val="00AA7DC4"/>
    <w:rsid w:val="00AC1C89"/>
    <w:rsid w:val="00AC3112"/>
    <w:rsid w:val="00AC32BD"/>
    <w:rsid w:val="00AC4A0F"/>
    <w:rsid w:val="00AD381B"/>
    <w:rsid w:val="00AD7424"/>
    <w:rsid w:val="00AE5EED"/>
    <w:rsid w:val="00AE6358"/>
    <w:rsid w:val="00AF5B5B"/>
    <w:rsid w:val="00AF5D1A"/>
    <w:rsid w:val="00B002FB"/>
    <w:rsid w:val="00B017F9"/>
    <w:rsid w:val="00B0328E"/>
    <w:rsid w:val="00B07213"/>
    <w:rsid w:val="00B10A05"/>
    <w:rsid w:val="00B135DA"/>
    <w:rsid w:val="00B17845"/>
    <w:rsid w:val="00B20D50"/>
    <w:rsid w:val="00B3389D"/>
    <w:rsid w:val="00B42194"/>
    <w:rsid w:val="00B43290"/>
    <w:rsid w:val="00B51EEA"/>
    <w:rsid w:val="00B53886"/>
    <w:rsid w:val="00B54167"/>
    <w:rsid w:val="00B62E06"/>
    <w:rsid w:val="00B642AA"/>
    <w:rsid w:val="00B64B1D"/>
    <w:rsid w:val="00B653BB"/>
    <w:rsid w:val="00B71FBB"/>
    <w:rsid w:val="00B7267D"/>
    <w:rsid w:val="00B73FDD"/>
    <w:rsid w:val="00B75E7E"/>
    <w:rsid w:val="00B762B1"/>
    <w:rsid w:val="00B80D1A"/>
    <w:rsid w:val="00B91F3A"/>
    <w:rsid w:val="00B92E8E"/>
    <w:rsid w:val="00B955D1"/>
    <w:rsid w:val="00B95D9A"/>
    <w:rsid w:val="00B9671B"/>
    <w:rsid w:val="00BA1D31"/>
    <w:rsid w:val="00BA51D4"/>
    <w:rsid w:val="00BA733A"/>
    <w:rsid w:val="00BB67EC"/>
    <w:rsid w:val="00BB6F3A"/>
    <w:rsid w:val="00BC1890"/>
    <w:rsid w:val="00BD1EB0"/>
    <w:rsid w:val="00BD218D"/>
    <w:rsid w:val="00BD2CE4"/>
    <w:rsid w:val="00BD4DFA"/>
    <w:rsid w:val="00BD60FA"/>
    <w:rsid w:val="00BD7589"/>
    <w:rsid w:val="00BE2105"/>
    <w:rsid w:val="00BE29BB"/>
    <w:rsid w:val="00BE2D9C"/>
    <w:rsid w:val="00BE7611"/>
    <w:rsid w:val="00BE7EA5"/>
    <w:rsid w:val="00BF3FDD"/>
    <w:rsid w:val="00BF75BD"/>
    <w:rsid w:val="00C108FB"/>
    <w:rsid w:val="00C1248F"/>
    <w:rsid w:val="00C13EB8"/>
    <w:rsid w:val="00C15AC4"/>
    <w:rsid w:val="00C164D3"/>
    <w:rsid w:val="00C20670"/>
    <w:rsid w:val="00C224FD"/>
    <w:rsid w:val="00C2336F"/>
    <w:rsid w:val="00C36380"/>
    <w:rsid w:val="00C365B3"/>
    <w:rsid w:val="00C36FBD"/>
    <w:rsid w:val="00C40A9E"/>
    <w:rsid w:val="00C42D9D"/>
    <w:rsid w:val="00C435AA"/>
    <w:rsid w:val="00C4610C"/>
    <w:rsid w:val="00C4793B"/>
    <w:rsid w:val="00C506BE"/>
    <w:rsid w:val="00C5661E"/>
    <w:rsid w:val="00C66418"/>
    <w:rsid w:val="00C7053D"/>
    <w:rsid w:val="00C71141"/>
    <w:rsid w:val="00C76263"/>
    <w:rsid w:val="00C81447"/>
    <w:rsid w:val="00C86713"/>
    <w:rsid w:val="00C875E8"/>
    <w:rsid w:val="00C92035"/>
    <w:rsid w:val="00C97828"/>
    <w:rsid w:val="00CA4C89"/>
    <w:rsid w:val="00CB662A"/>
    <w:rsid w:val="00CC2A72"/>
    <w:rsid w:val="00CC3FB5"/>
    <w:rsid w:val="00CD2067"/>
    <w:rsid w:val="00CD47BC"/>
    <w:rsid w:val="00CD4B18"/>
    <w:rsid w:val="00CD4D7B"/>
    <w:rsid w:val="00CF2C16"/>
    <w:rsid w:val="00CF723E"/>
    <w:rsid w:val="00D02889"/>
    <w:rsid w:val="00D05552"/>
    <w:rsid w:val="00D065FD"/>
    <w:rsid w:val="00D0773B"/>
    <w:rsid w:val="00D07A9C"/>
    <w:rsid w:val="00D14588"/>
    <w:rsid w:val="00D14B94"/>
    <w:rsid w:val="00D150EE"/>
    <w:rsid w:val="00D20A45"/>
    <w:rsid w:val="00D214C4"/>
    <w:rsid w:val="00D21CF2"/>
    <w:rsid w:val="00D31981"/>
    <w:rsid w:val="00D3309A"/>
    <w:rsid w:val="00D3355D"/>
    <w:rsid w:val="00D33E3A"/>
    <w:rsid w:val="00D3451E"/>
    <w:rsid w:val="00D34984"/>
    <w:rsid w:val="00D354B7"/>
    <w:rsid w:val="00D3574A"/>
    <w:rsid w:val="00D36C2D"/>
    <w:rsid w:val="00D36C35"/>
    <w:rsid w:val="00D52F88"/>
    <w:rsid w:val="00D55207"/>
    <w:rsid w:val="00D61012"/>
    <w:rsid w:val="00D62293"/>
    <w:rsid w:val="00D74313"/>
    <w:rsid w:val="00D75053"/>
    <w:rsid w:val="00D750D5"/>
    <w:rsid w:val="00D752B2"/>
    <w:rsid w:val="00D75313"/>
    <w:rsid w:val="00D76609"/>
    <w:rsid w:val="00D779A2"/>
    <w:rsid w:val="00D83B99"/>
    <w:rsid w:val="00D86233"/>
    <w:rsid w:val="00D879B4"/>
    <w:rsid w:val="00D90AAE"/>
    <w:rsid w:val="00D917D0"/>
    <w:rsid w:val="00D93082"/>
    <w:rsid w:val="00DA00AF"/>
    <w:rsid w:val="00DB1E11"/>
    <w:rsid w:val="00DB7B44"/>
    <w:rsid w:val="00DC282F"/>
    <w:rsid w:val="00DC389D"/>
    <w:rsid w:val="00DC521C"/>
    <w:rsid w:val="00DC57D2"/>
    <w:rsid w:val="00DC7575"/>
    <w:rsid w:val="00DD7343"/>
    <w:rsid w:val="00DE1F51"/>
    <w:rsid w:val="00DE728C"/>
    <w:rsid w:val="00DE7F0D"/>
    <w:rsid w:val="00DF3F31"/>
    <w:rsid w:val="00DF5F54"/>
    <w:rsid w:val="00DF765E"/>
    <w:rsid w:val="00E10375"/>
    <w:rsid w:val="00E16ACD"/>
    <w:rsid w:val="00E17134"/>
    <w:rsid w:val="00E1729A"/>
    <w:rsid w:val="00E17389"/>
    <w:rsid w:val="00E17425"/>
    <w:rsid w:val="00E2370A"/>
    <w:rsid w:val="00E25EBC"/>
    <w:rsid w:val="00E3292B"/>
    <w:rsid w:val="00E418DF"/>
    <w:rsid w:val="00E50F44"/>
    <w:rsid w:val="00E51217"/>
    <w:rsid w:val="00E5202C"/>
    <w:rsid w:val="00E53E2F"/>
    <w:rsid w:val="00E5472A"/>
    <w:rsid w:val="00E55D9C"/>
    <w:rsid w:val="00E5656A"/>
    <w:rsid w:val="00E6242E"/>
    <w:rsid w:val="00E66550"/>
    <w:rsid w:val="00E6667D"/>
    <w:rsid w:val="00E66923"/>
    <w:rsid w:val="00E724BD"/>
    <w:rsid w:val="00E7266F"/>
    <w:rsid w:val="00E75E23"/>
    <w:rsid w:val="00E760D3"/>
    <w:rsid w:val="00E8182A"/>
    <w:rsid w:val="00E84C38"/>
    <w:rsid w:val="00E85E84"/>
    <w:rsid w:val="00E8694D"/>
    <w:rsid w:val="00E877BF"/>
    <w:rsid w:val="00EA1481"/>
    <w:rsid w:val="00EA1767"/>
    <w:rsid w:val="00EA4FC0"/>
    <w:rsid w:val="00EA59EA"/>
    <w:rsid w:val="00EA745C"/>
    <w:rsid w:val="00EB006D"/>
    <w:rsid w:val="00EB036B"/>
    <w:rsid w:val="00EB0929"/>
    <w:rsid w:val="00EB0FA5"/>
    <w:rsid w:val="00EB1C4D"/>
    <w:rsid w:val="00EB3184"/>
    <w:rsid w:val="00EB396A"/>
    <w:rsid w:val="00EB6CC7"/>
    <w:rsid w:val="00EC01DD"/>
    <w:rsid w:val="00EC35E3"/>
    <w:rsid w:val="00ED0581"/>
    <w:rsid w:val="00ED2F8A"/>
    <w:rsid w:val="00ED4F62"/>
    <w:rsid w:val="00ED7195"/>
    <w:rsid w:val="00EE2FFF"/>
    <w:rsid w:val="00EE5A85"/>
    <w:rsid w:val="00EE6617"/>
    <w:rsid w:val="00EF3318"/>
    <w:rsid w:val="00EF3A63"/>
    <w:rsid w:val="00F0414F"/>
    <w:rsid w:val="00F06018"/>
    <w:rsid w:val="00F248F2"/>
    <w:rsid w:val="00F27AAF"/>
    <w:rsid w:val="00F31BEC"/>
    <w:rsid w:val="00F40074"/>
    <w:rsid w:val="00F5782B"/>
    <w:rsid w:val="00F60019"/>
    <w:rsid w:val="00F66BF4"/>
    <w:rsid w:val="00F6785A"/>
    <w:rsid w:val="00F70269"/>
    <w:rsid w:val="00F71E7B"/>
    <w:rsid w:val="00F73131"/>
    <w:rsid w:val="00F805AF"/>
    <w:rsid w:val="00F81956"/>
    <w:rsid w:val="00F8336A"/>
    <w:rsid w:val="00F85D3D"/>
    <w:rsid w:val="00F935DE"/>
    <w:rsid w:val="00F93AD0"/>
    <w:rsid w:val="00F96562"/>
    <w:rsid w:val="00FA4589"/>
    <w:rsid w:val="00FB1929"/>
    <w:rsid w:val="00FB2146"/>
    <w:rsid w:val="00FB298D"/>
    <w:rsid w:val="00FB4008"/>
    <w:rsid w:val="00FB7350"/>
    <w:rsid w:val="00FC2665"/>
    <w:rsid w:val="00FC3D4F"/>
    <w:rsid w:val="00FC463F"/>
    <w:rsid w:val="00FC669D"/>
    <w:rsid w:val="00FC6B35"/>
    <w:rsid w:val="00FC7BC8"/>
    <w:rsid w:val="00FD1175"/>
    <w:rsid w:val="00FD4F0B"/>
    <w:rsid w:val="00FD6394"/>
    <w:rsid w:val="00FD6630"/>
    <w:rsid w:val="00FE02FC"/>
    <w:rsid w:val="00FE045F"/>
    <w:rsid w:val="00FE1BAE"/>
    <w:rsid w:val="00FE4048"/>
    <w:rsid w:val="00FE5E69"/>
    <w:rsid w:val="00FE6E39"/>
    <w:rsid w:val="00FE73D8"/>
    <w:rsid w:val="00FF27D7"/>
    <w:rsid w:val="026EF51B"/>
    <w:rsid w:val="044919E3"/>
    <w:rsid w:val="045205E5"/>
    <w:rsid w:val="04E46A3C"/>
    <w:rsid w:val="063B56C3"/>
    <w:rsid w:val="082E6896"/>
    <w:rsid w:val="09728004"/>
    <w:rsid w:val="09F6BF0B"/>
    <w:rsid w:val="0C03E5FA"/>
    <w:rsid w:val="0CC35B75"/>
    <w:rsid w:val="0CF8A4D8"/>
    <w:rsid w:val="0D64793D"/>
    <w:rsid w:val="0F14B14D"/>
    <w:rsid w:val="140B40C0"/>
    <w:rsid w:val="1475BEB1"/>
    <w:rsid w:val="154D2E7E"/>
    <w:rsid w:val="15A03D06"/>
    <w:rsid w:val="17771018"/>
    <w:rsid w:val="18A3FC99"/>
    <w:rsid w:val="18D1044B"/>
    <w:rsid w:val="19D0C118"/>
    <w:rsid w:val="1C1A2298"/>
    <w:rsid w:val="1C68EB56"/>
    <w:rsid w:val="1D8AFD63"/>
    <w:rsid w:val="215BDE75"/>
    <w:rsid w:val="2536459B"/>
    <w:rsid w:val="258F8320"/>
    <w:rsid w:val="2595CB91"/>
    <w:rsid w:val="26F2F1E0"/>
    <w:rsid w:val="2790FB26"/>
    <w:rsid w:val="2A91C820"/>
    <w:rsid w:val="2AEB029F"/>
    <w:rsid w:val="2D7377EF"/>
    <w:rsid w:val="2F67BDF8"/>
    <w:rsid w:val="2FD42991"/>
    <w:rsid w:val="35C112B0"/>
    <w:rsid w:val="366C0D7C"/>
    <w:rsid w:val="369011DB"/>
    <w:rsid w:val="36917D0A"/>
    <w:rsid w:val="37118772"/>
    <w:rsid w:val="38BB833C"/>
    <w:rsid w:val="3A3FDF2B"/>
    <w:rsid w:val="3B061907"/>
    <w:rsid w:val="3B67E7A3"/>
    <w:rsid w:val="4087392C"/>
    <w:rsid w:val="41713768"/>
    <w:rsid w:val="430589C6"/>
    <w:rsid w:val="44F4A7AD"/>
    <w:rsid w:val="49095FFF"/>
    <w:rsid w:val="4C280C30"/>
    <w:rsid w:val="4C860645"/>
    <w:rsid w:val="4C914F59"/>
    <w:rsid w:val="4E5424E8"/>
    <w:rsid w:val="4E5852DD"/>
    <w:rsid w:val="4F0E1CA5"/>
    <w:rsid w:val="4F859971"/>
    <w:rsid w:val="4FC2511F"/>
    <w:rsid w:val="50F20B5D"/>
    <w:rsid w:val="52EEF879"/>
    <w:rsid w:val="544FBC3C"/>
    <w:rsid w:val="54F15970"/>
    <w:rsid w:val="5767B76A"/>
    <w:rsid w:val="598E3DEE"/>
    <w:rsid w:val="599FEE4C"/>
    <w:rsid w:val="59DE8F56"/>
    <w:rsid w:val="6069EF35"/>
    <w:rsid w:val="61503819"/>
    <w:rsid w:val="63DE052A"/>
    <w:rsid w:val="64420BA3"/>
    <w:rsid w:val="661B237D"/>
    <w:rsid w:val="66EE0B8B"/>
    <w:rsid w:val="6785CDE2"/>
    <w:rsid w:val="67CB22B8"/>
    <w:rsid w:val="68D87ABC"/>
    <w:rsid w:val="6CCAAB20"/>
    <w:rsid w:val="6D0BEEC4"/>
    <w:rsid w:val="6ED3EF3A"/>
    <w:rsid w:val="6EFFBB2E"/>
    <w:rsid w:val="6FD67F61"/>
    <w:rsid w:val="70C57CB3"/>
    <w:rsid w:val="74CF5FA0"/>
    <w:rsid w:val="7C8C3FA9"/>
    <w:rsid w:val="7CB27803"/>
    <w:rsid w:val="7F7FABB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17389"/>
    <w:rPr>
      <w:color w:val="800080" w:themeColor="followedHyperlink"/>
      <w:u w:val="single"/>
    </w:rPr>
  </w:style>
  <w:style w:type="table" w:customStyle="1" w:styleId="TableGrid1">
    <w:name w:val="Table Grid1"/>
    <w:basedOn w:val="TableNormal"/>
    <w:next w:val="TableGrid"/>
    <w:uiPriority w:val="59"/>
    <w:rsid w:val="000E3C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4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4a25f614-6ca4-4fef-b099-5d6e7a895b5b">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04D95AFFC494F9D415F34721568B0" ma:contentTypeVersion="17" ma:contentTypeDescription="Create a new document." ma:contentTypeScope="" ma:versionID="6c91c7c7bd46f04459f5cb879b0e9eef">
  <xsd:schema xmlns:xsd="http://www.w3.org/2001/XMLSchema" xmlns:xs="http://www.w3.org/2001/XMLSchema" xmlns:p="http://schemas.microsoft.com/office/2006/metadata/properties" xmlns:ns1="http://schemas.microsoft.com/sharepoint/v3" xmlns:ns2="9ba86f94-801f-45cb-a176-822b507a5615" xmlns:ns3="4a25f614-6ca4-4fef-b099-5d6e7a895b5b" targetNamespace="http://schemas.microsoft.com/office/2006/metadata/properties" ma:root="true" ma:fieldsID="de5f0b3e9628d1ab3b5832e95138079f" ns1:_="" ns2:_="" ns3:_="">
    <xsd:import namespace="http://schemas.microsoft.com/sharepoint/v3"/>
    <xsd:import namespace="9ba86f94-801f-45cb-a176-822b507a5615"/>
    <xsd:import namespace="4a25f614-6ca4-4fef-b099-5d6e7a895b5b"/>
    <xsd:element name="properties">
      <xsd:complexType>
        <xsd:sequence>
          <xsd:element name="documentManagement">
            <xsd:complexType>
              <xsd:all>
                <xsd:element ref="ns2:SharedWithUsers" minOccurs="0"/>
                <xsd:element ref="ns1:PublishingStartDate" minOccurs="0"/>
                <xsd:element ref="ns1:PublishingExpirationDate"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5f614-6ca4-4fef-b099-5d6e7a895b5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ba86f94-801f-45cb-a176-822b507a5615"/>
    <ds:schemaRef ds:uri="4a25f614-6ca4-4fef-b099-5d6e7a895b5b"/>
    <ds:schemaRef ds:uri="http://schemas.microsoft.com/sharepoint/v3"/>
  </ds:schemaRefs>
</ds:datastoreItem>
</file>

<file path=customXml/itemProps2.xml><?xml version="1.0" encoding="utf-8"?>
<ds:datastoreItem xmlns:ds="http://schemas.openxmlformats.org/officeDocument/2006/customXml" ds:itemID="{E6CA9BA0-5D6A-496F-AEB3-873D3399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86f94-801f-45cb-a176-822b507a5615"/>
    <ds:schemaRef ds:uri="4a25f614-6ca4-4fef-b099-5d6e7a895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4255</Words>
  <Characters>24259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Wilson, Amy</cp:lastModifiedBy>
  <cp:revision>71</cp:revision>
  <dcterms:created xsi:type="dcterms:W3CDTF">2025-11-25T18:26:00Z</dcterms:created>
  <dcterms:modified xsi:type="dcterms:W3CDTF">2025-12-09T20:10:00Z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0x010100BEB04D95AFFC494F9D415F34721568B0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