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6DC5" w:rsidP="00515D20" w14:paraId="7429CE20" w14:textId="6DCE45B6">
      <w:pPr>
        <w:spacing w:after="0"/>
        <w:jc w:val="center"/>
        <w:rPr>
          <w:b/>
        </w:rPr>
      </w:pPr>
      <w:r>
        <w:rPr>
          <w:b/>
        </w:rPr>
        <w:t xml:space="preserve">Information Collection Request Supporting Statement: </w:t>
      </w:r>
      <w:r w:rsidR="00F06AE0">
        <w:rPr>
          <w:b/>
        </w:rPr>
        <w:t xml:space="preserve">Part </w:t>
      </w:r>
      <w:r>
        <w:rPr>
          <w:b/>
        </w:rPr>
        <w:t>A</w:t>
      </w:r>
    </w:p>
    <w:p w:rsidR="00B93678" w:rsidP="00515D20" w14:paraId="10402C84" w14:textId="51730469">
      <w:pPr>
        <w:spacing w:after="0"/>
        <w:jc w:val="center"/>
        <w:rPr>
          <w:b/>
          <w:bCs/>
        </w:rPr>
      </w:pPr>
      <w:r>
        <w:rPr>
          <w:b/>
          <w:bCs/>
        </w:rPr>
        <w:t xml:space="preserve">Factors That Influence Effectiveness of Hazard </w:t>
      </w:r>
      <w:r w:rsidR="00E41A85">
        <w:rPr>
          <w:b/>
          <w:bCs/>
        </w:rPr>
        <w:t>Anticipation</w:t>
      </w:r>
      <w:r w:rsidR="006C2427">
        <w:rPr>
          <w:b/>
        </w:rPr>
        <w:t xml:space="preserve"> and </w:t>
      </w:r>
      <w:r w:rsidR="00160F56">
        <w:rPr>
          <w:b/>
          <w:bCs/>
        </w:rPr>
        <w:t>Attention Maintenance</w:t>
      </w:r>
      <w:r>
        <w:rPr>
          <w:b/>
          <w:bCs/>
        </w:rPr>
        <w:t xml:space="preserve"> Training</w:t>
      </w:r>
    </w:p>
    <w:p w:rsidR="00F06AE0" w:rsidRPr="001C7D53" w:rsidP="00934BBB" w14:paraId="2E4A7207" w14:textId="21C7236D">
      <w:pPr>
        <w:jc w:val="center"/>
        <w:rPr>
          <w:b/>
          <w:bCs/>
        </w:rPr>
      </w:pPr>
      <w:r>
        <w:rPr>
          <w:b/>
          <w:bCs/>
        </w:rPr>
        <w:t xml:space="preserve">OMB Control No. </w:t>
      </w:r>
      <w:r w:rsidR="00A63DE0">
        <w:rPr>
          <w:b/>
          <w:bCs/>
        </w:rPr>
        <w:t>2127-New</w:t>
      </w:r>
    </w:p>
    <w:p w:rsidR="00664785" w:rsidRPr="00215DD6" w:rsidP="00A566DF" w14:paraId="08280866" w14:textId="6F4246E9">
      <w:pPr>
        <w:pStyle w:val="Title"/>
      </w:pPr>
      <w:r w:rsidRPr="00515D20">
        <w:rPr>
          <w:u w:val="single"/>
        </w:rPr>
        <w:t>Abstract</w:t>
      </w:r>
      <w:r w:rsidRPr="00515D20" w:rsidR="007F1A93">
        <w:rPr>
          <w:u w:val="single"/>
        </w:rPr>
        <w:t>:</w:t>
      </w:r>
      <w:r>
        <w:rPr>
          <w:rStyle w:val="FootnoteReference"/>
        </w:rPr>
        <w:footnoteReference w:id="3"/>
      </w:r>
      <w:r w:rsidRPr="00215DD6">
        <w:t xml:space="preserve"> </w:t>
      </w:r>
    </w:p>
    <w:p w:rsidR="00664785" w:rsidP="00515D20" w14:paraId="52ED2F25" w14:textId="2F94A704">
      <w:pPr>
        <w:spacing w:after="200" w:line="276" w:lineRule="auto"/>
      </w:pPr>
      <w:bookmarkStart w:id="0" w:name="_Hlk178775870"/>
      <w:bookmarkStart w:id="1" w:name="_Hlk177998478"/>
      <w:bookmarkStart w:id="2" w:name="_Hlk192497873"/>
      <w:bookmarkStart w:id="3" w:name="_Toc6900675"/>
      <w:r>
        <w:t>The National Highway Traffic Safety Administration (NHTSA) is seeking approval for a one-time voluntary information collection from 16</w:t>
      </w:r>
      <w:r w:rsidR="0054729E">
        <w:t>8</w:t>
      </w:r>
      <w:r>
        <w:t xml:space="preserve"> </w:t>
      </w:r>
      <w:r w:rsidR="00EB09BF">
        <w:t>participants</w:t>
      </w:r>
      <w:r>
        <w:t xml:space="preserve"> ages 18 and 19</w:t>
      </w:r>
      <w:r w:rsidR="00EB09BF">
        <w:t xml:space="preserve"> who do not yet have driver’s licenses</w:t>
      </w:r>
      <w:r>
        <w:t xml:space="preserve"> for a research study on novice driver training. Specifically, this collection involves developing and testing a novice driver training program on a smartphone-like platform and determining whether the effectiveness of the training differs for </w:t>
      </w:r>
      <w:r w:rsidR="005D2214">
        <w:t>participants</w:t>
      </w:r>
      <w:r>
        <w:t xml:space="preserve"> of different </w:t>
      </w:r>
      <w:r w:rsidR="00DD2AB5">
        <w:t>sexes</w:t>
      </w:r>
      <w:r>
        <w:t xml:space="preserve">, socio-economic </w:t>
      </w:r>
      <w:r w:rsidR="00EA0F2C">
        <w:t>status</w:t>
      </w:r>
      <w:r>
        <w:t xml:space="preserve"> (SES)</w:t>
      </w:r>
      <w:r w:rsidR="00EA0F2C">
        <w:t xml:space="preserve"> </w:t>
      </w:r>
      <w:r w:rsidRPr="004C5A75" w:rsidR="00EA0F2C">
        <w:t>strata</w:t>
      </w:r>
      <w:r w:rsidRPr="004C5A75">
        <w:t xml:space="preserve">, </w:t>
      </w:r>
      <w:r w:rsidRPr="009363E1">
        <w:t xml:space="preserve">and </w:t>
      </w:r>
      <w:r w:rsidRPr="009363E1" w:rsidR="004C5A75">
        <w:t xml:space="preserve">trait </w:t>
      </w:r>
      <w:r w:rsidRPr="009363E1">
        <w:t>levels of sensation seeking</w:t>
      </w:r>
      <w:r w:rsidRPr="004C5A75" w:rsidR="004C5A75">
        <w:t xml:space="preserve"> and aggressiveness</w:t>
      </w:r>
      <w:r>
        <w:t xml:space="preserve">. </w:t>
      </w:r>
    </w:p>
    <w:p w:rsidR="00D9355D" w:rsidP="00A63DE0" w14:paraId="480118C9" w14:textId="74D800B1">
      <w:pPr>
        <w:spacing w:after="200" w:line="276" w:lineRule="auto"/>
      </w:pPr>
      <w:r>
        <w:t xml:space="preserve">The information collection will proceed in two phases. First, the </w:t>
      </w:r>
      <w:r w:rsidR="008268E7">
        <w:t>research team</w:t>
      </w:r>
      <w:r w:rsidRPr="00676676">
        <w:t xml:space="preserve"> expects to provide screening questionnaires to </w:t>
      </w:r>
      <w:r w:rsidR="00557A06">
        <w:t>1,0</w:t>
      </w:r>
      <w:r>
        <w:t>0</w:t>
      </w:r>
      <w:r w:rsidR="0054729E">
        <w:t>2</w:t>
      </w:r>
      <w:r w:rsidRPr="00676676">
        <w:t xml:space="preserve"> potential participants to determine their eligibility for the study</w:t>
      </w:r>
      <w:r w:rsidR="00043312">
        <w:t>; screening questionnaires will be provided to those who respond to recruitment information about the study posted on s</w:t>
      </w:r>
      <w:r w:rsidRPr="007A3E2D" w:rsidR="00043312">
        <w:t>ocial media platforms</w:t>
      </w:r>
      <w:r w:rsidR="00043312">
        <w:t xml:space="preserve"> or provided to</w:t>
      </w:r>
      <w:r w:rsidRPr="007A3E2D" w:rsidR="00043312">
        <w:t xml:space="preserve"> contacts in </w:t>
      </w:r>
      <w:r w:rsidR="00043312">
        <w:t xml:space="preserve">local </w:t>
      </w:r>
      <w:r w:rsidRPr="007A3E2D" w:rsidR="00043312">
        <w:t>communities</w:t>
      </w:r>
      <w:r w:rsidR="00043312">
        <w:t xml:space="preserve"> (e</w:t>
      </w:r>
      <w:r w:rsidRPr="007A3E2D" w:rsidR="00043312">
        <w:t>.g.,</w:t>
      </w:r>
      <w:r w:rsidR="00043312">
        <w:t xml:space="preserve"> </w:t>
      </w:r>
      <w:r w:rsidRPr="007A3E2D" w:rsidR="00043312">
        <w:t>teen centers</w:t>
      </w:r>
      <w:r w:rsidR="00043312">
        <w:t>,</w:t>
      </w:r>
      <w:r w:rsidRPr="007A3E2D" w:rsidR="00043312">
        <w:t xml:space="preserve"> community college faculty in the area</w:t>
      </w:r>
      <w:r w:rsidR="00043312">
        <w:t>,</w:t>
      </w:r>
      <w:r w:rsidRPr="007A3E2D" w:rsidR="00043312">
        <w:t xml:space="preserve"> high school principals</w:t>
      </w:r>
      <w:r w:rsidR="00043312">
        <w:t>,</w:t>
      </w:r>
      <w:r w:rsidRPr="007A3E2D" w:rsidR="00043312">
        <w:t xml:space="preserve"> local driving schools)</w:t>
      </w:r>
      <w:r w:rsidR="00E33B69">
        <w:t xml:space="preserve"> </w:t>
      </w:r>
      <w:bookmarkStart w:id="4" w:name="_Hlk192584601"/>
      <w:r w:rsidR="00E33B69">
        <w:t>and to those who participated in</w:t>
      </w:r>
      <w:r w:rsidRPr="007A3E2D" w:rsidR="00E33B69">
        <w:t xml:space="preserve"> past studies</w:t>
      </w:r>
      <w:r w:rsidR="00E33B69">
        <w:t xml:space="preserve"> at the research center and</w:t>
      </w:r>
      <w:r w:rsidRPr="007A3E2D" w:rsidR="00E33B69">
        <w:t xml:space="preserve"> agreed to be contacted about future opportunities</w:t>
      </w:r>
      <w:bookmarkEnd w:id="4"/>
      <w:r w:rsidRPr="007A3E2D" w:rsidR="00043312">
        <w:t>.</w:t>
      </w:r>
      <w:r w:rsidR="00043312">
        <w:t xml:space="preserve"> </w:t>
      </w:r>
      <w:r w:rsidRPr="00E554D8">
        <w:t>To be eligible, participants must be 18 or 19 years old</w:t>
      </w:r>
      <w:r>
        <w:t>,</w:t>
      </w:r>
      <w:r w:rsidRPr="00E554D8">
        <w:t xml:space="preserve"> </w:t>
      </w:r>
      <w:r>
        <w:t>must</w:t>
      </w:r>
      <w:r w:rsidRPr="00E554D8">
        <w:t xml:space="preserve"> not have an unrestricted </w:t>
      </w:r>
      <w:r>
        <w:t>driver</w:t>
      </w:r>
      <w:r w:rsidR="00A713EB">
        <w:t>’s</w:t>
      </w:r>
      <w:r>
        <w:t xml:space="preserve"> </w:t>
      </w:r>
      <w:r w:rsidRPr="00E554D8">
        <w:t xml:space="preserve">license or </w:t>
      </w:r>
      <w:r>
        <w:t>an intermediate/provisional license that allows driving independently, and must</w:t>
      </w:r>
      <w:r w:rsidRPr="00E554D8">
        <w:t xml:space="preserve"> be interested in obtaining </w:t>
      </w:r>
      <w:r>
        <w:t>an unrestricted or</w:t>
      </w:r>
      <w:r w:rsidR="007C61C6">
        <w:t xml:space="preserve"> </w:t>
      </w:r>
      <w:r>
        <w:t xml:space="preserve">intermediate/provisional license </w:t>
      </w:r>
      <w:r w:rsidRPr="00E554D8">
        <w:t>in the</w:t>
      </w:r>
      <w:r>
        <w:t xml:space="preserve"> next</w:t>
      </w:r>
      <w:r w:rsidRPr="00E554D8">
        <w:t xml:space="preserve"> </w:t>
      </w:r>
      <w:r>
        <w:t>12 months</w:t>
      </w:r>
      <w:r w:rsidRPr="00E554D8">
        <w:t xml:space="preserve">. </w:t>
      </w:r>
      <w:r>
        <w:t xml:space="preserve">Participants may </w:t>
      </w:r>
      <w:r w:rsidRPr="00E554D8">
        <w:t>have a learner</w:t>
      </w:r>
      <w:r>
        <w:t>’s</w:t>
      </w:r>
      <w:r w:rsidRPr="00E554D8">
        <w:t xml:space="preserve"> permit. </w:t>
      </w:r>
      <w:r>
        <w:t xml:space="preserve">Completing the screening questionnaire is estimated to have </w:t>
      </w:r>
      <w:r w:rsidRPr="00676676">
        <w:t>a burden of 5</w:t>
      </w:r>
      <w:r>
        <w:t xml:space="preserve"> </w:t>
      </w:r>
      <w:r w:rsidRPr="00676676">
        <w:t xml:space="preserve">minutes per </w:t>
      </w:r>
      <w:r>
        <w:t>respondent</w:t>
      </w:r>
      <w:r w:rsidRPr="00676676">
        <w:t xml:space="preserve"> (a</w:t>
      </w:r>
      <w:r w:rsidR="00F73EA2">
        <w:t>n annual burden of 28 hours for 334 annual respondents, averaged over the three-year approval period</w:t>
      </w:r>
      <w:r w:rsidRPr="00676676">
        <w:t>).</w:t>
      </w:r>
      <w:r>
        <w:t xml:space="preserve"> </w:t>
      </w:r>
      <w:r w:rsidR="007C61C6">
        <w:t>Second, o</w:t>
      </w:r>
      <w:r w:rsidRPr="00676676" w:rsidR="007C61C6">
        <w:t>f the</w:t>
      </w:r>
      <w:r w:rsidR="007C61C6">
        <w:t xml:space="preserve"> estimated</w:t>
      </w:r>
      <w:r w:rsidRPr="00676676" w:rsidR="007C61C6">
        <w:t xml:space="preserve"> </w:t>
      </w:r>
      <w:r w:rsidR="007C61C6">
        <w:t>1,0</w:t>
      </w:r>
      <w:r w:rsidRPr="00676676" w:rsidR="007C61C6">
        <w:t>0</w:t>
      </w:r>
      <w:r w:rsidR="007C61C6">
        <w:t>2</w:t>
      </w:r>
      <w:r w:rsidRPr="00676676" w:rsidR="007C61C6">
        <w:t xml:space="preserve"> </w:t>
      </w:r>
      <w:r w:rsidR="007C61C6">
        <w:t xml:space="preserve">potential participants who are provided a screening questionnaire, </w:t>
      </w:r>
      <w:r w:rsidRPr="00676676" w:rsidR="007C61C6">
        <w:t xml:space="preserve">an estimated </w:t>
      </w:r>
      <w:r w:rsidR="007C61C6">
        <w:t>180</w:t>
      </w:r>
      <w:r w:rsidRPr="00676676" w:rsidR="007C61C6">
        <w:t xml:space="preserve"> </w:t>
      </w:r>
      <w:r w:rsidR="007C61C6">
        <w:t>respondents</w:t>
      </w:r>
      <w:r w:rsidRPr="00676676" w:rsidR="007C61C6">
        <w:t xml:space="preserve"> ar</w:t>
      </w:r>
      <w:r w:rsidR="007C61C6">
        <w:t xml:space="preserve">e expected to complete the screening questionnaire and </w:t>
      </w:r>
      <w:r w:rsidRPr="00753433" w:rsidR="007C61C6">
        <w:t>be eligible</w:t>
      </w:r>
      <w:r w:rsidR="007C61C6">
        <w:t xml:space="preserve">, </w:t>
      </w:r>
      <w:r w:rsidRPr="00753433" w:rsidR="007C61C6">
        <w:t>interested</w:t>
      </w:r>
      <w:r w:rsidR="007C61C6">
        <w:t xml:space="preserve">, and willing to travel to the </w:t>
      </w:r>
      <w:r w:rsidR="00D56CAB">
        <w:t>research center</w:t>
      </w:r>
      <w:r w:rsidR="007C61C6">
        <w:t xml:space="preserve"> to undergo the informed consent process, with an estimated burden of 70 minutes per respondent, including travel time (an annual burden of 70 hours for 60 annual respondents).</w:t>
      </w:r>
    </w:p>
    <w:p w:rsidR="00A63DE0" w:rsidP="00A63DE0" w14:paraId="42CA31FE" w14:textId="1D9F8801">
      <w:pPr>
        <w:spacing w:after="200" w:line="276" w:lineRule="auto"/>
      </w:pPr>
      <w:r>
        <w:t>Finally</w:t>
      </w:r>
      <w:r w:rsidR="00F05E99">
        <w:t>, of the estimated 180 respondents who undergo the informed consent process, an estimated 168 respondents are expected to consent and enroll in the study.</w:t>
      </w:r>
      <w:r w:rsidRPr="00676676" w:rsidR="00664785">
        <w:t xml:space="preserve"> </w:t>
      </w:r>
      <w:r>
        <w:t xml:space="preserve">These </w:t>
      </w:r>
      <w:r w:rsidR="00664785">
        <w:t>participants will complete the enrollment process and a pre-study questionnaire, with an estimated burden of 10 minutes per respondent (a</w:t>
      </w:r>
      <w:r w:rsidR="00F73EA2">
        <w:t xml:space="preserve">n annual burden of </w:t>
      </w:r>
      <w:r>
        <w:t>9</w:t>
      </w:r>
      <w:r w:rsidR="00F73EA2">
        <w:t xml:space="preserve"> hours for 56 annual respondents</w:t>
      </w:r>
      <w:r w:rsidR="00664785">
        <w:t xml:space="preserve">). Then, participants will complete the novice driver training protocol, which involves a pre-training test, </w:t>
      </w:r>
      <w:r w:rsidR="00664785">
        <w:t xml:space="preserve">the </w:t>
      </w:r>
      <w:r w:rsidR="005C1812">
        <w:t xml:space="preserve">hazard </w:t>
      </w:r>
      <w:r w:rsidR="00E41A85">
        <w:t>anticipation</w:t>
      </w:r>
      <w:r w:rsidR="005C1812">
        <w:t xml:space="preserve"> and attention maintenance </w:t>
      </w:r>
      <w:r w:rsidR="00664785">
        <w:t>training program (or a placebo training program), a post-training test (all administered on a computer), a rest break, a test on a computerized driving simulator, and a post-study questionnaire. The training protocol has an estimated burden of 230 minutes per respondent (</w:t>
      </w:r>
      <w:r w:rsidR="00F73EA2">
        <w:t>an annual burden of 215 hours for 56 annual re</w:t>
      </w:r>
      <w:r w:rsidR="00E01033">
        <w:t>s</w:t>
      </w:r>
      <w:r w:rsidR="00F73EA2">
        <w:t>pondents</w:t>
      </w:r>
      <w:r w:rsidR="00664785">
        <w:t>).</w:t>
      </w:r>
      <w:r w:rsidR="00F73EA2">
        <w:t xml:space="preserve"> The total annual burden for this information collection is 3</w:t>
      </w:r>
      <w:r>
        <w:t>22</w:t>
      </w:r>
      <w:r w:rsidR="00F73EA2">
        <w:t xml:space="preserve"> hours and $</w:t>
      </w:r>
      <w:r w:rsidRPr="00DE1E0E" w:rsidR="00DE1E0E">
        <w:t>13,069</w:t>
      </w:r>
      <w:r w:rsidR="00F73EA2">
        <w:t>.</w:t>
      </w:r>
      <w:r w:rsidR="008B1D90">
        <w:t xml:space="preserve"> </w:t>
      </w:r>
    </w:p>
    <w:p w:rsidR="00664785" w:rsidP="00A63DE0" w14:paraId="2565AE2C" w14:textId="4D7F474D">
      <w:pPr>
        <w:spacing w:after="200" w:line="276" w:lineRule="auto"/>
        <w:rPr>
          <w:rStyle w:val="ui-provider"/>
        </w:rPr>
      </w:pPr>
      <w:r>
        <w:t xml:space="preserve">Prior to conducting the study, </w:t>
      </w:r>
      <w:r w:rsidR="00D56CAB">
        <w:t>the research team</w:t>
      </w:r>
      <w:r>
        <w:t xml:space="preserve"> will obtain review and approval of this data collection from an Institutional Review Board (IRB)</w:t>
      </w:r>
      <w:r w:rsidR="00B60444">
        <w:t xml:space="preserve"> </w:t>
      </w:r>
      <w:r w:rsidR="00D56CAB">
        <w:t>that</w:t>
      </w:r>
      <w:r>
        <w:t xml:space="preserve"> </w:t>
      </w:r>
      <w:r w:rsidRPr="00C220CC">
        <w:t xml:space="preserve">meets all </w:t>
      </w:r>
      <w:r w:rsidR="00AE3B9F">
        <w:t>F</w:t>
      </w:r>
      <w:r w:rsidRPr="00C220CC">
        <w:t xml:space="preserve">ederal requirements in 45 </w:t>
      </w:r>
      <w:r w:rsidRPr="00AE3B9F">
        <w:t>CFR 46, is registered with the Office for Human Research Protections, and has a Federalwide Assurance.</w:t>
      </w:r>
      <w:r w:rsidRPr="00C7177A">
        <w:t xml:space="preserve"> </w:t>
      </w:r>
      <w:r>
        <w:t xml:space="preserve">NHTSA </w:t>
      </w:r>
      <w:r w:rsidRPr="00676676">
        <w:t xml:space="preserve">will use the </w:t>
      </w:r>
      <w:r>
        <w:t>results of this study</w:t>
      </w:r>
      <w:r w:rsidRPr="00676676">
        <w:t xml:space="preserve"> to produce a technical report containing summary </w:t>
      </w:r>
      <w:r>
        <w:t xml:space="preserve">descriptive and inferential </w:t>
      </w:r>
      <w:r w:rsidRPr="00676676">
        <w:t>statistics. No identifying information or individual responses will be reported. The</w:t>
      </w:r>
      <w:r w:rsidRPr="00823B1D">
        <w:t xml:space="preserve"> technical report will be </w:t>
      </w:r>
      <w:r>
        <w:rPr>
          <w:rStyle w:val="ui-provider"/>
        </w:rPr>
        <w:t>shared with State highway safety offices, local governments, policymakers, researchers, educators, advocates, and others who may wish to use the data from this survey to support their work on novice and teen driver safety</w:t>
      </w:r>
      <w:r w:rsidRPr="00823B1D">
        <w:t>.</w:t>
      </w:r>
      <w:bookmarkEnd w:id="0"/>
      <w:r w:rsidRPr="00823B1D">
        <w:t xml:space="preserve"> </w:t>
      </w:r>
      <w:bookmarkEnd w:id="1"/>
    </w:p>
    <w:bookmarkEnd w:id="2"/>
    <w:p w:rsidR="00664785" w:rsidRPr="00215DD6" w:rsidP="00515D20" w14:paraId="3154AFDC" w14:textId="5032AE28">
      <w:pPr>
        <w:spacing w:after="200" w:line="276" w:lineRule="auto"/>
        <w:rPr>
          <w:b/>
          <w:bCs/>
          <w:u w:val="single"/>
        </w:rPr>
      </w:pPr>
      <w:r>
        <w:rPr>
          <w:b/>
          <w:bCs/>
        </w:rPr>
        <w:t>A</w:t>
      </w:r>
      <w:r w:rsidRPr="00065761">
        <w:rPr>
          <w:b/>
          <w:bCs/>
        </w:rPr>
        <w:t xml:space="preserve">. </w:t>
      </w:r>
      <w:r w:rsidRPr="00515D20">
        <w:rPr>
          <w:b/>
          <w:bCs/>
          <w:u w:val="single"/>
        </w:rPr>
        <w:t>Justific</w:t>
      </w:r>
      <w:r w:rsidRPr="00065761">
        <w:rPr>
          <w:b/>
          <w:bCs/>
          <w:u w:val="single"/>
        </w:rPr>
        <w:t>ation</w:t>
      </w:r>
    </w:p>
    <w:p w:rsidR="00664785" w:rsidP="00515D20" w14:paraId="34BF1BA6" w14:textId="1FE68E3B">
      <w:pPr>
        <w:pStyle w:val="Heading1"/>
        <w:spacing w:after="200" w:line="276" w:lineRule="auto"/>
      </w:pPr>
      <w:r w:rsidRPr="00DA44CC">
        <w:rPr>
          <w:rStyle w:val="Heading1Char"/>
          <w:b/>
        </w:rPr>
        <w:t>Explain the circumstances that make the collection of information necessary.</w:t>
      </w:r>
      <w:bookmarkEnd w:id="3"/>
      <w:r w:rsidRPr="00DA44CC">
        <w:rPr>
          <w:bCs w:val="0"/>
        </w:rPr>
        <w:t xml:space="preserve"> Identify any legal and administrative</w:t>
      </w:r>
      <w:r w:rsidRPr="00215DD6">
        <w:t xml:space="preserve"> requirements </w:t>
      </w:r>
      <w:r w:rsidRPr="00DA44CC">
        <w:t>that</w:t>
      </w:r>
      <w:r w:rsidRPr="00215DD6">
        <w:t xml:space="preserve"> necessitate the collection. Attach a copy of the appropriate section of each statute and regulation mandating or authorizing the collection of information.</w:t>
      </w:r>
      <w:bookmarkStart w:id="5" w:name="_Toc6900676"/>
    </w:p>
    <w:p w:rsidR="00664785" w:rsidRPr="00C1565E" w:rsidP="00515D20" w14:paraId="629289F1" w14:textId="6AEB307E">
      <w:pPr>
        <w:pStyle w:val="ListParagraph"/>
        <w:numPr>
          <w:ilvl w:val="1"/>
          <w:numId w:val="40"/>
        </w:numPr>
        <w:spacing w:after="200" w:line="276" w:lineRule="auto"/>
        <w:rPr>
          <w:bCs/>
          <w:iCs/>
        </w:rPr>
      </w:pPr>
      <w:r w:rsidRPr="00515D20">
        <w:rPr>
          <w:b/>
          <w:bCs/>
          <w:i/>
          <w:iCs/>
        </w:rPr>
        <w:t>Circumst</w:t>
      </w:r>
      <w:r w:rsidRPr="00065761">
        <w:rPr>
          <w:b/>
          <w:bCs/>
          <w:i/>
          <w:iCs/>
        </w:rPr>
        <w:t>an</w:t>
      </w:r>
      <w:r w:rsidRPr="00215DD6">
        <w:rPr>
          <w:b/>
          <w:bCs/>
          <w:i/>
          <w:iCs/>
        </w:rPr>
        <w:t>ces making the collection necessary</w:t>
      </w:r>
      <w:bookmarkEnd w:id="5"/>
    </w:p>
    <w:p w:rsidR="00664785" w:rsidP="00515D20" w14:paraId="7E0BC63C" w14:textId="7DCA06B5">
      <w:pPr>
        <w:spacing w:after="200" w:line="276" w:lineRule="auto"/>
      </w:pPr>
      <w:bookmarkStart w:id="6" w:name="_Hlk158640210"/>
      <w:r>
        <w:t xml:space="preserve">NHTSA was established to reduce deaths, injuries, and economic losses resulting from motor vehicle crashes on the Nation’s highways. The agency develops, promotes, and implements effective educational, engineering, and enforcement programs with the goal of ending preventable tragedies and reducing economic costs associated with vehicle use and </w:t>
      </w:r>
      <w:r w:rsidR="00197C35">
        <w:t>roadway</w:t>
      </w:r>
      <w:r>
        <w:t xml:space="preserve"> travel. Traffic safety is a key behavioral area for which NHTSA has developed comprehensive programs to meet its injury reduction goals, and the major components of </w:t>
      </w:r>
      <w:r w:rsidR="00197C35">
        <w:t xml:space="preserve">its </w:t>
      </w:r>
      <w:r>
        <w:t xml:space="preserve">traffic safety programs are education, enforcement, and outreach. </w:t>
      </w:r>
    </w:p>
    <w:p w:rsidR="00A320A2" w:rsidP="00515D20" w14:paraId="01997E16" w14:textId="257CFBA9">
      <w:pPr>
        <w:spacing w:after="200" w:line="276" w:lineRule="auto"/>
      </w:pPr>
      <w:r>
        <w:t xml:space="preserve">Because of their increased risk, novice drivers are an area of focus for NHTSA’s behavioral safety efforts. </w:t>
      </w:r>
      <w:r w:rsidRPr="00261557">
        <w:t>Novice teen drivers</w:t>
      </w:r>
      <w:r>
        <w:t xml:space="preserve"> are more likely to crash in the first several months after they obtain licenses than more experienced drivers. </w:t>
      </w:r>
      <w:r w:rsidR="00A62037">
        <w:t>Higher</w:t>
      </w:r>
      <w:r>
        <w:t xml:space="preserve"> crash rate</w:t>
      </w:r>
      <w:r w:rsidR="00A62037">
        <w:t>s</w:t>
      </w:r>
      <w:r>
        <w:t xml:space="preserve"> </w:t>
      </w:r>
      <w:r w:rsidR="00A62037">
        <w:t xml:space="preserve">are also observed </w:t>
      </w:r>
      <w:r>
        <w:t>for novice drivers who first obtain their licenses at age</w:t>
      </w:r>
      <w:r w:rsidR="005D1822">
        <w:t>s</w:t>
      </w:r>
      <w:r>
        <w:t xml:space="preserve"> 18 and 19</w:t>
      </w:r>
      <w:r w:rsidR="00D56CAB">
        <w:t>,</w:t>
      </w:r>
      <w:r>
        <w:rPr>
          <w:rStyle w:val="FootnoteReference"/>
        </w:rPr>
        <w:footnoteReference w:id="4"/>
      </w:r>
      <w:r>
        <w:t xml:space="preserve"> novice drivers who live in zip codes </w:t>
      </w:r>
      <w:r>
        <w:t>with higher poverty rates</w:t>
      </w:r>
      <w:r w:rsidR="00D56CAB">
        <w:t>,</w:t>
      </w:r>
      <w:bookmarkStart w:id="8" w:name="_Ref177996770"/>
      <w:r>
        <w:rPr>
          <w:rStyle w:val="FootnoteReference"/>
        </w:rPr>
        <w:footnoteReference w:id="5"/>
      </w:r>
      <w:bookmarkEnd w:id="8"/>
      <w:r w:rsidR="00D56CAB">
        <w:t xml:space="preserve"> male novices</w:t>
      </w:r>
      <w:r w:rsidR="00A62037">
        <w:t>,</w:t>
      </w:r>
      <w:r>
        <w:rPr>
          <w:rStyle w:val="FootnoteReference"/>
        </w:rPr>
        <w:footnoteReference w:id="6"/>
      </w:r>
      <w:r w:rsidR="00A62037">
        <w:t xml:space="preserve"> and novices with greater propensities for personality factors like sensation</w:t>
      </w:r>
      <w:r w:rsidR="00D05907">
        <w:t xml:space="preserve"> </w:t>
      </w:r>
      <w:r w:rsidR="00A62037">
        <w:t>seeking and aggressiveness.</w:t>
      </w:r>
      <w:r>
        <w:rPr>
          <w:rStyle w:val="FootnoteReference"/>
        </w:rPr>
        <w:footnoteReference w:id="7"/>
      </w:r>
      <w:r>
        <w:t xml:space="preserve"> </w:t>
      </w:r>
      <w:bookmarkEnd w:id="6"/>
    </w:p>
    <w:p w:rsidR="00664785" w:rsidP="00515D20" w14:paraId="74CE13A2" w14:textId="230E95E7">
      <w:pPr>
        <w:spacing w:after="200" w:line="276" w:lineRule="auto"/>
      </w:pPr>
      <w:r>
        <w:t>One reason novice drivers who first obtain their licenses at age 18 or 19 are at higher risk of crashing may be because most States do not apply Graduate</w:t>
      </w:r>
      <w:r w:rsidR="00197C35">
        <w:t>d</w:t>
      </w:r>
      <w:r>
        <w:t xml:space="preserve"> Driver Licensing (GDL) requirements to novice drivers 18 and older. GDL programs typically restrict nighttime driving and the number of teen passengers that can be in the </w:t>
      </w:r>
      <w:r w:rsidR="00A44F36">
        <w:t xml:space="preserve">vehicle </w:t>
      </w:r>
      <w:r>
        <w:t>and often include the requirement to enroll in a driver education program</w:t>
      </w:r>
      <w:r w:rsidR="005C1812">
        <w:t xml:space="preserve">, </w:t>
      </w:r>
      <w:r w:rsidR="005C1812">
        <w:rPr>
          <w:bCs/>
          <w:iCs/>
          <w:color w:val="000000"/>
        </w:rPr>
        <w:t>thereby providing novice drivers with practice driving in less demanding conditions</w:t>
      </w:r>
      <w:r>
        <w:t>. Because the percentage of drivers delaying licensure until age 18 is increasing</w:t>
      </w:r>
      <w:r w:rsidR="005C1812">
        <w:t>,</w:t>
      </w:r>
      <w:r>
        <w:rPr>
          <w:rStyle w:val="FootnoteReference"/>
        </w:rPr>
        <w:footnoteReference w:id="8"/>
      </w:r>
      <w:r>
        <w:t xml:space="preserve"> the population of novice drivers exempt from most States’ GDL programs is also increasing.</w:t>
      </w:r>
    </w:p>
    <w:p w:rsidR="00664785" w:rsidP="00515D20" w14:paraId="1A3658E1" w14:textId="74BA79F4">
      <w:pPr>
        <w:spacing w:after="200" w:line="276" w:lineRule="auto"/>
      </w:pPr>
      <w:r>
        <w:t>Young people from lower SES backgrounds are more likely to delay licensure,</w:t>
      </w:r>
      <w:r>
        <w:rPr>
          <w:rStyle w:val="FootnoteReference"/>
        </w:rPr>
        <w:footnoteReference w:id="9"/>
      </w:r>
      <w:r w:rsidRPr="00F278BB">
        <w:t xml:space="preserve"> </w:t>
      </w:r>
      <w:r>
        <w:t xml:space="preserve">so they may </w:t>
      </w:r>
      <w:r w:rsidR="00A320A2">
        <w:t xml:space="preserve">also </w:t>
      </w:r>
      <w:r>
        <w:t xml:space="preserve">be less likely to benefit from the protections that GDL provides. </w:t>
      </w:r>
      <w:r w:rsidR="00A320A2">
        <w:t xml:space="preserve">Additionally, </w:t>
      </w:r>
      <w:r>
        <w:t>lower SES teens may have higher crash rates than higher SES teens</w:t>
      </w:r>
      <w:r w:rsidR="00442316">
        <w:t xml:space="preserve"> because they are less likely to take driver education, </w:t>
      </w:r>
      <w:r w:rsidR="00DA7682">
        <w:t>especially</w:t>
      </w:r>
      <w:r w:rsidR="00442316">
        <w:t xml:space="preserve"> in States where driver education is not required.</w:t>
      </w:r>
      <w:r>
        <w:rPr>
          <w:rStyle w:val="FootnoteReference"/>
        </w:rPr>
        <w:footnoteReference w:id="10"/>
      </w:r>
      <w:r w:rsidR="00735B6A">
        <w:t xml:space="preserve"> The</w:t>
      </w:r>
      <w:r>
        <w:t xml:space="preserve"> cost of novice driver training programs</w:t>
      </w:r>
      <w:r w:rsidR="00735B6A">
        <w:t xml:space="preserve"> may be one barrier for taking </w:t>
      </w:r>
      <w:r w:rsidR="00B60444">
        <w:t>them</w:t>
      </w:r>
      <w:r w:rsidR="00735B6A">
        <w:t xml:space="preserve">; </w:t>
      </w:r>
      <w:r>
        <w:t xml:space="preserve">in fact, about </w:t>
      </w:r>
      <w:r w:rsidR="00D56CAB">
        <w:t>two</w:t>
      </w:r>
      <w:r>
        <w:t xml:space="preserve"> in </w:t>
      </w:r>
      <w:r w:rsidR="00D56CAB">
        <w:t>five</w:t>
      </w:r>
      <w:r>
        <w:t xml:space="preserve"> teens say that financial considerations played a role in their delaying licensure</w:t>
      </w:r>
      <w:r w:rsidR="005C1812">
        <w:t>.</w:t>
      </w:r>
      <w:r>
        <w:rPr>
          <w:rStyle w:val="FootnoteReference"/>
        </w:rPr>
        <w:footnoteReference w:id="11"/>
      </w:r>
      <w:r>
        <w:t xml:space="preserve"> Lower SES teens may also face barriers with the availability </w:t>
      </w:r>
      <w:r w:rsidR="00735B6A">
        <w:t xml:space="preserve">of </w:t>
      </w:r>
      <w:r>
        <w:t>novice driver education programs in lower income communities</w:t>
      </w:r>
      <w:r w:rsidR="00735B6A">
        <w:t>.</w:t>
      </w:r>
      <w:r>
        <w:rPr>
          <w:rStyle w:val="FootnoteReference"/>
        </w:rPr>
        <w:footnoteReference w:id="12"/>
      </w:r>
      <w:r>
        <w:t xml:space="preserve"> </w:t>
      </w:r>
    </w:p>
    <w:p w:rsidR="00D05907" w:rsidP="00515D20" w14:paraId="3800E0E4" w14:textId="32E7CE97">
      <w:pPr>
        <w:spacing w:after="200" w:line="276" w:lineRule="auto"/>
      </w:pPr>
      <w:r>
        <w:t>In summary, more teens are waiting until age 18 to get their license</w:t>
      </w:r>
      <w:r w:rsidR="00A62037">
        <w:t>s</w:t>
      </w:r>
      <w:r w:rsidR="00DA7682">
        <w:t>, when they are exempt from most States’ GDL intermediate license restrictions and driver education requirements</w:t>
      </w:r>
      <w:r>
        <w:t>. Part of this delay, especially for lower SES novice drivers, may be the cost</w:t>
      </w:r>
      <w:r w:rsidR="00DA7682">
        <w:t xml:space="preserve"> and</w:t>
      </w:r>
      <w:r>
        <w:t xml:space="preserve"> availability associated with traditional novice driver education programs. While most research has failed to find evidence that traditional pre-licensure driver education reduces novice drivers’ </w:t>
      </w:r>
      <w:r w:rsidR="0076074E">
        <w:t xml:space="preserve">crash </w:t>
      </w:r>
      <w:r>
        <w:t>risk,</w:t>
      </w:r>
      <w:r>
        <w:rPr>
          <w:rStyle w:val="FootnoteReference"/>
        </w:rPr>
        <w:footnoteReference w:id="13"/>
      </w:r>
      <w:r>
        <w:t xml:space="preserve"> a growing body of studies suggests that training that focuses on teaching specific skills—hazard anticipation and attention maintenance—may increase novice drivers’ safety. Hazard anticipation </w:t>
      </w:r>
      <w:r>
        <w:t xml:space="preserve">training teaches novices to be aware of hazards on the road that are visible </w:t>
      </w:r>
      <w:r>
        <w:rPr>
          <w:i/>
          <w:iCs/>
        </w:rPr>
        <w:t>and</w:t>
      </w:r>
      <w:r>
        <w:t xml:space="preserve"> those </w:t>
      </w:r>
      <w:r w:rsidR="0076074E">
        <w:t>that</w:t>
      </w:r>
      <w:r>
        <w:t xml:space="preserve"> are not (hidden); for example, a hidden hazard can occur when a vehicle stopped in a parking lane obscures a pedestrian who is entering a crosswalk.</w:t>
      </w:r>
    </w:p>
    <w:p w:rsidR="00664785" w:rsidP="00515D20" w14:paraId="34B58643" w14:textId="6CC383E1">
      <w:pPr>
        <w:spacing w:after="200" w:line="276" w:lineRule="auto"/>
      </w:pPr>
      <w:r>
        <w:t>Novice driver training programs targeting hazard anticipation have reduced behaviors linked to crashes on driving simulators</w:t>
      </w:r>
      <w:r>
        <w:rPr>
          <w:rStyle w:val="FootnoteReference"/>
        </w:rPr>
        <w:footnoteReference w:id="14"/>
      </w:r>
      <w:r>
        <w:t xml:space="preserve"> and during on-road drives</w:t>
      </w:r>
      <w:r w:rsidR="00A63DE0">
        <w:t>.</w:t>
      </w:r>
      <w:r>
        <w:rPr>
          <w:rStyle w:val="FootnoteReference"/>
        </w:rPr>
        <w:footnoteReference w:id="15"/>
      </w:r>
      <w:r>
        <w:t xml:space="preserve"> Hazard anticipation training also reduced crashes among 18-year-old newly-licensed males by 32% in the year following training</w:t>
      </w:r>
      <w:bookmarkStart w:id="11" w:name="_Ref177996709"/>
      <w:r w:rsidR="00D05907">
        <w:t>.</w:t>
      </w:r>
      <w:r>
        <w:rPr>
          <w:rStyle w:val="FootnoteReference"/>
        </w:rPr>
        <w:footnoteReference w:id="16"/>
      </w:r>
      <w:bookmarkEnd w:id="11"/>
      <w:r>
        <w:t xml:space="preserve"> Attention maintenance training teaches novices to reduce the number and duration of long glances (longer than two seconds) away from the forward roadway, an off-road </w:t>
      </w:r>
      <w:r w:rsidR="0076074E">
        <w:t xml:space="preserve">glance </w:t>
      </w:r>
      <w:r>
        <w:t>duration associated with a doubling of crash risk</w:t>
      </w:r>
      <w:r w:rsidR="00F5611B">
        <w:t>.</w:t>
      </w:r>
      <w:r>
        <w:rPr>
          <w:rStyle w:val="FootnoteReference"/>
        </w:rPr>
        <w:footnoteReference w:id="17"/>
      </w:r>
      <w:r>
        <w:t xml:space="preserve"> Novice driver training programs focused on attention maintenance (distraction) have reduced behaviors linked to crashes, in particular long glances away from the forward roadway, both on </w:t>
      </w:r>
      <w:r w:rsidR="0076074E">
        <w:t xml:space="preserve">driving </w:t>
      </w:r>
      <w:r>
        <w:t>simulators</w:t>
      </w:r>
      <w:r>
        <w:rPr>
          <w:rStyle w:val="FootnoteReference"/>
        </w:rPr>
        <w:footnoteReference w:id="18"/>
      </w:r>
      <w:r>
        <w:t xml:space="preserve"> and in the field</w:t>
      </w:r>
      <w:r w:rsidR="00634BD9">
        <w:t>,</w:t>
      </w:r>
      <w:r>
        <w:rPr>
          <w:rStyle w:val="FootnoteReference"/>
        </w:rPr>
        <w:footnoteReference w:id="19"/>
      </w:r>
      <w:r>
        <w:t xml:space="preserve"> </w:t>
      </w:r>
      <w:bookmarkStart w:id="12" w:name="_Hlk185326814"/>
      <w:r>
        <w:t xml:space="preserve">and the benefits of training extended up to </w:t>
      </w:r>
      <w:r w:rsidR="00901701">
        <w:t>four</w:t>
      </w:r>
      <w:r>
        <w:t xml:space="preserve"> months</w:t>
      </w:r>
      <w:r w:rsidR="00634BD9">
        <w:t>.</w:t>
      </w:r>
      <w:bookmarkStart w:id="13" w:name="_Ref177996736"/>
      <w:r>
        <w:rPr>
          <w:rStyle w:val="FootnoteReference"/>
        </w:rPr>
        <w:footnoteReference w:id="20"/>
      </w:r>
      <w:bookmarkEnd w:id="13"/>
      <w:r>
        <w:t xml:space="preserve"> </w:t>
      </w:r>
      <w:bookmarkEnd w:id="12"/>
      <w:r w:rsidR="00BE57BA">
        <w:t xml:space="preserve">Finally, </w:t>
      </w:r>
      <w:r w:rsidR="00BE57BA">
        <w:rPr>
          <w:color w:val="000000"/>
        </w:rPr>
        <w:t>prior studies suggest that hazard anticipation or attention maintenance training may especially benefit male novices,</w:t>
      </w:r>
      <w:r w:rsidRPr="00A63DE0" w:rsidR="00BE57BA">
        <w:rPr>
          <w:color w:val="000000"/>
          <w:vertAlign w:val="superscript"/>
        </w:rPr>
        <w:fldChar w:fldCharType="begin"/>
      </w:r>
      <w:r w:rsidRPr="00934BBB" w:rsidR="00BE57BA">
        <w:rPr>
          <w:color w:val="000000"/>
          <w:vertAlign w:val="superscript"/>
        </w:rPr>
        <w:instrText xml:space="preserve"> NOTEREF _Ref177996709 \h  \* MERGEFORMAT </w:instrText>
      </w:r>
      <w:r w:rsidRPr="00A63DE0" w:rsidR="00BE57BA">
        <w:rPr>
          <w:color w:val="000000"/>
          <w:vertAlign w:val="superscript"/>
        </w:rPr>
        <w:fldChar w:fldCharType="separate"/>
      </w:r>
      <w:r w:rsidRPr="00934BBB" w:rsidR="00BE57BA">
        <w:rPr>
          <w:color w:val="000000"/>
          <w:vertAlign w:val="superscript"/>
        </w:rPr>
        <w:t>11</w:t>
      </w:r>
      <w:r w:rsidRPr="00A63DE0" w:rsidR="00BE57BA">
        <w:rPr>
          <w:color w:val="000000"/>
          <w:vertAlign w:val="superscript"/>
        </w:rPr>
        <w:fldChar w:fldCharType="end"/>
      </w:r>
      <w:r w:rsidR="00BE57BA">
        <w:rPr>
          <w:color w:val="000000"/>
        </w:rPr>
        <w:t xml:space="preserve"> novice drivers from lower SES backgrounds,</w:t>
      </w:r>
      <w:r w:rsidR="00BE57BA">
        <w:rPr>
          <w:color w:val="000000"/>
          <w:vertAlign w:val="superscript"/>
        </w:rPr>
        <w:fldChar w:fldCharType="begin"/>
      </w:r>
      <w:r w:rsidR="00BE57BA">
        <w:rPr>
          <w:color w:val="000000"/>
          <w:vertAlign w:val="superscript"/>
        </w:rPr>
        <w:instrText xml:space="preserve"> NOTEREF _Ref177996770 \h </w:instrText>
      </w:r>
      <w:r w:rsidR="00BE57BA">
        <w:rPr>
          <w:color w:val="000000"/>
          <w:vertAlign w:val="superscript"/>
        </w:rPr>
        <w:fldChar w:fldCharType="separate"/>
      </w:r>
      <w:r w:rsidR="00BE57BA">
        <w:rPr>
          <w:color w:val="000000"/>
          <w:vertAlign w:val="superscript"/>
        </w:rPr>
        <w:t>3</w:t>
      </w:r>
      <w:r w:rsidR="00BE57BA">
        <w:rPr>
          <w:color w:val="000000"/>
          <w:vertAlign w:val="superscript"/>
        </w:rPr>
        <w:fldChar w:fldCharType="end"/>
      </w:r>
      <w:r w:rsidR="00BE57BA">
        <w:rPr>
          <w:color w:val="000000"/>
        </w:rPr>
        <w:t xml:space="preserve"> and young drivers</w:t>
      </w:r>
      <w:r w:rsidRPr="00AC48FD" w:rsidR="00BE57BA">
        <w:rPr>
          <w:color w:val="000000"/>
        </w:rPr>
        <w:t xml:space="preserve"> with lower levels of the sensation seekin</w:t>
      </w:r>
      <w:r w:rsidRPr="004C5A75" w:rsidR="00BE57BA">
        <w:rPr>
          <w:color w:val="000000"/>
        </w:rPr>
        <w:t>g and aggressiveness personality traits</w:t>
      </w:r>
      <w:r w:rsidR="00BE57BA">
        <w:rPr>
          <w:color w:val="000000"/>
        </w:rPr>
        <w:t>.</w:t>
      </w:r>
      <w:bookmarkStart w:id="14" w:name="_Ref185327204"/>
      <w:r>
        <w:rPr>
          <w:rStyle w:val="FootnoteReference"/>
          <w:color w:val="000000"/>
        </w:rPr>
        <w:footnoteReference w:id="21"/>
      </w:r>
      <w:bookmarkEnd w:id="14"/>
    </w:p>
    <w:p w:rsidR="00664785" w:rsidP="00515D20" w14:paraId="32EC952D" w14:textId="00E212F0">
      <w:pPr>
        <w:spacing w:after="200" w:line="276" w:lineRule="auto"/>
      </w:pPr>
      <w:r>
        <w:t xml:space="preserve">The goal of this information collection is to test the effectiveness of a </w:t>
      </w:r>
      <w:r w:rsidR="00DE5ECA">
        <w:t xml:space="preserve">hazard anticipation and attention maintenance </w:t>
      </w:r>
      <w:r>
        <w:t xml:space="preserve">training program </w:t>
      </w:r>
      <w:r w:rsidR="00DE5ECA">
        <w:t xml:space="preserve">for novice drivers </w:t>
      </w:r>
      <w:r>
        <w:t>that takes relatively little time to complete and could support future efforts to deliver the training via smartphones</w:t>
      </w:r>
      <w:r w:rsidR="005C1812">
        <w:t>, particularly to older novices who may not receive any training before they become licensed</w:t>
      </w:r>
      <w:r>
        <w:t xml:space="preserve">. Another goal of the information collection is to determine whether the effectiveness of the training program differs </w:t>
      </w:r>
      <w:r w:rsidRPr="004C5A75">
        <w:t xml:space="preserve">for groups of novices who may be at higher risk, i.e., different </w:t>
      </w:r>
      <w:r w:rsidR="00DD2AB5">
        <w:t>sexes</w:t>
      </w:r>
      <w:r w:rsidRPr="004C5A75">
        <w:t>, SES</w:t>
      </w:r>
      <w:r w:rsidRPr="004C5A75" w:rsidR="00DC07D9">
        <w:t xml:space="preserve"> levels</w:t>
      </w:r>
      <w:r w:rsidRPr="004C5A75">
        <w:t xml:space="preserve">, and </w:t>
      </w:r>
      <w:r w:rsidRPr="004C5A75" w:rsidR="004C5A75">
        <w:t>trai</w:t>
      </w:r>
      <w:r w:rsidR="00CE5936">
        <w:t>t</w:t>
      </w:r>
      <w:r w:rsidRPr="004C5A75" w:rsidR="004C5A75">
        <w:t xml:space="preserve"> </w:t>
      </w:r>
      <w:r w:rsidRPr="009363E1">
        <w:t>levels of sensation seeking</w:t>
      </w:r>
      <w:r w:rsidRPr="009363E1" w:rsidR="004C5A75">
        <w:t xml:space="preserve"> and aggressiveness</w:t>
      </w:r>
      <w:r w:rsidRPr="009363E1">
        <w:t>.</w:t>
      </w:r>
      <w:r>
        <w:t xml:space="preserve"> </w:t>
      </w:r>
    </w:p>
    <w:p w:rsidR="00664785" w:rsidRPr="00C1565E" w:rsidP="00515D20" w14:paraId="28EE8B07" w14:textId="3CE8C207">
      <w:pPr>
        <w:pStyle w:val="ListParagraph"/>
        <w:keepNext/>
        <w:numPr>
          <w:ilvl w:val="1"/>
          <w:numId w:val="40"/>
        </w:numPr>
        <w:spacing w:after="200" w:line="276" w:lineRule="auto"/>
        <w:rPr>
          <w:bCs/>
          <w:iCs/>
        </w:rPr>
      </w:pPr>
      <w:bookmarkStart w:id="15" w:name="_Toc6900677"/>
      <w:r w:rsidRPr="00515D20">
        <w:rPr>
          <w:b/>
          <w:bCs/>
          <w:i/>
          <w:iCs/>
        </w:rPr>
        <w:t>Statute authorizing</w:t>
      </w:r>
      <w:r w:rsidRPr="00215DD6">
        <w:rPr>
          <w:b/>
          <w:bCs/>
          <w:i/>
          <w:iCs/>
        </w:rPr>
        <w:t xml:space="preserve"> the collection of information</w:t>
      </w:r>
      <w:bookmarkEnd w:id="15"/>
    </w:p>
    <w:p w:rsidR="00664785" w:rsidRPr="00043558" w:rsidP="00515D20" w14:paraId="7008E261" w14:textId="50B2F7E4">
      <w:pPr>
        <w:spacing w:after="200" w:line="276" w:lineRule="auto"/>
        <w:rPr>
          <w:bCs/>
        </w:rPr>
      </w:pPr>
      <w:r w:rsidRPr="00215DD6">
        <w:t>Title 23, United States Code, Chapter 4, Section 403</w:t>
      </w:r>
      <w:r w:rsidRPr="00B36864">
        <w:rPr>
          <w:b/>
          <w:bCs/>
        </w:rPr>
        <w:t xml:space="preserve"> </w:t>
      </w:r>
      <w:r w:rsidRPr="00B36864">
        <w:t xml:space="preserve">authorizes </w:t>
      </w:r>
      <w:r w:rsidR="00C96A86">
        <w:t>the Secretary of Transportation</w:t>
      </w:r>
      <w:r w:rsidRPr="00B36864">
        <w:t xml:space="preserve">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vehicle, highway, driver, passenger, motorcyclist, bicyclist, and pedestrian </w:t>
      </w:r>
      <w:r>
        <w:t>characteristics; </w:t>
      </w:r>
      <w:r w:rsidRPr="00B36864">
        <w:t>accident causation and investigations; and human behavioral factors and their effect on highway and traffic safety. [</w:t>
      </w:r>
      <w:r w:rsidRPr="00B804AA">
        <w:rPr>
          <w:i/>
          <w:iCs/>
        </w:rPr>
        <w:t>See</w:t>
      </w:r>
      <w:r w:rsidRPr="00B36864">
        <w:t xml:space="preserve"> 23 U.S.C. 403(b)(1)(A)(</w:t>
      </w:r>
      <w:r w:rsidRPr="00B36864">
        <w:t>i</w:t>
      </w:r>
      <w:r w:rsidRPr="00B36864">
        <w:t>)</w:t>
      </w:r>
      <w:r>
        <w:t>-(</w:t>
      </w:r>
      <w:r>
        <w:t>ii)</w:t>
      </w:r>
      <w:r w:rsidRPr="00B36864">
        <w:t>, (1)(B)].</w:t>
      </w:r>
      <w:r w:rsidR="00C96A86">
        <w:t xml:space="preserve"> Pursuant to Section 1.95 of Title 49 of the Code of Federal Regulations</w:t>
      </w:r>
      <w:r w:rsidR="00043558">
        <w:t xml:space="preserve"> (CFR)</w:t>
      </w:r>
      <w:r w:rsidR="00C96A86">
        <w:t xml:space="preserve">, the </w:t>
      </w:r>
      <w:r w:rsidR="00043558">
        <w:t>Secretary has delegated this authority to NHTSA [</w:t>
      </w:r>
      <w:r w:rsidR="00043558">
        <w:rPr>
          <w:i/>
          <w:iCs/>
        </w:rPr>
        <w:t xml:space="preserve">See </w:t>
      </w:r>
      <w:r w:rsidR="00043558">
        <w:t>49 CFR 1.95(e)].</w:t>
      </w:r>
    </w:p>
    <w:p w:rsidR="00664785" w:rsidRPr="00215DD6" w:rsidP="00515D20" w14:paraId="26991A7F" w14:textId="19F86F7B">
      <w:pPr>
        <w:pStyle w:val="Heading1"/>
        <w:spacing w:after="200" w:line="276" w:lineRule="auto"/>
      </w:pPr>
      <w:r w:rsidRPr="00515D20">
        <w:rPr>
          <w:rStyle w:val="Heading1Char"/>
          <w:b/>
        </w:rPr>
        <w:t>Indicate h</w:t>
      </w:r>
      <w:r w:rsidRPr="008C13F1">
        <w:rPr>
          <w:rStyle w:val="Heading1Char"/>
          <w:b/>
        </w:rPr>
        <w:t>ow,</w:t>
      </w:r>
      <w:r w:rsidRPr="005D0EFB">
        <w:rPr>
          <w:rStyle w:val="Heading1Char"/>
          <w:b/>
        </w:rPr>
        <w:t xml:space="preserve"> by whom, and for what purpose the information is to be used.</w:t>
      </w:r>
      <w:r w:rsidRPr="005D0EFB">
        <w:rPr>
          <w:bCs w:val="0"/>
        </w:rPr>
        <w:t xml:space="preserve"> Except for a new collection, indicate the </w:t>
      </w:r>
      <w:r w:rsidRPr="00215DD6">
        <w:t xml:space="preserve">actual use the agency has made of the information received from the current collection. </w:t>
      </w:r>
    </w:p>
    <w:p w:rsidR="00664785" w:rsidRPr="00837F01" w:rsidP="00515D20" w14:paraId="010A6683" w14:textId="23A733AB">
      <w:pPr>
        <w:spacing w:after="200" w:line="276" w:lineRule="auto"/>
        <w:rPr>
          <w:color w:val="000000"/>
        </w:rPr>
      </w:pPr>
      <w:r w:rsidRPr="5C6EA259">
        <w:rPr>
          <w:color w:val="000000" w:themeColor="text1"/>
        </w:rPr>
        <w:t xml:space="preserve">This is a new collection. This collection will seek to understand whether a novice driver training program based on hazard anticipation and attention maintenance and delivered on an external monitor similar in size and shape to a smartphone improves performance on a driving simulator and whether improvements in performance vary across </w:t>
      </w:r>
      <w:r w:rsidR="00DD2AB5">
        <w:rPr>
          <w:color w:val="000000" w:themeColor="text1"/>
        </w:rPr>
        <w:t>sexes</w:t>
      </w:r>
      <w:r w:rsidRPr="5C6EA259">
        <w:rPr>
          <w:color w:val="000000" w:themeColor="text1"/>
        </w:rPr>
        <w:t xml:space="preserve">, levels of SES, and </w:t>
      </w:r>
      <w:r w:rsidRPr="004C5A75" w:rsidR="004C5A75">
        <w:rPr>
          <w:color w:val="000000" w:themeColor="text1"/>
        </w:rPr>
        <w:t xml:space="preserve">trait </w:t>
      </w:r>
      <w:r w:rsidRPr="009363E1">
        <w:rPr>
          <w:color w:val="000000" w:themeColor="text1"/>
        </w:rPr>
        <w:t>levels of sensation</w:t>
      </w:r>
      <w:r w:rsidRPr="009363E1" w:rsidR="69C655C4">
        <w:rPr>
          <w:color w:val="000000" w:themeColor="text1"/>
        </w:rPr>
        <w:t xml:space="preserve"> </w:t>
      </w:r>
      <w:r w:rsidRPr="009363E1">
        <w:rPr>
          <w:color w:val="000000" w:themeColor="text1"/>
        </w:rPr>
        <w:t>seeking</w:t>
      </w:r>
      <w:r w:rsidR="004C5A75">
        <w:rPr>
          <w:color w:val="000000" w:themeColor="text1"/>
        </w:rPr>
        <w:t xml:space="preserve"> and aggressiveness</w:t>
      </w:r>
      <w:r w:rsidRPr="5C6EA259">
        <w:rPr>
          <w:color w:val="000000" w:themeColor="text1"/>
        </w:rPr>
        <w:t xml:space="preserve">. </w:t>
      </w:r>
      <w:r>
        <w:t xml:space="preserve">NHTSA </w:t>
      </w:r>
      <w:r w:rsidRPr="00676676">
        <w:t xml:space="preserve">will use the </w:t>
      </w:r>
      <w:r>
        <w:t>results of this study</w:t>
      </w:r>
      <w:r w:rsidRPr="00676676">
        <w:t xml:space="preserve"> to produce a technical report containing summary </w:t>
      </w:r>
      <w:r>
        <w:t xml:space="preserve">descriptive and inferential </w:t>
      </w:r>
      <w:r w:rsidRPr="00676676">
        <w:t>statistics. No identifying information or individual responses will be reported. The</w:t>
      </w:r>
      <w:r w:rsidRPr="00823B1D">
        <w:t xml:space="preserve"> technical report will be </w:t>
      </w:r>
      <w:r>
        <w:rPr>
          <w:rStyle w:val="ui-provider"/>
        </w:rPr>
        <w:t>shared with State highway safety offices, local governments, policymakers, researchers, educators, advocates, and others who may wish to use the data from this survey to support their work improving novice and teen driver safety</w:t>
      </w:r>
      <w:r w:rsidRPr="00823B1D">
        <w:t>.</w:t>
      </w:r>
    </w:p>
    <w:p w:rsidR="00664785" w:rsidRPr="00215DD6" w:rsidP="00515D20" w14:paraId="27248BFE" w14:textId="6AD96F3D">
      <w:pPr>
        <w:pStyle w:val="Heading1"/>
        <w:spacing w:after="200" w:line="276" w:lineRule="auto"/>
      </w:pPr>
      <w:bookmarkStart w:id="16" w:name="_Toc6900679"/>
      <w:r w:rsidRPr="00515D20">
        <w:rPr>
          <w:rStyle w:val="Heading1Char"/>
          <w:b/>
        </w:rPr>
        <w:t>Describe whether</w:t>
      </w:r>
      <w:r w:rsidRPr="00065761">
        <w:rPr>
          <w:rStyle w:val="Heading1Char"/>
          <w:b/>
        </w:rPr>
        <w:t>, and to</w:t>
      </w:r>
      <w:r w:rsidRPr="005D0EFB">
        <w:rPr>
          <w:rStyle w:val="Heading1Char"/>
          <w:b/>
        </w:rPr>
        <w:t xml:space="preserve"> what extent, the collection of information involves the use of automated, electronic, mechanical or other technological collection techniques or other information technology</w:t>
      </w:r>
      <w:bookmarkEnd w:id="16"/>
      <w:r w:rsidRPr="005D0EFB">
        <w:rPr>
          <w:rStyle w:val="Heading1Char"/>
          <w:b/>
        </w:rPr>
        <w:t>, e.g., permitting electronic submission of responses, and the basis for the decision for adopting this means of collection</w:t>
      </w:r>
      <w:r w:rsidRPr="005D0EFB">
        <w:rPr>
          <w:bCs w:val="0"/>
        </w:rPr>
        <w:t>. Also</w:t>
      </w:r>
      <w:r w:rsidRPr="00215DD6">
        <w:t xml:space="preserve"> describe any considerations of using information technology to reduce burden. </w:t>
      </w:r>
    </w:p>
    <w:p w:rsidR="00F67204" w:rsidP="00515D20" w14:paraId="7750EE0C" w14:textId="77777777">
      <w:pPr>
        <w:spacing w:after="200" w:line="276" w:lineRule="auto"/>
        <w:rPr>
          <w:color w:val="000000"/>
        </w:rPr>
      </w:pPr>
      <w:r>
        <w:rPr>
          <w:color w:val="000000"/>
        </w:rPr>
        <w:t xml:space="preserve">No automated, electronic, mechanical, or other technological collection techniques are planned to obtain data for the screening questionnaire, the informed consent, the pre-study questionnaire, or the post-study questionnaire; responses will be collected on paper. </w:t>
      </w:r>
    </w:p>
    <w:p w:rsidR="00664785" w:rsidRPr="008B2AB3" w:rsidP="00515D20" w14:paraId="1223678C" w14:textId="30E5CF2A">
      <w:pPr>
        <w:spacing w:after="200" w:line="276" w:lineRule="auto"/>
        <w:rPr>
          <w:color w:val="000000"/>
          <w:vertAlign w:val="superscript"/>
        </w:rPr>
      </w:pPr>
      <w:r>
        <w:rPr>
          <w:color w:val="000000"/>
        </w:rPr>
        <w:t xml:space="preserve">The training protocol involves </w:t>
      </w:r>
      <w:r w:rsidR="00F67204">
        <w:rPr>
          <w:color w:val="000000"/>
        </w:rPr>
        <w:t xml:space="preserve">completing the </w:t>
      </w:r>
      <w:r>
        <w:rPr>
          <w:color w:val="000000"/>
        </w:rPr>
        <w:t xml:space="preserve">training and </w:t>
      </w:r>
      <w:r w:rsidR="00F67204">
        <w:rPr>
          <w:color w:val="000000"/>
        </w:rPr>
        <w:t xml:space="preserve">pre- and post-training </w:t>
      </w:r>
      <w:r>
        <w:rPr>
          <w:color w:val="000000"/>
        </w:rPr>
        <w:t xml:space="preserve">testing on a computer and </w:t>
      </w:r>
      <w:r w:rsidR="00F67204">
        <w:rPr>
          <w:color w:val="000000"/>
        </w:rPr>
        <w:t xml:space="preserve">completing an assessment of driving performance on </w:t>
      </w:r>
      <w:r w:rsidR="00B722B5">
        <w:rPr>
          <w:color w:val="000000"/>
        </w:rPr>
        <w:t xml:space="preserve">a </w:t>
      </w:r>
      <w:r>
        <w:rPr>
          <w:color w:val="000000"/>
        </w:rPr>
        <w:t xml:space="preserve">computerized driving simulator. Data collected from participants electronically during the training protocol will </w:t>
      </w:r>
      <w:r>
        <w:rPr>
          <w:color w:val="000000"/>
        </w:rPr>
        <w:t>include:</w:t>
      </w:r>
      <w:r>
        <w:rPr>
          <w:color w:val="000000"/>
        </w:rPr>
        <w:t xml:space="preserve"> screen taps, eye gaze (i.e., where a participant is looking on the screen), behavior on the driving simulator (e.g., speed, braking)</w:t>
      </w:r>
      <w:r w:rsidR="00800ED5">
        <w:rPr>
          <w:color w:val="000000"/>
        </w:rPr>
        <w:t xml:space="preserve">, and audio of any verbalizations a participant makes </w:t>
      </w:r>
      <w:r w:rsidR="00800ED5">
        <w:rPr>
          <w:color w:val="000000"/>
        </w:rPr>
        <w:t>while using the driving simulator</w:t>
      </w:r>
      <w:r>
        <w:rPr>
          <w:color w:val="000000"/>
        </w:rPr>
        <w:t xml:space="preserve">. The training itself is administered on a computer because it requires a high level of interactivity from participants; in prior research, hazard anticipation and attention maintenance trainings have always been administered electronically. The assessment of participants’ </w:t>
      </w:r>
      <w:r w:rsidR="00F67204">
        <w:rPr>
          <w:color w:val="000000"/>
        </w:rPr>
        <w:t xml:space="preserve">performance following training is administered </w:t>
      </w:r>
      <w:r>
        <w:rPr>
          <w:color w:val="000000"/>
        </w:rPr>
        <w:t>on a computerized driving simulator</w:t>
      </w:r>
      <w:r w:rsidR="00F67204">
        <w:rPr>
          <w:color w:val="000000"/>
        </w:rPr>
        <w:t xml:space="preserve"> because p</w:t>
      </w:r>
      <w:r>
        <w:rPr>
          <w:color w:val="000000"/>
        </w:rPr>
        <w:t>rior research has found that driving simulator performance correlates with real world, on-road risky driving</w:t>
      </w:r>
      <w:r w:rsidR="00180466">
        <w:rPr>
          <w:color w:val="000000"/>
        </w:rPr>
        <w:t>.</w:t>
      </w:r>
      <w:r w:rsidRPr="004D1814" w:rsidR="004D1814">
        <w:rPr>
          <w:color w:val="000000"/>
          <w:vertAlign w:val="superscript"/>
        </w:rPr>
        <w:fldChar w:fldCharType="begin"/>
      </w:r>
      <w:r w:rsidRPr="00934BBB" w:rsidR="004D1814">
        <w:rPr>
          <w:color w:val="000000"/>
          <w:vertAlign w:val="superscript"/>
        </w:rPr>
        <w:instrText xml:space="preserve"> NOTEREF _Ref177996736 \h  \* MERGEFORMAT </w:instrText>
      </w:r>
      <w:r w:rsidRPr="004D1814" w:rsidR="004D1814">
        <w:rPr>
          <w:color w:val="000000"/>
          <w:vertAlign w:val="superscript"/>
        </w:rPr>
        <w:fldChar w:fldCharType="separate"/>
      </w:r>
      <w:r w:rsidRPr="00934BBB" w:rsidR="004D1814">
        <w:rPr>
          <w:color w:val="000000"/>
          <w:vertAlign w:val="superscript"/>
        </w:rPr>
        <w:t>15</w:t>
      </w:r>
      <w:r w:rsidRPr="004D1814" w:rsidR="004D1814">
        <w:rPr>
          <w:color w:val="000000"/>
          <w:vertAlign w:val="superscript"/>
        </w:rPr>
        <w:fldChar w:fldCharType="end"/>
      </w:r>
      <w:r w:rsidR="00A54CE8">
        <w:rPr>
          <w:color w:val="000000"/>
          <w:vertAlign w:val="superscript"/>
        </w:rPr>
        <w:t>,</w:t>
      </w:r>
      <w:r>
        <w:rPr>
          <w:rStyle w:val="FootnoteReference"/>
          <w:color w:val="000000"/>
        </w:rPr>
        <w:footnoteReference w:id="22"/>
      </w:r>
    </w:p>
    <w:p w:rsidR="00664785" w:rsidRPr="00215DD6" w:rsidP="00515D20" w14:paraId="62374ACB" w14:textId="754FF598">
      <w:pPr>
        <w:pStyle w:val="Heading1"/>
        <w:spacing w:after="200" w:line="276" w:lineRule="auto"/>
      </w:pPr>
      <w:bookmarkStart w:id="17" w:name="_Toc6900680"/>
      <w:r w:rsidRPr="00515D20">
        <w:rPr>
          <w:rStyle w:val="Heading1Char"/>
          <w:b/>
          <w:bCs/>
        </w:rPr>
        <w:t>Describe</w:t>
      </w:r>
      <w:r w:rsidRPr="004C0E63">
        <w:rPr>
          <w:rStyle w:val="Heading1Char"/>
          <w:b/>
          <w:bCs/>
        </w:rPr>
        <w:t xml:space="preserve"> efforts</w:t>
      </w:r>
      <w:r w:rsidRPr="005D0EFB">
        <w:rPr>
          <w:rStyle w:val="Heading1Char"/>
          <w:b/>
          <w:bCs/>
        </w:rPr>
        <w:t xml:space="preserve"> to identify duplication</w:t>
      </w:r>
      <w:bookmarkEnd w:id="17"/>
      <w:r w:rsidRPr="005D0EFB">
        <w:rPr>
          <w:rStyle w:val="Heading1Char"/>
          <w:b/>
          <w:bCs/>
        </w:rPr>
        <w:t>. Show specifically why any similar information already available cannot be used or modified for use for the purposes described in Item 2 above</w:t>
      </w:r>
      <w:r w:rsidRPr="00215DD6">
        <w:t xml:space="preserve">. </w:t>
      </w:r>
      <w:bookmarkStart w:id="18" w:name="_Toc6900681"/>
    </w:p>
    <w:p w:rsidR="00664785" w:rsidP="00515D20" w14:paraId="6427872B" w14:textId="58856E64">
      <w:pPr>
        <w:spacing w:after="200" w:line="276" w:lineRule="auto"/>
        <w:rPr>
          <w:color w:val="000000"/>
        </w:rPr>
      </w:pPr>
      <w:r>
        <w:rPr>
          <w:color w:val="000000"/>
        </w:rPr>
        <w:t xml:space="preserve">To date, </w:t>
      </w:r>
      <w:r>
        <w:rPr>
          <w:color w:val="000000"/>
        </w:rPr>
        <w:t xml:space="preserve">only one </w:t>
      </w:r>
      <w:r>
        <w:rPr>
          <w:color w:val="000000"/>
        </w:rPr>
        <w:t xml:space="preserve">hazard anticipation </w:t>
      </w:r>
      <w:r>
        <w:rPr>
          <w:color w:val="000000"/>
        </w:rPr>
        <w:t>training program for novice drivers has been shown to reduce crashes.</w:t>
      </w:r>
      <w:r w:rsidRPr="00934BBB" w:rsidR="00A63DE0">
        <w:rPr>
          <w:color w:val="000000"/>
          <w:vertAlign w:val="superscript"/>
        </w:rPr>
        <w:fldChar w:fldCharType="begin"/>
      </w:r>
      <w:r w:rsidRPr="00934BBB" w:rsidR="00A63DE0">
        <w:rPr>
          <w:color w:val="000000"/>
          <w:vertAlign w:val="superscript"/>
        </w:rPr>
        <w:instrText xml:space="preserve"> NOTEREF _Ref177996709 \h </w:instrText>
      </w:r>
      <w:r w:rsidR="00A63DE0">
        <w:rPr>
          <w:color w:val="000000"/>
          <w:vertAlign w:val="superscript"/>
        </w:rPr>
        <w:instrText xml:space="preserve"> \* MERGEFORMAT </w:instrText>
      </w:r>
      <w:r w:rsidRPr="00934BBB" w:rsidR="00A63DE0">
        <w:rPr>
          <w:color w:val="000000"/>
          <w:vertAlign w:val="superscript"/>
        </w:rPr>
        <w:fldChar w:fldCharType="separate"/>
      </w:r>
      <w:r w:rsidRPr="00934BBB" w:rsidR="00A63DE0">
        <w:rPr>
          <w:color w:val="000000"/>
          <w:vertAlign w:val="superscript"/>
        </w:rPr>
        <w:t>11</w:t>
      </w:r>
      <w:r w:rsidRPr="00934BBB" w:rsidR="00A63DE0">
        <w:rPr>
          <w:color w:val="000000"/>
          <w:vertAlign w:val="superscript"/>
        </w:rPr>
        <w:fldChar w:fldCharType="end"/>
      </w:r>
      <w:r>
        <w:rPr>
          <w:color w:val="000000"/>
        </w:rPr>
        <w:t xml:space="preserve"> Similarly, only one </w:t>
      </w:r>
      <w:r>
        <w:rPr>
          <w:color w:val="000000"/>
        </w:rPr>
        <w:t xml:space="preserve">attention maintenance </w:t>
      </w:r>
      <w:r>
        <w:rPr>
          <w:color w:val="000000"/>
        </w:rPr>
        <w:t>training program has been shown to decrease behaviors related to crashes</w:t>
      </w:r>
      <w:r w:rsidR="00804430">
        <w:rPr>
          <w:color w:val="000000"/>
        </w:rPr>
        <w:t xml:space="preserve">, in a group of novices </w:t>
      </w:r>
      <w:r w:rsidR="0023283E">
        <w:rPr>
          <w:color w:val="000000"/>
        </w:rPr>
        <w:t xml:space="preserve">with </w:t>
      </w:r>
      <w:r w:rsidR="00043312">
        <w:rPr>
          <w:color w:val="000000"/>
        </w:rPr>
        <w:t>a</w:t>
      </w:r>
      <w:r w:rsidRPr="00043312" w:rsidR="00043312">
        <w:rPr>
          <w:color w:val="000000"/>
        </w:rPr>
        <w:t>ttention-deficit/hyperactivity disorder</w:t>
      </w:r>
      <w:r w:rsidR="00043312">
        <w:rPr>
          <w:color w:val="000000"/>
        </w:rPr>
        <w:t xml:space="preserve"> (</w:t>
      </w:r>
      <w:r w:rsidR="00804430">
        <w:rPr>
          <w:color w:val="000000"/>
        </w:rPr>
        <w:t>A</w:t>
      </w:r>
      <w:r>
        <w:rPr>
          <w:color w:val="000000"/>
        </w:rPr>
        <w:t>DHD.</w:t>
      </w:r>
      <w:r w:rsidR="00043312">
        <w:rPr>
          <w:color w:val="000000"/>
        </w:rPr>
        <w:t>)</w:t>
      </w:r>
      <w:r>
        <w:rPr>
          <w:rStyle w:val="FootnoteReference"/>
        </w:rPr>
        <w:footnoteReference w:id="23"/>
      </w:r>
      <w:r>
        <w:rPr>
          <w:color w:val="000000"/>
        </w:rPr>
        <w:t xml:space="preserve"> However, no study has examined the effectiveness of hazard anticipation or attention maintenance training modified to run on a smartphone-like external monitor, with the goal of improving </w:t>
      </w:r>
      <w:r w:rsidR="00DA1CE0">
        <w:rPr>
          <w:color w:val="000000"/>
        </w:rPr>
        <w:t xml:space="preserve">the </w:t>
      </w:r>
      <w:r>
        <w:rPr>
          <w:color w:val="000000"/>
        </w:rPr>
        <w:t xml:space="preserve">availability and reducing the cost </w:t>
      </w:r>
      <w:r w:rsidR="001A3571">
        <w:rPr>
          <w:color w:val="000000"/>
        </w:rPr>
        <w:t>of</w:t>
      </w:r>
      <w:r>
        <w:rPr>
          <w:color w:val="000000"/>
        </w:rPr>
        <w:t xml:space="preserve"> training. Additionally, although </w:t>
      </w:r>
      <w:bookmarkStart w:id="19" w:name="_Hlk185327020"/>
      <w:r>
        <w:rPr>
          <w:color w:val="000000"/>
        </w:rPr>
        <w:t>prior studies suggest that hazard anticipation or attention maintenance training may especially benefit male novices,</w:t>
      </w:r>
      <w:r w:rsidRPr="00A63DE0" w:rsidR="00A63DE0">
        <w:rPr>
          <w:color w:val="000000"/>
          <w:vertAlign w:val="superscript"/>
        </w:rPr>
        <w:fldChar w:fldCharType="begin"/>
      </w:r>
      <w:r w:rsidRPr="00934BBB" w:rsidR="00A63DE0">
        <w:rPr>
          <w:color w:val="000000"/>
          <w:vertAlign w:val="superscript"/>
        </w:rPr>
        <w:instrText xml:space="preserve"> NOTEREF _Ref177996709 \h  \* MERGEFORMAT </w:instrText>
      </w:r>
      <w:r w:rsidRPr="00A63DE0" w:rsidR="00A63DE0">
        <w:rPr>
          <w:color w:val="000000"/>
          <w:vertAlign w:val="superscript"/>
        </w:rPr>
        <w:fldChar w:fldCharType="separate"/>
      </w:r>
      <w:r w:rsidRPr="00934BBB" w:rsidR="00A63DE0">
        <w:rPr>
          <w:color w:val="000000"/>
          <w:vertAlign w:val="superscript"/>
        </w:rPr>
        <w:t>11</w:t>
      </w:r>
      <w:r w:rsidRPr="00A63DE0" w:rsidR="00A63DE0">
        <w:rPr>
          <w:color w:val="000000"/>
          <w:vertAlign w:val="superscript"/>
        </w:rPr>
        <w:fldChar w:fldCharType="end"/>
      </w:r>
      <w:r>
        <w:rPr>
          <w:color w:val="000000"/>
        </w:rPr>
        <w:t xml:space="preserve"> novice drivers from lower SES backgrounds,</w:t>
      </w:r>
      <w:r w:rsidR="00A63DE0">
        <w:rPr>
          <w:color w:val="000000"/>
          <w:vertAlign w:val="superscript"/>
        </w:rPr>
        <w:fldChar w:fldCharType="begin"/>
      </w:r>
      <w:r w:rsidR="00A63DE0">
        <w:rPr>
          <w:color w:val="000000"/>
          <w:vertAlign w:val="superscript"/>
        </w:rPr>
        <w:instrText xml:space="preserve"> NOTEREF _Ref177996770 \h </w:instrText>
      </w:r>
      <w:r w:rsidR="00A63DE0">
        <w:rPr>
          <w:color w:val="000000"/>
          <w:vertAlign w:val="superscript"/>
        </w:rPr>
        <w:fldChar w:fldCharType="separate"/>
      </w:r>
      <w:r w:rsidR="00A63DE0">
        <w:rPr>
          <w:color w:val="000000"/>
          <w:vertAlign w:val="superscript"/>
        </w:rPr>
        <w:t>3</w:t>
      </w:r>
      <w:r w:rsidR="00A63DE0">
        <w:rPr>
          <w:color w:val="000000"/>
          <w:vertAlign w:val="superscript"/>
        </w:rPr>
        <w:fldChar w:fldCharType="end"/>
      </w:r>
      <w:r>
        <w:rPr>
          <w:color w:val="000000"/>
        </w:rPr>
        <w:t xml:space="preserve"> and </w:t>
      </w:r>
      <w:r w:rsidR="00BE57BA">
        <w:rPr>
          <w:color w:val="000000"/>
        </w:rPr>
        <w:t>young drivers</w:t>
      </w:r>
      <w:r w:rsidRPr="009363E1">
        <w:rPr>
          <w:color w:val="000000"/>
        </w:rPr>
        <w:t xml:space="preserve"> with lower levels of </w:t>
      </w:r>
      <w:r w:rsidRPr="009363E1" w:rsidR="004C5A75">
        <w:rPr>
          <w:color w:val="000000"/>
        </w:rPr>
        <w:t xml:space="preserve">the </w:t>
      </w:r>
      <w:r w:rsidRPr="009363E1">
        <w:rPr>
          <w:color w:val="000000"/>
        </w:rPr>
        <w:t>sensation seekin</w:t>
      </w:r>
      <w:r w:rsidRPr="004C5A75">
        <w:rPr>
          <w:color w:val="000000"/>
        </w:rPr>
        <w:t>g</w:t>
      </w:r>
      <w:r w:rsidRPr="004C5A75" w:rsidR="004C5A75">
        <w:rPr>
          <w:color w:val="000000"/>
        </w:rPr>
        <w:t xml:space="preserve"> and aggressiveness personality traits</w:t>
      </w:r>
      <w:r w:rsidRPr="004C5A75">
        <w:rPr>
          <w:color w:val="000000"/>
        </w:rPr>
        <w:t>,</w:t>
      </w:r>
      <w:r w:rsidRPr="009363E1" w:rsidR="00BE57BA">
        <w:rPr>
          <w:color w:val="000000"/>
          <w:vertAlign w:val="superscript"/>
        </w:rPr>
        <w:fldChar w:fldCharType="begin"/>
      </w:r>
      <w:r w:rsidRPr="009363E1" w:rsidR="00BE57BA">
        <w:rPr>
          <w:color w:val="000000"/>
          <w:vertAlign w:val="superscript"/>
        </w:rPr>
        <w:instrText xml:space="preserve"> NOTEREF _Ref185327204 \h  \* MERGEFORMAT </w:instrText>
      </w:r>
      <w:r w:rsidRPr="009363E1" w:rsidR="00BE57BA">
        <w:rPr>
          <w:color w:val="000000"/>
          <w:vertAlign w:val="superscript"/>
        </w:rPr>
        <w:fldChar w:fldCharType="separate"/>
      </w:r>
      <w:r w:rsidRPr="009363E1" w:rsidR="00BE57BA">
        <w:rPr>
          <w:color w:val="000000"/>
          <w:vertAlign w:val="superscript"/>
        </w:rPr>
        <w:t>16</w:t>
      </w:r>
      <w:r w:rsidRPr="009363E1" w:rsidR="00BE57BA">
        <w:rPr>
          <w:color w:val="000000"/>
          <w:vertAlign w:val="superscript"/>
        </w:rPr>
        <w:fldChar w:fldCharType="end"/>
      </w:r>
      <w:r w:rsidRPr="004C5A75">
        <w:rPr>
          <w:color w:val="000000"/>
        </w:rPr>
        <w:t xml:space="preserve"> </w:t>
      </w:r>
      <w:bookmarkEnd w:id="19"/>
      <w:r w:rsidRPr="004C5A75">
        <w:rPr>
          <w:color w:val="000000"/>
        </w:rPr>
        <w:t>the</w:t>
      </w:r>
      <w:r>
        <w:rPr>
          <w:color w:val="000000"/>
        </w:rPr>
        <w:t xml:space="preserve">se results have not been replicated. </w:t>
      </w:r>
    </w:p>
    <w:p w:rsidR="00664785" w:rsidP="00515D20" w14:paraId="798F4A25" w14:textId="11E8CE58">
      <w:pPr>
        <w:spacing w:after="200" w:line="276" w:lineRule="auto"/>
        <w:rPr>
          <w:color w:val="000000"/>
        </w:rPr>
      </w:pPr>
      <w:r>
        <w:rPr>
          <w:color w:val="000000"/>
        </w:rPr>
        <w:t xml:space="preserve">Existing data cannot be used to determine whether the effects of hazard anticipation and attention maintenance training—typically delivered on a desktop computer—generalize to training delivered on a smartphone-like </w:t>
      </w:r>
      <w:r w:rsidRPr="004C5A75">
        <w:rPr>
          <w:color w:val="000000"/>
        </w:rPr>
        <w:t xml:space="preserve">monitor. Similarly, new data </w:t>
      </w:r>
      <w:r w:rsidRPr="004C5A75" w:rsidR="00291DFA">
        <w:rPr>
          <w:color w:val="000000"/>
        </w:rPr>
        <w:t>are</w:t>
      </w:r>
      <w:r w:rsidRPr="004C5A75">
        <w:rPr>
          <w:color w:val="000000"/>
        </w:rPr>
        <w:t xml:space="preserve"> required to replicate </w:t>
      </w:r>
      <w:r w:rsidRPr="004C5A75" w:rsidR="00291DFA">
        <w:rPr>
          <w:color w:val="000000"/>
        </w:rPr>
        <w:t>two</w:t>
      </w:r>
      <w:r w:rsidRPr="004C5A75">
        <w:rPr>
          <w:color w:val="000000"/>
        </w:rPr>
        <w:t xml:space="preserve"> prior studies suggesting that the effectiveness of training differs across </w:t>
      </w:r>
      <w:r w:rsidR="00DD2AB5">
        <w:rPr>
          <w:color w:val="000000"/>
        </w:rPr>
        <w:t>sex</w:t>
      </w:r>
      <w:r w:rsidRPr="004C5A75">
        <w:rPr>
          <w:color w:val="000000"/>
        </w:rPr>
        <w:t xml:space="preserve">, SES, </w:t>
      </w:r>
      <w:r w:rsidRPr="009363E1">
        <w:rPr>
          <w:color w:val="000000"/>
        </w:rPr>
        <w:t xml:space="preserve">and </w:t>
      </w:r>
      <w:r w:rsidRPr="009363E1" w:rsidR="004C5A75">
        <w:rPr>
          <w:color w:val="000000"/>
        </w:rPr>
        <w:t xml:space="preserve">trait </w:t>
      </w:r>
      <w:r w:rsidRPr="009363E1">
        <w:rPr>
          <w:color w:val="000000"/>
        </w:rPr>
        <w:t>levels of sensation seeking</w:t>
      </w:r>
      <w:r w:rsidRPr="009363E1" w:rsidR="004C5A75">
        <w:rPr>
          <w:color w:val="000000"/>
        </w:rPr>
        <w:t xml:space="preserve"> and aggressiveness</w:t>
      </w:r>
      <w:r w:rsidRPr="009363E1">
        <w:rPr>
          <w:color w:val="000000"/>
        </w:rPr>
        <w:t>.</w:t>
      </w:r>
      <w:r w:rsidRPr="004C5A75">
        <w:rPr>
          <w:color w:val="000000"/>
        </w:rPr>
        <w:t xml:space="preserve"> Demonstrating</w:t>
      </w:r>
      <w:r>
        <w:rPr>
          <w:color w:val="000000"/>
        </w:rPr>
        <w:t xml:space="preserve"> these effects is a critical first step towards delivering smartphone-based training to novice drivers, particularly those who may be at higher risk.</w:t>
      </w:r>
    </w:p>
    <w:p w:rsidR="00664785" w:rsidRPr="00215DD6" w:rsidP="00515D20" w14:paraId="0EF9125E" w14:textId="42A03397">
      <w:pPr>
        <w:pStyle w:val="ListParagraph"/>
        <w:numPr>
          <w:ilvl w:val="0"/>
          <w:numId w:val="40"/>
        </w:numPr>
        <w:spacing w:after="200" w:line="276" w:lineRule="auto"/>
        <w:rPr>
          <w:b/>
        </w:rPr>
      </w:pPr>
      <w:r w:rsidRPr="00515D20">
        <w:rPr>
          <w:rStyle w:val="Heading1Char"/>
        </w:rPr>
        <w:t>If the collection</w:t>
      </w:r>
      <w:r w:rsidRPr="009B419A">
        <w:rPr>
          <w:rStyle w:val="Heading1Char"/>
        </w:rPr>
        <w:t xml:space="preserve"> of</w:t>
      </w:r>
      <w:r w:rsidRPr="005D0EFB">
        <w:rPr>
          <w:rStyle w:val="Heading1Char"/>
        </w:rPr>
        <w:t xml:space="preserve"> information involves small businesses or other small entities, describe the methods used</w:t>
      </w:r>
      <w:r w:rsidRPr="00087250">
        <w:rPr>
          <w:rStyle w:val="Heading1Char"/>
        </w:rPr>
        <w:t xml:space="preserve"> to minimize burden</w:t>
      </w:r>
      <w:bookmarkEnd w:id="18"/>
      <w:r w:rsidRPr="00215DD6">
        <w:rPr>
          <w:b/>
        </w:rPr>
        <w:t xml:space="preserve">. </w:t>
      </w:r>
    </w:p>
    <w:p w:rsidR="00664785" w:rsidRPr="0076768F" w:rsidP="00515D20" w14:paraId="017D5C8F" w14:textId="262572C6">
      <w:pPr>
        <w:spacing w:after="200" w:line="276" w:lineRule="auto"/>
      </w:pPr>
      <w:r w:rsidRPr="00EB249F">
        <w:t xml:space="preserve">There is no burden on small businesses </w:t>
      </w:r>
      <w:r>
        <w:t xml:space="preserve">or other small entities </w:t>
      </w:r>
      <w:r w:rsidRPr="00EB249F">
        <w:t>for this collection of information request.</w:t>
      </w:r>
      <w:r>
        <w:t xml:space="preserve"> Respondents are individuals meeting certain criteria and who volunteer for the study.</w:t>
      </w:r>
    </w:p>
    <w:p w:rsidR="00664785" w:rsidRPr="00215DD6" w:rsidP="00515D20" w14:paraId="60F3C09A" w14:textId="1E995FA9">
      <w:pPr>
        <w:pStyle w:val="Heading1"/>
        <w:spacing w:after="200" w:line="276" w:lineRule="auto"/>
      </w:pPr>
      <w:bookmarkStart w:id="20" w:name="_Toc6900682"/>
      <w:r w:rsidRPr="00515D20">
        <w:rPr>
          <w:rStyle w:val="Heading1Char"/>
          <w:b/>
          <w:bCs/>
        </w:rPr>
        <w:t>Describe the</w:t>
      </w:r>
      <w:r w:rsidRPr="009B419A">
        <w:rPr>
          <w:rStyle w:val="Heading1Char"/>
          <w:b/>
          <w:bCs/>
        </w:rPr>
        <w:t xml:space="preserve"> consequences</w:t>
      </w:r>
      <w:r w:rsidRPr="005D0EFB">
        <w:rPr>
          <w:rStyle w:val="Heading1Char"/>
          <w:b/>
          <w:bCs/>
        </w:rPr>
        <w:t xml:space="preserve"> to Federal program or policy activities if the collection is not collected or collected less frequently</w:t>
      </w:r>
      <w:bookmarkEnd w:id="20"/>
      <w:r w:rsidRPr="005D0EFB">
        <w:rPr>
          <w:rStyle w:val="Heading1Char"/>
          <w:b/>
          <w:bCs/>
        </w:rPr>
        <w:t>, as well as any technical or legal obstacles to reducing burden</w:t>
      </w:r>
      <w:r w:rsidRPr="00215DD6">
        <w:t>.</w:t>
      </w:r>
    </w:p>
    <w:p w:rsidR="00664785" w:rsidP="00515D20" w14:paraId="1A98411C" w14:textId="7665D7F1">
      <w:pPr>
        <w:spacing w:after="200" w:line="276" w:lineRule="auto"/>
        <w:rPr>
          <w:color w:val="000000"/>
        </w:rPr>
      </w:pPr>
      <w:r>
        <w:rPr>
          <w:color w:val="000000"/>
        </w:rPr>
        <w:t xml:space="preserve">NHTSA’s mission </w:t>
      </w:r>
      <w:r w:rsidRPr="00EC7B80">
        <w:rPr>
          <w:color w:val="000000"/>
        </w:rPr>
        <w:t>is to reduce the number of deaths, injuries, and economic losses resulting from motor vehicle crashes on our nation’s highways</w:t>
      </w:r>
      <w:r>
        <w:rPr>
          <w:color w:val="000000"/>
        </w:rPr>
        <w:t>, and the maj</w:t>
      </w:r>
      <w:r>
        <w:t xml:space="preserve">or components of </w:t>
      </w:r>
      <w:r w:rsidR="00365B28">
        <w:t xml:space="preserve">its </w:t>
      </w:r>
      <w:r>
        <w:t>behavioral traffic safety programs are education, enforcement, and outreach.</w:t>
      </w:r>
      <w:r>
        <w:rPr>
          <w:color w:val="000000"/>
        </w:rPr>
        <w:t xml:space="preserve"> </w:t>
      </w:r>
      <w:r>
        <w:t>In the five</w:t>
      </w:r>
      <w:r w:rsidR="004E5D7A">
        <w:t>-</w:t>
      </w:r>
      <w:r>
        <w:t xml:space="preserve">year period between 2017 and 2021, among </w:t>
      </w:r>
      <w:r w:rsidRPr="0040539A">
        <w:t xml:space="preserve">18- and </w:t>
      </w:r>
      <w:r w:rsidRPr="0040539A" w:rsidR="004E5D7A">
        <w:t>19-year-old</w:t>
      </w:r>
      <w:r w:rsidRPr="0040539A">
        <w:t xml:space="preserve"> drivers</w:t>
      </w:r>
      <w:r>
        <w:t>,</w:t>
      </w:r>
      <w:r w:rsidRPr="0040539A">
        <w:t xml:space="preserve"> </w:t>
      </w:r>
      <w:r>
        <w:t xml:space="preserve">a total of </w:t>
      </w:r>
      <w:r w:rsidRPr="0040539A">
        <w:t xml:space="preserve">10,675 </w:t>
      </w:r>
      <w:r>
        <w:t>were involved in fatal motor vehicle crashes</w:t>
      </w:r>
      <w:r w:rsidR="00365B28">
        <w:t>,</w:t>
      </w:r>
      <w:r>
        <w:rPr>
          <w:vertAlign w:val="superscript"/>
        </w:rPr>
        <w:footnoteReference w:id="24"/>
      </w:r>
      <w:r w:rsidRPr="0040539A">
        <w:t xml:space="preserve"> and an estimated 891,721</w:t>
      </w:r>
      <w:r>
        <w:t xml:space="preserve"> were involved in injury</w:t>
      </w:r>
      <w:r w:rsidR="00365B28">
        <w:t>-</w:t>
      </w:r>
      <w:r>
        <w:t>only motor vehicle crashes</w:t>
      </w:r>
      <w:r w:rsidRPr="0040539A">
        <w:t>.</w:t>
      </w:r>
      <w:r>
        <w:rPr>
          <w:vertAlign w:val="superscript"/>
        </w:rPr>
        <w:footnoteReference w:id="25"/>
      </w:r>
      <w:r>
        <w:t xml:space="preserve"> </w:t>
      </w:r>
      <w:r>
        <w:rPr>
          <w:color w:val="000000"/>
        </w:rPr>
        <w:t>Without the collection of th</w:t>
      </w:r>
      <w:r w:rsidR="00365B28">
        <w:rPr>
          <w:color w:val="000000"/>
        </w:rPr>
        <w:t>ese</w:t>
      </w:r>
      <w:r>
        <w:rPr>
          <w:color w:val="000000"/>
        </w:rPr>
        <w:t xml:space="preserve"> data, NHTSA’s ability to develop effective countermeasures to reduce traffic injuries and fatalities among novice drivers will be inhibited. Findings from this study will inform whether a novice driver training program delivered on a smartphone-like device reduces behaviors linked to crashes and whether this training may </w:t>
      </w:r>
      <w:r w:rsidRPr="004C5A75">
        <w:rPr>
          <w:color w:val="000000"/>
        </w:rPr>
        <w:t xml:space="preserve">be especially beneficial for novices of different </w:t>
      </w:r>
      <w:r w:rsidR="00DD2AB5">
        <w:rPr>
          <w:color w:val="000000"/>
        </w:rPr>
        <w:t>sexes</w:t>
      </w:r>
      <w:r w:rsidRPr="004C5A75">
        <w:rPr>
          <w:color w:val="000000"/>
        </w:rPr>
        <w:t xml:space="preserve">, levels of SES, and </w:t>
      </w:r>
      <w:r w:rsidRPr="004C5A75" w:rsidR="004C5A75">
        <w:rPr>
          <w:color w:val="000000"/>
        </w:rPr>
        <w:t xml:space="preserve">trait </w:t>
      </w:r>
      <w:r w:rsidRPr="009363E1">
        <w:rPr>
          <w:color w:val="000000"/>
        </w:rPr>
        <w:t>levels of sensation seeking</w:t>
      </w:r>
      <w:r w:rsidRPr="004C5A75" w:rsidR="004C5A75">
        <w:rPr>
          <w:color w:val="000000"/>
        </w:rPr>
        <w:t xml:space="preserve"> and aggressiveness</w:t>
      </w:r>
      <w:r>
        <w:rPr>
          <w:color w:val="000000"/>
        </w:rPr>
        <w:t>. This collection is a critical first step towards future efforts to deliver smartphone-based training to novice drivers, particularly those who may be at higher risk.</w:t>
      </w:r>
    </w:p>
    <w:p w:rsidR="00664785" w:rsidRPr="005D0EFB" w:rsidP="00515D20" w14:paraId="25ED9013" w14:textId="5082C956">
      <w:pPr>
        <w:pStyle w:val="Heading1"/>
        <w:spacing w:after="200" w:line="276" w:lineRule="auto"/>
        <w:rPr>
          <w:rFonts w:eastAsia="Calibri"/>
        </w:rPr>
      </w:pPr>
      <w:bookmarkStart w:id="21" w:name="_Toc6900683"/>
      <w:r w:rsidRPr="00515D20">
        <w:rPr>
          <w:rStyle w:val="Heading1Char"/>
          <w:rFonts w:eastAsia="Calibri"/>
          <w:b/>
          <w:bCs/>
        </w:rPr>
        <w:t>Explain a</w:t>
      </w:r>
      <w:r w:rsidRPr="009B419A">
        <w:rPr>
          <w:rStyle w:val="Heading1Char"/>
          <w:rFonts w:eastAsia="Calibri"/>
          <w:b/>
          <w:bCs/>
        </w:rPr>
        <w:t>ny</w:t>
      </w:r>
      <w:r w:rsidRPr="005D0EFB">
        <w:rPr>
          <w:rStyle w:val="Heading1Char"/>
          <w:rFonts w:eastAsia="Calibri"/>
          <w:b/>
          <w:bCs/>
        </w:rPr>
        <w:t xml:space="preserve"> special circumstances that would cause an information collection to be conducted in a manner</w:t>
      </w:r>
      <w:r w:rsidRPr="005D0EFB">
        <w:rPr>
          <w:rFonts w:eastAsia="Calibri"/>
        </w:rPr>
        <w:t>:</w:t>
      </w:r>
    </w:p>
    <w:p w:rsidR="00664785" w:rsidRPr="00215DD6" w:rsidP="00515D20" w14:paraId="30B2BD7C" w14:textId="05E97189">
      <w:pPr>
        <w:pStyle w:val="ListParagraph"/>
        <w:numPr>
          <w:ilvl w:val="1"/>
          <w:numId w:val="40"/>
        </w:numPr>
        <w:spacing w:after="200" w:line="276" w:lineRule="auto"/>
        <w:rPr>
          <w:rFonts w:eastAsia="Calibri"/>
          <w:b/>
          <w:bCs/>
        </w:rPr>
      </w:pPr>
      <w:r w:rsidRPr="00215DD6">
        <w:rPr>
          <w:rFonts w:eastAsia="Calibri"/>
          <w:b/>
          <w:bCs/>
        </w:rPr>
        <w:t xml:space="preserve">requiring respondents to report information to the agency more often than </w:t>
      </w:r>
      <w:r w:rsidRPr="00215DD6">
        <w:rPr>
          <w:rFonts w:eastAsia="Calibri"/>
          <w:b/>
          <w:bCs/>
        </w:rPr>
        <w:t>quarterly;</w:t>
      </w:r>
    </w:p>
    <w:p w:rsidR="00664785" w:rsidRPr="00215DD6" w:rsidP="00515D20" w14:paraId="2FB1C702" w14:textId="0F8A8858">
      <w:pPr>
        <w:pStyle w:val="ListParagraph"/>
        <w:numPr>
          <w:ilvl w:val="1"/>
          <w:numId w:val="40"/>
        </w:numPr>
        <w:spacing w:after="200" w:line="276" w:lineRule="auto"/>
        <w:rPr>
          <w:rFonts w:eastAsia="Calibri"/>
          <w:b/>
          <w:bCs/>
        </w:rPr>
      </w:pPr>
      <w:r w:rsidRPr="00215DD6">
        <w:rPr>
          <w:rFonts w:eastAsia="Calibri"/>
          <w:b/>
          <w:bCs/>
        </w:rPr>
        <w:t xml:space="preserve">requiring respondents to prepare a written response to a collection of information in fewer than 30 days after receipt of </w:t>
      </w:r>
      <w:r w:rsidRPr="00215DD6">
        <w:rPr>
          <w:rFonts w:eastAsia="Calibri"/>
          <w:b/>
          <w:bCs/>
        </w:rPr>
        <w:t>it;</w:t>
      </w:r>
    </w:p>
    <w:p w:rsidR="00664785" w:rsidRPr="00215DD6" w:rsidP="00515D20" w14:paraId="79209B41" w14:textId="61CE723C">
      <w:pPr>
        <w:pStyle w:val="ListParagraph"/>
        <w:numPr>
          <w:ilvl w:val="1"/>
          <w:numId w:val="40"/>
        </w:numPr>
        <w:spacing w:after="200" w:line="276" w:lineRule="auto"/>
        <w:rPr>
          <w:rFonts w:eastAsia="Calibri"/>
          <w:b/>
          <w:bCs/>
        </w:rPr>
      </w:pPr>
      <w:r w:rsidRPr="00215DD6">
        <w:rPr>
          <w:rFonts w:eastAsia="Calibri"/>
          <w:b/>
          <w:bCs/>
        </w:rPr>
        <w:t xml:space="preserve">requiring respondents to submit more than an original and two copies of any </w:t>
      </w:r>
      <w:r w:rsidRPr="00215DD6">
        <w:rPr>
          <w:rFonts w:eastAsia="Calibri"/>
          <w:b/>
          <w:bCs/>
        </w:rPr>
        <w:t>document;</w:t>
      </w:r>
    </w:p>
    <w:p w:rsidR="00664785" w:rsidRPr="00215DD6" w:rsidP="00515D20" w14:paraId="22316DC9" w14:textId="53835A1F">
      <w:pPr>
        <w:pStyle w:val="ListParagraph"/>
        <w:numPr>
          <w:ilvl w:val="1"/>
          <w:numId w:val="40"/>
        </w:numPr>
        <w:spacing w:after="200" w:line="276" w:lineRule="auto"/>
        <w:rPr>
          <w:rFonts w:eastAsia="Calibri"/>
          <w:b/>
          <w:bCs/>
        </w:rPr>
      </w:pPr>
      <w:r w:rsidRPr="00215DD6">
        <w:rPr>
          <w:rFonts w:eastAsia="Calibri"/>
          <w:b/>
          <w:bCs/>
        </w:rPr>
        <w:t xml:space="preserve">requiring respondents to retain records, other than health, medical, government contract, grant-in-aid, or tax records, for more than three </w:t>
      </w:r>
      <w:r w:rsidRPr="00215DD6">
        <w:rPr>
          <w:rFonts w:eastAsia="Calibri"/>
          <w:b/>
          <w:bCs/>
        </w:rPr>
        <w:t>years;</w:t>
      </w:r>
    </w:p>
    <w:p w:rsidR="00664785" w:rsidRPr="00215DD6" w:rsidP="00515D20" w14:paraId="08B148BD" w14:textId="1A231B64">
      <w:pPr>
        <w:pStyle w:val="ListParagraph"/>
        <w:numPr>
          <w:ilvl w:val="1"/>
          <w:numId w:val="40"/>
        </w:numPr>
        <w:spacing w:after="200" w:line="276" w:lineRule="auto"/>
        <w:rPr>
          <w:rFonts w:eastAsia="Calibri"/>
          <w:b/>
          <w:bCs/>
        </w:rPr>
      </w:pPr>
      <w:r w:rsidRPr="00215DD6">
        <w:rPr>
          <w:rFonts w:eastAsia="Calibri"/>
          <w:b/>
          <w:bCs/>
        </w:rPr>
        <w:t xml:space="preserve">in connection with a statistical survey, that is not designed to produce valid and reliable results that can be generalized to the universe of </w:t>
      </w:r>
      <w:r w:rsidRPr="00215DD6">
        <w:rPr>
          <w:rFonts w:eastAsia="Calibri"/>
          <w:b/>
          <w:bCs/>
        </w:rPr>
        <w:t>study;</w:t>
      </w:r>
    </w:p>
    <w:p w:rsidR="00664785" w:rsidRPr="00215DD6" w:rsidP="00515D20" w14:paraId="3EC78E74" w14:textId="45A85909">
      <w:pPr>
        <w:pStyle w:val="ListParagraph"/>
        <w:numPr>
          <w:ilvl w:val="1"/>
          <w:numId w:val="40"/>
        </w:numPr>
        <w:spacing w:after="200" w:line="276" w:lineRule="auto"/>
        <w:rPr>
          <w:rFonts w:eastAsia="Calibri"/>
          <w:b/>
          <w:bCs/>
        </w:rPr>
      </w:pPr>
      <w:r w:rsidRPr="00215DD6">
        <w:rPr>
          <w:rFonts w:eastAsia="Calibri"/>
          <w:b/>
          <w:bCs/>
        </w:rPr>
        <w:t xml:space="preserve">requiring the use of a statistical data classification that has not been reviewed and approved by </w:t>
      </w:r>
      <w:r w:rsidRPr="00215DD6">
        <w:rPr>
          <w:rFonts w:eastAsia="Calibri"/>
          <w:b/>
          <w:bCs/>
        </w:rPr>
        <w:t>OMB;</w:t>
      </w:r>
    </w:p>
    <w:p w:rsidR="00664785" w:rsidRPr="00215DD6" w:rsidP="00515D20" w14:paraId="10276081" w14:textId="6AB881EB">
      <w:pPr>
        <w:pStyle w:val="ListParagraph"/>
        <w:numPr>
          <w:ilvl w:val="1"/>
          <w:numId w:val="40"/>
        </w:numPr>
        <w:spacing w:after="200" w:line="276" w:lineRule="auto"/>
        <w:rPr>
          <w:rFonts w:eastAsia="Calibri"/>
          <w:b/>
          <w:bCs/>
        </w:rPr>
      </w:pPr>
      <w:r w:rsidRPr="00215DD6">
        <w:rPr>
          <w:rFonts w:eastAsia="Calibri"/>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64785" w:rsidRPr="00215DD6" w:rsidP="00515D20" w14:paraId="22C89DC0" w14:textId="77777777">
      <w:pPr>
        <w:pStyle w:val="ListParagraph"/>
        <w:numPr>
          <w:ilvl w:val="1"/>
          <w:numId w:val="40"/>
        </w:numPr>
        <w:spacing w:after="200" w:line="276" w:lineRule="auto"/>
        <w:rPr>
          <w:rFonts w:eastAsia="Calibri"/>
          <w:b/>
          <w:bCs/>
        </w:rPr>
      </w:pPr>
      <w:r w:rsidRPr="00215DD6">
        <w:rPr>
          <w:rFonts w:eastAsia="Calibri"/>
          <w:b/>
          <w:bCs/>
        </w:rPr>
        <w:t>requiring respondents to submit proprietary trade secrets, or other confidential information unless the agency can demonstrate that it has instituted procedures to protect the information's confidentiality to the extent permitted by law.</w:t>
      </w:r>
    </w:p>
    <w:bookmarkEnd w:id="21"/>
    <w:p w:rsidR="00664785" w:rsidP="00515D20" w14:paraId="2F4484B2" w14:textId="07983145">
      <w:pPr>
        <w:spacing w:after="200" w:line="276" w:lineRule="auto"/>
      </w:pPr>
      <w:r>
        <w:t>T</w:t>
      </w:r>
      <w:r>
        <w:t>here are no special circumstances that require this collection to be conducted in a manner inconsistent with guidelines in 5 CFR 1320.5(d)(2).</w:t>
      </w:r>
    </w:p>
    <w:p w:rsidR="00664785" w:rsidP="00515D20" w14:paraId="00DC83DD" w14:textId="7751EECF">
      <w:pPr>
        <w:pStyle w:val="Heading1"/>
        <w:spacing w:after="200" w:line="276" w:lineRule="auto"/>
      </w:pPr>
      <w:r w:rsidRPr="00515D20">
        <w:rPr>
          <w:rStyle w:val="Heading1Char"/>
          <w:b/>
        </w:rPr>
        <w:t>If applicable</w:t>
      </w:r>
      <w:r w:rsidRPr="009B419A">
        <w:rPr>
          <w:rStyle w:val="Heading1Char"/>
          <w:b/>
        </w:rPr>
        <w:t>,</w:t>
      </w:r>
      <w:r w:rsidRPr="005D0EFB">
        <w:rPr>
          <w:rStyle w:val="Heading1Char"/>
          <w:b/>
        </w:rPr>
        <w:t xml:space="preserve"> provide a copy and identify the date and page number of </w:t>
      </w:r>
      <w:r w:rsidRPr="005D0EFB">
        <w:rPr>
          <w:rStyle w:val="Heading1Char"/>
          <w:b/>
        </w:rPr>
        <w:t>publication</w:t>
      </w:r>
      <w:r w:rsidRPr="005D0EFB">
        <w:rPr>
          <w:rStyle w:val="Heading1Char"/>
          <w:b/>
        </w:rPr>
        <w:t xml:space="preserve"> in the Federal Register</w:t>
      </w:r>
      <w:r w:rsidRPr="005D0EFB">
        <w:rPr>
          <w:bCs w:val="0"/>
        </w:rPr>
        <w:t xml:space="preserve"> of the agency’s notice, required by 5 CFR 1320.8(d) soliciting comments on this collection of information prior to submission</w:t>
      </w:r>
      <w:r w:rsidRPr="00215DD6">
        <w:t xml:space="preserve"> to OMB. Summarize public comments received in response to the notice and describe the agency’s actions in response to the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and on the data elements to be recorded, disclosed, or reported.</w:t>
      </w:r>
    </w:p>
    <w:p w:rsidR="00204BAD" w:rsidP="00306FCE" w14:paraId="35358FD5" w14:textId="62DBC0C2">
      <w:pPr>
        <w:spacing w:after="200"/>
      </w:pPr>
      <w:r w:rsidRPr="0039138E">
        <w:t xml:space="preserve">NHTSA published a 60-day notice on </w:t>
      </w:r>
      <w:r w:rsidR="0039138E">
        <w:t>August 21, 2025</w:t>
      </w:r>
      <w:r>
        <w:t>,</w:t>
      </w:r>
      <w:r w:rsidRPr="0039138E">
        <w:t xml:space="preserve"> requesting comment on NHTSA’s intention to submit this ICR to OMB for approval (</w:t>
      </w:r>
      <w:r w:rsidR="0039138E">
        <w:t xml:space="preserve">90 </w:t>
      </w:r>
      <w:r w:rsidRPr="0039138E">
        <w:t xml:space="preserve">FR </w:t>
      </w:r>
      <w:r w:rsidR="0039138E">
        <w:t>160</w:t>
      </w:r>
      <w:r w:rsidRPr="0039138E">
        <w:t>). NHTSA received no comments.</w:t>
      </w:r>
      <w:r w:rsidR="00306FCE">
        <w:t xml:space="preserve"> </w:t>
      </w:r>
    </w:p>
    <w:p w:rsidR="00306FCE" w:rsidP="00306FCE" w14:paraId="5D02451F" w14:textId="7AAF6152">
      <w:pPr>
        <w:spacing w:after="200"/>
      </w:pPr>
      <w:r>
        <w:t>NHTSA published a 30-day notice on December 10, 2025,</w:t>
      </w:r>
      <w:r w:rsidRPr="00C204D7" w:rsidR="00C204D7">
        <w:t> </w:t>
      </w:r>
      <w:r>
        <w:t xml:space="preserve">that stated NHTSA’s intention to submit this ICR to OMB for approval (90 FR </w:t>
      </w:r>
      <w:r>
        <w:t>235</w:t>
      </w:r>
      <w:r>
        <w:t xml:space="preserve">). </w:t>
      </w:r>
    </w:p>
    <w:p w:rsidR="00C204D7" w:rsidRPr="00067586" w:rsidP="00306FCE" w14:paraId="5BF26A22" w14:textId="3B22992B">
      <w:pPr>
        <w:spacing w:after="200"/>
      </w:pPr>
      <w:r>
        <w:t>A copy of each notice is attached.</w:t>
      </w:r>
    </w:p>
    <w:p w:rsidR="00664785" w:rsidRPr="005D0EFB" w:rsidP="00515D20" w14:paraId="27ACFE1E" w14:textId="5562FFE8">
      <w:pPr>
        <w:pStyle w:val="Heading1"/>
        <w:spacing w:after="200" w:line="276" w:lineRule="auto"/>
      </w:pPr>
      <w:bookmarkStart w:id="22" w:name="_Toc6900685"/>
      <w:r w:rsidRPr="00515D20">
        <w:rPr>
          <w:rStyle w:val="Heading1Char"/>
          <w:b/>
          <w:bCs/>
        </w:rPr>
        <w:t>Explain any decisions</w:t>
      </w:r>
      <w:r w:rsidRPr="00380D28">
        <w:rPr>
          <w:rStyle w:val="Heading1Char"/>
          <w:b/>
          <w:bCs/>
        </w:rPr>
        <w:t xml:space="preserve"> to</w:t>
      </w:r>
      <w:r w:rsidRPr="005D0EFB">
        <w:rPr>
          <w:rStyle w:val="Heading1Char"/>
          <w:b/>
          <w:bCs/>
        </w:rPr>
        <w:t xml:space="preserve"> provide any payment or gift to respondents, other than remuneration of contractors or grantees</w:t>
      </w:r>
      <w:bookmarkEnd w:id="22"/>
      <w:r w:rsidRPr="005D0EFB">
        <w:t>.</w:t>
      </w:r>
    </w:p>
    <w:p w:rsidR="00664785" w:rsidRPr="00973387" w:rsidP="00515D20" w14:paraId="7C6CE846" w14:textId="18E81F43">
      <w:pPr>
        <w:spacing w:after="200" w:line="276" w:lineRule="auto"/>
        <w:rPr>
          <w:color w:val="000000"/>
        </w:rPr>
      </w:pPr>
      <w:r>
        <w:t>Participants</w:t>
      </w:r>
      <w:r w:rsidRPr="00AE04C9">
        <w:t xml:space="preserve"> who </w:t>
      </w:r>
      <w:r>
        <w:t xml:space="preserve">complete all study activities will receive a total compensation of </w:t>
      </w:r>
      <w:r w:rsidR="003B2B3A">
        <w:t xml:space="preserve">a </w:t>
      </w:r>
      <w:r w:rsidRPr="00EA6508">
        <w:t>$</w:t>
      </w:r>
      <w:r>
        <w:t>165</w:t>
      </w:r>
      <w:r w:rsidR="003B2B3A">
        <w:t xml:space="preserve"> Amazon gift card</w:t>
      </w:r>
      <w:r>
        <w:t xml:space="preserve"> to ensure compliance with and completion of the study protocol. </w:t>
      </w:r>
      <w:r w:rsidR="00DA1CE0">
        <w:t xml:space="preserve">Although the study site has not been finalized, our calculations assume that the study will be conducted in one potential study site area, Boston, Massachusetts. </w:t>
      </w:r>
      <w:r w:rsidRPr="008E6AD4">
        <w:t xml:space="preserve">To calculate the </w:t>
      </w:r>
      <w:r>
        <w:t>payment</w:t>
      </w:r>
      <w:r w:rsidRPr="008E6AD4">
        <w:t xml:space="preserve"> to participants in this study, </w:t>
      </w:r>
      <w:r>
        <w:t>we</w:t>
      </w:r>
      <w:r w:rsidRPr="008E6AD4">
        <w:t xml:space="preserve"> used</w:t>
      </w:r>
      <w:r>
        <w:t xml:space="preserve"> e</w:t>
      </w:r>
      <w:r w:rsidRPr="00FA6346">
        <w:t xml:space="preserve">stimates of the mean weighted hourly earnings (exclusive of non-earners) from the Current Population Survey (CPS) Integrated Public Use Microdata Series (IPUMS data) for 2023, </w:t>
      </w:r>
      <w:r>
        <w:t xml:space="preserve">focusing on </w:t>
      </w:r>
      <w:r w:rsidRPr="00FA6346">
        <w:t>Mass</w:t>
      </w:r>
      <w:r>
        <w:t>achusetts</w:t>
      </w:r>
      <w:r w:rsidRPr="00FA6346">
        <w:t xml:space="preserve"> residents</w:t>
      </w:r>
      <w:r>
        <w:t xml:space="preserve"> in the Boston metropolitan area</w:t>
      </w:r>
      <w:r w:rsidRPr="00FA6346">
        <w:t xml:space="preserve"> aged 18 and 19. Hourly earnings</w:t>
      </w:r>
      <w:r>
        <w:t xml:space="preserve"> of $18.79</w:t>
      </w:r>
      <w:r w:rsidRPr="00FA6346">
        <w:t xml:space="preserve"> include wage w</w:t>
      </w:r>
      <w:r>
        <w:t xml:space="preserve">ith </w:t>
      </w:r>
      <w:r w:rsidRPr="00FA6346">
        <w:t>tip, overtime, and commissions</w:t>
      </w:r>
      <w:r w:rsidRPr="008E6AD4">
        <w:t>.</w:t>
      </w:r>
      <w:r>
        <w:rPr>
          <w:rStyle w:val="FootnoteReference"/>
        </w:rPr>
        <w:footnoteReference w:id="26"/>
      </w:r>
      <w:r w:rsidRPr="008E6AD4">
        <w:t xml:space="preserve"> </w:t>
      </w:r>
      <w:r w:rsidRPr="00F3710F">
        <w:t xml:space="preserve">The hourly earnings of $18.79 have been increased by </w:t>
      </w:r>
      <w:r>
        <w:t>29</w:t>
      </w:r>
      <w:r w:rsidRPr="00F3710F">
        <w:t>% to reflect the full cost of labor ($24.2</w:t>
      </w:r>
      <w:r>
        <w:t>4</w:t>
      </w:r>
      <w:r w:rsidRPr="00F3710F">
        <w:t>), including benefits as computed by the Bureau of Labor Statistics</w:t>
      </w:r>
      <w:r>
        <w:t>.</w:t>
      </w:r>
      <w:r>
        <w:rPr>
          <w:rStyle w:val="FootnoteReference"/>
        </w:rPr>
        <w:footnoteReference w:id="27"/>
      </w:r>
    </w:p>
    <w:p w:rsidR="00664785" w:rsidP="00515D20" w14:paraId="597ACC97" w14:textId="68D764B5">
      <w:pPr>
        <w:keepNext/>
        <w:spacing w:after="200" w:line="276" w:lineRule="auto"/>
      </w:pPr>
      <w:r>
        <w:t xml:space="preserve">Compensation includes </w:t>
      </w:r>
      <w:r w:rsidRPr="00C1565E">
        <w:t>reimbursing each of the 16</w:t>
      </w:r>
      <w:r w:rsidR="008B1D90">
        <w:t>8</w:t>
      </w:r>
      <w:r w:rsidRPr="00C1565E">
        <w:t xml:space="preserve"> participant</w:t>
      </w:r>
      <w:r>
        <w:t>s</w:t>
      </w:r>
      <w:r w:rsidRPr="00C1565E">
        <w:t xml:space="preserve"> </w:t>
      </w:r>
      <w:r w:rsidRPr="0060093A">
        <w:t xml:space="preserve">for </w:t>
      </w:r>
      <w:r>
        <w:t>5</w:t>
      </w:r>
      <w:r w:rsidRPr="0060093A">
        <w:t xml:space="preserve"> hours</w:t>
      </w:r>
      <w:r>
        <w:t xml:space="preserve"> and 10 minutes</w:t>
      </w:r>
      <w:r w:rsidRPr="00C1565E">
        <w:t xml:space="preserve"> of their time </w:t>
      </w:r>
      <w:r>
        <w:t>(</w:t>
      </w:r>
      <w:r w:rsidR="001B042D">
        <w:t xml:space="preserve">which </w:t>
      </w:r>
      <w:r>
        <w:t>includ</w:t>
      </w:r>
      <w:r w:rsidR="001B042D">
        <w:t>es</w:t>
      </w:r>
      <w:r>
        <w:t xml:space="preserve"> 1 hour of round-trip travel time) </w:t>
      </w:r>
      <w:r w:rsidRPr="00C1565E">
        <w:t>to fully complete study activities (</w:t>
      </w:r>
      <w:r>
        <w:t>about $125</w:t>
      </w:r>
      <w:r w:rsidRPr="00C1565E">
        <w:t xml:space="preserve">). </w:t>
      </w:r>
      <w:r>
        <w:t>C</w:t>
      </w:r>
      <w:r w:rsidRPr="00C1565E">
        <w:t xml:space="preserve">ompensation </w:t>
      </w:r>
      <w:r>
        <w:t>also includes reimbursing each of the 16</w:t>
      </w:r>
      <w:r w:rsidR="001B042D">
        <w:t>8</w:t>
      </w:r>
      <w:r>
        <w:t xml:space="preserve"> participants </w:t>
      </w:r>
      <w:r w:rsidRPr="00C1565E">
        <w:t>for the estimated cost of a trip to and from a participant’s home</w:t>
      </w:r>
      <w:r>
        <w:t xml:space="preserve"> around the Boston metropolitan area</w:t>
      </w:r>
      <w:r w:rsidRPr="00C1565E">
        <w:t xml:space="preserve"> to the </w:t>
      </w:r>
      <w:r w:rsidR="00661660">
        <w:t>research center</w:t>
      </w:r>
      <w:r w:rsidRPr="00C1565E">
        <w:t xml:space="preserve"> using ride share</w:t>
      </w:r>
      <w:r>
        <w:t xml:space="preserve"> (e.g., Uber, Lyft)</w:t>
      </w:r>
      <w:r w:rsidRPr="00C1565E">
        <w:t>. On average, a Lyft ride</w:t>
      </w:r>
      <w:r>
        <w:t xml:space="preserve"> in the Boston area</w:t>
      </w:r>
      <w:r w:rsidRPr="00C1565E">
        <w:t xml:space="preserve"> is </w:t>
      </w:r>
      <w:r>
        <w:t>$</w:t>
      </w:r>
      <w:r w:rsidRPr="00C1565E">
        <w:t>0.92</w:t>
      </w:r>
      <w:r>
        <w:t xml:space="preserve"> per </w:t>
      </w:r>
      <w:r w:rsidRPr="00C1565E">
        <w:t xml:space="preserve">mile and </w:t>
      </w:r>
      <w:r w:rsidRPr="00215DD6">
        <w:t>$</w:t>
      </w:r>
      <w:r w:rsidRPr="00C1565E">
        <w:t>0.37</w:t>
      </w:r>
      <w:r>
        <w:t xml:space="preserve"> per </w:t>
      </w:r>
      <w:r w:rsidRPr="00C1565E">
        <w:t>minute</w:t>
      </w:r>
      <w:r>
        <w:t>.</w:t>
      </w:r>
      <w:r>
        <w:rPr>
          <w:rStyle w:val="FootnoteReference"/>
        </w:rPr>
        <w:footnoteReference w:id="28"/>
      </w:r>
      <w:r w:rsidRPr="00C1565E">
        <w:t xml:space="preserve"> </w:t>
      </w:r>
      <w:r>
        <w:t xml:space="preserve">Using an estimated average trip length of </w:t>
      </w:r>
      <w:r w:rsidRPr="00C1565E">
        <w:t xml:space="preserve">10 miles and 30 minutes in length, then this comes to </w:t>
      </w:r>
      <w:r>
        <w:t xml:space="preserve">approximately </w:t>
      </w:r>
      <w:r w:rsidRPr="00215DD6">
        <w:t>$</w:t>
      </w:r>
      <w:r w:rsidRPr="00C1565E">
        <w:t xml:space="preserve">40 per round trip. </w:t>
      </w:r>
      <w:r>
        <w:t>Thus, t</w:t>
      </w:r>
      <w:r w:rsidRPr="00C1565E">
        <w:t xml:space="preserve">he total compensation per participant </w:t>
      </w:r>
      <w:r>
        <w:t>is</w:t>
      </w:r>
      <w:r w:rsidRPr="00C1565E">
        <w:t xml:space="preserve"> </w:t>
      </w:r>
      <w:r w:rsidRPr="00215DD6">
        <w:t>$</w:t>
      </w:r>
      <w:r>
        <w:t>165.</w:t>
      </w:r>
      <w:r w:rsidR="00940BAA">
        <w:t xml:space="preserve"> The research team’s </w:t>
      </w:r>
      <w:r>
        <w:t>experience indicates that the proposed level of compensation is required to recruit enough participants to provide adequate statistical power to test the study’s hypotheses</w:t>
      </w:r>
      <w:r w:rsidR="00043312">
        <w:t xml:space="preserve"> and to </w:t>
      </w:r>
      <w:r w:rsidRPr="00043312" w:rsidR="00043312">
        <w:t>ensure their continued participation throughout the study</w:t>
      </w:r>
      <w:r>
        <w:t>.</w:t>
      </w:r>
    </w:p>
    <w:p w:rsidR="007F2312" w:rsidRPr="00A566DF" w:rsidP="007F2312" w14:paraId="782745FB" w14:textId="2A3F6AE5">
      <w:pPr>
        <w:pStyle w:val="Heading1"/>
        <w:spacing w:after="200" w:line="276" w:lineRule="auto"/>
        <w:rPr>
          <w:rStyle w:val="Heading1Char"/>
          <w:b/>
          <w:bCs/>
        </w:rPr>
      </w:pPr>
      <w:r w:rsidRPr="00515D20">
        <w:rPr>
          <w:rStyle w:val="Heading1Char"/>
          <w:b/>
          <w:bCs/>
        </w:rPr>
        <w:t>Describe an</w:t>
      </w:r>
      <w:r w:rsidRPr="009912EC">
        <w:rPr>
          <w:rStyle w:val="Heading1Char"/>
          <w:b/>
          <w:bCs/>
        </w:rPr>
        <w:t>y assurance</w:t>
      </w:r>
      <w:r w:rsidRPr="005D0EFB">
        <w:rPr>
          <w:rStyle w:val="Heading1Char"/>
          <w:b/>
          <w:bCs/>
        </w:rPr>
        <w:t xml:space="preserve"> of confidentiality provided to respondents and the basis for the assurance in statute, regulation, or agency policy. If the collection requires a system of records notice (SORN) or privacy impact assessment (PIA), those should be cited and described here.</w:t>
      </w:r>
    </w:p>
    <w:p w:rsidR="007F2312" w:rsidP="007F2312" w14:paraId="15B49450" w14:textId="5DF49653">
      <w:pPr>
        <w:spacing w:after="200" w:line="276" w:lineRule="auto"/>
      </w:pPr>
      <w:r>
        <w:t xml:space="preserve">Participants who are eligible and choose to participate in this study will complete </w:t>
      </w:r>
      <w:r w:rsidRPr="00562097">
        <w:t>an</w:t>
      </w:r>
      <w:r>
        <w:t xml:space="preserve"> IRB-approved</w:t>
      </w:r>
      <w:r w:rsidRPr="00562097">
        <w:t xml:space="preserve"> </w:t>
      </w:r>
      <w:r>
        <w:t>i</w:t>
      </w:r>
      <w:r w:rsidRPr="00562097">
        <w:t xml:space="preserve">nformed </w:t>
      </w:r>
      <w:r>
        <w:t>c</w:t>
      </w:r>
      <w:r w:rsidRPr="00562097">
        <w:t xml:space="preserve">onsent </w:t>
      </w:r>
      <w:r>
        <w:t>process that indicates</w:t>
      </w:r>
      <w:r w:rsidRPr="00562097">
        <w:t xml:space="preserve"> no personal</w:t>
      </w:r>
      <w:r>
        <w:t>ly identifiable</w:t>
      </w:r>
      <w:r w:rsidRPr="00562097">
        <w:t xml:space="preserve"> information will be published </w:t>
      </w:r>
      <w:r>
        <w:t xml:space="preserve">or shared </w:t>
      </w:r>
      <w:r w:rsidRPr="00562097">
        <w:t xml:space="preserve">with </w:t>
      </w:r>
      <w:r>
        <w:t>any organization other than NHTSA</w:t>
      </w:r>
      <w:r w:rsidR="00940BAA">
        <w:t xml:space="preserve"> or the research team’s organization</w:t>
      </w:r>
      <w:r>
        <w:t xml:space="preserve">. </w:t>
      </w:r>
      <w:r w:rsidRPr="00562097">
        <w:t xml:space="preserve">All published results will provide only summary statistics that cannot be used to identify any individual or </w:t>
      </w:r>
      <w:r>
        <w:t xml:space="preserve">an </w:t>
      </w:r>
      <w:r w:rsidRPr="00562097">
        <w:t>individual</w:t>
      </w:r>
      <w:r>
        <w:t>’s</w:t>
      </w:r>
      <w:r w:rsidRPr="00562097">
        <w:t xml:space="preserve"> responses.</w:t>
      </w:r>
      <w:r>
        <w:t xml:space="preserve"> All datasets that contain individual level study data will be de-identified. </w:t>
      </w:r>
    </w:p>
    <w:p w:rsidR="007F2312" w:rsidP="007F2312" w14:paraId="4BAA8AB7" w14:textId="0448FBDB">
      <w:pPr>
        <w:spacing w:after="200" w:line="276" w:lineRule="auto"/>
      </w:pPr>
      <w:r>
        <w:t>NHTSA has published a</w:t>
      </w:r>
      <w:r w:rsidRPr="005E6558">
        <w:t xml:space="preserve"> PIA for </w:t>
      </w:r>
      <w:r>
        <w:t xml:space="preserve">behavioral </w:t>
      </w:r>
      <w:r w:rsidRPr="005E6558">
        <w:t xml:space="preserve">research </w:t>
      </w:r>
      <w:r>
        <w:t xml:space="preserve">studies conducted by its </w:t>
      </w:r>
      <w:r w:rsidRPr="005E6558">
        <w:t>Office of Behavioral Safety Research</w:t>
      </w:r>
      <w:r>
        <w:t xml:space="preserve">. </w:t>
      </w:r>
      <w:r w:rsidRPr="00815D18">
        <w:t xml:space="preserve">The Department’s Senior Agency Official for Privacy adjudicated the </w:t>
      </w:r>
      <w:r w:rsidRPr="006832AD">
        <w:t>PIA on June 10, 2019, and it is available at</w:t>
      </w:r>
      <w:r w:rsidR="00D13674">
        <w:t xml:space="preserve"> </w:t>
      </w:r>
      <w:hyperlink r:id="rId9" w:history="1">
        <w:r w:rsidRPr="00E77A10" w:rsidR="00D13674">
          <w:rPr>
            <w:rStyle w:val="Hyperlink"/>
          </w:rPr>
          <w:t>https://www.transportation.gov/individuals/privacy/nhtsa-office-behavioral-safety-research-obsr-research-studies</w:t>
        </w:r>
      </w:hyperlink>
      <w:r w:rsidRPr="006832AD" w:rsidR="006832AD">
        <w:t>.</w:t>
      </w:r>
      <w:r w:rsidRPr="006832AD">
        <w:t xml:space="preserve"> </w:t>
      </w:r>
    </w:p>
    <w:p w:rsidR="00664785" w:rsidRPr="00215DD6" w:rsidP="00515D20" w14:paraId="6262FBAA" w14:textId="482649CA">
      <w:pPr>
        <w:pStyle w:val="Heading1"/>
        <w:spacing w:after="200" w:line="276" w:lineRule="auto"/>
      </w:pPr>
      <w:bookmarkStart w:id="23" w:name="_Toc6900687"/>
      <w:r w:rsidRPr="00515D20">
        <w:rPr>
          <w:rStyle w:val="Heading1Char"/>
          <w:b/>
        </w:rPr>
        <w:t>Provide additional</w:t>
      </w:r>
      <w:r w:rsidRPr="009912EC">
        <w:rPr>
          <w:rStyle w:val="Heading1Char"/>
          <w:b/>
        </w:rPr>
        <w:t xml:space="preserve"> justification</w:t>
      </w:r>
      <w:r w:rsidRPr="005D0EFB">
        <w:rPr>
          <w:rStyle w:val="Heading1Char"/>
          <w:b/>
        </w:rPr>
        <w:t xml:space="preserve"> for any questions of a sensitive nature, such as sexual behavior or attitudes, religious </w:t>
      </w:r>
      <w:r w:rsidRPr="005D0EFB">
        <w:rPr>
          <w:rStyle w:val="Heading1Char"/>
          <w:b/>
          <w:bCs/>
        </w:rPr>
        <w:t>beliefs</w:t>
      </w:r>
      <w:r w:rsidRPr="005D0EFB">
        <w:rPr>
          <w:rStyle w:val="Heading1Char"/>
          <w:b/>
        </w:rPr>
        <w:t>, and other matters that are commonly considered private</w:t>
      </w:r>
      <w:bookmarkEnd w:id="23"/>
      <w:r w:rsidRPr="005D0EFB">
        <w:t>. This justification should include the reasons why the agency considers the questions necessary</w:t>
      </w:r>
      <w:r w:rsidRPr="00215DD6">
        <w:t>, the specific uses to be made of the information, the explanation to be given to persons from whom the information is requested, and any steps to be taken to obtain their consent.</w:t>
      </w:r>
    </w:p>
    <w:p w:rsidR="001B042D" w:rsidP="00087F89" w14:paraId="731E2F85" w14:textId="77777777">
      <w:pPr>
        <w:spacing w:after="200" w:line="276" w:lineRule="auto"/>
      </w:pPr>
      <w:r>
        <w:t xml:space="preserve">The questionnaires used in this study </w:t>
      </w:r>
      <w:r w:rsidR="00087F89">
        <w:t xml:space="preserve">include questions about: </w:t>
      </w:r>
    </w:p>
    <w:p w:rsidR="001B042D" w:rsidP="001B042D" w14:paraId="5728F31B" w14:textId="55DC8F51">
      <w:pPr>
        <w:pStyle w:val="ListParagraph"/>
        <w:numPr>
          <w:ilvl w:val="0"/>
          <w:numId w:val="47"/>
        </w:numPr>
        <w:spacing w:after="200" w:line="276" w:lineRule="auto"/>
      </w:pPr>
      <w:r>
        <w:t>T</w:t>
      </w:r>
      <w:r w:rsidR="00087F89">
        <w:t xml:space="preserve">he potential for motion-related driving simulator </w:t>
      </w:r>
      <w:r w:rsidR="00087F89">
        <w:t>sickness;</w:t>
      </w:r>
    </w:p>
    <w:p w:rsidR="001B042D" w:rsidP="001B042D" w14:paraId="2052A589" w14:textId="097306F9">
      <w:pPr>
        <w:pStyle w:val="ListParagraph"/>
        <w:numPr>
          <w:ilvl w:val="0"/>
          <w:numId w:val="47"/>
        </w:numPr>
        <w:spacing w:after="200" w:line="276" w:lineRule="auto"/>
      </w:pPr>
      <w:r>
        <w:t>D</w:t>
      </w:r>
      <w:r w:rsidR="00087F89">
        <w:t>emographics;</w:t>
      </w:r>
    </w:p>
    <w:p w:rsidR="001B042D" w:rsidP="001B042D" w14:paraId="716AA213" w14:textId="3888BB23">
      <w:pPr>
        <w:pStyle w:val="ListParagraph"/>
        <w:numPr>
          <w:ilvl w:val="0"/>
          <w:numId w:val="47"/>
        </w:numPr>
        <w:spacing w:after="200" w:line="276" w:lineRule="auto"/>
      </w:pPr>
      <w:r>
        <w:t>D</w:t>
      </w:r>
      <w:r w:rsidR="00087F89">
        <w:t xml:space="preserve">riving </w:t>
      </w:r>
      <w:r w:rsidR="00087F89">
        <w:t>experience;</w:t>
      </w:r>
    </w:p>
    <w:p w:rsidR="001B042D" w:rsidP="001B042D" w14:paraId="50372884" w14:textId="0AE2A381">
      <w:pPr>
        <w:pStyle w:val="ListParagraph"/>
        <w:numPr>
          <w:ilvl w:val="0"/>
          <w:numId w:val="47"/>
        </w:numPr>
        <w:spacing w:after="200" w:line="276" w:lineRule="auto"/>
      </w:pPr>
      <w:r w:rsidRPr="009363E1">
        <w:t xml:space="preserve">The personality traits of </w:t>
      </w:r>
      <w:r w:rsidRPr="009363E1" w:rsidR="00087F89">
        <w:t xml:space="preserve">sensation seeking </w:t>
      </w:r>
      <w:r w:rsidRPr="009363E1">
        <w:t>and</w:t>
      </w:r>
      <w:r w:rsidRPr="009363E1" w:rsidR="00087F89">
        <w:t xml:space="preserve"> aggressi</w:t>
      </w:r>
      <w:r w:rsidRPr="009363E1">
        <w:t>veness</w:t>
      </w:r>
      <w:r w:rsidRPr="004C5A75" w:rsidR="00087F89">
        <w:t>;</w:t>
      </w:r>
      <w:r w:rsidR="00087F89">
        <w:t xml:space="preserve"> and</w:t>
      </w:r>
    </w:p>
    <w:p w:rsidR="001B042D" w:rsidP="001B042D" w14:paraId="768E404B" w14:textId="78B4BB04">
      <w:pPr>
        <w:pStyle w:val="ListParagraph"/>
        <w:numPr>
          <w:ilvl w:val="0"/>
          <w:numId w:val="47"/>
        </w:numPr>
        <w:spacing w:after="200" w:line="276" w:lineRule="auto"/>
      </w:pPr>
      <w:r>
        <w:t>D</w:t>
      </w:r>
      <w:r w:rsidR="00087F89">
        <w:t>riving behaviors.</w:t>
      </w:r>
    </w:p>
    <w:p w:rsidR="00664785" w:rsidRPr="00AE04C9" w:rsidP="001B042D" w14:paraId="4FCBE253" w14:textId="2C2CED81">
      <w:pPr>
        <w:spacing w:after="200" w:line="276" w:lineRule="auto"/>
      </w:pPr>
      <w:r>
        <w:t xml:space="preserve">These questionnaires do not contain items believed to be of a sensitive nature. </w:t>
      </w:r>
      <w:r w:rsidRPr="00087F89">
        <w:t xml:space="preserve">While some </w:t>
      </w:r>
      <w:r>
        <w:t xml:space="preserve">questions ask about </w:t>
      </w:r>
      <w:r w:rsidRPr="00087F89">
        <w:t xml:space="preserve">behaviors </w:t>
      </w:r>
      <w:r>
        <w:t>that</w:t>
      </w:r>
      <w:r w:rsidRPr="00087F89">
        <w:t xml:space="preserve"> may be considered unsafe, no behaviors should be particularly sensitive to report. Additionally, </w:t>
      </w:r>
      <w:r w:rsidR="001B042D">
        <w:t>responses</w:t>
      </w:r>
      <w:r w:rsidRPr="00087F89">
        <w:t xml:space="preserve"> will be anonymized and reported only in the aggregate. Collecting this information is critical to understanding </w:t>
      </w:r>
      <w:r>
        <w:t>whether the developed training is more effective for higher risk novice drivers.</w:t>
      </w:r>
      <w:r w:rsidRPr="00087F89">
        <w:t xml:space="preserve"> </w:t>
      </w:r>
    </w:p>
    <w:p w:rsidR="00664785" w:rsidRPr="005D0EFB" w:rsidP="00515D20" w14:paraId="36F9235E" w14:textId="4F2A0D43">
      <w:pPr>
        <w:pStyle w:val="Heading1"/>
        <w:spacing w:after="200" w:line="276" w:lineRule="auto"/>
        <w:rPr>
          <w:caps/>
        </w:rPr>
      </w:pPr>
      <w:bookmarkStart w:id="24" w:name="_Toc6900688"/>
      <w:r w:rsidRPr="00515D20">
        <w:rPr>
          <w:rStyle w:val="Heading1Char"/>
          <w:b/>
          <w:bCs/>
        </w:rPr>
        <w:t>Provide es</w:t>
      </w:r>
      <w:r w:rsidRPr="009912EC">
        <w:rPr>
          <w:rStyle w:val="Heading1Char"/>
          <w:b/>
          <w:bCs/>
        </w:rPr>
        <w:t>timates</w:t>
      </w:r>
      <w:r w:rsidRPr="005D0EFB">
        <w:rPr>
          <w:rStyle w:val="Heading1Char"/>
          <w:b/>
          <w:bCs/>
        </w:rPr>
        <w:t xml:space="preserve"> of the hour burden of the collection of information on the respondent and estimates of the annualized labor cost to respondents associated with that hour burden.</w:t>
      </w:r>
      <w:bookmarkEnd w:id="24"/>
    </w:p>
    <w:p w:rsidR="00664785" w:rsidP="00934BBB" w14:paraId="5A383AEA" w14:textId="3C2D8CAF">
      <w:pPr>
        <w:spacing w:after="200" w:line="276" w:lineRule="auto"/>
      </w:pPr>
      <w:r>
        <w:t>The research team</w:t>
      </w:r>
      <w:r w:rsidRPr="008E6AD4">
        <w:t xml:space="preserve"> expects to provide screening questionnaires to </w:t>
      </w:r>
      <w:r w:rsidR="001B042D">
        <w:t xml:space="preserve">an estimated </w:t>
      </w:r>
      <w:r w:rsidR="00557A06">
        <w:t>1,0</w:t>
      </w:r>
      <w:r>
        <w:t>0</w:t>
      </w:r>
      <w:r w:rsidR="008B1D90">
        <w:t>2</w:t>
      </w:r>
      <w:r w:rsidRPr="008E6AD4">
        <w:t xml:space="preserve"> potential participants to determine their </w:t>
      </w:r>
      <w:r w:rsidR="007C61C6">
        <w:t xml:space="preserve">interest and </w:t>
      </w:r>
      <w:r w:rsidRPr="008E6AD4">
        <w:t>eligibility for the study</w:t>
      </w:r>
      <w:r w:rsidR="00753433">
        <w:t xml:space="preserve">. </w:t>
      </w:r>
      <w:r w:rsidR="00BB7F6B">
        <w:t>T</w:t>
      </w:r>
      <w:r w:rsidRPr="007A3E2D" w:rsidR="00BB7F6B">
        <w:t xml:space="preserve">he </w:t>
      </w:r>
      <w:r>
        <w:t>research team</w:t>
      </w:r>
      <w:r w:rsidRPr="007A3E2D" w:rsidR="00BB7F6B">
        <w:t xml:space="preserve"> will</w:t>
      </w:r>
      <w:r w:rsidR="00BB7F6B">
        <w:t xml:space="preserve"> </w:t>
      </w:r>
      <w:r w:rsidRPr="007A3E2D" w:rsidR="00BB7F6B">
        <w:t xml:space="preserve">post the opportunity on social media platforms likely to be seen by eligible participants and provide it to </w:t>
      </w:r>
      <w:r w:rsidR="00202CF4">
        <w:t xml:space="preserve">existing </w:t>
      </w:r>
      <w:r w:rsidRPr="007A3E2D" w:rsidR="00BB7F6B">
        <w:t>contacts (e.g., managers at neighborhood development community centers</w:t>
      </w:r>
      <w:r w:rsidR="00BB7F6B">
        <w:t>,</w:t>
      </w:r>
      <w:r w:rsidRPr="007A3E2D" w:rsidR="00BB7F6B">
        <w:t xml:space="preserve"> teen centers</w:t>
      </w:r>
      <w:r w:rsidR="00BB7F6B">
        <w:t>,</w:t>
      </w:r>
      <w:r w:rsidRPr="007A3E2D" w:rsidR="00BB7F6B">
        <w:t xml:space="preserve"> community college faculty in the area</w:t>
      </w:r>
      <w:r w:rsidR="00BB7F6B">
        <w:t>,</w:t>
      </w:r>
      <w:r w:rsidRPr="007A3E2D" w:rsidR="00BB7F6B">
        <w:t xml:space="preserve"> high school principals</w:t>
      </w:r>
      <w:r w:rsidR="00BB7F6B">
        <w:t>,</w:t>
      </w:r>
      <w:r w:rsidRPr="007A3E2D" w:rsidR="00BB7F6B">
        <w:t xml:space="preserve"> local driving schools)</w:t>
      </w:r>
      <w:r w:rsidR="00202CF4">
        <w:t xml:space="preserve"> in local communities</w:t>
      </w:r>
      <w:r w:rsidRPr="007A3E2D" w:rsidR="00BB7F6B">
        <w:t>.</w:t>
      </w:r>
      <w:r w:rsidR="00BB7F6B">
        <w:t xml:space="preserve"> </w:t>
      </w:r>
      <w:bookmarkStart w:id="25" w:name="_Hlk192584705"/>
      <w:bookmarkStart w:id="26" w:name="_Hlk192584655"/>
      <w:r w:rsidR="00E33B69">
        <w:t xml:space="preserve">The research team will also contact potential participants </w:t>
      </w:r>
      <w:r w:rsidRPr="007A3E2D" w:rsidR="00E33B69">
        <w:t>via e-mail or phone who indicated a prior interest in similar past studies if they agreed to be contacted about future opportunities.</w:t>
      </w:r>
      <w:bookmarkEnd w:id="25"/>
      <w:r w:rsidR="00E33B69">
        <w:t xml:space="preserve"> </w:t>
      </w:r>
      <w:bookmarkEnd w:id="26"/>
      <w:r w:rsidR="00067586">
        <w:t xml:space="preserve">Completing the screening questionnaire </w:t>
      </w:r>
      <w:r w:rsidRPr="008E6AD4">
        <w:t>has an estimated burden of 5</w:t>
      </w:r>
      <w:r>
        <w:t xml:space="preserve"> </w:t>
      </w:r>
      <w:r w:rsidRPr="008E6AD4">
        <w:t xml:space="preserve">minutes per </w:t>
      </w:r>
      <w:r>
        <w:t>respondent</w:t>
      </w:r>
      <w:r w:rsidRPr="008E6AD4">
        <w:t xml:space="preserve"> (</w:t>
      </w:r>
      <w:r w:rsidRPr="00676676" w:rsidR="004D1814">
        <w:t>a</w:t>
      </w:r>
      <w:r w:rsidR="004D1814">
        <w:t>n annual burden of 28 hours for 334 annual respondents, averaged over the three-year approval period</w:t>
      </w:r>
      <w:r w:rsidRPr="008E6AD4">
        <w:t>)</w:t>
      </w:r>
      <w:r w:rsidR="00BD2013">
        <w:t xml:space="preserve"> (Table 1).</w:t>
      </w:r>
    </w:p>
    <w:p w:rsidR="009E6686" w:rsidP="00BD2013" w14:paraId="2A8EFB22" w14:textId="359BD799">
      <w:pPr>
        <w:spacing w:after="200" w:line="276" w:lineRule="auto"/>
      </w:pPr>
      <w:r>
        <w:t>Similar to a NHTSA behavioral study recently reviewed by OMB,</w:t>
      </w:r>
      <w:r>
        <w:rPr>
          <w:rStyle w:val="FootnoteReference"/>
        </w:rPr>
        <w:footnoteReference w:id="29"/>
      </w:r>
      <w:r>
        <w:t xml:space="preserve"> we estimate that</w:t>
      </w:r>
      <w:r w:rsidRPr="00753433">
        <w:t xml:space="preserve"> </w:t>
      </w:r>
      <w:r>
        <w:t>approximately 18</w:t>
      </w:r>
      <w:r w:rsidRPr="00753433">
        <w:t>%</w:t>
      </w:r>
      <w:r>
        <w:t xml:space="preserve"> (180 individuals)</w:t>
      </w:r>
      <w:r w:rsidRPr="00753433">
        <w:t xml:space="preserve"> of those who</w:t>
      </w:r>
      <w:r w:rsidR="007C61C6">
        <w:t xml:space="preserve"> respond to recruitment efforts and</w:t>
      </w:r>
      <w:r w:rsidRPr="00753433">
        <w:t xml:space="preserve"> </w:t>
      </w:r>
      <w:r w:rsidR="007C61C6">
        <w:t xml:space="preserve">are provided </w:t>
      </w:r>
      <w:r>
        <w:t>the screening questionnaire</w:t>
      </w:r>
      <w:r w:rsidR="00D13674">
        <w:t xml:space="preserve"> (see ICR Part B, Appendix 1)</w:t>
      </w:r>
      <w:r w:rsidRPr="00753433">
        <w:t xml:space="preserve"> will </w:t>
      </w:r>
      <w:r w:rsidR="00F505D5">
        <w:t xml:space="preserve">complete the questionnaire and </w:t>
      </w:r>
      <w:r w:rsidRPr="00753433">
        <w:t>be eligible</w:t>
      </w:r>
      <w:r>
        <w:t xml:space="preserve">, </w:t>
      </w:r>
      <w:r w:rsidRPr="00753433">
        <w:t>interested</w:t>
      </w:r>
      <w:r>
        <w:t>, and will</w:t>
      </w:r>
      <w:r w:rsidR="00F505D5">
        <w:t>ing to</w:t>
      </w:r>
      <w:r>
        <w:t xml:space="preserve"> travel to the </w:t>
      </w:r>
      <w:r w:rsidR="00C31A5B">
        <w:t>research center</w:t>
      </w:r>
      <w:r>
        <w:t xml:space="preserve"> to undergo the informed consent process. T</w:t>
      </w:r>
      <w:r w:rsidR="00664785">
        <w:t>ravel time from around the Boston metropolitan area is estimated at 60 minutes round trip</w:t>
      </w:r>
      <w:r w:rsidRPr="008E6AD4" w:rsidR="00664785">
        <w:t>.</w:t>
      </w:r>
      <w:r w:rsidR="005E2EB5">
        <w:t xml:space="preserve"> The burden for this second phase of the study, including travel time, is estimated at 70 minutes per participant (an annual burden of 70 hours for 60 annual respondents).</w:t>
      </w:r>
    </w:p>
    <w:p w:rsidR="00664785" w:rsidP="00934BBB" w14:paraId="25FF4879" w14:textId="6301B729">
      <w:pPr>
        <w:spacing w:after="200" w:line="276" w:lineRule="auto"/>
      </w:pPr>
      <w:r>
        <w:t xml:space="preserve">Finally, </w:t>
      </w:r>
      <w:r w:rsidR="009E6686">
        <w:t>we estimate that approximately 94% (168</w:t>
      </w:r>
      <w:r>
        <w:t xml:space="preserve"> </w:t>
      </w:r>
      <w:r w:rsidR="009E6686">
        <w:t xml:space="preserve">individuals) of those who undergo the informed consent process will </w:t>
      </w:r>
      <w:r>
        <w:t>consent and enroll in the study</w:t>
      </w:r>
      <w:r w:rsidR="009E6686">
        <w:t xml:space="preserve">. For these participants, </w:t>
      </w:r>
      <w:r>
        <w:t>p</w:t>
      </w:r>
      <w:r>
        <w:t>articipation in the study</w:t>
      </w:r>
      <w:r>
        <w:t xml:space="preserve"> </w:t>
      </w:r>
      <w:r>
        <w:t xml:space="preserve">is estimated at </w:t>
      </w:r>
      <w:r w:rsidR="007374C2">
        <w:t>240</w:t>
      </w:r>
      <w:r>
        <w:t xml:space="preserve"> minutes per participant </w:t>
      </w:r>
      <w:r w:rsidR="004D1814">
        <w:t>(an annual burden of</w:t>
      </w:r>
      <w:r w:rsidR="007374C2">
        <w:t xml:space="preserve"> 224</w:t>
      </w:r>
      <w:r w:rsidR="004D1814">
        <w:t xml:space="preserve"> hours for</w:t>
      </w:r>
      <w:r w:rsidR="007374C2">
        <w:t xml:space="preserve"> 56 </w:t>
      </w:r>
      <w:r w:rsidR="004D1814">
        <w:t>annual respondents)</w:t>
      </w:r>
      <w:r>
        <w:t xml:space="preserve">. </w:t>
      </w:r>
      <w:r w:rsidRPr="008E6AD4">
        <w:t>Study tasks</w:t>
      </w:r>
      <w:r w:rsidR="007374C2">
        <w:t xml:space="preserve"> </w:t>
      </w:r>
      <w:r w:rsidRPr="008E6AD4">
        <w:t>include</w:t>
      </w:r>
      <w:r>
        <w:t xml:space="preserve"> (see </w:t>
      </w:r>
      <w:r w:rsidRPr="00F83F9D">
        <w:fldChar w:fldCharType="begin"/>
      </w:r>
      <w:r w:rsidRPr="00F83F9D">
        <w:instrText xml:space="preserve"> REF _Ref158393783 \h </w:instrText>
      </w:r>
      <w:r w:rsidRPr="008B2AB3" w:rsidR="00F83F9D">
        <w:instrText xml:space="preserve"> \* MERGEFORMAT </w:instrText>
      </w:r>
      <w:r w:rsidRPr="00F83F9D">
        <w:fldChar w:fldCharType="separate"/>
      </w:r>
      <w:r w:rsidRPr="008B2AB3">
        <w:t>Table 1</w:t>
      </w:r>
      <w:r w:rsidRPr="00F83F9D">
        <w:fldChar w:fldCharType="end"/>
      </w:r>
      <w:r w:rsidRPr="00F83F9D">
        <w:t>):</w:t>
      </w:r>
    </w:p>
    <w:p w:rsidR="00664785" w:rsidP="00515D20" w14:paraId="7650985B" w14:textId="7ED63D9A">
      <w:pPr>
        <w:pStyle w:val="ListParagraph"/>
        <w:numPr>
          <w:ilvl w:val="1"/>
          <w:numId w:val="38"/>
        </w:numPr>
        <w:spacing w:after="200" w:line="276" w:lineRule="auto"/>
      </w:pPr>
      <w:r>
        <w:t>An enrollment process (5 minutes</w:t>
      </w:r>
      <w:r>
        <w:t>);</w:t>
      </w:r>
    </w:p>
    <w:p w:rsidR="00664785" w:rsidP="00515D20" w14:paraId="11E7400D" w14:textId="059F0BDC">
      <w:pPr>
        <w:pStyle w:val="ListParagraph"/>
        <w:numPr>
          <w:ilvl w:val="1"/>
          <w:numId w:val="38"/>
        </w:numPr>
        <w:spacing w:after="200" w:line="276" w:lineRule="auto"/>
      </w:pPr>
      <w:r>
        <w:t>A</w:t>
      </w:r>
      <w:r w:rsidRPr="008E6AD4">
        <w:t xml:space="preserve"> pre-study</w:t>
      </w:r>
      <w:r>
        <w:t xml:space="preserve"> </w:t>
      </w:r>
      <w:r w:rsidRPr="008E6AD4">
        <w:t>questionnaire</w:t>
      </w:r>
      <w:r>
        <w:t xml:space="preserve"> assessing participants’ propensity to experience motion sickness in the computerized driving simulator (5 minutes</w:t>
      </w:r>
      <w:r>
        <w:t>);</w:t>
      </w:r>
    </w:p>
    <w:p w:rsidR="00664785" w:rsidP="00515D20" w14:paraId="79F7A003" w14:textId="38438209">
      <w:pPr>
        <w:pStyle w:val="ListParagraph"/>
        <w:numPr>
          <w:ilvl w:val="1"/>
          <w:numId w:val="38"/>
        </w:numPr>
        <w:spacing w:after="200" w:line="276" w:lineRule="auto"/>
      </w:pPr>
      <w:r>
        <w:t>A</w:t>
      </w:r>
      <w:r w:rsidRPr="008E6AD4">
        <w:t xml:space="preserve"> pre-training </w:t>
      </w:r>
      <w:r>
        <w:t xml:space="preserve">hazard anticipation and attention maintenance </w:t>
      </w:r>
      <w:r w:rsidRPr="008E6AD4">
        <w:t>test</w:t>
      </w:r>
      <w:r>
        <w:t xml:space="preserve"> administered on a smartphone-like platform (20 minutes</w:t>
      </w:r>
      <w:r>
        <w:t>)</w:t>
      </w:r>
      <w:r w:rsidRPr="008E6AD4">
        <w:t>;</w:t>
      </w:r>
      <w:r w:rsidRPr="008E6AD4">
        <w:t xml:space="preserve"> </w:t>
      </w:r>
    </w:p>
    <w:p w:rsidR="00664785" w:rsidP="00515D20" w14:paraId="261E21AB" w14:textId="4196B197">
      <w:pPr>
        <w:pStyle w:val="ListParagraph"/>
        <w:numPr>
          <w:ilvl w:val="1"/>
          <w:numId w:val="38"/>
        </w:numPr>
        <w:spacing w:after="200" w:line="276" w:lineRule="auto"/>
      </w:pPr>
      <w:r>
        <w:t>A</w:t>
      </w:r>
      <w:r w:rsidRPr="008E6AD4">
        <w:t xml:space="preserve"> </w:t>
      </w:r>
      <w:r>
        <w:t xml:space="preserve">novice driver </w:t>
      </w:r>
      <w:r w:rsidRPr="008E6AD4">
        <w:t xml:space="preserve">training program (placebo or </w:t>
      </w:r>
      <w:r>
        <w:t>treatment</w:t>
      </w:r>
      <w:r w:rsidRPr="008E6AD4">
        <w:t>)</w:t>
      </w:r>
      <w:r>
        <w:t>, administered on a smartphone-like platform (60 minutes</w:t>
      </w:r>
      <w:r>
        <w:t>)</w:t>
      </w:r>
      <w:r w:rsidRPr="008E6AD4">
        <w:t>;</w:t>
      </w:r>
      <w:r w:rsidRPr="008E6AD4">
        <w:t xml:space="preserve"> </w:t>
      </w:r>
    </w:p>
    <w:p w:rsidR="00664785" w:rsidP="00515D20" w14:paraId="41E3E1D6" w14:textId="6501995A">
      <w:pPr>
        <w:pStyle w:val="ListParagraph"/>
        <w:numPr>
          <w:ilvl w:val="1"/>
          <w:numId w:val="38"/>
        </w:numPr>
        <w:spacing w:after="200" w:line="276" w:lineRule="auto"/>
      </w:pPr>
      <w:r>
        <w:t>A</w:t>
      </w:r>
      <w:r w:rsidRPr="008E6AD4">
        <w:t xml:space="preserve"> post-training </w:t>
      </w:r>
      <w:r>
        <w:t xml:space="preserve">hazard anticipation and attention maintenance </w:t>
      </w:r>
      <w:r w:rsidRPr="008E6AD4">
        <w:t>test</w:t>
      </w:r>
      <w:r>
        <w:t xml:space="preserve"> administered on a smartphone-like platform (20 minutes</w:t>
      </w:r>
      <w:r>
        <w:t>)</w:t>
      </w:r>
      <w:r w:rsidRPr="008E6AD4">
        <w:t>;</w:t>
      </w:r>
      <w:r w:rsidRPr="008E6AD4">
        <w:t xml:space="preserve"> </w:t>
      </w:r>
    </w:p>
    <w:p w:rsidR="00664785" w:rsidP="00515D20" w14:paraId="14DB44C7" w14:textId="02503A0E">
      <w:pPr>
        <w:pStyle w:val="ListParagraph"/>
        <w:numPr>
          <w:ilvl w:val="1"/>
          <w:numId w:val="38"/>
        </w:numPr>
        <w:spacing w:after="200" w:line="276" w:lineRule="auto"/>
      </w:pPr>
      <w:r>
        <w:t xml:space="preserve">A </w:t>
      </w:r>
      <w:r w:rsidRPr="008E6AD4">
        <w:t>break</w:t>
      </w:r>
      <w:r>
        <w:t xml:space="preserve"> (15 minutes</w:t>
      </w:r>
      <w:r>
        <w:t>)</w:t>
      </w:r>
      <w:r w:rsidRPr="008E6AD4">
        <w:t>;</w:t>
      </w:r>
      <w:r w:rsidRPr="008E6AD4">
        <w:t xml:space="preserve"> </w:t>
      </w:r>
    </w:p>
    <w:p w:rsidR="00664785" w:rsidP="00515D20" w14:paraId="1C873255" w14:textId="42A063B4">
      <w:pPr>
        <w:pStyle w:val="ListParagraph"/>
        <w:numPr>
          <w:ilvl w:val="1"/>
          <w:numId w:val="38"/>
        </w:numPr>
        <w:spacing w:after="200" w:line="276" w:lineRule="auto"/>
      </w:pPr>
      <w:r>
        <w:t>A</w:t>
      </w:r>
      <w:r w:rsidRPr="008E6AD4">
        <w:t xml:space="preserve"> drive on a </w:t>
      </w:r>
      <w:r>
        <w:t xml:space="preserve">computerized </w:t>
      </w:r>
      <w:r w:rsidRPr="008E6AD4">
        <w:t>driving simulator</w:t>
      </w:r>
      <w:r>
        <w:t xml:space="preserve"> (90 minutes)</w:t>
      </w:r>
      <w:r w:rsidRPr="008E6AD4">
        <w:t xml:space="preserve">; and </w:t>
      </w:r>
    </w:p>
    <w:p w:rsidR="00664785" w:rsidP="00515D20" w14:paraId="064994B8" w14:textId="0253A4FF">
      <w:pPr>
        <w:pStyle w:val="ListParagraph"/>
        <w:numPr>
          <w:ilvl w:val="1"/>
          <w:numId w:val="38"/>
        </w:numPr>
        <w:spacing w:after="200" w:line="276" w:lineRule="auto"/>
      </w:pPr>
      <w:r>
        <w:t>A post-study questionnaire (25 minutes</w:t>
      </w:r>
      <w:r w:rsidR="00D13674">
        <w:t xml:space="preserve">; see ICR Part B, Appendices 2 - </w:t>
      </w:r>
      <w:r w:rsidR="00BD394D">
        <w:t>4</w:t>
      </w:r>
      <w:r>
        <w:t xml:space="preserve">) that consists of: </w:t>
      </w:r>
      <w:r w:rsidRPr="00B847B7">
        <w:t xml:space="preserve">demographic questions; </w:t>
      </w:r>
      <w:r w:rsidRPr="009363E1">
        <w:t>the Arnett Inventory of Sensation Seeking</w:t>
      </w:r>
      <w:r w:rsidR="00BE57BA">
        <w:t>;</w:t>
      </w:r>
      <w:r>
        <w:rPr>
          <w:rStyle w:val="FootnoteReference"/>
        </w:rPr>
        <w:footnoteReference w:id="30"/>
      </w:r>
      <w:r w:rsidRPr="009363E1">
        <w:t xml:space="preserve"> the Buss-Perry Aggression Questionnaire</w:t>
      </w:r>
      <w:r w:rsidR="00BE57BA">
        <w:t>;</w:t>
      </w:r>
      <w:r>
        <w:rPr>
          <w:rStyle w:val="FootnoteReference"/>
        </w:rPr>
        <w:footnoteReference w:id="31"/>
      </w:r>
      <w:r w:rsidRPr="00B847B7">
        <w:t xml:space="preserve"> and a</w:t>
      </w:r>
      <w:r w:rsidRPr="00215DD6">
        <w:t xml:space="preserve"> </w:t>
      </w:r>
      <w:r>
        <w:t xml:space="preserve">post-study </w:t>
      </w:r>
      <w:r w:rsidRPr="00215DD6">
        <w:t>debriefing</w:t>
      </w:r>
      <w:r w:rsidRPr="008E6AD4">
        <w:t xml:space="preserve">. </w:t>
      </w:r>
    </w:p>
    <w:p w:rsidR="00664785" w:rsidP="00515D20" w14:paraId="1E12BB51" w14:textId="432D1E8B">
      <w:pPr>
        <w:spacing w:after="200" w:line="276" w:lineRule="auto"/>
      </w:pPr>
      <w:r>
        <w:t xml:space="preserve">In total, NHTSA estimates </w:t>
      </w:r>
      <w:r w:rsidR="007374C2">
        <w:t xml:space="preserve">that this information collection </w:t>
      </w:r>
      <w:r>
        <w:t>will yield a total</w:t>
      </w:r>
      <w:r w:rsidR="004E5663">
        <w:t xml:space="preserve"> annual burden</w:t>
      </w:r>
      <w:r>
        <w:t xml:space="preserve"> of</w:t>
      </w:r>
      <w:r w:rsidR="004E5663">
        <w:t xml:space="preserve"> 3</w:t>
      </w:r>
      <w:r w:rsidR="007374C2">
        <w:t>22</w:t>
      </w:r>
      <w:r>
        <w:t xml:space="preserve"> hours (Table 1).</w:t>
      </w:r>
    </w:p>
    <w:p w:rsidR="00514CBF" w:rsidRPr="008E6AD4" w:rsidP="00515D20" w14:paraId="6F6EC9CA" w14:textId="018E47B0">
      <w:pPr>
        <w:spacing w:after="200" w:line="276" w:lineRule="auto"/>
      </w:pPr>
      <w:r>
        <w:t>NHTSA estimates the opportunity cost to respondents using an average hourly wage. The May 2023 mean hourly wage for all occupations in the United States was $</w:t>
      </w:r>
      <w:r w:rsidRPr="008F69AC">
        <w:t>31.48</w:t>
      </w:r>
      <w:r>
        <w:t xml:space="preserve"> per hour.</w:t>
      </w:r>
      <w:r>
        <w:rPr>
          <w:rStyle w:val="FootnoteReference"/>
        </w:rPr>
        <w:footnoteReference w:id="32"/>
      </w:r>
      <w:r>
        <w:t xml:space="preserve"> Additionally, given that </w:t>
      </w:r>
      <w:r w:rsidRPr="00FB0938">
        <w:t>wages</w:t>
      </w:r>
      <w:r>
        <w:t xml:space="preserve"> in burden estimates</w:t>
      </w:r>
      <w:r w:rsidRPr="00FB0938">
        <w:t xml:space="preserve"> need to be fully</w:t>
      </w:r>
      <w:r w:rsidR="004D6465">
        <w:t xml:space="preserve"> </w:t>
      </w:r>
      <w:r w:rsidRPr="00FB0938">
        <w:t>loaded</w:t>
      </w:r>
      <w:r>
        <w:t>,</w:t>
      </w:r>
      <w:r>
        <w:rPr>
          <w:rStyle w:val="FootnoteReference"/>
        </w:rPr>
        <w:footnoteReference w:id="33"/>
      </w:r>
      <w:r>
        <w:t xml:space="preserve"> w</w:t>
      </w:r>
      <w:r w:rsidR="00FB0938">
        <w:t xml:space="preserve">e added 29% to </w:t>
      </w:r>
      <w:r w:rsidRPr="00FB0938" w:rsidR="00FB0938">
        <w:t>reflect the full cost of labor, including benefits</w:t>
      </w:r>
      <w:r w:rsidR="00FB0938">
        <w:t>, yielding a fully</w:t>
      </w:r>
      <w:r w:rsidR="004D6465">
        <w:t xml:space="preserve"> </w:t>
      </w:r>
      <w:r w:rsidR="00FB0938">
        <w:t>loaded mean hourly wage of $40.61. Therefore, NHTSA estimates the total</w:t>
      </w:r>
      <w:r w:rsidR="004E5663">
        <w:t xml:space="preserve"> annual</w:t>
      </w:r>
      <w:r w:rsidR="00FB0938">
        <w:t xml:space="preserve"> opportunity cost to be approximately </w:t>
      </w:r>
      <w:r w:rsidR="004E5663">
        <w:t>$1</w:t>
      </w:r>
      <w:r w:rsidR="007374C2">
        <w:t>3,069</w:t>
      </w:r>
      <w:r w:rsidR="00FB0938">
        <w:t xml:space="preserve"> </w:t>
      </w:r>
      <w:r w:rsidR="00106AE3">
        <w:t>(Table 1</w:t>
      </w:r>
      <w:r w:rsidR="00CC5F39">
        <w:t xml:space="preserve">). </w:t>
      </w:r>
    </w:p>
    <w:p w:rsidR="00E07564" w:rsidRPr="00515D20" w:rsidP="00FC20A8" w14:paraId="111251ED" w14:textId="2EBA4147">
      <w:pPr>
        <w:pStyle w:val="Caption"/>
        <w:keepNext/>
        <w:rPr>
          <w:b/>
          <w:bCs w:val="0"/>
        </w:rPr>
      </w:pPr>
      <w:bookmarkStart w:id="27" w:name="_Ref158393783"/>
      <w:r w:rsidRPr="00515D20">
        <w:rPr>
          <w:b/>
          <w:bCs w:val="0"/>
        </w:rPr>
        <w:t xml:space="preserve">Table </w:t>
      </w:r>
      <w:r w:rsidRPr="00515D20" w:rsidR="00A63992">
        <w:rPr>
          <w:b/>
          <w:bCs w:val="0"/>
        </w:rPr>
        <w:fldChar w:fldCharType="begin"/>
      </w:r>
      <w:r w:rsidRPr="00515D20" w:rsidR="00A63992">
        <w:rPr>
          <w:b/>
          <w:bCs w:val="0"/>
        </w:rPr>
        <w:instrText xml:space="preserve"> SEQ Table \* ARABIC </w:instrText>
      </w:r>
      <w:r w:rsidRPr="00515D20" w:rsidR="00A63992">
        <w:rPr>
          <w:b/>
          <w:bCs w:val="0"/>
        </w:rPr>
        <w:fldChar w:fldCharType="separate"/>
      </w:r>
      <w:r w:rsidR="00D50C4F">
        <w:rPr>
          <w:b/>
          <w:bCs w:val="0"/>
          <w:noProof/>
        </w:rPr>
        <w:t>1</w:t>
      </w:r>
      <w:r w:rsidRPr="00515D20" w:rsidR="00A63992">
        <w:rPr>
          <w:b/>
          <w:bCs w:val="0"/>
          <w:noProof/>
        </w:rPr>
        <w:fldChar w:fldCharType="end"/>
      </w:r>
      <w:bookmarkEnd w:id="27"/>
      <w:r w:rsidRPr="00515D20">
        <w:rPr>
          <w:b/>
          <w:bCs w:val="0"/>
        </w:rPr>
        <w:t xml:space="preserve">. </w:t>
      </w:r>
      <w:r w:rsidR="008F69AC">
        <w:rPr>
          <w:b/>
          <w:bCs w:val="0"/>
        </w:rPr>
        <w:t>Annual B</w:t>
      </w:r>
      <w:r w:rsidRPr="00515D20" w:rsidR="00E77572">
        <w:rPr>
          <w:b/>
          <w:bCs w:val="0"/>
        </w:rPr>
        <w:t>urden</w:t>
      </w:r>
      <w:r w:rsidR="008F69AC">
        <w:rPr>
          <w:b/>
          <w:bCs w:val="0"/>
        </w:rPr>
        <w:t xml:space="preserve"> Estimates</w:t>
      </w:r>
    </w:p>
    <w:tbl>
      <w:tblPr>
        <w:tblStyle w:val="TableGrid2"/>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430"/>
        <w:gridCol w:w="1170"/>
        <w:gridCol w:w="1260"/>
        <w:gridCol w:w="1255"/>
        <w:gridCol w:w="1170"/>
        <w:gridCol w:w="1175"/>
        <w:gridCol w:w="1255"/>
      </w:tblGrid>
      <w:tr w14:paraId="0ED1BC03" w14:textId="77777777" w:rsidTr="00515D20">
        <w:tblPrEx>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blHeader/>
        </w:trPr>
        <w:tc>
          <w:tcPr>
            <w:tcW w:w="2430" w:type="dxa"/>
            <w:tcBorders>
              <w:top w:val="single" w:sz="4" w:space="0" w:color="auto"/>
              <w:left w:val="single" w:sz="4" w:space="0" w:color="auto"/>
              <w:bottom w:val="single" w:sz="4" w:space="0" w:color="auto"/>
              <w:right w:val="single" w:sz="4" w:space="0" w:color="auto"/>
            </w:tcBorders>
            <w:shd w:val="clear" w:color="auto" w:fill="548DD4"/>
            <w:vAlign w:val="bottom"/>
          </w:tcPr>
          <w:p w:rsidR="00276EE0" w:rsidRPr="00E863E8" w:rsidP="00937B8B" w14:paraId="62DFCF44" w14:textId="77777777">
            <w:pPr>
              <w:keepNext/>
              <w:keepLines/>
              <w:autoSpaceDE w:val="0"/>
              <w:autoSpaceDN w:val="0"/>
              <w:adjustRightInd w:val="0"/>
              <w:spacing w:after="0"/>
              <w:jc w:val="center"/>
              <w:rPr>
                <w:rFonts w:eastAsia="Calibri"/>
                <w:b/>
                <w:color w:val="FFFFFF"/>
                <w:sz w:val="20"/>
                <w:szCs w:val="20"/>
              </w:rPr>
            </w:pPr>
            <w:r w:rsidRPr="00E863E8">
              <w:rPr>
                <w:rFonts w:eastAsia="Calibri"/>
                <w:b/>
                <w:color w:val="FFFFFF"/>
                <w:sz w:val="20"/>
                <w:szCs w:val="20"/>
              </w:rPr>
              <w:t>Information Collection</w:t>
            </w:r>
          </w:p>
        </w:tc>
        <w:tc>
          <w:tcPr>
            <w:tcW w:w="1170" w:type="dxa"/>
            <w:tcBorders>
              <w:top w:val="single" w:sz="4" w:space="0" w:color="auto"/>
              <w:left w:val="single" w:sz="4" w:space="0" w:color="auto"/>
              <w:bottom w:val="single" w:sz="4" w:space="0" w:color="auto"/>
              <w:right w:val="single" w:sz="4" w:space="0" w:color="auto"/>
            </w:tcBorders>
            <w:shd w:val="clear" w:color="auto" w:fill="548DD4"/>
            <w:vAlign w:val="bottom"/>
          </w:tcPr>
          <w:p w:rsidR="00276EE0" w:rsidRPr="00E863E8" w:rsidP="00937B8B" w14:paraId="3F1F3F6A" w14:textId="57039E58">
            <w:pPr>
              <w:keepNext/>
              <w:keepLines/>
              <w:autoSpaceDE w:val="0"/>
              <w:autoSpaceDN w:val="0"/>
              <w:adjustRightInd w:val="0"/>
              <w:spacing w:after="0"/>
              <w:jc w:val="center"/>
              <w:rPr>
                <w:rFonts w:eastAsia="Calibri"/>
                <w:b/>
                <w:color w:val="FFFFFF"/>
                <w:sz w:val="20"/>
                <w:szCs w:val="20"/>
              </w:rPr>
            </w:pPr>
            <w:r>
              <w:rPr>
                <w:rFonts w:eastAsia="Calibri"/>
                <w:b/>
                <w:color w:val="FFFFFF"/>
                <w:sz w:val="20"/>
                <w:szCs w:val="20"/>
              </w:rPr>
              <w:t xml:space="preserve">Annual </w:t>
            </w:r>
            <w:r w:rsidRPr="00E863E8">
              <w:rPr>
                <w:rFonts w:eastAsia="Calibri"/>
                <w:b/>
                <w:color w:val="FFFFFF"/>
                <w:sz w:val="20"/>
                <w:szCs w:val="20"/>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548DD4"/>
            <w:vAlign w:val="bottom"/>
          </w:tcPr>
          <w:p w:rsidR="00276EE0" w:rsidRPr="00E863E8" w:rsidP="00937B8B" w14:paraId="2CD0ABF0" w14:textId="77777777">
            <w:pPr>
              <w:keepNext/>
              <w:keepLines/>
              <w:autoSpaceDE w:val="0"/>
              <w:autoSpaceDN w:val="0"/>
              <w:adjustRightInd w:val="0"/>
              <w:spacing w:after="0"/>
              <w:jc w:val="center"/>
              <w:rPr>
                <w:rFonts w:eastAsia="Calibri"/>
                <w:b/>
                <w:color w:val="FFFFFF"/>
                <w:sz w:val="20"/>
                <w:szCs w:val="20"/>
              </w:rPr>
            </w:pPr>
            <w:r w:rsidRPr="00E863E8">
              <w:rPr>
                <w:rFonts w:eastAsia="Calibri"/>
                <w:b/>
                <w:color w:val="FFFFFF"/>
                <w:sz w:val="20"/>
                <w:szCs w:val="20"/>
              </w:rPr>
              <w:t>Burden per Response</w:t>
            </w:r>
          </w:p>
        </w:tc>
        <w:tc>
          <w:tcPr>
            <w:tcW w:w="1255" w:type="dxa"/>
            <w:tcBorders>
              <w:top w:val="single" w:sz="4" w:space="0" w:color="auto"/>
              <w:left w:val="single" w:sz="4" w:space="0" w:color="auto"/>
              <w:bottom w:val="single" w:sz="4" w:space="0" w:color="auto"/>
              <w:right w:val="single" w:sz="4" w:space="0" w:color="auto"/>
            </w:tcBorders>
            <w:shd w:val="clear" w:color="auto" w:fill="548DD4"/>
            <w:vAlign w:val="bottom"/>
          </w:tcPr>
          <w:p w:rsidR="00276EE0" w:rsidRPr="00E863E8" w:rsidP="00937B8B" w14:paraId="5C60D547" w14:textId="77777777">
            <w:pPr>
              <w:keepNext/>
              <w:keepLines/>
              <w:autoSpaceDE w:val="0"/>
              <w:autoSpaceDN w:val="0"/>
              <w:adjustRightInd w:val="0"/>
              <w:spacing w:after="0"/>
              <w:jc w:val="center"/>
              <w:rPr>
                <w:rFonts w:eastAsia="Calibri"/>
                <w:b/>
                <w:color w:val="FFFFFF"/>
                <w:sz w:val="20"/>
                <w:szCs w:val="20"/>
              </w:rPr>
            </w:pPr>
            <w:r w:rsidRPr="00E863E8">
              <w:rPr>
                <w:rFonts w:eastAsia="Calibri"/>
                <w:b/>
                <w:color w:val="FFFFFF"/>
                <w:sz w:val="20"/>
                <w:szCs w:val="20"/>
              </w:rPr>
              <w:t>Hourly Opportunity Cost</w:t>
            </w:r>
          </w:p>
        </w:tc>
        <w:tc>
          <w:tcPr>
            <w:tcW w:w="1170" w:type="dxa"/>
            <w:tcBorders>
              <w:top w:val="single" w:sz="4" w:space="0" w:color="auto"/>
              <w:left w:val="single" w:sz="4" w:space="0" w:color="auto"/>
              <w:bottom w:val="single" w:sz="4" w:space="0" w:color="auto"/>
              <w:right w:val="single" w:sz="4" w:space="0" w:color="auto"/>
            </w:tcBorders>
            <w:shd w:val="clear" w:color="auto" w:fill="548DD4"/>
            <w:vAlign w:val="bottom"/>
          </w:tcPr>
          <w:p w:rsidR="00276EE0" w:rsidRPr="00E863E8" w:rsidP="00937B8B" w14:paraId="09E2DC63" w14:textId="77777777">
            <w:pPr>
              <w:keepNext/>
              <w:keepLines/>
              <w:autoSpaceDE w:val="0"/>
              <w:autoSpaceDN w:val="0"/>
              <w:adjustRightInd w:val="0"/>
              <w:spacing w:after="0"/>
              <w:jc w:val="center"/>
              <w:rPr>
                <w:rFonts w:eastAsia="Calibri"/>
                <w:b/>
                <w:color w:val="FFFFFF"/>
                <w:sz w:val="20"/>
                <w:szCs w:val="20"/>
              </w:rPr>
            </w:pPr>
            <w:r w:rsidRPr="00E863E8">
              <w:rPr>
                <w:rFonts w:eastAsia="Calibri"/>
                <w:b/>
                <w:color w:val="FFFFFF"/>
                <w:sz w:val="20"/>
                <w:szCs w:val="20"/>
              </w:rPr>
              <w:t xml:space="preserve">Opportunity Cost </w:t>
            </w:r>
            <w:r w:rsidRPr="0001467B">
              <w:rPr>
                <w:rFonts w:eastAsia="Calibri"/>
                <w:b/>
                <w:color w:val="FFFFFF"/>
                <w:sz w:val="20"/>
                <w:szCs w:val="20"/>
              </w:rPr>
              <w:t xml:space="preserve">per </w:t>
            </w:r>
            <w:r w:rsidRPr="00E863E8">
              <w:rPr>
                <w:rFonts w:eastAsia="Calibri"/>
                <w:b/>
                <w:color w:val="FFFFFF"/>
                <w:sz w:val="20"/>
                <w:szCs w:val="20"/>
              </w:rPr>
              <w:t>Response</w:t>
            </w:r>
          </w:p>
        </w:tc>
        <w:tc>
          <w:tcPr>
            <w:tcW w:w="1175" w:type="dxa"/>
            <w:tcBorders>
              <w:top w:val="single" w:sz="4" w:space="0" w:color="auto"/>
              <w:left w:val="single" w:sz="4" w:space="0" w:color="auto"/>
              <w:bottom w:val="single" w:sz="4" w:space="0" w:color="auto"/>
              <w:right w:val="single" w:sz="4" w:space="0" w:color="auto"/>
            </w:tcBorders>
            <w:shd w:val="clear" w:color="auto" w:fill="548DD4"/>
            <w:vAlign w:val="bottom"/>
          </w:tcPr>
          <w:p w:rsidR="00276EE0" w:rsidRPr="00E863E8" w:rsidP="00937B8B" w14:paraId="5F2D8267" w14:textId="6A10A0AC">
            <w:pPr>
              <w:keepNext/>
              <w:keepLines/>
              <w:autoSpaceDE w:val="0"/>
              <w:autoSpaceDN w:val="0"/>
              <w:adjustRightInd w:val="0"/>
              <w:spacing w:after="0"/>
              <w:jc w:val="center"/>
              <w:rPr>
                <w:rFonts w:eastAsia="Calibri"/>
                <w:b/>
                <w:color w:val="FFFFFF"/>
                <w:sz w:val="20"/>
                <w:szCs w:val="20"/>
              </w:rPr>
            </w:pPr>
            <w:r w:rsidRPr="00E863E8">
              <w:rPr>
                <w:rFonts w:eastAsia="Calibri"/>
                <w:b/>
                <w:color w:val="FFFFFF"/>
                <w:sz w:val="20"/>
                <w:szCs w:val="20"/>
              </w:rPr>
              <w:t>Total</w:t>
            </w:r>
            <w:r w:rsidR="004E5663">
              <w:rPr>
                <w:rFonts w:eastAsia="Calibri"/>
                <w:b/>
                <w:color w:val="FFFFFF"/>
                <w:sz w:val="20"/>
                <w:szCs w:val="20"/>
              </w:rPr>
              <w:t xml:space="preserve"> Annual</w:t>
            </w:r>
            <w:r w:rsidRPr="00E863E8">
              <w:rPr>
                <w:rFonts w:eastAsia="Calibri"/>
                <w:b/>
                <w:color w:val="FFFFFF"/>
                <w:sz w:val="20"/>
                <w:szCs w:val="20"/>
              </w:rPr>
              <w:t xml:space="preserve"> Opportunity Cost</w:t>
            </w:r>
          </w:p>
        </w:tc>
        <w:tc>
          <w:tcPr>
            <w:tcW w:w="1255" w:type="dxa"/>
            <w:tcBorders>
              <w:top w:val="single" w:sz="4" w:space="0" w:color="auto"/>
              <w:left w:val="single" w:sz="4" w:space="0" w:color="auto"/>
              <w:bottom w:val="single" w:sz="4" w:space="0" w:color="auto"/>
              <w:right w:val="single" w:sz="4" w:space="0" w:color="auto"/>
            </w:tcBorders>
            <w:shd w:val="clear" w:color="auto" w:fill="548DD4"/>
            <w:vAlign w:val="bottom"/>
          </w:tcPr>
          <w:p w:rsidR="00276EE0" w:rsidRPr="00E863E8" w:rsidP="00937B8B" w14:paraId="6FF08B59" w14:textId="5BAC580A">
            <w:pPr>
              <w:keepNext/>
              <w:keepLines/>
              <w:autoSpaceDE w:val="0"/>
              <w:autoSpaceDN w:val="0"/>
              <w:adjustRightInd w:val="0"/>
              <w:spacing w:after="0"/>
              <w:jc w:val="center"/>
              <w:rPr>
                <w:rFonts w:eastAsia="Calibri"/>
                <w:b/>
                <w:color w:val="FFFFFF"/>
                <w:sz w:val="20"/>
                <w:szCs w:val="20"/>
              </w:rPr>
            </w:pPr>
            <w:r w:rsidRPr="00E863E8">
              <w:rPr>
                <w:rFonts w:eastAsia="Calibri"/>
                <w:b/>
                <w:color w:val="FFFFFF"/>
                <w:sz w:val="20"/>
                <w:szCs w:val="20"/>
              </w:rPr>
              <w:t xml:space="preserve">Total </w:t>
            </w:r>
            <w:r w:rsidR="004E5663">
              <w:rPr>
                <w:rFonts w:eastAsia="Calibri"/>
                <w:b/>
                <w:color w:val="FFFFFF"/>
                <w:sz w:val="20"/>
                <w:szCs w:val="20"/>
              </w:rPr>
              <w:t xml:space="preserve">Annual </w:t>
            </w:r>
            <w:r w:rsidRPr="00E863E8">
              <w:rPr>
                <w:rFonts w:eastAsia="Calibri"/>
                <w:b/>
                <w:color w:val="FFFFFF"/>
                <w:sz w:val="20"/>
                <w:szCs w:val="20"/>
              </w:rPr>
              <w:t>Burden</w:t>
            </w:r>
          </w:p>
        </w:tc>
      </w:tr>
      <w:tr w14:paraId="1F75796E" w14:textId="77777777">
        <w:tblPrEx>
          <w:tblW w:w="9715" w:type="dxa"/>
          <w:tblLayout w:type="fixed"/>
          <w:tblCellMar>
            <w:left w:w="0" w:type="dxa"/>
            <w:right w:w="0" w:type="dxa"/>
          </w:tblCellMar>
          <w:tblLook w:val="04A0"/>
        </w:tblPrEx>
        <w:tc>
          <w:tcPr>
            <w:tcW w:w="243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0886020A" w14:textId="7DBA61E1">
            <w:pPr>
              <w:keepNext/>
              <w:keepLines/>
              <w:autoSpaceDE w:val="0"/>
              <w:autoSpaceDN w:val="0"/>
              <w:adjustRightInd w:val="0"/>
              <w:spacing w:after="0"/>
              <w:rPr>
                <w:rFonts w:eastAsia="Calibri"/>
                <w:bCs/>
                <w:sz w:val="20"/>
                <w:szCs w:val="20"/>
              </w:rPr>
            </w:pPr>
            <w:r>
              <w:rPr>
                <w:rFonts w:eastAsia="Calibri"/>
                <w:b/>
                <w:sz w:val="20"/>
                <w:szCs w:val="20"/>
              </w:rPr>
              <w:t xml:space="preserve">NHTSA </w:t>
            </w:r>
            <w:r w:rsidRPr="0001467B">
              <w:rPr>
                <w:rFonts w:eastAsia="Calibri"/>
                <w:b/>
                <w:sz w:val="20"/>
                <w:szCs w:val="20"/>
              </w:rPr>
              <w:t xml:space="preserve">Form </w:t>
            </w:r>
            <w:r>
              <w:rPr>
                <w:rFonts w:eastAsia="Calibri"/>
                <w:b/>
                <w:sz w:val="20"/>
                <w:szCs w:val="20"/>
              </w:rPr>
              <w:t>2018</w:t>
            </w:r>
            <w:r>
              <w:rPr>
                <w:rFonts w:eastAsia="Calibri"/>
                <w:b/>
                <w:sz w:val="20"/>
                <w:szCs w:val="20"/>
              </w:rPr>
              <w:t xml:space="preserve"> (Total)</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1808F19B" w14:textId="17C87003">
            <w:pPr>
              <w:keepNext/>
              <w:keepLines/>
              <w:autoSpaceDE w:val="0"/>
              <w:autoSpaceDN w:val="0"/>
              <w:adjustRightInd w:val="0"/>
              <w:spacing w:after="0"/>
              <w:jc w:val="center"/>
              <w:rPr>
                <w:rFonts w:eastAsia="Calibri"/>
                <w:b/>
                <w:sz w:val="20"/>
                <w:szCs w:val="20"/>
              </w:rPr>
            </w:pPr>
            <w:r>
              <w:rPr>
                <w:rFonts w:eastAsia="Calibri"/>
                <w:b/>
                <w:sz w:val="20"/>
                <w:szCs w:val="20"/>
              </w:rPr>
              <w:t>334</w:t>
            </w:r>
          </w:p>
        </w:tc>
        <w:tc>
          <w:tcPr>
            <w:tcW w:w="126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2A299516" w14:textId="77777777">
            <w:pPr>
              <w:keepNext/>
              <w:keepLines/>
              <w:autoSpaceDE w:val="0"/>
              <w:autoSpaceDN w:val="0"/>
              <w:adjustRightInd w:val="0"/>
              <w:spacing w:after="0"/>
              <w:jc w:val="center"/>
              <w:rPr>
                <w:rFonts w:eastAsia="Calibri"/>
                <w:b/>
                <w:sz w:val="20"/>
                <w:szCs w:val="20"/>
              </w:rPr>
            </w:pPr>
            <w:r w:rsidRPr="00142A5E">
              <w:rPr>
                <w:rFonts w:eastAsia="Calibri"/>
                <w:b/>
                <w:sz w:val="20"/>
                <w:szCs w:val="20"/>
              </w:rPr>
              <w:t>5</w:t>
            </w:r>
            <w:r w:rsidRPr="00E863E8">
              <w:rPr>
                <w:rFonts w:eastAsia="Calibri"/>
                <w:b/>
                <w:sz w:val="20"/>
                <w:szCs w:val="20"/>
              </w:rPr>
              <w:t xml:space="preserve"> minutes</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1849354D" w14:textId="5F5423BB">
            <w:pPr>
              <w:keepNext/>
              <w:keepLines/>
              <w:autoSpaceDE w:val="0"/>
              <w:autoSpaceDN w:val="0"/>
              <w:adjustRightInd w:val="0"/>
              <w:spacing w:after="0"/>
              <w:jc w:val="center"/>
              <w:rPr>
                <w:rFonts w:eastAsia="Calibri"/>
                <w:b/>
                <w:sz w:val="20"/>
                <w:szCs w:val="20"/>
              </w:rPr>
            </w:pPr>
            <w:r w:rsidRPr="00E863E8">
              <w:rPr>
                <w:rFonts w:eastAsia="Calibri"/>
                <w:b/>
                <w:sz w:val="20"/>
                <w:szCs w:val="20"/>
              </w:rPr>
              <w:t>$</w:t>
            </w:r>
            <w:r w:rsidR="00FB0938">
              <w:rPr>
                <w:rFonts w:eastAsia="Calibri"/>
                <w:b/>
                <w:sz w:val="20"/>
                <w:szCs w:val="20"/>
              </w:rPr>
              <w:t>40.61</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4B8E8950" w14:textId="7F7DD750">
            <w:pPr>
              <w:keepNext/>
              <w:keepLines/>
              <w:autoSpaceDE w:val="0"/>
              <w:autoSpaceDN w:val="0"/>
              <w:adjustRightInd w:val="0"/>
              <w:spacing w:after="0"/>
              <w:jc w:val="center"/>
              <w:rPr>
                <w:rFonts w:eastAsia="Calibri"/>
                <w:b/>
                <w:sz w:val="20"/>
                <w:szCs w:val="20"/>
              </w:rPr>
            </w:pPr>
            <w:r w:rsidRPr="00E863E8">
              <w:rPr>
                <w:rFonts w:eastAsia="Calibri"/>
                <w:b/>
                <w:sz w:val="20"/>
                <w:szCs w:val="20"/>
              </w:rPr>
              <w:t>$</w:t>
            </w:r>
            <w:r w:rsidR="00FB0938">
              <w:rPr>
                <w:rFonts w:eastAsia="Calibri"/>
                <w:b/>
                <w:sz w:val="20"/>
                <w:szCs w:val="20"/>
              </w:rPr>
              <w:t>3.</w:t>
            </w:r>
            <w:r w:rsidR="004E5663">
              <w:rPr>
                <w:rFonts w:eastAsia="Calibri"/>
                <w:b/>
                <w:sz w:val="20"/>
                <w:szCs w:val="20"/>
              </w:rPr>
              <w:t>38</w:t>
            </w:r>
          </w:p>
        </w:tc>
        <w:tc>
          <w:tcPr>
            <w:tcW w:w="117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3636A0B3" w14:textId="19BA090F">
            <w:pPr>
              <w:keepNext/>
              <w:keepLines/>
              <w:autoSpaceDE w:val="0"/>
              <w:autoSpaceDN w:val="0"/>
              <w:adjustRightInd w:val="0"/>
              <w:spacing w:after="0"/>
              <w:jc w:val="center"/>
              <w:rPr>
                <w:rFonts w:eastAsia="Calibri"/>
                <w:b/>
                <w:sz w:val="20"/>
                <w:szCs w:val="20"/>
              </w:rPr>
            </w:pPr>
            <w:r w:rsidRPr="00142A5E">
              <w:rPr>
                <w:rFonts w:eastAsia="Calibri"/>
                <w:b/>
                <w:sz w:val="20"/>
                <w:szCs w:val="20"/>
              </w:rPr>
              <w:t>$</w:t>
            </w:r>
            <w:r w:rsidR="004E5663">
              <w:rPr>
                <w:rFonts w:eastAsia="Calibri"/>
                <w:b/>
                <w:sz w:val="20"/>
                <w:szCs w:val="20"/>
              </w:rPr>
              <w:t>1,129</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68BFB650" w14:textId="10FA34A2">
            <w:pPr>
              <w:keepNext/>
              <w:keepLines/>
              <w:autoSpaceDE w:val="0"/>
              <w:autoSpaceDN w:val="0"/>
              <w:adjustRightInd w:val="0"/>
              <w:spacing w:after="0"/>
              <w:jc w:val="center"/>
              <w:rPr>
                <w:rFonts w:eastAsia="Calibri"/>
                <w:b/>
                <w:sz w:val="20"/>
                <w:szCs w:val="20"/>
              </w:rPr>
            </w:pPr>
            <w:r>
              <w:rPr>
                <w:rFonts w:eastAsia="Calibri"/>
                <w:b/>
                <w:sz w:val="20"/>
                <w:szCs w:val="20"/>
              </w:rPr>
              <w:t>28</w:t>
            </w:r>
            <w:r w:rsidRPr="00E863E8">
              <w:rPr>
                <w:rFonts w:eastAsia="Calibri"/>
                <w:b/>
                <w:sz w:val="20"/>
                <w:szCs w:val="20"/>
              </w:rPr>
              <w:t xml:space="preserve"> hours</w:t>
            </w:r>
          </w:p>
        </w:tc>
      </w:tr>
      <w:tr w14:paraId="7792C46C" w14:textId="77777777">
        <w:tblPrEx>
          <w:tblW w:w="9715" w:type="dxa"/>
          <w:tblLayout w:type="fixed"/>
          <w:tblCellMar>
            <w:left w:w="0" w:type="dxa"/>
            <w:right w:w="0" w:type="dxa"/>
          </w:tblCellMar>
          <w:tblLook w:val="04A0"/>
        </w:tblPrEx>
        <w:tc>
          <w:tcPr>
            <w:tcW w:w="243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3583CC17" w14:textId="77777777">
            <w:pPr>
              <w:keepNext/>
              <w:keepLines/>
              <w:autoSpaceDE w:val="0"/>
              <w:autoSpaceDN w:val="0"/>
              <w:adjustRightInd w:val="0"/>
              <w:spacing w:after="0"/>
              <w:rPr>
                <w:rFonts w:eastAsia="Calibri"/>
                <w:bCs/>
                <w:i/>
                <w:iCs/>
                <w:sz w:val="20"/>
                <w:szCs w:val="20"/>
              </w:rPr>
            </w:pPr>
            <w:r w:rsidRPr="0001467B">
              <w:rPr>
                <w:rFonts w:eastAsia="Calibri"/>
                <w:bCs/>
                <w:sz w:val="20"/>
                <w:szCs w:val="20"/>
              </w:rPr>
              <w:t xml:space="preserve">     </w:t>
            </w:r>
            <w:r w:rsidRPr="00142A5E">
              <w:rPr>
                <w:rFonts w:eastAsia="Calibri"/>
                <w:bCs/>
                <w:i/>
                <w:iCs/>
                <w:sz w:val="20"/>
                <w:szCs w:val="20"/>
              </w:rPr>
              <w:t>Screening Questionnaire</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1C395EE8" w14:textId="77777777">
            <w:pPr>
              <w:keepNext/>
              <w:keepLines/>
              <w:autoSpaceDE w:val="0"/>
              <w:autoSpaceDN w:val="0"/>
              <w:adjustRightInd w:val="0"/>
              <w:spacing w:after="0"/>
              <w:jc w:val="center"/>
              <w:rPr>
                <w:rFonts w:eastAsia="Calibri"/>
                <w:bCs/>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5FFAA7DF" w14:textId="77777777">
            <w:pPr>
              <w:keepNext/>
              <w:keepLines/>
              <w:autoSpaceDE w:val="0"/>
              <w:autoSpaceDN w:val="0"/>
              <w:adjustRightInd w:val="0"/>
              <w:spacing w:after="0"/>
              <w:jc w:val="center"/>
              <w:rPr>
                <w:rFonts w:eastAsia="Calibri"/>
                <w:bCs/>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2E06FBB1" w14:textId="77777777">
            <w:pPr>
              <w:keepNext/>
              <w:keepLines/>
              <w:autoSpaceDE w:val="0"/>
              <w:autoSpaceDN w:val="0"/>
              <w:adjustRightInd w:val="0"/>
              <w:spacing w:after="0"/>
              <w:jc w:val="center"/>
              <w:rPr>
                <w:rFonts w:eastAsia="Calibri"/>
                <w:b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5CF27B6F" w14:textId="77777777">
            <w:pPr>
              <w:keepNext/>
              <w:keepLines/>
              <w:autoSpaceDE w:val="0"/>
              <w:autoSpaceDN w:val="0"/>
              <w:adjustRightInd w:val="0"/>
              <w:spacing w:after="0"/>
              <w:jc w:val="center"/>
              <w:rPr>
                <w:rFonts w:eastAsia="Calibri"/>
                <w:bCs/>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5D762BC3" w14:textId="77777777">
            <w:pPr>
              <w:keepNext/>
              <w:keepLines/>
              <w:autoSpaceDE w:val="0"/>
              <w:autoSpaceDN w:val="0"/>
              <w:adjustRightInd w:val="0"/>
              <w:spacing w:after="0"/>
              <w:jc w:val="center"/>
              <w:rPr>
                <w:rFonts w:eastAsia="Calibri"/>
                <w:bCs/>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1979BAE6" w14:textId="77777777">
            <w:pPr>
              <w:keepNext/>
              <w:keepLines/>
              <w:autoSpaceDE w:val="0"/>
              <w:autoSpaceDN w:val="0"/>
              <w:adjustRightInd w:val="0"/>
              <w:spacing w:after="0"/>
              <w:jc w:val="center"/>
              <w:rPr>
                <w:rFonts w:eastAsia="Calibri"/>
                <w:b/>
                <w:sz w:val="20"/>
                <w:szCs w:val="20"/>
              </w:rPr>
            </w:pPr>
          </w:p>
        </w:tc>
      </w:tr>
      <w:tr w14:paraId="62232A5C" w14:textId="77777777">
        <w:tblPrEx>
          <w:tblW w:w="9715" w:type="dxa"/>
          <w:tblLayout w:type="fixed"/>
          <w:tblCellMar>
            <w:left w:w="0" w:type="dxa"/>
            <w:right w:w="0" w:type="dxa"/>
          </w:tblCellMar>
          <w:tblLook w:val="04A0"/>
        </w:tblPrEx>
        <w:tc>
          <w:tcPr>
            <w:tcW w:w="243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2135650B" w14:textId="69C1D675">
            <w:pPr>
              <w:keepNext/>
              <w:keepLines/>
              <w:autoSpaceDE w:val="0"/>
              <w:autoSpaceDN w:val="0"/>
              <w:adjustRightInd w:val="0"/>
              <w:spacing w:after="0"/>
              <w:rPr>
                <w:rFonts w:eastAsia="Calibri"/>
                <w:b/>
                <w:sz w:val="20"/>
                <w:szCs w:val="20"/>
              </w:rPr>
            </w:pPr>
            <w:r>
              <w:rPr>
                <w:rFonts w:eastAsia="Calibri"/>
                <w:b/>
                <w:sz w:val="20"/>
                <w:szCs w:val="20"/>
              </w:rPr>
              <w:t>NHTSA Form 2019</w:t>
            </w:r>
            <w:r>
              <w:rPr>
                <w:rFonts w:eastAsia="Calibri"/>
                <w:b/>
                <w:sz w:val="20"/>
                <w:szCs w:val="20"/>
              </w:rPr>
              <w:t xml:space="preserve"> (Total)</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18722CF1" w14:textId="4C4D3BC4">
            <w:pPr>
              <w:keepNext/>
              <w:keepLines/>
              <w:autoSpaceDE w:val="0"/>
              <w:autoSpaceDN w:val="0"/>
              <w:adjustRightInd w:val="0"/>
              <w:spacing w:after="0"/>
              <w:jc w:val="center"/>
              <w:rPr>
                <w:rFonts w:eastAsia="Calibri"/>
                <w:b/>
                <w:sz w:val="20"/>
                <w:szCs w:val="20"/>
              </w:rPr>
            </w:pPr>
            <w:r>
              <w:rPr>
                <w:rFonts w:eastAsia="Calibri"/>
                <w:b/>
                <w:sz w:val="20"/>
                <w:szCs w:val="20"/>
              </w:rPr>
              <w:t>60</w:t>
            </w:r>
          </w:p>
        </w:tc>
        <w:tc>
          <w:tcPr>
            <w:tcW w:w="126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6F32DA23" w14:textId="77777777">
            <w:pPr>
              <w:keepNext/>
              <w:keepLines/>
              <w:autoSpaceDE w:val="0"/>
              <w:autoSpaceDN w:val="0"/>
              <w:adjustRightInd w:val="0"/>
              <w:spacing w:after="0"/>
              <w:jc w:val="center"/>
              <w:rPr>
                <w:rFonts w:eastAsia="Calibri"/>
                <w:b/>
                <w:sz w:val="20"/>
                <w:szCs w:val="20"/>
              </w:rPr>
            </w:pPr>
            <w:r>
              <w:rPr>
                <w:rFonts w:eastAsia="Calibri"/>
                <w:b/>
                <w:sz w:val="20"/>
                <w:szCs w:val="20"/>
              </w:rPr>
              <w:t>70 minutes</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0CE76096" w14:textId="140FA675">
            <w:pPr>
              <w:keepNext/>
              <w:keepLines/>
              <w:autoSpaceDE w:val="0"/>
              <w:autoSpaceDN w:val="0"/>
              <w:adjustRightInd w:val="0"/>
              <w:spacing w:after="0"/>
              <w:jc w:val="center"/>
              <w:rPr>
                <w:rFonts w:eastAsia="Calibri"/>
                <w:b/>
                <w:sz w:val="20"/>
                <w:szCs w:val="20"/>
              </w:rPr>
            </w:pPr>
            <w:r>
              <w:rPr>
                <w:rFonts w:eastAsia="Calibri"/>
                <w:b/>
                <w:sz w:val="20"/>
                <w:szCs w:val="20"/>
              </w:rPr>
              <w:t>$</w:t>
            </w:r>
            <w:r w:rsidR="00FB0938">
              <w:rPr>
                <w:rFonts w:eastAsia="Calibri"/>
                <w:b/>
                <w:sz w:val="20"/>
                <w:szCs w:val="20"/>
              </w:rPr>
              <w:t>40.61</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23711550" w14:textId="49FAB24F">
            <w:pPr>
              <w:keepNext/>
              <w:keepLines/>
              <w:autoSpaceDE w:val="0"/>
              <w:autoSpaceDN w:val="0"/>
              <w:adjustRightInd w:val="0"/>
              <w:spacing w:after="0"/>
              <w:jc w:val="center"/>
              <w:rPr>
                <w:rFonts w:eastAsia="Calibri"/>
                <w:b/>
                <w:sz w:val="20"/>
                <w:szCs w:val="20"/>
              </w:rPr>
            </w:pPr>
            <w:r>
              <w:rPr>
                <w:rFonts w:eastAsia="Calibri"/>
                <w:b/>
                <w:sz w:val="20"/>
                <w:szCs w:val="20"/>
              </w:rPr>
              <w:t>$</w:t>
            </w:r>
            <w:r w:rsidR="00FB0938">
              <w:rPr>
                <w:rFonts w:eastAsia="Calibri"/>
                <w:b/>
                <w:sz w:val="20"/>
                <w:szCs w:val="20"/>
              </w:rPr>
              <w:t>47.</w:t>
            </w:r>
            <w:r w:rsidR="004E5663">
              <w:rPr>
                <w:rFonts w:eastAsia="Calibri"/>
                <w:b/>
                <w:sz w:val="20"/>
                <w:szCs w:val="20"/>
              </w:rPr>
              <w:t>38</w:t>
            </w:r>
          </w:p>
        </w:tc>
        <w:tc>
          <w:tcPr>
            <w:tcW w:w="117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444B6817" w14:textId="31974DF4">
            <w:pPr>
              <w:keepNext/>
              <w:keepLines/>
              <w:autoSpaceDE w:val="0"/>
              <w:autoSpaceDN w:val="0"/>
              <w:adjustRightInd w:val="0"/>
              <w:spacing w:after="0"/>
              <w:jc w:val="center"/>
              <w:rPr>
                <w:rFonts w:eastAsia="Calibri"/>
                <w:b/>
                <w:sz w:val="20"/>
                <w:szCs w:val="20"/>
              </w:rPr>
            </w:pPr>
            <w:r>
              <w:rPr>
                <w:rFonts w:eastAsia="Calibri"/>
                <w:b/>
                <w:sz w:val="20"/>
                <w:szCs w:val="20"/>
              </w:rPr>
              <w:t>$</w:t>
            </w:r>
            <w:r w:rsidR="004E5663">
              <w:rPr>
                <w:rFonts w:eastAsia="Calibri"/>
                <w:b/>
                <w:sz w:val="20"/>
                <w:szCs w:val="20"/>
              </w:rPr>
              <w:t>2,</w:t>
            </w:r>
            <w:r w:rsidR="00603FC2">
              <w:rPr>
                <w:rFonts w:eastAsia="Calibri"/>
                <w:b/>
                <w:sz w:val="20"/>
                <w:szCs w:val="20"/>
              </w:rPr>
              <w:t>843</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1BE525E1" w14:textId="14964789">
            <w:pPr>
              <w:keepNext/>
              <w:keepLines/>
              <w:autoSpaceDE w:val="0"/>
              <w:autoSpaceDN w:val="0"/>
              <w:adjustRightInd w:val="0"/>
              <w:spacing w:after="0"/>
              <w:jc w:val="center"/>
              <w:rPr>
                <w:rFonts w:eastAsia="Calibri"/>
                <w:b/>
                <w:sz w:val="20"/>
                <w:szCs w:val="20"/>
              </w:rPr>
            </w:pPr>
            <w:r>
              <w:rPr>
                <w:rFonts w:eastAsia="Calibri"/>
                <w:b/>
                <w:sz w:val="20"/>
                <w:szCs w:val="20"/>
              </w:rPr>
              <w:t>70</w:t>
            </w:r>
            <w:r>
              <w:rPr>
                <w:rFonts w:eastAsia="Calibri"/>
                <w:b/>
                <w:sz w:val="20"/>
                <w:szCs w:val="20"/>
              </w:rPr>
              <w:t xml:space="preserve"> hours</w:t>
            </w:r>
          </w:p>
        </w:tc>
      </w:tr>
      <w:tr w14:paraId="066E113C" w14:textId="77777777">
        <w:tblPrEx>
          <w:tblW w:w="9715" w:type="dxa"/>
          <w:tblLayout w:type="fixed"/>
          <w:tblCellMar>
            <w:left w:w="0" w:type="dxa"/>
            <w:right w:w="0" w:type="dxa"/>
          </w:tblCellMar>
          <w:tblLook w:val="04A0"/>
        </w:tblPrEx>
        <w:tc>
          <w:tcPr>
            <w:tcW w:w="243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10D1F055" w14:textId="77777777">
            <w:pPr>
              <w:keepNext/>
              <w:keepLines/>
              <w:autoSpaceDE w:val="0"/>
              <w:autoSpaceDN w:val="0"/>
              <w:adjustRightInd w:val="0"/>
              <w:spacing w:after="0"/>
              <w:rPr>
                <w:rFonts w:eastAsia="Calibri"/>
                <w:bCs/>
                <w:i/>
                <w:iCs/>
                <w:sz w:val="20"/>
                <w:szCs w:val="20"/>
              </w:rPr>
            </w:pPr>
            <w:r>
              <w:rPr>
                <w:rFonts w:eastAsia="Calibri"/>
                <w:bCs/>
                <w:sz w:val="20"/>
                <w:szCs w:val="20"/>
              </w:rPr>
              <w:t xml:space="preserve">     </w:t>
            </w:r>
            <w:r>
              <w:rPr>
                <w:rFonts w:eastAsia="Calibri"/>
                <w:bCs/>
                <w:i/>
                <w:iCs/>
                <w:sz w:val="20"/>
                <w:szCs w:val="20"/>
              </w:rPr>
              <w:t>Travel Time (Round-Trip)</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60FDA06E" w14:textId="77777777">
            <w:pPr>
              <w:keepNext/>
              <w:keepLines/>
              <w:autoSpaceDE w:val="0"/>
              <w:autoSpaceDN w:val="0"/>
              <w:adjustRightInd w:val="0"/>
              <w:spacing w:after="0"/>
              <w:jc w:val="center"/>
              <w:rPr>
                <w:rFonts w:eastAsia="Calibri"/>
                <w:bCs/>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7D007499" w14:textId="77777777">
            <w:pPr>
              <w:keepNext/>
              <w:keepLines/>
              <w:autoSpaceDE w:val="0"/>
              <w:autoSpaceDN w:val="0"/>
              <w:adjustRightInd w:val="0"/>
              <w:spacing w:after="0"/>
              <w:jc w:val="center"/>
              <w:rPr>
                <w:rFonts w:eastAsia="Calibri"/>
                <w:bCs/>
                <w:i/>
                <w:iCs/>
                <w:sz w:val="20"/>
                <w:szCs w:val="20"/>
              </w:rPr>
            </w:pPr>
            <w:r>
              <w:rPr>
                <w:rFonts w:eastAsia="Calibri"/>
                <w:bCs/>
                <w:i/>
                <w:iCs/>
                <w:sz w:val="20"/>
                <w:szCs w:val="20"/>
              </w:rPr>
              <w:t>60</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15860D37" w14:textId="77777777">
            <w:pPr>
              <w:keepNext/>
              <w:keepLines/>
              <w:autoSpaceDE w:val="0"/>
              <w:autoSpaceDN w:val="0"/>
              <w:adjustRightInd w:val="0"/>
              <w:spacing w:after="0"/>
              <w:jc w:val="center"/>
              <w:rPr>
                <w:rFonts w:eastAsia="Calibri"/>
                <w:b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52B5C5BB" w14:textId="77777777">
            <w:pPr>
              <w:keepNext/>
              <w:keepLines/>
              <w:autoSpaceDE w:val="0"/>
              <w:autoSpaceDN w:val="0"/>
              <w:adjustRightInd w:val="0"/>
              <w:spacing w:after="0"/>
              <w:jc w:val="center"/>
              <w:rPr>
                <w:rFonts w:eastAsia="Calibri"/>
                <w:bCs/>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226F6D1A" w14:textId="77777777">
            <w:pPr>
              <w:keepNext/>
              <w:keepLines/>
              <w:autoSpaceDE w:val="0"/>
              <w:autoSpaceDN w:val="0"/>
              <w:adjustRightInd w:val="0"/>
              <w:spacing w:after="0"/>
              <w:jc w:val="center"/>
              <w:rPr>
                <w:rFonts w:eastAsia="Calibri"/>
                <w:bCs/>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27B953F1" w14:textId="77777777">
            <w:pPr>
              <w:keepNext/>
              <w:keepLines/>
              <w:autoSpaceDE w:val="0"/>
              <w:autoSpaceDN w:val="0"/>
              <w:adjustRightInd w:val="0"/>
              <w:spacing w:after="0"/>
              <w:jc w:val="center"/>
              <w:rPr>
                <w:rFonts w:eastAsia="Calibri"/>
                <w:b/>
                <w:sz w:val="20"/>
                <w:szCs w:val="20"/>
              </w:rPr>
            </w:pPr>
          </w:p>
        </w:tc>
      </w:tr>
      <w:tr w14:paraId="432074BF" w14:textId="77777777">
        <w:tblPrEx>
          <w:tblW w:w="9715" w:type="dxa"/>
          <w:tblLayout w:type="fixed"/>
          <w:tblCellMar>
            <w:left w:w="0" w:type="dxa"/>
            <w:right w:w="0" w:type="dxa"/>
          </w:tblCellMar>
          <w:tblLook w:val="04A0"/>
        </w:tblPrEx>
        <w:tc>
          <w:tcPr>
            <w:tcW w:w="2430" w:type="dxa"/>
            <w:tcBorders>
              <w:top w:val="single" w:sz="4" w:space="0" w:color="auto"/>
              <w:left w:val="single" w:sz="4" w:space="0" w:color="auto"/>
              <w:bottom w:val="single" w:sz="4" w:space="0" w:color="auto"/>
              <w:right w:val="single" w:sz="4" w:space="0" w:color="auto"/>
            </w:tcBorders>
            <w:vAlign w:val="center"/>
          </w:tcPr>
          <w:p w:rsidR="00276EE0" w:rsidP="00937B8B" w14:paraId="2C0BC589" w14:textId="77777777">
            <w:pPr>
              <w:keepNext/>
              <w:keepLines/>
              <w:autoSpaceDE w:val="0"/>
              <w:autoSpaceDN w:val="0"/>
              <w:adjustRightInd w:val="0"/>
              <w:spacing w:after="0"/>
              <w:rPr>
                <w:rFonts w:eastAsia="Calibri"/>
                <w:bCs/>
                <w:sz w:val="20"/>
                <w:szCs w:val="20"/>
              </w:rPr>
            </w:pPr>
            <w:r>
              <w:rPr>
                <w:rFonts w:eastAsia="Calibri"/>
                <w:bCs/>
                <w:i/>
                <w:iCs/>
                <w:sz w:val="20"/>
                <w:szCs w:val="20"/>
              </w:rPr>
              <w:t xml:space="preserve">     </w:t>
            </w:r>
            <w:r w:rsidRPr="00142A5E">
              <w:rPr>
                <w:rFonts w:eastAsia="Calibri"/>
                <w:bCs/>
                <w:i/>
                <w:iCs/>
                <w:sz w:val="20"/>
                <w:szCs w:val="20"/>
              </w:rPr>
              <w:t>Informed Consent</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5AA5D144" w14:textId="77777777">
            <w:pPr>
              <w:keepNext/>
              <w:keepLines/>
              <w:autoSpaceDE w:val="0"/>
              <w:autoSpaceDN w:val="0"/>
              <w:adjustRightInd w:val="0"/>
              <w:spacing w:after="0"/>
              <w:jc w:val="center"/>
              <w:rPr>
                <w:rFonts w:eastAsia="Calibri"/>
                <w:bCs/>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76EE0" w:rsidRPr="00142A5E" w:rsidP="00937B8B" w14:paraId="2659F5E5" w14:textId="77777777">
            <w:pPr>
              <w:keepNext/>
              <w:keepLines/>
              <w:autoSpaceDE w:val="0"/>
              <w:autoSpaceDN w:val="0"/>
              <w:adjustRightInd w:val="0"/>
              <w:spacing w:after="0"/>
              <w:jc w:val="center"/>
              <w:rPr>
                <w:rFonts w:eastAsia="Calibri"/>
                <w:bCs/>
                <w:i/>
                <w:iCs/>
                <w:sz w:val="20"/>
                <w:szCs w:val="20"/>
              </w:rPr>
            </w:pPr>
            <w:r>
              <w:rPr>
                <w:rFonts w:eastAsia="Calibri"/>
                <w:bCs/>
                <w:i/>
                <w:iCs/>
                <w:sz w:val="20"/>
                <w:szCs w:val="20"/>
              </w:rPr>
              <w:t>10</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643B2403" w14:textId="77777777">
            <w:pPr>
              <w:keepNext/>
              <w:keepLines/>
              <w:autoSpaceDE w:val="0"/>
              <w:autoSpaceDN w:val="0"/>
              <w:adjustRightInd w:val="0"/>
              <w:spacing w:after="0"/>
              <w:jc w:val="center"/>
              <w:rPr>
                <w:rFonts w:eastAsia="Calibri"/>
                <w:b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4BE16E6A" w14:textId="77777777">
            <w:pPr>
              <w:keepNext/>
              <w:keepLines/>
              <w:autoSpaceDE w:val="0"/>
              <w:autoSpaceDN w:val="0"/>
              <w:adjustRightInd w:val="0"/>
              <w:spacing w:after="0"/>
              <w:jc w:val="center"/>
              <w:rPr>
                <w:rFonts w:eastAsia="Calibri"/>
                <w:bCs/>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2255C4DB" w14:textId="77777777">
            <w:pPr>
              <w:keepNext/>
              <w:keepLines/>
              <w:autoSpaceDE w:val="0"/>
              <w:autoSpaceDN w:val="0"/>
              <w:adjustRightInd w:val="0"/>
              <w:spacing w:after="0"/>
              <w:jc w:val="center"/>
              <w:rPr>
                <w:rFonts w:eastAsia="Calibri"/>
                <w:bCs/>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4F6DD20F" w14:textId="77777777">
            <w:pPr>
              <w:keepNext/>
              <w:keepLines/>
              <w:autoSpaceDE w:val="0"/>
              <w:autoSpaceDN w:val="0"/>
              <w:adjustRightInd w:val="0"/>
              <w:spacing w:after="0"/>
              <w:jc w:val="center"/>
              <w:rPr>
                <w:rFonts w:eastAsia="Calibri"/>
                <w:b/>
                <w:sz w:val="20"/>
                <w:szCs w:val="20"/>
              </w:rPr>
            </w:pPr>
          </w:p>
        </w:tc>
      </w:tr>
      <w:tr w14:paraId="0EC0169F" w14:textId="77777777">
        <w:tblPrEx>
          <w:tblW w:w="9715" w:type="dxa"/>
          <w:tblLayout w:type="fixed"/>
          <w:tblCellMar>
            <w:left w:w="0" w:type="dxa"/>
            <w:right w:w="0" w:type="dxa"/>
          </w:tblCellMar>
          <w:tblLook w:val="04A0"/>
        </w:tblPrEx>
        <w:tc>
          <w:tcPr>
            <w:tcW w:w="2430" w:type="dxa"/>
            <w:tcBorders>
              <w:top w:val="single" w:sz="4" w:space="0" w:color="auto"/>
              <w:left w:val="single" w:sz="4" w:space="0" w:color="auto"/>
              <w:bottom w:val="single" w:sz="4" w:space="0" w:color="auto"/>
              <w:right w:val="single" w:sz="4" w:space="0" w:color="auto"/>
            </w:tcBorders>
            <w:vAlign w:val="center"/>
          </w:tcPr>
          <w:p w:rsidR="00276EE0" w:rsidP="00937B8B" w14:paraId="4F2BA16C" w14:textId="64430798">
            <w:pPr>
              <w:keepNext/>
              <w:keepLines/>
              <w:autoSpaceDE w:val="0"/>
              <w:autoSpaceDN w:val="0"/>
              <w:adjustRightInd w:val="0"/>
              <w:spacing w:after="0"/>
              <w:rPr>
                <w:rFonts w:eastAsia="Calibri"/>
                <w:bCs/>
                <w:sz w:val="20"/>
                <w:szCs w:val="20"/>
              </w:rPr>
            </w:pPr>
            <w:r>
              <w:rPr>
                <w:rFonts w:eastAsia="Calibri"/>
                <w:b/>
                <w:sz w:val="20"/>
                <w:szCs w:val="20"/>
              </w:rPr>
              <w:t xml:space="preserve">NHTSA </w:t>
            </w:r>
            <w:r>
              <w:rPr>
                <w:rFonts w:eastAsia="Calibri"/>
                <w:b/>
                <w:sz w:val="20"/>
                <w:szCs w:val="20"/>
              </w:rPr>
              <w:t xml:space="preserve">Form </w:t>
            </w:r>
            <w:r>
              <w:rPr>
                <w:rFonts w:eastAsia="Calibri"/>
                <w:b/>
                <w:sz w:val="20"/>
                <w:szCs w:val="20"/>
              </w:rPr>
              <w:t>2020</w:t>
            </w:r>
            <w:r>
              <w:rPr>
                <w:rFonts w:eastAsia="Calibri"/>
                <w:b/>
                <w:sz w:val="20"/>
                <w:szCs w:val="20"/>
              </w:rPr>
              <w:t xml:space="preserve"> (Total)</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142A5E" w:rsidP="00937B8B" w14:paraId="57DC8480" w14:textId="7A872E3A">
            <w:pPr>
              <w:keepNext/>
              <w:keepLines/>
              <w:autoSpaceDE w:val="0"/>
              <w:autoSpaceDN w:val="0"/>
              <w:adjustRightInd w:val="0"/>
              <w:spacing w:after="0"/>
              <w:jc w:val="center"/>
              <w:rPr>
                <w:rFonts w:eastAsia="Calibri"/>
                <w:b/>
                <w:sz w:val="20"/>
                <w:szCs w:val="20"/>
              </w:rPr>
            </w:pPr>
            <w:r>
              <w:rPr>
                <w:rFonts w:eastAsia="Calibri"/>
                <w:b/>
                <w:sz w:val="20"/>
                <w:szCs w:val="20"/>
              </w:rPr>
              <w:t>56</w:t>
            </w:r>
          </w:p>
        </w:tc>
        <w:tc>
          <w:tcPr>
            <w:tcW w:w="1260" w:type="dxa"/>
            <w:tcBorders>
              <w:top w:val="single" w:sz="4" w:space="0" w:color="auto"/>
              <w:left w:val="single" w:sz="4" w:space="0" w:color="auto"/>
              <w:bottom w:val="single" w:sz="4" w:space="0" w:color="auto"/>
              <w:right w:val="single" w:sz="4" w:space="0" w:color="auto"/>
            </w:tcBorders>
            <w:vAlign w:val="center"/>
          </w:tcPr>
          <w:p w:rsidR="00276EE0" w:rsidRPr="00142A5E" w:rsidP="00937B8B" w14:paraId="41D3FB4A" w14:textId="77777777">
            <w:pPr>
              <w:keepNext/>
              <w:keepLines/>
              <w:autoSpaceDE w:val="0"/>
              <w:autoSpaceDN w:val="0"/>
              <w:adjustRightInd w:val="0"/>
              <w:spacing w:after="0"/>
              <w:jc w:val="center"/>
              <w:rPr>
                <w:rFonts w:eastAsia="Calibri"/>
                <w:b/>
                <w:sz w:val="20"/>
                <w:szCs w:val="20"/>
              </w:rPr>
            </w:pPr>
            <w:r>
              <w:rPr>
                <w:rFonts w:eastAsia="Calibri"/>
                <w:b/>
                <w:sz w:val="20"/>
                <w:szCs w:val="20"/>
              </w:rPr>
              <w:t>1</w:t>
            </w:r>
            <w:r w:rsidRPr="00142A5E">
              <w:rPr>
                <w:rFonts w:eastAsia="Calibri"/>
                <w:b/>
                <w:sz w:val="20"/>
                <w:szCs w:val="20"/>
              </w:rPr>
              <w:t>0</w:t>
            </w:r>
            <w:r>
              <w:rPr>
                <w:rFonts w:eastAsia="Calibri"/>
                <w:b/>
                <w:sz w:val="20"/>
                <w:szCs w:val="20"/>
              </w:rPr>
              <w:t xml:space="preserve"> minutes</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142A5E" w:rsidP="00937B8B" w14:paraId="7C5C2916" w14:textId="772E88CB">
            <w:pPr>
              <w:keepNext/>
              <w:keepLines/>
              <w:autoSpaceDE w:val="0"/>
              <w:autoSpaceDN w:val="0"/>
              <w:adjustRightInd w:val="0"/>
              <w:spacing w:after="0"/>
              <w:jc w:val="center"/>
              <w:rPr>
                <w:rFonts w:eastAsia="Calibri"/>
                <w:b/>
                <w:sz w:val="20"/>
                <w:szCs w:val="20"/>
              </w:rPr>
            </w:pPr>
            <w:r>
              <w:rPr>
                <w:rFonts w:eastAsia="Calibri"/>
                <w:b/>
                <w:sz w:val="20"/>
                <w:szCs w:val="20"/>
              </w:rPr>
              <w:t>$</w:t>
            </w:r>
            <w:r w:rsidR="00FB0938">
              <w:rPr>
                <w:rFonts w:eastAsia="Calibri"/>
                <w:b/>
                <w:sz w:val="20"/>
                <w:szCs w:val="20"/>
              </w:rPr>
              <w:t>40.61</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142A5E" w:rsidP="00937B8B" w14:paraId="76A11DB6" w14:textId="2F05695F">
            <w:pPr>
              <w:keepNext/>
              <w:keepLines/>
              <w:autoSpaceDE w:val="0"/>
              <w:autoSpaceDN w:val="0"/>
              <w:adjustRightInd w:val="0"/>
              <w:spacing w:after="0"/>
              <w:jc w:val="center"/>
              <w:rPr>
                <w:rFonts w:eastAsia="Calibri"/>
                <w:b/>
                <w:sz w:val="20"/>
                <w:szCs w:val="20"/>
              </w:rPr>
            </w:pPr>
            <w:r>
              <w:rPr>
                <w:rFonts w:eastAsia="Calibri"/>
                <w:b/>
                <w:sz w:val="20"/>
                <w:szCs w:val="20"/>
              </w:rPr>
              <w:t>$</w:t>
            </w:r>
            <w:r w:rsidR="00FB0938">
              <w:rPr>
                <w:rFonts w:eastAsia="Calibri"/>
                <w:b/>
                <w:sz w:val="20"/>
                <w:szCs w:val="20"/>
              </w:rPr>
              <w:t>6.</w:t>
            </w:r>
            <w:r w:rsidR="004E5663">
              <w:rPr>
                <w:rFonts w:eastAsia="Calibri"/>
                <w:b/>
                <w:sz w:val="20"/>
                <w:szCs w:val="20"/>
              </w:rPr>
              <w:t>77</w:t>
            </w:r>
          </w:p>
        </w:tc>
        <w:tc>
          <w:tcPr>
            <w:tcW w:w="1175" w:type="dxa"/>
            <w:tcBorders>
              <w:top w:val="single" w:sz="4" w:space="0" w:color="auto"/>
              <w:left w:val="single" w:sz="4" w:space="0" w:color="auto"/>
              <w:bottom w:val="single" w:sz="4" w:space="0" w:color="auto"/>
              <w:right w:val="single" w:sz="4" w:space="0" w:color="auto"/>
            </w:tcBorders>
            <w:vAlign w:val="center"/>
          </w:tcPr>
          <w:p w:rsidR="00276EE0" w:rsidRPr="00142A5E" w:rsidP="00937B8B" w14:paraId="1DFDBE8A" w14:textId="7DA8368D">
            <w:pPr>
              <w:keepNext/>
              <w:keepLines/>
              <w:autoSpaceDE w:val="0"/>
              <w:autoSpaceDN w:val="0"/>
              <w:adjustRightInd w:val="0"/>
              <w:spacing w:after="0"/>
              <w:jc w:val="center"/>
              <w:rPr>
                <w:rFonts w:eastAsia="Calibri"/>
                <w:b/>
                <w:sz w:val="20"/>
                <w:szCs w:val="20"/>
              </w:rPr>
            </w:pPr>
            <w:r>
              <w:rPr>
                <w:rFonts w:eastAsia="Calibri"/>
                <w:b/>
                <w:sz w:val="20"/>
                <w:szCs w:val="20"/>
              </w:rPr>
              <w:t>$</w:t>
            </w:r>
            <w:r w:rsidR="004E5663">
              <w:rPr>
                <w:rFonts w:eastAsia="Calibri"/>
                <w:b/>
                <w:sz w:val="20"/>
                <w:szCs w:val="20"/>
              </w:rPr>
              <w:t>3</w:t>
            </w:r>
            <w:r w:rsidR="00603FC2">
              <w:rPr>
                <w:rFonts w:eastAsia="Calibri"/>
                <w:b/>
                <w:sz w:val="20"/>
                <w:szCs w:val="20"/>
              </w:rPr>
              <w:t>79</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142A5E" w:rsidP="00937B8B" w14:paraId="2A836B82" w14:textId="3941C5A5">
            <w:pPr>
              <w:keepNext/>
              <w:keepLines/>
              <w:autoSpaceDE w:val="0"/>
              <w:autoSpaceDN w:val="0"/>
              <w:adjustRightInd w:val="0"/>
              <w:spacing w:after="0"/>
              <w:jc w:val="center"/>
              <w:rPr>
                <w:rFonts w:eastAsia="Calibri"/>
                <w:b/>
                <w:sz w:val="20"/>
                <w:szCs w:val="20"/>
              </w:rPr>
            </w:pPr>
            <w:r>
              <w:rPr>
                <w:rFonts w:eastAsia="Calibri"/>
                <w:b/>
                <w:sz w:val="20"/>
                <w:szCs w:val="20"/>
              </w:rPr>
              <w:t>9</w:t>
            </w:r>
            <w:r>
              <w:rPr>
                <w:rFonts w:eastAsia="Calibri"/>
                <w:b/>
                <w:sz w:val="20"/>
                <w:szCs w:val="20"/>
              </w:rPr>
              <w:t xml:space="preserve"> hours</w:t>
            </w:r>
          </w:p>
        </w:tc>
      </w:tr>
      <w:tr w14:paraId="7C61F32F" w14:textId="77777777">
        <w:tblPrEx>
          <w:tblW w:w="9715" w:type="dxa"/>
          <w:tblLayout w:type="fixed"/>
          <w:tblCellMar>
            <w:left w:w="0" w:type="dxa"/>
            <w:right w:w="0" w:type="dxa"/>
          </w:tblCellMar>
          <w:tblLook w:val="04A0"/>
        </w:tblPrEx>
        <w:tc>
          <w:tcPr>
            <w:tcW w:w="243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7A3094AB" w14:textId="77777777">
            <w:pPr>
              <w:keepNext/>
              <w:keepLines/>
              <w:autoSpaceDE w:val="0"/>
              <w:autoSpaceDN w:val="0"/>
              <w:adjustRightInd w:val="0"/>
              <w:spacing w:after="0"/>
              <w:rPr>
                <w:rFonts w:eastAsia="Calibri"/>
                <w:bCs/>
                <w:i/>
                <w:iCs/>
                <w:sz w:val="20"/>
                <w:szCs w:val="20"/>
              </w:rPr>
            </w:pPr>
            <w:r w:rsidRPr="00142A5E">
              <w:rPr>
                <w:rFonts w:eastAsia="Calibri"/>
                <w:b/>
                <w:i/>
                <w:iCs/>
                <w:sz w:val="20"/>
                <w:szCs w:val="20"/>
              </w:rPr>
              <w:t xml:space="preserve">     </w:t>
            </w:r>
            <w:r w:rsidRPr="00142A5E">
              <w:rPr>
                <w:rFonts w:eastAsia="Calibri"/>
                <w:bCs/>
                <w:i/>
                <w:iCs/>
                <w:sz w:val="20"/>
                <w:szCs w:val="20"/>
              </w:rPr>
              <w:t>Enrollment</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34C46C31" w14:textId="77777777">
            <w:pPr>
              <w:keepNext/>
              <w:keepLines/>
              <w:autoSpaceDE w:val="0"/>
              <w:autoSpaceDN w:val="0"/>
              <w:adjustRightInd w:val="0"/>
              <w:spacing w:after="0"/>
              <w:jc w:val="center"/>
              <w:rPr>
                <w:rFonts w:eastAsia="Calibri"/>
                <w:bCs/>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6E77683E" w14:textId="77777777">
            <w:pPr>
              <w:keepNext/>
              <w:keepLines/>
              <w:autoSpaceDE w:val="0"/>
              <w:autoSpaceDN w:val="0"/>
              <w:adjustRightInd w:val="0"/>
              <w:spacing w:after="0"/>
              <w:jc w:val="center"/>
              <w:rPr>
                <w:rFonts w:eastAsia="Calibri"/>
                <w:bCs/>
                <w:i/>
                <w:iCs/>
                <w:sz w:val="20"/>
                <w:szCs w:val="20"/>
              </w:rPr>
            </w:pPr>
            <w:r>
              <w:rPr>
                <w:rFonts w:eastAsia="Calibri"/>
                <w:bCs/>
                <w:i/>
                <w:iCs/>
                <w:sz w:val="20"/>
                <w:szCs w:val="20"/>
              </w:rPr>
              <w:t>5</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75E7078F" w14:textId="77777777">
            <w:pPr>
              <w:keepNext/>
              <w:keepLines/>
              <w:autoSpaceDE w:val="0"/>
              <w:autoSpaceDN w:val="0"/>
              <w:adjustRightInd w:val="0"/>
              <w:spacing w:after="0"/>
              <w:jc w:val="center"/>
              <w:rPr>
                <w:rFonts w:eastAsia="Calibri"/>
                <w:b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3B19EEAA" w14:textId="77777777">
            <w:pPr>
              <w:keepNext/>
              <w:keepLines/>
              <w:autoSpaceDE w:val="0"/>
              <w:autoSpaceDN w:val="0"/>
              <w:adjustRightInd w:val="0"/>
              <w:spacing w:after="0"/>
              <w:jc w:val="center"/>
              <w:rPr>
                <w:rFonts w:eastAsia="Calibri"/>
                <w:bCs/>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6CE5B105" w14:textId="77777777">
            <w:pPr>
              <w:keepNext/>
              <w:keepLines/>
              <w:autoSpaceDE w:val="0"/>
              <w:autoSpaceDN w:val="0"/>
              <w:adjustRightInd w:val="0"/>
              <w:spacing w:after="0"/>
              <w:jc w:val="center"/>
              <w:rPr>
                <w:rFonts w:eastAsia="Calibri"/>
                <w:bCs/>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42C4EEAC" w14:textId="77777777">
            <w:pPr>
              <w:keepNext/>
              <w:keepLines/>
              <w:autoSpaceDE w:val="0"/>
              <w:autoSpaceDN w:val="0"/>
              <w:adjustRightInd w:val="0"/>
              <w:spacing w:after="0"/>
              <w:jc w:val="center"/>
              <w:rPr>
                <w:rFonts w:eastAsia="Calibri"/>
                <w:b/>
                <w:sz w:val="20"/>
                <w:szCs w:val="20"/>
              </w:rPr>
            </w:pPr>
          </w:p>
        </w:tc>
      </w:tr>
      <w:tr w14:paraId="2E06F72C" w14:textId="77777777">
        <w:tblPrEx>
          <w:tblW w:w="9715" w:type="dxa"/>
          <w:tblLayout w:type="fixed"/>
          <w:tblCellMar>
            <w:left w:w="0" w:type="dxa"/>
            <w:right w:w="0" w:type="dxa"/>
          </w:tblCellMar>
          <w:tblLook w:val="04A0"/>
        </w:tblPrEx>
        <w:tc>
          <w:tcPr>
            <w:tcW w:w="2430" w:type="dxa"/>
            <w:tcBorders>
              <w:top w:val="single" w:sz="4" w:space="0" w:color="auto"/>
              <w:left w:val="single" w:sz="4" w:space="0" w:color="auto"/>
              <w:bottom w:val="single" w:sz="4" w:space="0" w:color="auto"/>
              <w:right w:val="single" w:sz="4" w:space="0" w:color="auto"/>
            </w:tcBorders>
            <w:vAlign w:val="center"/>
          </w:tcPr>
          <w:p w:rsidR="00276EE0" w:rsidRPr="00142A5E" w:rsidP="00937B8B" w14:paraId="1783B0D3" w14:textId="77777777">
            <w:pPr>
              <w:keepNext/>
              <w:keepLines/>
              <w:autoSpaceDE w:val="0"/>
              <w:autoSpaceDN w:val="0"/>
              <w:adjustRightInd w:val="0"/>
              <w:spacing w:after="0"/>
              <w:rPr>
                <w:rFonts w:eastAsia="Calibri"/>
                <w:bCs/>
                <w:i/>
                <w:iCs/>
                <w:sz w:val="20"/>
                <w:szCs w:val="20"/>
              </w:rPr>
            </w:pPr>
            <w:r w:rsidRPr="00142A5E">
              <w:rPr>
                <w:rFonts w:eastAsia="Calibri"/>
                <w:bCs/>
                <w:i/>
                <w:iCs/>
                <w:sz w:val="20"/>
                <w:szCs w:val="20"/>
              </w:rPr>
              <w:t xml:space="preserve">     Pre-Study Questionnaire</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3223565C" w14:textId="77777777">
            <w:pPr>
              <w:keepNext/>
              <w:keepLines/>
              <w:autoSpaceDE w:val="0"/>
              <w:autoSpaceDN w:val="0"/>
              <w:adjustRightInd w:val="0"/>
              <w:spacing w:after="0"/>
              <w:jc w:val="center"/>
              <w:rPr>
                <w:rFonts w:eastAsia="Calibri"/>
                <w:bCs/>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76EE0" w:rsidRPr="00142A5E" w:rsidP="00937B8B" w14:paraId="10B4DABF" w14:textId="77777777">
            <w:pPr>
              <w:keepNext/>
              <w:keepLines/>
              <w:autoSpaceDE w:val="0"/>
              <w:autoSpaceDN w:val="0"/>
              <w:adjustRightInd w:val="0"/>
              <w:spacing w:after="0"/>
              <w:jc w:val="center"/>
              <w:rPr>
                <w:rFonts w:eastAsia="Calibri"/>
                <w:bCs/>
                <w:i/>
                <w:iCs/>
                <w:sz w:val="20"/>
                <w:szCs w:val="20"/>
              </w:rPr>
            </w:pPr>
            <w:r>
              <w:rPr>
                <w:rFonts w:eastAsia="Calibri"/>
                <w:bCs/>
                <w:i/>
                <w:iCs/>
                <w:sz w:val="20"/>
                <w:szCs w:val="20"/>
              </w:rPr>
              <w:t>5</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05388444" w14:textId="77777777">
            <w:pPr>
              <w:keepNext/>
              <w:keepLines/>
              <w:autoSpaceDE w:val="0"/>
              <w:autoSpaceDN w:val="0"/>
              <w:adjustRightInd w:val="0"/>
              <w:spacing w:after="0"/>
              <w:jc w:val="center"/>
              <w:rPr>
                <w:rFonts w:eastAsia="Calibri"/>
                <w:b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6436E4FD" w14:textId="77777777">
            <w:pPr>
              <w:keepNext/>
              <w:keepLines/>
              <w:autoSpaceDE w:val="0"/>
              <w:autoSpaceDN w:val="0"/>
              <w:adjustRightInd w:val="0"/>
              <w:spacing w:after="0"/>
              <w:jc w:val="center"/>
              <w:rPr>
                <w:rFonts w:eastAsia="Calibri"/>
                <w:bCs/>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28FBB845" w14:textId="77777777">
            <w:pPr>
              <w:keepNext/>
              <w:keepLines/>
              <w:autoSpaceDE w:val="0"/>
              <w:autoSpaceDN w:val="0"/>
              <w:adjustRightInd w:val="0"/>
              <w:spacing w:after="0"/>
              <w:jc w:val="center"/>
              <w:rPr>
                <w:rFonts w:eastAsia="Calibri"/>
                <w:bCs/>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5BD8FA4B" w14:textId="77777777">
            <w:pPr>
              <w:keepNext/>
              <w:keepLines/>
              <w:autoSpaceDE w:val="0"/>
              <w:autoSpaceDN w:val="0"/>
              <w:adjustRightInd w:val="0"/>
              <w:spacing w:after="0"/>
              <w:jc w:val="center"/>
              <w:rPr>
                <w:rFonts w:eastAsia="Calibri"/>
                <w:b/>
                <w:sz w:val="20"/>
                <w:szCs w:val="20"/>
              </w:rPr>
            </w:pPr>
          </w:p>
        </w:tc>
      </w:tr>
      <w:tr w14:paraId="4BECAD40" w14:textId="77777777">
        <w:tblPrEx>
          <w:tblW w:w="9715" w:type="dxa"/>
          <w:tblLayout w:type="fixed"/>
          <w:tblCellMar>
            <w:left w:w="0" w:type="dxa"/>
            <w:right w:w="0" w:type="dxa"/>
          </w:tblCellMar>
          <w:tblLook w:val="04A0"/>
        </w:tblPrEx>
        <w:tc>
          <w:tcPr>
            <w:tcW w:w="243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5C452A59" w14:textId="2B481FB0">
            <w:pPr>
              <w:keepNext/>
              <w:keepLines/>
              <w:autoSpaceDE w:val="0"/>
              <w:autoSpaceDN w:val="0"/>
              <w:adjustRightInd w:val="0"/>
              <w:spacing w:after="0"/>
              <w:rPr>
                <w:rFonts w:eastAsia="Calibri"/>
                <w:b/>
                <w:sz w:val="20"/>
                <w:szCs w:val="20"/>
              </w:rPr>
            </w:pPr>
            <w:r>
              <w:rPr>
                <w:rFonts w:eastAsia="Calibri"/>
                <w:b/>
                <w:sz w:val="20"/>
                <w:szCs w:val="20"/>
              </w:rPr>
              <w:t xml:space="preserve">NHTSA </w:t>
            </w:r>
            <w:r w:rsidRPr="00BB1C56">
              <w:rPr>
                <w:rFonts w:eastAsia="Calibri"/>
                <w:b/>
                <w:sz w:val="20"/>
                <w:szCs w:val="20"/>
              </w:rPr>
              <w:t xml:space="preserve">Form </w:t>
            </w:r>
            <w:r>
              <w:rPr>
                <w:rFonts w:eastAsia="Calibri"/>
                <w:b/>
                <w:sz w:val="20"/>
                <w:szCs w:val="20"/>
              </w:rPr>
              <w:t>2021</w:t>
            </w:r>
            <w:r w:rsidRPr="00BB1C56">
              <w:rPr>
                <w:rFonts w:eastAsia="Calibri"/>
                <w:b/>
                <w:sz w:val="20"/>
                <w:szCs w:val="20"/>
              </w:rPr>
              <w:t xml:space="preserve"> (Total)</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64769097" w14:textId="08F46720">
            <w:pPr>
              <w:keepNext/>
              <w:keepLines/>
              <w:autoSpaceDE w:val="0"/>
              <w:autoSpaceDN w:val="0"/>
              <w:adjustRightInd w:val="0"/>
              <w:spacing w:after="0"/>
              <w:jc w:val="center"/>
              <w:rPr>
                <w:rFonts w:eastAsia="Calibri"/>
                <w:b/>
                <w:sz w:val="20"/>
                <w:szCs w:val="20"/>
              </w:rPr>
            </w:pPr>
            <w:r>
              <w:rPr>
                <w:rFonts w:eastAsia="Calibri"/>
                <w:b/>
                <w:sz w:val="20"/>
                <w:szCs w:val="20"/>
              </w:rPr>
              <w:t>56</w:t>
            </w:r>
          </w:p>
        </w:tc>
        <w:tc>
          <w:tcPr>
            <w:tcW w:w="126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3395DF27" w14:textId="5D46DBFD">
            <w:pPr>
              <w:keepNext/>
              <w:keepLines/>
              <w:autoSpaceDE w:val="0"/>
              <w:autoSpaceDN w:val="0"/>
              <w:adjustRightInd w:val="0"/>
              <w:spacing w:after="0"/>
              <w:jc w:val="center"/>
              <w:rPr>
                <w:rFonts w:eastAsia="Calibri"/>
                <w:b/>
                <w:sz w:val="20"/>
                <w:szCs w:val="20"/>
              </w:rPr>
            </w:pPr>
            <w:r>
              <w:rPr>
                <w:rFonts w:eastAsia="Calibri"/>
                <w:b/>
                <w:sz w:val="20"/>
                <w:szCs w:val="20"/>
              </w:rPr>
              <w:t>2</w:t>
            </w:r>
            <w:r w:rsidR="00C12B79">
              <w:rPr>
                <w:rFonts w:eastAsia="Calibri"/>
                <w:b/>
                <w:sz w:val="20"/>
                <w:szCs w:val="20"/>
              </w:rPr>
              <w:t>3</w:t>
            </w:r>
            <w:r>
              <w:rPr>
                <w:rFonts w:eastAsia="Calibri"/>
                <w:b/>
                <w:sz w:val="20"/>
                <w:szCs w:val="20"/>
              </w:rPr>
              <w:t>0 minutes</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179E9D08" w14:textId="650CF42D">
            <w:pPr>
              <w:keepNext/>
              <w:keepLines/>
              <w:autoSpaceDE w:val="0"/>
              <w:autoSpaceDN w:val="0"/>
              <w:adjustRightInd w:val="0"/>
              <w:spacing w:after="0"/>
              <w:jc w:val="center"/>
              <w:rPr>
                <w:rFonts w:eastAsia="Calibri"/>
                <w:b/>
                <w:sz w:val="20"/>
                <w:szCs w:val="20"/>
              </w:rPr>
            </w:pPr>
            <w:r>
              <w:rPr>
                <w:rFonts w:eastAsia="Calibri"/>
                <w:b/>
                <w:sz w:val="20"/>
                <w:szCs w:val="20"/>
              </w:rPr>
              <w:t>$</w:t>
            </w:r>
            <w:r w:rsidR="00FB0938">
              <w:rPr>
                <w:rFonts w:eastAsia="Calibri"/>
                <w:b/>
                <w:sz w:val="20"/>
                <w:szCs w:val="20"/>
              </w:rPr>
              <w:t>40.61</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3AFB08C9" w14:textId="2324F558">
            <w:pPr>
              <w:keepNext/>
              <w:keepLines/>
              <w:autoSpaceDE w:val="0"/>
              <w:autoSpaceDN w:val="0"/>
              <w:adjustRightInd w:val="0"/>
              <w:spacing w:after="0"/>
              <w:jc w:val="center"/>
              <w:rPr>
                <w:rFonts w:eastAsia="Calibri"/>
                <w:b/>
                <w:sz w:val="20"/>
                <w:szCs w:val="20"/>
              </w:rPr>
            </w:pPr>
            <w:r>
              <w:rPr>
                <w:rFonts w:eastAsia="Calibri"/>
                <w:b/>
                <w:sz w:val="20"/>
                <w:szCs w:val="20"/>
              </w:rPr>
              <w:t>$</w:t>
            </w:r>
            <w:r w:rsidR="00FB0938">
              <w:rPr>
                <w:rFonts w:eastAsia="Calibri"/>
                <w:b/>
                <w:sz w:val="20"/>
                <w:szCs w:val="20"/>
              </w:rPr>
              <w:t>155.</w:t>
            </w:r>
            <w:r w:rsidR="004E5663">
              <w:rPr>
                <w:rFonts w:eastAsia="Calibri"/>
                <w:b/>
                <w:sz w:val="20"/>
                <w:szCs w:val="20"/>
              </w:rPr>
              <w:t>67</w:t>
            </w:r>
          </w:p>
        </w:tc>
        <w:tc>
          <w:tcPr>
            <w:tcW w:w="117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4B8CC86E" w14:textId="5BE4E5B8">
            <w:pPr>
              <w:keepNext/>
              <w:keepLines/>
              <w:autoSpaceDE w:val="0"/>
              <w:autoSpaceDN w:val="0"/>
              <w:adjustRightInd w:val="0"/>
              <w:spacing w:after="0"/>
              <w:jc w:val="center"/>
              <w:rPr>
                <w:rFonts w:eastAsia="Calibri"/>
                <w:b/>
                <w:sz w:val="20"/>
                <w:szCs w:val="20"/>
              </w:rPr>
            </w:pPr>
            <w:r>
              <w:rPr>
                <w:rFonts w:eastAsia="Calibri"/>
                <w:b/>
                <w:sz w:val="20"/>
                <w:szCs w:val="20"/>
              </w:rPr>
              <w:t>$</w:t>
            </w:r>
            <w:r w:rsidR="004E5663">
              <w:rPr>
                <w:rFonts w:eastAsia="Calibri"/>
                <w:b/>
                <w:sz w:val="20"/>
                <w:szCs w:val="20"/>
              </w:rPr>
              <w:t>8,718</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72F213C0" w14:textId="774D98E2">
            <w:pPr>
              <w:keepNext/>
              <w:keepLines/>
              <w:autoSpaceDE w:val="0"/>
              <w:autoSpaceDN w:val="0"/>
              <w:adjustRightInd w:val="0"/>
              <w:spacing w:after="0"/>
              <w:jc w:val="center"/>
              <w:rPr>
                <w:rFonts w:eastAsia="Calibri"/>
                <w:b/>
                <w:sz w:val="20"/>
                <w:szCs w:val="20"/>
              </w:rPr>
            </w:pPr>
            <w:r>
              <w:rPr>
                <w:rFonts w:eastAsia="Calibri"/>
                <w:b/>
                <w:sz w:val="20"/>
                <w:szCs w:val="20"/>
              </w:rPr>
              <w:t>215</w:t>
            </w:r>
            <w:r>
              <w:rPr>
                <w:rFonts w:eastAsia="Calibri"/>
                <w:b/>
                <w:sz w:val="20"/>
                <w:szCs w:val="20"/>
              </w:rPr>
              <w:t xml:space="preserve"> hours</w:t>
            </w:r>
          </w:p>
        </w:tc>
      </w:tr>
      <w:tr w14:paraId="276F17E2" w14:textId="77777777">
        <w:tblPrEx>
          <w:tblW w:w="9715" w:type="dxa"/>
          <w:tblLayout w:type="fixed"/>
          <w:tblCellMar>
            <w:left w:w="0" w:type="dxa"/>
            <w:right w:w="0" w:type="dxa"/>
          </w:tblCellMar>
          <w:tblLook w:val="04A0"/>
        </w:tblPrEx>
        <w:tc>
          <w:tcPr>
            <w:tcW w:w="2430" w:type="dxa"/>
            <w:tcBorders>
              <w:top w:val="single" w:sz="4" w:space="0" w:color="auto"/>
              <w:left w:val="single" w:sz="4" w:space="0" w:color="auto"/>
              <w:bottom w:val="single" w:sz="4" w:space="0" w:color="auto"/>
              <w:right w:val="single" w:sz="4" w:space="0" w:color="auto"/>
            </w:tcBorders>
            <w:vAlign w:val="center"/>
          </w:tcPr>
          <w:p w:rsidR="00276EE0" w:rsidRPr="00142A5E" w:rsidP="00937B8B" w14:paraId="51BF5DDF" w14:textId="77777777">
            <w:pPr>
              <w:keepNext/>
              <w:keepLines/>
              <w:autoSpaceDE w:val="0"/>
              <w:autoSpaceDN w:val="0"/>
              <w:adjustRightInd w:val="0"/>
              <w:spacing w:after="0"/>
              <w:rPr>
                <w:rFonts w:eastAsia="Calibri"/>
                <w:bCs/>
                <w:i/>
                <w:iCs/>
                <w:sz w:val="20"/>
                <w:szCs w:val="20"/>
              </w:rPr>
            </w:pPr>
            <w:r>
              <w:rPr>
                <w:rFonts w:eastAsia="Calibri"/>
                <w:bCs/>
                <w:sz w:val="20"/>
                <w:szCs w:val="20"/>
              </w:rPr>
              <w:t xml:space="preserve">     </w:t>
            </w:r>
            <w:r>
              <w:rPr>
                <w:rFonts w:eastAsia="Calibri"/>
                <w:bCs/>
                <w:i/>
                <w:iCs/>
                <w:sz w:val="20"/>
                <w:szCs w:val="20"/>
              </w:rPr>
              <w:t>Pre-Training Test</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358103E3" w14:textId="77777777">
            <w:pPr>
              <w:keepNext/>
              <w:keepLines/>
              <w:autoSpaceDE w:val="0"/>
              <w:autoSpaceDN w:val="0"/>
              <w:adjustRightInd w:val="0"/>
              <w:spacing w:after="0"/>
              <w:jc w:val="center"/>
              <w:rPr>
                <w:rFonts w:eastAsia="Calibri"/>
                <w:bCs/>
                <w:i/>
                <w:iCs/>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317EE712" w14:textId="77777777">
            <w:pPr>
              <w:keepNext/>
              <w:keepLines/>
              <w:autoSpaceDE w:val="0"/>
              <w:autoSpaceDN w:val="0"/>
              <w:adjustRightInd w:val="0"/>
              <w:spacing w:after="0"/>
              <w:jc w:val="center"/>
              <w:rPr>
                <w:rFonts w:eastAsia="Calibri"/>
                <w:bCs/>
                <w:i/>
                <w:iCs/>
                <w:sz w:val="20"/>
                <w:szCs w:val="20"/>
              </w:rPr>
            </w:pPr>
            <w:r w:rsidRPr="00BB1C56">
              <w:rPr>
                <w:rFonts w:eastAsia="Calibri"/>
                <w:bCs/>
                <w:i/>
                <w:iCs/>
                <w:sz w:val="20"/>
                <w:szCs w:val="20"/>
              </w:rPr>
              <w:t>20</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6C735B94" w14:textId="77777777">
            <w:pPr>
              <w:keepNext/>
              <w:keepLines/>
              <w:autoSpaceDE w:val="0"/>
              <w:autoSpaceDN w:val="0"/>
              <w:adjustRightInd w:val="0"/>
              <w:spacing w:after="0"/>
              <w:jc w:val="center"/>
              <w:rPr>
                <w:rFonts w:eastAsia="Calibri"/>
                <w:bCs/>
                <w:i/>
                <w:i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208D25E4" w14:textId="77777777">
            <w:pPr>
              <w:keepNext/>
              <w:keepLines/>
              <w:autoSpaceDE w:val="0"/>
              <w:autoSpaceDN w:val="0"/>
              <w:adjustRightInd w:val="0"/>
              <w:spacing w:after="0"/>
              <w:jc w:val="center"/>
              <w:rPr>
                <w:rFonts w:eastAsia="Calibri"/>
                <w:bCs/>
                <w:i/>
                <w:iCs/>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61F36FAC" w14:textId="77777777">
            <w:pPr>
              <w:keepNext/>
              <w:keepLines/>
              <w:autoSpaceDE w:val="0"/>
              <w:autoSpaceDN w:val="0"/>
              <w:adjustRightInd w:val="0"/>
              <w:spacing w:after="0"/>
              <w:jc w:val="center"/>
              <w:rPr>
                <w:rFonts w:eastAsia="Calibri"/>
                <w:bCs/>
                <w:i/>
                <w:iCs/>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530FFD23" w14:textId="77777777">
            <w:pPr>
              <w:keepNext/>
              <w:keepLines/>
              <w:autoSpaceDE w:val="0"/>
              <w:autoSpaceDN w:val="0"/>
              <w:adjustRightInd w:val="0"/>
              <w:spacing w:after="0"/>
              <w:jc w:val="center"/>
              <w:rPr>
                <w:rFonts w:eastAsia="Calibri"/>
                <w:b/>
                <w:i/>
                <w:iCs/>
                <w:sz w:val="20"/>
                <w:szCs w:val="20"/>
              </w:rPr>
            </w:pPr>
          </w:p>
        </w:tc>
      </w:tr>
      <w:tr w14:paraId="3358BB48" w14:textId="77777777">
        <w:tblPrEx>
          <w:tblW w:w="9715" w:type="dxa"/>
          <w:tblLayout w:type="fixed"/>
          <w:tblCellMar>
            <w:left w:w="0" w:type="dxa"/>
            <w:right w:w="0" w:type="dxa"/>
          </w:tblCellMar>
          <w:tblLook w:val="04A0"/>
        </w:tblPrEx>
        <w:tc>
          <w:tcPr>
            <w:tcW w:w="2430" w:type="dxa"/>
            <w:tcBorders>
              <w:top w:val="single" w:sz="4" w:space="0" w:color="auto"/>
              <w:left w:val="single" w:sz="4" w:space="0" w:color="auto"/>
              <w:bottom w:val="single" w:sz="4" w:space="0" w:color="auto"/>
              <w:right w:val="single" w:sz="4" w:space="0" w:color="auto"/>
            </w:tcBorders>
            <w:vAlign w:val="center"/>
          </w:tcPr>
          <w:p w:rsidR="00276EE0" w:rsidRPr="00142A5E" w:rsidP="00937B8B" w14:paraId="6BF40FB7" w14:textId="77777777">
            <w:pPr>
              <w:keepNext/>
              <w:keepLines/>
              <w:autoSpaceDE w:val="0"/>
              <w:autoSpaceDN w:val="0"/>
              <w:adjustRightInd w:val="0"/>
              <w:spacing w:after="0"/>
              <w:rPr>
                <w:rFonts w:eastAsia="Calibri"/>
                <w:bCs/>
                <w:i/>
                <w:iCs/>
                <w:sz w:val="20"/>
                <w:szCs w:val="20"/>
              </w:rPr>
            </w:pPr>
            <w:r w:rsidRPr="00142A5E">
              <w:rPr>
                <w:rFonts w:eastAsia="Calibri"/>
                <w:bCs/>
                <w:i/>
                <w:iCs/>
                <w:sz w:val="20"/>
                <w:szCs w:val="20"/>
              </w:rPr>
              <w:t xml:space="preserve">     Training Program</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0D0BDEC9" w14:textId="77777777">
            <w:pPr>
              <w:keepNext/>
              <w:keepLines/>
              <w:autoSpaceDE w:val="0"/>
              <w:autoSpaceDN w:val="0"/>
              <w:adjustRightInd w:val="0"/>
              <w:spacing w:after="0"/>
              <w:jc w:val="center"/>
              <w:rPr>
                <w:rFonts w:eastAsia="Calibri"/>
                <w:bCs/>
                <w:i/>
                <w:iCs/>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1B6E8FE0" w14:textId="1C52DCF3">
            <w:pPr>
              <w:keepNext/>
              <w:keepLines/>
              <w:autoSpaceDE w:val="0"/>
              <w:autoSpaceDN w:val="0"/>
              <w:adjustRightInd w:val="0"/>
              <w:spacing w:after="0"/>
              <w:jc w:val="center"/>
              <w:rPr>
                <w:rFonts w:eastAsia="Calibri"/>
                <w:bCs/>
                <w:i/>
                <w:iCs/>
                <w:sz w:val="20"/>
                <w:szCs w:val="20"/>
              </w:rPr>
            </w:pPr>
            <w:r>
              <w:rPr>
                <w:rFonts w:eastAsia="Calibri"/>
                <w:bCs/>
                <w:i/>
                <w:iCs/>
                <w:sz w:val="20"/>
                <w:szCs w:val="20"/>
              </w:rPr>
              <w:t>60</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7B924975" w14:textId="77777777">
            <w:pPr>
              <w:keepNext/>
              <w:keepLines/>
              <w:autoSpaceDE w:val="0"/>
              <w:autoSpaceDN w:val="0"/>
              <w:adjustRightInd w:val="0"/>
              <w:spacing w:after="0"/>
              <w:jc w:val="center"/>
              <w:rPr>
                <w:rFonts w:eastAsia="Calibri"/>
                <w:bCs/>
                <w:i/>
                <w:i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3618F97A" w14:textId="77777777">
            <w:pPr>
              <w:keepNext/>
              <w:keepLines/>
              <w:autoSpaceDE w:val="0"/>
              <w:autoSpaceDN w:val="0"/>
              <w:adjustRightInd w:val="0"/>
              <w:spacing w:after="0"/>
              <w:jc w:val="center"/>
              <w:rPr>
                <w:rFonts w:eastAsia="Calibri"/>
                <w:bCs/>
                <w:i/>
                <w:iCs/>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77278D6A" w14:textId="77777777">
            <w:pPr>
              <w:keepNext/>
              <w:keepLines/>
              <w:autoSpaceDE w:val="0"/>
              <w:autoSpaceDN w:val="0"/>
              <w:adjustRightInd w:val="0"/>
              <w:spacing w:after="0"/>
              <w:jc w:val="center"/>
              <w:rPr>
                <w:rFonts w:eastAsia="Calibri"/>
                <w:bCs/>
                <w:i/>
                <w:iCs/>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43692261" w14:textId="77777777">
            <w:pPr>
              <w:keepNext/>
              <w:keepLines/>
              <w:autoSpaceDE w:val="0"/>
              <w:autoSpaceDN w:val="0"/>
              <w:adjustRightInd w:val="0"/>
              <w:spacing w:after="0"/>
              <w:jc w:val="center"/>
              <w:rPr>
                <w:rFonts w:eastAsia="Calibri"/>
                <w:b/>
                <w:i/>
                <w:iCs/>
                <w:sz w:val="20"/>
                <w:szCs w:val="20"/>
              </w:rPr>
            </w:pPr>
          </w:p>
        </w:tc>
      </w:tr>
      <w:tr w14:paraId="400745D6" w14:textId="77777777">
        <w:tblPrEx>
          <w:tblW w:w="9715" w:type="dxa"/>
          <w:tblLayout w:type="fixed"/>
          <w:tblCellMar>
            <w:left w:w="0" w:type="dxa"/>
            <w:right w:w="0" w:type="dxa"/>
          </w:tblCellMar>
          <w:tblLook w:val="04A0"/>
        </w:tblPrEx>
        <w:tc>
          <w:tcPr>
            <w:tcW w:w="2430" w:type="dxa"/>
            <w:tcBorders>
              <w:top w:val="single" w:sz="4" w:space="0" w:color="auto"/>
              <w:left w:val="single" w:sz="4" w:space="0" w:color="auto"/>
              <w:bottom w:val="single" w:sz="4" w:space="0" w:color="auto"/>
              <w:right w:val="single" w:sz="4" w:space="0" w:color="auto"/>
            </w:tcBorders>
            <w:vAlign w:val="center"/>
          </w:tcPr>
          <w:p w:rsidR="00276EE0" w:rsidRPr="00142A5E" w:rsidP="00937B8B" w14:paraId="6E157D0A" w14:textId="77777777">
            <w:pPr>
              <w:keepNext/>
              <w:keepLines/>
              <w:autoSpaceDE w:val="0"/>
              <w:autoSpaceDN w:val="0"/>
              <w:adjustRightInd w:val="0"/>
              <w:spacing w:after="0"/>
              <w:rPr>
                <w:rFonts w:eastAsia="Calibri"/>
                <w:bCs/>
                <w:i/>
                <w:iCs/>
                <w:sz w:val="20"/>
                <w:szCs w:val="20"/>
              </w:rPr>
            </w:pPr>
            <w:r w:rsidRPr="00142A5E">
              <w:rPr>
                <w:rFonts w:eastAsia="Calibri"/>
                <w:bCs/>
                <w:i/>
                <w:iCs/>
                <w:sz w:val="20"/>
                <w:szCs w:val="20"/>
              </w:rPr>
              <w:t xml:space="preserve">     Post-Training Test</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496AD833" w14:textId="77777777">
            <w:pPr>
              <w:keepNext/>
              <w:keepLines/>
              <w:autoSpaceDE w:val="0"/>
              <w:autoSpaceDN w:val="0"/>
              <w:adjustRightInd w:val="0"/>
              <w:spacing w:after="0"/>
              <w:jc w:val="center"/>
              <w:rPr>
                <w:rFonts w:eastAsia="Calibri"/>
                <w:bCs/>
                <w:i/>
                <w:iCs/>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22F50834" w14:textId="77777777">
            <w:pPr>
              <w:keepNext/>
              <w:keepLines/>
              <w:autoSpaceDE w:val="0"/>
              <w:autoSpaceDN w:val="0"/>
              <w:adjustRightInd w:val="0"/>
              <w:spacing w:after="0"/>
              <w:jc w:val="center"/>
              <w:rPr>
                <w:rFonts w:eastAsia="Calibri"/>
                <w:bCs/>
                <w:i/>
                <w:iCs/>
                <w:sz w:val="20"/>
                <w:szCs w:val="20"/>
              </w:rPr>
            </w:pPr>
            <w:r w:rsidRPr="00BB1C56">
              <w:rPr>
                <w:rFonts w:eastAsia="Calibri"/>
                <w:bCs/>
                <w:i/>
                <w:iCs/>
                <w:sz w:val="20"/>
                <w:szCs w:val="20"/>
              </w:rPr>
              <w:t>20</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2D48670B" w14:textId="77777777">
            <w:pPr>
              <w:keepNext/>
              <w:keepLines/>
              <w:autoSpaceDE w:val="0"/>
              <w:autoSpaceDN w:val="0"/>
              <w:adjustRightInd w:val="0"/>
              <w:spacing w:after="0"/>
              <w:jc w:val="center"/>
              <w:rPr>
                <w:rFonts w:eastAsia="Calibri"/>
                <w:bCs/>
                <w:i/>
                <w:i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4DA5D4A8" w14:textId="77777777">
            <w:pPr>
              <w:keepNext/>
              <w:keepLines/>
              <w:autoSpaceDE w:val="0"/>
              <w:autoSpaceDN w:val="0"/>
              <w:adjustRightInd w:val="0"/>
              <w:spacing w:after="0"/>
              <w:jc w:val="center"/>
              <w:rPr>
                <w:rFonts w:eastAsia="Calibri"/>
                <w:bCs/>
                <w:i/>
                <w:iCs/>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6DDC0BB1" w14:textId="77777777">
            <w:pPr>
              <w:keepNext/>
              <w:keepLines/>
              <w:autoSpaceDE w:val="0"/>
              <w:autoSpaceDN w:val="0"/>
              <w:adjustRightInd w:val="0"/>
              <w:spacing w:after="0"/>
              <w:jc w:val="center"/>
              <w:rPr>
                <w:rFonts w:eastAsia="Calibri"/>
                <w:bCs/>
                <w:i/>
                <w:iCs/>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2DB97D43" w14:textId="77777777">
            <w:pPr>
              <w:keepNext/>
              <w:keepLines/>
              <w:autoSpaceDE w:val="0"/>
              <w:autoSpaceDN w:val="0"/>
              <w:adjustRightInd w:val="0"/>
              <w:spacing w:after="0"/>
              <w:jc w:val="center"/>
              <w:rPr>
                <w:rFonts w:eastAsia="Calibri"/>
                <w:b/>
                <w:i/>
                <w:iCs/>
                <w:sz w:val="20"/>
                <w:szCs w:val="20"/>
              </w:rPr>
            </w:pPr>
          </w:p>
        </w:tc>
      </w:tr>
      <w:tr w14:paraId="37956913" w14:textId="77777777">
        <w:tblPrEx>
          <w:tblW w:w="9715" w:type="dxa"/>
          <w:tblLayout w:type="fixed"/>
          <w:tblCellMar>
            <w:left w:w="0" w:type="dxa"/>
            <w:right w:w="0" w:type="dxa"/>
          </w:tblCellMar>
          <w:tblLook w:val="04A0"/>
        </w:tblPrEx>
        <w:tc>
          <w:tcPr>
            <w:tcW w:w="2430" w:type="dxa"/>
            <w:tcBorders>
              <w:top w:val="single" w:sz="4" w:space="0" w:color="auto"/>
              <w:left w:val="single" w:sz="4" w:space="0" w:color="auto"/>
              <w:bottom w:val="single" w:sz="4" w:space="0" w:color="auto"/>
              <w:right w:val="single" w:sz="4" w:space="0" w:color="auto"/>
            </w:tcBorders>
            <w:vAlign w:val="center"/>
          </w:tcPr>
          <w:p w:rsidR="00276EE0" w:rsidRPr="00142A5E" w:rsidP="00937B8B" w14:paraId="720EFC0E" w14:textId="77777777">
            <w:pPr>
              <w:keepNext/>
              <w:keepLines/>
              <w:autoSpaceDE w:val="0"/>
              <w:autoSpaceDN w:val="0"/>
              <w:adjustRightInd w:val="0"/>
              <w:spacing w:after="0"/>
              <w:rPr>
                <w:rFonts w:eastAsia="Calibri"/>
                <w:bCs/>
                <w:i/>
                <w:iCs/>
                <w:sz w:val="20"/>
                <w:szCs w:val="20"/>
              </w:rPr>
            </w:pPr>
            <w:r w:rsidRPr="00142A5E">
              <w:rPr>
                <w:rFonts w:eastAsia="Calibri"/>
                <w:bCs/>
                <w:i/>
                <w:iCs/>
                <w:sz w:val="20"/>
                <w:szCs w:val="20"/>
              </w:rPr>
              <w:t xml:space="preserve">     Break</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43E892B5" w14:textId="77777777">
            <w:pPr>
              <w:keepNext/>
              <w:keepLines/>
              <w:autoSpaceDE w:val="0"/>
              <w:autoSpaceDN w:val="0"/>
              <w:adjustRightInd w:val="0"/>
              <w:spacing w:after="0"/>
              <w:jc w:val="center"/>
              <w:rPr>
                <w:rFonts w:eastAsia="Calibri"/>
                <w:bCs/>
                <w:i/>
                <w:iCs/>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4C50F9B4" w14:textId="77777777">
            <w:pPr>
              <w:keepNext/>
              <w:keepLines/>
              <w:autoSpaceDE w:val="0"/>
              <w:autoSpaceDN w:val="0"/>
              <w:adjustRightInd w:val="0"/>
              <w:spacing w:after="0"/>
              <w:jc w:val="center"/>
              <w:rPr>
                <w:rFonts w:eastAsia="Calibri"/>
                <w:bCs/>
                <w:i/>
                <w:iCs/>
                <w:sz w:val="20"/>
                <w:szCs w:val="20"/>
              </w:rPr>
            </w:pPr>
            <w:r w:rsidRPr="00BB1C56">
              <w:rPr>
                <w:rFonts w:eastAsia="Calibri"/>
                <w:bCs/>
                <w:i/>
                <w:iCs/>
                <w:sz w:val="20"/>
                <w:szCs w:val="20"/>
              </w:rPr>
              <w:t>15</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598840F6" w14:textId="77777777">
            <w:pPr>
              <w:keepNext/>
              <w:keepLines/>
              <w:autoSpaceDE w:val="0"/>
              <w:autoSpaceDN w:val="0"/>
              <w:adjustRightInd w:val="0"/>
              <w:spacing w:after="0"/>
              <w:jc w:val="center"/>
              <w:rPr>
                <w:rFonts w:eastAsia="Calibri"/>
                <w:bCs/>
                <w:i/>
                <w:i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5B30FDA6" w14:textId="77777777">
            <w:pPr>
              <w:keepNext/>
              <w:keepLines/>
              <w:autoSpaceDE w:val="0"/>
              <w:autoSpaceDN w:val="0"/>
              <w:adjustRightInd w:val="0"/>
              <w:spacing w:after="0"/>
              <w:jc w:val="center"/>
              <w:rPr>
                <w:rFonts w:eastAsia="Calibri"/>
                <w:bCs/>
                <w:i/>
                <w:iCs/>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017FB2CF" w14:textId="77777777">
            <w:pPr>
              <w:keepNext/>
              <w:keepLines/>
              <w:autoSpaceDE w:val="0"/>
              <w:autoSpaceDN w:val="0"/>
              <w:adjustRightInd w:val="0"/>
              <w:spacing w:after="0"/>
              <w:jc w:val="center"/>
              <w:rPr>
                <w:rFonts w:eastAsia="Calibri"/>
                <w:bCs/>
                <w:i/>
                <w:iCs/>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1AFB5916" w14:textId="77777777">
            <w:pPr>
              <w:keepNext/>
              <w:keepLines/>
              <w:autoSpaceDE w:val="0"/>
              <w:autoSpaceDN w:val="0"/>
              <w:adjustRightInd w:val="0"/>
              <w:spacing w:after="0"/>
              <w:jc w:val="center"/>
              <w:rPr>
                <w:rFonts w:eastAsia="Calibri"/>
                <w:b/>
                <w:i/>
                <w:iCs/>
                <w:sz w:val="20"/>
                <w:szCs w:val="20"/>
              </w:rPr>
            </w:pPr>
          </w:p>
        </w:tc>
      </w:tr>
      <w:tr w14:paraId="18350987" w14:textId="77777777">
        <w:tblPrEx>
          <w:tblW w:w="9715" w:type="dxa"/>
          <w:tblLayout w:type="fixed"/>
          <w:tblCellMar>
            <w:left w:w="0" w:type="dxa"/>
            <w:right w:w="0" w:type="dxa"/>
          </w:tblCellMar>
          <w:tblLook w:val="04A0"/>
        </w:tblPrEx>
        <w:tc>
          <w:tcPr>
            <w:tcW w:w="243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79ECD933" w14:textId="77777777">
            <w:pPr>
              <w:keepNext/>
              <w:keepLines/>
              <w:autoSpaceDE w:val="0"/>
              <w:autoSpaceDN w:val="0"/>
              <w:adjustRightInd w:val="0"/>
              <w:spacing w:after="0"/>
              <w:rPr>
                <w:rFonts w:eastAsia="Calibri"/>
                <w:bCs/>
                <w:i/>
                <w:iCs/>
                <w:sz w:val="20"/>
                <w:szCs w:val="20"/>
              </w:rPr>
            </w:pPr>
            <w:r>
              <w:rPr>
                <w:rFonts w:eastAsia="Calibri"/>
                <w:bCs/>
                <w:sz w:val="20"/>
                <w:szCs w:val="20"/>
              </w:rPr>
              <w:t xml:space="preserve">     </w:t>
            </w:r>
            <w:r>
              <w:rPr>
                <w:rFonts w:eastAsia="Calibri"/>
                <w:bCs/>
                <w:i/>
                <w:iCs/>
                <w:sz w:val="20"/>
                <w:szCs w:val="20"/>
              </w:rPr>
              <w:t>Driving Simulator Testing</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0E557337" w14:textId="77777777">
            <w:pPr>
              <w:keepNext/>
              <w:keepLines/>
              <w:autoSpaceDE w:val="0"/>
              <w:autoSpaceDN w:val="0"/>
              <w:adjustRightInd w:val="0"/>
              <w:spacing w:after="0"/>
              <w:jc w:val="center"/>
              <w:rPr>
                <w:rFonts w:eastAsia="Calibri"/>
                <w:bCs/>
                <w:i/>
                <w:iCs/>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7F31B7DA" w14:textId="77777777">
            <w:pPr>
              <w:keepNext/>
              <w:keepLines/>
              <w:autoSpaceDE w:val="0"/>
              <w:autoSpaceDN w:val="0"/>
              <w:adjustRightInd w:val="0"/>
              <w:spacing w:after="0"/>
              <w:jc w:val="center"/>
              <w:rPr>
                <w:rFonts w:eastAsia="Calibri"/>
                <w:bCs/>
                <w:i/>
                <w:iCs/>
                <w:sz w:val="20"/>
                <w:szCs w:val="20"/>
              </w:rPr>
            </w:pPr>
            <w:r w:rsidRPr="00BB1C56">
              <w:rPr>
                <w:rFonts w:eastAsia="Calibri"/>
                <w:bCs/>
                <w:i/>
                <w:iCs/>
                <w:sz w:val="20"/>
                <w:szCs w:val="20"/>
              </w:rPr>
              <w:t>90</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31673336" w14:textId="77777777">
            <w:pPr>
              <w:keepNext/>
              <w:keepLines/>
              <w:autoSpaceDE w:val="0"/>
              <w:autoSpaceDN w:val="0"/>
              <w:adjustRightInd w:val="0"/>
              <w:spacing w:after="0"/>
              <w:jc w:val="center"/>
              <w:rPr>
                <w:rFonts w:eastAsia="Calibri"/>
                <w:bCs/>
                <w:i/>
                <w:i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5F2472C3" w14:textId="77777777">
            <w:pPr>
              <w:keepNext/>
              <w:keepLines/>
              <w:autoSpaceDE w:val="0"/>
              <w:autoSpaceDN w:val="0"/>
              <w:adjustRightInd w:val="0"/>
              <w:spacing w:after="0"/>
              <w:jc w:val="center"/>
              <w:rPr>
                <w:rFonts w:eastAsia="Calibri"/>
                <w:bCs/>
                <w:i/>
                <w:iCs/>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14537C02" w14:textId="77777777">
            <w:pPr>
              <w:keepNext/>
              <w:keepLines/>
              <w:autoSpaceDE w:val="0"/>
              <w:autoSpaceDN w:val="0"/>
              <w:adjustRightInd w:val="0"/>
              <w:spacing w:after="0"/>
              <w:jc w:val="center"/>
              <w:rPr>
                <w:rFonts w:eastAsia="Calibri"/>
                <w:bCs/>
                <w:i/>
                <w:iCs/>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61C9120C" w14:textId="77777777">
            <w:pPr>
              <w:keepNext/>
              <w:keepLines/>
              <w:autoSpaceDE w:val="0"/>
              <w:autoSpaceDN w:val="0"/>
              <w:adjustRightInd w:val="0"/>
              <w:spacing w:after="0"/>
              <w:jc w:val="center"/>
              <w:rPr>
                <w:rFonts w:eastAsia="Calibri"/>
                <w:b/>
                <w:i/>
                <w:iCs/>
                <w:sz w:val="20"/>
                <w:szCs w:val="20"/>
              </w:rPr>
            </w:pPr>
          </w:p>
        </w:tc>
      </w:tr>
      <w:tr w14:paraId="75D1374D" w14:textId="77777777">
        <w:tblPrEx>
          <w:tblW w:w="9715" w:type="dxa"/>
          <w:tblLayout w:type="fixed"/>
          <w:tblCellMar>
            <w:left w:w="0" w:type="dxa"/>
            <w:right w:w="0" w:type="dxa"/>
          </w:tblCellMar>
          <w:tblLook w:val="04A0"/>
        </w:tblPrEx>
        <w:tc>
          <w:tcPr>
            <w:tcW w:w="243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42F1C92D" w14:textId="77777777">
            <w:pPr>
              <w:keepNext/>
              <w:keepLines/>
              <w:autoSpaceDE w:val="0"/>
              <w:autoSpaceDN w:val="0"/>
              <w:adjustRightInd w:val="0"/>
              <w:spacing w:after="0"/>
              <w:rPr>
                <w:rFonts w:eastAsia="Calibri"/>
                <w:bCs/>
                <w:i/>
                <w:iCs/>
                <w:sz w:val="20"/>
                <w:szCs w:val="20"/>
              </w:rPr>
            </w:pPr>
            <w:r>
              <w:rPr>
                <w:rFonts w:eastAsia="Calibri"/>
                <w:bCs/>
                <w:sz w:val="20"/>
                <w:szCs w:val="20"/>
              </w:rPr>
              <w:t xml:space="preserve">     </w:t>
            </w:r>
            <w:r>
              <w:rPr>
                <w:rFonts w:eastAsia="Calibri"/>
                <w:bCs/>
                <w:i/>
                <w:iCs/>
                <w:sz w:val="20"/>
                <w:szCs w:val="20"/>
              </w:rPr>
              <w:t>Post-Study Questionnaire</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50BF8881" w14:textId="77777777">
            <w:pPr>
              <w:keepNext/>
              <w:keepLines/>
              <w:autoSpaceDE w:val="0"/>
              <w:autoSpaceDN w:val="0"/>
              <w:adjustRightInd w:val="0"/>
              <w:spacing w:after="0"/>
              <w:jc w:val="center"/>
              <w:rPr>
                <w:rFonts w:eastAsia="Calibri"/>
                <w:bCs/>
                <w:i/>
                <w:iCs/>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5EE4AFCD" w14:textId="77777777">
            <w:pPr>
              <w:keepNext/>
              <w:keepLines/>
              <w:autoSpaceDE w:val="0"/>
              <w:autoSpaceDN w:val="0"/>
              <w:adjustRightInd w:val="0"/>
              <w:spacing w:after="0"/>
              <w:jc w:val="center"/>
              <w:rPr>
                <w:rFonts w:eastAsia="Calibri"/>
                <w:bCs/>
                <w:i/>
                <w:iCs/>
                <w:sz w:val="20"/>
                <w:szCs w:val="20"/>
              </w:rPr>
            </w:pPr>
            <w:r w:rsidRPr="00BB1C56">
              <w:rPr>
                <w:rFonts w:eastAsia="Calibri"/>
                <w:bCs/>
                <w:i/>
                <w:iCs/>
                <w:sz w:val="20"/>
                <w:szCs w:val="20"/>
              </w:rPr>
              <w:t>25</w:t>
            </w: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06393DBE" w14:textId="77777777">
            <w:pPr>
              <w:keepNext/>
              <w:keepLines/>
              <w:autoSpaceDE w:val="0"/>
              <w:autoSpaceDN w:val="0"/>
              <w:adjustRightInd w:val="0"/>
              <w:spacing w:after="0"/>
              <w:jc w:val="center"/>
              <w:rPr>
                <w:rFonts w:eastAsia="Calibri"/>
                <w:bCs/>
                <w:i/>
                <w:i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5D025593" w14:textId="77777777">
            <w:pPr>
              <w:keepNext/>
              <w:keepLines/>
              <w:autoSpaceDE w:val="0"/>
              <w:autoSpaceDN w:val="0"/>
              <w:adjustRightInd w:val="0"/>
              <w:spacing w:after="0"/>
              <w:jc w:val="center"/>
              <w:rPr>
                <w:rFonts w:eastAsia="Calibri"/>
                <w:bCs/>
                <w:i/>
                <w:iCs/>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3D99C10B" w14:textId="77777777">
            <w:pPr>
              <w:keepNext/>
              <w:keepLines/>
              <w:autoSpaceDE w:val="0"/>
              <w:autoSpaceDN w:val="0"/>
              <w:adjustRightInd w:val="0"/>
              <w:spacing w:after="0"/>
              <w:jc w:val="center"/>
              <w:rPr>
                <w:rFonts w:eastAsia="Calibri"/>
                <w:bCs/>
                <w:i/>
                <w:iCs/>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BB1C56" w:rsidP="00937B8B" w14:paraId="4E8F9844" w14:textId="77777777">
            <w:pPr>
              <w:keepNext/>
              <w:keepLines/>
              <w:autoSpaceDE w:val="0"/>
              <w:autoSpaceDN w:val="0"/>
              <w:adjustRightInd w:val="0"/>
              <w:spacing w:after="0"/>
              <w:jc w:val="center"/>
              <w:rPr>
                <w:rFonts w:eastAsia="Calibri"/>
                <w:b/>
                <w:i/>
                <w:iCs/>
                <w:sz w:val="20"/>
                <w:szCs w:val="20"/>
              </w:rPr>
            </w:pPr>
          </w:p>
        </w:tc>
      </w:tr>
      <w:tr w14:paraId="1AD7579D" w14:textId="77777777">
        <w:tblPrEx>
          <w:tblW w:w="9715" w:type="dxa"/>
          <w:tblLayout w:type="fixed"/>
          <w:tblCellMar>
            <w:left w:w="0" w:type="dxa"/>
            <w:right w:w="0" w:type="dxa"/>
          </w:tblCellMar>
          <w:tblLook w:val="04A0"/>
        </w:tblPrEx>
        <w:tc>
          <w:tcPr>
            <w:tcW w:w="243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76437390" w14:textId="77777777">
            <w:pPr>
              <w:keepNext/>
              <w:keepLines/>
              <w:autoSpaceDE w:val="0"/>
              <w:autoSpaceDN w:val="0"/>
              <w:adjustRightInd w:val="0"/>
              <w:spacing w:after="0"/>
              <w:rPr>
                <w:rFonts w:eastAsia="Calibri"/>
                <w:b/>
                <w:sz w:val="20"/>
                <w:szCs w:val="20"/>
              </w:rPr>
            </w:pPr>
            <w:r w:rsidRPr="00E863E8">
              <w:rPr>
                <w:rFonts w:eastAsia="Calibri"/>
                <w:b/>
                <w:sz w:val="20"/>
                <w:szCs w:val="20"/>
              </w:rPr>
              <w:t>Total</w:t>
            </w: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14B55F6A" w14:textId="77777777">
            <w:pPr>
              <w:keepNext/>
              <w:keepLines/>
              <w:autoSpaceDE w:val="0"/>
              <w:autoSpaceDN w:val="0"/>
              <w:adjustRightInd w:val="0"/>
              <w:spacing w:after="0"/>
              <w:jc w:val="center"/>
              <w:rPr>
                <w:rFonts w:eastAsia="Calibri"/>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0D1A21FA" w14:textId="77777777">
            <w:pPr>
              <w:keepNext/>
              <w:keepLines/>
              <w:autoSpaceDE w:val="0"/>
              <w:autoSpaceDN w:val="0"/>
              <w:adjustRightInd w:val="0"/>
              <w:spacing w:after="0"/>
              <w:jc w:val="center"/>
              <w:rPr>
                <w:rFonts w:eastAsia="Calibri"/>
                <w:b/>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3E963DB3" w14:textId="77777777">
            <w:pPr>
              <w:keepNext/>
              <w:keepLines/>
              <w:autoSpaceDE w:val="0"/>
              <w:autoSpaceDN w:val="0"/>
              <w:adjustRightInd w:val="0"/>
              <w:spacing w:after="0"/>
              <w:jc w:val="center"/>
              <w:rPr>
                <w:rFonts w:eastAsia="Calibri"/>
                <w:b/>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24C9D99D" w14:textId="77777777">
            <w:pPr>
              <w:keepNext/>
              <w:keepLines/>
              <w:autoSpaceDE w:val="0"/>
              <w:autoSpaceDN w:val="0"/>
              <w:adjustRightInd w:val="0"/>
              <w:spacing w:after="0"/>
              <w:jc w:val="center"/>
              <w:rPr>
                <w:rFonts w:eastAsia="Calibri"/>
                <w:b/>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6EAE30DA" w14:textId="4E26156C">
            <w:pPr>
              <w:keepNext/>
              <w:keepLines/>
              <w:autoSpaceDE w:val="0"/>
              <w:autoSpaceDN w:val="0"/>
              <w:adjustRightInd w:val="0"/>
              <w:spacing w:after="0"/>
              <w:jc w:val="center"/>
              <w:rPr>
                <w:rFonts w:eastAsia="Calibri"/>
                <w:b/>
                <w:sz w:val="20"/>
                <w:szCs w:val="20"/>
              </w:rPr>
            </w:pPr>
            <w:bookmarkStart w:id="28" w:name="_Hlk187243255"/>
            <w:r w:rsidRPr="00E863E8">
              <w:rPr>
                <w:rFonts w:eastAsia="Calibri"/>
                <w:b/>
                <w:sz w:val="20"/>
                <w:szCs w:val="20"/>
              </w:rPr>
              <w:t>$</w:t>
            </w:r>
            <w:r w:rsidR="004E5663">
              <w:rPr>
                <w:rFonts w:eastAsia="Calibri"/>
                <w:b/>
                <w:sz w:val="20"/>
                <w:szCs w:val="20"/>
              </w:rPr>
              <w:t>1</w:t>
            </w:r>
            <w:r w:rsidR="00603FC2">
              <w:rPr>
                <w:rFonts w:eastAsia="Calibri"/>
                <w:b/>
                <w:sz w:val="20"/>
                <w:szCs w:val="20"/>
              </w:rPr>
              <w:t>3,069</w:t>
            </w:r>
            <w:bookmarkEnd w:id="28"/>
          </w:p>
        </w:tc>
        <w:tc>
          <w:tcPr>
            <w:tcW w:w="1255" w:type="dxa"/>
            <w:tcBorders>
              <w:top w:val="single" w:sz="4" w:space="0" w:color="auto"/>
              <w:left w:val="single" w:sz="4" w:space="0" w:color="auto"/>
              <w:bottom w:val="single" w:sz="4" w:space="0" w:color="auto"/>
              <w:right w:val="single" w:sz="4" w:space="0" w:color="auto"/>
            </w:tcBorders>
            <w:vAlign w:val="center"/>
          </w:tcPr>
          <w:p w:rsidR="00276EE0" w:rsidRPr="00E863E8" w:rsidP="00937B8B" w14:paraId="2B950CB7" w14:textId="6ADD4F9A">
            <w:pPr>
              <w:keepNext/>
              <w:keepLines/>
              <w:autoSpaceDE w:val="0"/>
              <w:autoSpaceDN w:val="0"/>
              <w:adjustRightInd w:val="0"/>
              <w:spacing w:after="0"/>
              <w:jc w:val="center"/>
              <w:rPr>
                <w:rFonts w:eastAsia="Calibri"/>
                <w:b/>
                <w:sz w:val="20"/>
                <w:szCs w:val="20"/>
              </w:rPr>
            </w:pPr>
            <w:r>
              <w:rPr>
                <w:rFonts w:eastAsia="Calibri"/>
                <w:b/>
                <w:sz w:val="20"/>
                <w:szCs w:val="20"/>
              </w:rPr>
              <w:t>3</w:t>
            </w:r>
            <w:r w:rsidR="00603FC2">
              <w:rPr>
                <w:rFonts w:eastAsia="Calibri"/>
                <w:b/>
                <w:sz w:val="20"/>
                <w:szCs w:val="20"/>
              </w:rPr>
              <w:t>22</w:t>
            </w:r>
            <w:r w:rsidRPr="00E863E8">
              <w:rPr>
                <w:rFonts w:eastAsia="Calibri"/>
                <w:b/>
                <w:sz w:val="20"/>
                <w:szCs w:val="20"/>
              </w:rPr>
              <w:t xml:space="preserve"> hours</w:t>
            </w:r>
          </w:p>
        </w:tc>
      </w:tr>
    </w:tbl>
    <w:p w:rsidR="000E1805" w:rsidP="00515D20" w14:paraId="57B4B452" w14:textId="77777777">
      <w:pPr>
        <w:spacing w:after="200" w:line="276" w:lineRule="auto"/>
      </w:pPr>
    </w:p>
    <w:p w:rsidR="00C01F22" w:rsidRPr="00215DD6" w:rsidP="00515D20" w14:paraId="4AE3EE3F" w14:textId="72AF78B1">
      <w:pPr>
        <w:pStyle w:val="Heading1"/>
        <w:spacing w:after="200" w:line="276" w:lineRule="auto"/>
      </w:pPr>
      <w:bookmarkStart w:id="29" w:name="_Toc6900689"/>
      <w:r w:rsidRPr="00515D20">
        <w:rPr>
          <w:rStyle w:val="Heading1Char"/>
          <w:b/>
          <w:bCs/>
        </w:rPr>
        <w:t>Provide an estimate of the total annual cost to the respondents or record keepers resulting</w:t>
      </w:r>
      <w:r w:rsidRPr="005D0EFB">
        <w:rPr>
          <w:rStyle w:val="Heading1Char"/>
          <w:b/>
          <w:bCs/>
        </w:rPr>
        <w:t xml:space="preserve"> from the collection of information</w:t>
      </w:r>
      <w:bookmarkEnd w:id="29"/>
      <w:r w:rsidRPr="005D0EFB" w:rsidR="00B83772">
        <w:t xml:space="preserve">. </w:t>
      </w:r>
      <w:r w:rsidRPr="005D0EFB" w:rsidR="007F5BE8">
        <w:t>Do not</w:t>
      </w:r>
      <w:r w:rsidR="007F5BE8">
        <w:t xml:space="preserve"> include the cost of any hour burden already reflected in the response provided in question 12.</w:t>
      </w:r>
    </w:p>
    <w:p w:rsidR="008E028E" w:rsidRPr="00FA0609" w:rsidP="00515D20" w14:paraId="4366F929" w14:textId="6886B5F0">
      <w:pPr>
        <w:spacing w:after="200" w:line="276" w:lineRule="auto"/>
      </w:pPr>
      <w:r>
        <w:t xml:space="preserve">Participation in this study is voluntary. </w:t>
      </w:r>
      <w:bookmarkStart w:id="30" w:name="_Hlk90470471"/>
      <w:r>
        <w:t>Beyond the time spent participating in the study, t</w:t>
      </w:r>
      <w:r w:rsidRPr="00382A41" w:rsidR="00382A41">
        <w:t>he only cost</w:t>
      </w:r>
      <w:r>
        <w:t>s</w:t>
      </w:r>
      <w:r w:rsidRPr="00382A41" w:rsidR="00382A41">
        <w:t xml:space="preserve"> respondents will incur are costs related to </w:t>
      </w:r>
      <w:r w:rsidR="00154529">
        <w:t>transportation</w:t>
      </w:r>
      <w:r>
        <w:t xml:space="preserve"> to and from the </w:t>
      </w:r>
      <w:r w:rsidR="008F3EB7">
        <w:t>research center</w:t>
      </w:r>
      <w:r w:rsidR="00382A41">
        <w:t>.</w:t>
      </w:r>
      <w:r w:rsidR="004D6465">
        <w:t xml:space="preserve"> The </w:t>
      </w:r>
      <w:r w:rsidRPr="004D6465" w:rsidR="004D6465">
        <w:t>cost of a trip to and from a participant’s home around the Boston metropolitan area to the research center using ride share (e.g., Uber, Lyft)</w:t>
      </w:r>
      <w:r w:rsidR="004D6465">
        <w:t xml:space="preserve"> is estimated to be</w:t>
      </w:r>
      <w:r w:rsidRPr="004D6465" w:rsidR="004D6465">
        <w:t xml:space="preserve"> $0.92 per mile and $0.37 per minute. Using an estimated average trip length of 10 miles and 30 minutes in length, </w:t>
      </w:r>
      <w:r w:rsidR="004D6465">
        <w:t>the total transportation cost is</w:t>
      </w:r>
      <w:r w:rsidRPr="004D6465" w:rsidR="004D6465">
        <w:t xml:space="preserve"> approximately $40 per round trip. </w:t>
      </w:r>
      <w:r w:rsidR="00382A41">
        <w:t>These</w:t>
      </w:r>
      <w:r w:rsidR="007E4AC4">
        <w:t xml:space="preserve"> cost</w:t>
      </w:r>
      <w:r w:rsidR="00382A41">
        <w:t xml:space="preserve"> burden</w:t>
      </w:r>
      <w:r w:rsidR="007E4AC4">
        <w:t>s are minimal and are expected to be offset by the</w:t>
      </w:r>
      <w:r>
        <w:t xml:space="preserve"> </w:t>
      </w:r>
      <w:r w:rsidR="007E4AC4">
        <w:t>compensation that will be provided to all research participants.</w:t>
      </w:r>
      <w:bookmarkEnd w:id="30"/>
      <w:r w:rsidR="004D6465">
        <w:t xml:space="preserve"> Compensation includes </w:t>
      </w:r>
      <w:r w:rsidRPr="00C1565E" w:rsidR="004D6465">
        <w:t xml:space="preserve">reimbursing each </w:t>
      </w:r>
      <w:r w:rsidR="004D6465">
        <w:t xml:space="preserve">participant </w:t>
      </w:r>
      <w:r w:rsidRPr="0060093A" w:rsidR="004D6465">
        <w:t xml:space="preserve">for </w:t>
      </w:r>
      <w:r w:rsidR="004D6465">
        <w:t>5</w:t>
      </w:r>
      <w:r w:rsidRPr="0060093A" w:rsidR="004D6465">
        <w:t xml:space="preserve"> hours</w:t>
      </w:r>
      <w:r w:rsidR="004D6465">
        <w:t xml:space="preserve"> and 10 minutes</w:t>
      </w:r>
      <w:r w:rsidRPr="00C1565E" w:rsidR="004D6465">
        <w:t xml:space="preserve"> of their time </w:t>
      </w:r>
      <w:r w:rsidR="004D6465">
        <w:t xml:space="preserve">(which includes 1 hour of round-trip travel time) </w:t>
      </w:r>
      <w:r w:rsidRPr="00C1565E" w:rsidR="004D6465">
        <w:t>to fully complete study activities (</w:t>
      </w:r>
      <w:r w:rsidR="004D6465">
        <w:t>about $125</w:t>
      </w:r>
      <w:r w:rsidRPr="00C1565E" w:rsidR="004D6465">
        <w:t>)</w:t>
      </w:r>
      <w:r w:rsidR="006B56F7">
        <w:t xml:space="preserve"> plus $40 to offset transportation costs, for a total compensation of $165</w:t>
      </w:r>
      <w:r w:rsidRPr="00C1565E" w:rsidR="004D6465">
        <w:t>.</w:t>
      </w:r>
    </w:p>
    <w:p w:rsidR="00E8053E" w:rsidRPr="00215DD6" w:rsidP="00515D20" w14:paraId="516F692D" w14:textId="7B6576C7">
      <w:pPr>
        <w:pStyle w:val="Heading1"/>
        <w:spacing w:after="200" w:line="276" w:lineRule="auto"/>
      </w:pPr>
      <w:bookmarkStart w:id="31" w:name="_Toc6900690"/>
      <w:r w:rsidRPr="00515D20">
        <w:rPr>
          <w:rStyle w:val="Heading1Char"/>
          <w:b/>
          <w:bCs/>
        </w:rPr>
        <w:t>Provide estimates</w:t>
      </w:r>
      <w:r w:rsidRPr="005D0EFB">
        <w:rPr>
          <w:rStyle w:val="Heading1Char"/>
          <w:b/>
          <w:bCs/>
        </w:rPr>
        <w:t xml:space="preserve"> of the annualized cost to the federal government</w:t>
      </w:r>
      <w:bookmarkEnd w:id="31"/>
      <w:r w:rsidRPr="005D0EFB" w:rsidR="00A12A2A">
        <w:rPr>
          <w:rStyle w:val="Heading1Char"/>
          <w:b/>
          <w:bCs/>
        </w:rPr>
        <w:t>.</w:t>
      </w:r>
      <w:r w:rsidRPr="005D0EFB" w:rsidR="00927203">
        <w:t xml:space="preserve"> </w:t>
      </w:r>
      <w:r w:rsidRPr="005D0EFB" w:rsidR="00927203">
        <w:rPr>
          <w:rStyle w:val="Heading1Char"/>
          <w:b/>
          <w:bCs/>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3543D9" w:rsidR="00927203">
        <w:rPr>
          <w:rStyle w:val="Heading1Char"/>
        </w:rPr>
        <w:t>.</w:t>
      </w:r>
    </w:p>
    <w:p w:rsidR="00450A53" w:rsidP="00515D20" w14:paraId="4F69DCB2" w14:textId="656F48AC">
      <w:pPr>
        <w:spacing w:after="200" w:line="276" w:lineRule="auto"/>
        <w:rPr>
          <w:rStyle w:val="ui-provider"/>
        </w:rPr>
      </w:pPr>
      <w:r w:rsidRPr="00450A53">
        <w:rPr>
          <w:rStyle w:val="ui-provider"/>
        </w:rPr>
        <w:t>This is a one-time data collection</w:t>
      </w:r>
      <w:r w:rsidRPr="00450A53" w:rsidR="00DB11C0">
        <w:rPr>
          <w:rStyle w:val="ui-provider"/>
        </w:rPr>
        <w:t xml:space="preserve">. </w:t>
      </w:r>
      <w:r w:rsidRPr="00450A53" w:rsidR="00277615">
        <w:rPr>
          <w:rStyle w:val="ui-provider"/>
        </w:rPr>
        <w:t xml:space="preserve">The </w:t>
      </w:r>
      <w:r>
        <w:rPr>
          <w:rStyle w:val="ui-provider"/>
        </w:rPr>
        <w:t xml:space="preserve">estimated </w:t>
      </w:r>
      <w:r w:rsidRPr="00450A53" w:rsidR="00277615">
        <w:rPr>
          <w:rStyle w:val="ui-provider"/>
        </w:rPr>
        <w:t>cost to t</w:t>
      </w:r>
      <w:r w:rsidRPr="00450A53">
        <w:rPr>
          <w:rStyle w:val="ui-provider"/>
        </w:rPr>
        <w:t>he Federal Government</w:t>
      </w:r>
      <w:r w:rsidRPr="00450A53" w:rsidR="00277615">
        <w:rPr>
          <w:rStyle w:val="ui-provider"/>
        </w:rPr>
        <w:t xml:space="preserve"> </w:t>
      </w:r>
      <w:r>
        <w:rPr>
          <w:rStyle w:val="ui-provider"/>
        </w:rPr>
        <w:t xml:space="preserve">to </w:t>
      </w:r>
      <w:r w:rsidRPr="00450A53" w:rsidR="00277615">
        <w:rPr>
          <w:rStyle w:val="ui-provider"/>
        </w:rPr>
        <w:t>conduct this study is $</w:t>
      </w:r>
      <w:r w:rsidRPr="00450A53" w:rsidR="00F46EE6">
        <w:rPr>
          <w:rStyle w:val="ui-provider"/>
        </w:rPr>
        <w:t>958,944</w:t>
      </w:r>
      <w:r w:rsidRPr="00450A53">
        <w:rPr>
          <w:rStyle w:val="ui-provider"/>
        </w:rPr>
        <w:t xml:space="preserve"> over 5</w:t>
      </w:r>
      <w:r w:rsidRPr="00450A53" w:rsidR="001011A5">
        <w:rPr>
          <w:rStyle w:val="ui-provider"/>
        </w:rPr>
        <w:t>3</w:t>
      </w:r>
      <w:r w:rsidRPr="00450A53">
        <w:rPr>
          <w:rStyle w:val="ui-provider"/>
        </w:rPr>
        <w:t xml:space="preserve"> months</w:t>
      </w:r>
      <w:r w:rsidRPr="00450A53" w:rsidR="00277615">
        <w:rPr>
          <w:rStyle w:val="ui-provider"/>
        </w:rPr>
        <w:t>,</w:t>
      </w:r>
      <w:r w:rsidRPr="00450A53">
        <w:rPr>
          <w:rStyle w:val="ui-provider"/>
        </w:rPr>
        <w:t xml:space="preserve"> </w:t>
      </w:r>
      <w:r w:rsidRPr="00450A53" w:rsidR="00277615">
        <w:rPr>
          <w:rStyle w:val="ui-provider"/>
        </w:rPr>
        <w:t xml:space="preserve">an amount </w:t>
      </w:r>
      <w:r w:rsidRPr="00450A53" w:rsidR="00F87634">
        <w:rPr>
          <w:rStyle w:val="ui-provider"/>
        </w:rPr>
        <w:t>which include</w:t>
      </w:r>
      <w:r w:rsidRPr="00450A53" w:rsidR="00277615">
        <w:rPr>
          <w:rStyle w:val="ui-provider"/>
        </w:rPr>
        <w:t>s compensation for</w:t>
      </w:r>
      <w:r w:rsidRPr="00450A53" w:rsidR="00F87634">
        <w:rPr>
          <w:rStyle w:val="ui-provider"/>
        </w:rPr>
        <w:t xml:space="preserve"> participants</w:t>
      </w:r>
      <w:r w:rsidRPr="00450A53">
        <w:rPr>
          <w:rStyle w:val="ui-provider"/>
        </w:rPr>
        <w:t>.</w:t>
      </w:r>
      <w:r w:rsidRPr="00450A53" w:rsidR="005F4E5C">
        <w:rPr>
          <w:rStyle w:val="ui-provider"/>
        </w:rPr>
        <w:t xml:space="preserve"> Th</w:t>
      </w:r>
      <w:r>
        <w:rPr>
          <w:rStyle w:val="ui-provider"/>
        </w:rPr>
        <w:t>is estimated</w:t>
      </w:r>
      <w:r w:rsidRPr="00450A53" w:rsidR="005F4E5C">
        <w:rPr>
          <w:rStyle w:val="ui-provider"/>
        </w:rPr>
        <w:t xml:space="preserve"> cost also includes costs for operational equipment such as the simulator and eye </w:t>
      </w:r>
      <w:r w:rsidRPr="00450A53" w:rsidR="005F4E5C">
        <w:rPr>
          <w:rStyle w:val="ui-provider"/>
        </w:rPr>
        <w:t>tracker</w:t>
      </w:r>
      <w:r w:rsidRPr="00450A53" w:rsidR="00121D18">
        <w:rPr>
          <w:rStyle w:val="ui-provider"/>
        </w:rPr>
        <w:t>.</w:t>
      </w:r>
      <w:r w:rsidRPr="00450A53" w:rsidR="005F4E5C">
        <w:rPr>
          <w:rStyle w:val="ui-provider"/>
        </w:rPr>
        <w:t xml:space="preserve"> </w:t>
      </w:r>
      <w:r w:rsidRPr="00450A53" w:rsidR="00277615">
        <w:rPr>
          <w:rStyle w:val="ui-provider"/>
        </w:rPr>
        <w:t>Finally,</w:t>
      </w:r>
      <w:r w:rsidRPr="00450A53" w:rsidR="003966E1">
        <w:rPr>
          <w:rStyle w:val="ui-provider"/>
        </w:rPr>
        <w:t xml:space="preserve"> th</w:t>
      </w:r>
      <w:r w:rsidRPr="00450A53" w:rsidR="00C0726D">
        <w:rPr>
          <w:rStyle w:val="ui-provider"/>
        </w:rPr>
        <w:t>e</w:t>
      </w:r>
      <w:r>
        <w:rPr>
          <w:rStyle w:val="ui-provider"/>
        </w:rPr>
        <w:t xml:space="preserve"> estimated</w:t>
      </w:r>
      <w:r w:rsidRPr="00450A53" w:rsidR="003966E1">
        <w:rPr>
          <w:rStyle w:val="ui-provider"/>
        </w:rPr>
        <w:t xml:space="preserve"> cost</w:t>
      </w:r>
      <w:r w:rsidRPr="00450A53" w:rsidR="00C0726D">
        <w:rPr>
          <w:rStyle w:val="ui-provider"/>
        </w:rPr>
        <w:t xml:space="preserve"> </w:t>
      </w:r>
      <w:r w:rsidRPr="00450A53" w:rsidR="003966E1">
        <w:rPr>
          <w:rStyle w:val="ui-provider"/>
        </w:rPr>
        <w:t xml:space="preserve">includes </w:t>
      </w:r>
      <w:r w:rsidRPr="00450A53" w:rsidR="00C0726D">
        <w:rPr>
          <w:rStyle w:val="ui-provider"/>
        </w:rPr>
        <w:t xml:space="preserve">costs associated with </w:t>
      </w:r>
      <w:r w:rsidRPr="00450A53" w:rsidR="003966E1">
        <w:rPr>
          <w:rStyle w:val="ui-provider"/>
        </w:rPr>
        <w:t>finalizing the study design, coding, cleaning, and analyzing the data, developing the final report, and other project planning and administrative costs. Averaged over the three-year approval period, the annual cost to the Federal Government to conduct the study is</w:t>
      </w:r>
      <w:r w:rsidR="004E5866">
        <w:rPr>
          <w:rStyle w:val="ui-provider"/>
        </w:rPr>
        <w:t xml:space="preserve"> estimated to be</w:t>
      </w:r>
      <w:r w:rsidRPr="00450A53" w:rsidR="003966E1">
        <w:rPr>
          <w:rStyle w:val="ui-provider"/>
        </w:rPr>
        <w:t xml:space="preserve"> $319,648</w:t>
      </w:r>
      <w:r w:rsidRPr="00450A53" w:rsidR="00D84F01">
        <w:rPr>
          <w:rStyle w:val="ui-provider"/>
        </w:rPr>
        <w:t>.</w:t>
      </w:r>
    </w:p>
    <w:p w:rsidR="002D0A59" w:rsidRPr="00450A53" w:rsidP="00515D20" w14:paraId="2C24F0C3" w14:textId="379BF18E">
      <w:pPr>
        <w:spacing w:after="200" w:line="276" w:lineRule="auto"/>
        <w:rPr>
          <w:rStyle w:val="ui-provider"/>
        </w:rPr>
      </w:pPr>
      <w:r>
        <w:rPr>
          <w:rStyle w:val="ui-provider"/>
        </w:rPr>
        <w:t>Preparatory activities for this project, including development of the training program, driving simulator testing scenarios, and materials related to the ICR, were conducted under an interagency agreement with the U.S. Department of Transportation Volpe National Transportation Systems Center (693JJ923N000083).</w:t>
      </w:r>
    </w:p>
    <w:p w:rsidR="005F4E5C" w:rsidRPr="00450A53" w:rsidP="00515D20" w14:paraId="0B31C39D" w14:textId="45576132">
      <w:pPr>
        <w:spacing w:after="200" w:line="276" w:lineRule="auto"/>
        <w:rPr>
          <w:rStyle w:val="ui-provider"/>
        </w:rPr>
      </w:pPr>
      <w:r w:rsidRPr="00450A53">
        <w:rPr>
          <w:rStyle w:val="ui-provider"/>
        </w:rPr>
        <w:t xml:space="preserve">Additionally, the estimated </w:t>
      </w:r>
      <w:r w:rsidRPr="00450A53" w:rsidR="001E5904">
        <w:rPr>
          <w:rStyle w:val="ui-provider"/>
        </w:rPr>
        <w:t xml:space="preserve">total </w:t>
      </w:r>
      <w:r w:rsidRPr="00450A53">
        <w:rPr>
          <w:rStyle w:val="ui-provider"/>
        </w:rPr>
        <w:t>cost in terms of Government time for the NHTSA Contracting Officer’s Representative (COR; Grade 14, Step 2) is approximately 210 hours, plus 20 (Grade 15, Step 1) hours for the supervisor</w:t>
      </w:r>
      <w:r w:rsidRPr="00450A53" w:rsidR="00121D18">
        <w:rPr>
          <w:rStyle w:val="ui-provider"/>
        </w:rPr>
        <w:t xml:space="preserve"> per year. The fully</w:t>
      </w:r>
      <w:r w:rsidR="006B56F7">
        <w:rPr>
          <w:rStyle w:val="ui-provider"/>
        </w:rPr>
        <w:t xml:space="preserve"> </w:t>
      </w:r>
      <w:r w:rsidRPr="00450A53" w:rsidR="00121D18">
        <w:rPr>
          <w:rStyle w:val="ui-provider"/>
        </w:rPr>
        <w:t>loaded wage (i.e., unloaded wage plus 30%) is $89.73/hour for the COR and $105.53/hour for the COR’s supervisor</w:t>
      </w:r>
      <w:r w:rsidRPr="00450A53">
        <w:rPr>
          <w:rStyle w:val="ui-provider"/>
        </w:rPr>
        <w:t>,</w:t>
      </w:r>
      <w:r>
        <w:rPr>
          <w:rStyle w:val="FootnoteReference"/>
        </w:rPr>
        <w:footnoteReference w:id="34"/>
      </w:r>
      <w:r w:rsidRPr="00450A53">
        <w:rPr>
          <w:rStyle w:val="ui-provider"/>
        </w:rPr>
        <w:t xml:space="preserve"> </w:t>
      </w:r>
      <w:r w:rsidRPr="00450A53" w:rsidR="00121D18">
        <w:rPr>
          <w:rStyle w:val="ui-provider"/>
        </w:rPr>
        <w:t xml:space="preserve">yielding $20,953 in </w:t>
      </w:r>
      <w:r w:rsidRPr="00450A53">
        <w:rPr>
          <w:rStyle w:val="ui-provider"/>
        </w:rPr>
        <w:t>wages</w:t>
      </w:r>
      <w:r w:rsidRPr="00450A53" w:rsidR="003966E1">
        <w:rPr>
          <w:rStyle w:val="ui-provider"/>
        </w:rPr>
        <w:t xml:space="preserve"> per year</w:t>
      </w:r>
      <w:r w:rsidRPr="00450A53">
        <w:rPr>
          <w:rStyle w:val="ui-provider"/>
        </w:rPr>
        <w:t>.</w:t>
      </w:r>
      <w:r w:rsidRPr="00450A53" w:rsidR="003966E1">
        <w:rPr>
          <w:rStyle w:val="ui-provider"/>
        </w:rPr>
        <w:t xml:space="preserve"> Given that the IAA to conduct the study has a period of performance of 53 months</w:t>
      </w:r>
      <w:r w:rsidRPr="00450A53" w:rsidR="00121D18">
        <w:rPr>
          <w:rStyle w:val="ui-provider"/>
        </w:rPr>
        <w:t xml:space="preserve"> (4.42 years)</w:t>
      </w:r>
      <w:r w:rsidRPr="00450A53" w:rsidR="003966E1">
        <w:rPr>
          <w:rStyle w:val="ui-provider"/>
        </w:rPr>
        <w:t xml:space="preserve">, this represents a total of </w:t>
      </w:r>
      <w:r w:rsidRPr="00450A53" w:rsidR="00121D18">
        <w:rPr>
          <w:rStyle w:val="ui-provider"/>
        </w:rPr>
        <w:t xml:space="preserve">$92,542 </w:t>
      </w:r>
      <w:r w:rsidRPr="00450A53" w:rsidR="003966E1">
        <w:rPr>
          <w:rStyle w:val="ui-provider"/>
        </w:rPr>
        <w:t xml:space="preserve">for Government time. These costs are separate from the </w:t>
      </w:r>
      <w:r w:rsidR="004E5866">
        <w:rPr>
          <w:rStyle w:val="ui-provider"/>
        </w:rPr>
        <w:t>costs to conduct the study, above</w:t>
      </w:r>
      <w:r w:rsidRPr="00450A53" w:rsidR="003966E1">
        <w:rPr>
          <w:rStyle w:val="ui-provider"/>
        </w:rPr>
        <w:t>.</w:t>
      </w:r>
    </w:p>
    <w:p w:rsidR="005F4E5C" w:rsidP="00515D20" w14:paraId="7A62CADF" w14:textId="4CC52442">
      <w:pPr>
        <w:spacing w:after="200" w:line="276" w:lineRule="auto"/>
        <w:rPr>
          <w:rStyle w:val="ui-provider"/>
        </w:rPr>
      </w:pPr>
      <w:r w:rsidRPr="00450A53">
        <w:rPr>
          <w:rStyle w:val="ui-provider"/>
        </w:rPr>
        <w:t>In total, t</w:t>
      </w:r>
      <w:r w:rsidRPr="00450A53">
        <w:rPr>
          <w:rStyle w:val="ui-provider"/>
        </w:rPr>
        <w:t xml:space="preserve">he estimated total cost to the Federal Government for this information collection </w:t>
      </w:r>
      <w:r w:rsidRPr="00450A53" w:rsidR="00627FEB">
        <w:rPr>
          <w:rStyle w:val="ui-provider"/>
        </w:rPr>
        <w:t xml:space="preserve">(i.e., the cost </w:t>
      </w:r>
      <w:r w:rsidR="004E5866">
        <w:rPr>
          <w:rStyle w:val="ui-provider"/>
        </w:rPr>
        <w:t>to conduct the study</w:t>
      </w:r>
      <w:r w:rsidRPr="00450A53" w:rsidR="00627FEB">
        <w:rPr>
          <w:rStyle w:val="ui-provider"/>
        </w:rPr>
        <w:t xml:space="preserve"> [$958,944] plus the cost in terms of the COR/COR’s supervisor Government time [$92,542]) </w:t>
      </w:r>
      <w:r w:rsidRPr="00450A53">
        <w:rPr>
          <w:rStyle w:val="ui-provider"/>
        </w:rPr>
        <w:t xml:space="preserve">is </w:t>
      </w:r>
      <w:r w:rsidRPr="00450A53" w:rsidR="006764C2">
        <w:rPr>
          <w:rStyle w:val="ui-provider"/>
        </w:rPr>
        <w:t>$1,051,486</w:t>
      </w:r>
      <w:r w:rsidRPr="00450A53">
        <w:rPr>
          <w:rStyle w:val="ui-provider"/>
        </w:rPr>
        <w:t>.</w:t>
      </w:r>
      <w:r w:rsidRPr="00450A53" w:rsidR="001A139B">
        <w:rPr>
          <w:rStyle w:val="ui-provider"/>
        </w:rPr>
        <w:t xml:space="preserve"> Averaged over the three-year approval period, this represents an estimated annual cost to the Federal Government of $3</w:t>
      </w:r>
      <w:r w:rsidRPr="00450A53" w:rsidR="006764C2">
        <w:rPr>
          <w:rStyle w:val="ui-provider"/>
        </w:rPr>
        <w:t>50,495</w:t>
      </w:r>
      <w:r w:rsidRPr="00450A53" w:rsidR="001A139B">
        <w:rPr>
          <w:rStyle w:val="ui-provider"/>
        </w:rPr>
        <w:t>.</w:t>
      </w:r>
    </w:p>
    <w:p w:rsidR="00C925DE" w:rsidRPr="007C2690" w:rsidP="00515D20" w14:paraId="5085D24D" w14:textId="6A190681">
      <w:pPr>
        <w:pStyle w:val="Heading1"/>
        <w:spacing w:after="200" w:line="276" w:lineRule="auto"/>
      </w:pPr>
      <w:bookmarkStart w:id="32" w:name="_Toc6900691"/>
      <w:r w:rsidRPr="00515D20">
        <w:t>Explain the</w:t>
      </w:r>
      <w:r w:rsidRPr="001A139B">
        <w:t xml:space="preserve"> reasons</w:t>
      </w:r>
      <w:r w:rsidRPr="005D0EFB">
        <w:t xml:space="preserve"> for any program changes or adjustments</w:t>
      </w:r>
      <w:r w:rsidRPr="005D0EFB" w:rsidR="00927203">
        <w:t xml:space="preserve">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Pr="00215DD6" w:rsidR="00927203">
        <w:t>.</w:t>
      </w:r>
      <w:bookmarkEnd w:id="32"/>
      <w:r w:rsidRPr="00215DD6" w:rsidR="00927203">
        <w:t xml:space="preserve"> </w:t>
      </w:r>
    </w:p>
    <w:p w:rsidR="00C01F22" w:rsidRPr="0076768F" w:rsidP="00515D20" w14:paraId="5179336F" w14:textId="217B4309">
      <w:pPr>
        <w:spacing w:after="200" w:line="276" w:lineRule="auto"/>
      </w:pPr>
      <w:r w:rsidRPr="007652B2">
        <w:t xml:space="preserve">This is a new information collection. </w:t>
      </w:r>
      <w:r w:rsidR="001A139B">
        <w:t xml:space="preserve">As such, it requires a program change to add the estimated </w:t>
      </w:r>
      <w:r w:rsidR="00106AE3">
        <w:t>3</w:t>
      </w:r>
      <w:r w:rsidR="00F05E99">
        <w:t>22</w:t>
      </w:r>
      <w:r w:rsidR="00106AE3">
        <w:t xml:space="preserve"> annual</w:t>
      </w:r>
      <w:r w:rsidR="001A139B">
        <w:t xml:space="preserve"> hours and $</w:t>
      </w:r>
      <w:r w:rsidRPr="00FB1AA2" w:rsidR="00FB1AA2">
        <w:t>13,069</w:t>
      </w:r>
      <w:r w:rsidR="001A139B">
        <w:t xml:space="preserve"> for the new information collection to existing burden.</w:t>
      </w:r>
    </w:p>
    <w:p w:rsidR="00C01F22" w:rsidRPr="00215DD6" w:rsidP="00515D20" w14:paraId="31B7160C" w14:textId="662BD217">
      <w:pPr>
        <w:pStyle w:val="Heading1"/>
        <w:spacing w:after="200" w:line="276" w:lineRule="auto"/>
      </w:pPr>
      <w:bookmarkStart w:id="33" w:name="_Toc6900692"/>
      <w:r w:rsidRPr="00515D20">
        <w:rPr>
          <w:rStyle w:val="Heading1Char"/>
          <w:b/>
        </w:rPr>
        <w:t>For collection of information whose results will be published, outline plans for tabulation and</w:t>
      </w:r>
      <w:r w:rsidRPr="001A139B">
        <w:rPr>
          <w:rStyle w:val="Heading1Char"/>
          <w:b/>
        </w:rPr>
        <w:t xml:space="preserve"> publication</w:t>
      </w:r>
      <w:bookmarkEnd w:id="33"/>
      <w:r w:rsidRPr="00C83813" w:rsidR="00B83772">
        <w:rPr>
          <w:bCs w:val="0"/>
        </w:rPr>
        <w:t xml:space="preserve">. </w:t>
      </w:r>
      <w:r w:rsidRPr="00C83813" w:rsidR="00927203">
        <w:rPr>
          <w:bCs w:val="0"/>
        </w:rPr>
        <w:t>Address</w:t>
      </w:r>
      <w:r w:rsidRPr="00215DD6" w:rsidR="00927203">
        <w:t xml:space="preserve"> any complex analytical techniques that will be used. Provide the time schedule for the entire project, including beginning and ending dates of the collection of information, completion of report, publication dates, and other actions as applicable.</w:t>
      </w:r>
    </w:p>
    <w:p w:rsidR="0009749E" w:rsidP="00515D20" w14:paraId="55BC614D" w14:textId="7896CB0B">
      <w:pPr>
        <w:spacing w:after="200" w:line="276" w:lineRule="auto"/>
      </w:pPr>
      <w:r>
        <w:t xml:space="preserve">The </w:t>
      </w:r>
      <w:r w:rsidR="000712CE">
        <w:t>research team</w:t>
      </w:r>
      <w:r>
        <w:t xml:space="preserve"> will employ standard analytical techniques, including </w:t>
      </w:r>
      <w:r w:rsidR="00043312">
        <w:t xml:space="preserve">ANOVA, </w:t>
      </w:r>
      <w:r>
        <w:t>General Estimating Equations</w:t>
      </w:r>
      <w:r w:rsidR="00043312">
        <w:t>,</w:t>
      </w:r>
      <w:r>
        <w:t xml:space="preserve"> and Generalized Linear Mixed Models</w:t>
      </w:r>
      <w:r w:rsidR="00435854">
        <w:t>,</w:t>
      </w:r>
      <w:r>
        <w:t xml:space="preserve"> which are needed </w:t>
      </w:r>
      <w:r w:rsidR="00090414">
        <w:t xml:space="preserve">when the design </w:t>
      </w:r>
      <w:r w:rsidR="00090414">
        <w:t xml:space="preserve">includes both repeated measures on the same </w:t>
      </w:r>
      <w:r w:rsidRPr="004E5866" w:rsidR="00090414">
        <w:t>participants and different groups of participants</w:t>
      </w:r>
      <w:r w:rsidRPr="004E5866" w:rsidR="00D84F01">
        <w:t>.</w:t>
      </w:r>
      <w:r w:rsidRPr="004E5866" w:rsidR="004E5866">
        <w:t xml:space="preserve"> The study is expected to take 53 months to complete. Preparatory activities began in </w:t>
      </w:r>
      <w:r w:rsidRPr="004E5866" w:rsidR="002F6335">
        <w:t>June 2023</w:t>
      </w:r>
      <w:r w:rsidRPr="004E5866" w:rsidR="00440E87">
        <w:t>, and t</w:t>
      </w:r>
      <w:r w:rsidRPr="004E5866" w:rsidR="000D233E">
        <w:t xml:space="preserve">he project </w:t>
      </w:r>
      <w:r w:rsidRPr="00281350" w:rsidR="004E5866">
        <w:t xml:space="preserve">is expected to be completed by </w:t>
      </w:r>
      <w:r w:rsidRPr="004E5866" w:rsidR="002F6335">
        <w:t>December 2027</w:t>
      </w:r>
      <w:r w:rsidRPr="004E5866" w:rsidR="00DB11C0">
        <w:t xml:space="preserve">. </w:t>
      </w:r>
      <w:r w:rsidRPr="004E5866" w:rsidR="00FF7BD6">
        <w:t xml:space="preserve">The </w:t>
      </w:r>
      <w:r w:rsidRPr="004E5866" w:rsidR="000712CE">
        <w:t>research</w:t>
      </w:r>
      <w:r w:rsidR="000712CE">
        <w:t xml:space="preserve"> team</w:t>
      </w:r>
      <w:r w:rsidR="00B83772">
        <w:t xml:space="preserve"> will </w:t>
      </w:r>
      <w:r w:rsidR="00405622">
        <w:t>develop</w:t>
      </w:r>
      <w:r w:rsidRPr="00711996" w:rsidR="00405622">
        <w:t xml:space="preserve"> </w:t>
      </w:r>
      <w:r w:rsidRPr="00711996" w:rsidR="00B83772">
        <w:t xml:space="preserve">a </w:t>
      </w:r>
      <w:r w:rsidR="00B83772">
        <w:t>f</w:t>
      </w:r>
      <w:r w:rsidRPr="00711996" w:rsidR="00B83772">
        <w:t xml:space="preserve">inal </w:t>
      </w:r>
      <w:r w:rsidR="00B83772">
        <w:t>r</w:t>
      </w:r>
      <w:r w:rsidRPr="00711996" w:rsidR="00B83772">
        <w:t xml:space="preserve">eport that presents the </w:t>
      </w:r>
      <w:r w:rsidR="00014C94">
        <w:t>descriptive and inferential</w:t>
      </w:r>
      <w:r w:rsidR="00B83772">
        <w:t xml:space="preserve"> statistics</w:t>
      </w:r>
      <w:r w:rsidRPr="00711996" w:rsidR="00B83772">
        <w:t xml:space="preserve"> from the data collection effort, which will be disseminated on the agency website</w:t>
      </w:r>
      <w:r w:rsidR="005C5E5A">
        <w:t xml:space="preserve"> and through the National Transportation </w:t>
      </w:r>
      <w:r w:rsidRPr="004E5866" w:rsidR="005C5E5A">
        <w:t>Library</w:t>
      </w:r>
      <w:r w:rsidRPr="004E5866" w:rsidR="00B83772">
        <w:t>.</w:t>
      </w:r>
      <w:r w:rsidRPr="004E5866" w:rsidR="00AA41DA">
        <w:t xml:space="preserve"> The current plan is for t</w:t>
      </w:r>
      <w:r w:rsidRPr="004E5866" w:rsidR="00FE1700">
        <w:t>he</w:t>
      </w:r>
      <w:r w:rsidRPr="004E5866" w:rsidR="00504705">
        <w:t xml:space="preserve"> technical report </w:t>
      </w:r>
      <w:r w:rsidRPr="004E5866" w:rsidR="00AA41DA">
        <w:t>to</w:t>
      </w:r>
      <w:r w:rsidRPr="004E5866" w:rsidR="00504705">
        <w:t xml:space="preserve"> be </w:t>
      </w:r>
      <w:r w:rsidRPr="004E5866" w:rsidR="00FE1700">
        <w:t>completed</w:t>
      </w:r>
      <w:r w:rsidRPr="004E5866" w:rsidR="00504705">
        <w:t xml:space="preserve"> in </w:t>
      </w:r>
      <w:r w:rsidRPr="004E5866" w:rsidR="00FE1700">
        <w:t>November 2027</w:t>
      </w:r>
      <w:r w:rsidRPr="004E5866" w:rsidR="00DB11C0">
        <w:t xml:space="preserve">. </w:t>
      </w:r>
      <w:r w:rsidRPr="004E5866" w:rsidR="00504705">
        <w:t xml:space="preserve">We expect that the final technical report will be published in </w:t>
      </w:r>
      <w:r w:rsidRPr="004E5866" w:rsidR="005C7469">
        <w:t>mid</w:t>
      </w:r>
      <w:r w:rsidRPr="004E5866" w:rsidR="005017CE">
        <w:t>-2028</w:t>
      </w:r>
      <w:r w:rsidRPr="004E5866" w:rsidR="00B83772">
        <w:t>.</w:t>
      </w:r>
      <w:r w:rsidRPr="00732E7B" w:rsidR="00B83772">
        <w:t xml:space="preserve"> </w:t>
      </w:r>
      <w:r w:rsidR="00B83772">
        <w:t>I</w:t>
      </w:r>
      <w:r w:rsidRPr="00732E7B" w:rsidR="00B83772">
        <w:t>ndividual data will not be identified in the report</w:t>
      </w:r>
      <w:r w:rsidR="00AA41DA">
        <w:t>; the report</w:t>
      </w:r>
      <w:r w:rsidRPr="00307DFD" w:rsidR="00AA41DA">
        <w:t xml:space="preserve"> will not include </w:t>
      </w:r>
      <w:r w:rsidR="00AA41DA">
        <w:t>any PII</w:t>
      </w:r>
      <w:r w:rsidR="00DB11C0">
        <w:t>.</w:t>
      </w:r>
    </w:p>
    <w:p w:rsidR="00C01F22" w:rsidRPr="0076768F" w:rsidP="00515D20" w14:paraId="1A5B9E7A" w14:textId="7F4573E0">
      <w:pPr>
        <w:pStyle w:val="Heading1"/>
        <w:spacing w:after="200" w:line="276" w:lineRule="auto"/>
      </w:pPr>
      <w:bookmarkStart w:id="34" w:name="_Toc6900693"/>
      <w:r w:rsidRPr="00515D20">
        <w:rPr>
          <w:rStyle w:val="Heading1Char"/>
          <w:b/>
          <w:bCs/>
        </w:rPr>
        <w:t>If seeking approval</w:t>
      </w:r>
      <w:r w:rsidRPr="00440E87">
        <w:rPr>
          <w:rStyle w:val="Heading1Char"/>
          <w:b/>
          <w:bCs/>
        </w:rPr>
        <w:t xml:space="preserve"> to</w:t>
      </w:r>
      <w:r w:rsidRPr="00A712D6">
        <w:rPr>
          <w:rStyle w:val="Heading1Char"/>
          <w:b/>
          <w:bCs/>
        </w:rPr>
        <w:t xml:space="preserve"> not display the expiration date for </w:t>
      </w:r>
      <w:r w:rsidRPr="00A712D6" w:rsidR="00353E61">
        <w:rPr>
          <w:rStyle w:val="Heading1Char"/>
          <w:b/>
          <w:bCs/>
        </w:rPr>
        <w:t xml:space="preserve">OMB </w:t>
      </w:r>
      <w:r w:rsidRPr="00A712D6">
        <w:rPr>
          <w:rStyle w:val="Heading1Char"/>
          <w:b/>
          <w:bCs/>
        </w:rPr>
        <w:t>approval of the information collection, explain the reasons that display would be inappropriate</w:t>
      </w:r>
      <w:bookmarkEnd w:id="34"/>
      <w:r w:rsidRPr="0076768F" w:rsidR="00B83772">
        <w:t>.</w:t>
      </w:r>
    </w:p>
    <w:p w:rsidR="00C0007E" w:rsidP="00515D20" w14:paraId="3DB5EA62" w14:textId="6BEDEF4C">
      <w:pPr>
        <w:spacing w:after="200" w:line="276" w:lineRule="auto"/>
      </w:pPr>
      <w:r w:rsidRPr="00412A70">
        <w:t>NHTSA will display the expiration date for OMB approval.</w:t>
      </w:r>
    </w:p>
    <w:p w:rsidR="00F93F6A" w:rsidRPr="0076768F" w:rsidP="00515D20" w14:paraId="03CAC70B" w14:textId="46400A4D">
      <w:pPr>
        <w:pStyle w:val="Heading1"/>
        <w:spacing w:after="200" w:line="276" w:lineRule="auto"/>
      </w:pPr>
      <w:bookmarkStart w:id="35" w:name="_Toc6900694"/>
      <w:r w:rsidRPr="008B2AB3">
        <w:t>Explain each</w:t>
      </w:r>
      <w:r w:rsidRPr="00C0726D">
        <w:t xml:space="preserve"> exception</w:t>
      </w:r>
      <w:r w:rsidRPr="00907CBE">
        <w:t xml:space="preserve"> to the certification statement identified in </w:t>
      </w:r>
      <w:r w:rsidRPr="009D4F38" w:rsidR="00B83772">
        <w:rPr>
          <w:rFonts w:hint="eastAsia"/>
        </w:rPr>
        <w:t>“</w:t>
      </w:r>
      <w:r w:rsidRPr="00907CBE">
        <w:t>certification for paperwork reduction act submissions</w:t>
      </w:r>
      <w:r w:rsidR="00B4320B">
        <w:t>.</w:t>
      </w:r>
      <w:r w:rsidRPr="009D4F38" w:rsidR="00B83772">
        <w:rPr>
          <w:rFonts w:hint="eastAsia"/>
        </w:rPr>
        <w:t>”</w:t>
      </w:r>
      <w:r w:rsidRPr="00907CBE">
        <w:t xml:space="preserve"> </w:t>
      </w:r>
      <w:r w:rsidRPr="00B4320B" w:rsidR="00B4320B">
        <w:t>The required certifications can be found at 5 CFR 1320.9.</w:t>
      </w:r>
      <w:bookmarkEnd w:id="35"/>
    </w:p>
    <w:p w:rsidR="003F7EE3" w:rsidP="00515D20" w14:paraId="73BAFDE3" w14:textId="21986FA1">
      <w:pPr>
        <w:spacing w:after="200" w:line="276" w:lineRule="auto"/>
      </w:pPr>
      <w:r w:rsidRPr="00412A70">
        <w:t>No exceptions to the ce</w:t>
      </w:r>
      <w:r w:rsidRPr="00412A70" w:rsidR="00662924">
        <w:t>rtification statement are made.</w:t>
      </w:r>
    </w:p>
    <w:p w:rsidR="00440E87" w:rsidP="00515D20" w14:paraId="0D82F331" w14:textId="77BD0AD4">
      <w:pPr>
        <w:spacing w:after="200" w:line="276" w:lineRule="auto"/>
      </w:pPr>
      <w:r>
        <w:t xml:space="preserve">The following statement will be provided to respondents on the study documents (specifically, the screening questionnaire, the informed consent, the pre-study questionnaire, and the post-study questionnaire: </w:t>
      </w:r>
    </w:p>
    <w:p w:rsidR="00440E87" w:rsidP="00515D20" w14:paraId="73B85CEA" w14:textId="304EA0C9">
      <w:pPr>
        <w:spacing w:after="200" w:line="276" w:lineRule="auto"/>
      </w:pPr>
      <w:r w:rsidRPr="00192147">
        <w:t xml:space="preserve">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w:t>
      </w:r>
      <w:r w:rsidRPr="00266AAD">
        <w:t>is 2127-</w:t>
      </w:r>
      <w:r w:rsidRPr="007A1A8C">
        <w:t>TBD</w:t>
      </w:r>
      <w:r w:rsidRPr="00266AAD">
        <w:t>. The</w:t>
      </w:r>
      <w:r w:rsidRPr="00192147">
        <w:t xml:space="preserve"> average amount of time to complete this </w:t>
      </w:r>
      <w:r w:rsidR="006B56F7">
        <w:t>portion of the study</w:t>
      </w:r>
      <w:r w:rsidRPr="007E7B80">
        <w:t xml:space="preserve"> is </w:t>
      </w:r>
      <w:r>
        <w:t>[5, 70, 10, or 230 minutes for the four forms, respectively]</w:t>
      </w:r>
      <w:r w:rsidRPr="007E7B80">
        <w:t xml:space="preserve"> minutes.</w:t>
      </w:r>
      <w:r w:rsidRPr="009B6EFF">
        <w:t xml:space="preserve"> The purpo</w:t>
      </w:r>
      <w:r w:rsidR="00C0726D">
        <w:t xml:space="preserve">se of this document is to obtain information about </w:t>
      </w:r>
      <w:r w:rsidR="009363E1">
        <w:t>the effectiveness of a training for new drivers</w:t>
      </w:r>
      <w:r>
        <w:t>,</w:t>
      </w:r>
      <w:r w:rsidR="00C0726D">
        <w:t xml:space="preserve"> and it</w:t>
      </w:r>
      <w:r>
        <w:t xml:space="preserve"> will be used to inform the </w:t>
      </w:r>
      <w:r w:rsidRPr="009B6EFF">
        <w:t>develop</w:t>
      </w:r>
      <w:r>
        <w:t>ment of</w:t>
      </w:r>
      <w:r w:rsidRPr="009B6EFF">
        <w:t xml:space="preserve"> appropriate traffic safety countermeasures. </w:t>
      </w:r>
      <w:r w:rsidRPr="007E7B80">
        <w:t xml:space="preserve"> All</w:t>
      </w:r>
      <w:r w:rsidRPr="00192147">
        <w:t xml:space="preserve">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w:t>
      </w:r>
      <w:r w:rsidR="00D85A4E">
        <w:t>.</w:t>
      </w:r>
      <w:r w:rsidRPr="00192147">
        <w:t xml:space="preserve"> SE, Washington, DC, 20590  </w:t>
      </w:r>
    </w:p>
    <w:p w:rsidR="00440E87" w:rsidRPr="002043DA" w:rsidP="00515D20" w14:paraId="02D16D1B" w14:textId="77777777">
      <w:pPr>
        <w:spacing w:after="200" w:line="276" w:lineRule="auto"/>
      </w:pPr>
      <w:r>
        <w:t xml:space="preserve">The </w:t>
      </w:r>
      <w:r w:rsidRPr="00192147">
        <w:t xml:space="preserve">NHTSA Form </w:t>
      </w:r>
      <w:r>
        <w:t>numbers will also be displayed</w:t>
      </w:r>
      <w:r w:rsidRPr="00192147">
        <w:t>.</w:t>
      </w:r>
    </w:p>
    <w:p w:rsidR="00605CF9" w:rsidRPr="003C27BE" w:rsidP="00C0726D" w14:paraId="6F1E9608" w14:textId="70F8E10E"/>
    <w:sectPr w:rsidSect="00934BBB">
      <w:headerReference w:type="default" r:id="rId10"/>
      <w:footerReference w:type="default" r:id="rId11"/>
      <w:headerReference w:type="first" r:id="rId12"/>
      <w:endnotePr>
        <w:numFmt w:val="lowerLetter"/>
      </w:endnotePr>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6318784"/>
      <w:docPartObj>
        <w:docPartGallery w:val="Page Numbers (Bottom of Page)"/>
        <w:docPartUnique/>
      </w:docPartObj>
    </w:sdtPr>
    <w:sdtEndPr>
      <w:rPr>
        <w:noProof/>
      </w:rPr>
    </w:sdtEndPr>
    <w:sdtContent>
      <w:p w:rsidR="00A63992" w14:paraId="7A87167D" w14:textId="0A5FEB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63992" w14:paraId="1B09E4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72FD" w:rsidP="00635770" w14:paraId="1F1641D2" w14:textId="77777777">
      <w:r>
        <w:separator/>
      </w:r>
    </w:p>
  </w:footnote>
  <w:footnote w:type="continuationSeparator" w:id="1">
    <w:p w:rsidR="008D72FD" w:rsidP="00B14165" w14:paraId="62C5228E" w14:textId="77777777">
      <w:r>
        <w:continuationSeparator/>
      </w:r>
    </w:p>
  </w:footnote>
  <w:footnote w:type="continuationNotice" w:id="2">
    <w:p w:rsidR="008D72FD" w14:paraId="014CDC98" w14:textId="77777777">
      <w:pPr>
        <w:spacing w:after="0"/>
      </w:pPr>
    </w:p>
  </w:footnote>
  <w:footnote w:id="3">
    <w:p w:rsidR="00664785" w:rsidRPr="00281350" w14:paraId="7AC5FBD7" w14:textId="45975A49">
      <w:pPr>
        <w:pStyle w:val="FootnoteText"/>
        <w:rPr>
          <w:sz w:val="16"/>
          <w:szCs w:val="16"/>
        </w:rPr>
      </w:pPr>
      <w:r w:rsidRPr="00281350">
        <w:rPr>
          <w:rStyle w:val="FootnoteReference"/>
          <w:sz w:val="16"/>
          <w:szCs w:val="16"/>
        </w:rPr>
        <w:footnoteRef/>
      </w:r>
      <w:r w:rsidRPr="00281350">
        <w:rPr>
          <w:sz w:val="16"/>
          <w:szCs w:val="16"/>
        </w:rPr>
        <w:t xml:space="preserve"> 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if the information collection involves approval by an institutional review board, include a statement to that effect; (8) the purpose of the collection; and (9) if a revision, a description of the revision and the change in burden.</w:t>
      </w:r>
    </w:p>
  </w:footnote>
  <w:footnote w:id="4">
    <w:p w:rsidR="00CA3C1A" w:rsidRPr="00A36607" w14:paraId="3C62B430" w14:textId="5B64F936">
      <w:pPr>
        <w:pStyle w:val="FootnoteText"/>
        <w:rPr>
          <w:sz w:val="16"/>
          <w:szCs w:val="16"/>
        </w:rPr>
      </w:pPr>
      <w:r w:rsidRPr="00A36607">
        <w:rPr>
          <w:rStyle w:val="FootnoteReference"/>
          <w:sz w:val="16"/>
          <w:szCs w:val="16"/>
        </w:rPr>
        <w:footnoteRef/>
      </w:r>
      <w:r w:rsidRPr="00A36607">
        <w:rPr>
          <w:sz w:val="16"/>
          <w:szCs w:val="16"/>
        </w:rPr>
        <w:t xml:space="preserve"> </w:t>
      </w:r>
      <w:r w:rsidRPr="00A36607">
        <w:rPr>
          <w:noProof/>
          <w:sz w:val="16"/>
          <w:szCs w:val="16"/>
        </w:rPr>
        <w:t xml:space="preserve">Masten, S., Foss, R., &amp; Marshall, S. (2011). Graduated driver licensing and fatal crashes involving 16- to 19-year-old drivers. </w:t>
      </w:r>
      <w:r w:rsidRPr="00A36607">
        <w:rPr>
          <w:i/>
          <w:iCs/>
          <w:noProof/>
          <w:sz w:val="16"/>
          <w:szCs w:val="16"/>
        </w:rPr>
        <w:t>Journal of the American Medical Association, 306</w:t>
      </w:r>
      <w:r w:rsidRPr="00A36607">
        <w:rPr>
          <w:noProof/>
          <w:sz w:val="16"/>
          <w:szCs w:val="16"/>
        </w:rPr>
        <w:t>(14), 1098-1103.</w:t>
      </w:r>
      <w:r w:rsidRPr="00A36607" w:rsidR="00B57C2D">
        <w:rPr>
          <w:noProof/>
          <w:sz w:val="16"/>
          <w:szCs w:val="16"/>
        </w:rPr>
        <w:t xml:space="preserve"> </w:t>
      </w:r>
      <w:bookmarkStart w:id="7" w:name="_Hlk185405712"/>
      <w:hyperlink r:id="rId1" w:history="1">
        <w:r w:rsidRPr="006A19DF" w:rsidR="00A36607">
          <w:rPr>
            <w:rStyle w:val="Hyperlink"/>
            <w:sz w:val="16"/>
            <w:szCs w:val="16"/>
          </w:rPr>
          <w:t>https://jamanetwork.com/journals/jama/fullarticle/110432</w:t>
        </w:r>
        <w:r w:rsidRPr="006A19DF" w:rsidR="00A36607">
          <w:rPr>
            <w:rStyle w:val="Hyperlink"/>
            <w:noProof/>
            <w:sz w:val="16"/>
            <w:szCs w:val="16"/>
          </w:rPr>
          <w:t>5</w:t>
        </w:r>
      </w:hyperlink>
      <w:r w:rsidR="00A36607">
        <w:rPr>
          <w:rStyle w:val="Hyperlink"/>
          <w:noProof/>
          <w:sz w:val="16"/>
          <w:szCs w:val="16"/>
        </w:rPr>
        <w:t xml:space="preserve">  </w:t>
      </w:r>
      <w:r w:rsidRPr="00A36607" w:rsidR="00B57C2D">
        <w:rPr>
          <w:noProof/>
          <w:sz w:val="16"/>
          <w:szCs w:val="16"/>
        </w:rPr>
        <w:t xml:space="preserve"> </w:t>
      </w:r>
      <w:bookmarkEnd w:id="7"/>
    </w:p>
  </w:footnote>
  <w:footnote w:id="5">
    <w:p w:rsidR="00CA3C1A" w:rsidRPr="00281350" w14:paraId="6C1C26EE" w14:textId="47C5D565">
      <w:pPr>
        <w:pStyle w:val="FootnoteText"/>
        <w:rPr>
          <w:sz w:val="16"/>
          <w:szCs w:val="16"/>
        </w:rPr>
      </w:pPr>
      <w:r w:rsidRPr="00281350">
        <w:rPr>
          <w:rStyle w:val="FootnoteReference"/>
          <w:sz w:val="16"/>
          <w:szCs w:val="16"/>
        </w:rPr>
        <w:footnoteRef/>
      </w:r>
      <w:r w:rsidRPr="00281350">
        <w:rPr>
          <w:sz w:val="16"/>
          <w:szCs w:val="16"/>
        </w:rPr>
        <w:t xml:space="preserve"> </w:t>
      </w:r>
      <w:r w:rsidRPr="00281350">
        <w:rPr>
          <w:noProof/>
          <w:sz w:val="16"/>
          <w:szCs w:val="16"/>
        </w:rPr>
        <w:t xml:space="preserve">Roberts, S., Zhang, F., Fisher, D., &amp; Vaca, F. (2021). The effect of hazard awareness training on teen drivers of varying socioeconomic status. </w:t>
      </w:r>
      <w:r w:rsidRPr="00281350">
        <w:rPr>
          <w:i/>
          <w:iCs/>
          <w:noProof/>
          <w:sz w:val="16"/>
          <w:szCs w:val="16"/>
        </w:rPr>
        <w:t>Traffic Injury Prevention, 22</w:t>
      </w:r>
      <w:r w:rsidRPr="00281350">
        <w:rPr>
          <w:noProof/>
          <w:sz w:val="16"/>
          <w:szCs w:val="16"/>
        </w:rPr>
        <w:t>(6), 455-459.</w:t>
      </w:r>
      <w:r w:rsidRPr="00281350" w:rsidR="00B57C2D">
        <w:rPr>
          <w:noProof/>
          <w:sz w:val="16"/>
          <w:szCs w:val="16"/>
        </w:rPr>
        <w:t xml:space="preserve"> </w:t>
      </w:r>
      <w:bookmarkStart w:id="9" w:name="_Hlk185405704"/>
      <w:hyperlink r:id="rId2" w:history="1">
        <w:r w:rsidRPr="00CD3203" w:rsidR="00B57C2D">
          <w:rPr>
            <w:rStyle w:val="Hyperlink"/>
            <w:noProof/>
            <w:sz w:val="16"/>
            <w:szCs w:val="16"/>
          </w:rPr>
          <w:t>https://doi.org/10.1080/15389588.2021.1940984</w:t>
        </w:r>
      </w:hyperlink>
      <w:r w:rsidRPr="00281350" w:rsidR="00B57C2D">
        <w:rPr>
          <w:noProof/>
          <w:sz w:val="16"/>
          <w:szCs w:val="16"/>
        </w:rPr>
        <w:t xml:space="preserve"> </w:t>
      </w:r>
      <w:bookmarkEnd w:id="9"/>
    </w:p>
  </w:footnote>
  <w:footnote w:id="6">
    <w:p w:rsidR="00394AAF" w:rsidRPr="00281350" w14:paraId="5A5D6054" w14:textId="3510C489">
      <w:pPr>
        <w:pStyle w:val="FootnoteText"/>
        <w:rPr>
          <w:sz w:val="16"/>
          <w:szCs w:val="16"/>
        </w:rPr>
      </w:pPr>
      <w:r w:rsidRPr="00281350">
        <w:rPr>
          <w:rStyle w:val="FootnoteReference"/>
          <w:sz w:val="16"/>
          <w:szCs w:val="16"/>
        </w:rPr>
        <w:footnoteRef/>
      </w:r>
      <w:r w:rsidRPr="00281350">
        <w:rPr>
          <w:sz w:val="16"/>
          <w:szCs w:val="16"/>
        </w:rPr>
        <w:t xml:space="preserve"> </w:t>
      </w:r>
      <w:r w:rsidRPr="00D05907">
        <w:rPr>
          <w:sz w:val="16"/>
          <w:szCs w:val="16"/>
        </w:rPr>
        <w:t xml:space="preserve">National Center for Statistics and Analysis. (2024, July). </w:t>
      </w:r>
      <w:r w:rsidRPr="00D05907">
        <w:rPr>
          <w:i/>
          <w:iCs/>
          <w:sz w:val="16"/>
          <w:szCs w:val="16"/>
        </w:rPr>
        <w:t>Young drivers: 2022 data</w:t>
      </w:r>
      <w:r w:rsidRPr="00D05907">
        <w:rPr>
          <w:sz w:val="16"/>
          <w:szCs w:val="16"/>
        </w:rPr>
        <w:t xml:space="preserve"> (Traffic Safety Facts. Report No. DOT HS 813 601). National Highway Traffic Safety Administration. </w:t>
      </w:r>
      <w:hyperlink r:id="rId3" w:history="1">
        <w:r w:rsidRPr="00CD3203">
          <w:rPr>
            <w:rStyle w:val="Hyperlink"/>
            <w:sz w:val="16"/>
            <w:szCs w:val="16"/>
          </w:rPr>
          <w:t>https://crashstats.nhtsa.dot.gov/Api/Public/ViewPublication/813601</w:t>
        </w:r>
      </w:hyperlink>
      <w:r w:rsidRPr="00D05907">
        <w:rPr>
          <w:rStyle w:val="Hyperlink"/>
          <w:sz w:val="16"/>
          <w:szCs w:val="16"/>
        </w:rPr>
        <w:t xml:space="preserve"> </w:t>
      </w:r>
    </w:p>
  </w:footnote>
  <w:footnote w:id="7">
    <w:p w:rsidR="00A62037" w:rsidRPr="00281350" w14:paraId="437B46D2" w14:textId="0F916535">
      <w:pPr>
        <w:pStyle w:val="FootnoteText"/>
        <w:rPr>
          <w:sz w:val="16"/>
          <w:szCs w:val="16"/>
        </w:rPr>
      </w:pPr>
      <w:r w:rsidRPr="00281350">
        <w:rPr>
          <w:rStyle w:val="FootnoteReference"/>
          <w:sz w:val="16"/>
          <w:szCs w:val="16"/>
        </w:rPr>
        <w:footnoteRef/>
      </w:r>
      <w:r w:rsidRPr="00281350">
        <w:rPr>
          <w:sz w:val="16"/>
          <w:szCs w:val="16"/>
        </w:rPr>
        <w:t xml:space="preserve"> Bates, L. J., Davey, J., Watson, B., King, M. J., &amp; Armstrong, K. (2014). Factors contributing to crashes among young drivers. </w:t>
      </w:r>
      <w:r w:rsidRPr="00281350">
        <w:rPr>
          <w:i/>
          <w:iCs/>
          <w:sz w:val="16"/>
          <w:szCs w:val="16"/>
        </w:rPr>
        <w:t>Sultan Qaboos University Medical Journal, 14</w:t>
      </w:r>
      <w:r w:rsidRPr="00281350">
        <w:rPr>
          <w:sz w:val="16"/>
          <w:szCs w:val="16"/>
        </w:rPr>
        <w:t xml:space="preserve">(3), e297 – e305. </w:t>
      </w:r>
      <w:hyperlink r:id="rId4" w:history="1">
        <w:r w:rsidRPr="00CD3203">
          <w:rPr>
            <w:rStyle w:val="Hyperlink"/>
            <w:sz w:val="16"/>
            <w:szCs w:val="16"/>
          </w:rPr>
          <w:t>https://pmc.ncbi.nlm.nih.gov/articles/PMC4117653/</w:t>
        </w:r>
      </w:hyperlink>
      <w:r w:rsidRPr="00281350">
        <w:rPr>
          <w:sz w:val="16"/>
          <w:szCs w:val="16"/>
        </w:rPr>
        <w:t xml:space="preserve"> </w:t>
      </w:r>
    </w:p>
  </w:footnote>
  <w:footnote w:id="8">
    <w:p w:rsidR="00CA3C1A" w:rsidRPr="00281350" w:rsidP="00450A53" w14:paraId="308FAC3C" w14:textId="219EB98C">
      <w:pPr>
        <w:pStyle w:val="FootnoteText"/>
        <w:rPr>
          <w:sz w:val="16"/>
          <w:szCs w:val="16"/>
        </w:rPr>
      </w:pPr>
      <w:r w:rsidRPr="00281350">
        <w:rPr>
          <w:rStyle w:val="FootnoteReference"/>
          <w:sz w:val="16"/>
          <w:szCs w:val="16"/>
        </w:rPr>
        <w:footnoteRef/>
      </w:r>
      <w:r w:rsidRPr="00281350">
        <w:rPr>
          <w:sz w:val="16"/>
          <w:szCs w:val="16"/>
        </w:rPr>
        <w:t xml:space="preserve"> </w:t>
      </w:r>
      <w:r w:rsidRPr="00281350">
        <w:rPr>
          <w:noProof/>
          <w:sz w:val="16"/>
          <w:szCs w:val="16"/>
        </w:rPr>
        <w:t>Twenge</w:t>
      </w:r>
      <w:r w:rsidRPr="00281350" w:rsidR="00654D0C">
        <w:rPr>
          <w:noProof/>
          <w:sz w:val="16"/>
          <w:szCs w:val="16"/>
        </w:rPr>
        <w:t>, J.</w:t>
      </w:r>
      <w:r w:rsidRPr="00281350" w:rsidR="00034DA5">
        <w:rPr>
          <w:noProof/>
          <w:sz w:val="16"/>
          <w:szCs w:val="16"/>
        </w:rPr>
        <w:t>,</w:t>
      </w:r>
      <w:r w:rsidRPr="00281350">
        <w:rPr>
          <w:noProof/>
          <w:sz w:val="16"/>
          <w:szCs w:val="16"/>
        </w:rPr>
        <w:t xml:space="preserve"> </w:t>
      </w:r>
      <w:r w:rsidRPr="00281350" w:rsidR="00034DA5">
        <w:rPr>
          <w:noProof/>
          <w:sz w:val="16"/>
          <w:szCs w:val="16"/>
        </w:rPr>
        <w:t xml:space="preserve">&amp; </w:t>
      </w:r>
      <w:r w:rsidRPr="00281350">
        <w:rPr>
          <w:noProof/>
          <w:sz w:val="16"/>
          <w:szCs w:val="16"/>
        </w:rPr>
        <w:t>Park,</w:t>
      </w:r>
      <w:r w:rsidRPr="00281350" w:rsidR="00654D0C">
        <w:rPr>
          <w:noProof/>
          <w:sz w:val="16"/>
          <w:szCs w:val="16"/>
        </w:rPr>
        <w:t xml:space="preserve"> H. (2019).</w:t>
      </w:r>
      <w:r w:rsidRPr="00281350">
        <w:rPr>
          <w:noProof/>
          <w:sz w:val="16"/>
          <w:szCs w:val="16"/>
        </w:rPr>
        <w:t xml:space="preserve"> The decline in adult activities among U.S. adolescents, 1976-2016</w:t>
      </w:r>
      <w:r w:rsidRPr="00281350" w:rsidR="00654D0C">
        <w:rPr>
          <w:i/>
          <w:iCs/>
          <w:noProof/>
          <w:sz w:val="16"/>
          <w:szCs w:val="16"/>
        </w:rPr>
        <w:t>.</w:t>
      </w:r>
      <w:r w:rsidRPr="00281350">
        <w:rPr>
          <w:noProof/>
          <w:sz w:val="16"/>
          <w:szCs w:val="16"/>
        </w:rPr>
        <w:t xml:space="preserve"> </w:t>
      </w:r>
      <w:r w:rsidRPr="00281350">
        <w:rPr>
          <w:i/>
          <w:iCs/>
          <w:noProof/>
          <w:sz w:val="16"/>
          <w:szCs w:val="16"/>
        </w:rPr>
        <w:t>Child Development, 90</w:t>
      </w:r>
      <w:r w:rsidRPr="00281350" w:rsidR="00654D0C">
        <w:rPr>
          <w:noProof/>
          <w:sz w:val="16"/>
          <w:szCs w:val="16"/>
        </w:rPr>
        <w:t>(</w:t>
      </w:r>
      <w:r w:rsidRPr="00281350">
        <w:rPr>
          <w:noProof/>
          <w:sz w:val="16"/>
          <w:szCs w:val="16"/>
        </w:rPr>
        <w:t>2</w:t>
      </w:r>
      <w:r w:rsidRPr="00281350" w:rsidR="00654D0C">
        <w:rPr>
          <w:noProof/>
          <w:sz w:val="16"/>
          <w:szCs w:val="16"/>
        </w:rPr>
        <w:t>)</w:t>
      </w:r>
      <w:r w:rsidRPr="00281350">
        <w:rPr>
          <w:noProof/>
          <w:sz w:val="16"/>
          <w:szCs w:val="16"/>
        </w:rPr>
        <w:t>, 638-654.</w:t>
      </w:r>
      <w:r w:rsidRPr="00281350" w:rsidR="00B57C2D">
        <w:rPr>
          <w:noProof/>
          <w:sz w:val="16"/>
          <w:szCs w:val="16"/>
        </w:rPr>
        <w:t xml:space="preserve"> </w:t>
      </w:r>
      <w:bookmarkStart w:id="10" w:name="_Hlk185405698"/>
      <w:hyperlink r:id="rId5" w:history="1">
        <w:r w:rsidRPr="00CD3203" w:rsidR="00DF1850">
          <w:rPr>
            <w:rStyle w:val="Hyperlink"/>
            <w:noProof/>
            <w:sz w:val="16"/>
            <w:szCs w:val="16"/>
          </w:rPr>
          <w:t>https://doi.org/10.1111/cdev.12930</w:t>
        </w:r>
      </w:hyperlink>
      <w:r w:rsidRPr="00281350" w:rsidR="00DF1850">
        <w:rPr>
          <w:noProof/>
          <w:sz w:val="16"/>
          <w:szCs w:val="16"/>
        </w:rPr>
        <w:t xml:space="preserve"> </w:t>
      </w:r>
      <w:bookmarkEnd w:id="10"/>
    </w:p>
  </w:footnote>
  <w:footnote w:id="9">
    <w:p w:rsidR="00281350" w:rsidRPr="00281350" w14:paraId="3127C864" w14:textId="69C8C09A">
      <w:pPr>
        <w:pStyle w:val="FootnoteText"/>
        <w:rPr>
          <w:sz w:val="16"/>
          <w:szCs w:val="16"/>
        </w:rPr>
      </w:pPr>
      <w:r w:rsidRPr="00281350">
        <w:rPr>
          <w:rStyle w:val="FootnoteReference"/>
          <w:sz w:val="16"/>
          <w:szCs w:val="16"/>
        </w:rPr>
        <w:footnoteRef/>
      </w:r>
      <w:r w:rsidRPr="00281350">
        <w:rPr>
          <w:sz w:val="16"/>
          <w:szCs w:val="16"/>
        </w:rPr>
        <w:t xml:space="preserve"> Vaca, F. E., Li, K., </w:t>
      </w:r>
      <w:r w:rsidRPr="00281350">
        <w:rPr>
          <w:sz w:val="16"/>
          <w:szCs w:val="16"/>
        </w:rPr>
        <w:t>Tewahade</w:t>
      </w:r>
      <w:r w:rsidRPr="00281350">
        <w:rPr>
          <w:sz w:val="16"/>
          <w:szCs w:val="16"/>
        </w:rPr>
        <w:t xml:space="preserve">, S., Fell, J. C., Haynie, D. L., Simons-Morton, B. G., &amp; Romano, E. (2021). Factors contributing to delay in driving licensure among U.S. high school students and young adults. </w:t>
      </w:r>
      <w:r w:rsidRPr="00281350">
        <w:rPr>
          <w:i/>
          <w:iCs/>
          <w:sz w:val="16"/>
          <w:szCs w:val="16"/>
        </w:rPr>
        <w:t>Journal of Adolescent Health, 68</w:t>
      </w:r>
      <w:r w:rsidRPr="00281350">
        <w:rPr>
          <w:sz w:val="16"/>
          <w:szCs w:val="16"/>
        </w:rPr>
        <w:t xml:space="preserve">(1), 191-198. </w:t>
      </w:r>
      <w:hyperlink r:id="rId6" w:history="1">
        <w:r w:rsidRPr="00CD3203">
          <w:rPr>
            <w:rStyle w:val="Hyperlink"/>
            <w:sz w:val="16"/>
            <w:szCs w:val="16"/>
          </w:rPr>
          <w:t>https://pmc.ncbi.nlm.nih.gov/articles/PMC8136290/</w:t>
        </w:r>
      </w:hyperlink>
    </w:p>
  </w:footnote>
  <w:footnote w:id="10">
    <w:p w:rsidR="00442316" w:rsidRPr="00281350" w:rsidP="00450A53" w14:paraId="08F26446" w14:textId="3A036823">
      <w:pPr>
        <w:pStyle w:val="FootnoteText"/>
        <w:rPr>
          <w:sz w:val="16"/>
          <w:szCs w:val="16"/>
        </w:rPr>
      </w:pPr>
      <w:r w:rsidRPr="00281350">
        <w:rPr>
          <w:rStyle w:val="FootnoteReference"/>
          <w:sz w:val="16"/>
          <w:szCs w:val="16"/>
        </w:rPr>
        <w:footnoteRef/>
      </w:r>
      <w:r w:rsidRPr="00281350">
        <w:rPr>
          <w:sz w:val="16"/>
          <w:szCs w:val="16"/>
        </w:rPr>
        <w:t xml:space="preserve"> Curry, A. E., Garcia-Espana, J. F., Winston, F. K., Ginsburg, K., &amp; Durbin, D. R. (2012). Variation in teen driver education by state requirements and </w:t>
      </w:r>
      <w:r w:rsidRPr="00281350">
        <w:rPr>
          <w:sz w:val="16"/>
          <w:szCs w:val="16"/>
        </w:rPr>
        <w:t>sociodemographics</w:t>
      </w:r>
      <w:r w:rsidRPr="00281350">
        <w:rPr>
          <w:sz w:val="16"/>
          <w:szCs w:val="16"/>
        </w:rPr>
        <w:t xml:space="preserve">. </w:t>
      </w:r>
      <w:r w:rsidRPr="00281350">
        <w:rPr>
          <w:i/>
          <w:iCs/>
          <w:sz w:val="16"/>
          <w:szCs w:val="16"/>
        </w:rPr>
        <w:t>Pediatrics, 129</w:t>
      </w:r>
      <w:r w:rsidRPr="00281350">
        <w:rPr>
          <w:sz w:val="16"/>
          <w:szCs w:val="16"/>
        </w:rPr>
        <w:t>(3), 453 – 457.</w:t>
      </w:r>
      <w:r w:rsidRPr="00281350" w:rsidR="002A3C13">
        <w:rPr>
          <w:sz w:val="16"/>
          <w:szCs w:val="16"/>
        </w:rPr>
        <w:t xml:space="preserve"> </w:t>
      </w:r>
      <w:hyperlink r:id="rId7" w:history="1">
        <w:r w:rsidRPr="00CD3203" w:rsidR="002A3C13">
          <w:rPr>
            <w:rStyle w:val="Hyperlink"/>
            <w:sz w:val="16"/>
            <w:szCs w:val="16"/>
          </w:rPr>
          <w:t>https://doi.org/10.1542/peds.2011-2303</w:t>
        </w:r>
      </w:hyperlink>
      <w:r w:rsidRPr="00281350" w:rsidR="002A3C13">
        <w:rPr>
          <w:sz w:val="16"/>
          <w:szCs w:val="16"/>
        </w:rPr>
        <w:t xml:space="preserve"> </w:t>
      </w:r>
    </w:p>
  </w:footnote>
  <w:footnote w:id="11">
    <w:p w:rsidR="00CA3C1A" w:rsidRPr="00281350" w:rsidP="00450A53" w14:paraId="2B0938F8" w14:textId="2FF74CF4">
      <w:pPr>
        <w:pStyle w:val="FootnoteText"/>
        <w:rPr>
          <w:sz w:val="16"/>
          <w:szCs w:val="16"/>
        </w:rPr>
      </w:pPr>
      <w:r w:rsidRPr="00281350">
        <w:rPr>
          <w:rStyle w:val="FootnoteReference"/>
          <w:sz w:val="16"/>
          <w:szCs w:val="16"/>
        </w:rPr>
        <w:footnoteRef/>
      </w:r>
      <w:r w:rsidRPr="00281350">
        <w:rPr>
          <w:sz w:val="16"/>
          <w:szCs w:val="16"/>
        </w:rPr>
        <w:t xml:space="preserve"> Tefft</w:t>
      </w:r>
      <w:r w:rsidRPr="00281350" w:rsidR="00654D0C">
        <w:rPr>
          <w:sz w:val="16"/>
          <w:szCs w:val="16"/>
        </w:rPr>
        <w:t>, B. &amp;</w:t>
      </w:r>
      <w:r w:rsidRPr="00281350">
        <w:rPr>
          <w:sz w:val="16"/>
          <w:szCs w:val="16"/>
        </w:rPr>
        <w:t xml:space="preserve"> Foss</w:t>
      </w:r>
      <w:r w:rsidRPr="00281350" w:rsidR="00654D0C">
        <w:rPr>
          <w:sz w:val="16"/>
          <w:szCs w:val="16"/>
        </w:rPr>
        <w:t>, R.</w:t>
      </w:r>
      <w:r w:rsidRPr="00281350">
        <w:rPr>
          <w:sz w:val="16"/>
          <w:szCs w:val="16"/>
        </w:rPr>
        <w:t xml:space="preserve"> </w:t>
      </w:r>
      <w:r w:rsidRPr="00281350" w:rsidR="00654D0C">
        <w:rPr>
          <w:sz w:val="16"/>
          <w:szCs w:val="16"/>
        </w:rPr>
        <w:t xml:space="preserve">(2019). </w:t>
      </w:r>
      <w:r w:rsidRPr="00281350">
        <w:rPr>
          <w:i/>
          <w:iCs/>
          <w:sz w:val="16"/>
          <w:szCs w:val="16"/>
        </w:rPr>
        <w:t>Prevalence and timing of driver licensing among young adults (Research Brief)</w:t>
      </w:r>
      <w:r w:rsidRPr="00281350" w:rsidR="00654D0C">
        <w:rPr>
          <w:sz w:val="16"/>
          <w:szCs w:val="16"/>
        </w:rPr>
        <w:t>.</w:t>
      </w:r>
      <w:r w:rsidRPr="00281350">
        <w:rPr>
          <w:sz w:val="16"/>
          <w:szCs w:val="16"/>
        </w:rPr>
        <w:t xml:space="preserve"> AAA Foundation for Traffic Safety.</w:t>
      </w:r>
      <w:r w:rsidRPr="00281350" w:rsidR="00B57C2D">
        <w:rPr>
          <w:sz w:val="16"/>
          <w:szCs w:val="16"/>
        </w:rPr>
        <w:t xml:space="preserve"> </w:t>
      </w:r>
      <w:hyperlink r:id="rId8" w:history="1">
        <w:r w:rsidRPr="00CD3203" w:rsidR="00B57C2D">
          <w:rPr>
            <w:rStyle w:val="Hyperlink"/>
            <w:sz w:val="16"/>
            <w:szCs w:val="16"/>
          </w:rPr>
          <w:t>https://aaafoundation.org/wp-content/uploads/2019/10/19-0500_AAAFTS_Teen-Driver-Safety-Week-Brief_r1.pdf</w:t>
        </w:r>
      </w:hyperlink>
      <w:r w:rsidRPr="00281350" w:rsidR="00B57C2D">
        <w:rPr>
          <w:sz w:val="16"/>
          <w:szCs w:val="16"/>
        </w:rPr>
        <w:t xml:space="preserve"> </w:t>
      </w:r>
    </w:p>
  </w:footnote>
  <w:footnote w:id="12">
    <w:p w:rsidR="00CA3C1A" w:rsidRPr="00281350" w:rsidP="00450A53" w14:paraId="2FF1D8DB" w14:textId="5E5DAE16">
      <w:pPr>
        <w:pStyle w:val="FootnoteText"/>
        <w:rPr>
          <w:sz w:val="16"/>
          <w:szCs w:val="16"/>
        </w:rPr>
      </w:pPr>
      <w:r w:rsidRPr="00281350">
        <w:rPr>
          <w:rStyle w:val="FootnoteReference"/>
          <w:sz w:val="16"/>
          <w:szCs w:val="16"/>
        </w:rPr>
        <w:footnoteRef/>
      </w:r>
      <w:r w:rsidRPr="00281350">
        <w:rPr>
          <w:sz w:val="16"/>
          <w:szCs w:val="16"/>
        </w:rPr>
        <w:t xml:space="preserve"> </w:t>
      </w:r>
      <w:r w:rsidRPr="00281350">
        <w:rPr>
          <w:noProof/>
          <w:sz w:val="16"/>
          <w:szCs w:val="16"/>
        </w:rPr>
        <w:t>Ryerson</w:t>
      </w:r>
      <w:r w:rsidRPr="00281350" w:rsidR="00654D0C">
        <w:rPr>
          <w:noProof/>
          <w:sz w:val="16"/>
          <w:szCs w:val="16"/>
        </w:rPr>
        <w:t>, M.</w:t>
      </w:r>
      <w:r w:rsidRPr="00281350">
        <w:rPr>
          <w:noProof/>
          <w:sz w:val="16"/>
          <w:szCs w:val="16"/>
        </w:rPr>
        <w:t>, Davidson,</w:t>
      </w:r>
      <w:r w:rsidRPr="00281350" w:rsidR="00654D0C">
        <w:rPr>
          <w:noProof/>
          <w:sz w:val="16"/>
          <w:szCs w:val="16"/>
        </w:rPr>
        <w:t xml:space="preserve"> J., </w:t>
      </w:r>
      <w:r w:rsidRPr="00281350">
        <w:rPr>
          <w:noProof/>
          <w:sz w:val="16"/>
          <w:szCs w:val="16"/>
        </w:rPr>
        <w:t>Wu,</w:t>
      </w:r>
      <w:r w:rsidRPr="00281350" w:rsidR="00654D0C">
        <w:rPr>
          <w:noProof/>
          <w:sz w:val="16"/>
          <w:szCs w:val="16"/>
        </w:rPr>
        <w:t xml:space="preserve"> J.</w:t>
      </w:r>
      <w:r w:rsidRPr="00281350">
        <w:rPr>
          <w:noProof/>
          <w:sz w:val="16"/>
          <w:szCs w:val="16"/>
        </w:rPr>
        <w:t xml:space="preserve"> Feiglin</w:t>
      </w:r>
      <w:r w:rsidRPr="00281350" w:rsidR="00654D0C">
        <w:rPr>
          <w:noProof/>
          <w:sz w:val="16"/>
          <w:szCs w:val="16"/>
        </w:rPr>
        <w:t xml:space="preserve">, I., &amp; </w:t>
      </w:r>
      <w:r w:rsidRPr="00281350">
        <w:rPr>
          <w:noProof/>
          <w:sz w:val="16"/>
          <w:szCs w:val="16"/>
        </w:rPr>
        <w:t>Winston</w:t>
      </w:r>
      <w:r w:rsidRPr="00281350" w:rsidR="00654D0C">
        <w:rPr>
          <w:noProof/>
          <w:sz w:val="16"/>
          <w:szCs w:val="16"/>
        </w:rPr>
        <w:t>, F.</w:t>
      </w:r>
      <w:r w:rsidRPr="00281350">
        <w:rPr>
          <w:noProof/>
          <w:sz w:val="16"/>
          <w:szCs w:val="16"/>
        </w:rPr>
        <w:t xml:space="preserve"> </w:t>
      </w:r>
      <w:r w:rsidRPr="00281350" w:rsidR="00654D0C">
        <w:rPr>
          <w:noProof/>
          <w:sz w:val="16"/>
          <w:szCs w:val="16"/>
        </w:rPr>
        <w:t xml:space="preserve">(2022). </w:t>
      </w:r>
      <w:r w:rsidRPr="00281350">
        <w:rPr>
          <w:noProof/>
          <w:sz w:val="16"/>
          <w:szCs w:val="16"/>
        </w:rPr>
        <w:t>Identifying community-level disparities in access to driver education and training: Toward a definition of driver training deserts</w:t>
      </w:r>
      <w:r w:rsidRPr="00281350" w:rsidR="00654D0C">
        <w:rPr>
          <w:noProof/>
          <w:sz w:val="16"/>
          <w:szCs w:val="16"/>
        </w:rPr>
        <w:t>.</w:t>
      </w:r>
      <w:r w:rsidRPr="00281350">
        <w:rPr>
          <w:noProof/>
          <w:sz w:val="16"/>
          <w:szCs w:val="16"/>
        </w:rPr>
        <w:t xml:space="preserve"> </w:t>
      </w:r>
      <w:r w:rsidRPr="00281350">
        <w:rPr>
          <w:i/>
          <w:iCs/>
          <w:noProof/>
          <w:sz w:val="16"/>
          <w:szCs w:val="16"/>
        </w:rPr>
        <w:t>Traffic Injury Prevention, 23</w:t>
      </w:r>
      <w:r w:rsidRPr="00281350" w:rsidR="00654D0C">
        <w:rPr>
          <w:noProof/>
          <w:sz w:val="16"/>
          <w:szCs w:val="16"/>
        </w:rPr>
        <w:t xml:space="preserve">, </w:t>
      </w:r>
      <w:r w:rsidRPr="00281350">
        <w:rPr>
          <w:noProof/>
          <w:sz w:val="16"/>
          <w:szCs w:val="16"/>
        </w:rPr>
        <w:t>S14-S19.</w:t>
      </w:r>
      <w:r w:rsidRPr="00281350" w:rsidR="00B57C2D">
        <w:rPr>
          <w:noProof/>
          <w:sz w:val="16"/>
          <w:szCs w:val="16"/>
        </w:rPr>
        <w:t xml:space="preserve"> </w:t>
      </w:r>
      <w:hyperlink r:id="rId9" w:history="1">
        <w:r w:rsidRPr="00CD3203" w:rsidR="00B57C2D">
          <w:rPr>
            <w:rStyle w:val="Hyperlink"/>
            <w:noProof/>
            <w:sz w:val="16"/>
            <w:szCs w:val="16"/>
          </w:rPr>
          <w:t>https://doi.org/10.1080/15389588.2022.2125305</w:t>
        </w:r>
      </w:hyperlink>
      <w:r w:rsidRPr="00281350" w:rsidR="00B57C2D">
        <w:rPr>
          <w:noProof/>
          <w:sz w:val="16"/>
          <w:szCs w:val="16"/>
        </w:rPr>
        <w:t xml:space="preserve"> </w:t>
      </w:r>
    </w:p>
  </w:footnote>
  <w:footnote w:id="13">
    <w:p w:rsidR="00664785" w:rsidRPr="00281350" w:rsidP="00450A53" w14:paraId="369B75FE" w14:textId="6FDB2387">
      <w:pPr>
        <w:pStyle w:val="FootnoteText"/>
        <w:rPr>
          <w:sz w:val="16"/>
          <w:szCs w:val="16"/>
        </w:rPr>
      </w:pPr>
      <w:r w:rsidRPr="00281350">
        <w:rPr>
          <w:rStyle w:val="FootnoteReference"/>
          <w:sz w:val="16"/>
          <w:szCs w:val="16"/>
        </w:rPr>
        <w:footnoteRef/>
      </w:r>
      <w:r w:rsidRPr="00281350">
        <w:rPr>
          <w:sz w:val="16"/>
          <w:szCs w:val="16"/>
        </w:rPr>
        <w:t xml:space="preserve"> Kirley, B. B., Robison, K. L., Goodwin, A. H., Harmon, K. J. O’Brien, N. P., West, A., Harrell, S. S., Thomas, L., &amp; Brookshire, K. (2023, November). </w:t>
      </w:r>
      <w:r w:rsidRPr="00281350">
        <w:rPr>
          <w:i/>
          <w:iCs/>
          <w:sz w:val="16"/>
          <w:szCs w:val="16"/>
        </w:rPr>
        <w:t>Countermeasures that work: A highway safety countermeasure guide for State Highway Safety Offices, 11th edition, 2023</w:t>
      </w:r>
      <w:r w:rsidRPr="00281350">
        <w:rPr>
          <w:sz w:val="16"/>
          <w:szCs w:val="16"/>
        </w:rPr>
        <w:t xml:space="preserve"> (Report No. DOT HS 813 490). National Highway Traffic Safety Administration. </w:t>
      </w:r>
      <w:hyperlink r:id="rId10" w:history="1">
        <w:r w:rsidRPr="00281350" w:rsidR="00B57C2D">
          <w:rPr>
            <w:rStyle w:val="Hyperlink"/>
            <w:sz w:val="16"/>
            <w:szCs w:val="16"/>
          </w:rPr>
          <w:t>https://www.nhtsa.gov/sites/nhtsa.gov/files/2023-12/countermeasures-that-work-11th-2023-tag_0.pdf</w:t>
        </w:r>
      </w:hyperlink>
      <w:r w:rsidRPr="00281350" w:rsidR="00B57C2D">
        <w:rPr>
          <w:rStyle w:val="Hyperlink"/>
          <w:color w:val="auto"/>
          <w:sz w:val="16"/>
          <w:szCs w:val="16"/>
        </w:rPr>
        <w:t xml:space="preserve"> </w:t>
      </w:r>
      <w:r w:rsidRPr="00281350" w:rsidR="00654D0C">
        <w:rPr>
          <w:sz w:val="16"/>
          <w:szCs w:val="16"/>
        </w:rPr>
        <w:t xml:space="preserve"> </w:t>
      </w:r>
      <w:r w:rsidRPr="00281350" w:rsidR="00B57C2D">
        <w:rPr>
          <w:sz w:val="16"/>
          <w:szCs w:val="16"/>
        </w:rPr>
        <w:t xml:space="preserve"> </w:t>
      </w:r>
    </w:p>
  </w:footnote>
  <w:footnote w:id="14">
    <w:p w:rsidR="00CA3C1A" w:rsidRPr="00281350" w14:paraId="5FB51973" w14:textId="225CE189">
      <w:pPr>
        <w:pStyle w:val="FootnoteText"/>
        <w:rPr>
          <w:sz w:val="16"/>
          <w:szCs w:val="16"/>
        </w:rPr>
      </w:pPr>
      <w:r w:rsidRPr="00281350">
        <w:rPr>
          <w:rStyle w:val="FootnoteReference"/>
          <w:sz w:val="16"/>
          <w:szCs w:val="16"/>
        </w:rPr>
        <w:footnoteRef/>
      </w:r>
      <w:r w:rsidRPr="00281350">
        <w:rPr>
          <w:sz w:val="16"/>
          <w:szCs w:val="16"/>
        </w:rPr>
        <w:t xml:space="preserve"> </w:t>
      </w:r>
      <w:r w:rsidRPr="00281350">
        <w:rPr>
          <w:noProof/>
          <w:sz w:val="16"/>
          <w:szCs w:val="16"/>
        </w:rPr>
        <w:t xml:space="preserve">Pollatsek, A., Narayanaan, V., Pradhan, A., &amp; Fisher, D. (2006). Using eye movements to evaluate a PC-based risk awareness perception training program on a driving simulator. </w:t>
      </w:r>
      <w:r w:rsidRPr="00281350">
        <w:rPr>
          <w:i/>
          <w:iCs/>
          <w:noProof/>
          <w:sz w:val="16"/>
          <w:szCs w:val="16"/>
        </w:rPr>
        <w:t>Human Factors, 48</w:t>
      </w:r>
      <w:r w:rsidRPr="00281350">
        <w:rPr>
          <w:noProof/>
          <w:sz w:val="16"/>
          <w:szCs w:val="16"/>
        </w:rPr>
        <w:t>(3), 255-259.</w:t>
      </w:r>
      <w:r w:rsidRPr="00281350" w:rsidR="001C33B8">
        <w:rPr>
          <w:noProof/>
          <w:sz w:val="16"/>
          <w:szCs w:val="16"/>
        </w:rPr>
        <w:t xml:space="preserve"> </w:t>
      </w:r>
      <w:hyperlink r:id="rId11" w:history="1">
        <w:r w:rsidRPr="00281350" w:rsidR="001C33B8">
          <w:rPr>
            <w:rStyle w:val="Hyperlink"/>
            <w:noProof/>
            <w:sz w:val="16"/>
            <w:szCs w:val="16"/>
          </w:rPr>
          <w:t>https://doi.org/10.1518/001872006778606787</w:t>
        </w:r>
      </w:hyperlink>
      <w:r w:rsidRPr="00281350" w:rsidR="001C33B8">
        <w:rPr>
          <w:noProof/>
          <w:sz w:val="16"/>
          <w:szCs w:val="16"/>
        </w:rPr>
        <w:t xml:space="preserve"> </w:t>
      </w:r>
    </w:p>
  </w:footnote>
  <w:footnote w:id="15">
    <w:p w:rsidR="00654D0C" w:rsidRPr="00281350" w14:paraId="7CBBF856" w14:textId="32410D04">
      <w:pPr>
        <w:pStyle w:val="FootnoteText"/>
        <w:rPr>
          <w:sz w:val="16"/>
          <w:szCs w:val="16"/>
        </w:rPr>
      </w:pPr>
      <w:r w:rsidRPr="00281350">
        <w:rPr>
          <w:rStyle w:val="FootnoteReference"/>
          <w:sz w:val="16"/>
          <w:szCs w:val="16"/>
        </w:rPr>
        <w:footnoteRef/>
      </w:r>
      <w:r w:rsidRPr="00281350">
        <w:rPr>
          <w:sz w:val="16"/>
          <w:szCs w:val="16"/>
        </w:rPr>
        <w:t xml:space="preserve"> </w:t>
      </w:r>
      <w:r w:rsidRPr="00281350">
        <w:rPr>
          <w:noProof/>
          <w:sz w:val="16"/>
          <w:szCs w:val="16"/>
        </w:rPr>
        <w:t xml:space="preserve">Pradhan, A., Pollatsek, A., Knodler, M. &amp; Fisher, D. (2009). Can younger drivers be trained to scan for information that will reduce their risk in roadway traffic scenarios that are hard to identify as hazardous?, </w:t>
      </w:r>
      <w:r w:rsidRPr="00281350">
        <w:rPr>
          <w:i/>
          <w:iCs/>
          <w:noProof/>
          <w:sz w:val="16"/>
          <w:szCs w:val="16"/>
        </w:rPr>
        <w:t xml:space="preserve">Ergonomics, </w:t>
      </w:r>
      <w:r w:rsidRPr="00281350">
        <w:rPr>
          <w:noProof/>
          <w:sz w:val="16"/>
          <w:szCs w:val="16"/>
        </w:rPr>
        <w:t>52, 657-673.</w:t>
      </w:r>
      <w:r w:rsidRPr="00281350" w:rsidR="001C33B8">
        <w:rPr>
          <w:noProof/>
          <w:sz w:val="16"/>
          <w:szCs w:val="16"/>
        </w:rPr>
        <w:t xml:space="preserve"> </w:t>
      </w:r>
      <w:hyperlink r:id="rId12" w:history="1">
        <w:r w:rsidRPr="00281350" w:rsidR="001C33B8">
          <w:rPr>
            <w:rStyle w:val="Hyperlink"/>
            <w:noProof/>
            <w:sz w:val="16"/>
            <w:szCs w:val="16"/>
          </w:rPr>
          <w:t>https://pmc.ncbi.nlm.nih.gov/articles/PMC2707454/</w:t>
        </w:r>
      </w:hyperlink>
      <w:r w:rsidRPr="00281350" w:rsidR="001C33B8">
        <w:rPr>
          <w:noProof/>
          <w:sz w:val="16"/>
          <w:szCs w:val="16"/>
        </w:rPr>
        <w:t xml:space="preserve"> </w:t>
      </w:r>
    </w:p>
  </w:footnote>
  <w:footnote w:id="16">
    <w:p w:rsidR="00420ABA" w:rsidRPr="00281350" w14:paraId="7550BBB0" w14:textId="448EC9EB">
      <w:pPr>
        <w:pStyle w:val="FootnoteText"/>
        <w:rPr>
          <w:sz w:val="16"/>
          <w:szCs w:val="16"/>
        </w:rPr>
      </w:pPr>
      <w:r w:rsidRPr="00281350">
        <w:rPr>
          <w:rStyle w:val="FootnoteReference"/>
          <w:sz w:val="16"/>
          <w:szCs w:val="16"/>
        </w:rPr>
        <w:footnoteRef/>
      </w:r>
      <w:r w:rsidRPr="00281350">
        <w:rPr>
          <w:sz w:val="16"/>
          <w:szCs w:val="16"/>
        </w:rPr>
        <w:t xml:space="preserve"> </w:t>
      </w:r>
      <w:r w:rsidRPr="00281350">
        <w:rPr>
          <w:noProof/>
          <w:sz w:val="16"/>
          <w:szCs w:val="16"/>
        </w:rPr>
        <w:t xml:space="preserve">Thomas, F., Rilea, S., Blomberg, R., Peck, R., &amp; Korbelak, E. (2016). </w:t>
      </w:r>
      <w:r w:rsidRPr="00281350">
        <w:rPr>
          <w:i/>
          <w:iCs/>
          <w:noProof/>
          <w:sz w:val="16"/>
          <w:szCs w:val="16"/>
        </w:rPr>
        <w:t>Evaluation of the safety benefits of the risk awareness and perception training program for novice teen drivers</w:t>
      </w:r>
      <w:r w:rsidRPr="00281350">
        <w:rPr>
          <w:noProof/>
          <w:sz w:val="16"/>
          <w:szCs w:val="16"/>
        </w:rPr>
        <w:t xml:space="preserve"> (Report No. DOT HS 812 235)</w:t>
      </w:r>
      <w:r w:rsidRPr="00281350" w:rsidR="00625973">
        <w:rPr>
          <w:noProof/>
          <w:sz w:val="16"/>
          <w:szCs w:val="16"/>
        </w:rPr>
        <w:t>.</w:t>
      </w:r>
      <w:r w:rsidRPr="00281350">
        <w:rPr>
          <w:noProof/>
          <w:sz w:val="16"/>
          <w:szCs w:val="16"/>
        </w:rPr>
        <w:t xml:space="preserve"> National Highway Traffic Safety Administration.</w:t>
      </w:r>
      <w:r w:rsidRPr="00281350" w:rsidR="001C33B8">
        <w:rPr>
          <w:noProof/>
          <w:sz w:val="16"/>
          <w:szCs w:val="16"/>
        </w:rPr>
        <w:t xml:space="preserve"> </w:t>
      </w:r>
      <w:hyperlink r:id="rId13" w:history="1">
        <w:r w:rsidRPr="00281350" w:rsidR="001C33B8">
          <w:rPr>
            <w:rStyle w:val="Hyperlink"/>
            <w:noProof/>
            <w:sz w:val="16"/>
            <w:szCs w:val="16"/>
          </w:rPr>
          <w:t>https://rosap.ntl.bts.gov/view/dot/1986/dot_1986_DS1.pdf</w:t>
        </w:r>
      </w:hyperlink>
      <w:r w:rsidRPr="00281350" w:rsidR="001C33B8">
        <w:rPr>
          <w:noProof/>
          <w:sz w:val="16"/>
          <w:szCs w:val="16"/>
        </w:rPr>
        <w:t xml:space="preserve"> </w:t>
      </w:r>
    </w:p>
  </w:footnote>
  <w:footnote w:id="17">
    <w:p w:rsidR="00F5611B" w:rsidRPr="00281350" w14:paraId="74CDA62E" w14:textId="5112EB34">
      <w:pPr>
        <w:pStyle w:val="FootnoteText"/>
        <w:rPr>
          <w:sz w:val="16"/>
          <w:szCs w:val="16"/>
        </w:rPr>
      </w:pPr>
      <w:r w:rsidRPr="00281350">
        <w:rPr>
          <w:rStyle w:val="FootnoteReference"/>
          <w:sz w:val="16"/>
          <w:szCs w:val="16"/>
        </w:rPr>
        <w:footnoteRef/>
      </w:r>
      <w:r w:rsidRPr="00281350">
        <w:rPr>
          <w:sz w:val="16"/>
          <w:szCs w:val="16"/>
        </w:rPr>
        <w:t xml:space="preserve"> Klauer, S., Dingus, T., Neale, V., </w:t>
      </w:r>
      <w:r w:rsidRPr="00281350">
        <w:rPr>
          <w:sz w:val="16"/>
          <w:szCs w:val="16"/>
        </w:rPr>
        <w:t>Sudweeks</w:t>
      </w:r>
      <w:r w:rsidRPr="00281350">
        <w:rPr>
          <w:sz w:val="16"/>
          <w:szCs w:val="16"/>
        </w:rPr>
        <w:t xml:space="preserve">, J., &amp; Ramsey, D. (2006). </w:t>
      </w:r>
      <w:r w:rsidRPr="00281350">
        <w:rPr>
          <w:i/>
          <w:iCs/>
          <w:sz w:val="16"/>
          <w:szCs w:val="16"/>
        </w:rPr>
        <w:t>The impact of driver inattention on near-crash/crash risk: An analysis using the 100-Car naturalistic driving study data</w:t>
      </w:r>
      <w:r w:rsidRPr="00281350">
        <w:rPr>
          <w:sz w:val="16"/>
          <w:szCs w:val="16"/>
        </w:rPr>
        <w:t xml:space="preserve"> (Report No. DOT HS 810 594). National Highway Traffic Safety Administration.</w:t>
      </w:r>
      <w:r w:rsidRPr="00281350" w:rsidR="001C33B8">
        <w:rPr>
          <w:sz w:val="16"/>
          <w:szCs w:val="16"/>
        </w:rPr>
        <w:t xml:space="preserve"> </w:t>
      </w:r>
      <w:hyperlink r:id="rId14" w:history="1">
        <w:r w:rsidRPr="00281350" w:rsidR="001C33B8">
          <w:rPr>
            <w:rStyle w:val="Hyperlink"/>
            <w:sz w:val="16"/>
            <w:szCs w:val="16"/>
          </w:rPr>
          <w:t>https://rosap.ntl.bts.gov/view/dot/62931</w:t>
        </w:r>
      </w:hyperlink>
      <w:r w:rsidRPr="00281350" w:rsidR="001C33B8">
        <w:rPr>
          <w:sz w:val="16"/>
          <w:szCs w:val="16"/>
        </w:rPr>
        <w:t xml:space="preserve"> </w:t>
      </w:r>
    </w:p>
  </w:footnote>
  <w:footnote w:id="18">
    <w:p w:rsidR="00057067" w:rsidRPr="00281350" w14:paraId="57709BC7" w14:textId="22F0B294">
      <w:pPr>
        <w:pStyle w:val="FootnoteText"/>
        <w:rPr>
          <w:sz w:val="16"/>
          <w:szCs w:val="16"/>
        </w:rPr>
      </w:pPr>
      <w:r w:rsidRPr="00281350">
        <w:rPr>
          <w:rStyle w:val="FootnoteReference"/>
          <w:sz w:val="16"/>
          <w:szCs w:val="16"/>
        </w:rPr>
        <w:footnoteRef/>
      </w:r>
      <w:r w:rsidRPr="00281350">
        <w:rPr>
          <w:sz w:val="16"/>
          <w:szCs w:val="16"/>
        </w:rPr>
        <w:t xml:space="preserve"> </w:t>
      </w:r>
      <w:r w:rsidRPr="00281350">
        <w:rPr>
          <w:noProof/>
          <w:sz w:val="16"/>
          <w:szCs w:val="16"/>
        </w:rPr>
        <w:t xml:space="preserve">Divekar, G., Pradhan, A. K., Masserang, K. M., Reagan, I., Pollatsek, A., &amp; Fisher, D. L. </w:t>
      </w:r>
      <w:r w:rsidRPr="00281350" w:rsidR="00A77856">
        <w:rPr>
          <w:noProof/>
          <w:sz w:val="16"/>
          <w:szCs w:val="16"/>
        </w:rPr>
        <w:t xml:space="preserve">(2013). </w:t>
      </w:r>
      <w:r w:rsidRPr="00281350">
        <w:rPr>
          <w:noProof/>
          <w:sz w:val="16"/>
          <w:szCs w:val="16"/>
        </w:rPr>
        <w:t>A simulator evaluation of the effects of attention maintenance training on glance distributions of younger novice drivers inside and outside the vehicle</w:t>
      </w:r>
      <w:r w:rsidRPr="00281350" w:rsidR="00A77856">
        <w:rPr>
          <w:noProof/>
          <w:sz w:val="16"/>
          <w:szCs w:val="16"/>
        </w:rPr>
        <w:t>.</w:t>
      </w:r>
      <w:r w:rsidRPr="00281350">
        <w:rPr>
          <w:noProof/>
          <w:sz w:val="16"/>
          <w:szCs w:val="16"/>
        </w:rPr>
        <w:t xml:space="preserve"> </w:t>
      </w:r>
      <w:r w:rsidRPr="00281350">
        <w:rPr>
          <w:i/>
          <w:iCs/>
          <w:noProof/>
          <w:sz w:val="16"/>
          <w:szCs w:val="16"/>
        </w:rPr>
        <w:t>Transportation Research Part F,</w:t>
      </w:r>
      <w:r w:rsidRPr="00281350" w:rsidR="00A77856">
        <w:rPr>
          <w:i/>
          <w:iCs/>
          <w:noProof/>
          <w:sz w:val="16"/>
          <w:szCs w:val="16"/>
        </w:rPr>
        <w:t xml:space="preserve"> 20</w:t>
      </w:r>
      <w:r w:rsidRPr="00281350" w:rsidR="00A77856">
        <w:rPr>
          <w:noProof/>
          <w:sz w:val="16"/>
          <w:szCs w:val="16"/>
        </w:rPr>
        <w:t>,</w:t>
      </w:r>
      <w:r w:rsidRPr="00281350">
        <w:rPr>
          <w:noProof/>
          <w:sz w:val="16"/>
          <w:szCs w:val="16"/>
        </w:rPr>
        <w:t xml:space="preserve"> 154-169.</w:t>
      </w:r>
      <w:r w:rsidRPr="00281350" w:rsidR="001C33B8">
        <w:rPr>
          <w:noProof/>
          <w:sz w:val="16"/>
          <w:szCs w:val="16"/>
        </w:rPr>
        <w:t xml:space="preserve"> </w:t>
      </w:r>
      <w:hyperlink r:id="rId15" w:history="1">
        <w:r w:rsidRPr="00281350" w:rsidR="001C33B8">
          <w:rPr>
            <w:rStyle w:val="Hyperlink"/>
            <w:noProof/>
            <w:sz w:val="16"/>
            <w:szCs w:val="16"/>
          </w:rPr>
          <w:t>https://doi.org/10.1016/j.trf.2013.07.004</w:t>
        </w:r>
      </w:hyperlink>
      <w:r w:rsidRPr="00281350" w:rsidR="001C33B8">
        <w:rPr>
          <w:noProof/>
          <w:sz w:val="16"/>
          <w:szCs w:val="16"/>
        </w:rPr>
        <w:t xml:space="preserve"> </w:t>
      </w:r>
    </w:p>
  </w:footnote>
  <w:footnote w:id="19">
    <w:p w:rsidR="006B5AF0" w:rsidRPr="00281350" w14:paraId="0920AE0F" w14:textId="21707C97">
      <w:pPr>
        <w:pStyle w:val="FootnoteText"/>
        <w:rPr>
          <w:sz w:val="16"/>
          <w:szCs w:val="16"/>
        </w:rPr>
      </w:pPr>
      <w:r w:rsidRPr="00281350">
        <w:rPr>
          <w:rStyle w:val="FootnoteReference"/>
          <w:sz w:val="16"/>
          <w:szCs w:val="16"/>
        </w:rPr>
        <w:footnoteRef/>
      </w:r>
      <w:r w:rsidRPr="00281350">
        <w:rPr>
          <w:sz w:val="16"/>
          <w:szCs w:val="16"/>
        </w:rPr>
        <w:t xml:space="preserve"> Pradhan, A. K., </w:t>
      </w:r>
      <w:r w:rsidRPr="00281350">
        <w:rPr>
          <w:sz w:val="16"/>
          <w:szCs w:val="16"/>
        </w:rPr>
        <w:t>Divekar</w:t>
      </w:r>
      <w:r w:rsidRPr="00281350">
        <w:rPr>
          <w:sz w:val="16"/>
          <w:szCs w:val="16"/>
        </w:rPr>
        <w:t xml:space="preserve"> G., </w:t>
      </w:r>
      <w:r w:rsidRPr="00281350">
        <w:rPr>
          <w:sz w:val="16"/>
          <w:szCs w:val="16"/>
        </w:rPr>
        <w:t>Masserang</w:t>
      </w:r>
      <w:r w:rsidRPr="00281350">
        <w:rPr>
          <w:sz w:val="16"/>
          <w:szCs w:val="16"/>
        </w:rPr>
        <w:t xml:space="preserve">, K., </w:t>
      </w:r>
      <w:r w:rsidRPr="00281350">
        <w:rPr>
          <w:sz w:val="16"/>
          <w:szCs w:val="16"/>
        </w:rPr>
        <w:t>Romoser</w:t>
      </w:r>
      <w:r w:rsidRPr="00281350">
        <w:rPr>
          <w:sz w:val="16"/>
          <w:szCs w:val="16"/>
        </w:rPr>
        <w:t xml:space="preserve">, M., </w:t>
      </w:r>
      <w:r w:rsidRPr="00281350">
        <w:rPr>
          <w:sz w:val="16"/>
          <w:szCs w:val="16"/>
        </w:rPr>
        <w:t>Zafian</w:t>
      </w:r>
      <w:r w:rsidRPr="00281350">
        <w:rPr>
          <w:sz w:val="16"/>
          <w:szCs w:val="16"/>
        </w:rPr>
        <w:t xml:space="preserve">, T., Blomberg, R., Thomas, F., Reagan, I., </w:t>
      </w:r>
      <w:r w:rsidRPr="00281350">
        <w:rPr>
          <w:sz w:val="16"/>
          <w:szCs w:val="16"/>
        </w:rPr>
        <w:t>Knodler</w:t>
      </w:r>
      <w:r w:rsidRPr="00281350">
        <w:rPr>
          <w:sz w:val="16"/>
          <w:szCs w:val="16"/>
        </w:rPr>
        <w:t xml:space="preserve">, M., </w:t>
      </w:r>
      <w:r w:rsidRPr="00281350">
        <w:rPr>
          <w:sz w:val="16"/>
          <w:szCs w:val="16"/>
        </w:rPr>
        <w:t>Pollatsek</w:t>
      </w:r>
      <w:r w:rsidRPr="00281350">
        <w:rPr>
          <w:sz w:val="16"/>
          <w:szCs w:val="16"/>
        </w:rPr>
        <w:t xml:space="preserve">, A., &amp; Fisher, D. (2011). The effects of focused attention training (FOCAL) on the duration of novice drivers’ glances inside the vehicle. </w:t>
      </w:r>
      <w:r w:rsidRPr="00281350">
        <w:rPr>
          <w:i/>
          <w:iCs/>
          <w:sz w:val="16"/>
          <w:szCs w:val="16"/>
        </w:rPr>
        <w:t>Ergonomics (54)</w:t>
      </w:r>
      <w:r w:rsidRPr="00281350">
        <w:rPr>
          <w:sz w:val="16"/>
          <w:szCs w:val="16"/>
        </w:rPr>
        <w:t>, 917-931.</w:t>
      </w:r>
      <w:r w:rsidRPr="00281350" w:rsidR="009E0429">
        <w:rPr>
          <w:sz w:val="16"/>
          <w:szCs w:val="16"/>
        </w:rPr>
        <w:t xml:space="preserve"> </w:t>
      </w:r>
      <w:hyperlink r:id="rId16" w:history="1">
        <w:r w:rsidRPr="00281350" w:rsidR="009E0429">
          <w:rPr>
            <w:rStyle w:val="Hyperlink"/>
            <w:sz w:val="16"/>
            <w:szCs w:val="16"/>
          </w:rPr>
          <w:t>https://pmc.ncbi.nlm.nih.gov/articles/PMC3437545/</w:t>
        </w:r>
      </w:hyperlink>
      <w:r w:rsidRPr="00281350" w:rsidR="009E0429">
        <w:rPr>
          <w:sz w:val="16"/>
          <w:szCs w:val="16"/>
        </w:rPr>
        <w:t xml:space="preserve"> </w:t>
      </w:r>
    </w:p>
  </w:footnote>
  <w:footnote w:id="20">
    <w:p w:rsidR="00901701" w:rsidRPr="00281350" w:rsidP="00901701" w14:paraId="0EF59BB3" w14:textId="5D4D1401">
      <w:pPr>
        <w:pStyle w:val="FootnoteText"/>
        <w:rPr>
          <w:sz w:val="16"/>
          <w:szCs w:val="16"/>
        </w:rPr>
      </w:pPr>
      <w:r w:rsidRPr="00281350">
        <w:rPr>
          <w:rStyle w:val="FootnoteReference"/>
          <w:sz w:val="16"/>
          <w:szCs w:val="16"/>
        </w:rPr>
        <w:footnoteRef/>
      </w:r>
      <w:r w:rsidRPr="00281350">
        <w:rPr>
          <w:sz w:val="16"/>
          <w:szCs w:val="16"/>
        </w:rPr>
        <w:t xml:space="preserve"> </w:t>
      </w:r>
      <w:r w:rsidRPr="00281350">
        <w:rPr>
          <w:sz w:val="16"/>
          <w:szCs w:val="16"/>
        </w:rPr>
        <w:t>Divekar</w:t>
      </w:r>
      <w:r w:rsidRPr="00281350">
        <w:rPr>
          <w:sz w:val="16"/>
          <w:szCs w:val="16"/>
        </w:rPr>
        <w:t xml:space="preserve">, G., Samuel, S., </w:t>
      </w:r>
      <w:r w:rsidRPr="00281350">
        <w:rPr>
          <w:sz w:val="16"/>
          <w:szCs w:val="16"/>
        </w:rPr>
        <w:t>Pollatsek</w:t>
      </w:r>
      <w:r w:rsidRPr="00281350">
        <w:rPr>
          <w:sz w:val="16"/>
          <w:szCs w:val="16"/>
        </w:rPr>
        <w:t xml:space="preserve">, A., Thomas, D. F., </w:t>
      </w:r>
      <w:r w:rsidRPr="00281350">
        <w:rPr>
          <w:sz w:val="16"/>
          <w:szCs w:val="16"/>
        </w:rPr>
        <w:t>Korbelak</w:t>
      </w:r>
      <w:r w:rsidRPr="00281350">
        <w:rPr>
          <w:sz w:val="16"/>
          <w:szCs w:val="16"/>
        </w:rPr>
        <w:t xml:space="preserve">, K., Blomberg, R. D., &amp; Fisher, D. L. (2016). Effects of a PC-based attention maintenance training program on driver behavior can last up to four months. </w:t>
      </w:r>
      <w:r w:rsidRPr="00281350">
        <w:rPr>
          <w:i/>
          <w:iCs/>
          <w:sz w:val="16"/>
          <w:szCs w:val="16"/>
        </w:rPr>
        <w:t>Transportation Research Record, 2602</w:t>
      </w:r>
      <w:r w:rsidRPr="00281350">
        <w:rPr>
          <w:sz w:val="16"/>
          <w:szCs w:val="16"/>
        </w:rPr>
        <w:t xml:space="preserve">(1), 121 – 128. </w:t>
      </w:r>
      <w:hyperlink r:id="rId17" w:history="1">
        <w:r w:rsidRPr="00281350" w:rsidR="009E0429">
          <w:rPr>
            <w:rStyle w:val="Hyperlink"/>
            <w:sz w:val="16"/>
            <w:szCs w:val="16"/>
          </w:rPr>
          <w:t>https://doi.org/10.3141/2602-15</w:t>
        </w:r>
      </w:hyperlink>
      <w:r w:rsidRPr="00281350" w:rsidR="009E0429">
        <w:rPr>
          <w:sz w:val="16"/>
          <w:szCs w:val="16"/>
        </w:rPr>
        <w:t xml:space="preserve"> </w:t>
      </w:r>
    </w:p>
  </w:footnote>
  <w:footnote w:id="21">
    <w:p w:rsidR="00BE57BA" w:rsidRPr="00281350" w:rsidP="00BE57BA" w14:paraId="31DD32A6" w14:textId="01186B9D">
      <w:pPr>
        <w:pStyle w:val="FootnoteText"/>
        <w:rPr>
          <w:sz w:val="16"/>
          <w:szCs w:val="16"/>
        </w:rPr>
      </w:pPr>
      <w:r w:rsidRPr="00281350">
        <w:rPr>
          <w:rStyle w:val="FootnoteReference"/>
          <w:sz w:val="16"/>
          <w:szCs w:val="16"/>
        </w:rPr>
        <w:footnoteRef/>
      </w:r>
      <w:r w:rsidRPr="00281350">
        <w:rPr>
          <w:sz w:val="16"/>
          <w:szCs w:val="16"/>
        </w:rPr>
        <w:t xml:space="preserve"> Zhang, T., </w:t>
      </w:r>
      <w:r w:rsidRPr="00281350">
        <w:rPr>
          <w:sz w:val="16"/>
          <w:szCs w:val="16"/>
        </w:rPr>
        <w:t>Hajiseyedjavadi</w:t>
      </w:r>
      <w:r w:rsidRPr="00281350">
        <w:rPr>
          <w:sz w:val="16"/>
          <w:szCs w:val="16"/>
        </w:rPr>
        <w:t xml:space="preserve">, F., Wang, Y., Samuel, S., Qu, X., &amp; Fisher, D. (2018). Training interventions are only effective on careful drivers, not careless drivers. </w:t>
      </w:r>
      <w:r w:rsidRPr="00281350">
        <w:rPr>
          <w:i/>
          <w:iCs/>
          <w:sz w:val="16"/>
          <w:szCs w:val="16"/>
        </w:rPr>
        <w:t>Transportation Research Part F (58)</w:t>
      </w:r>
      <w:r w:rsidRPr="00281350">
        <w:rPr>
          <w:sz w:val="16"/>
          <w:szCs w:val="16"/>
        </w:rPr>
        <w:t>, 693-707.</w:t>
      </w:r>
      <w:r w:rsidRPr="00281350" w:rsidR="009E0429">
        <w:rPr>
          <w:sz w:val="16"/>
          <w:szCs w:val="16"/>
        </w:rPr>
        <w:t xml:space="preserve"> </w:t>
      </w:r>
      <w:hyperlink r:id="rId18" w:history="1">
        <w:r w:rsidRPr="00281350" w:rsidR="009E0429">
          <w:rPr>
            <w:rStyle w:val="Hyperlink"/>
            <w:sz w:val="16"/>
            <w:szCs w:val="16"/>
          </w:rPr>
          <w:t>https://doi.org/10.1016/j.trf.2018.07.004</w:t>
        </w:r>
      </w:hyperlink>
    </w:p>
  </w:footnote>
  <w:footnote w:id="22">
    <w:p w:rsidR="00A54CE8" w:rsidRPr="00281350" w14:paraId="17318326" w14:textId="13A6DB8B">
      <w:pPr>
        <w:pStyle w:val="FootnoteText"/>
        <w:rPr>
          <w:sz w:val="16"/>
          <w:szCs w:val="16"/>
        </w:rPr>
      </w:pPr>
      <w:r w:rsidRPr="00281350">
        <w:rPr>
          <w:rStyle w:val="FootnoteReference"/>
          <w:sz w:val="16"/>
          <w:szCs w:val="16"/>
        </w:rPr>
        <w:footnoteRef/>
      </w:r>
      <w:r w:rsidRPr="00281350">
        <w:rPr>
          <w:sz w:val="16"/>
          <w:szCs w:val="16"/>
        </w:rPr>
        <w:t xml:space="preserve"> </w:t>
      </w:r>
      <w:r w:rsidRPr="00281350">
        <w:rPr>
          <w:noProof/>
          <w:sz w:val="16"/>
          <w:szCs w:val="16"/>
        </w:rPr>
        <w:t xml:space="preserve">Fisher, D., Pradhan, A., Pollatsek, A., &amp; Knodler, A. (2007). Empirical evaluation of hazard anticipation behaviors in the field and on driving simulator using eye tracker. </w:t>
      </w:r>
      <w:r w:rsidRPr="00281350">
        <w:rPr>
          <w:i/>
          <w:iCs/>
          <w:noProof/>
          <w:sz w:val="16"/>
          <w:szCs w:val="16"/>
        </w:rPr>
        <w:t>Transportation Research Record, 2018</w:t>
      </w:r>
      <w:r w:rsidRPr="00281350">
        <w:rPr>
          <w:noProof/>
          <w:sz w:val="16"/>
          <w:szCs w:val="16"/>
        </w:rPr>
        <w:t>, 80-86.</w:t>
      </w:r>
      <w:r w:rsidRPr="00281350" w:rsidR="008E4609">
        <w:rPr>
          <w:noProof/>
          <w:sz w:val="16"/>
          <w:szCs w:val="16"/>
        </w:rPr>
        <w:t xml:space="preserve"> </w:t>
      </w:r>
      <w:hyperlink r:id="rId19" w:history="1">
        <w:r w:rsidRPr="00281350" w:rsidR="008E4609">
          <w:rPr>
            <w:rStyle w:val="Hyperlink"/>
            <w:noProof/>
            <w:sz w:val="16"/>
            <w:szCs w:val="16"/>
          </w:rPr>
          <w:t>https://doi.org/10.3141/2018-1</w:t>
        </w:r>
      </w:hyperlink>
      <w:r w:rsidRPr="00281350" w:rsidR="008E4609">
        <w:rPr>
          <w:noProof/>
          <w:sz w:val="16"/>
          <w:szCs w:val="16"/>
        </w:rPr>
        <w:t xml:space="preserve"> </w:t>
      </w:r>
    </w:p>
  </w:footnote>
  <w:footnote w:id="23">
    <w:p w:rsidR="00804430" w:rsidRPr="00281350" w:rsidP="00804430" w14:paraId="0A35A829" w14:textId="5A7CC0CB">
      <w:pPr>
        <w:pStyle w:val="FootnoteText"/>
        <w:rPr>
          <w:sz w:val="16"/>
          <w:szCs w:val="16"/>
        </w:rPr>
      </w:pPr>
      <w:r w:rsidRPr="00281350">
        <w:rPr>
          <w:rStyle w:val="FootnoteReference"/>
          <w:sz w:val="16"/>
          <w:szCs w:val="16"/>
        </w:rPr>
        <w:footnoteRef/>
      </w:r>
      <w:r w:rsidRPr="00281350">
        <w:rPr>
          <w:sz w:val="16"/>
          <w:szCs w:val="16"/>
        </w:rPr>
        <w:t xml:space="preserve"> Epstein, J., Garner, A., </w:t>
      </w:r>
      <w:r w:rsidRPr="00281350">
        <w:rPr>
          <w:sz w:val="16"/>
          <w:szCs w:val="16"/>
        </w:rPr>
        <w:t>Keifer</w:t>
      </w:r>
      <w:r w:rsidRPr="00281350">
        <w:rPr>
          <w:sz w:val="16"/>
          <w:szCs w:val="16"/>
        </w:rPr>
        <w:t xml:space="preserve">, A., </w:t>
      </w:r>
      <w:r w:rsidRPr="00281350">
        <w:rPr>
          <w:sz w:val="16"/>
          <w:szCs w:val="16"/>
        </w:rPr>
        <w:t>Peugh</w:t>
      </w:r>
      <w:r w:rsidRPr="00281350">
        <w:rPr>
          <w:sz w:val="16"/>
          <w:szCs w:val="16"/>
        </w:rPr>
        <w:t xml:space="preserve">, J., Tamm, L., MacPherson, R., Simon, J., &amp; Fisher, D. (2022). Trial of training to reduce driver inattention in teens with ADHD. </w:t>
      </w:r>
      <w:r w:rsidRPr="00281350">
        <w:rPr>
          <w:i/>
          <w:iCs/>
          <w:sz w:val="16"/>
          <w:szCs w:val="16"/>
        </w:rPr>
        <w:t>New England Journal of Medicine (387)</w:t>
      </w:r>
      <w:r w:rsidRPr="00281350">
        <w:rPr>
          <w:sz w:val="16"/>
          <w:szCs w:val="16"/>
        </w:rPr>
        <w:t>, 2056-2066.</w:t>
      </w:r>
      <w:r w:rsidRPr="00281350" w:rsidR="008E4609">
        <w:rPr>
          <w:sz w:val="16"/>
          <w:szCs w:val="16"/>
        </w:rPr>
        <w:t xml:space="preserve"> </w:t>
      </w:r>
      <w:hyperlink r:id="rId20" w:history="1">
        <w:r w:rsidRPr="00281350" w:rsidR="008E4609">
          <w:rPr>
            <w:rStyle w:val="Hyperlink"/>
            <w:sz w:val="16"/>
            <w:szCs w:val="16"/>
          </w:rPr>
          <w:t>https://doi.org/10.1056/NEJMoa2204783</w:t>
        </w:r>
      </w:hyperlink>
      <w:r w:rsidRPr="00281350" w:rsidR="008E4609">
        <w:rPr>
          <w:sz w:val="16"/>
          <w:szCs w:val="16"/>
        </w:rPr>
        <w:t xml:space="preserve">  </w:t>
      </w:r>
    </w:p>
  </w:footnote>
  <w:footnote w:id="24">
    <w:p w:rsidR="00664785" w:rsidRPr="00281350" w:rsidP="0040539A" w14:paraId="3D1E82D9" w14:textId="77777777">
      <w:pPr>
        <w:pStyle w:val="FootnoteText"/>
        <w:rPr>
          <w:sz w:val="16"/>
          <w:szCs w:val="16"/>
        </w:rPr>
      </w:pPr>
      <w:r w:rsidRPr="00281350">
        <w:rPr>
          <w:rStyle w:val="FootnoteReference"/>
          <w:sz w:val="16"/>
          <w:szCs w:val="16"/>
        </w:rPr>
        <w:footnoteRef/>
      </w:r>
      <w:r w:rsidRPr="00281350">
        <w:rPr>
          <w:sz w:val="16"/>
          <w:szCs w:val="16"/>
        </w:rPr>
        <w:t xml:space="preserve"> Fatality Analysis Reporting System (FARS): 2017-2020 Final File and 2021 Annual Report File (ARF)</w:t>
      </w:r>
    </w:p>
  </w:footnote>
  <w:footnote w:id="25">
    <w:p w:rsidR="00664785" w:rsidRPr="00281350" w:rsidP="0040539A" w14:paraId="568EA542" w14:textId="23685126">
      <w:pPr>
        <w:pStyle w:val="FootnoteText"/>
        <w:rPr>
          <w:sz w:val="16"/>
          <w:szCs w:val="16"/>
        </w:rPr>
      </w:pPr>
      <w:r w:rsidRPr="00281350">
        <w:rPr>
          <w:rStyle w:val="FootnoteReference"/>
          <w:sz w:val="16"/>
          <w:szCs w:val="16"/>
        </w:rPr>
        <w:footnoteRef/>
      </w:r>
      <w:r w:rsidRPr="00281350">
        <w:rPr>
          <w:sz w:val="16"/>
          <w:szCs w:val="16"/>
        </w:rPr>
        <w:t xml:space="preserve"> Crash Report Sampling System (CRSS): 2017-2021</w:t>
      </w:r>
    </w:p>
  </w:footnote>
  <w:footnote w:id="26">
    <w:p w:rsidR="00AE1127" w:rsidRPr="00281350" w14:paraId="6A5FA1A3" w14:textId="4D8686E7">
      <w:pPr>
        <w:pStyle w:val="FootnoteText"/>
        <w:rPr>
          <w:sz w:val="16"/>
          <w:szCs w:val="16"/>
        </w:rPr>
      </w:pPr>
      <w:r w:rsidRPr="00281350">
        <w:rPr>
          <w:rStyle w:val="FootnoteReference"/>
          <w:sz w:val="16"/>
          <w:szCs w:val="16"/>
        </w:rPr>
        <w:footnoteRef/>
      </w:r>
      <w:r w:rsidRPr="00281350">
        <w:rPr>
          <w:sz w:val="16"/>
          <w:szCs w:val="16"/>
        </w:rPr>
        <w:t xml:space="preserve"> </w:t>
      </w:r>
      <w:r w:rsidRPr="00281350">
        <w:rPr>
          <w:noProof/>
          <w:sz w:val="16"/>
          <w:szCs w:val="16"/>
        </w:rPr>
        <w:t xml:space="preserve">Flood, S., King, M., Rodgers, R., Ruggles, S., Warren, R., Backman, D., Chen, A., Cooper, G., Richards, S., Schouweiler, M., &amp; Westberry, M. (2023). </w:t>
      </w:r>
      <w:r w:rsidRPr="00281350">
        <w:rPr>
          <w:i/>
          <w:iCs/>
          <w:noProof/>
          <w:sz w:val="16"/>
          <w:szCs w:val="16"/>
        </w:rPr>
        <w:t>IPUMS CPS: Version 11.0 [dataset]</w:t>
      </w:r>
      <w:r w:rsidRPr="00281350">
        <w:rPr>
          <w:noProof/>
          <w:sz w:val="16"/>
          <w:szCs w:val="16"/>
        </w:rPr>
        <w:t>. IPUMS.</w:t>
      </w:r>
      <w:r w:rsidRPr="00281350" w:rsidR="008E4609">
        <w:rPr>
          <w:noProof/>
          <w:sz w:val="16"/>
          <w:szCs w:val="16"/>
        </w:rPr>
        <w:t xml:space="preserve"> </w:t>
      </w:r>
      <w:hyperlink r:id="rId21" w:history="1">
        <w:r w:rsidRPr="00281350" w:rsidR="008E4609">
          <w:rPr>
            <w:rStyle w:val="Hyperlink"/>
            <w:noProof/>
            <w:sz w:val="16"/>
            <w:szCs w:val="16"/>
          </w:rPr>
          <w:t>https://www.ipums.org/projects/ipums-cps/d030.V11.0</w:t>
        </w:r>
      </w:hyperlink>
      <w:r w:rsidRPr="00281350" w:rsidR="008E4609">
        <w:rPr>
          <w:noProof/>
          <w:sz w:val="16"/>
          <w:szCs w:val="16"/>
        </w:rPr>
        <w:t xml:space="preserve"> </w:t>
      </w:r>
    </w:p>
  </w:footnote>
  <w:footnote w:id="27">
    <w:p w:rsidR="00AE1127" w:rsidRPr="00281350" w14:paraId="7CE0AFC0" w14:textId="271676C4">
      <w:pPr>
        <w:pStyle w:val="FootnoteText"/>
        <w:rPr>
          <w:sz w:val="16"/>
          <w:szCs w:val="16"/>
        </w:rPr>
      </w:pPr>
      <w:r w:rsidRPr="00281350">
        <w:rPr>
          <w:rStyle w:val="FootnoteReference"/>
          <w:sz w:val="16"/>
          <w:szCs w:val="16"/>
        </w:rPr>
        <w:footnoteRef/>
      </w:r>
      <w:r w:rsidRPr="00281350">
        <w:rPr>
          <w:sz w:val="16"/>
          <w:szCs w:val="16"/>
        </w:rPr>
        <w:t xml:space="preserve"> </w:t>
      </w:r>
      <w:r w:rsidRPr="00281350">
        <w:rPr>
          <w:noProof/>
          <w:sz w:val="16"/>
          <w:szCs w:val="16"/>
        </w:rPr>
        <w:t>Bureau of Labor Statistics. (2024). Employer costs for employee compensation for the regions – December 2023.</w:t>
      </w:r>
      <w:r w:rsidRPr="00281350" w:rsidR="008E4609">
        <w:rPr>
          <w:noProof/>
          <w:sz w:val="16"/>
          <w:szCs w:val="16"/>
        </w:rPr>
        <w:t xml:space="preserve"> </w:t>
      </w:r>
      <w:hyperlink r:id="rId22" w:history="1">
        <w:r w:rsidRPr="00281350" w:rsidR="008E4609">
          <w:rPr>
            <w:rStyle w:val="Hyperlink"/>
            <w:noProof/>
            <w:sz w:val="16"/>
            <w:szCs w:val="16"/>
          </w:rPr>
          <w:t>https://www.bls.gov/regions/southwest/news-release/2024/employercostsforemployeecompensation_regions_20240313.htm</w:t>
        </w:r>
      </w:hyperlink>
      <w:r w:rsidRPr="00281350" w:rsidR="008E4609">
        <w:rPr>
          <w:noProof/>
          <w:sz w:val="16"/>
          <w:szCs w:val="16"/>
        </w:rPr>
        <w:t xml:space="preserve"> </w:t>
      </w:r>
    </w:p>
  </w:footnote>
  <w:footnote w:id="28">
    <w:p w:rsidR="00664785" w:rsidRPr="00281350" w:rsidP="00E77572" w14:paraId="01596078" w14:textId="571BB1EC">
      <w:pPr>
        <w:pStyle w:val="FootnoteText"/>
        <w:rPr>
          <w:sz w:val="16"/>
          <w:szCs w:val="16"/>
        </w:rPr>
      </w:pPr>
      <w:r w:rsidRPr="00281350">
        <w:rPr>
          <w:rStyle w:val="FootnoteReference"/>
          <w:sz w:val="16"/>
          <w:szCs w:val="16"/>
        </w:rPr>
        <w:footnoteRef/>
      </w:r>
      <w:r w:rsidRPr="00281350">
        <w:rPr>
          <w:sz w:val="16"/>
          <w:szCs w:val="16"/>
        </w:rPr>
        <w:t xml:space="preserve"> See </w:t>
      </w:r>
      <w:hyperlink r:id="rId23" w:history="1">
        <w:r w:rsidRPr="00281350" w:rsidR="001B042D">
          <w:rPr>
            <w:rStyle w:val="Hyperlink"/>
            <w:sz w:val="16"/>
            <w:szCs w:val="16"/>
          </w:rPr>
          <w:t>https://www.lyft.com/pricing/BOS</w:t>
        </w:r>
      </w:hyperlink>
      <w:r w:rsidRPr="00281350" w:rsidR="001B042D">
        <w:rPr>
          <w:sz w:val="16"/>
          <w:szCs w:val="16"/>
        </w:rPr>
        <w:t xml:space="preserve"> </w:t>
      </w:r>
    </w:p>
  </w:footnote>
  <w:footnote w:id="29">
    <w:p w:rsidR="009E6686" w:rsidRPr="00281350" w:rsidP="009E6686" w14:paraId="2E3ECCB8" w14:textId="2948D1E4">
      <w:pPr>
        <w:pStyle w:val="FootnoteText"/>
        <w:rPr>
          <w:sz w:val="16"/>
          <w:szCs w:val="16"/>
        </w:rPr>
      </w:pPr>
      <w:r w:rsidRPr="00281350">
        <w:rPr>
          <w:rStyle w:val="FootnoteReference"/>
          <w:sz w:val="16"/>
          <w:szCs w:val="16"/>
        </w:rPr>
        <w:footnoteRef/>
      </w:r>
      <w:r w:rsidRPr="00281350">
        <w:rPr>
          <w:sz w:val="16"/>
          <w:szCs w:val="16"/>
        </w:rPr>
        <w:t xml:space="preserve"> </w:t>
      </w:r>
      <w:r w:rsidRPr="00281350">
        <w:rPr>
          <w:noProof/>
          <w:sz w:val="16"/>
          <w:szCs w:val="16"/>
        </w:rPr>
        <w:t xml:space="preserve">National Highway Traffic Safety Administration. (2022). </w:t>
      </w:r>
      <w:r w:rsidRPr="00281350">
        <w:rPr>
          <w:i/>
          <w:iCs/>
          <w:noProof/>
          <w:sz w:val="16"/>
          <w:szCs w:val="16"/>
        </w:rPr>
        <w:t xml:space="preserve">Agency information collection: Notice and request for comment: Drivers' knowledge/correct use of new technology features in passenger vehicles. </w:t>
      </w:r>
      <w:r w:rsidRPr="00281350">
        <w:rPr>
          <w:noProof/>
          <w:sz w:val="16"/>
          <w:szCs w:val="16"/>
        </w:rPr>
        <w:t>Federal Register, 138 ed., vol. 87.</w:t>
      </w:r>
      <w:r w:rsidRPr="00281350" w:rsidR="008E4609">
        <w:rPr>
          <w:noProof/>
          <w:sz w:val="16"/>
          <w:szCs w:val="16"/>
        </w:rPr>
        <w:t xml:space="preserve"> </w:t>
      </w:r>
      <w:hyperlink r:id="rId24" w:history="1">
        <w:r w:rsidRPr="00281350" w:rsidR="008E4609">
          <w:rPr>
            <w:rStyle w:val="Hyperlink"/>
            <w:noProof/>
            <w:sz w:val="16"/>
            <w:szCs w:val="16"/>
          </w:rPr>
          <w:t>https://www.federalregister.gov/d/2022-15408</w:t>
        </w:r>
      </w:hyperlink>
      <w:r w:rsidRPr="00281350" w:rsidR="008E4609">
        <w:rPr>
          <w:noProof/>
          <w:sz w:val="16"/>
          <w:szCs w:val="16"/>
        </w:rPr>
        <w:t xml:space="preserve"> </w:t>
      </w:r>
    </w:p>
  </w:footnote>
  <w:footnote w:id="30">
    <w:p w:rsidR="00DE78CE" w:rsidRPr="00281350" w14:paraId="616B9060" w14:textId="5D6304D0">
      <w:pPr>
        <w:pStyle w:val="FootnoteText"/>
        <w:rPr>
          <w:sz w:val="16"/>
          <w:szCs w:val="16"/>
        </w:rPr>
      </w:pPr>
      <w:r w:rsidRPr="00281350">
        <w:rPr>
          <w:rStyle w:val="FootnoteReference"/>
          <w:sz w:val="16"/>
          <w:szCs w:val="16"/>
        </w:rPr>
        <w:footnoteRef/>
      </w:r>
      <w:r w:rsidRPr="00281350">
        <w:rPr>
          <w:sz w:val="16"/>
          <w:szCs w:val="16"/>
        </w:rPr>
        <w:t xml:space="preserve"> </w:t>
      </w:r>
      <w:r w:rsidRPr="00281350">
        <w:rPr>
          <w:noProof/>
          <w:sz w:val="16"/>
          <w:szCs w:val="16"/>
        </w:rPr>
        <w:t xml:space="preserve">Arnett, J. (n.d.) </w:t>
      </w:r>
      <w:r w:rsidRPr="00281350">
        <w:rPr>
          <w:i/>
          <w:iCs/>
          <w:noProof/>
          <w:sz w:val="16"/>
          <w:szCs w:val="16"/>
        </w:rPr>
        <w:t>Arnett Inventory Sensation Seeking (AISS).</w:t>
      </w:r>
      <w:r w:rsidRPr="00281350">
        <w:rPr>
          <w:noProof/>
          <w:sz w:val="16"/>
          <w:szCs w:val="16"/>
        </w:rPr>
        <w:t xml:space="preserve"> </w:t>
      </w:r>
      <w:hyperlink r:id="rId25" w:history="1">
        <w:r w:rsidRPr="00281350">
          <w:rPr>
            <w:rStyle w:val="Hyperlink"/>
            <w:noProof/>
            <w:sz w:val="16"/>
            <w:szCs w:val="16"/>
          </w:rPr>
          <w:t>https://sjdm.org/dmidi/Arnett_Inventory_of_Sensation_Seeking.html</w:t>
        </w:r>
      </w:hyperlink>
    </w:p>
  </w:footnote>
  <w:footnote w:id="31">
    <w:p w:rsidR="00DE78CE" w:rsidRPr="00281350" w14:paraId="605D8A51" w14:textId="4F7F300B">
      <w:pPr>
        <w:pStyle w:val="FootnoteText"/>
        <w:rPr>
          <w:sz w:val="16"/>
          <w:szCs w:val="16"/>
        </w:rPr>
      </w:pPr>
      <w:r w:rsidRPr="00281350">
        <w:rPr>
          <w:rStyle w:val="FootnoteReference"/>
          <w:sz w:val="16"/>
          <w:szCs w:val="16"/>
        </w:rPr>
        <w:footnoteRef/>
      </w:r>
      <w:r w:rsidRPr="00281350">
        <w:rPr>
          <w:sz w:val="16"/>
          <w:szCs w:val="16"/>
        </w:rPr>
        <w:t xml:space="preserve"> </w:t>
      </w:r>
      <w:r w:rsidRPr="00281350">
        <w:rPr>
          <w:noProof/>
          <w:sz w:val="16"/>
          <w:szCs w:val="16"/>
        </w:rPr>
        <w:t xml:space="preserve">Buss, A. &amp; Perry, M. (n.d.) </w:t>
      </w:r>
      <w:r w:rsidRPr="00281350">
        <w:rPr>
          <w:i/>
          <w:iCs/>
          <w:noProof/>
          <w:sz w:val="16"/>
          <w:szCs w:val="16"/>
        </w:rPr>
        <w:t>Buss Perry Aggression Questionnaire (BPAQ)</w:t>
      </w:r>
      <w:r w:rsidRPr="00281350">
        <w:rPr>
          <w:noProof/>
          <w:sz w:val="16"/>
          <w:szCs w:val="16"/>
        </w:rPr>
        <w:t xml:space="preserve">. </w:t>
      </w:r>
      <w:hyperlink r:id="rId26" w:history="1">
        <w:r w:rsidRPr="00281350">
          <w:rPr>
            <w:rStyle w:val="Hyperlink"/>
            <w:noProof/>
            <w:sz w:val="16"/>
            <w:szCs w:val="16"/>
          </w:rPr>
          <w:t>https://psychology-tools.com/test/buss-perry-aggression-questionnaire</w:t>
        </w:r>
      </w:hyperlink>
    </w:p>
  </w:footnote>
  <w:footnote w:id="32">
    <w:p w:rsidR="00664785" w:rsidRPr="00281350" w14:paraId="0FE9E54C" w14:textId="7AAE54BA">
      <w:pPr>
        <w:pStyle w:val="FootnoteText"/>
        <w:rPr>
          <w:sz w:val="16"/>
          <w:szCs w:val="16"/>
        </w:rPr>
      </w:pPr>
      <w:r w:rsidRPr="00281350">
        <w:rPr>
          <w:rStyle w:val="FootnoteReference"/>
          <w:sz w:val="16"/>
          <w:szCs w:val="16"/>
        </w:rPr>
        <w:footnoteRef/>
      </w:r>
      <w:r w:rsidRPr="00281350">
        <w:rPr>
          <w:sz w:val="16"/>
          <w:szCs w:val="16"/>
        </w:rPr>
        <w:t xml:space="preserve"> U.S. Bureau of Labor Statistics. (2024, April 3). May 2023 National Occupational Employment and Wage Estimates. U.S. Bureau of Labor Statistics. </w:t>
      </w:r>
      <w:hyperlink r:id="rId27" w:anchor="00-0000" w:history="1">
        <w:r w:rsidRPr="00281350" w:rsidR="00D13674">
          <w:rPr>
            <w:rStyle w:val="Hyperlink"/>
            <w:sz w:val="16"/>
            <w:szCs w:val="16"/>
          </w:rPr>
          <w:t>https://www.bls.gov/oes/current/oes_nat.htm#00-0000</w:t>
        </w:r>
      </w:hyperlink>
      <w:r w:rsidRPr="00281350" w:rsidR="00D13674">
        <w:rPr>
          <w:sz w:val="16"/>
          <w:szCs w:val="16"/>
        </w:rPr>
        <w:t xml:space="preserve"> </w:t>
      </w:r>
    </w:p>
  </w:footnote>
  <w:footnote w:id="33">
    <w:p w:rsidR="00664785" w:rsidRPr="00281350" w14:paraId="6CD8F9FF" w14:textId="75E7C2C9">
      <w:pPr>
        <w:pStyle w:val="FootnoteText"/>
        <w:rPr>
          <w:sz w:val="16"/>
          <w:szCs w:val="16"/>
        </w:rPr>
      </w:pPr>
      <w:r w:rsidRPr="00281350">
        <w:rPr>
          <w:rStyle w:val="FootnoteReference"/>
          <w:sz w:val="16"/>
          <w:szCs w:val="16"/>
        </w:rPr>
        <w:footnoteRef/>
      </w:r>
      <w:r w:rsidRPr="00281350">
        <w:rPr>
          <w:sz w:val="16"/>
          <w:szCs w:val="16"/>
        </w:rPr>
        <w:t xml:space="preserve"> </w:t>
      </w:r>
      <w:hyperlink r:id="rId28" w:history="1">
        <w:r w:rsidRPr="00281350" w:rsidR="00D13674">
          <w:rPr>
            <w:rStyle w:val="Hyperlink"/>
            <w:sz w:val="16"/>
            <w:szCs w:val="16"/>
          </w:rPr>
          <w:t>https://pra.digital.gov/burden/estimation/</w:t>
        </w:r>
      </w:hyperlink>
      <w:r w:rsidRPr="00281350" w:rsidR="00D13674">
        <w:rPr>
          <w:sz w:val="16"/>
          <w:szCs w:val="16"/>
        </w:rPr>
        <w:t xml:space="preserve"> </w:t>
      </w:r>
    </w:p>
  </w:footnote>
  <w:footnote w:id="34">
    <w:p w:rsidR="00121D18" w:rsidRPr="00281350" w:rsidP="00121D18" w14:paraId="13D340B3" w14:textId="4CF9BFB9">
      <w:pPr>
        <w:pStyle w:val="FootnoteText"/>
        <w:rPr>
          <w:sz w:val="16"/>
          <w:szCs w:val="16"/>
        </w:rPr>
      </w:pPr>
      <w:r w:rsidRPr="00281350">
        <w:rPr>
          <w:rStyle w:val="FootnoteReference"/>
          <w:sz w:val="16"/>
          <w:szCs w:val="16"/>
        </w:rPr>
        <w:footnoteRef/>
      </w:r>
      <w:r w:rsidRPr="00281350">
        <w:rPr>
          <w:sz w:val="16"/>
          <w:szCs w:val="16"/>
        </w:rPr>
        <w:t xml:space="preserve"> Office of Personnel Management, Salary Table 2024-DCB, </w:t>
      </w:r>
      <w:hyperlink r:id="rId29" w:history="1">
        <w:r w:rsidRPr="00281350">
          <w:rPr>
            <w:rStyle w:val="Hyperlink"/>
            <w:sz w:val="16"/>
            <w:szCs w:val="16"/>
          </w:rPr>
          <w:t>https://www.opm.gov/policy-data-oversight/pay-leave/salaries-wages/salary-tables/24Tables/html/DCB_h.aspx</w:t>
        </w:r>
      </w:hyperlink>
      <w:r w:rsidRPr="0028135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66D9" w:rsidP="00515D20" w14:paraId="78E33982" w14:textId="72EA54F1">
    <w:pPr>
      <w:pStyle w:val="Header"/>
      <w:spacing w:after="0"/>
      <w:jc w:val="right"/>
      <w:rPr>
        <w:bCs/>
      </w:rPr>
    </w:pPr>
    <w:r>
      <w:rPr>
        <w:bCs/>
      </w:rPr>
      <w:t>Factors That Influence Effectiveness</w:t>
    </w:r>
  </w:p>
  <w:p w:rsidR="00A63992" w:rsidRPr="00A63992" w:rsidP="00515D20" w14:paraId="27BD9952" w14:textId="07E73B18">
    <w:pPr>
      <w:pStyle w:val="Header"/>
      <w:spacing w:after="0"/>
      <w:jc w:val="right"/>
      <w:rPr>
        <w:bCs/>
      </w:rPr>
    </w:pPr>
    <w:r>
      <w:rPr>
        <w:bCs/>
      </w:rPr>
      <w:t>ICR Part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992" w:rsidP="00515D20" w14:paraId="395903FE" w14:textId="75C9F104">
    <w:pPr>
      <w:pStyle w:val="Header"/>
      <w:tabs>
        <w:tab w:val="clear" w:pos="4680"/>
        <w:tab w:val="clear" w:pos="9360"/>
      </w:tabs>
      <w:spacing w:after="0"/>
      <w:jc w:val="right"/>
    </w:pPr>
    <w:r>
      <w:tab/>
      <w:t>Factors That Influence Effectiveness</w:t>
    </w:r>
  </w:p>
  <w:p w:rsidR="00A63992" w:rsidP="00515D20" w14:paraId="6A3A2BEA" w14:textId="73E4302D">
    <w:pPr>
      <w:pStyle w:val="Header"/>
      <w:tabs>
        <w:tab w:val="clear" w:pos="4680"/>
        <w:tab w:val="clear" w:pos="9360"/>
      </w:tabs>
      <w:spacing w:after="0"/>
      <w:jc w:val="right"/>
    </w:pPr>
    <w:r>
      <w:t xml:space="preserve">ICR Part </w:t>
    </w:r>
    <w:r w:rsidR="003B0AEA">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singleLevel"/>
    <w:tmpl w:val="86446D58"/>
    <w:name w:val="WW8Num9"/>
    <w:lvl w:ilvl="0">
      <w:start w:val="1"/>
      <w:numFmt w:val="decimal"/>
      <w:pStyle w:val="Table"/>
      <w:lvlText w:val="Table %1."/>
      <w:lvlJc w:val="left"/>
      <w:pPr>
        <w:tabs>
          <w:tab w:val="num" w:pos="1440"/>
        </w:tabs>
        <w:ind w:left="720" w:hanging="360"/>
      </w:pPr>
      <w:rPr>
        <w:rFonts w:ascii="Times New Roman" w:hAnsi="Times New Roman" w:cs="Times New Roman" w:hint="default"/>
        <w:b/>
        <w:i w:val="0"/>
        <w:sz w:val="24"/>
      </w:rPr>
    </w:lvl>
  </w:abstractNum>
  <w:abstractNum w:abstractNumId="1">
    <w:nsid w:val="02BF07EE"/>
    <w:multiLevelType w:val="hybridMultilevel"/>
    <w:tmpl w:val="E2D0CB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B66092"/>
    <w:multiLevelType w:val="hybridMultilevel"/>
    <w:tmpl w:val="15607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4F49A0"/>
    <w:multiLevelType w:val="hybridMultilevel"/>
    <w:tmpl w:val="6D803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A90CE0"/>
    <w:multiLevelType w:val="hybridMultilevel"/>
    <w:tmpl w:val="50B817A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E5E5794"/>
    <w:multiLevelType w:val="hybridMultilevel"/>
    <w:tmpl w:val="2B5849D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B609D5"/>
    <w:multiLevelType w:val="hybridMultilevel"/>
    <w:tmpl w:val="C78003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06365E"/>
    <w:multiLevelType w:val="hybridMultilevel"/>
    <w:tmpl w:val="D86075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6D3FFD"/>
    <w:multiLevelType w:val="hybridMultilevel"/>
    <w:tmpl w:val="08842600"/>
    <w:lvl w:ilvl="0">
      <w:start w:val="2"/>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EB7906"/>
    <w:multiLevelType w:val="hybridMultilevel"/>
    <w:tmpl w:val="540E081E"/>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10">
    <w:nsid w:val="1E863FAE"/>
    <w:multiLevelType w:val="hybridMultilevel"/>
    <w:tmpl w:val="5CF6C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D63827"/>
    <w:multiLevelType w:val="hybridMultilevel"/>
    <w:tmpl w:val="08C48A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03D7B13"/>
    <w:multiLevelType w:val="hybridMultilevel"/>
    <w:tmpl w:val="D760F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A61BC7"/>
    <w:multiLevelType w:val="hybridMultilevel"/>
    <w:tmpl w:val="CA9EA11C"/>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21CA75C0"/>
    <w:multiLevelType w:val="hybridMultilevel"/>
    <w:tmpl w:val="4112E3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4940D0"/>
    <w:multiLevelType w:val="hybridMultilevel"/>
    <w:tmpl w:val="34D418C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69A1AB5"/>
    <w:multiLevelType w:val="hybridMultilevel"/>
    <w:tmpl w:val="0B725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175096"/>
    <w:multiLevelType w:val="hybridMultilevel"/>
    <w:tmpl w:val="897612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DC4C0A"/>
    <w:multiLevelType w:val="multilevel"/>
    <w:tmpl w:val="760E768E"/>
    <w:lvl w:ilvl="0">
      <w:start w:val="1"/>
      <w:numFmt w:val="decimal"/>
      <w:lvlText w:val="%1."/>
      <w:lvlJc w:val="left"/>
      <w:pPr>
        <w:ind w:left="540" w:hanging="360"/>
      </w:pPr>
    </w:lvl>
    <w:lvl w:ilvl="1">
      <w:start w:val="1"/>
      <w:numFmt w:val="decimal"/>
      <w:lvlText w:val="%1.%2"/>
      <w:lvlJc w:val="left"/>
      <w:pPr>
        <w:ind w:left="756" w:hanging="576"/>
      </w:pPr>
    </w:lvl>
    <w:lvl w:ilvl="2">
      <w:start w:val="1"/>
      <w:numFmt w:val="decimal"/>
      <w:lvlText w:val="%1.%2.%3"/>
      <w:lvlJc w:val="left"/>
      <w:pPr>
        <w:ind w:left="900" w:hanging="720"/>
      </w:p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19">
    <w:nsid w:val="2C7F3854"/>
    <w:multiLevelType w:val="hybridMultilevel"/>
    <w:tmpl w:val="4D541F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E3D25C1"/>
    <w:multiLevelType w:val="hybridMultilevel"/>
    <w:tmpl w:val="07E8B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018538D"/>
    <w:multiLevelType w:val="hybridMultilevel"/>
    <w:tmpl w:val="88A6A96A"/>
    <w:lvl w:ilvl="0">
      <w:start w:val="1"/>
      <w:numFmt w:val="decimal"/>
      <w:pStyle w:val="Heading1"/>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183287C"/>
    <w:multiLevelType w:val="hybridMultilevel"/>
    <w:tmpl w:val="A720F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32F48AA"/>
    <w:multiLevelType w:val="hybridMultilevel"/>
    <w:tmpl w:val="B00C5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8E44A37"/>
    <w:multiLevelType w:val="hybridMultilevel"/>
    <w:tmpl w:val="12CA3754"/>
    <w:lvl w:ilvl="0">
      <w:start w:val="1"/>
      <w:numFmt w:val="decimal"/>
      <w:pStyle w:val="Heading2"/>
      <w:lvlText w:val="A%1.2"/>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BE63286"/>
    <w:multiLevelType w:val="hybridMultilevel"/>
    <w:tmpl w:val="FC5CD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743FD6"/>
    <w:multiLevelType w:val="hybridMultilevel"/>
    <w:tmpl w:val="70CEF9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7E5140"/>
    <w:multiLevelType w:val="hybridMultilevel"/>
    <w:tmpl w:val="90BAB1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6D0BD3"/>
    <w:multiLevelType w:val="hybridMultilevel"/>
    <w:tmpl w:val="F73EA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5EB158A"/>
    <w:multiLevelType w:val="hybridMultilevel"/>
    <w:tmpl w:val="EA3C9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7E843B4"/>
    <w:multiLevelType w:val="hybridMultilevel"/>
    <w:tmpl w:val="4A5642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95F035C"/>
    <w:multiLevelType w:val="hybridMultilevel"/>
    <w:tmpl w:val="079A1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AA8482A"/>
    <w:multiLevelType w:val="hybridMultilevel"/>
    <w:tmpl w:val="53C64A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17D71BB"/>
    <w:multiLevelType w:val="hybridMultilevel"/>
    <w:tmpl w:val="B7604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1A447C"/>
    <w:multiLevelType w:val="hybridMultilevel"/>
    <w:tmpl w:val="194003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33D14A6"/>
    <w:multiLevelType w:val="hybridMultilevel"/>
    <w:tmpl w:val="8D3A6F1C"/>
    <w:lvl w:ilvl="0">
      <w:start w:val="0"/>
      <w:numFmt w:val="bullet"/>
      <w:lvlText w:val=""/>
      <w:lvlJc w:val="left"/>
      <w:pPr>
        <w:tabs>
          <w:tab w:val="num" w:pos="1080"/>
        </w:tabs>
        <w:ind w:left="1080" w:hanging="72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66479D6"/>
    <w:multiLevelType w:val="hybridMultilevel"/>
    <w:tmpl w:val="CD9C7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93F05B4"/>
    <w:multiLevelType w:val="hybridMultilevel"/>
    <w:tmpl w:val="5D48EE8C"/>
    <w:lvl w:ilvl="0">
      <w:start w:val="1"/>
      <w:numFmt w:val="decimal"/>
      <w:lvlText w:val="A%1.a"/>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95E2A18"/>
    <w:multiLevelType w:val="hybridMultilevel"/>
    <w:tmpl w:val="32868F7E"/>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
    <w:nsid w:val="5B5A4FD4"/>
    <w:multiLevelType w:val="hybridMultilevel"/>
    <w:tmpl w:val="DC64AB3C"/>
    <w:lvl w:ilvl="0">
      <w:start w:val="1"/>
      <w:numFmt w:val="decimal"/>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90A69BE"/>
    <w:multiLevelType w:val="hybridMultilevel"/>
    <w:tmpl w:val="CBEA7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6C4E9D"/>
    <w:multiLevelType w:val="hybridMultilevel"/>
    <w:tmpl w:val="67A0D92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800"/>
        </w:tabs>
        <w:ind w:left="1800" w:hanging="720"/>
      </w:pPr>
      <w:rPr>
        <w:rFonts w:ascii="Symbol" w:hAnsi="Symbol" w:hint="default"/>
        <w:sz w:val="24"/>
        <w:szCs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3AC6C4B"/>
    <w:multiLevelType w:val="hybridMultilevel"/>
    <w:tmpl w:val="7C041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F43015"/>
    <w:multiLevelType w:val="hybridMultilevel"/>
    <w:tmpl w:val="C3529FDE"/>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4">
    <w:nsid w:val="7785701D"/>
    <w:multiLevelType w:val="hybridMultilevel"/>
    <w:tmpl w:val="6D8CEEC4"/>
    <w:lvl w:ilvl="0">
      <w:start w:val="65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FD13838"/>
    <w:multiLevelType w:val="hybridMultilevel"/>
    <w:tmpl w:val="C3FC5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4524943">
    <w:abstractNumId w:val="30"/>
  </w:num>
  <w:num w:numId="2" w16cid:durableId="916745689">
    <w:abstractNumId w:val="18"/>
  </w:num>
  <w:num w:numId="3" w16cid:durableId="1861506954">
    <w:abstractNumId w:val="18"/>
  </w:num>
  <w:num w:numId="4" w16cid:durableId="122432629">
    <w:abstractNumId w:val="18"/>
  </w:num>
  <w:num w:numId="5" w16cid:durableId="249896777">
    <w:abstractNumId w:val="10"/>
  </w:num>
  <w:num w:numId="6" w16cid:durableId="845822475">
    <w:abstractNumId w:val="38"/>
  </w:num>
  <w:num w:numId="7" w16cid:durableId="945384490">
    <w:abstractNumId w:val="28"/>
  </w:num>
  <w:num w:numId="8" w16cid:durableId="1548184702">
    <w:abstractNumId w:val="8"/>
  </w:num>
  <w:num w:numId="9" w16cid:durableId="182405347">
    <w:abstractNumId w:val="2"/>
  </w:num>
  <w:num w:numId="10" w16cid:durableId="566648457">
    <w:abstractNumId w:val="1"/>
  </w:num>
  <w:num w:numId="11" w16cid:durableId="1501584977">
    <w:abstractNumId w:val="11"/>
  </w:num>
  <w:num w:numId="12" w16cid:durableId="1076517704">
    <w:abstractNumId w:val="36"/>
  </w:num>
  <w:num w:numId="13" w16cid:durableId="682896883">
    <w:abstractNumId w:val="31"/>
  </w:num>
  <w:num w:numId="14" w16cid:durableId="1771504575">
    <w:abstractNumId w:val="45"/>
  </w:num>
  <w:num w:numId="15" w16cid:durableId="1778480109">
    <w:abstractNumId w:val="7"/>
  </w:num>
  <w:num w:numId="16" w16cid:durableId="2123457439">
    <w:abstractNumId w:val="40"/>
  </w:num>
  <w:num w:numId="17" w16cid:durableId="674115279">
    <w:abstractNumId w:val="29"/>
  </w:num>
  <w:num w:numId="18" w16cid:durableId="550504336">
    <w:abstractNumId w:val="13"/>
  </w:num>
  <w:num w:numId="19" w16cid:durableId="1569488663">
    <w:abstractNumId w:val="25"/>
  </w:num>
  <w:num w:numId="20" w16cid:durableId="637029208">
    <w:abstractNumId w:val="42"/>
  </w:num>
  <w:num w:numId="21" w16cid:durableId="1362167863">
    <w:abstractNumId w:val="3"/>
  </w:num>
  <w:num w:numId="22" w16cid:durableId="996154547">
    <w:abstractNumId w:val="26"/>
  </w:num>
  <w:num w:numId="23" w16cid:durableId="1652324529">
    <w:abstractNumId w:val="41"/>
  </w:num>
  <w:num w:numId="24" w16cid:durableId="1811819671">
    <w:abstractNumId w:val="37"/>
  </w:num>
  <w:num w:numId="25" w16cid:durableId="1679692160">
    <w:abstractNumId w:val="24"/>
  </w:num>
  <w:num w:numId="26" w16cid:durableId="1293556409">
    <w:abstractNumId w:val="43"/>
  </w:num>
  <w:num w:numId="27" w16cid:durableId="1234512824">
    <w:abstractNumId w:val="32"/>
  </w:num>
  <w:num w:numId="28" w16cid:durableId="876311688">
    <w:abstractNumId w:val="20"/>
  </w:num>
  <w:num w:numId="29" w16cid:durableId="2031225028">
    <w:abstractNumId w:val="23"/>
  </w:num>
  <w:num w:numId="30" w16cid:durableId="1659387134">
    <w:abstractNumId w:val="44"/>
  </w:num>
  <w:num w:numId="31" w16cid:durableId="29304196">
    <w:abstractNumId w:val="35"/>
  </w:num>
  <w:num w:numId="32" w16cid:durableId="545795778">
    <w:abstractNumId w:val="19"/>
  </w:num>
  <w:num w:numId="33" w16cid:durableId="5059468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3991253">
    <w:abstractNumId w:val="22"/>
  </w:num>
  <w:num w:numId="35" w16cid:durableId="343017417">
    <w:abstractNumId w:val="0"/>
  </w:num>
  <w:num w:numId="36" w16cid:durableId="712732710">
    <w:abstractNumId w:val="15"/>
  </w:num>
  <w:num w:numId="37" w16cid:durableId="1045759422">
    <w:abstractNumId w:val="33"/>
  </w:num>
  <w:num w:numId="38" w16cid:durableId="25108205">
    <w:abstractNumId w:val="39"/>
  </w:num>
  <w:num w:numId="39" w16cid:durableId="683746936">
    <w:abstractNumId w:val="4"/>
  </w:num>
  <w:num w:numId="40" w16cid:durableId="1069227634">
    <w:abstractNumId w:val="21"/>
  </w:num>
  <w:num w:numId="41" w16cid:durableId="1869178469">
    <w:abstractNumId w:val="5"/>
  </w:num>
  <w:num w:numId="42" w16cid:durableId="27796929">
    <w:abstractNumId w:val="17"/>
  </w:num>
  <w:num w:numId="43" w16cid:durableId="1406223846">
    <w:abstractNumId w:val="34"/>
  </w:num>
  <w:num w:numId="44" w16cid:durableId="718673604">
    <w:abstractNumId w:val="14"/>
  </w:num>
  <w:num w:numId="45" w16cid:durableId="193346568">
    <w:abstractNumId w:val="27"/>
  </w:num>
  <w:num w:numId="46" w16cid:durableId="1097016649">
    <w:abstractNumId w:val="9"/>
  </w:num>
  <w:num w:numId="47" w16cid:durableId="1313871521">
    <w:abstractNumId w:val="12"/>
  </w:num>
  <w:num w:numId="48" w16cid:durableId="1351102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936"/>
    <w:rsid w:val="000006BE"/>
    <w:rsid w:val="00000F98"/>
    <w:rsid w:val="00002223"/>
    <w:rsid w:val="00002EDE"/>
    <w:rsid w:val="00004185"/>
    <w:rsid w:val="000041D8"/>
    <w:rsid w:val="0000508D"/>
    <w:rsid w:val="00005100"/>
    <w:rsid w:val="000055AF"/>
    <w:rsid w:val="00006DE1"/>
    <w:rsid w:val="0001133D"/>
    <w:rsid w:val="0001156A"/>
    <w:rsid w:val="00011681"/>
    <w:rsid w:val="0001269A"/>
    <w:rsid w:val="00012DA8"/>
    <w:rsid w:val="000134AE"/>
    <w:rsid w:val="000134B1"/>
    <w:rsid w:val="0001467B"/>
    <w:rsid w:val="00014C94"/>
    <w:rsid w:val="000171E4"/>
    <w:rsid w:val="00017B61"/>
    <w:rsid w:val="00017E67"/>
    <w:rsid w:val="00020B6F"/>
    <w:rsid w:val="00021F98"/>
    <w:rsid w:val="000224C2"/>
    <w:rsid w:val="00022B3A"/>
    <w:rsid w:val="00023C94"/>
    <w:rsid w:val="00024F43"/>
    <w:rsid w:val="00025BD0"/>
    <w:rsid w:val="00026350"/>
    <w:rsid w:val="000270C7"/>
    <w:rsid w:val="0002780E"/>
    <w:rsid w:val="00027A99"/>
    <w:rsid w:val="00027E97"/>
    <w:rsid w:val="00027EB0"/>
    <w:rsid w:val="00030400"/>
    <w:rsid w:val="00032877"/>
    <w:rsid w:val="0003310A"/>
    <w:rsid w:val="00033730"/>
    <w:rsid w:val="00034190"/>
    <w:rsid w:val="00034DA5"/>
    <w:rsid w:val="0003506D"/>
    <w:rsid w:val="00036878"/>
    <w:rsid w:val="00040C44"/>
    <w:rsid w:val="00040D06"/>
    <w:rsid w:val="00041DFD"/>
    <w:rsid w:val="00042A4E"/>
    <w:rsid w:val="000431FB"/>
    <w:rsid w:val="00043312"/>
    <w:rsid w:val="00043558"/>
    <w:rsid w:val="00044CF0"/>
    <w:rsid w:val="00045039"/>
    <w:rsid w:val="00045A09"/>
    <w:rsid w:val="00045B39"/>
    <w:rsid w:val="00045E84"/>
    <w:rsid w:val="000461E5"/>
    <w:rsid w:val="00046728"/>
    <w:rsid w:val="00047506"/>
    <w:rsid w:val="000476DC"/>
    <w:rsid w:val="00047B48"/>
    <w:rsid w:val="000505F8"/>
    <w:rsid w:val="00052602"/>
    <w:rsid w:val="000527F9"/>
    <w:rsid w:val="0005335E"/>
    <w:rsid w:val="000535A0"/>
    <w:rsid w:val="000536A3"/>
    <w:rsid w:val="000548BE"/>
    <w:rsid w:val="00054B3D"/>
    <w:rsid w:val="00054B96"/>
    <w:rsid w:val="000556A2"/>
    <w:rsid w:val="00055B98"/>
    <w:rsid w:val="00056094"/>
    <w:rsid w:val="00056C15"/>
    <w:rsid w:val="00057067"/>
    <w:rsid w:val="00057DC4"/>
    <w:rsid w:val="000608E5"/>
    <w:rsid w:val="00060B6D"/>
    <w:rsid w:val="0006106A"/>
    <w:rsid w:val="00062AFC"/>
    <w:rsid w:val="00063C50"/>
    <w:rsid w:val="00063D4E"/>
    <w:rsid w:val="000648F3"/>
    <w:rsid w:val="000651E3"/>
    <w:rsid w:val="00065439"/>
    <w:rsid w:val="00065761"/>
    <w:rsid w:val="00065CC4"/>
    <w:rsid w:val="00066882"/>
    <w:rsid w:val="00067586"/>
    <w:rsid w:val="000677E1"/>
    <w:rsid w:val="000678E9"/>
    <w:rsid w:val="0007014F"/>
    <w:rsid w:val="000712CE"/>
    <w:rsid w:val="000713B4"/>
    <w:rsid w:val="0007162D"/>
    <w:rsid w:val="00071638"/>
    <w:rsid w:val="00072732"/>
    <w:rsid w:val="00073383"/>
    <w:rsid w:val="00073A0E"/>
    <w:rsid w:val="000746AE"/>
    <w:rsid w:val="00075B91"/>
    <w:rsid w:val="00077284"/>
    <w:rsid w:val="00077F46"/>
    <w:rsid w:val="00077F83"/>
    <w:rsid w:val="00077F93"/>
    <w:rsid w:val="0008010B"/>
    <w:rsid w:val="000802B2"/>
    <w:rsid w:val="00080A8C"/>
    <w:rsid w:val="00081CCD"/>
    <w:rsid w:val="00082D59"/>
    <w:rsid w:val="00083334"/>
    <w:rsid w:val="000862F1"/>
    <w:rsid w:val="00087250"/>
    <w:rsid w:val="00087A39"/>
    <w:rsid w:val="00087F89"/>
    <w:rsid w:val="00090414"/>
    <w:rsid w:val="00090A79"/>
    <w:rsid w:val="00090F13"/>
    <w:rsid w:val="00091607"/>
    <w:rsid w:val="00091640"/>
    <w:rsid w:val="00091B46"/>
    <w:rsid w:val="00092983"/>
    <w:rsid w:val="00093FA8"/>
    <w:rsid w:val="000944E1"/>
    <w:rsid w:val="00095AF7"/>
    <w:rsid w:val="000961A4"/>
    <w:rsid w:val="00096248"/>
    <w:rsid w:val="00096AF1"/>
    <w:rsid w:val="0009749E"/>
    <w:rsid w:val="000A0761"/>
    <w:rsid w:val="000A0C7F"/>
    <w:rsid w:val="000A0D2C"/>
    <w:rsid w:val="000A105F"/>
    <w:rsid w:val="000A1729"/>
    <w:rsid w:val="000A1C93"/>
    <w:rsid w:val="000A2FAF"/>
    <w:rsid w:val="000A3112"/>
    <w:rsid w:val="000A3DF1"/>
    <w:rsid w:val="000A4059"/>
    <w:rsid w:val="000A4AEE"/>
    <w:rsid w:val="000A5849"/>
    <w:rsid w:val="000A5BC7"/>
    <w:rsid w:val="000A5EC1"/>
    <w:rsid w:val="000A63A7"/>
    <w:rsid w:val="000A6CE7"/>
    <w:rsid w:val="000A7149"/>
    <w:rsid w:val="000A72A0"/>
    <w:rsid w:val="000A78E0"/>
    <w:rsid w:val="000A7D68"/>
    <w:rsid w:val="000B0C32"/>
    <w:rsid w:val="000B0DD0"/>
    <w:rsid w:val="000B1408"/>
    <w:rsid w:val="000B1B36"/>
    <w:rsid w:val="000B3A76"/>
    <w:rsid w:val="000B3E09"/>
    <w:rsid w:val="000B4639"/>
    <w:rsid w:val="000B4901"/>
    <w:rsid w:val="000B578B"/>
    <w:rsid w:val="000B634F"/>
    <w:rsid w:val="000B681A"/>
    <w:rsid w:val="000B7C45"/>
    <w:rsid w:val="000C06F5"/>
    <w:rsid w:val="000C0903"/>
    <w:rsid w:val="000C0A49"/>
    <w:rsid w:val="000C134E"/>
    <w:rsid w:val="000C2A7A"/>
    <w:rsid w:val="000C328B"/>
    <w:rsid w:val="000C355F"/>
    <w:rsid w:val="000C37E9"/>
    <w:rsid w:val="000C3B2A"/>
    <w:rsid w:val="000C4D4F"/>
    <w:rsid w:val="000C5190"/>
    <w:rsid w:val="000C6577"/>
    <w:rsid w:val="000C7657"/>
    <w:rsid w:val="000D030B"/>
    <w:rsid w:val="000D0BE9"/>
    <w:rsid w:val="000D1435"/>
    <w:rsid w:val="000D16B8"/>
    <w:rsid w:val="000D1D18"/>
    <w:rsid w:val="000D1F27"/>
    <w:rsid w:val="000D20AB"/>
    <w:rsid w:val="000D233E"/>
    <w:rsid w:val="000D3795"/>
    <w:rsid w:val="000D3A51"/>
    <w:rsid w:val="000D40F2"/>
    <w:rsid w:val="000D5791"/>
    <w:rsid w:val="000D62CA"/>
    <w:rsid w:val="000D7B30"/>
    <w:rsid w:val="000E0139"/>
    <w:rsid w:val="000E05BC"/>
    <w:rsid w:val="000E077A"/>
    <w:rsid w:val="000E1178"/>
    <w:rsid w:val="000E1805"/>
    <w:rsid w:val="000E27F3"/>
    <w:rsid w:val="000E2FA9"/>
    <w:rsid w:val="000E3FFE"/>
    <w:rsid w:val="000E45EA"/>
    <w:rsid w:val="000E4BDB"/>
    <w:rsid w:val="000E5296"/>
    <w:rsid w:val="000E62EF"/>
    <w:rsid w:val="000E6476"/>
    <w:rsid w:val="000E6FEA"/>
    <w:rsid w:val="000E7B00"/>
    <w:rsid w:val="000F0328"/>
    <w:rsid w:val="000F0D38"/>
    <w:rsid w:val="000F24AC"/>
    <w:rsid w:val="000F288B"/>
    <w:rsid w:val="000F4BED"/>
    <w:rsid w:val="000F4E45"/>
    <w:rsid w:val="000F4E9B"/>
    <w:rsid w:val="000F573D"/>
    <w:rsid w:val="000F5FFA"/>
    <w:rsid w:val="000F7734"/>
    <w:rsid w:val="000F7A51"/>
    <w:rsid w:val="000F7F29"/>
    <w:rsid w:val="001011A5"/>
    <w:rsid w:val="0010185E"/>
    <w:rsid w:val="001019E7"/>
    <w:rsid w:val="00101A9C"/>
    <w:rsid w:val="0010298B"/>
    <w:rsid w:val="0010300A"/>
    <w:rsid w:val="00103120"/>
    <w:rsid w:val="00103694"/>
    <w:rsid w:val="00103F61"/>
    <w:rsid w:val="00104318"/>
    <w:rsid w:val="00104A90"/>
    <w:rsid w:val="00104C46"/>
    <w:rsid w:val="00105992"/>
    <w:rsid w:val="00106AE3"/>
    <w:rsid w:val="00106B04"/>
    <w:rsid w:val="001113CD"/>
    <w:rsid w:val="001121FA"/>
    <w:rsid w:val="00112670"/>
    <w:rsid w:val="001127F3"/>
    <w:rsid w:val="001131DA"/>
    <w:rsid w:val="001136ED"/>
    <w:rsid w:val="00113ABD"/>
    <w:rsid w:val="00114665"/>
    <w:rsid w:val="00115042"/>
    <w:rsid w:val="001161DB"/>
    <w:rsid w:val="00116A74"/>
    <w:rsid w:val="00116DEB"/>
    <w:rsid w:val="00116F5A"/>
    <w:rsid w:val="00117260"/>
    <w:rsid w:val="0011766A"/>
    <w:rsid w:val="00121D18"/>
    <w:rsid w:val="00121FCD"/>
    <w:rsid w:val="00122E38"/>
    <w:rsid w:val="001236F4"/>
    <w:rsid w:val="0012386C"/>
    <w:rsid w:val="00123BBE"/>
    <w:rsid w:val="00123F4D"/>
    <w:rsid w:val="00124371"/>
    <w:rsid w:val="001246FE"/>
    <w:rsid w:val="00125380"/>
    <w:rsid w:val="00125D5A"/>
    <w:rsid w:val="00125D6E"/>
    <w:rsid w:val="0012615F"/>
    <w:rsid w:val="001274AF"/>
    <w:rsid w:val="00132AC9"/>
    <w:rsid w:val="00133347"/>
    <w:rsid w:val="0013429C"/>
    <w:rsid w:val="001343C0"/>
    <w:rsid w:val="001343FA"/>
    <w:rsid w:val="001351B9"/>
    <w:rsid w:val="00135A54"/>
    <w:rsid w:val="00135C67"/>
    <w:rsid w:val="00135FBF"/>
    <w:rsid w:val="00135FE8"/>
    <w:rsid w:val="00136A77"/>
    <w:rsid w:val="0013716D"/>
    <w:rsid w:val="0013792F"/>
    <w:rsid w:val="00137D2B"/>
    <w:rsid w:val="001407AD"/>
    <w:rsid w:val="00141B39"/>
    <w:rsid w:val="00142A5E"/>
    <w:rsid w:val="0014517A"/>
    <w:rsid w:val="00147321"/>
    <w:rsid w:val="00147788"/>
    <w:rsid w:val="00147984"/>
    <w:rsid w:val="00151249"/>
    <w:rsid w:val="001524BB"/>
    <w:rsid w:val="00152514"/>
    <w:rsid w:val="00152688"/>
    <w:rsid w:val="0015268A"/>
    <w:rsid w:val="00152728"/>
    <w:rsid w:val="00153BBD"/>
    <w:rsid w:val="00154529"/>
    <w:rsid w:val="00155008"/>
    <w:rsid w:val="00156887"/>
    <w:rsid w:val="001570A6"/>
    <w:rsid w:val="00157BC7"/>
    <w:rsid w:val="00157E9B"/>
    <w:rsid w:val="001607BB"/>
    <w:rsid w:val="00160F56"/>
    <w:rsid w:val="001622CF"/>
    <w:rsid w:val="001626A1"/>
    <w:rsid w:val="00164376"/>
    <w:rsid w:val="00164BDF"/>
    <w:rsid w:val="00165B38"/>
    <w:rsid w:val="00165F8C"/>
    <w:rsid w:val="001660A4"/>
    <w:rsid w:val="001676D0"/>
    <w:rsid w:val="0017080B"/>
    <w:rsid w:val="0017219A"/>
    <w:rsid w:val="0017259A"/>
    <w:rsid w:val="00172C9E"/>
    <w:rsid w:val="00174AA3"/>
    <w:rsid w:val="00174AAA"/>
    <w:rsid w:val="00176287"/>
    <w:rsid w:val="00176573"/>
    <w:rsid w:val="001765CF"/>
    <w:rsid w:val="00176A90"/>
    <w:rsid w:val="001776A9"/>
    <w:rsid w:val="001801E8"/>
    <w:rsid w:val="00180466"/>
    <w:rsid w:val="001818E0"/>
    <w:rsid w:val="00181D99"/>
    <w:rsid w:val="00182E45"/>
    <w:rsid w:val="0018310A"/>
    <w:rsid w:val="001839D3"/>
    <w:rsid w:val="001848CD"/>
    <w:rsid w:val="0018496E"/>
    <w:rsid w:val="00184C0F"/>
    <w:rsid w:val="001854F3"/>
    <w:rsid w:val="00186A01"/>
    <w:rsid w:val="001876F4"/>
    <w:rsid w:val="0018772C"/>
    <w:rsid w:val="00187DC1"/>
    <w:rsid w:val="00190A06"/>
    <w:rsid w:val="00190F04"/>
    <w:rsid w:val="00191297"/>
    <w:rsid w:val="0019139A"/>
    <w:rsid w:val="00191828"/>
    <w:rsid w:val="00192147"/>
    <w:rsid w:val="00192E80"/>
    <w:rsid w:val="00194901"/>
    <w:rsid w:val="00194B64"/>
    <w:rsid w:val="0019584E"/>
    <w:rsid w:val="00195FAE"/>
    <w:rsid w:val="001963F2"/>
    <w:rsid w:val="00196801"/>
    <w:rsid w:val="00196F9F"/>
    <w:rsid w:val="00197097"/>
    <w:rsid w:val="001970B5"/>
    <w:rsid w:val="00197C35"/>
    <w:rsid w:val="001A0207"/>
    <w:rsid w:val="001A0AC5"/>
    <w:rsid w:val="001A139B"/>
    <w:rsid w:val="001A16E8"/>
    <w:rsid w:val="001A1EBA"/>
    <w:rsid w:val="001A3467"/>
    <w:rsid w:val="001A3571"/>
    <w:rsid w:val="001A4AE1"/>
    <w:rsid w:val="001A508A"/>
    <w:rsid w:val="001A522D"/>
    <w:rsid w:val="001A567A"/>
    <w:rsid w:val="001A62BB"/>
    <w:rsid w:val="001A6976"/>
    <w:rsid w:val="001A70D7"/>
    <w:rsid w:val="001B0141"/>
    <w:rsid w:val="001B02DD"/>
    <w:rsid w:val="001B042D"/>
    <w:rsid w:val="001B06D4"/>
    <w:rsid w:val="001B0709"/>
    <w:rsid w:val="001B088E"/>
    <w:rsid w:val="001B0A8A"/>
    <w:rsid w:val="001B0AEB"/>
    <w:rsid w:val="001B0D08"/>
    <w:rsid w:val="001B0EBE"/>
    <w:rsid w:val="001B10A5"/>
    <w:rsid w:val="001B15D7"/>
    <w:rsid w:val="001B1717"/>
    <w:rsid w:val="001B17EE"/>
    <w:rsid w:val="001B1908"/>
    <w:rsid w:val="001B1DC8"/>
    <w:rsid w:val="001B3251"/>
    <w:rsid w:val="001B3B9A"/>
    <w:rsid w:val="001B496C"/>
    <w:rsid w:val="001B4A95"/>
    <w:rsid w:val="001B4D1F"/>
    <w:rsid w:val="001B5853"/>
    <w:rsid w:val="001B58E0"/>
    <w:rsid w:val="001B5A00"/>
    <w:rsid w:val="001B602C"/>
    <w:rsid w:val="001B6592"/>
    <w:rsid w:val="001B74FF"/>
    <w:rsid w:val="001B7C10"/>
    <w:rsid w:val="001C04D4"/>
    <w:rsid w:val="001C05D1"/>
    <w:rsid w:val="001C111D"/>
    <w:rsid w:val="001C216C"/>
    <w:rsid w:val="001C26DF"/>
    <w:rsid w:val="001C2B22"/>
    <w:rsid w:val="001C312C"/>
    <w:rsid w:val="001C33B8"/>
    <w:rsid w:val="001C380E"/>
    <w:rsid w:val="001C3B25"/>
    <w:rsid w:val="001C469B"/>
    <w:rsid w:val="001C4B08"/>
    <w:rsid w:val="001C50D5"/>
    <w:rsid w:val="001C6F92"/>
    <w:rsid w:val="001C7562"/>
    <w:rsid w:val="001C7D53"/>
    <w:rsid w:val="001D001D"/>
    <w:rsid w:val="001D0579"/>
    <w:rsid w:val="001D0CB0"/>
    <w:rsid w:val="001D14DC"/>
    <w:rsid w:val="001D1FDB"/>
    <w:rsid w:val="001D2378"/>
    <w:rsid w:val="001D265D"/>
    <w:rsid w:val="001D275A"/>
    <w:rsid w:val="001D2A9E"/>
    <w:rsid w:val="001D338D"/>
    <w:rsid w:val="001D3C03"/>
    <w:rsid w:val="001D4D7A"/>
    <w:rsid w:val="001D5694"/>
    <w:rsid w:val="001D7D9A"/>
    <w:rsid w:val="001D7E1A"/>
    <w:rsid w:val="001E071B"/>
    <w:rsid w:val="001E09CE"/>
    <w:rsid w:val="001E1483"/>
    <w:rsid w:val="001E18BD"/>
    <w:rsid w:val="001E295A"/>
    <w:rsid w:val="001E369A"/>
    <w:rsid w:val="001E36BB"/>
    <w:rsid w:val="001E37D8"/>
    <w:rsid w:val="001E3EAA"/>
    <w:rsid w:val="001E3EF0"/>
    <w:rsid w:val="001E5397"/>
    <w:rsid w:val="001E53C2"/>
    <w:rsid w:val="001E562F"/>
    <w:rsid w:val="001E5904"/>
    <w:rsid w:val="001E6340"/>
    <w:rsid w:val="001F1190"/>
    <w:rsid w:val="001F18B3"/>
    <w:rsid w:val="001F1AB4"/>
    <w:rsid w:val="001F1B5C"/>
    <w:rsid w:val="001F295D"/>
    <w:rsid w:val="001F29F2"/>
    <w:rsid w:val="001F3473"/>
    <w:rsid w:val="001F39A7"/>
    <w:rsid w:val="001F3A09"/>
    <w:rsid w:val="001F3F9B"/>
    <w:rsid w:val="001F437D"/>
    <w:rsid w:val="001F473D"/>
    <w:rsid w:val="001F4AF0"/>
    <w:rsid w:val="001F4F53"/>
    <w:rsid w:val="001F61FA"/>
    <w:rsid w:val="001F68D2"/>
    <w:rsid w:val="0020050E"/>
    <w:rsid w:val="00202268"/>
    <w:rsid w:val="00202ADE"/>
    <w:rsid w:val="00202CF4"/>
    <w:rsid w:val="002030C4"/>
    <w:rsid w:val="00204134"/>
    <w:rsid w:val="002043DA"/>
    <w:rsid w:val="00204BAD"/>
    <w:rsid w:val="00204D50"/>
    <w:rsid w:val="00206247"/>
    <w:rsid w:val="00206AF3"/>
    <w:rsid w:val="00210BED"/>
    <w:rsid w:val="0021196B"/>
    <w:rsid w:val="00213576"/>
    <w:rsid w:val="002142CD"/>
    <w:rsid w:val="00214856"/>
    <w:rsid w:val="00214E95"/>
    <w:rsid w:val="00215529"/>
    <w:rsid w:val="002155C9"/>
    <w:rsid w:val="00215DD6"/>
    <w:rsid w:val="00217153"/>
    <w:rsid w:val="00217749"/>
    <w:rsid w:val="00217E4E"/>
    <w:rsid w:val="00221006"/>
    <w:rsid w:val="00221381"/>
    <w:rsid w:val="00221A0E"/>
    <w:rsid w:val="002230B1"/>
    <w:rsid w:val="00223171"/>
    <w:rsid w:val="0022346B"/>
    <w:rsid w:val="002247B5"/>
    <w:rsid w:val="00224831"/>
    <w:rsid w:val="00225420"/>
    <w:rsid w:val="002254FD"/>
    <w:rsid w:val="00226992"/>
    <w:rsid w:val="0023090E"/>
    <w:rsid w:val="0023094C"/>
    <w:rsid w:val="00230D63"/>
    <w:rsid w:val="00231127"/>
    <w:rsid w:val="0023283E"/>
    <w:rsid w:val="00233B9D"/>
    <w:rsid w:val="0023459F"/>
    <w:rsid w:val="00234669"/>
    <w:rsid w:val="00235083"/>
    <w:rsid w:val="002355D0"/>
    <w:rsid w:val="00236097"/>
    <w:rsid w:val="00236B15"/>
    <w:rsid w:val="002371E3"/>
    <w:rsid w:val="00237549"/>
    <w:rsid w:val="00240570"/>
    <w:rsid w:val="00240B5A"/>
    <w:rsid w:val="00241598"/>
    <w:rsid w:val="002416C9"/>
    <w:rsid w:val="002425DD"/>
    <w:rsid w:val="0024274F"/>
    <w:rsid w:val="00242FCA"/>
    <w:rsid w:val="00244A95"/>
    <w:rsid w:val="00245301"/>
    <w:rsid w:val="00245461"/>
    <w:rsid w:val="00245523"/>
    <w:rsid w:val="002458C8"/>
    <w:rsid w:val="002459CE"/>
    <w:rsid w:val="0024610C"/>
    <w:rsid w:val="0024612D"/>
    <w:rsid w:val="00246373"/>
    <w:rsid w:val="002465DA"/>
    <w:rsid w:val="00246C21"/>
    <w:rsid w:val="00247666"/>
    <w:rsid w:val="002479A2"/>
    <w:rsid w:val="00247DC4"/>
    <w:rsid w:val="002503FA"/>
    <w:rsid w:val="002522F8"/>
    <w:rsid w:val="00252577"/>
    <w:rsid w:val="0025259F"/>
    <w:rsid w:val="0025286B"/>
    <w:rsid w:val="00252D04"/>
    <w:rsid w:val="00253442"/>
    <w:rsid w:val="002537AE"/>
    <w:rsid w:val="00253FC9"/>
    <w:rsid w:val="00254EE0"/>
    <w:rsid w:val="00255771"/>
    <w:rsid w:val="002558EE"/>
    <w:rsid w:val="00255D04"/>
    <w:rsid w:val="002561C2"/>
    <w:rsid w:val="002566BD"/>
    <w:rsid w:val="00257033"/>
    <w:rsid w:val="002571B2"/>
    <w:rsid w:val="0025765F"/>
    <w:rsid w:val="00261557"/>
    <w:rsid w:val="002616F4"/>
    <w:rsid w:val="00262AB6"/>
    <w:rsid w:val="002630EB"/>
    <w:rsid w:val="00263D1B"/>
    <w:rsid w:val="00264E2A"/>
    <w:rsid w:val="0026517D"/>
    <w:rsid w:val="00265ADB"/>
    <w:rsid w:val="00266AAD"/>
    <w:rsid w:val="00266C7B"/>
    <w:rsid w:val="00271430"/>
    <w:rsid w:val="0027151F"/>
    <w:rsid w:val="00273CD7"/>
    <w:rsid w:val="00275112"/>
    <w:rsid w:val="0027592A"/>
    <w:rsid w:val="00275B74"/>
    <w:rsid w:val="00276999"/>
    <w:rsid w:val="00276EE0"/>
    <w:rsid w:val="002772A7"/>
    <w:rsid w:val="00277615"/>
    <w:rsid w:val="00277662"/>
    <w:rsid w:val="00277B72"/>
    <w:rsid w:val="002805D9"/>
    <w:rsid w:val="00280E06"/>
    <w:rsid w:val="00281350"/>
    <w:rsid w:val="00281C5C"/>
    <w:rsid w:val="00284B7D"/>
    <w:rsid w:val="00285D5F"/>
    <w:rsid w:val="00286131"/>
    <w:rsid w:val="0028794E"/>
    <w:rsid w:val="00287F26"/>
    <w:rsid w:val="002906C5"/>
    <w:rsid w:val="00290A87"/>
    <w:rsid w:val="00290F34"/>
    <w:rsid w:val="002912A4"/>
    <w:rsid w:val="002912AB"/>
    <w:rsid w:val="002919E8"/>
    <w:rsid w:val="00291DFA"/>
    <w:rsid w:val="0029333B"/>
    <w:rsid w:val="00293780"/>
    <w:rsid w:val="002946D5"/>
    <w:rsid w:val="00294FB1"/>
    <w:rsid w:val="00296B07"/>
    <w:rsid w:val="00296BEB"/>
    <w:rsid w:val="00297853"/>
    <w:rsid w:val="002A0BE3"/>
    <w:rsid w:val="002A19D9"/>
    <w:rsid w:val="002A1FFC"/>
    <w:rsid w:val="002A31A0"/>
    <w:rsid w:val="002A3692"/>
    <w:rsid w:val="002A3C13"/>
    <w:rsid w:val="002A539F"/>
    <w:rsid w:val="002A6604"/>
    <w:rsid w:val="002A7276"/>
    <w:rsid w:val="002A741A"/>
    <w:rsid w:val="002A7D81"/>
    <w:rsid w:val="002A7DAD"/>
    <w:rsid w:val="002A7EA4"/>
    <w:rsid w:val="002B0F74"/>
    <w:rsid w:val="002B2486"/>
    <w:rsid w:val="002B293E"/>
    <w:rsid w:val="002B29CE"/>
    <w:rsid w:val="002B3568"/>
    <w:rsid w:val="002B46FF"/>
    <w:rsid w:val="002B48D8"/>
    <w:rsid w:val="002B4FF9"/>
    <w:rsid w:val="002B5235"/>
    <w:rsid w:val="002B5559"/>
    <w:rsid w:val="002B6739"/>
    <w:rsid w:val="002B7D8B"/>
    <w:rsid w:val="002C0F01"/>
    <w:rsid w:val="002C1C1D"/>
    <w:rsid w:val="002C2367"/>
    <w:rsid w:val="002C26E5"/>
    <w:rsid w:val="002C311C"/>
    <w:rsid w:val="002C328A"/>
    <w:rsid w:val="002C38A0"/>
    <w:rsid w:val="002C46E6"/>
    <w:rsid w:val="002C4A95"/>
    <w:rsid w:val="002C4AFB"/>
    <w:rsid w:val="002C553B"/>
    <w:rsid w:val="002C67B6"/>
    <w:rsid w:val="002C6FE5"/>
    <w:rsid w:val="002D0141"/>
    <w:rsid w:val="002D047A"/>
    <w:rsid w:val="002D0A59"/>
    <w:rsid w:val="002D1491"/>
    <w:rsid w:val="002D24DE"/>
    <w:rsid w:val="002D2E6B"/>
    <w:rsid w:val="002D35A0"/>
    <w:rsid w:val="002D3A3E"/>
    <w:rsid w:val="002D406D"/>
    <w:rsid w:val="002D4FD9"/>
    <w:rsid w:val="002D55EF"/>
    <w:rsid w:val="002D5F8C"/>
    <w:rsid w:val="002D7B15"/>
    <w:rsid w:val="002E00C4"/>
    <w:rsid w:val="002E032F"/>
    <w:rsid w:val="002E0346"/>
    <w:rsid w:val="002E045A"/>
    <w:rsid w:val="002E0970"/>
    <w:rsid w:val="002E0A81"/>
    <w:rsid w:val="002E0DE8"/>
    <w:rsid w:val="002E0FA8"/>
    <w:rsid w:val="002E11D5"/>
    <w:rsid w:val="002E124E"/>
    <w:rsid w:val="002E23E0"/>
    <w:rsid w:val="002E29C2"/>
    <w:rsid w:val="002E36F3"/>
    <w:rsid w:val="002E391A"/>
    <w:rsid w:val="002E57AA"/>
    <w:rsid w:val="002E5C06"/>
    <w:rsid w:val="002E5D96"/>
    <w:rsid w:val="002E7ADE"/>
    <w:rsid w:val="002F02B0"/>
    <w:rsid w:val="002F0AC9"/>
    <w:rsid w:val="002F0EC8"/>
    <w:rsid w:val="002F32D7"/>
    <w:rsid w:val="002F3836"/>
    <w:rsid w:val="002F3B61"/>
    <w:rsid w:val="002F3C49"/>
    <w:rsid w:val="002F4E8D"/>
    <w:rsid w:val="002F610F"/>
    <w:rsid w:val="002F6335"/>
    <w:rsid w:val="002F646C"/>
    <w:rsid w:val="00300A28"/>
    <w:rsid w:val="0030186B"/>
    <w:rsid w:val="0030190E"/>
    <w:rsid w:val="003020C3"/>
    <w:rsid w:val="003022FB"/>
    <w:rsid w:val="00302C94"/>
    <w:rsid w:val="00302EB0"/>
    <w:rsid w:val="0030346A"/>
    <w:rsid w:val="003046ED"/>
    <w:rsid w:val="00305D38"/>
    <w:rsid w:val="00305DF4"/>
    <w:rsid w:val="003068E2"/>
    <w:rsid w:val="00306F12"/>
    <w:rsid w:val="00306F18"/>
    <w:rsid w:val="00306FCE"/>
    <w:rsid w:val="003072CE"/>
    <w:rsid w:val="00307DFD"/>
    <w:rsid w:val="0031041B"/>
    <w:rsid w:val="00310448"/>
    <w:rsid w:val="00310DB3"/>
    <w:rsid w:val="0031147F"/>
    <w:rsid w:val="00311656"/>
    <w:rsid w:val="00313779"/>
    <w:rsid w:val="00316DB2"/>
    <w:rsid w:val="00316DC5"/>
    <w:rsid w:val="003176B7"/>
    <w:rsid w:val="003201A1"/>
    <w:rsid w:val="00320985"/>
    <w:rsid w:val="00320C5F"/>
    <w:rsid w:val="00320D6C"/>
    <w:rsid w:val="003214A9"/>
    <w:rsid w:val="003225E6"/>
    <w:rsid w:val="003231AE"/>
    <w:rsid w:val="003237E1"/>
    <w:rsid w:val="003243B4"/>
    <w:rsid w:val="00324D4B"/>
    <w:rsid w:val="00324E73"/>
    <w:rsid w:val="0032512E"/>
    <w:rsid w:val="00325223"/>
    <w:rsid w:val="00325525"/>
    <w:rsid w:val="003259F9"/>
    <w:rsid w:val="00325ECC"/>
    <w:rsid w:val="003262F7"/>
    <w:rsid w:val="0032667B"/>
    <w:rsid w:val="0032677D"/>
    <w:rsid w:val="003267D9"/>
    <w:rsid w:val="003276B2"/>
    <w:rsid w:val="00330014"/>
    <w:rsid w:val="00330585"/>
    <w:rsid w:val="003305B3"/>
    <w:rsid w:val="0033089B"/>
    <w:rsid w:val="00330E9B"/>
    <w:rsid w:val="003311C7"/>
    <w:rsid w:val="00331D26"/>
    <w:rsid w:val="00333075"/>
    <w:rsid w:val="003331A7"/>
    <w:rsid w:val="00334A2C"/>
    <w:rsid w:val="00335C5F"/>
    <w:rsid w:val="00337623"/>
    <w:rsid w:val="003419FA"/>
    <w:rsid w:val="00341D75"/>
    <w:rsid w:val="00342A18"/>
    <w:rsid w:val="00342DA3"/>
    <w:rsid w:val="00343CBD"/>
    <w:rsid w:val="00343E07"/>
    <w:rsid w:val="0034448A"/>
    <w:rsid w:val="0034483D"/>
    <w:rsid w:val="0034544C"/>
    <w:rsid w:val="00345EB2"/>
    <w:rsid w:val="003460CB"/>
    <w:rsid w:val="0034792C"/>
    <w:rsid w:val="00350999"/>
    <w:rsid w:val="003511DF"/>
    <w:rsid w:val="00351F43"/>
    <w:rsid w:val="003525E4"/>
    <w:rsid w:val="00352BAA"/>
    <w:rsid w:val="003532E4"/>
    <w:rsid w:val="0035375B"/>
    <w:rsid w:val="00353E61"/>
    <w:rsid w:val="0035428E"/>
    <w:rsid w:val="003543D9"/>
    <w:rsid w:val="00356434"/>
    <w:rsid w:val="0035667A"/>
    <w:rsid w:val="003568C2"/>
    <w:rsid w:val="00356BFD"/>
    <w:rsid w:val="00356E93"/>
    <w:rsid w:val="00357923"/>
    <w:rsid w:val="0035798C"/>
    <w:rsid w:val="00357E8C"/>
    <w:rsid w:val="003600C2"/>
    <w:rsid w:val="00360482"/>
    <w:rsid w:val="0036150A"/>
    <w:rsid w:val="00361D5A"/>
    <w:rsid w:val="00362A0E"/>
    <w:rsid w:val="00362A59"/>
    <w:rsid w:val="00364831"/>
    <w:rsid w:val="003656FC"/>
    <w:rsid w:val="00365B28"/>
    <w:rsid w:val="0036630B"/>
    <w:rsid w:val="00366408"/>
    <w:rsid w:val="00367DBA"/>
    <w:rsid w:val="00367E17"/>
    <w:rsid w:val="00370BB6"/>
    <w:rsid w:val="003726CD"/>
    <w:rsid w:val="003733FE"/>
    <w:rsid w:val="00373450"/>
    <w:rsid w:val="00374517"/>
    <w:rsid w:val="00374BDE"/>
    <w:rsid w:val="00374EED"/>
    <w:rsid w:val="00375CF3"/>
    <w:rsid w:val="003760CA"/>
    <w:rsid w:val="00376D37"/>
    <w:rsid w:val="00377543"/>
    <w:rsid w:val="003802F8"/>
    <w:rsid w:val="00380D28"/>
    <w:rsid w:val="00380DFC"/>
    <w:rsid w:val="00381910"/>
    <w:rsid w:val="00381A67"/>
    <w:rsid w:val="003821BB"/>
    <w:rsid w:val="003821F7"/>
    <w:rsid w:val="0038294D"/>
    <w:rsid w:val="00382A41"/>
    <w:rsid w:val="00383B15"/>
    <w:rsid w:val="0038410A"/>
    <w:rsid w:val="00384475"/>
    <w:rsid w:val="00384821"/>
    <w:rsid w:val="00384872"/>
    <w:rsid w:val="003851A4"/>
    <w:rsid w:val="0038526C"/>
    <w:rsid w:val="00385A68"/>
    <w:rsid w:val="00385C4D"/>
    <w:rsid w:val="00386CA5"/>
    <w:rsid w:val="0038708B"/>
    <w:rsid w:val="003871A9"/>
    <w:rsid w:val="00387924"/>
    <w:rsid w:val="00387CEA"/>
    <w:rsid w:val="00390049"/>
    <w:rsid w:val="0039029B"/>
    <w:rsid w:val="003906EA"/>
    <w:rsid w:val="0039138E"/>
    <w:rsid w:val="00392A1D"/>
    <w:rsid w:val="00392E50"/>
    <w:rsid w:val="00393B6D"/>
    <w:rsid w:val="00394353"/>
    <w:rsid w:val="00394414"/>
    <w:rsid w:val="0039448C"/>
    <w:rsid w:val="00394AAF"/>
    <w:rsid w:val="00394D27"/>
    <w:rsid w:val="003966E1"/>
    <w:rsid w:val="00397EF0"/>
    <w:rsid w:val="003A094D"/>
    <w:rsid w:val="003A0C8C"/>
    <w:rsid w:val="003A1AF1"/>
    <w:rsid w:val="003A1F6A"/>
    <w:rsid w:val="003A219C"/>
    <w:rsid w:val="003A30EA"/>
    <w:rsid w:val="003A4CA6"/>
    <w:rsid w:val="003A51B0"/>
    <w:rsid w:val="003A665C"/>
    <w:rsid w:val="003A7254"/>
    <w:rsid w:val="003A73EB"/>
    <w:rsid w:val="003A7B37"/>
    <w:rsid w:val="003A7F7D"/>
    <w:rsid w:val="003B019D"/>
    <w:rsid w:val="003B0685"/>
    <w:rsid w:val="003B0AEA"/>
    <w:rsid w:val="003B14E7"/>
    <w:rsid w:val="003B1B16"/>
    <w:rsid w:val="003B2380"/>
    <w:rsid w:val="003B27C3"/>
    <w:rsid w:val="003B2ABF"/>
    <w:rsid w:val="003B2B3A"/>
    <w:rsid w:val="003B2EB3"/>
    <w:rsid w:val="003B396B"/>
    <w:rsid w:val="003B3BCD"/>
    <w:rsid w:val="003B4692"/>
    <w:rsid w:val="003B54BB"/>
    <w:rsid w:val="003B5521"/>
    <w:rsid w:val="003B601A"/>
    <w:rsid w:val="003B6A59"/>
    <w:rsid w:val="003C0879"/>
    <w:rsid w:val="003C1944"/>
    <w:rsid w:val="003C219C"/>
    <w:rsid w:val="003C27BE"/>
    <w:rsid w:val="003C38C0"/>
    <w:rsid w:val="003C3AC3"/>
    <w:rsid w:val="003C628C"/>
    <w:rsid w:val="003C6AEA"/>
    <w:rsid w:val="003C6F3B"/>
    <w:rsid w:val="003C7A63"/>
    <w:rsid w:val="003C7B81"/>
    <w:rsid w:val="003D0744"/>
    <w:rsid w:val="003D0B73"/>
    <w:rsid w:val="003D0C61"/>
    <w:rsid w:val="003D0F04"/>
    <w:rsid w:val="003D0F6F"/>
    <w:rsid w:val="003D158C"/>
    <w:rsid w:val="003D25B0"/>
    <w:rsid w:val="003D3613"/>
    <w:rsid w:val="003D464C"/>
    <w:rsid w:val="003D4804"/>
    <w:rsid w:val="003D4A44"/>
    <w:rsid w:val="003D4D59"/>
    <w:rsid w:val="003D5CF7"/>
    <w:rsid w:val="003D616F"/>
    <w:rsid w:val="003D6225"/>
    <w:rsid w:val="003D6F3A"/>
    <w:rsid w:val="003D70A8"/>
    <w:rsid w:val="003D70F5"/>
    <w:rsid w:val="003E11F2"/>
    <w:rsid w:val="003E126C"/>
    <w:rsid w:val="003E1C2A"/>
    <w:rsid w:val="003E1DC7"/>
    <w:rsid w:val="003E261E"/>
    <w:rsid w:val="003E26A1"/>
    <w:rsid w:val="003E3784"/>
    <w:rsid w:val="003E4485"/>
    <w:rsid w:val="003E472F"/>
    <w:rsid w:val="003E4998"/>
    <w:rsid w:val="003E5358"/>
    <w:rsid w:val="003E58B2"/>
    <w:rsid w:val="003F0600"/>
    <w:rsid w:val="003F0A5C"/>
    <w:rsid w:val="003F1954"/>
    <w:rsid w:val="003F1B4A"/>
    <w:rsid w:val="003F1C0D"/>
    <w:rsid w:val="003F24AB"/>
    <w:rsid w:val="003F2610"/>
    <w:rsid w:val="003F28E1"/>
    <w:rsid w:val="003F3328"/>
    <w:rsid w:val="003F34B0"/>
    <w:rsid w:val="003F3D53"/>
    <w:rsid w:val="003F48EE"/>
    <w:rsid w:val="003F4B68"/>
    <w:rsid w:val="003F62AF"/>
    <w:rsid w:val="003F64D4"/>
    <w:rsid w:val="003F6ACC"/>
    <w:rsid w:val="003F6EB6"/>
    <w:rsid w:val="003F719C"/>
    <w:rsid w:val="003F71B9"/>
    <w:rsid w:val="003F7BF9"/>
    <w:rsid w:val="003F7CEC"/>
    <w:rsid w:val="003F7EE3"/>
    <w:rsid w:val="00400D8A"/>
    <w:rsid w:val="00401A76"/>
    <w:rsid w:val="00401BF9"/>
    <w:rsid w:val="00402765"/>
    <w:rsid w:val="00402833"/>
    <w:rsid w:val="004045BD"/>
    <w:rsid w:val="00404ABE"/>
    <w:rsid w:val="00404AD5"/>
    <w:rsid w:val="0040539A"/>
    <w:rsid w:val="004055DC"/>
    <w:rsid w:val="00405622"/>
    <w:rsid w:val="004058BB"/>
    <w:rsid w:val="00406B3F"/>
    <w:rsid w:val="00407582"/>
    <w:rsid w:val="00407804"/>
    <w:rsid w:val="004079E6"/>
    <w:rsid w:val="00410BD1"/>
    <w:rsid w:val="004110D9"/>
    <w:rsid w:val="00411799"/>
    <w:rsid w:val="00411B09"/>
    <w:rsid w:val="0041258F"/>
    <w:rsid w:val="00412A70"/>
    <w:rsid w:val="00412D62"/>
    <w:rsid w:val="00413708"/>
    <w:rsid w:val="00414578"/>
    <w:rsid w:val="004151B6"/>
    <w:rsid w:val="00415C9F"/>
    <w:rsid w:val="00416610"/>
    <w:rsid w:val="00417298"/>
    <w:rsid w:val="00420ABA"/>
    <w:rsid w:val="0042104B"/>
    <w:rsid w:val="004211C3"/>
    <w:rsid w:val="00421A2C"/>
    <w:rsid w:val="00422441"/>
    <w:rsid w:val="004226D1"/>
    <w:rsid w:val="004232BB"/>
    <w:rsid w:val="00423387"/>
    <w:rsid w:val="0042405C"/>
    <w:rsid w:val="00424776"/>
    <w:rsid w:val="0042505D"/>
    <w:rsid w:val="004251D1"/>
    <w:rsid w:val="004251FD"/>
    <w:rsid w:val="00425E75"/>
    <w:rsid w:val="00426773"/>
    <w:rsid w:val="00426DD3"/>
    <w:rsid w:val="0042770C"/>
    <w:rsid w:val="00430276"/>
    <w:rsid w:val="004306BF"/>
    <w:rsid w:val="0043122D"/>
    <w:rsid w:val="00434607"/>
    <w:rsid w:val="0043545D"/>
    <w:rsid w:val="00435854"/>
    <w:rsid w:val="00435CE4"/>
    <w:rsid w:val="00435DEE"/>
    <w:rsid w:val="00436C80"/>
    <w:rsid w:val="00437374"/>
    <w:rsid w:val="00440001"/>
    <w:rsid w:val="00440E87"/>
    <w:rsid w:val="00441A2E"/>
    <w:rsid w:val="00442316"/>
    <w:rsid w:val="004435F5"/>
    <w:rsid w:val="0044398C"/>
    <w:rsid w:val="0044518A"/>
    <w:rsid w:val="0044598B"/>
    <w:rsid w:val="004464CD"/>
    <w:rsid w:val="0045029D"/>
    <w:rsid w:val="00450A53"/>
    <w:rsid w:val="00450FE9"/>
    <w:rsid w:val="004510F8"/>
    <w:rsid w:val="0045225D"/>
    <w:rsid w:val="004533D1"/>
    <w:rsid w:val="00453A54"/>
    <w:rsid w:val="00453DDE"/>
    <w:rsid w:val="0045451F"/>
    <w:rsid w:val="004549A8"/>
    <w:rsid w:val="00454D93"/>
    <w:rsid w:val="004550EA"/>
    <w:rsid w:val="00455EE0"/>
    <w:rsid w:val="004560D1"/>
    <w:rsid w:val="0045632B"/>
    <w:rsid w:val="004566EC"/>
    <w:rsid w:val="00457156"/>
    <w:rsid w:val="00457161"/>
    <w:rsid w:val="0045756C"/>
    <w:rsid w:val="00460071"/>
    <w:rsid w:val="00460E0B"/>
    <w:rsid w:val="0046255F"/>
    <w:rsid w:val="004628E6"/>
    <w:rsid w:val="00462ED4"/>
    <w:rsid w:val="00463263"/>
    <w:rsid w:val="0046385F"/>
    <w:rsid w:val="00464EC0"/>
    <w:rsid w:val="00465177"/>
    <w:rsid w:val="0046550B"/>
    <w:rsid w:val="00465691"/>
    <w:rsid w:val="00465703"/>
    <w:rsid w:val="00465A5D"/>
    <w:rsid w:val="00467C30"/>
    <w:rsid w:val="00467DE9"/>
    <w:rsid w:val="00470B98"/>
    <w:rsid w:val="00471465"/>
    <w:rsid w:val="00472494"/>
    <w:rsid w:val="0047350B"/>
    <w:rsid w:val="00473764"/>
    <w:rsid w:val="00473A93"/>
    <w:rsid w:val="00473CF2"/>
    <w:rsid w:val="0047467F"/>
    <w:rsid w:val="00474B09"/>
    <w:rsid w:val="00476A5E"/>
    <w:rsid w:val="00476FC4"/>
    <w:rsid w:val="004770FA"/>
    <w:rsid w:val="004774D7"/>
    <w:rsid w:val="00477536"/>
    <w:rsid w:val="0048055C"/>
    <w:rsid w:val="00480680"/>
    <w:rsid w:val="00480878"/>
    <w:rsid w:val="00482779"/>
    <w:rsid w:val="0048365D"/>
    <w:rsid w:val="00483CB7"/>
    <w:rsid w:val="00484C9A"/>
    <w:rsid w:val="00484E44"/>
    <w:rsid w:val="0048641A"/>
    <w:rsid w:val="00486BA5"/>
    <w:rsid w:val="00486D0A"/>
    <w:rsid w:val="00486D32"/>
    <w:rsid w:val="00490149"/>
    <w:rsid w:val="00491956"/>
    <w:rsid w:val="00492F66"/>
    <w:rsid w:val="004930DD"/>
    <w:rsid w:val="00493C0D"/>
    <w:rsid w:val="00494615"/>
    <w:rsid w:val="00495014"/>
    <w:rsid w:val="00495435"/>
    <w:rsid w:val="00496707"/>
    <w:rsid w:val="00496BD0"/>
    <w:rsid w:val="00496E45"/>
    <w:rsid w:val="004A0A3D"/>
    <w:rsid w:val="004A1B36"/>
    <w:rsid w:val="004A398B"/>
    <w:rsid w:val="004A3991"/>
    <w:rsid w:val="004A486A"/>
    <w:rsid w:val="004A5215"/>
    <w:rsid w:val="004A59FC"/>
    <w:rsid w:val="004A634E"/>
    <w:rsid w:val="004A6C67"/>
    <w:rsid w:val="004A726D"/>
    <w:rsid w:val="004A7527"/>
    <w:rsid w:val="004A79EF"/>
    <w:rsid w:val="004A7A7E"/>
    <w:rsid w:val="004B12DC"/>
    <w:rsid w:val="004B2D0D"/>
    <w:rsid w:val="004B2EF2"/>
    <w:rsid w:val="004B3198"/>
    <w:rsid w:val="004B3B97"/>
    <w:rsid w:val="004B4190"/>
    <w:rsid w:val="004B49C1"/>
    <w:rsid w:val="004B51D3"/>
    <w:rsid w:val="004B522D"/>
    <w:rsid w:val="004B5DAD"/>
    <w:rsid w:val="004B63B8"/>
    <w:rsid w:val="004B6BD3"/>
    <w:rsid w:val="004B7BE4"/>
    <w:rsid w:val="004C0A07"/>
    <w:rsid w:val="004C0B74"/>
    <w:rsid w:val="004C0E63"/>
    <w:rsid w:val="004C11ED"/>
    <w:rsid w:val="004C153C"/>
    <w:rsid w:val="004C1B31"/>
    <w:rsid w:val="004C1E0F"/>
    <w:rsid w:val="004C27FB"/>
    <w:rsid w:val="004C3724"/>
    <w:rsid w:val="004C434E"/>
    <w:rsid w:val="004C4A3D"/>
    <w:rsid w:val="004C4C95"/>
    <w:rsid w:val="004C4DD2"/>
    <w:rsid w:val="004C5A75"/>
    <w:rsid w:val="004C5C39"/>
    <w:rsid w:val="004C7180"/>
    <w:rsid w:val="004C7320"/>
    <w:rsid w:val="004C7737"/>
    <w:rsid w:val="004C7D6E"/>
    <w:rsid w:val="004D1032"/>
    <w:rsid w:val="004D1382"/>
    <w:rsid w:val="004D1814"/>
    <w:rsid w:val="004D266A"/>
    <w:rsid w:val="004D3043"/>
    <w:rsid w:val="004D3DF4"/>
    <w:rsid w:val="004D43E3"/>
    <w:rsid w:val="004D48B6"/>
    <w:rsid w:val="004D4B30"/>
    <w:rsid w:val="004D5B1E"/>
    <w:rsid w:val="004D5CC6"/>
    <w:rsid w:val="004D6465"/>
    <w:rsid w:val="004D7169"/>
    <w:rsid w:val="004D7AAB"/>
    <w:rsid w:val="004D7F9D"/>
    <w:rsid w:val="004E00E5"/>
    <w:rsid w:val="004E0462"/>
    <w:rsid w:val="004E0B4B"/>
    <w:rsid w:val="004E0DBE"/>
    <w:rsid w:val="004E1181"/>
    <w:rsid w:val="004E1EE7"/>
    <w:rsid w:val="004E2D0D"/>
    <w:rsid w:val="004E3005"/>
    <w:rsid w:val="004E4653"/>
    <w:rsid w:val="004E4B47"/>
    <w:rsid w:val="004E5663"/>
    <w:rsid w:val="004E5866"/>
    <w:rsid w:val="004E5D7A"/>
    <w:rsid w:val="004E677A"/>
    <w:rsid w:val="004E6887"/>
    <w:rsid w:val="004E6C57"/>
    <w:rsid w:val="004E7456"/>
    <w:rsid w:val="004F0234"/>
    <w:rsid w:val="004F02EB"/>
    <w:rsid w:val="004F2F08"/>
    <w:rsid w:val="004F2FE7"/>
    <w:rsid w:val="004F358B"/>
    <w:rsid w:val="004F4BE3"/>
    <w:rsid w:val="004F5B82"/>
    <w:rsid w:val="004F7152"/>
    <w:rsid w:val="004F7A42"/>
    <w:rsid w:val="004F7DB9"/>
    <w:rsid w:val="0050071D"/>
    <w:rsid w:val="005017CE"/>
    <w:rsid w:val="005019E1"/>
    <w:rsid w:val="00502626"/>
    <w:rsid w:val="00502CD4"/>
    <w:rsid w:val="00504705"/>
    <w:rsid w:val="005053F8"/>
    <w:rsid w:val="00505997"/>
    <w:rsid w:val="005060E7"/>
    <w:rsid w:val="005065FB"/>
    <w:rsid w:val="00507391"/>
    <w:rsid w:val="00507794"/>
    <w:rsid w:val="00507FD7"/>
    <w:rsid w:val="0051076E"/>
    <w:rsid w:val="0051077F"/>
    <w:rsid w:val="00510977"/>
    <w:rsid w:val="00510AE7"/>
    <w:rsid w:val="00510C7A"/>
    <w:rsid w:val="005113CC"/>
    <w:rsid w:val="00512101"/>
    <w:rsid w:val="0051286D"/>
    <w:rsid w:val="00512898"/>
    <w:rsid w:val="005137E2"/>
    <w:rsid w:val="005138FF"/>
    <w:rsid w:val="0051455B"/>
    <w:rsid w:val="00514CBF"/>
    <w:rsid w:val="00515D20"/>
    <w:rsid w:val="0051691D"/>
    <w:rsid w:val="00516C14"/>
    <w:rsid w:val="00516ED7"/>
    <w:rsid w:val="005170BE"/>
    <w:rsid w:val="00521499"/>
    <w:rsid w:val="005216D0"/>
    <w:rsid w:val="00521DDD"/>
    <w:rsid w:val="00522ED4"/>
    <w:rsid w:val="00524104"/>
    <w:rsid w:val="00524B44"/>
    <w:rsid w:val="005265E1"/>
    <w:rsid w:val="00526AF7"/>
    <w:rsid w:val="005273F6"/>
    <w:rsid w:val="00527D26"/>
    <w:rsid w:val="005317D0"/>
    <w:rsid w:val="005319DC"/>
    <w:rsid w:val="005319E8"/>
    <w:rsid w:val="00531B47"/>
    <w:rsid w:val="00531FCB"/>
    <w:rsid w:val="005325C6"/>
    <w:rsid w:val="00532674"/>
    <w:rsid w:val="005327B3"/>
    <w:rsid w:val="00535F17"/>
    <w:rsid w:val="0053606D"/>
    <w:rsid w:val="00536849"/>
    <w:rsid w:val="00536CFF"/>
    <w:rsid w:val="005375A3"/>
    <w:rsid w:val="00537769"/>
    <w:rsid w:val="00540DFB"/>
    <w:rsid w:val="00541D70"/>
    <w:rsid w:val="005423E3"/>
    <w:rsid w:val="00542681"/>
    <w:rsid w:val="005428B8"/>
    <w:rsid w:val="00542D55"/>
    <w:rsid w:val="00542E4B"/>
    <w:rsid w:val="00543135"/>
    <w:rsid w:val="005438F9"/>
    <w:rsid w:val="005441A7"/>
    <w:rsid w:val="005441FD"/>
    <w:rsid w:val="0054519D"/>
    <w:rsid w:val="005454DA"/>
    <w:rsid w:val="00545CB3"/>
    <w:rsid w:val="005462C3"/>
    <w:rsid w:val="00546EDB"/>
    <w:rsid w:val="0054729E"/>
    <w:rsid w:val="005474A7"/>
    <w:rsid w:val="00547C00"/>
    <w:rsid w:val="0055000C"/>
    <w:rsid w:val="005501C0"/>
    <w:rsid w:val="00551A25"/>
    <w:rsid w:val="00551EB2"/>
    <w:rsid w:val="0055334E"/>
    <w:rsid w:val="0055335A"/>
    <w:rsid w:val="00553732"/>
    <w:rsid w:val="005542AA"/>
    <w:rsid w:val="005547C4"/>
    <w:rsid w:val="005552FA"/>
    <w:rsid w:val="00555424"/>
    <w:rsid w:val="0055556F"/>
    <w:rsid w:val="00555C06"/>
    <w:rsid w:val="00555CAA"/>
    <w:rsid w:val="005561C3"/>
    <w:rsid w:val="005562F2"/>
    <w:rsid w:val="0055721C"/>
    <w:rsid w:val="005579DC"/>
    <w:rsid w:val="00557A06"/>
    <w:rsid w:val="0056097F"/>
    <w:rsid w:val="00562097"/>
    <w:rsid w:val="00562641"/>
    <w:rsid w:val="00562865"/>
    <w:rsid w:val="005629A4"/>
    <w:rsid w:val="00564178"/>
    <w:rsid w:val="005652F8"/>
    <w:rsid w:val="00566F55"/>
    <w:rsid w:val="005675FC"/>
    <w:rsid w:val="00571D93"/>
    <w:rsid w:val="0057216E"/>
    <w:rsid w:val="0057265B"/>
    <w:rsid w:val="00572DFD"/>
    <w:rsid w:val="0057357B"/>
    <w:rsid w:val="00573750"/>
    <w:rsid w:val="0057696C"/>
    <w:rsid w:val="00576BD8"/>
    <w:rsid w:val="0057726D"/>
    <w:rsid w:val="00577F3E"/>
    <w:rsid w:val="0058115B"/>
    <w:rsid w:val="00581971"/>
    <w:rsid w:val="00581B65"/>
    <w:rsid w:val="00582406"/>
    <w:rsid w:val="00582EDE"/>
    <w:rsid w:val="00582F1E"/>
    <w:rsid w:val="00585A62"/>
    <w:rsid w:val="00585AEC"/>
    <w:rsid w:val="005860E9"/>
    <w:rsid w:val="00586257"/>
    <w:rsid w:val="005863B0"/>
    <w:rsid w:val="00586540"/>
    <w:rsid w:val="00586D44"/>
    <w:rsid w:val="00587FF6"/>
    <w:rsid w:val="0059083B"/>
    <w:rsid w:val="005909FA"/>
    <w:rsid w:val="00590B36"/>
    <w:rsid w:val="00590F8A"/>
    <w:rsid w:val="00590FD2"/>
    <w:rsid w:val="005912DD"/>
    <w:rsid w:val="005919E1"/>
    <w:rsid w:val="00591E6F"/>
    <w:rsid w:val="00592562"/>
    <w:rsid w:val="00592A4B"/>
    <w:rsid w:val="00592E2B"/>
    <w:rsid w:val="00594186"/>
    <w:rsid w:val="0059437F"/>
    <w:rsid w:val="0059501B"/>
    <w:rsid w:val="00595307"/>
    <w:rsid w:val="005954F9"/>
    <w:rsid w:val="005957CE"/>
    <w:rsid w:val="005958FA"/>
    <w:rsid w:val="00596104"/>
    <w:rsid w:val="00596141"/>
    <w:rsid w:val="00596276"/>
    <w:rsid w:val="00596A7F"/>
    <w:rsid w:val="00597C01"/>
    <w:rsid w:val="00597C84"/>
    <w:rsid w:val="005A13DC"/>
    <w:rsid w:val="005A1A8B"/>
    <w:rsid w:val="005A21E3"/>
    <w:rsid w:val="005A2878"/>
    <w:rsid w:val="005A2AE5"/>
    <w:rsid w:val="005A45B7"/>
    <w:rsid w:val="005A52F8"/>
    <w:rsid w:val="005A6E9B"/>
    <w:rsid w:val="005A783B"/>
    <w:rsid w:val="005B181F"/>
    <w:rsid w:val="005B194D"/>
    <w:rsid w:val="005B2928"/>
    <w:rsid w:val="005B2EA1"/>
    <w:rsid w:val="005B30FE"/>
    <w:rsid w:val="005B33A4"/>
    <w:rsid w:val="005B3462"/>
    <w:rsid w:val="005B3565"/>
    <w:rsid w:val="005B3A9E"/>
    <w:rsid w:val="005B426A"/>
    <w:rsid w:val="005B4576"/>
    <w:rsid w:val="005B595B"/>
    <w:rsid w:val="005C04F5"/>
    <w:rsid w:val="005C04FE"/>
    <w:rsid w:val="005C1236"/>
    <w:rsid w:val="005C1812"/>
    <w:rsid w:val="005C1F30"/>
    <w:rsid w:val="005C2084"/>
    <w:rsid w:val="005C2B62"/>
    <w:rsid w:val="005C30AE"/>
    <w:rsid w:val="005C3316"/>
    <w:rsid w:val="005C4331"/>
    <w:rsid w:val="005C46C9"/>
    <w:rsid w:val="005C476A"/>
    <w:rsid w:val="005C5E5A"/>
    <w:rsid w:val="005C643E"/>
    <w:rsid w:val="005C7326"/>
    <w:rsid w:val="005C7469"/>
    <w:rsid w:val="005C757A"/>
    <w:rsid w:val="005C7714"/>
    <w:rsid w:val="005C789D"/>
    <w:rsid w:val="005C7D16"/>
    <w:rsid w:val="005C7DE5"/>
    <w:rsid w:val="005D0EFB"/>
    <w:rsid w:val="005D154D"/>
    <w:rsid w:val="005D1822"/>
    <w:rsid w:val="005D19AF"/>
    <w:rsid w:val="005D2214"/>
    <w:rsid w:val="005D3D26"/>
    <w:rsid w:val="005D47BF"/>
    <w:rsid w:val="005D47C5"/>
    <w:rsid w:val="005D57C2"/>
    <w:rsid w:val="005D5E3A"/>
    <w:rsid w:val="005D6A52"/>
    <w:rsid w:val="005D6BA0"/>
    <w:rsid w:val="005D7973"/>
    <w:rsid w:val="005D7CF7"/>
    <w:rsid w:val="005E2A0A"/>
    <w:rsid w:val="005E2EB5"/>
    <w:rsid w:val="005E3323"/>
    <w:rsid w:val="005E3BA4"/>
    <w:rsid w:val="005E40F2"/>
    <w:rsid w:val="005E428E"/>
    <w:rsid w:val="005E520F"/>
    <w:rsid w:val="005E5980"/>
    <w:rsid w:val="005E5E8A"/>
    <w:rsid w:val="005E63D3"/>
    <w:rsid w:val="005E6558"/>
    <w:rsid w:val="005E77E2"/>
    <w:rsid w:val="005F156E"/>
    <w:rsid w:val="005F1A4F"/>
    <w:rsid w:val="005F2249"/>
    <w:rsid w:val="005F22DB"/>
    <w:rsid w:val="005F2EED"/>
    <w:rsid w:val="005F3777"/>
    <w:rsid w:val="005F40EB"/>
    <w:rsid w:val="005F4E5C"/>
    <w:rsid w:val="005F562E"/>
    <w:rsid w:val="005F5E80"/>
    <w:rsid w:val="005F6CDD"/>
    <w:rsid w:val="005F6EB0"/>
    <w:rsid w:val="005F700A"/>
    <w:rsid w:val="005F73E3"/>
    <w:rsid w:val="005F7537"/>
    <w:rsid w:val="005F7558"/>
    <w:rsid w:val="005F7A6B"/>
    <w:rsid w:val="005F7A78"/>
    <w:rsid w:val="005F7EAB"/>
    <w:rsid w:val="005F7F43"/>
    <w:rsid w:val="0060093A"/>
    <w:rsid w:val="00600FCD"/>
    <w:rsid w:val="00601354"/>
    <w:rsid w:val="00603026"/>
    <w:rsid w:val="006031AE"/>
    <w:rsid w:val="00603FC2"/>
    <w:rsid w:val="00605CF9"/>
    <w:rsid w:val="00605EB8"/>
    <w:rsid w:val="00606584"/>
    <w:rsid w:val="006066F4"/>
    <w:rsid w:val="00606C1F"/>
    <w:rsid w:val="0060726E"/>
    <w:rsid w:val="00610130"/>
    <w:rsid w:val="006104D4"/>
    <w:rsid w:val="0061075B"/>
    <w:rsid w:val="006113D5"/>
    <w:rsid w:val="00611868"/>
    <w:rsid w:val="00611AB5"/>
    <w:rsid w:val="0061464A"/>
    <w:rsid w:val="006146D2"/>
    <w:rsid w:val="00614D49"/>
    <w:rsid w:val="006159D9"/>
    <w:rsid w:val="006166B4"/>
    <w:rsid w:val="00617731"/>
    <w:rsid w:val="00617A26"/>
    <w:rsid w:val="00617F87"/>
    <w:rsid w:val="00620175"/>
    <w:rsid w:val="00620ACD"/>
    <w:rsid w:val="0062113A"/>
    <w:rsid w:val="0062201B"/>
    <w:rsid w:val="0062268D"/>
    <w:rsid w:val="00622AA8"/>
    <w:rsid w:val="00624D20"/>
    <w:rsid w:val="00625973"/>
    <w:rsid w:val="006259BE"/>
    <w:rsid w:val="006261F4"/>
    <w:rsid w:val="006272E1"/>
    <w:rsid w:val="00627579"/>
    <w:rsid w:val="00627B13"/>
    <w:rsid w:val="00627CBD"/>
    <w:rsid w:val="00627FEB"/>
    <w:rsid w:val="0063056A"/>
    <w:rsid w:val="006308B2"/>
    <w:rsid w:val="00630F84"/>
    <w:rsid w:val="006310D5"/>
    <w:rsid w:val="00631564"/>
    <w:rsid w:val="00631918"/>
    <w:rsid w:val="00632102"/>
    <w:rsid w:val="00633C9B"/>
    <w:rsid w:val="00634352"/>
    <w:rsid w:val="0063484F"/>
    <w:rsid w:val="006349E9"/>
    <w:rsid w:val="00634BD9"/>
    <w:rsid w:val="00635141"/>
    <w:rsid w:val="006351C2"/>
    <w:rsid w:val="006351FE"/>
    <w:rsid w:val="00635534"/>
    <w:rsid w:val="00635770"/>
    <w:rsid w:val="00636B5A"/>
    <w:rsid w:val="0064032E"/>
    <w:rsid w:val="0064044E"/>
    <w:rsid w:val="00641082"/>
    <w:rsid w:val="006416A6"/>
    <w:rsid w:val="006424B6"/>
    <w:rsid w:val="00642C0C"/>
    <w:rsid w:val="00643434"/>
    <w:rsid w:val="006441A2"/>
    <w:rsid w:val="0064454A"/>
    <w:rsid w:val="0064590A"/>
    <w:rsid w:val="006467B7"/>
    <w:rsid w:val="00646C85"/>
    <w:rsid w:val="0065160E"/>
    <w:rsid w:val="006531F1"/>
    <w:rsid w:val="00653689"/>
    <w:rsid w:val="00653B8A"/>
    <w:rsid w:val="00653DF7"/>
    <w:rsid w:val="00654D0C"/>
    <w:rsid w:val="00655217"/>
    <w:rsid w:val="00656065"/>
    <w:rsid w:val="00656886"/>
    <w:rsid w:val="00656B83"/>
    <w:rsid w:val="00657624"/>
    <w:rsid w:val="00657B13"/>
    <w:rsid w:val="00657E73"/>
    <w:rsid w:val="00660B61"/>
    <w:rsid w:val="00661158"/>
    <w:rsid w:val="00661660"/>
    <w:rsid w:val="0066166F"/>
    <w:rsid w:val="0066274A"/>
    <w:rsid w:val="00662924"/>
    <w:rsid w:val="0066307D"/>
    <w:rsid w:val="0066329B"/>
    <w:rsid w:val="0066337F"/>
    <w:rsid w:val="00663799"/>
    <w:rsid w:val="006638CC"/>
    <w:rsid w:val="006640D7"/>
    <w:rsid w:val="006644C3"/>
    <w:rsid w:val="00664662"/>
    <w:rsid w:val="00664785"/>
    <w:rsid w:val="00664A10"/>
    <w:rsid w:val="00664D6F"/>
    <w:rsid w:val="00664EE6"/>
    <w:rsid w:val="00665B31"/>
    <w:rsid w:val="006664FD"/>
    <w:rsid w:val="00666C4D"/>
    <w:rsid w:val="00670E08"/>
    <w:rsid w:val="006716C8"/>
    <w:rsid w:val="00671B38"/>
    <w:rsid w:val="00672105"/>
    <w:rsid w:val="00672877"/>
    <w:rsid w:val="00673813"/>
    <w:rsid w:val="00673A77"/>
    <w:rsid w:val="00673D11"/>
    <w:rsid w:val="00674138"/>
    <w:rsid w:val="00674A60"/>
    <w:rsid w:val="00674B72"/>
    <w:rsid w:val="00675D48"/>
    <w:rsid w:val="006761F1"/>
    <w:rsid w:val="006764C2"/>
    <w:rsid w:val="00676676"/>
    <w:rsid w:val="00676F47"/>
    <w:rsid w:val="006800DD"/>
    <w:rsid w:val="0068051F"/>
    <w:rsid w:val="00680B57"/>
    <w:rsid w:val="006817E9"/>
    <w:rsid w:val="00681BE0"/>
    <w:rsid w:val="006832AD"/>
    <w:rsid w:val="006834B6"/>
    <w:rsid w:val="0068351A"/>
    <w:rsid w:val="00683D55"/>
    <w:rsid w:val="0068468C"/>
    <w:rsid w:val="00685860"/>
    <w:rsid w:val="00685DC5"/>
    <w:rsid w:val="00686172"/>
    <w:rsid w:val="00686966"/>
    <w:rsid w:val="00687299"/>
    <w:rsid w:val="0069097D"/>
    <w:rsid w:val="00690D8A"/>
    <w:rsid w:val="0069135E"/>
    <w:rsid w:val="00692025"/>
    <w:rsid w:val="00692624"/>
    <w:rsid w:val="00692CEF"/>
    <w:rsid w:val="00692DBC"/>
    <w:rsid w:val="00692E39"/>
    <w:rsid w:val="00693349"/>
    <w:rsid w:val="0069337F"/>
    <w:rsid w:val="00693738"/>
    <w:rsid w:val="00693BC8"/>
    <w:rsid w:val="00694AF7"/>
    <w:rsid w:val="00695B56"/>
    <w:rsid w:val="00695C51"/>
    <w:rsid w:val="006976E3"/>
    <w:rsid w:val="006A07CD"/>
    <w:rsid w:val="006A0805"/>
    <w:rsid w:val="006A19DF"/>
    <w:rsid w:val="006A2C2E"/>
    <w:rsid w:val="006A343D"/>
    <w:rsid w:val="006A3495"/>
    <w:rsid w:val="006A3B82"/>
    <w:rsid w:val="006A3DB8"/>
    <w:rsid w:val="006A4163"/>
    <w:rsid w:val="006A4361"/>
    <w:rsid w:val="006A4862"/>
    <w:rsid w:val="006A567C"/>
    <w:rsid w:val="006A56DF"/>
    <w:rsid w:val="006A6199"/>
    <w:rsid w:val="006A6910"/>
    <w:rsid w:val="006A6DC2"/>
    <w:rsid w:val="006A7BA5"/>
    <w:rsid w:val="006B0301"/>
    <w:rsid w:val="006B0E7E"/>
    <w:rsid w:val="006B11CD"/>
    <w:rsid w:val="006B1328"/>
    <w:rsid w:val="006B145D"/>
    <w:rsid w:val="006B17C5"/>
    <w:rsid w:val="006B180E"/>
    <w:rsid w:val="006B2BDC"/>
    <w:rsid w:val="006B33A3"/>
    <w:rsid w:val="006B3906"/>
    <w:rsid w:val="006B3CF4"/>
    <w:rsid w:val="006B4354"/>
    <w:rsid w:val="006B490D"/>
    <w:rsid w:val="006B5088"/>
    <w:rsid w:val="006B56F7"/>
    <w:rsid w:val="006B5AF0"/>
    <w:rsid w:val="006B5C56"/>
    <w:rsid w:val="006B74BF"/>
    <w:rsid w:val="006B78F5"/>
    <w:rsid w:val="006C0069"/>
    <w:rsid w:val="006C0F17"/>
    <w:rsid w:val="006C10EC"/>
    <w:rsid w:val="006C177D"/>
    <w:rsid w:val="006C1CCA"/>
    <w:rsid w:val="006C2427"/>
    <w:rsid w:val="006C29FF"/>
    <w:rsid w:val="006C2D33"/>
    <w:rsid w:val="006C2F6E"/>
    <w:rsid w:val="006C3C9F"/>
    <w:rsid w:val="006C3E5B"/>
    <w:rsid w:val="006C4CFA"/>
    <w:rsid w:val="006C540C"/>
    <w:rsid w:val="006C72D8"/>
    <w:rsid w:val="006D0E5E"/>
    <w:rsid w:val="006D2443"/>
    <w:rsid w:val="006D3492"/>
    <w:rsid w:val="006D35BF"/>
    <w:rsid w:val="006D50B8"/>
    <w:rsid w:val="006D56AB"/>
    <w:rsid w:val="006D6169"/>
    <w:rsid w:val="006D64E5"/>
    <w:rsid w:val="006D6664"/>
    <w:rsid w:val="006D72B7"/>
    <w:rsid w:val="006E0955"/>
    <w:rsid w:val="006E3F25"/>
    <w:rsid w:val="006E439F"/>
    <w:rsid w:val="006E4F3E"/>
    <w:rsid w:val="006E510F"/>
    <w:rsid w:val="006E54BB"/>
    <w:rsid w:val="006E5AAD"/>
    <w:rsid w:val="006E5AEC"/>
    <w:rsid w:val="006E742A"/>
    <w:rsid w:val="006E7A2F"/>
    <w:rsid w:val="006F0378"/>
    <w:rsid w:val="006F04A0"/>
    <w:rsid w:val="006F06D7"/>
    <w:rsid w:val="006F3AFB"/>
    <w:rsid w:val="006F41E3"/>
    <w:rsid w:val="006F425B"/>
    <w:rsid w:val="006F440C"/>
    <w:rsid w:val="006F5469"/>
    <w:rsid w:val="006F6AF2"/>
    <w:rsid w:val="006F73AF"/>
    <w:rsid w:val="0070024D"/>
    <w:rsid w:val="00700D35"/>
    <w:rsid w:val="00703208"/>
    <w:rsid w:val="0070372A"/>
    <w:rsid w:val="00703802"/>
    <w:rsid w:val="00703B6E"/>
    <w:rsid w:val="00704E3C"/>
    <w:rsid w:val="00705F1D"/>
    <w:rsid w:val="00706010"/>
    <w:rsid w:val="007067AE"/>
    <w:rsid w:val="00706846"/>
    <w:rsid w:val="00706CBB"/>
    <w:rsid w:val="00706F78"/>
    <w:rsid w:val="00707297"/>
    <w:rsid w:val="00707338"/>
    <w:rsid w:val="00707E20"/>
    <w:rsid w:val="00710BCF"/>
    <w:rsid w:val="0071133D"/>
    <w:rsid w:val="00711383"/>
    <w:rsid w:val="00711430"/>
    <w:rsid w:val="007116A5"/>
    <w:rsid w:val="00711996"/>
    <w:rsid w:val="00711B6A"/>
    <w:rsid w:val="00713BB4"/>
    <w:rsid w:val="00714329"/>
    <w:rsid w:val="007153DC"/>
    <w:rsid w:val="007155C0"/>
    <w:rsid w:val="007171A4"/>
    <w:rsid w:val="007221E7"/>
    <w:rsid w:val="00722880"/>
    <w:rsid w:val="007229CE"/>
    <w:rsid w:val="007233F2"/>
    <w:rsid w:val="00725FF0"/>
    <w:rsid w:val="00726078"/>
    <w:rsid w:val="007261CE"/>
    <w:rsid w:val="0072624C"/>
    <w:rsid w:val="0072652C"/>
    <w:rsid w:val="00726574"/>
    <w:rsid w:val="00726D02"/>
    <w:rsid w:val="0072711C"/>
    <w:rsid w:val="00727B99"/>
    <w:rsid w:val="00730459"/>
    <w:rsid w:val="00730D2F"/>
    <w:rsid w:val="00732E7B"/>
    <w:rsid w:val="007335FA"/>
    <w:rsid w:val="007338D9"/>
    <w:rsid w:val="00733A99"/>
    <w:rsid w:val="00735B6A"/>
    <w:rsid w:val="00735D6F"/>
    <w:rsid w:val="00736005"/>
    <w:rsid w:val="00736666"/>
    <w:rsid w:val="007366CC"/>
    <w:rsid w:val="007374C2"/>
    <w:rsid w:val="00737ADE"/>
    <w:rsid w:val="00737E54"/>
    <w:rsid w:val="00737E96"/>
    <w:rsid w:val="00740B31"/>
    <w:rsid w:val="00741309"/>
    <w:rsid w:val="00742A5F"/>
    <w:rsid w:val="00742BA0"/>
    <w:rsid w:val="00743F0B"/>
    <w:rsid w:val="007442F9"/>
    <w:rsid w:val="007458F2"/>
    <w:rsid w:val="00745B88"/>
    <w:rsid w:val="00745BAE"/>
    <w:rsid w:val="007465E4"/>
    <w:rsid w:val="00746936"/>
    <w:rsid w:val="00747624"/>
    <w:rsid w:val="007477CD"/>
    <w:rsid w:val="00747807"/>
    <w:rsid w:val="007478D2"/>
    <w:rsid w:val="00747C2F"/>
    <w:rsid w:val="00747E9E"/>
    <w:rsid w:val="00747F2B"/>
    <w:rsid w:val="00747FE3"/>
    <w:rsid w:val="00750705"/>
    <w:rsid w:val="00751710"/>
    <w:rsid w:val="00752850"/>
    <w:rsid w:val="00753433"/>
    <w:rsid w:val="0075394F"/>
    <w:rsid w:val="00753B01"/>
    <w:rsid w:val="00753B1E"/>
    <w:rsid w:val="00753F96"/>
    <w:rsid w:val="00754796"/>
    <w:rsid w:val="007550C4"/>
    <w:rsid w:val="00755463"/>
    <w:rsid w:val="0075570C"/>
    <w:rsid w:val="007559A4"/>
    <w:rsid w:val="00755CEC"/>
    <w:rsid w:val="00757D0A"/>
    <w:rsid w:val="00757EEB"/>
    <w:rsid w:val="00760559"/>
    <w:rsid w:val="0076074E"/>
    <w:rsid w:val="0076086A"/>
    <w:rsid w:val="00760A58"/>
    <w:rsid w:val="00761101"/>
    <w:rsid w:val="007612A7"/>
    <w:rsid w:val="007616AE"/>
    <w:rsid w:val="007616FA"/>
    <w:rsid w:val="007618C9"/>
    <w:rsid w:val="00762205"/>
    <w:rsid w:val="00762464"/>
    <w:rsid w:val="00762D05"/>
    <w:rsid w:val="007632CF"/>
    <w:rsid w:val="0076368B"/>
    <w:rsid w:val="007642F8"/>
    <w:rsid w:val="00764A2A"/>
    <w:rsid w:val="007652B2"/>
    <w:rsid w:val="00765557"/>
    <w:rsid w:val="0076768F"/>
    <w:rsid w:val="00767766"/>
    <w:rsid w:val="00767E44"/>
    <w:rsid w:val="00770957"/>
    <w:rsid w:val="00770AC3"/>
    <w:rsid w:val="0077121F"/>
    <w:rsid w:val="00771D45"/>
    <w:rsid w:val="00771F2E"/>
    <w:rsid w:val="00771F94"/>
    <w:rsid w:val="0077200B"/>
    <w:rsid w:val="00772950"/>
    <w:rsid w:val="00772BBF"/>
    <w:rsid w:val="00773974"/>
    <w:rsid w:val="00773CDA"/>
    <w:rsid w:val="00773F79"/>
    <w:rsid w:val="00775927"/>
    <w:rsid w:val="00775FCC"/>
    <w:rsid w:val="00776B55"/>
    <w:rsid w:val="007779CE"/>
    <w:rsid w:val="0078064A"/>
    <w:rsid w:val="00780A01"/>
    <w:rsid w:val="00780CB5"/>
    <w:rsid w:val="007829E6"/>
    <w:rsid w:val="00782ACF"/>
    <w:rsid w:val="00783338"/>
    <w:rsid w:val="00784600"/>
    <w:rsid w:val="00784642"/>
    <w:rsid w:val="007848E8"/>
    <w:rsid w:val="00784E35"/>
    <w:rsid w:val="00785279"/>
    <w:rsid w:val="007853E1"/>
    <w:rsid w:val="00785C8A"/>
    <w:rsid w:val="007869B7"/>
    <w:rsid w:val="00786C6D"/>
    <w:rsid w:val="007870F4"/>
    <w:rsid w:val="007878E3"/>
    <w:rsid w:val="007910AB"/>
    <w:rsid w:val="00791625"/>
    <w:rsid w:val="0079180D"/>
    <w:rsid w:val="007925A6"/>
    <w:rsid w:val="007927BF"/>
    <w:rsid w:val="00793C2A"/>
    <w:rsid w:val="00795CD8"/>
    <w:rsid w:val="00796112"/>
    <w:rsid w:val="00796454"/>
    <w:rsid w:val="007966A2"/>
    <w:rsid w:val="0079795E"/>
    <w:rsid w:val="007A0068"/>
    <w:rsid w:val="007A0566"/>
    <w:rsid w:val="007A130A"/>
    <w:rsid w:val="007A1A8C"/>
    <w:rsid w:val="007A1C34"/>
    <w:rsid w:val="007A1C51"/>
    <w:rsid w:val="007A1F72"/>
    <w:rsid w:val="007A2100"/>
    <w:rsid w:val="007A29BC"/>
    <w:rsid w:val="007A2CAE"/>
    <w:rsid w:val="007A31E3"/>
    <w:rsid w:val="007A3E2D"/>
    <w:rsid w:val="007A49FB"/>
    <w:rsid w:val="007A57E9"/>
    <w:rsid w:val="007A6E16"/>
    <w:rsid w:val="007A6E65"/>
    <w:rsid w:val="007B006B"/>
    <w:rsid w:val="007B0CCC"/>
    <w:rsid w:val="007B0DD7"/>
    <w:rsid w:val="007B16FA"/>
    <w:rsid w:val="007B1967"/>
    <w:rsid w:val="007B1AC2"/>
    <w:rsid w:val="007B2E72"/>
    <w:rsid w:val="007B30FD"/>
    <w:rsid w:val="007B437E"/>
    <w:rsid w:val="007B4588"/>
    <w:rsid w:val="007B6B47"/>
    <w:rsid w:val="007B6F48"/>
    <w:rsid w:val="007B76F5"/>
    <w:rsid w:val="007B796F"/>
    <w:rsid w:val="007B7F0B"/>
    <w:rsid w:val="007C0221"/>
    <w:rsid w:val="007C0C3F"/>
    <w:rsid w:val="007C142D"/>
    <w:rsid w:val="007C15CA"/>
    <w:rsid w:val="007C1B89"/>
    <w:rsid w:val="007C2587"/>
    <w:rsid w:val="007C2690"/>
    <w:rsid w:val="007C2758"/>
    <w:rsid w:val="007C3949"/>
    <w:rsid w:val="007C3D82"/>
    <w:rsid w:val="007C3EAF"/>
    <w:rsid w:val="007C4413"/>
    <w:rsid w:val="007C47B9"/>
    <w:rsid w:val="007C61C6"/>
    <w:rsid w:val="007C7564"/>
    <w:rsid w:val="007C7D10"/>
    <w:rsid w:val="007D0B3D"/>
    <w:rsid w:val="007D0C21"/>
    <w:rsid w:val="007D1967"/>
    <w:rsid w:val="007D1D71"/>
    <w:rsid w:val="007D3172"/>
    <w:rsid w:val="007D4296"/>
    <w:rsid w:val="007D52B5"/>
    <w:rsid w:val="007D5B9E"/>
    <w:rsid w:val="007D5E91"/>
    <w:rsid w:val="007D68BC"/>
    <w:rsid w:val="007E01FF"/>
    <w:rsid w:val="007E0CEA"/>
    <w:rsid w:val="007E120A"/>
    <w:rsid w:val="007E16C8"/>
    <w:rsid w:val="007E2B0B"/>
    <w:rsid w:val="007E3BEF"/>
    <w:rsid w:val="007E41ED"/>
    <w:rsid w:val="007E45D0"/>
    <w:rsid w:val="007E4AC4"/>
    <w:rsid w:val="007E504D"/>
    <w:rsid w:val="007E52D9"/>
    <w:rsid w:val="007E5911"/>
    <w:rsid w:val="007E59E1"/>
    <w:rsid w:val="007E682F"/>
    <w:rsid w:val="007E6BB2"/>
    <w:rsid w:val="007E715F"/>
    <w:rsid w:val="007E7301"/>
    <w:rsid w:val="007E7B80"/>
    <w:rsid w:val="007F057D"/>
    <w:rsid w:val="007F079A"/>
    <w:rsid w:val="007F07AF"/>
    <w:rsid w:val="007F1143"/>
    <w:rsid w:val="007F1A93"/>
    <w:rsid w:val="007F20C4"/>
    <w:rsid w:val="007F21DE"/>
    <w:rsid w:val="007F2312"/>
    <w:rsid w:val="007F288C"/>
    <w:rsid w:val="007F2D56"/>
    <w:rsid w:val="007F3792"/>
    <w:rsid w:val="007F4321"/>
    <w:rsid w:val="007F5BE8"/>
    <w:rsid w:val="007F69E9"/>
    <w:rsid w:val="007F6E2E"/>
    <w:rsid w:val="007F7B56"/>
    <w:rsid w:val="008009D1"/>
    <w:rsid w:val="00800ED5"/>
    <w:rsid w:val="0080130E"/>
    <w:rsid w:val="00801A40"/>
    <w:rsid w:val="0080206A"/>
    <w:rsid w:val="00802151"/>
    <w:rsid w:val="00802B2B"/>
    <w:rsid w:val="008030B9"/>
    <w:rsid w:val="00803533"/>
    <w:rsid w:val="00804430"/>
    <w:rsid w:val="00804F3F"/>
    <w:rsid w:val="0080644C"/>
    <w:rsid w:val="00807323"/>
    <w:rsid w:val="008104D7"/>
    <w:rsid w:val="00811023"/>
    <w:rsid w:val="0081229B"/>
    <w:rsid w:val="008124F7"/>
    <w:rsid w:val="0081318E"/>
    <w:rsid w:val="00814460"/>
    <w:rsid w:val="00814522"/>
    <w:rsid w:val="00814CF5"/>
    <w:rsid w:val="00815D18"/>
    <w:rsid w:val="0081648E"/>
    <w:rsid w:val="00816B3C"/>
    <w:rsid w:val="00816E5F"/>
    <w:rsid w:val="00817371"/>
    <w:rsid w:val="00817609"/>
    <w:rsid w:val="00817653"/>
    <w:rsid w:val="008179C4"/>
    <w:rsid w:val="00820B59"/>
    <w:rsid w:val="00820E45"/>
    <w:rsid w:val="0082232E"/>
    <w:rsid w:val="00822469"/>
    <w:rsid w:val="008224B1"/>
    <w:rsid w:val="00822BE2"/>
    <w:rsid w:val="00823823"/>
    <w:rsid w:val="00823B1D"/>
    <w:rsid w:val="00824538"/>
    <w:rsid w:val="008250A8"/>
    <w:rsid w:val="0082529D"/>
    <w:rsid w:val="00825C15"/>
    <w:rsid w:val="00826186"/>
    <w:rsid w:val="0082647B"/>
    <w:rsid w:val="008268E7"/>
    <w:rsid w:val="00826D78"/>
    <w:rsid w:val="00827A6E"/>
    <w:rsid w:val="008301CC"/>
    <w:rsid w:val="0083054B"/>
    <w:rsid w:val="008316FF"/>
    <w:rsid w:val="00833E47"/>
    <w:rsid w:val="00834E7D"/>
    <w:rsid w:val="00835068"/>
    <w:rsid w:val="00835C56"/>
    <w:rsid w:val="0083692C"/>
    <w:rsid w:val="00836B93"/>
    <w:rsid w:val="008374B3"/>
    <w:rsid w:val="0083775F"/>
    <w:rsid w:val="00837848"/>
    <w:rsid w:val="00837D06"/>
    <w:rsid w:val="00837F01"/>
    <w:rsid w:val="00840040"/>
    <w:rsid w:val="00840069"/>
    <w:rsid w:val="008420A5"/>
    <w:rsid w:val="00842108"/>
    <w:rsid w:val="00842740"/>
    <w:rsid w:val="00842C1B"/>
    <w:rsid w:val="00842CC5"/>
    <w:rsid w:val="008432C3"/>
    <w:rsid w:val="008433E7"/>
    <w:rsid w:val="008442F6"/>
    <w:rsid w:val="008451AD"/>
    <w:rsid w:val="00846530"/>
    <w:rsid w:val="00846533"/>
    <w:rsid w:val="0084725B"/>
    <w:rsid w:val="00847343"/>
    <w:rsid w:val="00847B56"/>
    <w:rsid w:val="00850F9A"/>
    <w:rsid w:val="00851E50"/>
    <w:rsid w:val="00852AE0"/>
    <w:rsid w:val="00852CE3"/>
    <w:rsid w:val="00853079"/>
    <w:rsid w:val="008546D7"/>
    <w:rsid w:val="008548C9"/>
    <w:rsid w:val="00854B5C"/>
    <w:rsid w:val="00854CAD"/>
    <w:rsid w:val="008555B9"/>
    <w:rsid w:val="0085592C"/>
    <w:rsid w:val="0085594C"/>
    <w:rsid w:val="00855F21"/>
    <w:rsid w:val="008562EA"/>
    <w:rsid w:val="00856641"/>
    <w:rsid w:val="00856795"/>
    <w:rsid w:val="0086023B"/>
    <w:rsid w:val="00860867"/>
    <w:rsid w:val="00860F1B"/>
    <w:rsid w:val="00861F49"/>
    <w:rsid w:val="00862541"/>
    <w:rsid w:val="0086255E"/>
    <w:rsid w:val="008625C2"/>
    <w:rsid w:val="00864685"/>
    <w:rsid w:val="0086477C"/>
    <w:rsid w:val="00864905"/>
    <w:rsid w:val="00864C2D"/>
    <w:rsid w:val="0086556C"/>
    <w:rsid w:val="00867058"/>
    <w:rsid w:val="008706BC"/>
    <w:rsid w:val="008709E9"/>
    <w:rsid w:val="00870E93"/>
    <w:rsid w:val="008721AD"/>
    <w:rsid w:val="0087237F"/>
    <w:rsid w:val="008728F2"/>
    <w:rsid w:val="00873340"/>
    <w:rsid w:val="008736D9"/>
    <w:rsid w:val="0087377E"/>
    <w:rsid w:val="008743C6"/>
    <w:rsid w:val="0087527A"/>
    <w:rsid w:val="008756BE"/>
    <w:rsid w:val="008767D2"/>
    <w:rsid w:val="00877023"/>
    <w:rsid w:val="00877325"/>
    <w:rsid w:val="00877465"/>
    <w:rsid w:val="00877E15"/>
    <w:rsid w:val="00880B48"/>
    <w:rsid w:val="00880E60"/>
    <w:rsid w:val="008813B1"/>
    <w:rsid w:val="0088290D"/>
    <w:rsid w:val="00885903"/>
    <w:rsid w:val="00886D23"/>
    <w:rsid w:val="008919A3"/>
    <w:rsid w:val="00891BAF"/>
    <w:rsid w:val="00891ED9"/>
    <w:rsid w:val="00892FC0"/>
    <w:rsid w:val="00894131"/>
    <w:rsid w:val="00895AAF"/>
    <w:rsid w:val="00896F65"/>
    <w:rsid w:val="00896FF5"/>
    <w:rsid w:val="00897340"/>
    <w:rsid w:val="008A0018"/>
    <w:rsid w:val="008A02D0"/>
    <w:rsid w:val="008A119A"/>
    <w:rsid w:val="008A2065"/>
    <w:rsid w:val="008A2B53"/>
    <w:rsid w:val="008A42CC"/>
    <w:rsid w:val="008A4AC8"/>
    <w:rsid w:val="008A6456"/>
    <w:rsid w:val="008A679E"/>
    <w:rsid w:val="008A71C0"/>
    <w:rsid w:val="008A753B"/>
    <w:rsid w:val="008B036F"/>
    <w:rsid w:val="008B0CF2"/>
    <w:rsid w:val="008B11C2"/>
    <w:rsid w:val="008B16C1"/>
    <w:rsid w:val="008B1D90"/>
    <w:rsid w:val="008B1E7C"/>
    <w:rsid w:val="008B1F76"/>
    <w:rsid w:val="008B21AC"/>
    <w:rsid w:val="008B2AB3"/>
    <w:rsid w:val="008B3CB2"/>
    <w:rsid w:val="008B4A43"/>
    <w:rsid w:val="008B6FC4"/>
    <w:rsid w:val="008B742E"/>
    <w:rsid w:val="008B7DD5"/>
    <w:rsid w:val="008C0673"/>
    <w:rsid w:val="008C119B"/>
    <w:rsid w:val="008C13F1"/>
    <w:rsid w:val="008C2A30"/>
    <w:rsid w:val="008C52CB"/>
    <w:rsid w:val="008C57A8"/>
    <w:rsid w:val="008C5D9F"/>
    <w:rsid w:val="008C6033"/>
    <w:rsid w:val="008C6BA3"/>
    <w:rsid w:val="008C6FFE"/>
    <w:rsid w:val="008C752F"/>
    <w:rsid w:val="008C7A68"/>
    <w:rsid w:val="008C7F4C"/>
    <w:rsid w:val="008D0877"/>
    <w:rsid w:val="008D0C89"/>
    <w:rsid w:val="008D3DDC"/>
    <w:rsid w:val="008D461D"/>
    <w:rsid w:val="008D4BD9"/>
    <w:rsid w:val="008D5C6B"/>
    <w:rsid w:val="008D6B0F"/>
    <w:rsid w:val="008D72FD"/>
    <w:rsid w:val="008D7B31"/>
    <w:rsid w:val="008E028E"/>
    <w:rsid w:val="008E12C1"/>
    <w:rsid w:val="008E1446"/>
    <w:rsid w:val="008E2916"/>
    <w:rsid w:val="008E2CE0"/>
    <w:rsid w:val="008E33D8"/>
    <w:rsid w:val="008E399E"/>
    <w:rsid w:val="008E4609"/>
    <w:rsid w:val="008E5E32"/>
    <w:rsid w:val="008E6281"/>
    <w:rsid w:val="008E6AD4"/>
    <w:rsid w:val="008E6FFD"/>
    <w:rsid w:val="008E736F"/>
    <w:rsid w:val="008F36AD"/>
    <w:rsid w:val="008F3EB7"/>
    <w:rsid w:val="008F407A"/>
    <w:rsid w:val="008F5604"/>
    <w:rsid w:val="008F5908"/>
    <w:rsid w:val="008F62CC"/>
    <w:rsid w:val="008F69AC"/>
    <w:rsid w:val="008F6E8F"/>
    <w:rsid w:val="008F70BD"/>
    <w:rsid w:val="008F7E65"/>
    <w:rsid w:val="008F7FFA"/>
    <w:rsid w:val="0090028C"/>
    <w:rsid w:val="0090147B"/>
    <w:rsid w:val="00901701"/>
    <w:rsid w:val="00901EAF"/>
    <w:rsid w:val="009023F8"/>
    <w:rsid w:val="009029AC"/>
    <w:rsid w:val="00902C55"/>
    <w:rsid w:val="00903ACF"/>
    <w:rsid w:val="0090568A"/>
    <w:rsid w:val="00905959"/>
    <w:rsid w:val="00905FB2"/>
    <w:rsid w:val="0090623B"/>
    <w:rsid w:val="00906402"/>
    <w:rsid w:val="009065BF"/>
    <w:rsid w:val="0090778A"/>
    <w:rsid w:val="00907CBE"/>
    <w:rsid w:val="0091095B"/>
    <w:rsid w:val="00911BD0"/>
    <w:rsid w:val="00912BB7"/>
    <w:rsid w:val="00912BF2"/>
    <w:rsid w:val="009140EC"/>
    <w:rsid w:val="009148E8"/>
    <w:rsid w:val="0091554A"/>
    <w:rsid w:val="00915748"/>
    <w:rsid w:val="009160AF"/>
    <w:rsid w:val="00916884"/>
    <w:rsid w:val="009177C0"/>
    <w:rsid w:val="00917B7D"/>
    <w:rsid w:val="00920851"/>
    <w:rsid w:val="00920BBD"/>
    <w:rsid w:val="00922728"/>
    <w:rsid w:val="00922E67"/>
    <w:rsid w:val="00923892"/>
    <w:rsid w:val="0092400C"/>
    <w:rsid w:val="00924AD4"/>
    <w:rsid w:val="009264AD"/>
    <w:rsid w:val="009267C1"/>
    <w:rsid w:val="00926C49"/>
    <w:rsid w:val="00927203"/>
    <w:rsid w:val="00930EC3"/>
    <w:rsid w:val="00930FC4"/>
    <w:rsid w:val="00931911"/>
    <w:rsid w:val="00931AE0"/>
    <w:rsid w:val="009321F2"/>
    <w:rsid w:val="009328CA"/>
    <w:rsid w:val="00934BBB"/>
    <w:rsid w:val="009355B8"/>
    <w:rsid w:val="00935D90"/>
    <w:rsid w:val="009363E1"/>
    <w:rsid w:val="00936F8A"/>
    <w:rsid w:val="00937708"/>
    <w:rsid w:val="00937719"/>
    <w:rsid w:val="009379DD"/>
    <w:rsid w:val="00937B8B"/>
    <w:rsid w:val="00937F67"/>
    <w:rsid w:val="00937FFE"/>
    <w:rsid w:val="0094084A"/>
    <w:rsid w:val="00940BAA"/>
    <w:rsid w:val="0094123D"/>
    <w:rsid w:val="00942E00"/>
    <w:rsid w:val="00943380"/>
    <w:rsid w:val="0094421E"/>
    <w:rsid w:val="00944D61"/>
    <w:rsid w:val="0094612D"/>
    <w:rsid w:val="009461E2"/>
    <w:rsid w:val="00947DD0"/>
    <w:rsid w:val="0095010E"/>
    <w:rsid w:val="009505E1"/>
    <w:rsid w:val="00951337"/>
    <w:rsid w:val="00952070"/>
    <w:rsid w:val="0095212F"/>
    <w:rsid w:val="009535F8"/>
    <w:rsid w:val="00953885"/>
    <w:rsid w:val="00953A1A"/>
    <w:rsid w:val="009542CE"/>
    <w:rsid w:val="009545F3"/>
    <w:rsid w:val="009547A2"/>
    <w:rsid w:val="00956068"/>
    <w:rsid w:val="009565E0"/>
    <w:rsid w:val="009575D6"/>
    <w:rsid w:val="009577E0"/>
    <w:rsid w:val="00957F91"/>
    <w:rsid w:val="00960278"/>
    <w:rsid w:val="00961518"/>
    <w:rsid w:val="00961B28"/>
    <w:rsid w:val="00961B90"/>
    <w:rsid w:val="00961D93"/>
    <w:rsid w:val="0096225C"/>
    <w:rsid w:val="00962797"/>
    <w:rsid w:val="00962A19"/>
    <w:rsid w:val="00962C61"/>
    <w:rsid w:val="00962EDA"/>
    <w:rsid w:val="00963E24"/>
    <w:rsid w:val="009660ED"/>
    <w:rsid w:val="00970D94"/>
    <w:rsid w:val="00971214"/>
    <w:rsid w:val="009721DD"/>
    <w:rsid w:val="0097320D"/>
    <w:rsid w:val="009732F0"/>
    <w:rsid w:val="00973387"/>
    <w:rsid w:val="00973739"/>
    <w:rsid w:val="00973FBF"/>
    <w:rsid w:val="009746F8"/>
    <w:rsid w:val="00974931"/>
    <w:rsid w:val="00976211"/>
    <w:rsid w:val="00977ADE"/>
    <w:rsid w:val="0098192C"/>
    <w:rsid w:val="00982112"/>
    <w:rsid w:val="0098224A"/>
    <w:rsid w:val="009826AF"/>
    <w:rsid w:val="009827EC"/>
    <w:rsid w:val="00982E65"/>
    <w:rsid w:val="0098350D"/>
    <w:rsid w:val="00983B18"/>
    <w:rsid w:val="00984350"/>
    <w:rsid w:val="00984A3F"/>
    <w:rsid w:val="00985366"/>
    <w:rsid w:val="00987427"/>
    <w:rsid w:val="0099073B"/>
    <w:rsid w:val="009912EC"/>
    <w:rsid w:val="009922AA"/>
    <w:rsid w:val="00992CF2"/>
    <w:rsid w:val="00992FBD"/>
    <w:rsid w:val="0099305F"/>
    <w:rsid w:val="00993FEB"/>
    <w:rsid w:val="009942A9"/>
    <w:rsid w:val="00994DBA"/>
    <w:rsid w:val="00994FEB"/>
    <w:rsid w:val="0099521E"/>
    <w:rsid w:val="00997018"/>
    <w:rsid w:val="00997485"/>
    <w:rsid w:val="00997EBE"/>
    <w:rsid w:val="009A0933"/>
    <w:rsid w:val="009A1009"/>
    <w:rsid w:val="009A13DB"/>
    <w:rsid w:val="009A1899"/>
    <w:rsid w:val="009A18B0"/>
    <w:rsid w:val="009A3049"/>
    <w:rsid w:val="009A3186"/>
    <w:rsid w:val="009A4039"/>
    <w:rsid w:val="009A4111"/>
    <w:rsid w:val="009A4CA4"/>
    <w:rsid w:val="009A5079"/>
    <w:rsid w:val="009A5299"/>
    <w:rsid w:val="009A592A"/>
    <w:rsid w:val="009A5AC1"/>
    <w:rsid w:val="009A5B55"/>
    <w:rsid w:val="009A5DD6"/>
    <w:rsid w:val="009A61CE"/>
    <w:rsid w:val="009A6B17"/>
    <w:rsid w:val="009A6B47"/>
    <w:rsid w:val="009A6C44"/>
    <w:rsid w:val="009A6EB7"/>
    <w:rsid w:val="009A6FCF"/>
    <w:rsid w:val="009A7612"/>
    <w:rsid w:val="009A7DC4"/>
    <w:rsid w:val="009B0240"/>
    <w:rsid w:val="009B07F0"/>
    <w:rsid w:val="009B0965"/>
    <w:rsid w:val="009B1034"/>
    <w:rsid w:val="009B1468"/>
    <w:rsid w:val="009B1802"/>
    <w:rsid w:val="009B2599"/>
    <w:rsid w:val="009B2FC9"/>
    <w:rsid w:val="009B3AEB"/>
    <w:rsid w:val="009B419A"/>
    <w:rsid w:val="009B448A"/>
    <w:rsid w:val="009B44AA"/>
    <w:rsid w:val="009B5042"/>
    <w:rsid w:val="009B50C8"/>
    <w:rsid w:val="009B5370"/>
    <w:rsid w:val="009B5742"/>
    <w:rsid w:val="009B5C32"/>
    <w:rsid w:val="009B6EFF"/>
    <w:rsid w:val="009C0E76"/>
    <w:rsid w:val="009C0F75"/>
    <w:rsid w:val="009C16C8"/>
    <w:rsid w:val="009C1751"/>
    <w:rsid w:val="009C24A4"/>
    <w:rsid w:val="009C48EE"/>
    <w:rsid w:val="009C5F0E"/>
    <w:rsid w:val="009C65BE"/>
    <w:rsid w:val="009C6B3F"/>
    <w:rsid w:val="009C756C"/>
    <w:rsid w:val="009C78D2"/>
    <w:rsid w:val="009D0E87"/>
    <w:rsid w:val="009D1564"/>
    <w:rsid w:val="009D2162"/>
    <w:rsid w:val="009D2F46"/>
    <w:rsid w:val="009D3A9A"/>
    <w:rsid w:val="009D4F38"/>
    <w:rsid w:val="009D5B9B"/>
    <w:rsid w:val="009D68D2"/>
    <w:rsid w:val="009D70BE"/>
    <w:rsid w:val="009D77A3"/>
    <w:rsid w:val="009D7A12"/>
    <w:rsid w:val="009E0429"/>
    <w:rsid w:val="009E0D85"/>
    <w:rsid w:val="009E1B60"/>
    <w:rsid w:val="009E1BB6"/>
    <w:rsid w:val="009E2E92"/>
    <w:rsid w:val="009E3BF1"/>
    <w:rsid w:val="009E48BB"/>
    <w:rsid w:val="009E5E62"/>
    <w:rsid w:val="009E61BD"/>
    <w:rsid w:val="009E6540"/>
    <w:rsid w:val="009E6686"/>
    <w:rsid w:val="009E66E2"/>
    <w:rsid w:val="009E74CD"/>
    <w:rsid w:val="009F0634"/>
    <w:rsid w:val="009F1682"/>
    <w:rsid w:val="009F2818"/>
    <w:rsid w:val="009F2998"/>
    <w:rsid w:val="009F2DAF"/>
    <w:rsid w:val="009F42CE"/>
    <w:rsid w:val="009F46DD"/>
    <w:rsid w:val="009F4EC5"/>
    <w:rsid w:val="009F66D8"/>
    <w:rsid w:val="009F6E55"/>
    <w:rsid w:val="009F6E7F"/>
    <w:rsid w:val="00A00EE4"/>
    <w:rsid w:val="00A01050"/>
    <w:rsid w:val="00A01C23"/>
    <w:rsid w:val="00A01F0B"/>
    <w:rsid w:val="00A024C0"/>
    <w:rsid w:val="00A0273C"/>
    <w:rsid w:val="00A0320E"/>
    <w:rsid w:val="00A0419F"/>
    <w:rsid w:val="00A042DC"/>
    <w:rsid w:val="00A045E4"/>
    <w:rsid w:val="00A04B04"/>
    <w:rsid w:val="00A04D27"/>
    <w:rsid w:val="00A058CA"/>
    <w:rsid w:val="00A06B98"/>
    <w:rsid w:val="00A074C1"/>
    <w:rsid w:val="00A07843"/>
    <w:rsid w:val="00A10507"/>
    <w:rsid w:val="00A10E15"/>
    <w:rsid w:val="00A11090"/>
    <w:rsid w:val="00A11DA6"/>
    <w:rsid w:val="00A121A0"/>
    <w:rsid w:val="00A12A2A"/>
    <w:rsid w:val="00A12FA5"/>
    <w:rsid w:val="00A13F26"/>
    <w:rsid w:val="00A159BD"/>
    <w:rsid w:val="00A1674E"/>
    <w:rsid w:val="00A16989"/>
    <w:rsid w:val="00A16D6A"/>
    <w:rsid w:val="00A16F91"/>
    <w:rsid w:val="00A172F9"/>
    <w:rsid w:val="00A236D9"/>
    <w:rsid w:val="00A23BE0"/>
    <w:rsid w:val="00A23C87"/>
    <w:rsid w:val="00A24656"/>
    <w:rsid w:val="00A24DB7"/>
    <w:rsid w:val="00A2517D"/>
    <w:rsid w:val="00A2551E"/>
    <w:rsid w:val="00A25865"/>
    <w:rsid w:val="00A25906"/>
    <w:rsid w:val="00A279AD"/>
    <w:rsid w:val="00A27BB1"/>
    <w:rsid w:val="00A27F09"/>
    <w:rsid w:val="00A31101"/>
    <w:rsid w:val="00A316A1"/>
    <w:rsid w:val="00A320A2"/>
    <w:rsid w:val="00A3247F"/>
    <w:rsid w:val="00A33BBA"/>
    <w:rsid w:val="00A348C9"/>
    <w:rsid w:val="00A3503D"/>
    <w:rsid w:val="00A3531F"/>
    <w:rsid w:val="00A35915"/>
    <w:rsid w:val="00A35CF5"/>
    <w:rsid w:val="00A35E28"/>
    <w:rsid w:val="00A365D7"/>
    <w:rsid w:val="00A36607"/>
    <w:rsid w:val="00A373D2"/>
    <w:rsid w:val="00A37456"/>
    <w:rsid w:val="00A37899"/>
    <w:rsid w:val="00A40DE5"/>
    <w:rsid w:val="00A414D3"/>
    <w:rsid w:val="00A42254"/>
    <w:rsid w:val="00A4292D"/>
    <w:rsid w:val="00A43741"/>
    <w:rsid w:val="00A44F36"/>
    <w:rsid w:val="00A454ED"/>
    <w:rsid w:val="00A455EE"/>
    <w:rsid w:val="00A45CAA"/>
    <w:rsid w:val="00A45DFB"/>
    <w:rsid w:val="00A46296"/>
    <w:rsid w:val="00A46AA3"/>
    <w:rsid w:val="00A471CC"/>
    <w:rsid w:val="00A47458"/>
    <w:rsid w:val="00A4781E"/>
    <w:rsid w:val="00A51025"/>
    <w:rsid w:val="00A5119C"/>
    <w:rsid w:val="00A51728"/>
    <w:rsid w:val="00A51BAA"/>
    <w:rsid w:val="00A520C0"/>
    <w:rsid w:val="00A52812"/>
    <w:rsid w:val="00A52D2A"/>
    <w:rsid w:val="00A52D33"/>
    <w:rsid w:val="00A53E1B"/>
    <w:rsid w:val="00A54CE8"/>
    <w:rsid w:val="00A54FF8"/>
    <w:rsid w:val="00A56175"/>
    <w:rsid w:val="00A566DF"/>
    <w:rsid w:val="00A577EE"/>
    <w:rsid w:val="00A6023E"/>
    <w:rsid w:val="00A62037"/>
    <w:rsid w:val="00A620CF"/>
    <w:rsid w:val="00A63992"/>
    <w:rsid w:val="00A63DE0"/>
    <w:rsid w:val="00A641E6"/>
    <w:rsid w:val="00A64D51"/>
    <w:rsid w:val="00A651DF"/>
    <w:rsid w:val="00A65AFA"/>
    <w:rsid w:val="00A65B91"/>
    <w:rsid w:val="00A65F49"/>
    <w:rsid w:val="00A66B86"/>
    <w:rsid w:val="00A70527"/>
    <w:rsid w:val="00A712D6"/>
    <w:rsid w:val="00A713EB"/>
    <w:rsid w:val="00A71BDF"/>
    <w:rsid w:val="00A71E58"/>
    <w:rsid w:val="00A72313"/>
    <w:rsid w:val="00A724A9"/>
    <w:rsid w:val="00A726D8"/>
    <w:rsid w:val="00A7324E"/>
    <w:rsid w:val="00A7434D"/>
    <w:rsid w:val="00A74D27"/>
    <w:rsid w:val="00A74D3A"/>
    <w:rsid w:val="00A76264"/>
    <w:rsid w:val="00A7699D"/>
    <w:rsid w:val="00A77856"/>
    <w:rsid w:val="00A800F8"/>
    <w:rsid w:val="00A816E9"/>
    <w:rsid w:val="00A820FA"/>
    <w:rsid w:val="00A837D0"/>
    <w:rsid w:val="00A83DDA"/>
    <w:rsid w:val="00A84A1F"/>
    <w:rsid w:val="00A852E1"/>
    <w:rsid w:val="00A85547"/>
    <w:rsid w:val="00A85DDE"/>
    <w:rsid w:val="00A864CD"/>
    <w:rsid w:val="00A877D2"/>
    <w:rsid w:val="00A90A83"/>
    <w:rsid w:val="00A90AE0"/>
    <w:rsid w:val="00A90C5B"/>
    <w:rsid w:val="00A914AC"/>
    <w:rsid w:val="00A928EE"/>
    <w:rsid w:val="00A92BBC"/>
    <w:rsid w:val="00A94149"/>
    <w:rsid w:val="00A943A8"/>
    <w:rsid w:val="00A94AB7"/>
    <w:rsid w:val="00A94EB1"/>
    <w:rsid w:val="00A96B6C"/>
    <w:rsid w:val="00A96E26"/>
    <w:rsid w:val="00A97153"/>
    <w:rsid w:val="00A97C2A"/>
    <w:rsid w:val="00AA1175"/>
    <w:rsid w:val="00AA1AE8"/>
    <w:rsid w:val="00AA1CDD"/>
    <w:rsid w:val="00AA245B"/>
    <w:rsid w:val="00AA358D"/>
    <w:rsid w:val="00AA3A7D"/>
    <w:rsid w:val="00AA3C57"/>
    <w:rsid w:val="00AA41DA"/>
    <w:rsid w:val="00AA49EC"/>
    <w:rsid w:val="00AA689A"/>
    <w:rsid w:val="00AA6F4A"/>
    <w:rsid w:val="00AB010A"/>
    <w:rsid w:val="00AB0A5C"/>
    <w:rsid w:val="00AB0CD8"/>
    <w:rsid w:val="00AB11A6"/>
    <w:rsid w:val="00AB1BF2"/>
    <w:rsid w:val="00AB2686"/>
    <w:rsid w:val="00AB3434"/>
    <w:rsid w:val="00AB3697"/>
    <w:rsid w:val="00AB3BC8"/>
    <w:rsid w:val="00AB4530"/>
    <w:rsid w:val="00AB4776"/>
    <w:rsid w:val="00AB4E5F"/>
    <w:rsid w:val="00AB4ED1"/>
    <w:rsid w:val="00AB500E"/>
    <w:rsid w:val="00AB50A6"/>
    <w:rsid w:val="00AB5BC9"/>
    <w:rsid w:val="00AB5F8C"/>
    <w:rsid w:val="00AB65CC"/>
    <w:rsid w:val="00AB710E"/>
    <w:rsid w:val="00AC0146"/>
    <w:rsid w:val="00AC0F22"/>
    <w:rsid w:val="00AC1891"/>
    <w:rsid w:val="00AC2AC6"/>
    <w:rsid w:val="00AC3140"/>
    <w:rsid w:val="00AC3791"/>
    <w:rsid w:val="00AC435A"/>
    <w:rsid w:val="00AC48FD"/>
    <w:rsid w:val="00AC5269"/>
    <w:rsid w:val="00AC5CE3"/>
    <w:rsid w:val="00AC79D4"/>
    <w:rsid w:val="00AD0338"/>
    <w:rsid w:val="00AD0BB7"/>
    <w:rsid w:val="00AD0CFF"/>
    <w:rsid w:val="00AD228B"/>
    <w:rsid w:val="00AD25E4"/>
    <w:rsid w:val="00AD3C47"/>
    <w:rsid w:val="00AD44B1"/>
    <w:rsid w:val="00AD4B46"/>
    <w:rsid w:val="00AD533F"/>
    <w:rsid w:val="00AD6248"/>
    <w:rsid w:val="00AD69EF"/>
    <w:rsid w:val="00AD6C71"/>
    <w:rsid w:val="00AD6FDC"/>
    <w:rsid w:val="00AD740E"/>
    <w:rsid w:val="00AE0438"/>
    <w:rsid w:val="00AE04C9"/>
    <w:rsid w:val="00AE0F9D"/>
    <w:rsid w:val="00AE1127"/>
    <w:rsid w:val="00AE124C"/>
    <w:rsid w:val="00AE1C9C"/>
    <w:rsid w:val="00AE2032"/>
    <w:rsid w:val="00AE247C"/>
    <w:rsid w:val="00AE38C4"/>
    <w:rsid w:val="00AE3B9F"/>
    <w:rsid w:val="00AE3E1F"/>
    <w:rsid w:val="00AE5E25"/>
    <w:rsid w:val="00AE621A"/>
    <w:rsid w:val="00AE78B3"/>
    <w:rsid w:val="00AF0A46"/>
    <w:rsid w:val="00AF0C03"/>
    <w:rsid w:val="00AF149A"/>
    <w:rsid w:val="00AF2A5C"/>
    <w:rsid w:val="00AF4299"/>
    <w:rsid w:val="00AF4719"/>
    <w:rsid w:val="00AF63AB"/>
    <w:rsid w:val="00AF6CB7"/>
    <w:rsid w:val="00AF7D0A"/>
    <w:rsid w:val="00B01090"/>
    <w:rsid w:val="00B011C8"/>
    <w:rsid w:val="00B01AC0"/>
    <w:rsid w:val="00B034CA"/>
    <w:rsid w:val="00B03931"/>
    <w:rsid w:val="00B03B26"/>
    <w:rsid w:val="00B03D67"/>
    <w:rsid w:val="00B04190"/>
    <w:rsid w:val="00B04502"/>
    <w:rsid w:val="00B04535"/>
    <w:rsid w:val="00B0460B"/>
    <w:rsid w:val="00B046EC"/>
    <w:rsid w:val="00B048E3"/>
    <w:rsid w:val="00B049BA"/>
    <w:rsid w:val="00B052D0"/>
    <w:rsid w:val="00B05E17"/>
    <w:rsid w:val="00B06EA2"/>
    <w:rsid w:val="00B06EFF"/>
    <w:rsid w:val="00B10E91"/>
    <w:rsid w:val="00B12F9D"/>
    <w:rsid w:val="00B135D8"/>
    <w:rsid w:val="00B14165"/>
    <w:rsid w:val="00B14433"/>
    <w:rsid w:val="00B144F4"/>
    <w:rsid w:val="00B14730"/>
    <w:rsid w:val="00B15105"/>
    <w:rsid w:val="00B1653E"/>
    <w:rsid w:val="00B16B9A"/>
    <w:rsid w:val="00B16D5C"/>
    <w:rsid w:val="00B17C2E"/>
    <w:rsid w:val="00B22B06"/>
    <w:rsid w:val="00B238F0"/>
    <w:rsid w:val="00B24427"/>
    <w:rsid w:val="00B245ED"/>
    <w:rsid w:val="00B25B60"/>
    <w:rsid w:val="00B267CB"/>
    <w:rsid w:val="00B26A94"/>
    <w:rsid w:val="00B27B14"/>
    <w:rsid w:val="00B305B5"/>
    <w:rsid w:val="00B3124A"/>
    <w:rsid w:val="00B3148A"/>
    <w:rsid w:val="00B3168E"/>
    <w:rsid w:val="00B337B1"/>
    <w:rsid w:val="00B33A55"/>
    <w:rsid w:val="00B33A57"/>
    <w:rsid w:val="00B33D64"/>
    <w:rsid w:val="00B34B88"/>
    <w:rsid w:val="00B34DC0"/>
    <w:rsid w:val="00B34F01"/>
    <w:rsid w:val="00B35D43"/>
    <w:rsid w:val="00B36864"/>
    <w:rsid w:val="00B374B9"/>
    <w:rsid w:val="00B37538"/>
    <w:rsid w:val="00B37D00"/>
    <w:rsid w:val="00B37EF5"/>
    <w:rsid w:val="00B37FBF"/>
    <w:rsid w:val="00B401A4"/>
    <w:rsid w:val="00B405C7"/>
    <w:rsid w:val="00B40CFD"/>
    <w:rsid w:val="00B40EF6"/>
    <w:rsid w:val="00B41602"/>
    <w:rsid w:val="00B41EC4"/>
    <w:rsid w:val="00B41F7D"/>
    <w:rsid w:val="00B426BD"/>
    <w:rsid w:val="00B4320B"/>
    <w:rsid w:val="00B4384D"/>
    <w:rsid w:val="00B43B83"/>
    <w:rsid w:val="00B440F9"/>
    <w:rsid w:val="00B45168"/>
    <w:rsid w:val="00B45A6A"/>
    <w:rsid w:val="00B464BA"/>
    <w:rsid w:val="00B46C3D"/>
    <w:rsid w:val="00B47164"/>
    <w:rsid w:val="00B50AB2"/>
    <w:rsid w:val="00B5108E"/>
    <w:rsid w:val="00B51C01"/>
    <w:rsid w:val="00B51E28"/>
    <w:rsid w:val="00B52FBE"/>
    <w:rsid w:val="00B52FDA"/>
    <w:rsid w:val="00B53BE1"/>
    <w:rsid w:val="00B53E46"/>
    <w:rsid w:val="00B546B8"/>
    <w:rsid w:val="00B54903"/>
    <w:rsid w:val="00B54BDC"/>
    <w:rsid w:val="00B554B3"/>
    <w:rsid w:val="00B554D2"/>
    <w:rsid w:val="00B56B16"/>
    <w:rsid w:val="00B57C2D"/>
    <w:rsid w:val="00B60444"/>
    <w:rsid w:val="00B6077C"/>
    <w:rsid w:val="00B60CD0"/>
    <w:rsid w:val="00B61281"/>
    <w:rsid w:val="00B633BE"/>
    <w:rsid w:val="00B63524"/>
    <w:rsid w:val="00B6397A"/>
    <w:rsid w:val="00B657A1"/>
    <w:rsid w:val="00B6663E"/>
    <w:rsid w:val="00B667AD"/>
    <w:rsid w:val="00B66867"/>
    <w:rsid w:val="00B66B12"/>
    <w:rsid w:val="00B66D23"/>
    <w:rsid w:val="00B67545"/>
    <w:rsid w:val="00B70430"/>
    <w:rsid w:val="00B70A0E"/>
    <w:rsid w:val="00B7178B"/>
    <w:rsid w:val="00B7219E"/>
    <w:rsid w:val="00B722B5"/>
    <w:rsid w:val="00B73069"/>
    <w:rsid w:val="00B734C8"/>
    <w:rsid w:val="00B73FC4"/>
    <w:rsid w:val="00B7531D"/>
    <w:rsid w:val="00B7538E"/>
    <w:rsid w:val="00B76B7D"/>
    <w:rsid w:val="00B76BA7"/>
    <w:rsid w:val="00B77B18"/>
    <w:rsid w:val="00B77B75"/>
    <w:rsid w:val="00B77E21"/>
    <w:rsid w:val="00B77EA5"/>
    <w:rsid w:val="00B804AA"/>
    <w:rsid w:val="00B80762"/>
    <w:rsid w:val="00B81097"/>
    <w:rsid w:val="00B8144D"/>
    <w:rsid w:val="00B81DE5"/>
    <w:rsid w:val="00B82493"/>
    <w:rsid w:val="00B82A06"/>
    <w:rsid w:val="00B8362C"/>
    <w:rsid w:val="00B83772"/>
    <w:rsid w:val="00B837C8"/>
    <w:rsid w:val="00B846E1"/>
    <w:rsid w:val="00B847B7"/>
    <w:rsid w:val="00B848A5"/>
    <w:rsid w:val="00B84C3A"/>
    <w:rsid w:val="00B84F59"/>
    <w:rsid w:val="00B855C8"/>
    <w:rsid w:val="00B8617A"/>
    <w:rsid w:val="00B864E8"/>
    <w:rsid w:val="00B86E88"/>
    <w:rsid w:val="00B872A3"/>
    <w:rsid w:val="00B876BE"/>
    <w:rsid w:val="00B90ABD"/>
    <w:rsid w:val="00B911FF"/>
    <w:rsid w:val="00B92999"/>
    <w:rsid w:val="00B930E4"/>
    <w:rsid w:val="00B93116"/>
    <w:rsid w:val="00B93678"/>
    <w:rsid w:val="00B938D8"/>
    <w:rsid w:val="00B93DFF"/>
    <w:rsid w:val="00B945F3"/>
    <w:rsid w:val="00B95326"/>
    <w:rsid w:val="00B96122"/>
    <w:rsid w:val="00B9643A"/>
    <w:rsid w:val="00B96DA3"/>
    <w:rsid w:val="00B96F88"/>
    <w:rsid w:val="00BA06EB"/>
    <w:rsid w:val="00BA17DE"/>
    <w:rsid w:val="00BA2259"/>
    <w:rsid w:val="00BA3837"/>
    <w:rsid w:val="00BA3E87"/>
    <w:rsid w:val="00BA46B5"/>
    <w:rsid w:val="00BA536D"/>
    <w:rsid w:val="00BA5F93"/>
    <w:rsid w:val="00BA633C"/>
    <w:rsid w:val="00BA63BC"/>
    <w:rsid w:val="00BB08EF"/>
    <w:rsid w:val="00BB109F"/>
    <w:rsid w:val="00BB1C56"/>
    <w:rsid w:val="00BB2555"/>
    <w:rsid w:val="00BB261C"/>
    <w:rsid w:val="00BB2BA6"/>
    <w:rsid w:val="00BB2F82"/>
    <w:rsid w:val="00BB3405"/>
    <w:rsid w:val="00BB366C"/>
    <w:rsid w:val="00BB39E9"/>
    <w:rsid w:val="00BB3AAE"/>
    <w:rsid w:val="00BB3CB8"/>
    <w:rsid w:val="00BB4605"/>
    <w:rsid w:val="00BB54EA"/>
    <w:rsid w:val="00BB5775"/>
    <w:rsid w:val="00BB6977"/>
    <w:rsid w:val="00BB6C1E"/>
    <w:rsid w:val="00BB7F6B"/>
    <w:rsid w:val="00BC04C9"/>
    <w:rsid w:val="00BC057E"/>
    <w:rsid w:val="00BC0B23"/>
    <w:rsid w:val="00BC0B92"/>
    <w:rsid w:val="00BC130E"/>
    <w:rsid w:val="00BC132A"/>
    <w:rsid w:val="00BC1486"/>
    <w:rsid w:val="00BC24C9"/>
    <w:rsid w:val="00BC2D0D"/>
    <w:rsid w:val="00BC330C"/>
    <w:rsid w:val="00BC3793"/>
    <w:rsid w:val="00BC3C4C"/>
    <w:rsid w:val="00BC48BC"/>
    <w:rsid w:val="00BC48F5"/>
    <w:rsid w:val="00BC4E52"/>
    <w:rsid w:val="00BC5264"/>
    <w:rsid w:val="00BC6070"/>
    <w:rsid w:val="00BC6868"/>
    <w:rsid w:val="00BD1C6C"/>
    <w:rsid w:val="00BD2013"/>
    <w:rsid w:val="00BD2831"/>
    <w:rsid w:val="00BD3092"/>
    <w:rsid w:val="00BD394D"/>
    <w:rsid w:val="00BD4142"/>
    <w:rsid w:val="00BD5337"/>
    <w:rsid w:val="00BD5EEF"/>
    <w:rsid w:val="00BD687C"/>
    <w:rsid w:val="00BD747F"/>
    <w:rsid w:val="00BD7DC4"/>
    <w:rsid w:val="00BE031D"/>
    <w:rsid w:val="00BE0490"/>
    <w:rsid w:val="00BE0942"/>
    <w:rsid w:val="00BE0A9C"/>
    <w:rsid w:val="00BE13BB"/>
    <w:rsid w:val="00BE1EEC"/>
    <w:rsid w:val="00BE2349"/>
    <w:rsid w:val="00BE2B67"/>
    <w:rsid w:val="00BE314C"/>
    <w:rsid w:val="00BE3623"/>
    <w:rsid w:val="00BE4661"/>
    <w:rsid w:val="00BE56BB"/>
    <w:rsid w:val="00BE57BA"/>
    <w:rsid w:val="00BE5855"/>
    <w:rsid w:val="00BE5B22"/>
    <w:rsid w:val="00BE5DB1"/>
    <w:rsid w:val="00BE5F4B"/>
    <w:rsid w:val="00BE6308"/>
    <w:rsid w:val="00BE6648"/>
    <w:rsid w:val="00BE6861"/>
    <w:rsid w:val="00BF07C8"/>
    <w:rsid w:val="00BF100A"/>
    <w:rsid w:val="00BF17A9"/>
    <w:rsid w:val="00BF204C"/>
    <w:rsid w:val="00BF2694"/>
    <w:rsid w:val="00BF3191"/>
    <w:rsid w:val="00BF323F"/>
    <w:rsid w:val="00BF3837"/>
    <w:rsid w:val="00BF3903"/>
    <w:rsid w:val="00BF4436"/>
    <w:rsid w:val="00BF4789"/>
    <w:rsid w:val="00BF5BD5"/>
    <w:rsid w:val="00BF66E0"/>
    <w:rsid w:val="00BF75F1"/>
    <w:rsid w:val="00BF786F"/>
    <w:rsid w:val="00C0007E"/>
    <w:rsid w:val="00C011CE"/>
    <w:rsid w:val="00C01A0B"/>
    <w:rsid w:val="00C01C0D"/>
    <w:rsid w:val="00C01F22"/>
    <w:rsid w:val="00C029E1"/>
    <w:rsid w:val="00C039F7"/>
    <w:rsid w:val="00C042FF"/>
    <w:rsid w:val="00C04B70"/>
    <w:rsid w:val="00C0726D"/>
    <w:rsid w:val="00C0794C"/>
    <w:rsid w:val="00C07B3F"/>
    <w:rsid w:val="00C102AD"/>
    <w:rsid w:val="00C10610"/>
    <w:rsid w:val="00C10BFD"/>
    <w:rsid w:val="00C10DC7"/>
    <w:rsid w:val="00C10F46"/>
    <w:rsid w:val="00C1216E"/>
    <w:rsid w:val="00C1229A"/>
    <w:rsid w:val="00C129C4"/>
    <w:rsid w:val="00C12B79"/>
    <w:rsid w:val="00C12D6D"/>
    <w:rsid w:val="00C13BF6"/>
    <w:rsid w:val="00C1432E"/>
    <w:rsid w:val="00C146E6"/>
    <w:rsid w:val="00C14A17"/>
    <w:rsid w:val="00C154F6"/>
    <w:rsid w:val="00C1565E"/>
    <w:rsid w:val="00C15EC2"/>
    <w:rsid w:val="00C178F0"/>
    <w:rsid w:val="00C204D7"/>
    <w:rsid w:val="00C220CC"/>
    <w:rsid w:val="00C2210A"/>
    <w:rsid w:val="00C224E2"/>
    <w:rsid w:val="00C23D4E"/>
    <w:rsid w:val="00C24476"/>
    <w:rsid w:val="00C246FC"/>
    <w:rsid w:val="00C24CA7"/>
    <w:rsid w:val="00C24D4E"/>
    <w:rsid w:val="00C25BBE"/>
    <w:rsid w:val="00C276B7"/>
    <w:rsid w:val="00C277FA"/>
    <w:rsid w:val="00C3030B"/>
    <w:rsid w:val="00C305E6"/>
    <w:rsid w:val="00C309BF"/>
    <w:rsid w:val="00C31A5B"/>
    <w:rsid w:val="00C33494"/>
    <w:rsid w:val="00C33631"/>
    <w:rsid w:val="00C33804"/>
    <w:rsid w:val="00C34F9A"/>
    <w:rsid w:val="00C356C2"/>
    <w:rsid w:val="00C36772"/>
    <w:rsid w:val="00C36950"/>
    <w:rsid w:val="00C36ADC"/>
    <w:rsid w:val="00C3760D"/>
    <w:rsid w:val="00C37AE2"/>
    <w:rsid w:val="00C401CD"/>
    <w:rsid w:val="00C40A23"/>
    <w:rsid w:val="00C41623"/>
    <w:rsid w:val="00C41D9E"/>
    <w:rsid w:val="00C41EE1"/>
    <w:rsid w:val="00C42B93"/>
    <w:rsid w:val="00C42F4B"/>
    <w:rsid w:val="00C43D47"/>
    <w:rsid w:val="00C44052"/>
    <w:rsid w:val="00C45178"/>
    <w:rsid w:val="00C4561A"/>
    <w:rsid w:val="00C4568F"/>
    <w:rsid w:val="00C45825"/>
    <w:rsid w:val="00C45C76"/>
    <w:rsid w:val="00C46012"/>
    <w:rsid w:val="00C47774"/>
    <w:rsid w:val="00C51186"/>
    <w:rsid w:val="00C52FC2"/>
    <w:rsid w:val="00C53811"/>
    <w:rsid w:val="00C53AF4"/>
    <w:rsid w:val="00C53EC2"/>
    <w:rsid w:val="00C54639"/>
    <w:rsid w:val="00C54F86"/>
    <w:rsid w:val="00C54F8A"/>
    <w:rsid w:val="00C557C9"/>
    <w:rsid w:val="00C55EEA"/>
    <w:rsid w:val="00C56B9F"/>
    <w:rsid w:val="00C56DD2"/>
    <w:rsid w:val="00C5721E"/>
    <w:rsid w:val="00C57244"/>
    <w:rsid w:val="00C60A8F"/>
    <w:rsid w:val="00C61A2F"/>
    <w:rsid w:val="00C63287"/>
    <w:rsid w:val="00C644C7"/>
    <w:rsid w:val="00C645AE"/>
    <w:rsid w:val="00C659C7"/>
    <w:rsid w:val="00C6617F"/>
    <w:rsid w:val="00C663CB"/>
    <w:rsid w:val="00C6684C"/>
    <w:rsid w:val="00C676B5"/>
    <w:rsid w:val="00C700C8"/>
    <w:rsid w:val="00C7177A"/>
    <w:rsid w:val="00C72894"/>
    <w:rsid w:val="00C74051"/>
    <w:rsid w:val="00C743DE"/>
    <w:rsid w:val="00C74F98"/>
    <w:rsid w:val="00C75C41"/>
    <w:rsid w:val="00C75E09"/>
    <w:rsid w:val="00C76875"/>
    <w:rsid w:val="00C80036"/>
    <w:rsid w:val="00C801A1"/>
    <w:rsid w:val="00C805E3"/>
    <w:rsid w:val="00C80C40"/>
    <w:rsid w:val="00C817E4"/>
    <w:rsid w:val="00C81B13"/>
    <w:rsid w:val="00C82EC1"/>
    <w:rsid w:val="00C82F1E"/>
    <w:rsid w:val="00C83813"/>
    <w:rsid w:val="00C83ACB"/>
    <w:rsid w:val="00C84CEF"/>
    <w:rsid w:val="00C86EDC"/>
    <w:rsid w:val="00C86F98"/>
    <w:rsid w:val="00C90524"/>
    <w:rsid w:val="00C9076A"/>
    <w:rsid w:val="00C907EA"/>
    <w:rsid w:val="00C90FB8"/>
    <w:rsid w:val="00C92156"/>
    <w:rsid w:val="00C923EE"/>
    <w:rsid w:val="00C9240E"/>
    <w:rsid w:val="00C925DE"/>
    <w:rsid w:val="00C927B8"/>
    <w:rsid w:val="00C9322A"/>
    <w:rsid w:val="00C9337C"/>
    <w:rsid w:val="00C94074"/>
    <w:rsid w:val="00C9419E"/>
    <w:rsid w:val="00C9462E"/>
    <w:rsid w:val="00C96661"/>
    <w:rsid w:val="00C96A86"/>
    <w:rsid w:val="00C97609"/>
    <w:rsid w:val="00C97726"/>
    <w:rsid w:val="00C978B4"/>
    <w:rsid w:val="00CA0887"/>
    <w:rsid w:val="00CA1AF6"/>
    <w:rsid w:val="00CA2344"/>
    <w:rsid w:val="00CA27EE"/>
    <w:rsid w:val="00CA333B"/>
    <w:rsid w:val="00CA37F0"/>
    <w:rsid w:val="00CA3C1A"/>
    <w:rsid w:val="00CA3F46"/>
    <w:rsid w:val="00CA401F"/>
    <w:rsid w:val="00CA41CA"/>
    <w:rsid w:val="00CA4959"/>
    <w:rsid w:val="00CA5019"/>
    <w:rsid w:val="00CA5682"/>
    <w:rsid w:val="00CA59A8"/>
    <w:rsid w:val="00CA6345"/>
    <w:rsid w:val="00CA6CC6"/>
    <w:rsid w:val="00CA75DB"/>
    <w:rsid w:val="00CB0DB1"/>
    <w:rsid w:val="00CB1587"/>
    <w:rsid w:val="00CB1813"/>
    <w:rsid w:val="00CB189A"/>
    <w:rsid w:val="00CB2843"/>
    <w:rsid w:val="00CB2E37"/>
    <w:rsid w:val="00CB34FA"/>
    <w:rsid w:val="00CB3C60"/>
    <w:rsid w:val="00CB3DB2"/>
    <w:rsid w:val="00CB4925"/>
    <w:rsid w:val="00CB51C6"/>
    <w:rsid w:val="00CB56BB"/>
    <w:rsid w:val="00CB5B43"/>
    <w:rsid w:val="00CB65E3"/>
    <w:rsid w:val="00CB7C33"/>
    <w:rsid w:val="00CB7E80"/>
    <w:rsid w:val="00CC058E"/>
    <w:rsid w:val="00CC0BEF"/>
    <w:rsid w:val="00CC218A"/>
    <w:rsid w:val="00CC2382"/>
    <w:rsid w:val="00CC24C8"/>
    <w:rsid w:val="00CC2E34"/>
    <w:rsid w:val="00CC3BDA"/>
    <w:rsid w:val="00CC4FB7"/>
    <w:rsid w:val="00CC5E97"/>
    <w:rsid w:val="00CC5EDC"/>
    <w:rsid w:val="00CC5F39"/>
    <w:rsid w:val="00CD1E25"/>
    <w:rsid w:val="00CD238B"/>
    <w:rsid w:val="00CD3203"/>
    <w:rsid w:val="00CD3318"/>
    <w:rsid w:val="00CD335A"/>
    <w:rsid w:val="00CD33F0"/>
    <w:rsid w:val="00CD42DD"/>
    <w:rsid w:val="00CD44B6"/>
    <w:rsid w:val="00CD4936"/>
    <w:rsid w:val="00CD527A"/>
    <w:rsid w:val="00CD5927"/>
    <w:rsid w:val="00CD59F7"/>
    <w:rsid w:val="00CD6A41"/>
    <w:rsid w:val="00CD7B99"/>
    <w:rsid w:val="00CE07F2"/>
    <w:rsid w:val="00CE0D5C"/>
    <w:rsid w:val="00CE0DFC"/>
    <w:rsid w:val="00CE0EE7"/>
    <w:rsid w:val="00CE0F24"/>
    <w:rsid w:val="00CE12EA"/>
    <w:rsid w:val="00CE2CA0"/>
    <w:rsid w:val="00CE3193"/>
    <w:rsid w:val="00CE380B"/>
    <w:rsid w:val="00CE39DB"/>
    <w:rsid w:val="00CE3CFC"/>
    <w:rsid w:val="00CE4D36"/>
    <w:rsid w:val="00CE55DB"/>
    <w:rsid w:val="00CE5936"/>
    <w:rsid w:val="00CE5A0E"/>
    <w:rsid w:val="00CE5B67"/>
    <w:rsid w:val="00CE5BE1"/>
    <w:rsid w:val="00CE5DF1"/>
    <w:rsid w:val="00CE6051"/>
    <w:rsid w:val="00CE6714"/>
    <w:rsid w:val="00CF0196"/>
    <w:rsid w:val="00CF02F8"/>
    <w:rsid w:val="00CF0C4E"/>
    <w:rsid w:val="00CF10C9"/>
    <w:rsid w:val="00CF138B"/>
    <w:rsid w:val="00CF1F66"/>
    <w:rsid w:val="00CF23B7"/>
    <w:rsid w:val="00CF2981"/>
    <w:rsid w:val="00CF3FEE"/>
    <w:rsid w:val="00CF5385"/>
    <w:rsid w:val="00CF5F44"/>
    <w:rsid w:val="00CF78BE"/>
    <w:rsid w:val="00CF7A03"/>
    <w:rsid w:val="00D00268"/>
    <w:rsid w:val="00D004B4"/>
    <w:rsid w:val="00D0103F"/>
    <w:rsid w:val="00D01201"/>
    <w:rsid w:val="00D035C2"/>
    <w:rsid w:val="00D04C20"/>
    <w:rsid w:val="00D053CA"/>
    <w:rsid w:val="00D05907"/>
    <w:rsid w:val="00D06BD3"/>
    <w:rsid w:val="00D06C79"/>
    <w:rsid w:val="00D06DFD"/>
    <w:rsid w:val="00D06F2B"/>
    <w:rsid w:val="00D07546"/>
    <w:rsid w:val="00D0787C"/>
    <w:rsid w:val="00D103F6"/>
    <w:rsid w:val="00D1075D"/>
    <w:rsid w:val="00D10D95"/>
    <w:rsid w:val="00D110A7"/>
    <w:rsid w:val="00D11668"/>
    <w:rsid w:val="00D11E49"/>
    <w:rsid w:val="00D123B4"/>
    <w:rsid w:val="00D124EA"/>
    <w:rsid w:val="00D12CEA"/>
    <w:rsid w:val="00D13674"/>
    <w:rsid w:val="00D145DE"/>
    <w:rsid w:val="00D14C9C"/>
    <w:rsid w:val="00D15721"/>
    <w:rsid w:val="00D15C5F"/>
    <w:rsid w:val="00D16531"/>
    <w:rsid w:val="00D1679F"/>
    <w:rsid w:val="00D167AC"/>
    <w:rsid w:val="00D172F4"/>
    <w:rsid w:val="00D20840"/>
    <w:rsid w:val="00D20F2A"/>
    <w:rsid w:val="00D2140E"/>
    <w:rsid w:val="00D21CA2"/>
    <w:rsid w:val="00D21CA6"/>
    <w:rsid w:val="00D21D3D"/>
    <w:rsid w:val="00D237DF"/>
    <w:rsid w:val="00D255A8"/>
    <w:rsid w:val="00D25E19"/>
    <w:rsid w:val="00D2681C"/>
    <w:rsid w:val="00D27C71"/>
    <w:rsid w:val="00D30299"/>
    <w:rsid w:val="00D30A7E"/>
    <w:rsid w:val="00D318AE"/>
    <w:rsid w:val="00D34046"/>
    <w:rsid w:val="00D3434C"/>
    <w:rsid w:val="00D347BB"/>
    <w:rsid w:val="00D34B00"/>
    <w:rsid w:val="00D34FF6"/>
    <w:rsid w:val="00D35B3E"/>
    <w:rsid w:val="00D3648A"/>
    <w:rsid w:val="00D36C85"/>
    <w:rsid w:val="00D36FE5"/>
    <w:rsid w:val="00D3719F"/>
    <w:rsid w:val="00D372D3"/>
    <w:rsid w:val="00D37729"/>
    <w:rsid w:val="00D40727"/>
    <w:rsid w:val="00D40A3D"/>
    <w:rsid w:val="00D41845"/>
    <w:rsid w:val="00D43BA3"/>
    <w:rsid w:val="00D44911"/>
    <w:rsid w:val="00D45AD7"/>
    <w:rsid w:val="00D46428"/>
    <w:rsid w:val="00D4699B"/>
    <w:rsid w:val="00D46A5A"/>
    <w:rsid w:val="00D4734C"/>
    <w:rsid w:val="00D47719"/>
    <w:rsid w:val="00D47812"/>
    <w:rsid w:val="00D47B60"/>
    <w:rsid w:val="00D50740"/>
    <w:rsid w:val="00D50A08"/>
    <w:rsid w:val="00D50C4F"/>
    <w:rsid w:val="00D50DC6"/>
    <w:rsid w:val="00D510C4"/>
    <w:rsid w:val="00D5135F"/>
    <w:rsid w:val="00D53A49"/>
    <w:rsid w:val="00D53D5D"/>
    <w:rsid w:val="00D5420C"/>
    <w:rsid w:val="00D5520D"/>
    <w:rsid w:val="00D552BB"/>
    <w:rsid w:val="00D556D5"/>
    <w:rsid w:val="00D55C25"/>
    <w:rsid w:val="00D55EDA"/>
    <w:rsid w:val="00D569B5"/>
    <w:rsid w:val="00D56CAB"/>
    <w:rsid w:val="00D570AB"/>
    <w:rsid w:val="00D637C5"/>
    <w:rsid w:val="00D64F40"/>
    <w:rsid w:val="00D6596D"/>
    <w:rsid w:val="00D65CA5"/>
    <w:rsid w:val="00D666A3"/>
    <w:rsid w:val="00D6697A"/>
    <w:rsid w:val="00D66AAD"/>
    <w:rsid w:val="00D675EA"/>
    <w:rsid w:val="00D70059"/>
    <w:rsid w:val="00D7028E"/>
    <w:rsid w:val="00D7079E"/>
    <w:rsid w:val="00D7092D"/>
    <w:rsid w:val="00D72961"/>
    <w:rsid w:val="00D729CD"/>
    <w:rsid w:val="00D7322C"/>
    <w:rsid w:val="00D73D98"/>
    <w:rsid w:val="00D743EF"/>
    <w:rsid w:val="00D74A35"/>
    <w:rsid w:val="00D778AD"/>
    <w:rsid w:val="00D7798A"/>
    <w:rsid w:val="00D77FFC"/>
    <w:rsid w:val="00D804E9"/>
    <w:rsid w:val="00D80B07"/>
    <w:rsid w:val="00D82490"/>
    <w:rsid w:val="00D8309F"/>
    <w:rsid w:val="00D84F01"/>
    <w:rsid w:val="00D85A4E"/>
    <w:rsid w:val="00D85EE4"/>
    <w:rsid w:val="00D86554"/>
    <w:rsid w:val="00D86656"/>
    <w:rsid w:val="00D87C1E"/>
    <w:rsid w:val="00D911A7"/>
    <w:rsid w:val="00D91417"/>
    <w:rsid w:val="00D91D35"/>
    <w:rsid w:val="00D91F44"/>
    <w:rsid w:val="00D93088"/>
    <w:rsid w:val="00D9355D"/>
    <w:rsid w:val="00D94658"/>
    <w:rsid w:val="00D94A70"/>
    <w:rsid w:val="00D94DB9"/>
    <w:rsid w:val="00D94F85"/>
    <w:rsid w:val="00D95E3F"/>
    <w:rsid w:val="00D9637B"/>
    <w:rsid w:val="00D965CB"/>
    <w:rsid w:val="00D9683C"/>
    <w:rsid w:val="00D96840"/>
    <w:rsid w:val="00D978F1"/>
    <w:rsid w:val="00DA0E77"/>
    <w:rsid w:val="00DA19E7"/>
    <w:rsid w:val="00DA1CE0"/>
    <w:rsid w:val="00DA29CB"/>
    <w:rsid w:val="00DA442B"/>
    <w:rsid w:val="00DA44CC"/>
    <w:rsid w:val="00DA4709"/>
    <w:rsid w:val="00DA5BFA"/>
    <w:rsid w:val="00DA6471"/>
    <w:rsid w:val="00DA64EE"/>
    <w:rsid w:val="00DA6740"/>
    <w:rsid w:val="00DA6780"/>
    <w:rsid w:val="00DA7682"/>
    <w:rsid w:val="00DB010A"/>
    <w:rsid w:val="00DB01EB"/>
    <w:rsid w:val="00DB0392"/>
    <w:rsid w:val="00DB0A30"/>
    <w:rsid w:val="00DB0F5A"/>
    <w:rsid w:val="00DB11C0"/>
    <w:rsid w:val="00DB1869"/>
    <w:rsid w:val="00DB2429"/>
    <w:rsid w:val="00DB360C"/>
    <w:rsid w:val="00DB363E"/>
    <w:rsid w:val="00DB384A"/>
    <w:rsid w:val="00DB4429"/>
    <w:rsid w:val="00DB522E"/>
    <w:rsid w:val="00DB53B0"/>
    <w:rsid w:val="00DB5929"/>
    <w:rsid w:val="00DB5A42"/>
    <w:rsid w:val="00DB6EFE"/>
    <w:rsid w:val="00DB7025"/>
    <w:rsid w:val="00DB73CD"/>
    <w:rsid w:val="00DB79E3"/>
    <w:rsid w:val="00DB7C03"/>
    <w:rsid w:val="00DC058B"/>
    <w:rsid w:val="00DC07D9"/>
    <w:rsid w:val="00DC0902"/>
    <w:rsid w:val="00DC0911"/>
    <w:rsid w:val="00DC2E4A"/>
    <w:rsid w:val="00DC3109"/>
    <w:rsid w:val="00DC3116"/>
    <w:rsid w:val="00DC4608"/>
    <w:rsid w:val="00DC4D5B"/>
    <w:rsid w:val="00DC56B6"/>
    <w:rsid w:val="00DC582B"/>
    <w:rsid w:val="00DC5B33"/>
    <w:rsid w:val="00DC5B69"/>
    <w:rsid w:val="00DC5BDD"/>
    <w:rsid w:val="00DC65A2"/>
    <w:rsid w:val="00DC6F62"/>
    <w:rsid w:val="00DD01C4"/>
    <w:rsid w:val="00DD0F94"/>
    <w:rsid w:val="00DD1521"/>
    <w:rsid w:val="00DD2803"/>
    <w:rsid w:val="00DD2AB5"/>
    <w:rsid w:val="00DD2E9D"/>
    <w:rsid w:val="00DD3368"/>
    <w:rsid w:val="00DD4173"/>
    <w:rsid w:val="00DD46EF"/>
    <w:rsid w:val="00DD4B2E"/>
    <w:rsid w:val="00DD4B46"/>
    <w:rsid w:val="00DD502F"/>
    <w:rsid w:val="00DD555A"/>
    <w:rsid w:val="00DD57C3"/>
    <w:rsid w:val="00DD717D"/>
    <w:rsid w:val="00DD7A8D"/>
    <w:rsid w:val="00DD7C4E"/>
    <w:rsid w:val="00DE0ACC"/>
    <w:rsid w:val="00DE10F5"/>
    <w:rsid w:val="00DE1E0E"/>
    <w:rsid w:val="00DE2F77"/>
    <w:rsid w:val="00DE36DA"/>
    <w:rsid w:val="00DE3786"/>
    <w:rsid w:val="00DE39C3"/>
    <w:rsid w:val="00DE4290"/>
    <w:rsid w:val="00DE4D3E"/>
    <w:rsid w:val="00DE5ECA"/>
    <w:rsid w:val="00DE6244"/>
    <w:rsid w:val="00DE66D9"/>
    <w:rsid w:val="00DE6AA8"/>
    <w:rsid w:val="00DE6F39"/>
    <w:rsid w:val="00DE78CE"/>
    <w:rsid w:val="00DF0D31"/>
    <w:rsid w:val="00DF0DFC"/>
    <w:rsid w:val="00DF149A"/>
    <w:rsid w:val="00DF1850"/>
    <w:rsid w:val="00DF3698"/>
    <w:rsid w:val="00DF3F00"/>
    <w:rsid w:val="00DF3F11"/>
    <w:rsid w:val="00DF506B"/>
    <w:rsid w:val="00DF5699"/>
    <w:rsid w:val="00DF5D17"/>
    <w:rsid w:val="00DF5F09"/>
    <w:rsid w:val="00DF6047"/>
    <w:rsid w:val="00E01033"/>
    <w:rsid w:val="00E011AC"/>
    <w:rsid w:val="00E012B4"/>
    <w:rsid w:val="00E0150A"/>
    <w:rsid w:val="00E01D11"/>
    <w:rsid w:val="00E02D19"/>
    <w:rsid w:val="00E036C0"/>
    <w:rsid w:val="00E03EE2"/>
    <w:rsid w:val="00E0437A"/>
    <w:rsid w:val="00E059BC"/>
    <w:rsid w:val="00E06B0E"/>
    <w:rsid w:val="00E07002"/>
    <w:rsid w:val="00E0741F"/>
    <w:rsid w:val="00E07457"/>
    <w:rsid w:val="00E07564"/>
    <w:rsid w:val="00E0792B"/>
    <w:rsid w:val="00E07C77"/>
    <w:rsid w:val="00E1012C"/>
    <w:rsid w:val="00E1053B"/>
    <w:rsid w:val="00E114D3"/>
    <w:rsid w:val="00E1164B"/>
    <w:rsid w:val="00E11C17"/>
    <w:rsid w:val="00E11CD1"/>
    <w:rsid w:val="00E11ECE"/>
    <w:rsid w:val="00E12DEA"/>
    <w:rsid w:val="00E12EC3"/>
    <w:rsid w:val="00E12FF1"/>
    <w:rsid w:val="00E13C0E"/>
    <w:rsid w:val="00E148FA"/>
    <w:rsid w:val="00E149A4"/>
    <w:rsid w:val="00E1563C"/>
    <w:rsid w:val="00E166A2"/>
    <w:rsid w:val="00E1671F"/>
    <w:rsid w:val="00E16C64"/>
    <w:rsid w:val="00E16D5D"/>
    <w:rsid w:val="00E210F9"/>
    <w:rsid w:val="00E212FD"/>
    <w:rsid w:val="00E21DA1"/>
    <w:rsid w:val="00E230F3"/>
    <w:rsid w:val="00E24BC0"/>
    <w:rsid w:val="00E24C56"/>
    <w:rsid w:val="00E25B4D"/>
    <w:rsid w:val="00E25C22"/>
    <w:rsid w:val="00E26358"/>
    <w:rsid w:val="00E26A7C"/>
    <w:rsid w:val="00E27AA6"/>
    <w:rsid w:val="00E27F8E"/>
    <w:rsid w:val="00E31128"/>
    <w:rsid w:val="00E314E5"/>
    <w:rsid w:val="00E31A0A"/>
    <w:rsid w:val="00E32009"/>
    <w:rsid w:val="00E32359"/>
    <w:rsid w:val="00E329B0"/>
    <w:rsid w:val="00E3311E"/>
    <w:rsid w:val="00E334A6"/>
    <w:rsid w:val="00E33B69"/>
    <w:rsid w:val="00E344E8"/>
    <w:rsid w:val="00E34711"/>
    <w:rsid w:val="00E353FE"/>
    <w:rsid w:val="00E3563D"/>
    <w:rsid w:val="00E35B27"/>
    <w:rsid w:val="00E35D41"/>
    <w:rsid w:val="00E41961"/>
    <w:rsid w:val="00E41A85"/>
    <w:rsid w:val="00E42445"/>
    <w:rsid w:val="00E426B8"/>
    <w:rsid w:val="00E42D19"/>
    <w:rsid w:val="00E42EF5"/>
    <w:rsid w:val="00E431EF"/>
    <w:rsid w:val="00E433FE"/>
    <w:rsid w:val="00E444D1"/>
    <w:rsid w:val="00E451D7"/>
    <w:rsid w:val="00E461FD"/>
    <w:rsid w:val="00E46BEF"/>
    <w:rsid w:val="00E507BF"/>
    <w:rsid w:val="00E50F12"/>
    <w:rsid w:val="00E50F86"/>
    <w:rsid w:val="00E53325"/>
    <w:rsid w:val="00E53B79"/>
    <w:rsid w:val="00E54569"/>
    <w:rsid w:val="00E54F53"/>
    <w:rsid w:val="00E554D8"/>
    <w:rsid w:val="00E5550B"/>
    <w:rsid w:val="00E563E2"/>
    <w:rsid w:val="00E566F4"/>
    <w:rsid w:val="00E576BF"/>
    <w:rsid w:val="00E60796"/>
    <w:rsid w:val="00E61FA0"/>
    <w:rsid w:val="00E621BB"/>
    <w:rsid w:val="00E62302"/>
    <w:rsid w:val="00E638C3"/>
    <w:rsid w:val="00E63A0F"/>
    <w:rsid w:val="00E63A15"/>
    <w:rsid w:val="00E64658"/>
    <w:rsid w:val="00E64922"/>
    <w:rsid w:val="00E650E1"/>
    <w:rsid w:val="00E6568F"/>
    <w:rsid w:val="00E67D4F"/>
    <w:rsid w:val="00E67EC4"/>
    <w:rsid w:val="00E70BF6"/>
    <w:rsid w:val="00E7197C"/>
    <w:rsid w:val="00E71B97"/>
    <w:rsid w:val="00E73644"/>
    <w:rsid w:val="00E7385C"/>
    <w:rsid w:val="00E73BA5"/>
    <w:rsid w:val="00E743D5"/>
    <w:rsid w:val="00E74AC1"/>
    <w:rsid w:val="00E76162"/>
    <w:rsid w:val="00E7636B"/>
    <w:rsid w:val="00E76C48"/>
    <w:rsid w:val="00E77572"/>
    <w:rsid w:val="00E7795B"/>
    <w:rsid w:val="00E77A10"/>
    <w:rsid w:val="00E8053E"/>
    <w:rsid w:val="00E806C9"/>
    <w:rsid w:val="00E80741"/>
    <w:rsid w:val="00E80B98"/>
    <w:rsid w:val="00E82C82"/>
    <w:rsid w:val="00E84F05"/>
    <w:rsid w:val="00E85738"/>
    <w:rsid w:val="00E85BA7"/>
    <w:rsid w:val="00E85E13"/>
    <w:rsid w:val="00E863E8"/>
    <w:rsid w:val="00E86491"/>
    <w:rsid w:val="00E88084"/>
    <w:rsid w:val="00E903F6"/>
    <w:rsid w:val="00E90A23"/>
    <w:rsid w:val="00E90A4A"/>
    <w:rsid w:val="00E910BA"/>
    <w:rsid w:val="00E92066"/>
    <w:rsid w:val="00E92924"/>
    <w:rsid w:val="00E933B5"/>
    <w:rsid w:val="00E9359E"/>
    <w:rsid w:val="00E9407C"/>
    <w:rsid w:val="00E94CD7"/>
    <w:rsid w:val="00E95D31"/>
    <w:rsid w:val="00E967B5"/>
    <w:rsid w:val="00E97477"/>
    <w:rsid w:val="00E9750C"/>
    <w:rsid w:val="00E975A2"/>
    <w:rsid w:val="00E97A49"/>
    <w:rsid w:val="00E97B0E"/>
    <w:rsid w:val="00EA00A7"/>
    <w:rsid w:val="00EA0D16"/>
    <w:rsid w:val="00EA0F2C"/>
    <w:rsid w:val="00EA0FDC"/>
    <w:rsid w:val="00EA1096"/>
    <w:rsid w:val="00EA1841"/>
    <w:rsid w:val="00EA1BFA"/>
    <w:rsid w:val="00EA20C7"/>
    <w:rsid w:val="00EA3F31"/>
    <w:rsid w:val="00EA5EAE"/>
    <w:rsid w:val="00EA61F7"/>
    <w:rsid w:val="00EA64B9"/>
    <w:rsid w:val="00EA6508"/>
    <w:rsid w:val="00EB03BA"/>
    <w:rsid w:val="00EB09BF"/>
    <w:rsid w:val="00EB1026"/>
    <w:rsid w:val="00EB1450"/>
    <w:rsid w:val="00EB16AC"/>
    <w:rsid w:val="00EB249F"/>
    <w:rsid w:val="00EB2AF2"/>
    <w:rsid w:val="00EB35FD"/>
    <w:rsid w:val="00EB39F4"/>
    <w:rsid w:val="00EB3BB5"/>
    <w:rsid w:val="00EB3BDD"/>
    <w:rsid w:val="00EB71CB"/>
    <w:rsid w:val="00EC0D38"/>
    <w:rsid w:val="00EC1F6E"/>
    <w:rsid w:val="00EC3EC3"/>
    <w:rsid w:val="00EC529E"/>
    <w:rsid w:val="00EC57EB"/>
    <w:rsid w:val="00EC5A00"/>
    <w:rsid w:val="00EC5FF9"/>
    <w:rsid w:val="00EC7B80"/>
    <w:rsid w:val="00EC7FC0"/>
    <w:rsid w:val="00ED0006"/>
    <w:rsid w:val="00ED028D"/>
    <w:rsid w:val="00ED0379"/>
    <w:rsid w:val="00ED06E5"/>
    <w:rsid w:val="00ED08C2"/>
    <w:rsid w:val="00ED0AD2"/>
    <w:rsid w:val="00ED0D2E"/>
    <w:rsid w:val="00ED11D0"/>
    <w:rsid w:val="00ED1597"/>
    <w:rsid w:val="00ED1F53"/>
    <w:rsid w:val="00ED27AA"/>
    <w:rsid w:val="00ED27E9"/>
    <w:rsid w:val="00ED33EC"/>
    <w:rsid w:val="00ED3668"/>
    <w:rsid w:val="00ED3951"/>
    <w:rsid w:val="00ED3957"/>
    <w:rsid w:val="00ED6D76"/>
    <w:rsid w:val="00ED6E15"/>
    <w:rsid w:val="00ED730D"/>
    <w:rsid w:val="00ED7B5E"/>
    <w:rsid w:val="00ED7F32"/>
    <w:rsid w:val="00EE01D5"/>
    <w:rsid w:val="00EE1130"/>
    <w:rsid w:val="00EE1890"/>
    <w:rsid w:val="00EE1C91"/>
    <w:rsid w:val="00EE1E33"/>
    <w:rsid w:val="00EE3564"/>
    <w:rsid w:val="00EE35F5"/>
    <w:rsid w:val="00EE3DFA"/>
    <w:rsid w:val="00EE427F"/>
    <w:rsid w:val="00EE664B"/>
    <w:rsid w:val="00EE7651"/>
    <w:rsid w:val="00EF19A1"/>
    <w:rsid w:val="00EF1F59"/>
    <w:rsid w:val="00EF296F"/>
    <w:rsid w:val="00EF33D3"/>
    <w:rsid w:val="00EF3AD0"/>
    <w:rsid w:val="00EF4729"/>
    <w:rsid w:val="00EF4F52"/>
    <w:rsid w:val="00EF5DE7"/>
    <w:rsid w:val="00EF5EF1"/>
    <w:rsid w:val="00EF73D7"/>
    <w:rsid w:val="00EF76C9"/>
    <w:rsid w:val="00EF7752"/>
    <w:rsid w:val="00EF7807"/>
    <w:rsid w:val="00EF7BE4"/>
    <w:rsid w:val="00EF7D49"/>
    <w:rsid w:val="00F013CC"/>
    <w:rsid w:val="00F034FA"/>
    <w:rsid w:val="00F03541"/>
    <w:rsid w:val="00F04238"/>
    <w:rsid w:val="00F04EC7"/>
    <w:rsid w:val="00F04F78"/>
    <w:rsid w:val="00F05214"/>
    <w:rsid w:val="00F0555E"/>
    <w:rsid w:val="00F05E99"/>
    <w:rsid w:val="00F063D3"/>
    <w:rsid w:val="00F0652F"/>
    <w:rsid w:val="00F0689A"/>
    <w:rsid w:val="00F06AE0"/>
    <w:rsid w:val="00F075A1"/>
    <w:rsid w:val="00F10BF3"/>
    <w:rsid w:val="00F110FB"/>
    <w:rsid w:val="00F111E6"/>
    <w:rsid w:val="00F116C9"/>
    <w:rsid w:val="00F12338"/>
    <w:rsid w:val="00F12B5F"/>
    <w:rsid w:val="00F142C8"/>
    <w:rsid w:val="00F14444"/>
    <w:rsid w:val="00F1541F"/>
    <w:rsid w:val="00F15529"/>
    <w:rsid w:val="00F1648C"/>
    <w:rsid w:val="00F1691F"/>
    <w:rsid w:val="00F17846"/>
    <w:rsid w:val="00F17B22"/>
    <w:rsid w:val="00F17D68"/>
    <w:rsid w:val="00F17EC3"/>
    <w:rsid w:val="00F2203F"/>
    <w:rsid w:val="00F223B4"/>
    <w:rsid w:val="00F22ABD"/>
    <w:rsid w:val="00F22FFD"/>
    <w:rsid w:val="00F2334D"/>
    <w:rsid w:val="00F25DCE"/>
    <w:rsid w:val="00F275A6"/>
    <w:rsid w:val="00F278BB"/>
    <w:rsid w:val="00F27B24"/>
    <w:rsid w:val="00F27E2A"/>
    <w:rsid w:val="00F300BD"/>
    <w:rsid w:val="00F30E2F"/>
    <w:rsid w:val="00F31C37"/>
    <w:rsid w:val="00F327D7"/>
    <w:rsid w:val="00F32C72"/>
    <w:rsid w:val="00F33ACD"/>
    <w:rsid w:val="00F34221"/>
    <w:rsid w:val="00F346C8"/>
    <w:rsid w:val="00F349B9"/>
    <w:rsid w:val="00F353ED"/>
    <w:rsid w:val="00F35AFB"/>
    <w:rsid w:val="00F363E8"/>
    <w:rsid w:val="00F3710F"/>
    <w:rsid w:val="00F37ABA"/>
    <w:rsid w:val="00F37B81"/>
    <w:rsid w:val="00F37EA2"/>
    <w:rsid w:val="00F37EBA"/>
    <w:rsid w:val="00F403A0"/>
    <w:rsid w:val="00F40D8A"/>
    <w:rsid w:val="00F41DB7"/>
    <w:rsid w:val="00F42AA6"/>
    <w:rsid w:val="00F42D04"/>
    <w:rsid w:val="00F43348"/>
    <w:rsid w:val="00F43FAB"/>
    <w:rsid w:val="00F44BBE"/>
    <w:rsid w:val="00F45041"/>
    <w:rsid w:val="00F45C4C"/>
    <w:rsid w:val="00F46E6E"/>
    <w:rsid w:val="00F46EE6"/>
    <w:rsid w:val="00F47165"/>
    <w:rsid w:val="00F47911"/>
    <w:rsid w:val="00F47D6B"/>
    <w:rsid w:val="00F503A7"/>
    <w:rsid w:val="00F505D5"/>
    <w:rsid w:val="00F50AB3"/>
    <w:rsid w:val="00F51F1E"/>
    <w:rsid w:val="00F52B3C"/>
    <w:rsid w:val="00F52FBF"/>
    <w:rsid w:val="00F53C95"/>
    <w:rsid w:val="00F543B3"/>
    <w:rsid w:val="00F54CCD"/>
    <w:rsid w:val="00F54E24"/>
    <w:rsid w:val="00F5566D"/>
    <w:rsid w:val="00F55F34"/>
    <w:rsid w:val="00F5611B"/>
    <w:rsid w:val="00F5630E"/>
    <w:rsid w:val="00F57153"/>
    <w:rsid w:val="00F57220"/>
    <w:rsid w:val="00F601B0"/>
    <w:rsid w:val="00F602B5"/>
    <w:rsid w:val="00F60530"/>
    <w:rsid w:val="00F60E53"/>
    <w:rsid w:val="00F6139D"/>
    <w:rsid w:val="00F63F74"/>
    <w:rsid w:val="00F64802"/>
    <w:rsid w:val="00F64E50"/>
    <w:rsid w:val="00F67204"/>
    <w:rsid w:val="00F67921"/>
    <w:rsid w:val="00F70198"/>
    <w:rsid w:val="00F7029A"/>
    <w:rsid w:val="00F70E80"/>
    <w:rsid w:val="00F717B6"/>
    <w:rsid w:val="00F71854"/>
    <w:rsid w:val="00F71A22"/>
    <w:rsid w:val="00F71AEA"/>
    <w:rsid w:val="00F73056"/>
    <w:rsid w:val="00F73E63"/>
    <w:rsid w:val="00F73EA2"/>
    <w:rsid w:val="00F74A53"/>
    <w:rsid w:val="00F74A5E"/>
    <w:rsid w:val="00F74F71"/>
    <w:rsid w:val="00F750DB"/>
    <w:rsid w:val="00F757D0"/>
    <w:rsid w:val="00F76306"/>
    <w:rsid w:val="00F76768"/>
    <w:rsid w:val="00F76B09"/>
    <w:rsid w:val="00F80C65"/>
    <w:rsid w:val="00F8148B"/>
    <w:rsid w:val="00F825F5"/>
    <w:rsid w:val="00F82CB4"/>
    <w:rsid w:val="00F83ADA"/>
    <w:rsid w:val="00F83E9E"/>
    <w:rsid w:val="00F83F9D"/>
    <w:rsid w:val="00F84D44"/>
    <w:rsid w:val="00F84FA1"/>
    <w:rsid w:val="00F8630D"/>
    <w:rsid w:val="00F871ED"/>
    <w:rsid w:val="00F87634"/>
    <w:rsid w:val="00F87980"/>
    <w:rsid w:val="00F87D52"/>
    <w:rsid w:val="00F87F19"/>
    <w:rsid w:val="00F905FD"/>
    <w:rsid w:val="00F90B2F"/>
    <w:rsid w:val="00F90F79"/>
    <w:rsid w:val="00F91188"/>
    <w:rsid w:val="00F9179A"/>
    <w:rsid w:val="00F9229B"/>
    <w:rsid w:val="00F931D6"/>
    <w:rsid w:val="00F9372D"/>
    <w:rsid w:val="00F93F6A"/>
    <w:rsid w:val="00F956B3"/>
    <w:rsid w:val="00F95BC6"/>
    <w:rsid w:val="00F96975"/>
    <w:rsid w:val="00F97151"/>
    <w:rsid w:val="00FA049D"/>
    <w:rsid w:val="00FA0609"/>
    <w:rsid w:val="00FA1160"/>
    <w:rsid w:val="00FA1549"/>
    <w:rsid w:val="00FA26C9"/>
    <w:rsid w:val="00FA29BD"/>
    <w:rsid w:val="00FA3E59"/>
    <w:rsid w:val="00FA48B3"/>
    <w:rsid w:val="00FA588D"/>
    <w:rsid w:val="00FA6346"/>
    <w:rsid w:val="00FA658C"/>
    <w:rsid w:val="00FA7056"/>
    <w:rsid w:val="00FA723D"/>
    <w:rsid w:val="00FA731F"/>
    <w:rsid w:val="00FA785F"/>
    <w:rsid w:val="00FA7FBB"/>
    <w:rsid w:val="00FB01E4"/>
    <w:rsid w:val="00FB0938"/>
    <w:rsid w:val="00FB1486"/>
    <w:rsid w:val="00FB1AA2"/>
    <w:rsid w:val="00FB1DAB"/>
    <w:rsid w:val="00FB1DD7"/>
    <w:rsid w:val="00FB2675"/>
    <w:rsid w:val="00FB328C"/>
    <w:rsid w:val="00FB4165"/>
    <w:rsid w:val="00FB4CF5"/>
    <w:rsid w:val="00FB5427"/>
    <w:rsid w:val="00FB5BC3"/>
    <w:rsid w:val="00FB5E51"/>
    <w:rsid w:val="00FB6045"/>
    <w:rsid w:val="00FB6797"/>
    <w:rsid w:val="00FB68AA"/>
    <w:rsid w:val="00FB7032"/>
    <w:rsid w:val="00FB777F"/>
    <w:rsid w:val="00FB77B7"/>
    <w:rsid w:val="00FB7AC4"/>
    <w:rsid w:val="00FC0FAC"/>
    <w:rsid w:val="00FC1BC8"/>
    <w:rsid w:val="00FC20A8"/>
    <w:rsid w:val="00FC28A9"/>
    <w:rsid w:val="00FC2CA3"/>
    <w:rsid w:val="00FC36C3"/>
    <w:rsid w:val="00FC37A3"/>
    <w:rsid w:val="00FC381D"/>
    <w:rsid w:val="00FC49DA"/>
    <w:rsid w:val="00FC4AC2"/>
    <w:rsid w:val="00FC5505"/>
    <w:rsid w:val="00FC571B"/>
    <w:rsid w:val="00FC60B3"/>
    <w:rsid w:val="00FC6342"/>
    <w:rsid w:val="00FC6B2B"/>
    <w:rsid w:val="00FC6BBE"/>
    <w:rsid w:val="00FC73D2"/>
    <w:rsid w:val="00FC7533"/>
    <w:rsid w:val="00FC754E"/>
    <w:rsid w:val="00FC79F0"/>
    <w:rsid w:val="00FC7B2B"/>
    <w:rsid w:val="00FC7C21"/>
    <w:rsid w:val="00FD065D"/>
    <w:rsid w:val="00FD0774"/>
    <w:rsid w:val="00FD08BA"/>
    <w:rsid w:val="00FD160E"/>
    <w:rsid w:val="00FD2012"/>
    <w:rsid w:val="00FD4F12"/>
    <w:rsid w:val="00FD5514"/>
    <w:rsid w:val="00FD5FEE"/>
    <w:rsid w:val="00FD61CC"/>
    <w:rsid w:val="00FD6828"/>
    <w:rsid w:val="00FD750F"/>
    <w:rsid w:val="00FD7637"/>
    <w:rsid w:val="00FD7792"/>
    <w:rsid w:val="00FD79E0"/>
    <w:rsid w:val="00FD7D6C"/>
    <w:rsid w:val="00FE0994"/>
    <w:rsid w:val="00FE10EB"/>
    <w:rsid w:val="00FE1135"/>
    <w:rsid w:val="00FE1700"/>
    <w:rsid w:val="00FE171A"/>
    <w:rsid w:val="00FE1B9D"/>
    <w:rsid w:val="00FE2026"/>
    <w:rsid w:val="00FE21D5"/>
    <w:rsid w:val="00FE2522"/>
    <w:rsid w:val="00FE2D02"/>
    <w:rsid w:val="00FE2E85"/>
    <w:rsid w:val="00FE4A59"/>
    <w:rsid w:val="00FE4B5F"/>
    <w:rsid w:val="00FE4F6C"/>
    <w:rsid w:val="00FE55AF"/>
    <w:rsid w:val="00FE5B9D"/>
    <w:rsid w:val="00FE72DE"/>
    <w:rsid w:val="00FE7CA1"/>
    <w:rsid w:val="00FF1784"/>
    <w:rsid w:val="00FF22AA"/>
    <w:rsid w:val="00FF303B"/>
    <w:rsid w:val="00FF4261"/>
    <w:rsid w:val="00FF51AE"/>
    <w:rsid w:val="00FF6B89"/>
    <w:rsid w:val="00FF6C76"/>
    <w:rsid w:val="00FF7274"/>
    <w:rsid w:val="00FF7BD6"/>
    <w:rsid w:val="00FF7E00"/>
    <w:rsid w:val="00FF7E06"/>
    <w:rsid w:val="01A45AD0"/>
    <w:rsid w:val="0686629E"/>
    <w:rsid w:val="072D57A3"/>
    <w:rsid w:val="0A2953FA"/>
    <w:rsid w:val="10423575"/>
    <w:rsid w:val="104BF32C"/>
    <w:rsid w:val="138670A4"/>
    <w:rsid w:val="1428D265"/>
    <w:rsid w:val="176A0088"/>
    <w:rsid w:val="19F20160"/>
    <w:rsid w:val="1BE3C8E4"/>
    <w:rsid w:val="1E033D91"/>
    <w:rsid w:val="1E7F4CA4"/>
    <w:rsid w:val="1F0CDC39"/>
    <w:rsid w:val="1F291C14"/>
    <w:rsid w:val="2097ECD8"/>
    <w:rsid w:val="2107BCBB"/>
    <w:rsid w:val="245B4DF4"/>
    <w:rsid w:val="287F5817"/>
    <w:rsid w:val="2A33D4CB"/>
    <w:rsid w:val="2AAD7011"/>
    <w:rsid w:val="2C6FAC81"/>
    <w:rsid w:val="2C7B895A"/>
    <w:rsid w:val="2F144998"/>
    <w:rsid w:val="310619E9"/>
    <w:rsid w:val="31DB7E35"/>
    <w:rsid w:val="333E074C"/>
    <w:rsid w:val="34CDF39F"/>
    <w:rsid w:val="368DE5BB"/>
    <w:rsid w:val="376FF6C6"/>
    <w:rsid w:val="39AF8649"/>
    <w:rsid w:val="3A9BF32E"/>
    <w:rsid w:val="3B299217"/>
    <w:rsid w:val="3D39AEC1"/>
    <w:rsid w:val="3F58D90F"/>
    <w:rsid w:val="3FB3F699"/>
    <w:rsid w:val="47D40C93"/>
    <w:rsid w:val="4B7D1B0A"/>
    <w:rsid w:val="4D720293"/>
    <w:rsid w:val="52757853"/>
    <w:rsid w:val="56532F02"/>
    <w:rsid w:val="567E02EA"/>
    <w:rsid w:val="596E0751"/>
    <w:rsid w:val="5C6EA259"/>
    <w:rsid w:val="5DC8C668"/>
    <w:rsid w:val="5F1817F6"/>
    <w:rsid w:val="5F46F7EA"/>
    <w:rsid w:val="5FC6B129"/>
    <w:rsid w:val="610BA5E2"/>
    <w:rsid w:val="611B081C"/>
    <w:rsid w:val="61AE68E5"/>
    <w:rsid w:val="64B9D66E"/>
    <w:rsid w:val="65C9AE49"/>
    <w:rsid w:val="67A7E4E8"/>
    <w:rsid w:val="68FF70EB"/>
    <w:rsid w:val="69046806"/>
    <w:rsid w:val="69C655C4"/>
    <w:rsid w:val="6B26229A"/>
    <w:rsid w:val="6BF43D1E"/>
    <w:rsid w:val="6CBBBF40"/>
    <w:rsid w:val="6D627885"/>
    <w:rsid w:val="6F167524"/>
    <w:rsid w:val="6FBEB563"/>
    <w:rsid w:val="7021673B"/>
    <w:rsid w:val="7139BFB1"/>
    <w:rsid w:val="718ABD9F"/>
    <w:rsid w:val="7262D5BB"/>
    <w:rsid w:val="72CE34B9"/>
    <w:rsid w:val="79AEA407"/>
    <w:rsid w:val="7B1DB8F2"/>
    <w:rsid w:val="7D8880F8"/>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14:docId w14:val="72DC176F"/>
  <w15:docId w15:val="{27417A74-C23B-432B-B1DE-68C4AC2A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6B8"/>
    <w:pPr>
      <w:spacing w:after="12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uiPriority w:val="9"/>
    <w:qFormat/>
    <w:rsid w:val="005D0EFB"/>
    <w:pPr>
      <w:numPr>
        <w:numId w:val="40"/>
      </w:numPr>
      <w:outlineLvl w:val="0"/>
    </w:pPr>
    <w:rPr>
      <w:b/>
      <w:bCs/>
    </w:rPr>
  </w:style>
  <w:style w:type="paragraph" w:styleId="Heading2">
    <w:name w:val="heading 2"/>
    <w:basedOn w:val="Normal"/>
    <w:next w:val="Normal"/>
    <w:link w:val="Heading2Char"/>
    <w:uiPriority w:val="9"/>
    <w:unhideWhenUsed/>
    <w:qFormat/>
    <w:rsid w:val="003906EA"/>
    <w:pPr>
      <w:numPr>
        <w:numId w:val="25"/>
      </w:numPr>
      <w:spacing w:before="200"/>
      <w:outlineLvl w:val="1"/>
    </w:pPr>
    <w:rPr>
      <w:caps/>
      <w:spacing w:val="15"/>
    </w:rPr>
  </w:style>
  <w:style w:type="paragraph" w:styleId="Heading3">
    <w:name w:val="heading 3"/>
    <w:basedOn w:val="Normal"/>
    <w:next w:val="Normal"/>
    <w:link w:val="Heading3Char"/>
    <w:uiPriority w:val="9"/>
    <w:unhideWhenUsed/>
    <w:qFormat/>
    <w:rsid w:val="00635770"/>
    <w:pPr>
      <w:spacing w:before="120"/>
      <w:ind w:left="360"/>
      <w:outlineLvl w:val="2"/>
    </w:pPr>
    <w:rPr>
      <w:b/>
      <w:i/>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EF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3906EA"/>
    <w:rPr>
      <w:rFonts w:ascii="Times New Roman" w:eastAsia="Times New Roman" w:hAnsi="Times New Roman" w:cs="Times New Roman"/>
      <w:caps/>
      <w:spacing w:val="15"/>
      <w:sz w:val="24"/>
      <w:szCs w:val="24"/>
    </w:rPr>
  </w:style>
  <w:style w:type="character" w:customStyle="1" w:styleId="Heading3Char">
    <w:name w:val="Heading 3 Char"/>
    <w:basedOn w:val="DefaultParagraphFont"/>
    <w:link w:val="Heading3"/>
    <w:uiPriority w:val="9"/>
    <w:rsid w:val="00635770"/>
    <w:rPr>
      <w:rFonts w:ascii="Times New Roman" w:eastAsia="Times New Roman" w:hAnsi="Times New Roman" w:cs="Times New Roman"/>
      <w:b/>
      <w:i/>
      <w:spacing w:val="15"/>
      <w:sz w:val="24"/>
      <w:szCs w:val="24"/>
    </w:rPr>
  </w:style>
  <w:style w:type="paragraph" w:styleId="Header">
    <w:name w:val="header"/>
    <w:basedOn w:val="Normal"/>
    <w:link w:val="HeaderChar"/>
    <w:uiPriority w:val="99"/>
    <w:unhideWhenUsed/>
    <w:rsid w:val="00C01F22"/>
    <w:pPr>
      <w:tabs>
        <w:tab w:val="center" w:pos="4680"/>
        <w:tab w:val="right" w:pos="9360"/>
      </w:tabs>
    </w:pPr>
  </w:style>
  <w:style w:type="character" w:customStyle="1" w:styleId="HeaderChar">
    <w:name w:val="Header Char"/>
    <w:basedOn w:val="DefaultParagraphFont"/>
    <w:link w:val="Header"/>
    <w:uiPriority w:val="99"/>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aliases w:val="Question"/>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aliases w:val="Char Char,Char Char Char Char,Char Char Char Char Char,Char Char Char Char1,Char Char Char1,Char Char1,Char2 Char,Char3 Char,Footnote Text - Preamble Char,Footnote Text - Preamble1 Char,Footnote Text - Preamble2 Char"/>
    <w:basedOn w:val="Normal"/>
    <w:link w:val="FootnoteTextChar"/>
    <w:unhideWhenUsed/>
    <w:rsid w:val="004D5B1E"/>
    <w:pPr>
      <w:spacing w:after="0"/>
    </w:pPr>
    <w:rPr>
      <w:sz w:val="20"/>
      <w:szCs w:val="20"/>
    </w:rPr>
  </w:style>
  <w:style w:type="character" w:customStyle="1" w:styleId="FootnoteTextChar">
    <w:name w:val="Footnote Text Char"/>
    <w:aliases w:val="Char Char Char,Char Char Char Char Char Char,Char Char Char Char Char1,Char Char Char Char1 Char,Char Char Char1 Char,Char Char1 Char,Char2 Char Char,Footnote Text - Preamble Char Char,Footnote Text - Preamble1 Char Char"/>
    <w:basedOn w:val="DefaultParagraphFont"/>
    <w:link w:val="FootnoteText"/>
    <w:rsid w:val="004D5B1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C01F22"/>
    <w:rPr>
      <w:vertAlign w:val="superscript"/>
    </w:rPr>
  </w:style>
  <w:style w:type="character" w:styleId="Hyperlink">
    <w:name w:val="Hyperlink"/>
    <w:basedOn w:val="DefaultParagraphFont"/>
    <w:uiPriority w:val="99"/>
    <w:rsid w:val="000A4AEE"/>
    <w:rPr>
      <w:rFonts w:cs="Times New Roman"/>
      <w:color w:val="000099"/>
      <w:u w:val="none"/>
      <w:effect w:val="none"/>
    </w:rPr>
  </w:style>
  <w:style w:type="character" w:styleId="CommentReference">
    <w:name w:val="annotation reference"/>
    <w:basedOn w:val="DefaultParagraphFont"/>
    <w:uiPriority w:val="99"/>
    <w:unhideWhenUsed/>
    <w:rsid w:val="001D7D9A"/>
    <w:rPr>
      <w:sz w:val="16"/>
      <w:szCs w:val="16"/>
    </w:rPr>
  </w:style>
  <w:style w:type="paragraph" w:styleId="CommentText">
    <w:name w:val="annotation text"/>
    <w:basedOn w:val="Normal"/>
    <w:link w:val="CommentTextChar"/>
    <w:uiPriority w:val="99"/>
    <w:unhideWhenUsed/>
    <w:rsid w:val="001D7D9A"/>
    <w:rPr>
      <w:sz w:val="20"/>
      <w:szCs w:val="20"/>
    </w:rPr>
  </w:style>
  <w:style w:type="character" w:customStyle="1" w:styleId="CommentTextChar">
    <w:name w:val="Comment Text Char"/>
    <w:basedOn w:val="DefaultParagraphFont"/>
    <w:link w:val="CommentText"/>
    <w:uiPriority w:val="99"/>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E01D11"/>
    <w:pPr>
      <w:keepLines/>
      <w:framePr w:wrap="notBeside" w:hAnchor="text"/>
      <w:spacing w:before="480" w:line="276" w:lineRule="auto"/>
      <w:outlineLvl w:val="9"/>
    </w:pPr>
    <w:rPr>
      <w:rFonts w:asciiTheme="majorHAnsi" w:eastAsiaTheme="majorEastAsia" w:hAnsiTheme="majorHAnsi" w:cstheme="majorBidi"/>
      <w:caps/>
      <w:color w:val="365F91" w:themeColor="accent1" w:themeShade="BF"/>
      <w:sz w:val="28"/>
      <w:szCs w:val="28"/>
      <w:lang w:eastAsia="ja-JP"/>
    </w:rPr>
  </w:style>
  <w:style w:type="paragraph" w:styleId="TOC1">
    <w:name w:val="toc 1"/>
    <w:basedOn w:val="Normal"/>
    <w:next w:val="Normal"/>
    <w:autoRedefine/>
    <w:uiPriority w:val="39"/>
    <w:unhideWhenUsed/>
    <w:rsid w:val="00771F94"/>
    <w:pPr>
      <w:spacing w:after="100"/>
    </w:pPr>
  </w:style>
  <w:style w:type="paragraph" w:styleId="TOC3">
    <w:name w:val="toc 3"/>
    <w:basedOn w:val="Normal"/>
    <w:next w:val="Normal"/>
    <w:autoRedefine/>
    <w:uiPriority w:val="39"/>
    <w:unhideWhenUsed/>
    <w:rsid w:val="00030400"/>
    <w:pPr>
      <w:spacing w:after="100"/>
      <w:ind w:left="480"/>
    </w:pPr>
  </w:style>
  <w:style w:type="paragraph" w:styleId="TOC2">
    <w:name w:val="toc 2"/>
    <w:basedOn w:val="Normal"/>
    <w:next w:val="Normal"/>
    <w:autoRedefine/>
    <w:uiPriority w:val="39"/>
    <w:unhideWhenUsed/>
    <w:rsid w:val="00030400"/>
    <w:pPr>
      <w:spacing w:after="100"/>
      <w:ind w:left="240"/>
    </w:pPr>
  </w:style>
  <w:style w:type="paragraph" w:customStyle="1" w:styleId="References">
    <w:name w:val="References"/>
    <w:basedOn w:val="Normal"/>
    <w:link w:val="ReferencesChar"/>
    <w:qFormat/>
    <w:rsid w:val="00CE3CFC"/>
    <w:pPr>
      <w:keepLines/>
      <w:spacing w:before="100"/>
      <w:ind w:left="540" w:hanging="540"/>
    </w:pPr>
    <w:rPr>
      <w:sz w:val="20"/>
    </w:rPr>
  </w:style>
  <w:style w:type="character" w:customStyle="1" w:styleId="ReferencesChar">
    <w:name w:val="References Char"/>
    <w:basedOn w:val="DefaultParagraphFont"/>
    <w:link w:val="References"/>
    <w:rsid w:val="00CE3CFC"/>
    <w:rPr>
      <w:rFonts w:ascii="Times New Roman" w:eastAsia="Times New Roman" w:hAnsi="Times New Roman" w:cs="Times New Roman"/>
      <w:sz w:val="20"/>
      <w:szCs w:val="24"/>
    </w:rPr>
  </w:style>
  <w:style w:type="table" w:customStyle="1" w:styleId="TableGrid1">
    <w:name w:val="Table Grid1"/>
    <w:basedOn w:val="TableNormal"/>
    <w:next w:val="TableGrid"/>
    <w:rsid w:val="00555C06"/>
    <w:pPr>
      <w:spacing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2406"/>
    <w:pPr>
      <w:ind w:left="360"/>
    </w:pPr>
  </w:style>
  <w:style w:type="character" w:customStyle="1" w:styleId="BodyTextIndentChar">
    <w:name w:val="Body Text Indent Char"/>
    <w:basedOn w:val="DefaultParagraphFont"/>
    <w:link w:val="BodyTextIndent"/>
    <w:rsid w:val="00582406"/>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14CF5"/>
    <w:rPr>
      <w:color w:val="605E5C"/>
      <w:shd w:val="clear" w:color="auto" w:fill="E1DFDD"/>
    </w:rPr>
  </w:style>
  <w:style w:type="paragraph" w:styleId="Caption">
    <w:name w:val="caption"/>
    <w:basedOn w:val="Normal"/>
    <w:next w:val="Normal"/>
    <w:uiPriority w:val="35"/>
    <w:unhideWhenUsed/>
    <w:qFormat/>
    <w:rsid w:val="00E07564"/>
    <w:pPr>
      <w:spacing w:after="200"/>
      <w:jc w:val="center"/>
    </w:pPr>
    <w:rPr>
      <w:bCs/>
      <w:szCs w:val="18"/>
    </w:rPr>
  </w:style>
  <w:style w:type="character" w:customStyle="1" w:styleId="UnresolvedMention2">
    <w:name w:val="Unresolved Mention2"/>
    <w:basedOn w:val="DefaultParagraphFont"/>
    <w:uiPriority w:val="99"/>
    <w:semiHidden/>
    <w:unhideWhenUsed/>
    <w:rsid w:val="008D461D"/>
    <w:rPr>
      <w:color w:val="605E5C"/>
      <w:shd w:val="clear" w:color="auto" w:fill="E1DFDD"/>
    </w:rPr>
  </w:style>
  <w:style w:type="character" w:styleId="FollowedHyperlink">
    <w:name w:val="FollowedHyperlink"/>
    <w:basedOn w:val="DefaultParagraphFont"/>
    <w:uiPriority w:val="99"/>
    <w:semiHidden/>
    <w:unhideWhenUsed/>
    <w:rsid w:val="001F437D"/>
    <w:rPr>
      <w:color w:val="800080" w:themeColor="followedHyperlink"/>
      <w:u w:val="single"/>
    </w:rPr>
  </w:style>
  <w:style w:type="character" w:customStyle="1" w:styleId="Mention1">
    <w:name w:val="Mention1"/>
    <w:basedOn w:val="DefaultParagraphFont"/>
    <w:uiPriority w:val="99"/>
    <w:semiHidden/>
    <w:unhideWhenUsed/>
    <w:rsid w:val="009F42CE"/>
    <w:rPr>
      <w:color w:val="2B579A"/>
      <w:shd w:val="clear" w:color="auto" w:fill="E6E6E6"/>
    </w:rPr>
  </w:style>
  <w:style w:type="paragraph" w:styleId="HTMLPreformatted">
    <w:name w:val="HTML Preformatted"/>
    <w:basedOn w:val="Normal"/>
    <w:link w:val="HTMLPreformattedChar"/>
    <w:rsid w:val="008E0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rsid w:val="008E028E"/>
    <w:rPr>
      <w:rFonts w:ascii="Courier New" w:eastAsia="Times New Roman" w:hAnsi="Courier New" w:cs="Courier New"/>
      <w:sz w:val="20"/>
      <w:szCs w:val="20"/>
    </w:rPr>
  </w:style>
  <w:style w:type="paragraph" w:customStyle="1" w:styleId="Table">
    <w:name w:val="Table"/>
    <w:basedOn w:val="Normal"/>
    <w:next w:val="Normal"/>
    <w:rsid w:val="008E028E"/>
    <w:pPr>
      <w:numPr>
        <w:numId w:val="35"/>
      </w:numPr>
      <w:suppressAutoHyphens/>
      <w:spacing w:after="0"/>
      <w:jc w:val="center"/>
    </w:pPr>
    <w:rPr>
      <w:b/>
      <w:szCs w:val="20"/>
      <w:lang w:eastAsia="zh-CN"/>
    </w:rPr>
  </w:style>
  <w:style w:type="paragraph" w:styleId="Revision">
    <w:name w:val="Revision"/>
    <w:hidden/>
    <w:uiPriority w:val="99"/>
    <w:semiHidden/>
    <w:rsid w:val="00760559"/>
    <w:pPr>
      <w:spacing w:line="240" w:lineRule="auto"/>
    </w:pPr>
    <w:rPr>
      <w:rFonts w:ascii="Times New Roman" w:eastAsia="Times New Roman" w:hAnsi="Times New Roman" w:cs="Times New Roman"/>
      <w:sz w:val="24"/>
      <w:szCs w:val="24"/>
    </w:rPr>
  </w:style>
  <w:style w:type="paragraph" w:customStyle="1" w:styleId="Citation">
    <w:name w:val="Citation"/>
    <w:basedOn w:val="Normal"/>
    <w:qFormat/>
    <w:rsid w:val="0079180D"/>
    <w:pPr>
      <w:spacing w:after="0"/>
      <w:ind w:left="720" w:hanging="720"/>
    </w:pPr>
  </w:style>
  <w:style w:type="character" w:styleId="UnresolvedMention">
    <w:name w:val="Unresolved Mention"/>
    <w:basedOn w:val="DefaultParagraphFont"/>
    <w:uiPriority w:val="99"/>
    <w:semiHidden/>
    <w:unhideWhenUsed/>
    <w:rsid w:val="006B1328"/>
    <w:rPr>
      <w:color w:val="605E5C"/>
      <w:shd w:val="clear" w:color="auto" w:fill="E1DFDD"/>
    </w:rPr>
  </w:style>
  <w:style w:type="character" w:customStyle="1" w:styleId="ui-provider">
    <w:name w:val="ui-provider"/>
    <w:basedOn w:val="DefaultParagraphFont"/>
    <w:rsid w:val="000802B2"/>
  </w:style>
  <w:style w:type="character" w:styleId="Mention">
    <w:name w:val="Mention"/>
    <w:basedOn w:val="DefaultParagraphFont"/>
    <w:uiPriority w:val="99"/>
    <w:unhideWhenUsed/>
    <w:rsid w:val="00BC0B92"/>
    <w:rPr>
      <w:color w:val="2B579A"/>
      <w:shd w:val="clear" w:color="auto" w:fill="E1DFDD"/>
    </w:rPr>
  </w:style>
  <w:style w:type="paragraph" w:styleId="Title">
    <w:name w:val="Title"/>
    <w:basedOn w:val="Normal"/>
    <w:next w:val="Normal"/>
    <w:link w:val="TitleChar"/>
    <w:uiPriority w:val="10"/>
    <w:qFormat/>
    <w:rsid w:val="000B0C32"/>
    <w:pPr>
      <w:outlineLvl w:val="0"/>
    </w:pPr>
    <w:rPr>
      <w:b/>
      <w:bCs/>
    </w:rPr>
  </w:style>
  <w:style w:type="character" w:customStyle="1" w:styleId="TitleChar">
    <w:name w:val="Title Char"/>
    <w:basedOn w:val="DefaultParagraphFont"/>
    <w:link w:val="Title"/>
    <w:uiPriority w:val="10"/>
    <w:rsid w:val="000B0C32"/>
    <w:rPr>
      <w:rFonts w:ascii="Times New Roman" w:eastAsia="Times New Roman" w:hAnsi="Times New Roman" w:cs="Times New Roman"/>
      <w:b/>
      <w:bCs/>
      <w:sz w:val="24"/>
      <w:szCs w:val="24"/>
    </w:rPr>
  </w:style>
  <w:style w:type="paragraph" w:styleId="Bibliography">
    <w:name w:val="Bibliography"/>
    <w:basedOn w:val="Normal"/>
    <w:next w:val="Normal"/>
    <w:uiPriority w:val="37"/>
    <w:unhideWhenUsed/>
    <w:rsid w:val="00351F43"/>
  </w:style>
  <w:style w:type="table" w:customStyle="1" w:styleId="TableGrid2">
    <w:name w:val="Table Grid2"/>
    <w:basedOn w:val="TableNormal"/>
    <w:next w:val="TableGrid"/>
    <w:uiPriority w:val="59"/>
    <w:rsid w:val="00276E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86966"/>
    <w:pPr>
      <w:spacing w:after="0"/>
    </w:pPr>
    <w:rPr>
      <w:sz w:val="20"/>
      <w:szCs w:val="20"/>
    </w:rPr>
  </w:style>
  <w:style w:type="character" w:customStyle="1" w:styleId="EndnoteTextChar">
    <w:name w:val="Endnote Text Char"/>
    <w:basedOn w:val="DefaultParagraphFont"/>
    <w:link w:val="EndnoteText"/>
    <w:uiPriority w:val="99"/>
    <w:semiHidden/>
    <w:rsid w:val="0068696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86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transportation.gov/individuals/privacy/nhtsa-office-behavioral-safety-research-obsr-research-studi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jamanetwork.com/journals/jama/fullarticle/1104325" TargetMode="External" /><Relationship Id="rId10" Type="http://schemas.openxmlformats.org/officeDocument/2006/relationships/hyperlink" Target="https://www.nhtsa.gov/sites/nhtsa.gov/files/2023-12/countermeasures-that-work-11th-2023-tag_0.pdf" TargetMode="External" /><Relationship Id="rId11" Type="http://schemas.openxmlformats.org/officeDocument/2006/relationships/hyperlink" Target="https://doi.org/10.1518/001872006778606787" TargetMode="External" /><Relationship Id="rId12" Type="http://schemas.openxmlformats.org/officeDocument/2006/relationships/hyperlink" Target="https://pmc.ncbi.nlm.nih.gov/articles/PMC2707454/" TargetMode="External" /><Relationship Id="rId13" Type="http://schemas.openxmlformats.org/officeDocument/2006/relationships/hyperlink" Target="https://rosap.ntl.bts.gov/view/dot/1986/dot_1986_DS1.pdf" TargetMode="External" /><Relationship Id="rId14" Type="http://schemas.openxmlformats.org/officeDocument/2006/relationships/hyperlink" Target="https://rosap.ntl.bts.gov/view/dot/62931" TargetMode="External" /><Relationship Id="rId15" Type="http://schemas.openxmlformats.org/officeDocument/2006/relationships/hyperlink" Target="https://doi.org/10.1016/j.trf.2013.07.004" TargetMode="External" /><Relationship Id="rId16" Type="http://schemas.openxmlformats.org/officeDocument/2006/relationships/hyperlink" Target="https://pmc.ncbi.nlm.nih.gov/articles/PMC3437545/" TargetMode="External" /><Relationship Id="rId17" Type="http://schemas.openxmlformats.org/officeDocument/2006/relationships/hyperlink" Target="https://doi.org/10.3141/2602-15" TargetMode="External" /><Relationship Id="rId18" Type="http://schemas.openxmlformats.org/officeDocument/2006/relationships/hyperlink" Target="https://doi.org/10.1016/j.trf.2018.07.004" TargetMode="External" /><Relationship Id="rId19" Type="http://schemas.openxmlformats.org/officeDocument/2006/relationships/hyperlink" Target="https://doi.org/10.3141/2018-1" TargetMode="External" /><Relationship Id="rId2" Type="http://schemas.openxmlformats.org/officeDocument/2006/relationships/hyperlink" Target="https://doi.org/10.1080/15389588.2021.1940984" TargetMode="External" /><Relationship Id="rId20" Type="http://schemas.openxmlformats.org/officeDocument/2006/relationships/hyperlink" Target="https://doi.org/10.1056/NEJMoa2204783" TargetMode="External" /><Relationship Id="rId21" Type="http://schemas.openxmlformats.org/officeDocument/2006/relationships/hyperlink" Target="https://www.ipums.org/projects/ipums-cps/d030.V11.0" TargetMode="External" /><Relationship Id="rId22" Type="http://schemas.openxmlformats.org/officeDocument/2006/relationships/hyperlink" Target="https://www.bls.gov/regions/southwest/news-release/2024/employercostsforemployeecompensation_regions_20240313.htm" TargetMode="External" /><Relationship Id="rId23" Type="http://schemas.openxmlformats.org/officeDocument/2006/relationships/hyperlink" Target="https://www.lyft.com/pricing/BOS" TargetMode="External" /><Relationship Id="rId24" Type="http://schemas.openxmlformats.org/officeDocument/2006/relationships/hyperlink" Target="https://www.federalregister.gov/d/2022-15408" TargetMode="External" /><Relationship Id="rId25" Type="http://schemas.openxmlformats.org/officeDocument/2006/relationships/hyperlink" Target="https://sjdm.org/dmidi/Arnett_Inventory_of_Sensation_Seeking.html" TargetMode="External" /><Relationship Id="rId26" Type="http://schemas.openxmlformats.org/officeDocument/2006/relationships/hyperlink" Target="https://psychology-tools.com/test/buss-perry-aggression-questionnaire" TargetMode="External" /><Relationship Id="rId27" Type="http://schemas.openxmlformats.org/officeDocument/2006/relationships/hyperlink" Target="https://www.bls.gov/oes/current/oes_nat.htm" TargetMode="External" /><Relationship Id="rId28" Type="http://schemas.openxmlformats.org/officeDocument/2006/relationships/hyperlink" Target="https://pra.digital.gov/burden/estimation/" TargetMode="External" /><Relationship Id="rId29" Type="http://schemas.openxmlformats.org/officeDocument/2006/relationships/hyperlink" Target="https://www.opm.gov/policy-data-oversight/pay-leave/salaries-wages/salary-tables/24Tables/html/DCB_h.aspx" TargetMode="External" /><Relationship Id="rId3" Type="http://schemas.openxmlformats.org/officeDocument/2006/relationships/hyperlink" Target="https://crashstats.nhtsa.dot.gov/Api/Public/ViewPublication/813601" TargetMode="External" /><Relationship Id="rId4" Type="http://schemas.openxmlformats.org/officeDocument/2006/relationships/hyperlink" Target="https://pmc.ncbi.nlm.nih.gov/articles/PMC4117653/" TargetMode="External" /><Relationship Id="rId5" Type="http://schemas.openxmlformats.org/officeDocument/2006/relationships/hyperlink" Target="https://doi.org/10.1111/cdev.12930" TargetMode="External" /><Relationship Id="rId6" Type="http://schemas.openxmlformats.org/officeDocument/2006/relationships/hyperlink" Target="https://pmc.ncbi.nlm.nih.gov/articles/PMC8136290/" TargetMode="External" /><Relationship Id="rId7" Type="http://schemas.openxmlformats.org/officeDocument/2006/relationships/hyperlink" Target="https://doi.org/10.1542/peds.2011-2303" TargetMode="External" /><Relationship Id="rId8" Type="http://schemas.openxmlformats.org/officeDocument/2006/relationships/hyperlink" Target="https://aaafoundation.org/wp-content/uploads/2019/10/19-0500_AAAFTS_Teen-Driver-Safety-Week-Brief_r1.pdf" TargetMode="External" /><Relationship Id="rId9" Type="http://schemas.openxmlformats.org/officeDocument/2006/relationships/hyperlink" Target="https://doi.org/10.1080/15389588.2022.21253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5E2DBC254454E952723DE70D8EDF3" ma:contentTypeVersion="10" ma:contentTypeDescription="Create a new document." ma:contentTypeScope="" ma:versionID="d2f558b6a9dfde0416b8ae46beb68cf8">
  <xsd:schema xmlns:xsd="http://www.w3.org/2001/XMLSchema" xmlns:xs="http://www.w3.org/2001/XMLSchema" xmlns:p="http://schemas.microsoft.com/office/2006/metadata/properties" xmlns:ns2="e22d9144-ba0c-4ce9-b730-5c818b83bf15" xmlns:ns3="a2d580ed-e60b-4601-bd95-212988921ab1" targetNamespace="http://schemas.microsoft.com/office/2006/metadata/properties" ma:root="true" ma:fieldsID="cc2c5a8db0db0cee5ff7978589e178f7" ns2:_="" ns3:_="">
    <xsd:import namespace="e22d9144-ba0c-4ce9-b730-5c818b83bf15"/>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d9144-ba0c-4ce9-b730-5c818b83b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d580ed-e60b-4601-bd95-212988921ab1" xsi:nil="true"/>
    <lcf76f155ced4ddcb4097134ff3c332f xmlns="e22d9144-ba0c-4ce9-b730-5c818b83bf1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Rob21</b:Tag>
    <b:SourceType>JournalArticle</b:SourceType>
    <b:Guid>{843D9B24-9B28-45AD-9E3C-51A7A6C56C05}</b:Guid>
    <b:Author>
      <b:Author>
        <b:NameList>
          <b:Person>
            <b:Last>Roberts</b:Last>
            <b:First>S.C.</b:First>
          </b:Person>
          <b:Person>
            <b:Last>Zhang</b:Last>
            <b:First>F.</b:First>
          </b:Person>
          <b:Person>
            <b:Last>Fisher</b:Last>
            <b:First>D.</b:First>
          </b:Person>
          <b:Person>
            <b:Last>Vaca</b:Last>
            <b:First>F.E.</b:First>
          </b:Person>
        </b:NameList>
      </b:Author>
    </b:Author>
    <b:Title>The effect of hazard awareness training on teen drivers of varying socioeconomic status</b:Title>
    <b:JournalName>Traffic Injury Prevention</b:JournalName>
    <b:Year>2021</b:Year>
    <b:RefOrder>2</b:RefOrder>
  </b:Source>
  <b:Source>
    <b:Tag>Mas11</b:Tag>
    <b:SourceType>JournalArticle</b:SourceType>
    <b:Guid>{C978B07F-4778-4935-A4F8-8A1F9889F0E4}</b:Guid>
    <b:Author>
      <b:Author>
        <b:NameList>
          <b:Person>
            <b:Last>Masten</b:Last>
            <b:First>S.V.</b:First>
          </b:Person>
          <b:Person>
            <b:Last>Foss</b:Last>
            <b:First>R.D.</b:First>
          </b:Person>
          <b:Person>
            <b:Last>Marshall</b:Last>
            <b:First>S.W.</b:First>
          </b:Person>
        </b:NameList>
      </b:Author>
    </b:Author>
    <b:Title>Graduated Driver Licensing and Fatal Crashes Involving 16- to 19-Year-Old Drivers</b:Title>
    <b:JournalName>Journal of the American Medical Association</b:JournalName>
    <b:Year>2011</b:Year>
    <b:Pages>1098-1103</b:Pages>
    <b:Volume>306</b:Volume>
    <b:Issue>14</b:Issue>
    <b:RefOrder>1</b:RefOrder>
  </b:Source>
  <b:Source>
    <b:Tag>Tho162</b:Tag>
    <b:SourceType>Report</b:SourceType>
    <b:Guid>{9C9C9812-F7F1-402D-AC4D-1530D9600C23}</b:Guid>
    <b:Title>Evaluation of the safety benefits of the risk awareness and perception training program for novice teen drivers (Report No. DOT HS 812 235).</b:Title>
    <b:Year>2016</b:Year>
    <b:Author>
      <b:Author>
        <b:NameList>
          <b:Person>
            <b:Last>Thomas</b:Last>
            <b:First>F.D.</b:First>
          </b:Person>
          <b:Person>
            <b:Last>Rilea</b:Last>
            <b:First>S.L.</b:First>
          </b:Person>
          <b:Person>
            <b:Last>Blomberg</b:Last>
            <b:First>R.D.</b:First>
          </b:Person>
          <b:Person>
            <b:Last>Peck</b:Last>
            <b:First>R.C.</b:First>
          </b:Person>
          <b:Person>
            <b:Last>Korbelak</b:Last>
            <b:First>E.T.</b:First>
          </b:Person>
        </b:NameList>
      </b:Author>
    </b:Author>
    <b:Publisher>National Highway Traffic Safety Administration</b:Publisher>
    <b:City>Washington, DC</b:City>
    <b:RefOrder>8</b:RefOrder>
  </b:Source>
  <b:Source>
    <b:Tag>Can</b:Tag>
    <b:SourceType>JournalArticle</b:SourceType>
    <b:Guid>{C4D0FAEA-9C1C-4940-A162-9408F9422413}</b:Guid>
    <b:Title>Can younger drivers be trained to scan for information that will reduce their risk in roadway traffic scenarios that are hard to identify as hazardous?</b:Title>
    <b:JournalName>Ergonomics</b:JournalName>
    <b:Year>2009</b:Year>
    <b:Pages>657-673</b:Pages>
    <b:Author>
      <b:Author>
        <b:NameList>
          <b:Person>
            <b:Last>Pradhan</b:Last>
            <b:First>A.K.</b:First>
          </b:Person>
          <b:Person>
            <b:Last>Pollatsek</b:Last>
            <b:First>A.</b:First>
          </b:Person>
          <b:Person>
            <b:Last>Knodler</b:Last>
            <b:First>M.</b:First>
          </b:Person>
          <b:Person>
            <b:Last>Fisher</b:Last>
            <b:First>D.L.</b:First>
          </b:Person>
        </b:NameList>
      </b:Author>
    </b:Author>
    <b:Volume>52</b:Volume>
    <b:RefOrder>7</b:RefOrder>
  </b:Source>
  <b:Source>
    <b:Tag>Pol061</b:Tag>
    <b:SourceType>JournalArticle</b:SourceType>
    <b:Guid>{CCBE6C48-CE3D-47B1-82C8-E0174C44ED6C}</b:Guid>
    <b:Author>
      <b:Author>
        <b:NameList>
          <b:Person>
            <b:Last>Pollatsek</b:Last>
            <b:First>A.</b:First>
          </b:Person>
          <b:Person>
            <b:Last>Fisher</b:Last>
            <b:First>D.L.</b:First>
          </b:Person>
          <b:Person>
            <b:Last>Pradhan</b:Last>
            <b:First>A.K.</b:First>
          </b:Person>
        </b:NameList>
      </b:Author>
    </b:Author>
    <b:Title>The Use of Eye Movements to Evaluate the Effect of PC-Based Risk Awareness Training on an Advanced Driving Simulator</b:Title>
    <b:JournalName>Human Factors</b:JournalName>
    <b:Year>2006</b:Year>
    <b:Pages>255-259</b:Pages>
    <b:RefOrder>6</b:RefOrder>
  </b:Source>
  <b:Source>
    <b:Tag>Pra11</b:Tag>
    <b:SourceType>JournalArticle</b:SourceType>
    <b:Guid>{6C0A92D2-51DA-4B2B-8E67-02F3BE4EF040}</b:Guid>
    <b:Author>
      <b:Author>
        <b:NameList>
          <b:Person>
            <b:Last>Pradhan</b:Last>
            <b:First>A.</b:First>
            <b:Middle>K.</b:Middle>
          </b:Person>
          <b:Person>
            <b:Last>Divekar</b:Last>
            <b:First>G.</b:First>
          </b:Person>
          <b:Person>
            <b:Last>Masserang</b:Last>
            <b:First>K.</b:First>
          </b:Person>
          <b:Person>
            <b:Last>Romoser</b:Last>
            <b:First>M.</b:First>
          </b:Person>
          <b:Person>
            <b:Last>Zafian</b:Last>
            <b:First>T.</b:First>
          </b:Person>
          <b:Person>
            <b:Last>Blomberg</b:Last>
            <b:First>R.D.</b:First>
          </b:Person>
          <b:Person>
            <b:Last>Thomas</b:Last>
            <b:First>F.D.</b:First>
          </b:Person>
          <b:Person>
            <b:Last>Reagan</b:Last>
            <b:First>I.</b:First>
          </b:Person>
          <b:Person>
            <b:Last>Knodler</b:Last>
            <b:First>M.</b:First>
          </b:Person>
          <b:Person>
            <b:Last>Pollatsek</b:Last>
            <b:First>A.</b:First>
          </b:Person>
          <b:Person>
            <b:Last>Fisher</b:Last>
            <b:First>D.L.</b:First>
          </b:Person>
        </b:NameList>
      </b:Author>
    </b:Author>
    <b:Title>The effects of focused attention training (FOCAL) on the duration of novice drivers’ glances inside the vehicle</b:Title>
    <b:JournalName>Ergonomics</b:JournalName>
    <b:Year>2011</b:Year>
    <b:Pages>917-931</b:Pages>
    <b:Volume>54</b:Volume>
    <b:RefOrder>11</b:RefOrder>
  </b:Source>
  <b:Source>
    <b:Tag>Div13</b:Tag>
    <b:SourceType>JournalArticle</b:SourceType>
    <b:Guid>{E3B7E1DE-70EF-514B-9D5A-F92910A86E52}</b:Guid>
    <b:Title>A simulator evaluation of the effects of attention maintenance training on glance distributions of younger novice drivers inside and outside the vehicle</b:Title>
    <b:JournalName>Transportation Research Part F</b:JournalName>
    <b:Year>2013</b:Year>
    <b:Pages>154-169</b:Pages>
    <b:Author>
      <b:Author>
        <b:NameList>
          <b:Person>
            <b:Last>Divekar</b:Last>
            <b:First>Gautam</b:First>
          </b:Person>
          <b:Person>
            <b:Last>Pradhan</b:Last>
            <b:Middle>K.</b:Middle>
            <b:First>Anuj</b:First>
          </b:Person>
          <b:Person>
            <b:Last>Masserang</b:Last>
            <b:Middle>M.</b:Middle>
            <b:First>Kathleen</b:First>
          </b:Person>
          <b:Person>
            <b:Last>Reagan</b:Last>
            <b:First>Ian</b:First>
          </b:Person>
          <b:Person>
            <b:Last>Pollatsek</b:Last>
            <b:First>Alexander</b:First>
          </b:Person>
          <b:Person>
            <b:Last>Fisher</b:Last>
            <b:Middle>L.</b:Middle>
            <b:First>Donal</b:First>
          </b:Person>
        </b:NameList>
      </b:Author>
    </b:Author>
    <b:RefOrder>10</b:RefOrder>
  </b:Source>
  <b:Source>
    <b:Tag>Eps</b:Tag>
    <b:SourceType>JournalArticle</b:SourceType>
    <b:Guid>{8FB8C38F-8C7D-4B7D-ABB0-20CC4A745BA0}</b:Guid>
    <b:Title>Trial of Training to Reduce Driver Inattention in Teens with ADHD</b:Title>
    <b:Author>
      <b:Author>
        <b:NameList>
          <b:Person>
            <b:Last>Epstein</b:Last>
            <b:First>J.</b:First>
          </b:Person>
          <b:Person>
            <b:Last>Garner</b:Last>
            <b:First>A.A.</b:First>
          </b:Person>
          <b:Person>
            <b:Last>Keifer</b:Last>
            <b:First>A.W.</b:First>
          </b:Person>
          <b:Person>
            <b:Last>Peugh</b:Last>
            <b:First>J.</b:First>
          </b:Person>
          <b:Person>
            <b:Last>Tamm</b:Last>
            <b:First>L.</b:First>
          </b:Person>
          <b:Person>
            <b:Last>MacPherson</b:Last>
            <b:First>R.P.</b:First>
          </b:Person>
          <b:Person>
            <b:Last>Simon</b:Last>
            <b:First>J.O.</b:First>
          </b:Person>
          <b:Person>
            <b:Last>Fisher</b:Last>
            <b:First>D.L.</b:First>
          </b:Person>
        </b:NameList>
      </b:Author>
    </b:Author>
    <b:JournalName>New England Journal of Medicine</b:JournalName>
    <b:Year>2022</b:Year>
    <b:Pages>2056-2066</b:Pages>
    <b:Volume>387</b:Volume>
    <b:RefOrder>12</b:RefOrder>
  </b:Source>
  <b:Source>
    <b:Tag>Buc20</b:Tag>
    <b:SourceType>InternetSite</b:SourceType>
    <b:Guid>{DF2DBC9D-CC5B-4FAF-AD44-C7D84529A167}</b:Guid>
    <b:Author>
      <b:Author>
        <b:NameList>
          <b:Person>
            <b:Last>Buchholz</b:Last>
            <b:First>K.</b:First>
          </b:Person>
        </b:NameList>
      </b:Author>
    </b:Author>
    <b:Title>Driver's License. Americans Get Driver's Licenses Later in Life</b:Title>
    <b:InternetSiteTitle>Statista</b:InternetSiteTitle>
    <b:Year>2020</b:Year>
    <b:Month>January</b:Month>
    <b:Day>7</b:Day>
    <b:URL>https://www.statista.com/chart/18682/percentage-of-the-us-population-holding-a-drivers-license-by-age-group/</b:URL>
    <b:RefOrder>3</b:RefOrder>
  </b:Source>
  <b:Source>
    <b:Tag>Kla</b:Tag>
    <b:SourceType>Report</b:SourceType>
    <b:Guid>{4F41C68A-E287-41ED-9632-AF8AA4894111}</b:Guid>
    <b:Author>
      <b:Author>
        <b:NameList>
          <b:Person>
            <b:Last>Klauer</b:Last>
            <b:First>S.G.</b:First>
          </b:Person>
          <b:Person>
            <b:Last>Dingus</b:Last>
            <b:First>T.A.</b:First>
          </b:Person>
          <b:Person>
            <b:Last>Neale</b:Last>
            <b:First>V.L.</b:First>
          </b:Person>
          <b:Person>
            <b:Last>Sudweeks</b:Last>
            <b:First>J.D.</b:First>
          </b:Person>
          <b:Person>
            <b:Last>Ramsey</b:Last>
            <b:First>D.J.</b:First>
          </b:Person>
        </b:NameList>
      </b:Author>
    </b:Author>
    <b:Title>The impact of driver inattention on near-crash/crash risk: an analysis using the 100-Car naturalistic driving study data</b:Title>
    <b:Year>2006</b:Year>
    <b:Publisher>National Highway Traffic Safety Administration</b:Publisher>
    <b:City>Washington, D.C.</b:City>
    <b:StandardNumber>DOT HS 810 594</b:StandardNumber>
    <b:RefOrder>9</b:RefOrder>
  </b:Source>
  <b:Source>
    <b:Tag>Tef19</b:Tag>
    <b:SourceType>Report</b:SourceType>
    <b:Guid>{A749CE37-D06F-4539-A358-6DDEF2DD2A5C}</b:Guid>
    <b:Author>
      <b:Author>
        <b:NameList>
          <b:Person>
            <b:Last>Tefft</b:Last>
            <b:First>B.C.</b:First>
          </b:Person>
          <b:Person>
            <b:Last>Foss</b:Last>
            <b:First>R.D.</b:First>
          </b:Person>
        </b:NameList>
      </b:Author>
    </b:Author>
    <b:Title>Prevalence and timing of driver licensing among young adults (Research Brief)</b:Title>
    <b:Year>2019</b:Year>
    <b:Publisher>AAA Foundation for Traffic Safety</b:Publisher>
    <b:City>Washington, DC</b:City>
    <b:RefOrder>4</b:RefOrder>
  </b:Source>
  <b:Source>
    <b:Tag>Fis24</b:Tag>
    <b:SourceType>JournalArticle</b:SourceType>
    <b:Guid>{4013C94E-0F6C-4D0B-97C6-D94AB4CE3A82}</b:Guid>
    <b:Title>Novice driver crashes: The relation between putative causal factors, countermeasures, real world implementations, and policy – A case study in simple, scalable solutions</b:Title>
    <b:Year>2024</b:Year>
    <b:Author>
      <b:Author>
        <b:NameList>
          <b:Person>
            <b:Last>Fisher</b:Last>
            <b:First>D.L.</b:First>
          </b:Person>
          <b:Person>
            <b:Last>Agrawal</b:Last>
            <b:First>R.</b:First>
          </b:Person>
          <b:Person>
            <b:Last>Divekar</b:Last>
            <b:First>G.</b:First>
          </b:Person>
          <b:Person>
            <b:Last>Hamid</b:Last>
            <b:First>M.A.</b:First>
          </b:Person>
          <b:Person>
            <b:Last>Krishnan</b:Last>
            <b:First>A.</b:First>
          </b:Person>
          <b:Person>
            <b:Last>Mehranian</b:Last>
            <b:First>H.</b:First>
          </b:Person>
          <b:Person>
            <b:Last>Muttart</b:Last>
            <b:First>J.</b:First>
          </b:Person>
          <b:Person>
            <b:Last>Pradhan</b:Last>
            <b:First>A.K.</b:First>
          </b:Person>
          <b:Person>
            <b:Last>Roberts</b:Last>
            <b:First>S.</b:First>
          </b:Person>
          <b:Person>
            <b:Last>Romoser</b:Last>
            <b:First>M.</b:First>
          </b:Person>
          <b:Person>
            <b:Last>Samuel</b:Last>
            <b:First>S.</b:First>
          </b:Person>
          <b:Person>
            <b:Last>Vlakveld</b:Last>
            <b:First>W.</b:First>
          </b:Person>
          <b:Person>
            <b:Last>Yamani</b:Last>
            <b:First>Y.</b:First>
          </b:Person>
          <b:Person>
            <b:Last>Young</b:Last>
            <b:First>J.</b:First>
          </b:Person>
          <b:Person>
            <b:Last>Zafian</b:Last>
            <b:First>T.</b:First>
          </b:Person>
          <b:Person>
            <b:Last>Zhang</b:Last>
            <b:First>L.</b:First>
          </b:Person>
        </b:NameList>
      </b:Author>
    </b:Author>
    <b:JournalName>Accident Analysis and Prevention</b:JournalName>
    <b:DOI>10.1016/j.aap.2023.107397</b:DOI>
    <b:Pages>e107297</b:Pages>
    <b:RefOrder>14</b:RefOrder>
  </b:Source>
  <b:Source>
    <b:Tag>Rye22</b:Tag>
    <b:SourceType>JournalArticle</b:SourceType>
    <b:Guid>{08F09DBA-B06E-467B-8238-F654A6705087}</b:Guid>
    <b:Title>Identifying community-level disparities in access to driver education and training: Toward a definition of driver training deserts</b:Title>
    <b:Year>2022</b:Year>
    <b:Author>
      <b:Author>
        <b:NameList>
          <b:Person>
            <b:Last>Ryerson</b:Last>
            <b:First>M.</b:First>
          </b:Person>
          <b:Person>
            <b:Last>Davidson</b:Last>
            <b:First>J.</b:First>
          </b:Person>
          <b:Person>
            <b:Last>Wu</b:Last>
            <b:First>J.S.</b:First>
          </b:Person>
          <b:Person>
            <b:Last>Feiglin</b:Last>
            <b:First>I.</b:First>
          </b:Person>
          <b:Person>
            <b:Last>Winston</b:Last>
            <b:First>F.</b:First>
          </b:Person>
        </b:NameList>
      </b:Author>
    </b:Author>
    <b:JournalName>Traffic Injury Prevention</b:JournalName>
    <b:Pages>S14-S19</b:Pages>
    <b:Volume>23</b:Volume>
    <b:RefOrder>5</b:RefOrder>
  </b:Source>
  <b:Source>
    <b:Tag>Arnnd</b:Tag>
    <b:SourceType>DocumentFromInternetSite</b:SourceType>
    <b:Guid>{DD0F2D12-C829-41A5-853C-48FD43DBF523}</b:Guid>
    <b:Title>Arnett Inventory Sensation Seeking (AISS)</b:Title>
    <b:Year>nd</b:Year>
    <b:Author>
      <b:Author>
        <b:NameList>
          <b:Person>
            <b:Last>Arnett</b:Last>
            <b:First>J.</b:First>
          </b:Person>
        </b:NameList>
      </b:Author>
    </b:Author>
    <b:YearAccessed>2024</b:YearAccessed>
    <b:MonthAccessed>February</b:MonthAccessed>
    <b:DayAccessed>12</b:DayAccessed>
    <b:URL>https://sjdm.org/dmidi/Arnett_Inventory_of_Sensation_Seeking.html</b:URL>
    <b:RefOrder>20</b:RefOrder>
  </b:Source>
  <b:Source>
    <b:Tag>Busnd</b:Tag>
    <b:SourceType>DocumentFromInternetSite</b:SourceType>
    <b:Guid>{0C40C15D-7329-43F4-8D96-D9E90C404871}</b:Guid>
    <b:Author>
      <b:Author>
        <b:NameList>
          <b:Person>
            <b:Last>Buss</b:Last>
            <b:First>A.H.</b:First>
          </b:Person>
          <b:Person>
            <b:Last>Perry</b:Last>
            <b:First>M.</b:First>
          </b:Person>
        </b:NameList>
      </b:Author>
    </b:Author>
    <b:Title>Buss Perry Aggression Questionnaire (BPAQ)</b:Title>
    <b:Year>nd</b:Year>
    <b:YearAccessed>2024</b:YearAccessed>
    <b:MonthAccessed>February</b:MonthAccessed>
    <b:DayAccessed>12</b:DayAccessed>
    <b:URL>https://psychology-tools.com/test/buss-perry-aggression-questionnaire</b:URL>
    <b:RefOrder>21</b:RefOrder>
  </b:Source>
  <b:Source>
    <b:Tag>Sno00</b:Tag>
    <b:SourceType>Report</b:SourceType>
    <b:Guid>{E83BA86F-2D24-4AC1-9449-49F522EA5DC7}</b:Guid>
    <b:Author>
      <b:Author>
        <b:NameList>
          <b:Person>
            <b:Last>Snow</b:Last>
            <b:First>R.W.</b:First>
          </b:Person>
        </b:NameList>
      </b:Author>
    </b:Author>
    <b:Title>1999 national highway safety survey: monitoring Americans' attitudes, opinions, and behaviors.</b:Title>
    <b:Year>2000</b:Year>
    <b:Publisher>Department of Sociology and Anthropology, Mississippi State University</b:Publisher>
    <b:RefOrder>22</b:RefOrder>
  </b:Source>
  <b:Source>
    <b:Tag>Mar12</b:Tag>
    <b:SourceType>JournalArticle</b:SourceType>
    <b:Guid>{F7D4CD5A-C4E3-4855-B32E-73666504B932}</b:Guid>
    <b:Author>
      <b:Author>
        <b:NameList>
          <b:Person>
            <b:Last>Martinussen</b:Last>
            <b:First>L.M.</b:First>
          </b:Person>
          <b:Person>
            <b:Last>Hakamies-Blomqvist</b:Last>
            <b:First>L.</b:First>
          </b:Person>
          <b:Person>
            <b:Last>Meller</b:Last>
            <b:First>M.</b:First>
          </b:Person>
          <b:Person>
            <b:Last>Özkan</b:Last>
            <b:First>T.</b:First>
          </b:Person>
          <b:Person>
            <b:Last>Lajunen</b:Last>
            <b:First>T.</b:First>
          </b:Person>
        </b:NameList>
      </b:Author>
    </b:Author>
    <b:Title>Age, gender, mileage and the DBQ: The validity of the Driver Behavior Questionnaire in</b:Title>
    <b:JournalName>Accident Analysis and Prevention</b:JournalName>
    <b:Year>2012</b:Year>
    <b:Pages>228-236</b:Pages>
    <b:Volume>52</b:Volume>
    <b:RefOrder>23</b:RefOrder>
  </b:Source>
  <b:Source>
    <b:Tag>Zha18</b:Tag>
    <b:SourceType>JournalArticle</b:SourceType>
    <b:Guid>{48EEBD07-56AB-425D-BDC9-98B02DBF4222}</b:Guid>
    <b:Author>
      <b:Author>
        <b:NameList>
          <b:Person>
            <b:Last>Zhang</b:Last>
            <b:First>T.</b:First>
          </b:Person>
          <b:Person>
            <b:Last>Hajiseyedjavadi</b:Last>
            <b:First>F.</b:First>
          </b:Person>
          <b:Person>
            <b:Last>Wang</b:Last>
            <b:First>Y.</b:First>
          </b:Person>
          <b:Person>
            <b:Last>Samuel</b:Last>
            <b:First>S.</b:First>
          </b:Person>
          <b:Person>
            <b:Last>Qu</b:Last>
            <b:First>X.</b:First>
          </b:Person>
          <b:Person>
            <b:Last>Fisher</b:Last>
            <b:First>D.L.</b:First>
          </b:Person>
        </b:NameList>
      </b:Author>
    </b:Author>
    <b:Title>Training interventions are only effective on careful drivers, not careless drivers</b:Title>
    <b:JournalName>Transportation Research F</b:JournalName>
    <b:Year>2018</b:Year>
    <b:Pages>693-707</b:Pages>
    <b:Volume>58</b:Volume>
    <b:RefOrder>15</b:RefOrder>
  </b:Source>
  <b:Source>
    <b:Tag>Fisew2</b:Tag>
    <b:SourceType>Report</b:SourceType>
    <b:Guid>{3E873BC6-3BAA-4B83-92E4-416AA4F0148D}</b:Guid>
    <b:Title>Development and Evaluation of Models to Predict Likelihood Driver Will Anticipate a Potential Latent Hazard </b:Title>
    <b:Year>Under agency review</b:Year>
    <b:Author>
      <b:Author>
        <b:NameList>
          <b:Person>
            <b:Last>Fisher</b:Last>
            <b:First>D.L.</b:First>
          </b:Person>
          <b:Person>
            <b:Last>Nadler</b:Last>
            <b:First>E.</b:First>
          </b:Person>
          <b:Person>
            <b:Last>Calabrese</b:Last>
            <b:First>C.</b:First>
          </b:Person>
          <b:Person>
            <b:Last>Isaacs</b:Last>
            <b:First>M.</b:First>
          </b:Person>
          <b:Person>
            <b:Last>Young</b:Last>
            <b:First>J.</b:First>
          </b:Person>
        </b:NameList>
      </b:Author>
    </b:Author>
    <b:Publisher>NHTSA</b:Publisher>
    <b:City>Washington, DC</b:City>
    <b:RefOrder>18</b:RefOrder>
  </b:Source>
  <b:Source>
    <b:Tag>Nat22</b:Tag>
    <b:SourceType>Misc</b:SourceType>
    <b:Guid>{AF0BA84D-E6F6-4FC1-9C47-FCB8766BF07E}</b:Guid>
    <b:Title>Agency Information Collection: Notice and Request for Comment: Drivers' Knowledge/Correct Us of Ne wTechnology Features in Passenger Vehicles</b:Title>
    <b:Year>2022</b:Year>
    <b:Volume>87</b:Volume>
    <b:Author>
      <b:Author>
        <b:Corporate>National Highway Traffic Safety Administration</b:Corporate>
      </b:Author>
    </b:Author>
    <b:City>Washington, DC</b:City>
    <b:Publisher>Federal Register</b:Publisher>
    <b:PublicationTitle>Federal Register</b:PublicationTitle>
    <b:Month>July</b:Month>
    <b:Day>20</b:Day>
    <b:Edition>138</b:Edition>
    <b:YearAccessed>2024</b:YearAccessed>
    <b:MonthAccessed>March</b:MonthAccessed>
    <b:DayAccessed>21</b:DayAccessed>
    <b:URL>https://www.govinfo.gov/content/pkg/FR-2022-07-20/pdf/2022-15408.pdf</b:URL>
    <b:RefOrder>19</b:RefOrder>
  </b:Source>
  <b:Source>
    <b:Tag>Fis07</b:Tag>
    <b:SourceType>JournalArticle</b:SourceType>
    <b:Guid>{E504EC93-01C9-4BCF-9C10-A504727F6084}</b:Guid>
    <b:Author>
      <b:Author>
        <b:NameList>
          <b:Person>
            <b:Last>Fisher</b:Last>
            <b:First>D.L.</b:First>
          </b:Person>
          <b:Person>
            <b:Last>Pradhan</b:Last>
            <b:First>A.K.</b:First>
          </b:Person>
          <b:Person>
            <b:Last>Pollatsek</b:Last>
            <b:First>A.</b:First>
          </b:Person>
          <b:Person>
            <b:Last>Knodler</b:Last>
            <b:First>A.K.Jr.</b:First>
          </b:Person>
        </b:NameList>
      </b:Author>
    </b:Author>
    <b:Title>Empirical Evaluation of Hazard AnticipationBehaviors in the Field and on Driving Simulator Using Eye Tracker</b:Title>
    <b:JournalName>Transportation Research Record</b:JournalName>
    <b:Year>2007</b:Year>
    <b:Pages>80-86</b:Pages>
    <b:Volume>2018</b:Volume>
    <b:RefOrder>13</b:RefOrder>
  </b:Source>
  <b:Source>
    <b:Tag>Flo23</b:Tag>
    <b:SourceType>Report</b:SourceType>
    <b:Guid>{F0B5F26A-8058-48E8-A97E-27ED978F362C}</b:Guid>
    <b:Title>IPUMS CPS: Version 11.0 [dataset]</b:Title>
    <b:Year>2023</b:Year>
    <b:Author>
      <b:Author>
        <b:NameList>
          <b:Person>
            <b:Last>Flood</b:Last>
            <b:First>S.</b:First>
          </b:Person>
          <b:Person>
            <b:Last>King</b:Last>
            <b:First>M.</b:First>
          </b:Person>
          <b:Person>
            <b:Last>Rodgers</b:Last>
            <b:First>R.</b:First>
          </b:Person>
          <b:Person>
            <b:Last>Ruggles</b:Last>
            <b:First>S.</b:First>
          </b:Person>
          <b:Person>
            <b:Last>Warren</b:Last>
            <b:First>R.J.</b:First>
          </b:Person>
          <b:Person>
            <b:Last>Backman</b:Last>
            <b:First>D.</b:First>
          </b:Person>
          <b:Person>
            <b:Last>Chen</b:Last>
            <b:First>A.</b:First>
          </b:Person>
          <b:Person>
            <b:Last>Cooper</b:Last>
            <b:First>G.</b:First>
          </b:Person>
          <b:Person>
            <b:Last>Richards</b:Last>
            <b:First>S.</b:First>
          </b:Person>
          <b:Person>
            <b:Last>Schouweiler</b:Last>
            <b:First>M</b:First>
          </b:Person>
          <b:Person>
            <b:Last>Westberry</b:Last>
            <b:First>M.</b:First>
          </b:Person>
        </b:NameList>
      </b:Author>
    </b:Author>
    <b:Publisher>IPUMS</b:Publisher>
    <b:City>Minneapolis</b:City>
    <b:DOI>https://doi.org/10.18128/D030.V11.0</b:DOI>
    <b:RefOrder>16</b:RefOrder>
  </b:Source>
  <b:Source>
    <b:Tag>BLS24</b:Tag>
    <b:SourceType>Report</b:SourceType>
    <b:Guid>{B36751A4-CBED-4113-B854-7A66C60FAFC3}</b:Guid>
    <b:Author>
      <b:Author>
        <b:Corporate>BLS.</b:Corporate>
      </b:Author>
    </b:Author>
    <b:Title>Employer Costs for Employee Compensation for the Regions – December 2023</b:Title>
    <b:Year>2024</b:Year>
    <b:Publisher>Bureau of Labor Statistics. Southwest Information Office</b:Publisher>
    <b:City>Dallas</b:City>
    <b:YearAccessed>2024</b:YearAccessed>
    <b:MonthAccessed>May</b:MonthAccessed>
    <b:DayAccessed>24</b:DayAccessed>
    <b:URL>https://www.bls.gov/regions/southwest/news-release/employercostsforemployeecompensation_regions.htm#:~:text=Overall%2C%20compensation%20costs%20among%20private,up%20the%20remaining%2029.6%20percent.</b:URL>
    <b:RefOrder>17</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0A1E6-A714-4C73-A528-711F12897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d9144-ba0c-4ce9-b730-5c818b83bf15"/>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5DAA6-5329-41F4-9B4B-022AF8005902}">
  <ds:schemaRefs>
    <ds:schemaRef ds:uri="http://schemas.microsoft.com/office/2006/metadata/properties"/>
    <ds:schemaRef ds:uri="http://schemas.microsoft.com/office/infopath/2007/PartnerControls"/>
    <ds:schemaRef ds:uri="a2d580ed-e60b-4601-bd95-212988921ab1"/>
    <ds:schemaRef ds:uri="e22d9144-ba0c-4ce9-b730-5c818b83bf15"/>
  </ds:schemaRefs>
</ds:datastoreItem>
</file>

<file path=customXml/itemProps3.xml><?xml version="1.0" encoding="utf-8"?>
<ds:datastoreItem xmlns:ds="http://schemas.openxmlformats.org/officeDocument/2006/customXml" ds:itemID="{E62DD7AF-B479-4866-90B6-A3E75815EE5B}">
  <ds:schemaRefs>
    <ds:schemaRef ds:uri="http://schemas.openxmlformats.org/officeDocument/2006/bibliography"/>
  </ds:schemaRefs>
</ds:datastoreItem>
</file>

<file path=customXml/itemProps4.xml><?xml version="1.0" encoding="utf-8"?>
<ds:datastoreItem xmlns:ds="http://schemas.openxmlformats.org/officeDocument/2006/customXml" ds:itemID="{E36CA1B8-4EB7-4447-9EBC-28BBA989E5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5234</Words>
  <Characters>29838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(11-19)</dc:title>
  <dc:creator>Jessica Cicchino</dc:creator>
  <cp:lastModifiedBy>Johnson, Kristie (NHTSA)</cp:lastModifiedBy>
  <cp:revision>3</cp:revision>
  <cp:lastPrinted>2021-07-15T21:30:00Z</cp:lastPrinted>
  <dcterms:created xsi:type="dcterms:W3CDTF">2025-12-10T17:04:00Z</dcterms:created>
  <dcterms:modified xsi:type="dcterms:W3CDTF">2025-12-10T17:18:00Z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0x010100B925E2DBC254454E952723DE70D8EDF3</vt:lpwstr>
  </property>
  <property fmtid="{D5CDD505-2E9C-101B-9397-08002B2CF9AE}" pid="3" name="MediaServiceImageTags">
    <vt:lpwstr/>
  </property>
</Properties>
</file>