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7B8A" w:rsidRPr="00483FED" w:rsidP="003C7B8A" w14:paraId="41BFC2DE"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005413D6">
        <w:rPr>
          <w:szCs w:val="24"/>
        </w:rPr>
        <w:fldChar w:fldCharType="separate"/>
      </w:r>
      <w:r w:rsidRPr="00483FED">
        <w:rPr>
          <w:szCs w:val="24"/>
        </w:rPr>
        <w:fldChar w:fldCharType="end"/>
      </w:r>
      <w:r w:rsidRPr="008A5B6D">
        <w:rPr>
          <w:szCs w:val="24"/>
        </w:rPr>
        <w:fldChar w:fldCharType="begin"/>
      </w:r>
      <w:r w:rsidRPr="008A5B6D">
        <w:rPr>
          <w:szCs w:val="24"/>
        </w:rPr>
        <w:instrText xml:space="preserve"> SEQ CHAPTER \h \r 1</w:instrText>
      </w:r>
      <w:r w:rsidR="005413D6">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005413D6">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005413D6">
        <w:rPr>
          <w:szCs w:val="24"/>
        </w:rPr>
        <w:fldChar w:fldCharType="separate"/>
      </w:r>
      <w:r w:rsidRPr="008A5B6D">
        <w:rPr>
          <w:szCs w:val="24"/>
        </w:rPr>
        <w:fldChar w:fldCharType="end"/>
      </w:r>
      <w:r w:rsidRPr="00483FED">
        <w:rPr>
          <w:b/>
          <w:szCs w:val="24"/>
        </w:rPr>
        <w:t>FEDERAL RAILROAD ADMINISTRATION</w:t>
      </w:r>
    </w:p>
    <w:p w:rsidR="003C7B8A" w:rsidRPr="004C0597" w:rsidP="003C7B8A" w14:paraId="74A38B2F" w14:textId="77777777">
      <w:pPr>
        <w:widowControl w:val="0"/>
        <w:tabs>
          <w:tab w:val="center" w:pos="4680"/>
        </w:tabs>
        <w:jc w:val="center"/>
        <w:rPr>
          <w:b/>
          <w:szCs w:val="24"/>
        </w:rPr>
      </w:pPr>
      <w:r>
        <w:rPr>
          <w:b/>
          <w:bCs/>
          <w:szCs w:val="24"/>
        </w:rPr>
        <w:t xml:space="preserve">Railroad Bridge Safety Standards and </w:t>
      </w:r>
      <w:r>
        <w:rPr>
          <w:b/>
          <w:szCs w:val="24"/>
        </w:rPr>
        <w:t>Bridge Worker Safety Rules</w:t>
      </w:r>
    </w:p>
    <w:p w:rsidR="003C7B8A" w:rsidRPr="008A5B6D" w:rsidP="003C7B8A" w14:paraId="411F8C00" w14:textId="77777777">
      <w:pPr>
        <w:widowControl w:val="0"/>
        <w:tabs>
          <w:tab w:val="center" w:pos="4680"/>
        </w:tabs>
        <w:jc w:val="center"/>
        <w:rPr>
          <w:b/>
          <w:szCs w:val="24"/>
        </w:rPr>
      </w:pPr>
      <w:r w:rsidRPr="008A5B6D">
        <w:rPr>
          <w:b/>
          <w:szCs w:val="24"/>
        </w:rPr>
        <w:t>(Title 49 Code of Federal Regulations (CFR) Part</w:t>
      </w:r>
      <w:r>
        <w:rPr>
          <w:b/>
          <w:szCs w:val="24"/>
        </w:rPr>
        <w:t>s 214 and 237</w:t>
      </w:r>
      <w:r w:rsidRPr="008A5B6D">
        <w:rPr>
          <w:b/>
          <w:szCs w:val="24"/>
        </w:rPr>
        <w:t>)</w:t>
      </w:r>
    </w:p>
    <w:p w:rsidR="003C7B8A" w:rsidRPr="008A5B6D" w:rsidP="003C7B8A" w14:paraId="724AB4A3" w14:textId="77777777">
      <w:pPr>
        <w:widowControl w:val="0"/>
        <w:jc w:val="center"/>
        <w:rPr>
          <w:b/>
          <w:szCs w:val="24"/>
        </w:rPr>
      </w:pPr>
      <w:r w:rsidRPr="008A5B6D">
        <w:rPr>
          <w:b/>
          <w:szCs w:val="24"/>
        </w:rPr>
        <w:t>SUPPORTING JUSTIFICATION</w:t>
      </w:r>
    </w:p>
    <w:p w:rsidR="003C7B8A" w:rsidRPr="008A5B6D" w:rsidP="003C7B8A" w14:paraId="3700CCD9" w14:textId="77777777">
      <w:pPr>
        <w:widowControl w:val="0"/>
        <w:jc w:val="center"/>
        <w:rPr>
          <w:b/>
          <w:szCs w:val="24"/>
        </w:rPr>
      </w:pPr>
      <w:r w:rsidRPr="008A5B6D">
        <w:rPr>
          <w:b/>
          <w:szCs w:val="24"/>
        </w:rPr>
        <w:t>OMB Control No. 2130-0</w:t>
      </w:r>
      <w:r>
        <w:rPr>
          <w:b/>
          <w:szCs w:val="24"/>
        </w:rPr>
        <w:t>586</w:t>
      </w:r>
    </w:p>
    <w:p w:rsidR="003C7B8A" w:rsidRPr="008A5B6D" w:rsidP="003C7B8A" w14:paraId="34BF6F95" w14:textId="77777777">
      <w:pPr>
        <w:widowControl w:val="0"/>
        <w:rPr>
          <w:b/>
          <w:szCs w:val="24"/>
        </w:rPr>
      </w:pPr>
    </w:p>
    <w:p w:rsidR="003C7B8A" w:rsidRPr="008A5B6D" w:rsidP="003C7B8A" w14:paraId="2F287D4C" w14:textId="77777777">
      <w:pPr>
        <w:widowControl w:val="0"/>
        <w:ind w:left="720"/>
        <w:rPr>
          <w:szCs w:val="24"/>
          <w:u w:val="single"/>
        </w:rPr>
      </w:pPr>
      <w:r w:rsidRPr="008A5B6D">
        <w:rPr>
          <w:szCs w:val="24"/>
          <w:u w:val="single"/>
        </w:rPr>
        <w:t>Summary of Submission</w:t>
      </w:r>
    </w:p>
    <w:p w:rsidR="003C7B8A" w:rsidRPr="008A5B6D" w:rsidP="003C7B8A" w14:paraId="3F5BA21A" w14:textId="77777777">
      <w:pPr>
        <w:widowControl w:val="0"/>
        <w:ind w:left="720"/>
        <w:rPr>
          <w:szCs w:val="24"/>
          <w:u w:val="single"/>
        </w:rPr>
      </w:pPr>
    </w:p>
    <w:p w:rsidR="003C7B8A" w:rsidRPr="008A5B6D" w:rsidP="003C7B8A" w14:paraId="3966A2F3" w14:textId="526D9C0D">
      <w:pPr>
        <w:widowControl w:val="0"/>
        <w:numPr>
          <w:ilvl w:val="1"/>
          <w:numId w:val="2"/>
        </w:numPr>
      </w:pPr>
      <w:r>
        <w:t xml:space="preserve">This submission is a request for an extension without change of the last three-year approval granted by the Office of Management and Budget (OMB) on </w:t>
      </w:r>
      <w:r w:rsidR="003346DB">
        <w:t>February 27</w:t>
      </w:r>
      <w:r w:rsidR="3D2F4827">
        <w:t>,</w:t>
      </w:r>
      <w:r w:rsidR="003346DB">
        <w:t xml:space="preserve"> 2023</w:t>
      </w:r>
      <w:r>
        <w:t xml:space="preserve">, which expires </w:t>
      </w:r>
      <w:r w:rsidR="00167287">
        <w:t>February 28, 2026</w:t>
      </w:r>
      <w:r>
        <w:t xml:space="preserve">. </w:t>
      </w:r>
    </w:p>
    <w:p w:rsidR="003C7B8A" w:rsidRPr="008A5B6D" w:rsidP="003C7B8A" w14:paraId="31862682" w14:textId="77777777">
      <w:pPr>
        <w:widowControl w:val="0"/>
        <w:ind w:left="1080"/>
        <w:rPr>
          <w:szCs w:val="24"/>
        </w:rPr>
      </w:pPr>
    </w:p>
    <w:p w:rsidR="003C7B8A" w:rsidP="003C7B8A" w14:paraId="02802817" w14:textId="520879AF">
      <w:pPr>
        <w:widowControl w:val="0"/>
        <w:numPr>
          <w:ilvl w:val="1"/>
          <w:numId w:val="2"/>
        </w:numPr>
        <w:rPr>
          <w:szCs w:val="24"/>
        </w:rPr>
      </w:pPr>
      <w:r w:rsidRPr="008A5B6D">
        <w:rPr>
          <w:szCs w:val="24"/>
        </w:rPr>
        <w:t>The Federal Railroad Administration (</w:t>
      </w:r>
      <w:r w:rsidR="003346DB">
        <w:rPr>
          <w:szCs w:val="24"/>
        </w:rPr>
        <w:t>hereafter “</w:t>
      </w:r>
      <w:r w:rsidRPr="008A5B6D">
        <w:rPr>
          <w:szCs w:val="24"/>
        </w:rPr>
        <w:t>FRA</w:t>
      </w:r>
      <w:r w:rsidR="003346DB">
        <w:rPr>
          <w:szCs w:val="24"/>
        </w:rPr>
        <w:t>” or “the Agency”</w:t>
      </w:r>
      <w:r w:rsidRPr="008A5B6D">
        <w:rPr>
          <w:szCs w:val="24"/>
        </w:rPr>
        <w:t xml:space="preserve">) published </w:t>
      </w:r>
      <w:r w:rsidR="003346DB">
        <w:rPr>
          <w:szCs w:val="24"/>
        </w:rPr>
        <w:t>a</w:t>
      </w:r>
      <w:r w:rsidR="00A02C3B">
        <w:rPr>
          <w:szCs w:val="24"/>
        </w:rPr>
        <w:t xml:space="preserve"> </w:t>
      </w:r>
      <w:r w:rsidRPr="008A5B6D">
        <w:rPr>
          <w:szCs w:val="24"/>
        </w:rPr>
        <w:t>required 60-day</w:t>
      </w:r>
      <w:r w:rsidR="003346DB">
        <w:rPr>
          <w:szCs w:val="24"/>
        </w:rPr>
        <w:t xml:space="preserve"> Notice in the </w:t>
      </w:r>
      <w:r w:rsidRPr="008A5B6D">
        <w:rPr>
          <w:bCs/>
          <w:szCs w:val="24"/>
          <w:u w:val="single"/>
        </w:rPr>
        <w:t>Federal Register</w:t>
      </w:r>
      <w:r w:rsidRPr="008A5B6D">
        <w:rPr>
          <w:bCs/>
          <w:szCs w:val="24"/>
        </w:rPr>
        <w:t xml:space="preserve"> on </w:t>
      </w:r>
      <w:r w:rsidR="00A02C3B">
        <w:rPr>
          <w:bCs/>
          <w:szCs w:val="24"/>
        </w:rPr>
        <w:t>December 3</w:t>
      </w:r>
      <w:r w:rsidR="003346DB">
        <w:rPr>
          <w:bCs/>
          <w:szCs w:val="24"/>
        </w:rPr>
        <w:t>, 2025</w:t>
      </w:r>
      <w:r w:rsidRPr="008A5B6D">
        <w:rPr>
          <w:bCs/>
          <w:szCs w:val="24"/>
        </w:rPr>
        <w:t xml:space="preserve">. </w:t>
      </w:r>
      <w:r>
        <w:rPr>
          <w:bCs/>
          <w:szCs w:val="24"/>
        </w:rPr>
        <w:t xml:space="preserve"> </w:t>
      </w:r>
      <w:r w:rsidRPr="008A5B6D">
        <w:rPr>
          <w:bCs/>
          <w:szCs w:val="24"/>
          <w:u w:val="single"/>
        </w:rPr>
        <w:t>See</w:t>
      </w:r>
      <w:r w:rsidRPr="008A5B6D">
        <w:rPr>
          <w:bCs/>
          <w:szCs w:val="24"/>
        </w:rPr>
        <w:t xml:space="preserve"> </w:t>
      </w:r>
      <w:r w:rsidR="003346DB">
        <w:rPr>
          <w:bCs/>
          <w:szCs w:val="24"/>
        </w:rPr>
        <w:t xml:space="preserve">90 </w:t>
      </w:r>
      <w:r w:rsidRPr="008A5B6D">
        <w:rPr>
          <w:bCs/>
          <w:szCs w:val="24"/>
        </w:rPr>
        <w:t xml:space="preserve">FR </w:t>
      </w:r>
      <w:r w:rsidR="00A02C3B">
        <w:rPr>
          <w:bCs/>
          <w:szCs w:val="24"/>
        </w:rPr>
        <w:t>55776</w:t>
      </w:r>
      <w:r w:rsidRPr="008A5B6D">
        <w:rPr>
          <w:bCs/>
          <w:szCs w:val="24"/>
        </w:rPr>
        <w:t xml:space="preserve">. </w:t>
      </w:r>
      <w:r w:rsidR="00C77956">
        <w:rPr>
          <w:bCs/>
          <w:szCs w:val="24"/>
        </w:rPr>
        <w:t xml:space="preserve"> </w:t>
      </w:r>
      <w:r w:rsidRPr="008A5B6D">
        <w:rPr>
          <w:bCs/>
          <w:szCs w:val="24"/>
        </w:rPr>
        <w:t xml:space="preserve">FRA received </w:t>
      </w:r>
      <w:r w:rsidR="0077186F">
        <w:rPr>
          <w:bCs/>
          <w:szCs w:val="24"/>
        </w:rPr>
        <w:t xml:space="preserve">zero </w:t>
      </w:r>
      <w:r w:rsidRPr="008A5B6D">
        <w:rPr>
          <w:bCs/>
          <w:szCs w:val="24"/>
        </w:rPr>
        <w:t>c</w:t>
      </w:r>
      <w:r w:rsidRPr="008A5B6D">
        <w:rPr>
          <w:szCs w:val="24"/>
        </w:rPr>
        <w:t xml:space="preserve">omments in response to this Notice. </w:t>
      </w:r>
    </w:p>
    <w:p w:rsidR="004540DA" w:rsidP="007D6CEA" w14:paraId="23E2AEA0" w14:textId="77777777">
      <w:pPr>
        <w:pStyle w:val="ListParagraph"/>
        <w:rPr>
          <w:szCs w:val="24"/>
        </w:rPr>
      </w:pPr>
    </w:p>
    <w:p w:rsidR="004540DA" w:rsidP="003C7B8A" w14:paraId="4B1947C2" w14:textId="390DBA4C">
      <w:pPr>
        <w:widowControl w:val="0"/>
        <w:numPr>
          <w:ilvl w:val="1"/>
          <w:numId w:val="2"/>
        </w:numPr>
        <w:rPr>
          <w:szCs w:val="24"/>
        </w:rPr>
      </w:pPr>
      <w:r>
        <w:rPr>
          <w:szCs w:val="24"/>
        </w:rPr>
        <w:t>The total burden hours requested for this information collection submission is 34,616, which is unchanged from the last submission.</w:t>
      </w:r>
    </w:p>
    <w:p w:rsidR="004540DA" w:rsidP="007D6CEA" w14:paraId="5478A8C8" w14:textId="77777777">
      <w:pPr>
        <w:pStyle w:val="ListParagraph"/>
        <w:rPr>
          <w:szCs w:val="24"/>
        </w:rPr>
      </w:pPr>
    </w:p>
    <w:p w:rsidR="004540DA" w:rsidP="003C7B8A" w14:paraId="3368BF1E" w14:textId="09F66D00">
      <w:pPr>
        <w:widowControl w:val="0"/>
        <w:numPr>
          <w:ilvl w:val="1"/>
          <w:numId w:val="2"/>
        </w:numPr>
        <w:rPr>
          <w:szCs w:val="24"/>
        </w:rPr>
      </w:pPr>
      <w:r>
        <w:rPr>
          <w:szCs w:val="24"/>
        </w:rPr>
        <w:t xml:space="preserve">The total number of responses requested for this information collection submission is 200,480, which is unchanged from the last submission.  </w:t>
      </w:r>
    </w:p>
    <w:p w:rsidR="007D6CEA" w:rsidRPr="008A5B6D" w:rsidP="007D6CEA" w14:paraId="095946EF" w14:textId="77777777">
      <w:pPr>
        <w:widowControl w:val="0"/>
        <w:rPr>
          <w:szCs w:val="24"/>
        </w:rPr>
      </w:pPr>
    </w:p>
    <w:p w:rsidR="003C7B8A" w:rsidRPr="008A5B6D" w:rsidP="003C7B8A" w14:paraId="7B374095" w14:textId="77777777">
      <w:pPr>
        <w:widowControl w:val="0"/>
        <w:numPr>
          <w:ilvl w:val="1"/>
          <w:numId w:val="2"/>
        </w:numPr>
        <w:outlineLvl w:val="0"/>
        <w:rPr>
          <w:szCs w:val="24"/>
        </w:rPr>
      </w:pPr>
      <w:r w:rsidRPr="008A5B6D">
        <w:rPr>
          <w:szCs w:val="24"/>
        </w:rPr>
        <w:t xml:space="preserve">The answer to question number 12 itemizes all information collection requirements. </w:t>
      </w:r>
    </w:p>
    <w:p w:rsidR="003C7B8A" w:rsidRPr="008A5B6D" w:rsidP="003C7B8A" w14:paraId="11B585B9" w14:textId="77777777">
      <w:pPr>
        <w:widowControl w:val="0"/>
        <w:ind w:left="1080"/>
        <w:outlineLvl w:val="0"/>
        <w:rPr>
          <w:szCs w:val="24"/>
        </w:rPr>
      </w:pPr>
    </w:p>
    <w:p w:rsidR="003C7B8A" w:rsidRPr="00483FED" w:rsidP="003C7B8A" w14:paraId="20B11BEF" w14:textId="77777777">
      <w:pPr>
        <w:widowControl w:val="0"/>
        <w:tabs>
          <w:tab w:val="center" w:pos="4680"/>
        </w:tabs>
        <w:rPr>
          <w:szCs w:val="24"/>
        </w:rPr>
      </w:pPr>
      <w:r w:rsidRPr="008A5B6D">
        <w:rPr>
          <w:szCs w:val="24"/>
        </w:rPr>
        <w:fldChar w:fldCharType="begin"/>
      </w:r>
      <w:r w:rsidRPr="008A5B6D">
        <w:rPr>
          <w:szCs w:val="24"/>
        </w:rPr>
        <w:instrText xml:space="preserve"> SEQ CHAPTER \h \r 1</w:instrText>
      </w:r>
      <w:r w:rsidR="005413D6">
        <w:rPr>
          <w:szCs w:val="24"/>
        </w:rPr>
        <w:fldChar w:fldCharType="separate"/>
      </w:r>
      <w:r w:rsidRPr="008A5B6D">
        <w:rPr>
          <w:szCs w:val="24"/>
        </w:rPr>
        <w:fldChar w:fldCharType="end"/>
      </w:r>
      <w:r w:rsidRPr="00483FED">
        <w:rPr>
          <w:b/>
          <w:szCs w:val="24"/>
        </w:rPr>
        <w:tab/>
      </w:r>
    </w:p>
    <w:p w:rsidR="003C7B8A" w:rsidRPr="00437BDF" w:rsidP="003C7B8A" w14:paraId="458971DF" w14:textId="5614F9CE">
      <w:pPr>
        <w:widowControl w:val="0"/>
        <w:numPr>
          <w:ilvl w:val="0"/>
          <w:numId w:val="1"/>
        </w:numPr>
        <w:ind w:left="0" w:firstLine="0"/>
        <w:rPr>
          <w:b/>
          <w:szCs w:val="24"/>
        </w:rPr>
      </w:pPr>
      <w:r w:rsidRPr="00437BDF">
        <w:rPr>
          <w:b/>
          <w:szCs w:val="24"/>
          <w:u w:val="single"/>
        </w:rPr>
        <w:t>Circumstances that make collection of the information necessary</w:t>
      </w:r>
      <w:r w:rsidRPr="00437BDF">
        <w:rPr>
          <w:b/>
          <w:szCs w:val="24"/>
        </w:rPr>
        <w:t>.</w:t>
      </w:r>
    </w:p>
    <w:p w:rsidR="003C7B8A" w:rsidRPr="008A5B6D" w:rsidP="003C7B8A" w14:paraId="44E24DE1" w14:textId="77777777">
      <w:pPr>
        <w:widowControl w:val="0"/>
        <w:tabs>
          <w:tab w:val="center" w:pos="4680"/>
        </w:tabs>
        <w:rPr>
          <w:b/>
          <w:szCs w:val="24"/>
        </w:rPr>
      </w:pPr>
    </w:p>
    <w:p w:rsidR="00E84508" w:rsidP="003C7B8A" w14:paraId="2F33A79E" w14:textId="5EB0C974">
      <w:pPr>
        <w:widowControl w:val="0"/>
        <w:ind w:left="720"/>
        <w:rPr>
          <w:szCs w:val="24"/>
        </w:rPr>
      </w:pPr>
      <w:r w:rsidRPr="000E2B8D">
        <w:rPr>
          <w:szCs w:val="24"/>
        </w:rPr>
        <w:t xml:space="preserve">Under 49 U.S.C. 20103, the Secretary of Transportation (Secretary) has broad authority to issue regulations governing every area of railroad safety. </w:t>
      </w:r>
      <w:r w:rsidR="007A12CA">
        <w:rPr>
          <w:szCs w:val="24"/>
        </w:rPr>
        <w:t xml:space="preserve"> </w:t>
      </w:r>
      <w:r w:rsidRPr="000E2B8D">
        <w:rPr>
          <w:szCs w:val="24"/>
        </w:rPr>
        <w:t xml:space="preserve">The Secretary has delegated rulemaking responsibility under section 20103 to the </w:t>
      </w:r>
      <w:r w:rsidR="00853E1D">
        <w:rPr>
          <w:szCs w:val="24"/>
        </w:rPr>
        <w:t xml:space="preserve">FRA </w:t>
      </w:r>
      <w:r w:rsidRPr="000E2B8D">
        <w:rPr>
          <w:szCs w:val="24"/>
        </w:rPr>
        <w:t xml:space="preserve">Administrator, 49 CFR 1.89(a).  Pursuant to its general statutory rulemaking authority, FRA promulgates and enforces rules as part of a comprehensive regulatory program to address all areas of railroad safety.  </w:t>
      </w:r>
    </w:p>
    <w:p w:rsidR="00E84508" w:rsidP="003C7B8A" w14:paraId="69EEA017" w14:textId="77777777">
      <w:pPr>
        <w:widowControl w:val="0"/>
        <w:ind w:left="720"/>
        <w:rPr>
          <w:szCs w:val="24"/>
        </w:rPr>
      </w:pPr>
    </w:p>
    <w:p w:rsidR="0036149B" w:rsidP="003C7B8A" w14:paraId="068E589B" w14:textId="7A05DA58">
      <w:pPr>
        <w:widowControl w:val="0"/>
        <w:ind w:left="720"/>
        <w:rPr>
          <w:szCs w:val="24"/>
        </w:rPr>
      </w:pPr>
      <w:r>
        <w:rPr>
          <w:szCs w:val="24"/>
        </w:rPr>
        <w:t xml:space="preserve">In 1992, FRA issued a </w:t>
      </w:r>
      <w:r w:rsidR="001965C5">
        <w:rPr>
          <w:szCs w:val="24"/>
        </w:rPr>
        <w:t xml:space="preserve">final rule establishing safety standards for the protection </w:t>
      </w:r>
      <w:r w:rsidR="00D57B5A">
        <w:rPr>
          <w:szCs w:val="24"/>
        </w:rPr>
        <w:t>o</w:t>
      </w:r>
      <w:r w:rsidR="001D7BD5">
        <w:rPr>
          <w:szCs w:val="24"/>
        </w:rPr>
        <w:t>f</w:t>
      </w:r>
      <w:r w:rsidR="00D57B5A">
        <w:rPr>
          <w:szCs w:val="24"/>
        </w:rPr>
        <w:t xml:space="preserve"> those who work on railroad bridges</w:t>
      </w:r>
      <w:r w:rsidR="00927DF1">
        <w:rPr>
          <w:szCs w:val="24"/>
        </w:rPr>
        <w:t xml:space="preserve">, including standards in 49 CFR § 214.105 for </w:t>
      </w:r>
      <w:r w:rsidR="00D14072">
        <w:rPr>
          <w:szCs w:val="24"/>
        </w:rPr>
        <w:t>fall protection</w:t>
      </w:r>
      <w:r w:rsidR="00927DF1">
        <w:rPr>
          <w:szCs w:val="24"/>
        </w:rPr>
        <w:t xml:space="preserve"> systems</w:t>
      </w:r>
      <w:r w:rsidR="00D14072">
        <w:rPr>
          <w:szCs w:val="24"/>
        </w:rPr>
        <w:t xml:space="preserve">, </w:t>
      </w:r>
      <w:r w:rsidR="001B67E5">
        <w:rPr>
          <w:szCs w:val="24"/>
        </w:rPr>
        <w:t>such as</w:t>
      </w:r>
      <w:r w:rsidR="00D14072">
        <w:rPr>
          <w:szCs w:val="24"/>
        </w:rPr>
        <w:t xml:space="preserve"> safety net systems </w:t>
      </w:r>
      <w:r w:rsidR="00AA080C">
        <w:rPr>
          <w:szCs w:val="24"/>
        </w:rPr>
        <w:t>a</w:t>
      </w:r>
      <w:r w:rsidR="00BF2274">
        <w:rPr>
          <w:szCs w:val="24"/>
        </w:rPr>
        <w:t>s</w:t>
      </w:r>
      <w:r w:rsidR="00AA080C">
        <w:rPr>
          <w:szCs w:val="24"/>
        </w:rPr>
        <w:t xml:space="preserve"> </w:t>
      </w:r>
      <w:r w:rsidR="00D14072">
        <w:rPr>
          <w:szCs w:val="24"/>
        </w:rPr>
        <w:t>addressed in § 214.10</w:t>
      </w:r>
      <w:r w:rsidR="00391CA4">
        <w:rPr>
          <w:szCs w:val="24"/>
        </w:rPr>
        <w:t>5</w:t>
      </w:r>
      <w:r w:rsidR="00D14072">
        <w:rPr>
          <w:szCs w:val="24"/>
        </w:rPr>
        <w:t>(c)</w:t>
      </w:r>
      <w:r w:rsidR="00043B16">
        <w:rPr>
          <w:szCs w:val="24"/>
        </w:rPr>
        <w:t>.</w:t>
      </w:r>
      <w:r>
        <w:rPr>
          <w:rStyle w:val="FootnoteReference"/>
          <w:szCs w:val="24"/>
        </w:rPr>
        <w:footnoteReference w:id="3"/>
      </w:r>
      <w:r w:rsidR="001D7BD5">
        <w:rPr>
          <w:szCs w:val="24"/>
        </w:rPr>
        <w:t xml:space="preserve">  FRA issued this rule in response to Section 19 of the Rail Safety Improvement Act </w:t>
      </w:r>
      <w:r w:rsidR="007914F8">
        <w:rPr>
          <w:szCs w:val="24"/>
        </w:rPr>
        <w:t>of 1988 (RSIA 1988), Pub</w:t>
      </w:r>
      <w:r w:rsidR="00AD32D6">
        <w:rPr>
          <w:szCs w:val="24"/>
        </w:rPr>
        <w:t>.</w:t>
      </w:r>
      <w:r w:rsidR="007914F8">
        <w:rPr>
          <w:szCs w:val="24"/>
        </w:rPr>
        <w:t xml:space="preserve"> L</w:t>
      </w:r>
      <w:r w:rsidR="00AD32D6">
        <w:rPr>
          <w:szCs w:val="24"/>
        </w:rPr>
        <w:t>. No.</w:t>
      </w:r>
      <w:r w:rsidR="007914F8">
        <w:rPr>
          <w:szCs w:val="24"/>
        </w:rPr>
        <w:t xml:space="preserve"> 100-342, 102 Stat. 624 (June 22, 1988)</w:t>
      </w:r>
      <w:r w:rsidR="008A6CFA">
        <w:rPr>
          <w:szCs w:val="24"/>
        </w:rPr>
        <w:t xml:space="preserve">, which directed FRA to issue </w:t>
      </w:r>
      <w:r w:rsidR="008A6CFA">
        <w:rPr>
          <w:szCs w:val="24"/>
        </w:rPr>
        <w:t xml:space="preserve">rules, regulations, orders, and standards as may be necessary for the safety of maintenance-of-way employees, including standards for bridge safety equipment, such as nets, walkways, handrails, and </w:t>
      </w:r>
      <w:r w:rsidR="00375F9A">
        <w:rPr>
          <w:szCs w:val="24"/>
        </w:rPr>
        <w:t>safety lines.</w:t>
      </w:r>
      <w:r>
        <w:rPr>
          <w:rStyle w:val="FootnoteReference"/>
          <w:szCs w:val="24"/>
        </w:rPr>
        <w:footnoteReference w:id="4"/>
      </w:r>
    </w:p>
    <w:p w:rsidR="00456960" w:rsidP="003C7B8A" w14:paraId="2FD09DF9" w14:textId="77777777">
      <w:pPr>
        <w:widowControl w:val="0"/>
        <w:ind w:left="720"/>
        <w:rPr>
          <w:szCs w:val="24"/>
        </w:rPr>
      </w:pPr>
    </w:p>
    <w:p w:rsidR="00456960" w:rsidP="003C7B8A" w14:paraId="000393C3" w14:textId="38928733">
      <w:pPr>
        <w:widowControl w:val="0"/>
        <w:ind w:left="720"/>
      </w:pPr>
      <w:r>
        <w:t>I</w:t>
      </w:r>
      <w:r w:rsidRPr="00456960">
        <w:t xml:space="preserve">n October 2008, the Railroad Safety Improvement Act of 2008, </w:t>
      </w:r>
      <w:r w:rsidRPr="00CD0D7D" w:rsidR="00AD32D6">
        <w:t>Pub</w:t>
      </w:r>
      <w:r w:rsidR="00422DA5">
        <w:t>.</w:t>
      </w:r>
      <w:r w:rsidRPr="00CD0D7D" w:rsidR="00AD32D6">
        <w:t xml:space="preserve"> L</w:t>
      </w:r>
      <w:r w:rsidR="00422DA5">
        <w:t xml:space="preserve">. No. </w:t>
      </w:r>
      <w:r w:rsidRPr="00CD0D7D" w:rsidR="00AD32D6">
        <w:t>110-432</w:t>
      </w:r>
      <w:r w:rsidRPr="00456960">
        <w:t>, Div</w:t>
      </w:r>
      <w:r w:rsidR="00422DA5">
        <w:t>.</w:t>
      </w:r>
      <w:r w:rsidRPr="00456960">
        <w:t xml:space="preserve"> A (“RSIA”)</w:t>
      </w:r>
      <w:r w:rsidR="00CE2E0C">
        <w:t>,</w:t>
      </w:r>
      <w:r w:rsidR="00493D0B">
        <w:t xml:space="preserve"> </w:t>
      </w:r>
      <w:r w:rsidRPr="00456960">
        <w:t>Section 417</w:t>
      </w:r>
      <w:r w:rsidR="00CE2E0C">
        <w:t>,</w:t>
      </w:r>
      <w:r w:rsidRPr="00456960">
        <w:t xml:space="preserve"> direct</w:t>
      </w:r>
      <w:r w:rsidR="006038C1">
        <w:t>ed</w:t>
      </w:r>
      <w:r w:rsidRPr="00456960">
        <w:t xml:space="preserve"> FRA to issue regulations requiring railroad track owners to adopt and follow specific procedures to protect the safety of their bridges</w:t>
      </w:r>
      <w:r w:rsidR="0097570B">
        <w:t xml:space="preserve">. </w:t>
      </w:r>
      <w:r>
        <w:t xml:space="preserve"> </w:t>
      </w:r>
      <w:r w:rsidR="0097570B">
        <w:t xml:space="preserve">In </w:t>
      </w:r>
      <w:r w:rsidR="0D91C6B4">
        <w:t>July</w:t>
      </w:r>
      <w:r w:rsidR="0097570B">
        <w:t xml:space="preserve"> 2010, FRA issued a final rule</w:t>
      </w:r>
      <w:r>
        <w:rPr>
          <w:rStyle w:val="FootnoteReference"/>
        </w:rPr>
        <w:footnoteReference w:id="5"/>
      </w:r>
      <w:r w:rsidR="00337D78">
        <w:t xml:space="preserve"> </w:t>
      </w:r>
      <w:r w:rsidR="0097570B">
        <w:t xml:space="preserve">establishing Federal safety requirements for railroad bridges.  </w:t>
      </w:r>
      <w:r w:rsidRPr="0097570B" w:rsidR="0097570B">
        <w:t>This rule</w:t>
      </w:r>
      <w:r w:rsidR="0097570B">
        <w:t xml:space="preserve"> </w:t>
      </w:r>
      <w:r w:rsidRPr="0097570B" w:rsidR="0097570B">
        <w:t xml:space="preserve">requires </w:t>
      </w:r>
      <w:r w:rsidR="00262FEC">
        <w:t xml:space="preserve">each </w:t>
      </w:r>
      <w:r w:rsidRPr="0097570B" w:rsidR="0097570B">
        <w:t xml:space="preserve">track owner to implement </w:t>
      </w:r>
      <w:r w:rsidR="007007B2">
        <w:t xml:space="preserve">a </w:t>
      </w:r>
      <w:r w:rsidRPr="0097570B" w:rsidR="0097570B">
        <w:t>bridge management program</w:t>
      </w:r>
      <w:r w:rsidR="00240734">
        <w:t xml:space="preserve"> (BMP)</w:t>
      </w:r>
      <w:r w:rsidRPr="0097570B" w:rsidR="0097570B">
        <w:t xml:space="preserve">, which </w:t>
      </w:r>
      <w:r w:rsidR="0097570B">
        <w:t>include</w:t>
      </w:r>
      <w:r w:rsidR="00776C7E">
        <w:t>s</w:t>
      </w:r>
      <w:r w:rsidRPr="0097570B" w:rsidR="0097570B">
        <w:t xml:space="preserve"> annual inspections of railroad bridges, and to audit the program. </w:t>
      </w:r>
      <w:r w:rsidR="001B7A5C">
        <w:t xml:space="preserve"> </w:t>
      </w:r>
      <w:r w:rsidR="0097570B">
        <w:t>Additionally, t</w:t>
      </w:r>
      <w:r w:rsidRPr="0097570B" w:rsidR="0097570B">
        <w:t xml:space="preserve">rack owners </w:t>
      </w:r>
      <w:r w:rsidR="00EC401C">
        <w:t>must</w:t>
      </w:r>
      <w:r w:rsidRPr="0097570B" w:rsidR="0097570B">
        <w:t xml:space="preserve"> know the safe load capacity of </w:t>
      </w:r>
      <w:r w:rsidR="00EC401C">
        <w:t xml:space="preserve">their </w:t>
      </w:r>
      <w:r w:rsidRPr="0097570B" w:rsidR="0097570B">
        <w:t>bridges and conduct special inspections if the weather or other conditions warrant such inspections.</w:t>
      </w:r>
    </w:p>
    <w:p w:rsidR="0036149B" w:rsidP="003C7B8A" w14:paraId="11EB8258" w14:textId="77777777">
      <w:pPr>
        <w:widowControl w:val="0"/>
        <w:ind w:left="720"/>
      </w:pPr>
    </w:p>
    <w:p w:rsidR="00F02516" w:rsidP="00E00DA0" w14:paraId="4B3D9C03" w14:textId="6F8FAC96">
      <w:pPr>
        <w:widowControl w:val="0"/>
        <w:ind w:left="720"/>
      </w:pPr>
      <w:r w:rsidRPr="15B16FB1">
        <w:t xml:space="preserve">The Fixing America’s Surface Transportation Act (FAST Act) (Pub. L. </w:t>
      </w:r>
      <w:r w:rsidR="00E00DA0">
        <w:t>No.</w:t>
      </w:r>
      <w:r w:rsidRPr="15B16FB1">
        <w:t xml:space="preserve"> 114</w:t>
      </w:r>
      <w:r w:rsidR="00E00DA0">
        <w:t>-</w:t>
      </w:r>
      <w:r w:rsidRPr="15B16FB1">
        <w:t xml:space="preserve">94, Dec. 4, 2015), Section 11405, “Bridge Inspection Reports,” provides a means for a State or a </w:t>
      </w:r>
      <w:r w:rsidR="00445A97">
        <w:t xml:space="preserve">State’s </w:t>
      </w:r>
      <w:r w:rsidRPr="15B16FB1">
        <w:t>political subdivision to obtain a public version of a bridge inspection report generated by a railroad for a bridge located within its respective jurisdiction.  While the FAST Act specifies that requests for such reports are to be filed with the Secretary of Transportation, the responsibility for fulfilling these requests is delegated to FRA.</w:t>
      </w:r>
      <w:r>
        <w:rPr>
          <w:rStyle w:val="FootnoteReference"/>
        </w:rPr>
        <w:footnoteReference w:id="6"/>
      </w:r>
      <w:r w:rsidRPr="15B16FB1">
        <w:t xml:space="preserve">  FRA developed a form titled</w:t>
      </w:r>
      <w:r w:rsidR="00355CF2">
        <w:t>,</w:t>
      </w:r>
      <w:r w:rsidRPr="15B16FB1">
        <w:t xml:space="preserve"> “Bridge Inspection Report Public Version Request Form” (FRA F 6180.167)</w:t>
      </w:r>
      <w:r w:rsidR="00D32AC6">
        <w:t>,</w:t>
      </w:r>
      <w:r w:rsidRPr="15B16FB1">
        <w:t xml:space="preserve"> to facilitate such requests by States and their political subdivisions. </w:t>
      </w:r>
    </w:p>
    <w:p w:rsidR="00EF7456" w:rsidP="00EF7456" w14:paraId="39EF0269" w14:textId="77777777">
      <w:pPr>
        <w:widowControl w:val="0"/>
        <w:ind w:left="720"/>
      </w:pPr>
    </w:p>
    <w:p w:rsidR="003C7B8A" w:rsidRPr="008A5B6D" w:rsidP="003C7B8A" w14:paraId="507B9D84" w14:textId="77777777">
      <w:pPr>
        <w:widowControl w:val="0"/>
        <w:ind w:left="720" w:hanging="720"/>
        <w:rPr>
          <w:b/>
          <w:szCs w:val="24"/>
        </w:rPr>
      </w:pPr>
      <w:r w:rsidRPr="00DB47FB">
        <w:rPr>
          <w:b/>
          <w:szCs w:val="24"/>
        </w:rPr>
        <w:t>2.</w:t>
      </w:r>
      <w:r w:rsidRPr="00DB47FB">
        <w:rPr>
          <w:b/>
          <w:szCs w:val="24"/>
        </w:rPr>
        <w:tab/>
      </w:r>
      <w:r w:rsidRPr="00DB47FB">
        <w:rPr>
          <w:b/>
          <w:szCs w:val="24"/>
          <w:u w:val="single"/>
        </w:rPr>
        <w:t>How, by whom, and for what purpose the information is to be used</w:t>
      </w:r>
      <w:r w:rsidRPr="00DB47FB">
        <w:rPr>
          <w:b/>
          <w:szCs w:val="24"/>
        </w:rPr>
        <w:t>.</w:t>
      </w:r>
    </w:p>
    <w:p w:rsidR="00D92EC0" w:rsidP="00D92EC0" w14:paraId="3288EC93" w14:textId="77777777">
      <w:pPr>
        <w:widowControl w:val="0"/>
        <w:ind w:left="720"/>
        <w:rPr>
          <w:szCs w:val="24"/>
        </w:rPr>
      </w:pPr>
    </w:p>
    <w:p w:rsidR="005A7C61" w:rsidP="005A7C61" w14:paraId="1D62DC7B" w14:textId="6C85302A">
      <w:pPr>
        <w:widowControl w:val="0"/>
        <w:ind w:left="720"/>
        <w:rPr>
          <w:szCs w:val="24"/>
        </w:rPr>
      </w:pPr>
      <w:r>
        <w:rPr>
          <w:szCs w:val="24"/>
        </w:rPr>
        <w:t>T</w:t>
      </w:r>
      <w:r w:rsidRPr="005A7C61">
        <w:rPr>
          <w:szCs w:val="24"/>
        </w:rPr>
        <w:t xml:space="preserve">he collection of information set forth under 49 CFR </w:t>
      </w:r>
      <w:r w:rsidR="001C52F1">
        <w:rPr>
          <w:szCs w:val="24"/>
        </w:rPr>
        <w:t>§</w:t>
      </w:r>
      <w:r w:rsidRPr="005A7C61">
        <w:rPr>
          <w:szCs w:val="24"/>
        </w:rPr>
        <w:t xml:space="preserve"> 214.105(c)</w:t>
      </w:r>
      <w:r w:rsidR="001F200A">
        <w:rPr>
          <w:szCs w:val="24"/>
        </w:rPr>
        <w:t>(4)</w:t>
      </w:r>
      <w:r w:rsidRPr="005A7C61">
        <w:rPr>
          <w:szCs w:val="24"/>
        </w:rPr>
        <w:t xml:space="preserve"> </w:t>
      </w:r>
      <w:r w:rsidR="00E0364A">
        <w:rPr>
          <w:szCs w:val="24"/>
        </w:rPr>
        <w:t>involves</w:t>
      </w:r>
      <w:r w:rsidRPr="005A7C61">
        <w:rPr>
          <w:szCs w:val="24"/>
        </w:rPr>
        <w:t xml:space="preserve"> standards and practices for safety net systems.  </w:t>
      </w:r>
      <w:r w:rsidR="00087E53">
        <w:rPr>
          <w:szCs w:val="24"/>
        </w:rPr>
        <w:t>Under § 214.105(c)</w:t>
      </w:r>
      <w:r w:rsidR="00A20C36">
        <w:rPr>
          <w:szCs w:val="24"/>
        </w:rPr>
        <w:t>(4)</w:t>
      </w:r>
      <w:r w:rsidR="00087E53">
        <w:rPr>
          <w:szCs w:val="24"/>
        </w:rPr>
        <w:t>, s</w:t>
      </w:r>
      <w:r w:rsidRPr="005A7C61">
        <w:rPr>
          <w:szCs w:val="24"/>
        </w:rPr>
        <w:t xml:space="preserve">afety net installations at the job site must be drop-tested before being used as a fall-protection system, after major repairs, and at 6-month intervals if left at one site.  If a drop-test is not feasible and is not performed, then the railroad or railroad contractor, or a designated certified person, must provide written certification the net complies with the safety standards </w:t>
      </w:r>
      <w:r w:rsidR="004E6AD3">
        <w:rPr>
          <w:szCs w:val="24"/>
        </w:rPr>
        <w:t>of</w:t>
      </w:r>
      <w:r w:rsidRPr="005A7C61">
        <w:rPr>
          <w:szCs w:val="24"/>
        </w:rPr>
        <w:t xml:space="preserve"> § 214.105</w:t>
      </w:r>
      <w:r w:rsidR="008A27CD">
        <w:rPr>
          <w:szCs w:val="24"/>
        </w:rPr>
        <w:t xml:space="preserve"> a</w:t>
      </w:r>
      <w:r w:rsidR="006A576B">
        <w:rPr>
          <w:szCs w:val="24"/>
        </w:rPr>
        <w:t>n</w:t>
      </w:r>
      <w:r w:rsidR="008A27CD">
        <w:rPr>
          <w:szCs w:val="24"/>
        </w:rPr>
        <w:t>d make e</w:t>
      </w:r>
      <w:r w:rsidR="009D01BF">
        <w:rPr>
          <w:szCs w:val="24"/>
        </w:rPr>
        <w:t xml:space="preserve">ach such certification </w:t>
      </w:r>
      <w:r w:rsidR="002076D6">
        <w:rPr>
          <w:szCs w:val="24"/>
        </w:rPr>
        <w:t>available at the job site where the subject net is located.</w:t>
      </w:r>
      <w:r w:rsidRPr="005A7C61">
        <w:rPr>
          <w:szCs w:val="24"/>
        </w:rPr>
        <w:t xml:space="preserve">  FRA and State inspectors use the information </w:t>
      </w:r>
      <w:r w:rsidR="009D01BF">
        <w:rPr>
          <w:szCs w:val="24"/>
        </w:rPr>
        <w:t xml:space="preserve">in this certification </w:t>
      </w:r>
      <w:r w:rsidRPr="005A7C61">
        <w:rPr>
          <w:szCs w:val="24"/>
        </w:rPr>
        <w:t xml:space="preserve">to enforce Federal regulations.  </w:t>
      </w:r>
      <w:r w:rsidR="0064209C">
        <w:rPr>
          <w:szCs w:val="24"/>
        </w:rPr>
        <w:t>Further</w:t>
      </w:r>
      <w:r w:rsidRPr="005A7C61">
        <w:rPr>
          <w:szCs w:val="24"/>
        </w:rPr>
        <w:t xml:space="preserve">, the information maintained at the </w:t>
      </w:r>
      <w:r w:rsidR="0064209C">
        <w:rPr>
          <w:szCs w:val="24"/>
        </w:rPr>
        <w:t xml:space="preserve">bridge work </w:t>
      </w:r>
      <w:r w:rsidRPr="005A7C61">
        <w:rPr>
          <w:szCs w:val="24"/>
        </w:rPr>
        <w:t>job site promotes safe bridge worker practices while providing flexibility.</w:t>
      </w:r>
    </w:p>
    <w:p w:rsidR="0036149B" w:rsidP="005A7C61" w14:paraId="6F57E43D" w14:textId="77777777">
      <w:pPr>
        <w:widowControl w:val="0"/>
        <w:ind w:left="720"/>
        <w:rPr>
          <w:szCs w:val="24"/>
        </w:rPr>
      </w:pPr>
    </w:p>
    <w:p w:rsidR="0036149B" w:rsidP="0036149B" w14:paraId="76388253" w14:textId="54DDE62E">
      <w:pPr>
        <w:widowControl w:val="0"/>
        <w:ind w:left="720"/>
      </w:pPr>
      <w:r>
        <w:t>In addition</w:t>
      </w:r>
      <w:r>
        <w:t>, the collection of information</w:t>
      </w:r>
      <w:r w:rsidR="007D67F0">
        <w:t xml:space="preserve"> under 49 CFR </w:t>
      </w:r>
      <w:r w:rsidR="00AD4CCE">
        <w:t>p</w:t>
      </w:r>
      <w:r w:rsidR="007D67F0">
        <w:t>art 237</w:t>
      </w:r>
      <w:r>
        <w:t xml:space="preserve"> is used by FRA to confirm that railroads/track owners adopt and implement </w:t>
      </w:r>
      <w:r w:rsidR="00240734">
        <w:t>BMPs</w:t>
      </w:r>
      <w:r>
        <w:t xml:space="preserve"> to inspect, maintain, modify, and repair </w:t>
      </w:r>
      <w:r w:rsidR="00BE27DB">
        <w:t xml:space="preserve">properly </w:t>
      </w:r>
      <w:r>
        <w:t xml:space="preserve">all bridges that carry trains for which they are responsible.  </w:t>
      </w:r>
      <w:r>
        <w:t xml:space="preserve">Railroads/track owners must conduct annual inspections of railroad bridges and must conduct special inspections if natural or accidental events cause conditions that warrant such inspections.  Further, railroads/track owners must conduct internal review of bridge inspection reports and must incorporate provisions for auditing the effectiveness of all elements of bridge inspection and reporting into their </w:t>
      </w:r>
      <w:r w:rsidR="00240734">
        <w:t>BMPs</w:t>
      </w:r>
      <w:r>
        <w:t xml:space="preserve">, including evaluation of a random sample of reports to determine whether they accurately reflect the condition of the bridge.  FRA uses the information collected to ensure that railroads/track owners meet Federal standards for bridge safety and comply with all the requirements of part 237. </w:t>
      </w:r>
      <w:r w:rsidR="00662E46">
        <w:rPr>
          <w:szCs w:val="24"/>
        </w:rPr>
        <w:t xml:space="preserve"> </w:t>
      </w:r>
    </w:p>
    <w:p w:rsidR="000030D7" w:rsidP="00987448" w14:paraId="2F2ACDAB" w14:textId="77777777">
      <w:pPr>
        <w:widowControl w:val="0"/>
        <w:ind w:left="720"/>
        <w:rPr>
          <w:szCs w:val="24"/>
        </w:rPr>
      </w:pPr>
    </w:p>
    <w:p w:rsidR="000B540E" w:rsidP="00987448" w14:paraId="6ECA1B1D" w14:textId="08CD7998">
      <w:pPr>
        <w:widowControl w:val="0"/>
        <w:ind w:left="720"/>
        <w:rPr>
          <w:szCs w:val="24"/>
        </w:rPr>
      </w:pPr>
      <w:r w:rsidRPr="00987448">
        <w:rPr>
          <w:szCs w:val="24"/>
        </w:rPr>
        <w:t xml:space="preserve">FRA </w:t>
      </w:r>
      <w:r w:rsidR="00662E46">
        <w:rPr>
          <w:szCs w:val="24"/>
        </w:rPr>
        <w:t>has also</w:t>
      </w:r>
      <w:r w:rsidRPr="00987448">
        <w:rPr>
          <w:szCs w:val="24"/>
        </w:rPr>
        <w:t xml:space="preserve"> developed a form titled “Bridge Inspection Report Public Version Request Form” (FRA F 6180.167) to facilitate requests</w:t>
      </w:r>
      <w:r>
        <w:rPr>
          <w:szCs w:val="24"/>
        </w:rPr>
        <w:t xml:space="preserve"> for </w:t>
      </w:r>
      <w:r w:rsidRPr="00596BA2">
        <w:rPr>
          <w:szCs w:val="24"/>
        </w:rPr>
        <w:t>public version</w:t>
      </w:r>
      <w:r>
        <w:rPr>
          <w:szCs w:val="24"/>
        </w:rPr>
        <w:t>s</w:t>
      </w:r>
      <w:r w:rsidRPr="00596BA2">
        <w:rPr>
          <w:szCs w:val="24"/>
        </w:rPr>
        <w:t xml:space="preserve"> of bridge inspection report</w:t>
      </w:r>
      <w:r>
        <w:rPr>
          <w:szCs w:val="24"/>
        </w:rPr>
        <w:t>s</w:t>
      </w:r>
      <w:r w:rsidRPr="00596BA2">
        <w:rPr>
          <w:szCs w:val="24"/>
        </w:rPr>
        <w:t xml:space="preserve"> </w:t>
      </w:r>
      <w:r w:rsidRPr="00987448">
        <w:rPr>
          <w:szCs w:val="24"/>
        </w:rPr>
        <w:t>by States and their political subdivisions</w:t>
      </w:r>
      <w:r>
        <w:rPr>
          <w:szCs w:val="24"/>
        </w:rPr>
        <w:t>, as required by the FAST Act</w:t>
      </w:r>
      <w:r w:rsidRPr="00987448">
        <w:rPr>
          <w:szCs w:val="24"/>
        </w:rPr>
        <w:t xml:space="preserve">. </w:t>
      </w:r>
      <w:r w:rsidRPr="00081E16">
        <w:rPr>
          <w:szCs w:val="24"/>
        </w:rPr>
        <w:t xml:space="preserve"> </w:t>
      </w:r>
    </w:p>
    <w:p w:rsidR="000030D7" w:rsidP="00987448" w14:paraId="48449471" w14:textId="77777777">
      <w:pPr>
        <w:widowControl w:val="0"/>
        <w:ind w:left="720"/>
        <w:rPr>
          <w:szCs w:val="24"/>
        </w:rPr>
      </w:pPr>
    </w:p>
    <w:p w:rsidR="00C67177" w:rsidP="003C7B8A" w14:paraId="0515D9F2" w14:textId="30F22D1E">
      <w:pPr>
        <w:widowControl w:val="0"/>
        <w:ind w:left="720"/>
        <w:rPr>
          <w:szCs w:val="24"/>
        </w:rPr>
      </w:pPr>
      <w:r w:rsidRPr="008B6DA5">
        <w:rPr>
          <w:szCs w:val="24"/>
        </w:rPr>
        <w:t>The details of each</w:t>
      </w:r>
      <w:r>
        <w:rPr>
          <w:szCs w:val="24"/>
        </w:rPr>
        <w:t xml:space="preserve"> p</w:t>
      </w:r>
      <w:r w:rsidRPr="008B6DA5">
        <w:rPr>
          <w:szCs w:val="24"/>
        </w:rPr>
        <w:t>aperwork requiremen</w:t>
      </w:r>
      <w:r>
        <w:rPr>
          <w:szCs w:val="24"/>
        </w:rPr>
        <w:t>t</w:t>
      </w:r>
      <w:r w:rsidRPr="008B6DA5">
        <w:rPr>
          <w:szCs w:val="24"/>
        </w:rPr>
        <w:t xml:space="preserve"> are covered under question 12 of this document.</w:t>
      </w:r>
    </w:p>
    <w:p w:rsidR="00C67177" w:rsidP="003C7B8A" w14:paraId="74E91653" w14:textId="77777777">
      <w:pPr>
        <w:widowControl w:val="0"/>
        <w:ind w:left="720"/>
        <w:rPr>
          <w:szCs w:val="24"/>
        </w:rPr>
      </w:pPr>
    </w:p>
    <w:p w:rsidR="003C7B8A" w:rsidRPr="008A5B6D" w:rsidP="003C7B8A" w14:paraId="0F50AD4E"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003C7B8A" w:rsidRPr="008A5B6D" w:rsidP="003C7B8A" w14:paraId="25153BD7" w14:textId="77777777">
      <w:pPr>
        <w:widowControl w:val="0"/>
        <w:rPr>
          <w:szCs w:val="24"/>
        </w:rPr>
      </w:pPr>
    </w:p>
    <w:p w:rsidR="008104D0" w:rsidP="003C7B8A" w14:paraId="5E5F6B05" w14:textId="77777777">
      <w:pPr>
        <w:widowControl w:val="0"/>
        <w:ind w:left="720"/>
      </w:pPr>
      <w:r>
        <w:t xml:space="preserve">FRA strongly encourages the use of advanced information technology, wherever possible, to reduce </w:t>
      </w:r>
      <w:r w:rsidR="000E0361">
        <w:t xml:space="preserve">the </w:t>
      </w:r>
      <w:r>
        <w:t xml:space="preserve">burden on respondents.  Specifically, under §§ </w:t>
      </w:r>
      <w:r w:rsidRPr="00C077C4">
        <w:t>237.33, 237.35, 237.59, 237.73, 237.107, 237.111</w:t>
      </w:r>
      <w:r>
        <w:t>, and 237.157, r</w:t>
      </w:r>
      <w:r w:rsidRPr="009A2955">
        <w:t xml:space="preserve">ecords </w:t>
      </w:r>
      <w:r>
        <w:t>can be k</w:t>
      </w:r>
      <w:r w:rsidRPr="009A2955">
        <w:t>ept in electronic form if railroads</w:t>
      </w:r>
      <w:r w:rsidR="00330E26">
        <w:t>/track owners</w:t>
      </w:r>
      <w:r w:rsidRPr="009A2955">
        <w:t xml:space="preserve"> </w:t>
      </w:r>
      <w:r>
        <w:t>choose to do so</w:t>
      </w:r>
      <w:r w:rsidRPr="009A2955">
        <w:t xml:space="preserve">. </w:t>
      </w:r>
      <w:r>
        <w:t xml:space="preserve"> </w:t>
      </w:r>
      <w:r w:rsidR="00917C5C">
        <w:t>A</w:t>
      </w:r>
      <w:r w:rsidR="00E9419F">
        <w:t xml:space="preserve">lmost all </w:t>
      </w:r>
      <w:r w:rsidRPr="00653129">
        <w:t xml:space="preserve">responses </w:t>
      </w:r>
      <w:r>
        <w:t>related to FAST A</w:t>
      </w:r>
      <w:r w:rsidR="00E9419F">
        <w:t>ct</w:t>
      </w:r>
      <w:r>
        <w:t xml:space="preserve"> requirements </w:t>
      </w:r>
      <w:r w:rsidRPr="00653129">
        <w:t>are completed electronically</w:t>
      </w:r>
      <w:r w:rsidR="58AF2FD7">
        <w:t>.</w:t>
      </w:r>
    </w:p>
    <w:p w:rsidR="003C7B8A" w:rsidP="003C7B8A" w14:paraId="1DF7B4CA" w14:textId="722BCC7B">
      <w:pPr>
        <w:widowControl w:val="0"/>
        <w:ind w:left="720"/>
        <w:rPr>
          <w:szCs w:val="24"/>
        </w:rPr>
      </w:pPr>
      <w:r>
        <w:t xml:space="preserve"> </w:t>
      </w:r>
    </w:p>
    <w:p w:rsidR="003C7B8A" w:rsidRPr="008A5B6D" w:rsidP="003C7B8A" w14:paraId="42DF7BA7"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003C7B8A" w:rsidRPr="008A5B6D" w:rsidP="003C7B8A" w14:paraId="1297A072" w14:textId="77777777">
      <w:pPr>
        <w:widowControl w:val="0"/>
        <w:rPr>
          <w:szCs w:val="24"/>
        </w:rPr>
      </w:pPr>
    </w:p>
    <w:p w:rsidR="003C7B8A" w:rsidRPr="008A5B6D" w:rsidP="003C7B8A" w14:paraId="5DF2E2AB" w14:textId="15508B7D">
      <w:pPr>
        <w:widowControl w:val="0"/>
        <w:ind w:left="720"/>
        <w:rPr>
          <w:b/>
          <w:szCs w:val="24"/>
        </w:rPr>
      </w:pPr>
      <w:r w:rsidRPr="008A5B6D">
        <w:rPr>
          <w:szCs w:val="24"/>
        </w:rPr>
        <w:t xml:space="preserve">The information collected is not duplicated </w:t>
      </w:r>
      <w:r w:rsidR="00AE2054">
        <w:rPr>
          <w:szCs w:val="24"/>
        </w:rPr>
        <w:t>elsewhere</w:t>
      </w:r>
      <w:r w:rsidRPr="008A5B6D">
        <w:rPr>
          <w:szCs w:val="24"/>
        </w:rPr>
        <w:t>.</w:t>
      </w:r>
      <w:r w:rsidR="003346DB">
        <w:rPr>
          <w:szCs w:val="24"/>
        </w:rPr>
        <w:t xml:space="preserve">  Similar data are not available from any other source.</w:t>
      </w:r>
    </w:p>
    <w:p w:rsidR="003C7B8A" w:rsidRPr="008A5B6D" w:rsidP="003C7B8A" w14:paraId="49EEAF3C" w14:textId="77777777">
      <w:pPr>
        <w:widowControl w:val="0"/>
        <w:rPr>
          <w:szCs w:val="24"/>
        </w:rPr>
      </w:pPr>
    </w:p>
    <w:p w:rsidR="003C7B8A" w:rsidP="003C7B8A" w14:paraId="64C566F6"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DB47FB">
        <w:rPr>
          <w:b/>
          <w:szCs w:val="24"/>
        </w:rPr>
        <w:t>5.</w:t>
      </w:r>
      <w:r w:rsidRPr="00DB47FB">
        <w:rPr>
          <w:b/>
          <w:szCs w:val="24"/>
        </w:rPr>
        <w:tab/>
      </w:r>
      <w:r w:rsidRPr="00DB47FB">
        <w:rPr>
          <w:b/>
          <w:szCs w:val="24"/>
          <w:u w:val="single"/>
        </w:rPr>
        <w:t>Efforts to minimize the burden on small businesses</w:t>
      </w:r>
      <w:r w:rsidRPr="00DB47FB">
        <w:rPr>
          <w:b/>
          <w:szCs w:val="24"/>
        </w:rPr>
        <w:t>.</w:t>
      </w:r>
    </w:p>
    <w:p w:rsidR="005D76FF" w:rsidP="003C7B8A" w14:paraId="48DCA0B2"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5D76FF" w:rsidRPr="008A5B6D" w:rsidP="00D15CF6" w14:paraId="50C7515C" w14:textId="0323AABD">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r w:rsidRPr="005D76FF">
        <w:rPr>
          <w:szCs w:val="24"/>
        </w:rPr>
        <w:t xml:space="preserve">Federal agencies may adopt their own size standards for small entities in consultation with </w:t>
      </w:r>
      <w:r w:rsidR="0007766C">
        <w:rPr>
          <w:szCs w:val="24"/>
        </w:rPr>
        <w:t xml:space="preserve">the U.S Small Business Administration </w:t>
      </w:r>
      <w:r w:rsidRPr="005D76FF">
        <w:rPr>
          <w:szCs w:val="24"/>
        </w:rPr>
        <w:t xml:space="preserve">and in conjunction with public comment.  Under that authority, FRA published a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   </w:t>
      </w:r>
    </w:p>
    <w:p w:rsidR="003C7B8A" w:rsidRPr="008A5B6D" w:rsidP="003C7B8A" w14:paraId="040BE73A" w14:textId="77777777">
      <w:pPr>
        <w:widowControl w:val="0"/>
        <w:rPr>
          <w:b/>
          <w:szCs w:val="24"/>
        </w:rPr>
      </w:pPr>
    </w:p>
    <w:p w:rsidR="00A36794" w:rsidP="003C7B8A" w14:paraId="3A22FFCC" w14:textId="16A7CEEE">
      <w:pPr>
        <w:widowControl w:val="0"/>
        <w:ind w:left="720"/>
      </w:pPr>
      <w:r>
        <w:t xml:space="preserve">Additionally, </w:t>
      </w:r>
      <w:r w:rsidR="0AF41F97">
        <w:t>many smaller railroads are subsidiaries of large</w:t>
      </w:r>
      <w:r w:rsidR="00FC0F0C">
        <w:t>,</w:t>
      </w:r>
      <w:r w:rsidR="0AF41F97">
        <w:t xml:space="preserve"> short line </w:t>
      </w:r>
      <w:r w:rsidR="00FC0F0C">
        <w:t>railroad</w:t>
      </w:r>
      <w:r w:rsidR="0AF41F97">
        <w:t xml:space="preserve"> holding </w:t>
      </w:r>
      <w:r w:rsidR="0AF41F97">
        <w:t>companies with expertise and</w:t>
      </w:r>
      <w:r w:rsidR="635535A6">
        <w:t xml:space="preserve"> resources similar to larger railroads, potentially lessening the burden on many small railroads. </w:t>
      </w:r>
      <w:r w:rsidR="544A2204">
        <w:t xml:space="preserve"> </w:t>
      </w:r>
      <w:r>
        <w:t>Further,</w:t>
      </w:r>
      <w:r w:rsidR="0BB2C513">
        <w:t xml:space="preserve"> FRA </w:t>
      </w:r>
      <w:r w:rsidR="003B6B82">
        <w:t xml:space="preserve">allows for </w:t>
      </w:r>
      <w:r w:rsidR="0BB2C513">
        <w:t>alternative methods of</w:t>
      </w:r>
      <w:r w:rsidR="45542C7B">
        <w:t xml:space="preserve"> fall protection</w:t>
      </w:r>
      <w:r w:rsidR="0BB2C513">
        <w:t xml:space="preserve"> </w:t>
      </w:r>
      <w:r w:rsidR="45542C7B">
        <w:t xml:space="preserve">in part 214 that do not require FRA </w:t>
      </w:r>
      <w:r>
        <w:t xml:space="preserve">safety net </w:t>
      </w:r>
      <w:r w:rsidR="45542C7B">
        <w:t xml:space="preserve">certification. </w:t>
      </w:r>
      <w:r>
        <w:t xml:space="preserve"> </w:t>
      </w:r>
      <w:r w:rsidR="45542C7B">
        <w:t xml:space="preserve">For these reasons, </w:t>
      </w:r>
      <w:r w:rsidR="29A11BB1">
        <w:t>FRA believes th</w:t>
      </w:r>
      <w:r>
        <w:t xml:space="preserve">at it has addressed the burdens on small businesses. </w:t>
      </w:r>
      <w:r w:rsidR="29A11BB1">
        <w:t xml:space="preserve">  </w:t>
      </w:r>
    </w:p>
    <w:p w:rsidR="00785A29" w:rsidP="00D15CF6" w14:paraId="5925AE72" w14:textId="77777777">
      <w:pPr>
        <w:widowControl w:val="0"/>
      </w:pPr>
    </w:p>
    <w:p w:rsidR="003C7B8A" w:rsidRPr="008A5B6D" w:rsidP="003C7B8A" w14:paraId="5E096257" w14:textId="77777777">
      <w:pPr>
        <w:widowControl w:val="0"/>
        <w:rPr>
          <w:b/>
          <w:szCs w:val="24"/>
        </w:rPr>
      </w:pPr>
      <w:r w:rsidRPr="00437BDF">
        <w:rPr>
          <w:b/>
          <w:szCs w:val="24"/>
        </w:rPr>
        <w:t>6.</w:t>
      </w:r>
      <w:r w:rsidRPr="00437BDF">
        <w:rPr>
          <w:b/>
          <w:szCs w:val="24"/>
        </w:rPr>
        <w:tab/>
      </w:r>
      <w:r w:rsidRPr="00437BDF">
        <w:rPr>
          <w:b/>
          <w:szCs w:val="24"/>
          <w:u w:val="single"/>
        </w:rPr>
        <w:t>Impact of less frequent collection of information</w:t>
      </w:r>
      <w:r w:rsidRPr="00437BDF">
        <w:rPr>
          <w:b/>
          <w:szCs w:val="24"/>
        </w:rPr>
        <w:t>.</w:t>
      </w:r>
    </w:p>
    <w:p w:rsidR="003C7B8A" w:rsidRPr="008A5B6D" w:rsidP="003C7B8A" w14:paraId="290E7D26" w14:textId="77777777">
      <w:pPr>
        <w:widowControl w:val="0"/>
        <w:rPr>
          <w:b/>
          <w:szCs w:val="24"/>
        </w:rPr>
      </w:pPr>
    </w:p>
    <w:p w:rsidR="00470E1F" w:rsidP="003C7B8A" w14:paraId="538D6449" w14:textId="62C56FB5">
      <w:pPr>
        <w:widowControl w:val="0"/>
        <w:ind w:left="720"/>
      </w:pPr>
      <w:r w:rsidRPr="00D736EE">
        <w:t>Without this collection of information</w:t>
      </w:r>
      <w:r w:rsidR="00077B20">
        <w:t>,</w:t>
      </w:r>
      <w:r>
        <w:t xml:space="preserve"> or if it was collected less frequently,</w:t>
      </w:r>
      <w:r w:rsidRPr="00D736EE">
        <w:t xml:space="preserve"> there might be </w:t>
      </w:r>
      <w:r>
        <w:t xml:space="preserve">an </w:t>
      </w:r>
      <w:r w:rsidRPr="00D736EE">
        <w:t>increase</w:t>
      </w:r>
      <w:r>
        <w:t xml:space="preserve"> in</w:t>
      </w:r>
      <w:r w:rsidRPr="00D736EE">
        <w:t xml:space="preserve"> train accidents/incidents because bridges over which trains operate were not properly inspected, maintained, modified, and</w:t>
      </w:r>
      <w:r>
        <w:t>/or</w:t>
      </w:r>
      <w:r w:rsidRPr="00D736EE">
        <w:t xml:space="preserve"> repaired in a systematic and consistent way by qualified railroad personnel.</w:t>
      </w:r>
      <w:r>
        <w:t xml:space="preserve">  </w:t>
      </w:r>
    </w:p>
    <w:p w:rsidR="00A633C2" w:rsidP="003C7B8A" w14:paraId="2A2118C1" w14:textId="77777777">
      <w:pPr>
        <w:widowControl w:val="0"/>
        <w:ind w:left="720"/>
      </w:pPr>
    </w:p>
    <w:p w:rsidR="003C7B8A" w:rsidP="003C7B8A" w14:paraId="2BE3E79C" w14:textId="09B887D5">
      <w:pPr>
        <w:widowControl w:val="0"/>
        <w:ind w:left="720"/>
      </w:pPr>
      <w:r>
        <w:t>Additionally, without this information collection:</w:t>
      </w:r>
    </w:p>
    <w:p w:rsidR="003C7B8A" w:rsidP="003C7B8A" w14:paraId="6139061D" w14:textId="77777777">
      <w:pPr>
        <w:widowControl w:val="0"/>
        <w:ind w:left="720"/>
      </w:pPr>
    </w:p>
    <w:p w:rsidR="003C7B8A" w:rsidP="003C7B8A" w14:paraId="63AC7A73" w14:textId="087B6EF5">
      <w:pPr>
        <w:pStyle w:val="ListParagraph"/>
        <w:widowControl w:val="0"/>
        <w:numPr>
          <w:ilvl w:val="0"/>
          <w:numId w:val="3"/>
        </w:numPr>
        <w:contextualSpacing/>
      </w:pPr>
      <w:r w:rsidRPr="00D736EE">
        <w:t>States</w:t>
      </w:r>
      <w:r w:rsidR="00682CEB">
        <w:t xml:space="preserve"> and</w:t>
      </w:r>
      <w:r w:rsidRPr="00D736EE">
        <w:t>/</w:t>
      </w:r>
      <w:r w:rsidR="00682CEB">
        <w:t xml:space="preserve">or </w:t>
      </w:r>
      <w:r w:rsidRPr="00D736EE">
        <w:t xml:space="preserve">their political subdivisions would not be able to obtain </w:t>
      </w:r>
      <w:r w:rsidR="00240734">
        <w:t xml:space="preserve">easily </w:t>
      </w:r>
      <w:r w:rsidRPr="00D736EE">
        <w:t>a public version of the most recent bridge inspection report within their jurisdiction and would not know the condition of critical infrastructure affecting public safety</w:t>
      </w:r>
      <w:r>
        <w:t>.</w:t>
      </w:r>
    </w:p>
    <w:p w:rsidR="00682CEB" w:rsidP="00D15CF6" w14:paraId="688CF52C" w14:textId="77777777">
      <w:pPr>
        <w:pStyle w:val="ListParagraph"/>
        <w:widowControl w:val="0"/>
        <w:ind w:left="1440"/>
        <w:contextualSpacing/>
      </w:pPr>
    </w:p>
    <w:p w:rsidR="003C7B8A" w:rsidP="003C7B8A" w14:paraId="6AE2678A" w14:textId="045714D5">
      <w:pPr>
        <w:pStyle w:val="ListParagraph"/>
        <w:widowControl w:val="0"/>
        <w:numPr>
          <w:ilvl w:val="0"/>
          <w:numId w:val="3"/>
        </w:numPr>
        <w:contextualSpacing/>
      </w:pPr>
      <w:r>
        <w:t>FRA w</w:t>
      </w:r>
      <w:r w:rsidR="00682CEB">
        <w:t>ould</w:t>
      </w:r>
      <w:r w:rsidR="00452977">
        <w:t xml:space="preserve"> not</w:t>
      </w:r>
      <w:r>
        <w:t xml:space="preserve"> know </w:t>
      </w:r>
      <w:r w:rsidR="00240734">
        <w:t xml:space="preserve">readily </w:t>
      </w:r>
      <w:r>
        <w:t>whether</w:t>
      </w:r>
      <w:r w:rsidRPr="00D736EE">
        <w:t xml:space="preserve"> railroads/track owners have issued clear and necessary instructions to </w:t>
      </w:r>
      <w:r w:rsidR="00173CF5">
        <w:t xml:space="preserve">their </w:t>
      </w:r>
      <w:r w:rsidRPr="00D736EE">
        <w:t xml:space="preserve">bridge personnel who are responsible for the safe operation of trains over </w:t>
      </w:r>
      <w:r w:rsidR="00173CF5">
        <w:t>their</w:t>
      </w:r>
      <w:r w:rsidRPr="00D736EE">
        <w:t xml:space="preserve"> bridges.</w:t>
      </w:r>
    </w:p>
    <w:p w:rsidR="00452977" w:rsidP="00D15CF6" w14:paraId="1D664C7D" w14:textId="77777777">
      <w:pPr>
        <w:pStyle w:val="ListParagraph"/>
        <w:widowControl w:val="0"/>
        <w:ind w:left="1440"/>
        <w:contextualSpacing/>
      </w:pPr>
    </w:p>
    <w:p w:rsidR="003C7B8A" w:rsidP="003C7B8A" w14:paraId="0AAB0A34" w14:textId="025C698D">
      <w:pPr>
        <w:pStyle w:val="ListParagraph"/>
        <w:widowControl w:val="0"/>
        <w:numPr>
          <w:ilvl w:val="0"/>
          <w:numId w:val="3"/>
        </w:numPr>
        <w:contextualSpacing/>
      </w:pPr>
      <w:r w:rsidRPr="00D736EE">
        <w:t xml:space="preserve">FRA </w:t>
      </w:r>
      <w:r>
        <w:t>w</w:t>
      </w:r>
      <w:r w:rsidR="00452977">
        <w:t>ould</w:t>
      </w:r>
      <w:r>
        <w:t xml:space="preserve"> be unable to ensure </w:t>
      </w:r>
      <w:r w:rsidR="00964CEF">
        <w:t xml:space="preserve">easily </w:t>
      </w:r>
      <w:r>
        <w:t>that</w:t>
      </w:r>
      <w:r w:rsidRPr="00D736EE">
        <w:t xml:space="preserve"> essential bridge inspections are scheduled, and carried out by properly qualified personnel, as needed</w:t>
      </w:r>
      <w:r w:rsidR="006F4254">
        <w:t>,</w:t>
      </w:r>
      <w:r w:rsidRPr="00D736EE">
        <w:t xml:space="preserve"> and as set forth in the </w:t>
      </w:r>
      <w:r w:rsidR="00964CEF">
        <w:t>BMP</w:t>
      </w:r>
      <w:r w:rsidRPr="00D736EE">
        <w:t xml:space="preserve"> of each railroad/track owner.</w:t>
      </w:r>
    </w:p>
    <w:p w:rsidR="00452977" w:rsidP="00D15CF6" w14:paraId="157E20C3" w14:textId="77777777">
      <w:pPr>
        <w:pStyle w:val="ListParagraph"/>
        <w:widowControl w:val="0"/>
        <w:ind w:left="1440"/>
        <w:contextualSpacing/>
      </w:pPr>
    </w:p>
    <w:p w:rsidR="003C7B8A" w:rsidP="003C7B8A" w14:paraId="5EB3241C" w14:textId="65A42938">
      <w:pPr>
        <w:pStyle w:val="ListParagraph"/>
        <w:widowControl w:val="0"/>
        <w:numPr>
          <w:ilvl w:val="0"/>
          <w:numId w:val="3"/>
        </w:numPr>
        <w:contextualSpacing/>
      </w:pPr>
      <w:r w:rsidRPr="00D736EE">
        <w:t xml:space="preserve">FRA </w:t>
      </w:r>
      <w:r>
        <w:t>w</w:t>
      </w:r>
      <w:r w:rsidR="00452977">
        <w:t>ould</w:t>
      </w:r>
      <w:r>
        <w:t xml:space="preserve"> not be able to ascertain </w:t>
      </w:r>
      <w:r w:rsidR="00956606">
        <w:t xml:space="preserve">readily </w:t>
      </w:r>
      <w:r>
        <w:t>whether</w:t>
      </w:r>
      <w:r w:rsidRPr="00D736EE">
        <w:t xml:space="preserve"> bridge inspections are conducted under the supervision of a designated bridge inspector who is responsible for the accuracy of the inspection results and the conformity of the inspection to the railroad’s/track owner’s </w:t>
      </w:r>
      <w:r w:rsidR="00240734">
        <w:t>BMP</w:t>
      </w:r>
      <w:r w:rsidRPr="00D736EE">
        <w:t>.</w:t>
      </w:r>
    </w:p>
    <w:p w:rsidR="00452977" w:rsidP="00D15CF6" w14:paraId="42019826" w14:textId="77777777">
      <w:pPr>
        <w:pStyle w:val="ListParagraph"/>
        <w:widowControl w:val="0"/>
        <w:ind w:left="1440"/>
        <w:contextualSpacing/>
      </w:pPr>
    </w:p>
    <w:p w:rsidR="003C7B8A" w:rsidP="003C7B8A" w14:paraId="197D415B" w14:textId="65CE358A">
      <w:pPr>
        <w:pStyle w:val="ListParagraph"/>
        <w:widowControl w:val="0"/>
        <w:numPr>
          <w:ilvl w:val="0"/>
          <w:numId w:val="3"/>
        </w:numPr>
        <w:contextualSpacing/>
      </w:pPr>
      <w:r w:rsidRPr="00D736EE">
        <w:t>FRA w</w:t>
      </w:r>
      <w:r w:rsidR="00452977">
        <w:t>ould</w:t>
      </w:r>
      <w:r w:rsidRPr="00D736EE">
        <w:t xml:space="preserve"> be unable to confirm </w:t>
      </w:r>
      <w:r w:rsidR="00956606">
        <w:t>easily</w:t>
      </w:r>
      <w:r w:rsidRPr="00D736EE">
        <w:t xml:space="preserve"> that bridge inspection reports received the multi-tiered review called for in the </w:t>
      </w:r>
      <w:r w:rsidR="00956606">
        <w:t xml:space="preserve">RSIA </w:t>
      </w:r>
      <w:r w:rsidRPr="00D736EE">
        <w:t>of 2008.</w:t>
      </w:r>
    </w:p>
    <w:p w:rsidR="00452977" w:rsidP="00D15CF6" w14:paraId="7C6A3F80" w14:textId="77777777">
      <w:pPr>
        <w:pStyle w:val="ListParagraph"/>
        <w:widowControl w:val="0"/>
        <w:ind w:left="1440"/>
        <w:contextualSpacing/>
      </w:pPr>
    </w:p>
    <w:p w:rsidR="00730AA7" w:rsidP="003C7B8A" w14:paraId="642F536C" w14:textId="32E8D410">
      <w:pPr>
        <w:pStyle w:val="ListParagraph"/>
        <w:widowControl w:val="0"/>
        <w:numPr>
          <w:ilvl w:val="0"/>
          <w:numId w:val="3"/>
        </w:numPr>
        <w:contextualSpacing/>
      </w:pPr>
      <w:r w:rsidRPr="00D736EE">
        <w:t>FRA w</w:t>
      </w:r>
      <w:r w:rsidR="00452977">
        <w:t>ould</w:t>
      </w:r>
      <w:r w:rsidRPr="00D736EE">
        <w:t xml:space="preserve"> </w:t>
      </w:r>
      <w:r w:rsidR="00D21B40">
        <w:t>be unable</w:t>
      </w:r>
      <w:r w:rsidRPr="00D736EE">
        <w:t xml:space="preserve"> to verify </w:t>
      </w:r>
      <w:r w:rsidR="00B37CC3">
        <w:t xml:space="preserve">readily </w:t>
      </w:r>
      <w:r w:rsidRPr="00D736EE">
        <w:t>the integrity of the railroad’s/track owner’s database is protected by a security system that utilizes an employee identification number and password, or a comparable method, to establish appropriate levels of program access that meets agency standards.</w:t>
      </w:r>
    </w:p>
    <w:p w:rsidR="00730AA7" w:rsidP="00D15CF6" w14:paraId="11D63B5A" w14:textId="77777777">
      <w:pPr>
        <w:pStyle w:val="ListParagraph"/>
        <w:widowControl w:val="0"/>
        <w:ind w:left="1440"/>
        <w:contextualSpacing/>
      </w:pPr>
    </w:p>
    <w:p w:rsidR="00075080" w:rsidP="00D15CF6" w14:paraId="0A72B98F" w14:textId="75C3A073">
      <w:pPr>
        <w:pStyle w:val="ListParagraph"/>
        <w:widowControl w:val="0"/>
        <w:numPr>
          <w:ilvl w:val="0"/>
          <w:numId w:val="3"/>
        </w:numPr>
        <w:contextualSpacing/>
      </w:pPr>
      <w:r>
        <w:t>R</w:t>
      </w:r>
      <w:r w:rsidRPr="00075080">
        <w:t>ailroads and railroad contractors might choose not to take necessary precautions around railroad-bridge work sites.</w:t>
      </w:r>
      <w:r w:rsidRPr="00952096">
        <w:t xml:space="preserve"> </w:t>
      </w:r>
    </w:p>
    <w:p w:rsidR="003C7B8A" w:rsidRPr="008A5B6D" w:rsidP="003C7B8A" w14:paraId="52473DAD"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003C7B8A" w:rsidRPr="006C7A55" w:rsidP="003C7B8A" w14:paraId="1216002D" w14:textId="77777777">
      <w:pPr>
        <w:widowControl w:val="0"/>
        <w:ind w:left="720"/>
        <w:rPr>
          <w:szCs w:val="24"/>
        </w:rPr>
      </w:pPr>
    </w:p>
    <w:p w:rsidR="003C7B8A" w:rsidRPr="008A5B6D" w:rsidP="003C7B8A" w14:paraId="71116828" w14:textId="149ACE41">
      <w:pPr>
        <w:widowControl w:val="0"/>
        <w:ind w:left="720"/>
        <w:rPr>
          <w:szCs w:val="24"/>
        </w:rPr>
      </w:pPr>
      <w:r>
        <w:rPr>
          <w:szCs w:val="24"/>
        </w:rPr>
        <w:t>There are no special circumstances</w:t>
      </w:r>
      <w:r w:rsidR="00452E41">
        <w:rPr>
          <w:szCs w:val="24"/>
        </w:rPr>
        <w:t xml:space="preserve"> associated with this information collection</w:t>
      </w:r>
      <w:r>
        <w:rPr>
          <w:szCs w:val="24"/>
        </w:rPr>
        <w:t>.</w:t>
      </w:r>
    </w:p>
    <w:p w:rsidR="003C7B8A" w:rsidRPr="008A5B6D" w:rsidP="003C7B8A" w14:paraId="43D5AE02" w14:textId="77777777">
      <w:pPr>
        <w:widowControl w:val="0"/>
        <w:ind w:left="720"/>
        <w:rPr>
          <w:szCs w:val="24"/>
        </w:rPr>
      </w:pPr>
    </w:p>
    <w:p w:rsidR="003C7B8A" w:rsidP="003C7B8A" w14:paraId="778156B8" w14:textId="03E00DF1">
      <w:pPr>
        <w:widowControl w:val="0"/>
        <w:ind w:left="720" w:hanging="720"/>
        <w:rPr>
          <w:b/>
          <w:szCs w:val="24"/>
        </w:rPr>
      </w:pPr>
      <w:r w:rsidRPr="008A5B6D">
        <w:rPr>
          <w:b/>
          <w:szCs w:val="24"/>
        </w:rPr>
        <w:t>8.</w:t>
      </w:r>
      <w:r w:rsidRPr="008A5B6D">
        <w:rPr>
          <w:b/>
          <w:szCs w:val="24"/>
        </w:rPr>
        <w:tab/>
      </w:r>
      <w:r w:rsidRPr="008A5B6D">
        <w:rPr>
          <w:b/>
          <w:szCs w:val="24"/>
          <w:u w:val="single"/>
        </w:rPr>
        <w:t>Compliance with 5 CFR 1320.8.</w:t>
      </w:r>
      <w:r w:rsidRPr="008A5B6D">
        <w:rPr>
          <w:b/>
          <w:szCs w:val="24"/>
        </w:rPr>
        <w:t xml:space="preserve"> </w:t>
      </w:r>
    </w:p>
    <w:p w:rsidR="00785A29" w:rsidP="003C7B8A" w14:paraId="45837BDD" w14:textId="6033B8A8">
      <w:pPr>
        <w:widowControl w:val="0"/>
        <w:ind w:left="720" w:hanging="720"/>
        <w:rPr>
          <w:szCs w:val="24"/>
        </w:rPr>
      </w:pPr>
    </w:p>
    <w:p w:rsidR="00452E41" w:rsidP="00452E41" w14:paraId="62E821F4" w14:textId="79CFCBDA">
      <w:pPr>
        <w:widowControl w:val="0"/>
        <w:ind w:left="720"/>
      </w:pPr>
      <w:r w:rsidRPr="406BF965">
        <w:t>As required by the Paperwork Reduction Act of 1995 (PRA) and 5 CFR</w:t>
      </w:r>
      <w:r w:rsidRPr="406BF965">
        <w:t xml:space="preserve"> part</w:t>
      </w:r>
      <w:r w:rsidRPr="406BF965">
        <w:t xml:space="preserve"> 1320, FRA </w:t>
      </w:r>
      <w:r w:rsidRPr="406BF965">
        <w:t xml:space="preserve">published a notice in the </w:t>
      </w:r>
      <w:r w:rsidRPr="406BF965">
        <w:rPr>
          <w:u w:val="single"/>
        </w:rPr>
        <w:t>Federal</w:t>
      </w:r>
      <w:r w:rsidRPr="008A5B6D">
        <w:rPr>
          <w:iCs/>
          <w:szCs w:val="24"/>
        </w:rPr>
        <w:t xml:space="preserve"> </w:t>
      </w:r>
      <w:r w:rsidRPr="406BF965">
        <w:rPr>
          <w:u w:val="single"/>
        </w:rPr>
        <w:t xml:space="preserve">Register </w:t>
      </w:r>
      <w:r w:rsidRPr="406BF965">
        <w:t xml:space="preserve">on </w:t>
      </w:r>
      <w:r w:rsidRPr="406BF965" w:rsidR="00A02C3B">
        <w:t>December 3</w:t>
      </w:r>
      <w:r w:rsidRPr="406BF965">
        <w:t>, 2025</w:t>
      </w:r>
      <w:r w:rsidR="00BB129D">
        <w:rPr>
          <w:szCs w:val="24"/>
        </w:rPr>
        <w:t>,</w:t>
      </w:r>
      <w:r>
        <w:rPr>
          <w:rStyle w:val="FootnoteReference"/>
        </w:rPr>
        <w:footnoteReference w:id="7"/>
      </w:r>
      <w:r w:rsidRPr="406BF965">
        <w:t xml:space="preserve"> soliciting comments </w:t>
      </w:r>
      <w:r w:rsidRPr="00361A4F">
        <w:t>from the public, railroads, and other interested parties</w:t>
      </w:r>
      <w:r>
        <w:t xml:space="preserve"> </w:t>
      </w:r>
      <w:r w:rsidRPr="00A82343">
        <w:t>on these information collection requirements</w:t>
      </w:r>
      <w:r w:rsidRPr="008A5B6D">
        <w:rPr>
          <w:szCs w:val="24"/>
        </w:rPr>
        <w:t>.</w:t>
      </w:r>
      <w:r w:rsidRPr="406BF965">
        <w:t xml:space="preserve">  FRA received</w:t>
      </w:r>
      <w:r w:rsidRPr="00D15CF6">
        <w:rPr>
          <w:szCs w:val="24"/>
        </w:rPr>
        <w:t xml:space="preserve"> </w:t>
      </w:r>
      <w:r w:rsidRPr="00D15CF6" w:rsidR="60134070">
        <w:rPr>
          <w:szCs w:val="24"/>
        </w:rPr>
        <w:t>two</w:t>
      </w:r>
      <w:r w:rsidR="3A019812">
        <w:t xml:space="preserve"> </w:t>
      </w:r>
      <w:r w:rsidRPr="406BF965">
        <w:t>comments</w:t>
      </w:r>
      <w:r w:rsidRPr="005C3516">
        <w:rPr>
          <w:szCs w:val="24"/>
        </w:rPr>
        <w:t xml:space="preserve"> </w:t>
      </w:r>
      <w:r w:rsidRPr="406BF965" w:rsidR="302A2CF3">
        <w:t xml:space="preserve">that </w:t>
      </w:r>
      <w:r w:rsidR="00B37CC3">
        <w:t>we</w:t>
      </w:r>
      <w:r w:rsidRPr="406BF965" w:rsidR="302A2CF3">
        <w:t>re not related to</w:t>
      </w:r>
      <w:r w:rsidRPr="406BF965">
        <w:t xml:space="preserve"> th</w:t>
      </w:r>
      <w:r w:rsidR="00B37CC3">
        <w:t>e information collections in</w:t>
      </w:r>
      <w:r>
        <w:t xml:space="preserve"> th</w:t>
      </w:r>
      <w:r w:rsidRPr="406BF965">
        <w:t>is notice.</w:t>
      </w:r>
    </w:p>
    <w:p w:rsidR="00452E41" w:rsidP="00452E41" w14:paraId="7E6B72DE" w14:textId="77777777">
      <w:pPr>
        <w:widowControl w:val="0"/>
        <w:ind w:left="720"/>
        <w:rPr>
          <w:szCs w:val="24"/>
        </w:rPr>
      </w:pPr>
    </w:p>
    <w:p w:rsidR="00452E41" w:rsidRPr="008A5B6D" w:rsidP="00452E41" w14:paraId="7B2297B2" w14:textId="77777777">
      <w:pPr>
        <w:ind w:left="720"/>
        <w:rPr>
          <w:i/>
          <w:iCs/>
          <w:color w:val="000000"/>
          <w:szCs w:val="24"/>
          <w:u w:val="single"/>
        </w:rPr>
      </w:pPr>
      <w:r w:rsidRPr="008A5B6D">
        <w:rPr>
          <w:i/>
          <w:iCs/>
          <w:color w:val="000000"/>
          <w:szCs w:val="24"/>
          <w:u w:val="single"/>
        </w:rPr>
        <w:t>Consultations with representatives of the affected population:</w:t>
      </w:r>
    </w:p>
    <w:p w:rsidR="00452E41" w:rsidRPr="008A5B6D" w:rsidP="00452E41" w14:paraId="79227AFA" w14:textId="77777777">
      <w:pPr>
        <w:widowControl w:val="0"/>
        <w:rPr>
          <w:b/>
          <w:szCs w:val="24"/>
        </w:rPr>
      </w:pPr>
    </w:p>
    <w:p w:rsidR="00452E41" w:rsidP="00452E41" w14:paraId="3AD4B7A4" w14:textId="77777777">
      <w:pPr>
        <w:widowControl w:val="0"/>
        <w:ind w:left="720"/>
        <w:rPr>
          <w:szCs w:val="24"/>
        </w:rPr>
      </w:pPr>
      <w:r w:rsidRPr="00A90569">
        <w:rPr>
          <w:szCs w:val="24"/>
        </w:rPr>
        <w:t>As a part of FRA</w:t>
      </w:r>
      <w:r>
        <w:rPr>
          <w:szCs w:val="24"/>
        </w:rPr>
        <w:t>’</w:t>
      </w:r>
      <w:r w:rsidRPr="00A90569">
        <w:rPr>
          <w:szCs w:val="24"/>
        </w:rPr>
        <w:t>s oversight and enforcement, individuals from the railroad industry are generally in direct contact with FRA’s inspectors at the time of site inspection</w:t>
      </w:r>
      <w:r>
        <w:rPr>
          <w:szCs w:val="24"/>
        </w:rPr>
        <w:t>s</w:t>
      </w:r>
      <w:r w:rsidRPr="00A90569">
        <w:rPr>
          <w:szCs w:val="24"/>
        </w:rPr>
        <w:t xml:space="preserve"> and can provide any comments or concerns to them.</w:t>
      </w:r>
    </w:p>
    <w:p w:rsidR="00452E41" w:rsidP="00452E41" w14:paraId="53D547A3" w14:textId="77777777">
      <w:pPr>
        <w:widowControl w:val="0"/>
        <w:ind w:left="720"/>
        <w:rPr>
          <w:szCs w:val="24"/>
        </w:rPr>
      </w:pPr>
    </w:p>
    <w:p w:rsidR="00452E41" w:rsidRPr="008A5B6D" w:rsidP="00452E41" w14:paraId="0EF2C0B1"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00452E41" w:rsidP="00452E41" w14:paraId="11D6F0DD" w14:textId="77777777">
      <w:pPr>
        <w:widowControl w:val="0"/>
        <w:ind w:left="720"/>
        <w:rPr>
          <w:szCs w:val="24"/>
        </w:rPr>
      </w:pPr>
    </w:p>
    <w:p w:rsidR="00452E41" w:rsidP="00452E41" w14:paraId="7DE3085A" w14:textId="33CC6D52">
      <w:pPr>
        <w:widowControl w:val="0"/>
        <w:ind w:left="720"/>
        <w:rPr>
          <w:szCs w:val="24"/>
        </w:rPr>
      </w:pPr>
      <w:r w:rsidRPr="008A5B6D">
        <w:rPr>
          <w:szCs w:val="24"/>
        </w:rPr>
        <w:t xml:space="preserve">There are no monetary payments or gifts made to respondents associated with the information collection requirements contained in this </w:t>
      </w:r>
      <w:r>
        <w:rPr>
          <w:szCs w:val="24"/>
        </w:rPr>
        <w:t>ICR</w:t>
      </w:r>
      <w:r w:rsidRPr="008A5B6D">
        <w:rPr>
          <w:szCs w:val="24"/>
        </w:rPr>
        <w:t>.</w:t>
      </w:r>
    </w:p>
    <w:p w:rsidR="00452E41" w:rsidP="00452E41" w14:paraId="2773F47B" w14:textId="77777777">
      <w:pPr>
        <w:widowControl w:val="0"/>
        <w:ind w:left="720"/>
        <w:rPr>
          <w:szCs w:val="24"/>
        </w:rPr>
      </w:pPr>
    </w:p>
    <w:p w:rsidR="00452E41" w:rsidRPr="008A5B6D" w:rsidP="00452E41" w14:paraId="36FDC514" w14:textId="77777777">
      <w:pPr>
        <w:widowControl w:val="0"/>
        <w:rPr>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00452E41" w:rsidP="00452E41" w14:paraId="407E6349" w14:textId="77777777">
      <w:pPr>
        <w:widowControl w:val="0"/>
        <w:ind w:firstLine="720"/>
        <w:rPr>
          <w:szCs w:val="24"/>
        </w:rPr>
      </w:pPr>
    </w:p>
    <w:p w:rsidR="00452E41" w:rsidP="00452E41" w14:paraId="4BB3CB40" w14:textId="77777777">
      <w:pPr>
        <w:widowControl w:val="0"/>
        <w:ind w:left="720"/>
        <w:rPr>
          <w:szCs w:val="24"/>
        </w:rPr>
      </w:pPr>
      <w:r>
        <w:rPr>
          <w:szCs w:val="24"/>
        </w:rPr>
        <w:t>The i</w:t>
      </w:r>
      <w:r w:rsidRPr="008A5B6D">
        <w:rPr>
          <w:szCs w:val="24"/>
        </w:rPr>
        <w:t>nformation collected is not of a confidential nature, and FRA pledges no confidentiality.</w:t>
      </w:r>
    </w:p>
    <w:p w:rsidR="00452E41" w:rsidP="00452E41" w14:paraId="3934BB2F" w14:textId="77777777">
      <w:pPr>
        <w:widowControl w:val="0"/>
        <w:ind w:left="720"/>
        <w:rPr>
          <w:szCs w:val="24"/>
        </w:rPr>
      </w:pPr>
    </w:p>
    <w:p w:rsidR="00452E41" w:rsidRPr="008A5B6D" w:rsidP="00452E41" w14:paraId="3F54B615" w14:textId="77777777">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452E41" w:rsidP="00452E41" w14:paraId="2FDA2A35" w14:textId="77777777">
      <w:pPr>
        <w:widowControl w:val="0"/>
        <w:ind w:left="720"/>
        <w:rPr>
          <w:szCs w:val="24"/>
        </w:rPr>
      </w:pPr>
    </w:p>
    <w:p w:rsidR="00452E41" w:rsidP="00452E41" w14:paraId="5F920047" w14:textId="77777777">
      <w:pPr>
        <w:widowControl w:val="0"/>
        <w:ind w:left="720"/>
        <w:rPr>
          <w:szCs w:val="24"/>
        </w:rPr>
      </w:pPr>
      <w:r w:rsidRPr="008A5B6D">
        <w:rPr>
          <w:szCs w:val="24"/>
        </w:rPr>
        <w:t>There are no sensitive questions, and no sensitive information is requested.</w:t>
      </w:r>
    </w:p>
    <w:p w:rsidR="00452E41" w:rsidP="00CD0D7D" w14:paraId="4364D957" w14:textId="77777777">
      <w:pPr>
        <w:widowControl w:val="0"/>
        <w:rPr>
          <w:szCs w:val="24"/>
        </w:rPr>
      </w:pPr>
    </w:p>
    <w:p w:rsidR="00D15CF6" w:rsidP="00785A29" w14:paraId="7FC39674" w14:textId="0D95DAEF">
      <w:pPr>
        <w:widowControl w:val="0"/>
        <w:ind w:left="720"/>
        <w:rPr>
          <w:szCs w:val="24"/>
        </w:rPr>
      </w:pPr>
    </w:p>
    <w:p w:rsidR="00D15CF6" w:rsidP="00785A29" w14:paraId="3AFCEC68" w14:textId="77777777">
      <w:pPr>
        <w:widowControl w:val="0"/>
        <w:ind w:left="720"/>
        <w:rPr>
          <w:szCs w:val="24"/>
        </w:rPr>
        <w:sectPr w:rsidSect="00224807">
          <w:headerReference w:type="even" r:id="rId9"/>
          <w:headerReference w:type="default" r:id="rId10"/>
          <w:footerReference w:type="even" r:id="rId11"/>
          <w:footerReference w:type="default" r:id="rId12"/>
          <w:pgSz w:w="12240" w:h="15840"/>
          <w:pgMar w:top="1440" w:right="1440" w:bottom="1440" w:left="1440" w:header="1350" w:footer="1800" w:gutter="0"/>
          <w:cols w:space="720"/>
          <w:docGrid w:linePitch="326"/>
        </w:sectPr>
      </w:pPr>
    </w:p>
    <w:p w:rsidR="003C7B8A" w:rsidRPr="008B6DA5" w:rsidP="003C7B8A" w14:paraId="791674F3" w14:textId="652D4BC4">
      <w:pPr>
        <w:rPr>
          <w:b/>
        </w:rPr>
      </w:pPr>
      <w:r w:rsidRPr="6B389E48">
        <w:rPr>
          <w:b/>
        </w:rPr>
        <w:t>12.       </w:t>
      </w:r>
      <w:r w:rsidRPr="6B389E48">
        <w:rPr>
          <w:b/>
          <w:u w:val="single"/>
        </w:rPr>
        <w:t>Estimate of burden hours for information collected</w:t>
      </w:r>
      <w:r w:rsidRPr="6B389E48">
        <w:rPr>
          <w:b/>
        </w:rPr>
        <w:t>.</w:t>
      </w:r>
    </w:p>
    <w:p w:rsidR="003C7B8A" w:rsidRPr="008B6DA5" w:rsidP="003C7B8A" w14:paraId="6D9182A3" w14:textId="77777777">
      <w:pPr>
        <w:rPr>
          <w:b/>
          <w:bCs/>
          <w:szCs w:val="24"/>
        </w:rPr>
      </w:pPr>
    </w:p>
    <w:p w:rsidR="003C7B8A" w:rsidRPr="008B6DA5" w:rsidP="003C7B8A" w14:paraId="024DAADE" w14:textId="1FBD60DC">
      <w:pPr>
        <w:ind w:left="720"/>
        <w:rPr>
          <w:szCs w:val="24"/>
        </w:rPr>
      </w:pPr>
      <w:r w:rsidRPr="008B6DA5">
        <w:rPr>
          <w:szCs w:val="24"/>
        </w:rPr>
        <w:t xml:space="preserve">The estimates for the respondent universe, annual responses, and average time per response are based on the experience and expertise of FRA’s Office of </w:t>
      </w:r>
      <w:r w:rsidR="0082440D">
        <w:rPr>
          <w:szCs w:val="24"/>
        </w:rPr>
        <w:t xml:space="preserve">Railroad </w:t>
      </w:r>
      <w:r w:rsidRPr="008B6DA5">
        <w:rPr>
          <w:szCs w:val="24"/>
        </w:rPr>
        <w:t xml:space="preserve">Safety. </w:t>
      </w:r>
      <w:r w:rsidR="004E4B76">
        <w:rPr>
          <w:szCs w:val="24"/>
        </w:rPr>
        <w:t xml:space="preserve"> </w:t>
      </w:r>
    </w:p>
    <w:p w:rsidR="003C7B8A" w:rsidRPr="008B6DA5" w:rsidP="003C7B8A" w14:paraId="78A0BFAA" w14:textId="77777777">
      <w:pPr>
        <w:ind w:left="720"/>
        <w:rPr>
          <w:szCs w:val="24"/>
        </w:rPr>
      </w:pP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1402"/>
        <w:gridCol w:w="1477"/>
        <w:gridCol w:w="901"/>
        <w:gridCol w:w="1169"/>
        <w:gridCol w:w="1081"/>
        <w:gridCol w:w="1441"/>
        <w:gridCol w:w="3508"/>
      </w:tblGrid>
      <w:tr w14:paraId="2B105FF1" w14:textId="77777777" w:rsidTr="00F65308">
        <w:tblPrEx>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1"/>
        </w:trPr>
        <w:tc>
          <w:tcPr>
            <w:tcW w:w="1038" w:type="pct"/>
            <w:hideMark/>
          </w:tcPr>
          <w:p w:rsidR="00147379" w:rsidRPr="00147379" w:rsidP="00147379" w14:paraId="3A690603" w14:textId="677BF970">
            <w:pPr>
              <w:jc w:val="center"/>
              <w:rPr>
                <w:color w:val="000000"/>
                <w:sz w:val="20"/>
              </w:rPr>
            </w:pPr>
            <w:r>
              <w:rPr>
                <w:color w:val="000000"/>
                <w:sz w:val="20"/>
              </w:rPr>
              <w:t xml:space="preserve">CFR </w:t>
            </w:r>
            <w:r w:rsidRPr="00147379">
              <w:rPr>
                <w:color w:val="000000"/>
                <w:sz w:val="20"/>
              </w:rPr>
              <w:t>Section</w:t>
            </w:r>
          </w:p>
        </w:tc>
        <w:tc>
          <w:tcPr>
            <w:tcW w:w="506" w:type="pct"/>
            <w:shd w:val="clear" w:color="auto" w:fill="FFFFFF" w:themeFill="background1"/>
          </w:tcPr>
          <w:p w:rsidR="00147379" w:rsidRPr="00147379" w:rsidP="00147379" w14:paraId="6A188544" w14:textId="77777777">
            <w:pPr>
              <w:jc w:val="center"/>
              <w:rPr>
                <w:color w:val="000000"/>
                <w:sz w:val="20"/>
              </w:rPr>
            </w:pPr>
            <w:r w:rsidRPr="00147379">
              <w:rPr>
                <w:kern w:val="2"/>
                <w:sz w:val="20"/>
                <w14:ligatures w14:val="standardContextual"/>
              </w:rPr>
              <w:t>Respondent Universe</w:t>
            </w:r>
          </w:p>
        </w:tc>
        <w:tc>
          <w:tcPr>
            <w:tcW w:w="533" w:type="pct"/>
            <w:shd w:val="clear" w:color="auto" w:fill="FFFFFF" w:themeFill="background1"/>
          </w:tcPr>
          <w:p w:rsidR="00147379" w:rsidRPr="00147379" w:rsidP="00147379" w14:paraId="49BD7C49" w14:textId="77777777">
            <w:pPr>
              <w:jc w:val="center"/>
              <w:rPr>
                <w:kern w:val="2"/>
                <w:sz w:val="20"/>
                <w14:ligatures w14:val="standardContextual"/>
              </w:rPr>
            </w:pPr>
            <w:r w:rsidRPr="00147379">
              <w:rPr>
                <w:kern w:val="2"/>
                <w:sz w:val="20"/>
                <w14:ligatures w14:val="standardContextual"/>
              </w:rPr>
              <w:t>Total</w:t>
            </w:r>
          </w:p>
          <w:p w:rsidR="00B33B9A" w:rsidP="00147379" w14:paraId="58A89632" w14:textId="77777777">
            <w:pPr>
              <w:jc w:val="center"/>
              <w:rPr>
                <w:kern w:val="2"/>
                <w:sz w:val="20"/>
                <w14:ligatures w14:val="standardContextual"/>
              </w:rPr>
            </w:pPr>
            <w:r w:rsidRPr="00147379">
              <w:rPr>
                <w:kern w:val="2"/>
                <w:sz w:val="20"/>
                <w14:ligatures w14:val="standardContextual"/>
              </w:rPr>
              <w:t xml:space="preserve">Annual </w:t>
            </w:r>
          </w:p>
          <w:p w:rsidR="00147379" w:rsidRPr="00147379" w:rsidP="00147379" w14:paraId="0555DCA8" w14:textId="7E352A66">
            <w:pPr>
              <w:jc w:val="center"/>
              <w:rPr>
                <w:kern w:val="2"/>
                <w:sz w:val="20"/>
                <w14:ligatures w14:val="standardContextual"/>
              </w:rPr>
            </w:pPr>
            <w:r w:rsidRPr="00147379">
              <w:rPr>
                <w:kern w:val="2"/>
                <w:sz w:val="20"/>
                <w14:ligatures w14:val="standardContextual"/>
              </w:rPr>
              <w:t>Responses</w:t>
            </w:r>
          </w:p>
          <w:p w:rsidR="00147379" w:rsidRPr="00147379" w:rsidP="00147379" w14:paraId="49FECE3B" w14:textId="77777777">
            <w:pPr>
              <w:jc w:val="center"/>
              <w:rPr>
                <w:color w:val="000000"/>
                <w:sz w:val="20"/>
              </w:rPr>
            </w:pPr>
            <w:r w:rsidRPr="00147379">
              <w:rPr>
                <w:kern w:val="2"/>
                <w:sz w:val="16"/>
                <w:szCs w:val="16"/>
                <w14:ligatures w14:val="standardContextual"/>
              </w:rPr>
              <w:t>(A)</w:t>
            </w:r>
          </w:p>
        </w:tc>
        <w:tc>
          <w:tcPr>
            <w:tcW w:w="325" w:type="pct"/>
            <w:shd w:val="clear" w:color="auto" w:fill="FFFFFF" w:themeFill="background1"/>
          </w:tcPr>
          <w:p w:rsidR="00147379" w:rsidRPr="00147379" w:rsidP="00147379" w14:paraId="4F3A85EC" w14:textId="77777777">
            <w:pPr>
              <w:jc w:val="center"/>
              <w:rPr>
                <w:kern w:val="2"/>
                <w:sz w:val="20"/>
                <w14:ligatures w14:val="standardContextual"/>
              </w:rPr>
            </w:pPr>
            <w:r w:rsidRPr="00147379">
              <w:rPr>
                <w:kern w:val="2"/>
                <w:sz w:val="20"/>
                <w14:ligatures w14:val="standardContextual"/>
              </w:rPr>
              <w:t>Average Time</w:t>
            </w:r>
          </w:p>
          <w:p w:rsidR="00B33B9A" w:rsidP="00147379" w14:paraId="1901B3A2" w14:textId="77777777">
            <w:pPr>
              <w:jc w:val="center"/>
              <w:rPr>
                <w:kern w:val="2"/>
                <w:sz w:val="20"/>
                <w14:ligatures w14:val="standardContextual"/>
              </w:rPr>
            </w:pPr>
            <w:r w:rsidRPr="00147379">
              <w:rPr>
                <w:kern w:val="2"/>
                <w:sz w:val="20"/>
                <w14:ligatures w14:val="standardContextual"/>
              </w:rPr>
              <w:t xml:space="preserve">per </w:t>
            </w:r>
          </w:p>
          <w:p w:rsidR="00147379" w:rsidRPr="00147379" w:rsidP="00147379" w14:paraId="13309C6F" w14:textId="6FB8A0E7">
            <w:pPr>
              <w:jc w:val="center"/>
              <w:rPr>
                <w:kern w:val="2"/>
                <w:sz w:val="20"/>
                <w14:ligatures w14:val="standardContextual"/>
              </w:rPr>
            </w:pPr>
            <w:r w:rsidRPr="00147379">
              <w:rPr>
                <w:kern w:val="2"/>
                <w:sz w:val="20"/>
                <w14:ligatures w14:val="standardContextual"/>
              </w:rPr>
              <w:t>Response</w:t>
            </w:r>
          </w:p>
          <w:p w:rsidR="00147379" w:rsidRPr="00147379" w:rsidP="00147379" w14:paraId="4AEDFECD" w14:textId="77777777">
            <w:pPr>
              <w:jc w:val="center"/>
              <w:rPr>
                <w:color w:val="000000"/>
                <w:sz w:val="20"/>
              </w:rPr>
            </w:pPr>
            <w:r w:rsidRPr="00147379">
              <w:rPr>
                <w:kern w:val="2"/>
                <w:sz w:val="16"/>
                <w:szCs w:val="16"/>
                <w14:ligatures w14:val="standardContextual"/>
              </w:rPr>
              <w:t>(B)</w:t>
            </w:r>
          </w:p>
        </w:tc>
        <w:tc>
          <w:tcPr>
            <w:tcW w:w="422" w:type="pct"/>
            <w:shd w:val="clear" w:color="auto" w:fill="FFFFFF" w:themeFill="background1"/>
          </w:tcPr>
          <w:p w:rsidR="00147379" w:rsidRPr="00147379" w:rsidP="00147379" w14:paraId="2754EC52" w14:textId="77777777">
            <w:pPr>
              <w:jc w:val="center"/>
              <w:rPr>
                <w:kern w:val="2"/>
                <w:sz w:val="20"/>
                <w14:ligatures w14:val="standardContextual"/>
              </w:rPr>
            </w:pPr>
            <w:r w:rsidRPr="00147379">
              <w:rPr>
                <w:kern w:val="2"/>
                <w:sz w:val="20"/>
                <w14:ligatures w14:val="standardContextual"/>
              </w:rPr>
              <w:t>Total Annual Burden Hours</w:t>
            </w:r>
          </w:p>
          <w:p w:rsidR="00147379" w:rsidRPr="00147379" w:rsidP="00147379" w14:paraId="7FFAC433" w14:textId="77777777">
            <w:pPr>
              <w:jc w:val="center"/>
              <w:rPr>
                <w:color w:val="000000"/>
                <w:sz w:val="20"/>
              </w:rPr>
            </w:pPr>
            <w:r w:rsidRPr="00147379">
              <w:rPr>
                <w:kern w:val="2"/>
                <w:sz w:val="16"/>
                <w:szCs w:val="16"/>
                <w14:ligatures w14:val="standardContextual"/>
              </w:rPr>
              <w:t>(C) = A * B</w:t>
            </w:r>
          </w:p>
        </w:tc>
        <w:tc>
          <w:tcPr>
            <w:tcW w:w="390" w:type="pct"/>
            <w:shd w:val="clear" w:color="auto" w:fill="FFFFFF" w:themeFill="background1"/>
          </w:tcPr>
          <w:p w:rsidR="00147379" w:rsidRPr="00147379" w:rsidP="00147379" w14:paraId="5245E47E" w14:textId="77777777">
            <w:pPr>
              <w:jc w:val="center"/>
              <w:rPr>
                <w:kern w:val="2"/>
                <w:sz w:val="20"/>
                <w14:ligatures w14:val="standardContextual"/>
              </w:rPr>
            </w:pPr>
            <w:r w:rsidRPr="00147379">
              <w:rPr>
                <w:kern w:val="2"/>
                <w:sz w:val="20"/>
                <w14:ligatures w14:val="standardContextual"/>
              </w:rPr>
              <w:t>Wage</w:t>
            </w:r>
          </w:p>
          <w:p w:rsidR="00147379" w:rsidRPr="00147379" w:rsidP="00147379" w14:paraId="5E5B9B4D" w14:textId="77777777">
            <w:pPr>
              <w:jc w:val="center"/>
              <w:rPr>
                <w:color w:val="000000"/>
                <w:sz w:val="20"/>
              </w:rPr>
            </w:pPr>
            <w:r w:rsidRPr="00147379">
              <w:rPr>
                <w:kern w:val="2"/>
                <w:sz w:val="20"/>
                <w14:ligatures w14:val="standardContextual"/>
              </w:rPr>
              <w:t>Rate</w:t>
            </w:r>
            <w:r>
              <w:rPr>
                <w:kern w:val="2"/>
                <w:sz w:val="20"/>
                <w:vertAlign w:val="superscript"/>
                <w14:ligatures w14:val="standardContextual"/>
              </w:rPr>
              <w:footnoteReference w:id="8"/>
            </w:r>
          </w:p>
        </w:tc>
        <w:tc>
          <w:tcPr>
            <w:tcW w:w="520" w:type="pct"/>
            <w:shd w:val="clear" w:color="auto" w:fill="FFFFFF" w:themeFill="background1"/>
          </w:tcPr>
          <w:p w:rsidR="00147379" w:rsidP="00147379" w14:paraId="736B3CD2" w14:textId="77777777">
            <w:pPr>
              <w:jc w:val="center"/>
              <w:rPr>
                <w:kern w:val="2"/>
                <w:sz w:val="20"/>
                <w14:ligatures w14:val="standardContextual"/>
              </w:rPr>
            </w:pPr>
            <w:r w:rsidRPr="00147379">
              <w:rPr>
                <w:kern w:val="2"/>
                <w:sz w:val="20"/>
                <w14:ligatures w14:val="standardContextual"/>
              </w:rPr>
              <w:t xml:space="preserve">Total </w:t>
            </w:r>
          </w:p>
          <w:p w:rsidR="00147379" w:rsidP="00147379" w14:paraId="16AAFDA9" w14:textId="77777777">
            <w:pPr>
              <w:jc w:val="center"/>
              <w:rPr>
                <w:kern w:val="2"/>
                <w:sz w:val="20"/>
                <w14:ligatures w14:val="standardContextual"/>
              </w:rPr>
            </w:pPr>
            <w:r w:rsidRPr="00147379">
              <w:rPr>
                <w:kern w:val="2"/>
                <w:sz w:val="20"/>
                <w14:ligatures w14:val="standardContextual"/>
              </w:rPr>
              <w:t xml:space="preserve">Annual </w:t>
            </w:r>
          </w:p>
          <w:p w:rsidR="00147379" w:rsidRPr="00147379" w:rsidP="00147379" w14:paraId="7B61B787" w14:textId="4068FC7C">
            <w:pPr>
              <w:jc w:val="center"/>
              <w:rPr>
                <w:kern w:val="2"/>
                <w:sz w:val="20"/>
                <w14:ligatures w14:val="standardContextual"/>
              </w:rPr>
            </w:pPr>
            <w:r w:rsidRPr="00147379">
              <w:rPr>
                <w:kern w:val="2"/>
                <w:sz w:val="20"/>
                <w14:ligatures w14:val="standardContextual"/>
              </w:rPr>
              <w:t>Dollar Cost Equivalent</w:t>
            </w:r>
          </w:p>
          <w:p w:rsidR="00147379" w:rsidRPr="00147379" w:rsidP="00147379" w14:paraId="6ECABF16" w14:textId="77777777">
            <w:pPr>
              <w:jc w:val="center"/>
              <w:rPr>
                <w:color w:val="000000"/>
                <w:sz w:val="20"/>
              </w:rPr>
            </w:pPr>
            <w:r w:rsidRPr="00147379">
              <w:rPr>
                <w:kern w:val="2"/>
                <w:sz w:val="16"/>
                <w:szCs w:val="16"/>
                <w14:ligatures w14:val="standardContextual"/>
              </w:rPr>
              <w:t>(D)=C * wage rates</w:t>
            </w:r>
          </w:p>
        </w:tc>
        <w:tc>
          <w:tcPr>
            <w:tcW w:w="1266" w:type="pct"/>
          </w:tcPr>
          <w:p w:rsidR="00147379" w:rsidP="00147379" w14:paraId="54D6FFB0" w14:textId="77777777">
            <w:pPr>
              <w:jc w:val="center"/>
              <w:rPr>
                <w:color w:val="000000"/>
                <w:sz w:val="20"/>
              </w:rPr>
            </w:pPr>
            <w:r w:rsidRPr="00147379">
              <w:rPr>
                <w:color w:val="000000"/>
                <w:sz w:val="20"/>
              </w:rPr>
              <w:t>PRA Analyses</w:t>
            </w:r>
          </w:p>
          <w:p w:rsidR="00147379" w:rsidRPr="00147379" w:rsidP="00147379" w14:paraId="7311915F" w14:textId="0D6ACA13">
            <w:pPr>
              <w:jc w:val="center"/>
              <w:rPr>
                <w:color w:val="000000"/>
                <w:sz w:val="20"/>
              </w:rPr>
            </w:pPr>
            <w:r w:rsidRPr="00147379">
              <w:rPr>
                <w:color w:val="000000"/>
                <w:sz w:val="20"/>
              </w:rPr>
              <w:t xml:space="preserve"> and Estimates</w:t>
            </w:r>
          </w:p>
        </w:tc>
      </w:tr>
      <w:tr w14:paraId="650CAAAC" w14:textId="77777777" w:rsidTr="00F65308">
        <w:tblPrEx>
          <w:tblW w:w="5349" w:type="pct"/>
          <w:tblLayout w:type="fixed"/>
          <w:tblLook w:val="04A0"/>
        </w:tblPrEx>
        <w:trPr>
          <w:trHeight w:val="305"/>
        </w:trPr>
        <w:tc>
          <w:tcPr>
            <w:tcW w:w="5000" w:type="pct"/>
            <w:gridSpan w:val="8"/>
            <w:tcBorders>
              <w:top w:val="single" w:sz="4" w:space="0" w:color="auto"/>
              <w:left w:val="single" w:sz="4" w:space="0" w:color="auto"/>
              <w:bottom w:val="single" w:sz="4" w:space="0" w:color="auto"/>
              <w:right w:val="single" w:sz="4" w:space="0" w:color="auto"/>
            </w:tcBorders>
          </w:tcPr>
          <w:p w:rsidR="00B33B9A" w:rsidRPr="00147379" w:rsidP="00E95F92" w14:paraId="18A700CE" w14:textId="3042CBBA">
            <w:pPr>
              <w:rPr>
                <w:color w:val="000000"/>
                <w:sz w:val="20"/>
              </w:rPr>
            </w:pPr>
            <w:r w:rsidRPr="00147379">
              <w:rPr>
                <w:b/>
                <w:bCs/>
                <w:color w:val="000000"/>
                <w:sz w:val="20"/>
              </w:rPr>
              <w:t xml:space="preserve">FAST Act, Section 11405 </w:t>
            </w:r>
          </w:p>
        </w:tc>
      </w:tr>
      <w:tr w14:paraId="07853EC3" w14:textId="77777777" w:rsidTr="00F65308">
        <w:tblPrEx>
          <w:tblW w:w="5349" w:type="pct"/>
          <w:tblLayout w:type="fixed"/>
          <w:tblLook w:val="04A0"/>
        </w:tblPrEx>
        <w:trPr>
          <w:trHeight w:val="1430"/>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1AD414EA" w14:textId="77777777">
            <w:pPr>
              <w:rPr>
                <w:color w:val="000000"/>
                <w:sz w:val="20"/>
              </w:rPr>
            </w:pPr>
            <w:r w:rsidRPr="00147379">
              <w:rPr>
                <w:color w:val="000000"/>
                <w:sz w:val="20"/>
              </w:rPr>
              <w:t xml:space="preserve">—Written request or filing of Form FRA F 6180.167 “Bridge Inspection Report Public Version Request Form” by State or a political subdivision of a State </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55331166" w14:textId="77777777">
            <w:pPr>
              <w:jc w:val="center"/>
              <w:rPr>
                <w:color w:val="000000"/>
                <w:sz w:val="20"/>
              </w:rPr>
            </w:pPr>
            <w:r w:rsidRPr="00147379">
              <w:rPr>
                <w:color w:val="000000"/>
                <w:sz w:val="20"/>
              </w:rPr>
              <w:t>50 States and DC and</w:t>
            </w:r>
          </w:p>
          <w:p w:rsidR="00147379" w:rsidRPr="00147379" w:rsidP="00147379" w14:paraId="232F5F55" w14:textId="77777777">
            <w:pPr>
              <w:jc w:val="center"/>
              <w:rPr>
                <w:color w:val="000000"/>
                <w:sz w:val="20"/>
              </w:rPr>
            </w:pPr>
            <w:r w:rsidRPr="00147379">
              <w:rPr>
                <w:color w:val="000000"/>
                <w:sz w:val="20"/>
              </w:rPr>
              <w:t xml:space="preserve"> 200 State political subdivisions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6B68FB38" w14:textId="77777777">
            <w:pPr>
              <w:jc w:val="center"/>
              <w:rPr>
                <w:color w:val="000000"/>
                <w:sz w:val="20"/>
              </w:rPr>
            </w:pPr>
            <w:r w:rsidRPr="00147379">
              <w:rPr>
                <w:color w:val="000000"/>
                <w:sz w:val="20"/>
              </w:rPr>
              <w:t>50</w:t>
            </w:r>
          </w:p>
          <w:p w:rsidR="00147379" w:rsidRPr="00147379" w:rsidP="00147379" w14:paraId="357A8E27" w14:textId="77777777">
            <w:pPr>
              <w:jc w:val="center"/>
              <w:rPr>
                <w:color w:val="000000"/>
                <w:sz w:val="20"/>
              </w:rPr>
            </w:pPr>
            <w:r w:rsidRPr="00147379">
              <w:rPr>
                <w:color w:val="000000"/>
                <w:sz w:val="20"/>
              </w:rPr>
              <w:t xml:space="preserve">forms </w:t>
            </w:r>
          </w:p>
          <w:p w:rsidR="00147379" w:rsidRPr="00147379" w:rsidP="00147379" w14:paraId="39AC3CEB" w14:textId="77777777">
            <w:pPr>
              <w:jc w:val="center"/>
              <w:rPr>
                <w:color w:val="000000"/>
                <w:sz w:val="20"/>
              </w:rPr>
            </w:pP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1FA9D98A" w14:textId="77777777">
            <w:pPr>
              <w:jc w:val="center"/>
              <w:rPr>
                <w:color w:val="000000"/>
                <w:sz w:val="20"/>
              </w:rPr>
            </w:pPr>
            <w:r w:rsidRPr="00147379">
              <w:rPr>
                <w:color w:val="000000"/>
                <w:sz w:val="20"/>
              </w:rPr>
              <w:t>5</w:t>
            </w:r>
          </w:p>
          <w:p w:rsidR="00147379" w:rsidRPr="00147379" w:rsidP="00147379" w14:paraId="520B58A0" w14:textId="77777777">
            <w:pPr>
              <w:jc w:val="center"/>
              <w:rPr>
                <w:color w:val="000000"/>
                <w:sz w:val="20"/>
              </w:rPr>
            </w:pPr>
            <w:r w:rsidRPr="00147379">
              <w:rPr>
                <w:color w:val="000000"/>
                <w:sz w:val="20"/>
              </w:rPr>
              <w:t>minutes</w:t>
            </w:r>
          </w:p>
        </w:tc>
        <w:tc>
          <w:tcPr>
            <w:tcW w:w="422" w:type="pct"/>
            <w:tcBorders>
              <w:top w:val="single" w:sz="4" w:space="0" w:color="auto"/>
              <w:left w:val="single" w:sz="4" w:space="0" w:color="auto"/>
              <w:bottom w:val="single" w:sz="4" w:space="0" w:color="auto"/>
              <w:right w:val="single" w:sz="4" w:space="0" w:color="auto"/>
            </w:tcBorders>
          </w:tcPr>
          <w:p w:rsidR="00147379" w:rsidRPr="00147379" w:rsidP="00147379" w14:paraId="1853D5A2" w14:textId="77777777">
            <w:pPr>
              <w:jc w:val="center"/>
              <w:rPr>
                <w:color w:val="000000"/>
                <w:sz w:val="20"/>
              </w:rPr>
            </w:pPr>
            <w:r w:rsidRPr="00147379">
              <w:rPr>
                <w:color w:val="000000"/>
                <w:sz w:val="20"/>
              </w:rPr>
              <w:t>4.17</w:t>
            </w:r>
          </w:p>
          <w:p w:rsidR="00147379" w:rsidRPr="00147379" w:rsidP="00147379" w14:paraId="633763B8"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5EF968B4" w14:textId="77777777">
            <w:pPr>
              <w:jc w:val="center"/>
              <w:rPr>
                <w:color w:val="000000"/>
                <w:sz w:val="20"/>
              </w:rPr>
            </w:pPr>
            <w:r w:rsidRPr="00147379">
              <w:rPr>
                <w:color w:val="000000"/>
                <w:sz w:val="20"/>
              </w:rPr>
              <w:t>$101.75</w:t>
            </w:r>
            <w:r>
              <w:rPr>
                <w:color w:val="000000"/>
                <w:sz w:val="20"/>
                <w:vertAlign w:val="superscript"/>
              </w:rPr>
              <w:footnoteReference w:id="9"/>
            </w:r>
          </w:p>
        </w:tc>
        <w:tc>
          <w:tcPr>
            <w:tcW w:w="520" w:type="pct"/>
            <w:tcBorders>
              <w:top w:val="single" w:sz="4" w:space="0" w:color="auto"/>
              <w:left w:val="single" w:sz="4" w:space="0" w:color="auto"/>
              <w:bottom w:val="single" w:sz="4" w:space="0" w:color="auto"/>
              <w:right w:val="single" w:sz="4" w:space="0" w:color="auto"/>
            </w:tcBorders>
          </w:tcPr>
          <w:p w:rsidR="00147379" w:rsidRPr="00147379" w:rsidP="00CD0D7D" w14:paraId="21329995" w14:textId="77777777">
            <w:pPr>
              <w:jc w:val="center"/>
              <w:rPr>
                <w:color w:val="000000"/>
                <w:sz w:val="20"/>
              </w:rPr>
            </w:pPr>
            <w:r w:rsidRPr="00147379">
              <w:rPr>
                <w:color w:val="000000"/>
                <w:sz w:val="20"/>
              </w:rPr>
              <w:t>$424.40</w:t>
            </w:r>
          </w:p>
          <w:p w:rsidR="00147379" w:rsidRPr="00147379" w:rsidP="00CD0D7D" w14:paraId="2D3ABAF4" w14:textId="77777777">
            <w:pPr>
              <w:jc w:val="center"/>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4122E39B" w14:textId="77777777">
            <w:pPr>
              <w:rPr>
                <w:color w:val="000000"/>
                <w:sz w:val="20"/>
              </w:rPr>
            </w:pPr>
            <w:r w:rsidRPr="00147379">
              <w:rPr>
                <w:color w:val="000000"/>
                <w:sz w:val="20"/>
              </w:rPr>
              <w:t>FRA developed form FRA F 6180.167 to facilitate requests by States and their political subdivisions.</w:t>
            </w:r>
          </w:p>
          <w:p w:rsidR="00147379" w:rsidRPr="00147379" w:rsidP="00147379" w14:paraId="7282774A" w14:textId="77777777">
            <w:pPr>
              <w:rPr>
                <w:color w:val="000000"/>
                <w:sz w:val="20"/>
              </w:rPr>
            </w:pPr>
          </w:p>
          <w:p w:rsidR="00147379" w:rsidRPr="00147379" w:rsidP="00147379" w14:paraId="122744C0" w14:textId="77777777">
            <w:pPr>
              <w:rPr>
                <w:color w:val="000000"/>
                <w:sz w:val="20"/>
              </w:rPr>
            </w:pPr>
          </w:p>
        </w:tc>
      </w:tr>
      <w:tr w14:paraId="0E606F47" w14:textId="77777777" w:rsidTr="00CD0D7D">
        <w:tblPrEx>
          <w:tblW w:w="5349" w:type="pct"/>
          <w:tblLayout w:type="fixed"/>
          <w:tblLook w:val="04A0"/>
        </w:tblPrEx>
        <w:trPr>
          <w:trHeight w:val="800"/>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1DC57D7B" w14:textId="3BE73D86">
            <w:pPr>
              <w:rPr>
                <w:color w:val="000000"/>
                <w:sz w:val="20"/>
              </w:rPr>
            </w:pPr>
            <w:r w:rsidRPr="00147379">
              <w:rPr>
                <w:color w:val="000000"/>
                <w:sz w:val="20"/>
              </w:rPr>
              <w:t>—Submission of public version of bridge inspection report from railroads to FRA</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3C6BABD4" w14:textId="77777777">
            <w:pPr>
              <w:jc w:val="center"/>
              <w:rPr>
                <w:color w:val="000000"/>
                <w:sz w:val="20"/>
              </w:rPr>
            </w:pPr>
            <w:r w:rsidRPr="00147379">
              <w:rPr>
                <w:color w:val="000000"/>
                <w:sz w:val="20"/>
              </w:rPr>
              <w:t xml:space="preserve">754 </w:t>
            </w:r>
          </w:p>
          <w:p w:rsidR="00147379" w:rsidRPr="00147379" w:rsidP="00147379" w14:paraId="09ABBD2F" w14:textId="77777777">
            <w:pPr>
              <w:jc w:val="center"/>
              <w:rPr>
                <w:color w:val="000000"/>
                <w:sz w:val="20"/>
              </w:rPr>
            </w:pPr>
            <w:r w:rsidRPr="00147379">
              <w:rPr>
                <w:color w:val="000000"/>
                <w:sz w:val="20"/>
              </w:rPr>
              <w:t>railroads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1C856D66" w14:textId="77777777">
            <w:pPr>
              <w:jc w:val="center"/>
              <w:rPr>
                <w:color w:val="000000"/>
                <w:sz w:val="20"/>
              </w:rPr>
            </w:pPr>
            <w:r w:rsidRPr="6B389E48">
              <w:rPr>
                <w:color w:val="000000" w:themeColor="text1"/>
                <w:sz w:val="20"/>
              </w:rPr>
              <w:t>47</w:t>
            </w:r>
          </w:p>
          <w:p w:rsidR="00147379" w:rsidRPr="00147379" w:rsidP="00147379" w14:paraId="45C293CF" w14:textId="15C08F1F">
            <w:pPr>
              <w:jc w:val="center"/>
              <w:rPr>
                <w:color w:val="000000"/>
                <w:sz w:val="20"/>
              </w:rPr>
            </w:pPr>
            <w:r w:rsidRPr="6B389E48">
              <w:rPr>
                <w:color w:val="000000" w:themeColor="text1"/>
                <w:sz w:val="20"/>
              </w:rPr>
              <w:t>reports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54AD370D" w14:textId="77777777">
            <w:pPr>
              <w:jc w:val="center"/>
              <w:rPr>
                <w:color w:val="000000"/>
                <w:sz w:val="20"/>
              </w:rPr>
            </w:pPr>
            <w:r w:rsidRPr="00147379">
              <w:rPr>
                <w:color w:val="000000"/>
                <w:sz w:val="20"/>
              </w:rPr>
              <w:t>1</w:t>
            </w:r>
          </w:p>
          <w:p w:rsidR="00147379" w:rsidRPr="00147379" w:rsidP="00147379" w14:paraId="1425D92C" w14:textId="77777777">
            <w:pPr>
              <w:jc w:val="center"/>
              <w:rPr>
                <w:color w:val="000000"/>
                <w:sz w:val="20"/>
              </w:rPr>
            </w:pPr>
            <w:r w:rsidRPr="00147379">
              <w:rPr>
                <w:color w:val="000000"/>
                <w:sz w:val="20"/>
              </w:rPr>
              <w:t>hour</w:t>
            </w:r>
          </w:p>
        </w:tc>
        <w:tc>
          <w:tcPr>
            <w:tcW w:w="422" w:type="pct"/>
            <w:tcBorders>
              <w:top w:val="single" w:sz="4" w:space="0" w:color="auto"/>
              <w:left w:val="single" w:sz="4" w:space="0" w:color="auto"/>
              <w:bottom w:val="single" w:sz="4" w:space="0" w:color="auto"/>
              <w:right w:val="single" w:sz="4" w:space="0" w:color="auto"/>
            </w:tcBorders>
          </w:tcPr>
          <w:p w:rsidR="00147379" w:rsidRPr="00147379" w:rsidP="00147379" w14:paraId="0B093299" w14:textId="77777777">
            <w:pPr>
              <w:jc w:val="center"/>
              <w:rPr>
                <w:color w:val="000000"/>
                <w:sz w:val="20"/>
              </w:rPr>
            </w:pPr>
            <w:r w:rsidRPr="00147379">
              <w:rPr>
                <w:color w:val="000000"/>
                <w:sz w:val="20"/>
              </w:rPr>
              <w:t>47</w:t>
            </w:r>
          </w:p>
          <w:p w:rsidR="00147379" w:rsidRPr="00147379" w:rsidP="00147379" w14:paraId="7AE6C13D"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01904111"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tcPr>
          <w:p w:rsidR="00147379" w:rsidRPr="00147379" w:rsidP="00CD0D7D" w14:paraId="161CDF0D" w14:textId="77777777">
            <w:pPr>
              <w:jc w:val="center"/>
              <w:rPr>
                <w:color w:val="000000"/>
                <w:sz w:val="20"/>
              </w:rPr>
            </w:pPr>
            <w:r w:rsidRPr="00147379">
              <w:rPr>
                <w:color w:val="000000"/>
                <w:sz w:val="20"/>
              </w:rPr>
              <w:t>$4,189.11</w:t>
            </w:r>
          </w:p>
          <w:p w:rsidR="00147379" w:rsidRPr="00147379" w:rsidP="00147379" w14:paraId="6CA5C033"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2DCB5F00" w14:textId="77777777">
            <w:pPr>
              <w:rPr>
                <w:color w:val="000000"/>
                <w:sz w:val="20"/>
              </w:rPr>
            </w:pPr>
            <w:r w:rsidRPr="00147379">
              <w:rPr>
                <w:color w:val="000000"/>
                <w:sz w:val="20"/>
              </w:rPr>
              <w:t xml:space="preserve">Upon agency request, FRA estimates that it will take about an hour to complete each form/written request.  </w:t>
            </w:r>
          </w:p>
        </w:tc>
      </w:tr>
      <w:tr w14:paraId="7A4B00F0" w14:textId="77777777" w:rsidTr="00F65308">
        <w:tblPrEx>
          <w:tblW w:w="5349" w:type="pct"/>
          <w:tblLayout w:type="fixed"/>
          <w:tblLook w:val="04A0"/>
        </w:tblPrEx>
        <w:trPr>
          <w:trHeight w:val="323"/>
        </w:trPr>
        <w:tc>
          <w:tcPr>
            <w:tcW w:w="5000" w:type="pct"/>
            <w:gridSpan w:val="8"/>
          </w:tcPr>
          <w:p w:rsidR="002B7FD6" w:rsidRPr="00147379" w:rsidP="00147379" w14:paraId="6494C70D" w14:textId="0AF0D2E9">
            <w:pPr>
              <w:rPr>
                <w:color w:val="000000"/>
                <w:sz w:val="20"/>
              </w:rPr>
            </w:pPr>
            <w:r w:rsidRPr="00147379">
              <w:rPr>
                <w:b/>
                <w:bCs/>
                <w:color w:val="000000"/>
                <w:sz w:val="20"/>
              </w:rPr>
              <w:t>214.105 Fall protection systems standards and practices</w:t>
            </w:r>
          </w:p>
        </w:tc>
      </w:tr>
      <w:tr w14:paraId="2717096C" w14:textId="77777777" w:rsidTr="00F65308">
        <w:tblPrEx>
          <w:tblW w:w="5349" w:type="pct"/>
          <w:tblLayout w:type="fixed"/>
          <w:tblLook w:val="04A0"/>
        </w:tblPrEx>
        <w:trPr>
          <w:trHeight w:val="980"/>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6ACABDE1" w14:textId="1E2E852F">
            <w:pPr>
              <w:rPr>
                <w:color w:val="000000"/>
                <w:sz w:val="20"/>
              </w:rPr>
            </w:pPr>
            <w:r w:rsidRPr="00147379">
              <w:rPr>
                <w:color w:val="000000"/>
                <w:sz w:val="20"/>
              </w:rPr>
              <w:t>—(c)(4) Safety net systems certification records</w:t>
            </w:r>
            <w:r>
              <w:rPr>
                <w:rStyle w:val="FootnoteReference"/>
                <w:color w:val="000000"/>
                <w:sz w:val="20"/>
              </w:rPr>
              <w:footnoteReference w:id="10"/>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7EE34A4F" w14:textId="77777777">
            <w:pPr>
              <w:jc w:val="center"/>
              <w:rPr>
                <w:color w:val="000000"/>
                <w:sz w:val="20"/>
              </w:rPr>
            </w:pPr>
            <w:r w:rsidRPr="00147379">
              <w:rPr>
                <w:color w:val="000000"/>
                <w:sz w:val="20"/>
              </w:rPr>
              <w:t xml:space="preserve">754 </w:t>
            </w:r>
          </w:p>
          <w:p w:rsidR="00147379" w:rsidRPr="00147379" w:rsidP="00147379" w14:paraId="70A6B65A" w14:textId="77777777">
            <w:pPr>
              <w:jc w:val="center"/>
              <w:rPr>
                <w:color w:val="000000"/>
                <w:sz w:val="20"/>
              </w:rPr>
            </w:pPr>
            <w:r w:rsidRPr="00147379">
              <w:rPr>
                <w:color w:val="000000"/>
                <w:sz w:val="20"/>
              </w:rPr>
              <w:t>railroads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46AE8C10" w14:textId="77777777">
            <w:pPr>
              <w:jc w:val="center"/>
              <w:rPr>
                <w:color w:val="000000"/>
                <w:sz w:val="20"/>
              </w:rPr>
            </w:pPr>
            <w:r w:rsidRPr="00147379">
              <w:rPr>
                <w:color w:val="000000"/>
                <w:sz w:val="20"/>
              </w:rPr>
              <w:t>3</w:t>
            </w:r>
          </w:p>
          <w:p w:rsidR="00147379" w:rsidRPr="00147379" w:rsidP="00147379" w14:paraId="314014E9" w14:textId="77777777">
            <w:pPr>
              <w:jc w:val="center"/>
              <w:rPr>
                <w:color w:val="000000"/>
                <w:sz w:val="20"/>
              </w:rPr>
            </w:pPr>
            <w:r w:rsidRPr="00147379">
              <w:rPr>
                <w:color w:val="000000"/>
                <w:sz w:val="20"/>
              </w:rPr>
              <w:t>certification records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026EF2FC" w14:textId="77777777">
            <w:pPr>
              <w:jc w:val="center"/>
              <w:rPr>
                <w:color w:val="000000"/>
                <w:sz w:val="20"/>
              </w:rPr>
            </w:pPr>
            <w:r w:rsidRPr="00147379">
              <w:rPr>
                <w:color w:val="000000"/>
                <w:sz w:val="20"/>
              </w:rPr>
              <w:t>5</w:t>
            </w:r>
          </w:p>
          <w:p w:rsidR="00147379" w:rsidRPr="00147379" w:rsidP="00147379" w14:paraId="756C53D5" w14:textId="77777777">
            <w:pPr>
              <w:jc w:val="center"/>
              <w:rPr>
                <w:color w:val="000000"/>
                <w:sz w:val="20"/>
              </w:rPr>
            </w:pPr>
            <w:r w:rsidRPr="00147379">
              <w:rPr>
                <w:color w:val="000000"/>
                <w:sz w:val="20"/>
              </w:rPr>
              <w:t>minutes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57D90B9D" w14:textId="77777777">
            <w:pPr>
              <w:jc w:val="center"/>
              <w:rPr>
                <w:color w:val="000000"/>
                <w:sz w:val="20"/>
              </w:rPr>
            </w:pPr>
            <w:r w:rsidRPr="00147379">
              <w:rPr>
                <w:color w:val="000000"/>
                <w:sz w:val="20"/>
              </w:rPr>
              <w:t>0.25</w:t>
            </w:r>
          </w:p>
          <w:p w:rsidR="00147379" w:rsidRPr="00147379" w:rsidP="00147379" w14:paraId="3C9F72E8"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4C080533"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6ABC43FA" w14:textId="77777777">
            <w:pPr>
              <w:jc w:val="center"/>
              <w:rPr>
                <w:color w:val="000000"/>
                <w:sz w:val="20"/>
              </w:rPr>
            </w:pPr>
            <w:r w:rsidRPr="00147379">
              <w:rPr>
                <w:color w:val="000000"/>
                <w:sz w:val="20"/>
              </w:rPr>
              <w:t>$22.28</w:t>
            </w:r>
          </w:p>
          <w:p w:rsidR="00147379" w:rsidRPr="00147379" w:rsidP="00147379" w14:paraId="5388AE7A"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3D9A644C" w14:textId="1D173A16">
            <w:pPr>
              <w:rPr>
                <w:color w:val="000000"/>
                <w:sz w:val="20"/>
              </w:rPr>
            </w:pPr>
            <w:r w:rsidRPr="00147379">
              <w:rPr>
                <w:color w:val="000000"/>
                <w:sz w:val="20"/>
              </w:rPr>
              <w:t>This section establishes standards and practices for safety net systems. Safety nets and net installations must be drop</w:t>
            </w:r>
            <w:r w:rsidR="009B0346">
              <w:rPr>
                <w:color w:val="000000"/>
                <w:sz w:val="20"/>
              </w:rPr>
              <w:t>-</w:t>
            </w:r>
            <w:r w:rsidRPr="00147379">
              <w:rPr>
                <w:color w:val="000000"/>
                <w:sz w:val="20"/>
              </w:rPr>
              <w:t>tested at the job site after initial installation and before being used as a fall-protection system, after major repairs, and at 6-month intervals if left at one site.  If a drop-test is not feasible and is not performed, then the railroad, railroad contractor, or a designated certified person must provide written certification the net complies with the safety standards under § 214.105.</w:t>
            </w:r>
          </w:p>
        </w:tc>
      </w:tr>
      <w:tr w14:paraId="529BF8FB" w14:textId="77777777" w:rsidTr="00F65308">
        <w:tblPrEx>
          <w:tblW w:w="5349" w:type="pct"/>
          <w:tblLayout w:type="fixed"/>
          <w:tblLook w:val="04A0"/>
        </w:tblPrEx>
        <w:trPr>
          <w:trHeight w:val="314"/>
        </w:trPr>
        <w:tc>
          <w:tcPr>
            <w:tcW w:w="5000" w:type="pct"/>
            <w:gridSpan w:val="8"/>
          </w:tcPr>
          <w:p w:rsidR="002B7FD6" w:rsidRPr="00147379" w:rsidP="00147379" w14:paraId="77680591" w14:textId="62B3C855">
            <w:pPr>
              <w:rPr>
                <w:color w:val="000000"/>
                <w:sz w:val="20"/>
              </w:rPr>
            </w:pPr>
            <w:r w:rsidRPr="00147379">
              <w:rPr>
                <w:b/>
                <w:bCs/>
                <w:color w:val="000000"/>
                <w:sz w:val="20"/>
              </w:rPr>
              <w:t>237.3 Responsibility for compliance</w:t>
            </w:r>
          </w:p>
        </w:tc>
      </w:tr>
      <w:tr w14:paraId="22578873" w14:textId="77777777" w:rsidTr="00F65308">
        <w:tblPrEx>
          <w:tblW w:w="5349" w:type="pct"/>
          <w:tblLayout w:type="fixed"/>
          <w:tblLook w:val="04A0"/>
        </w:tblPrEx>
        <w:trPr>
          <w:trHeight w:val="1056"/>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630D67C8" w14:textId="77777777">
            <w:pPr>
              <w:rPr>
                <w:color w:val="000000"/>
                <w:sz w:val="20"/>
              </w:rPr>
            </w:pPr>
            <w:r w:rsidRPr="00147379">
              <w:rPr>
                <w:color w:val="000000"/>
                <w:sz w:val="20"/>
              </w:rPr>
              <w:t>—(b) Notifications to FRA of assignment of bridge responsibility and signed statement by assignee concerning bridge responsibility</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145343F1" w14:textId="77777777">
            <w:pPr>
              <w:jc w:val="center"/>
              <w:rPr>
                <w:color w:val="000000"/>
                <w:sz w:val="20"/>
              </w:rPr>
            </w:pPr>
            <w:r w:rsidRPr="00147379">
              <w:rPr>
                <w:color w:val="000000"/>
                <w:sz w:val="20"/>
              </w:rPr>
              <w:t>784</w:t>
            </w:r>
          </w:p>
          <w:p w:rsidR="00147379" w:rsidRPr="00147379" w:rsidP="00147379" w14:paraId="596237AF"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27FF2B30" w14:textId="77777777">
            <w:pPr>
              <w:jc w:val="center"/>
              <w:rPr>
                <w:color w:val="000000"/>
                <w:sz w:val="20"/>
              </w:rPr>
            </w:pPr>
            <w:r w:rsidRPr="00147379">
              <w:rPr>
                <w:color w:val="000000"/>
                <w:sz w:val="20"/>
              </w:rPr>
              <w:t xml:space="preserve">10 </w:t>
            </w:r>
          </w:p>
          <w:p w:rsidR="00147379" w:rsidRPr="00147379" w:rsidP="00147379" w14:paraId="03289886" w14:textId="77777777">
            <w:pPr>
              <w:jc w:val="center"/>
              <w:rPr>
                <w:color w:val="000000"/>
                <w:sz w:val="20"/>
              </w:rPr>
            </w:pPr>
            <w:r w:rsidRPr="00147379">
              <w:rPr>
                <w:color w:val="000000"/>
                <w:sz w:val="20"/>
              </w:rPr>
              <w:t>notifications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476FF61D" w14:textId="77777777">
            <w:pPr>
              <w:jc w:val="center"/>
              <w:rPr>
                <w:color w:val="000000"/>
                <w:sz w:val="20"/>
              </w:rPr>
            </w:pPr>
            <w:r w:rsidRPr="00147379">
              <w:rPr>
                <w:color w:val="000000"/>
                <w:sz w:val="20"/>
              </w:rPr>
              <w:t>2</w:t>
            </w:r>
          </w:p>
          <w:p w:rsidR="00147379" w:rsidRPr="00147379" w:rsidP="00147379" w14:paraId="2D41A189" w14:textId="77777777">
            <w:pPr>
              <w:jc w:val="center"/>
              <w:rPr>
                <w:color w:val="000000"/>
                <w:sz w:val="20"/>
              </w:rPr>
            </w:pPr>
            <w:r w:rsidRPr="00147379">
              <w:rPr>
                <w:color w:val="000000"/>
                <w:sz w:val="20"/>
              </w:rPr>
              <w:t>hours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49DEDDEF" w14:textId="77777777">
            <w:pPr>
              <w:jc w:val="center"/>
              <w:rPr>
                <w:color w:val="000000"/>
                <w:sz w:val="20"/>
              </w:rPr>
            </w:pPr>
            <w:r w:rsidRPr="00147379">
              <w:rPr>
                <w:color w:val="000000"/>
                <w:sz w:val="20"/>
              </w:rPr>
              <w:t>20</w:t>
            </w:r>
          </w:p>
          <w:p w:rsidR="00147379" w:rsidRPr="00147379" w:rsidP="00147379" w14:paraId="05F4F983"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2214C858"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1256A2D3" w14:textId="77777777">
            <w:pPr>
              <w:jc w:val="center"/>
              <w:rPr>
                <w:color w:val="000000"/>
                <w:sz w:val="20"/>
              </w:rPr>
            </w:pPr>
            <w:r w:rsidRPr="00147379">
              <w:rPr>
                <w:color w:val="000000"/>
                <w:sz w:val="20"/>
              </w:rPr>
              <w:t>$1,782.60</w:t>
            </w:r>
          </w:p>
          <w:p w:rsidR="00147379" w:rsidRPr="00147379" w:rsidP="00147379" w14:paraId="20B13DBD"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4A9A4145" w14:textId="1432CA9F">
            <w:pPr>
              <w:rPr>
                <w:color w:val="000000"/>
                <w:sz w:val="20"/>
              </w:rPr>
            </w:pPr>
            <w:r w:rsidRPr="6B389E48">
              <w:rPr>
                <w:color w:val="000000" w:themeColor="text1"/>
                <w:sz w:val="20"/>
              </w:rPr>
              <w:t xml:space="preserve">If a track owner to which part 237 applies assigns responsibility for the bridges that carry the track to another person (by lease or otherwise), written notification of the assignment shall be provided to the FRA </w:t>
            </w:r>
            <w:r w:rsidRPr="6B389E48" w:rsidR="3FABDB91">
              <w:rPr>
                <w:color w:val="000000" w:themeColor="text1"/>
                <w:sz w:val="20"/>
              </w:rPr>
              <w:t>Track and Structures Division</w:t>
            </w:r>
            <w:r w:rsidRPr="6B389E48">
              <w:rPr>
                <w:color w:val="000000" w:themeColor="text1"/>
                <w:sz w:val="20"/>
              </w:rPr>
              <w:t xml:space="preserve"> at least 30 days in advance of the assignment.  The notification may be made by any party to that assignment but shall be in writing.</w:t>
            </w:r>
          </w:p>
        </w:tc>
      </w:tr>
      <w:tr w14:paraId="0B20E111" w14:textId="77777777" w:rsidTr="00F65308">
        <w:tblPrEx>
          <w:tblW w:w="5349" w:type="pct"/>
          <w:tblLayout w:type="fixed"/>
          <w:tblLook w:val="04A0"/>
        </w:tblPrEx>
        <w:trPr>
          <w:trHeight w:val="278"/>
        </w:trPr>
        <w:tc>
          <w:tcPr>
            <w:tcW w:w="5000" w:type="pct"/>
            <w:gridSpan w:val="8"/>
          </w:tcPr>
          <w:p w:rsidR="002B7FD6" w:rsidRPr="00147379" w:rsidP="00147379" w14:paraId="75FAB80A" w14:textId="0E7AA2F3">
            <w:pPr>
              <w:rPr>
                <w:color w:val="000000"/>
                <w:sz w:val="20"/>
              </w:rPr>
            </w:pPr>
            <w:r w:rsidRPr="00147379">
              <w:rPr>
                <w:b/>
                <w:bCs/>
                <w:color w:val="000000"/>
                <w:sz w:val="20"/>
              </w:rPr>
              <w:t>237.9 Waivers</w:t>
            </w:r>
          </w:p>
        </w:tc>
      </w:tr>
      <w:tr w14:paraId="552913DC" w14:textId="77777777" w:rsidTr="00F65308">
        <w:tblPrEx>
          <w:tblW w:w="5349" w:type="pct"/>
          <w:tblLayout w:type="fixed"/>
          <w:tblLook w:val="04A0"/>
        </w:tblPrEx>
        <w:trPr>
          <w:trHeight w:val="494"/>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18C42CAA" w14:textId="77777777">
            <w:pPr>
              <w:rPr>
                <w:color w:val="000000"/>
                <w:sz w:val="20"/>
              </w:rPr>
            </w:pPr>
            <w:r w:rsidRPr="00147379">
              <w:rPr>
                <w:color w:val="000000"/>
                <w:sz w:val="20"/>
              </w:rPr>
              <w:t>— Waiver petitions</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38F22B8F" w14:textId="77777777">
            <w:pPr>
              <w:jc w:val="center"/>
              <w:rPr>
                <w:color w:val="000000"/>
                <w:sz w:val="20"/>
              </w:rPr>
            </w:pPr>
            <w:r w:rsidRPr="00147379">
              <w:rPr>
                <w:color w:val="000000"/>
                <w:sz w:val="20"/>
              </w:rPr>
              <w:t>784</w:t>
            </w:r>
          </w:p>
          <w:p w:rsidR="00147379" w:rsidRPr="00147379" w:rsidP="00147379" w14:paraId="3D7DD076"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1EB30B99" w14:textId="77777777">
            <w:pPr>
              <w:jc w:val="center"/>
              <w:rPr>
                <w:color w:val="000000"/>
                <w:sz w:val="20"/>
              </w:rPr>
            </w:pPr>
            <w:r w:rsidRPr="00147379">
              <w:rPr>
                <w:color w:val="000000"/>
                <w:sz w:val="20"/>
              </w:rPr>
              <w:t>0.33</w:t>
            </w:r>
          </w:p>
          <w:p w:rsidR="00147379" w:rsidRPr="00147379" w:rsidP="00147379" w14:paraId="55D0A00F" w14:textId="77777777">
            <w:pPr>
              <w:jc w:val="center"/>
              <w:rPr>
                <w:color w:val="000000"/>
                <w:sz w:val="20"/>
              </w:rPr>
            </w:pPr>
            <w:r w:rsidRPr="00147379">
              <w:rPr>
                <w:color w:val="000000"/>
                <w:sz w:val="20"/>
              </w:rPr>
              <w:t>petitions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3F99311F" w14:textId="77777777">
            <w:pPr>
              <w:jc w:val="center"/>
              <w:rPr>
                <w:color w:val="000000"/>
                <w:sz w:val="20"/>
              </w:rPr>
            </w:pPr>
            <w:r w:rsidRPr="00147379">
              <w:rPr>
                <w:color w:val="000000"/>
                <w:sz w:val="20"/>
              </w:rPr>
              <w:t>4</w:t>
            </w:r>
          </w:p>
          <w:p w:rsidR="00147379" w:rsidRPr="00147379" w:rsidP="00147379" w14:paraId="72FE4BA6" w14:textId="77777777">
            <w:pPr>
              <w:jc w:val="center"/>
              <w:rPr>
                <w:color w:val="000000"/>
                <w:sz w:val="20"/>
              </w:rPr>
            </w:pPr>
            <w:r w:rsidRPr="00147379">
              <w:rPr>
                <w:color w:val="000000"/>
                <w:sz w:val="20"/>
              </w:rPr>
              <w:t>hours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20A913E5" w14:textId="77777777">
            <w:pPr>
              <w:jc w:val="center"/>
              <w:rPr>
                <w:color w:val="000000"/>
                <w:sz w:val="20"/>
              </w:rPr>
            </w:pPr>
            <w:r w:rsidRPr="00147379">
              <w:rPr>
                <w:color w:val="000000"/>
                <w:sz w:val="20"/>
              </w:rPr>
              <w:t>1.32</w:t>
            </w:r>
          </w:p>
          <w:p w:rsidR="00147379" w:rsidRPr="00147379" w:rsidP="00147379" w14:paraId="116D03F2"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1E3D26E5"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2B09D9B6" w14:textId="77777777">
            <w:pPr>
              <w:jc w:val="center"/>
              <w:rPr>
                <w:color w:val="000000"/>
                <w:sz w:val="20"/>
              </w:rPr>
            </w:pPr>
            <w:r w:rsidRPr="00147379">
              <w:rPr>
                <w:color w:val="000000"/>
                <w:sz w:val="20"/>
              </w:rPr>
              <w:t>$117.65</w:t>
            </w:r>
          </w:p>
          <w:p w:rsidR="00147379" w:rsidRPr="00147379" w:rsidP="00147379" w14:paraId="33F1EFA3"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638315DB" w14:textId="7B93E8DC">
            <w:pPr>
              <w:rPr>
                <w:color w:val="000000"/>
                <w:sz w:val="20"/>
              </w:rPr>
            </w:pPr>
            <w:r w:rsidRPr="00147379">
              <w:rPr>
                <w:color w:val="000000"/>
                <w:sz w:val="20"/>
              </w:rPr>
              <w:t xml:space="preserve">Any person subject to a requirement of part </w:t>
            </w:r>
            <w:r w:rsidR="003C219F">
              <w:rPr>
                <w:color w:val="000000"/>
                <w:sz w:val="20"/>
              </w:rPr>
              <w:t>237</w:t>
            </w:r>
            <w:r w:rsidRPr="00147379">
              <w:rPr>
                <w:color w:val="000000"/>
                <w:sz w:val="20"/>
              </w:rPr>
              <w:t xml:space="preserve"> may petition the Administrator </w:t>
            </w:r>
            <w:r w:rsidRPr="00147379">
              <w:rPr>
                <w:color w:val="000000"/>
                <w:sz w:val="20"/>
              </w:rPr>
              <w:t xml:space="preserve">for a waiver of compliance with such requirement. </w:t>
            </w:r>
          </w:p>
        </w:tc>
      </w:tr>
      <w:tr w14:paraId="1C2B1AEA" w14:textId="77777777" w:rsidTr="00F65308">
        <w:tblPrEx>
          <w:tblW w:w="5349" w:type="pct"/>
          <w:tblLayout w:type="fixed"/>
          <w:tblLook w:val="04A0"/>
        </w:tblPrEx>
        <w:trPr>
          <w:trHeight w:val="314"/>
        </w:trPr>
        <w:tc>
          <w:tcPr>
            <w:tcW w:w="5000" w:type="pct"/>
            <w:gridSpan w:val="8"/>
          </w:tcPr>
          <w:p w:rsidR="002B7FD6" w:rsidRPr="00147379" w:rsidP="00147379" w14:paraId="2D87EAF7" w14:textId="70EA6B11">
            <w:pPr>
              <w:rPr>
                <w:color w:val="000000"/>
                <w:sz w:val="20"/>
              </w:rPr>
            </w:pPr>
            <w:r w:rsidRPr="00147379">
              <w:rPr>
                <w:b/>
                <w:bCs/>
                <w:color w:val="000000"/>
                <w:sz w:val="20"/>
              </w:rPr>
              <w:t>237.31 Adoption of bridge management programs</w:t>
            </w:r>
          </w:p>
        </w:tc>
      </w:tr>
      <w:tr w14:paraId="5F92B284" w14:textId="77777777" w:rsidTr="00F65308">
        <w:tblPrEx>
          <w:tblW w:w="5349" w:type="pct"/>
          <w:tblLayout w:type="fixed"/>
          <w:tblLook w:val="04A0"/>
        </w:tblPrEx>
        <w:trPr>
          <w:trHeight w:val="530"/>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0E05B28E" w14:textId="709D1A09">
            <w:pPr>
              <w:rPr>
                <w:color w:val="000000"/>
                <w:sz w:val="20"/>
              </w:rPr>
            </w:pPr>
            <w:r w:rsidRPr="05A9E007">
              <w:rPr>
                <w:color w:val="000000" w:themeColor="text1"/>
                <w:sz w:val="20"/>
              </w:rPr>
              <w:t>—</w:t>
            </w:r>
            <w:r w:rsidRPr="05A9E007" w:rsidR="09EFE5EF">
              <w:rPr>
                <w:color w:val="000000" w:themeColor="text1"/>
                <w:sz w:val="20"/>
              </w:rPr>
              <w:t>N</w:t>
            </w:r>
            <w:r w:rsidRPr="05A9E007">
              <w:rPr>
                <w:color w:val="000000" w:themeColor="text1"/>
                <w:sz w:val="20"/>
              </w:rPr>
              <w:t>ew bridge management program</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0B9FA2E4" w14:textId="77777777">
            <w:pPr>
              <w:jc w:val="center"/>
              <w:rPr>
                <w:color w:val="000000"/>
                <w:sz w:val="20"/>
              </w:rPr>
            </w:pPr>
            <w:r w:rsidRPr="00147379">
              <w:rPr>
                <w:color w:val="000000"/>
                <w:sz w:val="20"/>
              </w:rPr>
              <w:t>784</w:t>
            </w:r>
          </w:p>
          <w:p w:rsidR="00147379" w:rsidRPr="00147379" w:rsidP="00147379" w14:paraId="0638CC3D"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4BFFF79B" w14:textId="77777777">
            <w:pPr>
              <w:jc w:val="center"/>
              <w:rPr>
                <w:color w:val="000000"/>
                <w:sz w:val="20"/>
              </w:rPr>
            </w:pPr>
            <w:r w:rsidRPr="00147379">
              <w:rPr>
                <w:color w:val="000000"/>
                <w:sz w:val="20"/>
              </w:rPr>
              <w:t>15</w:t>
            </w:r>
          </w:p>
          <w:p w:rsidR="00147379" w:rsidRPr="00147379" w:rsidP="00147379" w14:paraId="35CADF09" w14:textId="77AD8615">
            <w:pPr>
              <w:jc w:val="center"/>
              <w:rPr>
                <w:color w:val="000000"/>
                <w:sz w:val="20"/>
              </w:rPr>
            </w:pPr>
            <w:r w:rsidRPr="37FEFDF3">
              <w:rPr>
                <w:color w:val="000000" w:themeColor="text1"/>
                <w:sz w:val="20"/>
              </w:rPr>
              <w:t xml:space="preserve">new </w:t>
            </w:r>
            <w:r w:rsidRPr="37FEFDF3">
              <w:rPr>
                <w:color w:val="000000" w:themeColor="text1"/>
                <w:sz w:val="20"/>
              </w:rPr>
              <w:t>programs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42DB1B0F" w14:textId="77777777">
            <w:pPr>
              <w:jc w:val="center"/>
              <w:rPr>
                <w:color w:val="000000"/>
                <w:sz w:val="20"/>
              </w:rPr>
            </w:pPr>
            <w:r w:rsidRPr="00147379">
              <w:rPr>
                <w:color w:val="000000"/>
                <w:sz w:val="20"/>
              </w:rPr>
              <w:t>24</w:t>
            </w:r>
          </w:p>
          <w:p w:rsidR="00147379" w:rsidRPr="00147379" w:rsidP="00147379" w14:paraId="6AA9F087" w14:textId="77777777">
            <w:pPr>
              <w:jc w:val="center"/>
              <w:rPr>
                <w:color w:val="000000"/>
                <w:sz w:val="20"/>
              </w:rPr>
            </w:pPr>
            <w:r w:rsidRPr="00147379">
              <w:rPr>
                <w:color w:val="000000"/>
                <w:sz w:val="20"/>
              </w:rPr>
              <w:t>hours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147D6255" w14:textId="77777777">
            <w:pPr>
              <w:jc w:val="center"/>
              <w:rPr>
                <w:color w:val="000000"/>
                <w:sz w:val="20"/>
              </w:rPr>
            </w:pPr>
            <w:r w:rsidRPr="00147379">
              <w:rPr>
                <w:color w:val="000000"/>
                <w:sz w:val="20"/>
              </w:rPr>
              <w:t>360</w:t>
            </w:r>
          </w:p>
          <w:p w:rsidR="00147379" w:rsidRPr="00147379" w:rsidP="00147379" w14:paraId="293210F3"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00C10B5B"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tcPr>
          <w:p w:rsidR="00147379" w:rsidRPr="00147379" w:rsidP="00CD0D7D" w14:paraId="08DD43B5" w14:textId="77777777">
            <w:pPr>
              <w:jc w:val="center"/>
              <w:rPr>
                <w:color w:val="000000"/>
                <w:sz w:val="20"/>
              </w:rPr>
            </w:pPr>
            <w:r w:rsidRPr="00147379">
              <w:rPr>
                <w:color w:val="000000"/>
                <w:sz w:val="20"/>
              </w:rPr>
              <w:t>$32,086.80</w:t>
            </w:r>
          </w:p>
          <w:p w:rsidR="00147379" w:rsidRPr="00147379" w:rsidP="00CD0D7D" w14:paraId="2B7B1939" w14:textId="77777777">
            <w:pPr>
              <w:jc w:val="center"/>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2C8373F7" w14:textId="77777777">
            <w:pPr>
              <w:rPr>
                <w:color w:val="000000"/>
                <w:sz w:val="20"/>
              </w:rPr>
            </w:pPr>
            <w:r w:rsidRPr="00147379">
              <w:rPr>
                <w:color w:val="000000"/>
                <w:sz w:val="20"/>
              </w:rPr>
              <w:t>Each track owner shall adopt a bridge safety management program to prevent the deterioration of railroad bridges by preserving their capability to safely carry the traffic to be operated over them, and reduce the risk of human casualties, environmental damage, and disruption to the Nation’s railroad transportation system that would result from a catastrophic bridge failure.</w:t>
            </w:r>
          </w:p>
          <w:p w:rsidR="00147379" w:rsidRPr="00147379" w:rsidP="00147379" w14:paraId="4A049B2A" w14:textId="77777777">
            <w:pPr>
              <w:rPr>
                <w:color w:val="000000"/>
                <w:sz w:val="20"/>
              </w:rPr>
            </w:pPr>
            <w:r w:rsidRPr="00147379">
              <w:rPr>
                <w:color w:val="000000"/>
                <w:sz w:val="20"/>
              </w:rPr>
              <w:t xml:space="preserve">Note:  The burden for 237.71 is included under this section. </w:t>
            </w:r>
          </w:p>
        </w:tc>
      </w:tr>
      <w:tr w14:paraId="7B1810C9" w14:textId="77777777" w:rsidTr="00F65308">
        <w:tblPrEx>
          <w:tblW w:w="5349" w:type="pct"/>
          <w:tblLayout w:type="fixed"/>
          <w:tblLook w:val="04A0"/>
        </w:tblPrEx>
        <w:trPr>
          <w:trHeight w:val="278"/>
        </w:trPr>
        <w:tc>
          <w:tcPr>
            <w:tcW w:w="5000" w:type="pct"/>
            <w:gridSpan w:val="8"/>
          </w:tcPr>
          <w:p w:rsidR="002B7FD6" w:rsidRPr="00147379" w:rsidP="00147379" w14:paraId="1EC25CD9" w14:textId="55FCC600">
            <w:pPr>
              <w:rPr>
                <w:color w:val="000000"/>
                <w:sz w:val="20"/>
              </w:rPr>
            </w:pPr>
            <w:r w:rsidRPr="5E652734">
              <w:rPr>
                <w:b/>
                <w:color w:val="000000" w:themeColor="text1"/>
                <w:sz w:val="20"/>
              </w:rPr>
              <w:t>237.57 Designation of individuals</w:t>
            </w:r>
          </w:p>
        </w:tc>
      </w:tr>
      <w:tr w14:paraId="58999E50" w14:textId="77777777" w:rsidTr="00F65308">
        <w:tblPrEx>
          <w:tblW w:w="5349" w:type="pct"/>
          <w:tblLayout w:type="fixed"/>
          <w:tblLook w:val="04A0"/>
        </w:tblPrEx>
        <w:trPr>
          <w:trHeight w:val="20"/>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79C3B7B6" w14:textId="77777777">
            <w:pPr>
              <w:rPr>
                <w:color w:val="000000"/>
                <w:sz w:val="20"/>
              </w:rPr>
            </w:pPr>
            <w:r w:rsidRPr="00147379">
              <w:rPr>
                <w:color w:val="000000"/>
                <w:sz w:val="20"/>
              </w:rPr>
              <w:t xml:space="preserve">—Designation of qualified railroad bridge engineers, inspectors and supervisors   </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646BC5F7" w14:textId="77777777">
            <w:pPr>
              <w:jc w:val="center"/>
              <w:rPr>
                <w:color w:val="000000"/>
                <w:sz w:val="20"/>
              </w:rPr>
            </w:pPr>
            <w:r w:rsidRPr="00147379">
              <w:rPr>
                <w:color w:val="000000"/>
                <w:sz w:val="20"/>
              </w:rPr>
              <w:t>784</w:t>
            </w:r>
          </w:p>
          <w:p w:rsidR="00147379" w:rsidRPr="00147379" w:rsidP="00147379" w14:paraId="15967085"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47676559" w14:textId="77777777">
            <w:pPr>
              <w:jc w:val="center"/>
              <w:rPr>
                <w:color w:val="000000"/>
                <w:sz w:val="20"/>
              </w:rPr>
            </w:pPr>
            <w:r w:rsidRPr="00147379">
              <w:rPr>
                <w:color w:val="000000"/>
                <w:sz w:val="20"/>
              </w:rPr>
              <w:t>200</w:t>
            </w:r>
          </w:p>
          <w:p w:rsidR="00147379" w:rsidRPr="00147379" w:rsidP="00147379" w14:paraId="64A7E8A9" w14:textId="77777777">
            <w:pPr>
              <w:jc w:val="center"/>
              <w:rPr>
                <w:color w:val="000000"/>
                <w:sz w:val="20"/>
              </w:rPr>
            </w:pPr>
            <w:r w:rsidRPr="00147379">
              <w:rPr>
                <w:color w:val="000000"/>
                <w:sz w:val="20"/>
              </w:rPr>
              <w:t>records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189599BA" w14:textId="77777777">
            <w:pPr>
              <w:jc w:val="center"/>
              <w:rPr>
                <w:color w:val="000000"/>
                <w:sz w:val="20"/>
              </w:rPr>
            </w:pPr>
            <w:r w:rsidRPr="00147379">
              <w:rPr>
                <w:color w:val="000000"/>
                <w:sz w:val="20"/>
              </w:rPr>
              <w:t>15 minutes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3E37317D" w14:textId="77777777">
            <w:pPr>
              <w:jc w:val="center"/>
              <w:rPr>
                <w:color w:val="000000"/>
                <w:sz w:val="20"/>
              </w:rPr>
            </w:pPr>
            <w:r w:rsidRPr="00147379">
              <w:rPr>
                <w:color w:val="000000"/>
                <w:sz w:val="20"/>
              </w:rPr>
              <w:t>50</w:t>
            </w:r>
          </w:p>
          <w:p w:rsidR="00147379" w:rsidRPr="00147379" w:rsidP="00147379" w14:paraId="667255BC"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4B4FF885"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55FDDD62" w14:textId="77777777">
            <w:pPr>
              <w:jc w:val="center"/>
              <w:rPr>
                <w:color w:val="000000"/>
                <w:sz w:val="20"/>
              </w:rPr>
            </w:pPr>
            <w:r w:rsidRPr="00147379">
              <w:rPr>
                <w:color w:val="000000"/>
                <w:sz w:val="20"/>
              </w:rPr>
              <w:t>$4,456.50</w:t>
            </w:r>
          </w:p>
          <w:p w:rsidR="00147379" w:rsidRPr="00147379" w:rsidP="00147379" w14:paraId="0722D4FE"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5E51C653" w14:textId="77777777">
            <w:pPr>
              <w:rPr>
                <w:color w:val="000000"/>
                <w:sz w:val="20"/>
              </w:rPr>
            </w:pPr>
            <w:r w:rsidRPr="00147379">
              <w:rPr>
                <w:color w:val="000000"/>
                <w:sz w:val="20"/>
              </w:rPr>
              <w:t>Each track owner shall designate those individuals qualified as railroad bridge engineers, railroad bridge inspectors, and railroad bridge supervisors.  Each individual designation shall include the basis for the designation in effect and shall be recorded.</w:t>
            </w:r>
          </w:p>
        </w:tc>
      </w:tr>
      <w:tr w14:paraId="6FC7E9C5" w14:textId="77777777" w:rsidTr="00F65308">
        <w:tblPrEx>
          <w:tblW w:w="5349" w:type="pct"/>
          <w:tblLayout w:type="fixed"/>
          <w:tblLook w:val="04A0"/>
        </w:tblPrEx>
        <w:trPr>
          <w:trHeight w:val="233"/>
        </w:trPr>
        <w:tc>
          <w:tcPr>
            <w:tcW w:w="5000" w:type="pct"/>
            <w:gridSpan w:val="8"/>
          </w:tcPr>
          <w:p w:rsidR="002B7FD6" w:rsidRPr="00147379" w:rsidP="00147379" w14:paraId="661E62E7" w14:textId="1D172DC4">
            <w:pPr>
              <w:rPr>
                <w:color w:val="000000"/>
                <w:sz w:val="20"/>
              </w:rPr>
            </w:pPr>
            <w:r w:rsidRPr="00147379">
              <w:rPr>
                <w:b/>
                <w:bCs/>
                <w:color w:val="000000"/>
                <w:sz w:val="20"/>
              </w:rPr>
              <w:t>237.73 Protection of bridges from over-weight and over-dimension loads</w:t>
            </w:r>
          </w:p>
        </w:tc>
      </w:tr>
      <w:tr w14:paraId="5D924541" w14:textId="77777777" w:rsidTr="00F65308">
        <w:tblPrEx>
          <w:tblW w:w="5349" w:type="pct"/>
          <w:tblLayout w:type="fixed"/>
          <w:tblLook w:val="04A0"/>
        </w:tblPrEx>
        <w:trPr>
          <w:trHeight w:val="528"/>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43EA92C2" w14:textId="77777777">
            <w:pPr>
              <w:rPr>
                <w:color w:val="000000"/>
                <w:sz w:val="20"/>
              </w:rPr>
            </w:pPr>
            <w:r w:rsidRPr="00147379">
              <w:rPr>
                <w:color w:val="000000"/>
                <w:sz w:val="20"/>
              </w:rPr>
              <w:t xml:space="preserve">237.73—Protection of bridges from over-weight and over-dimension loads—Issuance of instructions to railroad personnel by track owner  </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190CEC81" w14:textId="77777777">
            <w:pPr>
              <w:jc w:val="center"/>
              <w:rPr>
                <w:color w:val="000000"/>
                <w:sz w:val="20"/>
              </w:rPr>
            </w:pPr>
            <w:r w:rsidRPr="00147379">
              <w:rPr>
                <w:color w:val="000000"/>
                <w:sz w:val="20"/>
              </w:rPr>
              <w:t>784</w:t>
            </w:r>
          </w:p>
          <w:p w:rsidR="00147379" w:rsidRPr="00147379" w:rsidP="00147379" w14:paraId="1FD9C40B"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00428FCC" w14:textId="77777777">
            <w:pPr>
              <w:jc w:val="center"/>
              <w:rPr>
                <w:color w:val="000000"/>
                <w:sz w:val="20"/>
              </w:rPr>
            </w:pPr>
            <w:r w:rsidRPr="00147379">
              <w:rPr>
                <w:color w:val="000000"/>
                <w:sz w:val="20"/>
              </w:rPr>
              <w:t>100</w:t>
            </w:r>
          </w:p>
          <w:p w:rsidR="00147379" w:rsidRPr="00147379" w:rsidP="00147379" w14:paraId="1493489F" w14:textId="77777777">
            <w:pPr>
              <w:jc w:val="center"/>
              <w:rPr>
                <w:color w:val="000000"/>
                <w:sz w:val="20"/>
              </w:rPr>
            </w:pPr>
            <w:r w:rsidRPr="00147379">
              <w:rPr>
                <w:color w:val="000000"/>
                <w:sz w:val="20"/>
              </w:rPr>
              <w:t>written instructions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7155C87D" w14:textId="77777777">
            <w:pPr>
              <w:jc w:val="center"/>
              <w:rPr>
                <w:color w:val="000000"/>
                <w:sz w:val="20"/>
              </w:rPr>
            </w:pPr>
            <w:r w:rsidRPr="00147379">
              <w:rPr>
                <w:color w:val="000000"/>
                <w:sz w:val="20"/>
              </w:rPr>
              <w:t>2</w:t>
            </w:r>
          </w:p>
          <w:p w:rsidR="00147379" w:rsidRPr="00147379" w:rsidP="00147379" w14:paraId="02F94B9F" w14:textId="77777777">
            <w:pPr>
              <w:jc w:val="center"/>
              <w:rPr>
                <w:color w:val="000000"/>
                <w:sz w:val="20"/>
              </w:rPr>
            </w:pPr>
            <w:r w:rsidRPr="00147379">
              <w:rPr>
                <w:color w:val="000000"/>
                <w:sz w:val="20"/>
              </w:rPr>
              <w:t>hours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30D6C125" w14:textId="77777777">
            <w:pPr>
              <w:jc w:val="center"/>
              <w:rPr>
                <w:color w:val="000000"/>
                <w:sz w:val="20"/>
              </w:rPr>
            </w:pPr>
            <w:r w:rsidRPr="00147379">
              <w:rPr>
                <w:color w:val="000000"/>
                <w:sz w:val="20"/>
              </w:rPr>
              <w:t>200</w:t>
            </w:r>
          </w:p>
          <w:p w:rsidR="00147379" w:rsidRPr="00147379" w:rsidP="00147379" w14:paraId="39BC6CA1"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0CA03236"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78B2ED4C" w14:textId="77777777">
            <w:pPr>
              <w:jc w:val="center"/>
              <w:rPr>
                <w:color w:val="000000"/>
                <w:sz w:val="20"/>
              </w:rPr>
            </w:pPr>
            <w:r w:rsidRPr="00147379">
              <w:rPr>
                <w:color w:val="000000"/>
                <w:sz w:val="20"/>
              </w:rPr>
              <w:t>$17,826.00</w:t>
            </w:r>
          </w:p>
          <w:p w:rsidR="00147379" w:rsidRPr="00147379" w:rsidP="00147379" w14:paraId="034678D8"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4196B03D" w14:textId="77777777">
            <w:pPr>
              <w:rPr>
                <w:color w:val="000000"/>
                <w:sz w:val="20"/>
              </w:rPr>
            </w:pPr>
            <w:r w:rsidRPr="00147379">
              <w:rPr>
                <w:color w:val="000000"/>
                <w:sz w:val="20"/>
              </w:rPr>
              <w:t>Each track owner shall issue instructions to personnel responsible for the configuration and operation of trains over its bridges to prevent the operation of cars, locomotives and other equipment that would exceed the capacity or dimensions of its bridges.</w:t>
            </w:r>
          </w:p>
        </w:tc>
      </w:tr>
      <w:tr w14:paraId="62C4EF22" w14:textId="77777777" w:rsidTr="00F65308">
        <w:tblPrEx>
          <w:tblW w:w="5349" w:type="pct"/>
          <w:tblLayout w:type="fixed"/>
          <w:tblLook w:val="04A0"/>
        </w:tblPrEx>
        <w:trPr>
          <w:trHeight w:val="251"/>
        </w:trPr>
        <w:tc>
          <w:tcPr>
            <w:tcW w:w="5000" w:type="pct"/>
            <w:gridSpan w:val="8"/>
          </w:tcPr>
          <w:p w:rsidR="002B7FD6" w:rsidRPr="00147379" w:rsidP="00147379" w14:paraId="6533246F" w14:textId="762D1942">
            <w:pPr>
              <w:rPr>
                <w:color w:val="000000"/>
                <w:sz w:val="20"/>
              </w:rPr>
            </w:pPr>
            <w:r w:rsidRPr="00147379">
              <w:rPr>
                <w:b/>
                <w:bCs/>
                <w:color w:val="000000"/>
                <w:sz w:val="20"/>
              </w:rPr>
              <w:t>237.109 Bridge inspection records</w:t>
            </w:r>
          </w:p>
        </w:tc>
      </w:tr>
      <w:tr w14:paraId="67E28751" w14:textId="77777777" w:rsidTr="00F65308">
        <w:tblPrEx>
          <w:tblW w:w="5349" w:type="pct"/>
          <w:tblLayout w:type="fixed"/>
          <w:tblLook w:val="04A0"/>
        </w:tblPrEx>
        <w:trPr>
          <w:trHeight w:val="528"/>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6884C613" w14:textId="77777777">
            <w:pPr>
              <w:rPr>
                <w:color w:val="000000"/>
                <w:sz w:val="20"/>
              </w:rPr>
            </w:pPr>
            <w:r w:rsidRPr="00147379">
              <w:rPr>
                <w:color w:val="000000"/>
                <w:sz w:val="20"/>
              </w:rPr>
              <w:t>—Bridge inspection reports and records</w:t>
            </w:r>
            <w:r w:rsidRPr="00147379">
              <w:rPr>
                <w:color w:val="000000"/>
                <w:sz w:val="20"/>
              </w:rPr>
              <w:br/>
              <w:t xml:space="preserve">    </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48AFAC21" w14:textId="77777777">
            <w:pPr>
              <w:jc w:val="center"/>
              <w:rPr>
                <w:color w:val="000000"/>
                <w:sz w:val="20"/>
              </w:rPr>
            </w:pPr>
            <w:r w:rsidRPr="00147379">
              <w:rPr>
                <w:color w:val="000000"/>
                <w:sz w:val="20"/>
              </w:rPr>
              <w:t>784</w:t>
            </w:r>
          </w:p>
          <w:p w:rsidR="00147379" w:rsidRPr="00147379" w:rsidP="00147379" w14:paraId="166B570A"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2EF6E770" w14:textId="77777777">
            <w:pPr>
              <w:jc w:val="center"/>
              <w:rPr>
                <w:color w:val="000000"/>
                <w:sz w:val="20"/>
              </w:rPr>
            </w:pPr>
            <w:r w:rsidRPr="00147379">
              <w:rPr>
                <w:color w:val="000000"/>
                <w:sz w:val="20"/>
              </w:rPr>
              <w:t>100,000 inspection reports and records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51196E21" w14:textId="77777777">
            <w:pPr>
              <w:jc w:val="center"/>
              <w:rPr>
                <w:color w:val="000000"/>
                <w:sz w:val="20"/>
              </w:rPr>
            </w:pPr>
            <w:r w:rsidRPr="00147379">
              <w:rPr>
                <w:color w:val="000000"/>
                <w:sz w:val="20"/>
              </w:rPr>
              <w:t>15 minutes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57A2DBE7" w14:textId="77777777">
            <w:pPr>
              <w:jc w:val="center"/>
              <w:rPr>
                <w:color w:val="000000"/>
                <w:sz w:val="20"/>
              </w:rPr>
            </w:pPr>
            <w:r w:rsidRPr="00147379">
              <w:rPr>
                <w:color w:val="000000"/>
                <w:sz w:val="20"/>
              </w:rPr>
              <w:t>25,000 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1DDB06AF"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769C3246" w14:textId="77777777">
            <w:pPr>
              <w:jc w:val="center"/>
              <w:rPr>
                <w:color w:val="000000"/>
                <w:sz w:val="20"/>
              </w:rPr>
            </w:pPr>
            <w:r w:rsidRPr="00147379">
              <w:rPr>
                <w:color w:val="000000"/>
                <w:sz w:val="20"/>
              </w:rPr>
              <w:t>$2,228,250.00</w:t>
            </w:r>
          </w:p>
          <w:p w:rsidR="00147379" w:rsidRPr="00147379" w:rsidP="00147379" w14:paraId="6141AB4D"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2F559D30" w14:textId="77777777">
            <w:pPr>
              <w:rPr>
                <w:color w:val="000000"/>
                <w:sz w:val="20"/>
              </w:rPr>
            </w:pPr>
            <w:r w:rsidRPr="00147379">
              <w:rPr>
                <w:color w:val="000000"/>
                <w:sz w:val="20"/>
              </w:rPr>
              <w:t>Each track owner to which part 237 applies shall keep a record of each inspection required to be performed on those bridges under this part.</w:t>
            </w:r>
          </w:p>
        </w:tc>
      </w:tr>
      <w:tr w14:paraId="04B05BDB" w14:textId="77777777" w:rsidTr="00F65308">
        <w:tblPrEx>
          <w:tblW w:w="5349" w:type="pct"/>
          <w:tblLayout w:type="fixed"/>
          <w:tblLook w:val="04A0"/>
        </w:tblPrEx>
        <w:trPr>
          <w:trHeight w:val="431"/>
        </w:trPr>
        <w:tc>
          <w:tcPr>
            <w:tcW w:w="1038" w:type="pct"/>
            <w:tcBorders>
              <w:top w:val="single" w:sz="4" w:space="0" w:color="auto"/>
              <w:left w:val="single" w:sz="4" w:space="0" w:color="auto"/>
              <w:bottom w:val="single" w:sz="4" w:space="0" w:color="auto"/>
              <w:right w:val="single" w:sz="4" w:space="0" w:color="auto"/>
            </w:tcBorders>
            <w:hideMark/>
          </w:tcPr>
          <w:p w:rsidR="00224807" w:rsidRPr="00147379" w:rsidP="00147379" w14:paraId="6B8D6BB3" w14:textId="77777777">
            <w:pPr>
              <w:rPr>
                <w:color w:val="000000"/>
                <w:sz w:val="20"/>
              </w:rPr>
            </w:pPr>
            <w:r w:rsidRPr="00147379">
              <w:rPr>
                <w:color w:val="000000"/>
                <w:sz w:val="20"/>
              </w:rPr>
              <w:t>—(g) Report of deficient condition on a bridge</w:t>
            </w:r>
          </w:p>
        </w:tc>
        <w:tc>
          <w:tcPr>
            <w:tcW w:w="3962" w:type="pct"/>
            <w:gridSpan w:val="7"/>
            <w:tcBorders>
              <w:top w:val="single" w:sz="4" w:space="0" w:color="auto"/>
              <w:left w:val="single" w:sz="4" w:space="0" w:color="auto"/>
              <w:bottom w:val="single" w:sz="4" w:space="0" w:color="auto"/>
              <w:right w:val="single" w:sz="4" w:space="0" w:color="auto"/>
            </w:tcBorders>
            <w:hideMark/>
          </w:tcPr>
          <w:p w:rsidR="00224807" w:rsidRPr="00147379" w:rsidP="00147379" w14:paraId="64C56B40" w14:textId="43990FB1">
            <w:pPr>
              <w:rPr>
                <w:color w:val="000000"/>
                <w:sz w:val="20"/>
              </w:rPr>
            </w:pPr>
            <w:r w:rsidRPr="00147379">
              <w:rPr>
                <w:color w:val="000000"/>
                <w:sz w:val="20"/>
              </w:rPr>
              <w:t>The burden associated with this requirement is covered above under § 237.109.</w:t>
            </w:r>
          </w:p>
        </w:tc>
      </w:tr>
      <w:tr w14:paraId="2C6C8963" w14:textId="77777777" w:rsidTr="00F65308">
        <w:tblPrEx>
          <w:tblW w:w="5349" w:type="pct"/>
          <w:tblLayout w:type="fixed"/>
          <w:tblLook w:val="04A0"/>
        </w:tblPrEx>
        <w:trPr>
          <w:trHeight w:val="314"/>
        </w:trPr>
        <w:tc>
          <w:tcPr>
            <w:tcW w:w="5000" w:type="pct"/>
            <w:gridSpan w:val="8"/>
          </w:tcPr>
          <w:p w:rsidR="002B7FD6" w:rsidRPr="00147379" w:rsidP="00147379" w14:paraId="2B88C727" w14:textId="0C8038A8">
            <w:pPr>
              <w:rPr>
                <w:color w:val="000000"/>
                <w:sz w:val="20"/>
              </w:rPr>
            </w:pPr>
            <w:r w:rsidRPr="00147379">
              <w:rPr>
                <w:b/>
                <w:bCs/>
                <w:color w:val="000000"/>
                <w:sz w:val="20"/>
              </w:rPr>
              <w:t>237.111 Review of bridge inspection reports</w:t>
            </w:r>
          </w:p>
        </w:tc>
      </w:tr>
      <w:tr w14:paraId="129FAAB4" w14:textId="77777777" w:rsidTr="00F65308">
        <w:tblPrEx>
          <w:tblW w:w="5349" w:type="pct"/>
          <w:tblLayout w:type="fixed"/>
          <w:tblLook w:val="04A0"/>
        </w:tblPrEx>
        <w:trPr>
          <w:trHeight w:val="864"/>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54630325" w14:textId="5D44DC38">
            <w:pPr>
              <w:rPr>
                <w:color w:val="000000"/>
                <w:sz w:val="20"/>
              </w:rPr>
            </w:pPr>
            <w:r w:rsidRPr="00147379">
              <w:rPr>
                <w:color w:val="000000"/>
                <w:sz w:val="20"/>
              </w:rPr>
              <w:t xml:space="preserve">— </w:t>
            </w:r>
            <w:r w:rsidR="00877450">
              <w:rPr>
                <w:color w:val="000000"/>
                <w:sz w:val="20"/>
              </w:rPr>
              <w:t>B</w:t>
            </w:r>
            <w:r w:rsidRPr="00147379">
              <w:rPr>
                <w:color w:val="000000"/>
                <w:sz w:val="20"/>
              </w:rPr>
              <w:t>ridge engineer and supervisor review of bridge inspection reports</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757C93F4" w14:textId="77777777">
            <w:pPr>
              <w:jc w:val="center"/>
              <w:rPr>
                <w:color w:val="000000"/>
                <w:sz w:val="20"/>
              </w:rPr>
            </w:pPr>
            <w:r w:rsidRPr="00147379">
              <w:rPr>
                <w:color w:val="000000"/>
                <w:sz w:val="20"/>
              </w:rPr>
              <w:t xml:space="preserve">784 </w:t>
            </w:r>
          </w:p>
          <w:p w:rsidR="00147379" w:rsidRPr="00147379" w:rsidP="00147379" w14:paraId="4744FEF6"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3CF5FF01" w14:textId="77777777">
            <w:pPr>
              <w:jc w:val="center"/>
              <w:rPr>
                <w:color w:val="000000"/>
                <w:sz w:val="20"/>
              </w:rPr>
            </w:pPr>
            <w:r w:rsidRPr="00147379">
              <w:rPr>
                <w:color w:val="000000"/>
                <w:sz w:val="20"/>
              </w:rPr>
              <w:t xml:space="preserve">100,000 </w:t>
            </w:r>
          </w:p>
          <w:p w:rsidR="00147379" w:rsidRPr="00147379" w:rsidP="00147379" w14:paraId="4444A8D2" w14:textId="77777777">
            <w:pPr>
              <w:jc w:val="center"/>
              <w:rPr>
                <w:color w:val="000000"/>
                <w:sz w:val="20"/>
              </w:rPr>
            </w:pPr>
            <w:r w:rsidRPr="00147379">
              <w:rPr>
                <w:color w:val="000000"/>
                <w:sz w:val="20"/>
              </w:rPr>
              <w:t>reviews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190D69DE" w14:textId="77777777">
            <w:pPr>
              <w:jc w:val="center"/>
              <w:rPr>
                <w:color w:val="000000"/>
                <w:sz w:val="20"/>
              </w:rPr>
            </w:pPr>
            <w:r w:rsidRPr="00147379">
              <w:rPr>
                <w:color w:val="000000"/>
                <w:sz w:val="20"/>
              </w:rPr>
              <w:t>5</w:t>
            </w:r>
          </w:p>
          <w:p w:rsidR="00147379" w:rsidRPr="00147379" w:rsidP="00147379" w14:paraId="32A31A81" w14:textId="77777777">
            <w:pPr>
              <w:jc w:val="center"/>
              <w:rPr>
                <w:color w:val="000000"/>
                <w:sz w:val="20"/>
              </w:rPr>
            </w:pPr>
            <w:r w:rsidRPr="00147379">
              <w:rPr>
                <w:color w:val="000000"/>
                <w:sz w:val="20"/>
              </w:rPr>
              <w:t>minutes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363C8AD3" w14:textId="77777777">
            <w:pPr>
              <w:jc w:val="center"/>
              <w:rPr>
                <w:color w:val="000000"/>
                <w:sz w:val="20"/>
              </w:rPr>
            </w:pPr>
            <w:r w:rsidRPr="00147379">
              <w:rPr>
                <w:color w:val="000000"/>
                <w:sz w:val="20"/>
              </w:rPr>
              <w:t>8,333.33 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4BA690D3"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500ED621" w14:textId="77777777">
            <w:pPr>
              <w:jc w:val="center"/>
              <w:rPr>
                <w:color w:val="000000"/>
                <w:sz w:val="20"/>
              </w:rPr>
            </w:pPr>
            <w:r w:rsidRPr="00147379">
              <w:rPr>
                <w:color w:val="000000"/>
                <w:sz w:val="20"/>
              </w:rPr>
              <w:t>$742,749.70</w:t>
            </w:r>
          </w:p>
          <w:p w:rsidR="00147379" w:rsidRPr="00147379" w:rsidP="00147379" w14:paraId="643983E8"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201A3E" w14:paraId="4429CCB9" w14:textId="029E4B5D">
            <w:pPr>
              <w:rPr>
                <w:color w:val="000000"/>
                <w:sz w:val="20"/>
              </w:rPr>
            </w:pPr>
            <w:r w:rsidRPr="00147379">
              <w:rPr>
                <w:color w:val="000000"/>
                <w:sz w:val="20"/>
              </w:rPr>
              <w:t>Bridge inspection reports shall be reviewed by railroad bridge supervisors and railroad bridge engineers.</w:t>
            </w:r>
          </w:p>
        </w:tc>
      </w:tr>
      <w:tr w14:paraId="75036761" w14:textId="77777777" w:rsidTr="00F65308">
        <w:tblPrEx>
          <w:tblW w:w="5349" w:type="pct"/>
          <w:tblLayout w:type="fixed"/>
          <w:tblLook w:val="04A0"/>
        </w:tblPrEx>
        <w:trPr>
          <w:trHeight w:val="179"/>
        </w:trPr>
        <w:tc>
          <w:tcPr>
            <w:tcW w:w="5000" w:type="pct"/>
            <w:gridSpan w:val="8"/>
            <w:tcBorders>
              <w:top w:val="single" w:sz="4" w:space="0" w:color="auto"/>
              <w:left w:val="single" w:sz="4" w:space="0" w:color="auto"/>
              <w:bottom w:val="single" w:sz="4" w:space="0" w:color="auto"/>
              <w:right w:val="single" w:sz="4" w:space="0" w:color="auto"/>
            </w:tcBorders>
          </w:tcPr>
          <w:p w:rsidR="002B7FD6" w:rsidRPr="00147379" w:rsidP="00147379" w14:paraId="1B2F4018" w14:textId="61A0BE40">
            <w:pPr>
              <w:rPr>
                <w:color w:val="000000"/>
                <w:sz w:val="20"/>
              </w:rPr>
            </w:pPr>
            <w:r w:rsidRPr="00147379">
              <w:rPr>
                <w:b/>
                <w:bCs/>
                <w:color w:val="000000"/>
                <w:sz w:val="20"/>
              </w:rPr>
              <w:t>237.155 Documents and records</w:t>
            </w:r>
          </w:p>
        </w:tc>
      </w:tr>
      <w:tr w14:paraId="4CEAF72D" w14:textId="77777777" w:rsidTr="00CD0D7D">
        <w:tblPrEx>
          <w:tblW w:w="5349" w:type="pct"/>
          <w:tblLayout w:type="fixed"/>
          <w:tblLook w:val="04A0"/>
        </w:tblPrEx>
        <w:trPr>
          <w:trHeight w:val="1268"/>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5A2D5775" w14:textId="77777777">
            <w:pPr>
              <w:rPr>
                <w:color w:val="000000"/>
                <w:sz w:val="20"/>
              </w:rPr>
            </w:pPr>
            <w:r w:rsidRPr="00147379">
              <w:rPr>
                <w:color w:val="000000"/>
                <w:sz w:val="20"/>
              </w:rPr>
              <w:t>237.155—Documents &amp; records—Establishment of information technology security systems for electronic recordkeeping</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18810FEE" w14:textId="77777777">
            <w:pPr>
              <w:jc w:val="center"/>
              <w:rPr>
                <w:color w:val="000000"/>
                <w:sz w:val="20"/>
              </w:rPr>
            </w:pPr>
            <w:r w:rsidRPr="00147379">
              <w:rPr>
                <w:color w:val="000000"/>
                <w:sz w:val="20"/>
              </w:rPr>
              <w:t xml:space="preserve">784 </w:t>
            </w:r>
          </w:p>
          <w:p w:rsidR="00147379" w:rsidRPr="00147379" w:rsidP="00147379" w14:paraId="2A4CCA92"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5F0403DA" w14:textId="77777777">
            <w:pPr>
              <w:jc w:val="center"/>
              <w:rPr>
                <w:color w:val="000000"/>
                <w:sz w:val="20"/>
              </w:rPr>
            </w:pPr>
            <w:r w:rsidRPr="00147379">
              <w:rPr>
                <w:color w:val="000000"/>
                <w:sz w:val="20"/>
              </w:rPr>
              <w:t>5</w:t>
            </w:r>
          </w:p>
          <w:p w:rsidR="00147379" w:rsidRPr="00147379" w:rsidP="00147379" w14:paraId="3814A09B" w14:textId="77777777">
            <w:pPr>
              <w:jc w:val="center"/>
              <w:rPr>
                <w:color w:val="000000"/>
                <w:sz w:val="20"/>
              </w:rPr>
            </w:pPr>
            <w:r w:rsidRPr="00147379">
              <w:rPr>
                <w:color w:val="000000"/>
                <w:sz w:val="20"/>
              </w:rPr>
              <w:t>electronic recordkeeping systems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0A622F0E" w14:textId="77777777">
            <w:pPr>
              <w:jc w:val="center"/>
              <w:rPr>
                <w:color w:val="000000"/>
                <w:sz w:val="20"/>
              </w:rPr>
            </w:pPr>
            <w:r w:rsidRPr="00147379">
              <w:rPr>
                <w:color w:val="000000"/>
                <w:sz w:val="20"/>
              </w:rPr>
              <w:t>80</w:t>
            </w:r>
          </w:p>
          <w:p w:rsidR="00147379" w:rsidRPr="00147379" w:rsidP="00147379" w14:paraId="73B3F045" w14:textId="77777777">
            <w:pPr>
              <w:jc w:val="center"/>
              <w:rPr>
                <w:color w:val="000000"/>
                <w:sz w:val="20"/>
              </w:rPr>
            </w:pPr>
            <w:r w:rsidRPr="00147379">
              <w:rPr>
                <w:color w:val="000000"/>
                <w:sz w:val="20"/>
              </w:rPr>
              <w:t>hours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59156C25" w14:textId="77777777">
            <w:pPr>
              <w:jc w:val="center"/>
              <w:rPr>
                <w:color w:val="000000"/>
                <w:sz w:val="20"/>
              </w:rPr>
            </w:pPr>
            <w:r w:rsidRPr="00147379">
              <w:rPr>
                <w:color w:val="000000"/>
                <w:sz w:val="20"/>
              </w:rPr>
              <w:t>400</w:t>
            </w:r>
          </w:p>
          <w:p w:rsidR="00147379" w:rsidRPr="00147379" w:rsidP="00147379" w14:paraId="25E2A2A2"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0285D681"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6382C86F" w14:textId="77777777">
            <w:pPr>
              <w:jc w:val="center"/>
              <w:rPr>
                <w:color w:val="000000"/>
                <w:sz w:val="20"/>
              </w:rPr>
            </w:pPr>
            <w:r w:rsidRPr="00147379">
              <w:rPr>
                <w:color w:val="000000"/>
                <w:sz w:val="20"/>
              </w:rPr>
              <w:t>$35,652.00</w:t>
            </w:r>
          </w:p>
          <w:p w:rsidR="00147379" w:rsidRPr="00147379" w:rsidP="00147379" w14:paraId="2B5045A9"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201A3E" w14:paraId="124DC77E" w14:textId="6BCD7B52">
            <w:pPr>
              <w:rPr>
                <w:color w:val="000000"/>
                <w:sz w:val="20"/>
              </w:rPr>
            </w:pPr>
            <w:r w:rsidRPr="00147379">
              <w:rPr>
                <w:color w:val="000000"/>
                <w:sz w:val="20"/>
              </w:rPr>
              <w:t>A track owner may create and maintain any of the records required by part 237 through electronic transmission, storage, and retrieval provided that certain conditions are met.</w:t>
            </w:r>
          </w:p>
        </w:tc>
      </w:tr>
      <w:tr w14:paraId="023249EE" w14:textId="77777777" w:rsidTr="00CD0D7D">
        <w:tblPrEx>
          <w:tblW w:w="5349" w:type="pct"/>
          <w:tblLayout w:type="fixed"/>
          <w:tblLook w:val="04A0"/>
        </w:tblPrEx>
        <w:trPr>
          <w:trHeight w:val="980"/>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6D196158" w14:textId="77777777">
            <w:pPr>
              <w:rPr>
                <w:color w:val="000000"/>
                <w:sz w:val="20"/>
              </w:rPr>
            </w:pPr>
            <w:r w:rsidRPr="00147379">
              <w:rPr>
                <w:color w:val="000000"/>
                <w:sz w:val="20"/>
              </w:rPr>
              <w:t>—(a)(4) Training of track owner’s employees who use the system on the proper use of the electronic recordkeeping system</w:t>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01B871AC" w14:textId="77777777">
            <w:pPr>
              <w:jc w:val="center"/>
              <w:rPr>
                <w:color w:val="000000"/>
                <w:sz w:val="20"/>
              </w:rPr>
            </w:pPr>
            <w:r w:rsidRPr="00147379">
              <w:rPr>
                <w:color w:val="000000"/>
                <w:sz w:val="20"/>
              </w:rPr>
              <w:t>784</w:t>
            </w:r>
          </w:p>
          <w:p w:rsidR="00147379" w:rsidRPr="00147379" w:rsidP="00147379" w14:paraId="1BED7AF9" w14:textId="77777777">
            <w:pPr>
              <w:jc w:val="center"/>
              <w:rPr>
                <w:color w:val="000000"/>
                <w:sz w:val="20"/>
              </w:rPr>
            </w:pPr>
            <w:r w:rsidRPr="00147379">
              <w:rPr>
                <w:color w:val="000000"/>
                <w:sz w:val="20"/>
              </w:rPr>
              <w:t>track owners</w:t>
            </w:r>
          </w:p>
        </w:tc>
        <w:tc>
          <w:tcPr>
            <w:tcW w:w="533" w:type="pct"/>
            <w:tcBorders>
              <w:top w:val="single" w:sz="4" w:space="0" w:color="auto"/>
              <w:left w:val="single" w:sz="4" w:space="0" w:color="auto"/>
              <w:bottom w:val="single" w:sz="4" w:space="0" w:color="auto"/>
              <w:right w:val="single" w:sz="4" w:space="0" w:color="auto"/>
            </w:tcBorders>
            <w:hideMark/>
          </w:tcPr>
          <w:p w:rsidR="002B7FD6" w:rsidP="00147379" w14:paraId="38352E72" w14:textId="77777777">
            <w:pPr>
              <w:jc w:val="center"/>
              <w:rPr>
                <w:color w:val="000000"/>
                <w:sz w:val="20"/>
              </w:rPr>
            </w:pPr>
            <w:r w:rsidRPr="00147379">
              <w:rPr>
                <w:color w:val="000000"/>
                <w:sz w:val="20"/>
              </w:rPr>
              <w:t>50</w:t>
            </w:r>
          </w:p>
          <w:p w:rsidR="002B7FD6" w:rsidP="00147379" w14:paraId="2FEE396E" w14:textId="77777777">
            <w:pPr>
              <w:jc w:val="center"/>
              <w:rPr>
                <w:color w:val="000000"/>
                <w:sz w:val="20"/>
              </w:rPr>
            </w:pPr>
            <w:r w:rsidRPr="00147379">
              <w:rPr>
                <w:color w:val="000000"/>
                <w:sz w:val="20"/>
              </w:rPr>
              <w:t xml:space="preserve"> training </w:t>
            </w:r>
          </w:p>
          <w:p w:rsidR="00147379" w:rsidRPr="00147379" w:rsidP="00147379" w14:paraId="009371BD" w14:textId="52916C22">
            <w:pPr>
              <w:jc w:val="center"/>
              <w:rPr>
                <w:color w:val="000000"/>
                <w:sz w:val="20"/>
              </w:rPr>
            </w:pPr>
            <w:r w:rsidRPr="00147379">
              <w:rPr>
                <w:color w:val="000000"/>
                <w:sz w:val="20"/>
              </w:rPr>
              <w:t>records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147379" w14:paraId="337F0A85" w14:textId="77777777">
            <w:pPr>
              <w:jc w:val="center"/>
              <w:rPr>
                <w:color w:val="000000"/>
                <w:sz w:val="20"/>
              </w:rPr>
            </w:pPr>
            <w:r w:rsidRPr="00147379">
              <w:rPr>
                <w:color w:val="000000"/>
                <w:sz w:val="20"/>
              </w:rPr>
              <w:t>4</w:t>
            </w:r>
          </w:p>
          <w:p w:rsidR="00147379" w:rsidRPr="00147379" w:rsidP="00147379" w14:paraId="2BC36643" w14:textId="77777777">
            <w:pPr>
              <w:jc w:val="center"/>
              <w:rPr>
                <w:color w:val="000000"/>
                <w:sz w:val="20"/>
              </w:rPr>
            </w:pPr>
            <w:r w:rsidRPr="00147379">
              <w:rPr>
                <w:color w:val="000000"/>
                <w:sz w:val="20"/>
              </w:rPr>
              <w:t>hours</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0236E46F" w14:textId="77777777">
            <w:pPr>
              <w:jc w:val="center"/>
              <w:rPr>
                <w:color w:val="000000"/>
                <w:sz w:val="20"/>
              </w:rPr>
            </w:pPr>
            <w:r w:rsidRPr="00147379">
              <w:rPr>
                <w:color w:val="000000"/>
                <w:sz w:val="20"/>
              </w:rPr>
              <w:t>200.00</w:t>
            </w:r>
          </w:p>
          <w:p w:rsidR="00147379" w:rsidRPr="00147379" w:rsidP="00147379" w14:paraId="0EE6281E"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CD0D7D" w14:paraId="2E9DC20F" w14:textId="77777777">
            <w:pPr>
              <w:jc w:val="center"/>
              <w:rPr>
                <w:color w:val="000000"/>
                <w:sz w:val="20"/>
              </w:rPr>
            </w:pPr>
            <w:r w:rsidRPr="00147379">
              <w:rPr>
                <w:color w:val="000000"/>
                <w:sz w:val="20"/>
              </w:rPr>
              <w:t>$89.13</w:t>
            </w:r>
          </w:p>
        </w:tc>
        <w:tc>
          <w:tcPr>
            <w:tcW w:w="520" w:type="pct"/>
            <w:tcBorders>
              <w:top w:val="single" w:sz="4" w:space="0" w:color="auto"/>
              <w:left w:val="single" w:sz="4" w:space="0" w:color="auto"/>
              <w:bottom w:val="single" w:sz="4" w:space="0" w:color="auto"/>
              <w:right w:val="single" w:sz="4" w:space="0" w:color="auto"/>
            </w:tcBorders>
            <w:hideMark/>
          </w:tcPr>
          <w:p w:rsidR="00147379" w:rsidRPr="00147379" w:rsidP="00CD0D7D" w14:paraId="752A804A" w14:textId="77777777">
            <w:pPr>
              <w:jc w:val="center"/>
              <w:rPr>
                <w:color w:val="000000"/>
                <w:sz w:val="20"/>
              </w:rPr>
            </w:pPr>
            <w:r w:rsidRPr="00147379">
              <w:rPr>
                <w:color w:val="000000"/>
                <w:sz w:val="20"/>
              </w:rPr>
              <w:t>$17,826.00</w:t>
            </w:r>
          </w:p>
          <w:p w:rsidR="00147379" w:rsidRPr="00147379" w:rsidP="00147379" w14:paraId="7A88A056"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667BF8CD" w14:textId="77777777">
            <w:pPr>
              <w:rPr>
                <w:color w:val="000000"/>
                <w:sz w:val="20"/>
              </w:rPr>
            </w:pPr>
            <w:r w:rsidRPr="00147379">
              <w:rPr>
                <w:color w:val="000000"/>
                <w:sz w:val="20"/>
              </w:rPr>
              <w:t>The track owner shall train its employees on the proper use of the electronic recordkeeping system.</w:t>
            </w:r>
          </w:p>
          <w:p w:rsidR="00147379" w:rsidRPr="00147379" w:rsidP="00147379" w14:paraId="3D04D087" w14:textId="77777777">
            <w:pPr>
              <w:rPr>
                <w:color w:val="000000"/>
                <w:sz w:val="20"/>
              </w:rPr>
            </w:pPr>
          </w:p>
          <w:p w:rsidR="00147379" w:rsidRPr="00147379" w:rsidP="00147379" w14:paraId="7CC08EC6" w14:textId="77777777">
            <w:pPr>
              <w:rPr>
                <w:color w:val="000000"/>
                <w:sz w:val="20"/>
              </w:rPr>
            </w:pPr>
          </w:p>
        </w:tc>
      </w:tr>
      <w:tr w14:paraId="71C7DE28" w14:textId="77777777" w:rsidTr="00F65308">
        <w:tblPrEx>
          <w:tblW w:w="5349" w:type="pct"/>
          <w:tblLayout w:type="fixed"/>
          <w:tblLook w:val="04A0"/>
        </w:tblPrEx>
        <w:trPr>
          <w:trHeight w:val="528"/>
        </w:trPr>
        <w:tc>
          <w:tcPr>
            <w:tcW w:w="1038" w:type="pct"/>
            <w:tcBorders>
              <w:top w:val="single" w:sz="4" w:space="0" w:color="auto"/>
              <w:left w:val="single" w:sz="4" w:space="0" w:color="auto"/>
              <w:bottom w:val="single" w:sz="4" w:space="0" w:color="auto"/>
              <w:right w:val="single" w:sz="4" w:space="0" w:color="auto"/>
            </w:tcBorders>
            <w:hideMark/>
          </w:tcPr>
          <w:p w:rsidR="00147379" w:rsidRPr="00147379" w:rsidP="00147379" w14:paraId="5E4AD6A6" w14:textId="77777777">
            <w:pPr>
              <w:rPr>
                <w:color w:val="000000"/>
                <w:sz w:val="20"/>
              </w:rPr>
            </w:pPr>
            <w:r w:rsidRPr="00147379">
              <w:rPr>
                <w:color w:val="000000"/>
                <w:sz w:val="20"/>
              </w:rPr>
              <w:t>Total</w:t>
            </w:r>
            <w:r>
              <w:rPr>
                <w:color w:val="000000"/>
                <w:sz w:val="20"/>
                <w:vertAlign w:val="superscript"/>
              </w:rPr>
              <w:footnoteReference w:id="11"/>
            </w:r>
          </w:p>
        </w:tc>
        <w:tc>
          <w:tcPr>
            <w:tcW w:w="506" w:type="pct"/>
            <w:tcBorders>
              <w:top w:val="single" w:sz="4" w:space="0" w:color="auto"/>
              <w:left w:val="single" w:sz="4" w:space="0" w:color="auto"/>
              <w:bottom w:val="single" w:sz="4" w:space="0" w:color="auto"/>
              <w:right w:val="single" w:sz="4" w:space="0" w:color="auto"/>
            </w:tcBorders>
            <w:hideMark/>
          </w:tcPr>
          <w:p w:rsidR="00147379" w:rsidRPr="00147379" w:rsidP="00147379" w14:paraId="78197811" w14:textId="77777777">
            <w:pPr>
              <w:jc w:val="center"/>
              <w:rPr>
                <w:color w:val="000000"/>
                <w:sz w:val="20"/>
              </w:rPr>
            </w:pPr>
            <w:r w:rsidRPr="00147379">
              <w:rPr>
                <w:color w:val="000000"/>
                <w:sz w:val="20"/>
              </w:rPr>
              <w:t xml:space="preserve">784 track owners, </w:t>
            </w:r>
          </w:p>
          <w:p w:rsidR="00147379" w:rsidRPr="00147379" w:rsidP="00147379" w14:paraId="04202C40" w14:textId="77777777">
            <w:pPr>
              <w:jc w:val="center"/>
              <w:rPr>
                <w:color w:val="000000"/>
                <w:sz w:val="20"/>
              </w:rPr>
            </w:pPr>
            <w:r w:rsidRPr="00147379">
              <w:rPr>
                <w:color w:val="000000"/>
                <w:sz w:val="20"/>
              </w:rPr>
              <w:t>50 States and DC, and 200 political subdivisions</w:t>
            </w:r>
          </w:p>
        </w:tc>
        <w:tc>
          <w:tcPr>
            <w:tcW w:w="533" w:type="pct"/>
            <w:tcBorders>
              <w:top w:val="single" w:sz="4" w:space="0" w:color="auto"/>
              <w:left w:val="single" w:sz="4" w:space="0" w:color="auto"/>
              <w:bottom w:val="single" w:sz="4" w:space="0" w:color="auto"/>
              <w:right w:val="single" w:sz="4" w:space="0" w:color="auto"/>
            </w:tcBorders>
            <w:hideMark/>
          </w:tcPr>
          <w:p w:rsidR="00147379" w:rsidRPr="00147379" w:rsidP="00147379" w14:paraId="614E4154" w14:textId="77777777">
            <w:pPr>
              <w:jc w:val="center"/>
              <w:rPr>
                <w:color w:val="000000"/>
                <w:sz w:val="20"/>
              </w:rPr>
            </w:pPr>
            <w:r w:rsidRPr="00147379">
              <w:rPr>
                <w:color w:val="000000"/>
                <w:sz w:val="20"/>
              </w:rPr>
              <w:t>200,480 responses</w:t>
            </w:r>
          </w:p>
        </w:tc>
        <w:tc>
          <w:tcPr>
            <w:tcW w:w="325" w:type="pct"/>
            <w:tcBorders>
              <w:top w:val="single" w:sz="4" w:space="0" w:color="auto"/>
              <w:left w:val="single" w:sz="4" w:space="0" w:color="auto"/>
              <w:bottom w:val="single" w:sz="4" w:space="0" w:color="auto"/>
              <w:right w:val="single" w:sz="4" w:space="0" w:color="auto"/>
            </w:tcBorders>
            <w:hideMark/>
          </w:tcPr>
          <w:p w:rsidR="00147379" w:rsidRPr="00147379" w:rsidP="00CD0D7D" w14:paraId="122D288F" w14:textId="03DD7EEF">
            <w:pPr>
              <w:jc w:val="center"/>
              <w:rPr>
                <w:color w:val="000000"/>
                <w:sz w:val="20"/>
              </w:rPr>
            </w:pPr>
            <w:r w:rsidRPr="00147379">
              <w:rPr>
                <w:color w:val="000000"/>
                <w:sz w:val="20"/>
              </w:rPr>
              <w:t>N/A</w:t>
            </w:r>
          </w:p>
        </w:tc>
        <w:tc>
          <w:tcPr>
            <w:tcW w:w="422" w:type="pct"/>
            <w:tcBorders>
              <w:top w:val="single" w:sz="4" w:space="0" w:color="auto"/>
              <w:left w:val="single" w:sz="4" w:space="0" w:color="auto"/>
              <w:bottom w:val="single" w:sz="4" w:space="0" w:color="auto"/>
              <w:right w:val="single" w:sz="4" w:space="0" w:color="auto"/>
            </w:tcBorders>
            <w:hideMark/>
          </w:tcPr>
          <w:p w:rsidR="00147379" w:rsidRPr="00147379" w:rsidP="00147379" w14:paraId="69799EC8" w14:textId="77777777">
            <w:pPr>
              <w:jc w:val="center"/>
              <w:rPr>
                <w:color w:val="000000"/>
                <w:sz w:val="20"/>
              </w:rPr>
            </w:pPr>
            <w:r w:rsidRPr="00147379">
              <w:rPr>
                <w:color w:val="000000"/>
                <w:sz w:val="20"/>
              </w:rPr>
              <w:t>34,616</w:t>
            </w:r>
          </w:p>
          <w:p w:rsidR="00147379" w:rsidRPr="00147379" w:rsidP="00147379" w14:paraId="79CD5EA1" w14:textId="77777777">
            <w:pPr>
              <w:jc w:val="center"/>
              <w:rPr>
                <w:color w:val="000000"/>
                <w:sz w:val="20"/>
              </w:rPr>
            </w:pPr>
            <w:r w:rsidRPr="00147379">
              <w:rPr>
                <w:color w:val="000000"/>
                <w:sz w:val="20"/>
              </w:rPr>
              <w:t>hours</w:t>
            </w:r>
          </w:p>
        </w:tc>
        <w:tc>
          <w:tcPr>
            <w:tcW w:w="390" w:type="pct"/>
            <w:tcBorders>
              <w:top w:val="single" w:sz="4" w:space="0" w:color="auto"/>
              <w:left w:val="single" w:sz="4" w:space="0" w:color="auto"/>
              <w:bottom w:val="single" w:sz="4" w:space="0" w:color="auto"/>
              <w:right w:val="single" w:sz="4" w:space="0" w:color="auto"/>
            </w:tcBorders>
          </w:tcPr>
          <w:p w:rsidR="00147379" w:rsidRPr="00147379" w:rsidP="00147379" w14:paraId="56B44FFB" w14:textId="77777777">
            <w:pPr>
              <w:jc w:val="right"/>
              <w:rPr>
                <w:color w:val="000000"/>
                <w:sz w:val="20"/>
              </w:rPr>
            </w:pPr>
          </w:p>
        </w:tc>
        <w:tc>
          <w:tcPr>
            <w:tcW w:w="520" w:type="pct"/>
            <w:tcBorders>
              <w:top w:val="single" w:sz="4" w:space="0" w:color="auto"/>
              <w:left w:val="single" w:sz="4" w:space="0" w:color="auto"/>
              <w:bottom w:val="single" w:sz="4" w:space="0" w:color="auto"/>
              <w:right w:val="single" w:sz="4" w:space="0" w:color="auto"/>
            </w:tcBorders>
          </w:tcPr>
          <w:p w:rsidR="00147379" w:rsidRPr="00147379" w:rsidP="00CD0D7D" w14:paraId="5E6D3602" w14:textId="77777777">
            <w:pPr>
              <w:jc w:val="center"/>
              <w:rPr>
                <w:color w:val="000000"/>
                <w:sz w:val="20"/>
              </w:rPr>
            </w:pPr>
            <w:r w:rsidRPr="00147379">
              <w:rPr>
                <w:color w:val="000000"/>
                <w:sz w:val="20"/>
              </w:rPr>
              <w:t>$3,067,928.71</w:t>
            </w:r>
          </w:p>
          <w:p w:rsidR="00147379" w:rsidRPr="00147379" w:rsidP="00147379" w14:paraId="1EBDE529" w14:textId="77777777">
            <w:pPr>
              <w:jc w:val="right"/>
              <w:rPr>
                <w:color w:val="000000"/>
                <w:sz w:val="20"/>
              </w:rPr>
            </w:pPr>
          </w:p>
        </w:tc>
        <w:tc>
          <w:tcPr>
            <w:tcW w:w="1266" w:type="pct"/>
            <w:tcBorders>
              <w:top w:val="single" w:sz="4" w:space="0" w:color="auto"/>
              <w:left w:val="single" w:sz="4" w:space="0" w:color="auto"/>
              <w:bottom w:val="single" w:sz="4" w:space="0" w:color="auto"/>
              <w:right w:val="single" w:sz="4" w:space="0" w:color="auto"/>
            </w:tcBorders>
          </w:tcPr>
          <w:p w:rsidR="00147379" w:rsidRPr="00147379" w:rsidP="00147379" w14:paraId="760D2817" w14:textId="77777777">
            <w:pPr>
              <w:rPr>
                <w:color w:val="000000"/>
                <w:sz w:val="20"/>
              </w:rPr>
            </w:pPr>
          </w:p>
        </w:tc>
      </w:tr>
    </w:tbl>
    <w:p w:rsidR="00065C49" w:rsidP="00D15CF6" w14:paraId="674A8222" w14:textId="77777777">
      <w:pPr>
        <w:widowControl w:val="0"/>
        <w:rPr>
          <w:b/>
          <w:szCs w:val="24"/>
        </w:rPr>
        <w:sectPr w:rsidSect="00C60599">
          <w:pgSz w:w="15840" w:h="12240" w:orient="landscape"/>
          <w:pgMar w:top="1440" w:right="1440" w:bottom="1440" w:left="1440" w:header="1354" w:footer="1800" w:gutter="0"/>
          <w:cols w:space="720"/>
          <w:docGrid w:linePitch="326"/>
        </w:sectPr>
      </w:pPr>
    </w:p>
    <w:p w:rsidR="00D15CF6" w:rsidRPr="00164DED" w:rsidP="00D15CF6" w14:paraId="1E4A8009" w14:textId="77777777">
      <w:pPr>
        <w:widowControl w:val="0"/>
        <w:rPr>
          <w:szCs w:val="24"/>
        </w:rPr>
      </w:pPr>
      <w:r w:rsidRPr="00E123BA">
        <w:rPr>
          <w:b/>
          <w:szCs w:val="24"/>
        </w:rPr>
        <w:t>13.</w:t>
      </w:r>
      <w:r w:rsidRPr="00E123BA">
        <w:rPr>
          <w:b/>
          <w:szCs w:val="24"/>
        </w:rPr>
        <w:tab/>
      </w:r>
      <w:r w:rsidRPr="00E123BA">
        <w:rPr>
          <w:b/>
          <w:szCs w:val="24"/>
          <w:u w:val="single"/>
        </w:rPr>
        <w:t>Estimate of total annual costs to respondents.</w:t>
      </w:r>
    </w:p>
    <w:p w:rsidR="00D15CF6" w:rsidRPr="00164DED" w:rsidP="00D15CF6" w14:paraId="2B1E9E6E" w14:textId="77777777">
      <w:pPr>
        <w:widowControl w:val="0"/>
        <w:rPr>
          <w:szCs w:val="24"/>
        </w:rPr>
      </w:pPr>
    </w:p>
    <w:p w:rsidR="00D15CF6" w:rsidP="00D15CF6" w14:paraId="50B0AE89" w14:textId="77777777">
      <w:pPr>
        <w:widowControl w:val="0"/>
        <w:ind w:left="720"/>
        <w:rPr>
          <w:spacing w:val="-3"/>
          <w:szCs w:val="24"/>
        </w:rPr>
      </w:pPr>
      <w:r>
        <w:rPr>
          <w:spacing w:val="-3"/>
          <w:szCs w:val="24"/>
        </w:rPr>
        <w:t>T</w:t>
      </w:r>
      <w:r w:rsidRPr="00341FE6">
        <w:rPr>
          <w:spacing w:val="-3"/>
          <w:szCs w:val="24"/>
        </w:rPr>
        <w:t>here are</w:t>
      </w:r>
      <w:r>
        <w:rPr>
          <w:spacing w:val="-3"/>
          <w:szCs w:val="24"/>
        </w:rPr>
        <w:t xml:space="preserve"> no</w:t>
      </w:r>
      <w:r w:rsidRPr="00341FE6">
        <w:rPr>
          <w:spacing w:val="-3"/>
          <w:szCs w:val="24"/>
        </w:rPr>
        <w:t xml:space="preserve"> additional costs to respondents related to this collection of information besides those detailed in the answer to question number 12</w:t>
      </w:r>
      <w:r>
        <w:rPr>
          <w:spacing w:val="-3"/>
          <w:szCs w:val="24"/>
        </w:rPr>
        <w:t>.</w:t>
      </w:r>
      <w:r w:rsidRPr="00341FE6">
        <w:rPr>
          <w:spacing w:val="-3"/>
          <w:szCs w:val="24"/>
        </w:rPr>
        <w:t xml:space="preserve">  </w:t>
      </w:r>
    </w:p>
    <w:p w:rsidR="0046154B" w:rsidP="003C7B8A" w14:paraId="2407E7B3" w14:textId="77777777">
      <w:pPr>
        <w:ind w:left="720"/>
        <w:rPr>
          <w:bCs/>
          <w:szCs w:val="24"/>
        </w:rPr>
      </w:pPr>
    </w:p>
    <w:p w:rsidR="003C7B8A" w:rsidRPr="00164DED" w:rsidP="003C7B8A" w14:paraId="6451BD19" w14:textId="2524B00A">
      <w:pPr>
        <w:widowControl w:val="0"/>
        <w:ind w:left="720" w:hanging="720"/>
        <w:rPr>
          <w:b/>
          <w:szCs w:val="24"/>
        </w:rPr>
      </w:pPr>
      <w:bookmarkStart w:id="1" w:name="_Hlk99528178"/>
      <w:r w:rsidRPr="00164DED">
        <w:rPr>
          <w:b/>
          <w:szCs w:val="24"/>
        </w:rPr>
        <w:t>14.</w:t>
      </w:r>
      <w:r w:rsidRPr="00164DED">
        <w:rPr>
          <w:b/>
          <w:szCs w:val="24"/>
        </w:rPr>
        <w:tab/>
      </w:r>
      <w:r w:rsidRPr="008835B9">
        <w:rPr>
          <w:b/>
          <w:szCs w:val="24"/>
          <w:u w:val="single"/>
        </w:rPr>
        <w:t>Estimate of Cost to Federal Government.</w:t>
      </w:r>
    </w:p>
    <w:p w:rsidR="003C7B8A" w:rsidRPr="00164DED" w:rsidP="003C7B8A" w14:paraId="2ED05CF9" w14:textId="77777777">
      <w:pPr>
        <w:widowControl w:val="0"/>
        <w:rPr>
          <w:szCs w:val="24"/>
        </w:rPr>
      </w:pPr>
    </w:p>
    <w:p w:rsidR="003C7B8A" w:rsidP="003C7B8A" w14:paraId="0A8B7DB9" w14:textId="2BAE3594">
      <w:pPr>
        <w:widowControl w:val="0"/>
        <w:ind w:left="720"/>
        <w:rPr>
          <w:szCs w:val="24"/>
        </w:rPr>
      </w:pPr>
      <w:r w:rsidRPr="00426A78">
        <w:rPr>
          <w:szCs w:val="24"/>
        </w:rPr>
        <w:t>There is no additional cost to the Federal Government in connection with these information collection requirements.  Railroad records are examined by FRA inspectors on a routine basis as part of their regular enforcement activities</w:t>
      </w:r>
      <w:r w:rsidR="001366BD">
        <w:rPr>
          <w:szCs w:val="24"/>
        </w:rPr>
        <w:t>.</w:t>
      </w:r>
      <w:r w:rsidRPr="00426A78">
        <w:rPr>
          <w:szCs w:val="24"/>
        </w:rPr>
        <w:t xml:space="preserve"> </w:t>
      </w:r>
    </w:p>
    <w:p w:rsidR="003C7B8A" w:rsidP="003C7B8A" w14:paraId="2462DDB4" w14:textId="77777777">
      <w:pPr>
        <w:widowControl w:val="0"/>
        <w:ind w:left="720"/>
        <w:rPr>
          <w:szCs w:val="24"/>
        </w:rPr>
      </w:pPr>
    </w:p>
    <w:p w:rsidR="003C7B8A" w:rsidRPr="00164DED" w:rsidP="003C7B8A" w14:paraId="7FDFFE68" w14:textId="77777777">
      <w:pPr>
        <w:widowControl w:val="0"/>
        <w:ind w:left="720" w:hanging="720"/>
        <w:rPr>
          <w:b/>
          <w:szCs w:val="24"/>
        </w:rPr>
      </w:pPr>
      <w:r w:rsidRPr="00262504">
        <w:rPr>
          <w:b/>
          <w:szCs w:val="24"/>
        </w:rPr>
        <w:t>15.</w:t>
      </w:r>
      <w:r w:rsidRPr="00262504">
        <w:rPr>
          <w:b/>
          <w:szCs w:val="24"/>
        </w:rPr>
        <w:tab/>
      </w:r>
      <w:r w:rsidRPr="00262504">
        <w:rPr>
          <w:b/>
          <w:szCs w:val="24"/>
          <w:u w:val="single"/>
        </w:rPr>
        <w:t>Explanation of program changes and adjustments</w:t>
      </w:r>
      <w:r w:rsidRPr="00262504">
        <w:rPr>
          <w:b/>
          <w:szCs w:val="24"/>
        </w:rPr>
        <w:t>.</w:t>
      </w:r>
      <w:r w:rsidRPr="00164DED">
        <w:rPr>
          <w:b/>
          <w:szCs w:val="24"/>
        </w:rPr>
        <w:t xml:space="preserve"> </w:t>
      </w:r>
    </w:p>
    <w:p w:rsidR="003C7B8A" w:rsidRPr="00164DED" w:rsidP="003C7B8A" w14:paraId="4F2FC894"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3C7B8A" w:rsidRPr="00492371" w:rsidP="003C7B8A" w14:paraId="772EA5B6" w14:textId="7FD8B45D">
      <w:pPr>
        <w:ind w:left="720"/>
        <w:rPr>
          <w:color w:val="000000" w:themeColor="text1"/>
          <w:szCs w:val="24"/>
        </w:rPr>
      </w:pPr>
      <w:r w:rsidRPr="00492371">
        <w:rPr>
          <w:color w:val="000000" w:themeColor="text1"/>
          <w:szCs w:val="24"/>
        </w:rPr>
        <w:t xml:space="preserve">This is an extension without change to a current collection of information. </w:t>
      </w:r>
      <w:r w:rsidR="00123679">
        <w:rPr>
          <w:color w:val="000000" w:themeColor="text1"/>
          <w:szCs w:val="24"/>
        </w:rPr>
        <w:t xml:space="preserve"> </w:t>
      </w:r>
      <w:r w:rsidRPr="00492371">
        <w:rPr>
          <w:color w:val="000000" w:themeColor="text1"/>
          <w:szCs w:val="24"/>
        </w:rPr>
        <w:t xml:space="preserve">The current OMB inventory for this information collection shows a total burden of </w:t>
      </w:r>
      <w:r w:rsidR="00534236">
        <w:rPr>
          <w:color w:val="000000" w:themeColor="text1"/>
          <w:szCs w:val="24"/>
        </w:rPr>
        <w:t>34,616</w:t>
      </w:r>
      <w:r w:rsidRPr="00492371">
        <w:rPr>
          <w:color w:val="000000" w:themeColor="text1"/>
          <w:szCs w:val="24"/>
        </w:rPr>
        <w:t xml:space="preserve"> hours and </w:t>
      </w:r>
      <w:r w:rsidR="00534236">
        <w:rPr>
          <w:color w:val="000000" w:themeColor="text1"/>
          <w:szCs w:val="24"/>
        </w:rPr>
        <w:t>200,480</w:t>
      </w:r>
      <w:r w:rsidRPr="00492371">
        <w:rPr>
          <w:color w:val="000000" w:themeColor="text1"/>
          <w:szCs w:val="24"/>
        </w:rPr>
        <w:t xml:space="preserve"> responses, </w:t>
      </w:r>
      <w:r w:rsidR="00534236">
        <w:rPr>
          <w:color w:val="000000" w:themeColor="text1"/>
          <w:szCs w:val="24"/>
        </w:rPr>
        <w:t xml:space="preserve">which is unchanged from the previous submission. </w:t>
      </w:r>
    </w:p>
    <w:p w:rsidR="003C7B8A" w:rsidRPr="00492371" w:rsidP="003C7B8A" w14:paraId="5398300D" w14:textId="77777777">
      <w:pPr>
        <w:ind w:left="720"/>
        <w:rPr>
          <w:color w:val="000000" w:themeColor="text1"/>
          <w:szCs w:val="24"/>
        </w:rPr>
      </w:pPr>
    </w:p>
    <w:p w:rsidR="00D15CF6" w:rsidRPr="00164DED" w:rsidP="00D15CF6" w14:paraId="406F13DB" w14:textId="77777777">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00D15CF6" w:rsidRPr="00164DED" w:rsidP="00D15CF6" w14:paraId="0059A18A"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D15CF6" w:rsidRPr="00164DED" w:rsidP="00D15CF6" w14:paraId="0996CA9B" w14:textId="58A97DDF">
      <w:pPr>
        <w:widowControl w:val="0"/>
        <w:ind w:left="720"/>
        <w:rPr>
          <w:szCs w:val="24"/>
        </w:rPr>
      </w:pPr>
      <w:r w:rsidRPr="00164DED">
        <w:rPr>
          <w:szCs w:val="24"/>
        </w:rPr>
        <w:t xml:space="preserve">FRA </w:t>
      </w:r>
      <w:r>
        <w:rPr>
          <w:szCs w:val="24"/>
        </w:rPr>
        <w:t xml:space="preserve">does not </w:t>
      </w:r>
      <w:r w:rsidRPr="00164DED">
        <w:rPr>
          <w:szCs w:val="24"/>
        </w:rPr>
        <w:t>plan</w:t>
      </w:r>
      <w:r>
        <w:rPr>
          <w:szCs w:val="24"/>
        </w:rPr>
        <w:t xml:space="preserve"> to publish the information collected.  The</w:t>
      </w:r>
      <w:r w:rsidRPr="0046217C">
        <w:rPr>
          <w:szCs w:val="24"/>
        </w:rPr>
        <w:t xml:space="preserve"> information</w:t>
      </w:r>
      <w:r>
        <w:rPr>
          <w:szCs w:val="24"/>
        </w:rPr>
        <w:t xml:space="preserve"> collection</w:t>
      </w:r>
      <w:r w:rsidRPr="0046217C">
        <w:rPr>
          <w:szCs w:val="24"/>
        </w:rPr>
        <w:t xml:space="preserve"> is used by </w:t>
      </w:r>
      <w:r>
        <w:rPr>
          <w:szCs w:val="24"/>
        </w:rPr>
        <w:t xml:space="preserve">FRA </w:t>
      </w:r>
      <w:r w:rsidRPr="0046217C">
        <w:rPr>
          <w:szCs w:val="24"/>
        </w:rPr>
        <w:t>to enforce the regulation</w:t>
      </w:r>
      <w:r w:rsidR="00353C4F">
        <w:rPr>
          <w:szCs w:val="24"/>
        </w:rPr>
        <w:t>s</w:t>
      </w:r>
      <w:r w:rsidRPr="0046217C">
        <w:rPr>
          <w:szCs w:val="24"/>
        </w:rPr>
        <w:t>.</w:t>
      </w:r>
      <w:r w:rsidRPr="00164DED">
        <w:rPr>
          <w:szCs w:val="24"/>
        </w:rPr>
        <w:tab/>
      </w:r>
    </w:p>
    <w:p w:rsidR="00D15CF6" w:rsidRPr="00164DED" w:rsidP="00D15CF6" w14:paraId="78E75ADF" w14:textId="77777777">
      <w:pPr>
        <w:widowControl w:val="0"/>
        <w:rPr>
          <w:szCs w:val="24"/>
        </w:rPr>
      </w:pPr>
    </w:p>
    <w:p w:rsidR="00D15CF6" w:rsidRPr="00164DED" w:rsidP="00D15CF6" w14:paraId="5E961EED"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00D15CF6" w:rsidRPr="00164DED" w:rsidP="00D15CF6" w14:paraId="402D59D1" w14:textId="77777777">
      <w:pPr>
        <w:widowControl w:val="0"/>
        <w:rPr>
          <w:szCs w:val="24"/>
        </w:rPr>
      </w:pPr>
    </w:p>
    <w:p w:rsidR="00D15CF6" w:rsidRPr="00164DED" w:rsidP="00D15CF6" w14:paraId="26DB7A19" w14:textId="77777777">
      <w:pPr>
        <w:widowControl w:val="0"/>
        <w:ind w:left="720"/>
        <w:rPr>
          <w:b/>
          <w:szCs w:val="24"/>
        </w:rPr>
      </w:pPr>
      <w:bookmarkStart w:id="2" w:name="_Hlk108705425"/>
      <w:r>
        <w:rPr>
          <w:szCs w:val="24"/>
        </w:rPr>
        <w:t>FRA is not</w:t>
      </w:r>
      <w:r w:rsidRPr="00F73522">
        <w:rPr>
          <w:szCs w:val="24"/>
        </w:rPr>
        <w:t xml:space="preserve"> seeking approval to not display the expiration date.</w:t>
      </w:r>
    </w:p>
    <w:bookmarkEnd w:id="2"/>
    <w:p w:rsidR="00D15CF6" w:rsidRPr="00164DED" w:rsidP="00D15CF6" w14:paraId="4CE7DC62" w14:textId="77777777">
      <w:pPr>
        <w:widowControl w:val="0"/>
        <w:rPr>
          <w:b/>
          <w:szCs w:val="24"/>
        </w:rPr>
      </w:pPr>
    </w:p>
    <w:p w:rsidR="00D15CF6" w:rsidRPr="00164DED" w:rsidP="00D15CF6" w14:paraId="75FE8A7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00D15CF6" w:rsidRPr="00164DED" w:rsidP="00D15CF6" w14:paraId="4113FD62" w14:textId="77777777">
      <w:pPr>
        <w:widowControl w:val="0"/>
        <w:rPr>
          <w:szCs w:val="24"/>
        </w:rPr>
      </w:pPr>
    </w:p>
    <w:p w:rsidR="00BD4DFD" w:rsidP="00212235" w14:paraId="6ABB1926" w14:textId="2A5798C3">
      <w:pPr>
        <w:widowControl w:val="0"/>
        <w:ind w:left="720"/>
      </w:pPr>
      <w:r w:rsidRPr="00164DED">
        <w:rPr>
          <w:szCs w:val="24"/>
        </w:rPr>
        <w:t>No exceptions are taken at this time</w:t>
      </w:r>
      <w:r w:rsidR="00212235">
        <w:rPr>
          <w:szCs w:val="24"/>
        </w:rPr>
        <w:t>.</w:t>
      </w:r>
      <w:bookmarkEnd w:id="1"/>
    </w:p>
    <w:sectPr w:rsidSect="00187C30">
      <w:pgSz w:w="12240" w:h="15840"/>
      <w:pgMar w:top="1440" w:right="1440" w:bottom="1440" w:left="1440" w:header="1354" w:footer="180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C4A" w:rsidRPr="0067781C" w:rsidP="00C97C4A" w14:paraId="1DBDFFC0" w14:textId="77777777">
    <w:pPr>
      <w:framePr w:w="9360" w:h="280" w:hRule="exact" w:wrap="notBeside" w:vAnchor="page" w:hAnchor="page" w:x="2713" w:y="10693"/>
      <w:widowControl w:val="0"/>
      <w:spacing w:line="0" w:lineRule="atLeast"/>
      <w:jc w:val="center"/>
      <w:rPr>
        <w:vanish/>
      </w:rPr>
    </w:pPr>
    <w:r w:rsidRPr="00DC02E1">
      <w:rPr>
        <w:color w:val="000000"/>
      </w:rPr>
      <w:fldChar w:fldCharType="begin"/>
    </w:r>
    <w:r w:rsidRPr="00DC02E1">
      <w:rPr>
        <w:color w:val="000000"/>
      </w:rPr>
      <w:instrText>PAGE</w:instrText>
    </w:r>
    <w:r w:rsidRPr="00DC02E1">
      <w:rPr>
        <w:color w:val="000000"/>
      </w:rPr>
      <w:fldChar w:fldCharType="separate"/>
    </w:r>
    <w:r w:rsidRPr="00DC02E1">
      <w:rPr>
        <w:color w:val="000000"/>
      </w:rPr>
      <w:t>XXX</w:t>
    </w:r>
    <w:r w:rsidRPr="00DC02E1">
      <w:rPr>
        <w:color w:val="000000"/>
      </w:rPr>
      <w:fldChar w:fldCharType="end"/>
    </w:r>
  </w:p>
  <w:p w:rsidR="00C97C4A" w14:paraId="1D092E36"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9614179"/>
      <w:docPartObj>
        <w:docPartGallery w:val="Page Numbers (Bottom of Page)"/>
        <w:docPartUnique/>
      </w:docPartObj>
    </w:sdtPr>
    <w:sdtEndPr>
      <w:rPr>
        <w:noProof/>
      </w:rPr>
    </w:sdtEndPr>
    <w:sdtContent>
      <w:p w:rsidR="00D15CF6" w14:paraId="518513BB" w14:textId="7B384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97C4A" w14:paraId="18C14966"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46A8" w:rsidP="003C7B8A" w14:paraId="6877408B" w14:textId="77777777">
      <w:r>
        <w:separator/>
      </w:r>
    </w:p>
  </w:footnote>
  <w:footnote w:type="continuationSeparator" w:id="1">
    <w:p w:rsidR="003946A8" w:rsidP="003C7B8A" w14:paraId="4A3B5AAD" w14:textId="77777777">
      <w:r>
        <w:continuationSeparator/>
      </w:r>
    </w:p>
  </w:footnote>
  <w:footnote w:type="continuationNotice" w:id="2">
    <w:p w:rsidR="003946A8" w14:paraId="7936EEE9" w14:textId="77777777"/>
  </w:footnote>
  <w:footnote w:id="3">
    <w:p w:rsidR="00043B16" w14:paraId="464222DD" w14:textId="0DC8C06E">
      <w:pPr>
        <w:pStyle w:val="FootnoteText"/>
      </w:pPr>
      <w:r>
        <w:rPr>
          <w:rStyle w:val="FootnoteReference"/>
        </w:rPr>
        <w:footnoteRef/>
      </w:r>
      <w:r>
        <w:t xml:space="preserve"> </w:t>
      </w:r>
      <w:r w:rsidR="007600E8">
        <w:t xml:space="preserve">57 FR 28127 (June 24, 1992). </w:t>
      </w:r>
    </w:p>
  </w:footnote>
  <w:footnote w:id="4">
    <w:p w:rsidR="00375F9A" w14:paraId="535BE81B" w14:textId="0B27CA98">
      <w:pPr>
        <w:pStyle w:val="FootnoteText"/>
      </w:pPr>
      <w:r>
        <w:rPr>
          <w:rStyle w:val="FootnoteReference"/>
        </w:rPr>
        <w:footnoteRef/>
      </w:r>
      <w:r>
        <w:t xml:space="preserve"> 57 FR 28116.</w:t>
      </w:r>
    </w:p>
  </w:footnote>
  <w:footnote w:id="5">
    <w:p w:rsidR="00337D78" w14:paraId="26481D32" w14:textId="32824342">
      <w:pPr>
        <w:pStyle w:val="FootnoteText"/>
      </w:pPr>
      <w:r>
        <w:rPr>
          <w:rStyle w:val="FootnoteReference"/>
        </w:rPr>
        <w:footnoteRef/>
      </w:r>
      <w:r>
        <w:t xml:space="preserve"> 75 FR 4128</w:t>
      </w:r>
      <w:r w:rsidR="00AC0248">
        <w:t>2</w:t>
      </w:r>
      <w:r w:rsidR="001C52F1">
        <w:t>.</w:t>
      </w:r>
    </w:p>
  </w:footnote>
  <w:footnote w:id="6">
    <w:p w:rsidR="00392D8F" w14:paraId="3A0AACDC" w14:textId="4C798A90">
      <w:pPr>
        <w:pStyle w:val="FootnoteText"/>
      </w:pPr>
      <w:r>
        <w:rPr>
          <w:rStyle w:val="FootnoteReference"/>
        </w:rPr>
        <w:footnoteRef/>
      </w:r>
      <w:r>
        <w:t xml:space="preserve"> </w:t>
      </w:r>
      <w:r w:rsidRPr="00392D8F">
        <w:t>49 CFR 1.89(a)</w:t>
      </w:r>
      <w:r w:rsidR="001C52F1">
        <w:t>.</w:t>
      </w:r>
    </w:p>
  </w:footnote>
  <w:footnote w:id="7">
    <w:p w:rsidR="00452E41" w14:paraId="6AB60D93" w14:textId="5EF4E924">
      <w:pPr>
        <w:pStyle w:val="FootnoteText"/>
      </w:pPr>
      <w:r>
        <w:rPr>
          <w:rStyle w:val="FootnoteReference"/>
        </w:rPr>
        <w:footnoteRef/>
      </w:r>
      <w:r>
        <w:t xml:space="preserve">90 FR </w:t>
      </w:r>
      <w:r w:rsidR="00A02C3B">
        <w:t>55776</w:t>
      </w:r>
      <w:r w:rsidR="00987E08">
        <w:t>.</w:t>
      </w:r>
      <w:r>
        <w:t xml:space="preserve"> </w:t>
      </w:r>
    </w:p>
  </w:footnote>
  <w:footnote w:id="8">
    <w:p w:rsidR="00147379" w:rsidRPr="00372A00" w:rsidP="00147379" w14:paraId="20B9FB6B" w14:textId="77777777">
      <w:pPr>
        <w:pStyle w:val="FootnoteText"/>
      </w:pPr>
      <w:r w:rsidRPr="00372A00">
        <w:rPr>
          <w:rStyle w:val="FootnoteReference"/>
        </w:rPr>
        <w:footnoteRef/>
      </w:r>
      <w:r w:rsidRPr="00372A00">
        <w:t xml:space="preserve"> </w:t>
      </w:r>
      <w:r w:rsidRPr="00906714">
        <w:t xml:space="preserve">The dollar equivalent cost is derived from the 2023 Surface Transportation Board Full Year Wage A&amp;B data series using employee group 200 (Professional Administrative Staff) hourly wage rate of $50.93. </w:t>
      </w:r>
      <w:r>
        <w:t xml:space="preserve"> </w:t>
      </w:r>
      <w:r w:rsidRPr="00906714">
        <w:t>The total burden wage rate (straight time plus 75%) used in the table is $89.13 ($50.93 x 1.75 = $89.13).</w:t>
      </w:r>
    </w:p>
  </w:footnote>
  <w:footnote w:id="9">
    <w:p w:rsidR="00147379" w:rsidP="00E95F92" w14:paraId="19EEF77D" w14:textId="1093F19A">
      <w:pPr>
        <w:pStyle w:val="FootnoteText"/>
      </w:pPr>
      <w:r>
        <w:rPr>
          <w:rStyle w:val="FootnoteReference"/>
        </w:rPr>
        <w:footnoteRef/>
      </w:r>
      <w:r>
        <w:t xml:space="preserve"> </w:t>
      </w:r>
      <w:r w:rsidRPr="008925AC">
        <w:t>For State respondents, the dollar equivalent cost is derived from the</w:t>
      </w:r>
      <w:r>
        <w:t xml:space="preserve"> May 2024</w:t>
      </w:r>
      <w:r w:rsidRPr="008925AC">
        <w:t xml:space="preserve"> Bureau of Labor Statistics</w:t>
      </w:r>
      <w:r>
        <w:t xml:space="preserve"> (BLS)</w:t>
      </w:r>
      <w:r w:rsidRPr="008925AC">
        <w:t xml:space="preserve"> data for management occupations, NAICS 99920—State Government, excluding schools and hospitals, for State government employees.  To calculate the </w:t>
      </w:r>
      <w:r>
        <w:t>total burdened wage rate</w:t>
      </w:r>
      <w:r w:rsidRPr="008925AC">
        <w:t xml:space="preserve">, FRA </w:t>
      </w:r>
      <w:r>
        <w:t xml:space="preserve">multiplied the hourly mean wage rate of $58.14 by </w:t>
      </w:r>
      <w:r w:rsidRPr="008925AC">
        <w:t>75</w:t>
      </w:r>
      <w:r w:rsidR="00A96B9F">
        <w:t xml:space="preserve"> </w:t>
      </w:r>
      <w:r w:rsidRPr="008925AC">
        <w:t>percent for overhead costs</w:t>
      </w:r>
      <w:r>
        <w:t xml:space="preserve"> (</w:t>
      </w:r>
      <w:r w:rsidRPr="008925AC">
        <w:t>$</w:t>
      </w:r>
      <w:r>
        <w:t>58.14</w:t>
      </w:r>
      <w:r w:rsidRPr="008925AC">
        <w:t xml:space="preserve"> per hour * 1.75 = $</w:t>
      </w:r>
      <w:r>
        <w:t>101.75)</w:t>
      </w:r>
      <w:r w:rsidRPr="008925AC">
        <w:t xml:space="preserve">. </w:t>
      </w:r>
    </w:p>
  </w:footnote>
  <w:footnote w:id="10">
    <w:p w:rsidR="004540DA" w:rsidRPr="004540DA" w:rsidP="004540DA" w14:paraId="7BD704F1" w14:textId="77777777">
      <w:pPr>
        <w:pStyle w:val="FootnoteText"/>
      </w:pPr>
      <w:r>
        <w:rPr>
          <w:rStyle w:val="FootnoteReference"/>
        </w:rPr>
        <w:footnoteRef/>
      </w:r>
      <w:r>
        <w:t xml:space="preserve"> </w:t>
      </w:r>
      <w:bookmarkStart w:id="0" w:name="_Hlk215223113"/>
      <w:r w:rsidRPr="004540DA">
        <w:t>The burden associated with § 214.105(c)(4), formerly covered under OMB Control No. 2130-0535, is now combined with the burden under OMB Control No. 2130-0586.</w:t>
      </w:r>
    </w:p>
    <w:bookmarkEnd w:id="0"/>
    <w:p w:rsidR="004540DA" w14:paraId="79B81B4F" w14:textId="02E59CEC">
      <w:pPr>
        <w:pStyle w:val="FootnoteText"/>
      </w:pPr>
    </w:p>
  </w:footnote>
  <w:footnote w:id="11">
    <w:p w:rsidR="00147379" w:rsidP="00147379" w14:paraId="33220D0B" w14:textId="77777777">
      <w:pPr>
        <w:pStyle w:val="FootnoteText"/>
      </w:pPr>
      <w:r>
        <w:rPr>
          <w:rStyle w:val="FootnoteReference"/>
        </w:rPr>
        <w:footnoteRef/>
      </w:r>
      <w:r>
        <w:t xml:space="preserve"> </w:t>
      </w:r>
      <w:r w:rsidRPr="003B1860">
        <w:t>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C4A" w14:paraId="32BAF031"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CF6" w14:paraId="38E78415" w14:textId="1E734A13">
    <w:pPr>
      <w:pStyle w:val="Header"/>
      <w:jc w:val="center"/>
    </w:pPr>
  </w:p>
  <w:p w:rsidR="00C97C4A" w14:paraId="587E24D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5234A"/>
    <w:multiLevelType w:val="hybridMultilevel"/>
    <w:tmpl w:val="6EA2DB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3EA61A6"/>
    <w:multiLevelType w:val="hybridMultilevel"/>
    <w:tmpl w:val="1E420F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740B89"/>
    <w:multiLevelType w:val="hybridMultilevel"/>
    <w:tmpl w:val="5B207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2242201">
    <w:abstractNumId w:val="3"/>
  </w:num>
  <w:num w:numId="2" w16cid:durableId="157642748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731788">
    <w:abstractNumId w:val="0"/>
  </w:num>
  <w:num w:numId="4" w16cid:durableId="607615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8A"/>
    <w:rsid w:val="00000E4B"/>
    <w:rsid w:val="000030D7"/>
    <w:rsid w:val="00004389"/>
    <w:rsid w:val="00004D73"/>
    <w:rsid w:val="00006AFE"/>
    <w:rsid w:val="00011D87"/>
    <w:rsid w:val="00011EEB"/>
    <w:rsid w:val="000148C6"/>
    <w:rsid w:val="00020802"/>
    <w:rsid w:val="000219DB"/>
    <w:rsid w:val="00024083"/>
    <w:rsid w:val="00024C02"/>
    <w:rsid w:val="0002504A"/>
    <w:rsid w:val="000276BC"/>
    <w:rsid w:val="00042CE2"/>
    <w:rsid w:val="000431C7"/>
    <w:rsid w:val="00043B16"/>
    <w:rsid w:val="00052828"/>
    <w:rsid w:val="000607E3"/>
    <w:rsid w:val="0006113F"/>
    <w:rsid w:val="00065C49"/>
    <w:rsid w:val="0007084A"/>
    <w:rsid w:val="00070BDD"/>
    <w:rsid w:val="00071049"/>
    <w:rsid w:val="00075080"/>
    <w:rsid w:val="000766E3"/>
    <w:rsid w:val="0007766C"/>
    <w:rsid w:val="00077B20"/>
    <w:rsid w:val="00080234"/>
    <w:rsid w:val="00080885"/>
    <w:rsid w:val="00081E16"/>
    <w:rsid w:val="000843C2"/>
    <w:rsid w:val="00084B18"/>
    <w:rsid w:val="00084E71"/>
    <w:rsid w:val="00087E53"/>
    <w:rsid w:val="00091BB1"/>
    <w:rsid w:val="00091EE4"/>
    <w:rsid w:val="000A2E30"/>
    <w:rsid w:val="000A3542"/>
    <w:rsid w:val="000B26A9"/>
    <w:rsid w:val="000B4001"/>
    <w:rsid w:val="000B45D7"/>
    <w:rsid w:val="000B5157"/>
    <w:rsid w:val="000B532E"/>
    <w:rsid w:val="000B540E"/>
    <w:rsid w:val="000C231C"/>
    <w:rsid w:val="000C45DA"/>
    <w:rsid w:val="000C4C09"/>
    <w:rsid w:val="000D206F"/>
    <w:rsid w:val="000D43F3"/>
    <w:rsid w:val="000D6F80"/>
    <w:rsid w:val="000E0361"/>
    <w:rsid w:val="000E2B8D"/>
    <w:rsid w:val="000F392C"/>
    <w:rsid w:val="000F4CBA"/>
    <w:rsid w:val="000F5A17"/>
    <w:rsid w:val="00101C4C"/>
    <w:rsid w:val="00123679"/>
    <w:rsid w:val="00124293"/>
    <w:rsid w:val="001251AA"/>
    <w:rsid w:val="00132238"/>
    <w:rsid w:val="00135248"/>
    <w:rsid w:val="001366BD"/>
    <w:rsid w:val="00147379"/>
    <w:rsid w:val="00150D2F"/>
    <w:rsid w:val="00151D60"/>
    <w:rsid w:val="0016086E"/>
    <w:rsid w:val="0016175D"/>
    <w:rsid w:val="001627EA"/>
    <w:rsid w:val="001628DC"/>
    <w:rsid w:val="00164DED"/>
    <w:rsid w:val="00165DB6"/>
    <w:rsid w:val="00167287"/>
    <w:rsid w:val="00173CF5"/>
    <w:rsid w:val="00176A41"/>
    <w:rsid w:val="00181D50"/>
    <w:rsid w:val="00187C30"/>
    <w:rsid w:val="001911B7"/>
    <w:rsid w:val="00191CA3"/>
    <w:rsid w:val="0019391E"/>
    <w:rsid w:val="001950CD"/>
    <w:rsid w:val="001965C5"/>
    <w:rsid w:val="001A1D53"/>
    <w:rsid w:val="001A29AC"/>
    <w:rsid w:val="001A5561"/>
    <w:rsid w:val="001B1DC7"/>
    <w:rsid w:val="001B2E1E"/>
    <w:rsid w:val="001B3783"/>
    <w:rsid w:val="001B67E5"/>
    <w:rsid w:val="001B7A5C"/>
    <w:rsid w:val="001B7BE7"/>
    <w:rsid w:val="001C33E9"/>
    <w:rsid w:val="001C38C5"/>
    <w:rsid w:val="001C4C7C"/>
    <w:rsid w:val="001C52F1"/>
    <w:rsid w:val="001C62BF"/>
    <w:rsid w:val="001C7B4A"/>
    <w:rsid w:val="001D7BD5"/>
    <w:rsid w:val="001E55A8"/>
    <w:rsid w:val="001F178D"/>
    <w:rsid w:val="001F1913"/>
    <w:rsid w:val="001F200A"/>
    <w:rsid w:val="001F620E"/>
    <w:rsid w:val="001F7E3E"/>
    <w:rsid w:val="00200B21"/>
    <w:rsid w:val="00201A3E"/>
    <w:rsid w:val="002035D5"/>
    <w:rsid w:val="00203B93"/>
    <w:rsid w:val="00206467"/>
    <w:rsid w:val="00206B1E"/>
    <w:rsid w:val="002076D6"/>
    <w:rsid w:val="00212235"/>
    <w:rsid w:val="00213064"/>
    <w:rsid w:val="00213141"/>
    <w:rsid w:val="00213EE8"/>
    <w:rsid w:val="002208CC"/>
    <w:rsid w:val="00221A69"/>
    <w:rsid w:val="0022470E"/>
    <w:rsid w:val="00224807"/>
    <w:rsid w:val="00224F80"/>
    <w:rsid w:val="00226034"/>
    <w:rsid w:val="002261BA"/>
    <w:rsid w:val="00230C96"/>
    <w:rsid w:val="00240734"/>
    <w:rsid w:val="002428D1"/>
    <w:rsid w:val="00243E6D"/>
    <w:rsid w:val="00246B40"/>
    <w:rsid w:val="00253E5C"/>
    <w:rsid w:val="00257773"/>
    <w:rsid w:val="0026135D"/>
    <w:rsid w:val="00262504"/>
    <w:rsid w:val="00262FEC"/>
    <w:rsid w:val="00265804"/>
    <w:rsid w:val="002675A1"/>
    <w:rsid w:val="00270677"/>
    <w:rsid w:val="00272109"/>
    <w:rsid w:val="00272AC2"/>
    <w:rsid w:val="00272E82"/>
    <w:rsid w:val="0027372C"/>
    <w:rsid w:val="00274CAF"/>
    <w:rsid w:val="00275DFF"/>
    <w:rsid w:val="002808F7"/>
    <w:rsid w:val="00283CCD"/>
    <w:rsid w:val="00286453"/>
    <w:rsid w:val="00287B40"/>
    <w:rsid w:val="00295D60"/>
    <w:rsid w:val="00296B68"/>
    <w:rsid w:val="002A54EE"/>
    <w:rsid w:val="002A6A9D"/>
    <w:rsid w:val="002A6CB8"/>
    <w:rsid w:val="002B52B7"/>
    <w:rsid w:val="002B7FD6"/>
    <w:rsid w:val="002C0F53"/>
    <w:rsid w:val="002C143F"/>
    <w:rsid w:val="002C36C1"/>
    <w:rsid w:val="002C3963"/>
    <w:rsid w:val="002C3FE3"/>
    <w:rsid w:val="002C531D"/>
    <w:rsid w:val="002D278A"/>
    <w:rsid w:val="002D7121"/>
    <w:rsid w:val="002E02CE"/>
    <w:rsid w:val="002E6178"/>
    <w:rsid w:val="002F2896"/>
    <w:rsid w:val="002F4CD3"/>
    <w:rsid w:val="003164FA"/>
    <w:rsid w:val="003221AC"/>
    <w:rsid w:val="0032666E"/>
    <w:rsid w:val="003279CB"/>
    <w:rsid w:val="00330774"/>
    <w:rsid w:val="00330E26"/>
    <w:rsid w:val="00332238"/>
    <w:rsid w:val="00332AA5"/>
    <w:rsid w:val="003346DB"/>
    <w:rsid w:val="00337D78"/>
    <w:rsid w:val="00341053"/>
    <w:rsid w:val="00341FE6"/>
    <w:rsid w:val="003422BE"/>
    <w:rsid w:val="00353C4F"/>
    <w:rsid w:val="003542D2"/>
    <w:rsid w:val="003548B4"/>
    <w:rsid w:val="00355CF2"/>
    <w:rsid w:val="00356226"/>
    <w:rsid w:val="0036066D"/>
    <w:rsid w:val="0036149B"/>
    <w:rsid w:val="00361A4F"/>
    <w:rsid w:val="003703ED"/>
    <w:rsid w:val="00372A00"/>
    <w:rsid w:val="00372C3C"/>
    <w:rsid w:val="00372F0F"/>
    <w:rsid w:val="00374049"/>
    <w:rsid w:val="0037525B"/>
    <w:rsid w:val="00375F9A"/>
    <w:rsid w:val="003761D7"/>
    <w:rsid w:val="0038422E"/>
    <w:rsid w:val="00384E73"/>
    <w:rsid w:val="0039059F"/>
    <w:rsid w:val="00391B3B"/>
    <w:rsid w:val="00391CA4"/>
    <w:rsid w:val="003928A3"/>
    <w:rsid w:val="00392D8F"/>
    <w:rsid w:val="003946A8"/>
    <w:rsid w:val="0039529C"/>
    <w:rsid w:val="00395F3B"/>
    <w:rsid w:val="003A3D6E"/>
    <w:rsid w:val="003B116A"/>
    <w:rsid w:val="003B1860"/>
    <w:rsid w:val="003B4916"/>
    <w:rsid w:val="003B6B82"/>
    <w:rsid w:val="003C17C5"/>
    <w:rsid w:val="003C219F"/>
    <w:rsid w:val="003C5B4D"/>
    <w:rsid w:val="003C6E7C"/>
    <w:rsid w:val="003C7B8A"/>
    <w:rsid w:val="003D18F4"/>
    <w:rsid w:val="003E0206"/>
    <w:rsid w:val="003E4B35"/>
    <w:rsid w:val="003E6967"/>
    <w:rsid w:val="003F190A"/>
    <w:rsid w:val="003F2277"/>
    <w:rsid w:val="003F301A"/>
    <w:rsid w:val="003F79FB"/>
    <w:rsid w:val="00406BB6"/>
    <w:rsid w:val="004103BD"/>
    <w:rsid w:val="00411C78"/>
    <w:rsid w:val="004148F1"/>
    <w:rsid w:val="0041675E"/>
    <w:rsid w:val="00417592"/>
    <w:rsid w:val="00420433"/>
    <w:rsid w:val="00420E6C"/>
    <w:rsid w:val="00422DA5"/>
    <w:rsid w:val="00423533"/>
    <w:rsid w:val="0042476C"/>
    <w:rsid w:val="004261D5"/>
    <w:rsid w:val="00426384"/>
    <w:rsid w:val="00426A78"/>
    <w:rsid w:val="00430A02"/>
    <w:rsid w:val="00434964"/>
    <w:rsid w:val="0043609C"/>
    <w:rsid w:val="00437BB2"/>
    <w:rsid w:val="00437BDF"/>
    <w:rsid w:val="00445A97"/>
    <w:rsid w:val="004467FC"/>
    <w:rsid w:val="004507EC"/>
    <w:rsid w:val="00452977"/>
    <w:rsid w:val="00452E41"/>
    <w:rsid w:val="004540DA"/>
    <w:rsid w:val="00454134"/>
    <w:rsid w:val="004559D4"/>
    <w:rsid w:val="00455C16"/>
    <w:rsid w:val="00456960"/>
    <w:rsid w:val="00460D2D"/>
    <w:rsid w:val="0046154B"/>
    <w:rsid w:val="004620E0"/>
    <w:rsid w:val="0046217C"/>
    <w:rsid w:val="004638FD"/>
    <w:rsid w:val="00463BEB"/>
    <w:rsid w:val="00465860"/>
    <w:rsid w:val="004669D3"/>
    <w:rsid w:val="00470DA0"/>
    <w:rsid w:val="00470E1F"/>
    <w:rsid w:val="004725EC"/>
    <w:rsid w:val="00474C1C"/>
    <w:rsid w:val="004762CC"/>
    <w:rsid w:val="004823B5"/>
    <w:rsid w:val="00483FED"/>
    <w:rsid w:val="00486C6D"/>
    <w:rsid w:val="00492371"/>
    <w:rsid w:val="00493D0B"/>
    <w:rsid w:val="004A0122"/>
    <w:rsid w:val="004A2BF8"/>
    <w:rsid w:val="004B5B78"/>
    <w:rsid w:val="004C0597"/>
    <w:rsid w:val="004C2C21"/>
    <w:rsid w:val="004D763C"/>
    <w:rsid w:val="004D7A46"/>
    <w:rsid w:val="004E327D"/>
    <w:rsid w:val="004E3733"/>
    <w:rsid w:val="004E3CFD"/>
    <w:rsid w:val="004E3DA2"/>
    <w:rsid w:val="004E4B76"/>
    <w:rsid w:val="004E6AD3"/>
    <w:rsid w:val="004F18FE"/>
    <w:rsid w:val="004F2420"/>
    <w:rsid w:val="004F3235"/>
    <w:rsid w:val="004F47B9"/>
    <w:rsid w:val="004F648D"/>
    <w:rsid w:val="00502811"/>
    <w:rsid w:val="00504443"/>
    <w:rsid w:val="00504FFD"/>
    <w:rsid w:val="005065D4"/>
    <w:rsid w:val="005118C1"/>
    <w:rsid w:val="005127CC"/>
    <w:rsid w:val="00512FF5"/>
    <w:rsid w:val="005132D6"/>
    <w:rsid w:val="00531062"/>
    <w:rsid w:val="00532DE1"/>
    <w:rsid w:val="005338EB"/>
    <w:rsid w:val="00534236"/>
    <w:rsid w:val="005413D6"/>
    <w:rsid w:val="00541DF7"/>
    <w:rsid w:val="00542A50"/>
    <w:rsid w:val="005537E1"/>
    <w:rsid w:val="005567F4"/>
    <w:rsid w:val="00556967"/>
    <w:rsid w:val="00562A62"/>
    <w:rsid w:val="00563922"/>
    <w:rsid w:val="00563971"/>
    <w:rsid w:val="0057214F"/>
    <w:rsid w:val="00575CDA"/>
    <w:rsid w:val="005831DE"/>
    <w:rsid w:val="00583EA9"/>
    <w:rsid w:val="00591471"/>
    <w:rsid w:val="005934FD"/>
    <w:rsid w:val="00596BA2"/>
    <w:rsid w:val="005A2596"/>
    <w:rsid w:val="005A2FC0"/>
    <w:rsid w:val="005A331A"/>
    <w:rsid w:val="005A563F"/>
    <w:rsid w:val="005A7C61"/>
    <w:rsid w:val="005B23E8"/>
    <w:rsid w:val="005B6B15"/>
    <w:rsid w:val="005C3516"/>
    <w:rsid w:val="005C3A18"/>
    <w:rsid w:val="005C48F3"/>
    <w:rsid w:val="005C51A1"/>
    <w:rsid w:val="005C5CDF"/>
    <w:rsid w:val="005D56B1"/>
    <w:rsid w:val="005D76FF"/>
    <w:rsid w:val="005E3691"/>
    <w:rsid w:val="005E526F"/>
    <w:rsid w:val="005E7984"/>
    <w:rsid w:val="005F1102"/>
    <w:rsid w:val="005F3920"/>
    <w:rsid w:val="005F6140"/>
    <w:rsid w:val="00602C82"/>
    <w:rsid w:val="006038C1"/>
    <w:rsid w:val="00604B1E"/>
    <w:rsid w:val="0061132E"/>
    <w:rsid w:val="00612DE9"/>
    <w:rsid w:val="006146A1"/>
    <w:rsid w:val="00616C62"/>
    <w:rsid w:val="0062010E"/>
    <w:rsid w:val="00621AB9"/>
    <w:rsid w:val="006237A1"/>
    <w:rsid w:val="00631429"/>
    <w:rsid w:val="00632045"/>
    <w:rsid w:val="00634C76"/>
    <w:rsid w:val="00637B16"/>
    <w:rsid w:val="0064209C"/>
    <w:rsid w:val="00645B88"/>
    <w:rsid w:val="00647F40"/>
    <w:rsid w:val="00653129"/>
    <w:rsid w:val="006531A2"/>
    <w:rsid w:val="00653CA8"/>
    <w:rsid w:val="00656668"/>
    <w:rsid w:val="00662E46"/>
    <w:rsid w:val="00664CCB"/>
    <w:rsid w:val="00667B69"/>
    <w:rsid w:val="00672138"/>
    <w:rsid w:val="006732DF"/>
    <w:rsid w:val="0067781C"/>
    <w:rsid w:val="0067787A"/>
    <w:rsid w:val="00682CEB"/>
    <w:rsid w:val="006841EC"/>
    <w:rsid w:val="00692864"/>
    <w:rsid w:val="006A576B"/>
    <w:rsid w:val="006A74D5"/>
    <w:rsid w:val="006B00ED"/>
    <w:rsid w:val="006B58CF"/>
    <w:rsid w:val="006C1B76"/>
    <w:rsid w:val="006C21D2"/>
    <w:rsid w:val="006C54C3"/>
    <w:rsid w:val="006C7A55"/>
    <w:rsid w:val="006D0950"/>
    <w:rsid w:val="006D67A7"/>
    <w:rsid w:val="006E6060"/>
    <w:rsid w:val="006F4254"/>
    <w:rsid w:val="007007B2"/>
    <w:rsid w:val="00710FEF"/>
    <w:rsid w:val="0071418B"/>
    <w:rsid w:val="00717590"/>
    <w:rsid w:val="0072282F"/>
    <w:rsid w:val="007251F5"/>
    <w:rsid w:val="00730AA7"/>
    <w:rsid w:val="00737133"/>
    <w:rsid w:val="007377C9"/>
    <w:rsid w:val="0075356C"/>
    <w:rsid w:val="00754CD3"/>
    <w:rsid w:val="007555CF"/>
    <w:rsid w:val="007570F9"/>
    <w:rsid w:val="00757547"/>
    <w:rsid w:val="007600E8"/>
    <w:rsid w:val="00764DE5"/>
    <w:rsid w:val="00767FEC"/>
    <w:rsid w:val="00770391"/>
    <w:rsid w:val="0077186F"/>
    <w:rsid w:val="00774952"/>
    <w:rsid w:val="00776C7E"/>
    <w:rsid w:val="00777943"/>
    <w:rsid w:val="00777D08"/>
    <w:rsid w:val="0078231D"/>
    <w:rsid w:val="00785A29"/>
    <w:rsid w:val="00785F80"/>
    <w:rsid w:val="007914F8"/>
    <w:rsid w:val="00791E4A"/>
    <w:rsid w:val="00796187"/>
    <w:rsid w:val="00796A64"/>
    <w:rsid w:val="007A12CA"/>
    <w:rsid w:val="007A78A0"/>
    <w:rsid w:val="007A7E82"/>
    <w:rsid w:val="007B0891"/>
    <w:rsid w:val="007B319B"/>
    <w:rsid w:val="007B4AC6"/>
    <w:rsid w:val="007B4DA6"/>
    <w:rsid w:val="007B732E"/>
    <w:rsid w:val="007B7A15"/>
    <w:rsid w:val="007D67F0"/>
    <w:rsid w:val="007D6CEA"/>
    <w:rsid w:val="007D7696"/>
    <w:rsid w:val="007E686C"/>
    <w:rsid w:val="007F047B"/>
    <w:rsid w:val="007F3E32"/>
    <w:rsid w:val="007F4143"/>
    <w:rsid w:val="00800894"/>
    <w:rsid w:val="00800DC2"/>
    <w:rsid w:val="008104D0"/>
    <w:rsid w:val="0081398E"/>
    <w:rsid w:val="00813F36"/>
    <w:rsid w:val="00815E19"/>
    <w:rsid w:val="0081684B"/>
    <w:rsid w:val="0082440D"/>
    <w:rsid w:val="008330DD"/>
    <w:rsid w:val="00836866"/>
    <w:rsid w:val="00840450"/>
    <w:rsid w:val="00843D25"/>
    <w:rsid w:val="0084546C"/>
    <w:rsid w:val="00847853"/>
    <w:rsid w:val="00851602"/>
    <w:rsid w:val="00853E1D"/>
    <w:rsid w:val="0085479C"/>
    <w:rsid w:val="00855CB7"/>
    <w:rsid w:val="00855DAF"/>
    <w:rsid w:val="00855F6D"/>
    <w:rsid w:val="00862380"/>
    <w:rsid w:val="008639E7"/>
    <w:rsid w:val="00864492"/>
    <w:rsid w:val="00865A23"/>
    <w:rsid w:val="008706D4"/>
    <w:rsid w:val="00870B51"/>
    <w:rsid w:val="0087445E"/>
    <w:rsid w:val="00877450"/>
    <w:rsid w:val="00882BF0"/>
    <w:rsid w:val="00882F79"/>
    <w:rsid w:val="008835B9"/>
    <w:rsid w:val="008925AC"/>
    <w:rsid w:val="008958DB"/>
    <w:rsid w:val="00897976"/>
    <w:rsid w:val="008A27CD"/>
    <w:rsid w:val="008A4B82"/>
    <w:rsid w:val="008A524A"/>
    <w:rsid w:val="008A5B6D"/>
    <w:rsid w:val="008A6CFA"/>
    <w:rsid w:val="008B076E"/>
    <w:rsid w:val="008B2008"/>
    <w:rsid w:val="008B6DA5"/>
    <w:rsid w:val="008C0662"/>
    <w:rsid w:val="008C3E2D"/>
    <w:rsid w:val="008C4C9F"/>
    <w:rsid w:val="008C6371"/>
    <w:rsid w:val="008D1A5B"/>
    <w:rsid w:val="008E03A3"/>
    <w:rsid w:val="008E1B38"/>
    <w:rsid w:val="008E2E20"/>
    <w:rsid w:val="008E2FCF"/>
    <w:rsid w:val="008F025F"/>
    <w:rsid w:val="008F2DA3"/>
    <w:rsid w:val="008F5476"/>
    <w:rsid w:val="008F61F5"/>
    <w:rsid w:val="008F7D60"/>
    <w:rsid w:val="00900FD0"/>
    <w:rsid w:val="00904CD1"/>
    <w:rsid w:val="0090585B"/>
    <w:rsid w:val="0090601A"/>
    <w:rsid w:val="00906714"/>
    <w:rsid w:val="00917C5C"/>
    <w:rsid w:val="00927DF1"/>
    <w:rsid w:val="009327F0"/>
    <w:rsid w:val="00937844"/>
    <w:rsid w:val="00937A38"/>
    <w:rsid w:val="00944444"/>
    <w:rsid w:val="0095120B"/>
    <w:rsid w:val="00952096"/>
    <w:rsid w:val="00952FC5"/>
    <w:rsid w:val="00953753"/>
    <w:rsid w:val="009559CF"/>
    <w:rsid w:val="00956606"/>
    <w:rsid w:val="00957DDB"/>
    <w:rsid w:val="00962B41"/>
    <w:rsid w:val="00963C82"/>
    <w:rsid w:val="00963FC0"/>
    <w:rsid w:val="0096458E"/>
    <w:rsid w:val="00964CEF"/>
    <w:rsid w:val="00967F1B"/>
    <w:rsid w:val="00970269"/>
    <w:rsid w:val="00970B30"/>
    <w:rsid w:val="00971095"/>
    <w:rsid w:val="009723B0"/>
    <w:rsid w:val="00973C06"/>
    <w:rsid w:val="00973C1E"/>
    <w:rsid w:val="0097570B"/>
    <w:rsid w:val="00981E23"/>
    <w:rsid w:val="00987448"/>
    <w:rsid w:val="00987E08"/>
    <w:rsid w:val="009A19E5"/>
    <w:rsid w:val="009A1CBD"/>
    <w:rsid w:val="009A2955"/>
    <w:rsid w:val="009A357A"/>
    <w:rsid w:val="009A434B"/>
    <w:rsid w:val="009A4CC9"/>
    <w:rsid w:val="009A6154"/>
    <w:rsid w:val="009A768C"/>
    <w:rsid w:val="009B0346"/>
    <w:rsid w:val="009B1919"/>
    <w:rsid w:val="009B2887"/>
    <w:rsid w:val="009B543A"/>
    <w:rsid w:val="009B738E"/>
    <w:rsid w:val="009C0039"/>
    <w:rsid w:val="009C1BCB"/>
    <w:rsid w:val="009C2125"/>
    <w:rsid w:val="009C6C0A"/>
    <w:rsid w:val="009C7402"/>
    <w:rsid w:val="009D01BF"/>
    <w:rsid w:val="009D0BDF"/>
    <w:rsid w:val="009D0CB2"/>
    <w:rsid w:val="009D2DB4"/>
    <w:rsid w:val="009D306D"/>
    <w:rsid w:val="009F57D7"/>
    <w:rsid w:val="00A01BE8"/>
    <w:rsid w:val="00A02C3B"/>
    <w:rsid w:val="00A10EC0"/>
    <w:rsid w:val="00A1426A"/>
    <w:rsid w:val="00A17FBE"/>
    <w:rsid w:val="00A20C36"/>
    <w:rsid w:val="00A216F3"/>
    <w:rsid w:val="00A234E1"/>
    <w:rsid w:val="00A2530A"/>
    <w:rsid w:val="00A25568"/>
    <w:rsid w:val="00A25A53"/>
    <w:rsid w:val="00A26A80"/>
    <w:rsid w:val="00A26FC4"/>
    <w:rsid w:val="00A3042A"/>
    <w:rsid w:val="00A3183D"/>
    <w:rsid w:val="00A36794"/>
    <w:rsid w:val="00A4291F"/>
    <w:rsid w:val="00A43A24"/>
    <w:rsid w:val="00A44BC5"/>
    <w:rsid w:val="00A4557C"/>
    <w:rsid w:val="00A4766A"/>
    <w:rsid w:val="00A5006F"/>
    <w:rsid w:val="00A52D16"/>
    <w:rsid w:val="00A56CB9"/>
    <w:rsid w:val="00A60EC7"/>
    <w:rsid w:val="00A6153E"/>
    <w:rsid w:val="00A62224"/>
    <w:rsid w:val="00A633C2"/>
    <w:rsid w:val="00A702C5"/>
    <w:rsid w:val="00A712E9"/>
    <w:rsid w:val="00A745A2"/>
    <w:rsid w:val="00A751D3"/>
    <w:rsid w:val="00A82343"/>
    <w:rsid w:val="00A844E9"/>
    <w:rsid w:val="00A85CAA"/>
    <w:rsid w:val="00A87399"/>
    <w:rsid w:val="00A90569"/>
    <w:rsid w:val="00A908BA"/>
    <w:rsid w:val="00A96B9F"/>
    <w:rsid w:val="00AA080C"/>
    <w:rsid w:val="00AA10A9"/>
    <w:rsid w:val="00AA25CD"/>
    <w:rsid w:val="00AA4D88"/>
    <w:rsid w:val="00AA66E3"/>
    <w:rsid w:val="00AA7DE3"/>
    <w:rsid w:val="00AB171F"/>
    <w:rsid w:val="00AC0248"/>
    <w:rsid w:val="00AC0587"/>
    <w:rsid w:val="00AD2560"/>
    <w:rsid w:val="00AD2D32"/>
    <w:rsid w:val="00AD32D6"/>
    <w:rsid w:val="00AD492F"/>
    <w:rsid w:val="00AD4CCE"/>
    <w:rsid w:val="00AE18BC"/>
    <w:rsid w:val="00AE2054"/>
    <w:rsid w:val="00AE5F5D"/>
    <w:rsid w:val="00AE7FC6"/>
    <w:rsid w:val="00AF328D"/>
    <w:rsid w:val="00AF4637"/>
    <w:rsid w:val="00AF6839"/>
    <w:rsid w:val="00AF7B3F"/>
    <w:rsid w:val="00B03569"/>
    <w:rsid w:val="00B040F4"/>
    <w:rsid w:val="00B04CB9"/>
    <w:rsid w:val="00B0667C"/>
    <w:rsid w:val="00B10F89"/>
    <w:rsid w:val="00B11590"/>
    <w:rsid w:val="00B16B70"/>
    <w:rsid w:val="00B21C0A"/>
    <w:rsid w:val="00B21D4A"/>
    <w:rsid w:val="00B30CAE"/>
    <w:rsid w:val="00B33B9A"/>
    <w:rsid w:val="00B33C3C"/>
    <w:rsid w:val="00B37CC3"/>
    <w:rsid w:val="00B41EB3"/>
    <w:rsid w:val="00B45689"/>
    <w:rsid w:val="00B45EA6"/>
    <w:rsid w:val="00B47B13"/>
    <w:rsid w:val="00B47D5F"/>
    <w:rsid w:val="00B52964"/>
    <w:rsid w:val="00B52D8A"/>
    <w:rsid w:val="00B56E63"/>
    <w:rsid w:val="00B57407"/>
    <w:rsid w:val="00B57F36"/>
    <w:rsid w:val="00B6209E"/>
    <w:rsid w:val="00B64C66"/>
    <w:rsid w:val="00B650F2"/>
    <w:rsid w:val="00B6531E"/>
    <w:rsid w:val="00B677F6"/>
    <w:rsid w:val="00B67D0D"/>
    <w:rsid w:val="00B77E7C"/>
    <w:rsid w:val="00B8239B"/>
    <w:rsid w:val="00B86F03"/>
    <w:rsid w:val="00B931BD"/>
    <w:rsid w:val="00BA685E"/>
    <w:rsid w:val="00BB129D"/>
    <w:rsid w:val="00BB37F7"/>
    <w:rsid w:val="00BB41E8"/>
    <w:rsid w:val="00BB4245"/>
    <w:rsid w:val="00BB66A7"/>
    <w:rsid w:val="00BB6A94"/>
    <w:rsid w:val="00BB6D88"/>
    <w:rsid w:val="00BB7D5A"/>
    <w:rsid w:val="00BC39C6"/>
    <w:rsid w:val="00BD4DFD"/>
    <w:rsid w:val="00BE27DB"/>
    <w:rsid w:val="00BE28A4"/>
    <w:rsid w:val="00BF2274"/>
    <w:rsid w:val="00C0301A"/>
    <w:rsid w:val="00C077C4"/>
    <w:rsid w:val="00C12BB2"/>
    <w:rsid w:val="00C17ABA"/>
    <w:rsid w:val="00C276DB"/>
    <w:rsid w:val="00C322A6"/>
    <w:rsid w:val="00C40D11"/>
    <w:rsid w:val="00C45740"/>
    <w:rsid w:val="00C45B96"/>
    <w:rsid w:val="00C55A0C"/>
    <w:rsid w:val="00C60497"/>
    <w:rsid w:val="00C60599"/>
    <w:rsid w:val="00C60758"/>
    <w:rsid w:val="00C63E22"/>
    <w:rsid w:val="00C64FDA"/>
    <w:rsid w:val="00C66DC7"/>
    <w:rsid w:val="00C67177"/>
    <w:rsid w:val="00C6725F"/>
    <w:rsid w:val="00C7250F"/>
    <w:rsid w:val="00C728DB"/>
    <w:rsid w:val="00C77956"/>
    <w:rsid w:val="00C8479F"/>
    <w:rsid w:val="00C861CB"/>
    <w:rsid w:val="00C919FF"/>
    <w:rsid w:val="00C93906"/>
    <w:rsid w:val="00C95996"/>
    <w:rsid w:val="00C9724E"/>
    <w:rsid w:val="00C97C4A"/>
    <w:rsid w:val="00CA23F5"/>
    <w:rsid w:val="00CA2A78"/>
    <w:rsid w:val="00CA726D"/>
    <w:rsid w:val="00CB5555"/>
    <w:rsid w:val="00CB5E36"/>
    <w:rsid w:val="00CB69CB"/>
    <w:rsid w:val="00CB7617"/>
    <w:rsid w:val="00CC55DD"/>
    <w:rsid w:val="00CC7A69"/>
    <w:rsid w:val="00CD0D7D"/>
    <w:rsid w:val="00CD5322"/>
    <w:rsid w:val="00CD6C5F"/>
    <w:rsid w:val="00CE2E0C"/>
    <w:rsid w:val="00CE4F4D"/>
    <w:rsid w:val="00CF0258"/>
    <w:rsid w:val="00D05658"/>
    <w:rsid w:val="00D05B0B"/>
    <w:rsid w:val="00D1086F"/>
    <w:rsid w:val="00D1281C"/>
    <w:rsid w:val="00D137EB"/>
    <w:rsid w:val="00D14072"/>
    <w:rsid w:val="00D15051"/>
    <w:rsid w:val="00D15CF6"/>
    <w:rsid w:val="00D167D9"/>
    <w:rsid w:val="00D17F30"/>
    <w:rsid w:val="00D17F5D"/>
    <w:rsid w:val="00D21801"/>
    <w:rsid w:val="00D21B40"/>
    <w:rsid w:val="00D21F43"/>
    <w:rsid w:val="00D22711"/>
    <w:rsid w:val="00D24505"/>
    <w:rsid w:val="00D25AD8"/>
    <w:rsid w:val="00D31AE9"/>
    <w:rsid w:val="00D32AC6"/>
    <w:rsid w:val="00D32BD3"/>
    <w:rsid w:val="00D33E3B"/>
    <w:rsid w:val="00D34066"/>
    <w:rsid w:val="00D35C03"/>
    <w:rsid w:val="00D45861"/>
    <w:rsid w:val="00D47DF9"/>
    <w:rsid w:val="00D50B06"/>
    <w:rsid w:val="00D50DCC"/>
    <w:rsid w:val="00D51AF4"/>
    <w:rsid w:val="00D5366E"/>
    <w:rsid w:val="00D56496"/>
    <w:rsid w:val="00D56636"/>
    <w:rsid w:val="00D57374"/>
    <w:rsid w:val="00D57B5A"/>
    <w:rsid w:val="00D63EE4"/>
    <w:rsid w:val="00D65FFA"/>
    <w:rsid w:val="00D736EE"/>
    <w:rsid w:val="00D73D69"/>
    <w:rsid w:val="00D76A76"/>
    <w:rsid w:val="00D80610"/>
    <w:rsid w:val="00D81864"/>
    <w:rsid w:val="00D92EC0"/>
    <w:rsid w:val="00D96243"/>
    <w:rsid w:val="00DA0165"/>
    <w:rsid w:val="00DA48B7"/>
    <w:rsid w:val="00DA6BC5"/>
    <w:rsid w:val="00DA75BE"/>
    <w:rsid w:val="00DB1A8F"/>
    <w:rsid w:val="00DB47FB"/>
    <w:rsid w:val="00DC02E1"/>
    <w:rsid w:val="00DC1B76"/>
    <w:rsid w:val="00DC3909"/>
    <w:rsid w:val="00DC4FD2"/>
    <w:rsid w:val="00DC57B5"/>
    <w:rsid w:val="00DC6D77"/>
    <w:rsid w:val="00DD2295"/>
    <w:rsid w:val="00DD5D59"/>
    <w:rsid w:val="00DE243C"/>
    <w:rsid w:val="00DE4AB6"/>
    <w:rsid w:val="00DF1D37"/>
    <w:rsid w:val="00DF2226"/>
    <w:rsid w:val="00DF2BDD"/>
    <w:rsid w:val="00DF438F"/>
    <w:rsid w:val="00DF6DE0"/>
    <w:rsid w:val="00E00DA0"/>
    <w:rsid w:val="00E0364A"/>
    <w:rsid w:val="00E075D2"/>
    <w:rsid w:val="00E07BAA"/>
    <w:rsid w:val="00E11AB1"/>
    <w:rsid w:val="00E123BA"/>
    <w:rsid w:val="00E136C8"/>
    <w:rsid w:val="00E20CD0"/>
    <w:rsid w:val="00E23850"/>
    <w:rsid w:val="00E248AF"/>
    <w:rsid w:val="00E25803"/>
    <w:rsid w:val="00E25A0F"/>
    <w:rsid w:val="00E261DA"/>
    <w:rsid w:val="00E26684"/>
    <w:rsid w:val="00E26E59"/>
    <w:rsid w:val="00E32638"/>
    <w:rsid w:val="00E33A42"/>
    <w:rsid w:val="00E34AE9"/>
    <w:rsid w:val="00E374FB"/>
    <w:rsid w:val="00E42799"/>
    <w:rsid w:val="00E44FEA"/>
    <w:rsid w:val="00E470AD"/>
    <w:rsid w:val="00E50725"/>
    <w:rsid w:val="00E56283"/>
    <w:rsid w:val="00E564DE"/>
    <w:rsid w:val="00E56AB5"/>
    <w:rsid w:val="00E63F04"/>
    <w:rsid w:val="00E71F36"/>
    <w:rsid w:val="00E76598"/>
    <w:rsid w:val="00E77366"/>
    <w:rsid w:val="00E80AED"/>
    <w:rsid w:val="00E83F34"/>
    <w:rsid w:val="00E84508"/>
    <w:rsid w:val="00E9129A"/>
    <w:rsid w:val="00E929A0"/>
    <w:rsid w:val="00E92CD2"/>
    <w:rsid w:val="00E9419F"/>
    <w:rsid w:val="00E950E8"/>
    <w:rsid w:val="00E95F92"/>
    <w:rsid w:val="00EA1A99"/>
    <w:rsid w:val="00EA25C5"/>
    <w:rsid w:val="00EA3E95"/>
    <w:rsid w:val="00EB0199"/>
    <w:rsid w:val="00EB2132"/>
    <w:rsid w:val="00EB58DF"/>
    <w:rsid w:val="00EB668B"/>
    <w:rsid w:val="00EC100B"/>
    <w:rsid w:val="00EC1CC7"/>
    <w:rsid w:val="00EC401C"/>
    <w:rsid w:val="00ED1186"/>
    <w:rsid w:val="00ED67D6"/>
    <w:rsid w:val="00EE736B"/>
    <w:rsid w:val="00EF353A"/>
    <w:rsid w:val="00EF389E"/>
    <w:rsid w:val="00EF3F30"/>
    <w:rsid w:val="00EF4059"/>
    <w:rsid w:val="00EF7456"/>
    <w:rsid w:val="00F02516"/>
    <w:rsid w:val="00F02596"/>
    <w:rsid w:val="00F037BD"/>
    <w:rsid w:val="00F05B94"/>
    <w:rsid w:val="00F1091C"/>
    <w:rsid w:val="00F12D91"/>
    <w:rsid w:val="00F13CBA"/>
    <w:rsid w:val="00F2632F"/>
    <w:rsid w:val="00F31879"/>
    <w:rsid w:val="00F42B10"/>
    <w:rsid w:val="00F50E84"/>
    <w:rsid w:val="00F53AEF"/>
    <w:rsid w:val="00F63A4E"/>
    <w:rsid w:val="00F64A99"/>
    <w:rsid w:val="00F64C67"/>
    <w:rsid w:val="00F65308"/>
    <w:rsid w:val="00F66446"/>
    <w:rsid w:val="00F6663B"/>
    <w:rsid w:val="00F70237"/>
    <w:rsid w:val="00F71044"/>
    <w:rsid w:val="00F73522"/>
    <w:rsid w:val="00F74FC1"/>
    <w:rsid w:val="00F763AD"/>
    <w:rsid w:val="00F76941"/>
    <w:rsid w:val="00F82E8B"/>
    <w:rsid w:val="00F92113"/>
    <w:rsid w:val="00F95E83"/>
    <w:rsid w:val="00FA0949"/>
    <w:rsid w:val="00FA38F0"/>
    <w:rsid w:val="00FA5D7E"/>
    <w:rsid w:val="00FB3217"/>
    <w:rsid w:val="00FC0F0C"/>
    <w:rsid w:val="00FC26E6"/>
    <w:rsid w:val="00FC54D0"/>
    <w:rsid w:val="00FC5A85"/>
    <w:rsid w:val="00FD17ED"/>
    <w:rsid w:val="00FD2A69"/>
    <w:rsid w:val="00FD3BA6"/>
    <w:rsid w:val="00FE1740"/>
    <w:rsid w:val="00FF077D"/>
    <w:rsid w:val="00FF5537"/>
    <w:rsid w:val="00FF5D1D"/>
    <w:rsid w:val="0569EC69"/>
    <w:rsid w:val="05A0D50A"/>
    <w:rsid w:val="05A9E007"/>
    <w:rsid w:val="06EF95DC"/>
    <w:rsid w:val="0892E33F"/>
    <w:rsid w:val="09EFE5EF"/>
    <w:rsid w:val="0AF41F97"/>
    <w:rsid w:val="0BB2C513"/>
    <w:rsid w:val="0D91C6B4"/>
    <w:rsid w:val="0FE6529D"/>
    <w:rsid w:val="1063FE98"/>
    <w:rsid w:val="1245F2CE"/>
    <w:rsid w:val="13724C25"/>
    <w:rsid w:val="1556B3A2"/>
    <w:rsid w:val="15B16FB1"/>
    <w:rsid w:val="18B9BBBA"/>
    <w:rsid w:val="1B089D86"/>
    <w:rsid w:val="1CD58917"/>
    <w:rsid w:val="1DAE1DD7"/>
    <w:rsid w:val="206F9804"/>
    <w:rsid w:val="26233B82"/>
    <w:rsid w:val="26780CE1"/>
    <w:rsid w:val="28FA6567"/>
    <w:rsid w:val="29A11BB1"/>
    <w:rsid w:val="29FF2CF6"/>
    <w:rsid w:val="2A1CC400"/>
    <w:rsid w:val="2FE0EE6B"/>
    <w:rsid w:val="2FF2E134"/>
    <w:rsid w:val="302A2CF3"/>
    <w:rsid w:val="3261748A"/>
    <w:rsid w:val="32D16EA2"/>
    <w:rsid w:val="35C5483F"/>
    <w:rsid w:val="37FEFDF3"/>
    <w:rsid w:val="38A7BD70"/>
    <w:rsid w:val="3A019812"/>
    <w:rsid w:val="3CD2D34B"/>
    <w:rsid w:val="3D2F4827"/>
    <w:rsid w:val="3D86068B"/>
    <w:rsid w:val="3DB69039"/>
    <w:rsid w:val="3F6352D3"/>
    <w:rsid w:val="3FABDB91"/>
    <w:rsid w:val="406BF965"/>
    <w:rsid w:val="45542C7B"/>
    <w:rsid w:val="47F076B7"/>
    <w:rsid w:val="4819B6F5"/>
    <w:rsid w:val="4A60FEBF"/>
    <w:rsid w:val="4CBEE743"/>
    <w:rsid w:val="4D126D51"/>
    <w:rsid w:val="4F4EC1C8"/>
    <w:rsid w:val="5165B4E2"/>
    <w:rsid w:val="5385FF4E"/>
    <w:rsid w:val="53C803AE"/>
    <w:rsid w:val="53F3EDEB"/>
    <w:rsid w:val="544A2204"/>
    <w:rsid w:val="58AF2FD7"/>
    <w:rsid w:val="5B495D87"/>
    <w:rsid w:val="5C3137A7"/>
    <w:rsid w:val="5D76D3A6"/>
    <w:rsid w:val="5E29A2D9"/>
    <w:rsid w:val="5E652734"/>
    <w:rsid w:val="60134070"/>
    <w:rsid w:val="62F567BC"/>
    <w:rsid w:val="635535A6"/>
    <w:rsid w:val="6591ED3A"/>
    <w:rsid w:val="6B389E48"/>
    <w:rsid w:val="6CFCE6C4"/>
    <w:rsid w:val="6E24F7AD"/>
    <w:rsid w:val="703B246E"/>
    <w:rsid w:val="704AC99B"/>
    <w:rsid w:val="70F90A2A"/>
    <w:rsid w:val="75D336B6"/>
    <w:rsid w:val="7606C807"/>
    <w:rsid w:val="77FA9167"/>
    <w:rsid w:val="7946E83D"/>
    <w:rsid w:val="7979F87A"/>
    <w:rsid w:val="7E0ABA78"/>
    <w:rsid w:val="7E945648"/>
    <w:rsid w:val="7FC503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0A9E2A"/>
  <w15:chartTrackingRefBased/>
  <w15:docId w15:val="{855143F7-D330-4F23-A2C6-4907CEFF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8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B8A"/>
    <w:pPr>
      <w:ind w:left="720"/>
    </w:pPr>
  </w:style>
  <w:style w:type="paragraph" w:styleId="FootnoteText">
    <w:name w:val="footnote text"/>
    <w:basedOn w:val="Normal"/>
    <w:link w:val="FootnoteTextChar"/>
    <w:uiPriority w:val="99"/>
    <w:qFormat/>
    <w:rsid w:val="003C7B8A"/>
    <w:rPr>
      <w:sz w:val="20"/>
    </w:rPr>
  </w:style>
  <w:style w:type="character" w:customStyle="1" w:styleId="FootnoteTextChar">
    <w:name w:val="Footnote Text Char"/>
    <w:basedOn w:val="DefaultParagraphFont"/>
    <w:link w:val="FootnoteText"/>
    <w:uiPriority w:val="99"/>
    <w:rsid w:val="003C7B8A"/>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3C7B8A"/>
    <w:rPr>
      <w:vertAlign w:val="superscript"/>
    </w:rPr>
  </w:style>
  <w:style w:type="character" w:styleId="Hyperlink">
    <w:name w:val="Hyperlink"/>
    <w:basedOn w:val="DefaultParagraphFont"/>
    <w:uiPriority w:val="99"/>
    <w:unhideWhenUsed/>
    <w:rsid w:val="003C7B8A"/>
    <w:rPr>
      <w:color w:val="0000FF"/>
      <w:u w:val="single"/>
    </w:rPr>
  </w:style>
  <w:style w:type="character" w:styleId="CommentReference">
    <w:name w:val="annotation reference"/>
    <w:basedOn w:val="DefaultParagraphFont"/>
    <w:uiPriority w:val="99"/>
    <w:semiHidden/>
    <w:unhideWhenUsed/>
    <w:rsid w:val="00355CF2"/>
    <w:rPr>
      <w:sz w:val="16"/>
      <w:szCs w:val="16"/>
    </w:rPr>
  </w:style>
  <w:style w:type="paragraph" w:styleId="CommentText">
    <w:name w:val="annotation text"/>
    <w:basedOn w:val="Normal"/>
    <w:link w:val="CommentTextChar"/>
    <w:uiPriority w:val="99"/>
    <w:unhideWhenUsed/>
    <w:rsid w:val="00355CF2"/>
    <w:rPr>
      <w:sz w:val="20"/>
    </w:rPr>
  </w:style>
  <w:style w:type="character" w:customStyle="1" w:styleId="CommentTextChar">
    <w:name w:val="Comment Text Char"/>
    <w:basedOn w:val="DefaultParagraphFont"/>
    <w:link w:val="CommentText"/>
    <w:uiPriority w:val="99"/>
    <w:rsid w:val="00355C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CF2"/>
    <w:rPr>
      <w:b/>
      <w:bCs/>
    </w:rPr>
  </w:style>
  <w:style w:type="character" w:customStyle="1" w:styleId="CommentSubjectChar">
    <w:name w:val="Comment Subject Char"/>
    <w:basedOn w:val="CommentTextChar"/>
    <w:link w:val="CommentSubject"/>
    <w:uiPriority w:val="99"/>
    <w:semiHidden/>
    <w:rsid w:val="00355C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4245"/>
    <w:pPr>
      <w:tabs>
        <w:tab w:val="center" w:pos="4680"/>
        <w:tab w:val="right" w:pos="9360"/>
      </w:tabs>
    </w:pPr>
  </w:style>
  <w:style w:type="character" w:customStyle="1" w:styleId="HeaderChar">
    <w:name w:val="Header Char"/>
    <w:basedOn w:val="DefaultParagraphFont"/>
    <w:link w:val="Header"/>
    <w:uiPriority w:val="99"/>
    <w:rsid w:val="00BB424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B4245"/>
    <w:pPr>
      <w:tabs>
        <w:tab w:val="center" w:pos="4680"/>
        <w:tab w:val="right" w:pos="9360"/>
      </w:tabs>
    </w:pPr>
  </w:style>
  <w:style w:type="character" w:customStyle="1" w:styleId="FooterChar">
    <w:name w:val="Footer Char"/>
    <w:basedOn w:val="DefaultParagraphFont"/>
    <w:link w:val="Footer"/>
    <w:uiPriority w:val="99"/>
    <w:rsid w:val="00BB4245"/>
    <w:rPr>
      <w:rFonts w:ascii="Times New Roman" w:eastAsia="Times New Roman" w:hAnsi="Times New Roman" w:cs="Times New Roman"/>
      <w:sz w:val="24"/>
      <w:szCs w:val="20"/>
    </w:rPr>
  </w:style>
  <w:style w:type="paragraph" w:styleId="Revision">
    <w:name w:val="Revision"/>
    <w:hidden/>
    <w:uiPriority w:val="99"/>
    <w:semiHidden/>
    <w:rsid w:val="00F42B10"/>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4FD2"/>
    <w:rPr>
      <w:color w:val="605E5C"/>
      <w:shd w:val="clear" w:color="auto" w:fill="E1DFDD"/>
    </w:rPr>
  </w:style>
  <w:style w:type="character" w:styleId="Mention">
    <w:name w:val="Mention"/>
    <w:basedOn w:val="DefaultParagraphFont"/>
    <w:uiPriority w:val="99"/>
    <w:unhideWhenUsed/>
    <w:rsid w:val="000431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8e104d801ec2045d0b0431ca0363a01">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2e256177ae48e4235e07a2b39861501b"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2DF69-FAEC-42FD-A307-94D1D1D18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B50BAC-9300-451D-82BC-C2EF67CE60E0}">
  <ds:schemaRefs>
    <ds:schemaRef ds:uri="http://schemas.openxmlformats.org/officeDocument/2006/bibliography"/>
  </ds:schemaRefs>
</ds:datastoreItem>
</file>

<file path=customXml/itemProps3.xml><?xml version="1.0" encoding="utf-8"?>
<ds:datastoreItem xmlns:ds="http://schemas.openxmlformats.org/officeDocument/2006/customXml" ds:itemID="{C4F564CC-2053-40EE-838D-78725A7C5370}">
  <ds:schemaRefs>
    <ds:schemaRef ds:uri="http://schemas.microsoft.com/sharepoint/v3/contenttype/forms"/>
  </ds:schemaRefs>
</ds:datastoreItem>
</file>

<file path=customXml/itemProps4.xml><?xml version="1.0" encoding="utf-8"?>
<ds:datastoreItem xmlns:ds="http://schemas.openxmlformats.org/officeDocument/2006/customXml" ds:itemID="{481FBCD9-4929-4734-BC66-4B73DFE5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2657</Words>
  <Characters>15149</Characters>
  <Application>Microsoft Office Word</Application>
  <DocSecurity>0</DocSecurity>
  <Lines>126</Lines>
  <Paragraphs>35</Paragraphs>
  <ScaleCrop>false</ScaleCrop>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Swafford, Joanne (FRA)</cp:lastModifiedBy>
  <cp:revision>2</cp:revision>
  <dcterms:created xsi:type="dcterms:W3CDTF">2026-02-18T13:10:00Z</dcterms:created>
  <dcterms:modified xsi:type="dcterms:W3CDTF">2026-02-18T13:10:00Z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docLang">
    <vt:lpwstr>en</vt:lpwstr>
  </property>
  <property fmtid="{D5CDD505-2E9C-101B-9397-08002B2CF9AE}" pid="4" name="MediaServiceImageTags">
    <vt:lpwstr/>
  </property>
</Properties>
</file>